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03FE" w14:textId="77777777" w:rsidR="005C1BCA" w:rsidRPr="0086374B" w:rsidRDefault="003C1B77" w:rsidP="0086374B">
      <w:pPr>
        <w:jc w:val="center"/>
        <w:rPr>
          <w:noProof/>
          <w:snapToGrid w:val="0"/>
          <w:szCs w:val="24"/>
          <w:lang w:val="es-ES" w:eastAsia="es-ES"/>
        </w:rPr>
      </w:pPr>
      <w:r>
        <w:rPr>
          <w:noProof/>
          <w:szCs w:val="24"/>
          <w:lang w:eastAsia="es-CO"/>
        </w:rPr>
        <w:object w:dxaOrig="1440" w:dyaOrig="1440" w14:anchorId="0DB0AD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2.4pt;margin-top:-53.35pt;width:52.5pt;height:48.75pt;z-index:251658240" fillcolor="#0c9">
            <v:imagedata r:id="rId11" o:title=""/>
          </v:shape>
          <o:OLEObject Type="Embed" ProgID="PBrush" ShapeID="_x0000_s2050" DrawAspect="Content" ObjectID="_1720509985" r:id="rId12"/>
        </w:object>
      </w:r>
      <w:r w:rsidR="005C1BCA" w:rsidRPr="0086374B">
        <w:rPr>
          <w:snapToGrid w:val="0"/>
          <w:szCs w:val="24"/>
          <w:lang w:val="es-ES_tradnl" w:eastAsia="es-ES"/>
        </w:rPr>
        <w:t>Ministerio de Minas y Energía</w:t>
      </w:r>
    </w:p>
    <w:p w14:paraId="1359E799" w14:textId="77777777" w:rsidR="005C1BCA" w:rsidRPr="005C1BCA" w:rsidRDefault="005C1BCA" w:rsidP="005C1BCA">
      <w:pPr>
        <w:keepNext/>
        <w:tabs>
          <w:tab w:val="left" w:pos="0"/>
          <w:tab w:val="right" w:pos="9356"/>
        </w:tabs>
        <w:spacing w:after="0"/>
        <w:jc w:val="center"/>
        <w:outlineLvl w:val="2"/>
        <w:rPr>
          <w:rFonts w:eastAsia="Times New Roman" w:cs="Arial"/>
          <w:b/>
          <w:snapToGrid w:val="0"/>
          <w:color w:val="000000"/>
          <w:spacing w:val="20"/>
          <w:szCs w:val="24"/>
          <w:lang w:val="es-ES_tradnl" w:eastAsia="es-ES"/>
        </w:rPr>
      </w:pPr>
    </w:p>
    <w:p w14:paraId="7B1697F8" w14:textId="77777777" w:rsidR="005C1BCA" w:rsidRPr="00982158" w:rsidRDefault="005C1BCA" w:rsidP="00982158">
      <w:pPr>
        <w:jc w:val="center"/>
        <w:rPr>
          <w:b/>
          <w:bCs/>
          <w:snapToGrid w:val="0"/>
          <w:szCs w:val="24"/>
          <w:lang w:val="es-ES_tradnl" w:eastAsia="es-ES"/>
        </w:rPr>
      </w:pPr>
      <w:r w:rsidRPr="00982158">
        <w:rPr>
          <w:b/>
          <w:bCs/>
          <w:snapToGrid w:val="0"/>
          <w:szCs w:val="24"/>
          <w:lang w:val="es-ES_tradnl" w:eastAsia="es-ES"/>
        </w:rPr>
        <w:t>COMISIÓN DE REGULACIÓN DE ENERGÍA Y GAS</w:t>
      </w:r>
    </w:p>
    <w:p w14:paraId="2CD0F88F" w14:textId="77777777" w:rsidR="005C1BCA" w:rsidRPr="005C1BCA" w:rsidRDefault="005C1BCA" w:rsidP="005C1BCA">
      <w:pPr>
        <w:keepNext/>
        <w:tabs>
          <w:tab w:val="left" w:pos="0"/>
          <w:tab w:val="right" w:pos="9356"/>
        </w:tabs>
        <w:spacing w:after="0"/>
        <w:jc w:val="center"/>
        <w:outlineLvl w:val="4"/>
        <w:rPr>
          <w:rFonts w:eastAsia="Times New Roman" w:cs="Arial"/>
          <w:b/>
          <w:snapToGrid w:val="0"/>
          <w:color w:val="000000"/>
          <w:spacing w:val="20"/>
          <w:szCs w:val="24"/>
          <w:lang w:val="es-ES_tradnl" w:eastAsia="es-ES"/>
        </w:rPr>
      </w:pPr>
    </w:p>
    <w:p w14:paraId="0BCF6002" w14:textId="1B785AF4" w:rsidR="005C1BCA" w:rsidRPr="0086374B" w:rsidRDefault="005C1BCA" w:rsidP="0086374B">
      <w:pPr>
        <w:jc w:val="center"/>
        <w:rPr>
          <w:b/>
          <w:bCs/>
          <w:snapToGrid w:val="0"/>
          <w:szCs w:val="24"/>
          <w:lang w:val="es-ES_tradnl" w:eastAsia="es-ES"/>
        </w:rPr>
      </w:pPr>
      <w:r w:rsidRPr="0086374B">
        <w:rPr>
          <w:b/>
          <w:bCs/>
          <w:snapToGrid w:val="0"/>
          <w:szCs w:val="24"/>
          <w:lang w:val="es-ES_tradnl" w:eastAsia="es-ES"/>
        </w:rPr>
        <w:t xml:space="preserve">RESOLUCIÓN No. </w:t>
      </w:r>
      <w:r w:rsidR="007E61D1" w:rsidRPr="00CF1A29">
        <w:rPr>
          <w:b/>
          <w:bCs/>
          <w:snapToGrid w:val="0"/>
          <w:sz w:val="32"/>
          <w:szCs w:val="32"/>
          <w:lang w:val="es-ES_tradnl" w:eastAsia="es-ES"/>
        </w:rPr>
        <w:t>502</w:t>
      </w:r>
      <w:r w:rsidR="00CB3FD5" w:rsidRPr="00CF1A29">
        <w:rPr>
          <w:b/>
          <w:bCs/>
          <w:snapToGrid w:val="0"/>
          <w:sz w:val="32"/>
          <w:szCs w:val="32"/>
          <w:lang w:val="es-ES_tradnl" w:eastAsia="es-ES"/>
        </w:rPr>
        <w:t xml:space="preserve"> </w:t>
      </w:r>
      <w:r w:rsidR="00CD26C9">
        <w:rPr>
          <w:b/>
          <w:bCs/>
          <w:snapToGrid w:val="0"/>
          <w:sz w:val="32"/>
          <w:szCs w:val="32"/>
          <w:lang w:val="es-ES_tradnl" w:eastAsia="es-ES"/>
        </w:rPr>
        <w:t>027</w:t>
      </w:r>
      <w:r w:rsidR="00E24B7B" w:rsidRPr="00CF1A29">
        <w:rPr>
          <w:b/>
          <w:bCs/>
          <w:snapToGrid w:val="0"/>
          <w:sz w:val="32"/>
          <w:szCs w:val="32"/>
          <w:lang w:val="es-ES_tradnl" w:eastAsia="es-ES"/>
        </w:rPr>
        <w:t xml:space="preserve"> </w:t>
      </w:r>
      <w:r w:rsidRPr="0086374B">
        <w:rPr>
          <w:b/>
          <w:bCs/>
          <w:snapToGrid w:val="0"/>
          <w:szCs w:val="24"/>
          <w:lang w:val="es-ES_tradnl" w:eastAsia="es-ES"/>
        </w:rPr>
        <w:t>DE 20</w:t>
      </w:r>
      <w:r w:rsidR="00CD7D9E" w:rsidRPr="0086374B">
        <w:rPr>
          <w:b/>
          <w:bCs/>
          <w:snapToGrid w:val="0"/>
          <w:szCs w:val="24"/>
          <w:lang w:val="es-ES_tradnl" w:eastAsia="es-ES"/>
        </w:rPr>
        <w:t>2</w:t>
      </w:r>
      <w:r w:rsidR="000D12A0" w:rsidRPr="0086374B">
        <w:rPr>
          <w:b/>
          <w:bCs/>
          <w:snapToGrid w:val="0"/>
          <w:szCs w:val="24"/>
          <w:lang w:val="es-ES_tradnl" w:eastAsia="es-ES"/>
        </w:rPr>
        <w:t>2</w:t>
      </w:r>
    </w:p>
    <w:p w14:paraId="2DA2DD82" w14:textId="77777777" w:rsidR="005C1BCA" w:rsidRPr="005C1BCA" w:rsidRDefault="005C1BCA" w:rsidP="005C1BCA">
      <w:pPr>
        <w:tabs>
          <w:tab w:val="left" w:pos="0"/>
          <w:tab w:val="right" w:pos="9356"/>
        </w:tabs>
        <w:spacing w:after="0"/>
        <w:jc w:val="center"/>
        <w:rPr>
          <w:rFonts w:eastAsia="Times New Roman" w:cs="Arial"/>
          <w:b/>
          <w:snapToGrid w:val="0"/>
          <w:color w:val="000000"/>
          <w:szCs w:val="24"/>
          <w:lang w:val="es-ES_tradnl" w:eastAsia="es-ES"/>
        </w:rPr>
      </w:pPr>
    </w:p>
    <w:p w14:paraId="5C188138" w14:textId="09C5AC2C" w:rsidR="005C1BCA" w:rsidRPr="0086374B" w:rsidRDefault="005C1BCA" w:rsidP="0086374B">
      <w:pPr>
        <w:jc w:val="center"/>
        <w:rPr>
          <w:b/>
          <w:bCs/>
          <w:snapToGrid w:val="0"/>
          <w:sz w:val="32"/>
          <w:szCs w:val="32"/>
          <w:lang w:val="es-ES_tradnl" w:eastAsia="es-ES"/>
        </w:rPr>
      </w:pPr>
      <w:r w:rsidRPr="00CD26C9">
        <w:rPr>
          <w:b/>
          <w:bCs/>
          <w:snapToGrid w:val="0"/>
          <w:szCs w:val="24"/>
          <w:lang w:val="es-ES_tradnl" w:eastAsia="es-ES"/>
        </w:rPr>
        <w:t>(</w:t>
      </w:r>
      <w:r w:rsidRPr="00CD26C9">
        <w:rPr>
          <w:b/>
          <w:bCs/>
          <w:snapToGrid w:val="0"/>
          <w:sz w:val="32"/>
          <w:szCs w:val="32"/>
          <w:lang w:val="es-ES_tradnl" w:eastAsia="es-ES"/>
        </w:rPr>
        <w:t xml:space="preserve"> </w:t>
      </w:r>
      <w:r w:rsidR="00CD26C9" w:rsidRPr="00CD26C9">
        <w:rPr>
          <w:b/>
          <w:bCs/>
          <w:snapToGrid w:val="0"/>
          <w:sz w:val="32"/>
          <w:szCs w:val="32"/>
          <w:lang w:val="es-ES_tradnl" w:eastAsia="es-ES"/>
        </w:rPr>
        <w:t>15 JUL</w:t>
      </w:r>
      <w:r w:rsidR="007B3C4F" w:rsidRPr="00CD26C9">
        <w:rPr>
          <w:b/>
          <w:bCs/>
          <w:snapToGrid w:val="0"/>
          <w:sz w:val="32"/>
          <w:szCs w:val="32"/>
          <w:lang w:val="es-ES_tradnl" w:eastAsia="es-ES"/>
        </w:rPr>
        <w:t>. 202</w:t>
      </w:r>
      <w:r w:rsidR="000D12A0" w:rsidRPr="00CD26C9">
        <w:rPr>
          <w:b/>
          <w:bCs/>
          <w:snapToGrid w:val="0"/>
          <w:sz w:val="32"/>
          <w:szCs w:val="32"/>
          <w:lang w:val="es-ES_tradnl" w:eastAsia="es-ES"/>
        </w:rPr>
        <w:t>2</w:t>
      </w:r>
      <w:r w:rsidRPr="0086374B">
        <w:rPr>
          <w:b/>
          <w:bCs/>
          <w:snapToGrid w:val="0"/>
          <w:sz w:val="32"/>
          <w:szCs w:val="32"/>
          <w:lang w:val="es-ES_tradnl" w:eastAsia="es-ES"/>
        </w:rPr>
        <w:t xml:space="preserve">  </w:t>
      </w:r>
      <w:r w:rsidRPr="0086374B">
        <w:rPr>
          <w:b/>
          <w:bCs/>
          <w:snapToGrid w:val="0"/>
          <w:szCs w:val="24"/>
          <w:lang w:val="es-ES_tradnl" w:eastAsia="es-ES"/>
        </w:rPr>
        <w:t>)</w:t>
      </w:r>
    </w:p>
    <w:p w14:paraId="332215A4" w14:textId="77777777" w:rsidR="005C1BCA" w:rsidRPr="005C1BCA" w:rsidRDefault="005C1BCA" w:rsidP="005C1BCA">
      <w:pPr>
        <w:spacing w:after="0"/>
        <w:rPr>
          <w:rFonts w:eastAsia="Times New Roman" w:cs="Times New Roman"/>
          <w:bCs/>
          <w:szCs w:val="24"/>
          <w:lang w:eastAsia="es-ES"/>
        </w:rPr>
      </w:pPr>
    </w:p>
    <w:p w14:paraId="3DA4F551" w14:textId="77777777" w:rsidR="007F66B9" w:rsidRDefault="007F66B9" w:rsidP="005C1BCA">
      <w:pPr>
        <w:spacing w:after="0"/>
        <w:jc w:val="center"/>
        <w:rPr>
          <w:rFonts w:eastAsia="Times New Roman" w:cs="Times New Roman"/>
          <w:szCs w:val="24"/>
          <w:lang w:val="es-ES" w:eastAsia="es-ES"/>
        </w:rPr>
      </w:pPr>
    </w:p>
    <w:p w14:paraId="22C24C84" w14:textId="7CE0B4A0" w:rsidR="00AC038A" w:rsidRDefault="00676D84" w:rsidP="005C1BCA">
      <w:pPr>
        <w:spacing w:after="0"/>
        <w:ind w:left="567" w:right="51"/>
        <w:jc w:val="center"/>
        <w:rPr>
          <w:rFonts w:eastAsia="Times New Roman" w:cs="Times New Roman"/>
          <w:szCs w:val="24"/>
          <w:lang w:val="es-ES" w:eastAsia="es-ES"/>
        </w:rPr>
      </w:pPr>
      <w:r w:rsidRPr="00676D84">
        <w:rPr>
          <w:rFonts w:eastAsia="Times New Roman" w:cs="Times New Roman"/>
          <w:szCs w:val="24"/>
          <w:lang w:val="es-ES" w:eastAsia="es-ES"/>
        </w:rPr>
        <w:t xml:space="preserve">Por la cual se </w:t>
      </w:r>
      <w:r w:rsidR="00FF3752">
        <w:rPr>
          <w:rFonts w:eastAsia="Times New Roman" w:cs="Times New Roman"/>
          <w:szCs w:val="24"/>
          <w:lang w:val="es-ES" w:eastAsia="es-ES"/>
        </w:rPr>
        <w:t>ajustan</w:t>
      </w:r>
      <w:r w:rsidRPr="00676D84">
        <w:rPr>
          <w:rFonts w:eastAsia="Times New Roman" w:cs="Times New Roman"/>
          <w:szCs w:val="24"/>
          <w:lang w:val="es-ES" w:eastAsia="es-ES"/>
        </w:rPr>
        <w:t xml:space="preserve"> los cargos regulados para el sistema de transporte de Transmetano E.S.P. S.A.</w:t>
      </w:r>
    </w:p>
    <w:p w14:paraId="10A25076" w14:textId="77777777" w:rsidR="00676D84" w:rsidRDefault="00676D84" w:rsidP="005C1BCA">
      <w:pPr>
        <w:spacing w:after="0"/>
        <w:ind w:left="567" w:right="51"/>
        <w:jc w:val="center"/>
        <w:rPr>
          <w:rFonts w:eastAsia="Times New Roman" w:cs="Times New Roman"/>
          <w:b/>
          <w:szCs w:val="24"/>
          <w:lang w:val="es-ES" w:eastAsia="es-ES"/>
        </w:rPr>
      </w:pPr>
    </w:p>
    <w:p w14:paraId="12FE27EB" w14:textId="77777777" w:rsidR="005C1BCA" w:rsidRPr="005C1BCA" w:rsidRDefault="005C1BCA" w:rsidP="005C1BCA">
      <w:pPr>
        <w:spacing w:after="0"/>
        <w:ind w:left="567" w:right="51"/>
        <w:jc w:val="center"/>
        <w:rPr>
          <w:rFonts w:eastAsia="Times New Roman" w:cs="Times New Roman"/>
          <w:b/>
          <w:szCs w:val="24"/>
          <w:lang w:val="es-ES" w:eastAsia="es-ES"/>
        </w:rPr>
      </w:pPr>
      <w:r w:rsidRPr="005C1BCA">
        <w:rPr>
          <w:rFonts w:eastAsia="Times New Roman" w:cs="Times New Roman"/>
          <w:b/>
          <w:szCs w:val="24"/>
          <w:lang w:val="es-ES" w:eastAsia="es-ES"/>
        </w:rPr>
        <w:t>LA COMISIÓN DE REGULACIÓN DE ENERGÍA Y GAS</w:t>
      </w:r>
    </w:p>
    <w:p w14:paraId="3B4E0C2F" w14:textId="77777777" w:rsidR="005C1BCA" w:rsidRPr="005C1BCA" w:rsidRDefault="005C1BCA" w:rsidP="005C1BCA">
      <w:pPr>
        <w:spacing w:after="0"/>
        <w:ind w:right="51"/>
        <w:rPr>
          <w:rFonts w:eastAsia="Times New Roman" w:cs="Times New Roman"/>
          <w:szCs w:val="24"/>
          <w:lang w:val="es-ES" w:eastAsia="es-ES"/>
        </w:rPr>
      </w:pPr>
    </w:p>
    <w:p w14:paraId="3C362830" w14:textId="77777777" w:rsidR="005C1BCA" w:rsidRPr="005C1BCA" w:rsidRDefault="005C1BCA" w:rsidP="005C1BCA">
      <w:pPr>
        <w:spacing w:after="0"/>
        <w:ind w:right="51"/>
        <w:rPr>
          <w:rFonts w:eastAsia="Times New Roman" w:cs="Times New Roman"/>
          <w:szCs w:val="24"/>
          <w:lang w:val="es-ES" w:eastAsia="es-ES"/>
        </w:rPr>
      </w:pPr>
    </w:p>
    <w:p w14:paraId="042BC6AF" w14:textId="0887D76A" w:rsidR="005C1BCA" w:rsidRPr="005C1BCA" w:rsidRDefault="00A51D7A" w:rsidP="00A51D7A">
      <w:pPr>
        <w:spacing w:after="0"/>
        <w:ind w:right="51"/>
        <w:jc w:val="center"/>
        <w:rPr>
          <w:rFonts w:eastAsia="Times New Roman" w:cs="Arial"/>
          <w:bCs/>
          <w:spacing w:val="-3"/>
          <w:szCs w:val="24"/>
          <w:lang w:val="es-ES" w:eastAsia="es-ES"/>
        </w:rPr>
      </w:pPr>
      <w:r w:rsidRPr="00A51D7A">
        <w:rPr>
          <w:rFonts w:eastAsia="Times New Roman" w:cs="Arial"/>
          <w:color w:val="000000"/>
          <w:szCs w:val="24"/>
          <w:lang w:val="es-ES" w:eastAsia="es-ES"/>
        </w:rPr>
        <w:t>En ejercicio de sus atribuciones legales, en especial de las conferidas por la Ley 142 de 1994, y en desarrollo de los Decretos 2253 de 1994, 1260 de 2013, y</w:t>
      </w:r>
    </w:p>
    <w:p w14:paraId="1E71ED43" w14:textId="77777777" w:rsidR="005C1BCA" w:rsidRPr="005C1BCA" w:rsidRDefault="005C1BCA" w:rsidP="005C1BCA">
      <w:pPr>
        <w:spacing w:after="0"/>
        <w:rPr>
          <w:rFonts w:eastAsia="Times New Roman" w:cs="Arial"/>
          <w:color w:val="000000"/>
          <w:szCs w:val="24"/>
          <w:lang w:val="es-ES" w:eastAsia="es-ES"/>
        </w:rPr>
      </w:pPr>
    </w:p>
    <w:p w14:paraId="13A7D3F9" w14:textId="77777777" w:rsidR="00A33677" w:rsidRPr="00CE515C" w:rsidRDefault="005C1BCA" w:rsidP="00CE515C">
      <w:pPr>
        <w:spacing w:after="0"/>
        <w:jc w:val="center"/>
        <w:rPr>
          <w:rFonts w:eastAsia="Times New Roman" w:cs="Arial"/>
          <w:b/>
          <w:color w:val="000000"/>
          <w:szCs w:val="24"/>
          <w:lang w:val="es-ES" w:eastAsia="es-ES"/>
        </w:rPr>
      </w:pPr>
      <w:r w:rsidRPr="005C1BCA">
        <w:rPr>
          <w:rFonts w:eastAsia="Times New Roman" w:cs="Arial"/>
          <w:b/>
          <w:color w:val="000000"/>
          <w:szCs w:val="24"/>
          <w:lang w:val="es-ES" w:eastAsia="es-ES"/>
        </w:rPr>
        <w:t>C O N S I D E R A N D O  Q U E:</w:t>
      </w:r>
    </w:p>
    <w:p w14:paraId="287BA684" w14:textId="77777777" w:rsidR="00A33677" w:rsidRDefault="00A33677" w:rsidP="00A33677">
      <w:pPr>
        <w:pStyle w:val="Textoindependiente2"/>
        <w:spacing w:after="0" w:line="240" w:lineRule="auto"/>
        <w:ind w:left="578" w:right="-142" w:hanging="720"/>
        <w:jc w:val="both"/>
        <w:rPr>
          <w:rFonts w:ascii="Bookman Old Style" w:hAnsi="Bookman Old Style"/>
          <w:b/>
        </w:rPr>
      </w:pPr>
    </w:p>
    <w:p w14:paraId="2AAFCC21" w14:textId="3E6ABF38" w:rsidR="006A456D" w:rsidRPr="006A456D" w:rsidRDefault="006A456D" w:rsidP="006A456D">
      <w:pPr>
        <w:widowControl w:val="0"/>
        <w:spacing w:after="0"/>
        <w:jc w:val="both"/>
        <w:rPr>
          <w:rFonts w:eastAsia="Times New Roman" w:cs="Times New Roman"/>
          <w:iCs/>
          <w:color w:val="000000" w:themeColor="text1"/>
          <w:szCs w:val="24"/>
          <w:lang w:eastAsia="es-ES"/>
        </w:rPr>
      </w:pPr>
      <w:r w:rsidRPr="006A456D">
        <w:rPr>
          <w:rFonts w:eastAsia="Times New Roman" w:cs="Times New Roman"/>
          <w:color w:val="000000" w:themeColor="text1"/>
          <w:szCs w:val="24"/>
          <w:lang w:eastAsia="es-ES"/>
        </w:rPr>
        <w:t>De conformidad con lo establecido en el artículo 14.28 de la Ley 142 de 1994</w:t>
      </w:r>
      <w:r w:rsidR="00ED53AE">
        <w:rPr>
          <w:rFonts w:eastAsia="Times New Roman" w:cs="Times New Roman"/>
          <w:color w:val="000000" w:themeColor="text1"/>
          <w:szCs w:val="24"/>
          <w:lang w:eastAsia="es-ES"/>
        </w:rPr>
        <w:t>,</w:t>
      </w:r>
      <w:r w:rsidRPr="006A456D">
        <w:rPr>
          <w:rFonts w:eastAsia="Times New Roman" w:cs="Times New Roman"/>
          <w:color w:val="000000" w:themeColor="text1"/>
          <w:szCs w:val="24"/>
          <w:lang w:eastAsia="es-ES"/>
        </w:rPr>
        <w:t xml:space="preserve"> el servicio público domiciliario de gas combustible </w:t>
      </w:r>
      <w:r w:rsidRPr="006A456D">
        <w:rPr>
          <w:rFonts w:eastAsia="Times New Roman" w:cs="Times New Roman"/>
          <w:i/>
          <w:color w:val="000000" w:themeColor="text1"/>
          <w:szCs w:val="24"/>
          <w:lang w:eastAsia="es-ES"/>
        </w:rPr>
        <w:t>“</w:t>
      </w:r>
      <w:r w:rsidRPr="006A456D">
        <w:rPr>
          <w:rFonts w:eastAsia="Times New Roman" w:cs="Times New Roman"/>
          <w:i/>
          <w:iCs/>
          <w:color w:val="000000" w:themeColor="text1"/>
          <w:szCs w:val="24"/>
          <w:lang w:eastAsia="es-ES"/>
        </w:rPr>
        <w:t>es el conjunto de actividades ordenadas a la distribución de gas combustible, por tubería u otro medio, desde un sitio de acopio de grandes volúmenes o desde un gasoducto central hasta la instalación de un consumidor final, incluyendo su conexión y medición. También se aplicará esta ley a las actividades complementarias de comercialización desde la producción y transporte de gas por un gasoducto principal, o por otros medios, desde el sitio de generación hasta aquel en donde se conecte a una red secundaria”</w:t>
      </w:r>
      <w:r w:rsidRPr="006A456D">
        <w:rPr>
          <w:rFonts w:eastAsia="Times New Roman" w:cs="Times New Roman"/>
          <w:iCs/>
          <w:color w:val="000000" w:themeColor="text1"/>
          <w:szCs w:val="24"/>
          <w:lang w:eastAsia="es-ES"/>
        </w:rPr>
        <w:t>.</w:t>
      </w:r>
    </w:p>
    <w:p w14:paraId="3536CDFA" w14:textId="77777777" w:rsidR="006A456D" w:rsidRPr="006A456D" w:rsidRDefault="006A456D" w:rsidP="006A456D">
      <w:pPr>
        <w:widowControl w:val="0"/>
        <w:spacing w:after="0"/>
        <w:jc w:val="both"/>
        <w:rPr>
          <w:rFonts w:eastAsia="Times New Roman" w:cs="Times New Roman"/>
          <w:color w:val="000000" w:themeColor="text1"/>
          <w:szCs w:val="24"/>
          <w:lang w:eastAsia="es-ES"/>
        </w:rPr>
      </w:pPr>
    </w:p>
    <w:p w14:paraId="1288CE4F" w14:textId="77777777" w:rsidR="006A456D" w:rsidRPr="006A456D" w:rsidRDefault="006A456D" w:rsidP="006A456D">
      <w:pPr>
        <w:widowControl w:val="0"/>
        <w:spacing w:after="0"/>
        <w:jc w:val="both"/>
        <w:rPr>
          <w:rFonts w:eastAsia="Times New Roman" w:cs="Times New Roman"/>
          <w:color w:val="000000" w:themeColor="text1"/>
          <w:szCs w:val="24"/>
          <w:lang w:eastAsia="es-ES"/>
        </w:rPr>
      </w:pPr>
      <w:r w:rsidRPr="006A456D">
        <w:rPr>
          <w:rFonts w:eastAsia="Times New Roman" w:cs="Times New Roman"/>
          <w:color w:val="000000" w:themeColor="text1"/>
          <w:szCs w:val="24"/>
          <w:lang w:eastAsia="es-ES"/>
        </w:rPr>
        <w:t>Según lo dispuesto por el artículo 28 de la Ley 142 de 1994, la construcción y operación de redes para el transporte de gas, así como el señalamiento de las tarifas por su uso, se regirán exclusivamente por dicha Ley.</w:t>
      </w:r>
    </w:p>
    <w:p w14:paraId="255F620D" w14:textId="77777777" w:rsidR="006A456D" w:rsidRPr="006A456D" w:rsidRDefault="006A456D" w:rsidP="006A456D">
      <w:pPr>
        <w:widowControl w:val="0"/>
        <w:spacing w:after="0"/>
        <w:jc w:val="both"/>
        <w:rPr>
          <w:rFonts w:eastAsia="Times New Roman" w:cs="Times New Roman"/>
          <w:color w:val="000000" w:themeColor="text1"/>
          <w:szCs w:val="24"/>
          <w:lang w:eastAsia="es-ES"/>
        </w:rPr>
      </w:pPr>
    </w:p>
    <w:p w14:paraId="57414CC9" w14:textId="77777777" w:rsidR="006A456D" w:rsidRPr="006A456D" w:rsidRDefault="006A456D" w:rsidP="006A456D">
      <w:pPr>
        <w:widowControl w:val="0"/>
        <w:spacing w:after="0"/>
        <w:jc w:val="both"/>
        <w:rPr>
          <w:rFonts w:eastAsia="Times New Roman" w:cs="Times New Roman"/>
          <w:color w:val="000000" w:themeColor="text1"/>
          <w:szCs w:val="24"/>
          <w:lang w:eastAsia="es-ES"/>
        </w:rPr>
      </w:pPr>
      <w:r w:rsidRPr="006A456D">
        <w:rPr>
          <w:rFonts w:eastAsia="Times New Roman" w:cs="Times New Roman"/>
          <w:color w:val="000000" w:themeColor="text1"/>
          <w:szCs w:val="24"/>
          <w:lang w:eastAsia="es-ES"/>
        </w:rPr>
        <w:t>El artículo 73.11 de la Ley 142 de 1994 atribuyó a la Comisión de Regulación de Energía y Gas, CREG, la competencia para establecer las fórmulas para la fijación de las tarifas del servicio público domiciliario de gas combustible.</w:t>
      </w:r>
    </w:p>
    <w:p w14:paraId="7F2BA078" w14:textId="77777777" w:rsidR="006A456D" w:rsidRPr="006A456D" w:rsidRDefault="006A456D" w:rsidP="006A456D">
      <w:pPr>
        <w:widowControl w:val="0"/>
        <w:spacing w:after="0"/>
        <w:jc w:val="both"/>
        <w:rPr>
          <w:rFonts w:eastAsia="Times New Roman" w:cs="Times New Roman"/>
          <w:color w:val="000000" w:themeColor="text1"/>
          <w:szCs w:val="24"/>
          <w:lang w:eastAsia="es-ES"/>
        </w:rPr>
      </w:pPr>
    </w:p>
    <w:p w14:paraId="47B8198C" w14:textId="6C116B63" w:rsidR="006A456D" w:rsidRPr="006A456D"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6A456D">
        <w:rPr>
          <w:rFonts w:eastAsia="Times New Roman" w:cs="Arial"/>
          <w:color w:val="000000" w:themeColor="text1"/>
          <w:spacing w:val="-3"/>
          <w:szCs w:val="24"/>
          <w:lang w:val="es-ES" w:eastAsia="es-ES"/>
        </w:rPr>
        <w:t xml:space="preserve">El artículo 109 de la Ley 142 de 1994, en relación con las facultades con las que cuenta la Comisión dentro del ejercicio de las actuaciones administrativas que se adelanten en materia regulatoria, ha previsto </w:t>
      </w:r>
      <w:bookmarkStart w:id="0" w:name="109"/>
      <w:bookmarkEnd w:id="0"/>
      <w:r w:rsidRPr="006A456D">
        <w:rPr>
          <w:rFonts w:eastAsia="Times New Roman" w:cs="Arial"/>
          <w:color w:val="000000" w:themeColor="text1"/>
          <w:spacing w:val="-3"/>
          <w:szCs w:val="24"/>
          <w:lang w:val="es-ES" w:eastAsia="es-ES"/>
        </w:rPr>
        <w:t>que</w:t>
      </w:r>
      <w:r w:rsidR="00ED53AE">
        <w:rPr>
          <w:rFonts w:eastAsia="Times New Roman" w:cs="Arial"/>
          <w:color w:val="000000" w:themeColor="text1"/>
          <w:spacing w:val="-3"/>
          <w:szCs w:val="24"/>
          <w:lang w:val="es-ES" w:eastAsia="es-ES"/>
        </w:rPr>
        <w:t>,</w:t>
      </w:r>
      <w:r w:rsidRPr="006A456D">
        <w:rPr>
          <w:rFonts w:eastAsia="Times New Roman" w:cs="Arial"/>
          <w:color w:val="000000" w:themeColor="text1"/>
          <w:spacing w:val="-3"/>
          <w:szCs w:val="24"/>
          <w:lang w:val="es-ES" w:eastAsia="es-ES"/>
        </w:rPr>
        <w:t xml:space="preserve"> al practicar pruebas</w:t>
      </w:r>
      <w:r w:rsidR="00ED53AE">
        <w:rPr>
          <w:rFonts w:eastAsia="Times New Roman" w:cs="Arial"/>
          <w:color w:val="000000" w:themeColor="text1"/>
          <w:spacing w:val="-3"/>
          <w:szCs w:val="24"/>
          <w:lang w:val="es-ES" w:eastAsia="es-ES"/>
        </w:rPr>
        <w:t>,</w:t>
      </w:r>
      <w:r w:rsidRPr="006A456D">
        <w:rPr>
          <w:rFonts w:eastAsia="Times New Roman" w:cs="Arial"/>
          <w:color w:val="000000" w:themeColor="text1"/>
          <w:spacing w:val="-3"/>
          <w:szCs w:val="24"/>
          <w:lang w:val="es-ES" w:eastAsia="es-ES"/>
        </w:rPr>
        <w:t xml:space="preserve"> las funciones que corresponderían al juez en un proceso civil las cumplirá la autoridad, o la persona que acuerden la autoridad y el interesado.</w:t>
      </w:r>
    </w:p>
    <w:p w14:paraId="7CB8F6BC" w14:textId="77777777" w:rsidR="006A456D"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p>
    <w:p w14:paraId="7CC52760" w14:textId="574EAA1A" w:rsidR="006A456D" w:rsidRPr="006A456D" w:rsidRDefault="006A456D" w:rsidP="006A456D">
      <w:pPr>
        <w:tabs>
          <w:tab w:val="left" w:pos="0"/>
          <w:tab w:val="left" w:pos="144"/>
          <w:tab w:val="left" w:pos="864"/>
          <w:tab w:val="left" w:pos="1584"/>
          <w:tab w:val="left" w:pos="2304"/>
          <w:tab w:val="left" w:pos="3024"/>
          <w:tab w:val="left" w:pos="3744"/>
          <w:tab w:val="left" w:pos="4464"/>
          <w:tab w:val="left" w:pos="5184"/>
          <w:tab w:val="left" w:pos="5904"/>
          <w:tab w:val="left" w:pos="6624"/>
          <w:tab w:val="left" w:pos="7200"/>
        </w:tabs>
        <w:suppressAutoHyphens/>
        <w:spacing w:after="0"/>
        <w:jc w:val="both"/>
        <w:rPr>
          <w:rFonts w:eastAsia="Times New Roman" w:cs="Arial"/>
          <w:color w:val="000000" w:themeColor="text1"/>
          <w:spacing w:val="-3"/>
          <w:szCs w:val="24"/>
          <w:lang w:val="es-ES" w:eastAsia="es-ES"/>
        </w:rPr>
      </w:pPr>
      <w:r w:rsidRPr="006A456D">
        <w:rPr>
          <w:rFonts w:eastAsia="Times New Roman" w:cs="Arial"/>
          <w:color w:val="000000" w:themeColor="text1"/>
          <w:spacing w:val="-3"/>
          <w:szCs w:val="24"/>
          <w:lang w:val="es-ES" w:eastAsia="es-ES"/>
        </w:rPr>
        <w:t xml:space="preserve">Mediante la Resolución CREG 126 de 2010 se estableció la metodología general para determinar los cargos que deben aplicar las empresas que realizan la actividad de transporte de gas natural a través del </w:t>
      </w:r>
      <w:r w:rsidR="00ED53AE">
        <w:rPr>
          <w:rFonts w:eastAsia="Times New Roman" w:cs="Arial"/>
          <w:color w:val="000000" w:themeColor="text1"/>
          <w:spacing w:val="-3"/>
          <w:szCs w:val="24"/>
          <w:lang w:val="es-ES" w:eastAsia="es-ES"/>
        </w:rPr>
        <w:t>S</w:t>
      </w:r>
      <w:r w:rsidR="00ED53AE" w:rsidRPr="006A456D">
        <w:rPr>
          <w:rFonts w:eastAsia="Times New Roman" w:cs="Arial"/>
          <w:color w:val="000000" w:themeColor="text1"/>
          <w:spacing w:val="-3"/>
          <w:szCs w:val="24"/>
          <w:lang w:val="es-ES" w:eastAsia="es-ES"/>
        </w:rPr>
        <w:t xml:space="preserve">istema </w:t>
      </w:r>
      <w:r w:rsidR="00ED53AE">
        <w:rPr>
          <w:rFonts w:eastAsia="Times New Roman" w:cs="Arial"/>
          <w:color w:val="000000" w:themeColor="text1"/>
          <w:spacing w:val="-3"/>
          <w:szCs w:val="24"/>
          <w:lang w:val="es-ES" w:eastAsia="es-ES"/>
        </w:rPr>
        <w:t>N</w:t>
      </w:r>
      <w:r w:rsidR="00ED53AE" w:rsidRPr="006A456D">
        <w:rPr>
          <w:rFonts w:eastAsia="Times New Roman" w:cs="Arial"/>
          <w:color w:val="000000" w:themeColor="text1"/>
          <w:spacing w:val="-3"/>
          <w:szCs w:val="24"/>
          <w:lang w:val="es-ES" w:eastAsia="es-ES"/>
        </w:rPr>
        <w:t xml:space="preserve">acional </w:t>
      </w:r>
      <w:r w:rsidRPr="006A456D">
        <w:rPr>
          <w:rFonts w:eastAsia="Times New Roman" w:cs="Arial"/>
          <w:color w:val="000000" w:themeColor="text1"/>
          <w:spacing w:val="-3"/>
          <w:szCs w:val="24"/>
          <w:lang w:val="es-ES" w:eastAsia="es-ES"/>
        </w:rPr>
        <w:t xml:space="preserve">de </w:t>
      </w:r>
      <w:r w:rsidR="00ED53AE">
        <w:rPr>
          <w:rFonts w:eastAsia="Times New Roman" w:cs="Arial"/>
          <w:color w:val="000000" w:themeColor="text1"/>
          <w:spacing w:val="-3"/>
          <w:szCs w:val="24"/>
          <w:lang w:val="es-ES" w:eastAsia="es-ES"/>
        </w:rPr>
        <w:t>T</w:t>
      </w:r>
      <w:r w:rsidR="00ED53AE" w:rsidRPr="006A456D">
        <w:rPr>
          <w:rFonts w:eastAsia="Times New Roman" w:cs="Arial"/>
          <w:color w:val="000000" w:themeColor="text1"/>
          <w:spacing w:val="-3"/>
          <w:szCs w:val="24"/>
          <w:lang w:val="es-ES" w:eastAsia="es-ES"/>
        </w:rPr>
        <w:t>ransporte</w:t>
      </w:r>
      <w:r w:rsidRPr="006A456D">
        <w:rPr>
          <w:rFonts w:eastAsia="Times New Roman" w:cs="Arial"/>
          <w:color w:val="000000" w:themeColor="text1"/>
          <w:spacing w:val="-3"/>
          <w:szCs w:val="24"/>
          <w:lang w:val="es-ES" w:eastAsia="es-ES"/>
        </w:rPr>
        <w:t>.</w:t>
      </w:r>
    </w:p>
    <w:p w14:paraId="545E0E9E" w14:textId="0F9696BC" w:rsidR="00F45C57" w:rsidRDefault="009A3DA9" w:rsidP="009A3DA9">
      <w:pPr>
        <w:spacing w:after="0"/>
        <w:jc w:val="both"/>
        <w:rPr>
          <w:rFonts w:eastAsia="Times New Roman" w:cs="Arial"/>
          <w:color w:val="000000" w:themeColor="text1"/>
          <w:spacing w:val="-3"/>
          <w:szCs w:val="24"/>
          <w:lang w:val="es-ES" w:eastAsia="es-ES"/>
        </w:rPr>
      </w:pPr>
      <w:r w:rsidRPr="009A3DA9">
        <w:rPr>
          <w:rFonts w:eastAsia="Times New Roman" w:cs="Arial"/>
          <w:color w:val="000000" w:themeColor="text1"/>
          <w:spacing w:val="-3"/>
          <w:szCs w:val="24"/>
          <w:lang w:val="es-ES" w:eastAsia="es-ES"/>
        </w:rPr>
        <w:t>Mediante la Resolución CREG 114 de 2011 se establecieron los cargos regulados para el sistema de transporte de Transmetano</w:t>
      </w:r>
      <w:r w:rsidR="00AD1CF5">
        <w:rPr>
          <w:rFonts w:eastAsia="Times New Roman" w:cs="Arial"/>
          <w:color w:val="000000" w:themeColor="text1"/>
          <w:spacing w:val="-3"/>
          <w:szCs w:val="24"/>
          <w:lang w:val="es-ES" w:eastAsia="es-ES"/>
        </w:rPr>
        <w:t xml:space="preserve"> </w:t>
      </w:r>
      <w:r w:rsidR="00AD1CF5" w:rsidRPr="00676D84">
        <w:rPr>
          <w:rFonts w:eastAsia="Times New Roman" w:cs="Times New Roman"/>
          <w:szCs w:val="24"/>
          <w:lang w:val="es-ES" w:eastAsia="es-ES"/>
        </w:rPr>
        <w:t>E.S.P. S.A</w:t>
      </w:r>
      <w:r w:rsidR="00E74779">
        <w:rPr>
          <w:rFonts w:eastAsia="Times New Roman" w:cs="Times New Roman"/>
          <w:szCs w:val="24"/>
          <w:lang w:val="es-ES" w:eastAsia="es-ES"/>
        </w:rPr>
        <w:t>.</w:t>
      </w:r>
      <w:r w:rsidRPr="009A3DA9">
        <w:rPr>
          <w:rFonts w:eastAsia="Times New Roman" w:cs="Arial"/>
          <w:color w:val="000000" w:themeColor="text1"/>
          <w:spacing w:val="-3"/>
          <w:szCs w:val="24"/>
          <w:lang w:val="es-ES" w:eastAsia="es-ES"/>
        </w:rPr>
        <w:t>,</w:t>
      </w:r>
      <w:r w:rsidR="00B07561">
        <w:rPr>
          <w:rFonts w:eastAsia="Times New Roman" w:cs="Arial"/>
          <w:color w:val="000000" w:themeColor="text1"/>
          <w:spacing w:val="-3"/>
          <w:szCs w:val="24"/>
          <w:lang w:val="es-ES" w:eastAsia="es-ES"/>
        </w:rPr>
        <w:t xml:space="preserve"> en adelante </w:t>
      </w:r>
      <w:r w:rsidR="00B07561">
        <w:rPr>
          <w:rFonts w:eastAsia="Times New Roman" w:cs="Arial"/>
          <w:color w:val="000000" w:themeColor="text1"/>
          <w:spacing w:val="-3"/>
          <w:szCs w:val="24"/>
          <w:lang w:val="es-ES" w:eastAsia="es-ES"/>
        </w:rPr>
        <w:lastRenderedPageBreak/>
        <w:t>Transmetano,</w:t>
      </w:r>
      <w:r w:rsidRPr="009A3DA9">
        <w:rPr>
          <w:rFonts w:eastAsia="Times New Roman" w:cs="Arial"/>
          <w:color w:val="000000" w:themeColor="text1"/>
          <w:spacing w:val="-3"/>
          <w:szCs w:val="24"/>
          <w:lang w:val="es-ES" w:eastAsia="es-ES"/>
        </w:rPr>
        <w:t xml:space="preserve"> de acuerdo con los criterios previstos en la Resolución CREG 126 de 2010. </w:t>
      </w:r>
    </w:p>
    <w:p w14:paraId="06851CF4" w14:textId="77777777" w:rsidR="00F45C57" w:rsidRDefault="00F45C57" w:rsidP="009A3DA9">
      <w:pPr>
        <w:spacing w:after="0"/>
        <w:jc w:val="both"/>
        <w:rPr>
          <w:rFonts w:eastAsia="Times New Roman" w:cs="Arial"/>
          <w:color w:val="000000" w:themeColor="text1"/>
          <w:spacing w:val="-3"/>
          <w:szCs w:val="24"/>
          <w:lang w:val="es-ES" w:eastAsia="es-ES"/>
        </w:rPr>
      </w:pPr>
    </w:p>
    <w:p w14:paraId="66F573D3" w14:textId="6001A2F4" w:rsidR="005B67E6" w:rsidRDefault="00F45C57" w:rsidP="005B67E6">
      <w:pPr>
        <w:spacing w:after="0"/>
        <w:jc w:val="both"/>
        <w:rPr>
          <w:rFonts w:eastAsia="Times New Roman" w:cs="Arial"/>
          <w:color w:val="000000" w:themeColor="text1"/>
          <w:spacing w:val="-3"/>
          <w:szCs w:val="24"/>
          <w:lang w:val="es-ES" w:eastAsia="es-ES"/>
        </w:rPr>
      </w:pPr>
      <w:r>
        <w:rPr>
          <w:rFonts w:eastAsia="Times New Roman" w:cs="Arial"/>
          <w:color w:val="000000" w:themeColor="text1"/>
          <w:spacing w:val="-3"/>
          <w:szCs w:val="24"/>
          <w:lang w:val="es-ES" w:eastAsia="es-ES"/>
        </w:rPr>
        <w:t xml:space="preserve">Los </w:t>
      </w:r>
      <w:r w:rsidR="009A3DA9" w:rsidRPr="009A3DA9">
        <w:rPr>
          <w:rFonts w:eastAsia="Times New Roman" w:cs="Arial"/>
          <w:color w:val="000000" w:themeColor="text1"/>
          <w:spacing w:val="-3"/>
          <w:szCs w:val="24"/>
          <w:lang w:val="es-ES" w:eastAsia="es-ES"/>
        </w:rPr>
        <w:t xml:space="preserve">cargos </w:t>
      </w:r>
      <w:r w:rsidRPr="009A3DA9">
        <w:rPr>
          <w:rFonts w:eastAsia="Times New Roman" w:cs="Arial"/>
          <w:color w:val="000000" w:themeColor="text1"/>
          <w:spacing w:val="-3"/>
          <w:szCs w:val="24"/>
          <w:lang w:val="es-ES" w:eastAsia="es-ES"/>
        </w:rPr>
        <w:t xml:space="preserve">regulados para el sistema de transporte de Transmetano </w:t>
      </w:r>
      <w:r w:rsidR="009A3DA9" w:rsidRPr="009A3DA9">
        <w:rPr>
          <w:rFonts w:eastAsia="Times New Roman" w:cs="Arial"/>
          <w:color w:val="000000" w:themeColor="text1"/>
          <w:spacing w:val="-3"/>
          <w:szCs w:val="24"/>
          <w:lang w:val="es-ES" w:eastAsia="es-ES"/>
        </w:rPr>
        <w:t>fueron ajustados mediante la</w:t>
      </w:r>
      <w:r w:rsidR="00E21168">
        <w:rPr>
          <w:rFonts w:eastAsia="Times New Roman" w:cs="Arial"/>
          <w:color w:val="000000" w:themeColor="text1"/>
          <w:spacing w:val="-3"/>
          <w:szCs w:val="24"/>
          <w:lang w:val="es-ES" w:eastAsia="es-ES"/>
        </w:rPr>
        <w:t>s</w:t>
      </w:r>
      <w:r w:rsidR="009A3DA9" w:rsidRPr="009A3DA9">
        <w:rPr>
          <w:rFonts w:eastAsia="Times New Roman" w:cs="Arial"/>
          <w:color w:val="000000" w:themeColor="text1"/>
          <w:spacing w:val="-3"/>
          <w:szCs w:val="24"/>
          <w:lang w:val="es-ES" w:eastAsia="es-ES"/>
        </w:rPr>
        <w:t xml:space="preserve"> </w:t>
      </w:r>
      <w:r w:rsidR="00E21168">
        <w:rPr>
          <w:rFonts w:eastAsia="Times New Roman" w:cs="Arial"/>
          <w:color w:val="000000" w:themeColor="text1"/>
          <w:spacing w:val="-3"/>
          <w:szCs w:val="24"/>
          <w:lang w:val="es-ES" w:eastAsia="es-ES"/>
        </w:rPr>
        <w:t>r</w:t>
      </w:r>
      <w:r w:rsidR="00E21168" w:rsidRPr="009A3DA9">
        <w:rPr>
          <w:rFonts w:eastAsia="Times New Roman" w:cs="Arial"/>
          <w:color w:val="000000" w:themeColor="text1"/>
          <w:spacing w:val="-3"/>
          <w:szCs w:val="24"/>
          <w:lang w:val="es-ES" w:eastAsia="es-ES"/>
        </w:rPr>
        <w:t>esolucion</w:t>
      </w:r>
      <w:r w:rsidR="00E21168">
        <w:rPr>
          <w:rFonts w:eastAsia="Times New Roman" w:cs="Arial"/>
          <w:color w:val="000000" w:themeColor="text1"/>
          <w:spacing w:val="-3"/>
          <w:szCs w:val="24"/>
          <w:lang w:val="es-ES" w:eastAsia="es-ES"/>
        </w:rPr>
        <w:t>es</w:t>
      </w:r>
      <w:r w:rsidR="009A3DA9" w:rsidRPr="009A3DA9">
        <w:rPr>
          <w:rFonts w:eastAsia="Times New Roman" w:cs="Arial"/>
          <w:color w:val="000000" w:themeColor="text1"/>
          <w:spacing w:val="-3"/>
          <w:szCs w:val="24"/>
          <w:lang w:val="es-ES" w:eastAsia="es-ES"/>
        </w:rPr>
        <w:t xml:space="preserve"> CREG 041 de 2015 </w:t>
      </w:r>
      <w:r w:rsidR="00E21168">
        <w:rPr>
          <w:rFonts w:eastAsia="Times New Roman" w:cs="Arial"/>
          <w:color w:val="000000" w:themeColor="text1"/>
          <w:spacing w:val="-3"/>
          <w:szCs w:val="24"/>
          <w:lang w:val="es-ES" w:eastAsia="es-ES"/>
        </w:rPr>
        <w:t xml:space="preserve">y </w:t>
      </w:r>
      <w:r w:rsidR="005B67E6">
        <w:rPr>
          <w:rFonts w:eastAsia="Times New Roman" w:cs="Arial"/>
          <w:color w:val="000000" w:themeColor="text1"/>
          <w:spacing w:val="-3"/>
          <w:szCs w:val="24"/>
          <w:lang w:val="es-ES" w:eastAsia="es-ES"/>
        </w:rPr>
        <w:t>092 de 2015</w:t>
      </w:r>
      <w:r w:rsidR="00E21168">
        <w:rPr>
          <w:rFonts w:eastAsia="Times New Roman" w:cs="Arial"/>
          <w:color w:val="000000" w:themeColor="text1"/>
          <w:spacing w:val="-3"/>
          <w:szCs w:val="24"/>
          <w:lang w:val="es-ES" w:eastAsia="es-ES"/>
        </w:rPr>
        <w:t>.</w:t>
      </w:r>
    </w:p>
    <w:p w14:paraId="4AD1D593" w14:textId="77777777" w:rsidR="002A32A0" w:rsidRPr="005B67E6" w:rsidRDefault="002A32A0" w:rsidP="005B67E6">
      <w:pPr>
        <w:spacing w:after="0"/>
        <w:jc w:val="both"/>
        <w:rPr>
          <w:rFonts w:eastAsia="Times New Roman" w:cs="Arial"/>
          <w:color w:val="000000" w:themeColor="text1"/>
          <w:spacing w:val="-3"/>
          <w:szCs w:val="24"/>
          <w:lang w:val="es-ES" w:eastAsia="es-ES"/>
        </w:rPr>
      </w:pPr>
    </w:p>
    <w:p w14:paraId="1A95197E" w14:textId="626D1A80" w:rsidR="00955B3D" w:rsidRPr="00635C05" w:rsidRDefault="00F1553A" w:rsidP="005C3305">
      <w:pPr>
        <w:pStyle w:val="Textoindependiente2"/>
        <w:spacing w:after="0" w:line="240" w:lineRule="auto"/>
        <w:ind w:left="0"/>
        <w:jc w:val="both"/>
        <w:rPr>
          <w:rFonts w:ascii="Bookman Old Style" w:hAnsi="Bookman Old Style"/>
        </w:rPr>
      </w:pPr>
      <w:r w:rsidRPr="00F1553A">
        <w:rPr>
          <w:rFonts w:ascii="Bookman Old Style" w:hAnsi="Bookman Old Style" w:cs="Arial"/>
          <w:color w:val="000000" w:themeColor="text1"/>
          <w:spacing w:val="-3"/>
        </w:rPr>
        <w:t xml:space="preserve">Transmetano radicó recurso de reposición parcial en contra </w:t>
      </w:r>
      <w:r w:rsidR="00902D93">
        <w:rPr>
          <w:rFonts w:ascii="Bookman Old Style" w:hAnsi="Bookman Old Style" w:cs="Arial"/>
          <w:color w:val="000000" w:themeColor="text1"/>
          <w:spacing w:val="-3"/>
        </w:rPr>
        <w:t xml:space="preserve">de </w:t>
      </w:r>
      <w:r w:rsidRPr="00F1553A">
        <w:rPr>
          <w:rFonts w:ascii="Bookman Old Style" w:hAnsi="Bookman Old Style" w:cs="Arial"/>
          <w:color w:val="000000" w:themeColor="text1"/>
          <w:spacing w:val="-3"/>
        </w:rPr>
        <w:t>la Resolución CREG 092 de 2015</w:t>
      </w:r>
      <w:r w:rsidR="00902D93">
        <w:rPr>
          <w:rFonts w:ascii="Bookman Old Style" w:hAnsi="Bookman Old Style" w:cs="Arial"/>
          <w:color w:val="000000" w:themeColor="text1"/>
          <w:spacing w:val="-3"/>
        </w:rPr>
        <w:t>, el cual se resolvió</w:t>
      </w:r>
      <w:r w:rsidR="0051038E">
        <w:rPr>
          <w:rFonts w:ascii="Bookman Old Style" w:hAnsi="Bookman Old Style"/>
        </w:rPr>
        <w:t xml:space="preserve"> mediante la Resolución CREG 167 de 2015</w:t>
      </w:r>
      <w:r w:rsidR="00955B3D">
        <w:rPr>
          <w:rFonts w:ascii="Bookman Old Style" w:hAnsi="Bookman Old Style"/>
        </w:rPr>
        <w:t>.</w:t>
      </w:r>
    </w:p>
    <w:p w14:paraId="64FFB543" w14:textId="77777777" w:rsidR="00955B3D" w:rsidRDefault="00955B3D" w:rsidP="00172CDF">
      <w:pPr>
        <w:ind w:left="-142" w:right="-142"/>
        <w:rPr>
          <w:rFonts w:cs="Arial"/>
          <w:snapToGrid w:val="0"/>
        </w:rPr>
      </w:pPr>
    </w:p>
    <w:p w14:paraId="429622B5" w14:textId="7C4832AC" w:rsidR="009A3DA9" w:rsidRDefault="00172CDF" w:rsidP="007F77DE">
      <w:pPr>
        <w:jc w:val="both"/>
        <w:rPr>
          <w:rFonts w:eastAsia="Times New Roman" w:cs="Arial"/>
          <w:color w:val="000000" w:themeColor="text1"/>
          <w:spacing w:val="-3"/>
          <w:szCs w:val="24"/>
          <w:lang w:val="es-ES" w:eastAsia="es-ES"/>
        </w:rPr>
      </w:pPr>
      <w:r w:rsidRPr="00172CDF">
        <w:rPr>
          <w:rFonts w:eastAsia="Times New Roman" w:cs="Arial"/>
          <w:color w:val="000000" w:themeColor="text1"/>
          <w:spacing w:val="-3"/>
          <w:szCs w:val="24"/>
          <w:lang w:val="es-ES" w:eastAsia="es-ES"/>
        </w:rPr>
        <w:t xml:space="preserve">La empresa Transmetano, mediante la comunicación </w:t>
      </w:r>
      <w:r w:rsidR="00982158">
        <w:rPr>
          <w:rFonts w:eastAsia="Times New Roman" w:cs="Arial"/>
          <w:color w:val="000000" w:themeColor="text1"/>
          <w:spacing w:val="-3"/>
          <w:szCs w:val="24"/>
          <w:lang w:val="es-ES" w:eastAsia="es-ES"/>
        </w:rPr>
        <w:t xml:space="preserve">con radicado CREG </w:t>
      </w:r>
      <w:r w:rsidRPr="00172CDF">
        <w:rPr>
          <w:rFonts w:eastAsia="Times New Roman" w:cs="Arial"/>
          <w:color w:val="000000" w:themeColor="text1"/>
          <w:spacing w:val="-3"/>
          <w:szCs w:val="24"/>
          <w:lang w:val="es-ES" w:eastAsia="es-ES"/>
        </w:rPr>
        <w:t xml:space="preserve">E-2016-012930, solicitó el inicio de la actuación administrativa para el gasoducto </w:t>
      </w:r>
      <w:r>
        <w:rPr>
          <w:rFonts w:eastAsia="Times New Roman" w:cs="Arial"/>
          <w:color w:val="000000" w:themeColor="text1"/>
          <w:spacing w:val="-3"/>
          <w:szCs w:val="24"/>
          <w:lang w:val="es-ES" w:eastAsia="es-ES"/>
        </w:rPr>
        <w:t>Sebastopol – Medellín</w:t>
      </w:r>
      <w:r w:rsidRPr="00172CDF">
        <w:rPr>
          <w:rFonts w:eastAsia="Times New Roman" w:cs="Arial"/>
          <w:color w:val="000000" w:themeColor="text1"/>
          <w:spacing w:val="-3"/>
          <w:szCs w:val="24"/>
          <w:lang w:val="es-ES" w:eastAsia="es-ES"/>
        </w:rPr>
        <w:t xml:space="preserve">, con el objeto de reconocer el valor </w:t>
      </w:r>
      <w:r>
        <w:rPr>
          <w:rFonts w:eastAsia="Times New Roman" w:cs="Arial"/>
          <w:color w:val="000000" w:themeColor="text1"/>
          <w:spacing w:val="-3"/>
          <w:szCs w:val="24"/>
          <w:lang w:val="es-ES" w:eastAsia="es-ES"/>
        </w:rPr>
        <w:t>del activo</w:t>
      </w:r>
      <w:r w:rsidRPr="00172CDF">
        <w:rPr>
          <w:rFonts w:eastAsia="Times New Roman" w:cs="Arial"/>
          <w:color w:val="000000" w:themeColor="text1"/>
          <w:spacing w:val="-3"/>
          <w:szCs w:val="24"/>
          <w:lang w:val="es-ES" w:eastAsia="es-ES"/>
        </w:rPr>
        <w:t xml:space="preserve"> </w:t>
      </w:r>
      <w:r w:rsidR="007F77DE">
        <w:rPr>
          <w:rFonts w:eastAsia="Times New Roman" w:cs="Arial"/>
          <w:color w:val="000000" w:themeColor="text1"/>
          <w:spacing w:val="-3"/>
          <w:szCs w:val="24"/>
          <w:lang w:val="es-ES" w:eastAsia="es-ES"/>
        </w:rPr>
        <w:t>por cumplimiento de Vida Útil Normativa, VUN.</w:t>
      </w:r>
    </w:p>
    <w:p w14:paraId="66C86C55" w14:textId="77777777" w:rsidR="008B1913" w:rsidRDefault="008B1913" w:rsidP="007F77DE">
      <w:pPr>
        <w:jc w:val="both"/>
        <w:rPr>
          <w:rFonts w:eastAsia="Times New Roman" w:cs="Arial"/>
          <w:color w:val="000000" w:themeColor="text1"/>
          <w:spacing w:val="-3"/>
          <w:szCs w:val="24"/>
          <w:lang w:val="es-ES" w:eastAsia="es-ES"/>
        </w:rPr>
      </w:pPr>
    </w:p>
    <w:p w14:paraId="0F12AEA0" w14:textId="25131856" w:rsidR="009A3DA9" w:rsidRDefault="000C1AB2" w:rsidP="00D60139">
      <w:pPr>
        <w:spacing w:after="0"/>
        <w:jc w:val="both"/>
        <w:rPr>
          <w:rFonts w:eastAsia="Times New Roman" w:cs="Arial"/>
          <w:color w:val="000000" w:themeColor="text1"/>
          <w:spacing w:val="-3"/>
          <w:szCs w:val="24"/>
          <w:lang w:val="es-ES" w:eastAsia="es-ES"/>
        </w:rPr>
      </w:pPr>
      <w:r w:rsidRPr="000C1AB2">
        <w:rPr>
          <w:rFonts w:eastAsia="Times New Roman" w:cs="Arial"/>
          <w:color w:val="000000" w:themeColor="text1"/>
          <w:spacing w:val="-3"/>
          <w:szCs w:val="24"/>
          <w:lang w:val="es-ES" w:eastAsia="es-ES"/>
        </w:rPr>
        <w:t xml:space="preserve">Mediante la Resolución CREG </w:t>
      </w:r>
      <w:r>
        <w:rPr>
          <w:rFonts w:eastAsia="Times New Roman" w:cs="Arial"/>
          <w:color w:val="000000" w:themeColor="text1"/>
          <w:spacing w:val="-3"/>
          <w:szCs w:val="24"/>
          <w:lang w:val="es-ES" w:eastAsia="es-ES"/>
        </w:rPr>
        <w:t>100</w:t>
      </w:r>
      <w:r w:rsidRPr="000C1AB2">
        <w:rPr>
          <w:rFonts w:eastAsia="Times New Roman" w:cs="Arial"/>
          <w:color w:val="000000" w:themeColor="text1"/>
          <w:spacing w:val="-3"/>
          <w:szCs w:val="24"/>
          <w:lang w:val="es-ES" w:eastAsia="es-ES"/>
        </w:rPr>
        <w:t xml:space="preserve"> de 2021 la Comisión resolvió la solicitud hecha por la empresa </w:t>
      </w:r>
      <w:r>
        <w:rPr>
          <w:rFonts w:eastAsia="Times New Roman" w:cs="Arial"/>
          <w:color w:val="000000" w:themeColor="text1"/>
          <w:spacing w:val="-3"/>
          <w:szCs w:val="24"/>
          <w:lang w:val="es-ES" w:eastAsia="es-ES"/>
        </w:rPr>
        <w:t>Transmetano</w:t>
      </w:r>
      <w:r w:rsidR="0009371C">
        <w:rPr>
          <w:rFonts w:eastAsia="Times New Roman" w:cs="Arial"/>
          <w:color w:val="000000" w:themeColor="text1"/>
          <w:spacing w:val="-3"/>
          <w:szCs w:val="24"/>
          <w:lang w:val="es-ES" w:eastAsia="es-ES"/>
        </w:rPr>
        <w:t>,</w:t>
      </w:r>
      <w:r w:rsidRPr="000C1AB2">
        <w:rPr>
          <w:rFonts w:eastAsia="Times New Roman" w:cs="Arial"/>
          <w:color w:val="000000" w:themeColor="text1"/>
          <w:spacing w:val="-3"/>
          <w:szCs w:val="24"/>
          <w:lang w:val="es-ES" w:eastAsia="es-ES"/>
        </w:rPr>
        <w:t xml:space="preserve"> con el fin de aplicar el artículo 14 de la Resolución CREG 126 de 2010 para el gasoducto </w:t>
      </w:r>
      <w:r>
        <w:rPr>
          <w:rFonts w:eastAsia="Times New Roman" w:cs="Arial"/>
          <w:color w:val="000000" w:themeColor="text1"/>
          <w:spacing w:val="-3"/>
          <w:szCs w:val="24"/>
          <w:lang w:val="es-ES" w:eastAsia="es-ES"/>
        </w:rPr>
        <w:t>Sebastopol - Medellín</w:t>
      </w:r>
      <w:r w:rsidRPr="000C1AB2">
        <w:rPr>
          <w:rFonts w:eastAsia="Times New Roman" w:cs="Arial"/>
          <w:color w:val="000000" w:themeColor="text1"/>
          <w:spacing w:val="-3"/>
          <w:szCs w:val="24"/>
          <w:lang w:val="es-ES" w:eastAsia="es-ES"/>
        </w:rPr>
        <w:t>.</w:t>
      </w:r>
    </w:p>
    <w:p w14:paraId="595F9279" w14:textId="4B20BCF4" w:rsidR="009A3DA9" w:rsidRDefault="009A3DA9" w:rsidP="00D60139">
      <w:pPr>
        <w:spacing w:after="0"/>
        <w:jc w:val="both"/>
        <w:rPr>
          <w:rFonts w:eastAsia="Times New Roman" w:cs="Arial"/>
          <w:color w:val="000000" w:themeColor="text1"/>
          <w:spacing w:val="-3"/>
          <w:szCs w:val="24"/>
          <w:lang w:val="es-ES" w:eastAsia="es-ES"/>
        </w:rPr>
      </w:pPr>
    </w:p>
    <w:p w14:paraId="6077DEA0" w14:textId="323D0EEA" w:rsidR="004215EC" w:rsidRDefault="003F47CE" w:rsidP="003F47CE">
      <w:pPr>
        <w:spacing w:after="0"/>
        <w:jc w:val="both"/>
        <w:rPr>
          <w:rFonts w:eastAsia="Times New Roman" w:cs="Arial"/>
          <w:color w:val="000000" w:themeColor="text1"/>
          <w:spacing w:val="-3"/>
          <w:szCs w:val="24"/>
          <w:lang w:val="es-ES" w:eastAsia="es-ES"/>
        </w:rPr>
      </w:pPr>
      <w:r w:rsidRPr="003F47CE">
        <w:rPr>
          <w:rFonts w:eastAsia="Times New Roman" w:cs="Arial"/>
          <w:color w:val="000000" w:themeColor="text1"/>
          <w:spacing w:val="-3"/>
          <w:szCs w:val="24"/>
          <w:lang w:val="es-ES" w:eastAsia="es-ES"/>
        </w:rPr>
        <w:t>Conforme a lo establecido en el artículo 14 de la Resolución CREG 126 de 2010</w:t>
      </w:r>
      <w:r w:rsidR="00E74779">
        <w:rPr>
          <w:rFonts w:eastAsia="Times New Roman" w:cs="Arial"/>
          <w:color w:val="000000" w:themeColor="text1"/>
          <w:spacing w:val="-3"/>
          <w:szCs w:val="24"/>
          <w:lang w:val="es-ES" w:eastAsia="es-ES"/>
        </w:rPr>
        <w:t>,</w:t>
      </w:r>
      <w:r w:rsidR="00F24420">
        <w:rPr>
          <w:rFonts w:eastAsia="Times New Roman" w:cs="Arial"/>
          <w:color w:val="000000" w:themeColor="text1"/>
          <w:spacing w:val="-3"/>
          <w:szCs w:val="24"/>
          <w:lang w:val="es-ES" w:eastAsia="es-ES"/>
        </w:rPr>
        <w:t xml:space="preserve"> Transmetano</w:t>
      </w:r>
      <w:r w:rsidR="00E74779">
        <w:rPr>
          <w:rFonts w:eastAsia="Times New Roman" w:cs="Arial"/>
          <w:color w:val="000000" w:themeColor="text1"/>
          <w:spacing w:val="-3"/>
          <w:szCs w:val="24"/>
          <w:lang w:val="es-ES" w:eastAsia="es-ES"/>
        </w:rPr>
        <w:t>,</w:t>
      </w:r>
      <w:r w:rsidRPr="003F47CE">
        <w:rPr>
          <w:rFonts w:eastAsia="Times New Roman" w:cs="Arial"/>
          <w:color w:val="000000" w:themeColor="text1"/>
          <w:spacing w:val="-3"/>
          <w:szCs w:val="24"/>
          <w:lang w:val="es-ES" w:eastAsia="es-ES"/>
        </w:rPr>
        <w:t xml:space="preserve"> mediante la </w:t>
      </w:r>
      <w:r w:rsidR="002A1901" w:rsidRPr="003F47CE">
        <w:rPr>
          <w:rFonts w:eastAsia="Times New Roman" w:cs="Arial"/>
          <w:color w:val="000000" w:themeColor="text1"/>
          <w:spacing w:val="-3"/>
          <w:szCs w:val="24"/>
          <w:lang w:val="es-ES" w:eastAsia="es-ES"/>
        </w:rPr>
        <w:t>comunicación</w:t>
      </w:r>
      <w:r w:rsidR="002A1901">
        <w:rPr>
          <w:rFonts w:eastAsia="Times New Roman" w:cs="Arial"/>
          <w:color w:val="000000" w:themeColor="text1"/>
          <w:spacing w:val="-3"/>
          <w:szCs w:val="24"/>
          <w:lang w:val="es-ES" w:eastAsia="es-ES"/>
        </w:rPr>
        <w:t xml:space="preserve"> 3.0</w:t>
      </w:r>
      <w:r w:rsidR="005755B4">
        <w:rPr>
          <w:rFonts w:eastAsia="Times New Roman" w:cs="Arial"/>
          <w:color w:val="000000" w:themeColor="text1"/>
          <w:spacing w:val="-3"/>
          <w:szCs w:val="24"/>
          <w:lang w:val="es-ES" w:eastAsia="es-ES"/>
        </w:rPr>
        <w:t xml:space="preserve"> </w:t>
      </w:r>
      <w:r w:rsidR="005755B4" w:rsidRPr="005755B4">
        <w:rPr>
          <w:rFonts w:eastAsia="Times New Roman" w:cs="Arial"/>
          <w:color w:val="000000" w:themeColor="text1"/>
          <w:spacing w:val="-3"/>
          <w:szCs w:val="24"/>
          <w:lang w:val="es-ES" w:eastAsia="es-ES"/>
        </w:rPr>
        <w:t>- BAR006928</w:t>
      </w:r>
      <w:r w:rsidRPr="003F47CE">
        <w:rPr>
          <w:rFonts w:eastAsia="Times New Roman" w:cs="Arial"/>
          <w:color w:val="000000" w:themeColor="text1"/>
          <w:spacing w:val="-3"/>
          <w:szCs w:val="24"/>
          <w:lang w:val="es-ES" w:eastAsia="es-ES"/>
        </w:rPr>
        <w:t xml:space="preserve"> </w:t>
      </w:r>
      <w:r w:rsidR="00F24420">
        <w:rPr>
          <w:rFonts w:eastAsia="Times New Roman" w:cs="Arial"/>
          <w:color w:val="000000" w:themeColor="text1"/>
          <w:spacing w:val="-3"/>
          <w:szCs w:val="24"/>
          <w:lang w:val="es-ES" w:eastAsia="es-ES"/>
        </w:rPr>
        <w:t xml:space="preserve">con radicado CREG </w:t>
      </w:r>
      <w:r w:rsidRPr="003F47CE">
        <w:rPr>
          <w:rFonts w:eastAsia="Times New Roman" w:cs="Arial"/>
          <w:color w:val="000000" w:themeColor="text1"/>
          <w:spacing w:val="-3"/>
          <w:szCs w:val="24"/>
          <w:lang w:val="es-ES" w:eastAsia="es-ES"/>
        </w:rPr>
        <w:t>E-2021-012</w:t>
      </w:r>
      <w:r w:rsidR="004215EC">
        <w:rPr>
          <w:rFonts w:eastAsia="Times New Roman" w:cs="Arial"/>
          <w:color w:val="000000" w:themeColor="text1"/>
          <w:spacing w:val="-3"/>
          <w:szCs w:val="24"/>
          <w:lang w:val="es-ES" w:eastAsia="es-ES"/>
        </w:rPr>
        <w:t>38</w:t>
      </w:r>
      <w:r w:rsidR="002B7CF8">
        <w:rPr>
          <w:rFonts w:eastAsia="Times New Roman" w:cs="Arial"/>
          <w:color w:val="000000" w:themeColor="text1"/>
          <w:spacing w:val="-3"/>
          <w:szCs w:val="24"/>
          <w:lang w:val="es-ES" w:eastAsia="es-ES"/>
        </w:rPr>
        <w:t xml:space="preserve">5 y </w:t>
      </w:r>
      <w:r w:rsidR="002B7CF8" w:rsidRPr="003F47CE">
        <w:rPr>
          <w:rFonts w:eastAsia="Times New Roman" w:cs="Arial"/>
          <w:color w:val="000000" w:themeColor="text1"/>
          <w:spacing w:val="-3"/>
          <w:szCs w:val="24"/>
          <w:lang w:val="es-ES" w:eastAsia="es-ES"/>
        </w:rPr>
        <w:t>E-2021-012</w:t>
      </w:r>
      <w:r w:rsidR="002B7CF8">
        <w:rPr>
          <w:rFonts w:eastAsia="Times New Roman" w:cs="Arial"/>
          <w:color w:val="000000" w:themeColor="text1"/>
          <w:spacing w:val="-3"/>
          <w:szCs w:val="24"/>
          <w:lang w:val="es-ES" w:eastAsia="es-ES"/>
        </w:rPr>
        <w:t>386</w:t>
      </w:r>
      <w:r w:rsidRPr="003F47CE">
        <w:rPr>
          <w:rFonts w:eastAsia="Times New Roman" w:cs="Arial"/>
          <w:color w:val="000000" w:themeColor="text1"/>
          <w:spacing w:val="-3"/>
          <w:szCs w:val="24"/>
          <w:lang w:val="es-ES" w:eastAsia="es-ES"/>
        </w:rPr>
        <w:t xml:space="preserve">, declaró a la CREG su decisión de </w:t>
      </w:r>
      <w:r w:rsidR="005755B4">
        <w:rPr>
          <w:rFonts w:eastAsia="Times New Roman" w:cs="Arial"/>
          <w:color w:val="000000" w:themeColor="text1"/>
          <w:spacing w:val="-3"/>
          <w:szCs w:val="24"/>
          <w:lang w:val="es-ES" w:eastAsia="es-ES"/>
        </w:rPr>
        <w:t>continuar operan</w:t>
      </w:r>
      <w:r w:rsidR="002A1901">
        <w:rPr>
          <w:rFonts w:eastAsia="Times New Roman" w:cs="Arial"/>
          <w:color w:val="000000" w:themeColor="text1"/>
          <w:spacing w:val="-3"/>
          <w:szCs w:val="24"/>
          <w:lang w:val="es-ES" w:eastAsia="es-ES"/>
        </w:rPr>
        <w:t>do</w:t>
      </w:r>
      <w:r w:rsidRPr="003F47CE">
        <w:rPr>
          <w:rFonts w:eastAsia="Times New Roman" w:cs="Arial"/>
          <w:color w:val="000000" w:themeColor="text1"/>
          <w:spacing w:val="-3"/>
          <w:szCs w:val="24"/>
          <w:lang w:val="es-ES" w:eastAsia="es-ES"/>
        </w:rPr>
        <w:t xml:space="preserve"> </w:t>
      </w:r>
      <w:r w:rsidR="00E74779">
        <w:rPr>
          <w:rFonts w:eastAsia="Times New Roman" w:cs="Arial"/>
          <w:color w:val="000000" w:themeColor="text1"/>
          <w:spacing w:val="-3"/>
          <w:szCs w:val="24"/>
          <w:lang w:val="es-ES" w:eastAsia="es-ES"/>
        </w:rPr>
        <w:t xml:space="preserve">el </w:t>
      </w:r>
      <w:r w:rsidRPr="003F47CE">
        <w:rPr>
          <w:rFonts w:eastAsia="Times New Roman" w:cs="Arial"/>
          <w:color w:val="000000" w:themeColor="text1"/>
          <w:spacing w:val="-3"/>
          <w:szCs w:val="24"/>
          <w:lang w:val="es-ES" w:eastAsia="es-ES"/>
        </w:rPr>
        <w:t xml:space="preserve">gasoducto </w:t>
      </w:r>
      <w:r w:rsidR="004215EC">
        <w:rPr>
          <w:rFonts w:eastAsia="Times New Roman" w:cs="Arial"/>
          <w:color w:val="000000" w:themeColor="text1"/>
          <w:spacing w:val="-3"/>
          <w:szCs w:val="24"/>
          <w:lang w:val="es-ES" w:eastAsia="es-ES"/>
        </w:rPr>
        <w:t xml:space="preserve">Sebastopol </w:t>
      </w:r>
      <w:r w:rsidR="002A1901">
        <w:rPr>
          <w:rFonts w:eastAsia="Times New Roman" w:cs="Arial"/>
          <w:color w:val="000000" w:themeColor="text1"/>
          <w:spacing w:val="-3"/>
          <w:szCs w:val="24"/>
          <w:lang w:val="es-ES" w:eastAsia="es-ES"/>
        </w:rPr>
        <w:t>–</w:t>
      </w:r>
      <w:r w:rsidR="004215EC">
        <w:rPr>
          <w:rFonts w:eastAsia="Times New Roman" w:cs="Arial"/>
          <w:color w:val="000000" w:themeColor="text1"/>
          <w:spacing w:val="-3"/>
          <w:szCs w:val="24"/>
          <w:lang w:val="es-ES" w:eastAsia="es-ES"/>
        </w:rPr>
        <w:t xml:space="preserve"> Medellín</w:t>
      </w:r>
      <w:r w:rsidR="002A1901">
        <w:rPr>
          <w:rFonts w:eastAsia="Times New Roman" w:cs="Arial"/>
          <w:color w:val="000000" w:themeColor="text1"/>
          <w:spacing w:val="-3"/>
          <w:szCs w:val="24"/>
          <w:lang w:val="es-ES" w:eastAsia="es-ES"/>
        </w:rPr>
        <w:t xml:space="preserve">, </w:t>
      </w:r>
      <w:r w:rsidRPr="003F47CE">
        <w:rPr>
          <w:rFonts w:eastAsia="Times New Roman" w:cs="Arial"/>
          <w:color w:val="000000" w:themeColor="text1"/>
          <w:spacing w:val="-3"/>
          <w:szCs w:val="24"/>
          <w:lang w:val="es-ES" w:eastAsia="es-ES"/>
        </w:rPr>
        <w:t xml:space="preserve">que fue objeto de estimación del </w:t>
      </w:r>
      <w:r w:rsidR="002A1901">
        <w:rPr>
          <w:rFonts w:eastAsia="Times New Roman" w:cs="Arial"/>
          <w:color w:val="000000" w:themeColor="text1"/>
          <w:spacing w:val="-3"/>
          <w:szCs w:val="24"/>
          <w:lang w:val="es-ES" w:eastAsia="es-ES"/>
        </w:rPr>
        <w:t>valor</w:t>
      </w:r>
      <w:r w:rsidRPr="003F47CE">
        <w:rPr>
          <w:rFonts w:eastAsia="Times New Roman" w:cs="Arial"/>
          <w:color w:val="000000" w:themeColor="text1"/>
          <w:spacing w:val="-3"/>
          <w:szCs w:val="24"/>
          <w:lang w:val="es-ES" w:eastAsia="es-ES"/>
        </w:rPr>
        <w:t xml:space="preserve"> de reposición a nuevo, VRAN, en la Resolución CREG </w:t>
      </w:r>
      <w:r w:rsidR="007154E1">
        <w:rPr>
          <w:rFonts w:eastAsia="Times New Roman" w:cs="Arial"/>
          <w:color w:val="000000" w:themeColor="text1"/>
          <w:spacing w:val="-3"/>
          <w:szCs w:val="24"/>
          <w:lang w:val="es-ES" w:eastAsia="es-ES"/>
        </w:rPr>
        <w:t>100</w:t>
      </w:r>
      <w:r w:rsidRPr="003F47CE">
        <w:rPr>
          <w:rFonts w:eastAsia="Times New Roman" w:cs="Arial"/>
          <w:color w:val="000000" w:themeColor="text1"/>
          <w:spacing w:val="-3"/>
          <w:szCs w:val="24"/>
          <w:lang w:val="es-ES" w:eastAsia="es-ES"/>
        </w:rPr>
        <w:t xml:space="preserve"> de 2021. </w:t>
      </w:r>
    </w:p>
    <w:p w14:paraId="1618BED0" w14:textId="0DD78430" w:rsidR="003F47CE" w:rsidRDefault="003F47CE" w:rsidP="003F47CE">
      <w:pPr>
        <w:spacing w:after="0"/>
        <w:jc w:val="both"/>
        <w:rPr>
          <w:rFonts w:eastAsia="Times New Roman" w:cs="Arial"/>
          <w:color w:val="000000" w:themeColor="text1"/>
          <w:spacing w:val="-3"/>
          <w:szCs w:val="24"/>
          <w:lang w:val="es-ES" w:eastAsia="es-ES"/>
        </w:rPr>
      </w:pPr>
    </w:p>
    <w:p w14:paraId="1FF6D279" w14:textId="512FF71B" w:rsidR="002A1901" w:rsidRDefault="008D3D90" w:rsidP="003F47CE">
      <w:pPr>
        <w:spacing w:after="0"/>
        <w:jc w:val="both"/>
        <w:rPr>
          <w:rFonts w:eastAsia="Times New Roman" w:cs="Arial"/>
          <w:color w:val="000000" w:themeColor="text1"/>
          <w:spacing w:val="-3"/>
          <w:szCs w:val="24"/>
          <w:lang w:val="es-ES" w:eastAsia="es-ES"/>
        </w:rPr>
      </w:pPr>
      <w:r>
        <w:rPr>
          <w:rFonts w:eastAsia="Times New Roman" w:cs="Arial"/>
          <w:color w:val="000000" w:themeColor="text1"/>
          <w:spacing w:val="-3"/>
          <w:szCs w:val="24"/>
          <w:lang w:val="es-ES" w:eastAsia="es-ES"/>
        </w:rPr>
        <w:t>Transmetano</w:t>
      </w:r>
      <w:r w:rsidR="00E74779">
        <w:rPr>
          <w:rFonts w:eastAsia="Times New Roman" w:cs="Arial"/>
          <w:color w:val="000000" w:themeColor="text1"/>
          <w:spacing w:val="-3"/>
          <w:szCs w:val="24"/>
          <w:lang w:val="es-ES" w:eastAsia="es-ES"/>
        </w:rPr>
        <w:t>,</w:t>
      </w:r>
      <w:r w:rsidRPr="003F47CE">
        <w:rPr>
          <w:rFonts w:eastAsia="Times New Roman" w:cs="Arial"/>
          <w:color w:val="000000" w:themeColor="text1"/>
          <w:spacing w:val="-3"/>
          <w:szCs w:val="24"/>
          <w:lang w:val="es-ES" w:eastAsia="es-ES"/>
        </w:rPr>
        <w:t xml:space="preserve"> mediante la comunicación</w:t>
      </w:r>
      <w:r>
        <w:rPr>
          <w:rFonts w:eastAsia="Times New Roman" w:cs="Arial"/>
          <w:color w:val="000000" w:themeColor="text1"/>
          <w:spacing w:val="-3"/>
          <w:szCs w:val="24"/>
          <w:lang w:val="es-ES" w:eastAsia="es-ES"/>
        </w:rPr>
        <w:t xml:space="preserve"> 3.0 </w:t>
      </w:r>
      <w:r w:rsidRPr="005755B4">
        <w:rPr>
          <w:rFonts w:eastAsia="Times New Roman" w:cs="Arial"/>
          <w:color w:val="000000" w:themeColor="text1"/>
          <w:spacing w:val="-3"/>
          <w:szCs w:val="24"/>
          <w:lang w:val="es-ES" w:eastAsia="es-ES"/>
        </w:rPr>
        <w:t>- BAR00692</w:t>
      </w:r>
      <w:r w:rsidR="004D371C">
        <w:rPr>
          <w:rFonts w:eastAsia="Times New Roman" w:cs="Arial"/>
          <w:color w:val="000000" w:themeColor="text1"/>
          <w:spacing w:val="-3"/>
          <w:szCs w:val="24"/>
          <w:lang w:val="es-ES" w:eastAsia="es-ES"/>
        </w:rPr>
        <w:t>9</w:t>
      </w:r>
      <w:r w:rsidRPr="003F47CE">
        <w:rPr>
          <w:rFonts w:eastAsia="Times New Roman" w:cs="Arial"/>
          <w:color w:val="000000" w:themeColor="text1"/>
          <w:spacing w:val="-3"/>
          <w:szCs w:val="24"/>
          <w:lang w:val="es-ES" w:eastAsia="es-ES"/>
        </w:rPr>
        <w:t xml:space="preserve"> </w:t>
      </w:r>
      <w:r>
        <w:rPr>
          <w:rFonts w:eastAsia="Times New Roman" w:cs="Arial"/>
          <w:color w:val="000000" w:themeColor="text1"/>
          <w:spacing w:val="-3"/>
          <w:szCs w:val="24"/>
          <w:lang w:val="es-ES" w:eastAsia="es-ES"/>
        </w:rPr>
        <w:t xml:space="preserve">con radicado CREG </w:t>
      </w:r>
      <w:r w:rsidRPr="003F47CE">
        <w:rPr>
          <w:rFonts w:eastAsia="Times New Roman" w:cs="Arial"/>
          <w:color w:val="000000" w:themeColor="text1"/>
          <w:spacing w:val="-3"/>
          <w:szCs w:val="24"/>
          <w:lang w:val="es-ES" w:eastAsia="es-ES"/>
        </w:rPr>
        <w:t>E-2021-012</w:t>
      </w:r>
      <w:r>
        <w:rPr>
          <w:rFonts w:eastAsia="Times New Roman" w:cs="Arial"/>
          <w:color w:val="000000" w:themeColor="text1"/>
          <w:spacing w:val="-3"/>
          <w:szCs w:val="24"/>
          <w:lang w:val="es-ES" w:eastAsia="es-ES"/>
        </w:rPr>
        <w:t>386</w:t>
      </w:r>
      <w:r w:rsidRPr="003F47CE">
        <w:rPr>
          <w:rFonts w:eastAsia="Times New Roman" w:cs="Arial"/>
          <w:color w:val="000000" w:themeColor="text1"/>
          <w:spacing w:val="-3"/>
          <w:szCs w:val="24"/>
          <w:lang w:val="es-ES" w:eastAsia="es-ES"/>
        </w:rPr>
        <w:t>,</w:t>
      </w:r>
      <w:r w:rsidR="004D371C">
        <w:rPr>
          <w:rFonts w:eastAsia="Times New Roman" w:cs="Arial"/>
          <w:color w:val="000000" w:themeColor="text1"/>
          <w:spacing w:val="-3"/>
          <w:szCs w:val="24"/>
          <w:lang w:val="es-ES" w:eastAsia="es-ES"/>
        </w:rPr>
        <w:t xml:space="preserve"> realizó a la Comisión la siguiente solicitud:</w:t>
      </w:r>
    </w:p>
    <w:p w14:paraId="09B80C02" w14:textId="74B156BB" w:rsidR="002A1901" w:rsidRDefault="002A1901" w:rsidP="003F47CE">
      <w:pPr>
        <w:spacing w:after="0"/>
        <w:jc w:val="both"/>
        <w:rPr>
          <w:rFonts w:eastAsia="Times New Roman" w:cs="Arial"/>
          <w:color w:val="000000" w:themeColor="text1"/>
          <w:spacing w:val="-3"/>
          <w:szCs w:val="24"/>
          <w:lang w:val="es-ES" w:eastAsia="es-ES"/>
        </w:rPr>
      </w:pPr>
    </w:p>
    <w:p w14:paraId="295A509B" w14:textId="5AFACC81" w:rsidR="004D371C" w:rsidRDefault="004D371C" w:rsidP="00CD26C9">
      <w:pPr>
        <w:spacing w:after="0"/>
        <w:ind w:left="284"/>
        <w:jc w:val="both"/>
        <w:rPr>
          <w:rFonts w:eastAsia="Times New Roman" w:cs="Arial"/>
          <w:i/>
          <w:iCs/>
          <w:color w:val="000000" w:themeColor="text1"/>
          <w:spacing w:val="-3"/>
          <w:szCs w:val="24"/>
          <w:lang w:val="es-ES" w:eastAsia="es-ES"/>
        </w:rPr>
      </w:pPr>
      <w:r w:rsidRPr="004D371C">
        <w:rPr>
          <w:rFonts w:eastAsia="Times New Roman" w:cs="Arial"/>
          <w:i/>
          <w:iCs/>
          <w:color w:val="000000" w:themeColor="text1"/>
          <w:spacing w:val="-3"/>
          <w:szCs w:val="24"/>
          <w:lang w:val="es-ES" w:eastAsia="es-ES"/>
        </w:rPr>
        <w:t>“En razón a la expedición de la Resolución 100 de 2021, a través de la cual la CREG define el costo de reposición a nuevo (VRAN) y valor a reconocer por mantener en operación (VAO) el gasoducto Sebastopol - Medellín y la decisión de Transmetano E.S.P. S.A. de mantener en operación dicho activo, según la comunicación enviada el 21 de octubre con radicado 3.0 - BAR006928, se solicita:</w:t>
      </w:r>
    </w:p>
    <w:p w14:paraId="62844D40" w14:textId="77777777" w:rsidR="004D371C" w:rsidRPr="004D371C" w:rsidRDefault="004D371C" w:rsidP="00CD26C9">
      <w:pPr>
        <w:spacing w:after="0"/>
        <w:ind w:left="284"/>
        <w:jc w:val="both"/>
        <w:rPr>
          <w:rFonts w:eastAsia="Times New Roman" w:cs="Arial"/>
          <w:i/>
          <w:iCs/>
          <w:color w:val="000000" w:themeColor="text1"/>
          <w:spacing w:val="-3"/>
          <w:szCs w:val="24"/>
          <w:lang w:val="es-ES" w:eastAsia="es-ES"/>
        </w:rPr>
      </w:pPr>
    </w:p>
    <w:p w14:paraId="08D31803" w14:textId="1A00EC10" w:rsidR="004D371C" w:rsidRPr="00C15277" w:rsidRDefault="00C15277" w:rsidP="00CD26C9">
      <w:pPr>
        <w:spacing w:after="0"/>
        <w:ind w:left="284"/>
        <w:jc w:val="both"/>
        <w:rPr>
          <w:rFonts w:eastAsia="Times New Roman" w:cs="Arial"/>
          <w:i/>
          <w:iCs/>
          <w:color w:val="000000" w:themeColor="text1"/>
          <w:spacing w:val="-3"/>
          <w:szCs w:val="24"/>
          <w:lang w:val="es-ES" w:eastAsia="es-ES"/>
        </w:rPr>
      </w:pPr>
      <w:r w:rsidRPr="00C15277">
        <w:rPr>
          <w:rFonts w:eastAsia="Times New Roman" w:cs="Arial"/>
          <w:i/>
          <w:iCs/>
          <w:color w:val="000000" w:themeColor="text1"/>
          <w:spacing w:val="-3"/>
          <w:szCs w:val="24"/>
          <w:lang w:val="es-ES" w:eastAsia="es-ES"/>
        </w:rPr>
        <w:t xml:space="preserve">“(i) </w:t>
      </w:r>
      <w:r w:rsidR="004D371C" w:rsidRPr="00C15277">
        <w:rPr>
          <w:rFonts w:eastAsia="Times New Roman" w:cs="Arial"/>
          <w:i/>
          <w:iCs/>
          <w:color w:val="000000" w:themeColor="text1"/>
          <w:spacing w:val="-3"/>
          <w:szCs w:val="24"/>
          <w:lang w:val="es-ES" w:eastAsia="es-ES"/>
        </w:rPr>
        <w:t>Iniciar la actuación administrativa para la actualización de los cargos de transporte de Transmetano aprobados mediante la Resolución 092 y 167 de 2015.</w:t>
      </w:r>
    </w:p>
    <w:p w14:paraId="4080287C" w14:textId="77777777" w:rsidR="004D371C" w:rsidRPr="004D371C" w:rsidRDefault="004D371C" w:rsidP="00CD26C9">
      <w:pPr>
        <w:pStyle w:val="Prrafodelista"/>
        <w:spacing w:after="0"/>
        <w:ind w:left="284"/>
        <w:jc w:val="both"/>
        <w:rPr>
          <w:rFonts w:eastAsia="Times New Roman" w:cs="Arial"/>
          <w:i/>
          <w:iCs/>
          <w:color w:val="000000" w:themeColor="text1"/>
          <w:spacing w:val="-3"/>
          <w:szCs w:val="24"/>
          <w:lang w:val="es-ES" w:eastAsia="es-ES"/>
        </w:rPr>
      </w:pPr>
    </w:p>
    <w:p w14:paraId="52593201" w14:textId="1918C360" w:rsidR="002A1901" w:rsidRPr="00C15277" w:rsidRDefault="00EF7A5D" w:rsidP="00CD26C9">
      <w:pPr>
        <w:pStyle w:val="Prrafodelista"/>
        <w:spacing w:after="0"/>
        <w:ind w:left="284"/>
        <w:jc w:val="both"/>
        <w:rPr>
          <w:rFonts w:eastAsia="Times New Roman" w:cs="Arial"/>
          <w:i/>
          <w:iCs/>
          <w:color w:val="000000" w:themeColor="text1"/>
          <w:spacing w:val="-3"/>
          <w:szCs w:val="24"/>
          <w:lang w:val="es-ES" w:eastAsia="es-ES"/>
        </w:rPr>
      </w:pPr>
      <w:r>
        <w:rPr>
          <w:rFonts w:eastAsia="Times New Roman" w:cs="Arial"/>
          <w:i/>
          <w:iCs/>
          <w:color w:val="000000" w:themeColor="text1"/>
          <w:spacing w:val="-3"/>
          <w:szCs w:val="24"/>
          <w:lang w:val="es-ES" w:eastAsia="es-ES"/>
        </w:rPr>
        <w:t xml:space="preserve">(ii) </w:t>
      </w:r>
      <w:r w:rsidR="004D371C" w:rsidRPr="00C15277">
        <w:rPr>
          <w:rFonts w:eastAsia="Times New Roman" w:cs="Arial"/>
          <w:i/>
          <w:iCs/>
          <w:color w:val="000000" w:themeColor="text1"/>
          <w:spacing w:val="-3"/>
          <w:szCs w:val="24"/>
          <w:lang w:val="es-ES" w:eastAsia="es-ES"/>
        </w:rPr>
        <w:t>Incluir dentro de la siguiente reunión de la CREG, la actualización de los cargos de transporte de Transmetano, para finalizar de manera oportuna la actuación administrativa.”</w:t>
      </w:r>
    </w:p>
    <w:p w14:paraId="4B6ACA6B" w14:textId="77777777" w:rsidR="00EE0B11" w:rsidRDefault="00EE0B11" w:rsidP="004D371C">
      <w:pPr>
        <w:spacing w:after="0"/>
        <w:jc w:val="both"/>
        <w:rPr>
          <w:rFonts w:eastAsia="Times New Roman" w:cs="Arial"/>
          <w:color w:val="000000" w:themeColor="text1"/>
          <w:spacing w:val="-3"/>
          <w:szCs w:val="24"/>
          <w:lang w:val="es-ES" w:eastAsia="es-ES"/>
        </w:rPr>
      </w:pPr>
    </w:p>
    <w:p w14:paraId="181F56DC" w14:textId="65CBFBC9" w:rsidR="007F720B" w:rsidRDefault="00DF2A04" w:rsidP="004D371C">
      <w:pPr>
        <w:spacing w:after="0"/>
        <w:jc w:val="both"/>
        <w:rPr>
          <w:rFonts w:eastAsia="Times New Roman" w:cs="Arial"/>
          <w:color w:val="000000" w:themeColor="text1"/>
          <w:spacing w:val="-3"/>
          <w:szCs w:val="24"/>
          <w:lang w:val="es-ES" w:eastAsia="es-ES"/>
        </w:rPr>
      </w:pPr>
      <w:r w:rsidRPr="00DF2A04">
        <w:rPr>
          <w:rFonts w:eastAsia="Times New Roman" w:cs="Arial"/>
          <w:color w:val="000000" w:themeColor="text1"/>
          <w:spacing w:val="-3"/>
          <w:szCs w:val="24"/>
          <w:lang w:val="es-ES" w:eastAsia="es-ES"/>
        </w:rPr>
        <w:t>Mediante la</w:t>
      </w:r>
      <w:r w:rsidR="00E74779">
        <w:rPr>
          <w:rFonts w:eastAsia="Times New Roman" w:cs="Arial"/>
          <w:color w:val="000000" w:themeColor="text1"/>
          <w:spacing w:val="-3"/>
          <w:szCs w:val="24"/>
          <w:lang w:val="es-ES" w:eastAsia="es-ES"/>
        </w:rPr>
        <w:t>s</w:t>
      </w:r>
      <w:r w:rsidRPr="00DF2A04">
        <w:rPr>
          <w:rFonts w:eastAsia="Times New Roman" w:cs="Arial"/>
          <w:color w:val="000000" w:themeColor="text1"/>
          <w:spacing w:val="-3"/>
          <w:szCs w:val="24"/>
          <w:lang w:val="es-ES" w:eastAsia="es-ES"/>
        </w:rPr>
        <w:t xml:space="preserve"> comunicaciones con radicado CREG E-2021-015070 y E-2022-003858, </w:t>
      </w:r>
      <w:r w:rsidR="00B5262C">
        <w:rPr>
          <w:rFonts w:eastAsia="Times New Roman" w:cs="Arial"/>
          <w:color w:val="000000" w:themeColor="text1"/>
          <w:spacing w:val="-3"/>
          <w:szCs w:val="24"/>
          <w:lang w:val="es-ES" w:eastAsia="es-ES"/>
        </w:rPr>
        <w:t>Transmetano</w:t>
      </w:r>
      <w:r w:rsidRPr="00DF2A04">
        <w:rPr>
          <w:rFonts w:eastAsia="Times New Roman" w:cs="Arial"/>
          <w:color w:val="000000" w:themeColor="text1"/>
          <w:spacing w:val="-3"/>
          <w:szCs w:val="24"/>
          <w:lang w:val="es-ES" w:eastAsia="es-ES"/>
        </w:rPr>
        <w:t xml:space="preserve"> E.S.P. S.A. ratificó las solicitudes anteriormente mencionadas.</w:t>
      </w:r>
    </w:p>
    <w:p w14:paraId="36FF772B" w14:textId="77777777" w:rsidR="00DF2A04" w:rsidRDefault="00DF2A04" w:rsidP="004D371C">
      <w:pPr>
        <w:spacing w:after="0"/>
        <w:jc w:val="both"/>
        <w:rPr>
          <w:rFonts w:eastAsia="Times New Roman" w:cs="Arial"/>
          <w:color w:val="000000" w:themeColor="text1"/>
          <w:spacing w:val="-3"/>
          <w:szCs w:val="24"/>
          <w:lang w:val="es-ES" w:eastAsia="es-ES"/>
        </w:rPr>
      </w:pPr>
    </w:p>
    <w:p w14:paraId="1E9BA154" w14:textId="4369BEEA" w:rsidR="005738F9" w:rsidRPr="005738F9" w:rsidRDefault="005F04BA" w:rsidP="005738F9">
      <w:pPr>
        <w:spacing w:after="0"/>
        <w:jc w:val="both"/>
        <w:rPr>
          <w:rFonts w:eastAsia="Times New Roman" w:cs="Arial"/>
          <w:color w:val="000000" w:themeColor="text1"/>
          <w:spacing w:val="-3"/>
          <w:szCs w:val="24"/>
          <w:lang w:val="es-ES" w:eastAsia="es-ES"/>
        </w:rPr>
      </w:pPr>
      <w:r>
        <w:rPr>
          <w:rFonts w:eastAsia="Times New Roman" w:cs="Arial"/>
          <w:color w:val="000000" w:themeColor="text1"/>
          <w:spacing w:val="-3"/>
          <w:szCs w:val="24"/>
          <w:lang w:val="es-ES" w:eastAsia="es-ES"/>
        </w:rPr>
        <w:t xml:space="preserve">La Comisión expidió </w:t>
      </w:r>
      <w:r w:rsidRPr="005738F9">
        <w:rPr>
          <w:rFonts w:eastAsia="Times New Roman" w:cs="Arial"/>
          <w:color w:val="000000" w:themeColor="text1"/>
          <w:spacing w:val="-3"/>
          <w:szCs w:val="24"/>
          <w:lang w:val="es-ES" w:eastAsia="es-ES"/>
        </w:rPr>
        <w:t>la Resolución CREG 175 de 2021</w:t>
      </w:r>
      <w:r>
        <w:rPr>
          <w:rFonts w:eastAsia="Times New Roman" w:cs="Arial"/>
          <w:color w:val="000000" w:themeColor="text1"/>
          <w:spacing w:val="-3"/>
          <w:szCs w:val="24"/>
          <w:lang w:val="es-ES" w:eastAsia="es-ES"/>
        </w:rPr>
        <w:t xml:space="preserve">, </w:t>
      </w:r>
      <w:r w:rsidR="004E7462" w:rsidRPr="004E7462">
        <w:rPr>
          <w:rFonts w:eastAsia="Times New Roman" w:cs="Arial"/>
          <w:i/>
          <w:iCs/>
          <w:color w:val="000000" w:themeColor="text1"/>
          <w:spacing w:val="-3"/>
          <w:szCs w:val="24"/>
          <w:lang w:val="es-ES" w:eastAsia="es-ES"/>
        </w:rPr>
        <w:t>“Por la cual se establecen los criterios generales para la remuneración del servicio de transporte de gas natural y el esquema general de cargos del Sistema Nacional de Transporte, y se dictan otras disposiciones en materia de transporte de gas natural”</w:t>
      </w:r>
      <w:r w:rsidR="004E7462">
        <w:rPr>
          <w:rFonts w:eastAsia="Times New Roman" w:cs="Arial"/>
          <w:color w:val="000000" w:themeColor="text1"/>
          <w:spacing w:val="-3"/>
          <w:szCs w:val="24"/>
          <w:lang w:val="es-ES" w:eastAsia="es-ES"/>
        </w:rPr>
        <w:t xml:space="preserve">, la cual deroga </w:t>
      </w:r>
      <w:r w:rsidR="009B6B72">
        <w:rPr>
          <w:rFonts w:eastAsia="Times New Roman" w:cs="Arial"/>
          <w:color w:val="000000" w:themeColor="text1"/>
          <w:spacing w:val="-3"/>
          <w:szCs w:val="24"/>
          <w:lang w:val="es-ES" w:eastAsia="es-ES"/>
        </w:rPr>
        <w:t>l</w:t>
      </w:r>
      <w:r w:rsidR="005738F9" w:rsidRPr="005738F9">
        <w:rPr>
          <w:rFonts w:eastAsia="Times New Roman" w:cs="Arial"/>
          <w:color w:val="000000" w:themeColor="text1"/>
          <w:spacing w:val="-3"/>
          <w:szCs w:val="24"/>
          <w:lang w:val="es-ES" w:eastAsia="es-ES"/>
        </w:rPr>
        <w:t>a Resolución CREG 126 de 2010. Sin embargo, en el artículo 7 se estableció la siguiente disposición:</w:t>
      </w:r>
    </w:p>
    <w:p w14:paraId="7B866F64" w14:textId="77777777" w:rsidR="0015594B" w:rsidRDefault="005738F9" w:rsidP="00CD26C9">
      <w:pPr>
        <w:spacing w:after="0"/>
        <w:ind w:left="284"/>
        <w:jc w:val="both"/>
        <w:rPr>
          <w:rFonts w:eastAsia="Times New Roman" w:cs="Arial"/>
          <w:i/>
          <w:iCs/>
          <w:color w:val="000000" w:themeColor="text1"/>
          <w:spacing w:val="-3"/>
          <w:szCs w:val="24"/>
          <w:lang w:val="es-ES" w:eastAsia="es-ES"/>
        </w:rPr>
      </w:pPr>
      <w:r w:rsidRPr="004E7462">
        <w:rPr>
          <w:rFonts w:eastAsia="Times New Roman" w:cs="Arial"/>
          <w:i/>
          <w:iCs/>
          <w:color w:val="000000" w:themeColor="text1"/>
          <w:spacing w:val="-3"/>
          <w:szCs w:val="24"/>
          <w:lang w:val="es-ES" w:eastAsia="es-ES"/>
        </w:rPr>
        <w:lastRenderedPageBreak/>
        <w:t>“</w:t>
      </w:r>
      <w:r w:rsidRPr="0027183B">
        <w:rPr>
          <w:rFonts w:eastAsia="Times New Roman" w:cs="Arial"/>
          <w:b/>
          <w:bCs/>
          <w:i/>
          <w:iCs/>
          <w:color w:val="000000" w:themeColor="text1"/>
          <w:spacing w:val="-3"/>
          <w:szCs w:val="24"/>
          <w:lang w:val="es-ES" w:eastAsia="es-ES"/>
        </w:rPr>
        <w:t>Artículo 7</w:t>
      </w:r>
      <w:r w:rsidR="00F66C32">
        <w:rPr>
          <w:rFonts w:eastAsia="Times New Roman" w:cs="Arial"/>
          <w:b/>
          <w:bCs/>
          <w:i/>
          <w:iCs/>
          <w:color w:val="000000" w:themeColor="text1"/>
          <w:spacing w:val="-3"/>
          <w:szCs w:val="24"/>
          <w:lang w:val="es-ES" w:eastAsia="es-ES"/>
        </w:rPr>
        <w:t>.</w:t>
      </w:r>
      <w:r w:rsidRPr="0027183B">
        <w:rPr>
          <w:rFonts w:eastAsia="Times New Roman" w:cs="Arial"/>
          <w:b/>
          <w:bCs/>
          <w:i/>
          <w:iCs/>
          <w:color w:val="000000" w:themeColor="text1"/>
          <w:spacing w:val="-3"/>
          <w:szCs w:val="24"/>
          <w:lang w:val="es-ES" w:eastAsia="es-ES"/>
        </w:rPr>
        <w:t xml:space="preserve"> Transición para activos VUN. </w:t>
      </w:r>
      <w:r w:rsidRPr="004E7462">
        <w:rPr>
          <w:rFonts w:eastAsia="Times New Roman" w:cs="Arial"/>
          <w:i/>
          <w:iCs/>
          <w:color w:val="000000" w:themeColor="text1"/>
          <w:spacing w:val="-3"/>
          <w:szCs w:val="24"/>
          <w:lang w:val="es-ES" w:eastAsia="es-ES"/>
        </w:rPr>
        <w:t>Los cargos de transporte de los tramos que cuentan con activos que cumplieron el período de VUN a 31 de diciembre de 2020, y para los cuales la CREG aprobó o aprobará los valores a retirar, VRAN y VAO, se ajustarán de acuerdo con la metodología que originó la solicitud de valoración de los activos que cumplieron el período de VUN. Igual tratamiento se aplicará para los activos que: (a) ya fueron valorados, (b) la empresa declaró que los repondría, (c) la empresa declaró el remplazo y la puesta en operación comercial y (d) la SSPD verificó la puesta en operación.</w:t>
      </w:r>
    </w:p>
    <w:p w14:paraId="2590900E" w14:textId="77777777" w:rsidR="0015594B" w:rsidRDefault="0015594B" w:rsidP="004E7462">
      <w:pPr>
        <w:spacing w:after="0"/>
        <w:ind w:left="708"/>
        <w:jc w:val="both"/>
        <w:rPr>
          <w:rFonts w:eastAsia="Times New Roman" w:cs="Arial"/>
          <w:i/>
          <w:iCs/>
          <w:color w:val="000000" w:themeColor="text1"/>
          <w:spacing w:val="-3"/>
          <w:szCs w:val="24"/>
          <w:lang w:val="es-ES" w:eastAsia="es-ES"/>
        </w:rPr>
      </w:pPr>
    </w:p>
    <w:p w14:paraId="4426AED7" w14:textId="331D76C3" w:rsidR="005738F9" w:rsidRPr="004E7462" w:rsidRDefault="0015594B" w:rsidP="00CD26C9">
      <w:pPr>
        <w:spacing w:after="0"/>
        <w:ind w:left="284"/>
        <w:jc w:val="both"/>
        <w:rPr>
          <w:rFonts w:eastAsia="Times New Roman" w:cs="Arial"/>
          <w:i/>
          <w:iCs/>
          <w:color w:val="000000" w:themeColor="text1"/>
          <w:spacing w:val="-3"/>
          <w:szCs w:val="24"/>
          <w:lang w:val="es-ES" w:eastAsia="es-ES"/>
        </w:rPr>
      </w:pPr>
      <w:r w:rsidRPr="0015594B">
        <w:rPr>
          <w:rFonts w:eastAsia="Times New Roman" w:cs="Arial"/>
          <w:b/>
          <w:bCs/>
          <w:i/>
          <w:iCs/>
          <w:color w:val="000000" w:themeColor="text1"/>
          <w:spacing w:val="-3"/>
          <w:szCs w:val="24"/>
          <w:lang w:val="es-ES" w:eastAsia="es-ES"/>
        </w:rPr>
        <w:t>Parágrafo.</w:t>
      </w:r>
      <w:r w:rsidRPr="0015594B">
        <w:rPr>
          <w:rFonts w:eastAsia="Times New Roman" w:cs="Arial"/>
          <w:i/>
          <w:iCs/>
          <w:color w:val="000000" w:themeColor="text1"/>
          <w:spacing w:val="-3"/>
          <w:szCs w:val="24"/>
          <w:lang w:val="es-ES" w:eastAsia="es-ES"/>
        </w:rPr>
        <w:t xml:space="preserve"> El presente artículo aplicará hasta el último día calendario del sexto mes siguiente a la entrada en vigencia de la presente resolución.</w:t>
      </w:r>
      <w:r w:rsidR="00C043CC">
        <w:rPr>
          <w:rFonts w:eastAsia="Times New Roman" w:cs="Arial"/>
          <w:i/>
          <w:iCs/>
          <w:color w:val="000000" w:themeColor="text1"/>
          <w:spacing w:val="-3"/>
          <w:szCs w:val="24"/>
          <w:lang w:val="es-ES" w:eastAsia="es-ES"/>
        </w:rPr>
        <w:t>”</w:t>
      </w:r>
      <w:r w:rsidR="005738F9" w:rsidRPr="004E7462">
        <w:rPr>
          <w:rFonts w:eastAsia="Times New Roman" w:cs="Arial"/>
          <w:i/>
          <w:iCs/>
          <w:color w:val="000000" w:themeColor="text1"/>
          <w:spacing w:val="-3"/>
          <w:szCs w:val="24"/>
          <w:lang w:val="es-ES" w:eastAsia="es-ES"/>
        </w:rPr>
        <w:t xml:space="preserve"> </w:t>
      </w:r>
    </w:p>
    <w:p w14:paraId="1B0E3451" w14:textId="77777777" w:rsidR="005738F9" w:rsidRDefault="005738F9" w:rsidP="005738F9">
      <w:pPr>
        <w:spacing w:after="0"/>
        <w:jc w:val="both"/>
        <w:rPr>
          <w:rFonts w:eastAsia="Times New Roman" w:cs="Arial"/>
          <w:color w:val="000000" w:themeColor="text1"/>
          <w:spacing w:val="-3"/>
          <w:szCs w:val="24"/>
          <w:lang w:val="es-ES" w:eastAsia="es-ES"/>
        </w:rPr>
      </w:pPr>
    </w:p>
    <w:p w14:paraId="159E4A5A" w14:textId="68D7F718" w:rsidR="003271CF" w:rsidRDefault="003271CF" w:rsidP="005738F9">
      <w:pPr>
        <w:spacing w:after="0"/>
        <w:jc w:val="both"/>
        <w:rPr>
          <w:rFonts w:eastAsia="Times New Roman" w:cs="Arial"/>
          <w:color w:val="000000" w:themeColor="text1"/>
          <w:spacing w:val="-3"/>
          <w:szCs w:val="24"/>
          <w:lang w:val="es-ES" w:eastAsia="es-ES"/>
        </w:rPr>
      </w:pPr>
      <w:r>
        <w:rPr>
          <w:rFonts w:eastAsia="Times New Roman" w:cs="Arial"/>
          <w:color w:val="000000" w:themeColor="text1"/>
          <w:spacing w:val="-3"/>
          <w:szCs w:val="24"/>
          <w:lang w:val="es-ES" w:eastAsia="es-ES"/>
        </w:rPr>
        <w:t xml:space="preserve">Mediante la Resolución </w:t>
      </w:r>
      <w:r w:rsidR="00D872D7">
        <w:rPr>
          <w:rFonts w:eastAsia="Times New Roman" w:cs="Arial"/>
          <w:color w:val="000000" w:themeColor="text1"/>
          <w:spacing w:val="-3"/>
          <w:szCs w:val="24"/>
          <w:lang w:val="es-ES" w:eastAsia="es-ES"/>
        </w:rPr>
        <w:t>CREG 102-006 de 2022</w:t>
      </w:r>
      <w:r w:rsidR="00E74779">
        <w:rPr>
          <w:rFonts w:eastAsia="Times New Roman" w:cs="Arial"/>
          <w:color w:val="000000" w:themeColor="text1"/>
          <w:spacing w:val="-3"/>
          <w:szCs w:val="24"/>
          <w:lang w:val="es-ES" w:eastAsia="es-ES"/>
        </w:rPr>
        <w:t>,</w:t>
      </w:r>
      <w:r w:rsidR="00D872D7">
        <w:rPr>
          <w:rFonts w:eastAsia="Times New Roman" w:cs="Arial"/>
          <w:color w:val="000000" w:themeColor="text1"/>
          <w:spacing w:val="-3"/>
          <w:szCs w:val="24"/>
          <w:lang w:val="es-ES" w:eastAsia="es-ES"/>
        </w:rPr>
        <w:t xml:space="preserve"> la Comisión modificó el parágrafo del artículo 7 de la </w:t>
      </w:r>
      <w:r w:rsidR="00D872D7" w:rsidRPr="00D872D7">
        <w:rPr>
          <w:rFonts w:eastAsia="Times New Roman" w:cs="Arial"/>
          <w:color w:val="000000" w:themeColor="text1"/>
          <w:spacing w:val="-3"/>
          <w:szCs w:val="24"/>
          <w:lang w:val="es-ES" w:eastAsia="es-ES"/>
        </w:rPr>
        <w:t>Resolución CREG 175 de 2021</w:t>
      </w:r>
      <w:r w:rsidR="00D872D7">
        <w:rPr>
          <w:rFonts w:eastAsia="Times New Roman" w:cs="Arial"/>
          <w:color w:val="000000" w:themeColor="text1"/>
          <w:spacing w:val="-3"/>
          <w:szCs w:val="24"/>
          <w:lang w:val="es-ES" w:eastAsia="es-ES"/>
        </w:rPr>
        <w:t>, así:</w:t>
      </w:r>
    </w:p>
    <w:p w14:paraId="54B55D74" w14:textId="77777777" w:rsidR="00D872D7" w:rsidRPr="00DA7FCC" w:rsidRDefault="00D872D7" w:rsidP="005738F9">
      <w:pPr>
        <w:spacing w:after="0"/>
        <w:jc w:val="both"/>
        <w:rPr>
          <w:rFonts w:eastAsia="Times New Roman" w:cs="Arial"/>
          <w:i/>
          <w:iCs/>
          <w:color w:val="000000" w:themeColor="text1"/>
          <w:spacing w:val="-3"/>
          <w:szCs w:val="24"/>
          <w:lang w:val="es-ES" w:eastAsia="es-ES"/>
        </w:rPr>
      </w:pPr>
    </w:p>
    <w:p w14:paraId="2AE996BF" w14:textId="03F2F19F" w:rsidR="00D872D7" w:rsidRPr="00DA7FCC" w:rsidRDefault="00DA7FCC" w:rsidP="00CD26C9">
      <w:pPr>
        <w:spacing w:after="0"/>
        <w:ind w:left="284"/>
        <w:jc w:val="both"/>
        <w:rPr>
          <w:rFonts w:eastAsia="Times New Roman" w:cs="Arial"/>
          <w:i/>
          <w:iCs/>
          <w:color w:val="000000" w:themeColor="text1"/>
          <w:spacing w:val="-3"/>
          <w:szCs w:val="24"/>
          <w:lang w:val="es-ES" w:eastAsia="es-ES"/>
        </w:rPr>
      </w:pPr>
      <w:r w:rsidRPr="00DA7FCC">
        <w:rPr>
          <w:rFonts w:eastAsia="Times New Roman" w:cs="Arial"/>
          <w:i/>
          <w:iCs/>
          <w:color w:val="000000" w:themeColor="text1"/>
          <w:spacing w:val="-3"/>
          <w:szCs w:val="24"/>
          <w:lang w:val="es-ES" w:eastAsia="es-ES"/>
        </w:rPr>
        <w:t>“</w:t>
      </w:r>
      <w:r w:rsidRPr="00DA7FCC">
        <w:rPr>
          <w:rFonts w:eastAsia="Times New Roman" w:cs="Arial"/>
          <w:b/>
          <w:bCs/>
          <w:i/>
          <w:iCs/>
          <w:color w:val="000000" w:themeColor="text1"/>
          <w:spacing w:val="-3"/>
          <w:szCs w:val="24"/>
          <w:lang w:val="es-ES" w:eastAsia="es-ES"/>
        </w:rPr>
        <w:t>Parágrafo.</w:t>
      </w:r>
      <w:r w:rsidRPr="00DA7FCC">
        <w:rPr>
          <w:rFonts w:eastAsia="Times New Roman" w:cs="Arial"/>
          <w:i/>
          <w:iCs/>
          <w:color w:val="000000" w:themeColor="text1"/>
          <w:spacing w:val="-3"/>
          <w:szCs w:val="24"/>
          <w:lang w:val="es-ES" w:eastAsia="es-ES"/>
        </w:rPr>
        <w:t xml:space="preserve"> El presente artículo aplicará hasta el último día calendario del noveno mes siguiente a la entrada en vigencia de la presente resolución”.</w:t>
      </w:r>
    </w:p>
    <w:p w14:paraId="2BE0302E" w14:textId="77777777" w:rsidR="00D872D7" w:rsidRPr="005738F9" w:rsidRDefault="00D872D7" w:rsidP="005738F9">
      <w:pPr>
        <w:spacing w:after="0"/>
        <w:jc w:val="both"/>
        <w:rPr>
          <w:rFonts w:eastAsia="Times New Roman" w:cs="Arial"/>
          <w:color w:val="000000" w:themeColor="text1"/>
          <w:spacing w:val="-3"/>
          <w:szCs w:val="24"/>
          <w:lang w:val="es-ES" w:eastAsia="es-ES"/>
        </w:rPr>
      </w:pPr>
    </w:p>
    <w:p w14:paraId="4BEB84F1" w14:textId="4ACDE4DC" w:rsidR="00EF0AFF" w:rsidRDefault="005738F9" w:rsidP="005738F9">
      <w:pPr>
        <w:spacing w:after="0"/>
        <w:jc w:val="both"/>
        <w:rPr>
          <w:rFonts w:eastAsia="Times New Roman" w:cs="Arial"/>
          <w:color w:val="000000" w:themeColor="text1"/>
          <w:spacing w:val="-3"/>
          <w:szCs w:val="24"/>
          <w:lang w:val="es-ES" w:eastAsia="es-ES"/>
        </w:rPr>
      </w:pPr>
      <w:r w:rsidRPr="005738F9">
        <w:rPr>
          <w:rFonts w:eastAsia="Times New Roman" w:cs="Arial"/>
          <w:color w:val="000000" w:themeColor="text1"/>
          <w:spacing w:val="-3"/>
          <w:szCs w:val="24"/>
          <w:lang w:val="es-ES" w:eastAsia="es-ES"/>
        </w:rPr>
        <w:t xml:space="preserve">En atención a la disposición transcrita, la actualización de los cargos de </w:t>
      </w:r>
      <w:r w:rsidR="0027183B">
        <w:rPr>
          <w:rFonts w:eastAsia="Times New Roman" w:cs="Arial"/>
          <w:color w:val="000000" w:themeColor="text1"/>
          <w:spacing w:val="-3"/>
          <w:szCs w:val="24"/>
          <w:lang w:val="es-ES" w:eastAsia="es-ES"/>
        </w:rPr>
        <w:t>Transmetano</w:t>
      </w:r>
      <w:r w:rsidRPr="005738F9">
        <w:rPr>
          <w:rFonts w:eastAsia="Times New Roman" w:cs="Arial"/>
          <w:color w:val="000000" w:themeColor="text1"/>
          <w:spacing w:val="-3"/>
          <w:szCs w:val="24"/>
          <w:lang w:val="es-ES" w:eastAsia="es-ES"/>
        </w:rPr>
        <w:t xml:space="preserve"> </w:t>
      </w:r>
      <w:r w:rsidR="00391C31" w:rsidRPr="00391C31">
        <w:rPr>
          <w:rFonts w:eastAsia="Times New Roman" w:cs="Arial"/>
          <w:color w:val="000000" w:themeColor="text1"/>
          <w:spacing w:val="-3"/>
          <w:szCs w:val="24"/>
          <w:lang w:val="es-ES" w:eastAsia="es-ES"/>
        </w:rPr>
        <w:t xml:space="preserve">debe hacerse conforme a las disposiciones que regía la Resolución CREG 126 de 2010, considerando la decisión adoptada con ocasión </w:t>
      </w:r>
      <w:r w:rsidR="00123B03">
        <w:rPr>
          <w:rFonts w:eastAsia="Times New Roman" w:cs="Arial"/>
          <w:color w:val="000000" w:themeColor="text1"/>
          <w:spacing w:val="-3"/>
          <w:szCs w:val="24"/>
          <w:lang w:val="es-ES" w:eastAsia="es-ES"/>
        </w:rPr>
        <w:t>de</w:t>
      </w:r>
      <w:r w:rsidR="00391C31" w:rsidRPr="00391C31">
        <w:rPr>
          <w:rFonts w:eastAsia="Times New Roman" w:cs="Arial"/>
          <w:color w:val="000000" w:themeColor="text1"/>
          <w:spacing w:val="-3"/>
          <w:szCs w:val="24"/>
          <w:lang w:val="es-ES" w:eastAsia="es-ES"/>
        </w:rPr>
        <w:t xml:space="preserve"> la Resolución CREG </w:t>
      </w:r>
      <w:r w:rsidR="00391C31">
        <w:rPr>
          <w:rFonts w:eastAsia="Times New Roman" w:cs="Arial"/>
          <w:color w:val="000000" w:themeColor="text1"/>
          <w:spacing w:val="-3"/>
          <w:szCs w:val="24"/>
          <w:lang w:val="es-ES" w:eastAsia="es-ES"/>
        </w:rPr>
        <w:t>100</w:t>
      </w:r>
      <w:r w:rsidR="00391C31" w:rsidRPr="00391C31">
        <w:rPr>
          <w:rFonts w:eastAsia="Times New Roman" w:cs="Arial"/>
          <w:color w:val="000000" w:themeColor="text1"/>
          <w:spacing w:val="-3"/>
          <w:szCs w:val="24"/>
          <w:lang w:val="es-ES" w:eastAsia="es-ES"/>
        </w:rPr>
        <w:t xml:space="preserve"> de 2021 por parte de la empresa</w:t>
      </w:r>
      <w:r w:rsidR="00391C31">
        <w:rPr>
          <w:rFonts w:eastAsia="Times New Roman" w:cs="Arial"/>
          <w:color w:val="000000" w:themeColor="text1"/>
          <w:spacing w:val="-3"/>
          <w:szCs w:val="24"/>
          <w:lang w:val="es-ES" w:eastAsia="es-ES"/>
        </w:rPr>
        <w:t>, esto es, continuar operando el gasoducto Sebastopol – Medellín.</w:t>
      </w:r>
    </w:p>
    <w:p w14:paraId="3AAE98D3" w14:textId="77777777" w:rsidR="00EF0AFF" w:rsidRDefault="00EF0AFF" w:rsidP="005738F9">
      <w:pPr>
        <w:spacing w:after="0"/>
        <w:jc w:val="both"/>
        <w:rPr>
          <w:rFonts w:eastAsia="Times New Roman" w:cs="Arial"/>
          <w:color w:val="000000" w:themeColor="text1"/>
          <w:spacing w:val="-3"/>
          <w:szCs w:val="24"/>
          <w:lang w:val="es-ES" w:eastAsia="es-ES"/>
        </w:rPr>
      </w:pPr>
    </w:p>
    <w:p w14:paraId="4E5574B5" w14:textId="0FD5DC90" w:rsidR="004D371C" w:rsidRPr="00DC30A4" w:rsidRDefault="004752B3" w:rsidP="00D60139">
      <w:pPr>
        <w:spacing w:after="0"/>
        <w:jc w:val="both"/>
        <w:rPr>
          <w:rFonts w:eastAsia="Times New Roman" w:cs="Arial"/>
          <w:color w:val="000000" w:themeColor="text1"/>
          <w:spacing w:val="-3"/>
          <w:szCs w:val="24"/>
          <w:lang w:val="es-ES" w:eastAsia="es-ES"/>
        </w:rPr>
      </w:pPr>
      <w:r w:rsidRPr="004752B3">
        <w:rPr>
          <w:rFonts w:eastAsia="Times New Roman" w:cs="Arial"/>
          <w:color w:val="000000" w:themeColor="text1"/>
          <w:spacing w:val="-3"/>
          <w:szCs w:val="24"/>
          <w:lang w:val="es-ES" w:eastAsia="es-ES"/>
        </w:rPr>
        <w:t xml:space="preserve">El ajuste en los cargos regulados para el gasoducto </w:t>
      </w:r>
      <w:r>
        <w:rPr>
          <w:rFonts w:eastAsia="Times New Roman" w:cs="Arial"/>
          <w:color w:val="000000" w:themeColor="text1"/>
          <w:spacing w:val="-3"/>
          <w:szCs w:val="24"/>
          <w:lang w:val="es-ES" w:eastAsia="es-ES"/>
        </w:rPr>
        <w:t>Sebastopol - Medellín</w:t>
      </w:r>
      <w:r w:rsidRPr="004752B3">
        <w:rPr>
          <w:rFonts w:eastAsia="Times New Roman" w:cs="Arial"/>
          <w:color w:val="000000" w:themeColor="text1"/>
          <w:spacing w:val="-3"/>
          <w:szCs w:val="24"/>
          <w:lang w:val="es-ES" w:eastAsia="es-ES"/>
        </w:rPr>
        <w:t xml:space="preserve"> del sistema de transporte de </w:t>
      </w:r>
      <w:r>
        <w:rPr>
          <w:rFonts w:eastAsia="Times New Roman" w:cs="Arial"/>
          <w:color w:val="000000" w:themeColor="text1"/>
          <w:spacing w:val="-3"/>
          <w:szCs w:val="24"/>
          <w:lang w:val="es-ES" w:eastAsia="es-ES"/>
        </w:rPr>
        <w:t>Transmetano</w:t>
      </w:r>
      <w:r w:rsidR="00E74779">
        <w:rPr>
          <w:rFonts w:eastAsia="Times New Roman" w:cs="Arial"/>
          <w:color w:val="000000" w:themeColor="text1"/>
          <w:spacing w:val="-3"/>
          <w:szCs w:val="24"/>
          <w:lang w:val="es-ES" w:eastAsia="es-ES"/>
        </w:rPr>
        <w:t>,</w:t>
      </w:r>
      <w:r w:rsidRPr="004752B3">
        <w:rPr>
          <w:rFonts w:eastAsia="Times New Roman" w:cs="Arial"/>
          <w:color w:val="000000" w:themeColor="text1"/>
          <w:spacing w:val="-3"/>
          <w:szCs w:val="24"/>
          <w:lang w:val="es-ES" w:eastAsia="es-ES"/>
        </w:rPr>
        <w:t xml:space="preserve"> en aplicación del artículo 14 de la Resolución CREG 126 de 2010</w:t>
      </w:r>
      <w:r w:rsidR="00E74779">
        <w:rPr>
          <w:rFonts w:eastAsia="Times New Roman" w:cs="Arial"/>
          <w:color w:val="000000" w:themeColor="text1"/>
          <w:spacing w:val="-3"/>
          <w:szCs w:val="24"/>
          <w:lang w:val="es-ES" w:eastAsia="es-ES"/>
        </w:rPr>
        <w:t>,</w:t>
      </w:r>
      <w:r w:rsidRPr="004752B3">
        <w:rPr>
          <w:rFonts w:eastAsia="Times New Roman" w:cs="Arial"/>
          <w:color w:val="000000" w:themeColor="text1"/>
          <w:spacing w:val="-3"/>
          <w:szCs w:val="24"/>
          <w:lang w:val="es-ES" w:eastAsia="es-ES"/>
        </w:rPr>
        <w:t xml:space="preserve"> consiste en ajustar exclusivamente los valores de las inversiones reconocidos en la base tarifaria, así: i) retirar los valores a que hace referencia el Anexo 2 de la Resolución CREG </w:t>
      </w:r>
      <w:r w:rsidR="005824F6">
        <w:rPr>
          <w:rFonts w:eastAsia="Times New Roman" w:cs="Arial"/>
          <w:color w:val="000000" w:themeColor="text1"/>
          <w:spacing w:val="-3"/>
          <w:szCs w:val="24"/>
          <w:lang w:val="es-ES" w:eastAsia="es-ES"/>
        </w:rPr>
        <w:t>100</w:t>
      </w:r>
      <w:r w:rsidRPr="004752B3">
        <w:rPr>
          <w:rFonts w:eastAsia="Times New Roman" w:cs="Arial"/>
          <w:color w:val="000000" w:themeColor="text1"/>
          <w:spacing w:val="-3"/>
          <w:szCs w:val="24"/>
          <w:lang w:val="es-ES" w:eastAsia="es-ES"/>
        </w:rPr>
        <w:t xml:space="preserve"> de 2021 e ii) incorporar el valor </w:t>
      </w:r>
      <w:r w:rsidRPr="00DC30A4">
        <w:rPr>
          <w:rFonts w:eastAsia="Times New Roman" w:cs="Arial"/>
          <w:color w:val="000000" w:themeColor="text1"/>
          <w:spacing w:val="-3"/>
          <w:szCs w:val="24"/>
          <w:lang w:val="es-ES" w:eastAsia="es-ES"/>
        </w:rPr>
        <w:t xml:space="preserve">VAO que se aprobó mediante el artículo 1 de la Resolución CREG </w:t>
      </w:r>
      <w:r w:rsidR="005824F6" w:rsidRPr="00DC30A4">
        <w:rPr>
          <w:rFonts w:eastAsia="Times New Roman" w:cs="Arial"/>
          <w:color w:val="000000" w:themeColor="text1"/>
          <w:spacing w:val="-3"/>
          <w:szCs w:val="24"/>
          <w:lang w:val="es-ES" w:eastAsia="es-ES"/>
        </w:rPr>
        <w:t>100</w:t>
      </w:r>
      <w:r w:rsidRPr="00DC30A4">
        <w:rPr>
          <w:rFonts w:eastAsia="Times New Roman" w:cs="Arial"/>
          <w:color w:val="000000" w:themeColor="text1"/>
          <w:spacing w:val="-3"/>
          <w:szCs w:val="24"/>
          <w:lang w:val="es-ES" w:eastAsia="es-ES"/>
        </w:rPr>
        <w:t xml:space="preserve"> de 2021.</w:t>
      </w:r>
    </w:p>
    <w:p w14:paraId="0C15F97D" w14:textId="206C7D1A" w:rsidR="004D371C" w:rsidRDefault="004D371C" w:rsidP="00D60139">
      <w:pPr>
        <w:spacing w:after="0"/>
        <w:jc w:val="both"/>
        <w:rPr>
          <w:rFonts w:eastAsia="Times New Roman" w:cs="Arial"/>
          <w:color w:val="000000" w:themeColor="text1"/>
          <w:spacing w:val="-3"/>
          <w:szCs w:val="24"/>
          <w:lang w:val="es-ES" w:eastAsia="es-ES"/>
        </w:rPr>
      </w:pPr>
    </w:p>
    <w:p w14:paraId="7D081FD0" w14:textId="250A7489" w:rsidR="007E5EB2" w:rsidRDefault="007E5EB2" w:rsidP="007E5EB2">
      <w:pPr>
        <w:spacing w:after="0"/>
        <w:jc w:val="both"/>
        <w:rPr>
          <w:rFonts w:eastAsia="Times New Roman" w:cs="Arial"/>
          <w:color w:val="000000" w:themeColor="text1"/>
          <w:spacing w:val="-3"/>
          <w:szCs w:val="24"/>
          <w:lang w:val="es-ES" w:eastAsia="es-ES"/>
        </w:rPr>
      </w:pPr>
      <w:r w:rsidRPr="007E5EB2">
        <w:rPr>
          <w:rFonts w:eastAsia="Times New Roman" w:cs="Arial"/>
          <w:color w:val="000000" w:themeColor="text1"/>
          <w:spacing w:val="-3"/>
          <w:szCs w:val="24"/>
          <w:lang w:val="es-ES" w:eastAsia="es-ES"/>
        </w:rPr>
        <w:t>Mediante</w:t>
      </w:r>
      <w:r w:rsidR="000B0D89">
        <w:rPr>
          <w:rFonts w:eastAsia="Times New Roman" w:cs="Arial"/>
          <w:color w:val="000000" w:themeColor="text1"/>
          <w:spacing w:val="-3"/>
          <w:szCs w:val="24"/>
          <w:lang w:val="es-ES" w:eastAsia="es-ES"/>
        </w:rPr>
        <w:t xml:space="preserve"> Auto con</w:t>
      </w:r>
      <w:r w:rsidRPr="007E5EB2">
        <w:rPr>
          <w:rFonts w:eastAsia="Times New Roman" w:cs="Arial"/>
          <w:color w:val="000000" w:themeColor="text1"/>
          <w:spacing w:val="-3"/>
          <w:szCs w:val="24"/>
          <w:lang w:val="es-ES" w:eastAsia="es-ES"/>
        </w:rPr>
        <w:t xml:space="preserve"> radicado CREG I-2022-006306</w:t>
      </w:r>
      <w:r w:rsidR="00E74779">
        <w:rPr>
          <w:rFonts w:eastAsia="Times New Roman" w:cs="Arial"/>
          <w:color w:val="000000" w:themeColor="text1"/>
          <w:spacing w:val="-3"/>
          <w:szCs w:val="24"/>
          <w:lang w:val="es-ES" w:eastAsia="es-ES"/>
        </w:rPr>
        <w:t>,</w:t>
      </w:r>
      <w:r w:rsidRPr="007E5EB2">
        <w:rPr>
          <w:rFonts w:eastAsia="Times New Roman" w:cs="Arial"/>
          <w:color w:val="000000" w:themeColor="text1"/>
          <w:spacing w:val="-3"/>
          <w:szCs w:val="24"/>
          <w:lang w:val="es-ES" w:eastAsia="es-ES"/>
        </w:rPr>
        <w:t xml:space="preserve"> la Comisión ordenó iniciar una actuación administrativa con el objeto de ajustar los cargos</w:t>
      </w:r>
      <w:r>
        <w:rPr>
          <w:rFonts w:eastAsia="Times New Roman" w:cs="Arial"/>
          <w:color w:val="000000" w:themeColor="text1"/>
          <w:spacing w:val="-3"/>
          <w:szCs w:val="24"/>
          <w:lang w:val="es-ES" w:eastAsia="es-ES"/>
        </w:rPr>
        <w:t xml:space="preserve"> </w:t>
      </w:r>
      <w:r w:rsidRPr="007E5EB2">
        <w:rPr>
          <w:rFonts w:eastAsia="Times New Roman" w:cs="Arial"/>
          <w:color w:val="000000" w:themeColor="text1"/>
          <w:spacing w:val="-3"/>
          <w:szCs w:val="24"/>
          <w:lang w:val="es-ES" w:eastAsia="es-ES"/>
        </w:rPr>
        <w:t>regulados para el gasoducto Sebastopol – Medellín del sistema de transporte de</w:t>
      </w:r>
      <w:r>
        <w:rPr>
          <w:rFonts w:eastAsia="Times New Roman" w:cs="Arial"/>
          <w:color w:val="000000" w:themeColor="text1"/>
          <w:spacing w:val="-3"/>
          <w:szCs w:val="24"/>
          <w:lang w:val="es-ES" w:eastAsia="es-ES"/>
        </w:rPr>
        <w:t xml:space="preserve"> </w:t>
      </w:r>
      <w:r w:rsidRPr="007E5EB2">
        <w:rPr>
          <w:rFonts w:eastAsia="Times New Roman" w:cs="Arial"/>
          <w:color w:val="000000" w:themeColor="text1"/>
          <w:spacing w:val="-3"/>
          <w:szCs w:val="24"/>
          <w:lang w:val="es-ES" w:eastAsia="es-ES"/>
        </w:rPr>
        <w:t>TRANSMETANO E.S.P. S.A., de acuerdo con lo establecido en el artículo 14 de la</w:t>
      </w:r>
      <w:r>
        <w:rPr>
          <w:rFonts w:eastAsia="Times New Roman" w:cs="Arial"/>
          <w:color w:val="000000" w:themeColor="text1"/>
          <w:spacing w:val="-3"/>
          <w:szCs w:val="24"/>
          <w:lang w:val="es-ES" w:eastAsia="es-ES"/>
        </w:rPr>
        <w:t xml:space="preserve"> </w:t>
      </w:r>
      <w:r w:rsidRPr="007E5EB2">
        <w:rPr>
          <w:rFonts w:eastAsia="Times New Roman" w:cs="Arial"/>
          <w:color w:val="000000" w:themeColor="text1"/>
          <w:spacing w:val="-3"/>
          <w:szCs w:val="24"/>
          <w:lang w:val="es-ES" w:eastAsia="es-ES"/>
        </w:rPr>
        <w:t>Resolución CREG 126 de 2010 y en el artículo 7 de la Resolución CREG 175 de 2021.</w:t>
      </w:r>
      <w:r>
        <w:rPr>
          <w:rFonts w:eastAsia="Times New Roman" w:cs="Arial"/>
          <w:color w:val="000000" w:themeColor="text1"/>
          <w:spacing w:val="-3"/>
          <w:szCs w:val="24"/>
          <w:lang w:val="es-ES" w:eastAsia="es-ES"/>
        </w:rPr>
        <w:t xml:space="preserve"> En el mencionado auto se reconoció como tercero interesado a SURTIGAS S.A. E.S.P.</w:t>
      </w:r>
    </w:p>
    <w:p w14:paraId="0BFE5976" w14:textId="77777777" w:rsidR="00E74779" w:rsidRDefault="00E74779" w:rsidP="004B7EBF">
      <w:pPr>
        <w:jc w:val="both"/>
      </w:pPr>
    </w:p>
    <w:p w14:paraId="53CC47A6" w14:textId="179A7F2D" w:rsidR="00E505E8" w:rsidRDefault="00BB6C39" w:rsidP="00BB6C39">
      <w:pPr>
        <w:pStyle w:val="Textoindependiente2"/>
        <w:spacing w:after="0" w:line="240" w:lineRule="auto"/>
        <w:ind w:left="0"/>
        <w:jc w:val="both"/>
        <w:rPr>
          <w:rFonts w:ascii="Bookman Old Style" w:hAnsi="Bookman Old Style"/>
          <w:lang w:val="es-CO"/>
        </w:rPr>
      </w:pPr>
      <w:r w:rsidRPr="00BB6C39">
        <w:rPr>
          <w:rFonts w:ascii="Bookman Old Style" w:hAnsi="Bookman Old Style"/>
          <w:lang w:val="es-CO"/>
        </w:rPr>
        <w:t xml:space="preserve">Una vez surtido el procedimiento previsto en la Ley 142 de 1994, así como en la metodología de la Resolución CREG 126 de 2010, la Comisión de Regulación de Energía y Gas, en su </w:t>
      </w:r>
      <w:r w:rsidRPr="00CD26C9">
        <w:rPr>
          <w:rFonts w:ascii="Bookman Old Style" w:hAnsi="Bookman Old Style"/>
          <w:lang w:val="es-CO"/>
        </w:rPr>
        <w:t>sesión</w:t>
      </w:r>
      <w:r w:rsidR="00CD26C9">
        <w:rPr>
          <w:rFonts w:ascii="Bookman Old Style" w:hAnsi="Bookman Old Style"/>
          <w:lang w:val="es-CO"/>
        </w:rPr>
        <w:t xml:space="preserve"> No.</w:t>
      </w:r>
      <w:r w:rsidR="00BD6717" w:rsidRPr="00CD26C9">
        <w:rPr>
          <w:rFonts w:ascii="Bookman Old Style" w:hAnsi="Bookman Old Style"/>
          <w:lang w:val="es-CO"/>
        </w:rPr>
        <w:t xml:space="preserve">1182 </w:t>
      </w:r>
      <w:r w:rsidRPr="00CD26C9">
        <w:rPr>
          <w:rFonts w:ascii="Bookman Old Style" w:hAnsi="Bookman Old Style"/>
          <w:lang w:val="es-CO"/>
        </w:rPr>
        <w:t xml:space="preserve">del </w:t>
      </w:r>
      <w:r w:rsidR="00BD6717" w:rsidRPr="00CD26C9">
        <w:rPr>
          <w:rFonts w:ascii="Bookman Old Style" w:hAnsi="Bookman Old Style"/>
          <w:lang w:val="es-CO"/>
        </w:rPr>
        <w:t xml:space="preserve">15 </w:t>
      </w:r>
      <w:r w:rsidRPr="00CD26C9">
        <w:rPr>
          <w:rFonts w:ascii="Bookman Old Style" w:hAnsi="Bookman Old Style"/>
          <w:lang w:val="es-CO"/>
        </w:rPr>
        <w:t xml:space="preserve">de </w:t>
      </w:r>
      <w:r w:rsidR="00BD6717" w:rsidRPr="00CD26C9">
        <w:rPr>
          <w:rFonts w:ascii="Bookman Old Style" w:hAnsi="Bookman Old Style"/>
          <w:lang w:val="es-CO"/>
        </w:rPr>
        <w:t xml:space="preserve">julio </w:t>
      </w:r>
      <w:r w:rsidRPr="00CD26C9">
        <w:rPr>
          <w:rFonts w:ascii="Bookman Old Style" w:hAnsi="Bookman Old Style"/>
          <w:lang w:val="es-CO"/>
        </w:rPr>
        <w:t>de 2022, aprobó</w:t>
      </w:r>
      <w:r w:rsidRPr="00BB6C39">
        <w:rPr>
          <w:rFonts w:ascii="Bookman Old Style" w:hAnsi="Bookman Old Style"/>
          <w:lang w:val="es-CO"/>
        </w:rPr>
        <w:t xml:space="preserve"> la siguiente decisión mediante la cual se ajustan los cargos regulados para el gasoducto </w:t>
      </w:r>
      <w:r>
        <w:rPr>
          <w:rFonts w:ascii="Bookman Old Style" w:hAnsi="Bookman Old Style"/>
          <w:lang w:val="es-CO"/>
        </w:rPr>
        <w:t>Sebastopol - Medellín</w:t>
      </w:r>
      <w:r w:rsidRPr="00BB6C39">
        <w:rPr>
          <w:rFonts w:ascii="Bookman Old Style" w:hAnsi="Bookman Old Style"/>
          <w:lang w:val="es-CO"/>
        </w:rPr>
        <w:t xml:space="preserve"> del sistema de transporte de </w:t>
      </w:r>
      <w:r>
        <w:rPr>
          <w:rFonts w:ascii="Bookman Old Style" w:hAnsi="Bookman Old Style"/>
          <w:lang w:val="es-CO"/>
        </w:rPr>
        <w:t>Transmetano</w:t>
      </w:r>
      <w:r w:rsidR="00E74779">
        <w:rPr>
          <w:rFonts w:ascii="Bookman Old Style" w:hAnsi="Bookman Old Style"/>
          <w:lang w:val="es-CO"/>
        </w:rPr>
        <w:t>,</w:t>
      </w:r>
      <w:r w:rsidRPr="00BB6C39">
        <w:rPr>
          <w:rFonts w:ascii="Bookman Old Style" w:hAnsi="Bookman Old Style"/>
          <w:lang w:val="es-CO"/>
        </w:rPr>
        <w:t xml:space="preserve"> de acuerdo con los valores </w:t>
      </w:r>
      <w:r>
        <w:rPr>
          <w:rFonts w:ascii="Bookman Old Style" w:hAnsi="Bookman Old Style"/>
          <w:lang w:val="es-CO"/>
        </w:rPr>
        <w:t xml:space="preserve">VRAN y VAO </w:t>
      </w:r>
      <w:r w:rsidRPr="00BB6C39">
        <w:rPr>
          <w:rFonts w:ascii="Bookman Old Style" w:hAnsi="Bookman Old Style"/>
          <w:lang w:val="es-CO"/>
        </w:rPr>
        <w:t xml:space="preserve">aprobados en la Resolución CREG </w:t>
      </w:r>
      <w:r>
        <w:rPr>
          <w:rFonts w:ascii="Bookman Old Style" w:hAnsi="Bookman Old Style"/>
          <w:lang w:val="es-CO"/>
        </w:rPr>
        <w:t>100</w:t>
      </w:r>
      <w:r w:rsidRPr="00BB6C39">
        <w:rPr>
          <w:rFonts w:ascii="Bookman Old Style" w:hAnsi="Bookman Old Style"/>
          <w:lang w:val="es-CO"/>
        </w:rPr>
        <w:t xml:space="preserve"> de 2021</w:t>
      </w:r>
      <w:r w:rsidR="00D90EAE">
        <w:rPr>
          <w:rFonts w:ascii="Bookman Old Style" w:hAnsi="Bookman Old Style"/>
          <w:lang w:val="es-CO"/>
        </w:rPr>
        <w:t xml:space="preserve"> y lo establecido en el artículo 7 de la Resolución 175 de 2021</w:t>
      </w:r>
      <w:r w:rsidRPr="00BB6C39">
        <w:rPr>
          <w:rFonts w:ascii="Bookman Old Style" w:hAnsi="Bookman Old Style"/>
          <w:lang w:val="es-CO"/>
        </w:rPr>
        <w:t>.</w:t>
      </w:r>
    </w:p>
    <w:p w14:paraId="1D0D92A7" w14:textId="77777777" w:rsidR="00CD26C9" w:rsidRDefault="00CD26C9" w:rsidP="00BB6C39">
      <w:pPr>
        <w:pStyle w:val="Textoindependiente2"/>
        <w:spacing w:after="0" w:line="240" w:lineRule="auto"/>
        <w:ind w:left="0"/>
        <w:jc w:val="both"/>
        <w:rPr>
          <w:rFonts w:ascii="Bookman Old Style" w:hAnsi="Bookman Old Style"/>
          <w:lang w:val="es-CO"/>
        </w:rPr>
      </w:pPr>
    </w:p>
    <w:p w14:paraId="591B3491" w14:textId="79B1A29C" w:rsidR="00BB6C39" w:rsidRDefault="00BB6C39" w:rsidP="003B1686">
      <w:pPr>
        <w:pStyle w:val="Textoindependiente2"/>
        <w:spacing w:after="0" w:line="240" w:lineRule="auto"/>
        <w:ind w:left="0" w:right="284"/>
        <w:jc w:val="both"/>
        <w:rPr>
          <w:rFonts w:ascii="Bookman Old Style" w:hAnsi="Bookman Old Style"/>
          <w:lang w:val="es-CO"/>
        </w:rPr>
      </w:pPr>
    </w:p>
    <w:p w14:paraId="2562B76D" w14:textId="2CBFD813" w:rsidR="00620335" w:rsidRDefault="00620335" w:rsidP="00993EE7">
      <w:pPr>
        <w:suppressAutoHyphens/>
        <w:jc w:val="center"/>
        <w:rPr>
          <w:b/>
          <w:spacing w:val="-3"/>
          <w:szCs w:val="24"/>
        </w:rPr>
      </w:pPr>
      <w:r w:rsidRPr="005A1326">
        <w:rPr>
          <w:b/>
          <w:spacing w:val="-3"/>
          <w:szCs w:val="24"/>
        </w:rPr>
        <w:t>R E S U E L V E:</w:t>
      </w:r>
    </w:p>
    <w:p w14:paraId="56D12EB6" w14:textId="31F9E5D8" w:rsidR="00CD26C9" w:rsidRDefault="00CD26C9" w:rsidP="00993EE7">
      <w:pPr>
        <w:suppressAutoHyphens/>
        <w:jc w:val="center"/>
        <w:rPr>
          <w:b/>
          <w:spacing w:val="-3"/>
          <w:szCs w:val="24"/>
        </w:rPr>
      </w:pPr>
    </w:p>
    <w:p w14:paraId="5AF34E42" w14:textId="77777777" w:rsidR="00CD26C9" w:rsidRDefault="00CD26C9" w:rsidP="00993EE7">
      <w:pPr>
        <w:suppressAutoHyphens/>
        <w:jc w:val="center"/>
        <w:rPr>
          <w:b/>
          <w:spacing w:val="-3"/>
          <w:szCs w:val="24"/>
        </w:rPr>
      </w:pPr>
    </w:p>
    <w:p w14:paraId="6211268B" w14:textId="77777777" w:rsidR="00E74779" w:rsidRPr="00CD26C9" w:rsidRDefault="00E74779" w:rsidP="00CD26C9">
      <w:pPr>
        <w:pStyle w:val="ARTICULOS"/>
        <w:numPr>
          <w:ilvl w:val="0"/>
          <w:numId w:val="0"/>
        </w:numPr>
        <w:ind w:firstLine="1"/>
      </w:pPr>
    </w:p>
    <w:p w14:paraId="11EE892C" w14:textId="5429C902" w:rsidR="003764DC" w:rsidRDefault="00A400FA" w:rsidP="00A400FA">
      <w:pPr>
        <w:pStyle w:val="ARTICULOS"/>
      </w:pPr>
      <w:r w:rsidRPr="002A101F">
        <w:rPr>
          <w:b/>
          <w:bCs w:val="0"/>
        </w:rPr>
        <w:t>Objeto.</w:t>
      </w:r>
      <w:r w:rsidRPr="00A400FA">
        <w:t xml:space="preserve"> Ajustar los cargos regulados del sistema de transporte de </w:t>
      </w:r>
      <w:r w:rsidR="002A101F">
        <w:rPr>
          <w:lang w:val="es-CO"/>
        </w:rPr>
        <w:t>Transmetano</w:t>
      </w:r>
      <w:r w:rsidRPr="00A400FA">
        <w:t xml:space="preserve"> E.S.P. </w:t>
      </w:r>
      <w:r w:rsidR="002A101F" w:rsidRPr="00A400FA">
        <w:t xml:space="preserve">S.A. </w:t>
      </w:r>
      <w:r w:rsidR="00DE2A75">
        <w:rPr>
          <w:lang w:val="es-CO"/>
        </w:rPr>
        <w:t xml:space="preserve">(i) </w:t>
      </w:r>
      <w:r w:rsidRPr="00A400FA">
        <w:t xml:space="preserve">incorporando el valor de la variable VAOt aprobado en el artículo 1 de la Resolución CREG </w:t>
      </w:r>
      <w:r w:rsidR="002A101F">
        <w:rPr>
          <w:lang w:val="es-CO"/>
        </w:rPr>
        <w:t>100</w:t>
      </w:r>
      <w:r w:rsidRPr="00A400FA">
        <w:t xml:space="preserve"> de 2021, conforme a la declaración de </w:t>
      </w:r>
      <w:r w:rsidR="002A101F">
        <w:rPr>
          <w:lang w:val="es-CO"/>
        </w:rPr>
        <w:t>Transmetano</w:t>
      </w:r>
      <w:r w:rsidRPr="00A400FA">
        <w:t xml:space="preserve"> de </w:t>
      </w:r>
      <w:r w:rsidR="00035658" w:rsidRPr="00035658">
        <w:rPr>
          <w:lang w:val="es-CO"/>
        </w:rPr>
        <w:t xml:space="preserve">no reponer </w:t>
      </w:r>
      <w:r w:rsidR="00182A03">
        <w:rPr>
          <w:lang w:val="es-CO"/>
        </w:rPr>
        <w:t>el gasoducto Sebastopol – Medellín</w:t>
      </w:r>
      <w:r w:rsidR="00035658" w:rsidRPr="00035658">
        <w:rPr>
          <w:lang w:val="es-CO"/>
        </w:rPr>
        <w:t xml:space="preserve"> que cumplió el periodo de Vida Útil Normativa </w:t>
      </w:r>
      <w:r w:rsidR="00E05167">
        <w:rPr>
          <w:lang w:val="es-CO"/>
        </w:rPr>
        <w:t xml:space="preserve">y </w:t>
      </w:r>
      <w:r w:rsidR="00035658" w:rsidRPr="00035658">
        <w:rPr>
          <w:lang w:val="es-CO"/>
        </w:rPr>
        <w:t>continuar operando dicho gasoducto</w:t>
      </w:r>
      <w:r w:rsidR="0040504A">
        <w:rPr>
          <w:lang w:val="es-CO"/>
        </w:rPr>
        <w:t xml:space="preserve">, y (ii) </w:t>
      </w:r>
      <w:r w:rsidR="009A3BB3" w:rsidRPr="009A3BB3">
        <w:rPr>
          <w:lang w:val="es-CO"/>
        </w:rPr>
        <w:t xml:space="preserve">retirando los valores que están en el Anexo 2 de la Resolución CREG </w:t>
      </w:r>
      <w:r w:rsidR="009A3BB3">
        <w:rPr>
          <w:lang w:val="es-CO"/>
        </w:rPr>
        <w:t>100</w:t>
      </w:r>
      <w:r w:rsidR="009A3BB3" w:rsidRPr="009A3BB3">
        <w:rPr>
          <w:lang w:val="es-CO"/>
        </w:rPr>
        <w:t xml:space="preserve"> de 2021</w:t>
      </w:r>
      <w:r w:rsidRPr="00A400FA">
        <w:t>. Lo anterior, en aplicación de lo dispuesto en el artículo 14 de la Resolución CREG 126 de 2010 y el artículo 7 de la Resolución CREG 175 de 2021.</w:t>
      </w:r>
    </w:p>
    <w:p w14:paraId="2ACFD13D" w14:textId="77777777" w:rsidR="002A101F" w:rsidRPr="00A400FA" w:rsidRDefault="002A101F" w:rsidP="002A101F">
      <w:pPr>
        <w:pStyle w:val="ARTICULOS"/>
        <w:numPr>
          <w:ilvl w:val="0"/>
          <w:numId w:val="0"/>
        </w:numPr>
        <w:ind w:left="1"/>
      </w:pPr>
    </w:p>
    <w:p w14:paraId="49D14EE8" w14:textId="68A2139C" w:rsidR="00C41A6C" w:rsidRPr="00C41A6C" w:rsidRDefault="00B470D7" w:rsidP="002A101F">
      <w:pPr>
        <w:pStyle w:val="ARTICULOS"/>
      </w:pPr>
      <w:r w:rsidRPr="00B470D7">
        <w:t xml:space="preserve">Modificar el artículo 2 </w:t>
      </w:r>
      <w:r w:rsidR="003802E7" w:rsidRPr="003802E7">
        <w:t>de la Resolución CREG 114 de 2011</w:t>
      </w:r>
      <w:r w:rsidR="003802E7">
        <w:rPr>
          <w:lang w:val="es-CO"/>
        </w:rPr>
        <w:t xml:space="preserve">, modificado por el </w:t>
      </w:r>
      <w:r w:rsidR="00B37577">
        <w:rPr>
          <w:lang w:val="es-CO"/>
        </w:rPr>
        <w:t xml:space="preserve">artículo 1 de la </w:t>
      </w:r>
      <w:r w:rsidRPr="00B470D7">
        <w:t xml:space="preserve">Resolución CREG </w:t>
      </w:r>
      <w:r w:rsidR="00CB3DE7">
        <w:rPr>
          <w:lang w:val="es-CO"/>
        </w:rPr>
        <w:t>0</w:t>
      </w:r>
      <w:r w:rsidR="003802E7">
        <w:rPr>
          <w:lang w:val="es-CO"/>
        </w:rPr>
        <w:t>41</w:t>
      </w:r>
      <w:r w:rsidR="00751905" w:rsidRPr="00751905">
        <w:t xml:space="preserve"> de 2015</w:t>
      </w:r>
      <w:r w:rsidR="00374A18">
        <w:rPr>
          <w:lang w:val="es-CO"/>
        </w:rPr>
        <w:t>,</w:t>
      </w:r>
      <w:r w:rsidR="001F72A8">
        <w:rPr>
          <w:lang w:val="es-CO"/>
        </w:rPr>
        <w:t xml:space="preserve"> </w:t>
      </w:r>
      <w:r w:rsidRPr="00B470D7">
        <w:t>así:</w:t>
      </w:r>
    </w:p>
    <w:p w14:paraId="7FA371C0" w14:textId="77777777" w:rsidR="00A62376" w:rsidRDefault="00A62376" w:rsidP="00A62376">
      <w:pPr>
        <w:pStyle w:val="ARTICULOS"/>
        <w:numPr>
          <w:ilvl w:val="0"/>
          <w:numId w:val="0"/>
        </w:numPr>
        <w:ind w:left="284"/>
        <w:rPr>
          <w:b/>
          <w:bCs w:val="0"/>
          <w:lang w:val="es-CO"/>
        </w:rPr>
      </w:pPr>
    </w:p>
    <w:p w14:paraId="300469B4" w14:textId="77193315" w:rsidR="003764DC" w:rsidRPr="009D6712" w:rsidRDefault="009D6712" w:rsidP="00A62376">
      <w:pPr>
        <w:pStyle w:val="ARTICULOS"/>
        <w:numPr>
          <w:ilvl w:val="0"/>
          <w:numId w:val="0"/>
        </w:numPr>
        <w:ind w:left="284"/>
        <w:rPr>
          <w:lang w:val="es-CO"/>
        </w:rPr>
      </w:pPr>
      <w:r>
        <w:rPr>
          <w:b/>
          <w:bCs w:val="0"/>
          <w:lang w:val="es-CO"/>
        </w:rPr>
        <w:t>“</w:t>
      </w:r>
      <w:r w:rsidR="00B470D7">
        <w:rPr>
          <w:b/>
          <w:bCs w:val="0"/>
          <w:lang w:val="es-CO"/>
        </w:rPr>
        <w:t>Artículo</w:t>
      </w:r>
      <w:r w:rsidR="001544FF">
        <w:rPr>
          <w:b/>
          <w:bCs w:val="0"/>
          <w:lang w:val="es-CO"/>
        </w:rPr>
        <w:t xml:space="preserve"> 2. </w:t>
      </w:r>
      <w:r w:rsidR="009E4517" w:rsidRPr="009E4517">
        <w:rPr>
          <w:b/>
          <w:bCs w:val="0"/>
        </w:rPr>
        <w:t>Inversión existente.</w:t>
      </w:r>
      <w:r w:rsidR="009E4517" w:rsidRPr="009E4517">
        <w:t xml:space="preserve"> Como inversión existente, IEt, se reconocen US$ </w:t>
      </w:r>
      <w:r w:rsidR="00A62376">
        <w:rPr>
          <w:lang w:val="es-CO"/>
        </w:rPr>
        <w:t>144.</w:t>
      </w:r>
      <w:r w:rsidR="00086870">
        <w:rPr>
          <w:lang w:val="es-CO"/>
        </w:rPr>
        <w:t>055.410</w:t>
      </w:r>
      <w:r w:rsidR="00C4343B" w:rsidRPr="00C4343B">
        <w:t xml:space="preserve"> </w:t>
      </w:r>
      <w:r w:rsidR="009E4517" w:rsidRPr="009E4517">
        <w:t>(dólares de diciembre de 2009) de acuerdo con la desagregación presentada en el Anexo 1 de esta Resolución.</w:t>
      </w:r>
      <w:r>
        <w:rPr>
          <w:lang w:val="es-CO"/>
        </w:rPr>
        <w:t>”</w:t>
      </w:r>
    </w:p>
    <w:p w14:paraId="65BAC63B" w14:textId="77777777" w:rsidR="004504E6" w:rsidRDefault="004504E6" w:rsidP="00A62376">
      <w:pPr>
        <w:pStyle w:val="ARTICULOS"/>
        <w:numPr>
          <w:ilvl w:val="0"/>
          <w:numId w:val="0"/>
        </w:numPr>
        <w:ind w:left="284"/>
      </w:pPr>
    </w:p>
    <w:p w14:paraId="76630864" w14:textId="10753B09" w:rsidR="00B643E5" w:rsidRPr="000D6799" w:rsidRDefault="00B643E5" w:rsidP="00B643E5">
      <w:pPr>
        <w:pStyle w:val="ARTICULOS"/>
      </w:pPr>
      <w:r>
        <w:t xml:space="preserve">Modificar el artículo </w:t>
      </w:r>
      <w:r w:rsidR="00F174A9">
        <w:rPr>
          <w:lang w:val="es-CO"/>
        </w:rPr>
        <w:t>5</w:t>
      </w:r>
      <w:r>
        <w:t xml:space="preserve"> de la Resolución CREG </w:t>
      </w:r>
      <w:r w:rsidR="00F174A9">
        <w:rPr>
          <w:lang w:val="es-CO"/>
        </w:rPr>
        <w:t>092</w:t>
      </w:r>
      <w:r>
        <w:t xml:space="preserve"> de 201</w:t>
      </w:r>
      <w:r w:rsidR="00F174A9">
        <w:rPr>
          <w:lang w:val="es-CO"/>
        </w:rPr>
        <w:t>5</w:t>
      </w:r>
      <w:r>
        <w:t xml:space="preserve"> así:</w:t>
      </w:r>
    </w:p>
    <w:p w14:paraId="5045D88B" w14:textId="77777777" w:rsidR="00B643E5" w:rsidRDefault="00B643E5" w:rsidP="00717BBA">
      <w:pPr>
        <w:pStyle w:val="ARTICULOS"/>
        <w:numPr>
          <w:ilvl w:val="0"/>
          <w:numId w:val="0"/>
        </w:numPr>
        <w:ind w:left="1"/>
      </w:pPr>
    </w:p>
    <w:p w14:paraId="2F7FA091" w14:textId="2A1680AC" w:rsidR="00334151" w:rsidRDefault="009D6712" w:rsidP="00334151">
      <w:pPr>
        <w:ind w:left="284"/>
        <w:jc w:val="both"/>
      </w:pPr>
      <w:r>
        <w:rPr>
          <w:rFonts w:eastAsia="Times New Roman" w:cs="Arial"/>
          <w:b/>
          <w:bCs/>
          <w:spacing w:val="-3"/>
          <w:szCs w:val="24"/>
          <w:lang w:eastAsia="x-none"/>
        </w:rPr>
        <w:t>“</w:t>
      </w:r>
      <w:r w:rsidR="00F174A9" w:rsidRPr="00F174A9">
        <w:rPr>
          <w:rFonts w:eastAsia="Times New Roman" w:cs="Arial"/>
          <w:b/>
          <w:bCs/>
          <w:spacing w:val="-3"/>
          <w:szCs w:val="24"/>
          <w:lang w:val="x-none" w:eastAsia="x-none"/>
        </w:rPr>
        <w:t>Artículo 5.</w:t>
      </w:r>
      <w:r w:rsidR="00F174A9" w:rsidRPr="00F174A9">
        <w:rPr>
          <w:rFonts w:eastAsia="Times New Roman" w:cs="Arial"/>
          <w:spacing w:val="-3"/>
          <w:szCs w:val="24"/>
          <w:lang w:val="x-none" w:eastAsia="x-none"/>
        </w:rPr>
        <w:t xml:space="preserve"> </w:t>
      </w:r>
      <w:r w:rsidR="00F174A9" w:rsidRPr="00227547">
        <w:rPr>
          <w:rFonts w:eastAsia="Times New Roman" w:cs="Arial"/>
          <w:b/>
          <w:bCs/>
          <w:spacing w:val="-3"/>
          <w:szCs w:val="24"/>
          <w:lang w:val="x-none" w:eastAsia="x-none"/>
        </w:rPr>
        <w:t>Cargos Regulados de Referencia para la Remuneración de los Costos de Inversión.</w:t>
      </w:r>
      <w:r w:rsidR="00F174A9" w:rsidRPr="00F174A9">
        <w:rPr>
          <w:rFonts w:eastAsia="Times New Roman" w:cs="Arial"/>
          <w:spacing w:val="-3"/>
          <w:szCs w:val="24"/>
          <w:lang w:val="x-none" w:eastAsia="x-none"/>
        </w:rPr>
        <w:t xml:space="preserve"> Para remunerar los costos de inversión para el sistema de transporte definido en el artículo 1 de esta Resolución, de conformidad con lo establecido en la Resolución CREG 126 de 2010</w:t>
      </w:r>
      <w:r w:rsidR="00FB34B8">
        <w:rPr>
          <w:rFonts w:eastAsia="Times New Roman" w:cs="Arial"/>
          <w:spacing w:val="-3"/>
          <w:szCs w:val="24"/>
          <w:lang w:eastAsia="x-none"/>
        </w:rPr>
        <w:t xml:space="preserve"> </w:t>
      </w:r>
      <w:r w:rsidR="00334151">
        <w:t>y el artículo 7 de la Resolución CREG 175 de 2021</w:t>
      </w:r>
      <w:r w:rsidR="00334151" w:rsidRPr="00F57931">
        <w:t>, se aprueban las siguientes parejas de cargos regulados:</w:t>
      </w:r>
    </w:p>
    <w:p w14:paraId="181EFDD2" w14:textId="77777777" w:rsidR="00522B60" w:rsidRDefault="00522B60" w:rsidP="00334151">
      <w:pPr>
        <w:ind w:left="284"/>
        <w:jc w:val="both"/>
      </w:pPr>
    </w:p>
    <w:tbl>
      <w:tblPr>
        <w:tblW w:w="4818" w:type="pct"/>
        <w:tblInd w:w="284" w:type="dxa"/>
        <w:tblCellMar>
          <w:left w:w="70" w:type="dxa"/>
          <w:right w:w="70" w:type="dxa"/>
        </w:tblCellMar>
        <w:tblLook w:val="04A0" w:firstRow="1" w:lastRow="0" w:firstColumn="1" w:lastColumn="0" w:noHBand="0" w:noVBand="1"/>
      </w:tblPr>
      <w:tblGrid>
        <w:gridCol w:w="652"/>
        <w:gridCol w:w="1191"/>
        <w:gridCol w:w="1192"/>
        <w:gridCol w:w="1194"/>
        <w:gridCol w:w="1194"/>
        <w:gridCol w:w="1194"/>
        <w:gridCol w:w="1195"/>
        <w:gridCol w:w="1203"/>
      </w:tblGrid>
      <w:tr w:rsidR="00D60EEC" w:rsidRPr="00D60EEC" w14:paraId="52DF3347" w14:textId="77777777" w:rsidTr="0033161F">
        <w:trPr>
          <w:trHeight w:val="245"/>
        </w:trPr>
        <w:tc>
          <w:tcPr>
            <w:tcW w:w="5000" w:type="pct"/>
            <w:gridSpan w:val="8"/>
            <w:tcBorders>
              <w:top w:val="single" w:sz="8" w:space="0" w:color="auto"/>
              <w:left w:val="nil"/>
              <w:bottom w:val="single" w:sz="4" w:space="0" w:color="auto"/>
              <w:right w:val="nil"/>
            </w:tcBorders>
            <w:shd w:val="clear" w:color="000000" w:fill="FFFFFF"/>
            <w:noWrap/>
            <w:vAlign w:val="bottom"/>
            <w:hideMark/>
          </w:tcPr>
          <w:p w14:paraId="3942CDD5" w14:textId="7FB5587E" w:rsidR="00D60EEC" w:rsidRPr="00D60EEC" w:rsidRDefault="00D60EEC" w:rsidP="00D60EEC">
            <w:pPr>
              <w:spacing w:after="0"/>
              <w:contextualSpacing w:val="0"/>
              <w:jc w:val="center"/>
              <w:rPr>
                <w:rFonts w:eastAsia="Times New Roman" w:cs="Times New Roman"/>
                <w:b/>
                <w:bCs/>
                <w:color w:val="000000"/>
                <w:sz w:val="22"/>
                <w:lang w:eastAsia="es-CO"/>
              </w:rPr>
            </w:pPr>
            <w:r w:rsidRPr="00D60EEC">
              <w:rPr>
                <w:rFonts w:eastAsia="Times New Roman" w:cs="Times New Roman"/>
                <w:b/>
                <w:bCs/>
                <w:color w:val="000000"/>
                <w:sz w:val="22"/>
                <w:lang w:eastAsia="es-CO"/>
              </w:rPr>
              <w:t>Sistema de Transporte de Transmetano</w:t>
            </w:r>
            <w:r w:rsidR="00C02F20" w:rsidRPr="00CF5FDA">
              <w:rPr>
                <w:rFonts w:eastAsia="Times New Roman" w:cs="Times New Roman"/>
                <w:b/>
                <w:bCs/>
                <w:color w:val="000000"/>
                <w:sz w:val="22"/>
                <w:lang w:eastAsia="es-CO"/>
              </w:rPr>
              <w:t xml:space="preserve">. Gasoducto </w:t>
            </w:r>
            <w:r w:rsidRPr="00D60EEC">
              <w:rPr>
                <w:rFonts w:eastAsia="Times New Roman" w:cs="Times New Roman"/>
                <w:b/>
                <w:bCs/>
                <w:color w:val="000000"/>
                <w:sz w:val="22"/>
                <w:lang w:eastAsia="es-CO"/>
              </w:rPr>
              <w:t xml:space="preserve">Sebastopol - Medellín </w:t>
            </w:r>
          </w:p>
        </w:tc>
      </w:tr>
      <w:tr w:rsidR="00C02F20" w:rsidRPr="00080C9A" w14:paraId="0D1E589D" w14:textId="77777777" w:rsidTr="0033161F">
        <w:trPr>
          <w:trHeight w:val="245"/>
        </w:trPr>
        <w:tc>
          <w:tcPr>
            <w:tcW w:w="362" w:type="pct"/>
            <w:tcBorders>
              <w:top w:val="nil"/>
              <w:left w:val="nil"/>
              <w:bottom w:val="nil"/>
              <w:right w:val="nil"/>
            </w:tcBorders>
            <w:shd w:val="clear" w:color="000000" w:fill="FFFFFF"/>
            <w:noWrap/>
            <w:vAlign w:val="bottom"/>
            <w:hideMark/>
          </w:tcPr>
          <w:p w14:paraId="57BF0EE5" w14:textId="77777777" w:rsidR="00D60EEC" w:rsidRPr="00D60EEC" w:rsidRDefault="00D60EEC" w:rsidP="00D60EEC">
            <w:pPr>
              <w:spacing w:after="0"/>
              <w:contextualSpacing w:val="0"/>
              <w:rPr>
                <w:rFonts w:eastAsia="Times New Roman" w:cs="Times New Roman"/>
                <w:color w:val="000000"/>
                <w:sz w:val="20"/>
                <w:szCs w:val="20"/>
                <w:lang w:eastAsia="es-CO"/>
              </w:rPr>
            </w:pPr>
            <w:r w:rsidRPr="00D60EEC">
              <w:rPr>
                <w:rFonts w:eastAsia="Times New Roman" w:cs="Times New Roman"/>
                <w:color w:val="000000"/>
                <w:sz w:val="20"/>
                <w:szCs w:val="20"/>
                <w:lang w:eastAsia="es-CO"/>
              </w:rPr>
              <w:t>% [1]</w:t>
            </w:r>
          </w:p>
        </w:tc>
        <w:tc>
          <w:tcPr>
            <w:tcW w:w="661" w:type="pct"/>
            <w:tcBorders>
              <w:top w:val="nil"/>
              <w:left w:val="nil"/>
              <w:bottom w:val="nil"/>
              <w:right w:val="nil"/>
            </w:tcBorders>
            <w:shd w:val="clear" w:color="000000" w:fill="FFFFFF"/>
            <w:noWrap/>
            <w:vAlign w:val="bottom"/>
            <w:hideMark/>
          </w:tcPr>
          <w:p w14:paraId="57AB5ACE" w14:textId="71939E17" w:rsidR="00D60EEC" w:rsidRPr="00D60EEC" w:rsidRDefault="00D60EEC" w:rsidP="00D60EEC">
            <w:pPr>
              <w:spacing w:after="0"/>
              <w:contextualSpacing w:val="0"/>
              <w:jc w:val="center"/>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w:t>
            </w:r>
          </w:p>
        </w:tc>
        <w:tc>
          <w:tcPr>
            <w:tcW w:w="661" w:type="pct"/>
            <w:tcBorders>
              <w:top w:val="nil"/>
              <w:left w:val="nil"/>
              <w:bottom w:val="nil"/>
              <w:right w:val="nil"/>
            </w:tcBorders>
            <w:shd w:val="clear" w:color="000000" w:fill="FFFFFF"/>
            <w:noWrap/>
            <w:vAlign w:val="bottom"/>
            <w:hideMark/>
          </w:tcPr>
          <w:p w14:paraId="63C77517" w14:textId="6A1948C4" w:rsidR="00D60EEC" w:rsidRPr="00D60EEC" w:rsidRDefault="00D60EEC" w:rsidP="00D60EEC">
            <w:pPr>
              <w:spacing w:after="0"/>
              <w:contextualSpacing w:val="0"/>
              <w:jc w:val="center"/>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20</w:t>
            </w:r>
          </w:p>
        </w:tc>
        <w:tc>
          <w:tcPr>
            <w:tcW w:w="662" w:type="pct"/>
            <w:tcBorders>
              <w:top w:val="nil"/>
              <w:left w:val="nil"/>
              <w:bottom w:val="nil"/>
              <w:right w:val="nil"/>
            </w:tcBorders>
            <w:shd w:val="clear" w:color="000000" w:fill="FFFFFF"/>
            <w:noWrap/>
            <w:vAlign w:val="bottom"/>
            <w:hideMark/>
          </w:tcPr>
          <w:p w14:paraId="75E3CE8A" w14:textId="6FDF3D84" w:rsidR="00D60EEC" w:rsidRPr="00D60EEC" w:rsidRDefault="00D60EEC" w:rsidP="00D60EEC">
            <w:pPr>
              <w:spacing w:after="0"/>
              <w:contextualSpacing w:val="0"/>
              <w:jc w:val="center"/>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40</w:t>
            </w:r>
          </w:p>
        </w:tc>
        <w:tc>
          <w:tcPr>
            <w:tcW w:w="662" w:type="pct"/>
            <w:tcBorders>
              <w:top w:val="nil"/>
              <w:left w:val="nil"/>
              <w:bottom w:val="nil"/>
              <w:right w:val="nil"/>
            </w:tcBorders>
            <w:shd w:val="clear" w:color="000000" w:fill="FFFFFF"/>
            <w:noWrap/>
            <w:vAlign w:val="bottom"/>
            <w:hideMark/>
          </w:tcPr>
          <w:p w14:paraId="3F778682" w14:textId="7B99CD1B" w:rsidR="00D60EEC" w:rsidRPr="00D60EEC" w:rsidRDefault="00D60EEC" w:rsidP="00D60EEC">
            <w:pPr>
              <w:spacing w:after="0"/>
              <w:contextualSpacing w:val="0"/>
              <w:jc w:val="center"/>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50</w:t>
            </w:r>
          </w:p>
        </w:tc>
        <w:tc>
          <w:tcPr>
            <w:tcW w:w="662" w:type="pct"/>
            <w:tcBorders>
              <w:top w:val="nil"/>
              <w:left w:val="nil"/>
              <w:bottom w:val="nil"/>
              <w:right w:val="nil"/>
            </w:tcBorders>
            <w:shd w:val="clear" w:color="000000" w:fill="FFFFFF"/>
            <w:noWrap/>
            <w:vAlign w:val="bottom"/>
            <w:hideMark/>
          </w:tcPr>
          <w:p w14:paraId="67700529" w14:textId="0449A898" w:rsidR="00D60EEC" w:rsidRPr="00D60EEC" w:rsidRDefault="00D60EEC" w:rsidP="00D60EEC">
            <w:pPr>
              <w:spacing w:after="0"/>
              <w:contextualSpacing w:val="0"/>
              <w:jc w:val="center"/>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60</w:t>
            </w:r>
          </w:p>
        </w:tc>
        <w:tc>
          <w:tcPr>
            <w:tcW w:w="663" w:type="pct"/>
            <w:tcBorders>
              <w:top w:val="nil"/>
              <w:left w:val="nil"/>
              <w:bottom w:val="nil"/>
              <w:right w:val="nil"/>
            </w:tcBorders>
            <w:shd w:val="clear" w:color="000000" w:fill="FFFFFF"/>
            <w:noWrap/>
            <w:vAlign w:val="bottom"/>
            <w:hideMark/>
          </w:tcPr>
          <w:p w14:paraId="4F82F13A" w14:textId="53AA4553" w:rsidR="00D60EEC" w:rsidRPr="00D60EEC" w:rsidRDefault="00D60EEC" w:rsidP="00D60EEC">
            <w:pPr>
              <w:spacing w:after="0"/>
              <w:contextualSpacing w:val="0"/>
              <w:jc w:val="center"/>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70</w:t>
            </w:r>
          </w:p>
        </w:tc>
        <w:tc>
          <w:tcPr>
            <w:tcW w:w="667" w:type="pct"/>
            <w:tcBorders>
              <w:top w:val="nil"/>
              <w:left w:val="nil"/>
              <w:bottom w:val="nil"/>
              <w:right w:val="nil"/>
            </w:tcBorders>
            <w:shd w:val="clear" w:color="000000" w:fill="FFFFFF"/>
            <w:noWrap/>
            <w:vAlign w:val="bottom"/>
            <w:hideMark/>
          </w:tcPr>
          <w:p w14:paraId="6D6D1728" w14:textId="15FBE6E3" w:rsidR="00D60EEC" w:rsidRPr="00D60EEC" w:rsidRDefault="00D60EEC" w:rsidP="00D60EEC">
            <w:pPr>
              <w:spacing w:after="0"/>
              <w:contextualSpacing w:val="0"/>
              <w:jc w:val="center"/>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80</w:t>
            </w:r>
          </w:p>
        </w:tc>
      </w:tr>
      <w:tr w:rsidR="00C02F20" w:rsidRPr="00080C9A" w14:paraId="056ACA58" w14:textId="77777777" w:rsidTr="0033161F">
        <w:trPr>
          <w:trHeight w:val="257"/>
        </w:trPr>
        <w:tc>
          <w:tcPr>
            <w:tcW w:w="362" w:type="pct"/>
            <w:tcBorders>
              <w:top w:val="nil"/>
              <w:left w:val="nil"/>
              <w:bottom w:val="nil"/>
              <w:right w:val="nil"/>
            </w:tcBorders>
            <w:shd w:val="clear" w:color="000000" w:fill="FFFFFF"/>
            <w:noWrap/>
            <w:vAlign w:val="bottom"/>
            <w:hideMark/>
          </w:tcPr>
          <w:p w14:paraId="603A34E8" w14:textId="77777777" w:rsidR="00D60EEC" w:rsidRPr="00D60EEC" w:rsidRDefault="00D60EEC" w:rsidP="00D60EEC">
            <w:pPr>
              <w:spacing w:after="0"/>
              <w:contextualSpacing w:val="0"/>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CF</w:t>
            </w:r>
          </w:p>
        </w:tc>
        <w:tc>
          <w:tcPr>
            <w:tcW w:w="661" w:type="pct"/>
            <w:tcBorders>
              <w:top w:val="nil"/>
              <w:left w:val="nil"/>
              <w:bottom w:val="nil"/>
              <w:right w:val="nil"/>
            </w:tcBorders>
            <w:shd w:val="clear" w:color="000000" w:fill="FFFFFF"/>
            <w:noWrap/>
            <w:vAlign w:val="bottom"/>
            <w:hideMark/>
          </w:tcPr>
          <w:p w14:paraId="340C9920" w14:textId="40B5170A"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w:t>
            </w:r>
          </w:p>
        </w:tc>
        <w:tc>
          <w:tcPr>
            <w:tcW w:w="661" w:type="pct"/>
            <w:tcBorders>
              <w:top w:val="nil"/>
              <w:left w:val="nil"/>
              <w:bottom w:val="nil"/>
              <w:right w:val="nil"/>
            </w:tcBorders>
            <w:shd w:val="clear" w:color="000000" w:fill="FFFFFF"/>
            <w:noWrap/>
            <w:vAlign w:val="bottom"/>
            <w:hideMark/>
          </w:tcPr>
          <w:p w14:paraId="625B293B" w14:textId="3BCBFF93"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79,784</w:t>
            </w:r>
          </w:p>
        </w:tc>
        <w:tc>
          <w:tcPr>
            <w:tcW w:w="662" w:type="pct"/>
            <w:tcBorders>
              <w:top w:val="nil"/>
              <w:left w:val="nil"/>
              <w:bottom w:val="nil"/>
              <w:right w:val="nil"/>
            </w:tcBorders>
            <w:shd w:val="clear" w:color="000000" w:fill="FFFFFF"/>
            <w:noWrap/>
            <w:vAlign w:val="bottom"/>
            <w:hideMark/>
          </w:tcPr>
          <w:p w14:paraId="5E4996A5" w14:textId="73A18FAD"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159,569</w:t>
            </w:r>
          </w:p>
        </w:tc>
        <w:tc>
          <w:tcPr>
            <w:tcW w:w="662" w:type="pct"/>
            <w:tcBorders>
              <w:top w:val="nil"/>
              <w:left w:val="nil"/>
              <w:bottom w:val="nil"/>
              <w:right w:val="nil"/>
            </w:tcBorders>
            <w:shd w:val="clear" w:color="000000" w:fill="FFFFFF"/>
            <w:noWrap/>
            <w:vAlign w:val="bottom"/>
            <w:hideMark/>
          </w:tcPr>
          <w:p w14:paraId="48252C74" w14:textId="7E4381B2"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199,461</w:t>
            </w:r>
          </w:p>
        </w:tc>
        <w:tc>
          <w:tcPr>
            <w:tcW w:w="662" w:type="pct"/>
            <w:tcBorders>
              <w:top w:val="nil"/>
              <w:left w:val="nil"/>
              <w:bottom w:val="nil"/>
              <w:right w:val="nil"/>
            </w:tcBorders>
            <w:shd w:val="clear" w:color="000000" w:fill="FFFFFF"/>
            <w:noWrap/>
            <w:vAlign w:val="bottom"/>
            <w:hideMark/>
          </w:tcPr>
          <w:p w14:paraId="5527494A" w14:textId="112F5FEC"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239,353</w:t>
            </w:r>
          </w:p>
        </w:tc>
        <w:tc>
          <w:tcPr>
            <w:tcW w:w="663" w:type="pct"/>
            <w:tcBorders>
              <w:top w:val="nil"/>
              <w:left w:val="nil"/>
              <w:bottom w:val="nil"/>
              <w:right w:val="nil"/>
            </w:tcBorders>
            <w:shd w:val="clear" w:color="000000" w:fill="FFFFFF"/>
            <w:noWrap/>
            <w:vAlign w:val="bottom"/>
            <w:hideMark/>
          </w:tcPr>
          <w:p w14:paraId="5F336BFB" w14:textId="78A4936C"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279,245</w:t>
            </w:r>
          </w:p>
        </w:tc>
        <w:tc>
          <w:tcPr>
            <w:tcW w:w="667" w:type="pct"/>
            <w:tcBorders>
              <w:top w:val="nil"/>
              <w:left w:val="nil"/>
              <w:bottom w:val="nil"/>
              <w:right w:val="nil"/>
            </w:tcBorders>
            <w:shd w:val="clear" w:color="000000" w:fill="FFFFFF"/>
            <w:noWrap/>
            <w:vAlign w:val="bottom"/>
            <w:hideMark/>
          </w:tcPr>
          <w:p w14:paraId="52C25CB1" w14:textId="2D95F949"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319,137</w:t>
            </w:r>
          </w:p>
        </w:tc>
      </w:tr>
      <w:tr w:rsidR="00C02F20" w:rsidRPr="00080C9A" w14:paraId="34032540" w14:textId="77777777" w:rsidTr="0033161F">
        <w:trPr>
          <w:trHeight w:val="257"/>
        </w:trPr>
        <w:tc>
          <w:tcPr>
            <w:tcW w:w="362" w:type="pct"/>
            <w:tcBorders>
              <w:top w:val="nil"/>
              <w:left w:val="nil"/>
              <w:bottom w:val="nil"/>
              <w:right w:val="nil"/>
            </w:tcBorders>
            <w:shd w:val="clear" w:color="000000" w:fill="FFFFFF"/>
            <w:noWrap/>
            <w:vAlign w:val="bottom"/>
            <w:hideMark/>
          </w:tcPr>
          <w:p w14:paraId="6CE155DA" w14:textId="77777777" w:rsidR="00D60EEC" w:rsidRPr="00D60EEC" w:rsidRDefault="00D60EEC" w:rsidP="00D60EEC">
            <w:pPr>
              <w:spacing w:after="0"/>
              <w:contextualSpacing w:val="0"/>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CV</w:t>
            </w:r>
          </w:p>
        </w:tc>
        <w:tc>
          <w:tcPr>
            <w:tcW w:w="661" w:type="pct"/>
            <w:tcBorders>
              <w:top w:val="nil"/>
              <w:left w:val="nil"/>
              <w:bottom w:val="nil"/>
              <w:right w:val="nil"/>
            </w:tcBorders>
            <w:shd w:val="clear" w:color="000000" w:fill="FFFFFF"/>
            <w:noWrap/>
            <w:vAlign w:val="bottom"/>
            <w:hideMark/>
          </w:tcPr>
          <w:p w14:paraId="1BA77BC4" w14:textId="422E822D"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1,615</w:t>
            </w:r>
          </w:p>
        </w:tc>
        <w:tc>
          <w:tcPr>
            <w:tcW w:w="661" w:type="pct"/>
            <w:tcBorders>
              <w:top w:val="nil"/>
              <w:left w:val="nil"/>
              <w:bottom w:val="nil"/>
              <w:right w:val="nil"/>
            </w:tcBorders>
            <w:shd w:val="clear" w:color="000000" w:fill="FFFFFF"/>
            <w:noWrap/>
            <w:vAlign w:val="bottom"/>
            <w:hideMark/>
          </w:tcPr>
          <w:p w14:paraId="0343D384" w14:textId="2406CFB3"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1,292</w:t>
            </w:r>
          </w:p>
        </w:tc>
        <w:tc>
          <w:tcPr>
            <w:tcW w:w="662" w:type="pct"/>
            <w:tcBorders>
              <w:top w:val="nil"/>
              <w:left w:val="nil"/>
              <w:bottom w:val="nil"/>
              <w:right w:val="nil"/>
            </w:tcBorders>
            <w:shd w:val="clear" w:color="000000" w:fill="FFFFFF"/>
            <w:noWrap/>
            <w:vAlign w:val="bottom"/>
            <w:hideMark/>
          </w:tcPr>
          <w:p w14:paraId="5C16231A" w14:textId="1854927C"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0,969</w:t>
            </w:r>
          </w:p>
        </w:tc>
        <w:tc>
          <w:tcPr>
            <w:tcW w:w="662" w:type="pct"/>
            <w:tcBorders>
              <w:top w:val="nil"/>
              <w:left w:val="nil"/>
              <w:bottom w:val="nil"/>
              <w:right w:val="nil"/>
            </w:tcBorders>
            <w:shd w:val="clear" w:color="000000" w:fill="FFFFFF"/>
            <w:noWrap/>
            <w:vAlign w:val="bottom"/>
            <w:hideMark/>
          </w:tcPr>
          <w:p w14:paraId="584D8678" w14:textId="15109151"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0,808</w:t>
            </w:r>
          </w:p>
        </w:tc>
        <w:tc>
          <w:tcPr>
            <w:tcW w:w="662" w:type="pct"/>
            <w:tcBorders>
              <w:top w:val="nil"/>
              <w:left w:val="nil"/>
              <w:bottom w:val="nil"/>
              <w:right w:val="nil"/>
            </w:tcBorders>
            <w:shd w:val="clear" w:color="000000" w:fill="FFFFFF"/>
            <w:noWrap/>
            <w:vAlign w:val="bottom"/>
            <w:hideMark/>
          </w:tcPr>
          <w:p w14:paraId="312C9B43" w14:textId="183E78A0"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0,646</w:t>
            </w:r>
          </w:p>
        </w:tc>
        <w:tc>
          <w:tcPr>
            <w:tcW w:w="663" w:type="pct"/>
            <w:tcBorders>
              <w:top w:val="nil"/>
              <w:left w:val="nil"/>
              <w:bottom w:val="nil"/>
              <w:right w:val="nil"/>
            </w:tcBorders>
            <w:shd w:val="clear" w:color="000000" w:fill="FFFFFF"/>
            <w:noWrap/>
            <w:vAlign w:val="bottom"/>
            <w:hideMark/>
          </w:tcPr>
          <w:p w14:paraId="174D21E0" w14:textId="1B021D03"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0,485</w:t>
            </w:r>
          </w:p>
        </w:tc>
        <w:tc>
          <w:tcPr>
            <w:tcW w:w="667" w:type="pct"/>
            <w:tcBorders>
              <w:top w:val="nil"/>
              <w:left w:val="nil"/>
              <w:bottom w:val="nil"/>
              <w:right w:val="nil"/>
            </w:tcBorders>
            <w:shd w:val="clear" w:color="000000" w:fill="FFFFFF"/>
            <w:noWrap/>
            <w:vAlign w:val="bottom"/>
            <w:hideMark/>
          </w:tcPr>
          <w:p w14:paraId="05193B43" w14:textId="4DC0EFC1"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0,323</w:t>
            </w:r>
          </w:p>
        </w:tc>
      </w:tr>
      <w:tr w:rsidR="00C02F20" w:rsidRPr="00080C9A" w14:paraId="634AA2B5" w14:textId="77777777" w:rsidTr="0033161F">
        <w:trPr>
          <w:trHeight w:val="245"/>
        </w:trPr>
        <w:tc>
          <w:tcPr>
            <w:tcW w:w="362" w:type="pct"/>
            <w:tcBorders>
              <w:top w:val="nil"/>
              <w:left w:val="nil"/>
              <w:bottom w:val="nil"/>
              <w:right w:val="nil"/>
            </w:tcBorders>
            <w:shd w:val="clear" w:color="000000" w:fill="FFFFFF"/>
            <w:noWrap/>
            <w:vAlign w:val="bottom"/>
            <w:hideMark/>
          </w:tcPr>
          <w:p w14:paraId="77B8CCA8" w14:textId="77777777" w:rsidR="00D60EEC" w:rsidRPr="00D60EEC" w:rsidRDefault="00D60EEC" w:rsidP="00D60EEC">
            <w:pPr>
              <w:spacing w:after="0"/>
              <w:contextualSpacing w:val="0"/>
              <w:rPr>
                <w:rFonts w:eastAsia="Times New Roman" w:cs="Times New Roman"/>
                <w:color w:val="000000"/>
                <w:sz w:val="20"/>
                <w:szCs w:val="20"/>
                <w:lang w:eastAsia="es-CO"/>
              </w:rPr>
            </w:pPr>
            <w:r w:rsidRPr="00D60EEC">
              <w:rPr>
                <w:rFonts w:eastAsia="Times New Roman" w:cs="Times New Roman"/>
                <w:color w:val="000000"/>
                <w:sz w:val="20"/>
                <w:szCs w:val="20"/>
                <w:lang w:eastAsia="es-CO"/>
              </w:rPr>
              <w:t> </w:t>
            </w:r>
          </w:p>
        </w:tc>
        <w:tc>
          <w:tcPr>
            <w:tcW w:w="661" w:type="pct"/>
            <w:tcBorders>
              <w:top w:val="nil"/>
              <w:left w:val="nil"/>
              <w:bottom w:val="nil"/>
              <w:right w:val="nil"/>
            </w:tcBorders>
            <w:shd w:val="clear" w:color="000000" w:fill="FFFFFF"/>
            <w:noWrap/>
            <w:vAlign w:val="bottom"/>
            <w:hideMark/>
          </w:tcPr>
          <w:p w14:paraId="07904305" w14:textId="7DBAAA7B" w:rsidR="00D60EEC" w:rsidRPr="00D60EEC" w:rsidRDefault="00D60EEC" w:rsidP="00550996">
            <w:pPr>
              <w:spacing w:after="0"/>
              <w:contextualSpacing w:val="0"/>
              <w:jc w:val="right"/>
              <w:rPr>
                <w:rFonts w:eastAsia="Times New Roman" w:cs="Times New Roman"/>
                <w:color w:val="000000"/>
                <w:sz w:val="20"/>
                <w:szCs w:val="20"/>
                <w:lang w:eastAsia="es-CO"/>
              </w:rPr>
            </w:pPr>
          </w:p>
        </w:tc>
        <w:tc>
          <w:tcPr>
            <w:tcW w:w="661" w:type="pct"/>
            <w:tcBorders>
              <w:top w:val="nil"/>
              <w:left w:val="nil"/>
              <w:bottom w:val="nil"/>
              <w:right w:val="nil"/>
            </w:tcBorders>
            <w:shd w:val="clear" w:color="000000" w:fill="FFFFFF"/>
            <w:noWrap/>
            <w:vAlign w:val="bottom"/>
            <w:hideMark/>
          </w:tcPr>
          <w:p w14:paraId="4467BF34" w14:textId="7D2B3C0C" w:rsidR="00D60EEC" w:rsidRPr="00D60EEC" w:rsidRDefault="00D60EEC" w:rsidP="00550996">
            <w:pPr>
              <w:spacing w:after="0"/>
              <w:contextualSpacing w:val="0"/>
              <w:jc w:val="right"/>
              <w:rPr>
                <w:rFonts w:eastAsia="Times New Roman" w:cs="Times New Roman"/>
                <w:color w:val="000000"/>
                <w:sz w:val="20"/>
                <w:szCs w:val="20"/>
                <w:lang w:eastAsia="es-CO"/>
              </w:rPr>
            </w:pPr>
          </w:p>
        </w:tc>
        <w:tc>
          <w:tcPr>
            <w:tcW w:w="662" w:type="pct"/>
            <w:tcBorders>
              <w:top w:val="nil"/>
              <w:left w:val="nil"/>
              <w:bottom w:val="nil"/>
              <w:right w:val="nil"/>
            </w:tcBorders>
            <w:shd w:val="clear" w:color="000000" w:fill="FFFFFF"/>
            <w:noWrap/>
            <w:vAlign w:val="bottom"/>
            <w:hideMark/>
          </w:tcPr>
          <w:p w14:paraId="5B1F040F" w14:textId="7EAB92DD" w:rsidR="00D60EEC" w:rsidRPr="00D60EEC" w:rsidRDefault="00D60EEC" w:rsidP="00550996">
            <w:pPr>
              <w:spacing w:after="0"/>
              <w:contextualSpacing w:val="0"/>
              <w:jc w:val="right"/>
              <w:rPr>
                <w:rFonts w:eastAsia="Times New Roman" w:cs="Times New Roman"/>
                <w:color w:val="000000"/>
                <w:sz w:val="20"/>
                <w:szCs w:val="20"/>
                <w:lang w:eastAsia="es-CO"/>
              </w:rPr>
            </w:pPr>
          </w:p>
        </w:tc>
        <w:tc>
          <w:tcPr>
            <w:tcW w:w="662" w:type="pct"/>
            <w:tcBorders>
              <w:top w:val="nil"/>
              <w:left w:val="nil"/>
              <w:bottom w:val="nil"/>
              <w:right w:val="nil"/>
            </w:tcBorders>
            <w:shd w:val="clear" w:color="000000" w:fill="FFFFFF"/>
            <w:noWrap/>
            <w:vAlign w:val="bottom"/>
            <w:hideMark/>
          </w:tcPr>
          <w:p w14:paraId="4FEB88F1" w14:textId="172E27E4" w:rsidR="00D60EEC" w:rsidRPr="00D60EEC" w:rsidRDefault="00D60EEC" w:rsidP="00550996">
            <w:pPr>
              <w:spacing w:after="0"/>
              <w:contextualSpacing w:val="0"/>
              <w:jc w:val="right"/>
              <w:rPr>
                <w:rFonts w:eastAsia="Times New Roman" w:cs="Times New Roman"/>
                <w:color w:val="000000"/>
                <w:sz w:val="20"/>
                <w:szCs w:val="20"/>
                <w:lang w:eastAsia="es-CO"/>
              </w:rPr>
            </w:pPr>
          </w:p>
        </w:tc>
        <w:tc>
          <w:tcPr>
            <w:tcW w:w="662" w:type="pct"/>
            <w:tcBorders>
              <w:top w:val="nil"/>
              <w:left w:val="nil"/>
              <w:bottom w:val="nil"/>
              <w:right w:val="nil"/>
            </w:tcBorders>
            <w:shd w:val="clear" w:color="000000" w:fill="FFFFFF"/>
            <w:noWrap/>
            <w:vAlign w:val="bottom"/>
            <w:hideMark/>
          </w:tcPr>
          <w:p w14:paraId="19F1690F" w14:textId="60BD1631" w:rsidR="00D60EEC" w:rsidRPr="00D60EEC" w:rsidRDefault="00D60EEC" w:rsidP="00550996">
            <w:pPr>
              <w:spacing w:after="0"/>
              <w:contextualSpacing w:val="0"/>
              <w:jc w:val="right"/>
              <w:rPr>
                <w:rFonts w:eastAsia="Times New Roman" w:cs="Times New Roman"/>
                <w:color w:val="000000"/>
                <w:sz w:val="20"/>
                <w:szCs w:val="20"/>
                <w:lang w:eastAsia="es-CO"/>
              </w:rPr>
            </w:pPr>
          </w:p>
        </w:tc>
        <w:tc>
          <w:tcPr>
            <w:tcW w:w="663" w:type="pct"/>
            <w:tcBorders>
              <w:top w:val="nil"/>
              <w:left w:val="nil"/>
              <w:bottom w:val="nil"/>
              <w:right w:val="nil"/>
            </w:tcBorders>
            <w:shd w:val="clear" w:color="000000" w:fill="FFFFFF"/>
            <w:noWrap/>
            <w:vAlign w:val="bottom"/>
            <w:hideMark/>
          </w:tcPr>
          <w:p w14:paraId="5D582051" w14:textId="510930C3" w:rsidR="00D60EEC" w:rsidRPr="00D60EEC" w:rsidRDefault="00D60EEC" w:rsidP="00550996">
            <w:pPr>
              <w:spacing w:after="0"/>
              <w:contextualSpacing w:val="0"/>
              <w:jc w:val="right"/>
              <w:rPr>
                <w:rFonts w:eastAsia="Times New Roman" w:cs="Times New Roman"/>
                <w:color w:val="000000"/>
                <w:sz w:val="20"/>
                <w:szCs w:val="20"/>
                <w:lang w:eastAsia="es-CO"/>
              </w:rPr>
            </w:pPr>
          </w:p>
        </w:tc>
        <w:tc>
          <w:tcPr>
            <w:tcW w:w="667" w:type="pct"/>
            <w:tcBorders>
              <w:top w:val="nil"/>
              <w:left w:val="nil"/>
              <w:bottom w:val="nil"/>
              <w:right w:val="nil"/>
            </w:tcBorders>
            <w:shd w:val="clear" w:color="000000" w:fill="FFFFFF"/>
            <w:noWrap/>
            <w:vAlign w:val="bottom"/>
            <w:hideMark/>
          </w:tcPr>
          <w:p w14:paraId="18DCA24A" w14:textId="68A0964F" w:rsidR="00D60EEC" w:rsidRPr="00D60EEC" w:rsidRDefault="00D60EEC" w:rsidP="00550996">
            <w:pPr>
              <w:spacing w:after="0"/>
              <w:contextualSpacing w:val="0"/>
              <w:jc w:val="right"/>
              <w:rPr>
                <w:rFonts w:eastAsia="Times New Roman" w:cs="Times New Roman"/>
                <w:color w:val="000000"/>
                <w:sz w:val="20"/>
                <w:szCs w:val="20"/>
                <w:lang w:eastAsia="es-CO"/>
              </w:rPr>
            </w:pPr>
          </w:p>
        </w:tc>
      </w:tr>
      <w:tr w:rsidR="00D60EEC" w:rsidRPr="00D60EEC" w14:paraId="595E6B83" w14:textId="77777777" w:rsidTr="0033161F">
        <w:trPr>
          <w:trHeight w:val="245"/>
        </w:trPr>
        <w:tc>
          <w:tcPr>
            <w:tcW w:w="5000" w:type="pct"/>
            <w:gridSpan w:val="8"/>
            <w:tcBorders>
              <w:top w:val="nil"/>
              <w:left w:val="nil"/>
              <w:bottom w:val="nil"/>
              <w:right w:val="nil"/>
            </w:tcBorders>
            <w:shd w:val="clear" w:color="000000" w:fill="FFFFFF"/>
            <w:noWrap/>
            <w:vAlign w:val="bottom"/>
            <w:hideMark/>
          </w:tcPr>
          <w:p w14:paraId="4150F1F0" w14:textId="73B33CFF" w:rsidR="00D60EEC" w:rsidRPr="00D60EEC" w:rsidRDefault="00D60EEC" w:rsidP="00550996">
            <w:pPr>
              <w:spacing w:after="0"/>
              <w:contextualSpacing w:val="0"/>
              <w:jc w:val="right"/>
              <w:rPr>
                <w:rFonts w:eastAsia="Times New Roman" w:cs="Times New Roman"/>
                <w:b/>
                <w:bCs/>
                <w:color w:val="000000"/>
                <w:sz w:val="20"/>
                <w:szCs w:val="20"/>
                <w:lang w:eastAsia="es-CO"/>
              </w:rPr>
            </w:pPr>
          </w:p>
        </w:tc>
      </w:tr>
      <w:tr w:rsidR="00C02F20" w:rsidRPr="00080C9A" w14:paraId="6B192031" w14:textId="77777777" w:rsidTr="0033161F">
        <w:trPr>
          <w:trHeight w:val="245"/>
        </w:trPr>
        <w:tc>
          <w:tcPr>
            <w:tcW w:w="362" w:type="pct"/>
            <w:tcBorders>
              <w:top w:val="nil"/>
              <w:left w:val="nil"/>
              <w:bottom w:val="nil"/>
              <w:right w:val="nil"/>
            </w:tcBorders>
            <w:shd w:val="clear" w:color="000000" w:fill="FFFFFF"/>
            <w:noWrap/>
            <w:vAlign w:val="bottom"/>
            <w:hideMark/>
          </w:tcPr>
          <w:p w14:paraId="164F6CF0" w14:textId="77777777" w:rsidR="00D60EEC" w:rsidRPr="00D60EEC" w:rsidRDefault="00D60EEC" w:rsidP="00D60EEC">
            <w:pPr>
              <w:spacing w:after="0"/>
              <w:contextualSpacing w:val="0"/>
              <w:rPr>
                <w:rFonts w:eastAsia="Times New Roman" w:cs="Times New Roman"/>
                <w:color w:val="000000"/>
                <w:sz w:val="20"/>
                <w:szCs w:val="20"/>
                <w:lang w:eastAsia="es-CO"/>
              </w:rPr>
            </w:pPr>
            <w:r w:rsidRPr="00D60EEC">
              <w:rPr>
                <w:rFonts w:eastAsia="Times New Roman" w:cs="Times New Roman"/>
                <w:color w:val="000000"/>
                <w:sz w:val="20"/>
                <w:szCs w:val="20"/>
                <w:lang w:eastAsia="es-CO"/>
              </w:rPr>
              <w:t>% [1]</w:t>
            </w:r>
          </w:p>
        </w:tc>
        <w:tc>
          <w:tcPr>
            <w:tcW w:w="661" w:type="pct"/>
            <w:tcBorders>
              <w:top w:val="nil"/>
              <w:left w:val="nil"/>
              <w:bottom w:val="nil"/>
              <w:right w:val="nil"/>
            </w:tcBorders>
            <w:shd w:val="clear" w:color="000000" w:fill="FFFFFF"/>
            <w:noWrap/>
            <w:vAlign w:val="bottom"/>
            <w:hideMark/>
          </w:tcPr>
          <w:p w14:paraId="0012FFB2" w14:textId="04EBCE34" w:rsidR="00D60EEC" w:rsidRPr="00D60EEC" w:rsidRDefault="00D60EEC" w:rsidP="00550996">
            <w:pPr>
              <w:spacing w:after="0"/>
              <w:contextualSpacing w:val="0"/>
              <w:jc w:val="right"/>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85</w:t>
            </w:r>
          </w:p>
        </w:tc>
        <w:tc>
          <w:tcPr>
            <w:tcW w:w="661" w:type="pct"/>
            <w:tcBorders>
              <w:top w:val="nil"/>
              <w:left w:val="nil"/>
              <w:bottom w:val="nil"/>
              <w:right w:val="nil"/>
            </w:tcBorders>
            <w:shd w:val="clear" w:color="000000" w:fill="FFFFFF"/>
            <w:noWrap/>
            <w:vAlign w:val="bottom"/>
            <w:hideMark/>
          </w:tcPr>
          <w:p w14:paraId="73E7EE3B" w14:textId="211F9B79" w:rsidR="00D60EEC" w:rsidRPr="00D60EEC" w:rsidRDefault="00D60EEC" w:rsidP="00550996">
            <w:pPr>
              <w:spacing w:after="0"/>
              <w:contextualSpacing w:val="0"/>
              <w:jc w:val="right"/>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90</w:t>
            </w:r>
          </w:p>
        </w:tc>
        <w:tc>
          <w:tcPr>
            <w:tcW w:w="662" w:type="pct"/>
            <w:tcBorders>
              <w:top w:val="nil"/>
              <w:left w:val="nil"/>
              <w:bottom w:val="nil"/>
              <w:right w:val="nil"/>
            </w:tcBorders>
            <w:shd w:val="clear" w:color="000000" w:fill="FFFFFF"/>
            <w:noWrap/>
            <w:vAlign w:val="bottom"/>
            <w:hideMark/>
          </w:tcPr>
          <w:p w14:paraId="23AB51D6" w14:textId="051A68E8" w:rsidR="00D60EEC" w:rsidRPr="00D60EEC" w:rsidRDefault="00D60EEC" w:rsidP="00550996">
            <w:pPr>
              <w:spacing w:after="0"/>
              <w:contextualSpacing w:val="0"/>
              <w:jc w:val="right"/>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92</w:t>
            </w:r>
          </w:p>
        </w:tc>
        <w:tc>
          <w:tcPr>
            <w:tcW w:w="662" w:type="pct"/>
            <w:tcBorders>
              <w:top w:val="nil"/>
              <w:left w:val="nil"/>
              <w:bottom w:val="nil"/>
              <w:right w:val="nil"/>
            </w:tcBorders>
            <w:shd w:val="clear" w:color="000000" w:fill="FFFFFF"/>
            <w:noWrap/>
            <w:vAlign w:val="bottom"/>
            <w:hideMark/>
          </w:tcPr>
          <w:p w14:paraId="7E6F3E5A" w14:textId="1E17785A" w:rsidR="00D60EEC" w:rsidRPr="00D60EEC" w:rsidRDefault="00D60EEC" w:rsidP="00550996">
            <w:pPr>
              <w:spacing w:after="0"/>
              <w:contextualSpacing w:val="0"/>
              <w:jc w:val="right"/>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94</w:t>
            </w:r>
          </w:p>
        </w:tc>
        <w:tc>
          <w:tcPr>
            <w:tcW w:w="662" w:type="pct"/>
            <w:tcBorders>
              <w:top w:val="nil"/>
              <w:left w:val="nil"/>
              <w:bottom w:val="nil"/>
              <w:right w:val="nil"/>
            </w:tcBorders>
            <w:shd w:val="clear" w:color="000000" w:fill="FFFFFF"/>
            <w:noWrap/>
            <w:vAlign w:val="bottom"/>
            <w:hideMark/>
          </w:tcPr>
          <w:p w14:paraId="0CB80B11" w14:textId="54515F6C" w:rsidR="00D60EEC" w:rsidRPr="00D60EEC" w:rsidRDefault="00D60EEC" w:rsidP="00550996">
            <w:pPr>
              <w:spacing w:after="0"/>
              <w:contextualSpacing w:val="0"/>
              <w:jc w:val="right"/>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96</w:t>
            </w:r>
          </w:p>
        </w:tc>
        <w:tc>
          <w:tcPr>
            <w:tcW w:w="663" w:type="pct"/>
            <w:tcBorders>
              <w:top w:val="nil"/>
              <w:left w:val="nil"/>
              <w:bottom w:val="nil"/>
              <w:right w:val="nil"/>
            </w:tcBorders>
            <w:shd w:val="clear" w:color="000000" w:fill="FFFFFF"/>
            <w:noWrap/>
            <w:vAlign w:val="bottom"/>
            <w:hideMark/>
          </w:tcPr>
          <w:p w14:paraId="0B8D5522" w14:textId="6B0FB10C" w:rsidR="00D60EEC" w:rsidRPr="00D60EEC" w:rsidRDefault="00D60EEC" w:rsidP="00550996">
            <w:pPr>
              <w:spacing w:after="0"/>
              <w:contextualSpacing w:val="0"/>
              <w:jc w:val="right"/>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98</w:t>
            </w:r>
          </w:p>
        </w:tc>
        <w:tc>
          <w:tcPr>
            <w:tcW w:w="667" w:type="pct"/>
            <w:tcBorders>
              <w:top w:val="nil"/>
              <w:left w:val="nil"/>
              <w:bottom w:val="nil"/>
              <w:right w:val="nil"/>
            </w:tcBorders>
            <w:shd w:val="clear" w:color="000000" w:fill="FFFFFF"/>
            <w:noWrap/>
            <w:vAlign w:val="bottom"/>
            <w:hideMark/>
          </w:tcPr>
          <w:p w14:paraId="4807B78B" w14:textId="54006F8C" w:rsidR="00D60EEC" w:rsidRPr="00D60EEC" w:rsidRDefault="00D60EEC" w:rsidP="00550996">
            <w:pPr>
              <w:spacing w:after="0"/>
              <w:contextualSpacing w:val="0"/>
              <w:jc w:val="right"/>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100</w:t>
            </w:r>
          </w:p>
        </w:tc>
      </w:tr>
      <w:tr w:rsidR="00C02F20" w:rsidRPr="00080C9A" w14:paraId="4610B1C7" w14:textId="77777777" w:rsidTr="0033161F">
        <w:trPr>
          <w:trHeight w:val="257"/>
        </w:trPr>
        <w:tc>
          <w:tcPr>
            <w:tcW w:w="362" w:type="pct"/>
            <w:tcBorders>
              <w:top w:val="nil"/>
              <w:left w:val="nil"/>
              <w:bottom w:val="nil"/>
              <w:right w:val="nil"/>
            </w:tcBorders>
            <w:shd w:val="clear" w:color="000000" w:fill="FFFFFF"/>
            <w:noWrap/>
            <w:vAlign w:val="bottom"/>
            <w:hideMark/>
          </w:tcPr>
          <w:p w14:paraId="3DF4E9B1" w14:textId="77777777" w:rsidR="00D60EEC" w:rsidRPr="00D60EEC" w:rsidRDefault="00D60EEC" w:rsidP="00D60EEC">
            <w:pPr>
              <w:spacing w:after="0"/>
              <w:contextualSpacing w:val="0"/>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CF</w:t>
            </w:r>
          </w:p>
        </w:tc>
        <w:tc>
          <w:tcPr>
            <w:tcW w:w="661" w:type="pct"/>
            <w:tcBorders>
              <w:top w:val="nil"/>
              <w:left w:val="nil"/>
              <w:bottom w:val="nil"/>
              <w:right w:val="nil"/>
            </w:tcBorders>
            <w:shd w:val="clear" w:color="000000" w:fill="FFFFFF"/>
            <w:noWrap/>
            <w:vAlign w:val="bottom"/>
            <w:hideMark/>
          </w:tcPr>
          <w:p w14:paraId="77B608BC" w14:textId="13986B2D"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339,083</w:t>
            </w:r>
          </w:p>
        </w:tc>
        <w:tc>
          <w:tcPr>
            <w:tcW w:w="661" w:type="pct"/>
            <w:tcBorders>
              <w:top w:val="nil"/>
              <w:left w:val="nil"/>
              <w:bottom w:val="nil"/>
              <w:right w:val="nil"/>
            </w:tcBorders>
            <w:shd w:val="clear" w:color="000000" w:fill="FFFFFF"/>
            <w:noWrap/>
            <w:vAlign w:val="bottom"/>
            <w:hideMark/>
          </w:tcPr>
          <w:p w14:paraId="1D7A018B" w14:textId="13FDD132"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359,030</w:t>
            </w:r>
          </w:p>
        </w:tc>
        <w:tc>
          <w:tcPr>
            <w:tcW w:w="662" w:type="pct"/>
            <w:tcBorders>
              <w:top w:val="nil"/>
              <w:left w:val="nil"/>
              <w:bottom w:val="nil"/>
              <w:right w:val="nil"/>
            </w:tcBorders>
            <w:shd w:val="clear" w:color="000000" w:fill="FFFFFF"/>
            <w:noWrap/>
            <w:vAlign w:val="bottom"/>
            <w:hideMark/>
          </w:tcPr>
          <w:p w14:paraId="6C9A050A" w14:textId="77C14F71"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367,008</w:t>
            </w:r>
          </w:p>
        </w:tc>
        <w:tc>
          <w:tcPr>
            <w:tcW w:w="662" w:type="pct"/>
            <w:tcBorders>
              <w:top w:val="nil"/>
              <w:left w:val="nil"/>
              <w:bottom w:val="nil"/>
              <w:right w:val="nil"/>
            </w:tcBorders>
            <w:shd w:val="clear" w:color="000000" w:fill="FFFFFF"/>
            <w:noWrap/>
            <w:vAlign w:val="bottom"/>
            <w:hideMark/>
          </w:tcPr>
          <w:p w14:paraId="6BC03EC6" w14:textId="14EC5067"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374,986</w:t>
            </w:r>
          </w:p>
        </w:tc>
        <w:tc>
          <w:tcPr>
            <w:tcW w:w="662" w:type="pct"/>
            <w:tcBorders>
              <w:top w:val="nil"/>
              <w:left w:val="nil"/>
              <w:bottom w:val="nil"/>
              <w:right w:val="nil"/>
            </w:tcBorders>
            <w:shd w:val="clear" w:color="000000" w:fill="FFFFFF"/>
            <w:noWrap/>
            <w:vAlign w:val="bottom"/>
            <w:hideMark/>
          </w:tcPr>
          <w:p w14:paraId="493532BB" w14:textId="3575F3B8"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382,965</w:t>
            </w:r>
          </w:p>
        </w:tc>
        <w:tc>
          <w:tcPr>
            <w:tcW w:w="663" w:type="pct"/>
            <w:tcBorders>
              <w:top w:val="nil"/>
              <w:left w:val="nil"/>
              <w:bottom w:val="nil"/>
              <w:right w:val="nil"/>
            </w:tcBorders>
            <w:shd w:val="clear" w:color="000000" w:fill="FFFFFF"/>
            <w:noWrap/>
            <w:vAlign w:val="bottom"/>
            <w:hideMark/>
          </w:tcPr>
          <w:p w14:paraId="18E81311" w14:textId="520C8753"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390,943</w:t>
            </w:r>
          </w:p>
        </w:tc>
        <w:tc>
          <w:tcPr>
            <w:tcW w:w="667" w:type="pct"/>
            <w:tcBorders>
              <w:top w:val="nil"/>
              <w:left w:val="nil"/>
              <w:bottom w:val="nil"/>
              <w:right w:val="nil"/>
            </w:tcBorders>
            <w:shd w:val="clear" w:color="000000" w:fill="FFFFFF"/>
            <w:noWrap/>
            <w:vAlign w:val="bottom"/>
            <w:hideMark/>
          </w:tcPr>
          <w:p w14:paraId="1A303291" w14:textId="1B9664F8"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398,922</w:t>
            </w:r>
          </w:p>
        </w:tc>
      </w:tr>
      <w:tr w:rsidR="00C02F20" w:rsidRPr="00080C9A" w14:paraId="6A665C33" w14:textId="77777777" w:rsidTr="0033161F">
        <w:trPr>
          <w:trHeight w:val="270"/>
        </w:trPr>
        <w:tc>
          <w:tcPr>
            <w:tcW w:w="362" w:type="pct"/>
            <w:tcBorders>
              <w:top w:val="nil"/>
              <w:left w:val="nil"/>
              <w:bottom w:val="single" w:sz="8" w:space="0" w:color="auto"/>
              <w:right w:val="nil"/>
            </w:tcBorders>
            <w:shd w:val="clear" w:color="000000" w:fill="FFFFFF"/>
            <w:noWrap/>
            <w:vAlign w:val="bottom"/>
            <w:hideMark/>
          </w:tcPr>
          <w:p w14:paraId="0980F59D" w14:textId="77777777" w:rsidR="00D60EEC" w:rsidRPr="00D60EEC" w:rsidRDefault="00D60EEC" w:rsidP="00D60EEC">
            <w:pPr>
              <w:spacing w:after="0"/>
              <w:contextualSpacing w:val="0"/>
              <w:rPr>
                <w:rFonts w:eastAsia="Times New Roman" w:cs="Times New Roman"/>
                <w:b/>
                <w:bCs/>
                <w:color w:val="000000"/>
                <w:sz w:val="20"/>
                <w:szCs w:val="20"/>
                <w:lang w:eastAsia="es-CO"/>
              </w:rPr>
            </w:pPr>
            <w:r w:rsidRPr="00D60EEC">
              <w:rPr>
                <w:rFonts w:eastAsia="Times New Roman" w:cs="Times New Roman"/>
                <w:b/>
                <w:bCs/>
                <w:color w:val="000000"/>
                <w:sz w:val="20"/>
                <w:szCs w:val="20"/>
                <w:lang w:eastAsia="es-CO"/>
              </w:rPr>
              <w:t>CV</w:t>
            </w:r>
          </w:p>
        </w:tc>
        <w:tc>
          <w:tcPr>
            <w:tcW w:w="661" w:type="pct"/>
            <w:tcBorders>
              <w:top w:val="nil"/>
              <w:left w:val="nil"/>
              <w:bottom w:val="single" w:sz="8" w:space="0" w:color="auto"/>
              <w:right w:val="nil"/>
            </w:tcBorders>
            <w:shd w:val="clear" w:color="000000" w:fill="FFFFFF"/>
            <w:noWrap/>
            <w:vAlign w:val="bottom"/>
            <w:hideMark/>
          </w:tcPr>
          <w:p w14:paraId="335B451A" w14:textId="77777777"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0,242</w:t>
            </w:r>
          </w:p>
        </w:tc>
        <w:tc>
          <w:tcPr>
            <w:tcW w:w="661" w:type="pct"/>
            <w:tcBorders>
              <w:top w:val="nil"/>
              <w:left w:val="nil"/>
              <w:bottom w:val="single" w:sz="8" w:space="0" w:color="auto"/>
              <w:right w:val="nil"/>
            </w:tcBorders>
            <w:shd w:val="clear" w:color="000000" w:fill="FFFFFF"/>
            <w:noWrap/>
            <w:vAlign w:val="bottom"/>
            <w:hideMark/>
          </w:tcPr>
          <w:p w14:paraId="4F76D1B5" w14:textId="77777777"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0,162</w:t>
            </w:r>
          </w:p>
        </w:tc>
        <w:tc>
          <w:tcPr>
            <w:tcW w:w="662" w:type="pct"/>
            <w:tcBorders>
              <w:top w:val="nil"/>
              <w:left w:val="nil"/>
              <w:bottom w:val="single" w:sz="8" w:space="0" w:color="auto"/>
              <w:right w:val="nil"/>
            </w:tcBorders>
            <w:shd w:val="clear" w:color="000000" w:fill="FFFFFF"/>
            <w:noWrap/>
            <w:vAlign w:val="bottom"/>
            <w:hideMark/>
          </w:tcPr>
          <w:p w14:paraId="1C57EFBD" w14:textId="77777777"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0,129</w:t>
            </w:r>
          </w:p>
        </w:tc>
        <w:tc>
          <w:tcPr>
            <w:tcW w:w="662" w:type="pct"/>
            <w:tcBorders>
              <w:top w:val="nil"/>
              <w:left w:val="nil"/>
              <w:bottom w:val="single" w:sz="8" w:space="0" w:color="auto"/>
              <w:right w:val="nil"/>
            </w:tcBorders>
            <w:shd w:val="clear" w:color="000000" w:fill="FFFFFF"/>
            <w:noWrap/>
            <w:vAlign w:val="bottom"/>
            <w:hideMark/>
          </w:tcPr>
          <w:p w14:paraId="7494D71C" w14:textId="77777777"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0,097</w:t>
            </w:r>
          </w:p>
        </w:tc>
        <w:tc>
          <w:tcPr>
            <w:tcW w:w="662" w:type="pct"/>
            <w:tcBorders>
              <w:top w:val="nil"/>
              <w:left w:val="nil"/>
              <w:bottom w:val="single" w:sz="8" w:space="0" w:color="auto"/>
              <w:right w:val="nil"/>
            </w:tcBorders>
            <w:shd w:val="clear" w:color="000000" w:fill="FFFFFF"/>
            <w:noWrap/>
            <w:vAlign w:val="bottom"/>
            <w:hideMark/>
          </w:tcPr>
          <w:p w14:paraId="0D0D48E2" w14:textId="77777777"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0,065</w:t>
            </w:r>
          </w:p>
        </w:tc>
        <w:tc>
          <w:tcPr>
            <w:tcW w:w="663" w:type="pct"/>
            <w:tcBorders>
              <w:top w:val="nil"/>
              <w:left w:val="nil"/>
              <w:bottom w:val="single" w:sz="8" w:space="0" w:color="auto"/>
              <w:right w:val="nil"/>
            </w:tcBorders>
            <w:shd w:val="clear" w:color="000000" w:fill="FFFFFF"/>
            <w:noWrap/>
            <w:vAlign w:val="bottom"/>
            <w:hideMark/>
          </w:tcPr>
          <w:p w14:paraId="51B1B561" w14:textId="77777777"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0,032</w:t>
            </w:r>
          </w:p>
        </w:tc>
        <w:tc>
          <w:tcPr>
            <w:tcW w:w="667" w:type="pct"/>
            <w:tcBorders>
              <w:top w:val="nil"/>
              <w:left w:val="nil"/>
              <w:bottom w:val="single" w:sz="8" w:space="0" w:color="auto"/>
              <w:right w:val="nil"/>
            </w:tcBorders>
            <w:shd w:val="clear" w:color="000000" w:fill="FFFFFF"/>
            <w:noWrap/>
            <w:vAlign w:val="bottom"/>
            <w:hideMark/>
          </w:tcPr>
          <w:p w14:paraId="29883BAE" w14:textId="77777777" w:rsidR="00D60EEC" w:rsidRPr="00D60EEC" w:rsidRDefault="00D60EEC" w:rsidP="00550996">
            <w:pPr>
              <w:spacing w:after="0"/>
              <w:contextualSpacing w:val="0"/>
              <w:jc w:val="right"/>
              <w:rPr>
                <w:rFonts w:eastAsia="Times New Roman" w:cs="Times New Roman"/>
                <w:color w:val="000000"/>
                <w:sz w:val="20"/>
                <w:szCs w:val="20"/>
                <w:lang w:eastAsia="es-CO"/>
              </w:rPr>
            </w:pPr>
            <w:r w:rsidRPr="00D60EEC">
              <w:rPr>
                <w:rFonts w:eastAsia="Times New Roman" w:cs="Times New Roman"/>
                <w:color w:val="000000"/>
                <w:sz w:val="20"/>
                <w:szCs w:val="20"/>
                <w:lang w:eastAsia="es-CO"/>
              </w:rPr>
              <w:t>-</w:t>
            </w:r>
          </w:p>
        </w:tc>
      </w:tr>
      <w:tr w:rsidR="00D60EEC" w:rsidRPr="00D60EEC" w14:paraId="3D683FDD" w14:textId="77777777" w:rsidTr="0033161F">
        <w:trPr>
          <w:trHeight w:val="245"/>
        </w:trPr>
        <w:tc>
          <w:tcPr>
            <w:tcW w:w="5000" w:type="pct"/>
            <w:gridSpan w:val="8"/>
            <w:tcBorders>
              <w:top w:val="nil"/>
              <w:left w:val="nil"/>
              <w:bottom w:val="nil"/>
              <w:right w:val="nil"/>
            </w:tcBorders>
            <w:shd w:val="clear" w:color="auto" w:fill="auto"/>
            <w:vAlign w:val="center"/>
            <w:hideMark/>
          </w:tcPr>
          <w:p w14:paraId="73EBF022" w14:textId="77777777" w:rsidR="00D60EEC" w:rsidRPr="00D60EEC" w:rsidRDefault="00D60EEC" w:rsidP="00D60EEC">
            <w:pPr>
              <w:spacing w:after="0"/>
              <w:contextualSpacing w:val="0"/>
              <w:rPr>
                <w:rFonts w:eastAsia="Times New Roman" w:cs="Times New Roman"/>
                <w:color w:val="000000"/>
                <w:sz w:val="20"/>
                <w:szCs w:val="20"/>
                <w:lang w:eastAsia="es-CO"/>
              </w:rPr>
            </w:pPr>
            <w:r w:rsidRPr="00D60EEC">
              <w:rPr>
                <w:rFonts w:eastAsia="Times New Roman" w:cs="Times New Roman"/>
                <w:color w:val="000000"/>
                <w:sz w:val="20"/>
                <w:szCs w:val="20"/>
                <w:lang w:eastAsia="es-CO"/>
              </w:rPr>
              <w:t xml:space="preserve">C.F. = Cargo fijo expresado en US $ de diciembre 31 de 2009 por kpcd-año                             </w:t>
            </w:r>
          </w:p>
        </w:tc>
      </w:tr>
      <w:tr w:rsidR="00D60EEC" w:rsidRPr="00D60EEC" w14:paraId="7A533EEB" w14:textId="77777777" w:rsidTr="0033161F">
        <w:trPr>
          <w:trHeight w:val="245"/>
        </w:trPr>
        <w:tc>
          <w:tcPr>
            <w:tcW w:w="5000" w:type="pct"/>
            <w:gridSpan w:val="8"/>
            <w:tcBorders>
              <w:top w:val="nil"/>
              <w:left w:val="nil"/>
              <w:bottom w:val="nil"/>
              <w:right w:val="nil"/>
            </w:tcBorders>
            <w:shd w:val="clear" w:color="auto" w:fill="auto"/>
            <w:vAlign w:val="center"/>
            <w:hideMark/>
          </w:tcPr>
          <w:p w14:paraId="6366D055" w14:textId="77777777" w:rsidR="00D60EEC" w:rsidRPr="00D60EEC" w:rsidRDefault="00D60EEC" w:rsidP="00D60EEC">
            <w:pPr>
              <w:spacing w:after="0"/>
              <w:contextualSpacing w:val="0"/>
              <w:rPr>
                <w:rFonts w:eastAsia="Times New Roman" w:cs="Times New Roman"/>
                <w:color w:val="000000"/>
                <w:sz w:val="20"/>
                <w:szCs w:val="20"/>
                <w:lang w:eastAsia="es-CO"/>
              </w:rPr>
            </w:pPr>
            <w:r w:rsidRPr="00D60EEC">
              <w:rPr>
                <w:rFonts w:eastAsia="Times New Roman" w:cs="Times New Roman"/>
                <w:color w:val="000000"/>
                <w:sz w:val="20"/>
                <w:szCs w:val="20"/>
                <w:lang w:eastAsia="es-CO"/>
              </w:rPr>
              <w:t xml:space="preserve">C.V. = Cargo variable expresado en US $ de diciembre 31 de 2009 por kpc </w:t>
            </w:r>
          </w:p>
        </w:tc>
      </w:tr>
      <w:tr w:rsidR="00D60EEC" w:rsidRPr="00D60EEC" w14:paraId="62D3661A" w14:textId="77777777" w:rsidTr="0033161F">
        <w:trPr>
          <w:trHeight w:val="245"/>
        </w:trPr>
        <w:tc>
          <w:tcPr>
            <w:tcW w:w="5000" w:type="pct"/>
            <w:gridSpan w:val="8"/>
            <w:tcBorders>
              <w:top w:val="nil"/>
              <w:left w:val="nil"/>
              <w:bottom w:val="nil"/>
              <w:right w:val="nil"/>
            </w:tcBorders>
            <w:shd w:val="clear" w:color="auto" w:fill="auto"/>
            <w:vAlign w:val="center"/>
            <w:hideMark/>
          </w:tcPr>
          <w:p w14:paraId="66A1A8BE" w14:textId="77777777" w:rsidR="00D60EEC" w:rsidRPr="00D60EEC" w:rsidRDefault="00D60EEC" w:rsidP="00D60EEC">
            <w:pPr>
              <w:spacing w:after="0"/>
              <w:contextualSpacing w:val="0"/>
              <w:rPr>
                <w:rFonts w:eastAsia="Times New Roman" w:cs="Times New Roman"/>
                <w:color w:val="000000"/>
                <w:sz w:val="20"/>
                <w:szCs w:val="20"/>
                <w:lang w:eastAsia="es-CO"/>
              </w:rPr>
            </w:pPr>
            <w:r w:rsidRPr="00D60EEC">
              <w:rPr>
                <w:rFonts w:eastAsia="Times New Roman" w:cs="Times New Roman"/>
                <w:color w:val="000000"/>
                <w:sz w:val="20"/>
                <w:szCs w:val="20"/>
                <w:lang w:eastAsia="es-CO"/>
              </w:rPr>
              <w:t>% [1] Porcentaje de la inversión remunerada con cargo fijo</w:t>
            </w:r>
          </w:p>
        </w:tc>
      </w:tr>
      <w:tr w:rsidR="00D60EEC" w:rsidRPr="00D60EEC" w14:paraId="310118FE" w14:textId="77777777" w:rsidTr="0033161F">
        <w:trPr>
          <w:trHeight w:val="429"/>
        </w:trPr>
        <w:tc>
          <w:tcPr>
            <w:tcW w:w="5000" w:type="pct"/>
            <w:gridSpan w:val="8"/>
            <w:tcBorders>
              <w:top w:val="nil"/>
              <w:left w:val="nil"/>
              <w:bottom w:val="nil"/>
              <w:right w:val="nil"/>
            </w:tcBorders>
            <w:shd w:val="clear" w:color="auto" w:fill="auto"/>
            <w:vAlign w:val="center"/>
            <w:hideMark/>
          </w:tcPr>
          <w:p w14:paraId="6300CE8E" w14:textId="3640B07A" w:rsidR="00D60EEC" w:rsidRPr="00D60EEC" w:rsidRDefault="00D60EEC" w:rsidP="00D60EEC">
            <w:pPr>
              <w:spacing w:after="0"/>
              <w:contextualSpacing w:val="0"/>
              <w:rPr>
                <w:rFonts w:eastAsia="Times New Roman" w:cs="Times New Roman"/>
                <w:color w:val="000000"/>
                <w:sz w:val="20"/>
                <w:szCs w:val="20"/>
                <w:lang w:eastAsia="es-CO"/>
              </w:rPr>
            </w:pPr>
            <w:r w:rsidRPr="00D60EEC">
              <w:rPr>
                <w:rFonts w:eastAsia="Times New Roman" w:cs="Times New Roman"/>
                <w:color w:val="000000"/>
                <w:sz w:val="20"/>
                <w:szCs w:val="20"/>
                <w:lang w:eastAsia="es-CO"/>
              </w:rPr>
              <w:t>NOTA: Para la interpretación de esta Resolución las cifras decimales se separan con coma y las cifras de miles se separan con punto</w:t>
            </w:r>
          </w:p>
        </w:tc>
      </w:tr>
    </w:tbl>
    <w:p w14:paraId="2BCDF771" w14:textId="77777777" w:rsidR="00CD26C9" w:rsidRDefault="00CD26C9" w:rsidP="00080C9A">
      <w:pPr>
        <w:tabs>
          <w:tab w:val="left" w:pos="9356"/>
        </w:tabs>
        <w:ind w:left="284"/>
        <w:jc w:val="both"/>
        <w:rPr>
          <w:b/>
          <w:bCs/>
        </w:rPr>
      </w:pPr>
    </w:p>
    <w:p w14:paraId="50092F8E" w14:textId="03429154" w:rsidR="008C550E" w:rsidRPr="007E2DBE" w:rsidRDefault="00550996" w:rsidP="00080C9A">
      <w:pPr>
        <w:tabs>
          <w:tab w:val="left" w:pos="9356"/>
        </w:tabs>
        <w:ind w:left="284"/>
        <w:jc w:val="both"/>
      </w:pPr>
      <w:r>
        <w:rPr>
          <w:b/>
          <w:bCs/>
        </w:rPr>
        <w:tab/>
      </w:r>
      <w:r w:rsidR="007E2DBE" w:rsidRPr="007E2DBE">
        <w:rPr>
          <w:b/>
          <w:bCs/>
        </w:rPr>
        <w:t xml:space="preserve">Parágrafo: </w:t>
      </w:r>
      <w:r w:rsidR="007E2DBE" w:rsidRPr="007E2DBE">
        <w:t>Estos cargos no incluyen el impuesto de transporte de que trata el artículo 26 de la Ley 141 de 1994, ni la cuota de fomento establecida por el artículo 15 de la Ley 401 de 1997 y sus modificaciones. Dichos gravámenes deberán ser pagados por los sujetos pasivos señalados en las mencionadas normas.</w:t>
      </w:r>
      <w:r w:rsidR="007E2DBE">
        <w:t>”</w:t>
      </w:r>
    </w:p>
    <w:p w14:paraId="3A39F8F3" w14:textId="7DDD3278" w:rsidR="00E74EC8" w:rsidRDefault="00E74EC8" w:rsidP="00E74EC8">
      <w:pPr>
        <w:pStyle w:val="ARTICULOS"/>
      </w:pPr>
      <w:r>
        <w:t xml:space="preserve">Remplazar el Anexo 1 de la Resolución CREG </w:t>
      </w:r>
      <w:r w:rsidR="000A5989">
        <w:rPr>
          <w:lang w:val="es-CO"/>
        </w:rPr>
        <w:t>041</w:t>
      </w:r>
      <w:r>
        <w:t xml:space="preserve"> de 201</w:t>
      </w:r>
      <w:r w:rsidR="000A5989">
        <w:rPr>
          <w:lang w:val="es-CO"/>
        </w:rPr>
        <w:t>5</w:t>
      </w:r>
      <w:r>
        <w:t xml:space="preserve"> por el Anexo 1 de la presente Resolución.</w:t>
      </w:r>
    </w:p>
    <w:p w14:paraId="2811B376" w14:textId="77777777" w:rsidR="000904F2" w:rsidRDefault="000904F2" w:rsidP="000904F2">
      <w:pPr>
        <w:pStyle w:val="ARTICULOS"/>
        <w:numPr>
          <w:ilvl w:val="0"/>
          <w:numId w:val="0"/>
        </w:numPr>
        <w:ind w:left="1"/>
      </w:pPr>
    </w:p>
    <w:p w14:paraId="4AE643D4" w14:textId="052A51E0" w:rsidR="00334151" w:rsidRDefault="00E74EC8" w:rsidP="000904F2">
      <w:pPr>
        <w:pStyle w:val="ARTICULOS"/>
      </w:pPr>
      <w:r w:rsidRPr="00E75BD7">
        <w:rPr>
          <w:b/>
          <w:bCs w:val="0"/>
        </w:rPr>
        <w:t>Recursos.</w:t>
      </w:r>
      <w:r>
        <w:t xml:space="preserve"> Notificar a la empresa </w:t>
      </w:r>
      <w:r w:rsidR="000904F2">
        <w:rPr>
          <w:lang w:val="es-CO"/>
        </w:rPr>
        <w:t>Transmetano</w:t>
      </w:r>
      <w:r>
        <w:t xml:space="preserve"> E.S.P.</w:t>
      </w:r>
      <w:r w:rsidR="000904F2">
        <w:rPr>
          <w:lang w:val="es-CO"/>
        </w:rPr>
        <w:t xml:space="preserve"> </w:t>
      </w:r>
      <w:r w:rsidR="000904F2">
        <w:t>S.A.</w:t>
      </w:r>
      <w:r w:rsidR="0036426F">
        <w:rPr>
          <w:lang w:val="es-CO"/>
        </w:rPr>
        <w:t xml:space="preserve"> y </w:t>
      </w:r>
      <w:r w:rsidR="007E5EB2">
        <w:rPr>
          <w:lang w:val="es-CO"/>
        </w:rPr>
        <w:t>SURTIGAS S.A. E.S.P.</w:t>
      </w:r>
      <w:r w:rsidR="0036426F">
        <w:rPr>
          <w:lang w:val="es-CO"/>
        </w:rPr>
        <w:t xml:space="preserve"> </w:t>
      </w:r>
      <w:r>
        <w:t>el contenido de esta Resolución y</w:t>
      </w:r>
      <w:r w:rsidR="00E74779">
        <w:rPr>
          <w:lang w:val="es-ES"/>
        </w:rPr>
        <w:t>,</w:t>
      </w:r>
      <w:r>
        <w:t xml:space="preserve"> </w:t>
      </w:r>
      <w:r w:rsidR="007E5EB2">
        <w:rPr>
          <w:lang w:val="es-CO"/>
        </w:rPr>
        <w:t>una vez quede en firme</w:t>
      </w:r>
      <w:r w:rsidR="00E74779">
        <w:rPr>
          <w:lang w:val="es-CO"/>
        </w:rPr>
        <w:t>,</w:t>
      </w:r>
      <w:r w:rsidR="007E5EB2">
        <w:rPr>
          <w:lang w:val="es-CO"/>
        </w:rPr>
        <w:t xml:space="preserve"> </w:t>
      </w:r>
      <w:r>
        <w:t xml:space="preserve">publicarla en el Diario Oficial. Contra lo dispuesto en este acto procede el recurso </w:t>
      </w:r>
      <w:r>
        <w:lastRenderedPageBreak/>
        <w:t>de reposición, el cual se podrá interponer ante la Dirección Ejecutiva de la CREG dentro de los cinco (5) días hábiles siguientes a la fecha de su notificación.</w:t>
      </w:r>
    </w:p>
    <w:p w14:paraId="64DC46F2" w14:textId="719A9531" w:rsidR="00334151" w:rsidRDefault="00334151" w:rsidP="00334151">
      <w:pPr>
        <w:pStyle w:val="Prrafodelista"/>
        <w:jc w:val="both"/>
      </w:pPr>
    </w:p>
    <w:p w14:paraId="3EB85F99" w14:textId="77777777" w:rsidR="0075288F" w:rsidRPr="00CD26C9" w:rsidRDefault="0075288F" w:rsidP="0075288F">
      <w:pPr>
        <w:spacing w:after="0"/>
        <w:jc w:val="center"/>
        <w:rPr>
          <w:rFonts w:eastAsia="Times New Roman" w:cs="Arial"/>
          <w:b/>
          <w:szCs w:val="24"/>
          <w:lang w:val="es-ES" w:eastAsia="es-ES"/>
        </w:rPr>
      </w:pPr>
      <w:r w:rsidRPr="00CD26C9">
        <w:rPr>
          <w:rFonts w:eastAsia="Times New Roman" w:cs="Arial"/>
          <w:b/>
          <w:szCs w:val="24"/>
          <w:lang w:val="es-ES" w:eastAsia="es-ES"/>
        </w:rPr>
        <w:t>NOTIFÍQUESE, PUBLÍQUESE Y CÚMPLASE,</w:t>
      </w:r>
    </w:p>
    <w:p w14:paraId="4238507E" w14:textId="77777777" w:rsidR="0075288F" w:rsidRPr="00CD26C9" w:rsidRDefault="0075288F" w:rsidP="0075288F">
      <w:pPr>
        <w:spacing w:after="0"/>
        <w:rPr>
          <w:rFonts w:eastAsia="Times New Roman" w:cs="Times New Roman"/>
          <w:szCs w:val="24"/>
          <w:lang w:val="es-ES" w:eastAsia="es-ES"/>
        </w:rPr>
      </w:pPr>
    </w:p>
    <w:p w14:paraId="0574B86F" w14:textId="62CC58A5" w:rsidR="0075288F" w:rsidRPr="00CD26C9" w:rsidRDefault="0075288F" w:rsidP="0075288F">
      <w:pPr>
        <w:spacing w:after="0"/>
        <w:rPr>
          <w:rFonts w:eastAsia="Times New Roman" w:cs="Times New Roman"/>
          <w:b/>
          <w:bCs/>
          <w:szCs w:val="24"/>
          <w:lang w:val="es-ES" w:eastAsia="es-ES"/>
        </w:rPr>
      </w:pPr>
      <w:r w:rsidRPr="00CD26C9">
        <w:rPr>
          <w:rFonts w:eastAsia="Times New Roman" w:cs="Times New Roman"/>
          <w:szCs w:val="24"/>
          <w:lang w:val="es-ES" w:eastAsia="es-ES"/>
        </w:rPr>
        <w:t>Dada en Bogotá D.C. a</w:t>
      </w:r>
      <w:r w:rsidR="007B3C4F" w:rsidRPr="00CD26C9">
        <w:rPr>
          <w:rFonts w:eastAsia="Times New Roman" w:cs="Times New Roman"/>
          <w:szCs w:val="24"/>
          <w:lang w:val="es-ES" w:eastAsia="es-ES"/>
        </w:rPr>
        <w:t xml:space="preserve"> </w:t>
      </w:r>
      <w:r w:rsidR="00CD26C9">
        <w:rPr>
          <w:rFonts w:eastAsia="Times New Roman" w:cs="Times New Roman"/>
          <w:b/>
          <w:bCs/>
          <w:szCs w:val="24"/>
          <w:lang w:val="es-ES" w:eastAsia="es-ES"/>
        </w:rPr>
        <w:t>15 JUL</w:t>
      </w:r>
      <w:r w:rsidR="007B3C4F" w:rsidRPr="00CD26C9">
        <w:rPr>
          <w:rFonts w:eastAsia="Times New Roman" w:cs="Times New Roman"/>
          <w:b/>
          <w:bCs/>
          <w:szCs w:val="24"/>
          <w:lang w:val="es-ES" w:eastAsia="es-ES"/>
        </w:rPr>
        <w:t>. 202</w:t>
      </w:r>
      <w:r w:rsidR="003764DC" w:rsidRPr="00CD26C9">
        <w:rPr>
          <w:rFonts w:eastAsia="Times New Roman" w:cs="Times New Roman"/>
          <w:b/>
          <w:bCs/>
          <w:szCs w:val="24"/>
          <w:lang w:val="es-ES" w:eastAsia="es-ES"/>
        </w:rPr>
        <w:t>2</w:t>
      </w:r>
    </w:p>
    <w:p w14:paraId="69D438D0" w14:textId="77777777" w:rsidR="0075288F" w:rsidRPr="00CD26C9" w:rsidRDefault="0075288F" w:rsidP="0075288F">
      <w:pPr>
        <w:spacing w:after="0"/>
        <w:rPr>
          <w:rFonts w:eastAsia="Times New Roman" w:cs="Times New Roman"/>
          <w:szCs w:val="24"/>
          <w:lang w:val="es-ES" w:eastAsia="es-ES"/>
        </w:rPr>
      </w:pPr>
    </w:p>
    <w:p w14:paraId="0D947023" w14:textId="77777777" w:rsidR="0075288F" w:rsidRPr="00CD26C9" w:rsidRDefault="0075288F" w:rsidP="0075288F">
      <w:pPr>
        <w:spacing w:after="0"/>
        <w:rPr>
          <w:rFonts w:eastAsia="Times New Roman" w:cs="Times New Roman"/>
          <w:sz w:val="20"/>
          <w:szCs w:val="24"/>
          <w:lang w:val="es-ES" w:eastAsia="es-ES"/>
        </w:rPr>
      </w:pPr>
    </w:p>
    <w:p w14:paraId="129EA9C3" w14:textId="77777777" w:rsidR="00C21F95" w:rsidRPr="00CD26C9" w:rsidRDefault="00C21F95" w:rsidP="0075288F">
      <w:pPr>
        <w:spacing w:after="0"/>
        <w:rPr>
          <w:rFonts w:eastAsia="Times New Roman" w:cs="Times New Roman"/>
          <w:sz w:val="20"/>
          <w:szCs w:val="24"/>
          <w:lang w:val="es-ES" w:eastAsia="es-ES"/>
        </w:rPr>
      </w:pPr>
    </w:p>
    <w:p w14:paraId="6BE35669" w14:textId="77777777" w:rsidR="0075288F" w:rsidRPr="00CD26C9" w:rsidRDefault="0075288F" w:rsidP="0075288F">
      <w:pPr>
        <w:spacing w:after="0"/>
        <w:rPr>
          <w:rFonts w:eastAsia="Times New Roman" w:cs="Times New Roman"/>
          <w:szCs w:val="24"/>
          <w:lang w:val="es-ES" w:eastAsia="es-ES"/>
        </w:rPr>
      </w:pPr>
    </w:p>
    <w:p w14:paraId="0B76D94F" w14:textId="77777777" w:rsidR="0075288F" w:rsidRPr="00CD26C9" w:rsidRDefault="0075288F" w:rsidP="0075288F">
      <w:pPr>
        <w:spacing w:after="0"/>
        <w:rPr>
          <w:rFonts w:eastAsia="Times New Roman" w:cs="Times New Roman"/>
          <w:szCs w:val="24"/>
          <w:lang w:val="es-ES" w:eastAsia="es-ES"/>
        </w:rPr>
      </w:pPr>
    </w:p>
    <w:tbl>
      <w:tblPr>
        <w:tblW w:w="9498" w:type="dxa"/>
        <w:jc w:val="center"/>
        <w:tblLayout w:type="fixed"/>
        <w:tblCellMar>
          <w:left w:w="70" w:type="dxa"/>
          <w:right w:w="70" w:type="dxa"/>
        </w:tblCellMar>
        <w:tblLook w:val="0000" w:firstRow="0" w:lastRow="0" w:firstColumn="0" w:lastColumn="0" w:noHBand="0" w:noVBand="0"/>
      </w:tblPr>
      <w:tblGrid>
        <w:gridCol w:w="4536"/>
        <w:gridCol w:w="4962"/>
      </w:tblGrid>
      <w:tr w:rsidR="00A67F1D" w:rsidRPr="00554081" w14:paraId="7C244CA2" w14:textId="77777777" w:rsidTr="007B3C4F">
        <w:trPr>
          <w:trHeight w:val="864"/>
          <w:jc w:val="center"/>
        </w:trPr>
        <w:tc>
          <w:tcPr>
            <w:tcW w:w="4536" w:type="dxa"/>
          </w:tcPr>
          <w:p w14:paraId="697B532F" w14:textId="7EFF6F09" w:rsidR="00A67F1D" w:rsidRPr="00CD26C9" w:rsidRDefault="00C2586D" w:rsidP="00A67F1D">
            <w:pPr>
              <w:tabs>
                <w:tab w:val="left" w:pos="-720"/>
              </w:tabs>
              <w:suppressAutoHyphens/>
              <w:spacing w:after="0"/>
              <w:jc w:val="center"/>
              <w:rPr>
                <w:rFonts w:eastAsia="Times New Roman" w:cs="Arial"/>
                <w:b/>
                <w:spacing w:val="-3"/>
                <w:szCs w:val="24"/>
                <w:lang w:val="es-ES" w:eastAsia="es-ES"/>
              </w:rPr>
            </w:pPr>
            <w:r w:rsidRPr="00CD26C9">
              <w:rPr>
                <w:rFonts w:eastAsia="Times New Roman" w:cs="Arial"/>
                <w:b/>
                <w:spacing w:val="-3"/>
                <w:szCs w:val="24"/>
                <w:lang w:val="es-ES" w:eastAsia="es-ES"/>
              </w:rPr>
              <w:t>MIGUEL LOTERO ROBLEDO</w:t>
            </w:r>
          </w:p>
          <w:p w14:paraId="3B3327B6" w14:textId="47DF483F" w:rsidR="00A67F1D" w:rsidRPr="00CD26C9" w:rsidRDefault="00C2586D" w:rsidP="00A67F1D">
            <w:pPr>
              <w:tabs>
                <w:tab w:val="left" w:pos="-720"/>
              </w:tabs>
              <w:suppressAutoHyphens/>
              <w:spacing w:after="0"/>
              <w:jc w:val="center"/>
              <w:rPr>
                <w:rFonts w:eastAsia="Times New Roman" w:cs="Times New Roman"/>
                <w:szCs w:val="24"/>
                <w:lang w:val="es-ES" w:eastAsia="es-ES"/>
              </w:rPr>
            </w:pPr>
            <w:r w:rsidRPr="00CD26C9">
              <w:rPr>
                <w:rFonts w:eastAsia="Times New Roman" w:cs="Times New Roman"/>
                <w:szCs w:val="24"/>
                <w:lang w:val="es-ES" w:eastAsia="es-ES"/>
              </w:rPr>
              <w:t>Vicem</w:t>
            </w:r>
            <w:r w:rsidR="00A67F1D" w:rsidRPr="00CD26C9">
              <w:rPr>
                <w:rFonts w:eastAsia="Times New Roman" w:cs="Times New Roman"/>
                <w:szCs w:val="24"/>
                <w:lang w:val="es-ES" w:eastAsia="es-ES"/>
              </w:rPr>
              <w:t>inistr</w:t>
            </w:r>
            <w:r w:rsidR="004E76B9" w:rsidRPr="00CD26C9">
              <w:rPr>
                <w:rFonts w:eastAsia="Times New Roman" w:cs="Times New Roman"/>
                <w:szCs w:val="24"/>
                <w:lang w:val="es-ES" w:eastAsia="es-ES"/>
              </w:rPr>
              <w:t>o</w:t>
            </w:r>
            <w:r w:rsidR="00A67F1D" w:rsidRPr="00CD26C9">
              <w:rPr>
                <w:rFonts w:eastAsia="Times New Roman" w:cs="Times New Roman"/>
                <w:szCs w:val="24"/>
                <w:lang w:val="es-ES" w:eastAsia="es-ES"/>
              </w:rPr>
              <w:t xml:space="preserve"> de Energía</w:t>
            </w:r>
            <w:r w:rsidR="00120817" w:rsidRPr="00CD26C9">
              <w:rPr>
                <w:rFonts w:eastAsia="Times New Roman" w:cs="Times New Roman"/>
                <w:szCs w:val="24"/>
                <w:lang w:val="es-ES" w:eastAsia="es-ES"/>
              </w:rPr>
              <w:t>,</w:t>
            </w:r>
            <w:r w:rsidR="006F608F" w:rsidRPr="00CD26C9">
              <w:rPr>
                <w:rFonts w:eastAsia="Times New Roman" w:cs="Times New Roman"/>
                <w:szCs w:val="24"/>
                <w:lang w:val="es-ES" w:eastAsia="es-ES"/>
              </w:rPr>
              <w:t xml:space="preserve"> delegado del</w:t>
            </w:r>
            <w:r w:rsidR="00120817" w:rsidRPr="00CD26C9">
              <w:rPr>
                <w:rFonts w:eastAsia="Times New Roman" w:cs="Times New Roman"/>
                <w:szCs w:val="24"/>
                <w:lang w:val="es-ES" w:eastAsia="es-ES"/>
              </w:rPr>
              <w:t xml:space="preserve"> Ministro de Minas y Energía</w:t>
            </w:r>
          </w:p>
          <w:p w14:paraId="348751B3" w14:textId="77777777" w:rsidR="00A67F1D" w:rsidRPr="00CD26C9" w:rsidRDefault="00A67F1D" w:rsidP="00A67F1D">
            <w:pPr>
              <w:tabs>
                <w:tab w:val="left" w:pos="-720"/>
              </w:tabs>
              <w:suppressAutoHyphens/>
              <w:spacing w:after="0"/>
              <w:jc w:val="center"/>
              <w:rPr>
                <w:rFonts w:eastAsia="Times New Roman" w:cs="Arial"/>
                <w:b/>
                <w:strike/>
                <w:spacing w:val="-3"/>
                <w:szCs w:val="24"/>
                <w:lang w:val="es-ES" w:eastAsia="es-ES"/>
              </w:rPr>
            </w:pPr>
            <w:r w:rsidRPr="00CD26C9">
              <w:rPr>
                <w:rFonts w:ascii="Times New Roman" w:eastAsia="Times New Roman" w:hAnsi="Times New Roman" w:cs="Times New Roman"/>
                <w:szCs w:val="24"/>
                <w:lang w:val="es-ES" w:eastAsia="es-ES"/>
              </w:rPr>
              <w:t xml:space="preserve"> </w:t>
            </w:r>
            <w:r w:rsidRPr="00CD26C9">
              <w:rPr>
                <w:rFonts w:eastAsia="Times New Roman" w:cs="Times New Roman"/>
                <w:szCs w:val="24"/>
                <w:lang w:val="es-ES" w:eastAsia="es-ES"/>
              </w:rPr>
              <w:t>Presidente</w:t>
            </w:r>
          </w:p>
        </w:tc>
        <w:tc>
          <w:tcPr>
            <w:tcW w:w="4962" w:type="dxa"/>
          </w:tcPr>
          <w:p w14:paraId="46561F09" w14:textId="77777777" w:rsidR="00A67F1D" w:rsidRPr="00CD26C9" w:rsidRDefault="00A67F1D" w:rsidP="00A67F1D">
            <w:pPr>
              <w:tabs>
                <w:tab w:val="left" w:pos="-720"/>
              </w:tabs>
              <w:suppressAutoHyphens/>
              <w:spacing w:after="0"/>
              <w:jc w:val="center"/>
              <w:rPr>
                <w:rFonts w:eastAsia="Times New Roman" w:cs="Arial"/>
                <w:b/>
                <w:szCs w:val="24"/>
                <w:lang w:val="es-ES" w:eastAsia="es-ES"/>
              </w:rPr>
            </w:pPr>
            <w:r w:rsidRPr="00CD26C9">
              <w:rPr>
                <w:rFonts w:eastAsia="Times New Roman" w:cs="Arial"/>
                <w:b/>
                <w:szCs w:val="24"/>
                <w:lang w:val="es-ES" w:eastAsia="es-ES"/>
              </w:rPr>
              <w:t>JORGE ALBERTO VALENCIA MARÍN</w:t>
            </w:r>
          </w:p>
          <w:p w14:paraId="70F18265" w14:textId="77777777" w:rsidR="00A67F1D" w:rsidRPr="00CD26C9" w:rsidRDefault="00A67F1D" w:rsidP="00A67F1D">
            <w:pPr>
              <w:tabs>
                <w:tab w:val="left" w:pos="-720"/>
              </w:tabs>
              <w:suppressAutoHyphens/>
              <w:spacing w:after="0"/>
              <w:jc w:val="center"/>
              <w:rPr>
                <w:rFonts w:eastAsia="Times New Roman" w:cs="Arial"/>
                <w:b/>
                <w:spacing w:val="-3"/>
                <w:szCs w:val="24"/>
                <w:lang w:val="es-ES" w:eastAsia="es-ES"/>
              </w:rPr>
            </w:pPr>
            <w:r w:rsidRPr="00CD26C9">
              <w:rPr>
                <w:rFonts w:eastAsia="Times New Roman" w:cs="Arial"/>
                <w:spacing w:val="-3"/>
                <w:szCs w:val="24"/>
                <w:lang w:val="es-ES" w:eastAsia="es-ES"/>
              </w:rPr>
              <w:t>Director Ejecutivo</w:t>
            </w:r>
          </w:p>
        </w:tc>
      </w:tr>
    </w:tbl>
    <w:p w14:paraId="179CCB14" w14:textId="77777777" w:rsidR="0075288F" w:rsidRPr="00554081" w:rsidRDefault="0075288F" w:rsidP="0075288F">
      <w:pPr>
        <w:spacing w:after="0"/>
        <w:rPr>
          <w:rFonts w:eastAsia="Times New Roman" w:cs="Times New Roman"/>
          <w:szCs w:val="24"/>
          <w:highlight w:val="yellow"/>
          <w:lang w:val="es-ES" w:eastAsia="es-ES"/>
        </w:rPr>
      </w:pPr>
    </w:p>
    <w:p w14:paraId="75278B37" w14:textId="77777777" w:rsidR="0075288F" w:rsidRPr="00554081" w:rsidRDefault="0075288F" w:rsidP="0075288F">
      <w:pPr>
        <w:widowControl w:val="0"/>
        <w:spacing w:after="0"/>
        <w:rPr>
          <w:rFonts w:eastAsia="Times New Roman" w:cs="Times New Roman"/>
          <w:szCs w:val="24"/>
          <w:highlight w:val="yellow"/>
          <w:lang w:val="es-ES" w:eastAsia="es-ES"/>
        </w:rPr>
      </w:pPr>
    </w:p>
    <w:p w14:paraId="48D60064" w14:textId="77777777" w:rsidR="007628BE" w:rsidRDefault="007628BE" w:rsidP="0075288F">
      <w:pPr>
        <w:widowControl w:val="0"/>
        <w:spacing w:after="0"/>
        <w:rPr>
          <w:rFonts w:eastAsia="Times New Roman" w:cs="Times New Roman"/>
          <w:szCs w:val="24"/>
          <w:highlight w:val="yellow"/>
          <w:lang w:val="es-ES" w:eastAsia="es-ES"/>
        </w:rPr>
      </w:pPr>
      <w:r>
        <w:rPr>
          <w:rFonts w:eastAsia="Times New Roman" w:cs="Times New Roman"/>
          <w:szCs w:val="24"/>
          <w:highlight w:val="yellow"/>
          <w:lang w:val="es-ES" w:eastAsia="es-ES"/>
        </w:rPr>
        <w:br w:type="page"/>
      </w:r>
    </w:p>
    <w:p w14:paraId="3EE7C73F" w14:textId="77777777" w:rsidR="00F75D10" w:rsidRDefault="006772B1" w:rsidP="006772B1">
      <w:pPr>
        <w:jc w:val="center"/>
        <w:rPr>
          <w:b/>
          <w:bCs/>
        </w:rPr>
      </w:pPr>
      <w:r w:rsidRPr="000D6799">
        <w:rPr>
          <w:b/>
          <w:bCs/>
        </w:rPr>
        <w:lastRenderedPageBreak/>
        <w:t>Anexo 1</w:t>
      </w:r>
      <w:r>
        <w:rPr>
          <w:b/>
          <w:bCs/>
        </w:rPr>
        <w:t xml:space="preserve">. </w:t>
      </w:r>
    </w:p>
    <w:p w14:paraId="04AA6D11" w14:textId="0CDA7EE5" w:rsidR="0075288F" w:rsidRPr="003961C6" w:rsidRDefault="00A941F9" w:rsidP="00A941F9">
      <w:pPr>
        <w:spacing w:after="0"/>
        <w:jc w:val="center"/>
        <w:rPr>
          <w:rFonts w:eastAsia="Times New Roman" w:cs="Times New Roman"/>
          <w:b/>
          <w:bCs/>
          <w:szCs w:val="24"/>
          <w:lang w:eastAsia="es-ES"/>
        </w:rPr>
      </w:pPr>
      <w:r>
        <w:rPr>
          <w:b/>
          <w:bCs/>
        </w:rPr>
        <w:t>“Anexo 1. Inversión Existente</w:t>
      </w:r>
      <w:r w:rsidRPr="00BC6D6F">
        <w:t xml:space="preserve"> </w:t>
      </w:r>
      <w:r w:rsidR="00377D9C" w:rsidRPr="00377D9C">
        <w:rPr>
          <w:noProof/>
        </w:rPr>
        <w:drawing>
          <wp:inline distT="0" distB="0" distL="0" distR="0" wp14:anchorId="5DBE0139" wp14:editId="3EB9B1FA">
            <wp:extent cx="5941060" cy="1744345"/>
            <wp:effectExtent l="0" t="0" r="254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1060" cy="1744345"/>
                    </a:xfrm>
                    <a:prstGeom prst="rect">
                      <a:avLst/>
                    </a:prstGeom>
                    <a:noFill/>
                    <a:ln>
                      <a:noFill/>
                    </a:ln>
                  </pic:spPr>
                </pic:pic>
              </a:graphicData>
            </a:graphic>
          </wp:inline>
        </w:drawing>
      </w:r>
    </w:p>
    <w:p w14:paraId="1512F624" w14:textId="13799221" w:rsidR="00086870" w:rsidRPr="003961C6" w:rsidRDefault="00086870" w:rsidP="0075288F">
      <w:pPr>
        <w:spacing w:after="0"/>
        <w:rPr>
          <w:rFonts w:eastAsia="Times New Roman" w:cs="Times New Roman"/>
          <w:b/>
          <w:bCs/>
          <w:szCs w:val="24"/>
          <w:lang w:eastAsia="es-ES"/>
        </w:rPr>
      </w:pPr>
    </w:p>
    <w:p w14:paraId="2675C42C" w14:textId="7E7E76D1" w:rsidR="0075288F" w:rsidRDefault="0075288F" w:rsidP="0075288F">
      <w:pPr>
        <w:spacing w:after="0"/>
        <w:ind w:left="-181"/>
        <w:jc w:val="both"/>
        <w:rPr>
          <w:rFonts w:eastAsia="Times New Roman" w:cs="Arial"/>
          <w:b/>
          <w:szCs w:val="24"/>
          <w:highlight w:val="yellow"/>
          <w:lang w:val="es-ES" w:eastAsia="es-ES"/>
        </w:rPr>
      </w:pPr>
    </w:p>
    <w:p w14:paraId="54A136B9" w14:textId="77777777" w:rsidR="00E74779" w:rsidRPr="00554081" w:rsidRDefault="00E74779" w:rsidP="0075288F">
      <w:pPr>
        <w:spacing w:after="0"/>
        <w:ind w:left="-181"/>
        <w:jc w:val="both"/>
        <w:rPr>
          <w:rFonts w:eastAsia="Times New Roman" w:cs="Arial"/>
          <w:b/>
          <w:szCs w:val="24"/>
          <w:highlight w:val="yellow"/>
          <w:lang w:val="es-ES" w:eastAsia="es-ES"/>
        </w:rPr>
      </w:pPr>
    </w:p>
    <w:p w14:paraId="325BB647" w14:textId="77777777" w:rsidR="0075288F" w:rsidRPr="00554081" w:rsidRDefault="0075288F" w:rsidP="0075288F">
      <w:pPr>
        <w:spacing w:after="0"/>
        <w:ind w:left="-181"/>
        <w:jc w:val="both"/>
        <w:rPr>
          <w:rFonts w:eastAsia="Times New Roman" w:cs="Arial"/>
          <w:b/>
          <w:szCs w:val="24"/>
          <w:highlight w:val="yellow"/>
          <w:lang w:val="es-ES" w:eastAsia="es-ES"/>
        </w:rPr>
      </w:pPr>
    </w:p>
    <w:p w14:paraId="036C8442" w14:textId="77777777" w:rsidR="0075288F" w:rsidRPr="00CD26C9" w:rsidRDefault="0075288F" w:rsidP="0075288F">
      <w:pPr>
        <w:spacing w:after="0"/>
        <w:ind w:left="-181"/>
        <w:jc w:val="both"/>
        <w:rPr>
          <w:rFonts w:eastAsia="Times New Roman" w:cs="Arial"/>
          <w:b/>
          <w:szCs w:val="24"/>
          <w:lang w:val="es-ES" w:eastAsia="es-ES"/>
        </w:rPr>
      </w:pPr>
    </w:p>
    <w:tbl>
      <w:tblPr>
        <w:tblW w:w="9715" w:type="dxa"/>
        <w:jc w:val="center"/>
        <w:tblLayout w:type="fixed"/>
        <w:tblCellMar>
          <w:left w:w="70" w:type="dxa"/>
          <w:right w:w="70" w:type="dxa"/>
        </w:tblCellMar>
        <w:tblLook w:val="0000" w:firstRow="0" w:lastRow="0" w:firstColumn="0" w:lastColumn="0" w:noHBand="0" w:noVBand="0"/>
      </w:tblPr>
      <w:tblGrid>
        <w:gridCol w:w="4820"/>
        <w:gridCol w:w="4895"/>
      </w:tblGrid>
      <w:tr w:rsidR="00C21F95" w:rsidRPr="00554081" w14:paraId="350DFB27" w14:textId="77777777" w:rsidTr="00BE7550">
        <w:trPr>
          <w:trHeight w:val="864"/>
          <w:jc w:val="center"/>
        </w:trPr>
        <w:tc>
          <w:tcPr>
            <w:tcW w:w="4820" w:type="dxa"/>
          </w:tcPr>
          <w:p w14:paraId="4B4E8E4C" w14:textId="77777777" w:rsidR="00C2586D" w:rsidRPr="00CD26C9" w:rsidRDefault="00C2586D" w:rsidP="00C2586D">
            <w:pPr>
              <w:tabs>
                <w:tab w:val="left" w:pos="-720"/>
              </w:tabs>
              <w:suppressAutoHyphens/>
              <w:spacing w:after="0"/>
              <w:jc w:val="center"/>
              <w:rPr>
                <w:rFonts w:eastAsia="Times New Roman" w:cs="Arial"/>
                <w:b/>
                <w:spacing w:val="-3"/>
                <w:szCs w:val="24"/>
                <w:lang w:val="es-ES" w:eastAsia="es-ES"/>
              </w:rPr>
            </w:pPr>
            <w:r w:rsidRPr="00CD26C9">
              <w:rPr>
                <w:rFonts w:eastAsia="Times New Roman" w:cs="Arial"/>
                <w:b/>
                <w:spacing w:val="-3"/>
                <w:szCs w:val="24"/>
                <w:lang w:val="es-ES" w:eastAsia="es-ES"/>
              </w:rPr>
              <w:t>MIGUEL LOTERO ROBLEDO</w:t>
            </w:r>
          </w:p>
          <w:p w14:paraId="1FB5CA16" w14:textId="4AB3601D" w:rsidR="00C2586D" w:rsidRPr="00CD26C9" w:rsidRDefault="00C2586D" w:rsidP="00C2586D">
            <w:pPr>
              <w:tabs>
                <w:tab w:val="left" w:pos="-720"/>
              </w:tabs>
              <w:suppressAutoHyphens/>
              <w:spacing w:after="0"/>
              <w:jc w:val="center"/>
              <w:rPr>
                <w:rFonts w:eastAsia="Times New Roman" w:cs="Times New Roman"/>
                <w:szCs w:val="24"/>
                <w:lang w:val="es-ES" w:eastAsia="es-ES"/>
              </w:rPr>
            </w:pPr>
            <w:r w:rsidRPr="00CD26C9">
              <w:rPr>
                <w:rFonts w:eastAsia="Times New Roman" w:cs="Times New Roman"/>
                <w:szCs w:val="24"/>
                <w:lang w:val="es-ES" w:eastAsia="es-ES"/>
              </w:rPr>
              <w:t>Viceministro de Energía</w:t>
            </w:r>
            <w:r w:rsidR="00120817" w:rsidRPr="00CD26C9">
              <w:rPr>
                <w:rFonts w:eastAsia="Times New Roman" w:cs="Times New Roman"/>
                <w:szCs w:val="24"/>
                <w:lang w:val="es-ES" w:eastAsia="es-ES"/>
              </w:rPr>
              <w:t>,</w:t>
            </w:r>
            <w:r w:rsidR="006F608F" w:rsidRPr="00CD26C9">
              <w:rPr>
                <w:rFonts w:eastAsia="Times New Roman" w:cs="Times New Roman"/>
                <w:szCs w:val="24"/>
                <w:lang w:val="es-ES" w:eastAsia="es-ES"/>
              </w:rPr>
              <w:t xml:space="preserve"> delegado del</w:t>
            </w:r>
            <w:r w:rsidR="00120817" w:rsidRPr="00CD26C9">
              <w:rPr>
                <w:rFonts w:eastAsia="Times New Roman" w:cs="Times New Roman"/>
                <w:szCs w:val="24"/>
                <w:lang w:val="es-ES" w:eastAsia="es-ES"/>
              </w:rPr>
              <w:t xml:space="preserve"> Ministro de Minas y Energía</w:t>
            </w:r>
          </w:p>
          <w:p w14:paraId="1A671694" w14:textId="779AC6A6" w:rsidR="00C21F95" w:rsidRPr="00CD26C9" w:rsidRDefault="00C2586D" w:rsidP="002F1F67">
            <w:pPr>
              <w:tabs>
                <w:tab w:val="left" w:pos="-720"/>
              </w:tabs>
              <w:suppressAutoHyphens/>
              <w:spacing w:after="0"/>
              <w:jc w:val="center"/>
              <w:rPr>
                <w:rFonts w:eastAsia="Times New Roman" w:cs="Arial"/>
                <w:b/>
                <w:strike/>
                <w:spacing w:val="-3"/>
                <w:szCs w:val="24"/>
                <w:lang w:val="es-ES" w:eastAsia="es-ES"/>
              </w:rPr>
            </w:pPr>
            <w:r w:rsidRPr="00CD26C9">
              <w:rPr>
                <w:rFonts w:ascii="Times New Roman" w:eastAsia="Times New Roman" w:hAnsi="Times New Roman" w:cs="Times New Roman"/>
                <w:szCs w:val="24"/>
                <w:lang w:val="es-ES" w:eastAsia="es-ES"/>
              </w:rPr>
              <w:t xml:space="preserve"> </w:t>
            </w:r>
            <w:r w:rsidRPr="00CD26C9">
              <w:rPr>
                <w:rFonts w:eastAsia="Times New Roman" w:cs="Times New Roman"/>
                <w:szCs w:val="24"/>
                <w:lang w:val="es-ES" w:eastAsia="es-ES"/>
              </w:rPr>
              <w:t>Presidente</w:t>
            </w:r>
          </w:p>
        </w:tc>
        <w:tc>
          <w:tcPr>
            <w:tcW w:w="4895" w:type="dxa"/>
          </w:tcPr>
          <w:p w14:paraId="7FD9F0B2" w14:textId="77777777" w:rsidR="00C21F95" w:rsidRPr="00CD26C9" w:rsidRDefault="00C21F95" w:rsidP="002F1F67">
            <w:pPr>
              <w:tabs>
                <w:tab w:val="left" w:pos="-720"/>
              </w:tabs>
              <w:suppressAutoHyphens/>
              <w:spacing w:after="0"/>
              <w:jc w:val="center"/>
              <w:rPr>
                <w:rFonts w:eastAsia="Times New Roman" w:cs="Arial"/>
                <w:b/>
                <w:szCs w:val="24"/>
                <w:lang w:val="es-ES" w:eastAsia="es-ES"/>
              </w:rPr>
            </w:pPr>
            <w:r w:rsidRPr="00CD26C9">
              <w:rPr>
                <w:rFonts w:eastAsia="Times New Roman" w:cs="Arial"/>
                <w:b/>
                <w:szCs w:val="24"/>
                <w:lang w:val="es-ES" w:eastAsia="es-ES"/>
              </w:rPr>
              <w:t>JORGE ALBERTO VALENCIA MARÍN</w:t>
            </w:r>
          </w:p>
          <w:p w14:paraId="66F3E10F" w14:textId="77777777" w:rsidR="00C21F95" w:rsidRPr="00CD26C9" w:rsidRDefault="00C21F95" w:rsidP="002F1F67">
            <w:pPr>
              <w:tabs>
                <w:tab w:val="left" w:pos="-720"/>
              </w:tabs>
              <w:suppressAutoHyphens/>
              <w:spacing w:after="0"/>
              <w:jc w:val="center"/>
              <w:rPr>
                <w:rFonts w:eastAsia="Times New Roman" w:cs="Arial"/>
                <w:b/>
                <w:spacing w:val="-3"/>
                <w:szCs w:val="24"/>
                <w:lang w:val="es-ES" w:eastAsia="es-ES"/>
              </w:rPr>
            </w:pPr>
            <w:r w:rsidRPr="00CD26C9">
              <w:rPr>
                <w:rFonts w:eastAsia="Times New Roman" w:cs="Arial"/>
                <w:spacing w:val="-3"/>
                <w:szCs w:val="24"/>
                <w:lang w:val="es-ES" w:eastAsia="es-ES"/>
              </w:rPr>
              <w:t>Director Ejecutivo</w:t>
            </w:r>
          </w:p>
        </w:tc>
      </w:tr>
    </w:tbl>
    <w:p w14:paraId="75076EDB" w14:textId="77777777" w:rsidR="0075288F" w:rsidRPr="0075288F" w:rsidRDefault="0075288F" w:rsidP="0075288F">
      <w:pPr>
        <w:spacing w:after="0"/>
        <w:jc w:val="center"/>
        <w:rPr>
          <w:rFonts w:eastAsia="Times New Roman" w:cs="Times New Roman"/>
          <w:b/>
          <w:bCs/>
          <w:szCs w:val="24"/>
          <w:lang w:eastAsia="es-ES"/>
        </w:rPr>
      </w:pPr>
    </w:p>
    <w:p w14:paraId="3934B8A0" w14:textId="77777777" w:rsidR="0075288F" w:rsidRDefault="0075288F" w:rsidP="0075288F">
      <w:pPr>
        <w:spacing w:after="0"/>
        <w:jc w:val="both"/>
        <w:outlineLvl w:val="0"/>
        <w:rPr>
          <w:rFonts w:cs="Arial"/>
          <w:szCs w:val="24"/>
        </w:rPr>
      </w:pPr>
    </w:p>
    <w:p w14:paraId="369BAFB6" w14:textId="77777777" w:rsidR="0075288F" w:rsidRDefault="0075288F" w:rsidP="0075288F">
      <w:pPr>
        <w:spacing w:after="0"/>
        <w:jc w:val="both"/>
        <w:outlineLvl w:val="0"/>
        <w:rPr>
          <w:rFonts w:cs="Arial"/>
          <w:szCs w:val="24"/>
        </w:rPr>
      </w:pPr>
    </w:p>
    <w:sectPr w:rsidR="0075288F" w:rsidSect="005C1BCA">
      <w:headerReference w:type="default" r:id="rId14"/>
      <w:headerReference w:type="first" r:id="rId15"/>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7A245" w14:textId="77777777" w:rsidR="0010145B" w:rsidRDefault="0010145B" w:rsidP="005C1BCA">
      <w:pPr>
        <w:spacing w:after="0"/>
      </w:pPr>
      <w:r>
        <w:separator/>
      </w:r>
    </w:p>
  </w:endnote>
  <w:endnote w:type="continuationSeparator" w:id="0">
    <w:p w14:paraId="002ECF3C" w14:textId="77777777" w:rsidR="0010145B" w:rsidRDefault="0010145B" w:rsidP="005C1BCA">
      <w:pPr>
        <w:spacing w:after="0"/>
      </w:pPr>
      <w:r>
        <w:continuationSeparator/>
      </w:r>
    </w:p>
  </w:endnote>
  <w:endnote w:type="continuationNotice" w:id="1">
    <w:p w14:paraId="50B50D60" w14:textId="77777777" w:rsidR="0010145B" w:rsidRDefault="001014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10B1F" w14:textId="77777777" w:rsidR="0010145B" w:rsidRDefault="0010145B" w:rsidP="005C1BCA">
      <w:pPr>
        <w:spacing w:after="0"/>
      </w:pPr>
      <w:r>
        <w:separator/>
      </w:r>
    </w:p>
  </w:footnote>
  <w:footnote w:type="continuationSeparator" w:id="0">
    <w:p w14:paraId="0CDCB93E" w14:textId="77777777" w:rsidR="0010145B" w:rsidRDefault="0010145B" w:rsidP="005C1BCA">
      <w:pPr>
        <w:spacing w:after="0"/>
      </w:pPr>
      <w:r>
        <w:continuationSeparator/>
      </w:r>
    </w:p>
  </w:footnote>
  <w:footnote w:type="continuationNotice" w:id="1">
    <w:p w14:paraId="49476831" w14:textId="77777777" w:rsidR="0010145B" w:rsidRDefault="0010145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26BA0" w14:textId="77777777" w:rsidR="002F1F67" w:rsidRDefault="002F1F67" w:rsidP="001F2B83">
    <w:pPr>
      <w:pStyle w:val="Ttulo1"/>
      <w:ind w:right="6"/>
      <w:jc w:val="left"/>
      <w:rPr>
        <w:rFonts w:ascii="Bookman Old Style" w:hAnsi="Bookman Old Style" w:cs="Arial"/>
        <w:b w:val="0"/>
        <w:sz w:val="22"/>
        <w:szCs w:val="22"/>
      </w:rPr>
    </w:pPr>
  </w:p>
  <w:p w14:paraId="2C9B156E" w14:textId="247AF766" w:rsidR="00BE7550" w:rsidRPr="00BE7550" w:rsidRDefault="00BE7550" w:rsidP="00BE7550">
    <w:pPr>
      <w:spacing w:after="0"/>
      <w:jc w:val="both"/>
      <w:rPr>
        <w:rFonts w:eastAsia="Times New Roman" w:cs="Times New Roman"/>
        <w:szCs w:val="24"/>
        <w:lang w:eastAsia="es-ES_tradnl"/>
      </w:rPr>
    </w:pPr>
    <w:r w:rsidRPr="00BE7550">
      <w:rPr>
        <w:rFonts w:eastAsia="Times New Roman" w:cs="Times New Roman"/>
        <w:szCs w:val="24"/>
        <w:lang w:eastAsia="es-ES_tradnl"/>
      </w:rPr>
      <w:t xml:space="preserve">RESOLUCIÓN No. </w:t>
    </w:r>
    <w:r w:rsidR="00A44864">
      <w:rPr>
        <w:rFonts w:eastAsia="Times New Roman" w:cs="Times New Roman"/>
        <w:b/>
        <w:bCs/>
        <w:szCs w:val="24"/>
        <w:u w:val="single"/>
        <w:lang w:eastAsia="es-ES_tradnl"/>
      </w:rPr>
      <w:t>502</w:t>
    </w:r>
    <w:r w:rsidR="006C39D7">
      <w:rPr>
        <w:rFonts w:eastAsia="Times New Roman" w:cs="Times New Roman"/>
        <w:b/>
        <w:bCs/>
        <w:szCs w:val="24"/>
        <w:u w:val="single"/>
        <w:lang w:eastAsia="es-ES_tradnl"/>
      </w:rPr>
      <w:t xml:space="preserve"> </w:t>
    </w:r>
    <w:r w:rsidR="00CD26C9">
      <w:rPr>
        <w:rFonts w:eastAsia="Times New Roman" w:cs="Times New Roman"/>
        <w:b/>
        <w:bCs/>
        <w:szCs w:val="24"/>
        <w:u w:val="single"/>
        <w:lang w:eastAsia="es-ES_tradnl"/>
      </w:rPr>
      <w:t>027</w:t>
    </w:r>
    <w:r w:rsidR="006C39D7">
      <w:rPr>
        <w:rFonts w:eastAsia="Times New Roman" w:cs="Times New Roman"/>
        <w:b/>
        <w:bCs/>
        <w:szCs w:val="24"/>
        <w:u w:val="single"/>
        <w:lang w:eastAsia="es-ES_tradnl"/>
      </w:rPr>
      <w:t xml:space="preserve"> </w:t>
    </w:r>
    <w:r w:rsidRPr="00BE7550">
      <w:rPr>
        <w:rFonts w:eastAsia="Times New Roman" w:cs="Times New Roman"/>
        <w:szCs w:val="24"/>
        <w:lang w:eastAsia="es-ES_tradnl"/>
      </w:rPr>
      <w:t xml:space="preserve">DE </w:t>
    </w:r>
    <w:r w:rsidR="007B3C4F">
      <w:rPr>
        <w:rFonts w:eastAsia="Times New Roman" w:cs="Times New Roman"/>
        <w:szCs w:val="24"/>
        <w:lang w:eastAsia="es-ES_tradnl"/>
      </w:rPr>
      <w:t xml:space="preserve">  </w:t>
    </w:r>
    <w:r w:rsidR="00CD26C9">
      <w:rPr>
        <w:rFonts w:eastAsia="Times New Roman" w:cs="Times New Roman"/>
        <w:b/>
        <w:bCs/>
        <w:szCs w:val="24"/>
        <w:u w:val="single"/>
        <w:lang w:eastAsia="es-ES_tradnl"/>
      </w:rPr>
      <w:t>15 JUL</w:t>
    </w:r>
    <w:r w:rsidR="007B3C4F">
      <w:rPr>
        <w:rFonts w:eastAsia="Times New Roman" w:cs="Times New Roman"/>
        <w:b/>
        <w:bCs/>
        <w:szCs w:val="24"/>
        <w:u w:val="single"/>
        <w:lang w:eastAsia="es-ES_tradnl"/>
      </w:rPr>
      <w:t xml:space="preserve">. </w:t>
    </w:r>
    <w:r w:rsidRPr="00BE7550">
      <w:rPr>
        <w:rFonts w:eastAsia="Times New Roman" w:cs="Times New Roman"/>
        <w:b/>
        <w:bCs/>
        <w:szCs w:val="24"/>
        <w:u w:val="single"/>
        <w:lang w:eastAsia="es-ES_tradnl"/>
      </w:rPr>
      <w:t>202</w:t>
    </w:r>
    <w:r w:rsidR="00DC485F">
      <w:rPr>
        <w:rFonts w:eastAsia="Times New Roman" w:cs="Times New Roman"/>
        <w:b/>
        <w:bCs/>
        <w:szCs w:val="24"/>
        <w:u w:val="single"/>
        <w:lang w:eastAsia="es-ES_tradnl"/>
      </w:rPr>
      <w:t>2</w:t>
    </w:r>
    <w:r w:rsidR="007B3C4F" w:rsidRPr="007B3C4F">
      <w:rPr>
        <w:rFonts w:eastAsia="Times New Roman" w:cs="Times New Roman"/>
        <w:b/>
        <w:bCs/>
        <w:szCs w:val="24"/>
        <w:lang w:eastAsia="es-ES_tradnl"/>
      </w:rPr>
      <w:t xml:space="preserve"> </w:t>
    </w:r>
    <w:r w:rsidRPr="007B3C4F">
      <w:rPr>
        <w:rFonts w:eastAsia="Times New Roman" w:cs="Times New Roman"/>
        <w:b/>
        <w:bCs/>
        <w:szCs w:val="24"/>
        <w:lang w:eastAsia="es-ES_tradnl"/>
      </w:rPr>
      <w:t xml:space="preserve"> </w:t>
    </w:r>
    <w:r w:rsidR="007B3C4F" w:rsidRPr="007B3C4F">
      <w:rPr>
        <w:rFonts w:eastAsia="Times New Roman" w:cs="Times New Roman"/>
        <w:b/>
        <w:bCs/>
        <w:szCs w:val="24"/>
        <w:lang w:eastAsia="es-ES_tradnl"/>
      </w:rPr>
      <w:t xml:space="preserve"> </w:t>
    </w:r>
    <w:r w:rsidRPr="00BE7550">
      <w:rPr>
        <w:rFonts w:eastAsia="Times New Roman" w:cs="Times New Roman"/>
        <w:szCs w:val="24"/>
        <w:lang w:eastAsia="es-ES_tradnl"/>
      </w:rPr>
      <w:t xml:space="preserve">HOJA No. </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 xml:space="preserve"> PAGE   \* MERGEFORMAT </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2</w:t>
    </w:r>
    <w:r w:rsidRPr="00BE7550">
      <w:rPr>
        <w:rFonts w:eastAsia="Times New Roman" w:cs="Times New Roman"/>
        <w:szCs w:val="24"/>
        <w:lang w:eastAsia="es-ES_tradnl"/>
      </w:rPr>
      <w:fldChar w:fldCharType="end"/>
    </w:r>
    <w:r w:rsidRPr="00BE7550">
      <w:rPr>
        <w:rFonts w:eastAsia="Times New Roman" w:cs="Times New Roman"/>
        <w:szCs w:val="24"/>
        <w:lang w:eastAsia="es-ES_tradnl"/>
      </w:rPr>
      <w:t>/</w:t>
    </w:r>
    <w:r w:rsidRPr="00BE7550">
      <w:rPr>
        <w:rFonts w:eastAsia="Times New Roman" w:cs="Times New Roman"/>
        <w:szCs w:val="24"/>
        <w:lang w:eastAsia="es-ES_tradnl"/>
      </w:rPr>
      <w:fldChar w:fldCharType="begin"/>
    </w:r>
    <w:r w:rsidRPr="00BE7550">
      <w:rPr>
        <w:rFonts w:eastAsia="Times New Roman" w:cs="Times New Roman"/>
        <w:szCs w:val="24"/>
        <w:lang w:eastAsia="es-ES_tradnl"/>
      </w:rPr>
      <w:instrText>NUMPAGES  \* MERGEFORMAT</w:instrText>
    </w:r>
    <w:r w:rsidRPr="00BE7550">
      <w:rPr>
        <w:rFonts w:eastAsia="Times New Roman" w:cs="Times New Roman"/>
        <w:szCs w:val="24"/>
        <w:lang w:eastAsia="es-ES_tradnl"/>
      </w:rPr>
      <w:fldChar w:fldCharType="separate"/>
    </w:r>
    <w:r w:rsidRPr="00BE7550">
      <w:rPr>
        <w:rFonts w:eastAsia="Times New Roman" w:cs="Times New Roman"/>
        <w:szCs w:val="24"/>
        <w:lang w:eastAsia="es-ES_tradnl"/>
      </w:rPr>
      <w:t>4</w:t>
    </w:r>
    <w:r w:rsidRPr="00BE7550">
      <w:rPr>
        <w:rFonts w:eastAsia="Times New Roman" w:cs="Times New Roman"/>
        <w:szCs w:val="24"/>
        <w:lang w:eastAsia="es-ES_tradnl"/>
      </w:rPr>
      <w:fldChar w:fldCharType="end"/>
    </w:r>
  </w:p>
  <w:p w14:paraId="058D3816" w14:textId="77777777" w:rsidR="002F1F67" w:rsidRDefault="002F1F67" w:rsidP="001F2B83">
    <w:pPr>
      <w:ind w:left="142" w:right="148"/>
      <w:rPr>
        <w:rFonts w:cs="Arial"/>
      </w:rPr>
    </w:pPr>
    <w:r>
      <w:rPr>
        <w:noProof/>
        <w:lang w:eastAsia="es-CO"/>
      </w:rPr>
      <mc:AlternateContent>
        <mc:Choice Requires="wps">
          <w:drawing>
            <wp:anchor distT="0" distB="0" distL="114300" distR="114300" simplePos="0" relativeHeight="251658240" behindDoc="0" locked="0" layoutInCell="1" allowOverlap="1" wp14:anchorId="40F2437B" wp14:editId="2913AE5C">
              <wp:simplePos x="0" y="0"/>
              <wp:positionH relativeFrom="column">
                <wp:posOffset>-175260</wp:posOffset>
              </wp:positionH>
              <wp:positionV relativeFrom="paragraph">
                <wp:posOffset>139065</wp:posOffset>
              </wp:positionV>
              <wp:extent cx="6267450" cy="9900920"/>
              <wp:effectExtent l="15240" t="15240" r="13335" b="184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6F2F29" id="Rectangle 1" o:spid="_x0000_s1026" style="position:absolute;margin-left:-13.8pt;margin-top:10.95pt;width:493.5pt;height:77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" filled="f" strokeweight="1.5pt"/>
          </w:pict>
        </mc:Fallback>
      </mc:AlternateContent>
    </w:r>
  </w:p>
  <w:p w14:paraId="15AD5C1E" w14:textId="0DE7CFEA" w:rsidR="002F1F67" w:rsidRDefault="009A3DA9" w:rsidP="009A3DA9">
    <w:pPr>
      <w:pBdr>
        <w:bottom w:val="single" w:sz="4" w:space="1" w:color="auto"/>
      </w:pBdr>
      <w:spacing w:after="120"/>
      <w:ind w:right="147"/>
      <w:jc w:val="both"/>
      <w:rPr>
        <w:rFonts w:eastAsia="Times New Roman" w:cs="Times New Roman"/>
        <w:lang w:val="es-ES" w:eastAsia="es-ES"/>
      </w:rPr>
    </w:pPr>
    <w:r w:rsidRPr="009A3DA9">
      <w:rPr>
        <w:rFonts w:eastAsia="Times New Roman" w:cs="Times New Roman"/>
        <w:lang w:val="es-ES" w:eastAsia="es-ES"/>
      </w:rPr>
      <w:t xml:space="preserve">Por la cual se ajustan los cargos regulados para el </w:t>
    </w:r>
    <w:r w:rsidR="00211DB2">
      <w:rPr>
        <w:rFonts w:eastAsia="Times New Roman" w:cs="Times New Roman"/>
        <w:lang w:val="es-ES" w:eastAsia="es-ES"/>
      </w:rPr>
      <w:t xml:space="preserve">gasoducto Sebastopol – Medellín del </w:t>
    </w:r>
    <w:r w:rsidRPr="009A3DA9">
      <w:rPr>
        <w:rFonts w:eastAsia="Times New Roman" w:cs="Times New Roman"/>
        <w:lang w:val="es-ES" w:eastAsia="es-ES"/>
      </w:rPr>
      <w:t>sistema de transporte de Transmetano E.S.P. S.A.</w:t>
    </w:r>
  </w:p>
  <w:p w14:paraId="17832FCE" w14:textId="77777777" w:rsidR="003A3BAC" w:rsidRPr="003A3BAC" w:rsidRDefault="003A3BAC" w:rsidP="009A3DA9">
    <w:pPr>
      <w:pBdr>
        <w:bottom w:val="single" w:sz="4" w:space="1" w:color="auto"/>
      </w:pBdr>
      <w:spacing w:after="120"/>
      <w:ind w:right="147"/>
      <w:jc w:val="both"/>
      <w:rPr>
        <w:rFonts w:eastAsia="Times New Roman" w:cs="Times New Roman"/>
        <w:sz w:val="2"/>
        <w:szCs w:val="2"/>
        <w:lang w:val="es-ES" w:eastAsia="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77751" w14:textId="77777777" w:rsidR="002F1F67" w:rsidRDefault="002F1F67" w:rsidP="001F2B83">
    <w:pPr>
      <w:pStyle w:val="Encabezado"/>
      <w:jc w:val="both"/>
      <w:rPr>
        <w:rFonts w:ascii="Arial" w:hAnsi="Arial" w:cs="Arial"/>
        <w:spacing w:val="20"/>
        <w:sz w:val="20"/>
      </w:rPr>
    </w:pPr>
    <w:r>
      <w:rPr>
        <w:rFonts w:ascii="Arial" w:hAnsi="Arial" w:cs="Arial"/>
        <w:spacing w:val="20"/>
        <w:sz w:val="20"/>
      </w:rPr>
      <w:t xml:space="preserve">                                   República de Colombia</w:t>
    </w:r>
  </w:p>
  <w:p w14:paraId="33491D84" w14:textId="77777777" w:rsidR="002F1F67" w:rsidRDefault="002F1F67">
    <w:pPr>
      <w:pStyle w:val="Encabezado"/>
      <w:jc w:val="center"/>
      <w:rPr>
        <w:rFonts w:ascii="Arial" w:hAnsi="Arial" w:cs="Arial"/>
        <w:spacing w:val="20"/>
        <w:sz w:val="20"/>
      </w:rPr>
    </w:pPr>
  </w:p>
  <w:p w14:paraId="16FE288C" w14:textId="77777777" w:rsidR="002F1F67" w:rsidRDefault="002F1F67" w:rsidP="001F2B83">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1" behindDoc="0" locked="0" layoutInCell="1" allowOverlap="1" wp14:anchorId="7314DB35" wp14:editId="022A6DA7">
              <wp:simplePos x="0" y="0"/>
              <wp:positionH relativeFrom="column">
                <wp:posOffset>-213360</wp:posOffset>
              </wp:positionH>
              <wp:positionV relativeFrom="paragraph">
                <wp:posOffset>377190</wp:posOffset>
              </wp:positionV>
              <wp:extent cx="6343650" cy="9839325"/>
              <wp:effectExtent l="15240" t="15240" r="13335" b="133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90236" id="Rectangle 2" o:spid="_x0000_s1026" style="position:absolute;margin-left:-16.8pt;margin-top:29.7pt;width:499.5pt;height:774.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3"/>
    <w:lvl w:ilvl="0">
      <w:start w:val="1"/>
      <w:numFmt w:val="decimal"/>
      <w:lvlText w:val="%1."/>
      <w:lvlJc w:val="left"/>
      <w:pPr>
        <w:tabs>
          <w:tab w:val="num" w:pos="0"/>
        </w:tabs>
        <w:ind w:left="720" w:hanging="360"/>
      </w:pPr>
    </w:lvl>
  </w:abstractNum>
  <w:abstractNum w:abstractNumId="1"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2"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3" w15:restartNumberingAfterBreak="0">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4" w15:restartNumberingAfterBreak="0">
    <w:nsid w:val="17252AD2"/>
    <w:multiLevelType w:val="hybridMultilevel"/>
    <w:tmpl w:val="C868B062"/>
    <w:lvl w:ilvl="0" w:tplc="03227EA0">
      <w:start w:val="54"/>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D5154E1"/>
    <w:multiLevelType w:val="hybridMultilevel"/>
    <w:tmpl w:val="D96C979A"/>
    <w:lvl w:ilvl="0" w:tplc="69AA0D62">
      <w:start w:val="1"/>
      <w:numFmt w:val="decimal"/>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6" w15:restartNumberingAfterBreak="0">
    <w:nsid w:val="1EFB3EDC"/>
    <w:multiLevelType w:val="hybridMultilevel"/>
    <w:tmpl w:val="7166B83C"/>
    <w:lvl w:ilvl="0" w:tplc="DAAA5698">
      <w:start w:val="2"/>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3F509D"/>
    <w:multiLevelType w:val="hybridMultilevel"/>
    <w:tmpl w:val="2700901C"/>
    <w:lvl w:ilvl="0" w:tplc="0660D1FC">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52EF74C9"/>
    <w:multiLevelType w:val="hybridMultilevel"/>
    <w:tmpl w:val="DA0A7412"/>
    <w:name w:val="Lista4322"/>
    <w:lvl w:ilvl="0" w:tplc="758CDDFE">
      <w:start w:val="1"/>
      <w:numFmt w:val="decimal"/>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9" w15:restartNumberingAfterBreak="0">
    <w:nsid w:val="55433A11"/>
    <w:multiLevelType w:val="hybridMultilevel"/>
    <w:tmpl w:val="C2AE1676"/>
    <w:lvl w:ilvl="0" w:tplc="0C0A0001">
      <w:start w:val="1"/>
      <w:numFmt w:val="bullet"/>
      <w:lvlText w:val=""/>
      <w:lvlJc w:val="left"/>
      <w:pPr>
        <w:ind w:left="1080" w:hanging="360"/>
      </w:pPr>
      <w:rPr>
        <w:rFonts w:ascii="Symbol" w:hAnsi="Symbo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0" w15:restartNumberingAfterBreak="0">
    <w:nsid w:val="5CE927BE"/>
    <w:multiLevelType w:val="hybridMultilevel"/>
    <w:tmpl w:val="BFAA7E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8C945D1"/>
    <w:multiLevelType w:val="hybridMultilevel"/>
    <w:tmpl w:val="7C0C69D8"/>
    <w:lvl w:ilvl="0" w:tplc="FFFFFFFF">
      <w:start w:val="1"/>
      <w:numFmt w:val="decimal"/>
      <w:lvlText w:val="%1."/>
      <w:lvlJc w:val="left"/>
      <w:pPr>
        <w:ind w:left="1146" w:hanging="360"/>
      </w:pPr>
      <w:rPr>
        <w:rFonts w:hint="default"/>
      </w:rPr>
    </w:lvl>
    <w:lvl w:ilvl="1" w:tplc="BC3031A2">
      <w:start w:val="1"/>
      <w:numFmt w:val="lowerRoman"/>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ED53B04"/>
    <w:multiLevelType w:val="hybridMultilevel"/>
    <w:tmpl w:val="E6C83EB2"/>
    <w:lvl w:ilvl="0" w:tplc="BB46FAE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3432BD8"/>
    <w:multiLevelType w:val="hybridMultilevel"/>
    <w:tmpl w:val="1F3E190C"/>
    <w:lvl w:ilvl="0" w:tplc="68D4F308">
      <w:start w:val="1"/>
      <w:numFmt w:val="decimal"/>
      <w:pStyle w:val="ARTICULOS"/>
      <w:lvlText w:val="Artículo %1."/>
      <w:lvlJc w:val="left"/>
      <w:pPr>
        <w:ind w:left="4046" w:hanging="360"/>
      </w:pPr>
      <w:rPr>
        <w:rFonts w:ascii="Bookman Old Style" w:hAnsi="Bookman Old Style" w:cs="Times New Roman" w:hint="default"/>
        <w:b/>
        <w:i w:val="0"/>
        <w:iCs w:val="0"/>
        <w:caps w:val="0"/>
        <w:smallCaps w:val="0"/>
        <w:strike w:val="0"/>
        <w:dstrike w:val="0"/>
        <w:noProof w:val="0"/>
        <w:vanish w:val="0"/>
        <w:color w:val="000000"/>
        <w:spacing w:val="0"/>
        <w:kern w:val="0"/>
        <w:position w:val="0"/>
        <w:sz w:val="24"/>
        <w:szCs w:val="24"/>
        <w:u w:val="none"/>
        <w:effect w:val="none"/>
        <w:vertAlign w:val="baseline"/>
        <w:em w:val="none"/>
        <w:lang w:val="es-ES"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338" w:hanging="360"/>
      </w:pPr>
    </w:lvl>
    <w:lvl w:ilvl="2" w:tplc="240A000F">
      <w:start w:val="1"/>
      <w:numFmt w:val="decimal"/>
      <w:lvlText w:val="%3."/>
      <w:lvlJc w:val="left"/>
      <w:pPr>
        <w:ind w:left="382" w:hanging="180"/>
      </w:pPr>
    </w:lvl>
    <w:lvl w:ilvl="3" w:tplc="240A000F" w:tentative="1">
      <w:start w:val="1"/>
      <w:numFmt w:val="decimal"/>
      <w:lvlText w:val="%4."/>
      <w:lvlJc w:val="left"/>
      <w:pPr>
        <w:ind w:left="1102" w:hanging="360"/>
      </w:pPr>
    </w:lvl>
    <w:lvl w:ilvl="4" w:tplc="240A0019" w:tentative="1">
      <w:start w:val="1"/>
      <w:numFmt w:val="lowerLetter"/>
      <w:lvlText w:val="%5."/>
      <w:lvlJc w:val="left"/>
      <w:pPr>
        <w:ind w:left="1822" w:hanging="360"/>
      </w:pPr>
    </w:lvl>
    <w:lvl w:ilvl="5" w:tplc="240A001B" w:tentative="1">
      <w:start w:val="1"/>
      <w:numFmt w:val="lowerRoman"/>
      <w:lvlText w:val="%6."/>
      <w:lvlJc w:val="right"/>
      <w:pPr>
        <w:ind w:left="2542" w:hanging="180"/>
      </w:pPr>
    </w:lvl>
    <w:lvl w:ilvl="6" w:tplc="240A000F" w:tentative="1">
      <w:start w:val="1"/>
      <w:numFmt w:val="decimal"/>
      <w:lvlText w:val="%7."/>
      <w:lvlJc w:val="left"/>
      <w:pPr>
        <w:ind w:left="3262" w:hanging="360"/>
      </w:pPr>
    </w:lvl>
    <w:lvl w:ilvl="7" w:tplc="240A0019" w:tentative="1">
      <w:start w:val="1"/>
      <w:numFmt w:val="lowerLetter"/>
      <w:lvlText w:val="%8."/>
      <w:lvlJc w:val="left"/>
      <w:pPr>
        <w:ind w:left="3982" w:hanging="360"/>
      </w:pPr>
    </w:lvl>
    <w:lvl w:ilvl="8" w:tplc="240A001B" w:tentative="1">
      <w:start w:val="1"/>
      <w:numFmt w:val="lowerRoman"/>
      <w:lvlText w:val="%9."/>
      <w:lvlJc w:val="right"/>
      <w:pPr>
        <w:ind w:left="4702" w:hanging="180"/>
      </w:pPr>
    </w:lvl>
  </w:abstractNum>
  <w:num w:numId="1" w16cid:durableId="242643358">
    <w:abstractNumId w:val="2"/>
  </w:num>
  <w:num w:numId="2" w16cid:durableId="1719620323">
    <w:abstractNumId w:val="13"/>
  </w:num>
  <w:num w:numId="3" w16cid:durableId="956910795">
    <w:abstractNumId w:val="3"/>
  </w:num>
  <w:num w:numId="4" w16cid:durableId="1585070927">
    <w:abstractNumId w:val="9"/>
  </w:num>
  <w:num w:numId="5" w16cid:durableId="1446535628">
    <w:abstractNumId w:val="11"/>
  </w:num>
  <w:num w:numId="6" w16cid:durableId="464854884">
    <w:abstractNumId w:val="5"/>
  </w:num>
  <w:num w:numId="7" w16cid:durableId="1405840141">
    <w:abstractNumId w:val="10"/>
  </w:num>
  <w:num w:numId="8" w16cid:durableId="875967541">
    <w:abstractNumId w:val="12"/>
  </w:num>
  <w:num w:numId="9" w16cid:durableId="1736508034">
    <w:abstractNumId w:val="7"/>
  </w:num>
  <w:num w:numId="10" w16cid:durableId="2140024290">
    <w:abstractNumId w:val="4"/>
  </w:num>
  <w:num w:numId="11" w16cid:durableId="72194567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BCA"/>
    <w:rsid w:val="00001CA1"/>
    <w:rsid w:val="00002C5A"/>
    <w:rsid w:val="000068F0"/>
    <w:rsid w:val="00007901"/>
    <w:rsid w:val="00011052"/>
    <w:rsid w:val="00011D54"/>
    <w:rsid w:val="0001493D"/>
    <w:rsid w:val="000149F1"/>
    <w:rsid w:val="00022128"/>
    <w:rsid w:val="00026CFF"/>
    <w:rsid w:val="0003079D"/>
    <w:rsid w:val="00031C98"/>
    <w:rsid w:val="000332BC"/>
    <w:rsid w:val="0003401F"/>
    <w:rsid w:val="00035658"/>
    <w:rsid w:val="000356E7"/>
    <w:rsid w:val="00036408"/>
    <w:rsid w:val="000372E9"/>
    <w:rsid w:val="00037495"/>
    <w:rsid w:val="00037534"/>
    <w:rsid w:val="000401F3"/>
    <w:rsid w:val="00047614"/>
    <w:rsid w:val="00047E85"/>
    <w:rsid w:val="00051E42"/>
    <w:rsid w:val="000569B2"/>
    <w:rsid w:val="00062A9F"/>
    <w:rsid w:val="000651C3"/>
    <w:rsid w:val="00065B4F"/>
    <w:rsid w:val="00066353"/>
    <w:rsid w:val="0006696E"/>
    <w:rsid w:val="00067DE2"/>
    <w:rsid w:val="000704A8"/>
    <w:rsid w:val="00070986"/>
    <w:rsid w:val="00074962"/>
    <w:rsid w:val="000768E2"/>
    <w:rsid w:val="00080C9A"/>
    <w:rsid w:val="00080CA3"/>
    <w:rsid w:val="00081C44"/>
    <w:rsid w:val="00086870"/>
    <w:rsid w:val="00086996"/>
    <w:rsid w:val="000876C9"/>
    <w:rsid w:val="000904F2"/>
    <w:rsid w:val="0009371C"/>
    <w:rsid w:val="00096487"/>
    <w:rsid w:val="000A1567"/>
    <w:rsid w:val="000A2207"/>
    <w:rsid w:val="000A5989"/>
    <w:rsid w:val="000A6BCD"/>
    <w:rsid w:val="000B0D89"/>
    <w:rsid w:val="000B2CF1"/>
    <w:rsid w:val="000B4631"/>
    <w:rsid w:val="000C1AB2"/>
    <w:rsid w:val="000C4A87"/>
    <w:rsid w:val="000D12A0"/>
    <w:rsid w:val="000D4D20"/>
    <w:rsid w:val="000D6A24"/>
    <w:rsid w:val="000D77B1"/>
    <w:rsid w:val="000E43B1"/>
    <w:rsid w:val="000E7FC0"/>
    <w:rsid w:val="000F0CBC"/>
    <w:rsid w:val="000F45F2"/>
    <w:rsid w:val="000F619F"/>
    <w:rsid w:val="000F74A4"/>
    <w:rsid w:val="0010145B"/>
    <w:rsid w:val="00102168"/>
    <w:rsid w:val="001030F9"/>
    <w:rsid w:val="001079AA"/>
    <w:rsid w:val="00110155"/>
    <w:rsid w:val="00110447"/>
    <w:rsid w:val="001121A9"/>
    <w:rsid w:val="0011246C"/>
    <w:rsid w:val="00114902"/>
    <w:rsid w:val="00114D11"/>
    <w:rsid w:val="001159AB"/>
    <w:rsid w:val="001164AC"/>
    <w:rsid w:val="00120817"/>
    <w:rsid w:val="00121FBE"/>
    <w:rsid w:val="00123B03"/>
    <w:rsid w:val="00124A21"/>
    <w:rsid w:val="00126180"/>
    <w:rsid w:val="00131DB0"/>
    <w:rsid w:val="00133CBB"/>
    <w:rsid w:val="0014224D"/>
    <w:rsid w:val="001451DB"/>
    <w:rsid w:val="0014582B"/>
    <w:rsid w:val="00147A20"/>
    <w:rsid w:val="001544B0"/>
    <w:rsid w:val="001544FF"/>
    <w:rsid w:val="0015594B"/>
    <w:rsid w:val="00161159"/>
    <w:rsid w:val="00165AA8"/>
    <w:rsid w:val="00167E49"/>
    <w:rsid w:val="001723E1"/>
    <w:rsid w:val="00172CDF"/>
    <w:rsid w:val="00176D44"/>
    <w:rsid w:val="0018092F"/>
    <w:rsid w:val="00181EA1"/>
    <w:rsid w:val="00182A03"/>
    <w:rsid w:val="0018361A"/>
    <w:rsid w:val="001851C6"/>
    <w:rsid w:val="00185CE7"/>
    <w:rsid w:val="00193AF1"/>
    <w:rsid w:val="00193F9C"/>
    <w:rsid w:val="0019693D"/>
    <w:rsid w:val="00196F2C"/>
    <w:rsid w:val="001976B3"/>
    <w:rsid w:val="001A034C"/>
    <w:rsid w:val="001A1203"/>
    <w:rsid w:val="001A2443"/>
    <w:rsid w:val="001A79B5"/>
    <w:rsid w:val="001B0BF6"/>
    <w:rsid w:val="001B1AE8"/>
    <w:rsid w:val="001B4CCB"/>
    <w:rsid w:val="001B534B"/>
    <w:rsid w:val="001B6721"/>
    <w:rsid w:val="001B79C4"/>
    <w:rsid w:val="001C05FF"/>
    <w:rsid w:val="001C513B"/>
    <w:rsid w:val="001C606A"/>
    <w:rsid w:val="001D2917"/>
    <w:rsid w:val="001D4D2C"/>
    <w:rsid w:val="001D749F"/>
    <w:rsid w:val="001D75E8"/>
    <w:rsid w:val="001E04A9"/>
    <w:rsid w:val="001E130F"/>
    <w:rsid w:val="001E531D"/>
    <w:rsid w:val="001E5EF3"/>
    <w:rsid w:val="001F1817"/>
    <w:rsid w:val="001F2B83"/>
    <w:rsid w:val="001F3910"/>
    <w:rsid w:val="001F72A8"/>
    <w:rsid w:val="00200DCB"/>
    <w:rsid w:val="00201D11"/>
    <w:rsid w:val="0020210E"/>
    <w:rsid w:val="00205A9A"/>
    <w:rsid w:val="0020666C"/>
    <w:rsid w:val="002071F1"/>
    <w:rsid w:val="00211DB2"/>
    <w:rsid w:val="002168B9"/>
    <w:rsid w:val="0022318A"/>
    <w:rsid w:val="00227547"/>
    <w:rsid w:val="00230AE9"/>
    <w:rsid w:val="00231AF8"/>
    <w:rsid w:val="00233D31"/>
    <w:rsid w:val="002360EA"/>
    <w:rsid w:val="002369DB"/>
    <w:rsid w:val="002441C0"/>
    <w:rsid w:val="00246BDD"/>
    <w:rsid w:val="00250C34"/>
    <w:rsid w:val="00252FBF"/>
    <w:rsid w:val="0025381F"/>
    <w:rsid w:val="00253CDE"/>
    <w:rsid w:val="00255088"/>
    <w:rsid w:val="00257891"/>
    <w:rsid w:val="0026372A"/>
    <w:rsid w:val="002669DB"/>
    <w:rsid w:val="0027183B"/>
    <w:rsid w:val="00275144"/>
    <w:rsid w:val="0027616A"/>
    <w:rsid w:val="00277991"/>
    <w:rsid w:val="00277B5F"/>
    <w:rsid w:val="00293ABC"/>
    <w:rsid w:val="00297E12"/>
    <w:rsid w:val="002A101F"/>
    <w:rsid w:val="002A1901"/>
    <w:rsid w:val="002A2B84"/>
    <w:rsid w:val="002A3000"/>
    <w:rsid w:val="002A32A0"/>
    <w:rsid w:val="002A3B53"/>
    <w:rsid w:val="002B4ACA"/>
    <w:rsid w:val="002B5DD4"/>
    <w:rsid w:val="002B7286"/>
    <w:rsid w:val="002B7CF8"/>
    <w:rsid w:val="002C0846"/>
    <w:rsid w:val="002C2E32"/>
    <w:rsid w:val="002C2F59"/>
    <w:rsid w:val="002C38BA"/>
    <w:rsid w:val="002C68C2"/>
    <w:rsid w:val="002D0502"/>
    <w:rsid w:val="002D665D"/>
    <w:rsid w:val="002D69F1"/>
    <w:rsid w:val="002E1463"/>
    <w:rsid w:val="002E47EE"/>
    <w:rsid w:val="002E48FC"/>
    <w:rsid w:val="002E789E"/>
    <w:rsid w:val="002F034C"/>
    <w:rsid w:val="002F1F67"/>
    <w:rsid w:val="002F645F"/>
    <w:rsid w:val="002F68A3"/>
    <w:rsid w:val="002F6C3C"/>
    <w:rsid w:val="002F72F2"/>
    <w:rsid w:val="003056F7"/>
    <w:rsid w:val="00312D58"/>
    <w:rsid w:val="003164D9"/>
    <w:rsid w:val="0032228A"/>
    <w:rsid w:val="00322645"/>
    <w:rsid w:val="00324F51"/>
    <w:rsid w:val="003253A2"/>
    <w:rsid w:val="003268E6"/>
    <w:rsid w:val="003271CF"/>
    <w:rsid w:val="003276A7"/>
    <w:rsid w:val="00330B53"/>
    <w:rsid w:val="00331103"/>
    <w:rsid w:val="0033161F"/>
    <w:rsid w:val="00331F35"/>
    <w:rsid w:val="0033227C"/>
    <w:rsid w:val="0033303E"/>
    <w:rsid w:val="00334151"/>
    <w:rsid w:val="003347B1"/>
    <w:rsid w:val="003348EF"/>
    <w:rsid w:val="00335465"/>
    <w:rsid w:val="003360A2"/>
    <w:rsid w:val="0033749B"/>
    <w:rsid w:val="003401B5"/>
    <w:rsid w:val="0034159E"/>
    <w:rsid w:val="00344118"/>
    <w:rsid w:val="00344475"/>
    <w:rsid w:val="00351047"/>
    <w:rsid w:val="00351A5E"/>
    <w:rsid w:val="00351B51"/>
    <w:rsid w:val="00352658"/>
    <w:rsid w:val="003613EA"/>
    <w:rsid w:val="003641F5"/>
    <w:rsid w:val="0036426F"/>
    <w:rsid w:val="003655CF"/>
    <w:rsid w:val="00370A60"/>
    <w:rsid w:val="00372484"/>
    <w:rsid w:val="00374A18"/>
    <w:rsid w:val="003764DC"/>
    <w:rsid w:val="00377D9C"/>
    <w:rsid w:val="003802DF"/>
    <w:rsid w:val="003802E7"/>
    <w:rsid w:val="00384317"/>
    <w:rsid w:val="00386DCF"/>
    <w:rsid w:val="00387384"/>
    <w:rsid w:val="00391C31"/>
    <w:rsid w:val="00393342"/>
    <w:rsid w:val="0039378C"/>
    <w:rsid w:val="00394BCF"/>
    <w:rsid w:val="00395ADB"/>
    <w:rsid w:val="003961C6"/>
    <w:rsid w:val="003A3BAC"/>
    <w:rsid w:val="003B0B7A"/>
    <w:rsid w:val="003B13D9"/>
    <w:rsid w:val="003B1686"/>
    <w:rsid w:val="003B50DF"/>
    <w:rsid w:val="003C1360"/>
    <w:rsid w:val="003C1B77"/>
    <w:rsid w:val="003C2E78"/>
    <w:rsid w:val="003D171F"/>
    <w:rsid w:val="003D5F66"/>
    <w:rsid w:val="003D682B"/>
    <w:rsid w:val="003E0936"/>
    <w:rsid w:val="003E5484"/>
    <w:rsid w:val="003F47CE"/>
    <w:rsid w:val="003F59E4"/>
    <w:rsid w:val="004001E4"/>
    <w:rsid w:val="00403E9A"/>
    <w:rsid w:val="0040504A"/>
    <w:rsid w:val="00407341"/>
    <w:rsid w:val="00415546"/>
    <w:rsid w:val="004215EC"/>
    <w:rsid w:val="00424A10"/>
    <w:rsid w:val="004276D1"/>
    <w:rsid w:val="00431CCC"/>
    <w:rsid w:val="00433A19"/>
    <w:rsid w:val="004411E6"/>
    <w:rsid w:val="00444733"/>
    <w:rsid w:val="00444C70"/>
    <w:rsid w:val="00445CF1"/>
    <w:rsid w:val="00447FE8"/>
    <w:rsid w:val="004504E6"/>
    <w:rsid w:val="00451FF9"/>
    <w:rsid w:val="004529AA"/>
    <w:rsid w:val="004554FE"/>
    <w:rsid w:val="004570FE"/>
    <w:rsid w:val="00457CF7"/>
    <w:rsid w:val="004617CC"/>
    <w:rsid w:val="00467145"/>
    <w:rsid w:val="0046738F"/>
    <w:rsid w:val="004752B3"/>
    <w:rsid w:val="00476A57"/>
    <w:rsid w:val="00477598"/>
    <w:rsid w:val="00483542"/>
    <w:rsid w:val="004835E4"/>
    <w:rsid w:val="00486224"/>
    <w:rsid w:val="0049070B"/>
    <w:rsid w:val="00493D5D"/>
    <w:rsid w:val="00494BE4"/>
    <w:rsid w:val="00494F7E"/>
    <w:rsid w:val="004966B0"/>
    <w:rsid w:val="004A1394"/>
    <w:rsid w:val="004A2CAC"/>
    <w:rsid w:val="004A4B8D"/>
    <w:rsid w:val="004A4D92"/>
    <w:rsid w:val="004A5AF4"/>
    <w:rsid w:val="004A5C86"/>
    <w:rsid w:val="004A677A"/>
    <w:rsid w:val="004A7835"/>
    <w:rsid w:val="004B1082"/>
    <w:rsid w:val="004B2371"/>
    <w:rsid w:val="004B463F"/>
    <w:rsid w:val="004B5708"/>
    <w:rsid w:val="004B65F7"/>
    <w:rsid w:val="004B7EBF"/>
    <w:rsid w:val="004C299E"/>
    <w:rsid w:val="004C5347"/>
    <w:rsid w:val="004C55AF"/>
    <w:rsid w:val="004D371C"/>
    <w:rsid w:val="004D3A00"/>
    <w:rsid w:val="004D74B6"/>
    <w:rsid w:val="004E2ECB"/>
    <w:rsid w:val="004E5CBD"/>
    <w:rsid w:val="004E7462"/>
    <w:rsid w:val="004E76B9"/>
    <w:rsid w:val="004F20D7"/>
    <w:rsid w:val="004F21D4"/>
    <w:rsid w:val="00505CEA"/>
    <w:rsid w:val="00506375"/>
    <w:rsid w:val="0051038E"/>
    <w:rsid w:val="00510A55"/>
    <w:rsid w:val="00513B41"/>
    <w:rsid w:val="00514366"/>
    <w:rsid w:val="005149D3"/>
    <w:rsid w:val="00516A8F"/>
    <w:rsid w:val="0052177B"/>
    <w:rsid w:val="00522B60"/>
    <w:rsid w:val="005237A7"/>
    <w:rsid w:val="00526CBB"/>
    <w:rsid w:val="0053083A"/>
    <w:rsid w:val="005328A9"/>
    <w:rsid w:val="00532D6C"/>
    <w:rsid w:val="00536B28"/>
    <w:rsid w:val="0054608F"/>
    <w:rsid w:val="00547070"/>
    <w:rsid w:val="00547B25"/>
    <w:rsid w:val="00547DE8"/>
    <w:rsid w:val="00550449"/>
    <w:rsid w:val="00550996"/>
    <w:rsid w:val="0055347D"/>
    <w:rsid w:val="00554081"/>
    <w:rsid w:val="0055674D"/>
    <w:rsid w:val="00560437"/>
    <w:rsid w:val="00560FC4"/>
    <w:rsid w:val="00565058"/>
    <w:rsid w:val="0056639C"/>
    <w:rsid w:val="00572628"/>
    <w:rsid w:val="005738F9"/>
    <w:rsid w:val="005755B4"/>
    <w:rsid w:val="00575874"/>
    <w:rsid w:val="0058111D"/>
    <w:rsid w:val="005824F6"/>
    <w:rsid w:val="005853A5"/>
    <w:rsid w:val="00585FD2"/>
    <w:rsid w:val="00590C88"/>
    <w:rsid w:val="0059208B"/>
    <w:rsid w:val="0059246B"/>
    <w:rsid w:val="00594763"/>
    <w:rsid w:val="0059555B"/>
    <w:rsid w:val="005A0389"/>
    <w:rsid w:val="005A1326"/>
    <w:rsid w:val="005A24B9"/>
    <w:rsid w:val="005B268F"/>
    <w:rsid w:val="005B31D5"/>
    <w:rsid w:val="005B5073"/>
    <w:rsid w:val="005B6632"/>
    <w:rsid w:val="005B67E6"/>
    <w:rsid w:val="005C1BCA"/>
    <w:rsid w:val="005C3305"/>
    <w:rsid w:val="005C56FA"/>
    <w:rsid w:val="005C673F"/>
    <w:rsid w:val="005D59CB"/>
    <w:rsid w:val="005D613A"/>
    <w:rsid w:val="005D7E58"/>
    <w:rsid w:val="005E21CD"/>
    <w:rsid w:val="005E3377"/>
    <w:rsid w:val="005E3E02"/>
    <w:rsid w:val="005E6508"/>
    <w:rsid w:val="005E6FDC"/>
    <w:rsid w:val="005F04BA"/>
    <w:rsid w:val="005F1B99"/>
    <w:rsid w:val="005F1C68"/>
    <w:rsid w:val="005F3F22"/>
    <w:rsid w:val="005F65C3"/>
    <w:rsid w:val="0060008A"/>
    <w:rsid w:val="0060679B"/>
    <w:rsid w:val="006123F8"/>
    <w:rsid w:val="00612755"/>
    <w:rsid w:val="00620335"/>
    <w:rsid w:val="00621B07"/>
    <w:rsid w:val="006221F6"/>
    <w:rsid w:val="00622D60"/>
    <w:rsid w:val="00623166"/>
    <w:rsid w:val="00632261"/>
    <w:rsid w:val="0063486D"/>
    <w:rsid w:val="0063550A"/>
    <w:rsid w:val="00637889"/>
    <w:rsid w:val="006441EA"/>
    <w:rsid w:val="0064438D"/>
    <w:rsid w:val="0065138A"/>
    <w:rsid w:val="0065201F"/>
    <w:rsid w:val="00653D00"/>
    <w:rsid w:val="00656706"/>
    <w:rsid w:val="0066195D"/>
    <w:rsid w:val="00663587"/>
    <w:rsid w:val="00665338"/>
    <w:rsid w:val="00666B70"/>
    <w:rsid w:val="006673C7"/>
    <w:rsid w:val="00667D66"/>
    <w:rsid w:val="00671E24"/>
    <w:rsid w:val="0067294D"/>
    <w:rsid w:val="00673499"/>
    <w:rsid w:val="00676142"/>
    <w:rsid w:val="00676D84"/>
    <w:rsid w:val="006772B1"/>
    <w:rsid w:val="00677ABF"/>
    <w:rsid w:val="00685CEA"/>
    <w:rsid w:val="006948D9"/>
    <w:rsid w:val="00696941"/>
    <w:rsid w:val="00696C87"/>
    <w:rsid w:val="006A456D"/>
    <w:rsid w:val="006A524F"/>
    <w:rsid w:val="006A5495"/>
    <w:rsid w:val="006A6D99"/>
    <w:rsid w:val="006B2543"/>
    <w:rsid w:val="006B5F6E"/>
    <w:rsid w:val="006B68C9"/>
    <w:rsid w:val="006B70CD"/>
    <w:rsid w:val="006C1359"/>
    <w:rsid w:val="006C13BA"/>
    <w:rsid w:val="006C39D7"/>
    <w:rsid w:val="006C42C7"/>
    <w:rsid w:val="006C6804"/>
    <w:rsid w:val="006D1177"/>
    <w:rsid w:val="006D4CAA"/>
    <w:rsid w:val="006D6420"/>
    <w:rsid w:val="006E1946"/>
    <w:rsid w:val="006E21DB"/>
    <w:rsid w:val="006E2495"/>
    <w:rsid w:val="006E3CAF"/>
    <w:rsid w:val="006E4CFF"/>
    <w:rsid w:val="006E6E13"/>
    <w:rsid w:val="006F0F5D"/>
    <w:rsid w:val="006F4984"/>
    <w:rsid w:val="006F608F"/>
    <w:rsid w:val="006F6F8A"/>
    <w:rsid w:val="00701265"/>
    <w:rsid w:val="007051C5"/>
    <w:rsid w:val="00710F6A"/>
    <w:rsid w:val="007154E1"/>
    <w:rsid w:val="00715E8A"/>
    <w:rsid w:val="00717BBA"/>
    <w:rsid w:val="00717E96"/>
    <w:rsid w:val="00720524"/>
    <w:rsid w:val="00723A63"/>
    <w:rsid w:val="00725342"/>
    <w:rsid w:val="007254EE"/>
    <w:rsid w:val="00735D6F"/>
    <w:rsid w:val="0073600E"/>
    <w:rsid w:val="0074129B"/>
    <w:rsid w:val="00743E0D"/>
    <w:rsid w:val="00744934"/>
    <w:rsid w:val="00744B35"/>
    <w:rsid w:val="007457B8"/>
    <w:rsid w:val="00751905"/>
    <w:rsid w:val="00752095"/>
    <w:rsid w:val="0075288F"/>
    <w:rsid w:val="00752D0D"/>
    <w:rsid w:val="00760851"/>
    <w:rsid w:val="0076186D"/>
    <w:rsid w:val="007628BE"/>
    <w:rsid w:val="00764A47"/>
    <w:rsid w:val="00765D48"/>
    <w:rsid w:val="0077070E"/>
    <w:rsid w:val="0078006D"/>
    <w:rsid w:val="00782704"/>
    <w:rsid w:val="00784E27"/>
    <w:rsid w:val="00785E5C"/>
    <w:rsid w:val="007860F7"/>
    <w:rsid w:val="007917F3"/>
    <w:rsid w:val="0079227C"/>
    <w:rsid w:val="0079393B"/>
    <w:rsid w:val="007A10FE"/>
    <w:rsid w:val="007B364C"/>
    <w:rsid w:val="007B3C4F"/>
    <w:rsid w:val="007B77DB"/>
    <w:rsid w:val="007B79E1"/>
    <w:rsid w:val="007C01C7"/>
    <w:rsid w:val="007C0640"/>
    <w:rsid w:val="007C09F1"/>
    <w:rsid w:val="007C3E6E"/>
    <w:rsid w:val="007C64BE"/>
    <w:rsid w:val="007D3E48"/>
    <w:rsid w:val="007D4A88"/>
    <w:rsid w:val="007E21DE"/>
    <w:rsid w:val="007E2DBE"/>
    <w:rsid w:val="007E4396"/>
    <w:rsid w:val="007E464C"/>
    <w:rsid w:val="007E5EB2"/>
    <w:rsid w:val="007E61D1"/>
    <w:rsid w:val="007F1796"/>
    <w:rsid w:val="007F1A2C"/>
    <w:rsid w:val="007F3B34"/>
    <w:rsid w:val="007F3F7B"/>
    <w:rsid w:val="007F3FC2"/>
    <w:rsid w:val="007F45BD"/>
    <w:rsid w:val="007F66B9"/>
    <w:rsid w:val="007F6CF0"/>
    <w:rsid w:val="007F720B"/>
    <w:rsid w:val="007F77DE"/>
    <w:rsid w:val="007F7FB6"/>
    <w:rsid w:val="0080052E"/>
    <w:rsid w:val="00804F9F"/>
    <w:rsid w:val="00812471"/>
    <w:rsid w:val="00817A09"/>
    <w:rsid w:val="008200CC"/>
    <w:rsid w:val="008213EA"/>
    <w:rsid w:val="0082525A"/>
    <w:rsid w:val="008315F2"/>
    <w:rsid w:val="00833BF1"/>
    <w:rsid w:val="008347D1"/>
    <w:rsid w:val="00841840"/>
    <w:rsid w:val="008420C1"/>
    <w:rsid w:val="008427FD"/>
    <w:rsid w:val="00844EAB"/>
    <w:rsid w:val="00846CC8"/>
    <w:rsid w:val="008514CD"/>
    <w:rsid w:val="00852B2D"/>
    <w:rsid w:val="008545CC"/>
    <w:rsid w:val="00863072"/>
    <w:rsid w:val="0086374B"/>
    <w:rsid w:val="00864689"/>
    <w:rsid w:val="00873462"/>
    <w:rsid w:val="0087487D"/>
    <w:rsid w:val="008765C2"/>
    <w:rsid w:val="0087723A"/>
    <w:rsid w:val="008814E3"/>
    <w:rsid w:val="008831DA"/>
    <w:rsid w:val="0089162A"/>
    <w:rsid w:val="00892686"/>
    <w:rsid w:val="00892D79"/>
    <w:rsid w:val="008932C5"/>
    <w:rsid w:val="00893E0C"/>
    <w:rsid w:val="0089470C"/>
    <w:rsid w:val="0089512B"/>
    <w:rsid w:val="008A5019"/>
    <w:rsid w:val="008A63CD"/>
    <w:rsid w:val="008B1254"/>
    <w:rsid w:val="008B1913"/>
    <w:rsid w:val="008B26F8"/>
    <w:rsid w:val="008C164E"/>
    <w:rsid w:val="008C2DDF"/>
    <w:rsid w:val="008C3A7B"/>
    <w:rsid w:val="008C550E"/>
    <w:rsid w:val="008C7C6D"/>
    <w:rsid w:val="008D01F0"/>
    <w:rsid w:val="008D09A9"/>
    <w:rsid w:val="008D1D6A"/>
    <w:rsid w:val="008D3D90"/>
    <w:rsid w:val="008D6B9D"/>
    <w:rsid w:val="008D7577"/>
    <w:rsid w:val="008E0BB6"/>
    <w:rsid w:val="008E46D8"/>
    <w:rsid w:val="008F07C2"/>
    <w:rsid w:val="008F0823"/>
    <w:rsid w:val="008F2026"/>
    <w:rsid w:val="008F278D"/>
    <w:rsid w:val="008F34C5"/>
    <w:rsid w:val="008F5C24"/>
    <w:rsid w:val="008F605F"/>
    <w:rsid w:val="008F6C10"/>
    <w:rsid w:val="0090013D"/>
    <w:rsid w:val="0090015D"/>
    <w:rsid w:val="00902D93"/>
    <w:rsid w:val="00902DFA"/>
    <w:rsid w:val="00903BDF"/>
    <w:rsid w:val="00903BEB"/>
    <w:rsid w:val="009048A9"/>
    <w:rsid w:val="009055F7"/>
    <w:rsid w:val="00906244"/>
    <w:rsid w:val="009114BD"/>
    <w:rsid w:val="00912BEE"/>
    <w:rsid w:val="00913A5A"/>
    <w:rsid w:val="00914EC9"/>
    <w:rsid w:val="00916840"/>
    <w:rsid w:val="00916CC6"/>
    <w:rsid w:val="009173D7"/>
    <w:rsid w:val="0092233F"/>
    <w:rsid w:val="00922F32"/>
    <w:rsid w:val="009236BC"/>
    <w:rsid w:val="00923B59"/>
    <w:rsid w:val="00933517"/>
    <w:rsid w:val="00933532"/>
    <w:rsid w:val="00933C55"/>
    <w:rsid w:val="009345F1"/>
    <w:rsid w:val="00935138"/>
    <w:rsid w:val="0093522B"/>
    <w:rsid w:val="009364D0"/>
    <w:rsid w:val="00941835"/>
    <w:rsid w:val="00943652"/>
    <w:rsid w:val="00945043"/>
    <w:rsid w:val="00947DF0"/>
    <w:rsid w:val="0095007D"/>
    <w:rsid w:val="00955B3D"/>
    <w:rsid w:val="0096087E"/>
    <w:rsid w:val="009625E3"/>
    <w:rsid w:val="00962A90"/>
    <w:rsid w:val="00963492"/>
    <w:rsid w:val="0097340A"/>
    <w:rsid w:val="009746FD"/>
    <w:rsid w:val="00976568"/>
    <w:rsid w:val="009773E9"/>
    <w:rsid w:val="009802B3"/>
    <w:rsid w:val="009807BE"/>
    <w:rsid w:val="00981490"/>
    <w:rsid w:val="00982158"/>
    <w:rsid w:val="00986363"/>
    <w:rsid w:val="00986CEF"/>
    <w:rsid w:val="009877A4"/>
    <w:rsid w:val="00992E78"/>
    <w:rsid w:val="00993EE7"/>
    <w:rsid w:val="009A06E3"/>
    <w:rsid w:val="009A37CB"/>
    <w:rsid w:val="009A3BB3"/>
    <w:rsid w:val="009A3DA9"/>
    <w:rsid w:val="009A46E2"/>
    <w:rsid w:val="009A682D"/>
    <w:rsid w:val="009B05E8"/>
    <w:rsid w:val="009B1623"/>
    <w:rsid w:val="009B5403"/>
    <w:rsid w:val="009B6B72"/>
    <w:rsid w:val="009C0053"/>
    <w:rsid w:val="009C5A07"/>
    <w:rsid w:val="009C7403"/>
    <w:rsid w:val="009C7C77"/>
    <w:rsid w:val="009D04B0"/>
    <w:rsid w:val="009D32A6"/>
    <w:rsid w:val="009D53E5"/>
    <w:rsid w:val="009D6712"/>
    <w:rsid w:val="009D7D18"/>
    <w:rsid w:val="009E166A"/>
    <w:rsid w:val="009E2BA7"/>
    <w:rsid w:val="009E4517"/>
    <w:rsid w:val="009E721D"/>
    <w:rsid w:val="00A0041D"/>
    <w:rsid w:val="00A00634"/>
    <w:rsid w:val="00A042EB"/>
    <w:rsid w:val="00A10640"/>
    <w:rsid w:val="00A1548B"/>
    <w:rsid w:val="00A220CA"/>
    <w:rsid w:val="00A23B7B"/>
    <w:rsid w:val="00A2601F"/>
    <w:rsid w:val="00A33677"/>
    <w:rsid w:val="00A33E75"/>
    <w:rsid w:val="00A3588A"/>
    <w:rsid w:val="00A35B73"/>
    <w:rsid w:val="00A35D46"/>
    <w:rsid w:val="00A371B3"/>
    <w:rsid w:val="00A400FA"/>
    <w:rsid w:val="00A41242"/>
    <w:rsid w:val="00A42417"/>
    <w:rsid w:val="00A42EE6"/>
    <w:rsid w:val="00A44864"/>
    <w:rsid w:val="00A44FAD"/>
    <w:rsid w:val="00A464A9"/>
    <w:rsid w:val="00A51D7A"/>
    <w:rsid w:val="00A5251F"/>
    <w:rsid w:val="00A550BB"/>
    <w:rsid w:val="00A55137"/>
    <w:rsid w:val="00A551FD"/>
    <w:rsid w:val="00A60B7B"/>
    <w:rsid w:val="00A60DD0"/>
    <w:rsid w:val="00A62376"/>
    <w:rsid w:val="00A6381B"/>
    <w:rsid w:val="00A66E25"/>
    <w:rsid w:val="00A67F1D"/>
    <w:rsid w:val="00A705BC"/>
    <w:rsid w:val="00A70962"/>
    <w:rsid w:val="00A710BD"/>
    <w:rsid w:val="00A74F53"/>
    <w:rsid w:val="00A84D12"/>
    <w:rsid w:val="00A91850"/>
    <w:rsid w:val="00A941F9"/>
    <w:rsid w:val="00AA721F"/>
    <w:rsid w:val="00AB28A0"/>
    <w:rsid w:val="00AB5451"/>
    <w:rsid w:val="00AC0337"/>
    <w:rsid w:val="00AC038A"/>
    <w:rsid w:val="00AC44B0"/>
    <w:rsid w:val="00AC47B2"/>
    <w:rsid w:val="00AC7523"/>
    <w:rsid w:val="00AC7D9C"/>
    <w:rsid w:val="00AD168D"/>
    <w:rsid w:val="00AD1CF5"/>
    <w:rsid w:val="00AD4EA2"/>
    <w:rsid w:val="00AE1866"/>
    <w:rsid w:val="00AE3D50"/>
    <w:rsid w:val="00AE4E4C"/>
    <w:rsid w:val="00AE5D16"/>
    <w:rsid w:val="00AE6330"/>
    <w:rsid w:val="00AF279C"/>
    <w:rsid w:val="00AF5561"/>
    <w:rsid w:val="00B05FD2"/>
    <w:rsid w:val="00B06877"/>
    <w:rsid w:val="00B07561"/>
    <w:rsid w:val="00B10B77"/>
    <w:rsid w:val="00B1285A"/>
    <w:rsid w:val="00B17697"/>
    <w:rsid w:val="00B2301C"/>
    <w:rsid w:val="00B25479"/>
    <w:rsid w:val="00B319D0"/>
    <w:rsid w:val="00B326BE"/>
    <w:rsid w:val="00B32AEA"/>
    <w:rsid w:val="00B337F2"/>
    <w:rsid w:val="00B34AB2"/>
    <w:rsid w:val="00B37577"/>
    <w:rsid w:val="00B425EE"/>
    <w:rsid w:val="00B441B9"/>
    <w:rsid w:val="00B467DB"/>
    <w:rsid w:val="00B46B69"/>
    <w:rsid w:val="00B470D7"/>
    <w:rsid w:val="00B5262C"/>
    <w:rsid w:val="00B53FFF"/>
    <w:rsid w:val="00B57AF6"/>
    <w:rsid w:val="00B60969"/>
    <w:rsid w:val="00B643E5"/>
    <w:rsid w:val="00B661D9"/>
    <w:rsid w:val="00B662F7"/>
    <w:rsid w:val="00B738FD"/>
    <w:rsid w:val="00B75F7C"/>
    <w:rsid w:val="00B77BB3"/>
    <w:rsid w:val="00B80B55"/>
    <w:rsid w:val="00B8540F"/>
    <w:rsid w:val="00B87342"/>
    <w:rsid w:val="00B91B9E"/>
    <w:rsid w:val="00B9295F"/>
    <w:rsid w:val="00BA34C1"/>
    <w:rsid w:val="00BA57DB"/>
    <w:rsid w:val="00BA6011"/>
    <w:rsid w:val="00BA7C63"/>
    <w:rsid w:val="00BB6C39"/>
    <w:rsid w:val="00BB75E9"/>
    <w:rsid w:val="00BC2C5C"/>
    <w:rsid w:val="00BC35AA"/>
    <w:rsid w:val="00BC6211"/>
    <w:rsid w:val="00BC6D6F"/>
    <w:rsid w:val="00BC74BC"/>
    <w:rsid w:val="00BD2F6F"/>
    <w:rsid w:val="00BD6717"/>
    <w:rsid w:val="00BD7BE2"/>
    <w:rsid w:val="00BE0327"/>
    <w:rsid w:val="00BE2336"/>
    <w:rsid w:val="00BE5DEF"/>
    <w:rsid w:val="00BE7550"/>
    <w:rsid w:val="00C01125"/>
    <w:rsid w:val="00C02F20"/>
    <w:rsid w:val="00C043CC"/>
    <w:rsid w:val="00C07BCE"/>
    <w:rsid w:val="00C10FFF"/>
    <w:rsid w:val="00C125D2"/>
    <w:rsid w:val="00C139AB"/>
    <w:rsid w:val="00C149F3"/>
    <w:rsid w:val="00C14F96"/>
    <w:rsid w:val="00C15277"/>
    <w:rsid w:val="00C21F95"/>
    <w:rsid w:val="00C237EC"/>
    <w:rsid w:val="00C2586D"/>
    <w:rsid w:val="00C300BE"/>
    <w:rsid w:val="00C30A96"/>
    <w:rsid w:val="00C31FCA"/>
    <w:rsid w:val="00C3243A"/>
    <w:rsid w:val="00C345D8"/>
    <w:rsid w:val="00C345DC"/>
    <w:rsid w:val="00C351FE"/>
    <w:rsid w:val="00C41A6C"/>
    <w:rsid w:val="00C4343B"/>
    <w:rsid w:val="00C46E01"/>
    <w:rsid w:val="00C53D56"/>
    <w:rsid w:val="00C54EB1"/>
    <w:rsid w:val="00C60EB5"/>
    <w:rsid w:val="00C65301"/>
    <w:rsid w:val="00C65EAE"/>
    <w:rsid w:val="00C7096A"/>
    <w:rsid w:val="00C7334B"/>
    <w:rsid w:val="00C73FBB"/>
    <w:rsid w:val="00C7573E"/>
    <w:rsid w:val="00C80626"/>
    <w:rsid w:val="00C81445"/>
    <w:rsid w:val="00C8557A"/>
    <w:rsid w:val="00C85956"/>
    <w:rsid w:val="00C9325F"/>
    <w:rsid w:val="00C93956"/>
    <w:rsid w:val="00C96D97"/>
    <w:rsid w:val="00CA05C8"/>
    <w:rsid w:val="00CA077E"/>
    <w:rsid w:val="00CA1110"/>
    <w:rsid w:val="00CA2766"/>
    <w:rsid w:val="00CA4C24"/>
    <w:rsid w:val="00CA5B77"/>
    <w:rsid w:val="00CB20A6"/>
    <w:rsid w:val="00CB3DE7"/>
    <w:rsid w:val="00CB3FD5"/>
    <w:rsid w:val="00CB72A0"/>
    <w:rsid w:val="00CC2C25"/>
    <w:rsid w:val="00CC3DC4"/>
    <w:rsid w:val="00CC6E45"/>
    <w:rsid w:val="00CC7F6D"/>
    <w:rsid w:val="00CD10FB"/>
    <w:rsid w:val="00CD26C9"/>
    <w:rsid w:val="00CD60B6"/>
    <w:rsid w:val="00CD6EF8"/>
    <w:rsid w:val="00CD74B5"/>
    <w:rsid w:val="00CD7D9E"/>
    <w:rsid w:val="00CE515C"/>
    <w:rsid w:val="00CF1A29"/>
    <w:rsid w:val="00CF4873"/>
    <w:rsid w:val="00CF55B8"/>
    <w:rsid w:val="00CF57FE"/>
    <w:rsid w:val="00CF5BA8"/>
    <w:rsid w:val="00CF5FDA"/>
    <w:rsid w:val="00D07BEE"/>
    <w:rsid w:val="00D07C49"/>
    <w:rsid w:val="00D21ABE"/>
    <w:rsid w:val="00D2217A"/>
    <w:rsid w:val="00D22EDA"/>
    <w:rsid w:val="00D316EC"/>
    <w:rsid w:val="00D37311"/>
    <w:rsid w:val="00D41337"/>
    <w:rsid w:val="00D428CA"/>
    <w:rsid w:val="00D43228"/>
    <w:rsid w:val="00D44D08"/>
    <w:rsid w:val="00D4519E"/>
    <w:rsid w:val="00D5017A"/>
    <w:rsid w:val="00D51504"/>
    <w:rsid w:val="00D5314A"/>
    <w:rsid w:val="00D56596"/>
    <w:rsid w:val="00D576F2"/>
    <w:rsid w:val="00D600CC"/>
    <w:rsid w:val="00D60139"/>
    <w:rsid w:val="00D60EEC"/>
    <w:rsid w:val="00D65730"/>
    <w:rsid w:val="00D7068D"/>
    <w:rsid w:val="00D714EE"/>
    <w:rsid w:val="00D76C12"/>
    <w:rsid w:val="00D86221"/>
    <w:rsid w:val="00D86892"/>
    <w:rsid w:val="00D872D7"/>
    <w:rsid w:val="00D90EAE"/>
    <w:rsid w:val="00D93FE3"/>
    <w:rsid w:val="00D950EC"/>
    <w:rsid w:val="00DA08F9"/>
    <w:rsid w:val="00DA595C"/>
    <w:rsid w:val="00DA7FCC"/>
    <w:rsid w:val="00DB400F"/>
    <w:rsid w:val="00DB42FC"/>
    <w:rsid w:val="00DB4DE3"/>
    <w:rsid w:val="00DB6D2D"/>
    <w:rsid w:val="00DB7E65"/>
    <w:rsid w:val="00DC30A4"/>
    <w:rsid w:val="00DC340F"/>
    <w:rsid w:val="00DC442C"/>
    <w:rsid w:val="00DC485F"/>
    <w:rsid w:val="00DC6C9B"/>
    <w:rsid w:val="00DC7728"/>
    <w:rsid w:val="00DD3558"/>
    <w:rsid w:val="00DD3657"/>
    <w:rsid w:val="00DD3F25"/>
    <w:rsid w:val="00DD506D"/>
    <w:rsid w:val="00DD5AB3"/>
    <w:rsid w:val="00DE2A75"/>
    <w:rsid w:val="00DE34B3"/>
    <w:rsid w:val="00DE5054"/>
    <w:rsid w:val="00DE577A"/>
    <w:rsid w:val="00DE5DBA"/>
    <w:rsid w:val="00DE6614"/>
    <w:rsid w:val="00DF2A04"/>
    <w:rsid w:val="00DF2B12"/>
    <w:rsid w:val="00DF2F53"/>
    <w:rsid w:val="00DF37E9"/>
    <w:rsid w:val="00DF4CBC"/>
    <w:rsid w:val="00DF599B"/>
    <w:rsid w:val="00E037FC"/>
    <w:rsid w:val="00E03B09"/>
    <w:rsid w:val="00E05167"/>
    <w:rsid w:val="00E11581"/>
    <w:rsid w:val="00E12213"/>
    <w:rsid w:val="00E132CB"/>
    <w:rsid w:val="00E14D24"/>
    <w:rsid w:val="00E16F57"/>
    <w:rsid w:val="00E21168"/>
    <w:rsid w:val="00E22C99"/>
    <w:rsid w:val="00E22D88"/>
    <w:rsid w:val="00E24B7B"/>
    <w:rsid w:val="00E310EE"/>
    <w:rsid w:val="00E325BC"/>
    <w:rsid w:val="00E411EE"/>
    <w:rsid w:val="00E503C3"/>
    <w:rsid w:val="00E505B4"/>
    <w:rsid w:val="00E505E8"/>
    <w:rsid w:val="00E51B9C"/>
    <w:rsid w:val="00E56F60"/>
    <w:rsid w:val="00E617B3"/>
    <w:rsid w:val="00E74779"/>
    <w:rsid w:val="00E74EC8"/>
    <w:rsid w:val="00E7591B"/>
    <w:rsid w:val="00E7596A"/>
    <w:rsid w:val="00E75BD7"/>
    <w:rsid w:val="00E82B41"/>
    <w:rsid w:val="00E85D7B"/>
    <w:rsid w:val="00E9164F"/>
    <w:rsid w:val="00E91A96"/>
    <w:rsid w:val="00EA23A0"/>
    <w:rsid w:val="00EA4A91"/>
    <w:rsid w:val="00EA7EA0"/>
    <w:rsid w:val="00EB023A"/>
    <w:rsid w:val="00EB1577"/>
    <w:rsid w:val="00EB2D23"/>
    <w:rsid w:val="00EB3EAB"/>
    <w:rsid w:val="00EB4BBE"/>
    <w:rsid w:val="00EB559D"/>
    <w:rsid w:val="00EC1BDC"/>
    <w:rsid w:val="00EC705E"/>
    <w:rsid w:val="00ED274C"/>
    <w:rsid w:val="00ED3907"/>
    <w:rsid w:val="00ED53AE"/>
    <w:rsid w:val="00ED7560"/>
    <w:rsid w:val="00ED758B"/>
    <w:rsid w:val="00EE0B11"/>
    <w:rsid w:val="00EE5C1F"/>
    <w:rsid w:val="00EF0AFF"/>
    <w:rsid w:val="00EF28F7"/>
    <w:rsid w:val="00EF5680"/>
    <w:rsid w:val="00EF7A5D"/>
    <w:rsid w:val="00F049F9"/>
    <w:rsid w:val="00F057AC"/>
    <w:rsid w:val="00F064F7"/>
    <w:rsid w:val="00F1179A"/>
    <w:rsid w:val="00F117A3"/>
    <w:rsid w:val="00F11960"/>
    <w:rsid w:val="00F11A91"/>
    <w:rsid w:val="00F1553A"/>
    <w:rsid w:val="00F174A9"/>
    <w:rsid w:val="00F24420"/>
    <w:rsid w:val="00F255D6"/>
    <w:rsid w:val="00F30473"/>
    <w:rsid w:val="00F30553"/>
    <w:rsid w:val="00F30924"/>
    <w:rsid w:val="00F313E0"/>
    <w:rsid w:val="00F32DE4"/>
    <w:rsid w:val="00F33A33"/>
    <w:rsid w:val="00F36CB8"/>
    <w:rsid w:val="00F40304"/>
    <w:rsid w:val="00F40C89"/>
    <w:rsid w:val="00F4478E"/>
    <w:rsid w:val="00F44C17"/>
    <w:rsid w:val="00F45C57"/>
    <w:rsid w:val="00F46EA4"/>
    <w:rsid w:val="00F524F4"/>
    <w:rsid w:val="00F55B76"/>
    <w:rsid w:val="00F5620F"/>
    <w:rsid w:val="00F60C4E"/>
    <w:rsid w:val="00F6256D"/>
    <w:rsid w:val="00F62750"/>
    <w:rsid w:val="00F62FAE"/>
    <w:rsid w:val="00F63165"/>
    <w:rsid w:val="00F654EA"/>
    <w:rsid w:val="00F66C32"/>
    <w:rsid w:val="00F70B3B"/>
    <w:rsid w:val="00F713C9"/>
    <w:rsid w:val="00F7155E"/>
    <w:rsid w:val="00F7164B"/>
    <w:rsid w:val="00F74DD6"/>
    <w:rsid w:val="00F75D10"/>
    <w:rsid w:val="00F76DF2"/>
    <w:rsid w:val="00F80DAF"/>
    <w:rsid w:val="00F80EBD"/>
    <w:rsid w:val="00F85F83"/>
    <w:rsid w:val="00F85F9E"/>
    <w:rsid w:val="00F868F0"/>
    <w:rsid w:val="00F8740C"/>
    <w:rsid w:val="00F87EB5"/>
    <w:rsid w:val="00F904E9"/>
    <w:rsid w:val="00F90F7B"/>
    <w:rsid w:val="00F913D4"/>
    <w:rsid w:val="00F914EB"/>
    <w:rsid w:val="00F918BA"/>
    <w:rsid w:val="00F92A19"/>
    <w:rsid w:val="00F93A45"/>
    <w:rsid w:val="00FA0938"/>
    <w:rsid w:val="00FA18F8"/>
    <w:rsid w:val="00FA71BF"/>
    <w:rsid w:val="00FB15EF"/>
    <w:rsid w:val="00FB2E5A"/>
    <w:rsid w:val="00FB3082"/>
    <w:rsid w:val="00FB34B8"/>
    <w:rsid w:val="00FB4BC2"/>
    <w:rsid w:val="00FC0384"/>
    <w:rsid w:val="00FC0FA7"/>
    <w:rsid w:val="00FC65B9"/>
    <w:rsid w:val="00FD101E"/>
    <w:rsid w:val="00FD292F"/>
    <w:rsid w:val="00FD48F4"/>
    <w:rsid w:val="00FD7FC1"/>
    <w:rsid w:val="00FE38F5"/>
    <w:rsid w:val="00FE517B"/>
    <w:rsid w:val="00FE71C6"/>
    <w:rsid w:val="00FF1A6A"/>
    <w:rsid w:val="00FF3752"/>
    <w:rsid w:val="00FF3FEF"/>
    <w:rsid w:val="00FF4180"/>
    <w:rsid w:val="00FF6563"/>
    <w:rsid w:val="00FF6A33"/>
    <w:rsid w:val="00FF7E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4763E12"/>
  <w15:docId w15:val="{BE1391E3-6F29-4620-B40C-5F9CC799F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0FA"/>
    <w:pPr>
      <w:spacing w:line="240" w:lineRule="auto"/>
      <w:contextualSpacing/>
    </w:pPr>
    <w:rPr>
      <w:rFonts w:ascii="Bookman Old Style" w:hAnsi="Bookman Old Style"/>
      <w:sz w:val="24"/>
    </w:rPr>
  </w:style>
  <w:style w:type="paragraph" w:styleId="Ttulo1">
    <w:name w:val="heading 1"/>
    <w:aliases w:val="ANEXO"/>
    <w:basedOn w:val="Normal"/>
    <w:next w:val="Normal"/>
    <w:link w:val="Ttulo1Car"/>
    <w:qFormat/>
    <w:rsid w:val="005C1BCA"/>
    <w:pPr>
      <w:keepNext/>
      <w:spacing w:after="0"/>
      <w:ind w:left="567"/>
      <w:jc w:val="center"/>
      <w:outlineLvl w:val="0"/>
    </w:pPr>
    <w:rPr>
      <w:rFonts w:ascii="CG Times" w:eastAsia="Times New Roman" w:hAnsi="CG Times" w:cs="Times New Roman"/>
      <w:b/>
      <w:szCs w:val="20"/>
      <w:lang w:eastAsia="es-ES"/>
    </w:rPr>
  </w:style>
  <w:style w:type="paragraph" w:styleId="Ttulo2">
    <w:name w:val="heading 2"/>
    <w:basedOn w:val="Normal"/>
    <w:next w:val="Normal"/>
    <w:link w:val="Ttulo2Car"/>
    <w:uiPriority w:val="9"/>
    <w:unhideWhenUsed/>
    <w:qFormat/>
    <w:rsid w:val="007917F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C1BCA"/>
    <w:pPr>
      <w:keepNext/>
      <w:spacing w:after="0"/>
      <w:ind w:left="567"/>
      <w:jc w:val="center"/>
      <w:outlineLvl w:val="2"/>
    </w:pPr>
    <w:rPr>
      <w:rFonts w:ascii="CG Times" w:eastAsia="Times New Roman" w:hAnsi="CG Times" w:cs="Times New Roman"/>
      <w:b/>
      <w:snapToGrid w:val="0"/>
      <w:color w:val="000000"/>
      <w:szCs w:val="20"/>
      <w:lang w:val="es-ES_tradnl" w:eastAsia="es-ES"/>
    </w:rPr>
  </w:style>
  <w:style w:type="paragraph" w:styleId="Ttulo4">
    <w:name w:val="heading 4"/>
    <w:basedOn w:val="Normal"/>
    <w:next w:val="Normal"/>
    <w:link w:val="Ttulo4Car"/>
    <w:qFormat/>
    <w:rsid w:val="005C1BCA"/>
    <w:pPr>
      <w:keepNext/>
      <w:spacing w:after="0"/>
      <w:ind w:left="567"/>
      <w:jc w:val="center"/>
      <w:outlineLvl w:val="3"/>
    </w:pPr>
    <w:rPr>
      <w:rFonts w:ascii="Arial" w:eastAsia="Times New Roman" w:hAnsi="Arial" w:cs="Arial"/>
      <w:b/>
      <w:snapToGrid w:val="0"/>
      <w:color w:val="000000"/>
      <w:spacing w:val="20"/>
      <w:sz w:val="20"/>
      <w:szCs w:val="20"/>
      <w:lang w:val="es-ES_tradnl" w:eastAsia="es-ES"/>
    </w:rPr>
  </w:style>
  <w:style w:type="paragraph" w:styleId="Ttulo5">
    <w:name w:val="heading 5"/>
    <w:basedOn w:val="Normal"/>
    <w:next w:val="Normal"/>
    <w:link w:val="Ttulo5Car"/>
    <w:qFormat/>
    <w:rsid w:val="005C1BCA"/>
    <w:pPr>
      <w:keepNext/>
      <w:spacing w:after="0"/>
      <w:ind w:left="567"/>
      <w:jc w:val="center"/>
      <w:outlineLvl w:val="4"/>
    </w:pPr>
    <w:rPr>
      <w:rFonts w:ascii="Arial" w:eastAsia="Times New Roman" w:hAnsi="Arial" w:cs="Arial"/>
      <w:b/>
      <w:snapToGrid w:val="0"/>
      <w:color w:val="000000"/>
      <w:spacing w:val="20"/>
      <w:sz w:val="28"/>
      <w:szCs w:val="20"/>
      <w:lang w:val="es-ES_tradnl" w:eastAsia="es-ES"/>
    </w:rPr>
  </w:style>
  <w:style w:type="paragraph" w:styleId="Ttulo6">
    <w:name w:val="heading 6"/>
    <w:basedOn w:val="Normal"/>
    <w:next w:val="Normal"/>
    <w:link w:val="Ttulo6Car"/>
    <w:unhideWhenUsed/>
    <w:qFormat/>
    <w:rsid w:val="005C1BCA"/>
    <w:pPr>
      <w:spacing w:before="240" w:after="60"/>
      <w:ind w:left="567"/>
      <w:outlineLvl w:val="5"/>
    </w:pPr>
    <w:rPr>
      <w:rFonts w:ascii="Calibri" w:eastAsia="Times New Roman" w:hAnsi="Calibri" w:cs="Times New Roman"/>
      <w:b/>
      <w:bCs/>
      <w:lang w:val="es-ES" w:eastAsia="es-ES"/>
    </w:rPr>
  </w:style>
  <w:style w:type="paragraph" w:styleId="Ttulo7">
    <w:name w:val="heading 7"/>
    <w:basedOn w:val="Normal"/>
    <w:next w:val="Normal"/>
    <w:link w:val="Ttulo7Car"/>
    <w:uiPriority w:val="9"/>
    <w:semiHidden/>
    <w:unhideWhenUsed/>
    <w:qFormat/>
    <w:rsid w:val="005C1BCA"/>
    <w:pPr>
      <w:spacing w:before="240" w:after="60"/>
      <w:ind w:left="567"/>
      <w:outlineLvl w:val="6"/>
    </w:pPr>
    <w:rPr>
      <w:rFonts w:ascii="Calibri" w:eastAsia="Times New Roman" w:hAnsi="Calibri" w:cs="Times New Roman"/>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5C1BCA"/>
    <w:pPr>
      <w:ind w:left="720"/>
    </w:pPr>
  </w:style>
  <w:style w:type="character" w:customStyle="1" w:styleId="Ttulo1Car">
    <w:name w:val="Título 1 Car"/>
    <w:aliases w:val="ANEXO Car"/>
    <w:basedOn w:val="Fuentedeprrafopredeter"/>
    <w:link w:val="Ttulo1"/>
    <w:rsid w:val="005C1BCA"/>
    <w:rPr>
      <w:rFonts w:ascii="CG Times" w:eastAsia="Times New Roman" w:hAnsi="CG Times" w:cs="Times New Roman"/>
      <w:b/>
      <w:sz w:val="24"/>
      <w:szCs w:val="20"/>
      <w:lang w:eastAsia="es-ES"/>
    </w:rPr>
  </w:style>
  <w:style w:type="character" w:customStyle="1" w:styleId="Ttulo3Car">
    <w:name w:val="Título 3 Car"/>
    <w:basedOn w:val="Fuentedeprrafopredeter"/>
    <w:link w:val="Ttulo3"/>
    <w:rsid w:val="005C1BCA"/>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5C1BCA"/>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5C1BCA"/>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5C1BCA"/>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semiHidden/>
    <w:rsid w:val="005C1BCA"/>
    <w:rPr>
      <w:rFonts w:ascii="Calibri" w:eastAsia="Times New Roman" w:hAnsi="Calibri" w:cs="Times New Roman"/>
      <w:sz w:val="24"/>
      <w:szCs w:val="24"/>
      <w:lang w:val="es-ES" w:eastAsia="es-ES"/>
    </w:rPr>
  </w:style>
  <w:style w:type="numbering" w:customStyle="1" w:styleId="Sinlista1">
    <w:name w:val="Sin lista1"/>
    <w:next w:val="Sinlista"/>
    <w:uiPriority w:val="99"/>
    <w:semiHidden/>
    <w:unhideWhenUsed/>
    <w:rsid w:val="005C1BCA"/>
  </w:style>
  <w:style w:type="paragraph" w:styleId="Encabezado">
    <w:name w:val="header"/>
    <w:basedOn w:val="Normal"/>
    <w:link w:val="EncabezadoCar"/>
    <w:rsid w:val="005C1BCA"/>
    <w:pPr>
      <w:tabs>
        <w:tab w:val="center" w:pos="4252"/>
        <w:tab w:val="right" w:pos="8504"/>
      </w:tabs>
      <w:spacing w:after="0"/>
      <w:ind w:left="567"/>
    </w:pPr>
    <w:rPr>
      <w:rFonts w:ascii="CG Times" w:eastAsia="Times New Roman" w:hAnsi="CG Times" w:cs="Times New Roman"/>
      <w:szCs w:val="20"/>
      <w:lang w:eastAsia="es-ES"/>
    </w:rPr>
  </w:style>
  <w:style w:type="character" w:customStyle="1" w:styleId="EncabezadoCar">
    <w:name w:val="Encabezado Car"/>
    <w:basedOn w:val="Fuentedeprrafopredeter"/>
    <w:link w:val="Encabezado"/>
    <w:rsid w:val="005C1BCA"/>
    <w:rPr>
      <w:rFonts w:ascii="CG Times" w:eastAsia="Times New Roman" w:hAnsi="CG Times" w:cs="Times New Roman"/>
      <w:sz w:val="24"/>
      <w:szCs w:val="20"/>
      <w:lang w:eastAsia="es-ES"/>
    </w:rPr>
  </w:style>
  <w:style w:type="paragraph" w:styleId="Piedepgina">
    <w:name w:val="footer"/>
    <w:basedOn w:val="Normal"/>
    <w:link w:val="PiedepginaCar"/>
    <w:rsid w:val="005C1BCA"/>
    <w:pPr>
      <w:tabs>
        <w:tab w:val="center" w:pos="4252"/>
        <w:tab w:val="right" w:pos="8504"/>
      </w:tabs>
      <w:spacing w:after="0"/>
      <w:ind w:left="567"/>
    </w:pPr>
    <w:rPr>
      <w:rFonts w:ascii="Times New Roman" w:eastAsia="Times New Roman" w:hAnsi="Times New Roman" w:cs="Times New Roman"/>
      <w:szCs w:val="24"/>
      <w:lang w:val="es-ES" w:eastAsia="es-ES"/>
    </w:rPr>
  </w:style>
  <w:style w:type="character" w:customStyle="1" w:styleId="PiedepginaCar">
    <w:name w:val="Pie de página Car"/>
    <w:basedOn w:val="Fuentedeprrafopredeter"/>
    <w:link w:val="Piedepgina"/>
    <w:rsid w:val="005C1BCA"/>
    <w:rPr>
      <w:rFonts w:ascii="Times New Roman" w:eastAsia="Times New Roman" w:hAnsi="Times New Roman" w:cs="Times New Roman"/>
      <w:sz w:val="24"/>
      <w:szCs w:val="24"/>
      <w:lang w:val="es-ES" w:eastAsia="es-ES"/>
    </w:rPr>
  </w:style>
  <w:style w:type="paragraph" w:customStyle="1" w:styleId="Estilo1">
    <w:name w:val="Estilo1"/>
    <w:basedOn w:val="Normal"/>
    <w:rsid w:val="005C1BCA"/>
    <w:pPr>
      <w:shd w:val="clear" w:color="auto" w:fill="C0C0C0"/>
      <w:spacing w:after="0"/>
      <w:ind w:left="567"/>
      <w:jc w:val="center"/>
    </w:pPr>
    <w:rPr>
      <w:rFonts w:ascii="Comic Sans MS" w:eastAsia="Times New Roman" w:hAnsi="Comic Sans MS" w:cs="Times New Roman"/>
      <w:color w:val="0000FF"/>
      <w:sz w:val="36"/>
      <w:szCs w:val="20"/>
      <w:lang w:eastAsia="es-E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5C1BCA"/>
  </w:style>
  <w:style w:type="paragraph" w:styleId="Textoindependiente">
    <w:name w:val="Body Text"/>
    <w:basedOn w:val="Normal"/>
    <w:link w:val="TextoindependienteCar"/>
    <w:semiHidden/>
    <w:rsid w:val="005C1BCA"/>
    <w:pPr>
      <w:spacing w:after="0"/>
      <w:ind w:left="567"/>
      <w:jc w:val="center"/>
    </w:pPr>
    <w:rPr>
      <w:rFonts w:ascii="Arial" w:eastAsia="Times New Roman" w:hAnsi="Arial" w:cs="Arial"/>
      <w:b/>
      <w:bCs/>
      <w:szCs w:val="24"/>
      <w:lang w:val="es-ES" w:eastAsia="es-ES"/>
    </w:rPr>
  </w:style>
  <w:style w:type="character" w:customStyle="1" w:styleId="TextoindependienteCar">
    <w:name w:val="Texto independiente Car"/>
    <w:basedOn w:val="Fuentedeprrafopredeter"/>
    <w:link w:val="Textoindependiente"/>
    <w:semiHidden/>
    <w:rsid w:val="005C1BCA"/>
    <w:rPr>
      <w:rFonts w:ascii="Arial" w:eastAsia="Times New Roman" w:hAnsi="Arial" w:cs="Arial"/>
      <w:b/>
      <w:bCs/>
      <w:sz w:val="24"/>
      <w:szCs w:val="24"/>
      <w:lang w:val="es-ES" w:eastAsia="es-ES"/>
    </w:rPr>
  </w:style>
  <w:style w:type="paragraph" w:styleId="Textoindependiente3">
    <w:name w:val="Body Text 3"/>
    <w:basedOn w:val="Normal"/>
    <w:link w:val="Textoindependiente3Car"/>
    <w:semiHidden/>
    <w:rsid w:val="005C1BCA"/>
    <w:pPr>
      <w:spacing w:after="0"/>
      <w:ind w:left="567"/>
      <w:jc w:val="center"/>
      <w:outlineLvl w:val="0"/>
    </w:pPr>
    <w:rPr>
      <w:rFonts w:ascii="Arial" w:eastAsia="Times New Roman" w:hAnsi="Arial" w:cs="Arial"/>
      <w:b/>
      <w:bCs/>
      <w:spacing w:val="-3"/>
      <w:szCs w:val="24"/>
      <w:lang w:val="es-ES" w:eastAsia="es-ES"/>
    </w:rPr>
  </w:style>
  <w:style w:type="character" w:customStyle="1" w:styleId="Textoindependiente3Car">
    <w:name w:val="Texto independiente 3 Car"/>
    <w:basedOn w:val="Fuentedeprrafopredeter"/>
    <w:link w:val="Textoindependiente3"/>
    <w:semiHidden/>
    <w:rsid w:val="005C1BCA"/>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semiHidden/>
    <w:unhideWhenUsed/>
    <w:rsid w:val="005C1BCA"/>
    <w:pPr>
      <w:spacing w:after="0"/>
      <w:ind w:left="567"/>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5C1BCA"/>
    <w:rPr>
      <w:rFonts w:ascii="Tahoma" w:eastAsia="Times New Roman" w:hAnsi="Tahoma" w:cs="Tahoma"/>
      <w:sz w:val="16"/>
      <w:szCs w:val="16"/>
      <w:lang w:val="es-ES" w:eastAsia="es-ES"/>
    </w:rPr>
  </w:style>
  <w:style w:type="table" w:styleId="Tablaconcuadrcula">
    <w:name w:val="Table Grid"/>
    <w:basedOn w:val="Tablanormal"/>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5C1BCA"/>
    <w:pPr>
      <w:widowControl w:val="0"/>
      <w:adjustRightInd w:val="0"/>
      <w:spacing w:after="0" w:line="360" w:lineRule="atLeast"/>
      <w:ind w:left="567"/>
      <w:jc w:val="center"/>
      <w:textAlignment w:val="baseline"/>
    </w:pPr>
    <w:rPr>
      <w:rFonts w:ascii="Arial" w:eastAsia="Times New Roman" w:hAnsi="Arial" w:cs="Arial"/>
      <w:b/>
      <w:bCs/>
      <w:szCs w:val="24"/>
      <w:lang w:val="es-ES" w:eastAsia="es-ES"/>
    </w:rPr>
  </w:style>
  <w:style w:type="character" w:customStyle="1" w:styleId="TtuloCar">
    <w:name w:val="Título Car"/>
    <w:basedOn w:val="Fuentedeprrafopredeter"/>
    <w:link w:val="Ttulo"/>
    <w:rsid w:val="005C1BCA"/>
    <w:rPr>
      <w:rFonts w:ascii="Arial" w:eastAsia="Times New Roman" w:hAnsi="Arial" w:cs="Arial"/>
      <w:b/>
      <w:bCs/>
      <w:sz w:val="24"/>
      <w:szCs w:val="24"/>
      <w:lang w:val="es-ES" w:eastAsia="es-ES"/>
    </w:rPr>
  </w:style>
  <w:style w:type="character" w:customStyle="1" w:styleId="PrrafodelistaCar">
    <w:name w:val="Párrafo de lista Car"/>
    <w:link w:val="Prrafodelista"/>
    <w:uiPriority w:val="34"/>
    <w:rsid w:val="005C1BCA"/>
  </w:style>
  <w:style w:type="paragraph" w:styleId="TDC1">
    <w:name w:val="toc 1"/>
    <w:basedOn w:val="Normal"/>
    <w:next w:val="Normal"/>
    <w:autoRedefine/>
    <w:rsid w:val="005C1BCA"/>
    <w:pPr>
      <w:tabs>
        <w:tab w:val="left" w:pos="480"/>
        <w:tab w:val="right" w:leader="dot" w:pos="8828"/>
      </w:tabs>
      <w:spacing w:before="120" w:after="0"/>
      <w:ind w:left="567"/>
      <w:jc w:val="both"/>
    </w:pPr>
    <w:rPr>
      <w:rFonts w:ascii="Arial" w:eastAsia="Times New Roman" w:hAnsi="Arial" w:cs="Times New Roman"/>
      <w:noProof/>
      <w:szCs w:val="24"/>
      <w:lang w:val="es-ES" w:eastAsia="es-ES"/>
    </w:rPr>
  </w:style>
  <w:style w:type="paragraph" w:styleId="Textodebloque">
    <w:name w:val="Block Text"/>
    <w:basedOn w:val="Normal"/>
    <w:rsid w:val="005C1BCA"/>
    <w:pPr>
      <w:suppressAutoHyphens/>
      <w:spacing w:after="240"/>
      <w:ind w:left="567" w:right="788"/>
      <w:jc w:val="both"/>
    </w:pPr>
    <w:rPr>
      <w:rFonts w:ascii="Arial" w:eastAsia="Times New Roman" w:hAnsi="Arial" w:cs="Times New Roman"/>
      <w:spacing w:val="-3"/>
      <w:szCs w:val="20"/>
      <w:lang w:val="es-ES_tradnl" w:eastAsia="es-ES"/>
    </w:rPr>
  </w:style>
  <w:style w:type="paragraph" w:styleId="Textoindependiente2">
    <w:name w:val="Body Text 2"/>
    <w:basedOn w:val="Normal"/>
    <w:link w:val="Textoindependiente2Car"/>
    <w:uiPriority w:val="99"/>
    <w:unhideWhenUsed/>
    <w:rsid w:val="005C1BCA"/>
    <w:pPr>
      <w:spacing w:after="120" w:line="480" w:lineRule="auto"/>
      <w:ind w:left="567"/>
    </w:pPr>
    <w:rPr>
      <w:rFonts w:ascii="Times New Roman" w:eastAsia="Times New Roman" w:hAnsi="Times New Roman" w:cs="Times New Roman"/>
      <w:szCs w:val="24"/>
      <w:lang w:val="es-ES" w:eastAsia="es-ES"/>
    </w:rPr>
  </w:style>
  <w:style w:type="character" w:customStyle="1" w:styleId="Textoindependiente2Car">
    <w:name w:val="Texto independiente 2 Car"/>
    <w:basedOn w:val="Fuentedeprrafopredeter"/>
    <w:link w:val="Textoindependiente2"/>
    <w:uiPriority w:val="99"/>
    <w:rsid w:val="005C1BCA"/>
    <w:rPr>
      <w:rFonts w:ascii="Times New Roman" w:eastAsia="Times New Roman" w:hAnsi="Times New Roman" w:cs="Times New Roman"/>
      <w:sz w:val="24"/>
      <w:szCs w:val="24"/>
      <w:lang w:val="es-ES" w:eastAsia="es-ES"/>
    </w:rPr>
  </w:style>
  <w:style w:type="paragraph" w:styleId="Descripcin">
    <w:name w:val="caption"/>
    <w:basedOn w:val="Normal"/>
    <w:next w:val="Normal"/>
    <w:uiPriority w:val="35"/>
    <w:qFormat/>
    <w:rsid w:val="005C1BCA"/>
    <w:pPr>
      <w:widowControl w:val="0"/>
      <w:adjustRightInd w:val="0"/>
      <w:spacing w:before="120" w:after="120" w:line="360" w:lineRule="atLeast"/>
      <w:jc w:val="center"/>
      <w:textAlignment w:val="baseline"/>
    </w:pPr>
    <w:rPr>
      <w:rFonts w:ascii="Arial" w:eastAsia="Times New Roman" w:hAnsi="Arial" w:cs="Times New Roman"/>
      <w:sz w:val="20"/>
      <w:szCs w:val="20"/>
      <w:lang w:val="es-ES" w:eastAsia="es-ES"/>
    </w:rPr>
  </w:style>
  <w:style w:type="paragraph" w:styleId="Sinespaciado">
    <w:name w:val="No Spacing"/>
    <w:uiPriority w:val="1"/>
    <w:qFormat/>
    <w:rsid w:val="005C1BCA"/>
    <w:pPr>
      <w:spacing w:after="0" w:line="240" w:lineRule="auto"/>
    </w:pPr>
    <w:rPr>
      <w:rFonts w:ascii="Calibri" w:eastAsia="Times New Roman" w:hAnsi="Calibri" w:cs="Calibri"/>
      <w:lang w:val="es-ES"/>
    </w:rPr>
  </w:style>
  <w:style w:type="character" w:customStyle="1" w:styleId="apple-style-span">
    <w:name w:val="apple-style-span"/>
    <w:rsid w:val="005C1BCA"/>
    <w:rPr>
      <w:rFonts w:ascii="Times New Roman" w:hAnsi="Times New Roman" w:cs="Times New Roman"/>
    </w:rPr>
  </w:style>
  <w:style w:type="paragraph" w:styleId="Subttulo">
    <w:name w:val="Subtitle"/>
    <w:basedOn w:val="Normal"/>
    <w:link w:val="SubttuloCar"/>
    <w:qFormat/>
    <w:rsid w:val="005C1BCA"/>
    <w:pPr>
      <w:spacing w:after="0"/>
    </w:pPr>
    <w:rPr>
      <w:rFonts w:ascii="Century Gothic" w:eastAsia="Times New Roman" w:hAnsi="Century Gothic" w:cs="Times New Roman"/>
      <w:b/>
      <w:bCs/>
      <w:szCs w:val="24"/>
      <w:lang w:val="es-ES" w:eastAsia="es-ES"/>
    </w:rPr>
  </w:style>
  <w:style w:type="character" w:customStyle="1" w:styleId="SubttuloCar">
    <w:name w:val="Subtítulo Car"/>
    <w:basedOn w:val="Fuentedeprrafopredeter"/>
    <w:link w:val="Subttulo"/>
    <w:rsid w:val="005C1BCA"/>
    <w:rPr>
      <w:rFonts w:ascii="Century Gothic" w:eastAsia="Times New Roman" w:hAnsi="Century Gothic" w:cs="Times New Roman"/>
      <w:b/>
      <w:bCs/>
      <w:sz w:val="24"/>
      <w:szCs w:val="24"/>
      <w:lang w:val="es-ES" w:eastAsia="es-ES"/>
    </w:rPr>
  </w:style>
  <w:style w:type="character" w:customStyle="1" w:styleId="apple-converted-space">
    <w:name w:val="apple-converted-space"/>
    <w:basedOn w:val="Fuentedeprrafopredeter"/>
    <w:rsid w:val="005C1BCA"/>
  </w:style>
  <w:style w:type="paragraph" w:customStyle="1" w:styleId="BodyText21">
    <w:name w:val="Body Text 21"/>
    <w:basedOn w:val="Normal"/>
    <w:uiPriority w:val="99"/>
    <w:rsid w:val="005C1BC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jc w:val="both"/>
      <w:textAlignment w:val="baseline"/>
    </w:pPr>
    <w:rPr>
      <w:rFonts w:ascii="Arial" w:eastAsia="Times New Roman" w:hAnsi="Arial" w:cs="Times New Roman"/>
      <w:szCs w:val="20"/>
      <w:lang w:val="es-ES" w:eastAsia="es-ES"/>
    </w:rPr>
  </w:style>
  <w:style w:type="paragraph" w:styleId="Sangradetextonormal">
    <w:name w:val="Body Text Indent"/>
    <w:basedOn w:val="Normal"/>
    <w:link w:val="SangradetextonormalCar"/>
    <w:uiPriority w:val="99"/>
    <w:semiHidden/>
    <w:unhideWhenUsed/>
    <w:rsid w:val="005C1BCA"/>
    <w:pPr>
      <w:spacing w:after="120"/>
      <w:ind w:left="283"/>
    </w:pPr>
    <w:rPr>
      <w:rFonts w:ascii="Times New Roman" w:eastAsia="Times New Roman" w:hAnsi="Times New Roman" w:cs="Times New Roman"/>
      <w:szCs w:val="24"/>
      <w:lang w:val="es-ES" w:eastAsia="es-ES"/>
    </w:rPr>
  </w:style>
  <w:style w:type="character" w:customStyle="1" w:styleId="SangradetextonormalCar">
    <w:name w:val="Sangría de texto normal Car"/>
    <w:basedOn w:val="Fuentedeprrafopredeter"/>
    <w:link w:val="Sangradetextonormal"/>
    <w:uiPriority w:val="99"/>
    <w:semiHidden/>
    <w:rsid w:val="005C1BCA"/>
    <w:rPr>
      <w:rFonts w:ascii="Times New Roman" w:eastAsia="Times New Roman" w:hAnsi="Times New Roman" w:cs="Times New Roman"/>
      <w:sz w:val="24"/>
      <w:szCs w:val="24"/>
      <w:lang w:val="es-ES" w:eastAsia="es-ES"/>
    </w:rPr>
  </w:style>
  <w:style w:type="paragraph" w:customStyle="1" w:styleId="Vietaletra">
    <w:name w:val="Viñeta letra"/>
    <w:basedOn w:val="Normal"/>
    <w:next w:val="Normal"/>
    <w:rsid w:val="005C1BCA"/>
    <w:pPr>
      <w:numPr>
        <w:numId w:val="1"/>
      </w:numPr>
      <w:suppressAutoHyphens/>
      <w:overflowPunct w:val="0"/>
      <w:autoSpaceDE w:val="0"/>
      <w:spacing w:after="0"/>
      <w:jc w:val="both"/>
      <w:textAlignment w:val="baseline"/>
    </w:pPr>
    <w:rPr>
      <w:rFonts w:ascii="Arial" w:eastAsia="Times New Roman" w:hAnsi="Arial" w:cs="Times New Roman"/>
      <w:szCs w:val="20"/>
      <w:lang w:val="es-ES_tradnl" w:eastAsia="ar-SA"/>
    </w:rPr>
  </w:style>
  <w:style w:type="paragraph" w:customStyle="1" w:styleId="TableHeading">
    <w:name w:val="Table Heading"/>
    <w:basedOn w:val="Normal"/>
    <w:rsid w:val="005C1BCA"/>
    <w:pPr>
      <w:suppressLineNumbers/>
      <w:suppressAutoHyphens/>
      <w:spacing w:after="0"/>
      <w:jc w:val="center"/>
    </w:pPr>
    <w:rPr>
      <w:rFonts w:ascii="Arial" w:eastAsia="Times New Roman" w:hAnsi="Arial" w:cs="Times New Roman"/>
      <w:b/>
      <w:bCs/>
      <w:szCs w:val="24"/>
      <w:lang w:val="es-ES" w:eastAsia="ar-SA"/>
    </w:rPr>
  </w:style>
  <w:style w:type="paragraph" w:styleId="Sangra2detindependiente">
    <w:name w:val="Body Text Indent 2"/>
    <w:basedOn w:val="Normal"/>
    <w:link w:val="Sangra2detindependienteCar"/>
    <w:uiPriority w:val="99"/>
    <w:semiHidden/>
    <w:unhideWhenUsed/>
    <w:rsid w:val="005C1BCA"/>
    <w:pPr>
      <w:spacing w:after="120" w:line="480" w:lineRule="auto"/>
      <w:ind w:left="283"/>
    </w:pPr>
    <w:rPr>
      <w:rFonts w:ascii="Times New Roman" w:eastAsia="Times New Roman" w:hAnsi="Times New Roman" w:cs="Times New Roman"/>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5C1BCA"/>
    <w:rPr>
      <w:rFonts w:ascii="Times New Roman" w:eastAsia="Times New Roman" w:hAnsi="Times New Roman" w:cs="Times New Roman"/>
      <w:sz w:val="24"/>
      <w:szCs w:val="24"/>
      <w:lang w:val="es-ES" w:eastAsia="es-ES"/>
    </w:rPr>
  </w:style>
  <w:style w:type="paragraph" w:customStyle="1" w:styleId="ARTICULOS">
    <w:name w:val="ARTICULOS"/>
    <w:basedOn w:val="Normal"/>
    <w:link w:val="ARTICULOSCar"/>
    <w:qFormat/>
    <w:rsid w:val="005C1BCA"/>
    <w:pPr>
      <w:widowControl w:val="0"/>
      <w:numPr>
        <w:numId w:val="2"/>
      </w:numPr>
      <w:adjustRightInd w:val="0"/>
      <w:spacing w:after="0"/>
      <w:ind w:left="0" w:firstLine="1"/>
      <w:jc w:val="both"/>
      <w:textAlignment w:val="baseline"/>
    </w:pPr>
    <w:rPr>
      <w:rFonts w:eastAsia="Times New Roman" w:cs="Times New Roman"/>
      <w:bCs/>
      <w:szCs w:val="24"/>
      <w:lang w:val="x-none" w:eastAsia="x-none"/>
    </w:rPr>
  </w:style>
  <w:style w:type="character" w:customStyle="1" w:styleId="ARTICULOSCar">
    <w:name w:val="ARTICULOS Car"/>
    <w:link w:val="ARTICULOS"/>
    <w:rsid w:val="005C1BCA"/>
    <w:rPr>
      <w:rFonts w:ascii="Bookman Old Style" w:eastAsia="Times New Roman" w:hAnsi="Bookman Old Style" w:cs="Times New Roman"/>
      <w:bCs/>
      <w:sz w:val="24"/>
      <w:szCs w:val="24"/>
      <w:lang w:val="x-none" w:eastAsia="x-none"/>
    </w:rPr>
  </w:style>
  <w:style w:type="character" w:styleId="Textodelmarcadordeposicin">
    <w:name w:val="Placeholder Text"/>
    <w:basedOn w:val="Fuentedeprrafopredeter"/>
    <w:uiPriority w:val="99"/>
    <w:semiHidden/>
    <w:rsid w:val="005C1BCA"/>
    <w:rPr>
      <w:color w:val="80808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5C1BCA"/>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5C1BCA"/>
    <w:rPr>
      <w:vertAlign w:val="superscript"/>
    </w:rPr>
  </w:style>
  <w:style w:type="character" w:styleId="Refdecomentario">
    <w:name w:val="annotation reference"/>
    <w:basedOn w:val="Fuentedeprrafopredeter"/>
    <w:semiHidden/>
    <w:unhideWhenUsed/>
    <w:rsid w:val="005C1BCA"/>
    <w:rPr>
      <w:sz w:val="16"/>
      <w:szCs w:val="16"/>
    </w:rPr>
  </w:style>
  <w:style w:type="paragraph" w:styleId="Textocomentario">
    <w:name w:val="annotation text"/>
    <w:basedOn w:val="Normal"/>
    <w:link w:val="TextocomentarioCar"/>
    <w:uiPriority w:val="99"/>
    <w:semiHidden/>
    <w:unhideWhenUsed/>
    <w:rsid w:val="005C1BCA"/>
    <w:pPr>
      <w:spacing w:after="0"/>
      <w:ind w:left="567"/>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5C1BCA"/>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C1BCA"/>
    <w:rPr>
      <w:b/>
      <w:bCs/>
    </w:rPr>
  </w:style>
  <w:style w:type="character" w:customStyle="1" w:styleId="AsuntodelcomentarioCar">
    <w:name w:val="Asunto del comentario Car"/>
    <w:basedOn w:val="TextocomentarioCar"/>
    <w:link w:val="Asuntodelcomentario"/>
    <w:uiPriority w:val="99"/>
    <w:semiHidden/>
    <w:rsid w:val="005C1BCA"/>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5C1BCA"/>
    <w:pPr>
      <w:spacing w:after="0" w:line="240" w:lineRule="auto"/>
    </w:pPr>
    <w:rPr>
      <w:rFonts w:ascii="Times New Roman" w:eastAsia="Times New Roman" w:hAnsi="Times New Roman" w:cs="Times New Roman"/>
      <w:sz w:val="24"/>
      <w:szCs w:val="24"/>
      <w:lang w:val="es-ES" w:eastAsia="es-ES"/>
    </w:rPr>
  </w:style>
  <w:style w:type="table" w:customStyle="1" w:styleId="Tablaconcuadrcula1">
    <w:name w:val="Tabla con cuadrícula1"/>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5C1BC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701265"/>
    <w:pPr>
      <w:spacing w:before="100" w:beforeAutospacing="1" w:after="100" w:afterAutospacing="1"/>
    </w:pPr>
    <w:rPr>
      <w:rFonts w:ascii="Times New Roman" w:eastAsiaTheme="minorEastAsia" w:hAnsi="Times New Roman" w:cs="Times New Roman"/>
      <w:szCs w:val="24"/>
      <w:lang w:eastAsia="es-CO"/>
    </w:rPr>
  </w:style>
  <w:style w:type="table" w:customStyle="1" w:styleId="Tablaconcuadrcula11">
    <w:name w:val="Tabla con cuadrícula11"/>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FB2E5A"/>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2Car">
    <w:name w:val="Título 2 Car"/>
    <w:basedOn w:val="Fuentedeprrafopredeter"/>
    <w:link w:val="Ttulo2"/>
    <w:uiPriority w:val="9"/>
    <w:rsid w:val="007917F3"/>
    <w:rPr>
      <w:rFonts w:asciiTheme="majorHAnsi" w:eastAsiaTheme="majorEastAsia" w:hAnsiTheme="majorHAnsi" w:cstheme="majorBidi"/>
      <w:b/>
      <w:bCs/>
      <w:color w:val="4F81BD" w:themeColor="accent1"/>
      <w:sz w:val="26"/>
      <w:szCs w:val="26"/>
    </w:rPr>
  </w:style>
  <w:style w:type="paragraph" w:styleId="Sangra3detindependiente">
    <w:name w:val="Body Text Indent 3"/>
    <w:basedOn w:val="Normal"/>
    <w:link w:val="Sangra3detindependienteCar"/>
    <w:uiPriority w:val="99"/>
    <w:semiHidden/>
    <w:unhideWhenUsed/>
    <w:rsid w:val="007917F3"/>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7917F3"/>
    <w:rPr>
      <w:sz w:val="16"/>
      <w:szCs w:val="16"/>
    </w:rPr>
  </w:style>
  <w:style w:type="character" w:styleId="Hipervnculo">
    <w:name w:val="Hyperlink"/>
    <w:basedOn w:val="Fuentedeprrafopredeter"/>
    <w:uiPriority w:val="99"/>
    <w:unhideWhenUsed/>
    <w:rsid w:val="00FD7FC1"/>
    <w:rPr>
      <w:color w:val="0563C1"/>
      <w:u w:val="single"/>
    </w:rPr>
  </w:style>
  <w:style w:type="character" w:styleId="Hipervnculovisitado">
    <w:name w:val="FollowedHyperlink"/>
    <w:basedOn w:val="Fuentedeprrafopredeter"/>
    <w:uiPriority w:val="99"/>
    <w:semiHidden/>
    <w:unhideWhenUsed/>
    <w:rsid w:val="00FD7FC1"/>
    <w:rPr>
      <w:color w:val="954F72"/>
      <w:u w:val="single"/>
    </w:rPr>
  </w:style>
  <w:style w:type="paragraph" w:customStyle="1" w:styleId="xl67">
    <w:name w:val="xl67"/>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68">
    <w:name w:val="xl68"/>
    <w:basedOn w:val="Normal"/>
    <w:rsid w:val="00FD7FC1"/>
    <w:pPr>
      <w:spacing w:before="100" w:beforeAutospacing="1" w:after="100" w:afterAutospacing="1"/>
    </w:pPr>
    <w:rPr>
      <w:rFonts w:eastAsia="Times New Roman" w:cs="Times New Roman"/>
      <w:szCs w:val="24"/>
      <w:lang w:eastAsia="es-CO"/>
    </w:rPr>
  </w:style>
  <w:style w:type="paragraph" w:customStyle="1" w:styleId="xl69">
    <w:name w:val="xl69"/>
    <w:basedOn w:val="Normal"/>
    <w:rsid w:val="00FD7FC1"/>
    <w:pPr>
      <w:spacing w:before="100" w:beforeAutospacing="1" w:after="100" w:afterAutospacing="1"/>
    </w:pPr>
    <w:rPr>
      <w:rFonts w:eastAsia="Times New Roman" w:cs="Times New Roman"/>
      <w:sz w:val="20"/>
      <w:szCs w:val="20"/>
      <w:lang w:eastAsia="es-CO"/>
    </w:rPr>
  </w:style>
  <w:style w:type="paragraph" w:customStyle="1" w:styleId="xl70">
    <w:name w:val="xl70"/>
    <w:basedOn w:val="Normal"/>
    <w:rsid w:val="00FD7F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paragraph" w:customStyle="1" w:styleId="xl71">
    <w:name w:val="xl71"/>
    <w:basedOn w:val="Normal"/>
    <w:rsid w:val="005F1C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0"/>
      <w:szCs w:val="20"/>
      <w:lang w:eastAsia="es-CO"/>
    </w:rPr>
  </w:style>
  <w:style w:type="character" w:customStyle="1" w:styleId="Caracteresdenotaalpie">
    <w:name w:val="Caracteres de nota al pie"/>
    <w:rsid w:val="00110447"/>
    <w:rPr>
      <w:vertAlign w:val="superscript"/>
    </w:rPr>
  </w:style>
  <w:style w:type="character" w:customStyle="1" w:styleId="Refdenotaalpie2">
    <w:name w:val="Ref. de nota al pie2"/>
    <w:rsid w:val="00110447"/>
    <w:rPr>
      <w:vertAlign w:val="superscript"/>
    </w:rPr>
  </w:style>
  <w:style w:type="paragraph" w:customStyle="1" w:styleId="Cuadrculamedia21">
    <w:name w:val="Cuadrícula media 21"/>
    <w:rsid w:val="00185CE7"/>
    <w:pPr>
      <w:suppressAutoHyphens/>
      <w:spacing w:after="0" w:line="240" w:lineRule="auto"/>
    </w:pPr>
    <w:rPr>
      <w:rFonts w:ascii="Times New Roman" w:eastAsia="Arial" w:hAnsi="Times New Roman" w:cs="Times New Roman"/>
      <w:sz w:val="24"/>
      <w:szCs w:val="24"/>
      <w:lang w:val="es-ES" w:eastAsia="ar-SA"/>
    </w:rPr>
  </w:style>
  <w:style w:type="character" w:customStyle="1" w:styleId="textodato">
    <w:name w:val="textodato"/>
    <w:rsid w:val="00185CE7"/>
  </w:style>
  <w:style w:type="paragraph" w:styleId="TtuloTDC">
    <w:name w:val="TOC Heading"/>
    <w:basedOn w:val="Ttulo1"/>
    <w:next w:val="Normal"/>
    <w:uiPriority w:val="39"/>
    <w:unhideWhenUsed/>
    <w:qFormat/>
    <w:rsid w:val="00EF5680"/>
    <w:pPr>
      <w:keepLines/>
      <w:spacing w:before="480" w:line="276" w:lineRule="auto"/>
      <w:ind w:left="0"/>
      <w:jc w:val="left"/>
      <w:outlineLvl w:val="9"/>
    </w:pPr>
    <w:rPr>
      <w:rFonts w:asciiTheme="majorHAnsi" w:eastAsiaTheme="majorEastAsia" w:hAnsiTheme="majorHAnsi" w:cstheme="majorBidi"/>
      <w:bCs/>
      <w:color w:val="365F91" w:themeColor="accent1" w:themeShade="BF"/>
      <w:sz w:val="28"/>
      <w:szCs w:val="28"/>
      <w:lang w:eastAsia="es-CO"/>
    </w:rPr>
  </w:style>
  <w:style w:type="paragraph" w:styleId="TDC2">
    <w:name w:val="toc 2"/>
    <w:basedOn w:val="Normal"/>
    <w:next w:val="Normal"/>
    <w:autoRedefine/>
    <w:uiPriority w:val="39"/>
    <w:unhideWhenUsed/>
    <w:rsid w:val="00EF5680"/>
    <w:pPr>
      <w:spacing w:after="100"/>
      <w:ind w:left="220"/>
    </w:pPr>
    <w:rPr>
      <w:lang w:val="es-MX"/>
    </w:rPr>
  </w:style>
  <w:style w:type="paragraph" w:styleId="TDC3">
    <w:name w:val="toc 3"/>
    <w:basedOn w:val="Normal"/>
    <w:next w:val="Normal"/>
    <w:autoRedefine/>
    <w:uiPriority w:val="39"/>
    <w:unhideWhenUsed/>
    <w:rsid w:val="00EF5680"/>
    <w:pPr>
      <w:spacing w:after="100"/>
      <w:ind w:left="440"/>
    </w:pPr>
    <w:rPr>
      <w:lang w:val="es-MX"/>
    </w:rPr>
  </w:style>
  <w:style w:type="table" w:styleId="Sombreadomedio1-nfasis1">
    <w:name w:val="Medium Shading 1 Accent 1"/>
    <w:basedOn w:val="Tablanormal"/>
    <w:uiPriority w:val="63"/>
    <w:rsid w:val="00EF568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claro-nfasis5">
    <w:name w:val="Light Shading Accent 5"/>
    <w:basedOn w:val="Tablanormal"/>
    <w:uiPriority w:val="60"/>
    <w:rsid w:val="00EF568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medio2-nfasis1">
    <w:name w:val="Medium Shading 2 Accent 1"/>
    <w:basedOn w:val="Tablanormal"/>
    <w:uiPriority w:val="64"/>
    <w:rsid w:val="00EF568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EF568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HTMLconformatoprevio">
    <w:name w:val="HTML Preformatted"/>
    <w:basedOn w:val="Normal"/>
    <w:link w:val="HTMLconformatoprevioCar"/>
    <w:uiPriority w:val="99"/>
    <w:semiHidden/>
    <w:unhideWhenUsed/>
    <w:rsid w:val="00EF56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semiHidden/>
    <w:rsid w:val="00EF5680"/>
    <w:rPr>
      <w:rFonts w:ascii="Courier New" w:eastAsia="Times New Roman" w:hAnsi="Courier New" w:cs="Courier New"/>
      <w:sz w:val="20"/>
      <w:szCs w:val="20"/>
      <w:lang w:eastAsia="es-CO"/>
    </w:rPr>
  </w:style>
  <w:style w:type="paragraph" w:styleId="Textonotaalfinal">
    <w:name w:val="endnote text"/>
    <w:basedOn w:val="Normal"/>
    <w:link w:val="TextonotaalfinalCar"/>
    <w:uiPriority w:val="99"/>
    <w:semiHidden/>
    <w:unhideWhenUsed/>
    <w:rsid w:val="00EF5680"/>
    <w:pPr>
      <w:spacing w:after="0"/>
    </w:pPr>
    <w:rPr>
      <w:sz w:val="20"/>
      <w:szCs w:val="20"/>
      <w:lang w:val="es-MX"/>
    </w:rPr>
  </w:style>
  <w:style w:type="character" w:customStyle="1" w:styleId="TextonotaalfinalCar">
    <w:name w:val="Texto nota al final Car"/>
    <w:basedOn w:val="Fuentedeprrafopredeter"/>
    <w:link w:val="Textonotaalfinal"/>
    <w:uiPriority w:val="99"/>
    <w:semiHidden/>
    <w:rsid w:val="00EF5680"/>
    <w:rPr>
      <w:sz w:val="20"/>
      <w:szCs w:val="20"/>
      <w:lang w:val="es-MX"/>
    </w:rPr>
  </w:style>
  <w:style w:type="character" w:styleId="Refdenotaalfinal">
    <w:name w:val="endnote reference"/>
    <w:basedOn w:val="Fuentedeprrafopredeter"/>
    <w:uiPriority w:val="99"/>
    <w:semiHidden/>
    <w:unhideWhenUsed/>
    <w:rsid w:val="00EF5680"/>
    <w:rPr>
      <w:vertAlign w:val="superscript"/>
    </w:rPr>
  </w:style>
  <w:style w:type="character" w:customStyle="1" w:styleId="CharStyle11">
    <w:name w:val="Char Style 11"/>
    <w:basedOn w:val="Fuentedeprrafopredeter"/>
    <w:link w:val="Style10"/>
    <w:uiPriority w:val="99"/>
    <w:rsid w:val="00EF5680"/>
    <w:rPr>
      <w:rFonts w:ascii="Arial" w:hAnsi="Arial" w:cs="Arial"/>
      <w:sz w:val="23"/>
      <w:szCs w:val="23"/>
      <w:shd w:val="clear" w:color="auto" w:fill="FFFFFF"/>
    </w:rPr>
  </w:style>
  <w:style w:type="character" w:customStyle="1" w:styleId="CharStyle39">
    <w:name w:val="Char Style 39"/>
    <w:basedOn w:val="CharStyle11"/>
    <w:uiPriority w:val="99"/>
    <w:rsid w:val="00EF5680"/>
    <w:rPr>
      <w:rFonts w:ascii="Arial" w:hAnsi="Arial" w:cs="Arial"/>
      <w:b/>
      <w:bCs/>
      <w:sz w:val="23"/>
      <w:szCs w:val="23"/>
      <w:shd w:val="clear" w:color="auto" w:fill="FFFFFF"/>
    </w:rPr>
  </w:style>
  <w:style w:type="paragraph" w:customStyle="1" w:styleId="Style10">
    <w:name w:val="Style 10"/>
    <w:basedOn w:val="Normal"/>
    <w:link w:val="CharStyle11"/>
    <w:uiPriority w:val="99"/>
    <w:rsid w:val="00EF5680"/>
    <w:pPr>
      <w:widowControl w:val="0"/>
      <w:shd w:val="clear" w:color="auto" w:fill="FFFFFF"/>
      <w:spacing w:before="420" w:after="0" w:line="240" w:lineRule="atLeast"/>
      <w:jc w:val="right"/>
    </w:pPr>
    <w:rPr>
      <w:rFonts w:ascii="Arial" w:hAnsi="Arial" w:cs="Arial"/>
      <w:sz w:val="23"/>
      <w:szCs w:val="23"/>
    </w:rPr>
  </w:style>
  <w:style w:type="character" w:customStyle="1" w:styleId="CharStyle3">
    <w:name w:val="Char Style 3"/>
    <w:basedOn w:val="Fuentedeprrafopredeter"/>
    <w:link w:val="Style2"/>
    <w:uiPriority w:val="99"/>
    <w:rsid w:val="00EF5680"/>
    <w:rPr>
      <w:rFonts w:ascii="Arial" w:hAnsi="Arial" w:cs="Arial"/>
      <w:shd w:val="clear" w:color="auto" w:fill="FFFFFF"/>
    </w:rPr>
  </w:style>
  <w:style w:type="paragraph" w:customStyle="1" w:styleId="Style2">
    <w:name w:val="Style 2"/>
    <w:basedOn w:val="Normal"/>
    <w:link w:val="CharStyle3"/>
    <w:uiPriority w:val="99"/>
    <w:rsid w:val="00EF5680"/>
    <w:pPr>
      <w:widowControl w:val="0"/>
      <w:shd w:val="clear" w:color="auto" w:fill="FFFFFF"/>
      <w:spacing w:after="720" w:line="240" w:lineRule="atLeast"/>
      <w:ind w:hanging="720"/>
      <w:jc w:val="both"/>
    </w:pPr>
    <w:rPr>
      <w:rFonts w:ascii="Arial" w:hAnsi="Arial" w:cs="Arial"/>
    </w:rPr>
  </w:style>
  <w:style w:type="character" w:customStyle="1" w:styleId="CharStyle24">
    <w:name w:val="Char Style 24"/>
    <w:basedOn w:val="Fuentedeprrafopredeter"/>
    <w:link w:val="Style23"/>
    <w:uiPriority w:val="99"/>
    <w:rsid w:val="00EF5680"/>
    <w:rPr>
      <w:rFonts w:ascii="Arial" w:hAnsi="Arial" w:cs="Arial"/>
      <w:sz w:val="19"/>
      <w:szCs w:val="19"/>
      <w:shd w:val="clear" w:color="auto" w:fill="FFFFFF"/>
    </w:rPr>
  </w:style>
  <w:style w:type="paragraph" w:customStyle="1" w:styleId="Style23">
    <w:name w:val="Style 23"/>
    <w:basedOn w:val="Normal"/>
    <w:link w:val="CharStyle24"/>
    <w:uiPriority w:val="99"/>
    <w:rsid w:val="00EF5680"/>
    <w:pPr>
      <w:widowControl w:val="0"/>
      <w:shd w:val="clear" w:color="auto" w:fill="FFFFFF"/>
      <w:spacing w:after="0" w:line="238" w:lineRule="exact"/>
      <w:ind w:hanging="720"/>
      <w:jc w:val="both"/>
    </w:pPr>
    <w:rPr>
      <w:rFonts w:ascii="Arial" w:hAnsi="Arial" w:cs="Arial"/>
      <w:sz w:val="19"/>
      <w:szCs w:val="19"/>
    </w:rPr>
  </w:style>
  <w:style w:type="character" w:customStyle="1" w:styleId="CharStyle7">
    <w:name w:val="Char Style 7"/>
    <w:basedOn w:val="Fuentedeprrafopredeter"/>
    <w:link w:val="Style6"/>
    <w:uiPriority w:val="99"/>
    <w:rsid w:val="00EF5680"/>
    <w:rPr>
      <w:rFonts w:ascii="Arial" w:hAnsi="Arial" w:cs="Arial"/>
      <w:sz w:val="28"/>
      <w:szCs w:val="28"/>
      <w:shd w:val="clear" w:color="auto" w:fill="FFFFFF"/>
    </w:rPr>
  </w:style>
  <w:style w:type="character" w:customStyle="1" w:styleId="CharStyle14">
    <w:name w:val="Char Style 14"/>
    <w:basedOn w:val="Fuentedeprrafopredeter"/>
    <w:link w:val="Style13"/>
    <w:uiPriority w:val="99"/>
    <w:rsid w:val="00EF5680"/>
    <w:rPr>
      <w:rFonts w:ascii="Arial" w:hAnsi="Arial" w:cs="Arial"/>
      <w:i/>
      <w:iCs/>
      <w:sz w:val="26"/>
      <w:szCs w:val="26"/>
      <w:shd w:val="clear" w:color="auto" w:fill="FFFFFF"/>
    </w:rPr>
  </w:style>
  <w:style w:type="character" w:customStyle="1" w:styleId="CharStyle15">
    <w:name w:val="Char Style 15"/>
    <w:basedOn w:val="CharStyle14"/>
    <w:uiPriority w:val="99"/>
    <w:rsid w:val="00EF5680"/>
    <w:rPr>
      <w:rFonts w:ascii="Arial" w:hAnsi="Arial" w:cs="Arial"/>
      <w:i/>
      <w:iCs/>
      <w:spacing w:val="-50"/>
      <w:sz w:val="26"/>
      <w:szCs w:val="26"/>
      <w:shd w:val="clear" w:color="auto" w:fill="FFFFFF"/>
    </w:rPr>
  </w:style>
  <w:style w:type="paragraph" w:customStyle="1" w:styleId="Style6">
    <w:name w:val="Style 6"/>
    <w:basedOn w:val="Normal"/>
    <w:link w:val="CharStyle7"/>
    <w:uiPriority w:val="99"/>
    <w:rsid w:val="00EF5680"/>
    <w:pPr>
      <w:widowControl w:val="0"/>
      <w:shd w:val="clear" w:color="auto" w:fill="FFFFFF"/>
      <w:spacing w:before="180" w:after="420" w:line="240" w:lineRule="atLeast"/>
      <w:ind w:hanging="480"/>
      <w:jc w:val="both"/>
    </w:pPr>
    <w:rPr>
      <w:rFonts w:ascii="Arial" w:hAnsi="Arial" w:cs="Arial"/>
      <w:sz w:val="28"/>
      <w:szCs w:val="28"/>
    </w:rPr>
  </w:style>
  <w:style w:type="paragraph" w:customStyle="1" w:styleId="Style13">
    <w:name w:val="Style 13"/>
    <w:basedOn w:val="Normal"/>
    <w:link w:val="CharStyle14"/>
    <w:uiPriority w:val="99"/>
    <w:rsid w:val="00EF5680"/>
    <w:pPr>
      <w:widowControl w:val="0"/>
      <w:shd w:val="clear" w:color="auto" w:fill="FFFFFF"/>
      <w:spacing w:before="300" w:after="300" w:line="355" w:lineRule="exact"/>
      <w:jc w:val="both"/>
    </w:pPr>
    <w:rPr>
      <w:rFonts w:ascii="Arial" w:hAnsi="Arial" w:cs="Arial"/>
      <w:i/>
      <w:iCs/>
      <w:sz w:val="26"/>
      <w:szCs w:val="26"/>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EF5680"/>
    <w:rPr>
      <w:sz w:val="20"/>
      <w:szCs w:val="20"/>
    </w:rPr>
  </w:style>
  <w:style w:type="paragraph" w:customStyle="1" w:styleId="msonormal0">
    <w:name w:val="msonormal"/>
    <w:basedOn w:val="Normal"/>
    <w:rsid w:val="00EF5680"/>
    <w:pPr>
      <w:spacing w:before="100" w:beforeAutospacing="1" w:after="100" w:afterAutospacing="1"/>
    </w:pPr>
    <w:rPr>
      <w:rFonts w:ascii="Times New Roman" w:eastAsia="Times New Roman" w:hAnsi="Times New Roman" w:cs="Times New Roman"/>
      <w:szCs w:val="24"/>
      <w:lang w:eastAsia="es-CO"/>
    </w:rPr>
  </w:style>
  <w:style w:type="paragraph" w:customStyle="1" w:styleId="xl65">
    <w:name w:val="xl65"/>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b/>
      <w:bCs/>
      <w:sz w:val="20"/>
      <w:szCs w:val="20"/>
      <w:lang w:eastAsia="es-CO"/>
    </w:rPr>
  </w:style>
  <w:style w:type="paragraph" w:customStyle="1" w:styleId="xl66">
    <w:name w:val="xl66"/>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20"/>
      <w:szCs w:val="20"/>
      <w:lang w:eastAsia="es-CO"/>
    </w:rPr>
  </w:style>
  <w:style w:type="paragraph" w:customStyle="1" w:styleId="xl72">
    <w:name w:val="xl72"/>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paragraph" w:customStyle="1" w:styleId="xl73">
    <w:name w:val="xl73"/>
    <w:basedOn w:val="Normal"/>
    <w:rsid w:val="00EF568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0"/>
      <w:szCs w:val="20"/>
      <w:lang w:eastAsia="es-CO"/>
    </w:rPr>
  </w:style>
  <w:style w:type="character" w:customStyle="1" w:styleId="CharStyle23">
    <w:name w:val="Char Style 23"/>
    <w:basedOn w:val="Fuentedeprrafopredeter"/>
    <w:link w:val="Style22"/>
    <w:uiPriority w:val="99"/>
    <w:rsid w:val="00F313E0"/>
    <w:rPr>
      <w:rFonts w:ascii="Arial" w:hAnsi="Arial" w:cs="Arial"/>
      <w:sz w:val="19"/>
      <w:szCs w:val="19"/>
      <w:shd w:val="clear" w:color="auto" w:fill="FFFFFF"/>
    </w:rPr>
  </w:style>
  <w:style w:type="character" w:customStyle="1" w:styleId="CharStyle29">
    <w:name w:val="Char Style 29"/>
    <w:basedOn w:val="Fuentedeprrafopredeter"/>
    <w:link w:val="Style28"/>
    <w:uiPriority w:val="99"/>
    <w:rsid w:val="00F313E0"/>
    <w:rPr>
      <w:rFonts w:ascii="Arial" w:hAnsi="Arial" w:cs="Arial"/>
      <w:sz w:val="13"/>
      <w:szCs w:val="13"/>
      <w:shd w:val="clear" w:color="auto" w:fill="FFFFFF"/>
    </w:rPr>
  </w:style>
  <w:style w:type="character" w:customStyle="1" w:styleId="CharStyle30">
    <w:name w:val="Char Style 30"/>
    <w:basedOn w:val="CharStyle23"/>
    <w:uiPriority w:val="99"/>
    <w:rsid w:val="00F313E0"/>
    <w:rPr>
      <w:rFonts w:ascii="Arial" w:hAnsi="Arial" w:cs="Arial"/>
      <w:b/>
      <w:bCs/>
      <w:sz w:val="19"/>
      <w:szCs w:val="19"/>
      <w:shd w:val="clear" w:color="auto" w:fill="FFFFFF"/>
    </w:rPr>
  </w:style>
  <w:style w:type="character" w:customStyle="1" w:styleId="CharStyle31">
    <w:name w:val="Char Style 31"/>
    <w:basedOn w:val="CharStyle23"/>
    <w:uiPriority w:val="99"/>
    <w:rsid w:val="00F313E0"/>
    <w:rPr>
      <w:rFonts w:ascii="Arial" w:hAnsi="Arial" w:cs="Arial"/>
      <w:sz w:val="19"/>
      <w:szCs w:val="19"/>
      <w:shd w:val="clear" w:color="auto" w:fill="FFFFFF"/>
    </w:rPr>
  </w:style>
  <w:style w:type="paragraph" w:customStyle="1" w:styleId="Style22">
    <w:name w:val="Style 22"/>
    <w:basedOn w:val="Normal"/>
    <w:link w:val="CharStyle23"/>
    <w:uiPriority w:val="99"/>
    <w:rsid w:val="00F313E0"/>
    <w:pPr>
      <w:widowControl w:val="0"/>
      <w:shd w:val="clear" w:color="auto" w:fill="FFFFFF"/>
      <w:spacing w:before="300" w:after="540" w:line="240" w:lineRule="atLeast"/>
      <w:ind w:hanging="360"/>
      <w:jc w:val="both"/>
    </w:pPr>
    <w:rPr>
      <w:rFonts w:ascii="Arial" w:hAnsi="Arial" w:cs="Arial"/>
      <w:sz w:val="19"/>
      <w:szCs w:val="19"/>
    </w:rPr>
  </w:style>
  <w:style w:type="paragraph" w:customStyle="1" w:styleId="Style28">
    <w:name w:val="Style 28"/>
    <w:basedOn w:val="Normal"/>
    <w:link w:val="CharStyle29"/>
    <w:uiPriority w:val="99"/>
    <w:rsid w:val="00F313E0"/>
    <w:pPr>
      <w:widowControl w:val="0"/>
      <w:shd w:val="clear" w:color="auto" w:fill="FFFFFF"/>
      <w:spacing w:after="0" w:line="240" w:lineRule="atLeast"/>
    </w:pPr>
    <w:rPr>
      <w:rFonts w:ascii="Arial" w:hAnsi="Arial" w:cs="Arial"/>
      <w:sz w:val="13"/>
      <w:szCs w:val="13"/>
    </w:rPr>
  </w:style>
  <w:style w:type="character" w:customStyle="1" w:styleId="CharStyle22">
    <w:name w:val="Char Style 22"/>
    <w:basedOn w:val="Fuentedeprrafopredeter"/>
    <w:link w:val="Style21"/>
    <w:uiPriority w:val="99"/>
    <w:rsid w:val="00F90F7B"/>
    <w:rPr>
      <w:rFonts w:ascii="Arial" w:hAnsi="Arial" w:cs="Arial"/>
      <w:sz w:val="20"/>
      <w:szCs w:val="20"/>
      <w:shd w:val="clear" w:color="auto" w:fill="FFFFFF"/>
    </w:rPr>
  </w:style>
  <w:style w:type="character" w:customStyle="1" w:styleId="CharStyle40">
    <w:name w:val="Char Style 40"/>
    <w:basedOn w:val="CharStyle22"/>
    <w:uiPriority w:val="99"/>
    <w:rsid w:val="00F90F7B"/>
    <w:rPr>
      <w:rFonts w:ascii="Arial" w:hAnsi="Arial" w:cs="Arial"/>
      <w:sz w:val="18"/>
      <w:szCs w:val="18"/>
      <w:shd w:val="clear" w:color="auto" w:fill="FFFFFF"/>
    </w:rPr>
  </w:style>
  <w:style w:type="paragraph" w:customStyle="1" w:styleId="Style21">
    <w:name w:val="Style 21"/>
    <w:basedOn w:val="Normal"/>
    <w:link w:val="CharStyle22"/>
    <w:uiPriority w:val="99"/>
    <w:rsid w:val="00F90F7B"/>
    <w:pPr>
      <w:widowControl w:val="0"/>
      <w:shd w:val="clear" w:color="auto" w:fill="FFFFFF"/>
      <w:spacing w:after="120" w:line="230" w:lineRule="exact"/>
      <w:jc w:val="right"/>
    </w:pPr>
    <w:rPr>
      <w:rFonts w:ascii="Arial" w:hAnsi="Arial" w:cs="Arial"/>
      <w:sz w:val="20"/>
      <w:szCs w:val="20"/>
    </w:rPr>
  </w:style>
  <w:style w:type="character" w:customStyle="1" w:styleId="CharStyle43">
    <w:name w:val="Char Style 43"/>
    <w:basedOn w:val="CharStyle22"/>
    <w:uiPriority w:val="99"/>
    <w:rsid w:val="00F90F7B"/>
    <w:rPr>
      <w:rFonts w:ascii="Arial" w:hAnsi="Arial" w:cs="Arial"/>
      <w:b/>
      <w:bCs/>
      <w:sz w:val="18"/>
      <w:szCs w:val="18"/>
      <w:u w:val="none"/>
      <w:shd w:val="clear" w:color="auto" w:fill="FFFFFF"/>
    </w:rPr>
  </w:style>
  <w:style w:type="table" w:customStyle="1" w:styleId="TableGrid">
    <w:name w:val="TableGrid"/>
    <w:rsid w:val="00BE5DEF"/>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font5">
    <w:name w:val="font5"/>
    <w:basedOn w:val="Normal"/>
    <w:rsid w:val="00B57AF6"/>
    <w:pPr>
      <w:spacing w:before="100" w:beforeAutospacing="1" w:after="100" w:afterAutospacing="1"/>
    </w:pPr>
    <w:rPr>
      <w:rFonts w:ascii="Tahoma" w:eastAsia="Times New Roman" w:hAnsi="Tahoma" w:cs="Tahoma"/>
      <w:color w:val="000000"/>
      <w:sz w:val="18"/>
      <w:szCs w:val="18"/>
      <w:lang w:eastAsia="es-CO"/>
    </w:rPr>
  </w:style>
  <w:style w:type="paragraph" w:customStyle="1" w:styleId="font6">
    <w:name w:val="font6"/>
    <w:basedOn w:val="Normal"/>
    <w:rsid w:val="00B57AF6"/>
    <w:pPr>
      <w:spacing w:before="100" w:beforeAutospacing="1" w:after="100" w:afterAutospacing="1"/>
    </w:pPr>
    <w:rPr>
      <w:rFonts w:ascii="Tahoma" w:eastAsia="Times New Roman" w:hAnsi="Tahoma" w:cs="Tahoma"/>
      <w:b/>
      <w:bCs/>
      <w:color w:val="000000"/>
      <w:sz w:val="18"/>
      <w:szCs w:val="18"/>
      <w:lang w:eastAsia="es-CO"/>
    </w:rPr>
  </w:style>
  <w:style w:type="paragraph" w:customStyle="1" w:styleId="xl74">
    <w:name w:val="xl74"/>
    <w:basedOn w:val="Normal"/>
    <w:rsid w:val="008F0823"/>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eastAsia="Times New Roman" w:cs="Times New Roman"/>
      <w:sz w:val="20"/>
      <w:szCs w:val="20"/>
      <w:lang w:eastAsia="es-CO"/>
    </w:rPr>
  </w:style>
  <w:style w:type="table" w:customStyle="1" w:styleId="Tablaconcuadrcula4">
    <w:name w:val="Tabla con cuadrícula4"/>
    <w:basedOn w:val="Tablanormal"/>
    <w:next w:val="Tablaconcuadrcula"/>
    <w:uiPriority w:val="59"/>
    <w:rsid w:val="007F3FC2"/>
    <w:pPr>
      <w:spacing w:after="0" w:line="240" w:lineRule="auto"/>
    </w:pPr>
    <w:rPr>
      <w:rFonts w:eastAsia="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 Style 5"/>
    <w:basedOn w:val="Fuentedeprrafopredeter"/>
    <w:link w:val="Style4"/>
    <w:uiPriority w:val="99"/>
    <w:rsid w:val="00F713C9"/>
    <w:rPr>
      <w:rFonts w:ascii="Arial" w:hAnsi="Arial" w:cs="Arial"/>
      <w:i/>
      <w:iCs/>
      <w:sz w:val="17"/>
      <w:szCs w:val="17"/>
      <w:shd w:val="clear" w:color="auto" w:fill="FFFFFF"/>
    </w:rPr>
  </w:style>
  <w:style w:type="character" w:customStyle="1" w:styleId="CharStyle6">
    <w:name w:val="Char Style 6"/>
    <w:basedOn w:val="CharStyle5"/>
    <w:uiPriority w:val="99"/>
    <w:rsid w:val="00F713C9"/>
    <w:rPr>
      <w:rFonts w:ascii="Arial" w:hAnsi="Arial" w:cs="Arial"/>
      <w:i w:val="0"/>
      <w:iCs w:val="0"/>
      <w:spacing w:val="-30"/>
      <w:sz w:val="17"/>
      <w:szCs w:val="17"/>
      <w:shd w:val="clear" w:color="auto" w:fill="FFFFFF"/>
    </w:rPr>
  </w:style>
  <w:style w:type="paragraph" w:customStyle="1" w:styleId="Style4">
    <w:name w:val="Style 4"/>
    <w:basedOn w:val="Normal"/>
    <w:link w:val="CharStyle5"/>
    <w:uiPriority w:val="99"/>
    <w:rsid w:val="00F713C9"/>
    <w:pPr>
      <w:widowControl w:val="0"/>
      <w:shd w:val="clear" w:color="auto" w:fill="FFFFFF"/>
      <w:spacing w:after="0" w:line="216" w:lineRule="exact"/>
      <w:jc w:val="both"/>
    </w:pPr>
    <w:rPr>
      <w:rFonts w:ascii="Arial" w:hAnsi="Arial" w:cs="Arial"/>
      <w:i/>
      <w:iCs/>
      <w:sz w:val="17"/>
      <w:szCs w:val="17"/>
    </w:rPr>
  </w:style>
  <w:style w:type="character" w:customStyle="1" w:styleId="CharStyle17">
    <w:name w:val="Char Style 17"/>
    <w:basedOn w:val="Fuentedeprrafopredeter"/>
    <w:link w:val="Style16"/>
    <w:uiPriority w:val="99"/>
    <w:rsid w:val="006221F6"/>
    <w:rPr>
      <w:rFonts w:ascii="Arial" w:hAnsi="Arial" w:cs="Arial"/>
      <w:spacing w:val="10"/>
      <w:sz w:val="21"/>
      <w:szCs w:val="21"/>
      <w:shd w:val="clear" w:color="auto" w:fill="FFFFFF"/>
    </w:rPr>
  </w:style>
  <w:style w:type="character" w:customStyle="1" w:styleId="CharStyle27">
    <w:name w:val="Char Style 27"/>
    <w:basedOn w:val="Fuentedeprrafopredeter"/>
    <w:link w:val="Style26"/>
    <w:uiPriority w:val="99"/>
    <w:rsid w:val="006221F6"/>
    <w:rPr>
      <w:rFonts w:ascii="Arial" w:hAnsi="Arial" w:cs="Arial"/>
      <w:i/>
      <w:iCs/>
      <w:sz w:val="17"/>
      <w:szCs w:val="17"/>
      <w:shd w:val="clear" w:color="auto" w:fill="FFFFFF"/>
    </w:rPr>
  </w:style>
  <w:style w:type="character" w:customStyle="1" w:styleId="CharStyle63">
    <w:name w:val="Char Style 63"/>
    <w:basedOn w:val="CharStyle27"/>
    <w:uiPriority w:val="99"/>
    <w:rsid w:val="006221F6"/>
    <w:rPr>
      <w:rFonts w:ascii="Arial" w:hAnsi="Arial" w:cs="Arial"/>
      <w:i/>
      <w:iCs/>
      <w:sz w:val="17"/>
      <w:szCs w:val="17"/>
      <w:u w:val="single"/>
      <w:shd w:val="clear" w:color="auto" w:fill="FFFFFF"/>
    </w:rPr>
  </w:style>
  <w:style w:type="character" w:customStyle="1" w:styleId="CharStyle64">
    <w:name w:val="Char Style 64"/>
    <w:basedOn w:val="CharStyle27"/>
    <w:uiPriority w:val="99"/>
    <w:rsid w:val="006221F6"/>
    <w:rPr>
      <w:rFonts w:ascii="Arial" w:hAnsi="Arial" w:cs="Arial"/>
      <w:i w:val="0"/>
      <w:iCs w:val="0"/>
      <w:sz w:val="17"/>
      <w:szCs w:val="17"/>
      <w:shd w:val="clear" w:color="auto" w:fill="FFFFFF"/>
    </w:rPr>
  </w:style>
  <w:style w:type="character" w:customStyle="1" w:styleId="CharStyle129">
    <w:name w:val="Char Style 129"/>
    <w:basedOn w:val="CharStyle27"/>
    <w:uiPriority w:val="99"/>
    <w:rsid w:val="006221F6"/>
    <w:rPr>
      <w:rFonts w:ascii="Arial" w:hAnsi="Arial" w:cs="Arial"/>
      <w:i w:val="0"/>
      <w:iCs w:val="0"/>
      <w:sz w:val="17"/>
      <w:szCs w:val="17"/>
      <w:u w:val="single"/>
      <w:shd w:val="clear" w:color="auto" w:fill="FFFFFF"/>
    </w:rPr>
  </w:style>
  <w:style w:type="paragraph" w:customStyle="1" w:styleId="Style16">
    <w:name w:val="Style 16"/>
    <w:basedOn w:val="Normal"/>
    <w:link w:val="CharStyle17"/>
    <w:uiPriority w:val="99"/>
    <w:rsid w:val="006221F6"/>
    <w:pPr>
      <w:widowControl w:val="0"/>
      <w:shd w:val="clear" w:color="auto" w:fill="FFFFFF"/>
      <w:spacing w:before="300" w:after="240" w:line="266" w:lineRule="exact"/>
      <w:ind w:hanging="420"/>
      <w:jc w:val="both"/>
    </w:pPr>
    <w:rPr>
      <w:rFonts w:ascii="Arial" w:hAnsi="Arial" w:cs="Arial"/>
      <w:spacing w:val="10"/>
      <w:sz w:val="21"/>
      <w:szCs w:val="21"/>
    </w:rPr>
  </w:style>
  <w:style w:type="paragraph" w:customStyle="1" w:styleId="Style26">
    <w:name w:val="Style 26"/>
    <w:basedOn w:val="Normal"/>
    <w:link w:val="CharStyle27"/>
    <w:uiPriority w:val="99"/>
    <w:rsid w:val="006221F6"/>
    <w:pPr>
      <w:widowControl w:val="0"/>
      <w:shd w:val="clear" w:color="auto" w:fill="FFFFFF"/>
      <w:spacing w:before="180" w:after="180" w:line="216" w:lineRule="exact"/>
      <w:jc w:val="both"/>
    </w:pPr>
    <w:rPr>
      <w:rFonts w:ascii="Arial" w:hAnsi="Arial" w:cs="Arial"/>
      <w:i/>
      <w:iCs/>
      <w:sz w:val="17"/>
      <w:szCs w:val="17"/>
    </w:rPr>
  </w:style>
  <w:style w:type="table" w:styleId="Tablaconcuadrcula6concolores-nfasis1">
    <w:name w:val="Grid Table 6 Colorful Accent 1"/>
    <w:basedOn w:val="Tablanormal"/>
    <w:uiPriority w:val="51"/>
    <w:rsid w:val="00FF3FE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1clara">
    <w:name w:val="Grid Table 1 Light"/>
    <w:basedOn w:val="Tablanormal"/>
    <w:uiPriority w:val="46"/>
    <w:rsid w:val="00110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0888">
      <w:bodyDiv w:val="1"/>
      <w:marLeft w:val="0"/>
      <w:marRight w:val="0"/>
      <w:marTop w:val="0"/>
      <w:marBottom w:val="0"/>
      <w:divBdr>
        <w:top w:val="none" w:sz="0" w:space="0" w:color="auto"/>
        <w:left w:val="none" w:sz="0" w:space="0" w:color="auto"/>
        <w:bottom w:val="none" w:sz="0" w:space="0" w:color="auto"/>
        <w:right w:val="none" w:sz="0" w:space="0" w:color="auto"/>
      </w:divBdr>
      <w:divsChild>
        <w:div w:id="782767586">
          <w:marLeft w:val="274"/>
          <w:marRight w:val="0"/>
          <w:marTop w:val="0"/>
          <w:marBottom w:val="120"/>
          <w:divBdr>
            <w:top w:val="none" w:sz="0" w:space="0" w:color="auto"/>
            <w:left w:val="none" w:sz="0" w:space="0" w:color="auto"/>
            <w:bottom w:val="none" w:sz="0" w:space="0" w:color="auto"/>
            <w:right w:val="none" w:sz="0" w:space="0" w:color="auto"/>
          </w:divBdr>
        </w:div>
      </w:divsChild>
    </w:div>
    <w:div w:id="46417449">
      <w:bodyDiv w:val="1"/>
      <w:marLeft w:val="0"/>
      <w:marRight w:val="0"/>
      <w:marTop w:val="0"/>
      <w:marBottom w:val="0"/>
      <w:divBdr>
        <w:top w:val="none" w:sz="0" w:space="0" w:color="auto"/>
        <w:left w:val="none" w:sz="0" w:space="0" w:color="auto"/>
        <w:bottom w:val="none" w:sz="0" w:space="0" w:color="auto"/>
        <w:right w:val="none" w:sz="0" w:space="0" w:color="auto"/>
      </w:divBdr>
    </w:div>
    <w:div w:id="103312606">
      <w:bodyDiv w:val="1"/>
      <w:marLeft w:val="0"/>
      <w:marRight w:val="0"/>
      <w:marTop w:val="0"/>
      <w:marBottom w:val="0"/>
      <w:divBdr>
        <w:top w:val="none" w:sz="0" w:space="0" w:color="auto"/>
        <w:left w:val="none" w:sz="0" w:space="0" w:color="auto"/>
        <w:bottom w:val="none" w:sz="0" w:space="0" w:color="auto"/>
        <w:right w:val="none" w:sz="0" w:space="0" w:color="auto"/>
      </w:divBdr>
    </w:div>
    <w:div w:id="106512877">
      <w:bodyDiv w:val="1"/>
      <w:marLeft w:val="0"/>
      <w:marRight w:val="0"/>
      <w:marTop w:val="0"/>
      <w:marBottom w:val="0"/>
      <w:divBdr>
        <w:top w:val="none" w:sz="0" w:space="0" w:color="auto"/>
        <w:left w:val="none" w:sz="0" w:space="0" w:color="auto"/>
        <w:bottom w:val="none" w:sz="0" w:space="0" w:color="auto"/>
        <w:right w:val="none" w:sz="0" w:space="0" w:color="auto"/>
      </w:divBdr>
    </w:div>
    <w:div w:id="108667032">
      <w:bodyDiv w:val="1"/>
      <w:marLeft w:val="0"/>
      <w:marRight w:val="0"/>
      <w:marTop w:val="0"/>
      <w:marBottom w:val="0"/>
      <w:divBdr>
        <w:top w:val="none" w:sz="0" w:space="0" w:color="auto"/>
        <w:left w:val="none" w:sz="0" w:space="0" w:color="auto"/>
        <w:bottom w:val="none" w:sz="0" w:space="0" w:color="auto"/>
        <w:right w:val="none" w:sz="0" w:space="0" w:color="auto"/>
      </w:divBdr>
    </w:div>
    <w:div w:id="151455879">
      <w:bodyDiv w:val="1"/>
      <w:marLeft w:val="0"/>
      <w:marRight w:val="0"/>
      <w:marTop w:val="0"/>
      <w:marBottom w:val="0"/>
      <w:divBdr>
        <w:top w:val="none" w:sz="0" w:space="0" w:color="auto"/>
        <w:left w:val="none" w:sz="0" w:space="0" w:color="auto"/>
        <w:bottom w:val="none" w:sz="0" w:space="0" w:color="auto"/>
        <w:right w:val="none" w:sz="0" w:space="0" w:color="auto"/>
      </w:divBdr>
    </w:div>
    <w:div w:id="152113082">
      <w:bodyDiv w:val="1"/>
      <w:marLeft w:val="0"/>
      <w:marRight w:val="0"/>
      <w:marTop w:val="0"/>
      <w:marBottom w:val="0"/>
      <w:divBdr>
        <w:top w:val="none" w:sz="0" w:space="0" w:color="auto"/>
        <w:left w:val="none" w:sz="0" w:space="0" w:color="auto"/>
        <w:bottom w:val="none" w:sz="0" w:space="0" w:color="auto"/>
        <w:right w:val="none" w:sz="0" w:space="0" w:color="auto"/>
      </w:divBdr>
    </w:div>
    <w:div w:id="169375863">
      <w:bodyDiv w:val="1"/>
      <w:marLeft w:val="0"/>
      <w:marRight w:val="0"/>
      <w:marTop w:val="0"/>
      <w:marBottom w:val="0"/>
      <w:divBdr>
        <w:top w:val="none" w:sz="0" w:space="0" w:color="auto"/>
        <w:left w:val="none" w:sz="0" w:space="0" w:color="auto"/>
        <w:bottom w:val="none" w:sz="0" w:space="0" w:color="auto"/>
        <w:right w:val="none" w:sz="0" w:space="0" w:color="auto"/>
      </w:divBdr>
    </w:div>
    <w:div w:id="171990352">
      <w:bodyDiv w:val="1"/>
      <w:marLeft w:val="0"/>
      <w:marRight w:val="0"/>
      <w:marTop w:val="0"/>
      <w:marBottom w:val="0"/>
      <w:divBdr>
        <w:top w:val="none" w:sz="0" w:space="0" w:color="auto"/>
        <w:left w:val="none" w:sz="0" w:space="0" w:color="auto"/>
        <w:bottom w:val="none" w:sz="0" w:space="0" w:color="auto"/>
        <w:right w:val="none" w:sz="0" w:space="0" w:color="auto"/>
      </w:divBdr>
    </w:div>
    <w:div w:id="191310432">
      <w:bodyDiv w:val="1"/>
      <w:marLeft w:val="0"/>
      <w:marRight w:val="0"/>
      <w:marTop w:val="0"/>
      <w:marBottom w:val="0"/>
      <w:divBdr>
        <w:top w:val="none" w:sz="0" w:space="0" w:color="auto"/>
        <w:left w:val="none" w:sz="0" w:space="0" w:color="auto"/>
        <w:bottom w:val="none" w:sz="0" w:space="0" w:color="auto"/>
        <w:right w:val="none" w:sz="0" w:space="0" w:color="auto"/>
      </w:divBdr>
    </w:div>
    <w:div w:id="193157903">
      <w:bodyDiv w:val="1"/>
      <w:marLeft w:val="0"/>
      <w:marRight w:val="0"/>
      <w:marTop w:val="0"/>
      <w:marBottom w:val="0"/>
      <w:divBdr>
        <w:top w:val="none" w:sz="0" w:space="0" w:color="auto"/>
        <w:left w:val="none" w:sz="0" w:space="0" w:color="auto"/>
        <w:bottom w:val="none" w:sz="0" w:space="0" w:color="auto"/>
        <w:right w:val="none" w:sz="0" w:space="0" w:color="auto"/>
      </w:divBdr>
    </w:div>
    <w:div w:id="258489558">
      <w:bodyDiv w:val="1"/>
      <w:marLeft w:val="0"/>
      <w:marRight w:val="0"/>
      <w:marTop w:val="0"/>
      <w:marBottom w:val="0"/>
      <w:divBdr>
        <w:top w:val="none" w:sz="0" w:space="0" w:color="auto"/>
        <w:left w:val="none" w:sz="0" w:space="0" w:color="auto"/>
        <w:bottom w:val="none" w:sz="0" w:space="0" w:color="auto"/>
        <w:right w:val="none" w:sz="0" w:space="0" w:color="auto"/>
      </w:divBdr>
    </w:div>
    <w:div w:id="274754381">
      <w:bodyDiv w:val="1"/>
      <w:marLeft w:val="0"/>
      <w:marRight w:val="0"/>
      <w:marTop w:val="0"/>
      <w:marBottom w:val="0"/>
      <w:divBdr>
        <w:top w:val="none" w:sz="0" w:space="0" w:color="auto"/>
        <w:left w:val="none" w:sz="0" w:space="0" w:color="auto"/>
        <w:bottom w:val="none" w:sz="0" w:space="0" w:color="auto"/>
        <w:right w:val="none" w:sz="0" w:space="0" w:color="auto"/>
      </w:divBdr>
      <w:divsChild>
        <w:div w:id="702293619">
          <w:marLeft w:val="274"/>
          <w:marRight w:val="0"/>
          <w:marTop w:val="0"/>
          <w:marBottom w:val="240"/>
          <w:divBdr>
            <w:top w:val="none" w:sz="0" w:space="0" w:color="auto"/>
            <w:left w:val="none" w:sz="0" w:space="0" w:color="auto"/>
            <w:bottom w:val="none" w:sz="0" w:space="0" w:color="auto"/>
            <w:right w:val="none" w:sz="0" w:space="0" w:color="auto"/>
          </w:divBdr>
        </w:div>
      </w:divsChild>
    </w:div>
    <w:div w:id="286546125">
      <w:bodyDiv w:val="1"/>
      <w:marLeft w:val="0"/>
      <w:marRight w:val="0"/>
      <w:marTop w:val="0"/>
      <w:marBottom w:val="0"/>
      <w:divBdr>
        <w:top w:val="none" w:sz="0" w:space="0" w:color="auto"/>
        <w:left w:val="none" w:sz="0" w:space="0" w:color="auto"/>
        <w:bottom w:val="none" w:sz="0" w:space="0" w:color="auto"/>
        <w:right w:val="none" w:sz="0" w:space="0" w:color="auto"/>
      </w:divBdr>
    </w:div>
    <w:div w:id="315454905">
      <w:bodyDiv w:val="1"/>
      <w:marLeft w:val="0"/>
      <w:marRight w:val="0"/>
      <w:marTop w:val="0"/>
      <w:marBottom w:val="0"/>
      <w:divBdr>
        <w:top w:val="none" w:sz="0" w:space="0" w:color="auto"/>
        <w:left w:val="none" w:sz="0" w:space="0" w:color="auto"/>
        <w:bottom w:val="none" w:sz="0" w:space="0" w:color="auto"/>
        <w:right w:val="none" w:sz="0" w:space="0" w:color="auto"/>
      </w:divBdr>
    </w:div>
    <w:div w:id="332417518">
      <w:bodyDiv w:val="1"/>
      <w:marLeft w:val="0"/>
      <w:marRight w:val="0"/>
      <w:marTop w:val="0"/>
      <w:marBottom w:val="0"/>
      <w:divBdr>
        <w:top w:val="none" w:sz="0" w:space="0" w:color="auto"/>
        <w:left w:val="none" w:sz="0" w:space="0" w:color="auto"/>
        <w:bottom w:val="none" w:sz="0" w:space="0" w:color="auto"/>
        <w:right w:val="none" w:sz="0" w:space="0" w:color="auto"/>
      </w:divBdr>
    </w:div>
    <w:div w:id="388768480">
      <w:bodyDiv w:val="1"/>
      <w:marLeft w:val="0"/>
      <w:marRight w:val="0"/>
      <w:marTop w:val="0"/>
      <w:marBottom w:val="0"/>
      <w:divBdr>
        <w:top w:val="none" w:sz="0" w:space="0" w:color="auto"/>
        <w:left w:val="none" w:sz="0" w:space="0" w:color="auto"/>
        <w:bottom w:val="none" w:sz="0" w:space="0" w:color="auto"/>
        <w:right w:val="none" w:sz="0" w:space="0" w:color="auto"/>
      </w:divBdr>
    </w:div>
    <w:div w:id="406457382">
      <w:bodyDiv w:val="1"/>
      <w:marLeft w:val="0"/>
      <w:marRight w:val="0"/>
      <w:marTop w:val="0"/>
      <w:marBottom w:val="0"/>
      <w:divBdr>
        <w:top w:val="none" w:sz="0" w:space="0" w:color="auto"/>
        <w:left w:val="none" w:sz="0" w:space="0" w:color="auto"/>
        <w:bottom w:val="none" w:sz="0" w:space="0" w:color="auto"/>
        <w:right w:val="none" w:sz="0" w:space="0" w:color="auto"/>
      </w:divBdr>
    </w:div>
    <w:div w:id="428548580">
      <w:bodyDiv w:val="1"/>
      <w:marLeft w:val="0"/>
      <w:marRight w:val="0"/>
      <w:marTop w:val="0"/>
      <w:marBottom w:val="0"/>
      <w:divBdr>
        <w:top w:val="none" w:sz="0" w:space="0" w:color="auto"/>
        <w:left w:val="none" w:sz="0" w:space="0" w:color="auto"/>
        <w:bottom w:val="none" w:sz="0" w:space="0" w:color="auto"/>
        <w:right w:val="none" w:sz="0" w:space="0" w:color="auto"/>
      </w:divBdr>
    </w:div>
    <w:div w:id="447623819">
      <w:bodyDiv w:val="1"/>
      <w:marLeft w:val="0"/>
      <w:marRight w:val="0"/>
      <w:marTop w:val="0"/>
      <w:marBottom w:val="0"/>
      <w:divBdr>
        <w:top w:val="none" w:sz="0" w:space="0" w:color="auto"/>
        <w:left w:val="none" w:sz="0" w:space="0" w:color="auto"/>
        <w:bottom w:val="none" w:sz="0" w:space="0" w:color="auto"/>
        <w:right w:val="none" w:sz="0" w:space="0" w:color="auto"/>
      </w:divBdr>
    </w:div>
    <w:div w:id="484201968">
      <w:bodyDiv w:val="1"/>
      <w:marLeft w:val="0"/>
      <w:marRight w:val="0"/>
      <w:marTop w:val="0"/>
      <w:marBottom w:val="0"/>
      <w:divBdr>
        <w:top w:val="none" w:sz="0" w:space="0" w:color="auto"/>
        <w:left w:val="none" w:sz="0" w:space="0" w:color="auto"/>
        <w:bottom w:val="none" w:sz="0" w:space="0" w:color="auto"/>
        <w:right w:val="none" w:sz="0" w:space="0" w:color="auto"/>
      </w:divBdr>
    </w:div>
    <w:div w:id="502477425">
      <w:bodyDiv w:val="1"/>
      <w:marLeft w:val="0"/>
      <w:marRight w:val="0"/>
      <w:marTop w:val="0"/>
      <w:marBottom w:val="0"/>
      <w:divBdr>
        <w:top w:val="none" w:sz="0" w:space="0" w:color="auto"/>
        <w:left w:val="none" w:sz="0" w:space="0" w:color="auto"/>
        <w:bottom w:val="none" w:sz="0" w:space="0" w:color="auto"/>
        <w:right w:val="none" w:sz="0" w:space="0" w:color="auto"/>
      </w:divBdr>
    </w:div>
    <w:div w:id="503471579">
      <w:bodyDiv w:val="1"/>
      <w:marLeft w:val="0"/>
      <w:marRight w:val="0"/>
      <w:marTop w:val="0"/>
      <w:marBottom w:val="0"/>
      <w:divBdr>
        <w:top w:val="none" w:sz="0" w:space="0" w:color="auto"/>
        <w:left w:val="none" w:sz="0" w:space="0" w:color="auto"/>
        <w:bottom w:val="none" w:sz="0" w:space="0" w:color="auto"/>
        <w:right w:val="none" w:sz="0" w:space="0" w:color="auto"/>
      </w:divBdr>
    </w:div>
    <w:div w:id="514610400">
      <w:bodyDiv w:val="1"/>
      <w:marLeft w:val="0"/>
      <w:marRight w:val="0"/>
      <w:marTop w:val="0"/>
      <w:marBottom w:val="0"/>
      <w:divBdr>
        <w:top w:val="none" w:sz="0" w:space="0" w:color="auto"/>
        <w:left w:val="none" w:sz="0" w:space="0" w:color="auto"/>
        <w:bottom w:val="none" w:sz="0" w:space="0" w:color="auto"/>
        <w:right w:val="none" w:sz="0" w:space="0" w:color="auto"/>
      </w:divBdr>
    </w:div>
    <w:div w:id="530654703">
      <w:bodyDiv w:val="1"/>
      <w:marLeft w:val="0"/>
      <w:marRight w:val="0"/>
      <w:marTop w:val="0"/>
      <w:marBottom w:val="0"/>
      <w:divBdr>
        <w:top w:val="none" w:sz="0" w:space="0" w:color="auto"/>
        <w:left w:val="none" w:sz="0" w:space="0" w:color="auto"/>
        <w:bottom w:val="none" w:sz="0" w:space="0" w:color="auto"/>
        <w:right w:val="none" w:sz="0" w:space="0" w:color="auto"/>
      </w:divBdr>
    </w:div>
    <w:div w:id="538905877">
      <w:bodyDiv w:val="1"/>
      <w:marLeft w:val="0"/>
      <w:marRight w:val="0"/>
      <w:marTop w:val="0"/>
      <w:marBottom w:val="0"/>
      <w:divBdr>
        <w:top w:val="none" w:sz="0" w:space="0" w:color="auto"/>
        <w:left w:val="none" w:sz="0" w:space="0" w:color="auto"/>
        <w:bottom w:val="none" w:sz="0" w:space="0" w:color="auto"/>
        <w:right w:val="none" w:sz="0" w:space="0" w:color="auto"/>
      </w:divBdr>
    </w:div>
    <w:div w:id="597325862">
      <w:bodyDiv w:val="1"/>
      <w:marLeft w:val="0"/>
      <w:marRight w:val="0"/>
      <w:marTop w:val="0"/>
      <w:marBottom w:val="0"/>
      <w:divBdr>
        <w:top w:val="none" w:sz="0" w:space="0" w:color="auto"/>
        <w:left w:val="none" w:sz="0" w:space="0" w:color="auto"/>
        <w:bottom w:val="none" w:sz="0" w:space="0" w:color="auto"/>
        <w:right w:val="none" w:sz="0" w:space="0" w:color="auto"/>
      </w:divBdr>
    </w:div>
    <w:div w:id="611984634">
      <w:bodyDiv w:val="1"/>
      <w:marLeft w:val="0"/>
      <w:marRight w:val="0"/>
      <w:marTop w:val="0"/>
      <w:marBottom w:val="0"/>
      <w:divBdr>
        <w:top w:val="none" w:sz="0" w:space="0" w:color="auto"/>
        <w:left w:val="none" w:sz="0" w:space="0" w:color="auto"/>
        <w:bottom w:val="none" w:sz="0" w:space="0" w:color="auto"/>
        <w:right w:val="none" w:sz="0" w:space="0" w:color="auto"/>
      </w:divBdr>
    </w:div>
    <w:div w:id="622733404">
      <w:bodyDiv w:val="1"/>
      <w:marLeft w:val="0"/>
      <w:marRight w:val="0"/>
      <w:marTop w:val="0"/>
      <w:marBottom w:val="0"/>
      <w:divBdr>
        <w:top w:val="none" w:sz="0" w:space="0" w:color="auto"/>
        <w:left w:val="none" w:sz="0" w:space="0" w:color="auto"/>
        <w:bottom w:val="none" w:sz="0" w:space="0" w:color="auto"/>
        <w:right w:val="none" w:sz="0" w:space="0" w:color="auto"/>
      </w:divBdr>
    </w:div>
    <w:div w:id="641620702">
      <w:bodyDiv w:val="1"/>
      <w:marLeft w:val="0"/>
      <w:marRight w:val="0"/>
      <w:marTop w:val="0"/>
      <w:marBottom w:val="0"/>
      <w:divBdr>
        <w:top w:val="none" w:sz="0" w:space="0" w:color="auto"/>
        <w:left w:val="none" w:sz="0" w:space="0" w:color="auto"/>
        <w:bottom w:val="none" w:sz="0" w:space="0" w:color="auto"/>
        <w:right w:val="none" w:sz="0" w:space="0" w:color="auto"/>
      </w:divBdr>
    </w:div>
    <w:div w:id="643854832">
      <w:bodyDiv w:val="1"/>
      <w:marLeft w:val="0"/>
      <w:marRight w:val="0"/>
      <w:marTop w:val="0"/>
      <w:marBottom w:val="0"/>
      <w:divBdr>
        <w:top w:val="none" w:sz="0" w:space="0" w:color="auto"/>
        <w:left w:val="none" w:sz="0" w:space="0" w:color="auto"/>
        <w:bottom w:val="none" w:sz="0" w:space="0" w:color="auto"/>
        <w:right w:val="none" w:sz="0" w:space="0" w:color="auto"/>
      </w:divBdr>
    </w:div>
    <w:div w:id="661740739">
      <w:bodyDiv w:val="1"/>
      <w:marLeft w:val="0"/>
      <w:marRight w:val="0"/>
      <w:marTop w:val="0"/>
      <w:marBottom w:val="0"/>
      <w:divBdr>
        <w:top w:val="none" w:sz="0" w:space="0" w:color="auto"/>
        <w:left w:val="none" w:sz="0" w:space="0" w:color="auto"/>
        <w:bottom w:val="none" w:sz="0" w:space="0" w:color="auto"/>
        <w:right w:val="none" w:sz="0" w:space="0" w:color="auto"/>
      </w:divBdr>
    </w:div>
    <w:div w:id="715351796">
      <w:bodyDiv w:val="1"/>
      <w:marLeft w:val="0"/>
      <w:marRight w:val="0"/>
      <w:marTop w:val="0"/>
      <w:marBottom w:val="0"/>
      <w:divBdr>
        <w:top w:val="none" w:sz="0" w:space="0" w:color="auto"/>
        <w:left w:val="none" w:sz="0" w:space="0" w:color="auto"/>
        <w:bottom w:val="none" w:sz="0" w:space="0" w:color="auto"/>
        <w:right w:val="none" w:sz="0" w:space="0" w:color="auto"/>
      </w:divBdr>
    </w:div>
    <w:div w:id="731928250">
      <w:bodyDiv w:val="1"/>
      <w:marLeft w:val="0"/>
      <w:marRight w:val="0"/>
      <w:marTop w:val="0"/>
      <w:marBottom w:val="0"/>
      <w:divBdr>
        <w:top w:val="none" w:sz="0" w:space="0" w:color="auto"/>
        <w:left w:val="none" w:sz="0" w:space="0" w:color="auto"/>
        <w:bottom w:val="none" w:sz="0" w:space="0" w:color="auto"/>
        <w:right w:val="none" w:sz="0" w:space="0" w:color="auto"/>
      </w:divBdr>
    </w:div>
    <w:div w:id="741374628">
      <w:bodyDiv w:val="1"/>
      <w:marLeft w:val="0"/>
      <w:marRight w:val="0"/>
      <w:marTop w:val="0"/>
      <w:marBottom w:val="0"/>
      <w:divBdr>
        <w:top w:val="none" w:sz="0" w:space="0" w:color="auto"/>
        <w:left w:val="none" w:sz="0" w:space="0" w:color="auto"/>
        <w:bottom w:val="none" w:sz="0" w:space="0" w:color="auto"/>
        <w:right w:val="none" w:sz="0" w:space="0" w:color="auto"/>
      </w:divBdr>
    </w:div>
    <w:div w:id="867643855">
      <w:bodyDiv w:val="1"/>
      <w:marLeft w:val="0"/>
      <w:marRight w:val="0"/>
      <w:marTop w:val="0"/>
      <w:marBottom w:val="0"/>
      <w:divBdr>
        <w:top w:val="none" w:sz="0" w:space="0" w:color="auto"/>
        <w:left w:val="none" w:sz="0" w:space="0" w:color="auto"/>
        <w:bottom w:val="none" w:sz="0" w:space="0" w:color="auto"/>
        <w:right w:val="none" w:sz="0" w:space="0" w:color="auto"/>
      </w:divBdr>
    </w:div>
    <w:div w:id="873929273">
      <w:bodyDiv w:val="1"/>
      <w:marLeft w:val="0"/>
      <w:marRight w:val="0"/>
      <w:marTop w:val="0"/>
      <w:marBottom w:val="0"/>
      <w:divBdr>
        <w:top w:val="none" w:sz="0" w:space="0" w:color="auto"/>
        <w:left w:val="none" w:sz="0" w:space="0" w:color="auto"/>
        <w:bottom w:val="none" w:sz="0" w:space="0" w:color="auto"/>
        <w:right w:val="none" w:sz="0" w:space="0" w:color="auto"/>
      </w:divBdr>
    </w:div>
    <w:div w:id="875047431">
      <w:bodyDiv w:val="1"/>
      <w:marLeft w:val="0"/>
      <w:marRight w:val="0"/>
      <w:marTop w:val="0"/>
      <w:marBottom w:val="0"/>
      <w:divBdr>
        <w:top w:val="none" w:sz="0" w:space="0" w:color="auto"/>
        <w:left w:val="none" w:sz="0" w:space="0" w:color="auto"/>
        <w:bottom w:val="none" w:sz="0" w:space="0" w:color="auto"/>
        <w:right w:val="none" w:sz="0" w:space="0" w:color="auto"/>
      </w:divBdr>
    </w:div>
    <w:div w:id="943810008">
      <w:bodyDiv w:val="1"/>
      <w:marLeft w:val="0"/>
      <w:marRight w:val="0"/>
      <w:marTop w:val="0"/>
      <w:marBottom w:val="0"/>
      <w:divBdr>
        <w:top w:val="none" w:sz="0" w:space="0" w:color="auto"/>
        <w:left w:val="none" w:sz="0" w:space="0" w:color="auto"/>
        <w:bottom w:val="none" w:sz="0" w:space="0" w:color="auto"/>
        <w:right w:val="none" w:sz="0" w:space="0" w:color="auto"/>
      </w:divBdr>
    </w:div>
    <w:div w:id="1059091422">
      <w:bodyDiv w:val="1"/>
      <w:marLeft w:val="0"/>
      <w:marRight w:val="0"/>
      <w:marTop w:val="0"/>
      <w:marBottom w:val="0"/>
      <w:divBdr>
        <w:top w:val="none" w:sz="0" w:space="0" w:color="auto"/>
        <w:left w:val="none" w:sz="0" w:space="0" w:color="auto"/>
        <w:bottom w:val="none" w:sz="0" w:space="0" w:color="auto"/>
        <w:right w:val="none" w:sz="0" w:space="0" w:color="auto"/>
      </w:divBdr>
    </w:div>
    <w:div w:id="1103575589">
      <w:bodyDiv w:val="1"/>
      <w:marLeft w:val="0"/>
      <w:marRight w:val="0"/>
      <w:marTop w:val="0"/>
      <w:marBottom w:val="0"/>
      <w:divBdr>
        <w:top w:val="none" w:sz="0" w:space="0" w:color="auto"/>
        <w:left w:val="none" w:sz="0" w:space="0" w:color="auto"/>
        <w:bottom w:val="none" w:sz="0" w:space="0" w:color="auto"/>
        <w:right w:val="none" w:sz="0" w:space="0" w:color="auto"/>
      </w:divBdr>
    </w:div>
    <w:div w:id="1113136129">
      <w:bodyDiv w:val="1"/>
      <w:marLeft w:val="0"/>
      <w:marRight w:val="0"/>
      <w:marTop w:val="0"/>
      <w:marBottom w:val="0"/>
      <w:divBdr>
        <w:top w:val="none" w:sz="0" w:space="0" w:color="auto"/>
        <w:left w:val="none" w:sz="0" w:space="0" w:color="auto"/>
        <w:bottom w:val="none" w:sz="0" w:space="0" w:color="auto"/>
        <w:right w:val="none" w:sz="0" w:space="0" w:color="auto"/>
      </w:divBdr>
    </w:div>
    <w:div w:id="1117914068">
      <w:bodyDiv w:val="1"/>
      <w:marLeft w:val="0"/>
      <w:marRight w:val="0"/>
      <w:marTop w:val="0"/>
      <w:marBottom w:val="0"/>
      <w:divBdr>
        <w:top w:val="none" w:sz="0" w:space="0" w:color="auto"/>
        <w:left w:val="none" w:sz="0" w:space="0" w:color="auto"/>
        <w:bottom w:val="none" w:sz="0" w:space="0" w:color="auto"/>
        <w:right w:val="none" w:sz="0" w:space="0" w:color="auto"/>
      </w:divBdr>
      <w:divsChild>
        <w:div w:id="443622560">
          <w:marLeft w:val="274"/>
          <w:marRight w:val="0"/>
          <w:marTop w:val="0"/>
          <w:marBottom w:val="240"/>
          <w:divBdr>
            <w:top w:val="none" w:sz="0" w:space="0" w:color="auto"/>
            <w:left w:val="none" w:sz="0" w:space="0" w:color="auto"/>
            <w:bottom w:val="none" w:sz="0" w:space="0" w:color="auto"/>
            <w:right w:val="none" w:sz="0" w:space="0" w:color="auto"/>
          </w:divBdr>
        </w:div>
        <w:div w:id="1234659865">
          <w:marLeft w:val="274"/>
          <w:marRight w:val="0"/>
          <w:marTop w:val="0"/>
          <w:marBottom w:val="240"/>
          <w:divBdr>
            <w:top w:val="none" w:sz="0" w:space="0" w:color="auto"/>
            <w:left w:val="none" w:sz="0" w:space="0" w:color="auto"/>
            <w:bottom w:val="none" w:sz="0" w:space="0" w:color="auto"/>
            <w:right w:val="none" w:sz="0" w:space="0" w:color="auto"/>
          </w:divBdr>
        </w:div>
        <w:div w:id="1023557721">
          <w:marLeft w:val="274"/>
          <w:marRight w:val="0"/>
          <w:marTop w:val="0"/>
          <w:marBottom w:val="240"/>
          <w:divBdr>
            <w:top w:val="none" w:sz="0" w:space="0" w:color="auto"/>
            <w:left w:val="none" w:sz="0" w:space="0" w:color="auto"/>
            <w:bottom w:val="none" w:sz="0" w:space="0" w:color="auto"/>
            <w:right w:val="none" w:sz="0" w:space="0" w:color="auto"/>
          </w:divBdr>
        </w:div>
      </w:divsChild>
    </w:div>
    <w:div w:id="1135877756">
      <w:bodyDiv w:val="1"/>
      <w:marLeft w:val="0"/>
      <w:marRight w:val="0"/>
      <w:marTop w:val="0"/>
      <w:marBottom w:val="0"/>
      <w:divBdr>
        <w:top w:val="none" w:sz="0" w:space="0" w:color="auto"/>
        <w:left w:val="none" w:sz="0" w:space="0" w:color="auto"/>
        <w:bottom w:val="none" w:sz="0" w:space="0" w:color="auto"/>
        <w:right w:val="none" w:sz="0" w:space="0" w:color="auto"/>
      </w:divBdr>
    </w:div>
    <w:div w:id="1212228540">
      <w:bodyDiv w:val="1"/>
      <w:marLeft w:val="0"/>
      <w:marRight w:val="0"/>
      <w:marTop w:val="0"/>
      <w:marBottom w:val="0"/>
      <w:divBdr>
        <w:top w:val="none" w:sz="0" w:space="0" w:color="auto"/>
        <w:left w:val="none" w:sz="0" w:space="0" w:color="auto"/>
        <w:bottom w:val="none" w:sz="0" w:space="0" w:color="auto"/>
        <w:right w:val="none" w:sz="0" w:space="0" w:color="auto"/>
      </w:divBdr>
      <w:divsChild>
        <w:div w:id="59914880">
          <w:marLeft w:val="274"/>
          <w:marRight w:val="0"/>
          <w:marTop w:val="0"/>
          <w:marBottom w:val="120"/>
          <w:divBdr>
            <w:top w:val="none" w:sz="0" w:space="0" w:color="auto"/>
            <w:left w:val="none" w:sz="0" w:space="0" w:color="auto"/>
            <w:bottom w:val="none" w:sz="0" w:space="0" w:color="auto"/>
            <w:right w:val="none" w:sz="0" w:space="0" w:color="auto"/>
          </w:divBdr>
        </w:div>
      </w:divsChild>
    </w:div>
    <w:div w:id="1226919216">
      <w:bodyDiv w:val="1"/>
      <w:marLeft w:val="0"/>
      <w:marRight w:val="0"/>
      <w:marTop w:val="0"/>
      <w:marBottom w:val="0"/>
      <w:divBdr>
        <w:top w:val="none" w:sz="0" w:space="0" w:color="auto"/>
        <w:left w:val="none" w:sz="0" w:space="0" w:color="auto"/>
        <w:bottom w:val="none" w:sz="0" w:space="0" w:color="auto"/>
        <w:right w:val="none" w:sz="0" w:space="0" w:color="auto"/>
      </w:divBdr>
    </w:div>
    <w:div w:id="1325015790">
      <w:bodyDiv w:val="1"/>
      <w:marLeft w:val="0"/>
      <w:marRight w:val="0"/>
      <w:marTop w:val="0"/>
      <w:marBottom w:val="0"/>
      <w:divBdr>
        <w:top w:val="none" w:sz="0" w:space="0" w:color="auto"/>
        <w:left w:val="none" w:sz="0" w:space="0" w:color="auto"/>
        <w:bottom w:val="none" w:sz="0" w:space="0" w:color="auto"/>
        <w:right w:val="none" w:sz="0" w:space="0" w:color="auto"/>
      </w:divBdr>
    </w:div>
    <w:div w:id="1350596692">
      <w:bodyDiv w:val="1"/>
      <w:marLeft w:val="0"/>
      <w:marRight w:val="0"/>
      <w:marTop w:val="0"/>
      <w:marBottom w:val="0"/>
      <w:divBdr>
        <w:top w:val="none" w:sz="0" w:space="0" w:color="auto"/>
        <w:left w:val="none" w:sz="0" w:space="0" w:color="auto"/>
        <w:bottom w:val="none" w:sz="0" w:space="0" w:color="auto"/>
        <w:right w:val="none" w:sz="0" w:space="0" w:color="auto"/>
      </w:divBdr>
    </w:div>
    <w:div w:id="1377973063">
      <w:bodyDiv w:val="1"/>
      <w:marLeft w:val="0"/>
      <w:marRight w:val="0"/>
      <w:marTop w:val="0"/>
      <w:marBottom w:val="0"/>
      <w:divBdr>
        <w:top w:val="none" w:sz="0" w:space="0" w:color="auto"/>
        <w:left w:val="none" w:sz="0" w:space="0" w:color="auto"/>
        <w:bottom w:val="none" w:sz="0" w:space="0" w:color="auto"/>
        <w:right w:val="none" w:sz="0" w:space="0" w:color="auto"/>
      </w:divBdr>
    </w:div>
    <w:div w:id="1407413027">
      <w:bodyDiv w:val="1"/>
      <w:marLeft w:val="0"/>
      <w:marRight w:val="0"/>
      <w:marTop w:val="0"/>
      <w:marBottom w:val="0"/>
      <w:divBdr>
        <w:top w:val="none" w:sz="0" w:space="0" w:color="auto"/>
        <w:left w:val="none" w:sz="0" w:space="0" w:color="auto"/>
        <w:bottom w:val="none" w:sz="0" w:space="0" w:color="auto"/>
        <w:right w:val="none" w:sz="0" w:space="0" w:color="auto"/>
      </w:divBdr>
    </w:div>
    <w:div w:id="1423525766">
      <w:bodyDiv w:val="1"/>
      <w:marLeft w:val="0"/>
      <w:marRight w:val="0"/>
      <w:marTop w:val="0"/>
      <w:marBottom w:val="0"/>
      <w:divBdr>
        <w:top w:val="none" w:sz="0" w:space="0" w:color="auto"/>
        <w:left w:val="none" w:sz="0" w:space="0" w:color="auto"/>
        <w:bottom w:val="none" w:sz="0" w:space="0" w:color="auto"/>
        <w:right w:val="none" w:sz="0" w:space="0" w:color="auto"/>
      </w:divBdr>
    </w:div>
    <w:div w:id="1486777759">
      <w:bodyDiv w:val="1"/>
      <w:marLeft w:val="0"/>
      <w:marRight w:val="0"/>
      <w:marTop w:val="0"/>
      <w:marBottom w:val="0"/>
      <w:divBdr>
        <w:top w:val="none" w:sz="0" w:space="0" w:color="auto"/>
        <w:left w:val="none" w:sz="0" w:space="0" w:color="auto"/>
        <w:bottom w:val="none" w:sz="0" w:space="0" w:color="auto"/>
        <w:right w:val="none" w:sz="0" w:space="0" w:color="auto"/>
      </w:divBdr>
    </w:div>
    <w:div w:id="1533542720">
      <w:bodyDiv w:val="1"/>
      <w:marLeft w:val="0"/>
      <w:marRight w:val="0"/>
      <w:marTop w:val="0"/>
      <w:marBottom w:val="0"/>
      <w:divBdr>
        <w:top w:val="none" w:sz="0" w:space="0" w:color="auto"/>
        <w:left w:val="none" w:sz="0" w:space="0" w:color="auto"/>
        <w:bottom w:val="none" w:sz="0" w:space="0" w:color="auto"/>
        <w:right w:val="none" w:sz="0" w:space="0" w:color="auto"/>
      </w:divBdr>
    </w:div>
    <w:div w:id="1541555519">
      <w:bodyDiv w:val="1"/>
      <w:marLeft w:val="0"/>
      <w:marRight w:val="0"/>
      <w:marTop w:val="0"/>
      <w:marBottom w:val="0"/>
      <w:divBdr>
        <w:top w:val="none" w:sz="0" w:space="0" w:color="auto"/>
        <w:left w:val="none" w:sz="0" w:space="0" w:color="auto"/>
        <w:bottom w:val="none" w:sz="0" w:space="0" w:color="auto"/>
        <w:right w:val="none" w:sz="0" w:space="0" w:color="auto"/>
      </w:divBdr>
    </w:div>
    <w:div w:id="1547254549">
      <w:bodyDiv w:val="1"/>
      <w:marLeft w:val="0"/>
      <w:marRight w:val="0"/>
      <w:marTop w:val="0"/>
      <w:marBottom w:val="0"/>
      <w:divBdr>
        <w:top w:val="none" w:sz="0" w:space="0" w:color="auto"/>
        <w:left w:val="none" w:sz="0" w:space="0" w:color="auto"/>
        <w:bottom w:val="none" w:sz="0" w:space="0" w:color="auto"/>
        <w:right w:val="none" w:sz="0" w:space="0" w:color="auto"/>
      </w:divBdr>
    </w:div>
    <w:div w:id="1590432217">
      <w:bodyDiv w:val="1"/>
      <w:marLeft w:val="0"/>
      <w:marRight w:val="0"/>
      <w:marTop w:val="0"/>
      <w:marBottom w:val="0"/>
      <w:divBdr>
        <w:top w:val="none" w:sz="0" w:space="0" w:color="auto"/>
        <w:left w:val="none" w:sz="0" w:space="0" w:color="auto"/>
        <w:bottom w:val="none" w:sz="0" w:space="0" w:color="auto"/>
        <w:right w:val="none" w:sz="0" w:space="0" w:color="auto"/>
      </w:divBdr>
    </w:div>
    <w:div w:id="1602372100">
      <w:bodyDiv w:val="1"/>
      <w:marLeft w:val="0"/>
      <w:marRight w:val="0"/>
      <w:marTop w:val="0"/>
      <w:marBottom w:val="0"/>
      <w:divBdr>
        <w:top w:val="none" w:sz="0" w:space="0" w:color="auto"/>
        <w:left w:val="none" w:sz="0" w:space="0" w:color="auto"/>
        <w:bottom w:val="none" w:sz="0" w:space="0" w:color="auto"/>
        <w:right w:val="none" w:sz="0" w:space="0" w:color="auto"/>
      </w:divBdr>
    </w:div>
    <w:div w:id="1612399553">
      <w:bodyDiv w:val="1"/>
      <w:marLeft w:val="0"/>
      <w:marRight w:val="0"/>
      <w:marTop w:val="0"/>
      <w:marBottom w:val="0"/>
      <w:divBdr>
        <w:top w:val="none" w:sz="0" w:space="0" w:color="auto"/>
        <w:left w:val="none" w:sz="0" w:space="0" w:color="auto"/>
        <w:bottom w:val="none" w:sz="0" w:space="0" w:color="auto"/>
        <w:right w:val="none" w:sz="0" w:space="0" w:color="auto"/>
      </w:divBdr>
    </w:div>
    <w:div w:id="1613123049">
      <w:bodyDiv w:val="1"/>
      <w:marLeft w:val="0"/>
      <w:marRight w:val="0"/>
      <w:marTop w:val="0"/>
      <w:marBottom w:val="0"/>
      <w:divBdr>
        <w:top w:val="none" w:sz="0" w:space="0" w:color="auto"/>
        <w:left w:val="none" w:sz="0" w:space="0" w:color="auto"/>
        <w:bottom w:val="none" w:sz="0" w:space="0" w:color="auto"/>
        <w:right w:val="none" w:sz="0" w:space="0" w:color="auto"/>
      </w:divBdr>
    </w:div>
    <w:div w:id="1679847696">
      <w:bodyDiv w:val="1"/>
      <w:marLeft w:val="0"/>
      <w:marRight w:val="0"/>
      <w:marTop w:val="0"/>
      <w:marBottom w:val="0"/>
      <w:divBdr>
        <w:top w:val="none" w:sz="0" w:space="0" w:color="auto"/>
        <w:left w:val="none" w:sz="0" w:space="0" w:color="auto"/>
        <w:bottom w:val="none" w:sz="0" w:space="0" w:color="auto"/>
        <w:right w:val="none" w:sz="0" w:space="0" w:color="auto"/>
      </w:divBdr>
    </w:div>
    <w:div w:id="1691948130">
      <w:bodyDiv w:val="1"/>
      <w:marLeft w:val="0"/>
      <w:marRight w:val="0"/>
      <w:marTop w:val="0"/>
      <w:marBottom w:val="0"/>
      <w:divBdr>
        <w:top w:val="none" w:sz="0" w:space="0" w:color="auto"/>
        <w:left w:val="none" w:sz="0" w:space="0" w:color="auto"/>
        <w:bottom w:val="none" w:sz="0" w:space="0" w:color="auto"/>
        <w:right w:val="none" w:sz="0" w:space="0" w:color="auto"/>
      </w:divBdr>
      <w:divsChild>
        <w:div w:id="1896548385">
          <w:marLeft w:val="446"/>
          <w:marRight w:val="216"/>
          <w:marTop w:val="0"/>
          <w:marBottom w:val="160"/>
          <w:divBdr>
            <w:top w:val="none" w:sz="0" w:space="0" w:color="auto"/>
            <w:left w:val="none" w:sz="0" w:space="0" w:color="auto"/>
            <w:bottom w:val="none" w:sz="0" w:space="0" w:color="auto"/>
            <w:right w:val="none" w:sz="0" w:space="0" w:color="auto"/>
          </w:divBdr>
        </w:div>
        <w:div w:id="156113180">
          <w:marLeft w:val="446"/>
          <w:marRight w:val="216"/>
          <w:marTop w:val="0"/>
          <w:marBottom w:val="160"/>
          <w:divBdr>
            <w:top w:val="none" w:sz="0" w:space="0" w:color="auto"/>
            <w:left w:val="none" w:sz="0" w:space="0" w:color="auto"/>
            <w:bottom w:val="none" w:sz="0" w:space="0" w:color="auto"/>
            <w:right w:val="none" w:sz="0" w:space="0" w:color="auto"/>
          </w:divBdr>
        </w:div>
      </w:divsChild>
    </w:div>
    <w:div w:id="1743486611">
      <w:bodyDiv w:val="1"/>
      <w:marLeft w:val="0"/>
      <w:marRight w:val="0"/>
      <w:marTop w:val="0"/>
      <w:marBottom w:val="0"/>
      <w:divBdr>
        <w:top w:val="none" w:sz="0" w:space="0" w:color="auto"/>
        <w:left w:val="none" w:sz="0" w:space="0" w:color="auto"/>
        <w:bottom w:val="none" w:sz="0" w:space="0" w:color="auto"/>
        <w:right w:val="none" w:sz="0" w:space="0" w:color="auto"/>
      </w:divBdr>
    </w:div>
    <w:div w:id="1762213784">
      <w:bodyDiv w:val="1"/>
      <w:marLeft w:val="0"/>
      <w:marRight w:val="0"/>
      <w:marTop w:val="0"/>
      <w:marBottom w:val="0"/>
      <w:divBdr>
        <w:top w:val="none" w:sz="0" w:space="0" w:color="auto"/>
        <w:left w:val="none" w:sz="0" w:space="0" w:color="auto"/>
        <w:bottom w:val="none" w:sz="0" w:space="0" w:color="auto"/>
        <w:right w:val="none" w:sz="0" w:space="0" w:color="auto"/>
      </w:divBdr>
    </w:div>
    <w:div w:id="1763329960">
      <w:bodyDiv w:val="1"/>
      <w:marLeft w:val="0"/>
      <w:marRight w:val="0"/>
      <w:marTop w:val="0"/>
      <w:marBottom w:val="0"/>
      <w:divBdr>
        <w:top w:val="none" w:sz="0" w:space="0" w:color="auto"/>
        <w:left w:val="none" w:sz="0" w:space="0" w:color="auto"/>
        <w:bottom w:val="none" w:sz="0" w:space="0" w:color="auto"/>
        <w:right w:val="none" w:sz="0" w:space="0" w:color="auto"/>
      </w:divBdr>
    </w:div>
    <w:div w:id="1780484666">
      <w:bodyDiv w:val="1"/>
      <w:marLeft w:val="0"/>
      <w:marRight w:val="0"/>
      <w:marTop w:val="0"/>
      <w:marBottom w:val="0"/>
      <w:divBdr>
        <w:top w:val="none" w:sz="0" w:space="0" w:color="auto"/>
        <w:left w:val="none" w:sz="0" w:space="0" w:color="auto"/>
        <w:bottom w:val="none" w:sz="0" w:space="0" w:color="auto"/>
        <w:right w:val="none" w:sz="0" w:space="0" w:color="auto"/>
      </w:divBdr>
    </w:div>
    <w:div w:id="1781534506">
      <w:bodyDiv w:val="1"/>
      <w:marLeft w:val="0"/>
      <w:marRight w:val="0"/>
      <w:marTop w:val="0"/>
      <w:marBottom w:val="0"/>
      <w:divBdr>
        <w:top w:val="none" w:sz="0" w:space="0" w:color="auto"/>
        <w:left w:val="none" w:sz="0" w:space="0" w:color="auto"/>
        <w:bottom w:val="none" w:sz="0" w:space="0" w:color="auto"/>
        <w:right w:val="none" w:sz="0" w:space="0" w:color="auto"/>
      </w:divBdr>
    </w:div>
    <w:div w:id="1792240711">
      <w:bodyDiv w:val="1"/>
      <w:marLeft w:val="0"/>
      <w:marRight w:val="0"/>
      <w:marTop w:val="0"/>
      <w:marBottom w:val="0"/>
      <w:divBdr>
        <w:top w:val="none" w:sz="0" w:space="0" w:color="auto"/>
        <w:left w:val="none" w:sz="0" w:space="0" w:color="auto"/>
        <w:bottom w:val="none" w:sz="0" w:space="0" w:color="auto"/>
        <w:right w:val="none" w:sz="0" w:space="0" w:color="auto"/>
      </w:divBdr>
    </w:div>
    <w:div w:id="1806198104">
      <w:bodyDiv w:val="1"/>
      <w:marLeft w:val="0"/>
      <w:marRight w:val="0"/>
      <w:marTop w:val="0"/>
      <w:marBottom w:val="0"/>
      <w:divBdr>
        <w:top w:val="none" w:sz="0" w:space="0" w:color="auto"/>
        <w:left w:val="none" w:sz="0" w:space="0" w:color="auto"/>
        <w:bottom w:val="none" w:sz="0" w:space="0" w:color="auto"/>
        <w:right w:val="none" w:sz="0" w:space="0" w:color="auto"/>
      </w:divBdr>
    </w:div>
    <w:div w:id="1827043297">
      <w:bodyDiv w:val="1"/>
      <w:marLeft w:val="0"/>
      <w:marRight w:val="0"/>
      <w:marTop w:val="0"/>
      <w:marBottom w:val="0"/>
      <w:divBdr>
        <w:top w:val="none" w:sz="0" w:space="0" w:color="auto"/>
        <w:left w:val="none" w:sz="0" w:space="0" w:color="auto"/>
        <w:bottom w:val="none" w:sz="0" w:space="0" w:color="auto"/>
        <w:right w:val="none" w:sz="0" w:space="0" w:color="auto"/>
      </w:divBdr>
    </w:div>
    <w:div w:id="1845167479">
      <w:bodyDiv w:val="1"/>
      <w:marLeft w:val="0"/>
      <w:marRight w:val="0"/>
      <w:marTop w:val="0"/>
      <w:marBottom w:val="0"/>
      <w:divBdr>
        <w:top w:val="none" w:sz="0" w:space="0" w:color="auto"/>
        <w:left w:val="none" w:sz="0" w:space="0" w:color="auto"/>
        <w:bottom w:val="none" w:sz="0" w:space="0" w:color="auto"/>
        <w:right w:val="none" w:sz="0" w:space="0" w:color="auto"/>
      </w:divBdr>
    </w:div>
    <w:div w:id="1882400678">
      <w:bodyDiv w:val="1"/>
      <w:marLeft w:val="0"/>
      <w:marRight w:val="0"/>
      <w:marTop w:val="0"/>
      <w:marBottom w:val="0"/>
      <w:divBdr>
        <w:top w:val="none" w:sz="0" w:space="0" w:color="auto"/>
        <w:left w:val="none" w:sz="0" w:space="0" w:color="auto"/>
        <w:bottom w:val="none" w:sz="0" w:space="0" w:color="auto"/>
        <w:right w:val="none" w:sz="0" w:space="0" w:color="auto"/>
      </w:divBdr>
    </w:div>
    <w:div w:id="1882858373">
      <w:bodyDiv w:val="1"/>
      <w:marLeft w:val="0"/>
      <w:marRight w:val="0"/>
      <w:marTop w:val="0"/>
      <w:marBottom w:val="0"/>
      <w:divBdr>
        <w:top w:val="none" w:sz="0" w:space="0" w:color="auto"/>
        <w:left w:val="none" w:sz="0" w:space="0" w:color="auto"/>
        <w:bottom w:val="none" w:sz="0" w:space="0" w:color="auto"/>
        <w:right w:val="none" w:sz="0" w:space="0" w:color="auto"/>
      </w:divBdr>
    </w:div>
    <w:div w:id="1885798537">
      <w:bodyDiv w:val="1"/>
      <w:marLeft w:val="0"/>
      <w:marRight w:val="0"/>
      <w:marTop w:val="0"/>
      <w:marBottom w:val="0"/>
      <w:divBdr>
        <w:top w:val="none" w:sz="0" w:space="0" w:color="auto"/>
        <w:left w:val="none" w:sz="0" w:space="0" w:color="auto"/>
        <w:bottom w:val="none" w:sz="0" w:space="0" w:color="auto"/>
        <w:right w:val="none" w:sz="0" w:space="0" w:color="auto"/>
      </w:divBdr>
    </w:div>
    <w:div w:id="1898204847">
      <w:bodyDiv w:val="1"/>
      <w:marLeft w:val="0"/>
      <w:marRight w:val="0"/>
      <w:marTop w:val="0"/>
      <w:marBottom w:val="0"/>
      <w:divBdr>
        <w:top w:val="none" w:sz="0" w:space="0" w:color="auto"/>
        <w:left w:val="none" w:sz="0" w:space="0" w:color="auto"/>
        <w:bottom w:val="none" w:sz="0" w:space="0" w:color="auto"/>
        <w:right w:val="none" w:sz="0" w:space="0" w:color="auto"/>
      </w:divBdr>
    </w:div>
    <w:div w:id="1918398735">
      <w:bodyDiv w:val="1"/>
      <w:marLeft w:val="0"/>
      <w:marRight w:val="0"/>
      <w:marTop w:val="0"/>
      <w:marBottom w:val="0"/>
      <w:divBdr>
        <w:top w:val="none" w:sz="0" w:space="0" w:color="auto"/>
        <w:left w:val="none" w:sz="0" w:space="0" w:color="auto"/>
        <w:bottom w:val="none" w:sz="0" w:space="0" w:color="auto"/>
        <w:right w:val="none" w:sz="0" w:space="0" w:color="auto"/>
      </w:divBdr>
    </w:div>
    <w:div w:id="1919099651">
      <w:bodyDiv w:val="1"/>
      <w:marLeft w:val="0"/>
      <w:marRight w:val="0"/>
      <w:marTop w:val="0"/>
      <w:marBottom w:val="0"/>
      <w:divBdr>
        <w:top w:val="none" w:sz="0" w:space="0" w:color="auto"/>
        <w:left w:val="none" w:sz="0" w:space="0" w:color="auto"/>
        <w:bottom w:val="none" w:sz="0" w:space="0" w:color="auto"/>
        <w:right w:val="none" w:sz="0" w:space="0" w:color="auto"/>
      </w:divBdr>
    </w:div>
    <w:div w:id="1924220524">
      <w:bodyDiv w:val="1"/>
      <w:marLeft w:val="0"/>
      <w:marRight w:val="0"/>
      <w:marTop w:val="0"/>
      <w:marBottom w:val="0"/>
      <w:divBdr>
        <w:top w:val="none" w:sz="0" w:space="0" w:color="auto"/>
        <w:left w:val="none" w:sz="0" w:space="0" w:color="auto"/>
        <w:bottom w:val="none" w:sz="0" w:space="0" w:color="auto"/>
        <w:right w:val="none" w:sz="0" w:space="0" w:color="auto"/>
      </w:divBdr>
    </w:div>
    <w:div w:id="1991056060">
      <w:bodyDiv w:val="1"/>
      <w:marLeft w:val="0"/>
      <w:marRight w:val="0"/>
      <w:marTop w:val="0"/>
      <w:marBottom w:val="0"/>
      <w:divBdr>
        <w:top w:val="none" w:sz="0" w:space="0" w:color="auto"/>
        <w:left w:val="none" w:sz="0" w:space="0" w:color="auto"/>
        <w:bottom w:val="none" w:sz="0" w:space="0" w:color="auto"/>
        <w:right w:val="none" w:sz="0" w:space="0" w:color="auto"/>
      </w:divBdr>
    </w:div>
    <w:div w:id="2013952197">
      <w:bodyDiv w:val="1"/>
      <w:marLeft w:val="0"/>
      <w:marRight w:val="0"/>
      <w:marTop w:val="0"/>
      <w:marBottom w:val="0"/>
      <w:divBdr>
        <w:top w:val="none" w:sz="0" w:space="0" w:color="auto"/>
        <w:left w:val="none" w:sz="0" w:space="0" w:color="auto"/>
        <w:bottom w:val="none" w:sz="0" w:space="0" w:color="auto"/>
        <w:right w:val="none" w:sz="0" w:space="0" w:color="auto"/>
      </w:divBdr>
    </w:div>
    <w:div w:id="2014646365">
      <w:bodyDiv w:val="1"/>
      <w:marLeft w:val="0"/>
      <w:marRight w:val="0"/>
      <w:marTop w:val="0"/>
      <w:marBottom w:val="0"/>
      <w:divBdr>
        <w:top w:val="none" w:sz="0" w:space="0" w:color="auto"/>
        <w:left w:val="none" w:sz="0" w:space="0" w:color="auto"/>
        <w:bottom w:val="none" w:sz="0" w:space="0" w:color="auto"/>
        <w:right w:val="none" w:sz="0" w:space="0" w:color="auto"/>
      </w:divBdr>
    </w:div>
    <w:div w:id="2026397939">
      <w:bodyDiv w:val="1"/>
      <w:marLeft w:val="0"/>
      <w:marRight w:val="0"/>
      <w:marTop w:val="0"/>
      <w:marBottom w:val="0"/>
      <w:divBdr>
        <w:top w:val="none" w:sz="0" w:space="0" w:color="auto"/>
        <w:left w:val="none" w:sz="0" w:space="0" w:color="auto"/>
        <w:bottom w:val="none" w:sz="0" w:space="0" w:color="auto"/>
        <w:right w:val="none" w:sz="0" w:space="0" w:color="auto"/>
      </w:divBdr>
    </w:div>
    <w:div w:id="2029060847">
      <w:bodyDiv w:val="1"/>
      <w:marLeft w:val="0"/>
      <w:marRight w:val="0"/>
      <w:marTop w:val="0"/>
      <w:marBottom w:val="0"/>
      <w:divBdr>
        <w:top w:val="none" w:sz="0" w:space="0" w:color="auto"/>
        <w:left w:val="none" w:sz="0" w:space="0" w:color="auto"/>
        <w:bottom w:val="none" w:sz="0" w:space="0" w:color="auto"/>
        <w:right w:val="none" w:sz="0" w:space="0" w:color="auto"/>
      </w:divBdr>
    </w:div>
    <w:div w:id="2041971626">
      <w:bodyDiv w:val="1"/>
      <w:marLeft w:val="0"/>
      <w:marRight w:val="0"/>
      <w:marTop w:val="0"/>
      <w:marBottom w:val="0"/>
      <w:divBdr>
        <w:top w:val="none" w:sz="0" w:space="0" w:color="auto"/>
        <w:left w:val="none" w:sz="0" w:space="0" w:color="auto"/>
        <w:bottom w:val="none" w:sz="0" w:space="0" w:color="auto"/>
        <w:right w:val="none" w:sz="0" w:space="0" w:color="auto"/>
      </w:divBdr>
    </w:div>
    <w:div w:id="2081632972">
      <w:bodyDiv w:val="1"/>
      <w:marLeft w:val="0"/>
      <w:marRight w:val="0"/>
      <w:marTop w:val="0"/>
      <w:marBottom w:val="0"/>
      <w:divBdr>
        <w:top w:val="none" w:sz="0" w:space="0" w:color="auto"/>
        <w:left w:val="none" w:sz="0" w:space="0" w:color="auto"/>
        <w:bottom w:val="none" w:sz="0" w:space="0" w:color="auto"/>
        <w:right w:val="none" w:sz="0" w:space="0" w:color="auto"/>
      </w:divBdr>
    </w:div>
    <w:div w:id="2103642266">
      <w:bodyDiv w:val="1"/>
      <w:marLeft w:val="0"/>
      <w:marRight w:val="0"/>
      <w:marTop w:val="0"/>
      <w:marBottom w:val="0"/>
      <w:divBdr>
        <w:top w:val="none" w:sz="0" w:space="0" w:color="auto"/>
        <w:left w:val="none" w:sz="0" w:space="0" w:color="auto"/>
        <w:bottom w:val="none" w:sz="0" w:space="0" w:color="auto"/>
        <w:right w:val="none" w:sz="0" w:space="0" w:color="auto"/>
      </w:divBdr>
    </w:div>
    <w:div w:id="2113281323">
      <w:bodyDiv w:val="1"/>
      <w:marLeft w:val="0"/>
      <w:marRight w:val="0"/>
      <w:marTop w:val="0"/>
      <w:marBottom w:val="0"/>
      <w:divBdr>
        <w:top w:val="none" w:sz="0" w:space="0" w:color="auto"/>
        <w:left w:val="none" w:sz="0" w:space="0" w:color="auto"/>
        <w:bottom w:val="none" w:sz="0" w:space="0" w:color="auto"/>
        <w:right w:val="none" w:sz="0" w:space="0" w:color="auto"/>
      </w:divBdr>
    </w:div>
    <w:div w:id="213381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234A7C6C32EBAB48A965984499C77C79" ma:contentTypeVersion="15" ma:contentTypeDescription="Crear nuevo documento." ma:contentTypeScope="" ma:versionID="4945cd43f99f3ce67f0e1b25a41f0316">
  <xsd:schema xmlns:xsd="http://www.w3.org/2001/XMLSchema" xmlns:xs="http://www.w3.org/2001/XMLSchema" xmlns:p="http://schemas.microsoft.com/office/2006/metadata/properties" xmlns:ns2="0ea6a934-6a77-4073-9f54-0635dda5d780" xmlns:ns3="de01f3f3-8e32-4156-90b4-cbe86af56aa6" targetNamespace="http://schemas.microsoft.com/office/2006/metadata/properties" ma:root="true" ma:fieldsID="b62126b9aa008b7ae65f4c604331a2fd" ns2:_="" ns3:_="">
    <xsd:import namespace="0ea6a934-6a77-4073-9f54-0635dda5d780"/>
    <xsd:import namespace="de01f3f3-8e32-4156-90b4-cbe86af56a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6a934-6a77-4073-9f54-0635dda5d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42cdfcee-ca2d-46b2-8159-5b17d2d80cf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01f3f3-8e32-4156-90b4-cbe86af56aa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0288a511-7746-49c0-ba85-58529b771bc2}" ma:internalName="TaxCatchAll" ma:showField="CatchAllData" ma:web="de01f3f3-8e32-4156-90b4-cbe86af56a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e01f3f3-8e32-4156-90b4-cbe86af56aa6" xsi:nil="true"/>
    <lcf76f155ced4ddcb4097134ff3c332f xmlns="0ea6a934-6a77-4073-9f54-0635dda5d7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0F9104-8EE6-44A9-A7DC-10124D657EB4}">
  <ds:schemaRefs>
    <ds:schemaRef ds:uri="http://schemas.microsoft.com/sharepoint/v3/contenttype/forms"/>
  </ds:schemaRefs>
</ds:datastoreItem>
</file>

<file path=customXml/itemProps2.xml><?xml version="1.0" encoding="utf-8"?>
<ds:datastoreItem xmlns:ds="http://schemas.openxmlformats.org/officeDocument/2006/customXml" ds:itemID="{4F9FED71-57E7-4F6F-B861-0D19130BC01E}">
  <ds:schemaRefs>
    <ds:schemaRef ds:uri="http://schemas.openxmlformats.org/officeDocument/2006/bibliography"/>
  </ds:schemaRefs>
</ds:datastoreItem>
</file>

<file path=customXml/itemProps3.xml><?xml version="1.0" encoding="utf-8"?>
<ds:datastoreItem xmlns:ds="http://schemas.openxmlformats.org/officeDocument/2006/customXml" ds:itemID="{E9E585E3-9921-4E52-B5EB-11C9A5BF2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6a934-6a77-4073-9f54-0635dda5d780"/>
    <ds:schemaRef ds:uri="de01f3f3-8e32-4156-90b4-cbe86af56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D3DA4-CB48-41A3-8073-D6D2DA8E00E9}">
  <ds:schemaRefs>
    <ds:schemaRef ds:uri="http://schemas.microsoft.com/office/2006/metadata/properties"/>
    <ds:schemaRef ds:uri="http://schemas.microsoft.com/office/infopath/2007/PartnerControls"/>
    <ds:schemaRef ds:uri="de01f3f3-8e32-4156-90b4-cbe86af56aa6"/>
    <ds:schemaRef ds:uri="0ea6a934-6a77-4073-9f54-0635dda5d78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1725</Words>
  <Characters>9493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Luis Fernando León Granados</dc:creator>
  <cp:lastModifiedBy>Luz Stella Rojas Macias</cp:lastModifiedBy>
  <cp:revision>3</cp:revision>
  <cp:lastPrinted>2022-07-28T15:39:00Z</cp:lastPrinted>
  <dcterms:created xsi:type="dcterms:W3CDTF">2022-07-28T15:38:00Z</dcterms:created>
  <dcterms:modified xsi:type="dcterms:W3CDTF">2022-07-28T15:40:00Z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0x010100234A7C6C32EBAB48A965984499C77C79</vt:lpwstr>
  </property>
  <property fmtid="{D5CDD505-2E9C-101B-9397-08002B2CF9AE}" pid="3" name="MediaServiceImageTags">
    <vt:lpwstr/>
  </property>
</Properties>
</file>