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7A988" w14:textId="77777777" w:rsidR="00D57D9C" w:rsidRPr="00BF69C9" w:rsidRDefault="00F11A2F" w:rsidP="00D57D9C">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7936D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8240" fillcolor="#0c9">
            <v:imagedata r:id="rId8" o:title=""/>
          </v:shape>
          <o:OLEObject Type="Embed" ProgID="PBrush" ShapeID="_x0000_s1026" DrawAspect="Content" ObjectID="_1647419156" r:id="rId9"/>
        </w:object>
      </w:r>
      <w:r w:rsidR="00D57D9C" w:rsidRPr="00BF69C9">
        <w:rPr>
          <w:rFonts w:ascii="Bookman Old Style" w:hAnsi="Bookman Old Style"/>
          <w:bCs/>
          <w:szCs w:val="24"/>
        </w:rPr>
        <w:t>Ministerio de Minas y Energía</w:t>
      </w:r>
    </w:p>
    <w:p w14:paraId="5D6FB825" w14:textId="77777777" w:rsidR="00D57D9C" w:rsidRPr="00BF69C9" w:rsidRDefault="00D57D9C" w:rsidP="00D57D9C">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21F8594E" w14:textId="3BECC7DF" w:rsidR="00D57D9C" w:rsidRPr="00BF69C9" w:rsidRDefault="00D57D9C" w:rsidP="00D57D9C">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662ACE" w:rsidRPr="00662ACE">
        <w:rPr>
          <w:rFonts w:ascii="Bookman Old Style" w:hAnsi="Bookman Old Style"/>
          <w:sz w:val="32"/>
          <w:szCs w:val="32"/>
        </w:rPr>
        <w:t>026</w:t>
      </w:r>
      <w:r w:rsidR="00003055" w:rsidRPr="00662ACE">
        <w:rPr>
          <w:rFonts w:ascii="Bookman Old Style" w:hAnsi="Bookman Old Style"/>
          <w:sz w:val="32"/>
          <w:szCs w:val="32"/>
        </w:rPr>
        <w:t xml:space="preserve"> </w:t>
      </w:r>
      <w:r w:rsidR="00003055">
        <w:rPr>
          <w:rFonts w:ascii="Bookman Old Style" w:hAnsi="Bookman Old Style"/>
          <w:sz w:val="24"/>
          <w:szCs w:val="24"/>
        </w:rPr>
        <w:t xml:space="preserve">  </w:t>
      </w:r>
      <w:r w:rsidRPr="00BF69C9">
        <w:rPr>
          <w:rFonts w:ascii="Bookman Old Style" w:hAnsi="Bookman Old Style"/>
          <w:sz w:val="24"/>
          <w:szCs w:val="24"/>
        </w:rPr>
        <w:t xml:space="preserve">   DE 20</w:t>
      </w:r>
      <w:r w:rsidR="000656BB">
        <w:rPr>
          <w:rFonts w:ascii="Bookman Old Style" w:hAnsi="Bookman Old Style"/>
          <w:sz w:val="24"/>
          <w:szCs w:val="24"/>
        </w:rPr>
        <w:t>20</w:t>
      </w:r>
    </w:p>
    <w:p w14:paraId="4F86D476" w14:textId="1F3E1CCB" w:rsidR="00D57D9C" w:rsidRPr="00662ACE" w:rsidRDefault="00D57D9C" w:rsidP="00D57D9C">
      <w:pPr>
        <w:pStyle w:val="Ttulo3"/>
        <w:tabs>
          <w:tab w:val="left" w:pos="0"/>
          <w:tab w:val="right" w:pos="9356"/>
        </w:tabs>
        <w:spacing w:before="480" w:after="0"/>
        <w:rPr>
          <w:rFonts w:ascii="Bookman Old Style" w:hAnsi="Bookman Old Style"/>
          <w:bCs/>
          <w:sz w:val="32"/>
          <w:szCs w:val="32"/>
        </w:rPr>
      </w:pPr>
      <w:proofErr w:type="gramStart"/>
      <w:r w:rsidRPr="00662ACE">
        <w:rPr>
          <w:rFonts w:ascii="Bookman Old Style" w:hAnsi="Bookman Old Style"/>
          <w:bCs/>
          <w:sz w:val="32"/>
          <w:szCs w:val="32"/>
        </w:rPr>
        <w:t xml:space="preserve">(  </w:t>
      </w:r>
      <w:r w:rsidR="00662ACE" w:rsidRPr="00662ACE">
        <w:rPr>
          <w:rFonts w:ascii="Bookman Old Style" w:hAnsi="Bookman Old Style"/>
          <w:bCs/>
          <w:sz w:val="32"/>
          <w:szCs w:val="32"/>
        </w:rPr>
        <w:t>12</w:t>
      </w:r>
      <w:proofErr w:type="gramEnd"/>
      <w:r w:rsidR="00662ACE" w:rsidRPr="00662ACE">
        <w:rPr>
          <w:rFonts w:ascii="Bookman Old Style" w:hAnsi="Bookman Old Style"/>
          <w:bCs/>
          <w:sz w:val="32"/>
          <w:szCs w:val="32"/>
        </w:rPr>
        <w:t xml:space="preserve"> MAR. 2020</w:t>
      </w:r>
      <w:r w:rsidRPr="00662ACE">
        <w:rPr>
          <w:rFonts w:ascii="Bookman Old Style" w:hAnsi="Bookman Old Style"/>
          <w:bCs/>
          <w:sz w:val="32"/>
          <w:szCs w:val="32"/>
        </w:rPr>
        <w:t xml:space="preserve">  )</w:t>
      </w:r>
    </w:p>
    <w:p w14:paraId="02918584" w14:textId="77777777" w:rsidR="00D57D9C" w:rsidRDefault="00D57D9C" w:rsidP="0093057D">
      <w:pPr>
        <w:spacing w:before="0" w:after="0"/>
        <w:jc w:val="center"/>
      </w:pPr>
    </w:p>
    <w:p w14:paraId="420EE806" w14:textId="77777777" w:rsidR="00003055" w:rsidRDefault="00003055" w:rsidP="0093057D">
      <w:pPr>
        <w:spacing w:before="0" w:after="0"/>
        <w:jc w:val="center"/>
      </w:pPr>
    </w:p>
    <w:p w14:paraId="78A0F27C" w14:textId="00E0905D" w:rsidR="00D57D9C" w:rsidRPr="00BF69C9" w:rsidRDefault="00D57D9C" w:rsidP="00D57D9C">
      <w:pPr>
        <w:spacing w:before="0" w:after="360"/>
        <w:jc w:val="center"/>
      </w:pPr>
      <w:r w:rsidRPr="00BF69C9">
        <w:t xml:space="preserve">Por la cual </w:t>
      </w:r>
      <w:r>
        <w:t xml:space="preserve">se resuelve el recurso de reposición interpuesto por </w:t>
      </w:r>
      <w:r w:rsidR="00E62B85">
        <w:t xml:space="preserve">la </w:t>
      </w:r>
      <w:r w:rsidR="004A6450">
        <w:t xml:space="preserve">Empresa de Energía de Pereira </w:t>
      </w:r>
      <w:r>
        <w:t>S.A. E.S.P., contra la Resolución CREG 1</w:t>
      </w:r>
      <w:r w:rsidR="00D7295E">
        <w:t>7</w:t>
      </w:r>
      <w:r w:rsidR="00E62B85">
        <w:t>8</w:t>
      </w:r>
      <w:r>
        <w:t xml:space="preserve"> de 2019</w:t>
      </w:r>
    </w:p>
    <w:p w14:paraId="518366AC" w14:textId="77777777" w:rsidR="00D57D9C" w:rsidRPr="00BF69C9" w:rsidRDefault="00D57D9C" w:rsidP="00D57D9C">
      <w:pPr>
        <w:spacing w:before="360" w:after="360"/>
        <w:ind w:right="51"/>
        <w:jc w:val="center"/>
        <w:rPr>
          <w:b/>
        </w:rPr>
      </w:pPr>
      <w:r w:rsidRPr="00BF69C9">
        <w:rPr>
          <w:b/>
        </w:rPr>
        <w:t>LA COMISIÓN DE REGULACIÓN DE ENERGÍA Y GAS</w:t>
      </w:r>
    </w:p>
    <w:p w14:paraId="3906B66B" w14:textId="77777777" w:rsidR="00D57D9C" w:rsidRPr="00BF69C9" w:rsidRDefault="00D57D9C" w:rsidP="00D57D9C">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5190E9DB" w14:textId="77777777" w:rsidR="00D57D9C" w:rsidRPr="00BF69C9" w:rsidRDefault="00D57D9C" w:rsidP="00D57D9C">
      <w:pPr>
        <w:suppressAutoHyphens/>
        <w:spacing w:before="480" w:after="480"/>
        <w:jc w:val="center"/>
        <w:rPr>
          <w:b/>
        </w:rPr>
      </w:pPr>
      <w:r w:rsidRPr="00BF69C9">
        <w:rPr>
          <w:b/>
        </w:rPr>
        <w:t>CONSIDERANDO QUE:</w:t>
      </w:r>
    </w:p>
    <w:p w14:paraId="3F685F3C" w14:textId="0DF5638F" w:rsidR="00D57D9C" w:rsidRDefault="00D57D9C" w:rsidP="00D857A6">
      <w:pPr>
        <w:spacing w:before="240" w:after="240"/>
      </w:pPr>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SIN, la cual fue aclarada y modificada por las resoluciones CREG 085 de 2018</w:t>
      </w:r>
      <w:r w:rsidR="00652F7F">
        <w:t>,</w:t>
      </w:r>
      <w:r>
        <w:t xml:space="preserve"> 036 </w:t>
      </w:r>
      <w:r w:rsidR="00652F7F">
        <w:t xml:space="preserve">y 199 </w:t>
      </w:r>
      <w:r>
        <w:t>de 2019.</w:t>
      </w:r>
    </w:p>
    <w:p w14:paraId="221A511F" w14:textId="77777777" w:rsidR="00D57D9C" w:rsidRDefault="00D57D9C" w:rsidP="00D857A6">
      <w:pPr>
        <w:spacing w:before="240" w:after="240"/>
      </w:pPr>
      <w:r w:rsidRPr="00BF69C9">
        <w:t xml:space="preserve">Mediante la Resolución CREG </w:t>
      </w:r>
      <w:r>
        <w:t>1</w:t>
      </w:r>
      <w:r w:rsidR="00D7295E">
        <w:t>7</w:t>
      </w:r>
      <w:r w:rsidR="00E62B85">
        <w:t>8</w:t>
      </w:r>
      <w:r w:rsidRPr="00BF69C9">
        <w:t xml:space="preserve"> de 201</w:t>
      </w:r>
      <w:r>
        <w:t xml:space="preserve">9 se aprobaron las variables necesarias para calcular los ingresos y cargos asociados con la actividad de distribución de energía eléctrica para el mercado de comercialización atendido por </w:t>
      </w:r>
      <w:r w:rsidR="00D7295E">
        <w:t xml:space="preserve">la Empresa de Energía de Pereira </w:t>
      </w:r>
      <w:r>
        <w:t xml:space="preserve">S.A. E.S.P. </w:t>
      </w:r>
    </w:p>
    <w:p w14:paraId="66A6E14F" w14:textId="74F22F25" w:rsidR="00D57D9C" w:rsidRDefault="00D57D9C" w:rsidP="00D857A6">
      <w:pPr>
        <w:spacing w:before="240" w:after="240"/>
        <w:rPr>
          <w:spacing w:val="-3"/>
        </w:rPr>
      </w:pPr>
      <w:r>
        <w:rPr>
          <w:spacing w:val="-3"/>
        </w:rPr>
        <w:t xml:space="preserve">En el </w:t>
      </w:r>
      <w:r w:rsidR="00E62B85">
        <w:rPr>
          <w:spacing w:val="-3"/>
        </w:rPr>
        <w:t>D</w:t>
      </w:r>
      <w:r>
        <w:rPr>
          <w:spacing w:val="-3"/>
        </w:rPr>
        <w:t xml:space="preserve">ocumento CREG </w:t>
      </w:r>
      <w:r w:rsidR="00D7295E">
        <w:rPr>
          <w:spacing w:val="-3"/>
        </w:rPr>
        <w:t>115</w:t>
      </w:r>
      <w:r>
        <w:rPr>
          <w:spacing w:val="-3"/>
        </w:rPr>
        <w:t xml:space="preserve"> de 2019 se encuentra el soporte de dicha resolución</w:t>
      </w:r>
      <w:r w:rsidR="0038431F">
        <w:rPr>
          <w:spacing w:val="-3"/>
        </w:rPr>
        <w:t>,</w:t>
      </w:r>
      <w:r>
        <w:rPr>
          <w:spacing w:val="-3"/>
        </w:rPr>
        <w:t xml:space="preserve"> donde se incluyen los criterios de revisión de la información, las bases de datos y los cálculos empleados por la Comisión para definir las variables aprobadas en la </w:t>
      </w:r>
      <w:r w:rsidRPr="00BF69C9">
        <w:t xml:space="preserve">Resolución CREG </w:t>
      </w:r>
      <w:r>
        <w:t>1</w:t>
      </w:r>
      <w:r w:rsidR="00D7295E">
        <w:t>7</w:t>
      </w:r>
      <w:r w:rsidR="00E62B85">
        <w:t>8</w:t>
      </w:r>
      <w:r w:rsidRPr="00BF69C9">
        <w:t xml:space="preserve"> de 201</w:t>
      </w:r>
      <w:r>
        <w:t>9.</w:t>
      </w:r>
    </w:p>
    <w:p w14:paraId="2B1E85BE" w14:textId="77777777" w:rsidR="00D57D9C" w:rsidRDefault="00E62B85" w:rsidP="00D857A6">
      <w:pPr>
        <w:spacing w:before="240" w:after="240"/>
      </w:pPr>
      <w:r>
        <w:t xml:space="preserve">La </w:t>
      </w:r>
      <w:r w:rsidR="00D7295E">
        <w:t>Empresa de Energía</w:t>
      </w:r>
      <w:r w:rsidR="004A6450">
        <w:t xml:space="preserve"> de Pereira</w:t>
      </w:r>
      <w:r w:rsidR="00D57D9C">
        <w:t xml:space="preserve"> S.A. E.S.P.,</w:t>
      </w:r>
      <w:r w:rsidR="004A6450">
        <w:t xml:space="preserve"> EEP</w:t>
      </w:r>
      <w:r w:rsidR="00D57D9C">
        <w:t>, mediante comunicac</w:t>
      </w:r>
      <w:r>
        <w:t xml:space="preserve">ión con radicado CREG </w:t>
      </w:r>
      <w:r w:rsidR="004A6450" w:rsidRPr="004A6450">
        <w:t>E-2020-000416 del 21 de enero de 2020</w:t>
      </w:r>
      <w:r w:rsidR="00D57D9C">
        <w:t xml:space="preserve">, presentó recurso de reposición contra la </w:t>
      </w:r>
      <w:r w:rsidR="004A6450">
        <w:t>R</w:t>
      </w:r>
      <w:r w:rsidR="00D57D9C">
        <w:t>esolución CREG 1</w:t>
      </w:r>
      <w:r w:rsidR="004A6450">
        <w:t>7</w:t>
      </w:r>
      <w:r>
        <w:t>8</w:t>
      </w:r>
      <w:r w:rsidR="00234CD0">
        <w:t xml:space="preserve"> de 2019. E</w:t>
      </w:r>
      <w:r w:rsidR="00D57D9C">
        <w:t xml:space="preserve">n esta comunicación se presentan los antecedentes, las razones de inconformidad y las peticiones del recurso de reposición. </w:t>
      </w:r>
    </w:p>
    <w:p w14:paraId="4CFD8F08" w14:textId="77777777" w:rsidR="00D57D9C" w:rsidRDefault="00D57D9C" w:rsidP="00D857A6">
      <w:pPr>
        <w:spacing w:before="240" w:after="240"/>
      </w:pPr>
      <w:r>
        <w:t>A continuación, se transcriben cada una de las peticiones:</w:t>
      </w:r>
    </w:p>
    <w:p w14:paraId="36650AE9" w14:textId="77777777" w:rsidR="0023042B" w:rsidRPr="00003055" w:rsidRDefault="0023042B" w:rsidP="00256FC6">
      <w:pPr>
        <w:pStyle w:val="Cita"/>
        <w:spacing w:before="120"/>
        <w:ind w:right="142"/>
        <w:rPr>
          <w:b/>
          <w:sz w:val="22"/>
        </w:rPr>
      </w:pPr>
      <w:r w:rsidRPr="00003055">
        <w:rPr>
          <w:b/>
          <w:sz w:val="22"/>
        </w:rPr>
        <w:t xml:space="preserve">3. SOLICITUD </w:t>
      </w:r>
    </w:p>
    <w:p w14:paraId="5D6060CA" w14:textId="4D90CBF3" w:rsidR="004A6450" w:rsidRPr="00003055" w:rsidRDefault="004A6450" w:rsidP="00256FC6">
      <w:pPr>
        <w:pStyle w:val="Cita"/>
        <w:spacing w:before="120"/>
        <w:ind w:right="142"/>
        <w:rPr>
          <w:sz w:val="22"/>
        </w:rPr>
      </w:pPr>
      <w:r w:rsidRPr="00003055">
        <w:rPr>
          <w:sz w:val="22"/>
        </w:rPr>
        <w:t xml:space="preserve">… Se modifiquen los artículos 2, 3, 4, 5, 9, </w:t>
      </w:r>
      <w:r w:rsidR="006B0858" w:rsidRPr="00003055">
        <w:rPr>
          <w:sz w:val="22"/>
        </w:rPr>
        <w:t>10</w:t>
      </w:r>
      <w:r w:rsidRPr="00003055">
        <w:rPr>
          <w:sz w:val="22"/>
        </w:rPr>
        <w:t>, 11, 12 y 15 de la Resolución CREG</w:t>
      </w:r>
    </w:p>
    <w:p w14:paraId="556DFE8C" w14:textId="42193FFF" w:rsidR="004A6450" w:rsidRDefault="004A6450" w:rsidP="0093057D">
      <w:pPr>
        <w:pStyle w:val="Cita"/>
        <w:spacing w:before="120" w:after="0"/>
        <w:ind w:right="142"/>
        <w:rPr>
          <w:sz w:val="22"/>
        </w:rPr>
      </w:pPr>
      <w:r w:rsidRPr="00003055">
        <w:rPr>
          <w:sz w:val="22"/>
        </w:rPr>
        <w:lastRenderedPageBreak/>
        <w:t xml:space="preserve">  178 de 2019, "Por la cual se aprueban las variables necesarias para calcular los ingresos y cargos asociados con la actividad de distribución de energía eléctrica para el mercado de comercialización atendido por la Empresa de Energía de Pereira S.A.   E.S.P. " de la siguiente manera…</w:t>
      </w:r>
    </w:p>
    <w:p w14:paraId="5DB8E52A" w14:textId="77777777" w:rsidR="0093057D" w:rsidRPr="0093057D" w:rsidRDefault="0093057D" w:rsidP="0093057D">
      <w:pPr>
        <w:rPr>
          <w:lang w:val="es-CO" w:eastAsia="en-US"/>
        </w:rPr>
      </w:pPr>
    </w:p>
    <w:p w14:paraId="77CB208A" w14:textId="77777777" w:rsidR="00D57D9C" w:rsidRPr="00F96E3B" w:rsidRDefault="00D57D9C" w:rsidP="0093057D">
      <w:pPr>
        <w:spacing w:before="0" w:after="240"/>
        <w:rPr>
          <w:b/>
          <w:lang w:val="es-CO" w:eastAsia="en-US"/>
        </w:rPr>
      </w:pPr>
      <w:r w:rsidRPr="00F96E3B">
        <w:rPr>
          <w:b/>
          <w:lang w:val="es-CO" w:eastAsia="en-US"/>
        </w:rPr>
        <w:t>ANÁLISIS DE LA COMISIÓN</w:t>
      </w:r>
    </w:p>
    <w:p w14:paraId="46AC4C9D" w14:textId="19F90ADE" w:rsidR="00D57D9C" w:rsidRPr="000656BB" w:rsidRDefault="00D57D9C" w:rsidP="00D857A6">
      <w:pPr>
        <w:spacing w:before="240" w:after="240"/>
        <w:rPr>
          <w:b/>
          <w:lang w:val="es-CO" w:eastAsia="en-US"/>
        </w:rPr>
      </w:pPr>
      <w:r w:rsidRPr="00084D2F">
        <w:rPr>
          <w:b/>
          <w:lang w:val="es-CO" w:eastAsia="en-US"/>
        </w:rPr>
        <w:t>Petición</w:t>
      </w:r>
      <w:r w:rsidR="00C74B95">
        <w:rPr>
          <w:b/>
          <w:lang w:val="es-CO" w:eastAsia="en-US"/>
        </w:rPr>
        <w:t xml:space="preserve"> de modificación de la </w:t>
      </w:r>
      <w:r w:rsidR="000656BB" w:rsidRPr="000656BB">
        <w:rPr>
          <w:b/>
          <w:lang w:val="es-CO" w:eastAsia="en-US"/>
        </w:rPr>
        <w:t xml:space="preserve">Base Regulatoria de Activos Eléctricos al inicio del </w:t>
      </w:r>
      <w:r w:rsidR="0038431F" w:rsidRPr="000656BB">
        <w:rPr>
          <w:b/>
          <w:lang w:val="es-CO" w:eastAsia="en-US"/>
        </w:rPr>
        <w:t>per</w:t>
      </w:r>
      <w:r w:rsidR="0038431F">
        <w:rPr>
          <w:b/>
          <w:lang w:val="es-CO" w:eastAsia="en-US"/>
        </w:rPr>
        <w:t>í</w:t>
      </w:r>
      <w:r w:rsidR="0038431F" w:rsidRPr="000656BB">
        <w:rPr>
          <w:b/>
          <w:lang w:val="es-CO" w:eastAsia="en-US"/>
        </w:rPr>
        <w:t xml:space="preserve">odo </w:t>
      </w:r>
      <w:r w:rsidR="000656BB" w:rsidRPr="000656BB">
        <w:rPr>
          <w:b/>
          <w:lang w:val="es-CO" w:eastAsia="en-US"/>
        </w:rPr>
        <w:t>tarifario</w:t>
      </w:r>
      <w:r w:rsidR="000656BB">
        <w:rPr>
          <w:b/>
          <w:lang w:val="es-CO" w:eastAsia="en-US"/>
        </w:rPr>
        <w:t>,</w:t>
      </w:r>
      <w:r w:rsidR="000656BB" w:rsidRPr="000656BB">
        <w:rPr>
          <w:b/>
          <w:lang w:val="es-CO" w:eastAsia="en-US"/>
        </w:rPr>
        <w:t xml:space="preserve"> </w:t>
      </w:r>
      <w:r w:rsidR="00C74B95">
        <w:rPr>
          <w:b/>
          <w:lang w:val="es-CO" w:eastAsia="en-US"/>
        </w:rPr>
        <w:t>BRAE</w:t>
      </w:r>
      <w:r w:rsidR="00C74B95" w:rsidRPr="00C74B95">
        <w:rPr>
          <w:b/>
          <w:vertAlign w:val="subscript"/>
          <w:lang w:val="es-CO" w:eastAsia="en-US"/>
        </w:rPr>
        <w:t>0</w:t>
      </w:r>
      <w:r w:rsidR="000656BB" w:rsidRPr="000656BB">
        <w:rPr>
          <w:b/>
          <w:lang w:val="es-CO" w:eastAsia="en-US"/>
        </w:rPr>
        <w:t>,</w:t>
      </w:r>
      <w:r w:rsidR="000656BB">
        <w:rPr>
          <w:b/>
          <w:lang w:val="es-CO" w:eastAsia="en-US"/>
        </w:rPr>
        <w:t xml:space="preserve"> por el cálculo de la variable CRI</w:t>
      </w:r>
    </w:p>
    <w:p w14:paraId="5B03EDE3" w14:textId="03FB5540" w:rsidR="0043300E" w:rsidRDefault="0043300E" w:rsidP="00D857A6">
      <w:pPr>
        <w:spacing w:before="240" w:after="240"/>
        <w:rPr>
          <w:lang w:val="es-CO" w:eastAsia="en-US"/>
        </w:rPr>
      </w:pPr>
      <w:r>
        <w:rPr>
          <w:lang w:val="es-CO" w:eastAsia="en-US"/>
        </w:rPr>
        <w:t xml:space="preserve">El OR fundamenta su solicitud de modificación de la </w:t>
      </w:r>
      <w:bookmarkStart w:id="1" w:name="_Hlk33271958"/>
      <w:r>
        <w:rPr>
          <w:lang w:val="es-CO" w:eastAsia="en-US"/>
        </w:rPr>
        <w:t xml:space="preserve">Base Regulatoria de Activos Eléctricos al </w:t>
      </w:r>
      <w:r w:rsidR="00234CD0">
        <w:rPr>
          <w:lang w:val="es-CO" w:eastAsia="en-US"/>
        </w:rPr>
        <w:t>i</w:t>
      </w:r>
      <w:r>
        <w:rPr>
          <w:lang w:val="es-CO" w:eastAsia="en-US"/>
        </w:rPr>
        <w:t xml:space="preserve">nicio del </w:t>
      </w:r>
      <w:r w:rsidR="0038431F">
        <w:rPr>
          <w:lang w:val="es-CO" w:eastAsia="en-US"/>
        </w:rPr>
        <w:t xml:space="preserve">período </w:t>
      </w:r>
      <w:r w:rsidR="00234CD0">
        <w:rPr>
          <w:lang w:val="es-CO" w:eastAsia="en-US"/>
        </w:rPr>
        <w:t>t</w:t>
      </w:r>
      <w:r>
        <w:rPr>
          <w:lang w:val="es-CO" w:eastAsia="en-US"/>
        </w:rPr>
        <w:t>arifario</w:t>
      </w:r>
      <w:bookmarkEnd w:id="1"/>
      <w:r>
        <w:rPr>
          <w:lang w:val="es-CO" w:eastAsia="en-US"/>
        </w:rPr>
        <w:t>, en lo siguiente:</w:t>
      </w:r>
    </w:p>
    <w:p w14:paraId="40CA08EA" w14:textId="77777777" w:rsidR="007F3464" w:rsidRPr="00080C74" w:rsidRDefault="008845CC" w:rsidP="00256FC6">
      <w:pPr>
        <w:keepLines/>
        <w:ind w:left="708"/>
        <w:rPr>
          <w:b/>
          <w:i/>
          <w:sz w:val="22"/>
          <w:szCs w:val="22"/>
        </w:rPr>
      </w:pPr>
      <w:r w:rsidRPr="00080C74">
        <w:rPr>
          <w:i/>
          <w:sz w:val="22"/>
          <w:szCs w:val="22"/>
        </w:rPr>
        <w:t>…</w:t>
      </w:r>
      <w:r w:rsidR="0043300E" w:rsidRPr="00080C74">
        <w:rPr>
          <w:b/>
          <w:i/>
          <w:sz w:val="22"/>
          <w:szCs w:val="22"/>
        </w:rPr>
        <w:t>1</w:t>
      </w:r>
      <w:r w:rsidR="007F3464" w:rsidRPr="00080C74">
        <w:rPr>
          <w:b/>
          <w:i/>
          <w:sz w:val="22"/>
          <w:szCs w:val="22"/>
        </w:rPr>
        <w:t>.1.1</w:t>
      </w:r>
      <w:r w:rsidR="0043300E" w:rsidRPr="00080C74">
        <w:rPr>
          <w:b/>
          <w:i/>
          <w:sz w:val="22"/>
          <w:szCs w:val="22"/>
        </w:rPr>
        <w:t xml:space="preserve"> </w:t>
      </w:r>
      <w:r w:rsidR="007F3464" w:rsidRPr="00080C74">
        <w:rPr>
          <w:b/>
          <w:i/>
          <w:sz w:val="22"/>
          <w:szCs w:val="22"/>
        </w:rPr>
        <w:t>CRI</w:t>
      </w:r>
    </w:p>
    <w:p w14:paraId="21C4BE9E" w14:textId="46ECF81A" w:rsidR="007F3464" w:rsidRPr="00080C74" w:rsidRDefault="007F3464" w:rsidP="00D5583E">
      <w:pPr>
        <w:pStyle w:val="Prrafodelista"/>
        <w:keepLines/>
        <w:numPr>
          <w:ilvl w:val="0"/>
          <w:numId w:val="8"/>
        </w:numPr>
        <w:spacing w:before="120" w:after="120"/>
        <w:rPr>
          <w:b/>
          <w:i/>
          <w:sz w:val="22"/>
          <w:szCs w:val="22"/>
        </w:rPr>
      </w:pPr>
      <w:r w:rsidRPr="00080C74">
        <w:rPr>
          <w:bCs/>
          <w:i/>
          <w:sz w:val="22"/>
          <w:szCs w:val="22"/>
        </w:rPr>
        <w:t>Se observa diferencia de -$187.500.000 en el CRIj,3,6 entre la Resolución CREG 178 de 2019 que aprueba los cargos para ENERGÍA DE PEREIRA y la solicitud de cargos efectuada por la Compañía con los ajustes realizados conforme petición de la CREG y enviados el día 19 de noviembre de 2019. Una vez revisada la información, aplicando la metodología indicada Capitulo 14.1 literal q y los valores reconocidos de la tabla 60 del capítulo 15 de la Resolución CREG 015 de 2018, se observa que existe diferencia en el área reconocida de la casa de control de la Subestación de Cuba, siendo mayor área la que se debe aprobar.</w:t>
      </w:r>
    </w:p>
    <w:p w14:paraId="13D1836D" w14:textId="0BF6DA96" w:rsidR="007F3464" w:rsidRPr="00080C74" w:rsidRDefault="007F3464" w:rsidP="00256FC6">
      <w:pPr>
        <w:pStyle w:val="Prrafodelista"/>
        <w:keepLines/>
        <w:numPr>
          <w:ilvl w:val="0"/>
          <w:numId w:val="0"/>
        </w:numPr>
        <w:spacing w:before="120" w:after="120"/>
        <w:ind w:left="1068"/>
        <w:rPr>
          <w:bCs/>
          <w:i/>
          <w:sz w:val="22"/>
          <w:szCs w:val="22"/>
        </w:rPr>
      </w:pPr>
      <w:r w:rsidRPr="00080C74">
        <w:rPr>
          <w:bCs/>
          <w:i/>
          <w:sz w:val="22"/>
          <w:szCs w:val="22"/>
        </w:rPr>
        <w:t xml:space="preserve">Aplicando la siguiente Formula y de acuerdo con el inventario reconocido BRA_0 </w:t>
      </w:r>
      <w:r w:rsidR="005E0CF6">
        <w:rPr>
          <w:bCs/>
          <w:i/>
          <w:sz w:val="22"/>
          <w:szCs w:val="22"/>
        </w:rPr>
        <w:t>O</w:t>
      </w:r>
      <w:r w:rsidR="005E0CF6" w:rsidRPr="00080C74">
        <w:rPr>
          <w:bCs/>
          <w:i/>
          <w:sz w:val="22"/>
          <w:szCs w:val="22"/>
        </w:rPr>
        <w:t>R</w:t>
      </w:r>
      <w:r w:rsidRPr="00080C74">
        <w:rPr>
          <w:bCs/>
          <w:i/>
          <w:sz w:val="22"/>
          <w:szCs w:val="22"/>
        </w:rPr>
        <w:t>—EEP.xlsx enviado por la CREG, se obtiene el área de Casa de Control de la Subestación Cuba, así:</w:t>
      </w:r>
    </w:p>
    <w:p w14:paraId="67AB9FC6" w14:textId="77777777" w:rsidR="00F1266E" w:rsidRPr="00080C74" w:rsidRDefault="00F1266E" w:rsidP="00F1266E">
      <w:pPr>
        <w:pStyle w:val="Prrafodelista"/>
        <w:keepLines/>
        <w:numPr>
          <w:ilvl w:val="0"/>
          <w:numId w:val="0"/>
        </w:numPr>
        <w:spacing w:before="200" w:after="200"/>
        <w:ind w:left="1068"/>
        <w:jc w:val="center"/>
        <w:rPr>
          <w:b/>
          <w:i/>
          <w:sz w:val="22"/>
          <w:szCs w:val="22"/>
        </w:rPr>
      </w:pPr>
      <w:r w:rsidRPr="00080C74">
        <w:rPr>
          <w:noProof/>
          <w:lang w:eastAsia="es-CO"/>
        </w:rPr>
        <w:drawing>
          <wp:inline distT="0" distB="0" distL="0" distR="0" wp14:anchorId="473EFB3C" wp14:editId="5638F70D">
            <wp:extent cx="4054955" cy="1180223"/>
            <wp:effectExtent l="0" t="0" r="317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01920" cy="1193893"/>
                    </a:xfrm>
                    <a:prstGeom prst="rect">
                      <a:avLst/>
                    </a:prstGeom>
                  </pic:spPr>
                </pic:pic>
              </a:graphicData>
            </a:graphic>
          </wp:inline>
        </w:drawing>
      </w:r>
    </w:p>
    <w:p w14:paraId="3E1D4B18" w14:textId="77777777" w:rsidR="007F3464" w:rsidRPr="00080C74" w:rsidRDefault="0028472A" w:rsidP="00256FC6">
      <w:pPr>
        <w:pStyle w:val="Prrafodelista"/>
        <w:keepLines/>
        <w:numPr>
          <w:ilvl w:val="0"/>
          <w:numId w:val="0"/>
        </w:numPr>
        <w:spacing w:before="120" w:after="120"/>
        <w:ind w:left="1068"/>
        <w:rPr>
          <w:bCs/>
          <w:i/>
          <w:sz w:val="22"/>
          <w:szCs w:val="22"/>
        </w:rPr>
      </w:pPr>
      <w:r w:rsidRPr="00080C74">
        <w:rPr>
          <w:bCs/>
          <w:i/>
          <w:sz w:val="22"/>
          <w:szCs w:val="22"/>
        </w:rPr>
        <w:t>En el archivo en mención suministrado por la CREG se observa que el área reconocida es de 142,5 m</w:t>
      </w:r>
      <w:r w:rsidRPr="00080C74">
        <w:rPr>
          <w:bCs/>
          <w:i/>
          <w:sz w:val="22"/>
          <w:szCs w:val="22"/>
          <w:vertAlign w:val="superscript"/>
        </w:rPr>
        <w:t>2</w:t>
      </w:r>
      <w:r w:rsidRPr="00080C74">
        <w:rPr>
          <w:bCs/>
          <w:i/>
          <w:sz w:val="22"/>
          <w:szCs w:val="22"/>
        </w:rPr>
        <w:t xml:space="preserve"> y el calculado es de 236,25 m</w:t>
      </w:r>
      <w:r w:rsidRPr="00080C74">
        <w:rPr>
          <w:bCs/>
          <w:i/>
          <w:sz w:val="22"/>
          <w:szCs w:val="22"/>
          <w:vertAlign w:val="superscript"/>
        </w:rPr>
        <w:t>2</w:t>
      </w:r>
      <w:r w:rsidRPr="00080C74">
        <w:rPr>
          <w:bCs/>
          <w:i/>
          <w:sz w:val="22"/>
          <w:szCs w:val="22"/>
        </w:rPr>
        <w:t>, por tanto, se encuentra una diferencia de 93,75 m2, entonces el valor no reconocido hasta el momento asciende a $187.500.000.</w:t>
      </w:r>
    </w:p>
    <w:p w14:paraId="04D69B3C" w14:textId="77777777" w:rsidR="0028472A" w:rsidRPr="00080C74" w:rsidRDefault="0028472A" w:rsidP="00D5583E">
      <w:pPr>
        <w:pStyle w:val="Prrafodelista"/>
        <w:keepLines/>
        <w:numPr>
          <w:ilvl w:val="0"/>
          <w:numId w:val="8"/>
        </w:numPr>
        <w:spacing w:before="120" w:after="120"/>
        <w:rPr>
          <w:bCs/>
          <w:i/>
          <w:sz w:val="22"/>
          <w:szCs w:val="22"/>
        </w:rPr>
      </w:pPr>
      <w:r w:rsidRPr="00080C74">
        <w:rPr>
          <w:bCs/>
          <w:i/>
          <w:sz w:val="22"/>
          <w:szCs w:val="22"/>
        </w:rPr>
        <w:t>Se advierte diferencia de -$80.843.077 en el CRIj,3,8, debido al no reconocimiento de 176,7 m de la UC N3L32, por tanto, respetuosamente se solicita a la Comisión de Regulación considerar la UC completa de 2,36 km, fundamentado en los siguientes argumentos:</w:t>
      </w:r>
    </w:p>
    <w:p w14:paraId="380DF329" w14:textId="77777777" w:rsidR="0028472A" w:rsidRPr="00080C74" w:rsidRDefault="0028472A" w:rsidP="00D5583E">
      <w:pPr>
        <w:pStyle w:val="Prrafodelista"/>
        <w:keepLines/>
        <w:numPr>
          <w:ilvl w:val="0"/>
          <w:numId w:val="9"/>
        </w:numPr>
        <w:spacing w:before="120" w:after="120"/>
        <w:rPr>
          <w:bCs/>
          <w:i/>
          <w:sz w:val="22"/>
          <w:szCs w:val="22"/>
        </w:rPr>
      </w:pPr>
      <w:r w:rsidRPr="00080C74">
        <w:rPr>
          <w:bCs/>
          <w:i/>
          <w:sz w:val="22"/>
          <w:szCs w:val="22"/>
        </w:rPr>
        <w:t>En Resolución CREG 107 de 2009, por la cual se aprueban los cargos de Distribución para ENERGÍA DE PEREIRA, en archivo “</w:t>
      </w:r>
      <w:proofErr w:type="spellStart"/>
      <w:r w:rsidRPr="00080C74">
        <w:rPr>
          <w:bCs/>
          <w:i/>
          <w:sz w:val="22"/>
          <w:szCs w:val="22"/>
        </w:rPr>
        <w:t>Eep</w:t>
      </w:r>
      <w:proofErr w:type="spellEnd"/>
      <w:r w:rsidRPr="00080C74">
        <w:rPr>
          <w:bCs/>
          <w:i/>
          <w:sz w:val="22"/>
          <w:szCs w:val="22"/>
        </w:rPr>
        <w:t xml:space="preserve"> Inventario Activos.xlsx”, enviado por la CREG, se observa</w:t>
      </w:r>
      <w:r w:rsidR="005E0CF6">
        <w:rPr>
          <w:bCs/>
          <w:i/>
          <w:sz w:val="22"/>
          <w:szCs w:val="22"/>
        </w:rPr>
        <w:t xml:space="preserve"> </w:t>
      </w:r>
      <w:r w:rsidRPr="00080C74">
        <w:rPr>
          <w:bCs/>
          <w:i/>
          <w:sz w:val="22"/>
          <w:szCs w:val="22"/>
        </w:rPr>
        <w:t>la información asociada a la UC N3L32, encontrando el siguiente resultado:</w:t>
      </w:r>
    </w:p>
    <w:p w14:paraId="0A3645BD" w14:textId="77777777" w:rsidR="0028472A" w:rsidRPr="00A173C2" w:rsidRDefault="0014764F" w:rsidP="00256FC6">
      <w:pPr>
        <w:pStyle w:val="Prrafodelista"/>
        <w:keepLines/>
        <w:numPr>
          <w:ilvl w:val="0"/>
          <w:numId w:val="0"/>
        </w:numPr>
        <w:spacing w:before="120" w:after="120"/>
        <w:ind w:left="1068"/>
        <w:rPr>
          <w:bCs/>
          <w:i/>
          <w:sz w:val="20"/>
        </w:rPr>
      </w:pPr>
      <w:r w:rsidRPr="00A173C2">
        <w:rPr>
          <w:noProof/>
          <w:sz w:val="22"/>
          <w:szCs w:val="18"/>
          <w:lang w:eastAsia="es-CO"/>
        </w:rPr>
        <w:lastRenderedPageBreak/>
        <w:drawing>
          <wp:inline distT="0" distB="0" distL="0" distR="0" wp14:anchorId="626A87C9" wp14:editId="2BE81099">
            <wp:extent cx="5052060" cy="2149663"/>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3934" cy="2154715"/>
                    </a:xfrm>
                    <a:prstGeom prst="rect">
                      <a:avLst/>
                    </a:prstGeom>
                  </pic:spPr>
                </pic:pic>
              </a:graphicData>
            </a:graphic>
          </wp:inline>
        </w:drawing>
      </w:r>
    </w:p>
    <w:p w14:paraId="5F1E0EF8" w14:textId="77777777" w:rsidR="008E42CB" w:rsidRPr="00080C74" w:rsidRDefault="0014764F" w:rsidP="00256FC6">
      <w:pPr>
        <w:pStyle w:val="Prrafodelista"/>
        <w:keepLines/>
        <w:numPr>
          <w:ilvl w:val="0"/>
          <w:numId w:val="0"/>
        </w:numPr>
        <w:spacing w:before="120" w:after="120"/>
        <w:ind w:left="1068"/>
        <w:rPr>
          <w:bCs/>
          <w:i/>
          <w:sz w:val="20"/>
        </w:rPr>
      </w:pPr>
      <w:r w:rsidRPr="00080C74">
        <w:rPr>
          <w:bCs/>
          <w:i/>
          <w:sz w:val="20"/>
        </w:rPr>
        <w:t xml:space="preserve">Tabla 5. Longitudes de Canalizaciones UC N3L32 – Tomado de </w:t>
      </w:r>
      <w:proofErr w:type="spellStart"/>
      <w:r w:rsidRPr="00080C74">
        <w:rPr>
          <w:bCs/>
          <w:i/>
          <w:sz w:val="20"/>
        </w:rPr>
        <w:t>Eep</w:t>
      </w:r>
      <w:proofErr w:type="spellEnd"/>
      <w:r w:rsidRPr="00080C74">
        <w:rPr>
          <w:bCs/>
          <w:i/>
          <w:sz w:val="20"/>
        </w:rPr>
        <w:t xml:space="preserve"> Inventario de </w:t>
      </w:r>
      <w:proofErr w:type="spellStart"/>
      <w:proofErr w:type="gramStart"/>
      <w:r w:rsidRPr="00080C74">
        <w:rPr>
          <w:bCs/>
          <w:i/>
          <w:sz w:val="20"/>
        </w:rPr>
        <w:t>activos.xlxs</w:t>
      </w:r>
      <w:proofErr w:type="spellEnd"/>
      <w:proofErr w:type="gramEnd"/>
    </w:p>
    <w:p w14:paraId="1F31197C" w14:textId="77777777" w:rsidR="00654913" w:rsidRPr="00080C74" w:rsidRDefault="00654913" w:rsidP="00256FC6">
      <w:pPr>
        <w:pStyle w:val="Prrafodelista"/>
        <w:keepLines/>
        <w:numPr>
          <w:ilvl w:val="0"/>
          <w:numId w:val="0"/>
        </w:numPr>
        <w:spacing w:before="120" w:after="120"/>
        <w:ind w:left="1068"/>
        <w:rPr>
          <w:bCs/>
          <w:i/>
          <w:sz w:val="22"/>
          <w:szCs w:val="22"/>
        </w:rPr>
      </w:pPr>
      <w:r w:rsidRPr="00080C74">
        <w:rPr>
          <w:bCs/>
          <w:i/>
          <w:sz w:val="22"/>
          <w:szCs w:val="22"/>
        </w:rPr>
        <w:t>De la tabla 5, se colige que la sumatoria relacionada al activo en cuestión da como resultado 2,36 km.</w:t>
      </w:r>
    </w:p>
    <w:p w14:paraId="39AB7846" w14:textId="77777777" w:rsidR="00654913" w:rsidRPr="00080C74" w:rsidRDefault="00654913" w:rsidP="00D5583E">
      <w:pPr>
        <w:pStyle w:val="Prrafodelista"/>
        <w:keepLines/>
        <w:numPr>
          <w:ilvl w:val="0"/>
          <w:numId w:val="9"/>
        </w:numPr>
        <w:spacing w:before="120" w:after="120"/>
        <w:rPr>
          <w:bCs/>
          <w:i/>
          <w:sz w:val="22"/>
          <w:szCs w:val="22"/>
        </w:rPr>
      </w:pPr>
      <w:r w:rsidRPr="00080C74">
        <w:rPr>
          <w:bCs/>
          <w:i/>
          <w:sz w:val="22"/>
          <w:szCs w:val="22"/>
        </w:rPr>
        <w:t>Ahora bien, si a cada tramo de UC N3L32 se asocian los activos que contienen, es decir los conductores que están en su interior, se encuentra:</w:t>
      </w:r>
    </w:p>
    <w:p w14:paraId="0231E130" w14:textId="77777777" w:rsidR="00965975" w:rsidRPr="00A173C2" w:rsidRDefault="00965975" w:rsidP="00965975">
      <w:pPr>
        <w:pStyle w:val="Prrafodelista"/>
        <w:keepLines/>
        <w:numPr>
          <w:ilvl w:val="0"/>
          <w:numId w:val="0"/>
        </w:numPr>
        <w:spacing w:before="120" w:after="120"/>
        <w:ind w:left="1428"/>
        <w:rPr>
          <w:bCs/>
          <w:i/>
          <w:sz w:val="20"/>
        </w:rPr>
      </w:pPr>
      <w:r w:rsidRPr="00A173C2">
        <w:rPr>
          <w:noProof/>
          <w:sz w:val="22"/>
          <w:szCs w:val="18"/>
          <w:lang w:eastAsia="es-CO"/>
        </w:rPr>
        <w:drawing>
          <wp:inline distT="0" distB="0" distL="0" distR="0" wp14:anchorId="00D18A9D" wp14:editId="01BF5206">
            <wp:extent cx="4736947" cy="369903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6931" cy="3714636"/>
                    </a:xfrm>
                    <a:prstGeom prst="rect">
                      <a:avLst/>
                    </a:prstGeom>
                  </pic:spPr>
                </pic:pic>
              </a:graphicData>
            </a:graphic>
          </wp:inline>
        </w:drawing>
      </w:r>
    </w:p>
    <w:p w14:paraId="4E98940D" w14:textId="77777777" w:rsidR="00965975" w:rsidRPr="00080C74" w:rsidRDefault="00965975" w:rsidP="00965975">
      <w:pPr>
        <w:pStyle w:val="Prrafodelista"/>
        <w:keepLines/>
        <w:numPr>
          <w:ilvl w:val="0"/>
          <w:numId w:val="0"/>
        </w:numPr>
        <w:spacing w:before="120" w:after="120"/>
        <w:ind w:left="1068"/>
        <w:rPr>
          <w:bCs/>
          <w:i/>
          <w:sz w:val="20"/>
        </w:rPr>
      </w:pPr>
      <w:r w:rsidRPr="00080C74">
        <w:rPr>
          <w:bCs/>
          <w:i/>
          <w:sz w:val="20"/>
        </w:rPr>
        <w:t xml:space="preserve">Tabla 6. </w:t>
      </w:r>
      <w:r w:rsidR="00507AF2" w:rsidRPr="00080C74">
        <w:rPr>
          <w:bCs/>
          <w:i/>
          <w:sz w:val="20"/>
        </w:rPr>
        <w:t xml:space="preserve">Comparativos líneas de subterráneas vs Longitudes de canalizaciones – Tomado de </w:t>
      </w:r>
      <w:proofErr w:type="spellStart"/>
      <w:r w:rsidRPr="00080C74">
        <w:rPr>
          <w:bCs/>
          <w:i/>
          <w:sz w:val="20"/>
        </w:rPr>
        <w:t>Eep</w:t>
      </w:r>
      <w:proofErr w:type="spellEnd"/>
      <w:r w:rsidRPr="00080C74">
        <w:rPr>
          <w:bCs/>
          <w:i/>
          <w:sz w:val="20"/>
        </w:rPr>
        <w:t xml:space="preserve"> Inventario de </w:t>
      </w:r>
      <w:proofErr w:type="spellStart"/>
      <w:proofErr w:type="gramStart"/>
      <w:r w:rsidRPr="00080C74">
        <w:rPr>
          <w:bCs/>
          <w:i/>
          <w:sz w:val="20"/>
        </w:rPr>
        <w:t>activos.xlxs</w:t>
      </w:r>
      <w:proofErr w:type="spellEnd"/>
      <w:proofErr w:type="gramEnd"/>
    </w:p>
    <w:p w14:paraId="4E74979B" w14:textId="77777777" w:rsidR="0043300E" w:rsidRPr="00080C74" w:rsidRDefault="00654913" w:rsidP="00256FC6">
      <w:pPr>
        <w:pStyle w:val="Prrafodelista"/>
        <w:keepLines/>
        <w:numPr>
          <w:ilvl w:val="0"/>
          <w:numId w:val="0"/>
        </w:numPr>
        <w:spacing w:before="120" w:after="120"/>
        <w:ind w:left="1068"/>
        <w:rPr>
          <w:bCs/>
          <w:i/>
          <w:sz w:val="22"/>
          <w:szCs w:val="22"/>
        </w:rPr>
      </w:pPr>
      <w:r w:rsidRPr="00080C74">
        <w:rPr>
          <w:bCs/>
          <w:i/>
          <w:sz w:val="22"/>
          <w:szCs w:val="22"/>
        </w:rPr>
        <w:t>De la tabla 6 es posible concluir, que una vez comparada la UC N3L32 (km canalización 4x6"), con los activos que contienen cada una de ellas, en todos los casos son iguales o mayores en</w:t>
      </w:r>
      <w:r w:rsidR="00256FC6" w:rsidRPr="00080C74">
        <w:rPr>
          <w:bCs/>
          <w:i/>
          <w:sz w:val="22"/>
          <w:szCs w:val="22"/>
        </w:rPr>
        <w:t xml:space="preserve"> </w:t>
      </w:r>
      <w:r w:rsidRPr="00080C74">
        <w:rPr>
          <w:bCs/>
          <w:i/>
          <w:sz w:val="22"/>
          <w:szCs w:val="22"/>
        </w:rPr>
        <w:t xml:space="preserve">longitud los conductores respecto a la canalización. Por tal razón, se desvirtúa </w:t>
      </w:r>
      <w:r w:rsidR="00256FC6" w:rsidRPr="00080C74">
        <w:rPr>
          <w:bCs/>
          <w:i/>
          <w:sz w:val="22"/>
          <w:szCs w:val="22"/>
        </w:rPr>
        <w:t>l</w:t>
      </w:r>
      <w:r w:rsidRPr="00080C74">
        <w:rPr>
          <w:bCs/>
          <w:i/>
          <w:sz w:val="22"/>
          <w:szCs w:val="22"/>
        </w:rPr>
        <w:t xml:space="preserve">a observación hecha por la Comisión de Regulación para eliminar la canalización, la cual aduce: “En el circuito se reporta más canalización que conductor en operación". De esta manera, </w:t>
      </w:r>
      <w:r w:rsidR="00256FC6" w:rsidRPr="00080C74">
        <w:rPr>
          <w:bCs/>
          <w:i/>
          <w:sz w:val="22"/>
          <w:szCs w:val="22"/>
        </w:rPr>
        <w:t>l</w:t>
      </w:r>
      <w:r w:rsidRPr="00080C74">
        <w:rPr>
          <w:bCs/>
          <w:i/>
          <w:sz w:val="22"/>
          <w:szCs w:val="22"/>
        </w:rPr>
        <w:t>a Comisión de Regulación debería incluir nuevamente las UC N3L32 eliminadas, toda vez que adicionalmente fue</w:t>
      </w:r>
      <w:r w:rsidR="00256FC6" w:rsidRPr="00080C74">
        <w:rPr>
          <w:bCs/>
          <w:i/>
          <w:sz w:val="22"/>
          <w:szCs w:val="22"/>
        </w:rPr>
        <w:t xml:space="preserve"> verificada </w:t>
      </w:r>
      <w:r w:rsidRPr="00080C74">
        <w:rPr>
          <w:bCs/>
          <w:i/>
          <w:sz w:val="22"/>
          <w:szCs w:val="22"/>
        </w:rPr>
        <w:t>su existencia en la auditoría efectuada en la semana del 22 al 24 de octubre de 2018. Con base en lo analizado respetuosamente se solicita al Regulador reconocer las longitudes de</w:t>
      </w:r>
      <w:r w:rsidR="00256FC6" w:rsidRPr="00080C74">
        <w:rPr>
          <w:bCs/>
          <w:i/>
          <w:sz w:val="22"/>
          <w:szCs w:val="22"/>
        </w:rPr>
        <w:t xml:space="preserve"> </w:t>
      </w:r>
      <w:r w:rsidRPr="00080C74">
        <w:rPr>
          <w:bCs/>
          <w:i/>
          <w:sz w:val="22"/>
          <w:szCs w:val="22"/>
        </w:rPr>
        <w:t>canalizaciones completas.</w:t>
      </w:r>
    </w:p>
    <w:p w14:paraId="69E900D4" w14:textId="369BDF9D" w:rsidR="00A173C2" w:rsidRDefault="00A173C2" w:rsidP="000656BB">
      <w:pPr>
        <w:spacing w:before="240" w:after="240"/>
        <w:rPr>
          <w:lang w:val="es-CO" w:eastAsia="en-US"/>
        </w:rPr>
      </w:pPr>
      <w:r>
        <w:rPr>
          <w:lang w:val="es-CO" w:eastAsia="en-US"/>
        </w:rPr>
        <w:lastRenderedPageBreak/>
        <w:t xml:space="preserve">En cuanto al cálculo del área de la casa de control reconocida en la subestación Cuba, </w:t>
      </w:r>
      <w:bookmarkStart w:id="2" w:name="_Hlk33427972"/>
      <w:r>
        <w:rPr>
          <w:lang w:val="es-CO" w:eastAsia="en-US"/>
        </w:rPr>
        <w:t>la Comisión procedió a revisar el cálculo de áreas de las casas de control</w:t>
      </w:r>
      <w:r w:rsidR="000357D1">
        <w:rPr>
          <w:lang w:val="es-CO" w:eastAsia="en-US"/>
        </w:rPr>
        <w:t>,</w:t>
      </w:r>
      <w:r>
        <w:rPr>
          <w:lang w:val="es-CO" w:eastAsia="en-US"/>
        </w:rPr>
        <w:t xml:space="preserve"> encontrando diferencias debido al </w:t>
      </w:r>
      <w:r w:rsidR="00922B59">
        <w:rPr>
          <w:lang w:val="es-CO" w:eastAsia="en-US"/>
        </w:rPr>
        <w:t>número</w:t>
      </w:r>
      <w:r>
        <w:rPr>
          <w:lang w:val="es-CO" w:eastAsia="en-US"/>
        </w:rPr>
        <w:t xml:space="preserve"> de celdas</w:t>
      </w:r>
      <w:r w:rsidR="00922B59">
        <w:rPr>
          <w:lang w:val="es-CO" w:eastAsia="en-US"/>
        </w:rPr>
        <w:t xml:space="preserve"> o área general </w:t>
      </w:r>
      <w:r>
        <w:rPr>
          <w:lang w:val="es-CO" w:eastAsia="en-US"/>
        </w:rPr>
        <w:t>incluida en el cálculo</w:t>
      </w:r>
      <w:r w:rsidR="00922B59">
        <w:rPr>
          <w:lang w:val="es-CO" w:eastAsia="en-US"/>
        </w:rPr>
        <w:t>,</w:t>
      </w:r>
      <w:r>
        <w:rPr>
          <w:lang w:val="es-CO" w:eastAsia="en-US"/>
        </w:rPr>
        <w:t xml:space="preserve"> por lo que </w:t>
      </w:r>
      <w:r w:rsidR="00922B59" w:rsidRPr="00922B59">
        <w:rPr>
          <w:lang w:val="es-CO" w:eastAsia="en-US"/>
        </w:rPr>
        <w:t xml:space="preserve">se </w:t>
      </w:r>
      <w:bookmarkStart w:id="3" w:name="_Hlk33276775"/>
      <w:r w:rsidR="00922B59" w:rsidRPr="00922B59">
        <w:rPr>
          <w:lang w:val="es-CO" w:eastAsia="en-US"/>
        </w:rPr>
        <w:t>considera procedente la solicitud del OR</w:t>
      </w:r>
      <w:bookmarkEnd w:id="2"/>
      <w:bookmarkEnd w:id="3"/>
      <w:r w:rsidR="00922B59">
        <w:rPr>
          <w:lang w:val="es-CO" w:eastAsia="en-US"/>
        </w:rPr>
        <w:t>.</w:t>
      </w:r>
    </w:p>
    <w:p w14:paraId="2AD1B7F5" w14:textId="77777777" w:rsidR="00CE4594" w:rsidRDefault="00DB5337" w:rsidP="000656BB">
      <w:pPr>
        <w:spacing w:before="240" w:after="240"/>
        <w:rPr>
          <w:lang w:val="es-CO" w:eastAsia="en-US"/>
        </w:rPr>
      </w:pPr>
      <w:r>
        <w:rPr>
          <w:lang w:val="es-CO" w:eastAsia="en-US"/>
        </w:rPr>
        <w:t xml:space="preserve">Por otro lado, frente </w:t>
      </w:r>
      <w:r w:rsidR="00922B59">
        <w:rPr>
          <w:lang w:val="es-CO" w:eastAsia="en-US"/>
        </w:rPr>
        <w:t>a</w:t>
      </w:r>
      <w:r w:rsidR="00CE4594">
        <w:rPr>
          <w:lang w:val="es-CO" w:eastAsia="en-US"/>
        </w:rPr>
        <w:t xml:space="preserve"> la solicitud de reconocimiento de las canalizaciones de nivel de tensión 3, esta se realiza a partir del inventario presentado en la presente actuación administrativa, en donde se tienen las siguientes cantidades de UC de canalización y conductor a partir de los grupos de activos CRI, CRINR, CRIFO y CRIN:</w:t>
      </w:r>
    </w:p>
    <w:tbl>
      <w:tblPr>
        <w:tblW w:w="9214" w:type="dxa"/>
        <w:tblCellMar>
          <w:left w:w="70" w:type="dxa"/>
          <w:right w:w="70" w:type="dxa"/>
        </w:tblCellMar>
        <w:tblLook w:val="04A0" w:firstRow="1" w:lastRow="0" w:firstColumn="1" w:lastColumn="0" w:noHBand="0" w:noVBand="1"/>
      </w:tblPr>
      <w:tblGrid>
        <w:gridCol w:w="709"/>
        <w:gridCol w:w="780"/>
        <w:gridCol w:w="779"/>
        <w:gridCol w:w="851"/>
        <w:gridCol w:w="14"/>
        <w:gridCol w:w="769"/>
        <w:gridCol w:w="800"/>
        <w:gridCol w:w="827"/>
        <w:gridCol w:w="678"/>
        <w:gridCol w:w="678"/>
        <w:gridCol w:w="1195"/>
        <w:gridCol w:w="1134"/>
      </w:tblGrid>
      <w:tr w:rsidR="00CE4594" w:rsidRPr="00CE4594" w14:paraId="41562F9C" w14:textId="77777777" w:rsidTr="00CF5CA4">
        <w:trPr>
          <w:trHeight w:val="300"/>
        </w:trPr>
        <w:tc>
          <w:tcPr>
            <w:tcW w:w="709" w:type="dxa"/>
            <w:tcBorders>
              <w:top w:val="nil"/>
              <w:left w:val="nil"/>
              <w:bottom w:val="nil"/>
              <w:right w:val="nil"/>
            </w:tcBorders>
            <w:shd w:val="clear" w:color="auto" w:fill="auto"/>
            <w:noWrap/>
            <w:vAlign w:val="bottom"/>
            <w:hideMark/>
          </w:tcPr>
          <w:p w14:paraId="4A8AFDE8" w14:textId="77777777" w:rsidR="00CE4594" w:rsidRPr="00CE4594" w:rsidRDefault="00CE4594" w:rsidP="00CE4594">
            <w:pPr>
              <w:spacing w:before="0" w:after="0"/>
              <w:jc w:val="left"/>
              <w:rPr>
                <w:sz w:val="16"/>
                <w:szCs w:val="16"/>
                <w:lang w:val="es-CO" w:eastAsia="es-CO"/>
              </w:rPr>
            </w:pPr>
          </w:p>
        </w:tc>
        <w:tc>
          <w:tcPr>
            <w:tcW w:w="780" w:type="dxa"/>
            <w:tcBorders>
              <w:top w:val="nil"/>
              <w:left w:val="nil"/>
              <w:bottom w:val="nil"/>
              <w:right w:val="nil"/>
            </w:tcBorders>
            <w:shd w:val="clear" w:color="auto" w:fill="auto"/>
            <w:noWrap/>
            <w:vAlign w:val="bottom"/>
            <w:hideMark/>
          </w:tcPr>
          <w:p w14:paraId="513B8732" w14:textId="77777777" w:rsidR="00CE4594" w:rsidRPr="00CE4594" w:rsidRDefault="00CE4594" w:rsidP="00CE4594">
            <w:pPr>
              <w:spacing w:before="0" w:after="0"/>
              <w:jc w:val="left"/>
              <w:rPr>
                <w:sz w:val="16"/>
                <w:szCs w:val="16"/>
                <w:lang w:val="es-CO" w:eastAsia="es-CO"/>
              </w:rPr>
            </w:pPr>
          </w:p>
        </w:tc>
        <w:tc>
          <w:tcPr>
            <w:tcW w:w="1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61CD" w14:textId="77777777" w:rsidR="00CE4594" w:rsidRPr="00CF5CA4" w:rsidRDefault="00CE4594" w:rsidP="00CF5CA4">
            <w:pPr>
              <w:spacing w:before="0" w:after="0"/>
              <w:jc w:val="center"/>
              <w:rPr>
                <w:b/>
                <w:bCs/>
                <w:color w:val="000000"/>
                <w:sz w:val="16"/>
                <w:szCs w:val="16"/>
                <w:lang w:val="es-CO" w:eastAsia="es-CO"/>
              </w:rPr>
            </w:pPr>
            <w:r w:rsidRPr="00CF5CA4">
              <w:rPr>
                <w:b/>
                <w:bCs/>
                <w:color w:val="000000"/>
                <w:sz w:val="16"/>
                <w:szCs w:val="16"/>
                <w:lang w:val="es-CO" w:eastAsia="es-CO"/>
              </w:rPr>
              <w:t>Canalización (k</w:t>
            </w:r>
            <w:r w:rsidR="00CF5CA4">
              <w:rPr>
                <w:b/>
                <w:bCs/>
                <w:color w:val="000000"/>
                <w:sz w:val="16"/>
                <w:szCs w:val="16"/>
                <w:lang w:val="es-CO" w:eastAsia="es-CO"/>
              </w:rPr>
              <w:t>m</w:t>
            </w:r>
            <w:r w:rsidRPr="00CF5CA4">
              <w:rPr>
                <w:b/>
                <w:bCs/>
                <w:color w:val="000000"/>
                <w:sz w:val="16"/>
                <w:szCs w:val="16"/>
                <w:lang w:val="es-CO" w:eastAsia="es-CO"/>
              </w:rPr>
              <w:t>)</w:t>
            </w:r>
          </w:p>
          <w:p w14:paraId="69BAF11A" w14:textId="77777777" w:rsidR="00CE4594" w:rsidRPr="00CF5CA4" w:rsidRDefault="00CE4594" w:rsidP="00CF5CA4">
            <w:pPr>
              <w:spacing w:before="0" w:after="0"/>
              <w:jc w:val="center"/>
              <w:rPr>
                <w:b/>
                <w:bCs/>
                <w:color w:val="000000"/>
                <w:sz w:val="16"/>
                <w:szCs w:val="16"/>
                <w:lang w:val="es-CO" w:eastAsia="es-CO"/>
              </w:rPr>
            </w:pPr>
          </w:p>
        </w:tc>
        <w:tc>
          <w:tcPr>
            <w:tcW w:w="375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3C0678F" w14:textId="77777777" w:rsidR="00CE4594" w:rsidRPr="00CF5CA4" w:rsidRDefault="00CE4594" w:rsidP="00CF5CA4">
            <w:pPr>
              <w:spacing w:before="0" w:after="0"/>
              <w:jc w:val="center"/>
              <w:rPr>
                <w:b/>
                <w:bCs/>
                <w:color w:val="000000"/>
                <w:sz w:val="16"/>
                <w:szCs w:val="16"/>
                <w:lang w:val="es-CO" w:eastAsia="es-CO"/>
              </w:rPr>
            </w:pPr>
            <w:r w:rsidRPr="00CF5CA4">
              <w:rPr>
                <w:b/>
                <w:bCs/>
                <w:color w:val="000000"/>
                <w:sz w:val="16"/>
                <w:szCs w:val="16"/>
                <w:lang w:val="es-CO" w:eastAsia="es-CO"/>
              </w:rPr>
              <w:t xml:space="preserve">Conductores </w:t>
            </w:r>
            <w:r w:rsidR="00CF5CA4" w:rsidRPr="00CF5CA4">
              <w:rPr>
                <w:b/>
                <w:bCs/>
                <w:color w:val="000000"/>
                <w:sz w:val="16"/>
                <w:szCs w:val="16"/>
                <w:lang w:val="es-CO" w:eastAsia="es-CO"/>
              </w:rPr>
              <w:t>subterráneos</w:t>
            </w:r>
            <w:r w:rsidRPr="00CF5CA4">
              <w:rPr>
                <w:b/>
                <w:bCs/>
                <w:color w:val="000000"/>
                <w:sz w:val="16"/>
                <w:szCs w:val="16"/>
                <w:lang w:val="es-CO" w:eastAsia="es-CO"/>
              </w:rPr>
              <w:t xml:space="preserve"> (k</w:t>
            </w:r>
            <w:r w:rsidR="00CF5CA4">
              <w:rPr>
                <w:b/>
                <w:bCs/>
                <w:color w:val="000000"/>
                <w:sz w:val="16"/>
                <w:szCs w:val="16"/>
                <w:lang w:val="es-CO" w:eastAsia="es-CO"/>
              </w:rPr>
              <w:t>m</w:t>
            </w:r>
            <w:r w:rsidRPr="00CF5CA4">
              <w:rPr>
                <w:b/>
                <w:bCs/>
                <w:color w:val="000000"/>
                <w:sz w:val="16"/>
                <w:szCs w:val="16"/>
                <w:lang w:val="es-CO" w:eastAsia="es-CO"/>
              </w:rPr>
              <w:t>)</w:t>
            </w:r>
          </w:p>
          <w:p w14:paraId="4751AF1E" w14:textId="77777777" w:rsidR="00CE4594" w:rsidRPr="00CF5CA4" w:rsidRDefault="00CE4594" w:rsidP="00CF5CA4">
            <w:pPr>
              <w:spacing w:before="0" w:after="0"/>
              <w:jc w:val="center"/>
              <w:rPr>
                <w:b/>
                <w:bCs/>
                <w:color w:val="000000"/>
                <w:sz w:val="16"/>
                <w:szCs w:val="16"/>
                <w:lang w:val="es-CO" w:eastAsia="es-CO"/>
              </w:rPr>
            </w:pPr>
          </w:p>
        </w:tc>
        <w:tc>
          <w:tcPr>
            <w:tcW w:w="1195" w:type="dxa"/>
            <w:tcBorders>
              <w:top w:val="nil"/>
              <w:left w:val="nil"/>
              <w:bottom w:val="nil"/>
              <w:right w:val="nil"/>
            </w:tcBorders>
            <w:shd w:val="clear" w:color="auto" w:fill="auto"/>
            <w:noWrap/>
            <w:vAlign w:val="bottom"/>
            <w:hideMark/>
          </w:tcPr>
          <w:p w14:paraId="23B7E765" w14:textId="77777777" w:rsidR="00CE4594" w:rsidRPr="00CE4594" w:rsidRDefault="00CE4594" w:rsidP="00CE4594">
            <w:pPr>
              <w:spacing w:before="0" w:after="0"/>
              <w:jc w:val="left"/>
              <w:rPr>
                <w:color w:val="000000"/>
                <w:sz w:val="16"/>
                <w:szCs w:val="16"/>
                <w:lang w:val="es-CO" w:eastAsia="es-CO"/>
              </w:rPr>
            </w:pPr>
          </w:p>
        </w:tc>
        <w:tc>
          <w:tcPr>
            <w:tcW w:w="1134" w:type="dxa"/>
            <w:tcBorders>
              <w:top w:val="nil"/>
              <w:left w:val="nil"/>
              <w:bottom w:val="nil"/>
              <w:right w:val="nil"/>
            </w:tcBorders>
            <w:shd w:val="clear" w:color="auto" w:fill="auto"/>
            <w:noWrap/>
            <w:vAlign w:val="bottom"/>
            <w:hideMark/>
          </w:tcPr>
          <w:p w14:paraId="6134CAD5" w14:textId="77777777" w:rsidR="00CE4594" w:rsidRPr="00CE4594" w:rsidRDefault="00CE4594" w:rsidP="00CE4594">
            <w:pPr>
              <w:spacing w:before="0" w:after="0"/>
              <w:jc w:val="left"/>
              <w:rPr>
                <w:sz w:val="16"/>
                <w:szCs w:val="16"/>
                <w:lang w:val="es-CO" w:eastAsia="es-CO"/>
              </w:rPr>
            </w:pPr>
          </w:p>
        </w:tc>
      </w:tr>
      <w:tr w:rsidR="00CE4594" w:rsidRPr="00CE4594" w14:paraId="2645786A" w14:textId="77777777" w:rsidTr="00CF5CA4">
        <w:trPr>
          <w:trHeight w:val="6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D5289"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IUL</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7040399"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Nombre</w:t>
            </w:r>
          </w:p>
        </w:tc>
        <w:tc>
          <w:tcPr>
            <w:tcW w:w="779" w:type="dxa"/>
            <w:tcBorders>
              <w:top w:val="nil"/>
              <w:left w:val="nil"/>
              <w:bottom w:val="single" w:sz="4" w:space="0" w:color="auto"/>
              <w:right w:val="single" w:sz="4" w:space="0" w:color="auto"/>
            </w:tcBorders>
            <w:shd w:val="clear" w:color="auto" w:fill="auto"/>
            <w:noWrap/>
            <w:vAlign w:val="center"/>
            <w:hideMark/>
          </w:tcPr>
          <w:p w14:paraId="500AD667"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N3L32</w:t>
            </w:r>
          </w:p>
        </w:tc>
        <w:tc>
          <w:tcPr>
            <w:tcW w:w="851" w:type="dxa"/>
            <w:tcBorders>
              <w:top w:val="nil"/>
              <w:left w:val="nil"/>
              <w:bottom w:val="single" w:sz="4" w:space="0" w:color="auto"/>
              <w:right w:val="single" w:sz="4" w:space="0" w:color="auto"/>
            </w:tcBorders>
            <w:shd w:val="clear" w:color="auto" w:fill="auto"/>
            <w:noWrap/>
            <w:vAlign w:val="center"/>
            <w:hideMark/>
          </w:tcPr>
          <w:p w14:paraId="4AD014BE"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N3L33</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2BB8A95F"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N3L27</w:t>
            </w:r>
          </w:p>
        </w:tc>
        <w:tc>
          <w:tcPr>
            <w:tcW w:w="800" w:type="dxa"/>
            <w:tcBorders>
              <w:top w:val="nil"/>
              <w:left w:val="nil"/>
              <w:bottom w:val="single" w:sz="4" w:space="0" w:color="auto"/>
              <w:right w:val="single" w:sz="4" w:space="0" w:color="auto"/>
            </w:tcBorders>
            <w:shd w:val="clear" w:color="auto" w:fill="auto"/>
            <w:noWrap/>
            <w:vAlign w:val="center"/>
            <w:hideMark/>
          </w:tcPr>
          <w:p w14:paraId="66466E03"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N3L28</w:t>
            </w:r>
          </w:p>
        </w:tc>
        <w:tc>
          <w:tcPr>
            <w:tcW w:w="827" w:type="dxa"/>
            <w:tcBorders>
              <w:top w:val="nil"/>
              <w:left w:val="nil"/>
              <w:bottom w:val="single" w:sz="4" w:space="0" w:color="auto"/>
              <w:right w:val="single" w:sz="4" w:space="0" w:color="auto"/>
            </w:tcBorders>
            <w:shd w:val="clear" w:color="auto" w:fill="auto"/>
            <w:noWrap/>
            <w:vAlign w:val="center"/>
            <w:hideMark/>
          </w:tcPr>
          <w:p w14:paraId="36F75463"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N3L29</w:t>
            </w:r>
          </w:p>
        </w:tc>
        <w:tc>
          <w:tcPr>
            <w:tcW w:w="678" w:type="dxa"/>
            <w:tcBorders>
              <w:top w:val="nil"/>
              <w:left w:val="nil"/>
              <w:bottom w:val="single" w:sz="4" w:space="0" w:color="auto"/>
              <w:right w:val="single" w:sz="4" w:space="0" w:color="auto"/>
            </w:tcBorders>
            <w:shd w:val="clear" w:color="auto" w:fill="auto"/>
            <w:noWrap/>
            <w:vAlign w:val="center"/>
            <w:hideMark/>
          </w:tcPr>
          <w:p w14:paraId="496D3800"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N3L30</w:t>
            </w:r>
          </w:p>
        </w:tc>
        <w:tc>
          <w:tcPr>
            <w:tcW w:w="678" w:type="dxa"/>
            <w:tcBorders>
              <w:top w:val="nil"/>
              <w:left w:val="nil"/>
              <w:bottom w:val="single" w:sz="4" w:space="0" w:color="auto"/>
              <w:right w:val="single" w:sz="4" w:space="0" w:color="auto"/>
            </w:tcBorders>
            <w:shd w:val="clear" w:color="auto" w:fill="auto"/>
            <w:noWrap/>
            <w:vAlign w:val="center"/>
            <w:hideMark/>
          </w:tcPr>
          <w:p w14:paraId="7E0A3043"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N3L31</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7EA797E" w14:textId="77777777" w:rsidR="00CE4594" w:rsidRPr="00CE4594" w:rsidRDefault="00CE4594" w:rsidP="00CE4594">
            <w:pPr>
              <w:spacing w:before="0" w:after="0"/>
              <w:jc w:val="center"/>
              <w:rPr>
                <w:b/>
                <w:bCs/>
                <w:color w:val="000000"/>
                <w:sz w:val="16"/>
                <w:szCs w:val="16"/>
                <w:lang w:val="es-CO" w:eastAsia="es-CO"/>
              </w:rPr>
            </w:pPr>
            <w:proofErr w:type="gramStart"/>
            <w:r w:rsidRPr="00CE4594">
              <w:rPr>
                <w:b/>
                <w:bCs/>
                <w:color w:val="000000"/>
                <w:sz w:val="16"/>
                <w:szCs w:val="16"/>
                <w:lang w:val="es-CO" w:eastAsia="es-CO"/>
              </w:rPr>
              <w:t>Total</w:t>
            </w:r>
            <w:proofErr w:type="gramEnd"/>
            <w:r w:rsidRPr="00CE4594">
              <w:rPr>
                <w:b/>
                <w:bCs/>
                <w:color w:val="000000"/>
                <w:sz w:val="16"/>
                <w:szCs w:val="16"/>
                <w:lang w:val="es-CO" w:eastAsia="es-CO"/>
              </w:rPr>
              <w:t xml:space="preserve"> canalización (k</w:t>
            </w:r>
            <w:r w:rsidR="00CF5CA4">
              <w:rPr>
                <w:b/>
                <w:bCs/>
                <w:color w:val="000000"/>
                <w:sz w:val="16"/>
                <w:szCs w:val="16"/>
                <w:lang w:val="es-CO" w:eastAsia="es-CO"/>
              </w:rPr>
              <w:t>m</w:t>
            </w:r>
            <w:r w:rsidRPr="00CE4594">
              <w:rPr>
                <w:b/>
                <w:bCs/>
                <w:color w:val="000000"/>
                <w:sz w:val="16"/>
                <w:szCs w:val="16"/>
                <w:lang w:val="es-CO" w:eastAsia="es-CO"/>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43BA0E" w14:textId="77777777" w:rsidR="00CE4594" w:rsidRPr="00CE4594" w:rsidRDefault="00CE4594" w:rsidP="00CE4594">
            <w:pPr>
              <w:spacing w:before="0" w:after="0"/>
              <w:jc w:val="center"/>
              <w:rPr>
                <w:b/>
                <w:bCs/>
                <w:color w:val="000000"/>
                <w:sz w:val="16"/>
                <w:szCs w:val="16"/>
                <w:lang w:val="es-CO" w:eastAsia="es-CO"/>
              </w:rPr>
            </w:pPr>
            <w:proofErr w:type="gramStart"/>
            <w:r w:rsidRPr="00CE4594">
              <w:rPr>
                <w:b/>
                <w:bCs/>
                <w:color w:val="000000"/>
                <w:sz w:val="16"/>
                <w:szCs w:val="16"/>
                <w:lang w:val="es-CO" w:eastAsia="es-CO"/>
              </w:rPr>
              <w:t>Total</w:t>
            </w:r>
            <w:proofErr w:type="gramEnd"/>
            <w:r w:rsidRPr="00CE4594">
              <w:rPr>
                <w:b/>
                <w:bCs/>
                <w:color w:val="000000"/>
                <w:sz w:val="16"/>
                <w:szCs w:val="16"/>
                <w:lang w:val="es-CO" w:eastAsia="es-CO"/>
              </w:rPr>
              <w:t xml:space="preserve"> conductor (k</w:t>
            </w:r>
            <w:r w:rsidR="00CF5CA4">
              <w:rPr>
                <w:b/>
                <w:bCs/>
                <w:color w:val="000000"/>
                <w:sz w:val="16"/>
                <w:szCs w:val="16"/>
                <w:lang w:val="es-CO" w:eastAsia="es-CO"/>
              </w:rPr>
              <w:t>m</w:t>
            </w:r>
            <w:r w:rsidRPr="00CE4594">
              <w:rPr>
                <w:b/>
                <w:bCs/>
                <w:color w:val="000000"/>
                <w:sz w:val="16"/>
                <w:szCs w:val="16"/>
                <w:lang w:val="es-CO" w:eastAsia="es-CO"/>
              </w:rPr>
              <w:t>)</w:t>
            </w:r>
          </w:p>
        </w:tc>
      </w:tr>
      <w:tr w:rsidR="00CE4594" w:rsidRPr="00CE4594" w14:paraId="6501DE1E"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293F5E"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0001</w:t>
            </w:r>
          </w:p>
        </w:tc>
        <w:tc>
          <w:tcPr>
            <w:tcW w:w="780" w:type="dxa"/>
            <w:tcBorders>
              <w:top w:val="nil"/>
              <w:left w:val="nil"/>
              <w:bottom w:val="single" w:sz="4" w:space="0" w:color="auto"/>
              <w:right w:val="single" w:sz="4" w:space="0" w:color="auto"/>
            </w:tcBorders>
            <w:shd w:val="clear" w:color="auto" w:fill="auto"/>
            <w:noWrap/>
            <w:vAlign w:val="center"/>
            <w:hideMark/>
          </w:tcPr>
          <w:p w14:paraId="1370D038"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VLR</w:t>
            </w:r>
          </w:p>
        </w:tc>
        <w:tc>
          <w:tcPr>
            <w:tcW w:w="779" w:type="dxa"/>
            <w:tcBorders>
              <w:top w:val="nil"/>
              <w:left w:val="nil"/>
              <w:bottom w:val="single" w:sz="4" w:space="0" w:color="auto"/>
              <w:right w:val="single" w:sz="4" w:space="0" w:color="auto"/>
            </w:tcBorders>
            <w:shd w:val="clear" w:color="auto" w:fill="auto"/>
            <w:noWrap/>
            <w:vAlign w:val="center"/>
            <w:hideMark/>
          </w:tcPr>
          <w:p w14:paraId="69F0AA5D"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0,04</w:t>
            </w:r>
          </w:p>
        </w:tc>
        <w:tc>
          <w:tcPr>
            <w:tcW w:w="851" w:type="dxa"/>
            <w:tcBorders>
              <w:top w:val="nil"/>
              <w:left w:val="nil"/>
              <w:bottom w:val="single" w:sz="4" w:space="0" w:color="auto"/>
              <w:right w:val="single" w:sz="4" w:space="0" w:color="auto"/>
            </w:tcBorders>
            <w:shd w:val="clear" w:color="auto" w:fill="auto"/>
            <w:noWrap/>
            <w:vAlign w:val="center"/>
            <w:hideMark/>
          </w:tcPr>
          <w:p w14:paraId="50C4B090"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24B66B0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0535399A"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0,10</w:t>
            </w:r>
          </w:p>
        </w:tc>
        <w:tc>
          <w:tcPr>
            <w:tcW w:w="827" w:type="dxa"/>
            <w:tcBorders>
              <w:top w:val="nil"/>
              <w:left w:val="nil"/>
              <w:bottom w:val="single" w:sz="4" w:space="0" w:color="auto"/>
              <w:right w:val="single" w:sz="4" w:space="0" w:color="auto"/>
            </w:tcBorders>
            <w:shd w:val="clear" w:color="auto" w:fill="auto"/>
            <w:noWrap/>
            <w:vAlign w:val="center"/>
            <w:hideMark/>
          </w:tcPr>
          <w:p w14:paraId="65EF69B0"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2CB66D3D"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6D899101"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1195" w:type="dxa"/>
            <w:tcBorders>
              <w:top w:val="nil"/>
              <w:left w:val="nil"/>
              <w:bottom w:val="single" w:sz="4" w:space="0" w:color="auto"/>
              <w:right w:val="single" w:sz="4" w:space="0" w:color="auto"/>
            </w:tcBorders>
            <w:shd w:val="clear" w:color="auto" w:fill="auto"/>
            <w:noWrap/>
            <w:vAlign w:val="center"/>
            <w:hideMark/>
          </w:tcPr>
          <w:p w14:paraId="518CB704"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0,04</w:t>
            </w:r>
          </w:p>
        </w:tc>
        <w:tc>
          <w:tcPr>
            <w:tcW w:w="1134" w:type="dxa"/>
            <w:tcBorders>
              <w:top w:val="nil"/>
              <w:left w:val="nil"/>
              <w:bottom w:val="single" w:sz="4" w:space="0" w:color="auto"/>
              <w:right w:val="single" w:sz="4" w:space="0" w:color="auto"/>
            </w:tcBorders>
            <w:shd w:val="clear" w:color="auto" w:fill="auto"/>
            <w:noWrap/>
            <w:vAlign w:val="center"/>
            <w:hideMark/>
          </w:tcPr>
          <w:p w14:paraId="1E5604C6"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0,10</w:t>
            </w:r>
          </w:p>
        </w:tc>
      </w:tr>
      <w:tr w:rsidR="00CE4594" w:rsidRPr="00CE4594" w14:paraId="623864F9"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B31BF6"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0002</w:t>
            </w:r>
          </w:p>
        </w:tc>
        <w:tc>
          <w:tcPr>
            <w:tcW w:w="780" w:type="dxa"/>
            <w:tcBorders>
              <w:top w:val="nil"/>
              <w:left w:val="nil"/>
              <w:bottom w:val="single" w:sz="4" w:space="0" w:color="auto"/>
              <w:right w:val="single" w:sz="4" w:space="0" w:color="auto"/>
            </w:tcBorders>
            <w:shd w:val="clear" w:color="auto" w:fill="auto"/>
            <w:noWrap/>
            <w:vAlign w:val="center"/>
            <w:hideMark/>
          </w:tcPr>
          <w:p w14:paraId="594477E5"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DCU</w:t>
            </w:r>
          </w:p>
        </w:tc>
        <w:tc>
          <w:tcPr>
            <w:tcW w:w="779" w:type="dxa"/>
            <w:tcBorders>
              <w:top w:val="nil"/>
              <w:left w:val="nil"/>
              <w:bottom w:val="single" w:sz="4" w:space="0" w:color="auto"/>
              <w:right w:val="single" w:sz="4" w:space="0" w:color="auto"/>
            </w:tcBorders>
            <w:shd w:val="clear" w:color="auto" w:fill="auto"/>
            <w:noWrap/>
            <w:vAlign w:val="center"/>
            <w:hideMark/>
          </w:tcPr>
          <w:p w14:paraId="32B869A1"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0,05</w:t>
            </w:r>
          </w:p>
        </w:tc>
        <w:tc>
          <w:tcPr>
            <w:tcW w:w="851" w:type="dxa"/>
            <w:tcBorders>
              <w:top w:val="nil"/>
              <w:left w:val="nil"/>
              <w:bottom w:val="single" w:sz="4" w:space="0" w:color="auto"/>
              <w:right w:val="single" w:sz="4" w:space="0" w:color="auto"/>
            </w:tcBorders>
            <w:shd w:val="clear" w:color="auto" w:fill="auto"/>
            <w:noWrap/>
            <w:vAlign w:val="center"/>
            <w:hideMark/>
          </w:tcPr>
          <w:p w14:paraId="67B90C5E"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411C6BE8"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7A64837C"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27" w:type="dxa"/>
            <w:tcBorders>
              <w:top w:val="nil"/>
              <w:left w:val="nil"/>
              <w:bottom w:val="single" w:sz="4" w:space="0" w:color="auto"/>
              <w:right w:val="single" w:sz="4" w:space="0" w:color="auto"/>
            </w:tcBorders>
            <w:shd w:val="clear" w:color="auto" w:fill="auto"/>
            <w:noWrap/>
            <w:vAlign w:val="center"/>
            <w:hideMark/>
          </w:tcPr>
          <w:p w14:paraId="7D1534F0"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0,09</w:t>
            </w:r>
          </w:p>
        </w:tc>
        <w:tc>
          <w:tcPr>
            <w:tcW w:w="678" w:type="dxa"/>
            <w:tcBorders>
              <w:top w:val="nil"/>
              <w:left w:val="nil"/>
              <w:bottom w:val="single" w:sz="4" w:space="0" w:color="auto"/>
              <w:right w:val="single" w:sz="4" w:space="0" w:color="auto"/>
            </w:tcBorders>
            <w:shd w:val="clear" w:color="auto" w:fill="auto"/>
            <w:noWrap/>
            <w:vAlign w:val="center"/>
            <w:hideMark/>
          </w:tcPr>
          <w:p w14:paraId="319CD5FF"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68CA666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1195" w:type="dxa"/>
            <w:tcBorders>
              <w:top w:val="nil"/>
              <w:left w:val="nil"/>
              <w:bottom w:val="single" w:sz="4" w:space="0" w:color="auto"/>
              <w:right w:val="single" w:sz="4" w:space="0" w:color="auto"/>
            </w:tcBorders>
            <w:shd w:val="clear" w:color="auto" w:fill="auto"/>
            <w:noWrap/>
            <w:vAlign w:val="center"/>
            <w:hideMark/>
          </w:tcPr>
          <w:p w14:paraId="37C6BA2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0,05</w:t>
            </w:r>
          </w:p>
        </w:tc>
        <w:tc>
          <w:tcPr>
            <w:tcW w:w="1134" w:type="dxa"/>
            <w:tcBorders>
              <w:top w:val="nil"/>
              <w:left w:val="nil"/>
              <w:bottom w:val="single" w:sz="4" w:space="0" w:color="auto"/>
              <w:right w:val="single" w:sz="4" w:space="0" w:color="auto"/>
            </w:tcBorders>
            <w:shd w:val="clear" w:color="auto" w:fill="auto"/>
            <w:noWrap/>
            <w:vAlign w:val="center"/>
            <w:hideMark/>
          </w:tcPr>
          <w:p w14:paraId="5DDF7FD8"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0,09</w:t>
            </w:r>
          </w:p>
        </w:tc>
      </w:tr>
      <w:tr w:rsidR="00CE4594" w:rsidRPr="00CE4594" w14:paraId="321AB371"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8686B1"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0005</w:t>
            </w:r>
          </w:p>
        </w:tc>
        <w:tc>
          <w:tcPr>
            <w:tcW w:w="780" w:type="dxa"/>
            <w:tcBorders>
              <w:top w:val="nil"/>
              <w:left w:val="nil"/>
              <w:bottom w:val="single" w:sz="4" w:space="0" w:color="auto"/>
              <w:right w:val="single" w:sz="4" w:space="0" w:color="auto"/>
            </w:tcBorders>
            <w:shd w:val="clear" w:color="auto" w:fill="auto"/>
            <w:noWrap/>
            <w:vAlign w:val="center"/>
            <w:hideMark/>
          </w:tcPr>
          <w:p w14:paraId="4BE9ECCC"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CER</w:t>
            </w:r>
          </w:p>
        </w:tc>
        <w:tc>
          <w:tcPr>
            <w:tcW w:w="779" w:type="dxa"/>
            <w:tcBorders>
              <w:top w:val="nil"/>
              <w:left w:val="nil"/>
              <w:bottom w:val="single" w:sz="4" w:space="0" w:color="auto"/>
              <w:right w:val="single" w:sz="4" w:space="0" w:color="auto"/>
            </w:tcBorders>
            <w:shd w:val="clear" w:color="auto" w:fill="auto"/>
            <w:noWrap/>
            <w:vAlign w:val="center"/>
            <w:hideMark/>
          </w:tcPr>
          <w:p w14:paraId="682E264C"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0,14</w:t>
            </w:r>
          </w:p>
        </w:tc>
        <w:tc>
          <w:tcPr>
            <w:tcW w:w="851" w:type="dxa"/>
            <w:tcBorders>
              <w:top w:val="nil"/>
              <w:left w:val="nil"/>
              <w:bottom w:val="single" w:sz="4" w:space="0" w:color="auto"/>
              <w:right w:val="single" w:sz="4" w:space="0" w:color="auto"/>
            </w:tcBorders>
            <w:shd w:val="clear" w:color="auto" w:fill="auto"/>
            <w:noWrap/>
            <w:vAlign w:val="center"/>
            <w:hideMark/>
          </w:tcPr>
          <w:p w14:paraId="4D8029C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48D0381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7703F6E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0,30</w:t>
            </w:r>
          </w:p>
        </w:tc>
        <w:tc>
          <w:tcPr>
            <w:tcW w:w="827" w:type="dxa"/>
            <w:tcBorders>
              <w:top w:val="nil"/>
              <w:left w:val="nil"/>
              <w:bottom w:val="single" w:sz="4" w:space="0" w:color="auto"/>
              <w:right w:val="single" w:sz="4" w:space="0" w:color="auto"/>
            </w:tcBorders>
            <w:shd w:val="clear" w:color="auto" w:fill="auto"/>
            <w:noWrap/>
            <w:vAlign w:val="center"/>
            <w:hideMark/>
          </w:tcPr>
          <w:p w14:paraId="6E232EF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56CDA51A"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2A43BB86"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1195" w:type="dxa"/>
            <w:tcBorders>
              <w:top w:val="nil"/>
              <w:left w:val="nil"/>
              <w:bottom w:val="single" w:sz="4" w:space="0" w:color="auto"/>
              <w:right w:val="single" w:sz="4" w:space="0" w:color="auto"/>
            </w:tcBorders>
            <w:shd w:val="clear" w:color="auto" w:fill="auto"/>
            <w:noWrap/>
            <w:vAlign w:val="center"/>
            <w:hideMark/>
          </w:tcPr>
          <w:p w14:paraId="037DDECC"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0,14</w:t>
            </w:r>
          </w:p>
        </w:tc>
        <w:tc>
          <w:tcPr>
            <w:tcW w:w="1134" w:type="dxa"/>
            <w:tcBorders>
              <w:top w:val="nil"/>
              <w:left w:val="nil"/>
              <w:bottom w:val="single" w:sz="4" w:space="0" w:color="auto"/>
              <w:right w:val="single" w:sz="4" w:space="0" w:color="auto"/>
            </w:tcBorders>
            <w:shd w:val="clear" w:color="auto" w:fill="auto"/>
            <w:noWrap/>
            <w:vAlign w:val="center"/>
            <w:hideMark/>
          </w:tcPr>
          <w:p w14:paraId="0ED8E6C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0,30</w:t>
            </w:r>
          </w:p>
        </w:tc>
      </w:tr>
      <w:tr w:rsidR="00CE4594" w:rsidRPr="00CE4594" w14:paraId="2411688C"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62CAA5"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0006</w:t>
            </w:r>
          </w:p>
        </w:tc>
        <w:tc>
          <w:tcPr>
            <w:tcW w:w="780" w:type="dxa"/>
            <w:tcBorders>
              <w:top w:val="nil"/>
              <w:left w:val="nil"/>
              <w:bottom w:val="single" w:sz="4" w:space="0" w:color="auto"/>
              <w:right w:val="single" w:sz="4" w:space="0" w:color="auto"/>
            </w:tcBorders>
            <w:shd w:val="clear" w:color="auto" w:fill="auto"/>
            <w:noWrap/>
            <w:vAlign w:val="center"/>
            <w:hideMark/>
          </w:tcPr>
          <w:p w14:paraId="7A04F88D"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DCE</w:t>
            </w:r>
          </w:p>
        </w:tc>
        <w:tc>
          <w:tcPr>
            <w:tcW w:w="779" w:type="dxa"/>
            <w:tcBorders>
              <w:top w:val="nil"/>
              <w:left w:val="nil"/>
              <w:bottom w:val="single" w:sz="4" w:space="0" w:color="auto"/>
              <w:right w:val="single" w:sz="4" w:space="0" w:color="auto"/>
            </w:tcBorders>
            <w:shd w:val="clear" w:color="auto" w:fill="auto"/>
            <w:noWrap/>
            <w:vAlign w:val="center"/>
            <w:hideMark/>
          </w:tcPr>
          <w:p w14:paraId="2BC0268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0,07</w:t>
            </w:r>
          </w:p>
        </w:tc>
        <w:tc>
          <w:tcPr>
            <w:tcW w:w="851" w:type="dxa"/>
            <w:tcBorders>
              <w:top w:val="nil"/>
              <w:left w:val="nil"/>
              <w:bottom w:val="single" w:sz="4" w:space="0" w:color="auto"/>
              <w:right w:val="single" w:sz="4" w:space="0" w:color="auto"/>
            </w:tcBorders>
            <w:shd w:val="clear" w:color="auto" w:fill="auto"/>
            <w:noWrap/>
            <w:vAlign w:val="center"/>
            <w:hideMark/>
          </w:tcPr>
          <w:p w14:paraId="05937CF0"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062CBFE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7DC9F985"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0,07</w:t>
            </w:r>
          </w:p>
        </w:tc>
        <w:tc>
          <w:tcPr>
            <w:tcW w:w="827" w:type="dxa"/>
            <w:tcBorders>
              <w:top w:val="nil"/>
              <w:left w:val="nil"/>
              <w:bottom w:val="single" w:sz="4" w:space="0" w:color="auto"/>
              <w:right w:val="single" w:sz="4" w:space="0" w:color="auto"/>
            </w:tcBorders>
            <w:shd w:val="clear" w:color="auto" w:fill="auto"/>
            <w:noWrap/>
            <w:vAlign w:val="center"/>
            <w:hideMark/>
          </w:tcPr>
          <w:p w14:paraId="48765AE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7F8A25D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0,12</w:t>
            </w:r>
          </w:p>
        </w:tc>
        <w:tc>
          <w:tcPr>
            <w:tcW w:w="678" w:type="dxa"/>
            <w:tcBorders>
              <w:top w:val="nil"/>
              <w:left w:val="nil"/>
              <w:bottom w:val="single" w:sz="4" w:space="0" w:color="auto"/>
              <w:right w:val="single" w:sz="4" w:space="0" w:color="auto"/>
            </w:tcBorders>
            <w:shd w:val="clear" w:color="auto" w:fill="auto"/>
            <w:noWrap/>
            <w:vAlign w:val="center"/>
            <w:hideMark/>
          </w:tcPr>
          <w:p w14:paraId="71DB4FDF"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1195" w:type="dxa"/>
            <w:tcBorders>
              <w:top w:val="nil"/>
              <w:left w:val="nil"/>
              <w:bottom w:val="single" w:sz="4" w:space="0" w:color="auto"/>
              <w:right w:val="single" w:sz="4" w:space="0" w:color="auto"/>
            </w:tcBorders>
            <w:shd w:val="clear" w:color="auto" w:fill="auto"/>
            <w:noWrap/>
            <w:vAlign w:val="center"/>
            <w:hideMark/>
          </w:tcPr>
          <w:p w14:paraId="05940E09"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1BEB11AA"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0,20</w:t>
            </w:r>
          </w:p>
        </w:tc>
      </w:tr>
      <w:tr w:rsidR="00CE4594" w:rsidRPr="00CE4594" w14:paraId="489893D4"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E488C4"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0007</w:t>
            </w:r>
          </w:p>
        </w:tc>
        <w:tc>
          <w:tcPr>
            <w:tcW w:w="780" w:type="dxa"/>
            <w:tcBorders>
              <w:top w:val="nil"/>
              <w:left w:val="nil"/>
              <w:bottom w:val="single" w:sz="4" w:space="0" w:color="auto"/>
              <w:right w:val="single" w:sz="4" w:space="0" w:color="auto"/>
            </w:tcBorders>
            <w:shd w:val="clear" w:color="auto" w:fill="auto"/>
            <w:noWrap/>
            <w:vAlign w:val="center"/>
            <w:hideMark/>
          </w:tcPr>
          <w:p w14:paraId="3C5FB31A"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NAV</w:t>
            </w:r>
          </w:p>
        </w:tc>
        <w:tc>
          <w:tcPr>
            <w:tcW w:w="779" w:type="dxa"/>
            <w:tcBorders>
              <w:top w:val="nil"/>
              <w:left w:val="nil"/>
              <w:bottom w:val="single" w:sz="4" w:space="0" w:color="auto"/>
              <w:right w:val="single" w:sz="4" w:space="0" w:color="auto"/>
            </w:tcBorders>
            <w:shd w:val="clear" w:color="auto" w:fill="auto"/>
            <w:noWrap/>
            <w:vAlign w:val="center"/>
            <w:hideMark/>
          </w:tcPr>
          <w:p w14:paraId="3E66B580"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0,15</w:t>
            </w:r>
          </w:p>
        </w:tc>
        <w:tc>
          <w:tcPr>
            <w:tcW w:w="851" w:type="dxa"/>
            <w:tcBorders>
              <w:top w:val="nil"/>
              <w:left w:val="nil"/>
              <w:bottom w:val="single" w:sz="4" w:space="0" w:color="auto"/>
              <w:right w:val="single" w:sz="4" w:space="0" w:color="auto"/>
            </w:tcBorders>
            <w:shd w:val="clear" w:color="auto" w:fill="auto"/>
            <w:noWrap/>
            <w:vAlign w:val="center"/>
            <w:hideMark/>
          </w:tcPr>
          <w:p w14:paraId="054DCD2A"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14C479AF"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507CF59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0,18</w:t>
            </w:r>
          </w:p>
        </w:tc>
        <w:tc>
          <w:tcPr>
            <w:tcW w:w="827" w:type="dxa"/>
            <w:tcBorders>
              <w:top w:val="nil"/>
              <w:left w:val="nil"/>
              <w:bottom w:val="single" w:sz="4" w:space="0" w:color="auto"/>
              <w:right w:val="single" w:sz="4" w:space="0" w:color="auto"/>
            </w:tcBorders>
            <w:shd w:val="clear" w:color="auto" w:fill="auto"/>
            <w:noWrap/>
            <w:vAlign w:val="center"/>
            <w:hideMark/>
          </w:tcPr>
          <w:p w14:paraId="64E71CA3"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0,02</w:t>
            </w:r>
          </w:p>
        </w:tc>
        <w:tc>
          <w:tcPr>
            <w:tcW w:w="678" w:type="dxa"/>
            <w:tcBorders>
              <w:top w:val="nil"/>
              <w:left w:val="nil"/>
              <w:bottom w:val="single" w:sz="4" w:space="0" w:color="auto"/>
              <w:right w:val="single" w:sz="4" w:space="0" w:color="auto"/>
            </w:tcBorders>
            <w:shd w:val="clear" w:color="auto" w:fill="auto"/>
            <w:noWrap/>
            <w:vAlign w:val="center"/>
            <w:hideMark/>
          </w:tcPr>
          <w:p w14:paraId="1142978C"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42BC92C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1195" w:type="dxa"/>
            <w:tcBorders>
              <w:top w:val="nil"/>
              <w:left w:val="nil"/>
              <w:bottom w:val="single" w:sz="4" w:space="0" w:color="auto"/>
              <w:right w:val="single" w:sz="4" w:space="0" w:color="auto"/>
            </w:tcBorders>
            <w:shd w:val="clear" w:color="auto" w:fill="auto"/>
            <w:noWrap/>
            <w:vAlign w:val="center"/>
            <w:hideMark/>
          </w:tcPr>
          <w:p w14:paraId="5757A99E"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5912FD9F"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0,21</w:t>
            </w:r>
          </w:p>
        </w:tc>
      </w:tr>
      <w:tr w:rsidR="00CE4594" w:rsidRPr="00CE4594" w14:paraId="35396F97"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6C0868"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0008</w:t>
            </w:r>
          </w:p>
        </w:tc>
        <w:tc>
          <w:tcPr>
            <w:tcW w:w="780" w:type="dxa"/>
            <w:tcBorders>
              <w:top w:val="nil"/>
              <w:left w:val="nil"/>
              <w:bottom w:val="single" w:sz="4" w:space="0" w:color="auto"/>
              <w:right w:val="single" w:sz="4" w:space="0" w:color="auto"/>
            </w:tcBorders>
            <w:shd w:val="clear" w:color="auto" w:fill="auto"/>
            <w:noWrap/>
            <w:vAlign w:val="center"/>
            <w:hideMark/>
          </w:tcPr>
          <w:p w14:paraId="6B8B2FD5"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NAC</w:t>
            </w:r>
          </w:p>
        </w:tc>
        <w:tc>
          <w:tcPr>
            <w:tcW w:w="779" w:type="dxa"/>
            <w:tcBorders>
              <w:top w:val="nil"/>
              <w:left w:val="nil"/>
              <w:bottom w:val="single" w:sz="4" w:space="0" w:color="auto"/>
              <w:right w:val="single" w:sz="4" w:space="0" w:color="auto"/>
            </w:tcBorders>
            <w:shd w:val="clear" w:color="auto" w:fill="auto"/>
            <w:noWrap/>
            <w:vAlign w:val="center"/>
            <w:hideMark/>
          </w:tcPr>
          <w:p w14:paraId="55B6E51B"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0,04</w:t>
            </w:r>
          </w:p>
        </w:tc>
        <w:tc>
          <w:tcPr>
            <w:tcW w:w="851" w:type="dxa"/>
            <w:tcBorders>
              <w:top w:val="nil"/>
              <w:left w:val="nil"/>
              <w:bottom w:val="single" w:sz="4" w:space="0" w:color="auto"/>
              <w:right w:val="single" w:sz="4" w:space="0" w:color="auto"/>
            </w:tcBorders>
            <w:shd w:val="clear" w:color="auto" w:fill="auto"/>
            <w:noWrap/>
            <w:vAlign w:val="center"/>
            <w:hideMark/>
          </w:tcPr>
          <w:p w14:paraId="648017D8"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211FADE9"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575F8176"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827" w:type="dxa"/>
            <w:tcBorders>
              <w:top w:val="nil"/>
              <w:left w:val="nil"/>
              <w:bottom w:val="single" w:sz="4" w:space="0" w:color="auto"/>
              <w:right w:val="single" w:sz="4" w:space="0" w:color="auto"/>
            </w:tcBorders>
            <w:shd w:val="clear" w:color="auto" w:fill="auto"/>
            <w:noWrap/>
            <w:vAlign w:val="center"/>
            <w:hideMark/>
          </w:tcPr>
          <w:p w14:paraId="05F66017"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57D10C20"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09CB0331"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1195" w:type="dxa"/>
            <w:tcBorders>
              <w:top w:val="nil"/>
              <w:left w:val="nil"/>
              <w:bottom w:val="single" w:sz="4" w:space="0" w:color="auto"/>
              <w:right w:val="single" w:sz="4" w:space="0" w:color="auto"/>
            </w:tcBorders>
            <w:shd w:val="clear" w:color="auto" w:fill="auto"/>
            <w:noWrap/>
            <w:vAlign w:val="center"/>
            <w:hideMark/>
          </w:tcPr>
          <w:p w14:paraId="4C4620ED"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0,04</w:t>
            </w:r>
          </w:p>
        </w:tc>
        <w:tc>
          <w:tcPr>
            <w:tcW w:w="1134" w:type="dxa"/>
            <w:tcBorders>
              <w:top w:val="nil"/>
              <w:left w:val="nil"/>
              <w:bottom w:val="single" w:sz="4" w:space="0" w:color="auto"/>
              <w:right w:val="single" w:sz="4" w:space="0" w:color="auto"/>
            </w:tcBorders>
            <w:shd w:val="clear" w:color="auto" w:fill="auto"/>
            <w:noWrap/>
            <w:vAlign w:val="center"/>
            <w:hideMark/>
          </w:tcPr>
          <w:p w14:paraId="396A11CB"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r>
      <w:tr w:rsidR="00CE4594" w:rsidRPr="00CE4594" w14:paraId="6A3D1D90"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7ABB56"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0010</w:t>
            </w:r>
          </w:p>
        </w:tc>
        <w:tc>
          <w:tcPr>
            <w:tcW w:w="780" w:type="dxa"/>
            <w:tcBorders>
              <w:top w:val="nil"/>
              <w:left w:val="nil"/>
              <w:bottom w:val="single" w:sz="4" w:space="0" w:color="auto"/>
              <w:right w:val="single" w:sz="4" w:space="0" w:color="auto"/>
            </w:tcBorders>
            <w:shd w:val="clear" w:color="auto" w:fill="auto"/>
            <w:noWrap/>
            <w:vAlign w:val="center"/>
            <w:hideMark/>
          </w:tcPr>
          <w:p w14:paraId="3A71B705"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PAN</w:t>
            </w:r>
          </w:p>
        </w:tc>
        <w:tc>
          <w:tcPr>
            <w:tcW w:w="779" w:type="dxa"/>
            <w:tcBorders>
              <w:top w:val="nil"/>
              <w:left w:val="nil"/>
              <w:bottom w:val="single" w:sz="4" w:space="0" w:color="auto"/>
              <w:right w:val="single" w:sz="4" w:space="0" w:color="auto"/>
            </w:tcBorders>
            <w:shd w:val="clear" w:color="auto" w:fill="auto"/>
            <w:noWrap/>
            <w:vAlign w:val="center"/>
            <w:hideMark/>
          </w:tcPr>
          <w:p w14:paraId="3787207F"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0,45</w:t>
            </w:r>
          </w:p>
        </w:tc>
        <w:tc>
          <w:tcPr>
            <w:tcW w:w="851" w:type="dxa"/>
            <w:tcBorders>
              <w:top w:val="nil"/>
              <w:left w:val="nil"/>
              <w:bottom w:val="single" w:sz="4" w:space="0" w:color="auto"/>
              <w:right w:val="single" w:sz="4" w:space="0" w:color="auto"/>
            </w:tcBorders>
            <w:shd w:val="clear" w:color="auto" w:fill="auto"/>
            <w:noWrap/>
            <w:vAlign w:val="center"/>
            <w:hideMark/>
          </w:tcPr>
          <w:p w14:paraId="55F66E45"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69F12781"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638562E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27" w:type="dxa"/>
            <w:tcBorders>
              <w:top w:val="nil"/>
              <w:left w:val="nil"/>
              <w:bottom w:val="single" w:sz="4" w:space="0" w:color="auto"/>
              <w:right w:val="single" w:sz="4" w:space="0" w:color="auto"/>
            </w:tcBorders>
            <w:shd w:val="clear" w:color="auto" w:fill="auto"/>
            <w:noWrap/>
            <w:vAlign w:val="center"/>
            <w:hideMark/>
          </w:tcPr>
          <w:p w14:paraId="0F30B029"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0,09</w:t>
            </w:r>
          </w:p>
        </w:tc>
        <w:tc>
          <w:tcPr>
            <w:tcW w:w="678" w:type="dxa"/>
            <w:tcBorders>
              <w:top w:val="nil"/>
              <w:left w:val="nil"/>
              <w:bottom w:val="single" w:sz="4" w:space="0" w:color="auto"/>
              <w:right w:val="single" w:sz="4" w:space="0" w:color="auto"/>
            </w:tcBorders>
            <w:shd w:val="clear" w:color="auto" w:fill="auto"/>
            <w:noWrap/>
            <w:vAlign w:val="center"/>
            <w:hideMark/>
          </w:tcPr>
          <w:p w14:paraId="59E2BFC1"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0,38</w:t>
            </w:r>
          </w:p>
        </w:tc>
        <w:tc>
          <w:tcPr>
            <w:tcW w:w="678" w:type="dxa"/>
            <w:tcBorders>
              <w:top w:val="nil"/>
              <w:left w:val="nil"/>
              <w:bottom w:val="single" w:sz="4" w:space="0" w:color="auto"/>
              <w:right w:val="single" w:sz="4" w:space="0" w:color="auto"/>
            </w:tcBorders>
            <w:shd w:val="clear" w:color="auto" w:fill="auto"/>
            <w:noWrap/>
            <w:vAlign w:val="center"/>
            <w:hideMark/>
          </w:tcPr>
          <w:p w14:paraId="6AE3250E"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1195" w:type="dxa"/>
            <w:tcBorders>
              <w:top w:val="nil"/>
              <w:left w:val="nil"/>
              <w:bottom w:val="single" w:sz="4" w:space="0" w:color="auto"/>
              <w:right w:val="single" w:sz="4" w:space="0" w:color="auto"/>
            </w:tcBorders>
            <w:shd w:val="clear" w:color="auto" w:fill="auto"/>
            <w:noWrap/>
            <w:vAlign w:val="center"/>
            <w:hideMark/>
          </w:tcPr>
          <w:p w14:paraId="2711710A"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0,45</w:t>
            </w:r>
          </w:p>
        </w:tc>
        <w:tc>
          <w:tcPr>
            <w:tcW w:w="1134" w:type="dxa"/>
            <w:tcBorders>
              <w:top w:val="nil"/>
              <w:left w:val="nil"/>
              <w:bottom w:val="single" w:sz="4" w:space="0" w:color="auto"/>
              <w:right w:val="single" w:sz="4" w:space="0" w:color="auto"/>
            </w:tcBorders>
            <w:shd w:val="clear" w:color="auto" w:fill="auto"/>
            <w:noWrap/>
            <w:vAlign w:val="center"/>
            <w:hideMark/>
          </w:tcPr>
          <w:p w14:paraId="632A5649"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0,46</w:t>
            </w:r>
          </w:p>
        </w:tc>
      </w:tr>
      <w:tr w:rsidR="00CE4594" w:rsidRPr="00CE4594" w14:paraId="0221FC01"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A3FE7F"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0018</w:t>
            </w:r>
          </w:p>
        </w:tc>
        <w:tc>
          <w:tcPr>
            <w:tcW w:w="780" w:type="dxa"/>
            <w:tcBorders>
              <w:top w:val="nil"/>
              <w:left w:val="nil"/>
              <w:bottom w:val="single" w:sz="4" w:space="0" w:color="auto"/>
              <w:right w:val="single" w:sz="4" w:space="0" w:color="auto"/>
            </w:tcBorders>
            <w:shd w:val="clear" w:color="auto" w:fill="auto"/>
            <w:noWrap/>
            <w:vAlign w:val="center"/>
            <w:hideMark/>
          </w:tcPr>
          <w:p w14:paraId="3F67182B" w14:textId="77777777" w:rsidR="00CE4594" w:rsidRPr="00CE4594" w:rsidRDefault="00CE4594" w:rsidP="00CE4594">
            <w:pPr>
              <w:spacing w:before="0" w:after="0"/>
              <w:jc w:val="center"/>
              <w:rPr>
                <w:b/>
                <w:bCs/>
                <w:color w:val="000000"/>
                <w:sz w:val="16"/>
                <w:szCs w:val="16"/>
                <w:lang w:val="es-CO" w:eastAsia="es-CO"/>
              </w:rPr>
            </w:pPr>
            <w:r w:rsidRPr="00CE4594">
              <w:rPr>
                <w:b/>
                <w:bCs/>
                <w:color w:val="000000"/>
                <w:sz w:val="16"/>
                <w:szCs w:val="16"/>
                <w:lang w:val="es-CO" w:eastAsia="es-CO"/>
              </w:rPr>
              <w:t>IVE</w:t>
            </w:r>
          </w:p>
        </w:tc>
        <w:tc>
          <w:tcPr>
            <w:tcW w:w="779" w:type="dxa"/>
            <w:tcBorders>
              <w:top w:val="nil"/>
              <w:left w:val="nil"/>
              <w:bottom w:val="single" w:sz="4" w:space="0" w:color="auto"/>
              <w:right w:val="single" w:sz="4" w:space="0" w:color="auto"/>
            </w:tcBorders>
            <w:shd w:val="clear" w:color="auto" w:fill="auto"/>
            <w:noWrap/>
            <w:vAlign w:val="center"/>
            <w:hideMark/>
          </w:tcPr>
          <w:p w14:paraId="7116EEC7"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0,69</w:t>
            </w:r>
          </w:p>
        </w:tc>
        <w:tc>
          <w:tcPr>
            <w:tcW w:w="851" w:type="dxa"/>
            <w:tcBorders>
              <w:top w:val="nil"/>
              <w:left w:val="nil"/>
              <w:bottom w:val="single" w:sz="4" w:space="0" w:color="auto"/>
              <w:right w:val="single" w:sz="4" w:space="0" w:color="auto"/>
            </w:tcBorders>
            <w:shd w:val="clear" w:color="auto" w:fill="auto"/>
            <w:noWrap/>
            <w:vAlign w:val="center"/>
            <w:hideMark/>
          </w:tcPr>
          <w:p w14:paraId="17D33B3C"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1D9438DA"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5A55C4AE"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827" w:type="dxa"/>
            <w:tcBorders>
              <w:top w:val="nil"/>
              <w:left w:val="nil"/>
              <w:bottom w:val="single" w:sz="4" w:space="0" w:color="auto"/>
              <w:right w:val="single" w:sz="4" w:space="0" w:color="auto"/>
            </w:tcBorders>
            <w:shd w:val="clear" w:color="auto" w:fill="auto"/>
            <w:noWrap/>
            <w:vAlign w:val="center"/>
            <w:hideMark/>
          </w:tcPr>
          <w:p w14:paraId="27673DF9"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3EC14F7A"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0,12</w:t>
            </w:r>
          </w:p>
        </w:tc>
        <w:tc>
          <w:tcPr>
            <w:tcW w:w="678" w:type="dxa"/>
            <w:tcBorders>
              <w:top w:val="nil"/>
              <w:left w:val="nil"/>
              <w:bottom w:val="single" w:sz="4" w:space="0" w:color="auto"/>
              <w:right w:val="single" w:sz="4" w:space="0" w:color="auto"/>
            </w:tcBorders>
            <w:shd w:val="clear" w:color="auto" w:fill="auto"/>
            <w:noWrap/>
            <w:vAlign w:val="center"/>
            <w:hideMark/>
          </w:tcPr>
          <w:p w14:paraId="1912C2E1"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0,40</w:t>
            </w:r>
          </w:p>
        </w:tc>
        <w:tc>
          <w:tcPr>
            <w:tcW w:w="1195" w:type="dxa"/>
            <w:tcBorders>
              <w:top w:val="nil"/>
              <w:left w:val="nil"/>
              <w:bottom w:val="single" w:sz="4" w:space="0" w:color="auto"/>
              <w:right w:val="single" w:sz="4" w:space="0" w:color="auto"/>
            </w:tcBorders>
            <w:shd w:val="clear" w:color="auto" w:fill="auto"/>
            <w:noWrap/>
            <w:vAlign w:val="center"/>
            <w:hideMark/>
          </w:tcPr>
          <w:p w14:paraId="7FCAF71E"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0,69</w:t>
            </w:r>
          </w:p>
        </w:tc>
        <w:tc>
          <w:tcPr>
            <w:tcW w:w="1134" w:type="dxa"/>
            <w:tcBorders>
              <w:top w:val="nil"/>
              <w:left w:val="nil"/>
              <w:bottom w:val="single" w:sz="4" w:space="0" w:color="auto"/>
              <w:right w:val="single" w:sz="4" w:space="0" w:color="auto"/>
            </w:tcBorders>
            <w:shd w:val="clear" w:color="auto" w:fill="auto"/>
            <w:noWrap/>
            <w:vAlign w:val="center"/>
            <w:hideMark/>
          </w:tcPr>
          <w:p w14:paraId="287741BF" w14:textId="77777777" w:rsidR="00CE4594" w:rsidRPr="00CE4594" w:rsidRDefault="00CE4594" w:rsidP="00CE4594">
            <w:pPr>
              <w:spacing w:before="0" w:after="0"/>
              <w:jc w:val="right"/>
              <w:rPr>
                <w:b/>
                <w:bCs/>
                <w:color w:val="000000"/>
                <w:sz w:val="16"/>
                <w:szCs w:val="16"/>
                <w:lang w:val="es-CO" w:eastAsia="es-CO"/>
              </w:rPr>
            </w:pPr>
            <w:r w:rsidRPr="00CE4594">
              <w:rPr>
                <w:b/>
                <w:bCs/>
                <w:color w:val="000000"/>
                <w:sz w:val="16"/>
                <w:szCs w:val="16"/>
                <w:lang w:val="es-CO" w:eastAsia="es-CO"/>
              </w:rPr>
              <w:t>0,52</w:t>
            </w:r>
          </w:p>
        </w:tc>
      </w:tr>
      <w:tr w:rsidR="00CE4594" w:rsidRPr="00CE4594" w14:paraId="3693ABC6"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CD6E01"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0019</w:t>
            </w:r>
          </w:p>
        </w:tc>
        <w:tc>
          <w:tcPr>
            <w:tcW w:w="780" w:type="dxa"/>
            <w:tcBorders>
              <w:top w:val="nil"/>
              <w:left w:val="nil"/>
              <w:bottom w:val="single" w:sz="4" w:space="0" w:color="auto"/>
              <w:right w:val="single" w:sz="4" w:space="0" w:color="auto"/>
            </w:tcBorders>
            <w:shd w:val="clear" w:color="auto" w:fill="auto"/>
            <w:noWrap/>
            <w:vAlign w:val="center"/>
            <w:hideMark/>
          </w:tcPr>
          <w:p w14:paraId="20020CAF"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V14</w:t>
            </w:r>
          </w:p>
        </w:tc>
        <w:tc>
          <w:tcPr>
            <w:tcW w:w="779" w:type="dxa"/>
            <w:tcBorders>
              <w:top w:val="nil"/>
              <w:left w:val="nil"/>
              <w:bottom w:val="single" w:sz="4" w:space="0" w:color="auto"/>
              <w:right w:val="single" w:sz="4" w:space="0" w:color="auto"/>
            </w:tcBorders>
            <w:shd w:val="clear" w:color="auto" w:fill="auto"/>
            <w:noWrap/>
            <w:vAlign w:val="center"/>
            <w:hideMark/>
          </w:tcPr>
          <w:p w14:paraId="09AD6AC5"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2,02</w:t>
            </w:r>
          </w:p>
        </w:tc>
        <w:tc>
          <w:tcPr>
            <w:tcW w:w="851" w:type="dxa"/>
            <w:tcBorders>
              <w:top w:val="nil"/>
              <w:left w:val="nil"/>
              <w:bottom w:val="single" w:sz="4" w:space="0" w:color="auto"/>
              <w:right w:val="single" w:sz="4" w:space="0" w:color="auto"/>
            </w:tcBorders>
            <w:shd w:val="clear" w:color="auto" w:fill="auto"/>
            <w:noWrap/>
            <w:vAlign w:val="center"/>
            <w:hideMark/>
          </w:tcPr>
          <w:p w14:paraId="5CE5CF3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774AA3E0"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057DCC1A"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27" w:type="dxa"/>
            <w:tcBorders>
              <w:top w:val="nil"/>
              <w:left w:val="nil"/>
              <w:bottom w:val="single" w:sz="4" w:space="0" w:color="auto"/>
              <w:right w:val="single" w:sz="4" w:space="0" w:color="auto"/>
            </w:tcBorders>
            <w:shd w:val="clear" w:color="auto" w:fill="auto"/>
            <w:noWrap/>
            <w:vAlign w:val="center"/>
            <w:hideMark/>
          </w:tcPr>
          <w:p w14:paraId="460BC18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4C0B7DAE"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1,35</w:t>
            </w:r>
          </w:p>
        </w:tc>
        <w:tc>
          <w:tcPr>
            <w:tcW w:w="678" w:type="dxa"/>
            <w:tcBorders>
              <w:top w:val="nil"/>
              <w:left w:val="nil"/>
              <w:bottom w:val="single" w:sz="4" w:space="0" w:color="auto"/>
              <w:right w:val="single" w:sz="4" w:space="0" w:color="auto"/>
            </w:tcBorders>
            <w:shd w:val="clear" w:color="auto" w:fill="auto"/>
            <w:noWrap/>
            <w:vAlign w:val="center"/>
            <w:hideMark/>
          </w:tcPr>
          <w:p w14:paraId="6FE153CD"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0,68</w:t>
            </w:r>
          </w:p>
        </w:tc>
        <w:tc>
          <w:tcPr>
            <w:tcW w:w="1195" w:type="dxa"/>
            <w:tcBorders>
              <w:top w:val="nil"/>
              <w:left w:val="nil"/>
              <w:bottom w:val="single" w:sz="4" w:space="0" w:color="auto"/>
              <w:right w:val="single" w:sz="4" w:space="0" w:color="auto"/>
            </w:tcBorders>
            <w:shd w:val="clear" w:color="auto" w:fill="auto"/>
            <w:noWrap/>
            <w:vAlign w:val="center"/>
            <w:hideMark/>
          </w:tcPr>
          <w:p w14:paraId="3258C64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2,02</w:t>
            </w:r>
          </w:p>
        </w:tc>
        <w:tc>
          <w:tcPr>
            <w:tcW w:w="1134" w:type="dxa"/>
            <w:tcBorders>
              <w:top w:val="nil"/>
              <w:left w:val="nil"/>
              <w:bottom w:val="single" w:sz="4" w:space="0" w:color="auto"/>
              <w:right w:val="single" w:sz="4" w:space="0" w:color="auto"/>
            </w:tcBorders>
            <w:shd w:val="clear" w:color="auto" w:fill="auto"/>
            <w:noWrap/>
            <w:vAlign w:val="center"/>
            <w:hideMark/>
          </w:tcPr>
          <w:p w14:paraId="12BB4D5D"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2,02</w:t>
            </w:r>
          </w:p>
        </w:tc>
      </w:tr>
      <w:tr w:rsidR="00CE4594" w:rsidRPr="00CE4594" w14:paraId="39AABF7F"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318D3D"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0028</w:t>
            </w:r>
          </w:p>
        </w:tc>
        <w:tc>
          <w:tcPr>
            <w:tcW w:w="780" w:type="dxa"/>
            <w:tcBorders>
              <w:top w:val="nil"/>
              <w:left w:val="nil"/>
              <w:bottom w:val="single" w:sz="4" w:space="0" w:color="auto"/>
              <w:right w:val="single" w:sz="4" w:space="0" w:color="auto"/>
            </w:tcBorders>
            <w:shd w:val="clear" w:color="auto" w:fill="auto"/>
            <w:noWrap/>
            <w:vAlign w:val="center"/>
            <w:hideMark/>
          </w:tcPr>
          <w:p w14:paraId="3A0453D9"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IDQ</w:t>
            </w:r>
          </w:p>
        </w:tc>
        <w:tc>
          <w:tcPr>
            <w:tcW w:w="779" w:type="dxa"/>
            <w:tcBorders>
              <w:top w:val="nil"/>
              <w:left w:val="nil"/>
              <w:bottom w:val="single" w:sz="4" w:space="0" w:color="auto"/>
              <w:right w:val="single" w:sz="4" w:space="0" w:color="auto"/>
            </w:tcBorders>
            <w:shd w:val="clear" w:color="auto" w:fill="auto"/>
            <w:noWrap/>
            <w:vAlign w:val="center"/>
            <w:hideMark/>
          </w:tcPr>
          <w:p w14:paraId="53117AE1"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0,81</w:t>
            </w:r>
          </w:p>
        </w:tc>
        <w:tc>
          <w:tcPr>
            <w:tcW w:w="851" w:type="dxa"/>
            <w:tcBorders>
              <w:top w:val="nil"/>
              <w:left w:val="nil"/>
              <w:bottom w:val="single" w:sz="4" w:space="0" w:color="auto"/>
              <w:right w:val="single" w:sz="4" w:space="0" w:color="auto"/>
            </w:tcBorders>
            <w:shd w:val="clear" w:color="auto" w:fill="auto"/>
            <w:noWrap/>
            <w:vAlign w:val="center"/>
            <w:hideMark/>
          </w:tcPr>
          <w:p w14:paraId="60A3FBC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0DFEECA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07CA1AC4"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27" w:type="dxa"/>
            <w:tcBorders>
              <w:top w:val="nil"/>
              <w:left w:val="nil"/>
              <w:bottom w:val="single" w:sz="4" w:space="0" w:color="auto"/>
              <w:right w:val="single" w:sz="4" w:space="0" w:color="auto"/>
            </w:tcBorders>
            <w:shd w:val="clear" w:color="auto" w:fill="auto"/>
            <w:noWrap/>
            <w:vAlign w:val="center"/>
            <w:hideMark/>
          </w:tcPr>
          <w:p w14:paraId="6F717EF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702162B5"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0,03</w:t>
            </w:r>
          </w:p>
        </w:tc>
        <w:tc>
          <w:tcPr>
            <w:tcW w:w="678" w:type="dxa"/>
            <w:tcBorders>
              <w:top w:val="nil"/>
              <w:left w:val="nil"/>
              <w:bottom w:val="single" w:sz="4" w:space="0" w:color="auto"/>
              <w:right w:val="single" w:sz="4" w:space="0" w:color="auto"/>
            </w:tcBorders>
            <w:shd w:val="clear" w:color="auto" w:fill="auto"/>
            <w:noWrap/>
            <w:vAlign w:val="center"/>
            <w:hideMark/>
          </w:tcPr>
          <w:p w14:paraId="4BD4BFF3"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1,58</w:t>
            </w:r>
          </w:p>
        </w:tc>
        <w:tc>
          <w:tcPr>
            <w:tcW w:w="1195" w:type="dxa"/>
            <w:tcBorders>
              <w:top w:val="nil"/>
              <w:left w:val="nil"/>
              <w:bottom w:val="single" w:sz="4" w:space="0" w:color="auto"/>
              <w:right w:val="single" w:sz="4" w:space="0" w:color="auto"/>
            </w:tcBorders>
            <w:shd w:val="clear" w:color="auto" w:fill="auto"/>
            <w:noWrap/>
            <w:vAlign w:val="center"/>
            <w:hideMark/>
          </w:tcPr>
          <w:p w14:paraId="3BD4B368"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0,81</w:t>
            </w:r>
          </w:p>
        </w:tc>
        <w:tc>
          <w:tcPr>
            <w:tcW w:w="1134" w:type="dxa"/>
            <w:tcBorders>
              <w:top w:val="nil"/>
              <w:left w:val="nil"/>
              <w:bottom w:val="single" w:sz="4" w:space="0" w:color="auto"/>
              <w:right w:val="single" w:sz="4" w:space="0" w:color="auto"/>
            </w:tcBorders>
            <w:shd w:val="clear" w:color="auto" w:fill="auto"/>
            <w:noWrap/>
            <w:vAlign w:val="center"/>
            <w:hideMark/>
          </w:tcPr>
          <w:p w14:paraId="69F3665C"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1,62</w:t>
            </w:r>
          </w:p>
        </w:tc>
      </w:tr>
      <w:tr w:rsidR="00CE4594" w:rsidRPr="00CE4594" w14:paraId="001B0273"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815070"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0029</w:t>
            </w:r>
          </w:p>
        </w:tc>
        <w:tc>
          <w:tcPr>
            <w:tcW w:w="780" w:type="dxa"/>
            <w:tcBorders>
              <w:top w:val="nil"/>
              <w:left w:val="nil"/>
              <w:bottom w:val="single" w:sz="4" w:space="0" w:color="auto"/>
              <w:right w:val="single" w:sz="4" w:space="0" w:color="auto"/>
            </w:tcBorders>
            <w:shd w:val="clear" w:color="auto" w:fill="auto"/>
            <w:noWrap/>
            <w:vAlign w:val="center"/>
            <w:hideMark/>
          </w:tcPr>
          <w:p w14:paraId="09F7C8B5"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ANDI</w:t>
            </w:r>
          </w:p>
        </w:tc>
        <w:tc>
          <w:tcPr>
            <w:tcW w:w="779" w:type="dxa"/>
            <w:tcBorders>
              <w:top w:val="nil"/>
              <w:left w:val="nil"/>
              <w:bottom w:val="single" w:sz="4" w:space="0" w:color="auto"/>
              <w:right w:val="single" w:sz="4" w:space="0" w:color="auto"/>
            </w:tcBorders>
            <w:shd w:val="clear" w:color="auto" w:fill="auto"/>
            <w:noWrap/>
            <w:vAlign w:val="center"/>
            <w:hideMark/>
          </w:tcPr>
          <w:p w14:paraId="01DB9070"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0,24</w:t>
            </w:r>
          </w:p>
        </w:tc>
        <w:tc>
          <w:tcPr>
            <w:tcW w:w="851" w:type="dxa"/>
            <w:tcBorders>
              <w:top w:val="nil"/>
              <w:left w:val="nil"/>
              <w:bottom w:val="single" w:sz="4" w:space="0" w:color="auto"/>
              <w:right w:val="single" w:sz="4" w:space="0" w:color="auto"/>
            </w:tcBorders>
            <w:shd w:val="clear" w:color="auto" w:fill="auto"/>
            <w:noWrap/>
            <w:vAlign w:val="center"/>
            <w:hideMark/>
          </w:tcPr>
          <w:p w14:paraId="5F40D381"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54FEEC42"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52BA7C23"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0,14</w:t>
            </w:r>
          </w:p>
        </w:tc>
        <w:tc>
          <w:tcPr>
            <w:tcW w:w="827" w:type="dxa"/>
            <w:tcBorders>
              <w:top w:val="nil"/>
              <w:left w:val="nil"/>
              <w:bottom w:val="single" w:sz="4" w:space="0" w:color="auto"/>
              <w:right w:val="single" w:sz="4" w:space="0" w:color="auto"/>
            </w:tcBorders>
            <w:shd w:val="clear" w:color="auto" w:fill="auto"/>
            <w:noWrap/>
            <w:vAlign w:val="center"/>
            <w:hideMark/>
          </w:tcPr>
          <w:p w14:paraId="57393496"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48A35195"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678" w:type="dxa"/>
            <w:tcBorders>
              <w:top w:val="nil"/>
              <w:left w:val="nil"/>
              <w:bottom w:val="single" w:sz="4" w:space="0" w:color="auto"/>
              <w:right w:val="single" w:sz="4" w:space="0" w:color="auto"/>
            </w:tcBorders>
            <w:shd w:val="clear" w:color="auto" w:fill="auto"/>
            <w:noWrap/>
            <w:vAlign w:val="center"/>
            <w:hideMark/>
          </w:tcPr>
          <w:p w14:paraId="3C7D9AF8"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0,28</w:t>
            </w:r>
          </w:p>
        </w:tc>
        <w:tc>
          <w:tcPr>
            <w:tcW w:w="1195" w:type="dxa"/>
            <w:tcBorders>
              <w:top w:val="nil"/>
              <w:left w:val="nil"/>
              <w:bottom w:val="single" w:sz="4" w:space="0" w:color="auto"/>
              <w:right w:val="single" w:sz="4" w:space="0" w:color="auto"/>
            </w:tcBorders>
            <w:shd w:val="clear" w:color="auto" w:fill="auto"/>
            <w:noWrap/>
            <w:vAlign w:val="center"/>
            <w:hideMark/>
          </w:tcPr>
          <w:p w14:paraId="39AEEDC4"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06E45199"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0,42</w:t>
            </w:r>
          </w:p>
        </w:tc>
      </w:tr>
      <w:tr w:rsidR="00CE4594" w:rsidRPr="00CE4594" w14:paraId="1F20B061" w14:textId="77777777" w:rsidTr="00CF5CA4">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399B2B"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0052</w:t>
            </w:r>
          </w:p>
        </w:tc>
        <w:tc>
          <w:tcPr>
            <w:tcW w:w="780" w:type="dxa"/>
            <w:tcBorders>
              <w:top w:val="nil"/>
              <w:left w:val="nil"/>
              <w:bottom w:val="single" w:sz="4" w:space="0" w:color="auto"/>
              <w:right w:val="single" w:sz="4" w:space="0" w:color="auto"/>
            </w:tcBorders>
            <w:shd w:val="clear" w:color="auto" w:fill="auto"/>
            <w:noWrap/>
            <w:vAlign w:val="center"/>
            <w:hideMark/>
          </w:tcPr>
          <w:p w14:paraId="68028C99" w14:textId="77777777" w:rsidR="00CE4594" w:rsidRPr="00CE4594" w:rsidRDefault="00CE4594" w:rsidP="00CE4594">
            <w:pPr>
              <w:spacing w:before="0" w:after="0"/>
              <w:jc w:val="center"/>
              <w:rPr>
                <w:color w:val="000000"/>
                <w:sz w:val="16"/>
                <w:szCs w:val="16"/>
                <w:lang w:val="es-CO" w:eastAsia="es-CO"/>
              </w:rPr>
            </w:pPr>
            <w:r w:rsidRPr="00CE4594">
              <w:rPr>
                <w:color w:val="000000"/>
                <w:sz w:val="16"/>
                <w:szCs w:val="16"/>
                <w:lang w:val="es-CO" w:eastAsia="es-CO"/>
              </w:rPr>
              <w:t>IPA1</w:t>
            </w:r>
          </w:p>
        </w:tc>
        <w:tc>
          <w:tcPr>
            <w:tcW w:w="779" w:type="dxa"/>
            <w:tcBorders>
              <w:top w:val="nil"/>
              <w:left w:val="nil"/>
              <w:bottom w:val="single" w:sz="4" w:space="0" w:color="auto"/>
              <w:right w:val="single" w:sz="4" w:space="0" w:color="auto"/>
            </w:tcBorders>
            <w:shd w:val="clear" w:color="auto" w:fill="auto"/>
            <w:noWrap/>
            <w:vAlign w:val="center"/>
            <w:hideMark/>
          </w:tcPr>
          <w:p w14:paraId="44D8B8DA"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0,41</w:t>
            </w:r>
          </w:p>
        </w:tc>
        <w:tc>
          <w:tcPr>
            <w:tcW w:w="851" w:type="dxa"/>
            <w:tcBorders>
              <w:top w:val="nil"/>
              <w:left w:val="nil"/>
              <w:bottom w:val="single" w:sz="4" w:space="0" w:color="auto"/>
              <w:right w:val="single" w:sz="4" w:space="0" w:color="auto"/>
            </w:tcBorders>
            <w:shd w:val="clear" w:color="auto" w:fill="auto"/>
            <w:noWrap/>
            <w:vAlign w:val="center"/>
            <w:hideMark/>
          </w:tcPr>
          <w:p w14:paraId="493852EB"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783" w:type="dxa"/>
            <w:gridSpan w:val="2"/>
            <w:tcBorders>
              <w:top w:val="nil"/>
              <w:left w:val="nil"/>
              <w:bottom w:val="single" w:sz="4" w:space="0" w:color="auto"/>
              <w:right w:val="single" w:sz="4" w:space="0" w:color="auto"/>
            </w:tcBorders>
            <w:shd w:val="clear" w:color="auto" w:fill="auto"/>
            <w:noWrap/>
            <w:vAlign w:val="center"/>
            <w:hideMark/>
          </w:tcPr>
          <w:p w14:paraId="10D1E56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00" w:type="dxa"/>
            <w:tcBorders>
              <w:top w:val="nil"/>
              <w:left w:val="nil"/>
              <w:bottom w:val="single" w:sz="4" w:space="0" w:color="auto"/>
              <w:right w:val="single" w:sz="4" w:space="0" w:color="auto"/>
            </w:tcBorders>
            <w:shd w:val="clear" w:color="auto" w:fill="auto"/>
            <w:noWrap/>
            <w:vAlign w:val="center"/>
            <w:hideMark/>
          </w:tcPr>
          <w:p w14:paraId="5F5A66B3"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0,00</w:t>
            </w:r>
          </w:p>
        </w:tc>
        <w:tc>
          <w:tcPr>
            <w:tcW w:w="827" w:type="dxa"/>
            <w:tcBorders>
              <w:top w:val="nil"/>
              <w:left w:val="nil"/>
              <w:bottom w:val="single" w:sz="4" w:space="0" w:color="auto"/>
              <w:right w:val="single" w:sz="4" w:space="0" w:color="auto"/>
            </w:tcBorders>
            <w:shd w:val="clear" w:color="auto" w:fill="auto"/>
            <w:noWrap/>
            <w:vAlign w:val="center"/>
            <w:hideMark/>
          </w:tcPr>
          <w:p w14:paraId="2A22C96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0,26</w:t>
            </w:r>
          </w:p>
        </w:tc>
        <w:tc>
          <w:tcPr>
            <w:tcW w:w="678" w:type="dxa"/>
            <w:tcBorders>
              <w:top w:val="nil"/>
              <w:left w:val="nil"/>
              <w:bottom w:val="single" w:sz="4" w:space="0" w:color="auto"/>
              <w:right w:val="single" w:sz="4" w:space="0" w:color="auto"/>
            </w:tcBorders>
            <w:shd w:val="clear" w:color="auto" w:fill="auto"/>
            <w:noWrap/>
            <w:vAlign w:val="center"/>
            <w:hideMark/>
          </w:tcPr>
          <w:p w14:paraId="13954F3C"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0,02</w:t>
            </w:r>
          </w:p>
        </w:tc>
        <w:tc>
          <w:tcPr>
            <w:tcW w:w="678" w:type="dxa"/>
            <w:tcBorders>
              <w:top w:val="nil"/>
              <w:left w:val="nil"/>
              <w:bottom w:val="single" w:sz="4" w:space="0" w:color="auto"/>
              <w:right w:val="single" w:sz="4" w:space="0" w:color="auto"/>
            </w:tcBorders>
            <w:shd w:val="clear" w:color="auto" w:fill="auto"/>
            <w:noWrap/>
            <w:vAlign w:val="center"/>
            <w:hideMark/>
          </w:tcPr>
          <w:p w14:paraId="620D69F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1,99</w:t>
            </w:r>
          </w:p>
        </w:tc>
        <w:tc>
          <w:tcPr>
            <w:tcW w:w="1195" w:type="dxa"/>
            <w:tcBorders>
              <w:top w:val="nil"/>
              <w:left w:val="nil"/>
              <w:bottom w:val="single" w:sz="4" w:space="0" w:color="auto"/>
              <w:right w:val="single" w:sz="4" w:space="0" w:color="auto"/>
            </w:tcBorders>
            <w:shd w:val="clear" w:color="auto" w:fill="auto"/>
            <w:noWrap/>
            <w:vAlign w:val="center"/>
            <w:hideMark/>
          </w:tcPr>
          <w:p w14:paraId="37A71946"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0,41</w:t>
            </w:r>
          </w:p>
        </w:tc>
        <w:tc>
          <w:tcPr>
            <w:tcW w:w="1134" w:type="dxa"/>
            <w:tcBorders>
              <w:top w:val="nil"/>
              <w:left w:val="nil"/>
              <w:bottom w:val="single" w:sz="4" w:space="0" w:color="auto"/>
              <w:right w:val="single" w:sz="4" w:space="0" w:color="auto"/>
            </w:tcBorders>
            <w:shd w:val="clear" w:color="auto" w:fill="auto"/>
            <w:noWrap/>
            <w:vAlign w:val="center"/>
            <w:hideMark/>
          </w:tcPr>
          <w:p w14:paraId="20816587" w14:textId="77777777" w:rsidR="00CE4594" w:rsidRPr="00CE4594" w:rsidRDefault="00CE4594" w:rsidP="00CE4594">
            <w:pPr>
              <w:spacing w:before="0" w:after="0"/>
              <w:jc w:val="right"/>
              <w:rPr>
                <w:color w:val="000000"/>
                <w:sz w:val="16"/>
                <w:szCs w:val="16"/>
                <w:lang w:val="es-CO" w:eastAsia="es-CO"/>
              </w:rPr>
            </w:pPr>
            <w:r w:rsidRPr="00CE4594">
              <w:rPr>
                <w:color w:val="000000"/>
                <w:sz w:val="16"/>
                <w:szCs w:val="16"/>
                <w:lang w:val="es-CO" w:eastAsia="es-CO"/>
              </w:rPr>
              <w:t>2,27</w:t>
            </w:r>
          </w:p>
        </w:tc>
      </w:tr>
    </w:tbl>
    <w:p w14:paraId="441B45E4" w14:textId="1531E282" w:rsidR="00CE4594" w:rsidRDefault="00CF5CA4" w:rsidP="000656BB">
      <w:pPr>
        <w:spacing w:before="240" w:after="240"/>
        <w:rPr>
          <w:lang w:val="es-CO" w:eastAsia="en-US"/>
        </w:rPr>
      </w:pPr>
      <w:r>
        <w:rPr>
          <w:lang w:val="es-CO" w:eastAsia="en-US"/>
        </w:rPr>
        <w:t xml:space="preserve">De acuerdo con la tabla presentada, no se </w:t>
      </w:r>
      <w:r w:rsidRPr="00CF5CA4">
        <w:rPr>
          <w:lang w:val="es-CO" w:eastAsia="en-US"/>
        </w:rPr>
        <w:t>considera procedente la solicitud del OR</w:t>
      </w:r>
      <w:r w:rsidR="004A4BC5">
        <w:rPr>
          <w:lang w:val="es-CO" w:eastAsia="en-US"/>
        </w:rPr>
        <w:t>,</w:t>
      </w:r>
      <w:r>
        <w:rPr>
          <w:lang w:val="es-CO" w:eastAsia="en-US"/>
        </w:rPr>
        <w:t xml:space="preserve"> y se realizan los ajustes pertinentes en las UC asociadas a la línea IUL 0008.</w:t>
      </w:r>
    </w:p>
    <w:p w14:paraId="65550EB2" w14:textId="67EE62AB" w:rsidR="000656BB" w:rsidRPr="000656BB" w:rsidRDefault="000656BB" w:rsidP="000656BB">
      <w:pPr>
        <w:spacing w:before="240" w:after="240"/>
        <w:rPr>
          <w:b/>
          <w:lang w:val="es-CO" w:eastAsia="en-US"/>
        </w:rPr>
      </w:pPr>
      <w:r w:rsidRPr="00084D2F">
        <w:rPr>
          <w:b/>
          <w:lang w:val="es-CO" w:eastAsia="en-US"/>
        </w:rPr>
        <w:t>Petición</w:t>
      </w:r>
      <w:r>
        <w:rPr>
          <w:b/>
          <w:lang w:val="es-CO" w:eastAsia="en-US"/>
        </w:rPr>
        <w:t xml:space="preserve"> de modificación de la </w:t>
      </w:r>
      <w:r w:rsidRPr="000656BB">
        <w:rPr>
          <w:b/>
          <w:lang w:val="es-CO" w:eastAsia="en-US"/>
        </w:rPr>
        <w:t xml:space="preserve">Base Regulatoria de Activos Eléctricos al inicio del </w:t>
      </w:r>
      <w:r w:rsidR="004A4BC5" w:rsidRPr="000656BB">
        <w:rPr>
          <w:b/>
          <w:lang w:val="es-CO" w:eastAsia="en-US"/>
        </w:rPr>
        <w:t>per</w:t>
      </w:r>
      <w:r w:rsidR="004A4BC5">
        <w:rPr>
          <w:b/>
          <w:lang w:val="es-CO" w:eastAsia="en-US"/>
        </w:rPr>
        <w:t>í</w:t>
      </w:r>
      <w:r w:rsidR="004A4BC5" w:rsidRPr="000656BB">
        <w:rPr>
          <w:b/>
          <w:lang w:val="es-CO" w:eastAsia="en-US"/>
        </w:rPr>
        <w:t xml:space="preserve">odo </w:t>
      </w:r>
      <w:r w:rsidRPr="000656BB">
        <w:rPr>
          <w:b/>
          <w:lang w:val="es-CO" w:eastAsia="en-US"/>
        </w:rPr>
        <w:t>tarifario</w:t>
      </w:r>
      <w:r>
        <w:rPr>
          <w:b/>
          <w:lang w:val="es-CO" w:eastAsia="en-US"/>
        </w:rPr>
        <w:t>,</w:t>
      </w:r>
      <w:r w:rsidRPr="000656BB">
        <w:rPr>
          <w:b/>
          <w:lang w:val="es-CO" w:eastAsia="en-US"/>
        </w:rPr>
        <w:t xml:space="preserve"> </w:t>
      </w:r>
      <w:r>
        <w:rPr>
          <w:b/>
          <w:lang w:val="es-CO" w:eastAsia="en-US"/>
        </w:rPr>
        <w:t>BRAE</w:t>
      </w:r>
      <w:r w:rsidRPr="00C74B95">
        <w:rPr>
          <w:b/>
          <w:vertAlign w:val="subscript"/>
          <w:lang w:val="es-CO" w:eastAsia="en-US"/>
        </w:rPr>
        <w:t>0</w:t>
      </w:r>
      <w:r w:rsidRPr="000656BB">
        <w:rPr>
          <w:b/>
          <w:lang w:val="es-CO" w:eastAsia="en-US"/>
        </w:rPr>
        <w:t>,</w:t>
      </w:r>
      <w:r>
        <w:rPr>
          <w:b/>
          <w:lang w:val="es-CO" w:eastAsia="en-US"/>
        </w:rPr>
        <w:t xml:space="preserve"> por el cálculo de la variable </w:t>
      </w:r>
      <w:proofErr w:type="spellStart"/>
      <w:proofErr w:type="gramStart"/>
      <w:r>
        <w:rPr>
          <w:b/>
          <w:lang w:val="es-CO" w:eastAsia="en-US"/>
        </w:rPr>
        <w:t>CRINR</w:t>
      </w:r>
      <w:r w:rsidR="00432539" w:rsidRPr="00432539">
        <w:rPr>
          <w:b/>
          <w:vertAlign w:val="subscript"/>
          <w:lang w:val="es-CO" w:eastAsia="en-US"/>
        </w:rPr>
        <w:t>j,n</w:t>
      </w:r>
      <w:proofErr w:type="gramEnd"/>
      <w:r w:rsidR="00432539" w:rsidRPr="00432539">
        <w:rPr>
          <w:b/>
          <w:vertAlign w:val="subscript"/>
          <w:lang w:val="es-CO" w:eastAsia="en-US"/>
        </w:rPr>
        <w:t>,l</w:t>
      </w:r>
      <w:proofErr w:type="spellEnd"/>
    </w:p>
    <w:p w14:paraId="0B21BED3" w14:textId="6735F88D" w:rsidR="000656BB" w:rsidRDefault="000656BB" w:rsidP="000656BB">
      <w:pPr>
        <w:spacing w:before="240" w:after="240"/>
        <w:rPr>
          <w:lang w:val="es-CO" w:eastAsia="en-US"/>
        </w:rPr>
      </w:pPr>
      <w:r>
        <w:rPr>
          <w:lang w:val="es-CO" w:eastAsia="en-US"/>
        </w:rPr>
        <w:t xml:space="preserve">El OR fundamenta su solicitud de modificación de la Base Regulatoria de Activos Eléctricos al inicio del </w:t>
      </w:r>
      <w:r w:rsidR="004A4BC5">
        <w:rPr>
          <w:lang w:val="es-CO" w:eastAsia="en-US"/>
        </w:rPr>
        <w:t xml:space="preserve">período </w:t>
      </w:r>
      <w:r>
        <w:rPr>
          <w:lang w:val="es-CO" w:eastAsia="en-US"/>
        </w:rPr>
        <w:t>tarifario en lo siguiente:</w:t>
      </w:r>
    </w:p>
    <w:p w14:paraId="28A2574E" w14:textId="77777777" w:rsidR="00256FC6" w:rsidRPr="00256FC6" w:rsidRDefault="00256FC6" w:rsidP="00256FC6">
      <w:pPr>
        <w:keepLines/>
        <w:ind w:left="708"/>
        <w:rPr>
          <w:b/>
          <w:bCs/>
          <w:i/>
          <w:sz w:val="22"/>
          <w:szCs w:val="22"/>
        </w:rPr>
      </w:pPr>
      <w:r w:rsidRPr="00256FC6">
        <w:rPr>
          <w:b/>
          <w:bCs/>
          <w:i/>
          <w:sz w:val="22"/>
          <w:szCs w:val="22"/>
        </w:rPr>
        <w:t>1.1.2 CRINR</w:t>
      </w:r>
    </w:p>
    <w:p w14:paraId="76FC1D14" w14:textId="77777777" w:rsidR="00256FC6" w:rsidRDefault="00256FC6" w:rsidP="00D5583E">
      <w:pPr>
        <w:pStyle w:val="Prrafodelista"/>
        <w:keepLines/>
        <w:numPr>
          <w:ilvl w:val="0"/>
          <w:numId w:val="8"/>
        </w:numPr>
        <w:spacing w:before="120" w:after="120"/>
        <w:ind w:left="1066"/>
        <w:rPr>
          <w:bCs/>
          <w:i/>
          <w:sz w:val="22"/>
          <w:szCs w:val="22"/>
        </w:rPr>
      </w:pPr>
      <w:r w:rsidRPr="00256FC6">
        <w:rPr>
          <w:bCs/>
          <w:i/>
          <w:sz w:val="22"/>
          <w:szCs w:val="22"/>
        </w:rPr>
        <w:t>La diferencia en el CRINRj,2,8 por -$ 2.374.068.873 se debe al no reconocimiento de varios tramos de canalizaciones UC N2L67 donde, de los 7,6 km solicitados se eliminan 4,38 km y de la UC N2L69 de 18,08 km la Comisión de Regulación suprime 2,17 km. Al respecto, se reitera a la CREG la solicitud de reconocimiento de las longitudes completas de los cárcamos, dado que:</w:t>
      </w:r>
    </w:p>
    <w:p w14:paraId="40F48EFD" w14:textId="587940F2" w:rsidR="00256FC6" w:rsidRPr="00256FC6" w:rsidRDefault="00256FC6" w:rsidP="0055499A">
      <w:pPr>
        <w:pStyle w:val="Prrafodelista"/>
        <w:keepLines/>
        <w:numPr>
          <w:ilvl w:val="0"/>
          <w:numId w:val="0"/>
        </w:numPr>
        <w:spacing w:before="120" w:after="120"/>
        <w:ind w:left="1066"/>
        <w:rPr>
          <w:bCs/>
          <w:i/>
          <w:sz w:val="22"/>
          <w:szCs w:val="22"/>
        </w:rPr>
      </w:pPr>
      <w:r>
        <w:rPr>
          <w:bCs/>
          <w:i/>
          <w:sz w:val="22"/>
          <w:szCs w:val="22"/>
        </w:rPr>
        <w:t xml:space="preserve">a) </w:t>
      </w:r>
      <w:r w:rsidRPr="00256FC6">
        <w:rPr>
          <w:bCs/>
          <w:i/>
          <w:sz w:val="22"/>
          <w:szCs w:val="22"/>
        </w:rPr>
        <w:t>Fue observada su existencia en la auditoría efectuada en la semana del 22</w:t>
      </w:r>
      <w:r>
        <w:rPr>
          <w:bCs/>
          <w:i/>
          <w:sz w:val="22"/>
          <w:szCs w:val="22"/>
        </w:rPr>
        <w:t xml:space="preserve"> </w:t>
      </w:r>
      <w:r w:rsidRPr="00256FC6">
        <w:rPr>
          <w:bCs/>
          <w:i/>
          <w:sz w:val="22"/>
          <w:szCs w:val="22"/>
        </w:rPr>
        <w:t>al 24 de octubre de 2018, como lo indican los literales c) y d) del numeral</w:t>
      </w:r>
      <w:r>
        <w:rPr>
          <w:bCs/>
          <w:i/>
          <w:sz w:val="22"/>
          <w:szCs w:val="22"/>
        </w:rPr>
        <w:t xml:space="preserve"> </w:t>
      </w:r>
      <w:r w:rsidRPr="00256FC6">
        <w:rPr>
          <w:bCs/>
          <w:i/>
          <w:sz w:val="22"/>
          <w:szCs w:val="22"/>
        </w:rPr>
        <w:t xml:space="preserve">3.3.1 del informe de visita </w:t>
      </w:r>
      <w:r w:rsidR="001462FD">
        <w:rPr>
          <w:bCs/>
          <w:i/>
          <w:sz w:val="22"/>
          <w:szCs w:val="22"/>
        </w:rPr>
        <w:t>S</w:t>
      </w:r>
      <w:r w:rsidRPr="00256FC6">
        <w:rPr>
          <w:bCs/>
          <w:i/>
          <w:sz w:val="22"/>
          <w:szCs w:val="22"/>
        </w:rPr>
        <w:t>-2019-001919. anexo 2 Informe de visita CREG.</w:t>
      </w:r>
    </w:p>
    <w:p w14:paraId="011E4A2B" w14:textId="77777777" w:rsidR="00256FC6" w:rsidRPr="00256FC6" w:rsidRDefault="00256FC6" w:rsidP="0055499A">
      <w:pPr>
        <w:pStyle w:val="Prrafodelista"/>
        <w:keepLines/>
        <w:numPr>
          <w:ilvl w:val="0"/>
          <w:numId w:val="0"/>
        </w:numPr>
        <w:spacing w:before="120" w:after="120"/>
        <w:ind w:left="1066"/>
        <w:rPr>
          <w:bCs/>
          <w:i/>
          <w:sz w:val="22"/>
          <w:szCs w:val="22"/>
        </w:rPr>
      </w:pPr>
      <w:r w:rsidRPr="00256FC6">
        <w:rPr>
          <w:bCs/>
          <w:i/>
          <w:sz w:val="22"/>
          <w:szCs w:val="22"/>
        </w:rPr>
        <w:t>b) En la Regulación no se observan lineamientos explícitos en los que las</w:t>
      </w:r>
      <w:r>
        <w:rPr>
          <w:bCs/>
          <w:i/>
          <w:sz w:val="22"/>
          <w:szCs w:val="22"/>
        </w:rPr>
        <w:t xml:space="preserve"> </w:t>
      </w:r>
      <w:r w:rsidRPr="00256FC6">
        <w:rPr>
          <w:bCs/>
          <w:i/>
          <w:sz w:val="22"/>
          <w:szCs w:val="22"/>
        </w:rPr>
        <w:t>canalizaciones deban contener redes de media tensión para su</w:t>
      </w:r>
      <w:r>
        <w:rPr>
          <w:bCs/>
          <w:i/>
          <w:sz w:val="22"/>
          <w:szCs w:val="22"/>
        </w:rPr>
        <w:t xml:space="preserve"> </w:t>
      </w:r>
      <w:r w:rsidRPr="00256FC6">
        <w:rPr>
          <w:bCs/>
          <w:i/>
          <w:sz w:val="22"/>
          <w:szCs w:val="22"/>
        </w:rPr>
        <w:t xml:space="preserve">reconocimiento. </w:t>
      </w:r>
    </w:p>
    <w:p w14:paraId="02100753" w14:textId="77777777" w:rsidR="00256FC6" w:rsidRPr="00256FC6" w:rsidRDefault="00256FC6" w:rsidP="0055499A">
      <w:pPr>
        <w:pStyle w:val="Prrafodelista"/>
        <w:keepLines/>
        <w:numPr>
          <w:ilvl w:val="0"/>
          <w:numId w:val="0"/>
        </w:numPr>
        <w:spacing w:before="120" w:after="120"/>
        <w:ind w:left="1066"/>
        <w:rPr>
          <w:bCs/>
          <w:i/>
          <w:sz w:val="22"/>
          <w:szCs w:val="22"/>
        </w:rPr>
      </w:pPr>
      <w:r w:rsidRPr="00256FC6">
        <w:rPr>
          <w:bCs/>
          <w:i/>
          <w:sz w:val="22"/>
          <w:szCs w:val="22"/>
        </w:rPr>
        <w:t>c) Estos contienen redes de baja tensión.</w:t>
      </w:r>
    </w:p>
    <w:p w14:paraId="3BF5BB5E" w14:textId="77777777" w:rsidR="00256FC6" w:rsidRDefault="00256FC6" w:rsidP="0055499A">
      <w:pPr>
        <w:pStyle w:val="Prrafodelista"/>
        <w:keepLines/>
        <w:numPr>
          <w:ilvl w:val="0"/>
          <w:numId w:val="0"/>
        </w:numPr>
        <w:spacing w:before="120" w:after="120"/>
        <w:ind w:left="1066"/>
        <w:rPr>
          <w:bCs/>
          <w:i/>
          <w:sz w:val="22"/>
          <w:szCs w:val="22"/>
        </w:rPr>
      </w:pPr>
      <w:r w:rsidRPr="00256FC6">
        <w:rPr>
          <w:bCs/>
          <w:i/>
          <w:sz w:val="22"/>
          <w:szCs w:val="22"/>
        </w:rPr>
        <w:t xml:space="preserve">d) Se encuentran disponibles para expansiones en media tensión en </w:t>
      </w:r>
      <w:r w:rsidR="0055499A">
        <w:rPr>
          <w:bCs/>
          <w:i/>
          <w:sz w:val="22"/>
          <w:szCs w:val="22"/>
        </w:rPr>
        <w:t>l</w:t>
      </w:r>
      <w:r w:rsidRPr="00256FC6">
        <w:rPr>
          <w:bCs/>
          <w:i/>
          <w:sz w:val="22"/>
          <w:szCs w:val="22"/>
        </w:rPr>
        <w:t>a zona</w:t>
      </w:r>
      <w:r w:rsidR="0055499A">
        <w:rPr>
          <w:bCs/>
          <w:i/>
          <w:sz w:val="22"/>
          <w:szCs w:val="22"/>
        </w:rPr>
        <w:t xml:space="preserve"> </w:t>
      </w:r>
      <w:r w:rsidRPr="00256FC6">
        <w:rPr>
          <w:bCs/>
          <w:i/>
          <w:sz w:val="22"/>
          <w:szCs w:val="22"/>
        </w:rPr>
        <w:t xml:space="preserve">centro de la ciudad. </w:t>
      </w:r>
    </w:p>
    <w:p w14:paraId="5D21DDAC" w14:textId="77777777" w:rsidR="00256FC6" w:rsidRPr="00256FC6" w:rsidRDefault="00256FC6" w:rsidP="0055499A">
      <w:pPr>
        <w:pStyle w:val="Prrafodelista"/>
        <w:keepLines/>
        <w:numPr>
          <w:ilvl w:val="0"/>
          <w:numId w:val="0"/>
        </w:numPr>
        <w:spacing w:before="120" w:after="120"/>
        <w:ind w:left="1066"/>
        <w:rPr>
          <w:bCs/>
          <w:i/>
          <w:sz w:val="22"/>
          <w:szCs w:val="22"/>
        </w:rPr>
      </w:pPr>
      <w:r w:rsidRPr="00256FC6">
        <w:rPr>
          <w:bCs/>
          <w:i/>
          <w:sz w:val="22"/>
          <w:szCs w:val="22"/>
        </w:rPr>
        <w:lastRenderedPageBreak/>
        <w:t>e) Remuneran el uso de infraestructura de teleoperadores, la cual sería descontada en la variable OI.</w:t>
      </w:r>
    </w:p>
    <w:p w14:paraId="7741FCE0" w14:textId="77777777" w:rsidR="00256FC6" w:rsidRDefault="00256FC6" w:rsidP="0055499A">
      <w:pPr>
        <w:pStyle w:val="Prrafodelista"/>
        <w:keepLines/>
        <w:numPr>
          <w:ilvl w:val="0"/>
          <w:numId w:val="0"/>
        </w:numPr>
        <w:spacing w:before="120" w:after="120"/>
        <w:ind w:left="1066"/>
        <w:rPr>
          <w:bCs/>
          <w:i/>
          <w:sz w:val="22"/>
          <w:szCs w:val="22"/>
        </w:rPr>
      </w:pPr>
      <w:r w:rsidRPr="00256FC6">
        <w:rPr>
          <w:bCs/>
          <w:i/>
          <w:sz w:val="22"/>
          <w:szCs w:val="22"/>
        </w:rPr>
        <w:t>f) Finalmente, no existe UC en el capítulo 15 de la Resolución CREG 015 de</w:t>
      </w:r>
      <w:r w:rsidR="0055499A">
        <w:rPr>
          <w:bCs/>
          <w:i/>
          <w:sz w:val="22"/>
          <w:szCs w:val="22"/>
        </w:rPr>
        <w:t xml:space="preserve"> </w:t>
      </w:r>
      <w:r w:rsidRPr="00256FC6">
        <w:rPr>
          <w:bCs/>
          <w:i/>
          <w:sz w:val="22"/>
          <w:szCs w:val="22"/>
        </w:rPr>
        <w:t>2018 que describa canalizaciones con red de baja.</w:t>
      </w:r>
    </w:p>
    <w:p w14:paraId="398F2512" w14:textId="1C8D2619" w:rsidR="009F2042" w:rsidRDefault="00080C74" w:rsidP="000656BB">
      <w:pPr>
        <w:spacing w:before="240" w:after="240"/>
        <w:rPr>
          <w:lang w:val="es-CO" w:eastAsia="en-US"/>
        </w:rPr>
      </w:pPr>
      <w:r>
        <w:rPr>
          <w:lang w:val="es-CO" w:eastAsia="en-US"/>
        </w:rPr>
        <w:t>Analizados los argumentos presentados por el OR,</w:t>
      </w:r>
      <w:r w:rsidR="000B2AB0">
        <w:rPr>
          <w:lang w:val="es-CO" w:eastAsia="en-US"/>
        </w:rPr>
        <w:t xml:space="preserve"> estos no refutan el hecho de que la cantidad de canalización es mayor </w:t>
      </w:r>
      <w:r w:rsidR="009F2042">
        <w:rPr>
          <w:lang w:val="es-CO" w:eastAsia="en-US"/>
        </w:rPr>
        <w:t>que la de</w:t>
      </w:r>
      <w:r w:rsidR="000B2AB0">
        <w:rPr>
          <w:lang w:val="es-CO" w:eastAsia="en-US"/>
        </w:rPr>
        <w:t xml:space="preserve"> los conductores subterráneos</w:t>
      </w:r>
      <w:r w:rsidR="004A4BC5">
        <w:rPr>
          <w:lang w:val="es-CO" w:eastAsia="en-US"/>
        </w:rPr>
        <w:t>,</w:t>
      </w:r>
      <w:r w:rsidR="000B2AB0">
        <w:rPr>
          <w:lang w:val="es-CO" w:eastAsia="en-US"/>
        </w:rPr>
        <w:t xml:space="preserve"> tal como anotó la Comisión en el archivo </w:t>
      </w:r>
      <w:r w:rsidR="000B2AB0" w:rsidRPr="000B2AB0">
        <w:rPr>
          <w:i/>
          <w:iCs/>
          <w:lang w:val="es-CO" w:eastAsia="en-US"/>
        </w:rPr>
        <w:t>Inventario reconocido BRA_0 OR - EEP.xlsx</w:t>
      </w:r>
      <w:r w:rsidR="009F2042">
        <w:rPr>
          <w:i/>
          <w:iCs/>
          <w:lang w:val="es-CO" w:eastAsia="en-US"/>
        </w:rPr>
        <w:t xml:space="preserve">, </w:t>
      </w:r>
      <w:r w:rsidR="009F2042" w:rsidRPr="009F2042">
        <w:rPr>
          <w:lang w:val="es-CO" w:eastAsia="en-US"/>
        </w:rPr>
        <w:t>sino que</w:t>
      </w:r>
      <w:r w:rsidR="004A4BC5">
        <w:rPr>
          <w:lang w:val="es-CO" w:eastAsia="en-US"/>
        </w:rPr>
        <w:t>,</w:t>
      </w:r>
      <w:r w:rsidR="009F2042" w:rsidRPr="009F2042">
        <w:rPr>
          <w:lang w:val="es-CO" w:eastAsia="en-US"/>
        </w:rPr>
        <w:t xml:space="preserve"> por el contrario</w:t>
      </w:r>
      <w:r w:rsidR="009F2042">
        <w:rPr>
          <w:lang w:val="es-CO" w:eastAsia="en-US"/>
        </w:rPr>
        <w:t xml:space="preserve">, presenta elementos </w:t>
      </w:r>
      <w:r w:rsidR="004A4BC5">
        <w:rPr>
          <w:lang w:val="es-CO" w:eastAsia="en-US"/>
        </w:rPr>
        <w:t xml:space="preserve">tales </w:t>
      </w:r>
      <w:r w:rsidR="009F2042">
        <w:rPr>
          <w:lang w:val="es-CO" w:eastAsia="en-US"/>
        </w:rPr>
        <w:t>como que en el capítulo 15 de la Resolución CREG 015 de 2018 no tiene UC de nivel 1</w:t>
      </w:r>
      <w:r w:rsidR="004A4BC5">
        <w:rPr>
          <w:lang w:val="es-CO" w:eastAsia="en-US"/>
        </w:rPr>
        <w:t>,</w:t>
      </w:r>
      <w:r w:rsidR="009F2042">
        <w:rPr>
          <w:lang w:val="es-CO" w:eastAsia="en-US"/>
        </w:rPr>
        <w:t xml:space="preserve"> o que estas canalizaciones contienen redes de este nivel de tensión, desconociendo que la metodología de valoración de las inversiones de la base inicial de activos en el nivel de tensión es distinta</w:t>
      </w:r>
      <w:r w:rsidR="004A4BC5">
        <w:rPr>
          <w:lang w:val="es-CO" w:eastAsia="en-US"/>
        </w:rPr>
        <w:t>,</w:t>
      </w:r>
      <w:r w:rsidR="009F2042">
        <w:rPr>
          <w:lang w:val="es-CO" w:eastAsia="en-US"/>
        </w:rPr>
        <w:t xml:space="preserve"> y por tanto</w:t>
      </w:r>
      <w:r w:rsidR="004A4BC5">
        <w:rPr>
          <w:lang w:val="es-CO" w:eastAsia="en-US"/>
        </w:rPr>
        <w:t>,</w:t>
      </w:r>
      <w:r w:rsidR="009F2042">
        <w:rPr>
          <w:lang w:val="es-CO" w:eastAsia="en-US"/>
        </w:rPr>
        <w:t xml:space="preserve"> no emplea UC.</w:t>
      </w:r>
    </w:p>
    <w:p w14:paraId="438DFB94" w14:textId="18CCA8B3" w:rsidR="009F2042" w:rsidRDefault="009F2042" w:rsidP="0093057D">
      <w:pPr>
        <w:spacing w:before="0" w:after="0"/>
        <w:rPr>
          <w:lang w:val="es-CO" w:eastAsia="en-US"/>
        </w:rPr>
      </w:pPr>
      <w:r>
        <w:rPr>
          <w:lang w:val="es-CO" w:eastAsia="en-US"/>
        </w:rPr>
        <w:t xml:space="preserve">Considerando lo anterior, no se considera procedente </w:t>
      </w:r>
      <w:r w:rsidR="001462FD">
        <w:rPr>
          <w:lang w:val="es-CO" w:eastAsia="en-US"/>
        </w:rPr>
        <w:t xml:space="preserve">atender </w:t>
      </w:r>
      <w:r>
        <w:rPr>
          <w:lang w:val="es-CO" w:eastAsia="en-US"/>
        </w:rPr>
        <w:t>la solicitud del OR.</w:t>
      </w:r>
    </w:p>
    <w:p w14:paraId="7E708B47" w14:textId="77777777" w:rsidR="0093057D" w:rsidRPr="0093057D" w:rsidRDefault="0093057D" w:rsidP="0093057D">
      <w:pPr>
        <w:spacing w:before="0" w:after="0"/>
        <w:rPr>
          <w:sz w:val="14"/>
          <w:szCs w:val="14"/>
          <w:lang w:val="es-CO" w:eastAsia="en-US"/>
        </w:rPr>
      </w:pPr>
    </w:p>
    <w:p w14:paraId="38F94704" w14:textId="6DFB3DA2" w:rsidR="000656BB" w:rsidRPr="000656BB" w:rsidRDefault="000656BB" w:rsidP="0093057D">
      <w:pPr>
        <w:spacing w:before="0" w:after="240"/>
        <w:rPr>
          <w:b/>
          <w:lang w:val="es-CO" w:eastAsia="en-US"/>
        </w:rPr>
      </w:pPr>
      <w:r w:rsidRPr="00084D2F">
        <w:rPr>
          <w:b/>
          <w:lang w:val="es-CO" w:eastAsia="en-US"/>
        </w:rPr>
        <w:t>Petición</w:t>
      </w:r>
      <w:r>
        <w:rPr>
          <w:b/>
          <w:lang w:val="es-CO" w:eastAsia="en-US"/>
        </w:rPr>
        <w:t xml:space="preserve"> de modificación de la </w:t>
      </w:r>
      <w:r w:rsidRPr="000656BB">
        <w:rPr>
          <w:b/>
          <w:lang w:val="es-CO" w:eastAsia="en-US"/>
        </w:rPr>
        <w:t xml:space="preserve">Base Regulatoria de Activos Eléctricos al inicio del </w:t>
      </w:r>
      <w:r w:rsidR="004A4BC5" w:rsidRPr="000656BB">
        <w:rPr>
          <w:b/>
          <w:lang w:val="es-CO" w:eastAsia="en-US"/>
        </w:rPr>
        <w:t>per</w:t>
      </w:r>
      <w:r w:rsidR="004A4BC5">
        <w:rPr>
          <w:b/>
          <w:lang w:val="es-CO" w:eastAsia="en-US"/>
        </w:rPr>
        <w:t>í</w:t>
      </w:r>
      <w:r w:rsidR="004A4BC5" w:rsidRPr="000656BB">
        <w:rPr>
          <w:b/>
          <w:lang w:val="es-CO" w:eastAsia="en-US"/>
        </w:rPr>
        <w:t xml:space="preserve">odo </w:t>
      </w:r>
      <w:r w:rsidRPr="000656BB">
        <w:rPr>
          <w:b/>
          <w:lang w:val="es-CO" w:eastAsia="en-US"/>
        </w:rPr>
        <w:t>tarifario</w:t>
      </w:r>
      <w:r>
        <w:rPr>
          <w:b/>
          <w:lang w:val="es-CO" w:eastAsia="en-US"/>
        </w:rPr>
        <w:t>,</w:t>
      </w:r>
      <w:r w:rsidRPr="000656BB">
        <w:rPr>
          <w:b/>
          <w:lang w:val="es-CO" w:eastAsia="en-US"/>
        </w:rPr>
        <w:t xml:space="preserve"> </w:t>
      </w:r>
      <w:r>
        <w:rPr>
          <w:b/>
          <w:lang w:val="es-CO" w:eastAsia="en-US"/>
        </w:rPr>
        <w:t>BRAE</w:t>
      </w:r>
      <w:r w:rsidRPr="00C74B95">
        <w:rPr>
          <w:b/>
          <w:vertAlign w:val="subscript"/>
          <w:lang w:val="es-CO" w:eastAsia="en-US"/>
        </w:rPr>
        <w:t>0</w:t>
      </w:r>
      <w:r w:rsidRPr="000656BB">
        <w:rPr>
          <w:b/>
          <w:lang w:val="es-CO" w:eastAsia="en-US"/>
        </w:rPr>
        <w:t>,</w:t>
      </w:r>
      <w:r>
        <w:rPr>
          <w:b/>
          <w:lang w:val="es-CO" w:eastAsia="en-US"/>
        </w:rPr>
        <w:t xml:space="preserve"> por el cálculo de la variable </w:t>
      </w:r>
      <w:proofErr w:type="spellStart"/>
      <w:proofErr w:type="gramStart"/>
      <w:r>
        <w:rPr>
          <w:b/>
          <w:lang w:val="es-CO" w:eastAsia="en-US"/>
        </w:rPr>
        <w:t>CRIN</w:t>
      </w:r>
      <w:r w:rsidR="00432539" w:rsidRPr="00432539">
        <w:rPr>
          <w:b/>
          <w:vertAlign w:val="subscript"/>
          <w:lang w:val="es-CO" w:eastAsia="en-US"/>
        </w:rPr>
        <w:t>j,n</w:t>
      </w:r>
      <w:proofErr w:type="gramEnd"/>
      <w:r w:rsidR="00432539" w:rsidRPr="00432539">
        <w:rPr>
          <w:b/>
          <w:vertAlign w:val="subscript"/>
          <w:lang w:val="es-CO" w:eastAsia="en-US"/>
        </w:rPr>
        <w:t>,l</w:t>
      </w:r>
      <w:proofErr w:type="spellEnd"/>
      <w:r w:rsidR="00432539" w:rsidRPr="00432539">
        <w:rPr>
          <w:b/>
          <w:vertAlign w:val="subscript"/>
          <w:lang w:val="es-CO" w:eastAsia="en-US"/>
        </w:rPr>
        <w:t>,</w:t>
      </w:r>
    </w:p>
    <w:p w14:paraId="4E262DA8" w14:textId="57BAAE7D" w:rsidR="000656BB" w:rsidRDefault="000656BB" w:rsidP="000656BB">
      <w:pPr>
        <w:spacing w:before="240" w:after="240"/>
        <w:rPr>
          <w:lang w:val="es-CO" w:eastAsia="en-US"/>
        </w:rPr>
      </w:pPr>
      <w:r>
        <w:rPr>
          <w:lang w:val="es-CO" w:eastAsia="en-US"/>
        </w:rPr>
        <w:t xml:space="preserve">El OR fundamenta su solicitud de modificación de la Base Regulatoria de Activos Eléctricos al inicio del </w:t>
      </w:r>
      <w:r w:rsidR="004A4BC5">
        <w:rPr>
          <w:lang w:val="es-CO" w:eastAsia="en-US"/>
        </w:rPr>
        <w:t xml:space="preserve">período </w:t>
      </w:r>
      <w:r>
        <w:rPr>
          <w:lang w:val="es-CO" w:eastAsia="en-US"/>
        </w:rPr>
        <w:t>tarifario en lo siguiente:</w:t>
      </w:r>
    </w:p>
    <w:p w14:paraId="29B271A1" w14:textId="77777777" w:rsidR="0055499A" w:rsidRPr="00476AFC" w:rsidRDefault="0055499A" w:rsidP="008F701B">
      <w:pPr>
        <w:keepLines/>
        <w:spacing w:before="200" w:after="200"/>
        <w:ind w:left="708"/>
        <w:rPr>
          <w:b/>
          <w:bCs/>
          <w:i/>
          <w:sz w:val="22"/>
          <w:szCs w:val="22"/>
        </w:rPr>
      </w:pPr>
      <w:r w:rsidRPr="00476AFC">
        <w:rPr>
          <w:b/>
          <w:bCs/>
          <w:i/>
          <w:sz w:val="22"/>
          <w:szCs w:val="22"/>
        </w:rPr>
        <w:t>1.1.3 CRIN</w:t>
      </w:r>
    </w:p>
    <w:p w14:paraId="3DBE0109" w14:textId="77777777" w:rsidR="0055499A" w:rsidRPr="00476AFC" w:rsidRDefault="0055499A" w:rsidP="00D5583E">
      <w:pPr>
        <w:pStyle w:val="Prrafodelista"/>
        <w:keepLines/>
        <w:numPr>
          <w:ilvl w:val="0"/>
          <w:numId w:val="8"/>
        </w:numPr>
        <w:spacing w:before="120" w:after="120"/>
        <w:ind w:left="1066"/>
        <w:rPr>
          <w:bCs/>
          <w:i/>
          <w:sz w:val="22"/>
          <w:szCs w:val="22"/>
        </w:rPr>
      </w:pPr>
      <w:r w:rsidRPr="00476AFC">
        <w:rPr>
          <w:bCs/>
          <w:i/>
          <w:sz w:val="22"/>
          <w:szCs w:val="22"/>
        </w:rPr>
        <w:t>Se presenta diferencia de - $624.348.000 en el CRINj,3,3 dado que la CREG argumenta que ENERGÍA DE PEREIRA no adjuntó los conceptos UPME de las UC N4S8, de la Subestación PAVAS. Al respecto es preciso indicar que de acuerdo con el literal s) del capítulo 14 de la Resolución CREG 015 de 2018, modificado por el artículo 19 de la Resolución CREG 085 de 2018, “los transformadores y las Bahías de Transformación distintas a los asociados con los transformadores de conexión al STN, se reconocen en el nivel de tensión del secundario del transformador o proporcionalmente a la potencia de cada uno de los devanados de baja cuando hay más de uno”; sobre este entendido, la UC N4S8 Bahía de Transformador, se considera que debería ser reconocido en el inventario de activos de Nivel de Tensión 3 y que no es requisito para ello contar con concepto UPME.</w:t>
      </w:r>
    </w:p>
    <w:p w14:paraId="3D3A7E0D" w14:textId="0B69E434" w:rsidR="0055499A" w:rsidRDefault="0055499A" w:rsidP="0093057D">
      <w:pPr>
        <w:keepLines/>
        <w:spacing w:before="200" w:after="0"/>
        <w:ind w:left="1066"/>
        <w:rPr>
          <w:i/>
          <w:sz w:val="22"/>
          <w:szCs w:val="22"/>
        </w:rPr>
      </w:pPr>
      <w:r w:rsidRPr="0055499A">
        <w:rPr>
          <w:i/>
          <w:sz w:val="22"/>
          <w:szCs w:val="22"/>
        </w:rPr>
        <w:t>Se resalta que dichos activos son esenciales para la operación y puesta en marcha de la Subestación, en consecuencia, deben ser reconocidos como tal por el</w:t>
      </w:r>
      <w:r w:rsidR="003F140B">
        <w:rPr>
          <w:i/>
          <w:sz w:val="22"/>
          <w:szCs w:val="22"/>
        </w:rPr>
        <w:t xml:space="preserve"> </w:t>
      </w:r>
      <w:r w:rsidRPr="0055499A">
        <w:rPr>
          <w:i/>
          <w:sz w:val="22"/>
          <w:szCs w:val="22"/>
        </w:rPr>
        <w:t>Regulador.</w:t>
      </w:r>
    </w:p>
    <w:p w14:paraId="08029304" w14:textId="3EBD7488" w:rsidR="0055499A" w:rsidRPr="00476AFC" w:rsidRDefault="003F140B" w:rsidP="00D5583E">
      <w:pPr>
        <w:pStyle w:val="Prrafodelista"/>
        <w:keepLines/>
        <w:numPr>
          <w:ilvl w:val="0"/>
          <w:numId w:val="8"/>
        </w:numPr>
        <w:spacing w:before="120" w:after="120"/>
        <w:ind w:left="1066"/>
        <w:rPr>
          <w:bCs/>
          <w:i/>
          <w:sz w:val="22"/>
          <w:szCs w:val="22"/>
        </w:rPr>
      </w:pPr>
      <w:r w:rsidRPr="00476AFC">
        <w:rPr>
          <w:bCs/>
          <w:i/>
          <w:sz w:val="22"/>
          <w:szCs w:val="22"/>
        </w:rPr>
        <w:t>Se presenta diferencia de - $ 155.352.000 en el CRINj,4,4 y -$ 29.328.000 en el CRINj,4,5, dado que la CREG argumenta que ENERGÍA DE PEREIRA no adjuntó los conceptos UPME de las UC N4S45, N4EQ4, N4EQ7 y N4EQ3 de la Subestación</w:t>
      </w:r>
      <w:r w:rsidR="00E72B45" w:rsidRPr="00476AFC">
        <w:rPr>
          <w:bCs/>
          <w:i/>
          <w:sz w:val="22"/>
          <w:szCs w:val="22"/>
        </w:rPr>
        <w:t xml:space="preserve"> PAVAS. De esta manera, según lo indican los considerandos de la Resolución CREG</w:t>
      </w:r>
      <w:r w:rsidR="000C4AE2" w:rsidRPr="00476AFC">
        <w:rPr>
          <w:bCs/>
          <w:i/>
          <w:sz w:val="22"/>
          <w:szCs w:val="22"/>
        </w:rPr>
        <w:t xml:space="preserve"> </w:t>
      </w:r>
      <w:r w:rsidR="00E72B45" w:rsidRPr="00476AFC">
        <w:rPr>
          <w:bCs/>
          <w:i/>
          <w:sz w:val="22"/>
          <w:szCs w:val="22"/>
        </w:rPr>
        <w:t xml:space="preserve">016 de 2012, mediante Radicado S-2011-00,4232 la CREG solicitó a </w:t>
      </w:r>
      <w:r w:rsidR="00AC60E8" w:rsidRPr="00476AFC">
        <w:rPr>
          <w:bCs/>
          <w:i/>
          <w:sz w:val="22"/>
          <w:szCs w:val="22"/>
        </w:rPr>
        <w:t>l</w:t>
      </w:r>
      <w:r w:rsidR="00E72B45" w:rsidRPr="00476AFC">
        <w:rPr>
          <w:bCs/>
          <w:i/>
          <w:sz w:val="22"/>
          <w:szCs w:val="22"/>
        </w:rPr>
        <w:t>a UPME</w:t>
      </w:r>
      <w:r w:rsidR="000C4AE2" w:rsidRPr="00476AFC">
        <w:rPr>
          <w:bCs/>
          <w:i/>
          <w:sz w:val="22"/>
          <w:szCs w:val="22"/>
        </w:rPr>
        <w:t xml:space="preserve"> </w:t>
      </w:r>
      <w:r w:rsidR="00E72B45" w:rsidRPr="00476AFC">
        <w:rPr>
          <w:bCs/>
          <w:i/>
          <w:sz w:val="22"/>
          <w:szCs w:val="22"/>
        </w:rPr>
        <w:t>informar si bajo las condiciones actuales, el concepto emitido sobre la entrada en</w:t>
      </w:r>
      <w:r w:rsidR="00AC60E8" w:rsidRPr="00476AFC">
        <w:rPr>
          <w:bCs/>
          <w:i/>
          <w:sz w:val="22"/>
          <w:szCs w:val="22"/>
        </w:rPr>
        <w:t xml:space="preserve"> </w:t>
      </w:r>
      <w:r w:rsidR="00E72B45" w:rsidRPr="00476AFC">
        <w:rPr>
          <w:bCs/>
          <w:i/>
          <w:sz w:val="22"/>
          <w:szCs w:val="22"/>
        </w:rPr>
        <w:t>operación de la subestación PAVAS 115 kV se encontraba vigente o era necesario</w:t>
      </w:r>
      <w:r w:rsidR="00AC60E8" w:rsidRPr="00476AFC">
        <w:rPr>
          <w:bCs/>
          <w:i/>
          <w:sz w:val="22"/>
          <w:szCs w:val="22"/>
        </w:rPr>
        <w:t xml:space="preserve"> </w:t>
      </w:r>
      <w:r w:rsidR="00E72B45" w:rsidRPr="00476AFC">
        <w:rPr>
          <w:bCs/>
          <w:i/>
          <w:sz w:val="22"/>
          <w:szCs w:val="22"/>
        </w:rPr>
        <w:t xml:space="preserve">un nuevo análisis, frente a </w:t>
      </w:r>
      <w:r w:rsidR="00AC60E8" w:rsidRPr="00476AFC">
        <w:rPr>
          <w:bCs/>
          <w:i/>
          <w:sz w:val="22"/>
          <w:szCs w:val="22"/>
        </w:rPr>
        <w:t>l</w:t>
      </w:r>
      <w:r w:rsidR="00E72B45" w:rsidRPr="00476AFC">
        <w:rPr>
          <w:bCs/>
          <w:i/>
          <w:sz w:val="22"/>
          <w:szCs w:val="22"/>
        </w:rPr>
        <w:t xml:space="preserve">o cual la UPME a través del RADICADO </w:t>
      </w:r>
      <w:r w:rsidR="009F2042">
        <w:rPr>
          <w:bCs/>
          <w:i/>
          <w:sz w:val="22"/>
          <w:szCs w:val="22"/>
        </w:rPr>
        <w:t>S-</w:t>
      </w:r>
      <w:r w:rsidR="00E72B45" w:rsidRPr="00476AFC">
        <w:rPr>
          <w:bCs/>
          <w:i/>
          <w:sz w:val="22"/>
          <w:szCs w:val="22"/>
        </w:rPr>
        <w:t>2012-000280,</w:t>
      </w:r>
      <w:r w:rsidR="009F2042">
        <w:rPr>
          <w:bCs/>
          <w:i/>
          <w:sz w:val="22"/>
          <w:szCs w:val="22"/>
        </w:rPr>
        <w:t xml:space="preserve"> ratificó </w:t>
      </w:r>
      <w:r w:rsidR="00E72B45" w:rsidRPr="00476AFC">
        <w:rPr>
          <w:bCs/>
          <w:i/>
          <w:sz w:val="22"/>
          <w:szCs w:val="22"/>
        </w:rPr>
        <w:t>el concepto aprobatorio para esta Subestación. Por esta razón, se solicita a</w:t>
      </w:r>
      <w:r w:rsidR="00AC60E8" w:rsidRPr="00476AFC">
        <w:rPr>
          <w:bCs/>
          <w:i/>
          <w:sz w:val="22"/>
          <w:szCs w:val="22"/>
        </w:rPr>
        <w:t xml:space="preserve"> </w:t>
      </w:r>
      <w:r w:rsidR="00E72B45" w:rsidRPr="00476AFC">
        <w:rPr>
          <w:bCs/>
          <w:i/>
          <w:sz w:val="22"/>
          <w:szCs w:val="22"/>
        </w:rPr>
        <w:t>la CREG la remuneración de los activos mencionados y la revisión del criterio sobre</w:t>
      </w:r>
      <w:r w:rsidR="00AC60E8" w:rsidRPr="00476AFC">
        <w:rPr>
          <w:bCs/>
          <w:i/>
          <w:sz w:val="22"/>
          <w:szCs w:val="22"/>
        </w:rPr>
        <w:t xml:space="preserve"> </w:t>
      </w:r>
      <w:r w:rsidR="00E72B45" w:rsidRPr="00476AFC">
        <w:rPr>
          <w:bCs/>
          <w:i/>
          <w:sz w:val="22"/>
          <w:szCs w:val="22"/>
        </w:rPr>
        <w:t>la presentación de conceptos UPME sobre activos de subestaciones ya puestos en</w:t>
      </w:r>
      <w:r w:rsidR="00AC60E8" w:rsidRPr="00476AFC">
        <w:rPr>
          <w:bCs/>
          <w:i/>
          <w:sz w:val="22"/>
          <w:szCs w:val="22"/>
        </w:rPr>
        <w:t xml:space="preserve"> </w:t>
      </w:r>
      <w:r w:rsidR="00E72B45" w:rsidRPr="00476AFC">
        <w:rPr>
          <w:bCs/>
          <w:i/>
          <w:sz w:val="22"/>
          <w:szCs w:val="22"/>
        </w:rPr>
        <w:t>operación. Por otra parte, la UC N4S45 había sido aprobada inicialmente en el</w:t>
      </w:r>
      <w:r w:rsidR="00AC60E8" w:rsidRPr="00476AFC">
        <w:rPr>
          <w:bCs/>
          <w:i/>
          <w:sz w:val="22"/>
          <w:szCs w:val="22"/>
        </w:rPr>
        <w:t xml:space="preserve"> </w:t>
      </w:r>
      <w:r w:rsidR="00E72B45" w:rsidRPr="00476AFC">
        <w:rPr>
          <w:bCs/>
          <w:i/>
          <w:sz w:val="22"/>
          <w:szCs w:val="22"/>
        </w:rPr>
        <w:t xml:space="preserve">concepto UPME 6293 de 2005 bajo la UC de la Resolución CREG 082 de 2002 </w:t>
      </w:r>
      <w:r w:rsidR="00DD2657" w:rsidRPr="00476AFC">
        <w:rPr>
          <w:bCs/>
          <w:i/>
          <w:sz w:val="22"/>
          <w:szCs w:val="22"/>
        </w:rPr>
        <w:t>N4</w:t>
      </w:r>
      <w:r w:rsidR="00DD2657">
        <w:rPr>
          <w:bCs/>
          <w:i/>
          <w:sz w:val="22"/>
          <w:szCs w:val="22"/>
        </w:rPr>
        <w:t>S</w:t>
      </w:r>
      <w:r w:rsidR="00DD2657" w:rsidRPr="00476AFC">
        <w:rPr>
          <w:bCs/>
          <w:i/>
          <w:sz w:val="22"/>
          <w:szCs w:val="22"/>
        </w:rPr>
        <w:t>37</w:t>
      </w:r>
      <w:r w:rsidR="00E72B45" w:rsidRPr="00476AFC">
        <w:rPr>
          <w:bCs/>
          <w:i/>
          <w:sz w:val="22"/>
          <w:szCs w:val="22"/>
        </w:rPr>
        <w:t>.</w:t>
      </w:r>
      <w:r w:rsidR="00AC60E8" w:rsidRPr="00476AFC">
        <w:rPr>
          <w:bCs/>
          <w:i/>
          <w:sz w:val="22"/>
          <w:szCs w:val="22"/>
        </w:rPr>
        <w:t xml:space="preserve"> </w:t>
      </w:r>
      <w:r w:rsidR="00E72B45" w:rsidRPr="00476AFC">
        <w:rPr>
          <w:bCs/>
          <w:i/>
          <w:sz w:val="22"/>
          <w:szCs w:val="22"/>
        </w:rPr>
        <w:t>Ver Anexo 3 Resolución CREG 016 de 2012 y Anexo 4 Concepto UPME 6293 de</w:t>
      </w:r>
      <w:r w:rsidR="00AC60E8" w:rsidRPr="00476AFC">
        <w:rPr>
          <w:bCs/>
          <w:i/>
          <w:sz w:val="22"/>
          <w:szCs w:val="22"/>
        </w:rPr>
        <w:t xml:space="preserve"> </w:t>
      </w:r>
      <w:r w:rsidR="00E72B45" w:rsidRPr="00476AFC">
        <w:rPr>
          <w:bCs/>
          <w:i/>
          <w:sz w:val="22"/>
          <w:szCs w:val="22"/>
        </w:rPr>
        <w:t>2005.</w:t>
      </w:r>
    </w:p>
    <w:p w14:paraId="65CEAF35" w14:textId="77777777" w:rsidR="00AC60E8" w:rsidRPr="00476AFC" w:rsidRDefault="00AC60E8" w:rsidP="00D5583E">
      <w:pPr>
        <w:pStyle w:val="Prrafodelista"/>
        <w:keepLines/>
        <w:numPr>
          <w:ilvl w:val="0"/>
          <w:numId w:val="8"/>
        </w:numPr>
        <w:spacing w:before="120" w:after="120"/>
        <w:ind w:left="1066"/>
        <w:rPr>
          <w:bCs/>
          <w:i/>
          <w:sz w:val="22"/>
          <w:szCs w:val="22"/>
        </w:rPr>
      </w:pPr>
      <w:r w:rsidRPr="00476AFC">
        <w:rPr>
          <w:bCs/>
          <w:i/>
          <w:sz w:val="22"/>
          <w:szCs w:val="22"/>
        </w:rPr>
        <w:lastRenderedPageBreak/>
        <w:t>Se presenta diferencia de -$ 3.559.207.752 en el CRINj,2,8 dado que la CREG argumenta que hay evidencia de mayor canalización que conductor en operación de la UC N2L66, y procede a eliminar 15,8 km de los 22,6 km solicitados. Al respecto, se reitera a la CREG la solicitud de reconocimiento de las longitudes completas de los cárcamos, dado que:</w:t>
      </w:r>
    </w:p>
    <w:p w14:paraId="45246B48" w14:textId="77777777" w:rsidR="00AC60E8" w:rsidRDefault="00AC60E8" w:rsidP="00476AFC">
      <w:pPr>
        <w:keepLines/>
        <w:spacing w:before="200" w:after="200"/>
        <w:ind w:left="1066"/>
        <w:rPr>
          <w:i/>
          <w:sz w:val="22"/>
          <w:szCs w:val="22"/>
        </w:rPr>
      </w:pPr>
      <w:r w:rsidRPr="00AC60E8">
        <w:rPr>
          <w:i/>
          <w:sz w:val="22"/>
          <w:szCs w:val="22"/>
        </w:rPr>
        <w:t>a) Fue observada su existencia en la auditoría efectuada en la semana del 22</w:t>
      </w:r>
      <w:r>
        <w:rPr>
          <w:i/>
          <w:sz w:val="22"/>
          <w:szCs w:val="22"/>
        </w:rPr>
        <w:t xml:space="preserve"> </w:t>
      </w:r>
      <w:r w:rsidRPr="00AC60E8">
        <w:rPr>
          <w:i/>
          <w:sz w:val="22"/>
          <w:szCs w:val="22"/>
        </w:rPr>
        <w:t>al 24 de octubre de 2018.</w:t>
      </w:r>
    </w:p>
    <w:p w14:paraId="213479A2" w14:textId="77777777" w:rsidR="00AC60E8" w:rsidRPr="00AC60E8" w:rsidRDefault="00AC60E8" w:rsidP="00476AFC">
      <w:pPr>
        <w:keepLines/>
        <w:spacing w:before="200" w:after="200"/>
        <w:ind w:left="1066"/>
        <w:rPr>
          <w:i/>
          <w:sz w:val="22"/>
          <w:szCs w:val="22"/>
        </w:rPr>
      </w:pPr>
      <w:r w:rsidRPr="00AC60E8">
        <w:rPr>
          <w:i/>
          <w:sz w:val="22"/>
          <w:szCs w:val="22"/>
        </w:rPr>
        <w:t>b) Estos contienen redes de baja tensión.</w:t>
      </w:r>
    </w:p>
    <w:p w14:paraId="752AF279" w14:textId="77777777" w:rsidR="00AC60E8" w:rsidRDefault="00AC60E8" w:rsidP="00476AFC">
      <w:pPr>
        <w:keepLines/>
        <w:spacing w:before="200" w:after="200"/>
        <w:ind w:left="1066"/>
        <w:rPr>
          <w:i/>
          <w:sz w:val="22"/>
          <w:szCs w:val="22"/>
        </w:rPr>
      </w:pPr>
      <w:r w:rsidRPr="00AC60E8">
        <w:rPr>
          <w:i/>
          <w:sz w:val="22"/>
          <w:szCs w:val="22"/>
        </w:rPr>
        <w:t>c) Se encuentran disponibles para expansiones en media tensión en la zona</w:t>
      </w:r>
      <w:r>
        <w:rPr>
          <w:i/>
          <w:sz w:val="22"/>
          <w:szCs w:val="22"/>
        </w:rPr>
        <w:t xml:space="preserve"> </w:t>
      </w:r>
      <w:r w:rsidRPr="00AC60E8">
        <w:rPr>
          <w:i/>
          <w:sz w:val="22"/>
          <w:szCs w:val="22"/>
        </w:rPr>
        <w:t xml:space="preserve">centro de la ciudad. </w:t>
      </w:r>
    </w:p>
    <w:p w14:paraId="0BA4F5C2" w14:textId="77777777" w:rsidR="00AC60E8" w:rsidRPr="00AC60E8" w:rsidRDefault="00AC60E8" w:rsidP="00476AFC">
      <w:pPr>
        <w:keepLines/>
        <w:spacing w:before="200" w:after="200"/>
        <w:ind w:left="1066"/>
        <w:rPr>
          <w:i/>
          <w:sz w:val="22"/>
          <w:szCs w:val="22"/>
        </w:rPr>
      </w:pPr>
      <w:r w:rsidRPr="00AC60E8">
        <w:rPr>
          <w:i/>
          <w:sz w:val="22"/>
          <w:szCs w:val="22"/>
        </w:rPr>
        <w:t>d) Remuneran uso el de infraestructura de teleoperadores la cual sería</w:t>
      </w:r>
      <w:r w:rsidR="00476AFC">
        <w:rPr>
          <w:i/>
          <w:sz w:val="22"/>
          <w:szCs w:val="22"/>
        </w:rPr>
        <w:t xml:space="preserve"> </w:t>
      </w:r>
      <w:r w:rsidRPr="00AC60E8">
        <w:rPr>
          <w:i/>
          <w:sz w:val="22"/>
          <w:szCs w:val="22"/>
        </w:rPr>
        <w:t>descontada en la variable OI.</w:t>
      </w:r>
    </w:p>
    <w:p w14:paraId="5274D93C" w14:textId="77777777" w:rsidR="00AC60E8" w:rsidRPr="00AC60E8" w:rsidRDefault="00AC60E8" w:rsidP="00476AFC">
      <w:pPr>
        <w:keepLines/>
        <w:spacing w:before="200" w:after="200"/>
        <w:ind w:left="1066"/>
        <w:rPr>
          <w:i/>
          <w:sz w:val="22"/>
          <w:szCs w:val="22"/>
        </w:rPr>
      </w:pPr>
      <w:r w:rsidRPr="00AC60E8">
        <w:rPr>
          <w:i/>
          <w:sz w:val="22"/>
          <w:szCs w:val="22"/>
        </w:rPr>
        <w:t>e) Finalmente, no existe UC en el capítulo 15 de la Resolución CREG 015 de</w:t>
      </w:r>
      <w:r w:rsidR="00476AFC">
        <w:rPr>
          <w:i/>
          <w:sz w:val="22"/>
          <w:szCs w:val="22"/>
        </w:rPr>
        <w:t xml:space="preserve"> </w:t>
      </w:r>
      <w:r w:rsidRPr="00AC60E8">
        <w:rPr>
          <w:i/>
          <w:sz w:val="22"/>
          <w:szCs w:val="22"/>
        </w:rPr>
        <w:t>2015 que describa canalizaciones con red de baja.</w:t>
      </w:r>
    </w:p>
    <w:p w14:paraId="67BEB0C1" w14:textId="77777777" w:rsidR="00AC60E8" w:rsidRPr="00476AFC" w:rsidRDefault="00AC60E8" w:rsidP="00D5583E">
      <w:pPr>
        <w:pStyle w:val="Prrafodelista"/>
        <w:keepLines/>
        <w:numPr>
          <w:ilvl w:val="0"/>
          <w:numId w:val="8"/>
        </w:numPr>
        <w:spacing w:before="120" w:after="120"/>
        <w:ind w:left="1066"/>
        <w:rPr>
          <w:bCs/>
          <w:i/>
          <w:sz w:val="22"/>
          <w:szCs w:val="22"/>
        </w:rPr>
      </w:pPr>
      <w:r w:rsidRPr="00476AFC">
        <w:rPr>
          <w:bCs/>
          <w:i/>
          <w:sz w:val="22"/>
          <w:szCs w:val="22"/>
        </w:rPr>
        <w:t>Se presenta diferencia de -</w:t>
      </w:r>
      <w:r w:rsidR="00476AFC" w:rsidRPr="00476AFC">
        <w:rPr>
          <w:bCs/>
          <w:i/>
          <w:sz w:val="22"/>
          <w:szCs w:val="22"/>
        </w:rPr>
        <w:t>$</w:t>
      </w:r>
      <w:r w:rsidRPr="00476AFC">
        <w:rPr>
          <w:bCs/>
          <w:i/>
          <w:sz w:val="22"/>
          <w:szCs w:val="22"/>
        </w:rPr>
        <w:t>7.871.104.464 en el CRINj,1,11, dado que se</w:t>
      </w:r>
      <w:r w:rsidR="00476AFC" w:rsidRPr="00476AFC">
        <w:rPr>
          <w:bCs/>
          <w:i/>
          <w:sz w:val="22"/>
          <w:szCs w:val="22"/>
        </w:rPr>
        <w:t xml:space="preserve"> </w:t>
      </w:r>
      <w:r w:rsidRPr="00476AFC">
        <w:rPr>
          <w:bCs/>
          <w:i/>
          <w:sz w:val="22"/>
          <w:szCs w:val="22"/>
        </w:rPr>
        <w:t>reconocen 1099 transformadores de baja tensión de los 1811 solicitados,</w:t>
      </w:r>
      <w:r w:rsidR="00476AFC" w:rsidRPr="00476AFC">
        <w:rPr>
          <w:bCs/>
          <w:i/>
          <w:sz w:val="22"/>
          <w:szCs w:val="22"/>
        </w:rPr>
        <w:t xml:space="preserve"> </w:t>
      </w:r>
      <w:r w:rsidRPr="00476AFC">
        <w:rPr>
          <w:bCs/>
          <w:i/>
          <w:sz w:val="22"/>
          <w:szCs w:val="22"/>
        </w:rPr>
        <w:t xml:space="preserve">descontando 712 transformadores sustentado en la </w:t>
      </w:r>
      <w:r w:rsidR="00476AFC" w:rsidRPr="00476AFC">
        <w:rPr>
          <w:bCs/>
          <w:i/>
          <w:sz w:val="22"/>
          <w:szCs w:val="22"/>
        </w:rPr>
        <w:t xml:space="preserve">definición </w:t>
      </w:r>
      <w:r w:rsidRPr="00476AFC">
        <w:rPr>
          <w:bCs/>
          <w:i/>
          <w:sz w:val="22"/>
          <w:szCs w:val="22"/>
        </w:rPr>
        <w:t>de los activos de nivel</w:t>
      </w:r>
      <w:r w:rsidR="00476AFC" w:rsidRPr="00476AFC">
        <w:rPr>
          <w:bCs/>
          <w:i/>
          <w:sz w:val="22"/>
          <w:szCs w:val="22"/>
        </w:rPr>
        <w:t xml:space="preserve"> </w:t>
      </w:r>
      <w:r w:rsidRPr="00476AFC">
        <w:rPr>
          <w:bCs/>
          <w:i/>
          <w:sz w:val="22"/>
          <w:szCs w:val="22"/>
        </w:rPr>
        <w:t>de tensión 1 de la Resolución CREG 015 de 2018, en la cual no se remuneran los</w:t>
      </w:r>
      <w:r w:rsidR="00476AFC" w:rsidRPr="00476AFC">
        <w:rPr>
          <w:bCs/>
          <w:i/>
          <w:sz w:val="22"/>
          <w:szCs w:val="22"/>
        </w:rPr>
        <w:t xml:space="preserve"> </w:t>
      </w:r>
      <w:r w:rsidRPr="00476AFC">
        <w:rPr>
          <w:bCs/>
          <w:i/>
          <w:sz w:val="22"/>
          <w:szCs w:val="22"/>
        </w:rPr>
        <w:t xml:space="preserve">transformadores mayores a 15 </w:t>
      </w:r>
      <w:proofErr w:type="spellStart"/>
      <w:r w:rsidRPr="00476AFC">
        <w:rPr>
          <w:bCs/>
          <w:i/>
          <w:sz w:val="22"/>
          <w:szCs w:val="22"/>
        </w:rPr>
        <w:t>kVA</w:t>
      </w:r>
      <w:proofErr w:type="spellEnd"/>
      <w:r w:rsidRPr="00476AFC">
        <w:rPr>
          <w:bCs/>
          <w:i/>
          <w:sz w:val="22"/>
          <w:szCs w:val="22"/>
        </w:rPr>
        <w:t xml:space="preserve"> con un solo usuario, no obstante, en el archivo</w:t>
      </w:r>
      <w:r w:rsidR="00476AFC" w:rsidRPr="00476AFC">
        <w:rPr>
          <w:bCs/>
          <w:i/>
          <w:sz w:val="22"/>
          <w:szCs w:val="22"/>
        </w:rPr>
        <w:t xml:space="preserve"> </w:t>
      </w:r>
      <w:r w:rsidRPr="00476AFC">
        <w:rPr>
          <w:bCs/>
          <w:i/>
          <w:sz w:val="22"/>
          <w:szCs w:val="22"/>
        </w:rPr>
        <w:t>enviado por ENERGÍA DE PEREIRA el 19 de noviembre de 2019 “ANEXO 2. Formatos</w:t>
      </w:r>
      <w:r w:rsidR="00476AFC" w:rsidRPr="00476AFC">
        <w:rPr>
          <w:bCs/>
          <w:i/>
          <w:sz w:val="22"/>
          <w:szCs w:val="22"/>
        </w:rPr>
        <w:t xml:space="preserve"> </w:t>
      </w:r>
      <w:r w:rsidRPr="00476AFC">
        <w:rPr>
          <w:bCs/>
          <w:i/>
          <w:sz w:val="22"/>
          <w:szCs w:val="22"/>
        </w:rPr>
        <w:t>redes y transformadores de N1 " la cantidad de transformadores que cumplen con</w:t>
      </w:r>
      <w:r w:rsidR="00476AFC" w:rsidRPr="00476AFC">
        <w:rPr>
          <w:bCs/>
          <w:i/>
          <w:sz w:val="22"/>
          <w:szCs w:val="22"/>
        </w:rPr>
        <w:t xml:space="preserve"> </w:t>
      </w:r>
      <w:r w:rsidRPr="00476AFC">
        <w:rPr>
          <w:bCs/>
          <w:i/>
          <w:sz w:val="22"/>
          <w:szCs w:val="22"/>
        </w:rPr>
        <w:t>esta condición son 581, por lo tanto, respetuosamente se solicita a la CREG el</w:t>
      </w:r>
      <w:r w:rsidR="00476AFC" w:rsidRPr="00476AFC">
        <w:rPr>
          <w:bCs/>
          <w:i/>
          <w:sz w:val="22"/>
          <w:szCs w:val="22"/>
        </w:rPr>
        <w:t xml:space="preserve"> </w:t>
      </w:r>
      <w:r w:rsidRPr="00476AFC">
        <w:rPr>
          <w:bCs/>
          <w:i/>
          <w:sz w:val="22"/>
          <w:szCs w:val="22"/>
        </w:rPr>
        <w:t xml:space="preserve">reconocimiento de </w:t>
      </w:r>
      <w:r w:rsidRPr="00476AFC">
        <w:rPr>
          <w:b/>
          <w:i/>
          <w:sz w:val="22"/>
          <w:szCs w:val="22"/>
        </w:rPr>
        <w:t>1230 transformadores de baja tensión</w:t>
      </w:r>
      <w:r w:rsidRPr="00476AFC">
        <w:rPr>
          <w:bCs/>
          <w:i/>
          <w:sz w:val="22"/>
          <w:szCs w:val="22"/>
        </w:rPr>
        <w:t xml:space="preserve"> entrad</w:t>
      </w:r>
      <w:r w:rsidR="00476AFC">
        <w:rPr>
          <w:bCs/>
          <w:i/>
          <w:sz w:val="22"/>
          <w:szCs w:val="22"/>
        </w:rPr>
        <w:t>o</w:t>
      </w:r>
      <w:r w:rsidRPr="00476AFC">
        <w:rPr>
          <w:bCs/>
          <w:i/>
          <w:sz w:val="22"/>
          <w:szCs w:val="22"/>
        </w:rPr>
        <w:t>s en operación en el periodo 2008-2018. Ver Anexo 1. Alcance Auto de pruebas S- 2019-002075.</w:t>
      </w:r>
    </w:p>
    <w:p w14:paraId="198FD3C7" w14:textId="77777777" w:rsidR="00AC60E8" w:rsidRDefault="00476AFC" w:rsidP="00D5583E">
      <w:pPr>
        <w:pStyle w:val="Prrafodelista"/>
        <w:keepLines/>
        <w:numPr>
          <w:ilvl w:val="0"/>
          <w:numId w:val="8"/>
        </w:numPr>
        <w:spacing w:before="120" w:after="120"/>
        <w:rPr>
          <w:bCs/>
          <w:i/>
          <w:sz w:val="22"/>
          <w:szCs w:val="22"/>
        </w:rPr>
      </w:pPr>
      <w:r w:rsidRPr="009C16F9">
        <w:rPr>
          <w:bCs/>
          <w:i/>
          <w:sz w:val="22"/>
          <w:szCs w:val="22"/>
        </w:rPr>
        <w:t xml:space="preserve">Se presenta diferencia de -$ 4.801.036.536 en el CRINj,1,12, dado que se reconocen 493 transformadores con redes de baja tensión de los 1276 solicitados, descontando 783 transformadores sustentado en la definición de activos de nivel de tensión 1 de la Resolución CREG 015 de 2018, en la cual no se remuneran los transformadores mayores a 15 </w:t>
      </w:r>
      <w:proofErr w:type="spellStart"/>
      <w:r w:rsidRPr="009C16F9">
        <w:rPr>
          <w:bCs/>
          <w:i/>
          <w:sz w:val="22"/>
          <w:szCs w:val="22"/>
        </w:rPr>
        <w:t>kVA</w:t>
      </w:r>
      <w:proofErr w:type="spellEnd"/>
      <w:r w:rsidRPr="009C16F9">
        <w:rPr>
          <w:bCs/>
          <w:i/>
          <w:sz w:val="22"/>
          <w:szCs w:val="22"/>
        </w:rPr>
        <w:t xml:space="preserve"> con un solo usuario, sin embargo, la Resolución es explícita acerca de la remuneración de los transformadores menores a 15 </w:t>
      </w:r>
      <w:proofErr w:type="spellStart"/>
      <w:r w:rsidRPr="009C16F9">
        <w:rPr>
          <w:bCs/>
          <w:i/>
          <w:sz w:val="22"/>
          <w:szCs w:val="22"/>
        </w:rPr>
        <w:t>kVA</w:t>
      </w:r>
      <w:proofErr w:type="spellEnd"/>
      <w:r w:rsidRPr="009C16F9">
        <w:rPr>
          <w:bCs/>
          <w:i/>
          <w:sz w:val="22"/>
          <w:szCs w:val="22"/>
        </w:rPr>
        <w:t xml:space="preserve"> y se considera que las redes asociadas a estos deben ser tenidas en cuenta, para el caso de ENERGÍA DE PEREIRA serían 792 transformadores entrados en operación</w:t>
      </w:r>
      <w:r w:rsidR="009C16F9" w:rsidRPr="009C16F9">
        <w:rPr>
          <w:bCs/>
          <w:i/>
          <w:sz w:val="22"/>
          <w:szCs w:val="22"/>
        </w:rPr>
        <w:t xml:space="preserve"> en el periodo 2008-2018. En el archivo enviado por Energía de Pereira el 19 de noviembre de 2019 “ANEXO 2. Formatos redes y transformadores de N1”, es posible</w:t>
      </w:r>
      <w:r w:rsidR="009C16F9">
        <w:rPr>
          <w:bCs/>
          <w:i/>
          <w:sz w:val="22"/>
          <w:szCs w:val="22"/>
        </w:rPr>
        <w:t xml:space="preserve"> </w:t>
      </w:r>
      <w:r w:rsidR="009C16F9" w:rsidRPr="009C16F9">
        <w:rPr>
          <w:bCs/>
          <w:i/>
          <w:sz w:val="22"/>
          <w:szCs w:val="22"/>
        </w:rPr>
        <w:t>asociarlos. Ver Anexo 1. Alcance Auto de pruebas S-2019-002075.</w:t>
      </w:r>
    </w:p>
    <w:p w14:paraId="3DBC2FD7" w14:textId="42750490" w:rsidR="009F2042" w:rsidRDefault="009F2042" w:rsidP="000656BB">
      <w:pPr>
        <w:rPr>
          <w:bCs/>
          <w:lang w:eastAsia="en-US"/>
        </w:rPr>
      </w:pPr>
      <w:r>
        <w:rPr>
          <w:bCs/>
          <w:lang w:eastAsia="en-US"/>
        </w:rPr>
        <w:t>Respecto al cálculo del valor de la inversión puesto en operación entre los años 2008 y diciembre de 2017, la empresa presenta cinco (5) reparos</w:t>
      </w:r>
      <w:r w:rsidR="004A4BC5">
        <w:rPr>
          <w:bCs/>
          <w:lang w:eastAsia="en-US"/>
        </w:rPr>
        <w:t>,</w:t>
      </w:r>
      <w:r>
        <w:rPr>
          <w:bCs/>
          <w:lang w:eastAsia="en-US"/>
        </w:rPr>
        <w:t xml:space="preserve"> frente a lo cual se señala lo siguiente:</w:t>
      </w:r>
    </w:p>
    <w:p w14:paraId="77842DEF" w14:textId="22CACC2D" w:rsidR="009F2042" w:rsidRDefault="009F2042" w:rsidP="00D5583E">
      <w:pPr>
        <w:pStyle w:val="Prrafodelista"/>
        <w:numPr>
          <w:ilvl w:val="0"/>
          <w:numId w:val="11"/>
        </w:numPr>
        <w:rPr>
          <w:bCs/>
          <w:lang w:eastAsia="en-US"/>
        </w:rPr>
      </w:pPr>
      <w:r>
        <w:rPr>
          <w:bCs/>
          <w:lang w:eastAsia="en-US"/>
        </w:rPr>
        <w:t>En cuanto al reconocimiento de la Bahía de transformador configuración barra principal y transferencia, UC N4S8, se considera procedente la solicitud de la empresa</w:t>
      </w:r>
      <w:r w:rsidR="004A4BC5">
        <w:rPr>
          <w:bCs/>
          <w:lang w:eastAsia="en-US"/>
        </w:rPr>
        <w:t>,</w:t>
      </w:r>
      <w:r>
        <w:rPr>
          <w:bCs/>
          <w:lang w:eastAsia="en-US"/>
        </w:rPr>
        <w:t xml:space="preserve"> por cuanto la UC debe incorporarse como un activo en el nivel de tensión 3</w:t>
      </w:r>
      <w:r w:rsidR="004A4BC5">
        <w:rPr>
          <w:bCs/>
          <w:lang w:eastAsia="en-US"/>
        </w:rPr>
        <w:t>,</w:t>
      </w:r>
      <w:r>
        <w:rPr>
          <w:bCs/>
          <w:lang w:eastAsia="en-US"/>
        </w:rPr>
        <w:t xml:space="preserve"> de acuerdo con lo señalado en la Resolución CREG 015 de 2018, en cuyo caso no requiere concepto UPME.</w:t>
      </w:r>
    </w:p>
    <w:p w14:paraId="24E31A12" w14:textId="77777777" w:rsidR="00C6184B" w:rsidRDefault="00C6184B" w:rsidP="00D5583E">
      <w:pPr>
        <w:pStyle w:val="Prrafodelista"/>
        <w:numPr>
          <w:ilvl w:val="0"/>
          <w:numId w:val="11"/>
        </w:numPr>
        <w:rPr>
          <w:bCs/>
          <w:lang w:eastAsia="en-US"/>
        </w:rPr>
      </w:pPr>
      <w:r>
        <w:rPr>
          <w:bCs/>
          <w:lang w:eastAsia="en-US"/>
        </w:rPr>
        <w:t xml:space="preserve">Analizados los argumentos presentados por la empresa y lo señalado en el Documento CREG 005 de 2012, soporte de la Resolución CREG 016 de 2012, se considera procedente incluir en el inventario las UC N4S45, N4EQ3 y </w:t>
      </w:r>
      <w:r>
        <w:rPr>
          <w:bCs/>
          <w:lang w:eastAsia="en-US"/>
        </w:rPr>
        <w:lastRenderedPageBreak/>
        <w:t xml:space="preserve">N4EQ4 solicitadas por la empresa. En cuanto a la UC N4EQ7, esta no cuenta con concepto UPME. </w:t>
      </w:r>
    </w:p>
    <w:p w14:paraId="376BDBE9" w14:textId="2FC4DE5B" w:rsidR="00914A8D" w:rsidRPr="00914A8D" w:rsidRDefault="00914A8D" w:rsidP="00D5583E">
      <w:pPr>
        <w:pStyle w:val="Prrafodelista"/>
        <w:numPr>
          <w:ilvl w:val="0"/>
          <w:numId w:val="11"/>
        </w:numPr>
        <w:rPr>
          <w:bCs/>
          <w:lang w:eastAsia="en-US"/>
        </w:rPr>
      </w:pPr>
      <w:r>
        <w:rPr>
          <w:bCs/>
          <w:lang w:eastAsia="en-US"/>
        </w:rPr>
        <w:t xml:space="preserve">Frente al reconocimiento de </w:t>
      </w:r>
      <w:r w:rsidR="00CB2382">
        <w:rPr>
          <w:bCs/>
          <w:lang w:eastAsia="en-US"/>
        </w:rPr>
        <w:t xml:space="preserve">15,6 km de </w:t>
      </w:r>
      <w:r w:rsidR="00CB2382" w:rsidRPr="00CB2382">
        <w:rPr>
          <w:bCs/>
          <w:lang w:eastAsia="en-US"/>
        </w:rPr>
        <w:t>UC N2L66</w:t>
      </w:r>
      <w:r w:rsidR="00CB2382">
        <w:rPr>
          <w:bCs/>
          <w:lang w:eastAsia="en-US"/>
        </w:rPr>
        <w:t>, a</w:t>
      </w:r>
      <w:r w:rsidRPr="00914A8D">
        <w:rPr>
          <w:bCs/>
          <w:lang w:eastAsia="en-US"/>
        </w:rPr>
        <w:t>nalizados los argumentos presentados por el OR, estos no refutan el hecho de que la cantidad de canalización es mayor que la de los conductores subterráneos</w:t>
      </w:r>
      <w:r w:rsidR="004A4BC5">
        <w:rPr>
          <w:bCs/>
          <w:lang w:eastAsia="en-US"/>
        </w:rPr>
        <w:t>,</w:t>
      </w:r>
      <w:r w:rsidRPr="00914A8D">
        <w:rPr>
          <w:bCs/>
          <w:lang w:eastAsia="en-US"/>
        </w:rPr>
        <w:t xml:space="preserve"> tal como anotó la Comisión en el archivo Inventario reconocido BRA_0 OR - EEP.xlsx, sino que</w:t>
      </w:r>
      <w:r w:rsidR="004A4BC5">
        <w:rPr>
          <w:bCs/>
          <w:lang w:eastAsia="en-US"/>
        </w:rPr>
        <w:t>,</w:t>
      </w:r>
      <w:r w:rsidRPr="00914A8D">
        <w:rPr>
          <w:bCs/>
          <w:lang w:eastAsia="en-US"/>
        </w:rPr>
        <w:t xml:space="preserve"> por el contrario, presenta elementos </w:t>
      </w:r>
      <w:r w:rsidR="004A4BC5">
        <w:rPr>
          <w:bCs/>
          <w:lang w:eastAsia="en-US"/>
        </w:rPr>
        <w:t xml:space="preserve">tales </w:t>
      </w:r>
      <w:r w:rsidRPr="00914A8D">
        <w:rPr>
          <w:bCs/>
          <w:lang w:eastAsia="en-US"/>
        </w:rPr>
        <w:t>como que en el capítulo 15 de la Resolución CREG 015 de 2018 no tiene UC de nivel 1</w:t>
      </w:r>
      <w:r w:rsidR="004A4BC5">
        <w:rPr>
          <w:bCs/>
          <w:lang w:eastAsia="en-US"/>
        </w:rPr>
        <w:t>,</w:t>
      </w:r>
      <w:r w:rsidRPr="00914A8D">
        <w:rPr>
          <w:bCs/>
          <w:lang w:eastAsia="en-US"/>
        </w:rPr>
        <w:t xml:space="preserve"> o que estas canalizaciones contienen redes de este nivel de tensión, desconociendo que la metodología de valoración de las inversiones de la base inicial de activos en el nivel de tensión es distinta y</w:t>
      </w:r>
      <w:r w:rsidR="004A4BC5">
        <w:rPr>
          <w:bCs/>
          <w:lang w:eastAsia="en-US"/>
        </w:rPr>
        <w:t>,</w:t>
      </w:r>
      <w:r w:rsidRPr="00914A8D">
        <w:rPr>
          <w:bCs/>
          <w:lang w:eastAsia="en-US"/>
        </w:rPr>
        <w:t xml:space="preserve"> por tanto</w:t>
      </w:r>
      <w:r w:rsidR="004A4BC5">
        <w:rPr>
          <w:bCs/>
          <w:lang w:eastAsia="en-US"/>
        </w:rPr>
        <w:t>,</w:t>
      </w:r>
      <w:r w:rsidRPr="00914A8D">
        <w:rPr>
          <w:bCs/>
          <w:lang w:eastAsia="en-US"/>
        </w:rPr>
        <w:t xml:space="preserve"> no emplea UC.</w:t>
      </w:r>
    </w:p>
    <w:p w14:paraId="3FE05C66" w14:textId="40C209B3" w:rsidR="009F2042" w:rsidRDefault="006309C0" w:rsidP="00584D86">
      <w:pPr>
        <w:pStyle w:val="Prrafodelista"/>
        <w:numPr>
          <w:ilvl w:val="0"/>
          <w:numId w:val="0"/>
        </w:numPr>
        <w:ind w:left="360"/>
        <w:rPr>
          <w:lang w:eastAsia="en-US"/>
        </w:rPr>
      </w:pPr>
      <w:r>
        <w:rPr>
          <w:lang w:eastAsia="en-US"/>
        </w:rPr>
        <w:t>Teniendo en cuenta</w:t>
      </w:r>
      <w:r w:rsidR="00914A8D">
        <w:rPr>
          <w:lang w:eastAsia="en-US"/>
        </w:rPr>
        <w:t xml:space="preserve"> lo anterior, no se considera procedente la solicitud del OR.</w:t>
      </w:r>
    </w:p>
    <w:p w14:paraId="1D459E55" w14:textId="77777777" w:rsidR="00CB2382" w:rsidRDefault="00CB2382" w:rsidP="00D5583E">
      <w:pPr>
        <w:pStyle w:val="Prrafodelista"/>
        <w:numPr>
          <w:ilvl w:val="0"/>
          <w:numId w:val="11"/>
        </w:numPr>
        <w:rPr>
          <w:bCs/>
          <w:lang w:eastAsia="en-US"/>
        </w:rPr>
      </w:pPr>
      <w:r>
        <w:rPr>
          <w:bCs/>
          <w:lang w:eastAsia="en-US"/>
        </w:rPr>
        <w:t xml:space="preserve">En cuanto </w:t>
      </w:r>
      <w:r w:rsidRPr="00CB2382">
        <w:rPr>
          <w:bCs/>
          <w:lang w:eastAsia="en-US"/>
        </w:rPr>
        <w:t>al reconocimiento de 1</w:t>
      </w:r>
      <w:r>
        <w:rPr>
          <w:bCs/>
          <w:lang w:eastAsia="en-US"/>
        </w:rPr>
        <w:t>.</w:t>
      </w:r>
      <w:r w:rsidRPr="00CB2382">
        <w:rPr>
          <w:bCs/>
          <w:lang w:eastAsia="en-US"/>
        </w:rPr>
        <w:t xml:space="preserve">230 transformadores de nivel de tensión 1 en vez de </w:t>
      </w:r>
      <w:r>
        <w:rPr>
          <w:bCs/>
          <w:lang w:eastAsia="en-US"/>
        </w:rPr>
        <w:t xml:space="preserve">los </w:t>
      </w:r>
      <w:r w:rsidRPr="00CB2382">
        <w:rPr>
          <w:bCs/>
          <w:lang w:eastAsia="en-US"/>
        </w:rPr>
        <w:t>1</w:t>
      </w:r>
      <w:r>
        <w:rPr>
          <w:bCs/>
          <w:lang w:eastAsia="en-US"/>
        </w:rPr>
        <w:t>.</w:t>
      </w:r>
      <w:r w:rsidRPr="00CB2382">
        <w:rPr>
          <w:bCs/>
          <w:lang w:eastAsia="en-US"/>
        </w:rPr>
        <w:t xml:space="preserve">099 inicialmente considerados en el cálculo, </w:t>
      </w:r>
      <w:r>
        <w:rPr>
          <w:bCs/>
          <w:lang w:eastAsia="en-US"/>
        </w:rPr>
        <w:t xml:space="preserve">la Comisión señala que la </w:t>
      </w:r>
      <w:r w:rsidR="009203F5">
        <w:rPr>
          <w:bCs/>
          <w:lang w:eastAsia="en-US"/>
        </w:rPr>
        <w:t xml:space="preserve">discrepancia </w:t>
      </w:r>
      <w:r>
        <w:rPr>
          <w:bCs/>
          <w:lang w:eastAsia="en-US"/>
        </w:rPr>
        <w:t xml:space="preserve">corresponde </w:t>
      </w:r>
      <w:r w:rsidR="009203F5">
        <w:rPr>
          <w:bCs/>
          <w:lang w:eastAsia="en-US"/>
        </w:rPr>
        <w:t>a la diferencia de transformadores identificados por la Comisión en el SUI, 5.800, frente a lo reportado por la empresa, 5.931 transformadores, a diciembre de 2017.</w:t>
      </w:r>
    </w:p>
    <w:p w14:paraId="12D7DE3A" w14:textId="77777777" w:rsidR="009203F5" w:rsidRDefault="009203F5" w:rsidP="00584D86">
      <w:pPr>
        <w:pStyle w:val="Prrafodelista"/>
        <w:numPr>
          <w:ilvl w:val="0"/>
          <w:numId w:val="0"/>
        </w:numPr>
        <w:ind w:left="360"/>
        <w:rPr>
          <w:bCs/>
          <w:lang w:eastAsia="en-US"/>
        </w:rPr>
      </w:pPr>
      <w:r>
        <w:rPr>
          <w:bCs/>
          <w:lang w:eastAsia="en-US"/>
        </w:rPr>
        <w:t>La diferencia de 131 fue descontada de la cantidad de transformadores emplead</w:t>
      </w:r>
      <w:r w:rsidR="00EA5386">
        <w:rPr>
          <w:bCs/>
          <w:lang w:eastAsia="en-US"/>
        </w:rPr>
        <w:t>a</w:t>
      </w:r>
      <w:r>
        <w:rPr>
          <w:bCs/>
          <w:lang w:eastAsia="en-US"/>
        </w:rPr>
        <w:t xml:space="preserve"> para el cálculo de las inversiones. En la siguiente tabla se presenta el análisis realizado para los transformadores:</w:t>
      </w:r>
    </w:p>
    <w:tbl>
      <w:tblPr>
        <w:tblStyle w:val="Tablaconcuadrcula"/>
        <w:tblW w:w="0" w:type="auto"/>
        <w:jc w:val="center"/>
        <w:tblLook w:val="04A0" w:firstRow="1" w:lastRow="0" w:firstColumn="1" w:lastColumn="0" w:noHBand="0" w:noVBand="1"/>
      </w:tblPr>
      <w:tblGrid>
        <w:gridCol w:w="2471"/>
        <w:gridCol w:w="1559"/>
        <w:gridCol w:w="850"/>
        <w:gridCol w:w="1042"/>
      </w:tblGrid>
      <w:tr w:rsidR="00EA5386" w:rsidRPr="009203F5" w14:paraId="2BF08036" w14:textId="77777777" w:rsidTr="00EA5386">
        <w:trPr>
          <w:jc w:val="center"/>
        </w:trPr>
        <w:tc>
          <w:tcPr>
            <w:tcW w:w="2471" w:type="dxa"/>
            <w:vAlign w:val="center"/>
          </w:tcPr>
          <w:p w14:paraId="7E750526" w14:textId="77777777" w:rsidR="00EA5386" w:rsidRPr="009203F5" w:rsidRDefault="00EA5386" w:rsidP="009203F5">
            <w:pPr>
              <w:pStyle w:val="Prrafodelista"/>
              <w:numPr>
                <w:ilvl w:val="0"/>
                <w:numId w:val="0"/>
              </w:numPr>
              <w:spacing w:before="0" w:after="0"/>
              <w:jc w:val="center"/>
              <w:rPr>
                <w:b/>
                <w:sz w:val="20"/>
                <w:szCs w:val="16"/>
                <w:lang w:eastAsia="en-US"/>
              </w:rPr>
            </w:pPr>
            <w:proofErr w:type="gramStart"/>
            <w:r w:rsidRPr="009203F5">
              <w:rPr>
                <w:b/>
                <w:sz w:val="20"/>
                <w:szCs w:val="16"/>
                <w:lang w:eastAsia="en-US"/>
              </w:rPr>
              <w:t>Clasificación transformador</w:t>
            </w:r>
            <w:proofErr w:type="gramEnd"/>
          </w:p>
        </w:tc>
        <w:tc>
          <w:tcPr>
            <w:tcW w:w="1559" w:type="dxa"/>
            <w:vAlign w:val="center"/>
          </w:tcPr>
          <w:p w14:paraId="6A5377D7" w14:textId="77777777" w:rsidR="00EA5386" w:rsidRPr="009203F5" w:rsidRDefault="00EA5386" w:rsidP="009203F5">
            <w:pPr>
              <w:pStyle w:val="Prrafodelista"/>
              <w:numPr>
                <w:ilvl w:val="0"/>
                <w:numId w:val="0"/>
              </w:numPr>
              <w:spacing w:before="0" w:after="0"/>
              <w:jc w:val="center"/>
              <w:rPr>
                <w:b/>
                <w:sz w:val="20"/>
                <w:szCs w:val="16"/>
                <w:lang w:eastAsia="en-US"/>
              </w:rPr>
            </w:pPr>
            <w:r>
              <w:rPr>
                <w:b/>
                <w:sz w:val="20"/>
                <w:szCs w:val="16"/>
                <w:lang w:eastAsia="en-US"/>
              </w:rPr>
              <w:t xml:space="preserve">A diciembre </w:t>
            </w:r>
            <w:r w:rsidRPr="009203F5">
              <w:rPr>
                <w:b/>
                <w:sz w:val="20"/>
                <w:szCs w:val="16"/>
                <w:lang w:eastAsia="en-US"/>
              </w:rPr>
              <w:t>2017</w:t>
            </w:r>
          </w:p>
        </w:tc>
        <w:tc>
          <w:tcPr>
            <w:tcW w:w="850" w:type="dxa"/>
            <w:vAlign w:val="center"/>
          </w:tcPr>
          <w:p w14:paraId="1F2968D2" w14:textId="77777777" w:rsidR="00EA5386" w:rsidRPr="009203F5" w:rsidRDefault="00EA5386" w:rsidP="009203F5">
            <w:pPr>
              <w:pStyle w:val="Prrafodelista"/>
              <w:numPr>
                <w:ilvl w:val="0"/>
                <w:numId w:val="0"/>
              </w:numPr>
              <w:spacing w:before="0" w:after="0"/>
              <w:jc w:val="center"/>
              <w:rPr>
                <w:b/>
                <w:sz w:val="20"/>
                <w:szCs w:val="16"/>
                <w:lang w:eastAsia="en-US"/>
              </w:rPr>
            </w:pPr>
            <w:r w:rsidRPr="009203F5">
              <w:rPr>
                <w:b/>
                <w:sz w:val="20"/>
                <w:szCs w:val="16"/>
                <w:lang w:eastAsia="en-US"/>
              </w:rPr>
              <w:t>2018</w:t>
            </w:r>
          </w:p>
        </w:tc>
        <w:tc>
          <w:tcPr>
            <w:tcW w:w="1042" w:type="dxa"/>
            <w:vAlign w:val="center"/>
          </w:tcPr>
          <w:p w14:paraId="12A7017B" w14:textId="77777777" w:rsidR="00EA5386" w:rsidRPr="009203F5" w:rsidRDefault="00EA5386" w:rsidP="009203F5">
            <w:pPr>
              <w:pStyle w:val="Prrafodelista"/>
              <w:numPr>
                <w:ilvl w:val="0"/>
                <w:numId w:val="0"/>
              </w:numPr>
              <w:spacing w:before="0" w:after="0"/>
              <w:jc w:val="center"/>
              <w:rPr>
                <w:b/>
                <w:sz w:val="20"/>
                <w:szCs w:val="16"/>
                <w:lang w:eastAsia="en-US"/>
              </w:rPr>
            </w:pPr>
            <w:r>
              <w:rPr>
                <w:b/>
                <w:sz w:val="20"/>
                <w:szCs w:val="16"/>
                <w:lang w:eastAsia="en-US"/>
              </w:rPr>
              <w:t xml:space="preserve">Total </w:t>
            </w:r>
          </w:p>
        </w:tc>
      </w:tr>
      <w:tr w:rsidR="00EA5386" w:rsidRPr="009203F5" w14:paraId="74D972B9" w14:textId="77777777" w:rsidTr="00EA5386">
        <w:trPr>
          <w:jc w:val="center"/>
        </w:trPr>
        <w:tc>
          <w:tcPr>
            <w:tcW w:w="2471" w:type="dxa"/>
          </w:tcPr>
          <w:p w14:paraId="447357C2" w14:textId="77777777" w:rsidR="00EA5386" w:rsidRPr="009203F5" w:rsidRDefault="00EA5386" w:rsidP="009203F5">
            <w:pPr>
              <w:pStyle w:val="Prrafodelista"/>
              <w:numPr>
                <w:ilvl w:val="0"/>
                <w:numId w:val="0"/>
              </w:numPr>
              <w:spacing w:before="0" w:after="0"/>
              <w:rPr>
                <w:bCs/>
                <w:sz w:val="20"/>
                <w:szCs w:val="16"/>
                <w:lang w:eastAsia="en-US"/>
              </w:rPr>
            </w:pPr>
            <w:r w:rsidRPr="009203F5">
              <w:rPr>
                <w:bCs/>
                <w:sz w:val="20"/>
                <w:szCs w:val="16"/>
                <w:lang w:eastAsia="en-US"/>
              </w:rPr>
              <w:t>Uso</w:t>
            </w:r>
          </w:p>
        </w:tc>
        <w:tc>
          <w:tcPr>
            <w:tcW w:w="1559" w:type="dxa"/>
            <w:vAlign w:val="center"/>
          </w:tcPr>
          <w:p w14:paraId="17FA738A" w14:textId="77777777" w:rsidR="00EA5386" w:rsidRPr="009203F5" w:rsidRDefault="00EA5386" w:rsidP="009203F5">
            <w:pPr>
              <w:pStyle w:val="Prrafodelista"/>
              <w:numPr>
                <w:ilvl w:val="0"/>
                <w:numId w:val="0"/>
              </w:numPr>
              <w:spacing w:before="0" w:after="0"/>
              <w:jc w:val="right"/>
              <w:rPr>
                <w:bCs/>
                <w:sz w:val="20"/>
                <w:szCs w:val="16"/>
                <w:lang w:eastAsia="en-US"/>
              </w:rPr>
            </w:pPr>
            <w:r>
              <w:rPr>
                <w:bCs/>
                <w:sz w:val="20"/>
                <w:szCs w:val="16"/>
                <w:lang w:eastAsia="en-US"/>
              </w:rPr>
              <w:t>918</w:t>
            </w:r>
          </w:p>
        </w:tc>
        <w:tc>
          <w:tcPr>
            <w:tcW w:w="850" w:type="dxa"/>
            <w:vAlign w:val="center"/>
          </w:tcPr>
          <w:p w14:paraId="7E2F223C" w14:textId="77777777" w:rsidR="00EA5386" w:rsidRPr="009203F5" w:rsidRDefault="00EA5386" w:rsidP="009203F5">
            <w:pPr>
              <w:pStyle w:val="Prrafodelista"/>
              <w:numPr>
                <w:ilvl w:val="0"/>
                <w:numId w:val="0"/>
              </w:numPr>
              <w:spacing w:before="0" w:after="0"/>
              <w:jc w:val="right"/>
              <w:rPr>
                <w:bCs/>
                <w:sz w:val="20"/>
                <w:szCs w:val="16"/>
                <w:lang w:eastAsia="en-US"/>
              </w:rPr>
            </w:pPr>
            <w:r>
              <w:rPr>
                <w:bCs/>
                <w:sz w:val="20"/>
                <w:szCs w:val="16"/>
                <w:lang w:eastAsia="en-US"/>
              </w:rPr>
              <w:t>57</w:t>
            </w:r>
          </w:p>
        </w:tc>
        <w:tc>
          <w:tcPr>
            <w:tcW w:w="1042" w:type="dxa"/>
            <w:vAlign w:val="center"/>
          </w:tcPr>
          <w:p w14:paraId="71416555" w14:textId="77777777" w:rsidR="00EA5386" w:rsidRPr="009203F5" w:rsidRDefault="00EA5386" w:rsidP="00EA5386">
            <w:pPr>
              <w:pStyle w:val="Prrafodelista"/>
              <w:numPr>
                <w:ilvl w:val="0"/>
                <w:numId w:val="0"/>
              </w:numPr>
              <w:spacing w:before="0" w:after="0"/>
              <w:jc w:val="right"/>
              <w:rPr>
                <w:bCs/>
                <w:sz w:val="20"/>
                <w:szCs w:val="16"/>
                <w:lang w:eastAsia="en-US"/>
              </w:rPr>
            </w:pPr>
            <w:r>
              <w:rPr>
                <w:bCs/>
                <w:sz w:val="20"/>
                <w:szCs w:val="16"/>
                <w:lang w:eastAsia="en-US"/>
              </w:rPr>
              <w:t>975</w:t>
            </w:r>
          </w:p>
        </w:tc>
      </w:tr>
      <w:tr w:rsidR="00EA5386" w:rsidRPr="009203F5" w14:paraId="7175A64A" w14:textId="77777777" w:rsidTr="00EA5386">
        <w:trPr>
          <w:jc w:val="center"/>
        </w:trPr>
        <w:tc>
          <w:tcPr>
            <w:tcW w:w="2471" w:type="dxa"/>
          </w:tcPr>
          <w:p w14:paraId="5513255B" w14:textId="77777777" w:rsidR="00EA5386" w:rsidRPr="009203F5" w:rsidRDefault="00EA5386" w:rsidP="009203F5">
            <w:pPr>
              <w:pStyle w:val="Prrafodelista"/>
              <w:numPr>
                <w:ilvl w:val="0"/>
                <w:numId w:val="0"/>
              </w:numPr>
              <w:spacing w:before="0" w:after="0"/>
              <w:rPr>
                <w:bCs/>
                <w:sz w:val="20"/>
                <w:szCs w:val="16"/>
                <w:lang w:eastAsia="en-US"/>
              </w:rPr>
            </w:pPr>
            <w:r>
              <w:rPr>
                <w:bCs/>
                <w:sz w:val="20"/>
                <w:szCs w:val="16"/>
                <w:lang w:eastAsia="en-US"/>
              </w:rPr>
              <w:t xml:space="preserve">Conexión ≤15 </w:t>
            </w:r>
            <w:proofErr w:type="spellStart"/>
            <w:r>
              <w:rPr>
                <w:bCs/>
                <w:sz w:val="20"/>
                <w:szCs w:val="16"/>
                <w:lang w:eastAsia="en-US"/>
              </w:rPr>
              <w:t>kVA</w:t>
            </w:r>
            <w:proofErr w:type="spellEnd"/>
          </w:p>
        </w:tc>
        <w:tc>
          <w:tcPr>
            <w:tcW w:w="1559" w:type="dxa"/>
            <w:vAlign w:val="center"/>
          </w:tcPr>
          <w:p w14:paraId="5A8D0187" w14:textId="77777777" w:rsidR="00EA5386" w:rsidRPr="009203F5" w:rsidRDefault="00EA5386" w:rsidP="009203F5">
            <w:pPr>
              <w:pStyle w:val="Prrafodelista"/>
              <w:numPr>
                <w:ilvl w:val="0"/>
                <w:numId w:val="0"/>
              </w:numPr>
              <w:spacing w:before="0" w:after="0"/>
              <w:jc w:val="right"/>
              <w:rPr>
                <w:bCs/>
                <w:sz w:val="20"/>
                <w:szCs w:val="16"/>
                <w:lang w:eastAsia="en-US"/>
              </w:rPr>
            </w:pPr>
            <w:r>
              <w:rPr>
                <w:bCs/>
                <w:sz w:val="20"/>
                <w:szCs w:val="16"/>
                <w:lang w:eastAsia="en-US"/>
              </w:rPr>
              <w:t>249</w:t>
            </w:r>
          </w:p>
        </w:tc>
        <w:tc>
          <w:tcPr>
            <w:tcW w:w="850" w:type="dxa"/>
            <w:vAlign w:val="center"/>
          </w:tcPr>
          <w:p w14:paraId="6E808057" w14:textId="77777777" w:rsidR="00EA5386" w:rsidRPr="009203F5" w:rsidRDefault="00EA5386" w:rsidP="009203F5">
            <w:pPr>
              <w:pStyle w:val="Prrafodelista"/>
              <w:numPr>
                <w:ilvl w:val="0"/>
                <w:numId w:val="0"/>
              </w:numPr>
              <w:spacing w:before="0" w:after="0"/>
              <w:jc w:val="right"/>
              <w:rPr>
                <w:bCs/>
                <w:sz w:val="20"/>
                <w:szCs w:val="16"/>
                <w:lang w:eastAsia="en-US"/>
              </w:rPr>
            </w:pPr>
            <w:r>
              <w:rPr>
                <w:bCs/>
                <w:sz w:val="20"/>
                <w:szCs w:val="16"/>
                <w:lang w:eastAsia="en-US"/>
              </w:rPr>
              <w:t>6</w:t>
            </w:r>
          </w:p>
        </w:tc>
        <w:tc>
          <w:tcPr>
            <w:tcW w:w="1042" w:type="dxa"/>
            <w:vAlign w:val="center"/>
          </w:tcPr>
          <w:p w14:paraId="52C883D0" w14:textId="77777777" w:rsidR="00EA5386" w:rsidRPr="009203F5" w:rsidRDefault="00EA5386" w:rsidP="00EA5386">
            <w:pPr>
              <w:pStyle w:val="Prrafodelista"/>
              <w:numPr>
                <w:ilvl w:val="0"/>
                <w:numId w:val="0"/>
              </w:numPr>
              <w:spacing w:before="0" w:after="0"/>
              <w:jc w:val="right"/>
              <w:rPr>
                <w:bCs/>
                <w:sz w:val="20"/>
                <w:szCs w:val="16"/>
                <w:lang w:eastAsia="en-US"/>
              </w:rPr>
            </w:pPr>
            <w:r>
              <w:rPr>
                <w:bCs/>
                <w:sz w:val="20"/>
                <w:szCs w:val="16"/>
                <w:lang w:eastAsia="en-US"/>
              </w:rPr>
              <w:t>255</w:t>
            </w:r>
          </w:p>
        </w:tc>
      </w:tr>
      <w:tr w:rsidR="00EA5386" w:rsidRPr="009203F5" w14:paraId="166E846B" w14:textId="77777777" w:rsidTr="00EA5386">
        <w:trPr>
          <w:jc w:val="center"/>
        </w:trPr>
        <w:tc>
          <w:tcPr>
            <w:tcW w:w="2471" w:type="dxa"/>
          </w:tcPr>
          <w:p w14:paraId="49795C05" w14:textId="77777777" w:rsidR="00EA5386" w:rsidRPr="009203F5" w:rsidRDefault="00EA5386" w:rsidP="009203F5">
            <w:pPr>
              <w:pStyle w:val="Prrafodelista"/>
              <w:numPr>
                <w:ilvl w:val="0"/>
                <w:numId w:val="0"/>
              </w:numPr>
              <w:spacing w:before="0" w:after="0"/>
              <w:rPr>
                <w:bCs/>
                <w:sz w:val="20"/>
                <w:szCs w:val="16"/>
                <w:lang w:eastAsia="en-US"/>
              </w:rPr>
            </w:pPr>
            <w:r>
              <w:rPr>
                <w:bCs/>
                <w:sz w:val="20"/>
                <w:szCs w:val="16"/>
                <w:lang w:eastAsia="en-US"/>
              </w:rPr>
              <w:t xml:space="preserve">Conexión &gt; 15 </w:t>
            </w:r>
            <w:proofErr w:type="spellStart"/>
            <w:r>
              <w:rPr>
                <w:bCs/>
                <w:sz w:val="20"/>
                <w:szCs w:val="16"/>
                <w:lang w:eastAsia="en-US"/>
              </w:rPr>
              <w:t>kVA</w:t>
            </w:r>
            <w:proofErr w:type="spellEnd"/>
          </w:p>
        </w:tc>
        <w:tc>
          <w:tcPr>
            <w:tcW w:w="1559" w:type="dxa"/>
            <w:vAlign w:val="center"/>
          </w:tcPr>
          <w:p w14:paraId="4FCBFE76" w14:textId="77777777" w:rsidR="00EA5386" w:rsidRPr="009203F5" w:rsidRDefault="00EA5386" w:rsidP="009203F5">
            <w:pPr>
              <w:pStyle w:val="Prrafodelista"/>
              <w:numPr>
                <w:ilvl w:val="0"/>
                <w:numId w:val="0"/>
              </w:numPr>
              <w:spacing w:before="0" w:after="0"/>
              <w:jc w:val="right"/>
              <w:rPr>
                <w:bCs/>
                <w:sz w:val="20"/>
                <w:szCs w:val="16"/>
                <w:lang w:eastAsia="en-US"/>
              </w:rPr>
            </w:pPr>
            <w:r>
              <w:rPr>
                <w:bCs/>
                <w:sz w:val="20"/>
                <w:szCs w:val="16"/>
                <w:lang w:eastAsia="en-US"/>
              </w:rPr>
              <w:t>562</w:t>
            </w:r>
          </w:p>
        </w:tc>
        <w:tc>
          <w:tcPr>
            <w:tcW w:w="850" w:type="dxa"/>
            <w:vAlign w:val="center"/>
          </w:tcPr>
          <w:p w14:paraId="5FEDDC1E" w14:textId="77777777" w:rsidR="00EA5386" w:rsidRPr="009203F5" w:rsidRDefault="00EA5386" w:rsidP="009203F5">
            <w:pPr>
              <w:pStyle w:val="Prrafodelista"/>
              <w:numPr>
                <w:ilvl w:val="0"/>
                <w:numId w:val="0"/>
              </w:numPr>
              <w:spacing w:before="0" w:after="0"/>
              <w:jc w:val="right"/>
              <w:rPr>
                <w:bCs/>
                <w:sz w:val="20"/>
                <w:szCs w:val="16"/>
                <w:lang w:eastAsia="en-US"/>
              </w:rPr>
            </w:pPr>
            <w:r>
              <w:rPr>
                <w:bCs/>
                <w:sz w:val="20"/>
                <w:szCs w:val="16"/>
                <w:lang w:eastAsia="en-US"/>
              </w:rPr>
              <w:t>19</w:t>
            </w:r>
          </w:p>
        </w:tc>
        <w:tc>
          <w:tcPr>
            <w:tcW w:w="1042" w:type="dxa"/>
            <w:vAlign w:val="center"/>
          </w:tcPr>
          <w:p w14:paraId="43225047" w14:textId="77777777" w:rsidR="00EA5386" w:rsidRPr="009203F5" w:rsidRDefault="00EA5386" w:rsidP="00EA5386">
            <w:pPr>
              <w:pStyle w:val="Prrafodelista"/>
              <w:numPr>
                <w:ilvl w:val="0"/>
                <w:numId w:val="0"/>
              </w:numPr>
              <w:spacing w:before="0" w:after="0"/>
              <w:jc w:val="right"/>
              <w:rPr>
                <w:bCs/>
                <w:sz w:val="20"/>
                <w:szCs w:val="16"/>
                <w:lang w:eastAsia="en-US"/>
              </w:rPr>
            </w:pPr>
            <w:r>
              <w:rPr>
                <w:bCs/>
                <w:sz w:val="20"/>
                <w:szCs w:val="16"/>
                <w:lang w:eastAsia="en-US"/>
              </w:rPr>
              <w:t>581</w:t>
            </w:r>
          </w:p>
        </w:tc>
      </w:tr>
      <w:tr w:rsidR="00EA5386" w:rsidRPr="009203F5" w14:paraId="6EB4C65B" w14:textId="77777777" w:rsidTr="00EA5386">
        <w:trPr>
          <w:jc w:val="center"/>
        </w:trPr>
        <w:tc>
          <w:tcPr>
            <w:tcW w:w="2471" w:type="dxa"/>
          </w:tcPr>
          <w:p w14:paraId="28DAC16F" w14:textId="77777777" w:rsidR="00EA5386" w:rsidRDefault="00EA5386" w:rsidP="009203F5">
            <w:pPr>
              <w:pStyle w:val="Prrafodelista"/>
              <w:numPr>
                <w:ilvl w:val="0"/>
                <w:numId w:val="0"/>
              </w:numPr>
              <w:spacing w:before="0" w:after="0"/>
              <w:rPr>
                <w:bCs/>
                <w:sz w:val="20"/>
                <w:szCs w:val="16"/>
                <w:lang w:eastAsia="en-US"/>
              </w:rPr>
            </w:pPr>
            <w:r>
              <w:rPr>
                <w:bCs/>
                <w:sz w:val="20"/>
                <w:szCs w:val="16"/>
                <w:lang w:eastAsia="en-US"/>
              </w:rPr>
              <w:t xml:space="preserve">Total </w:t>
            </w:r>
          </w:p>
        </w:tc>
        <w:tc>
          <w:tcPr>
            <w:tcW w:w="1559" w:type="dxa"/>
            <w:vAlign w:val="center"/>
          </w:tcPr>
          <w:p w14:paraId="6B3B7A84" w14:textId="77777777" w:rsidR="00EA5386" w:rsidRDefault="00EA5386" w:rsidP="009203F5">
            <w:pPr>
              <w:pStyle w:val="Prrafodelista"/>
              <w:numPr>
                <w:ilvl w:val="0"/>
                <w:numId w:val="0"/>
              </w:numPr>
              <w:spacing w:before="0" w:after="0"/>
              <w:jc w:val="right"/>
              <w:rPr>
                <w:bCs/>
                <w:sz w:val="20"/>
                <w:szCs w:val="16"/>
                <w:lang w:eastAsia="en-US"/>
              </w:rPr>
            </w:pPr>
            <w:r>
              <w:rPr>
                <w:bCs/>
                <w:sz w:val="20"/>
                <w:szCs w:val="16"/>
                <w:lang w:eastAsia="en-US"/>
              </w:rPr>
              <w:t>1.729</w:t>
            </w:r>
          </w:p>
        </w:tc>
        <w:tc>
          <w:tcPr>
            <w:tcW w:w="850" w:type="dxa"/>
            <w:vAlign w:val="center"/>
          </w:tcPr>
          <w:p w14:paraId="63D806D2" w14:textId="77777777" w:rsidR="00EA5386" w:rsidRPr="009203F5" w:rsidRDefault="00EA5386" w:rsidP="009203F5">
            <w:pPr>
              <w:pStyle w:val="Prrafodelista"/>
              <w:numPr>
                <w:ilvl w:val="0"/>
                <w:numId w:val="0"/>
              </w:numPr>
              <w:spacing w:before="0" w:after="0"/>
              <w:jc w:val="right"/>
              <w:rPr>
                <w:bCs/>
                <w:sz w:val="20"/>
                <w:szCs w:val="16"/>
                <w:lang w:eastAsia="en-US"/>
              </w:rPr>
            </w:pPr>
            <w:r>
              <w:rPr>
                <w:bCs/>
                <w:sz w:val="20"/>
                <w:szCs w:val="16"/>
                <w:lang w:eastAsia="en-US"/>
              </w:rPr>
              <w:t>82</w:t>
            </w:r>
          </w:p>
        </w:tc>
        <w:tc>
          <w:tcPr>
            <w:tcW w:w="1042" w:type="dxa"/>
            <w:vAlign w:val="center"/>
          </w:tcPr>
          <w:p w14:paraId="718AA3A4" w14:textId="77777777" w:rsidR="00EA5386" w:rsidRPr="009203F5" w:rsidRDefault="00EA5386" w:rsidP="00EA5386">
            <w:pPr>
              <w:pStyle w:val="Prrafodelista"/>
              <w:numPr>
                <w:ilvl w:val="0"/>
                <w:numId w:val="0"/>
              </w:numPr>
              <w:spacing w:before="0" w:after="0"/>
              <w:jc w:val="right"/>
              <w:rPr>
                <w:bCs/>
                <w:sz w:val="20"/>
                <w:szCs w:val="16"/>
                <w:lang w:eastAsia="en-US"/>
              </w:rPr>
            </w:pPr>
            <w:r>
              <w:rPr>
                <w:bCs/>
                <w:sz w:val="20"/>
                <w:szCs w:val="16"/>
                <w:lang w:eastAsia="en-US"/>
              </w:rPr>
              <w:t>1.811</w:t>
            </w:r>
          </w:p>
        </w:tc>
      </w:tr>
    </w:tbl>
    <w:p w14:paraId="282A93F6" w14:textId="1880E28D" w:rsidR="00EA5386" w:rsidRPr="00584D86" w:rsidRDefault="00EA5386" w:rsidP="00584D86">
      <w:pPr>
        <w:pStyle w:val="Prrafodelista"/>
        <w:numPr>
          <w:ilvl w:val="0"/>
          <w:numId w:val="0"/>
        </w:numPr>
        <w:ind w:left="360"/>
        <w:rPr>
          <w:bCs/>
          <w:lang w:eastAsia="en-US"/>
        </w:rPr>
      </w:pPr>
      <w:r w:rsidRPr="00584D86">
        <w:rPr>
          <w:bCs/>
          <w:lang w:eastAsia="en-US"/>
        </w:rPr>
        <w:t>Los transformadores empleados resultan de la suma de 975 y 255</w:t>
      </w:r>
      <w:r w:rsidR="004A4BC5">
        <w:rPr>
          <w:bCs/>
          <w:lang w:eastAsia="en-US"/>
        </w:rPr>
        <w:t>,</w:t>
      </w:r>
      <w:r w:rsidRPr="00584D86">
        <w:rPr>
          <w:bCs/>
          <w:lang w:eastAsia="en-US"/>
        </w:rPr>
        <w:t xml:space="preserve"> descontando la diferencia frente al SUI de 131</w:t>
      </w:r>
      <w:r w:rsidR="004A4BC5">
        <w:rPr>
          <w:bCs/>
          <w:lang w:eastAsia="en-US"/>
        </w:rPr>
        <w:t>,</w:t>
      </w:r>
      <w:r w:rsidRPr="00584D86">
        <w:rPr>
          <w:bCs/>
          <w:lang w:eastAsia="en-US"/>
        </w:rPr>
        <w:t xml:space="preserve"> obteniendo 1.099.  </w:t>
      </w:r>
    </w:p>
    <w:p w14:paraId="047B046F" w14:textId="4A3A822C" w:rsidR="009203F5" w:rsidRDefault="006309C0" w:rsidP="00584D86">
      <w:pPr>
        <w:pStyle w:val="Prrafodelista"/>
        <w:numPr>
          <w:ilvl w:val="0"/>
          <w:numId w:val="0"/>
        </w:numPr>
        <w:ind w:left="360"/>
        <w:rPr>
          <w:bCs/>
          <w:lang w:eastAsia="en-US"/>
        </w:rPr>
      </w:pPr>
      <w:r>
        <w:rPr>
          <w:bCs/>
          <w:lang w:eastAsia="en-US"/>
        </w:rPr>
        <w:t xml:space="preserve">Teniendo en cuenta </w:t>
      </w:r>
      <w:r w:rsidR="009203F5" w:rsidRPr="00584D86">
        <w:rPr>
          <w:bCs/>
          <w:lang w:eastAsia="en-US"/>
        </w:rPr>
        <w:t>lo anterior, no se considera procedente la solicitud del OR.</w:t>
      </w:r>
    </w:p>
    <w:p w14:paraId="7E65D569" w14:textId="2E9326F2" w:rsidR="00CB2382" w:rsidRDefault="00201ECF" w:rsidP="00D5583E">
      <w:pPr>
        <w:pStyle w:val="Prrafodelista"/>
        <w:numPr>
          <w:ilvl w:val="0"/>
          <w:numId w:val="11"/>
        </w:numPr>
        <w:rPr>
          <w:bCs/>
          <w:lang w:eastAsia="en-US"/>
        </w:rPr>
      </w:pPr>
      <w:r>
        <w:rPr>
          <w:bCs/>
          <w:lang w:eastAsia="en-US"/>
        </w:rPr>
        <w:t xml:space="preserve">En cuanto a las redes de nivel de tensión 1 incluidas en el cálculo, a </w:t>
      </w:r>
      <w:proofErr w:type="gramStart"/>
      <w:r>
        <w:rPr>
          <w:bCs/>
          <w:lang w:eastAsia="en-US"/>
        </w:rPr>
        <w:t>continuación</w:t>
      </w:r>
      <w:proofErr w:type="gramEnd"/>
      <w:r>
        <w:rPr>
          <w:bCs/>
          <w:lang w:eastAsia="en-US"/>
        </w:rPr>
        <w:t xml:space="preserve"> se resume</w:t>
      </w:r>
      <w:r w:rsidR="004A4BC5">
        <w:rPr>
          <w:bCs/>
          <w:lang w:eastAsia="en-US"/>
        </w:rPr>
        <w:t>n</w:t>
      </w:r>
      <w:r>
        <w:rPr>
          <w:bCs/>
          <w:lang w:eastAsia="en-US"/>
        </w:rPr>
        <w:t xml:space="preserve"> las cantidades presentadas por el OR:</w:t>
      </w:r>
    </w:p>
    <w:tbl>
      <w:tblPr>
        <w:tblStyle w:val="Tablaconcuadrcula"/>
        <w:tblW w:w="0" w:type="auto"/>
        <w:jc w:val="center"/>
        <w:tblLook w:val="04A0" w:firstRow="1" w:lastRow="0" w:firstColumn="1" w:lastColumn="0" w:noHBand="0" w:noVBand="1"/>
      </w:tblPr>
      <w:tblGrid>
        <w:gridCol w:w="2471"/>
        <w:gridCol w:w="1559"/>
        <w:gridCol w:w="850"/>
        <w:gridCol w:w="1042"/>
      </w:tblGrid>
      <w:tr w:rsidR="00201ECF" w:rsidRPr="009203F5" w14:paraId="3157267E" w14:textId="77777777" w:rsidTr="00C224F8">
        <w:trPr>
          <w:jc w:val="center"/>
        </w:trPr>
        <w:tc>
          <w:tcPr>
            <w:tcW w:w="2471" w:type="dxa"/>
            <w:vAlign w:val="center"/>
          </w:tcPr>
          <w:p w14:paraId="23B91B1A" w14:textId="77777777" w:rsidR="00201ECF" w:rsidRPr="009203F5" w:rsidRDefault="00201ECF" w:rsidP="00C224F8">
            <w:pPr>
              <w:pStyle w:val="Prrafodelista"/>
              <w:numPr>
                <w:ilvl w:val="0"/>
                <w:numId w:val="0"/>
              </w:numPr>
              <w:spacing w:before="0" w:after="0"/>
              <w:jc w:val="center"/>
              <w:rPr>
                <w:b/>
                <w:sz w:val="20"/>
                <w:szCs w:val="16"/>
                <w:lang w:eastAsia="en-US"/>
              </w:rPr>
            </w:pPr>
            <w:r w:rsidRPr="009203F5">
              <w:rPr>
                <w:b/>
                <w:sz w:val="20"/>
                <w:szCs w:val="16"/>
                <w:lang w:eastAsia="en-US"/>
              </w:rPr>
              <w:t xml:space="preserve">Clasificación </w:t>
            </w:r>
            <w:r>
              <w:rPr>
                <w:b/>
                <w:sz w:val="20"/>
                <w:szCs w:val="16"/>
                <w:lang w:eastAsia="en-US"/>
              </w:rPr>
              <w:t>redes baja tensión</w:t>
            </w:r>
          </w:p>
        </w:tc>
        <w:tc>
          <w:tcPr>
            <w:tcW w:w="1559" w:type="dxa"/>
            <w:vAlign w:val="center"/>
          </w:tcPr>
          <w:p w14:paraId="0F5174F6" w14:textId="77777777" w:rsidR="00201ECF" w:rsidRPr="009203F5" w:rsidRDefault="00201ECF" w:rsidP="00C224F8">
            <w:pPr>
              <w:pStyle w:val="Prrafodelista"/>
              <w:numPr>
                <w:ilvl w:val="0"/>
                <w:numId w:val="0"/>
              </w:numPr>
              <w:spacing w:before="0" w:after="0"/>
              <w:jc w:val="center"/>
              <w:rPr>
                <w:b/>
                <w:sz w:val="20"/>
                <w:szCs w:val="16"/>
                <w:lang w:eastAsia="en-US"/>
              </w:rPr>
            </w:pPr>
            <w:r>
              <w:rPr>
                <w:b/>
                <w:sz w:val="20"/>
                <w:szCs w:val="16"/>
                <w:lang w:eastAsia="en-US"/>
              </w:rPr>
              <w:t xml:space="preserve">A diciembre </w:t>
            </w:r>
            <w:r w:rsidRPr="009203F5">
              <w:rPr>
                <w:b/>
                <w:sz w:val="20"/>
                <w:szCs w:val="16"/>
                <w:lang w:eastAsia="en-US"/>
              </w:rPr>
              <w:t>2017</w:t>
            </w:r>
          </w:p>
        </w:tc>
        <w:tc>
          <w:tcPr>
            <w:tcW w:w="850" w:type="dxa"/>
            <w:vAlign w:val="center"/>
          </w:tcPr>
          <w:p w14:paraId="4300C3E7" w14:textId="77777777" w:rsidR="00201ECF" w:rsidRPr="009203F5" w:rsidRDefault="00201ECF" w:rsidP="00C224F8">
            <w:pPr>
              <w:pStyle w:val="Prrafodelista"/>
              <w:numPr>
                <w:ilvl w:val="0"/>
                <w:numId w:val="0"/>
              </w:numPr>
              <w:spacing w:before="0" w:after="0"/>
              <w:jc w:val="center"/>
              <w:rPr>
                <w:b/>
                <w:sz w:val="20"/>
                <w:szCs w:val="16"/>
                <w:lang w:eastAsia="en-US"/>
              </w:rPr>
            </w:pPr>
            <w:r w:rsidRPr="009203F5">
              <w:rPr>
                <w:b/>
                <w:sz w:val="20"/>
                <w:szCs w:val="16"/>
                <w:lang w:eastAsia="en-US"/>
              </w:rPr>
              <w:t>2018</w:t>
            </w:r>
          </w:p>
        </w:tc>
        <w:tc>
          <w:tcPr>
            <w:tcW w:w="1042" w:type="dxa"/>
            <w:vAlign w:val="center"/>
          </w:tcPr>
          <w:p w14:paraId="0F685A26" w14:textId="77777777" w:rsidR="00201ECF" w:rsidRPr="009203F5" w:rsidRDefault="00201ECF" w:rsidP="00C224F8">
            <w:pPr>
              <w:pStyle w:val="Prrafodelista"/>
              <w:numPr>
                <w:ilvl w:val="0"/>
                <w:numId w:val="0"/>
              </w:numPr>
              <w:spacing w:before="0" w:after="0"/>
              <w:jc w:val="center"/>
              <w:rPr>
                <w:b/>
                <w:sz w:val="20"/>
                <w:szCs w:val="16"/>
                <w:lang w:eastAsia="en-US"/>
              </w:rPr>
            </w:pPr>
            <w:r>
              <w:rPr>
                <w:b/>
                <w:sz w:val="20"/>
                <w:szCs w:val="16"/>
                <w:lang w:eastAsia="en-US"/>
              </w:rPr>
              <w:t xml:space="preserve">Total </w:t>
            </w:r>
          </w:p>
        </w:tc>
      </w:tr>
      <w:tr w:rsidR="00201ECF" w:rsidRPr="009203F5" w14:paraId="041C70AC" w14:textId="77777777" w:rsidTr="00C224F8">
        <w:trPr>
          <w:jc w:val="center"/>
        </w:trPr>
        <w:tc>
          <w:tcPr>
            <w:tcW w:w="2471" w:type="dxa"/>
          </w:tcPr>
          <w:p w14:paraId="776C7C92" w14:textId="77777777" w:rsidR="00201ECF" w:rsidRPr="009203F5" w:rsidRDefault="00201ECF" w:rsidP="00C224F8">
            <w:pPr>
              <w:pStyle w:val="Prrafodelista"/>
              <w:numPr>
                <w:ilvl w:val="0"/>
                <w:numId w:val="0"/>
              </w:numPr>
              <w:spacing w:before="0" w:after="0"/>
              <w:rPr>
                <w:bCs/>
                <w:sz w:val="20"/>
                <w:szCs w:val="16"/>
                <w:lang w:eastAsia="en-US"/>
              </w:rPr>
            </w:pPr>
            <w:r w:rsidRPr="009203F5">
              <w:rPr>
                <w:bCs/>
                <w:sz w:val="20"/>
                <w:szCs w:val="16"/>
                <w:lang w:eastAsia="en-US"/>
              </w:rPr>
              <w:t>Uso</w:t>
            </w:r>
          </w:p>
        </w:tc>
        <w:tc>
          <w:tcPr>
            <w:tcW w:w="1559" w:type="dxa"/>
            <w:vAlign w:val="center"/>
          </w:tcPr>
          <w:p w14:paraId="17F3F436"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592</w:t>
            </w:r>
          </w:p>
        </w:tc>
        <w:tc>
          <w:tcPr>
            <w:tcW w:w="850" w:type="dxa"/>
            <w:vAlign w:val="center"/>
          </w:tcPr>
          <w:p w14:paraId="04EC892C"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31</w:t>
            </w:r>
          </w:p>
        </w:tc>
        <w:tc>
          <w:tcPr>
            <w:tcW w:w="1042" w:type="dxa"/>
            <w:vAlign w:val="center"/>
          </w:tcPr>
          <w:p w14:paraId="01571064"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623</w:t>
            </w:r>
          </w:p>
        </w:tc>
      </w:tr>
      <w:tr w:rsidR="00201ECF" w:rsidRPr="009203F5" w14:paraId="197016D2" w14:textId="77777777" w:rsidTr="00C224F8">
        <w:trPr>
          <w:jc w:val="center"/>
        </w:trPr>
        <w:tc>
          <w:tcPr>
            <w:tcW w:w="2471" w:type="dxa"/>
          </w:tcPr>
          <w:p w14:paraId="521B2DA2" w14:textId="77777777" w:rsidR="00201ECF" w:rsidRPr="009203F5" w:rsidRDefault="00201ECF" w:rsidP="00C224F8">
            <w:pPr>
              <w:pStyle w:val="Prrafodelista"/>
              <w:numPr>
                <w:ilvl w:val="0"/>
                <w:numId w:val="0"/>
              </w:numPr>
              <w:spacing w:before="0" w:after="0"/>
              <w:rPr>
                <w:bCs/>
                <w:sz w:val="20"/>
                <w:szCs w:val="16"/>
                <w:lang w:eastAsia="en-US"/>
              </w:rPr>
            </w:pPr>
            <w:r>
              <w:rPr>
                <w:bCs/>
                <w:sz w:val="20"/>
                <w:szCs w:val="16"/>
                <w:lang w:eastAsia="en-US"/>
              </w:rPr>
              <w:t xml:space="preserve">Conexión ≤15 </w:t>
            </w:r>
            <w:proofErr w:type="spellStart"/>
            <w:r>
              <w:rPr>
                <w:bCs/>
                <w:sz w:val="20"/>
                <w:szCs w:val="16"/>
                <w:lang w:eastAsia="en-US"/>
              </w:rPr>
              <w:t>kVA</w:t>
            </w:r>
            <w:proofErr w:type="spellEnd"/>
          </w:p>
        </w:tc>
        <w:tc>
          <w:tcPr>
            <w:tcW w:w="1559" w:type="dxa"/>
            <w:vAlign w:val="center"/>
          </w:tcPr>
          <w:p w14:paraId="77B27932"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186</w:t>
            </w:r>
          </w:p>
        </w:tc>
        <w:tc>
          <w:tcPr>
            <w:tcW w:w="850" w:type="dxa"/>
            <w:vAlign w:val="center"/>
          </w:tcPr>
          <w:p w14:paraId="14E06FD9"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1</w:t>
            </w:r>
          </w:p>
        </w:tc>
        <w:tc>
          <w:tcPr>
            <w:tcW w:w="1042" w:type="dxa"/>
            <w:vAlign w:val="center"/>
          </w:tcPr>
          <w:p w14:paraId="012F94E7"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187</w:t>
            </w:r>
          </w:p>
        </w:tc>
      </w:tr>
      <w:tr w:rsidR="00201ECF" w:rsidRPr="009203F5" w14:paraId="3A7832CD" w14:textId="77777777" w:rsidTr="00C224F8">
        <w:trPr>
          <w:jc w:val="center"/>
        </w:trPr>
        <w:tc>
          <w:tcPr>
            <w:tcW w:w="2471" w:type="dxa"/>
          </w:tcPr>
          <w:p w14:paraId="7C2832E7" w14:textId="77777777" w:rsidR="00201ECF" w:rsidRPr="009203F5" w:rsidRDefault="00201ECF" w:rsidP="00C224F8">
            <w:pPr>
              <w:pStyle w:val="Prrafodelista"/>
              <w:numPr>
                <w:ilvl w:val="0"/>
                <w:numId w:val="0"/>
              </w:numPr>
              <w:spacing w:before="0" w:after="0"/>
              <w:rPr>
                <w:bCs/>
                <w:sz w:val="20"/>
                <w:szCs w:val="16"/>
                <w:lang w:eastAsia="en-US"/>
              </w:rPr>
            </w:pPr>
            <w:r>
              <w:rPr>
                <w:bCs/>
                <w:sz w:val="20"/>
                <w:szCs w:val="16"/>
                <w:lang w:eastAsia="en-US"/>
              </w:rPr>
              <w:t xml:space="preserve">Conexión &gt; 15 </w:t>
            </w:r>
            <w:proofErr w:type="spellStart"/>
            <w:r>
              <w:rPr>
                <w:bCs/>
                <w:sz w:val="20"/>
                <w:szCs w:val="16"/>
                <w:lang w:eastAsia="en-US"/>
              </w:rPr>
              <w:t>kVA</w:t>
            </w:r>
            <w:proofErr w:type="spellEnd"/>
          </w:p>
        </w:tc>
        <w:tc>
          <w:tcPr>
            <w:tcW w:w="1559" w:type="dxa"/>
            <w:vAlign w:val="center"/>
          </w:tcPr>
          <w:p w14:paraId="2D35D19A"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453</w:t>
            </w:r>
          </w:p>
        </w:tc>
        <w:tc>
          <w:tcPr>
            <w:tcW w:w="850" w:type="dxa"/>
            <w:vAlign w:val="center"/>
          </w:tcPr>
          <w:p w14:paraId="04B6BE9E"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13</w:t>
            </w:r>
          </w:p>
        </w:tc>
        <w:tc>
          <w:tcPr>
            <w:tcW w:w="1042" w:type="dxa"/>
            <w:vAlign w:val="center"/>
          </w:tcPr>
          <w:p w14:paraId="71BB5351"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466</w:t>
            </w:r>
          </w:p>
        </w:tc>
      </w:tr>
      <w:tr w:rsidR="00201ECF" w:rsidRPr="009203F5" w14:paraId="078F032E" w14:textId="77777777" w:rsidTr="00C224F8">
        <w:trPr>
          <w:jc w:val="center"/>
        </w:trPr>
        <w:tc>
          <w:tcPr>
            <w:tcW w:w="2471" w:type="dxa"/>
          </w:tcPr>
          <w:p w14:paraId="3041BD5D" w14:textId="77777777" w:rsidR="00201ECF" w:rsidRDefault="00201ECF" w:rsidP="00C224F8">
            <w:pPr>
              <w:pStyle w:val="Prrafodelista"/>
              <w:numPr>
                <w:ilvl w:val="0"/>
                <w:numId w:val="0"/>
              </w:numPr>
              <w:spacing w:before="0" w:after="0"/>
              <w:rPr>
                <w:bCs/>
                <w:sz w:val="20"/>
                <w:szCs w:val="16"/>
                <w:lang w:eastAsia="en-US"/>
              </w:rPr>
            </w:pPr>
            <w:r>
              <w:rPr>
                <w:bCs/>
                <w:sz w:val="20"/>
                <w:szCs w:val="16"/>
                <w:lang w:eastAsia="en-US"/>
              </w:rPr>
              <w:t xml:space="preserve">Total </w:t>
            </w:r>
          </w:p>
        </w:tc>
        <w:tc>
          <w:tcPr>
            <w:tcW w:w="1559" w:type="dxa"/>
            <w:vAlign w:val="center"/>
          </w:tcPr>
          <w:p w14:paraId="650A58EC" w14:textId="77777777" w:rsidR="00201ECF" w:rsidRDefault="00201ECF" w:rsidP="00C224F8">
            <w:pPr>
              <w:pStyle w:val="Prrafodelista"/>
              <w:numPr>
                <w:ilvl w:val="0"/>
                <w:numId w:val="0"/>
              </w:numPr>
              <w:spacing w:before="0" w:after="0"/>
              <w:jc w:val="right"/>
              <w:rPr>
                <w:bCs/>
                <w:sz w:val="20"/>
                <w:szCs w:val="16"/>
                <w:lang w:eastAsia="en-US"/>
              </w:rPr>
            </w:pPr>
            <w:r>
              <w:rPr>
                <w:bCs/>
                <w:sz w:val="20"/>
                <w:szCs w:val="16"/>
                <w:lang w:eastAsia="en-US"/>
              </w:rPr>
              <w:t>1.231</w:t>
            </w:r>
          </w:p>
        </w:tc>
        <w:tc>
          <w:tcPr>
            <w:tcW w:w="850" w:type="dxa"/>
            <w:vAlign w:val="center"/>
          </w:tcPr>
          <w:p w14:paraId="59024228"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45</w:t>
            </w:r>
          </w:p>
        </w:tc>
        <w:tc>
          <w:tcPr>
            <w:tcW w:w="1042" w:type="dxa"/>
            <w:vAlign w:val="center"/>
          </w:tcPr>
          <w:p w14:paraId="46B0CC00" w14:textId="77777777" w:rsidR="00201ECF" w:rsidRPr="009203F5" w:rsidRDefault="00201ECF" w:rsidP="00C224F8">
            <w:pPr>
              <w:pStyle w:val="Prrafodelista"/>
              <w:numPr>
                <w:ilvl w:val="0"/>
                <w:numId w:val="0"/>
              </w:numPr>
              <w:spacing w:before="0" w:after="0"/>
              <w:jc w:val="right"/>
              <w:rPr>
                <w:bCs/>
                <w:sz w:val="20"/>
                <w:szCs w:val="16"/>
                <w:lang w:eastAsia="en-US"/>
              </w:rPr>
            </w:pPr>
            <w:r>
              <w:rPr>
                <w:bCs/>
                <w:sz w:val="20"/>
                <w:szCs w:val="16"/>
                <w:lang w:eastAsia="en-US"/>
              </w:rPr>
              <w:t>1.276</w:t>
            </w:r>
          </w:p>
        </w:tc>
      </w:tr>
    </w:tbl>
    <w:p w14:paraId="1479B3C3" w14:textId="1852A9FD" w:rsidR="00201ECF" w:rsidRDefault="00201ECF" w:rsidP="00584D86">
      <w:pPr>
        <w:pStyle w:val="Prrafodelista"/>
        <w:numPr>
          <w:ilvl w:val="0"/>
          <w:numId w:val="0"/>
        </w:numPr>
        <w:ind w:left="360"/>
        <w:rPr>
          <w:bCs/>
          <w:lang w:eastAsia="en-US"/>
        </w:rPr>
      </w:pPr>
      <w:r>
        <w:rPr>
          <w:bCs/>
          <w:lang w:eastAsia="en-US"/>
        </w:rPr>
        <w:t xml:space="preserve">La cantidad de redes a reconocer </w:t>
      </w:r>
      <w:r w:rsidR="00414C5B">
        <w:rPr>
          <w:bCs/>
          <w:lang w:eastAsia="en-US"/>
        </w:rPr>
        <w:t>corresponden a 623</w:t>
      </w:r>
      <w:r w:rsidR="004A4BC5">
        <w:rPr>
          <w:bCs/>
          <w:lang w:eastAsia="en-US"/>
        </w:rPr>
        <w:t>,</w:t>
      </w:r>
      <w:r w:rsidR="00414C5B">
        <w:rPr>
          <w:bCs/>
          <w:lang w:eastAsia="en-US"/>
        </w:rPr>
        <w:t xml:space="preserve"> descontando la diferencia frente al SUI de 131</w:t>
      </w:r>
      <w:r w:rsidR="004A4BC5">
        <w:rPr>
          <w:bCs/>
          <w:lang w:eastAsia="en-US"/>
        </w:rPr>
        <w:t>,</w:t>
      </w:r>
      <w:r w:rsidR="00414C5B">
        <w:rPr>
          <w:bCs/>
          <w:lang w:eastAsia="en-US"/>
        </w:rPr>
        <w:t xml:space="preserve"> obteniendo 492 redes. Como la Comisión incluyó inicialmente 493 redes</w:t>
      </w:r>
      <w:r w:rsidR="004A4BC5">
        <w:rPr>
          <w:bCs/>
          <w:lang w:eastAsia="en-US"/>
        </w:rPr>
        <w:t>,</w:t>
      </w:r>
      <w:r w:rsidR="00414C5B">
        <w:rPr>
          <w:bCs/>
          <w:lang w:eastAsia="en-US"/>
        </w:rPr>
        <w:t xml:space="preserve"> se procede a realizar el ajuste en los cálculos.</w:t>
      </w:r>
    </w:p>
    <w:p w14:paraId="1BF1EE39" w14:textId="77777777" w:rsidR="00414C5B" w:rsidRDefault="00414C5B" w:rsidP="00584D86">
      <w:pPr>
        <w:pStyle w:val="Prrafodelista"/>
        <w:numPr>
          <w:ilvl w:val="0"/>
          <w:numId w:val="0"/>
        </w:numPr>
        <w:ind w:left="360"/>
        <w:rPr>
          <w:bCs/>
          <w:lang w:eastAsia="en-US"/>
        </w:rPr>
      </w:pPr>
      <w:r>
        <w:rPr>
          <w:bCs/>
          <w:lang w:eastAsia="en-US"/>
        </w:rPr>
        <w:t xml:space="preserve">En cuanto al reconocimiento de las acometidas de los transformadores de conexión con una capacidad menor o igual a 15 </w:t>
      </w:r>
      <w:proofErr w:type="spellStart"/>
      <w:r>
        <w:rPr>
          <w:bCs/>
          <w:lang w:eastAsia="en-US"/>
        </w:rPr>
        <w:t>kVA</w:t>
      </w:r>
      <w:proofErr w:type="spellEnd"/>
      <w:r>
        <w:rPr>
          <w:bCs/>
          <w:lang w:eastAsia="en-US"/>
        </w:rPr>
        <w:t>, se señala lo siguiente:</w:t>
      </w:r>
    </w:p>
    <w:p w14:paraId="3B2A43E8" w14:textId="36500A54" w:rsidR="00414C5B" w:rsidRPr="00414C5B" w:rsidRDefault="00414C5B" w:rsidP="00D5583E">
      <w:pPr>
        <w:pStyle w:val="Prrafodelista"/>
        <w:numPr>
          <w:ilvl w:val="0"/>
          <w:numId w:val="10"/>
        </w:numPr>
        <w:rPr>
          <w:bCs/>
          <w:lang w:eastAsia="en-US"/>
        </w:rPr>
      </w:pPr>
      <w:r w:rsidRPr="00414C5B">
        <w:rPr>
          <w:bCs/>
          <w:lang w:eastAsia="en-US"/>
        </w:rPr>
        <w:lastRenderedPageBreak/>
        <w:t xml:space="preserve">De acuerdo con la definición de las variables </w:t>
      </w:r>
      <w:proofErr w:type="spellStart"/>
      <w:r w:rsidRPr="00414C5B">
        <w:rPr>
          <w:bCs/>
          <w:lang w:eastAsia="en-US"/>
        </w:rPr>
        <w:t>NTNj</w:t>
      </w:r>
      <w:proofErr w:type="spellEnd"/>
      <w:r w:rsidRPr="00414C5B">
        <w:rPr>
          <w:bCs/>
          <w:lang w:eastAsia="en-US"/>
        </w:rPr>
        <w:t xml:space="preserve"> y </w:t>
      </w:r>
      <w:proofErr w:type="spellStart"/>
      <w:r w:rsidRPr="00414C5B">
        <w:rPr>
          <w:bCs/>
          <w:lang w:eastAsia="en-US"/>
        </w:rPr>
        <w:t>NRNj</w:t>
      </w:r>
      <w:proofErr w:type="spellEnd"/>
      <w:r w:rsidRPr="00414C5B">
        <w:rPr>
          <w:bCs/>
          <w:lang w:eastAsia="en-US"/>
        </w:rPr>
        <w:t xml:space="preserve"> del literal b. del numeral 3.1.1.1.4 de la Resolución CREG 015 de 2018, los transformadores y redes de conexión que atienden a un usuario se deben excluir de dichas variables y</w:t>
      </w:r>
      <w:r w:rsidR="004A4BC5">
        <w:rPr>
          <w:bCs/>
          <w:lang w:eastAsia="en-US"/>
        </w:rPr>
        <w:t>,</w:t>
      </w:r>
      <w:r w:rsidRPr="00414C5B">
        <w:rPr>
          <w:bCs/>
          <w:lang w:eastAsia="en-US"/>
        </w:rPr>
        <w:t xml:space="preserve"> por tanto, no hacen parte de la variable CRINj,</w:t>
      </w:r>
      <w:proofErr w:type="gramStart"/>
      <w:r w:rsidRPr="00414C5B">
        <w:rPr>
          <w:bCs/>
          <w:lang w:eastAsia="en-US"/>
        </w:rPr>
        <w:t>1,l.</w:t>
      </w:r>
      <w:proofErr w:type="gramEnd"/>
      <w:r w:rsidRPr="00414C5B">
        <w:rPr>
          <w:bCs/>
          <w:lang w:eastAsia="en-US"/>
        </w:rPr>
        <w:t xml:space="preserve"> </w:t>
      </w:r>
    </w:p>
    <w:p w14:paraId="5F7BF664" w14:textId="6C6E5C03" w:rsidR="00414C5B" w:rsidRPr="00414C5B" w:rsidRDefault="00414C5B" w:rsidP="00D5583E">
      <w:pPr>
        <w:pStyle w:val="Prrafodelista"/>
        <w:numPr>
          <w:ilvl w:val="0"/>
          <w:numId w:val="10"/>
        </w:numPr>
        <w:rPr>
          <w:bCs/>
          <w:lang w:eastAsia="en-US"/>
        </w:rPr>
      </w:pPr>
      <w:r w:rsidRPr="00414C5B">
        <w:rPr>
          <w:bCs/>
          <w:lang w:eastAsia="en-US"/>
        </w:rPr>
        <w:t xml:space="preserve">En la definición de activos de nivel de tensión 1 del artículo 3 de la Resolución CREG 015 de 2018, modificada por la Resolución CREG 036 de 2019, se hace una excepción y se incluyen únicamente los transformadores de conexión de capacidades iguales o inferiores a 15 </w:t>
      </w:r>
      <w:proofErr w:type="spellStart"/>
      <w:r w:rsidRPr="00414C5B">
        <w:rPr>
          <w:bCs/>
          <w:lang w:eastAsia="en-US"/>
        </w:rPr>
        <w:t>kVA</w:t>
      </w:r>
      <w:proofErr w:type="spellEnd"/>
      <w:r w:rsidRPr="00414C5B">
        <w:rPr>
          <w:bCs/>
          <w:lang w:eastAsia="en-US"/>
        </w:rPr>
        <w:t xml:space="preserve"> para ser remunerados en la base de activos</w:t>
      </w:r>
      <w:r w:rsidR="004A4BC5">
        <w:rPr>
          <w:bCs/>
          <w:lang w:eastAsia="en-US"/>
        </w:rPr>
        <w:t>,</w:t>
      </w:r>
      <w:r w:rsidRPr="00414C5B">
        <w:rPr>
          <w:bCs/>
          <w:lang w:eastAsia="en-US"/>
        </w:rPr>
        <w:t xml:space="preserve"> sin incluir en dicha excepción las redes de conexión asociadas con estos transformadores. Por tal razón, en la aprobación de ingresos se incluyeron los transformadores de conexión de esta condición</w:t>
      </w:r>
      <w:r w:rsidR="004A4BC5">
        <w:rPr>
          <w:bCs/>
          <w:lang w:eastAsia="en-US"/>
        </w:rPr>
        <w:t>,</w:t>
      </w:r>
      <w:r w:rsidRPr="00414C5B">
        <w:rPr>
          <w:bCs/>
          <w:lang w:eastAsia="en-US"/>
        </w:rPr>
        <w:t xml:space="preserve"> sin incluir las redes de conexión.</w:t>
      </w:r>
    </w:p>
    <w:p w14:paraId="31A855BC" w14:textId="50C0A611" w:rsidR="002A4523" w:rsidRPr="002A4523" w:rsidRDefault="006309C0" w:rsidP="00584D86">
      <w:pPr>
        <w:pStyle w:val="Prrafodelista"/>
        <w:numPr>
          <w:ilvl w:val="0"/>
          <w:numId w:val="0"/>
        </w:numPr>
        <w:ind w:left="360"/>
        <w:rPr>
          <w:bCs/>
          <w:lang w:eastAsia="en-US"/>
        </w:rPr>
      </w:pPr>
      <w:r>
        <w:rPr>
          <w:bCs/>
          <w:lang w:eastAsia="en-US"/>
        </w:rPr>
        <w:t>Tomando en cuenta</w:t>
      </w:r>
      <w:r w:rsidR="002A4523" w:rsidRPr="002A4523">
        <w:rPr>
          <w:bCs/>
          <w:lang w:eastAsia="en-US"/>
        </w:rPr>
        <w:t xml:space="preserve"> lo anterior, no se considera procedente la solicitud del OR.</w:t>
      </w:r>
    </w:p>
    <w:p w14:paraId="21EDED5B" w14:textId="77777777" w:rsidR="000656BB" w:rsidRDefault="000656BB" w:rsidP="000656BB">
      <w:pPr>
        <w:rPr>
          <w:b/>
          <w:lang w:eastAsia="en-US"/>
        </w:rPr>
      </w:pPr>
      <w:r w:rsidRPr="000656BB">
        <w:rPr>
          <w:b/>
          <w:lang w:eastAsia="en-US"/>
        </w:rPr>
        <w:t xml:space="preserve">Petición de modificación de la </w:t>
      </w:r>
      <w:r>
        <w:rPr>
          <w:b/>
          <w:lang w:eastAsia="en-US"/>
        </w:rPr>
        <w:t xml:space="preserve">inversión aprobada en el plan de inversiones, </w:t>
      </w:r>
      <w:proofErr w:type="spellStart"/>
      <w:proofErr w:type="gramStart"/>
      <w:r w:rsidRPr="000656BB">
        <w:rPr>
          <w:b/>
          <w:lang w:eastAsia="en-US"/>
        </w:rPr>
        <w:t>INVA</w:t>
      </w:r>
      <w:r w:rsidRPr="00432539">
        <w:rPr>
          <w:b/>
          <w:vertAlign w:val="subscript"/>
          <w:lang w:eastAsia="en-US"/>
        </w:rPr>
        <w:t>j,n</w:t>
      </w:r>
      <w:proofErr w:type="gramEnd"/>
      <w:r w:rsidRPr="00432539">
        <w:rPr>
          <w:b/>
          <w:vertAlign w:val="subscript"/>
          <w:lang w:eastAsia="en-US"/>
        </w:rPr>
        <w:t>,l,t</w:t>
      </w:r>
      <w:proofErr w:type="spellEnd"/>
    </w:p>
    <w:p w14:paraId="3FB790A7" w14:textId="5E49DC3E" w:rsidR="000656BB" w:rsidRDefault="000656BB" w:rsidP="000656BB">
      <w:pPr>
        <w:rPr>
          <w:lang w:eastAsia="en-US"/>
        </w:rPr>
      </w:pPr>
      <w:r w:rsidRPr="000656BB">
        <w:rPr>
          <w:lang w:eastAsia="en-US"/>
        </w:rPr>
        <w:t>El OR fundamenta su solicitud de modificación del valor de las inversiones aprobadas en el plan de inversiones en lo siguiente:</w:t>
      </w:r>
    </w:p>
    <w:p w14:paraId="00353349" w14:textId="77777777" w:rsidR="00AC60E8" w:rsidRPr="009C16F9" w:rsidRDefault="009C16F9" w:rsidP="00AC60E8">
      <w:pPr>
        <w:keepLines/>
        <w:spacing w:before="200" w:after="200"/>
        <w:ind w:left="708"/>
        <w:rPr>
          <w:b/>
          <w:bCs/>
          <w:i/>
          <w:sz w:val="22"/>
          <w:szCs w:val="22"/>
        </w:rPr>
      </w:pPr>
      <w:r w:rsidRPr="009C16F9">
        <w:rPr>
          <w:b/>
          <w:bCs/>
          <w:i/>
          <w:sz w:val="22"/>
          <w:szCs w:val="22"/>
        </w:rPr>
        <w:t>2. INVA</w:t>
      </w:r>
    </w:p>
    <w:p w14:paraId="13FD181E" w14:textId="77777777" w:rsidR="009C16F9" w:rsidRPr="009C16F9" w:rsidRDefault="009C16F9" w:rsidP="00D5583E">
      <w:pPr>
        <w:pStyle w:val="Prrafodelista"/>
        <w:keepLines/>
        <w:numPr>
          <w:ilvl w:val="0"/>
          <w:numId w:val="8"/>
        </w:numPr>
        <w:spacing w:before="120" w:after="120"/>
        <w:rPr>
          <w:bCs/>
          <w:i/>
          <w:sz w:val="22"/>
          <w:szCs w:val="22"/>
        </w:rPr>
      </w:pPr>
      <w:r w:rsidRPr="009C16F9">
        <w:rPr>
          <w:bCs/>
          <w:i/>
          <w:sz w:val="22"/>
          <w:szCs w:val="22"/>
        </w:rPr>
        <w:t xml:space="preserve">En la categoría 12 de nivel de tensión 1 del año 2020 al año 2023 se aprueban las UC N1L54, N1L55, N1L57, N1L121, N1L122, N1L137 N1L138, N1L141, N1L143, N1L154, sin tener en cuenta el número de fases, dado que en el formato 5 de la Circular 29 de 2018, reportado por ENERGÍA DE PEREIRA el 17 de septiembre de 2018 (Ver Anexo S Cargue CREG), la CREG no había creado el campo para reportarlas en la plataforma. Posterior a la fecha de cargue la CREG modificó el formato y no exigió a los operadores que habían cargado en el plazo inicialmente otorgado, actualizar la información conforme al formato nuevo, por lo tanto, se observa que solo se consideró el valor unitario de la Unidad Constructiva. De esta manera, respetuosamente se solicita a la CREG reconocer la UC para redes de tres o cuatro hilos. Ver Anexo 6 INVA 12. </w:t>
      </w:r>
    </w:p>
    <w:p w14:paraId="6F92EAE6" w14:textId="052C5F79" w:rsidR="009C16F9" w:rsidRPr="009C16F9" w:rsidRDefault="009C16F9" w:rsidP="00D5583E">
      <w:pPr>
        <w:pStyle w:val="Prrafodelista"/>
        <w:keepLines/>
        <w:numPr>
          <w:ilvl w:val="0"/>
          <w:numId w:val="8"/>
        </w:numPr>
        <w:spacing w:before="120" w:after="120"/>
        <w:rPr>
          <w:bCs/>
          <w:i/>
          <w:sz w:val="22"/>
          <w:szCs w:val="22"/>
        </w:rPr>
      </w:pPr>
      <w:r w:rsidRPr="009C16F9">
        <w:rPr>
          <w:bCs/>
          <w:i/>
          <w:sz w:val="22"/>
          <w:szCs w:val="22"/>
        </w:rPr>
        <w:t xml:space="preserve">En la categoría 6 de nivel de tensión 0 las UC </w:t>
      </w:r>
      <w:r w:rsidR="00E91622" w:rsidRPr="009C16F9">
        <w:rPr>
          <w:bCs/>
          <w:i/>
          <w:sz w:val="22"/>
          <w:szCs w:val="22"/>
        </w:rPr>
        <w:t>N</w:t>
      </w:r>
      <w:r w:rsidR="00E91622">
        <w:rPr>
          <w:bCs/>
          <w:i/>
          <w:sz w:val="22"/>
          <w:szCs w:val="22"/>
        </w:rPr>
        <w:t>0</w:t>
      </w:r>
      <w:r w:rsidR="00E91622" w:rsidRPr="009C16F9">
        <w:rPr>
          <w:bCs/>
          <w:i/>
          <w:sz w:val="22"/>
          <w:szCs w:val="22"/>
        </w:rPr>
        <w:t xml:space="preserve">P13 </w:t>
      </w:r>
      <w:r w:rsidRPr="009C16F9">
        <w:rPr>
          <w:bCs/>
          <w:i/>
          <w:sz w:val="22"/>
          <w:szCs w:val="22"/>
        </w:rPr>
        <w:t>Casa de Control Cualquier nivel de tensión (</w:t>
      </w:r>
      <w:r w:rsidR="00326ACE">
        <w:rPr>
          <w:bCs/>
          <w:i/>
          <w:sz w:val="22"/>
          <w:szCs w:val="22"/>
        </w:rPr>
        <w:t>$</w:t>
      </w:r>
      <w:r w:rsidRPr="009C16F9">
        <w:rPr>
          <w:bCs/>
          <w:i/>
          <w:sz w:val="22"/>
          <w:szCs w:val="22"/>
        </w:rPr>
        <w:t>/m2), asociadas a la construcción de las Subestaciones Altagracia y Cerritos, no se reconocen las áreas las solicitadas de 418,75m2 y 391,25 m2 respectivamente. Respetuosamente se solicita a la Comisión de Regulación tener en cuenta el reconocimiento de estas áreas, dado que no se observa argumento del Regulador en el documento CREG 115 que sustente su no remuneración.</w:t>
      </w:r>
    </w:p>
    <w:p w14:paraId="724A6402" w14:textId="3DB4BFF7" w:rsidR="009C16F9" w:rsidRDefault="009C16F9" w:rsidP="00C6167C">
      <w:pPr>
        <w:pStyle w:val="Prrafodelista"/>
        <w:keepLines/>
        <w:numPr>
          <w:ilvl w:val="0"/>
          <w:numId w:val="8"/>
        </w:numPr>
        <w:spacing w:before="120" w:after="0"/>
        <w:rPr>
          <w:bCs/>
          <w:i/>
          <w:sz w:val="22"/>
          <w:szCs w:val="22"/>
        </w:rPr>
      </w:pPr>
      <w:r w:rsidRPr="009C16F9">
        <w:rPr>
          <w:bCs/>
          <w:i/>
          <w:sz w:val="22"/>
          <w:szCs w:val="22"/>
        </w:rPr>
        <w:t>En la categoría 6 de nivel de tensión 0 las UC N</w:t>
      </w:r>
      <w:r w:rsidR="00326ACE">
        <w:rPr>
          <w:bCs/>
          <w:i/>
          <w:sz w:val="22"/>
          <w:szCs w:val="22"/>
        </w:rPr>
        <w:t>0</w:t>
      </w:r>
      <w:r w:rsidRPr="009C16F9">
        <w:rPr>
          <w:bCs/>
          <w:i/>
          <w:sz w:val="22"/>
          <w:szCs w:val="22"/>
        </w:rPr>
        <w:t>P13 Casa de Control Cualquier nivel de tensión ($/m2), asociadas a las Subestaciones Naranjito y Cuba, se reconocen áreas de 86,25 y 82,5 en Naranjito y 86,25 en Cuba, las cuales son menores a las presentadas en. el pliego (100 m2) por parte de ENERGÍA DE PEREIRA. Respetuosamente se solicita al Regulador reconsiderar la aprobación de estas áreas, toda vez que no se observa argumento alguno sobre su "ajuste en el documento CREG 115.</w:t>
      </w:r>
    </w:p>
    <w:p w14:paraId="2AEB86B5" w14:textId="77777777" w:rsidR="009C16F9" w:rsidRDefault="009C16F9" w:rsidP="00C6167C">
      <w:pPr>
        <w:pStyle w:val="Prrafodelista"/>
        <w:keepLines/>
        <w:numPr>
          <w:ilvl w:val="0"/>
          <w:numId w:val="8"/>
        </w:numPr>
        <w:spacing w:before="0" w:after="120"/>
        <w:rPr>
          <w:bCs/>
          <w:i/>
          <w:sz w:val="22"/>
          <w:szCs w:val="22"/>
        </w:rPr>
      </w:pPr>
      <w:r w:rsidRPr="009C16F9">
        <w:rPr>
          <w:bCs/>
          <w:i/>
          <w:sz w:val="22"/>
          <w:szCs w:val="22"/>
        </w:rPr>
        <w:lastRenderedPageBreak/>
        <w:t xml:space="preserve">De acuerdo con el literal s) del capítulo 14 de la Resolución CREG 015 de 2018, modificado por el artículo 19 de la Resolución CREG 085 de la misma vigencia, definen que “los transformadores y las Bahías de Transformación distintas a los asociados con los transformadores de conexión al STN, se reconocen en el nivel de tensión del secundario del transformador o proporcionalmente a la potencia de cada uno de los devanados de baja cuando hay más de uno, de esta manera, se observa que en el archivo “inventarios reconocido INVA OR-EEP", los transformadores y bahías de transformación de nivel de tensión 3 se encontrarían mal clasificadas en el lado primario del transformador, por lo tanto, respetuosamente se solicita a la CREG revisar y reclasificar las </w:t>
      </w:r>
      <w:proofErr w:type="spellStart"/>
      <w:r w:rsidRPr="009C16F9">
        <w:rPr>
          <w:bCs/>
          <w:i/>
          <w:sz w:val="22"/>
          <w:szCs w:val="22"/>
        </w:rPr>
        <w:t>UC’s</w:t>
      </w:r>
      <w:proofErr w:type="spellEnd"/>
      <w:r w:rsidRPr="009C16F9">
        <w:rPr>
          <w:bCs/>
          <w:i/>
          <w:sz w:val="22"/>
          <w:szCs w:val="22"/>
        </w:rPr>
        <w:t xml:space="preserve"> correspondientes</w:t>
      </w:r>
      <w:r w:rsidRPr="00A618FA">
        <w:rPr>
          <w:bCs/>
          <w:i/>
          <w:sz w:val="22"/>
          <w:szCs w:val="22"/>
        </w:rPr>
        <w:t>.</w:t>
      </w:r>
    </w:p>
    <w:p w14:paraId="289B8979" w14:textId="2D1543C9" w:rsidR="00584D86" w:rsidRPr="00584D86" w:rsidRDefault="00584D86" w:rsidP="00584D86">
      <w:pPr>
        <w:rPr>
          <w:bCs/>
          <w:lang w:eastAsia="en-US"/>
        </w:rPr>
      </w:pPr>
      <w:r w:rsidRPr="00584D86">
        <w:rPr>
          <w:bCs/>
          <w:lang w:eastAsia="en-US"/>
        </w:rPr>
        <w:t xml:space="preserve">Respecto al cálculo del valor de la inversión puesto en operación entre los años 2008 y diciembre de 2017, la empresa presenta </w:t>
      </w:r>
      <w:r w:rsidR="00CB76C8">
        <w:rPr>
          <w:bCs/>
          <w:lang w:eastAsia="en-US"/>
        </w:rPr>
        <w:t>cuatro</w:t>
      </w:r>
      <w:r w:rsidR="00CB76C8" w:rsidRPr="00584D86">
        <w:rPr>
          <w:bCs/>
          <w:lang w:eastAsia="en-US"/>
        </w:rPr>
        <w:t xml:space="preserve"> </w:t>
      </w:r>
      <w:r w:rsidRPr="00584D86">
        <w:rPr>
          <w:bCs/>
          <w:lang w:eastAsia="en-US"/>
        </w:rPr>
        <w:t>(</w:t>
      </w:r>
      <w:r w:rsidR="00081A95">
        <w:rPr>
          <w:bCs/>
          <w:lang w:eastAsia="en-US"/>
        </w:rPr>
        <w:t>4</w:t>
      </w:r>
      <w:r w:rsidRPr="00584D86">
        <w:rPr>
          <w:bCs/>
          <w:lang w:eastAsia="en-US"/>
        </w:rPr>
        <w:t>) reparos</w:t>
      </w:r>
      <w:r w:rsidR="004A4BC5">
        <w:rPr>
          <w:bCs/>
          <w:lang w:eastAsia="en-US"/>
        </w:rPr>
        <w:t>.</w:t>
      </w:r>
      <w:r w:rsidRPr="00584D86">
        <w:rPr>
          <w:bCs/>
          <w:lang w:eastAsia="en-US"/>
        </w:rPr>
        <w:t xml:space="preserve"> frente a lo cual se señala lo siguiente:</w:t>
      </w:r>
    </w:p>
    <w:p w14:paraId="71F5B7E0" w14:textId="70271811" w:rsidR="00443714" w:rsidRDefault="00081A95" w:rsidP="00D5583E">
      <w:pPr>
        <w:pStyle w:val="Prrafodelista"/>
        <w:numPr>
          <w:ilvl w:val="0"/>
          <w:numId w:val="12"/>
        </w:numPr>
        <w:rPr>
          <w:bCs/>
          <w:lang w:eastAsia="en-US"/>
        </w:rPr>
      </w:pPr>
      <w:r w:rsidRPr="00081A95">
        <w:rPr>
          <w:bCs/>
          <w:lang w:eastAsia="en-US"/>
        </w:rPr>
        <w:t>En cu</w:t>
      </w:r>
      <w:r>
        <w:rPr>
          <w:bCs/>
          <w:lang w:eastAsia="en-US"/>
        </w:rPr>
        <w:t>a</w:t>
      </w:r>
      <w:r w:rsidRPr="00081A95">
        <w:rPr>
          <w:bCs/>
          <w:lang w:eastAsia="en-US"/>
        </w:rPr>
        <w:t>nto</w:t>
      </w:r>
      <w:r>
        <w:rPr>
          <w:bCs/>
          <w:lang w:eastAsia="en-US"/>
        </w:rPr>
        <w:t xml:space="preserve"> al reconocimiento de redes de baja tensión, los formatos de reporte de nivel de tensión 1 nunca consideraron el </w:t>
      </w:r>
      <w:r w:rsidR="000F0F2F">
        <w:rPr>
          <w:bCs/>
          <w:lang w:eastAsia="en-US"/>
        </w:rPr>
        <w:t>número</w:t>
      </w:r>
      <w:r>
        <w:rPr>
          <w:bCs/>
          <w:lang w:eastAsia="en-US"/>
        </w:rPr>
        <w:t xml:space="preserve"> de fases</w:t>
      </w:r>
      <w:r w:rsidR="004A4BC5">
        <w:rPr>
          <w:bCs/>
          <w:lang w:eastAsia="en-US"/>
        </w:rPr>
        <w:t>,</w:t>
      </w:r>
      <w:r>
        <w:rPr>
          <w:bCs/>
          <w:lang w:eastAsia="en-US"/>
        </w:rPr>
        <w:t xml:space="preserve"> por cuanto las UC están definidas en km por fase</w:t>
      </w:r>
      <w:r w:rsidR="004A4BC5">
        <w:rPr>
          <w:bCs/>
          <w:lang w:eastAsia="en-US"/>
        </w:rPr>
        <w:t>,</w:t>
      </w:r>
      <w:r>
        <w:rPr>
          <w:bCs/>
          <w:lang w:eastAsia="en-US"/>
        </w:rPr>
        <w:t xml:space="preserve"> considerando que las empresas pueden reponer una o dos fases en una red trifásica. Los cambios de formatos que señala la empresa se realizaron para el reporte de líneas de niveles de tensión 2 y 3. En todo caso, la Comisión accede a la modificación de la cantidad de UC de redes de nivel de tensión 1.</w:t>
      </w:r>
    </w:p>
    <w:p w14:paraId="7A9C132B" w14:textId="26D326C9" w:rsidR="00081A95" w:rsidRDefault="00081A95" w:rsidP="00D5583E">
      <w:pPr>
        <w:pStyle w:val="Prrafodelista"/>
        <w:numPr>
          <w:ilvl w:val="0"/>
          <w:numId w:val="12"/>
        </w:numPr>
        <w:rPr>
          <w:bCs/>
          <w:lang w:eastAsia="en-US"/>
        </w:rPr>
      </w:pPr>
      <w:r>
        <w:rPr>
          <w:bCs/>
          <w:lang w:eastAsia="en-US"/>
        </w:rPr>
        <w:t xml:space="preserve">En cuanto al reconocimiento de las áreas de casas de control de las subestaciones Altagracia, Cerritos, Naranjito y Cuba, </w:t>
      </w:r>
      <w:r w:rsidRPr="00081A95">
        <w:rPr>
          <w:bCs/>
          <w:lang w:eastAsia="en-US"/>
        </w:rPr>
        <w:t>la Comisión procedió a revisar el cálculo</w:t>
      </w:r>
      <w:r w:rsidR="004A4BC5">
        <w:rPr>
          <w:bCs/>
          <w:lang w:eastAsia="en-US"/>
        </w:rPr>
        <w:t>,</w:t>
      </w:r>
      <w:r w:rsidRPr="00081A95">
        <w:rPr>
          <w:bCs/>
          <w:lang w:eastAsia="en-US"/>
        </w:rPr>
        <w:t xml:space="preserve"> encontrando diferencias debido al número de celdas o área general incluida en el cálculo, por lo que se considera procedente la solicitud del OR</w:t>
      </w:r>
      <w:r>
        <w:rPr>
          <w:bCs/>
          <w:lang w:eastAsia="en-US"/>
        </w:rPr>
        <w:t>.</w:t>
      </w:r>
    </w:p>
    <w:p w14:paraId="50985022" w14:textId="76EC9966" w:rsidR="00081A95" w:rsidRPr="00081A95" w:rsidRDefault="00D3027B" w:rsidP="00D5583E">
      <w:pPr>
        <w:pStyle w:val="Prrafodelista"/>
        <w:numPr>
          <w:ilvl w:val="0"/>
          <w:numId w:val="12"/>
        </w:numPr>
        <w:rPr>
          <w:bCs/>
          <w:lang w:eastAsia="en-US"/>
        </w:rPr>
      </w:pPr>
      <w:r>
        <w:rPr>
          <w:bCs/>
          <w:lang w:eastAsia="en-US"/>
        </w:rPr>
        <w:t xml:space="preserve">Frente a la asignación </w:t>
      </w:r>
      <w:r w:rsidR="002769DB">
        <w:rPr>
          <w:bCs/>
          <w:lang w:eastAsia="en-US"/>
        </w:rPr>
        <w:t>entre niveles de tensión de las transformadores y bahías asociadas, la Comisión procedió a revisar la asignación</w:t>
      </w:r>
      <w:r w:rsidR="004A4BC5">
        <w:rPr>
          <w:bCs/>
          <w:lang w:eastAsia="en-US"/>
        </w:rPr>
        <w:t>,</w:t>
      </w:r>
      <w:r w:rsidR="002769DB">
        <w:rPr>
          <w:bCs/>
          <w:lang w:eastAsia="en-US"/>
        </w:rPr>
        <w:t xml:space="preserve"> y encontró que la de los transformadores se realizó adecuadamente</w:t>
      </w:r>
      <w:r w:rsidR="004A4BC5">
        <w:rPr>
          <w:bCs/>
          <w:lang w:eastAsia="en-US"/>
        </w:rPr>
        <w:t>,</w:t>
      </w:r>
      <w:r w:rsidR="002769DB">
        <w:rPr>
          <w:bCs/>
          <w:lang w:eastAsia="en-US"/>
        </w:rPr>
        <w:t xml:space="preserve"> y que la de las bahías no tuvo en cuenta el transformador asociado</w:t>
      </w:r>
      <w:r w:rsidR="004A4BC5">
        <w:rPr>
          <w:bCs/>
          <w:lang w:eastAsia="en-US"/>
        </w:rPr>
        <w:t>,</w:t>
      </w:r>
      <w:r w:rsidR="002769DB">
        <w:rPr>
          <w:bCs/>
          <w:lang w:eastAsia="en-US"/>
        </w:rPr>
        <w:t xml:space="preserve"> debido a que la empresa cambio el nombre de la columna del formato de reporte. En consecuencia, se </w:t>
      </w:r>
      <w:r w:rsidR="002769DB" w:rsidRPr="00081A95">
        <w:rPr>
          <w:bCs/>
          <w:lang w:eastAsia="en-US"/>
        </w:rPr>
        <w:t>considera procedente la solicitud del OR</w:t>
      </w:r>
      <w:r w:rsidR="002769DB">
        <w:rPr>
          <w:bCs/>
          <w:lang w:eastAsia="en-US"/>
        </w:rPr>
        <w:t xml:space="preserve"> para la modificación de la asignación entre niveles de las bahías incluidas en el inventario.</w:t>
      </w:r>
    </w:p>
    <w:p w14:paraId="7E46F766" w14:textId="77777777" w:rsidR="006B0C05" w:rsidRPr="006B0C05" w:rsidRDefault="006B0C05" w:rsidP="006B0C05">
      <w:pPr>
        <w:rPr>
          <w:b/>
          <w:lang w:eastAsia="en-US"/>
        </w:rPr>
      </w:pPr>
      <w:bookmarkStart w:id="4" w:name="_Hlk33520016"/>
      <w:r w:rsidRPr="006B0C05">
        <w:rPr>
          <w:b/>
          <w:lang w:eastAsia="en-US"/>
        </w:rPr>
        <w:t xml:space="preserve">Petición de modificación de </w:t>
      </w:r>
      <w:r>
        <w:rPr>
          <w:b/>
          <w:lang w:eastAsia="en-US"/>
        </w:rPr>
        <w:t>los indicadores de referencia de calidad media, SAIDI_R y SAIFI_R.</w:t>
      </w:r>
    </w:p>
    <w:p w14:paraId="038DF619" w14:textId="77777777" w:rsidR="006B0C05" w:rsidRPr="000656BB" w:rsidRDefault="006B0C05" w:rsidP="006B0C05">
      <w:pPr>
        <w:rPr>
          <w:lang w:eastAsia="en-US"/>
        </w:rPr>
      </w:pPr>
      <w:r w:rsidRPr="000656BB">
        <w:rPr>
          <w:lang w:eastAsia="en-US"/>
        </w:rPr>
        <w:t xml:space="preserve">El OR fundamenta su solicitud de modificación del valor de </w:t>
      </w:r>
      <w:r w:rsidR="00432539">
        <w:rPr>
          <w:lang w:eastAsia="en-US"/>
        </w:rPr>
        <w:t>los indicadores de calidad media</w:t>
      </w:r>
      <w:r w:rsidRPr="000656BB">
        <w:rPr>
          <w:lang w:eastAsia="en-US"/>
        </w:rPr>
        <w:t>, en lo siguiente:</w:t>
      </w:r>
    </w:p>
    <w:p w14:paraId="7826E23D" w14:textId="77777777" w:rsidR="00A618FA" w:rsidRPr="00A618FA" w:rsidRDefault="0093633C" w:rsidP="00A618FA">
      <w:pPr>
        <w:keepLines/>
        <w:ind w:left="708"/>
        <w:rPr>
          <w:b/>
          <w:i/>
          <w:sz w:val="22"/>
          <w:szCs w:val="22"/>
        </w:rPr>
      </w:pPr>
      <w:r>
        <w:rPr>
          <w:b/>
          <w:i/>
          <w:sz w:val="22"/>
          <w:szCs w:val="22"/>
        </w:rPr>
        <w:t xml:space="preserve">… </w:t>
      </w:r>
      <w:r w:rsidR="00A618FA" w:rsidRPr="00A618FA">
        <w:rPr>
          <w:b/>
          <w:i/>
          <w:sz w:val="22"/>
          <w:szCs w:val="22"/>
        </w:rPr>
        <w:t>5 CALIDAD DEL SERVICIO</w:t>
      </w:r>
    </w:p>
    <w:p w14:paraId="06C2311B" w14:textId="77777777" w:rsidR="00A618FA" w:rsidRDefault="00A618FA" w:rsidP="00A618FA">
      <w:pPr>
        <w:keepLines/>
        <w:ind w:left="708"/>
        <w:rPr>
          <w:b/>
          <w:i/>
          <w:sz w:val="22"/>
          <w:szCs w:val="22"/>
        </w:rPr>
      </w:pPr>
      <w:r w:rsidRPr="00A618FA">
        <w:rPr>
          <w:b/>
          <w:i/>
          <w:sz w:val="22"/>
          <w:szCs w:val="22"/>
        </w:rPr>
        <w:t>5.1 Índices de Referencia SAIDI_R y SAIFI_R</w:t>
      </w:r>
    </w:p>
    <w:p w14:paraId="62E27E7F" w14:textId="35FBF174" w:rsidR="00A618FA" w:rsidRDefault="00A618FA" w:rsidP="00C6167C">
      <w:pPr>
        <w:keepLines/>
        <w:spacing w:after="0"/>
        <w:ind w:left="708"/>
        <w:rPr>
          <w:bCs/>
          <w:i/>
          <w:sz w:val="22"/>
          <w:szCs w:val="22"/>
        </w:rPr>
      </w:pPr>
      <w:r w:rsidRPr="00A618FA">
        <w:rPr>
          <w:bCs/>
          <w:i/>
          <w:sz w:val="22"/>
          <w:szCs w:val="22"/>
        </w:rPr>
        <w:t>En este aspecto la Regulación prevé la estimación de unos índices de referencia, aplicando la</w:t>
      </w:r>
      <w:r>
        <w:rPr>
          <w:bCs/>
          <w:i/>
          <w:sz w:val="22"/>
          <w:szCs w:val="22"/>
        </w:rPr>
        <w:t xml:space="preserve"> </w:t>
      </w:r>
      <w:r w:rsidRPr="00A618FA">
        <w:rPr>
          <w:bCs/>
          <w:i/>
          <w:sz w:val="22"/>
          <w:szCs w:val="22"/>
        </w:rPr>
        <w:t>siguiente metodología, establecida en el numeral 5.2.5 de la Resolución CREG 015 de 2018,</w:t>
      </w:r>
      <w:r>
        <w:rPr>
          <w:bCs/>
          <w:i/>
          <w:sz w:val="22"/>
          <w:szCs w:val="22"/>
        </w:rPr>
        <w:t xml:space="preserve"> </w:t>
      </w:r>
      <w:r w:rsidRPr="00A618FA">
        <w:rPr>
          <w:bCs/>
          <w:i/>
          <w:sz w:val="22"/>
          <w:szCs w:val="22"/>
        </w:rPr>
        <w:t xml:space="preserve">la cual menciona lo siguiente: </w:t>
      </w:r>
    </w:p>
    <w:p w14:paraId="261BB5FD" w14:textId="77777777" w:rsidR="00DA73F0" w:rsidRDefault="00A618FA" w:rsidP="00C6167C">
      <w:pPr>
        <w:keepLines/>
        <w:spacing w:before="0"/>
        <w:ind w:left="708"/>
        <w:rPr>
          <w:bCs/>
          <w:i/>
          <w:sz w:val="22"/>
          <w:szCs w:val="22"/>
        </w:rPr>
      </w:pPr>
      <w:r w:rsidRPr="00A618FA">
        <w:rPr>
          <w:bCs/>
          <w:i/>
          <w:sz w:val="22"/>
          <w:szCs w:val="22"/>
        </w:rPr>
        <w:lastRenderedPageBreak/>
        <w:t xml:space="preserve">“Los indicadores de referencia, </w:t>
      </w:r>
      <w:proofErr w:type="spellStart"/>
      <w:r w:rsidRPr="00A618FA">
        <w:rPr>
          <w:bCs/>
          <w:i/>
          <w:sz w:val="22"/>
          <w:szCs w:val="22"/>
        </w:rPr>
        <w:t>SAIDI_Rj</w:t>
      </w:r>
      <w:proofErr w:type="spellEnd"/>
      <w:r w:rsidRPr="00A618FA">
        <w:rPr>
          <w:bCs/>
          <w:i/>
          <w:sz w:val="22"/>
          <w:szCs w:val="22"/>
        </w:rPr>
        <w:t xml:space="preserve"> y </w:t>
      </w:r>
      <w:proofErr w:type="spellStart"/>
      <w:r w:rsidRPr="00A618FA">
        <w:rPr>
          <w:bCs/>
          <w:i/>
          <w:sz w:val="22"/>
          <w:szCs w:val="22"/>
        </w:rPr>
        <w:t>SAIFI_Rj</w:t>
      </w:r>
      <w:proofErr w:type="spellEnd"/>
      <w:r w:rsidRPr="00A618FA">
        <w:rPr>
          <w:bCs/>
          <w:i/>
          <w:sz w:val="22"/>
          <w:szCs w:val="22"/>
        </w:rPr>
        <w:t>, y los indicadores de calidad mínima</w:t>
      </w:r>
      <w:r>
        <w:rPr>
          <w:bCs/>
          <w:i/>
          <w:sz w:val="22"/>
          <w:szCs w:val="22"/>
        </w:rPr>
        <w:t xml:space="preserve"> </w:t>
      </w:r>
      <w:r w:rsidRPr="00A618FA">
        <w:rPr>
          <w:bCs/>
          <w:i/>
          <w:sz w:val="22"/>
          <w:szCs w:val="22"/>
        </w:rPr>
        <w:t xml:space="preserve">garantizada, </w:t>
      </w:r>
      <w:proofErr w:type="spellStart"/>
      <w:r w:rsidRPr="00A618FA">
        <w:rPr>
          <w:bCs/>
          <w:i/>
          <w:sz w:val="22"/>
          <w:szCs w:val="22"/>
        </w:rPr>
        <w:t>DIUGj,n,q</w:t>
      </w:r>
      <w:proofErr w:type="spellEnd"/>
      <w:r w:rsidRPr="00A618FA">
        <w:rPr>
          <w:bCs/>
          <w:i/>
          <w:sz w:val="22"/>
          <w:szCs w:val="22"/>
        </w:rPr>
        <w:t xml:space="preserve"> y </w:t>
      </w:r>
      <w:proofErr w:type="spellStart"/>
      <w:r w:rsidRPr="00A618FA">
        <w:rPr>
          <w:bCs/>
          <w:i/>
          <w:sz w:val="22"/>
          <w:szCs w:val="22"/>
        </w:rPr>
        <w:t>FIUGj,n,q</w:t>
      </w:r>
      <w:proofErr w:type="spellEnd"/>
      <w:r w:rsidRPr="00A618FA">
        <w:rPr>
          <w:bCs/>
          <w:i/>
          <w:sz w:val="22"/>
          <w:szCs w:val="22"/>
        </w:rPr>
        <w:t xml:space="preserve"> </w:t>
      </w:r>
      <w:r w:rsidRPr="00A618FA">
        <w:rPr>
          <w:bCs/>
          <w:i/>
          <w:sz w:val="22"/>
          <w:szCs w:val="22"/>
          <w:u w:val="single"/>
        </w:rPr>
        <w:t>serán calculados y definidos</w:t>
      </w:r>
      <w:r>
        <w:rPr>
          <w:bCs/>
          <w:i/>
          <w:sz w:val="22"/>
          <w:szCs w:val="22"/>
        </w:rPr>
        <w:t xml:space="preserve"> en la </w:t>
      </w:r>
      <w:r w:rsidRPr="00A618FA">
        <w:rPr>
          <w:bCs/>
          <w:i/>
          <w:sz w:val="22"/>
          <w:szCs w:val="22"/>
        </w:rPr>
        <w:t>Resolución de</w:t>
      </w:r>
      <w:r>
        <w:rPr>
          <w:bCs/>
          <w:i/>
          <w:sz w:val="22"/>
          <w:szCs w:val="22"/>
        </w:rPr>
        <w:t xml:space="preserve"> </w:t>
      </w:r>
      <w:r w:rsidRPr="00A618FA">
        <w:rPr>
          <w:bCs/>
          <w:i/>
          <w:sz w:val="22"/>
          <w:szCs w:val="22"/>
        </w:rPr>
        <w:t>aprobación de cargos que expida la CREG,</w:t>
      </w:r>
      <w:r>
        <w:rPr>
          <w:bCs/>
          <w:i/>
          <w:sz w:val="22"/>
          <w:szCs w:val="22"/>
        </w:rPr>
        <w:t xml:space="preserve"> </w:t>
      </w:r>
      <w:r w:rsidRPr="00A618FA">
        <w:rPr>
          <w:bCs/>
          <w:i/>
          <w:sz w:val="22"/>
          <w:szCs w:val="22"/>
        </w:rPr>
        <w:t>a partir de la información contenida en los reportes</w:t>
      </w:r>
      <w:r w:rsidR="00DA73F0">
        <w:rPr>
          <w:bCs/>
          <w:i/>
          <w:sz w:val="22"/>
          <w:szCs w:val="22"/>
        </w:rPr>
        <w:t xml:space="preserve"> </w:t>
      </w:r>
      <w:r w:rsidR="00DA73F0" w:rsidRPr="00DA73F0">
        <w:rPr>
          <w:bCs/>
          <w:i/>
          <w:sz w:val="22"/>
          <w:szCs w:val="22"/>
          <w:u w:val="single"/>
        </w:rPr>
        <w:t>diarios y trimestrales</w:t>
      </w:r>
      <w:r w:rsidR="00DA73F0">
        <w:rPr>
          <w:bCs/>
          <w:i/>
          <w:sz w:val="22"/>
          <w:szCs w:val="22"/>
        </w:rPr>
        <w:t xml:space="preserve"> hechos por el OR j, durante 2016,  al sistema denominado “índices de calidad SDL, INDICA”, </w:t>
      </w:r>
      <w:r w:rsidR="00DA73F0" w:rsidRPr="00DA73F0">
        <w:rPr>
          <w:bCs/>
          <w:i/>
          <w:sz w:val="22"/>
          <w:szCs w:val="22"/>
          <w:u w:val="single"/>
        </w:rPr>
        <w:t>considerando las exclusiones</w:t>
      </w:r>
      <w:r w:rsidR="00DA73F0">
        <w:rPr>
          <w:bCs/>
          <w:i/>
          <w:sz w:val="22"/>
          <w:szCs w:val="22"/>
          <w:u w:val="single"/>
        </w:rPr>
        <w:t xml:space="preserve"> </w:t>
      </w:r>
      <w:r w:rsidR="00DA73F0" w:rsidRPr="00DA73F0">
        <w:rPr>
          <w:bCs/>
          <w:i/>
          <w:sz w:val="22"/>
          <w:szCs w:val="22"/>
        </w:rPr>
        <w:t>que allí</w:t>
      </w:r>
      <w:r w:rsidR="00DA73F0">
        <w:rPr>
          <w:bCs/>
          <w:i/>
          <w:sz w:val="22"/>
          <w:szCs w:val="22"/>
        </w:rPr>
        <w:t xml:space="preserve"> se reportaron, </w:t>
      </w:r>
      <w:r w:rsidR="00DA73F0" w:rsidRPr="00DA73F0">
        <w:rPr>
          <w:bCs/>
          <w:i/>
          <w:sz w:val="22"/>
          <w:szCs w:val="22"/>
          <w:u w:val="single"/>
        </w:rPr>
        <w:t>pero excluyendo adicionalmente la duración y frecuencia de los eventos con duración menor o igual a tres (3) minutos</w:t>
      </w:r>
      <w:r w:rsidR="00DA73F0">
        <w:rPr>
          <w:bCs/>
          <w:i/>
          <w:sz w:val="22"/>
          <w:szCs w:val="22"/>
        </w:rPr>
        <w:t xml:space="preserve">. La información de vinculación de los usuarios a las redes de distribución será obtenida del SUI.” </w:t>
      </w:r>
    </w:p>
    <w:p w14:paraId="10217B50" w14:textId="77777777" w:rsidR="00A618FA" w:rsidRDefault="00DA73F0" w:rsidP="00DA73F0">
      <w:pPr>
        <w:keepLines/>
        <w:ind w:left="708"/>
        <w:rPr>
          <w:bCs/>
          <w:i/>
          <w:sz w:val="22"/>
          <w:szCs w:val="22"/>
        </w:rPr>
      </w:pPr>
      <w:r w:rsidRPr="00DA73F0">
        <w:rPr>
          <w:bCs/>
          <w:i/>
          <w:sz w:val="22"/>
          <w:szCs w:val="22"/>
        </w:rPr>
        <w:t>De esta manera, una vez revisados los índices de calidad de referencia presentados por la</w:t>
      </w:r>
      <w:r>
        <w:rPr>
          <w:bCs/>
          <w:i/>
          <w:sz w:val="22"/>
          <w:szCs w:val="22"/>
        </w:rPr>
        <w:t xml:space="preserve"> </w:t>
      </w:r>
      <w:r w:rsidRPr="00DA73F0">
        <w:rPr>
          <w:bCs/>
          <w:i/>
          <w:sz w:val="22"/>
          <w:szCs w:val="22"/>
        </w:rPr>
        <w:t>Comisión de Regulación en la Resolución CREG 178 de 2019, SAIDI__R y SAIFI_R, se</w:t>
      </w:r>
      <w:r>
        <w:rPr>
          <w:bCs/>
          <w:i/>
          <w:sz w:val="22"/>
          <w:szCs w:val="22"/>
        </w:rPr>
        <w:t xml:space="preserve"> </w:t>
      </w:r>
      <w:r w:rsidRPr="00DA73F0">
        <w:rPr>
          <w:bCs/>
          <w:i/>
          <w:sz w:val="22"/>
          <w:szCs w:val="22"/>
        </w:rPr>
        <w:t>encuentran diferencias sustanciales en los resultados expuestos, frente a la aplicación de la</w:t>
      </w:r>
      <w:r>
        <w:rPr>
          <w:bCs/>
          <w:i/>
          <w:sz w:val="22"/>
          <w:szCs w:val="22"/>
        </w:rPr>
        <w:t xml:space="preserve"> </w:t>
      </w:r>
      <w:r w:rsidRPr="00DA73F0">
        <w:rPr>
          <w:bCs/>
          <w:i/>
          <w:sz w:val="22"/>
          <w:szCs w:val="22"/>
        </w:rPr>
        <w:t>metodología propuesta en el numeral 5.2.5 de la Resolución CREG 015 de 2018, la cual fue</w:t>
      </w:r>
      <w:r>
        <w:rPr>
          <w:bCs/>
          <w:i/>
          <w:sz w:val="22"/>
          <w:szCs w:val="22"/>
        </w:rPr>
        <w:t xml:space="preserve"> a</w:t>
      </w:r>
      <w:r w:rsidRPr="00DA73F0">
        <w:rPr>
          <w:bCs/>
          <w:i/>
          <w:sz w:val="22"/>
          <w:szCs w:val="22"/>
        </w:rPr>
        <w:t>plicada de manera exegética por la ENERGÍA DE PEREIRA para determinar las metas de</w:t>
      </w:r>
      <w:r>
        <w:rPr>
          <w:bCs/>
          <w:i/>
          <w:sz w:val="22"/>
          <w:szCs w:val="22"/>
        </w:rPr>
        <w:t xml:space="preserve"> </w:t>
      </w:r>
      <w:r w:rsidRPr="00DA73F0">
        <w:rPr>
          <w:bCs/>
          <w:i/>
          <w:sz w:val="22"/>
          <w:szCs w:val="22"/>
        </w:rPr>
        <w:t>referencia a tener en cuenta en el seguimiento de nuestros indicadores estratégicos, donde</w:t>
      </w:r>
      <w:r>
        <w:rPr>
          <w:bCs/>
          <w:i/>
          <w:sz w:val="22"/>
          <w:szCs w:val="22"/>
        </w:rPr>
        <w:t xml:space="preserve"> </w:t>
      </w:r>
      <w:r w:rsidRPr="00DA73F0">
        <w:rPr>
          <w:bCs/>
          <w:i/>
          <w:sz w:val="22"/>
          <w:szCs w:val="22"/>
        </w:rPr>
        <w:t>se evidencia que la CREG no tuvo en cuenta las exclusiones reportadas en 2016 para el cálculo</w:t>
      </w:r>
      <w:r>
        <w:rPr>
          <w:bCs/>
          <w:i/>
          <w:sz w:val="22"/>
          <w:szCs w:val="22"/>
        </w:rPr>
        <w:t xml:space="preserve"> </w:t>
      </w:r>
      <w:r w:rsidRPr="00DA73F0">
        <w:rPr>
          <w:bCs/>
          <w:i/>
          <w:sz w:val="22"/>
          <w:szCs w:val="22"/>
        </w:rPr>
        <w:t xml:space="preserve">del indicador como lo indica el citado numeral “(...) </w:t>
      </w:r>
      <w:r>
        <w:rPr>
          <w:bCs/>
          <w:i/>
          <w:sz w:val="22"/>
          <w:szCs w:val="22"/>
        </w:rPr>
        <w:t xml:space="preserve">considerando las exclusiones que allí </w:t>
      </w:r>
      <w:r w:rsidRPr="00DA73F0">
        <w:rPr>
          <w:bCs/>
          <w:i/>
          <w:sz w:val="22"/>
          <w:szCs w:val="22"/>
        </w:rPr>
        <w:t>se</w:t>
      </w:r>
      <w:r>
        <w:rPr>
          <w:bCs/>
          <w:i/>
          <w:sz w:val="22"/>
          <w:szCs w:val="22"/>
        </w:rPr>
        <w:t xml:space="preserve"> </w:t>
      </w:r>
      <w:r w:rsidRPr="00DA73F0">
        <w:rPr>
          <w:bCs/>
          <w:i/>
          <w:sz w:val="22"/>
          <w:szCs w:val="22"/>
        </w:rPr>
        <w:t>reportaron (...)”.. Por esta razón, comedidamente se invita a</w:t>
      </w:r>
      <w:r>
        <w:rPr>
          <w:bCs/>
          <w:i/>
          <w:sz w:val="22"/>
          <w:szCs w:val="22"/>
        </w:rPr>
        <w:t xml:space="preserve">l </w:t>
      </w:r>
      <w:r w:rsidRPr="00DA73F0">
        <w:rPr>
          <w:bCs/>
          <w:i/>
          <w:sz w:val="22"/>
          <w:szCs w:val="22"/>
        </w:rPr>
        <w:t>Regulador a revisar los cálculos</w:t>
      </w:r>
      <w:r>
        <w:rPr>
          <w:bCs/>
          <w:i/>
          <w:sz w:val="22"/>
          <w:szCs w:val="22"/>
        </w:rPr>
        <w:t xml:space="preserve"> </w:t>
      </w:r>
      <w:r w:rsidRPr="00DA73F0">
        <w:rPr>
          <w:bCs/>
          <w:i/>
          <w:sz w:val="22"/>
          <w:szCs w:val="22"/>
        </w:rPr>
        <w:t>para la determinación de los índices de referencia.</w:t>
      </w:r>
    </w:p>
    <w:p w14:paraId="6F845BB7" w14:textId="77777777" w:rsidR="0093633C" w:rsidRDefault="0093633C" w:rsidP="0093633C">
      <w:pPr>
        <w:keepLines/>
        <w:ind w:left="708"/>
        <w:rPr>
          <w:bCs/>
          <w:i/>
          <w:sz w:val="22"/>
          <w:szCs w:val="22"/>
        </w:rPr>
      </w:pPr>
      <w:r w:rsidRPr="0093633C">
        <w:rPr>
          <w:bCs/>
          <w:i/>
          <w:sz w:val="22"/>
          <w:szCs w:val="22"/>
        </w:rPr>
        <w:t>Por otra parte, nuevamente se solicita de manera respetuosa a la CREG tener en cuenta en</w:t>
      </w:r>
      <w:r>
        <w:rPr>
          <w:bCs/>
          <w:i/>
          <w:sz w:val="22"/>
          <w:szCs w:val="22"/>
        </w:rPr>
        <w:t xml:space="preserve"> </w:t>
      </w:r>
      <w:r w:rsidRPr="0093633C">
        <w:rPr>
          <w:bCs/>
          <w:i/>
          <w:sz w:val="22"/>
          <w:szCs w:val="22"/>
        </w:rPr>
        <w:t xml:space="preserve">las exclusiones de los indicadores de calidad media, </w:t>
      </w:r>
      <w:bookmarkStart w:id="5" w:name="_Hlk33513299"/>
      <w:r w:rsidRPr="0093633C">
        <w:rPr>
          <w:bCs/>
          <w:i/>
          <w:sz w:val="22"/>
          <w:szCs w:val="22"/>
        </w:rPr>
        <w:t>las suspensiones programadas asociadas</w:t>
      </w:r>
      <w:r>
        <w:rPr>
          <w:bCs/>
          <w:i/>
          <w:sz w:val="22"/>
          <w:szCs w:val="22"/>
        </w:rPr>
        <w:t xml:space="preserve"> </w:t>
      </w:r>
      <w:r w:rsidRPr="0093633C">
        <w:rPr>
          <w:bCs/>
          <w:i/>
          <w:sz w:val="22"/>
          <w:szCs w:val="22"/>
        </w:rPr>
        <w:t>a la ejecución del plan de inversiones aprobado</w:t>
      </w:r>
      <w:bookmarkEnd w:id="5"/>
      <w:r w:rsidRPr="0093633C">
        <w:rPr>
          <w:bCs/>
          <w:i/>
          <w:sz w:val="22"/>
          <w:szCs w:val="22"/>
        </w:rPr>
        <w:t>, toda vez que según el artículo 1391 de la Ley142 y el artículo 6 de la Ley 143 de 1994, los eventos programados, mantenimientos,</w:t>
      </w:r>
      <w:r>
        <w:rPr>
          <w:bCs/>
          <w:i/>
          <w:sz w:val="22"/>
          <w:szCs w:val="22"/>
        </w:rPr>
        <w:t xml:space="preserve"> </w:t>
      </w:r>
      <w:r w:rsidRPr="0093633C">
        <w:rPr>
          <w:bCs/>
          <w:i/>
          <w:sz w:val="22"/>
          <w:szCs w:val="22"/>
        </w:rPr>
        <w:t>reparaciones u obras programadas no</w:t>
      </w:r>
      <w:r>
        <w:rPr>
          <w:bCs/>
          <w:i/>
          <w:sz w:val="22"/>
          <w:szCs w:val="22"/>
        </w:rPr>
        <w:t xml:space="preserve"> </w:t>
      </w:r>
      <w:r w:rsidRPr="0093633C">
        <w:rPr>
          <w:bCs/>
          <w:i/>
          <w:sz w:val="22"/>
          <w:szCs w:val="22"/>
        </w:rPr>
        <w:t>se deben considerar falla en la prestación del servicio.</w:t>
      </w:r>
      <w:r>
        <w:rPr>
          <w:bCs/>
          <w:i/>
          <w:sz w:val="22"/>
          <w:szCs w:val="22"/>
        </w:rPr>
        <w:t xml:space="preserve"> </w:t>
      </w:r>
      <w:r w:rsidRPr="0093633C">
        <w:rPr>
          <w:bCs/>
          <w:i/>
          <w:sz w:val="22"/>
          <w:szCs w:val="22"/>
        </w:rPr>
        <w:t>Con base en lo anterior, se reitera el cálculo realizado por la EEP de los índices de referencia</w:t>
      </w:r>
      <w:r>
        <w:rPr>
          <w:bCs/>
          <w:i/>
          <w:sz w:val="22"/>
          <w:szCs w:val="22"/>
        </w:rPr>
        <w:t xml:space="preserve"> </w:t>
      </w:r>
      <w:r w:rsidRPr="0093633C">
        <w:rPr>
          <w:bCs/>
          <w:i/>
          <w:sz w:val="22"/>
          <w:szCs w:val="22"/>
        </w:rPr>
        <w:t>SAIDI_R y SAIFI_R, enviados en el pliego expediente 2018-</w:t>
      </w:r>
      <w:proofErr w:type="gramStart"/>
      <w:r w:rsidRPr="0093633C">
        <w:rPr>
          <w:bCs/>
          <w:i/>
          <w:sz w:val="22"/>
          <w:szCs w:val="22"/>
        </w:rPr>
        <w:t>156:</w:t>
      </w:r>
      <w:r>
        <w:rPr>
          <w:bCs/>
          <w:i/>
          <w:sz w:val="22"/>
          <w:szCs w:val="22"/>
        </w:rPr>
        <w:t>…</w:t>
      </w:r>
      <w:proofErr w:type="gramEnd"/>
    </w:p>
    <w:p w14:paraId="43BF6966" w14:textId="77777777" w:rsidR="0049646A" w:rsidRDefault="0049646A" w:rsidP="006B0C05">
      <w:pPr>
        <w:rPr>
          <w:bCs/>
          <w:lang w:eastAsia="en-US"/>
        </w:rPr>
      </w:pPr>
      <w:r>
        <w:rPr>
          <w:bCs/>
          <w:lang w:eastAsia="en-US"/>
        </w:rPr>
        <w:t xml:space="preserve">Frente a la solicitud de revisión de la empresa, la Comisión </w:t>
      </w:r>
      <w:r w:rsidR="00916B4E">
        <w:rPr>
          <w:bCs/>
          <w:lang w:eastAsia="en-US"/>
        </w:rPr>
        <w:t xml:space="preserve">encuentra que </w:t>
      </w:r>
      <w:r w:rsidR="00C224F8">
        <w:rPr>
          <w:bCs/>
          <w:lang w:eastAsia="en-US"/>
        </w:rPr>
        <w:t>en el Documento CREG 115 de 201</w:t>
      </w:r>
      <w:r w:rsidR="00916B4E">
        <w:rPr>
          <w:bCs/>
          <w:lang w:eastAsia="en-US"/>
        </w:rPr>
        <w:t>9 se señala</w:t>
      </w:r>
      <w:r w:rsidR="00363183">
        <w:rPr>
          <w:bCs/>
          <w:lang w:eastAsia="en-US"/>
        </w:rPr>
        <w:t>,</w:t>
      </w:r>
      <w:r w:rsidR="00C224F8">
        <w:rPr>
          <w:bCs/>
          <w:lang w:eastAsia="en-US"/>
        </w:rPr>
        <w:t xml:space="preserve"> </w:t>
      </w:r>
      <w:r>
        <w:rPr>
          <w:bCs/>
          <w:lang w:eastAsia="en-US"/>
        </w:rPr>
        <w:t xml:space="preserve">de manera </w:t>
      </w:r>
      <w:r w:rsidR="00C224F8">
        <w:rPr>
          <w:bCs/>
          <w:lang w:eastAsia="en-US"/>
        </w:rPr>
        <w:t>específica</w:t>
      </w:r>
      <w:r>
        <w:rPr>
          <w:bCs/>
          <w:lang w:eastAsia="en-US"/>
        </w:rPr>
        <w:t xml:space="preserve"> y acorde con lo establecido en numeral 5.1</w:t>
      </w:r>
      <w:r w:rsidR="00C224F8">
        <w:rPr>
          <w:bCs/>
          <w:lang w:eastAsia="en-US"/>
        </w:rPr>
        <w:t xml:space="preserve"> de</w:t>
      </w:r>
      <w:r w:rsidR="00363183">
        <w:rPr>
          <w:bCs/>
          <w:lang w:eastAsia="en-US"/>
        </w:rPr>
        <w:t>l capítulo 5 del anexo general de</w:t>
      </w:r>
      <w:r w:rsidR="00C224F8">
        <w:rPr>
          <w:bCs/>
          <w:lang w:eastAsia="en-US"/>
        </w:rPr>
        <w:t xml:space="preserve"> la Resolución CREG 015 de 2018</w:t>
      </w:r>
      <w:r w:rsidR="00363183">
        <w:rPr>
          <w:bCs/>
          <w:lang w:eastAsia="en-US"/>
        </w:rPr>
        <w:t>,</w:t>
      </w:r>
      <w:r w:rsidR="00C224F8">
        <w:rPr>
          <w:bCs/>
          <w:lang w:eastAsia="en-US"/>
        </w:rPr>
        <w:t xml:space="preserve"> el procedimiento seguido para la revisión de información y cálculo de los indicadores. En el literal b) del numeral 2.5.6.1 del mencionado documento</w:t>
      </w:r>
      <w:r w:rsidR="00363183">
        <w:rPr>
          <w:bCs/>
          <w:lang w:eastAsia="en-US"/>
        </w:rPr>
        <w:t xml:space="preserve"> CREG</w:t>
      </w:r>
      <w:r w:rsidR="00C224F8">
        <w:rPr>
          <w:bCs/>
          <w:lang w:eastAsia="en-US"/>
        </w:rPr>
        <w:t xml:space="preserve"> se indica: </w:t>
      </w:r>
    </w:p>
    <w:p w14:paraId="213B59E1" w14:textId="77777777" w:rsidR="00C224F8" w:rsidRPr="00C224F8" w:rsidRDefault="00C224F8" w:rsidP="00C224F8">
      <w:pPr>
        <w:ind w:left="708"/>
        <w:rPr>
          <w:bCs/>
          <w:i/>
          <w:iCs/>
          <w:sz w:val="28"/>
          <w:szCs w:val="28"/>
          <w:lang w:eastAsia="en-US"/>
        </w:rPr>
      </w:pPr>
      <w:r w:rsidRPr="00C224F8">
        <w:rPr>
          <w:bCs/>
          <w:i/>
          <w:iCs/>
          <w:sz w:val="22"/>
          <w:szCs w:val="22"/>
          <w:lang w:eastAsia="en-US"/>
        </w:rPr>
        <w:t xml:space="preserve">b) La información de eventos del OR se cruza con el reporte “ANALISISEVENTOS” y con la tabla “CAUSAEVENTO” con el fin de identificar las causas excluibles del cálculo, y los reportes eliminados. </w:t>
      </w:r>
      <w:r w:rsidRPr="00C224F8">
        <w:rPr>
          <w:bCs/>
          <w:i/>
          <w:iCs/>
          <w:sz w:val="22"/>
          <w:szCs w:val="22"/>
          <w:u w:val="single"/>
          <w:lang w:eastAsia="en-US"/>
        </w:rPr>
        <w:t xml:space="preserve">Debe tenerse en cuenta que se excluyen los eventos mayores a 3 minutos y se incluyen únicamente las causas 1 y 2, denominadas </w:t>
      </w:r>
      <w:bookmarkStart w:id="6" w:name="_Hlk33513169"/>
      <w:r w:rsidRPr="00C224F8">
        <w:rPr>
          <w:bCs/>
          <w:i/>
          <w:iCs/>
          <w:sz w:val="22"/>
          <w:szCs w:val="22"/>
          <w:u w:val="single"/>
          <w:lang w:eastAsia="en-US"/>
        </w:rPr>
        <w:t>“interrupciones programadas no excluibles” e “interrupciones no programadas no excluibles”</w:t>
      </w:r>
      <w:bookmarkEnd w:id="6"/>
      <w:r w:rsidRPr="00C224F8">
        <w:rPr>
          <w:bCs/>
          <w:i/>
          <w:iCs/>
          <w:sz w:val="22"/>
          <w:szCs w:val="22"/>
          <w:lang w:eastAsia="en-US"/>
        </w:rPr>
        <w:t>.</w:t>
      </w:r>
    </w:p>
    <w:p w14:paraId="7CF3CED2" w14:textId="076408C9" w:rsidR="00432539" w:rsidRDefault="00C224F8" w:rsidP="006B0C05">
      <w:pPr>
        <w:rPr>
          <w:bCs/>
          <w:lang w:eastAsia="en-US"/>
        </w:rPr>
      </w:pPr>
      <w:r>
        <w:rPr>
          <w:bCs/>
          <w:lang w:eastAsia="en-US"/>
        </w:rPr>
        <w:t xml:space="preserve">Por otro lado, en </w:t>
      </w:r>
      <w:r w:rsidR="004A4BC5">
        <w:rPr>
          <w:bCs/>
          <w:lang w:eastAsia="en-US"/>
        </w:rPr>
        <w:t xml:space="preserve">el </w:t>
      </w:r>
      <w:r>
        <w:rPr>
          <w:bCs/>
          <w:lang w:eastAsia="en-US"/>
        </w:rPr>
        <w:t>numeral 5.2.5 de</w:t>
      </w:r>
      <w:r w:rsidR="00363183">
        <w:rPr>
          <w:bCs/>
          <w:lang w:eastAsia="en-US"/>
        </w:rPr>
        <w:t>l capítulo 5 del anexo general de</w:t>
      </w:r>
      <w:r>
        <w:rPr>
          <w:bCs/>
          <w:lang w:eastAsia="en-US"/>
        </w:rPr>
        <w:t xml:space="preserve"> la Resolución CREG 015 de 2018 </w:t>
      </w:r>
      <w:r w:rsidR="00916B4E">
        <w:rPr>
          <w:bCs/>
          <w:lang w:eastAsia="en-US"/>
        </w:rPr>
        <w:t xml:space="preserve">se </w:t>
      </w:r>
      <w:r>
        <w:rPr>
          <w:bCs/>
          <w:lang w:eastAsia="en-US"/>
        </w:rPr>
        <w:t>establece:</w:t>
      </w:r>
    </w:p>
    <w:p w14:paraId="3052566F" w14:textId="77777777" w:rsidR="00C224F8" w:rsidRPr="00C224F8" w:rsidRDefault="00C224F8" w:rsidP="00C224F8">
      <w:pPr>
        <w:ind w:left="708"/>
        <w:rPr>
          <w:bCs/>
          <w:i/>
          <w:iCs/>
          <w:sz w:val="22"/>
          <w:szCs w:val="22"/>
          <w:lang w:eastAsia="en-US"/>
        </w:rPr>
      </w:pPr>
      <w:r w:rsidRPr="00C224F8">
        <w:rPr>
          <w:bCs/>
          <w:i/>
          <w:iCs/>
          <w:sz w:val="22"/>
          <w:szCs w:val="22"/>
          <w:lang w:eastAsia="en-US"/>
        </w:rPr>
        <w:t>5.2.5</w:t>
      </w:r>
      <w:r w:rsidRPr="00C224F8">
        <w:rPr>
          <w:bCs/>
          <w:i/>
          <w:iCs/>
          <w:sz w:val="22"/>
          <w:szCs w:val="22"/>
          <w:lang w:eastAsia="en-US"/>
        </w:rPr>
        <w:tab/>
        <w:t>Indicadores de referencia y de calidad mínima garantizada</w:t>
      </w:r>
    </w:p>
    <w:p w14:paraId="61CABBCF" w14:textId="77777777" w:rsidR="00C224F8" w:rsidRPr="00C224F8" w:rsidRDefault="00C224F8" w:rsidP="00C224F8">
      <w:pPr>
        <w:ind w:left="708"/>
        <w:rPr>
          <w:bCs/>
          <w:sz w:val="28"/>
          <w:szCs w:val="28"/>
          <w:lang w:eastAsia="en-US"/>
        </w:rPr>
      </w:pPr>
      <w:r w:rsidRPr="00C224F8">
        <w:rPr>
          <w:bCs/>
          <w:i/>
          <w:iCs/>
          <w:sz w:val="22"/>
          <w:szCs w:val="22"/>
          <w:lang w:eastAsia="en-US"/>
        </w:rPr>
        <w:t xml:space="preserve">Los indicadores de referencia, </w:t>
      </w:r>
      <w:proofErr w:type="spellStart"/>
      <w:r w:rsidRPr="00C224F8">
        <w:rPr>
          <w:bCs/>
          <w:i/>
          <w:iCs/>
          <w:sz w:val="22"/>
          <w:szCs w:val="22"/>
          <w:lang w:eastAsia="en-US"/>
        </w:rPr>
        <w:t>SAIDI_Rj</w:t>
      </w:r>
      <w:proofErr w:type="spellEnd"/>
      <w:r w:rsidRPr="00C224F8">
        <w:rPr>
          <w:bCs/>
          <w:i/>
          <w:iCs/>
          <w:sz w:val="22"/>
          <w:szCs w:val="22"/>
          <w:lang w:eastAsia="en-US"/>
        </w:rPr>
        <w:t xml:space="preserve"> y </w:t>
      </w:r>
      <w:proofErr w:type="spellStart"/>
      <w:r w:rsidRPr="00C224F8">
        <w:rPr>
          <w:bCs/>
          <w:i/>
          <w:iCs/>
          <w:sz w:val="22"/>
          <w:szCs w:val="22"/>
          <w:lang w:eastAsia="en-US"/>
        </w:rPr>
        <w:t>SAIFI_Rj</w:t>
      </w:r>
      <w:proofErr w:type="spellEnd"/>
      <w:r w:rsidRPr="00C224F8">
        <w:rPr>
          <w:bCs/>
          <w:i/>
          <w:iCs/>
          <w:sz w:val="22"/>
          <w:szCs w:val="22"/>
          <w:lang w:eastAsia="en-US"/>
        </w:rPr>
        <w:t xml:space="preserve">, y los indicadores de calidad mínima garantizada, </w:t>
      </w:r>
      <w:proofErr w:type="spellStart"/>
      <w:r w:rsidRPr="00C224F8">
        <w:rPr>
          <w:bCs/>
          <w:i/>
          <w:iCs/>
          <w:sz w:val="22"/>
          <w:szCs w:val="22"/>
          <w:lang w:eastAsia="en-US"/>
        </w:rPr>
        <w:t>DIUGj,n,q</w:t>
      </w:r>
      <w:proofErr w:type="spellEnd"/>
      <w:r w:rsidRPr="00C224F8">
        <w:rPr>
          <w:bCs/>
          <w:i/>
          <w:iCs/>
          <w:sz w:val="22"/>
          <w:szCs w:val="22"/>
          <w:lang w:eastAsia="en-US"/>
        </w:rPr>
        <w:t xml:space="preserve"> y </w:t>
      </w:r>
      <w:proofErr w:type="spellStart"/>
      <w:r w:rsidRPr="00C224F8">
        <w:rPr>
          <w:bCs/>
          <w:i/>
          <w:iCs/>
          <w:sz w:val="22"/>
          <w:szCs w:val="22"/>
          <w:lang w:eastAsia="en-US"/>
        </w:rPr>
        <w:t>FIUGj,n,q</w:t>
      </w:r>
      <w:proofErr w:type="spellEnd"/>
      <w:r w:rsidRPr="00C224F8">
        <w:rPr>
          <w:bCs/>
          <w:i/>
          <w:iCs/>
          <w:sz w:val="22"/>
          <w:szCs w:val="22"/>
          <w:lang w:eastAsia="en-US"/>
        </w:rPr>
        <w:t xml:space="preserve"> serán calculados y definidos en la resolución de aprobación de cargos que expida la CREG, a partir de la información contenida en los reportes diarios y trimestrales hechos por el OR j, durante el año 2016, al sistema denominado “índices de calidad SDL, INDICA”, </w:t>
      </w:r>
      <w:r w:rsidRPr="00C224F8">
        <w:rPr>
          <w:bCs/>
          <w:i/>
          <w:iCs/>
          <w:sz w:val="22"/>
          <w:szCs w:val="22"/>
          <w:u w:val="single"/>
          <w:lang w:eastAsia="en-US"/>
        </w:rPr>
        <w:t>considerando las exclusiones que allí se reportaron, pero excluyendo adicionalmente la duración y frecuencia de los eventos con duración menor o igual a tres (3) minutos</w:t>
      </w:r>
      <w:r w:rsidRPr="00C224F8">
        <w:rPr>
          <w:bCs/>
          <w:i/>
          <w:iCs/>
          <w:sz w:val="22"/>
          <w:szCs w:val="22"/>
          <w:lang w:eastAsia="en-US"/>
        </w:rPr>
        <w:t>. La información de vinculación de los usuarios a las redes de distribución será obtenida del SUI.</w:t>
      </w:r>
    </w:p>
    <w:p w14:paraId="3993EC16" w14:textId="77777777" w:rsidR="00432539" w:rsidRDefault="00C224F8" w:rsidP="00C224F8">
      <w:pPr>
        <w:ind w:firstLine="708"/>
        <w:rPr>
          <w:bCs/>
          <w:lang w:eastAsia="en-US"/>
        </w:rPr>
      </w:pPr>
      <w:r>
        <w:rPr>
          <w:bCs/>
          <w:lang w:eastAsia="en-US"/>
        </w:rPr>
        <w:lastRenderedPageBreak/>
        <w:t>Subrayado fuera de texto</w:t>
      </w:r>
    </w:p>
    <w:p w14:paraId="7AD4D371" w14:textId="23B1C79C" w:rsidR="00C224F8" w:rsidRDefault="00916B4E" w:rsidP="00C224F8">
      <w:pPr>
        <w:rPr>
          <w:bCs/>
          <w:lang w:eastAsia="en-US"/>
        </w:rPr>
      </w:pPr>
      <w:r w:rsidRPr="00916B4E">
        <w:rPr>
          <w:bCs/>
          <w:lang w:eastAsia="en-US"/>
        </w:rPr>
        <w:t>De acuerdo con lo anterior, la Comisión sí consideró en el cálculo de los indicadores las exclusiones, es decir, las tuvo en cuenta en el análisis de los reportes realizados por el OR en INDICA</w:t>
      </w:r>
      <w:r w:rsidR="004A4BC5">
        <w:rPr>
          <w:bCs/>
          <w:lang w:eastAsia="en-US"/>
        </w:rPr>
        <w:t>,</w:t>
      </w:r>
      <w:r w:rsidRPr="00916B4E">
        <w:rPr>
          <w:bCs/>
          <w:lang w:eastAsia="en-US"/>
        </w:rPr>
        <w:t xml:space="preserve"> e incluyó en el cálculo únicamente aquellos eventos cuyas causas fueran clasificables como no excluibles, las cuales corresponden a las denominadas como “interrupciones programadas no excluibles” e “interrupciones no programadas no excluibles</w:t>
      </w:r>
      <w:r w:rsidR="002A414B" w:rsidRPr="002A414B">
        <w:rPr>
          <w:bCs/>
          <w:lang w:eastAsia="en-US"/>
        </w:rPr>
        <w:t>”</w:t>
      </w:r>
      <w:r w:rsidR="002A414B">
        <w:rPr>
          <w:bCs/>
          <w:lang w:eastAsia="en-US"/>
        </w:rPr>
        <w:t xml:space="preserve">. </w:t>
      </w:r>
    </w:p>
    <w:p w14:paraId="51C092E1" w14:textId="7643752C" w:rsidR="002A414B" w:rsidRDefault="002A414B" w:rsidP="00C224F8">
      <w:pPr>
        <w:rPr>
          <w:bCs/>
          <w:lang w:eastAsia="en-US"/>
        </w:rPr>
      </w:pPr>
      <w:r>
        <w:rPr>
          <w:bCs/>
          <w:lang w:eastAsia="en-US"/>
        </w:rPr>
        <w:t xml:space="preserve">En cuanto a la solicitud de excluir del cálculo de los indicadores de referencia </w:t>
      </w:r>
      <w:r w:rsidRPr="002A414B">
        <w:rPr>
          <w:bCs/>
          <w:lang w:eastAsia="en-US"/>
        </w:rPr>
        <w:t>las suspensiones programadas asociadas a la ejecución del plan de inversiones aprobado</w:t>
      </w:r>
      <w:r>
        <w:rPr>
          <w:bCs/>
          <w:lang w:eastAsia="en-US"/>
        </w:rPr>
        <w:t>, la Comisión considera que este tema fue discutido durante las múltiples consultas que llevaron a la expedición de la Resolución CREG 015 de 2018</w:t>
      </w:r>
      <w:r w:rsidR="004A4BC5">
        <w:rPr>
          <w:bCs/>
          <w:lang w:eastAsia="en-US"/>
        </w:rPr>
        <w:t>,</w:t>
      </w:r>
      <w:r>
        <w:rPr>
          <w:bCs/>
          <w:lang w:eastAsia="en-US"/>
        </w:rPr>
        <w:t xml:space="preserve"> y no hace parte del proceso de aprobación de ingresos.</w:t>
      </w:r>
    </w:p>
    <w:p w14:paraId="63CFB341" w14:textId="77777777" w:rsidR="002A414B" w:rsidRDefault="002A414B" w:rsidP="00C224F8">
      <w:pPr>
        <w:rPr>
          <w:bCs/>
          <w:lang w:eastAsia="en-US"/>
        </w:rPr>
      </w:pPr>
      <w:r>
        <w:rPr>
          <w:bCs/>
          <w:lang w:eastAsia="en-US"/>
        </w:rPr>
        <w:t xml:space="preserve">Considerando lo señalado anteriormente, la Comisión no considera procedente la solicitud de la empresa. </w:t>
      </w:r>
    </w:p>
    <w:p w14:paraId="321CA592" w14:textId="77777777" w:rsidR="006B0C05" w:rsidRDefault="006B0C05" w:rsidP="006B0C05">
      <w:pPr>
        <w:rPr>
          <w:b/>
          <w:lang w:eastAsia="en-US"/>
        </w:rPr>
      </w:pPr>
      <w:r w:rsidRPr="006B0C05">
        <w:rPr>
          <w:b/>
          <w:lang w:eastAsia="en-US"/>
        </w:rPr>
        <w:t xml:space="preserve">Petición de modificación de </w:t>
      </w:r>
      <w:r>
        <w:rPr>
          <w:b/>
          <w:lang w:eastAsia="en-US"/>
        </w:rPr>
        <w:t>los i</w:t>
      </w:r>
      <w:r w:rsidRPr="006B0C05">
        <w:rPr>
          <w:b/>
          <w:lang w:eastAsia="en-US"/>
        </w:rPr>
        <w:t xml:space="preserve">ndicadores de calidad individual de duración </w:t>
      </w:r>
      <w:r>
        <w:rPr>
          <w:b/>
          <w:lang w:eastAsia="en-US"/>
        </w:rPr>
        <w:t xml:space="preserve">y frecuencia </w:t>
      </w:r>
      <w:r w:rsidRPr="006B0C05">
        <w:rPr>
          <w:b/>
          <w:lang w:eastAsia="en-US"/>
        </w:rPr>
        <w:t>de eventos</w:t>
      </w:r>
      <w:r>
        <w:rPr>
          <w:b/>
          <w:lang w:eastAsia="en-US"/>
        </w:rPr>
        <w:t xml:space="preserve">, </w:t>
      </w:r>
      <w:proofErr w:type="spellStart"/>
      <w:proofErr w:type="gramStart"/>
      <w:r w:rsidRPr="006B0C05">
        <w:rPr>
          <w:b/>
          <w:lang w:eastAsia="en-US"/>
        </w:rPr>
        <w:t>DIUGj,n</w:t>
      </w:r>
      <w:proofErr w:type="gramEnd"/>
      <w:r w:rsidRPr="006B0C05">
        <w:rPr>
          <w:b/>
          <w:lang w:eastAsia="en-US"/>
        </w:rPr>
        <w:t>,q</w:t>
      </w:r>
      <w:proofErr w:type="spellEnd"/>
      <w:r>
        <w:rPr>
          <w:b/>
          <w:lang w:eastAsia="en-US"/>
        </w:rPr>
        <w:t xml:space="preserve"> y </w:t>
      </w:r>
      <w:proofErr w:type="spellStart"/>
      <w:r w:rsidRPr="006B0C05">
        <w:rPr>
          <w:b/>
          <w:lang w:eastAsia="en-US"/>
        </w:rPr>
        <w:t>FIUGj,n,q</w:t>
      </w:r>
      <w:proofErr w:type="spellEnd"/>
    </w:p>
    <w:p w14:paraId="1008AD88" w14:textId="77777777" w:rsidR="006B0C05" w:rsidRPr="000656BB" w:rsidRDefault="006B0C05" w:rsidP="006B0C05">
      <w:pPr>
        <w:rPr>
          <w:lang w:eastAsia="en-US"/>
        </w:rPr>
      </w:pPr>
      <w:r w:rsidRPr="000656BB">
        <w:rPr>
          <w:lang w:eastAsia="en-US"/>
        </w:rPr>
        <w:t xml:space="preserve">El OR fundamenta su solicitud de modificación del valor de </w:t>
      </w:r>
      <w:r>
        <w:rPr>
          <w:lang w:eastAsia="en-US"/>
        </w:rPr>
        <w:t xml:space="preserve">los </w:t>
      </w:r>
      <w:r w:rsidRPr="006B0C05">
        <w:rPr>
          <w:lang w:eastAsia="en-US"/>
        </w:rPr>
        <w:t>indicadores de calidad individual de duración y frecuencia de eventos</w:t>
      </w:r>
      <w:r w:rsidRPr="000656BB">
        <w:rPr>
          <w:lang w:eastAsia="en-US"/>
        </w:rPr>
        <w:t>, en lo siguiente:</w:t>
      </w:r>
    </w:p>
    <w:p w14:paraId="37F5E591" w14:textId="77777777" w:rsidR="0093633C" w:rsidRDefault="0093633C" w:rsidP="0093633C">
      <w:pPr>
        <w:keepLines/>
        <w:ind w:left="708"/>
        <w:rPr>
          <w:b/>
          <w:i/>
          <w:sz w:val="22"/>
          <w:szCs w:val="22"/>
        </w:rPr>
      </w:pPr>
      <w:r w:rsidRPr="0093633C">
        <w:rPr>
          <w:b/>
          <w:i/>
          <w:sz w:val="22"/>
          <w:szCs w:val="22"/>
        </w:rPr>
        <w:t xml:space="preserve">…5.2 </w:t>
      </w:r>
      <w:r>
        <w:rPr>
          <w:b/>
          <w:i/>
          <w:sz w:val="22"/>
          <w:szCs w:val="22"/>
        </w:rPr>
        <w:t>DIUG Y FIUG</w:t>
      </w:r>
    </w:p>
    <w:p w14:paraId="6F74B720" w14:textId="77777777" w:rsidR="0093633C" w:rsidRDefault="0093633C" w:rsidP="0093633C">
      <w:pPr>
        <w:keepLines/>
        <w:ind w:left="708"/>
        <w:rPr>
          <w:bCs/>
          <w:i/>
          <w:sz w:val="22"/>
          <w:szCs w:val="22"/>
        </w:rPr>
      </w:pPr>
      <w:r w:rsidRPr="0093633C">
        <w:rPr>
          <w:bCs/>
          <w:i/>
          <w:sz w:val="22"/>
          <w:szCs w:val="22"/>
        </w:rPr>
        <w:t>Respecto a los índices de duración y frecuencia por grupo</w:t>
      </w:r>
      <w:r w:rsidR="002B658E">
        <w:rPr>
          <w:bCs/>
          <w:i/>
          <w:sz w:val="22"/>
          <w:szCs w:val="22"/>
        </w:rPr>
        <w:t xml:space="preserve"> </w:t>
      </w:r>
      <w:r w:rsidRPr="0093633C">
        <w:rPr>
          <w:bCs/>
          <w:i/>
          <w:sz w:val="22"/>
          <w:szCs w:val="22"/>
        </w:rPr>
        <w:t>de calidad; se observa que la</w:t>
      </w:r>
      <w:r>
        <w:rPr>
          <w:bCs/>
          <w:i/>
          <w:sz w:val="22"/>
          <w:szCs w:val="22"/>
        </w:rPr>
        <w:t xml:space="preserve"> </w:t>
      </w:r>
      <w:r w:rsidRPr="0093633C">
        <w:rPr>
          <w:bCs/>
          <w:i/>
          <w:sz w:val="22"/>
          <w:szCs w:val="22"/>
        </w:rPr>
        <w:t xml:space="preserve">Comisión de Regulación </w:t>
      </w:r>
      <w:r>
        <w:rPr>
          <w:bCs/>
          <w:i/>
          <w:sz w:val="22"/>
          <w:szCs w:val="22"/>
        </w:rPr>
        <w:t>definió</w:t>
      </w:r>
      <w:r w:rsidRPr="0093633C">
        <w:rPr>
          <w:bCs/>
          <w:i/>
          <w:sz w:val="22"/>
          <w:szCs w:val="22"/>
        </w:rPr>
        <w:t xml:space="preserve"> en la Resolució</w:t>
      </w:r>
      <w:r>
        <w:rPr>
          <w:bCs/>
          <w:i/>
          <w:sz w:val="22"/>
          <w:szCs w:val="22"/>
        </w:rPr>
        <w:t xml:space="preserve">n </w:t>
      </w:r>
      <w:r w:rsidRPr="0093633C">
        <w:rPr>
          <w:bCs/>
          <w:i/>
          <w:sz w:val="22"/>
          <w:szCs w:val="22"/>
        </w:rPr>
        <w:t>CREG 178 de 2019, un solo indicador por</w:t>
      </w:r>
      <w:r>
        <w:rPr>
          <w:bCs/>
          <w:i/>
          <w:sz w:val="22"/>
          <w:szCs w:val="22"/>
        </w:rPr>
        <w:t xml:space="preserve"> </w:t>
      </w:r>
      <w:r w:rsidRPr="0093633C">
        <w:rPr>
          <w:bCs/>
          <w:i/>
          <w:sz w:val="22"/>
          <w:szCs w:val="22"/>
        </w:rPr>
        <w:t>municipio, sin tener en cuenta lo mencionado en el numeral 5.2.4.1 de la Resolución CREG</w:t>
      </w:r>
      <w:r>
        <w:rPr>
          <w:bCs/>
          <w:i/>
          <w:sz w:val="22"/>
          <w:szCs w:val="22"/>
        </w:rPr>
        <w:t xml:space="preserve"> </w:t>
      </w:r>
      <w:r w:rsidRPr="0093633C">
        <w:rPr>
          <w:bCs/>
          <w:i/>
          <w:sz w:val="22"/>
          <w:szCs w:val="22"/>
        </w:rPr>
        <w:t xml:space="preserve">015 de 2018, </w:t>
      </w:r>
      <w:r>
        <w:rPr>
          <w:bCs/>
          <w:i/>
          <w:sz w:val="22"/>
          <w:szCs w:val="22"/>
        </w:rPr>
        <w:t>l</w:t>
      </w:r>
      <w:r w:rsidRPr="0093633C">
        <w:rPr>
          <w:bCs/>
          <w:i/>
          <w:sz w:val="22"/>
          <w:szCs w:val="22"/>
        </w:rPr>
        <w:t xml:space="preserve">a cual establece: “(...) Los grupos de calidad </w:t>
      </w:r>
      <w:r>
        <w:rPr>
          <w:bCs/>
          <w:i/>
          <w:sz w:val="22"/>
          <w:szCs w:val="22"/>
        </w:rPr>
        <w:t>identifican</w:t>
      </w:r>
      <w:r w:rsidRPr="0093633C">
        <w:rPr>
          <w:bCs/>
          <w:i/>
          <w:sz w:val="22"/>
          <w:szCs w:val="22"/>
        </w:rPr>
        <w:t xml:space="preserve"> zonas </w:t>
      </w:r>
      <w:r>
        <w:rPr>
          <w:bCs/>
          <w:i/>
          <w:sz w:val="22"/>
          <w:szCs w:val="22"/>
        </w:rPr>
        <w:t>geográficas</w:t>
      </w:r>
      <w:r w:rsidRPr="0093633C">
        <w:rPr>
          <w:bCs/>
          <w:i/>
          <w:sz w:val="22"/>
          <w:szCs w:val="22"/>
        </w:rPr>
        <w:t xml:space="preserve"> cuya</w:t>
      </w:r>
      <w:r>
        <w:rPr>
          <w:bCs/>
          <w:i/>
          <w:sz w:val="22"/>
          <w:szCs w:val="22"/>
        </w:rPr>
        <w:t xml:space="preserve"> </w:t>
      </w:r>
      <w:r w:rsidRPr="0093633C">
        <w:rPr>
          <w:bCs/>
          <w:i/>
          <w:sz w:val="22"/>
          <w:szCs w:val="22"/>
        </w:rPr>
        <w:t>unidad mínima es el área urbana o rural de un municipio; estas zonas comparten</w:t>
      </w:r>
      <w:r w:rsidR="005D461F">
        <w:rPr>
          <w:bCs/>
          <w:i/>
          <w:sz w:val="22"/>
          <w:szCs w:val="22"/>
        </w:rPr>
        <w:t xml:space="preserve"> </w:t>
      </w:r>
      <w:r w:rsidRPr="0093633C">
        <w:rPr>
          <w:bCs/>
          <w:i/>
          <w:sz w:val="22"/>
          <w:szCs w:val="22"/>
        </w:rPr>
        <w:t>características similares en términos de] nivel de ruralidad y del riesgo de</w:t>
      </w:r>
      <w:r w:rsidR="005D461F">
        <w:rPr>
          <w:bCs/>
          <w:i/>
          <w:sz w:val="22"/>
          <w:szCs w:val="22"/>
        </w:rPr>
        <w:t xml:space="preserve"> </w:t>
      </w:r>
      <w:r w:rsidRPr="0093633C">
        <w:rPr>
          <w:bCs/>
          <w:i/>
          <w:sz w:val="22"/>
          <w:szCs w:val="22"/>
        </w:rPr>
        <w:t>falla que podrían</w:t>
      </w:r>
      <w:r w:rsidR="005D461F">
        <w:rPr>
          <w:bCs/>
          <w:i/>
          <w:sz w:val="22"/>
          <w:szCs w:val="22"/>
        </w:rPr>
        <w:t xml:space="preserve"> </w:t>
      </w:r>
      <w:r w:rsidRPr="0093633C">
        <w:rPr>
          <w:bCs/>
          <w:i/>
          <w:sz w:val="22"/>
          <w:szCs w:val="22"/>
        </w:rPr>
        <w:t xml:space="preserve">tener los circuitos eléctricos allí ubicados debido a la presencia de factores </w:t>
      </w:r>
      <w:r w:rsidR="005D461F">
        <w:rPr>
          <w:bCs/>
          <w:i/>
          <w:sz w:val="22"/>
          <w:szCs w:val="22"/>
        </w:rPr>
        <w:t xml:space="preserve">físicos </w:t>
      </w:r>
      <w:r w:rsidRPr="0093633C">
        <w:rPr>
          <w:bCs/>
          <w:i/>
          <w:sz w:val="22"/>
          <w:szCs w:val="22"/>
        </w:rPr>
        <w:t>externos</w:t>
      </w:r>
      <w:r w:rsidR="005D461F">
        <w:rPr>
          <w:bCs/>
          <w:i/>
          <w:sz w:val="22"/>
          <w:szCs w:val="22"/>
        </w:rPr>
        <w:t>.</w:t>
      </w:r>
    </w:p>
    <w:p w14:paraId="6BA24374" w14:textId="77777777" w:rsidR="0093633C" w:rsidRDefault="0093633C" w:rsidP="0093633C">
      <w:pPr>
        <w:keepLines/>
        <w:ind w:left="708"/>
        <w:rPr>
          <w:bCs/>
          <w:i/>
          <w:sz w:val="22"/>
          <w:szCs w:val="22"/>
        </w:rPr>
      </w:pPr>
      <w:r w:rsidRPr="0093633C">
        <w:rPr>
          <w:bCs/>
          <w:i/>
          <w:sz w:val="22"/>
          <w:szCs w:val="22"/>
        </w:rPr>
        <w:t xml:space="preserve">El nivel de ruralidad se </w:t>
      </w:r>
      <w:r w:rsidR="005D461F">
        <w:rPr>
          <w:bCs/>
          <w:i/>
          <w:sz w:val="22"/>
          <w:szCs w:val="22"/>
        </w:rPr>
        <w:t>define clasificando</w:t>
      </w:r>
      <w:r w:rsidRPr="0093633C">
        <w:rPr>
          <w:bCs/>
          <w:i/>
          <w:sz w:val="22"/>
          <w:szCs w:val="22"/>
        </w:rPr>
        <w:t xml:space="preserve"> los municipios en función del número total de sus</w:t>
      </w:r>
      <w:r w:rsidR="005D461F">
        <w:rPr>
          <w:bCs/>
          <w:i/>
          <w:sz w:val="22"/>
          <w:szCs w:val="22"/>
        </w:rPr>
        <w:t xml:space="preserve"> </w:t>
      </w:r>
      <w:r w:rsidRPr="0093633C">
        <w:rPr>
          <w:bCs/>
          <w:i/>
          <w:sz w:val="22"/>
          <w:szCs w:val="22"/>
        </w:rPr>
        <w:t xml:space="preserve">habitantes según lo establezca el último censo </w:t>
      </w:r>
      <w:r w:rsidR="005D461F">
        <w:rPr>
          <w:bCs/>
          <w:i/>
          <w:sz w:val="22"/>
          <w:szCs w:val="22"/>
        </w:rPr>
        <w:t xml:space="preserve">oficial </w:t>
      </w:r>
      <w:r w:rsidRPr="0093633C">
        <w:rPr>
          <w:bCs/>
          <w:i/>
          <w:sz w:val="22"/>
          <w:szCs w:val="22"/>
        </w:rPr>
        <w:t>del DANE. Para este efecto se adoptan</w:t>
      </w:r>
      <w:r w:rsidR="005D461F">
        <w:rPr>
          <w:bCs/>
          <w:i/>
          <w:sz w:val="22"/>
          <w:szCs w:val="22"/>
        </w:rPr>
        <w:t xml:space="preserve"> </w:t>
      </w:r>
      <w:r w:rsidRPr="0093633C">
        <w:rPr>
          <w:bCs/>
          <w:i/>
          <w:sz w:val="22"/>
          <w:szCs w:val="22"/>
        </w:rPr>
        <w:t>tres niveles de ruralidad: zona urbana de los municipios con una población total igual o</w:t>
      </w:r>
      <w:r w:rsidR="005D461F">
        <w:rPr>
          <w:bCs/>
          <w:i/>
          <w:sz w:val="22"/>
          <w:szCs w:val="22"/>
        </w:rPr>
        <w:t xml:space="preserve"> </w:t>
      </w:r>
      <w:r w:rsidRPr="0093633C">
        <w:rPr>
          <w:bCs/>
          <w:i/>
          <w:sz w:val="22"/>
          <w:szCs w:val="22"/>
        </w:rPr>
        <w:t>superior a 100.000 habitantes, zona urbana de los municipios con una población total menor</w:t>
      </w:r>
      <w:r w:rsidR="005D461F">
        <w:rPr>
          <w:bCs/>
          <w:i/>
          <w:sz w:val="22"/>
          <w:szCs w:val="22"/>
        </w:rPr>
        <w:t xml:space="preserve"> </w:t>
      </w:r>
      <w:r w:rsidRPr="0093633C">
        <w:rPr>
          <w:bCs/>
          <w:i/>
          <w:sz w:val="22"/>
          <w:szCs w:val="22"/>
        </w:rPr>
        <w:t>a 100.000 habitantes y zona rural de todos los municipios. La zona rural corresponderá</w:t>
      </w:r>
      <w:r w:rsidR="005D461F">
        <w:rPr>
          <w:bCs/>
          <w:i/>
          <w:sz w:val="22"/>
          <w:szCs w:val="22"/>
        </w:rPr>
        <w:t xml:space="preserve"> </w:t>
      </w:r>
      <w:r w:rsidRPr="0093633C">
        <w:rPr>
          <w:bCs/>
          <w:i/>
          <w:sz w:val="22"/>
          <w:szCs w:val="22"/>
        </w:rPr>
        <w:t>estrictamente con las zonas que en cumplimiento del artículo 30 de la Ley</w:t>
      </w:r>
      <w:r w:rsidR="005D461F">
        <w:rPr>
          <w:bCs/>
          <w:i/>
          <w:sz w:val="22"/>
          <w:szCs w:val="22"/>
        </w:rPr>
        <w:t xml:space="preserve"> </w:t>
      </w:r>
      <w:r w:rsidRPr="0093633C">
        <w:rPr>
          <w:bCs/>
          <w:i/>
          <w:sz w:val="22"/>
          <w:szCs w:val="22"/>
        </w:rPr>
        <w:t>388 de 1997 hayan</w:t>
      </w:r>
      <w:r w:rsidR="005D461F">
        <w:rPr>
          <w:bCs/>
          <w:i/>
          <w:sz w:val="22"/>
          <w:szCs w:val="22"/>
        </w:rPr>
        <w:t xml:space="preserve"> </w:t>
      </w:r>
      <w:r w:rsidRPr="0093633C">
        <w:rPr>
          <w:bCs/>
          <w:i/>
          <w:sz w:val="22"/>
          <w:szCs w:val="22"/>
        </w:rPr>
        <w:t xml:space="preserve">sido </w:t>
      </w:r>
      <w:r w:rsidR="005D461F">
        <w:rPr>
          <w:bCs/>
          <w:i/>
          <w:sz w:val="22"/>
          <w:szCs w:val="22"/>
        </w:rPr>
        <w:t>clasificadas</w:t>
      </w:r>
      <w:r w:rsidRPr="0093633C">
        <w:rPr>
          <w:bCs/>
          <w:i/>
          <w:sz w:val="22"/>
          <w:szCs w:val="22"/>
        </w:rPr>
        <w:t xml:space="preserve"> como zonas rurales en el plan de ordenamiento territorial (POT) vigente de</w:t>
      </w:r>
      <w:r w:rsidR="005D461F">
        <w:rPr>
          <w:bCs/>
          <w:i/>
          <w:sz w:val="22"/>
          <w:szCs w:val="22"/>
        </w:rPr>
        <w:t xml:space="preserve"> </w:t>
      </w:r>
      <w:r w:rsidRPr="0093633C">
        <w:rPr>
          <w:bCs/>
          <w:i/>
          <w:sz w:val="22"/>
          <w:szCs w:val="22"/>
        </w:rPr>
        <w:t>cada m</w:t>
      </w:r>
      <w:r w:rsidR="005D461F">
        <w:rPr>
          <w:bCs/>
          <w:i/>
          <w:sz w:val="22"/>
          <w:szCs w:val="22"/>
        </w:rPr>
        <w:t>u</w:t>
      </w:r>
      <w:r w:rsidRPr="0093633C">
        <w:rPr>
          <w:bCs/>
          <w:i/>
          <w:sz w:val="22"/>
          <w:szCs w:val="22"/>
        </w:rPr>
        <w:t xml:space="preserve">nicipio. (...)" </w:t>
      </w:r>
    </w:p>
    <w:p w14:paraId="4B02AAA8" w14:textId="77777777" w:rsidR="0093633C" w:rsidRDefault="005D461F" w:rsidP="0093633C">
      <w:pPr>
        <w:keepLines/>
        <w:ind w:left="708"/>
        <w:rPr>
          <w:bCs/>
          <w:i/>
          <w:sz w:val="22"/>
          <w:szCs w:val="22"/>
        </w:rPr>
      </w:pPr>
      <w:r>
        <w:rPr>
          <w:bCs/>
          <w:i/>
          <w:sz w:val="22"/>
          <w:szCs w:val="22"/>
        </w:rPr>
        <w:t>D</w:t>
      </w:r>
      <w:r w:rsidR="0093633C" w:rsidRPr="0093633C">
        <w:rPr>
          <w:bCs/>
          <w:i/>
          <w:sz w:val="22"/>
          <w:szCs w:val="22"/>
        </w:rPr>
        <w:t>e acuerdo con lo anterior, el municipio de Pereira tiene delimitado en el POT (Acuerdo</w:t>
      </w:r>
      <w:r>
        <w:rPr>
          <w:bCs/>
          <w:i/>
          <w:sz w:val="22"/>
          <w:szCs w:val="22"/>
        </w:rPr>
        <w:t xml:space="preserve"> </w:t>
      </w:r>
      <w:r w:rsidR="0093633C" w:rsidRPr="0093633C">
        <w:rPr>
          <w:bCs/>
          <w:i/>
          <w:sz w:val="22"/>
          <w:szCs w:val="22"/>
        </w:rPr>
        <w:t>municipal 035 del año 2016) su área rural y urbana, áreas en las cuales ENERGÍA DE PEREIRA</w:t>
      </w:r>
      <w:r>
        <w:rPr>
          <w:bCs/>
          <w:i/>
          <w:sz w:val="22"/>
          <w:szCs w:val="22"/>
        </w:rPr>
        <w:t xml:space="preserve"> </w:t>
      </w:r>
      <w:r w:rsidR="0093633C" w:rsidRPr="0093633C">
        <w:rPr>
          <w:bCs/>
          <w:i/>
          <w:sz w:val="22"/>
          <w:szCs w:val="22"/>
        </w:rPr>
        <w:t xml:space="preserve">presta el servicio de Distribución con una cobertura del 100%, razón por la cual </w:t>
      </w:r>
      <w:r>
        <w:rPr>
          <w:bCs/>
          <w:i/>
          <w:sz w:val="22"/>
          <w:szCs w:val="22"/>
        </w:rPr>
        <w:t xml:space="preserve">deberían </w:t>
      </w:r>
      <w:r w:rsidR="0093633C" w:rsidRPr="0093633C">
        <w:rPr>
          <w:bCs/>
          <w:i/>
          <w:sz w:val="22"/>
          <w:szCs w:val="22"/>
        </w:rPr>
        <w:t xml:space="preserve">existir dos grupos de calidad </w:t>
      </w:r>
      <w:r>
        <w:rPr>
          <w:bCs/>
          <w:i/>
          <w:sz w:val="22"/>
          <w:szCs w:val="22"/>
        </w:rPr>
        <w:t xml:space="preserve">definidos </w:t>
      </w:r>
      <w:r w:rsidR="0093633C" w:rsidRPr="0093633C">
        <w:rPr>
          <w:bCs/>
          <w:i/>
          <w:sz w:val="22"/>
          <w:szCs w:val="22"/>
        </w:rPr>
        <w:t>para este territorio. De igual manera, se deben</w:t>
      </w:r>
      <w:r>
        <w:rPr>
          <w:bCs/>
          <w:i/>
          <w:sz w:val="22"/>
          <w:szCs w:val="22"/>
        </w:rPr>
        <w:t xml:space="preserve"> </w:t>
      </w:r>
      <w:r w:rsidR="0093633C" w:rsidRPr="0093633C">
        <w:rPr>
          <w:bCs/>
          <w:i/>
          <w:sz w:val="22"/>
          <w:szCs w:val="22"/>
        </w:rPr>
        <w:t>establecer grupos de calidad urbano y rural para los restantes municipios en los cuales se</w:t>
      </w:r>
      <w:r>
        <w:rPr>
          <w:bCs/>
          <w:i/>
          <w:sz w:val="22"/>
          <w:szCs w:val="22"/>
        </w:rPr>
        <w:t xml:space="preserve"> </w:t>
      </w:r>
      <w:r w:rsidR="0093633C" w:rsidRPr="0093633C">
        <w:rPr>
          <w:bCs/>
          <w:i/>
          <w:sz w:val="22"/>
          <w:szCs w:val="22"/>
        </w:rPr>
        <w:t>presta el servicio por parte de ENERG</w:t>
      </w:r>
      <w:r>
        <w:rPr>
          <w:bCs/>
          <w:i/>
          <w:sz w:val="22"/>
          <w:szCs w:val="22"/>
        </w:rPr>
        <w:t>Í</w:t>
      </w:r>
      <w:r w:rsidR="0093633C" w:rsidRPr="0093633C">
        <w:rPr>
          <w:bCs/>
          <w:i/>
          <w:sz w:val="22"/>
          <w:szCs w:val="22"/>
        </w:rPr>
        <w:t>A DE PEREIRA ya que, de forma similar, cuentan con</w:t>
      </w:r>
      <w:r>
        <w:rPr>
          <w:bCs/>
          <w:i/>
          <w:sz w:val="22"/>
          <w:szCs w:val="22"/>
        </w:rPr>
        <w:t xml:space="preserve"> </w:t>
      </w:r>
      <w:r w:rsidR="0093633C" w:rsidRPr="0093633C">
        <w:rPr>
          <w:bCs/>
          <w:i/>
          <w:sz w:val="22"/>
          <w:szCs w:val="22"/>
        </w:rPr>
        <w:t>un POT aprobado por los concejos municipales respectivos. Ver Anexo 7 POT Pereira.</w:t>
      </w:r>
    </w:p>
    <w:p w14:paraId="4059D010" w14:textId="77777777" w:rsidR="005D461F" w:rsidRDefault="005D461F" w:rsidP="00C6167C">
      <w:pPr>
        <w:keepLines/>
        <w:spacing w:after="0"/>
        <w:ind w:left="708"/>
        <w:rPr>
          <w:bCs/>
          <w:i/>
          <w:sz w:val="22"/>
          <w:szCs w:val="22"/>
        </w:rPr>
      </w:pPr>
      <w:r w:rsidRPr="005D461F">
        <w:rPr>
          <w:bCs/>
          <w:i/>
          <w:sz w:val="22"/>
          <w:szCs w:val="22"/>
        </w:rPr>
        <w:t>Otros municipios en los cuales presta el servicio ENERGÍA DE PEREIRA en los Departamentos</w:t>
      </w:r>
      <w:r>
        <w:rPr>
          <w:bCs/>
          <w:i/>
          <w:sz w:val="22"/>
          <w:szCs w:val="22"/>
        </w:rPr>
        <w:t xml:space="preserve"> </w:t>
      </w:r>
      <w:r w:rsidRPr="005D461F">
        <w:rPr>
          <w:bCs/>
          <w:i/>
          <w:sz w:val="22"/>
          <w:szCs w:val="22"/>
        </w:rPr>
        <w:t>de Risaralda (Dosquebradas, La Virginia, Balboa, Santa Rosa, Marsella), Quindío (</w:t>
      </w:r>
      <w:proofErr w:type="spellStart"/>
      <w:r w:rsidRPr="005D461F">
        <w:rPr>
          <w:bCs/>
          <w:i/>
          <w:sz w:val="22"/>
          <w:szCs w:val="22"/>
        </w:rPr>
        <w:t>Filandia</w:t>
      </w:r>
      <w:proofErr w:type="spellEnd"/>
      <w:r w:rsidRPr="005D461F">
        <w:rPr>
          <w:bCs/>
          <w:i/>
          <w:sz w:val="22"/>
          <w:szCs w:val="22"/>
        </w:rPr>
        <w:t>) y</w:t>
      </w:r>
      <w:r>
        <w:rPr>
          <w:bCs/>
          <w:i/>
          <w:sz w:val="22"/>
          <w:szCs w:val="22"/>
        </w:rPr>
        <w:t xml:space="preserve"> </w:t>
      </w:r>
      <w:r w:rsidRPr="005D461F">
        <w:rPr>
          <w:bCs/>
          <w:i/>
          <w:sz w:val="22"/>
          <w:szCs w:val="22"/>
        </w:rPr>
        <w:t>Valle del Cauca (Alcalá).</w:t>
      </w:r>
    </w:p>
    <w:p w14:paraId="508FD845" w14:textId="341AC937" w:rsidR="00C7067D" w:rsidRPr="00003055" w:rsidRDefault="00916B4E" w:rsidP="00C7067D">
      <w:pPr>
        <w:keepLines/>
        <w:rPr>
          <w:bCs/>
          <w:iCs/>
        </w:rPr>
      </w:pPr>
      <w:r w:rsidRPr="00003055">
        <w:rPr>
          <w:bCs/>
          <w:iCs/>
        </w:rPr>
        <w:lastRenderedPageBreak/>
        <w:t xml:space="preserve">Frente a la solicitud de la empresa, y revisado lo establecido en la Resolución CREG 178 de 2019, se encuentra que en los artículos 12 y 13 se establecen indicadores de calidad individual de duración y frecuencia aplicables a usuarios ubicados en la parte urbana de los municipios, considerados dentro de las ruralidades 1 y 2, y usuarios ubicados en la parte rural de los municipios, considerados dentro de la ruralidad 3. Estos indicadores fueron calculados considerando lo establecido </w:t>
      </w:r>
      <w:r w:rsidR="00F449BA" w:rsidRPr="00003055">
        <w:rPr>
          <w:bCs/>
          <w:iCs/>
        </w:rPr>
        <w:t>en el</w:t>
      </w:r>
      <w:r w:rsidRPr="00003055">
        <w:rPr>
          <w:bCs/>
          <w:iCs/>
        </w:rPr>
        <w:t xml:space="preserve"> numeral 5.4.2.1 del capítulo 5 del anexo general de la Resolución CREG 015 de 2018</w:t>
      </w:r>
      <w:r w:rsidR="00D21D50">
        <w:rPr>
          <w:bCs/>
          <w:iCs/>
        </w:rPr>
        <w:t>,</w:t>
      </w:r>
      <w:r w:rsidRPr="00003055">
        <w:rPr>
          <w:bCs/>
          <w:iCs/>
        </w:rPr>
        <w:t xml:space="preserve"> que establece</w:t>
      </w:r>
      <w:r w:rsidR="00E8439A" w:rsidRPr="00003055">
        <w:rPr>
          <w:bCs/>
          <w:iCs/>
        </w:rPr>
        <w:t>:</w:t>
      </w:r>
    </w:p>
    <w:p w14:paraId="39689C78" w14:textId="77777777" w:rsidR="00E8439A" w:rsidRPr="00E8439A" w:rsidRDefault="00E8439A" w:rsidP="00E8439A">
      <w:pPr>
        <w:keepLines/>
        <w:ind w:left="708"/>
        <w:rPr>
          <w:bCs/>
          <w:i/>
          <w:sz w:val="22"/>
          <w:szCs w:val="22"/>
        </w:rPr>
      </w:pPr>
      <w:r w:rsidRPr="00E8439A">
        <w:rPr>
          <w:bCs/>
          <w:i/>
          <w:sz w:val="22"/>
          <w:szCs w:val="22"/>
        </w:rPr>
        <w:t xml:space="preserve">Cada grupo de calidad es identificado mediante el nombre grupo </w:t>
      </w:r>
      <w:proofErr w:type="spellStart"/>
      <w:r w:rsidRPr="00E8439A">
        <w:rPr>
          <w:bCs/>
          <w:i/>
          <w:sz w:val="22"/>
          <w:szCs w:val="22"/>
        </w:rPr>
        <w:t>xy</w:t>
      </w:r>
      <w:proofErr w:type="spellEnd"/>
      <w:r w:rsidRPr="00E8439A">
        <w:rPr>
          <w:bCs/>
          <w:i/>
          <w:sz w:val="22"/>
          <w:szCs w:val="22"/>
        </w:rPr>
        <w:t>, en donde la variable x representa el nivel de ruralidad IR y la variable y representa el nivel de riesgo IRF, según se indica a continuación:</w:t>
      </w:r>
    </w:p>
    <w:p w14:paraId="7D47736B" w14:textId="77777777" w:rsidR="00E8439A" w:rsidRDefault="00E8439A" w:rsidP="00E8439A">
      <w:pPr>
        <w:keepLines/>
        <w:jc w:val="center"/>
        <w:rPr>
          <w:bCs/>
          <w:iCs/>
          <w:sz w:val="22"/>
          <w:szCs w:val="22"/>
        </w:rPr>
      </w:pPr>
      <w:r>
        <w:rPr>
          <w:noProof/>
          <w:lang w:val="es-CO" w:eastAsia="es-CO"/>
        </w:rPr>
        <w:drawing>
          <wp:inline distT="0" distB="0" distL="0" distR="0" wp14:anchorId="23BA715F" wp14:editId="429C0989">
            <wp:extent cx="4470705" cy="1465069"/>
            <wp:effectExtent l="0" t="0" r="635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82750" cy="1469016"/>
                    </a:xfrm>
                    <a:prstGeom prst="rect">
                      <a:avLst/>
                    </a:prstGeom>
                  </pic:spPr>
                </pic:pic>
              </a:graphicData>
            </a:graphic>
          </wp:inline>
        </w:drawing>
      </w:r>
    </w:p>
    <w:p w14:paraId="3923C92E" w14:textId="77777777" w:rsidR="00E8439A" w:rsidRPr="00E8439A" w:rsidRDefault="00E8439A" w:rsidP="00E8439A">
      <w:pPr>
        <w:keepLines/>
        <w:ind w:left="708"/>
        <w:rPr>
          <w:bCs/>
          <w:i/>
          <w:sz w:val="22"/>
          <w:szCs w:val="22"/>
        </w:rPr>
      </w:pPr>
      <w:r w:rsidRPr="00E8439A">
        <w:rPr>
          <w:bCs/>
          <w:i/>
          <w:sz w:val="22"/>
          <w:szCs w:val="22"/>
        </w:rPr>
        <w:t>Cada municipio del SIN se clasifica dentro de un grupo de calidad, de acuerdo con el IRF que le corresponda según se establece en el capítulo 16 y el IR correspondiente al número de habitantes.</w:t>
      </w:r>
    </w:p>
    <w:p w14:paraId="2CE9C68C" w14:textId="77777777" w:rsidR="00E8439A" w:rsidRPr="00E8439A" w:rsidRDefault="00E8439A" w:rsidP="00E8439A">
      <w:pPr>
        <w:keepLines/>
        <w:ind w:left="708"/>
        <w:rPr>
          <w:bCs/>
          <w:i/>
          <w:sz w:val="22"/>
          <w:szCs w:val="22"/>
        </w:rPr>
      </w:pPr>
      <w:r w:rsidRPr="00E8439A">
        <w:rPr>
          <w:bCs/>
          <w:i/>
          <w:sz w:val="22"/>
          <w:szCs w:val="22"/>
        </w:rPr>
        <w:t>Los transformadores pertenecerán al grupo de calidad al cual pertenece el municipio, o la zona del municipio, en el cual se encuentren ubicados y los usuarios al grupo de calidad del transformador al que se encuentren conectados, independientemente de si el transformador es un activo de uso o un activo de conexión</w:t>
      </w:r>
      <w:r>
        <w:rPr>
          <w:bCs/>
          <w:i/>
          <w:sz w:val="22"/>
          <w:szCs w:val="22"/>
        </w:rPr>
        <w:t>.</w:t>
      </w:r>
    </w:p>
    <w:p w14:paraId="1F72C4B9" w14:textId="77777777" w:rsidR="00E8439A" w:rsidRPr="00003055" w:rsidRDefault="00916B4E" w:rsidP="00C7067D">
      <w:pPr>
        <w:keepLines/>
        <w:rPr>
          <w:bCs/>
          <w:iCs/>
        </w:rPr>
      </w:pPr>
      <w:r w:rsidRPr="00003055">
        <w:rPr>
          <w:bCs/>
          <w:iCs/>
        </w:rPr>
        <w:t>Así mismo, en el capítulo 16 de la citada resolución se establecen como índices de riesgo para los municipios mencionados en la comunicación de la empresa los siguientes</w:t>
      </w:r>
      <w:r w:rsidR="00615D24" w:rsidRPr="00003055">
        <w:rPr>
          <w:bCs/>
          <w:iCs/>
        </w:rPr>
        <w:t>:</w:t>
      </w:r>
    </w:p>
    <w:tbl>
      <w:tblPr>
        <w:tblW w:w="5195" w:type="dxa"/>
        <w:jc w:val="center"/>
        <w:tblCellMar>
          <w:left w:w="70" w:type="dxa"/>
          <w:right w:w="70" w:type="dxa"/>
        </w:tblCellMar>
        <w:tblLook w:val="04A0" w:firstRow="1" w:lastRow="0" w:firstColumn="1" w:lastColumn="0" w:noHBand="0" w:noVBand="1"/>
      </w:tblPr>
      <w:tblGrid>
        <w:gridCol w:w="1000"/>
        <w:gridCol w:w="1937"/>
        <w:gridCol w:w="1843"/>
        <w:gridCol w:w="947"/>
      </w:tblGrid>
      <w:tr w:rsidR="00615D24" w:rsidRPr="00D21D50" w14:paraId="2D08B732" w14:textId="77777777" w:rsidTr="00D64899">
        <w:trPr>
          <w:trHeight w:val="227"/>
          <w:tblHeade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BB36" w14:textId="77777777" w:rsidR="00615D24" w:rsidRPr="00003055" w:rsidRDefault="00615D24" w:rsidP="002933B1">
            <w:pPr>
              <w:spacing w:before="0" w:after="0"/>
              <w:contextualSpacing/>
              <w:jc w:val="center"/>
              <w:rPr>
                <w:rFonts w:cs="Calibri"/>
                <w:b/>
                <w:bCs/>
                <w:color w:val="000000"/>
                <w:sz w:val="20"/>
                <w:szCs w:val="20"/>
                <w:lang w:val="es-CO" w:eastAsia="es-CO"/>
              </w:rPr>
            </w:pPr>
            <w:r w:rsidRPr="00003055">
              <w:rPr>
                <w:rFonts w:cs="Calibri"/>
                <w:b/>
                <w:bCs/>
                <w:color w:val="000000"/>
                <w:sz w:val="20"/>
                <w:szCs w:val="20"/>
                <w:lang w:val="es-CO" w:eastAsia="es-CO"/>
              </w:rPr>
              <w:t>CÓDIGO DANE</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24A7BD77" w14:textId="77777777" w:rsidR="00615D24" w:rsidRPr="00003055" w:rsidRDefault="00D64899" w:rsidP="002933B1">
            <w:pPr>
              <w:spacing w:before="0" w:after="0"/>
              <w:contextualSpacing/>
              <w:jc w:val="center"/>
              <w:rPr>
                <w:rFonts w:cs="Calibri"/>
                <w:b/>
                <w:bCs/>
                <w:color w:val="000000"/>
                <w:sz w:val="20"/>
                <w:szCs w:val="20"/>
                <w:lang w:val="es-CO" w:eastAsia="es-CO"/>
              </w:rPr>
            </w:pPr>
            <w:r w:rsidRPr="00003055">
              <w:rPr>
                <w:rFonts w:cs="Calibri"/>
                <w:b/>
                <w:bCs/>
                <w:color w:val="000000"/>
                <w:sz w:val="20"/>
                <w:szCs w:val="20"/>
                <w:lang w:val="es-CO" w:eastAsia="es-CO"/>
              </w:rPr>
              <w:t>DEPARTAMENTO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21C5692" w14:textId="77777777" w:rsidR="00615D24" w:rsidRPr="00003055" w:rsidRDefault="00615D24" w:rsidP="002933B1">
            <w:pPr>
              <w:spacing w:before="0" w:after="0"/>
              <w:contextualSpacing/>
              <w:jc w:val="center"/>
              <w:rPr>
                <w:rFonts w:cs="Calibri"/>
                <w:b/>
                <w:bCs/>
                <w:color w:val="000000"/>
                <w:sz w:val="20"/>
                <w:szCs w:val="20"/>
                <w:lang w:val="es-CO" w:eastAsia="es-CO"/>
              </w:rPr>
            </w:pPr>
            <w:r w:rsidRPr="00003055">
              <w:rPr>
                <w:rFonts w:cs="Calibri"/>
                <w:b/>
                <w:bCs/>
                <w:color w:val="000000"/>
                <w:sz w:val="20"/>
                <w:szCs w:val="20"/>
                <w:lang w:val="es-CO" w:eastAsia="es-CO"/>
              </w:rPr>
              <w:t>MUNICIPIO</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2431FECD" w14:textId="77777777" w:rsidR="00615D24" w:rsidRPr="00003055" w:rsidRDefault="00615D24" w:rsidP="002933B1">
            <w:pPr>
              <w:spacing w:before="0" w:after="0"/>
              <w:contextualSpacing/>
              <w:jc w:val="center"/>
              <w:rPr>
                <w:rFonts w:cs="Calibri"/>
                <w:b/>
                <w:bCs/>
                <w:color w:val="000000"/>
                <w:sz w:val="20"/>
                <w:szCs w:val="20"/>
                <w:lang w:val="es-CO" w:eastAsia="es-CO"/>
              </w:rPr>
            </w:pPr>
            <w:r w:rsidRPr="00003055">
              <w:rPr>
                <w:rFonts w:cs="Calibri"/>
                <w:b/>
                <w:bCs/>
                <w:color w:val="000000"/>
                <w:sz w:val="20"/>
                <w:szCs w:val="20"/>
                <w:lang w:val="es-CO" w:eastAsia="es-CO"/>
              </w:rPr>
              <w:t>IRF</w:t>
            </w:r>
          </w:p>
        </w:tc>
      </w:tr>
      <w:tr w:rsidR="00615D24" w:rsidRPr="00D21D50" w14:paraId="6337727E"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8BFE6" w14:textId="77777777" w:rsidR="00615D24" w:rsidRPr="00003055" w:rsidRDefault="00D64899"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66001</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4796A003"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Risaralda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8857B89" w14:textId="77777777" w:rsidR="00615D24" w:rsidRPr="00003055" w:rsidRDefault="00615D24"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Pereira</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33E13EEA" w14:textId="77777777" w:rsidR="00615D24" w:rsidRPr="00003055" w:rsidRDefault="00615D24"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41,61</w:t>
            </w:r>
          </w:p>
        </w:tc>
      </w:tr>
      <w:tr w:rsidR="00615D24" w:rsidRPr="00D21D50" w14:paraId="73D689D7"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043A8" w14:textId="77777777" w:rsidR="00615D24" w:rsidRPr="00003055" w:rsidRDefault="00D64899"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66170</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13A075DA"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Risaralda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D5DC4D"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Dosquebradas</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607140F9"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45,55</w:t>
            </w:r>
          </w:p>
        </w:tc>
      </w:tr>
      <w:tr w:rsidR="00615D24" w:rsidRPr="00D21D50" w14:paraId="300C852E"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E0D7" w14:textId="77777777" w:rsidR="00615D24" w:rsidRPr="00003055" w:rsidRDefault="00D64899"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66400</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3A284297"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Risaralda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8F7452"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La Virginia</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5B6E42FB"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41,61</w:t>
            </w:r>
          </w:p>
        </w:tc>
      </w:tr>
      <w:tr w:rsidR="00615D24" w:rsidRPr="00D21D50" w14:paraId="43F6212C"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E0210" w14:textId="77777777" w:rsidR="00615D24" w:rsidRPr="00003055" w:rsidRDefault="00D64899"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66075</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1081FD2D"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Risaralda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5DA6769"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Balboa</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06BE0C9A"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38,97</w:t>
            </w:r>
          </w:p>
        </w:tc>
      </w:tr>
      <w:tr w:rsidR="00615D24" w:rsidRPr="00D21D50" w14:paraId="0DAA38CD"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37BC9" w14:textId="77777777" w:rsidR="00615D24" w:rsidRPr="00003055" w:rsidRDefault="00D64899"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66682</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0790AFF4"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Risaralda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BAE6A0"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Santa Rosa</w:t>
            </w:r>
            <w:r w:rsidR="00D64899" w:rsidRPr="00003055">
              <w:rPr>
                <w:rFonts w:cs="Calibri"/>
                <w:color w:val="000000"/>
                <w:sz w:val="20"/>
                <w:szCs w:val="20"/>
                <w:lang w:val="es-CO" w:eastAsia="es-CO"/>
              </w:rPr>
              <w:t xml:space="preserve"> de Cabal</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212E70CD" w14:textId="77777777" w:rsidR="00615D24" w:rsidRPr="00003055" w:rsidRDefault="00D64899"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38,93</w:t>
            </w:r>
          </w:p>
        </w:tc>
      </w:tr>
      <w:tr w:rsidR="00615D24" w:rsidRPr="00D21D50" w14:paraId="0452E7F4"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1B928" w14:textId="77777777" w:rsidR="00615D24" w:rsidRPr="00003055" w:rsidRDefault="00D64899"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66440</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18392593"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Risaralda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633D69"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Marsella</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7137CA25" w14:textId="77777777" w:rsidR="00615D24" w:rsidRPr="00003055" w:rsidRDefault="00615D24" w:rsidP="00615D24">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45,24</w:t>
            </w:r>
          </w:p>
        </w:tc>
      </w:tr>
      <w:tr w:rsidR="00615D24" w:rsidRPr="00D21D50" w14:paraId="149EF106"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92E83" w14:textId="77777777" w:rsidR="00615D24" w:rsidRPr="00003055" w:rsidRDefault="00D64899"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63272</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3E9A649B" w14:textId="77777777" w:rsidR="00615D24" w:rsidRPr="00003055" w:rsidRDefault="00615D24"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Quindío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126274" w14:textId="77777777" w:rsidR="00615D24" w:rsidRPr="00003055" w:rsidRDefault="00615D24" w:rsidP="002933B1">
            <w:pPr>
              <w:spacing w:before="0" w:after="0"/>
              <w:contextualSpacing/>
              <w:jc w:val="center"/>
              <w:rPr>
                <w:rFonts w:cs="Calibri"/>
                <w:color w:val="000000"/>
                <w:sz w:val="20"/>
                <w:szCs w:val="20"/>
                <w:lang w:val="es-CO" w:eastAsia="es-CO"/>
              </w:rPr>
            </w:pPr>
            <w:proofErr w:type="spellStart"/>
            <w:r w:rsidRPr="00003055">
              <w:rPr>
                <w:rFonts w:cs="Calibri"/>
                <w:color w:val="000000"/>
                <w:sz w:val="20"/>
                <w:szCs w:val="20"/>
                <w:lang w:val="es-CO" w:eastAsia="es-CO"/>
              </w:rPr>
              <w:t>Filandia</w:t>
            </w:r>
            <w:proofErr w:type="spellEnd"/>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1057D54F" w14:textId="77777777" w:rsidR="00615D24" w:rsidRPr="00003055" w:rsidRDefault="00D64899"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27,02</w:t>
            </w:r>
          </w:p>
        </w:tc>
      </w:tr>
      <w:tr w:rsidR="00615D24" w:rsidRPr="00D21D50" w14:paraId="7DEF1C5D" w14:textId="77777777" w:rsidTr="00D64899">
        <w:trPr>
          <w:trHeight w:val="227"/>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124EF" w14:textId="77777777" w:rsidR="00615D24" w:rsidRPr="00003055" w:rsidRDefault="00D64899"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76020</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4B42AFAD" w14:textId="77777777" w:rsidR="00615D24" w:rsidRPr="00003055" w:rsidRDefault="00615D24"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 xml:space="preserve">Valle del Cauca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5A6B4B" w14:textId="77777777" w:rsidR="00615D24" w:rsidRPr="00003055" w:rsidRDefault="00615D24"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 xml:space="preserve">Alcalá </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1FD30838" w14:textId="77777777" w:rsidR="00615D24" w:rsidRPr="00003055" w:rsidRDefault="00D64899" w:rsidP="002933B1">
            <w:pPr>
              <w:spacing w:before="0" w:after="0"/>
              <w:contextualSpacing/>
              <w:jc w:val="center"/>
              <w:rPr>
                <w:rFonts w:cs="Calibri"/>
                <w:color w:val="000000"/>
                <w:sz w:val="20"/>
                <w:szCs w:val="20"/>
                <w:lang w:val="es-CO" w:eastAsia="es-CO"/>
              </w:rPr>
            </w:pPr>
            <w:r w:rsidRPr="00003055">
              <w:rPr>
                <w:rFonts w:cs="Calibri"/>
                <w:color w:val="000000"/>
                <w:sz w:val="20"/>
                <w:szCs w:val="20"/>
                <w:lang w:val="es-CO" w:eastAsia="es-CO"/>
              </w:rPr>
              <w:t>29,07</w:t>
            </w:r>
          </w:p>
        </w:tc>
      </w:tr>
    </w:tbl>
    <w:p w14:paraId="59201BB0" w14:textId="181FF96E" w:rsidR="0011671C" w:rsidRPr="00003055" w:rsidRDefault="00916B4E" w:rsidP="00C7067D">
      <w:pPr>
        <w:keepLines/>
        <w:rPr>
          <w:bCs/>
          <w:iCs/>
        </w:rPr>
      </w:pPr>
      <w:r w:rsidRPr="00003055">
        <w:rPr>
          <w:bCs/>
          <w:iCs/>
        </w:rPr>
        <w:t>De acuerdo con lo anterior, en el caso del nivel de tensión 1</w:t>
      </w:r>
      <w:r w:rsidR="00D21D50">
        <w:rPr>
          <w:bCs/>
          <w:iCs/>
        </w:rPr>
        <w:t>,</w:t>
      </w:r>
      <w:r w:rsidRPr="00003055">
        <w:rPr>
          <w:bCs/>
          <w:iCs/>
        </w:rPr>
        <w:t xml:space="preserve"> no se encuentra procedente la solicitud de la empresa por cuanto para estos municipios, clasificables en los niveles de riesgo 2 o 3 y en los niveles de ruralidad 1, 2 o 3, según la zona urbana o rural del municipio, son aplicables los indicadores de calidad individual </w:t>
      </w:r>
      <w:proofErr w:type="spellStart"/>
      <w:proofErr w:type="gramStart"/>
      <w:r w:rsidRPr="00003055">
        <w:rPr>
          <w:bCs/>
          <w:iCs/>
        </w:rPr>
        <w:t>DIUG</w:t>
      </w:r>
      <w:r w:rsidRPr="00003055">
        <w:rPr>
          <w:bCs/>
          <w:iCs/>
          <w:vertAlign w:val="subscript"/>
        </w:rPr>
        <w:t>j,n</w:t>
      </w:r>
      <w:proofErr w:type="gramEnd"/>
      <w:r w:rsidRPr="00003055">
        <w:rPr>
          <w:bCs/>
          <w:iCs/>
          <w:vertAlign w:val="subscript"/>
        </w:rPr>
        <w:t>,q</w:t>
      </w:r>
      <w:proofErr w:type="spellEnd"/>
      <w:r w:rsidRPr="00003055">
        <w:rPr>
          <w:bCs/>
          <w:iCs/>
        </w:rPr>
        <w:t xml:space="preserve"> y </w:t>
      </w:r>
      <w:proofErr w:type="spellStart"/>
      <w:r w:rsidRPr="00003055">
        <w:rPr>
          <w:bCs/>
          <w:iCs/>
        </w:rPr>
        <w:t>FIUG</w:t>
      </w:r>
      <w:r w:rsidRPr="00003055">
        <w:rPr>
          <w:bCs/>
          <w:iCs/>
          <w:vertAlign w:val="subscript"/>
        </w:rPr>
        <w:t>j,n,q</w:t>
      </w:r>
      <w:proofErr w:type="spellEnd"/>
      <w:r w:rsidRPr="00003055">
        <w:rPr>
          <w:bCs/>
          <w:iCs/>
        </w:rPr>
        <w:t>, determinados en los artículos 12 y 13 de la resolución recurrida</w:t>
      </w:r>
      <w:r w:rsidR="00363183" w:rsidRPr="00003055">
        <w:rPr>
          <w:bCs/>
          <w:iCs/>
        </w:rPr>
        <w:t xml:space="preserve">. </w:t>
      </w:r>
    </w:p>
    <w:p w14:paraId="3FD30B2D" w14:textId="1DB0BF6A" w:rsidR="00E8439A" w:rsidRPr="00003055" w:rsidRDefault="00363183" w:rsidP="00C7067D">
      <w:pPr>
        <w:keepLines/>
        <w:rPr>
          <w:bCs/>
          <w:iCs/>
        </w:rPr>
      </w:pPr>
      <w:r w:rsidRPr="00003055">
        <w:rPr>
          <w:bCs/>
          <w:iCs/>
        </w:rPr>
        <w:t>Ahora</w:t>
      </w:r>
      <w:r w:rsidR="00D21D50">
        <w:rPr>
          <w:bCs/>
          <w:iCs/>
        </w:rPr>
        <w:t>,</w:t>
      </w:r>
      <w:r w:rsidRPr="00003055">
        <w:rPr>
          <w:bCs/>
          <w:iCs/>
        </w:rPr>
        <w:t xml:space="preserve"> en el caso de los niveles de tensión 2 y 3, tampoco se encuentra procedente la solicitud, dado que los valores son determinados nuevamente para riesgos 2 y 3 y nivel de ruralidad 1 y 3. </w:t>
      </w:r>
    </w:p>
    <w:bookmarkEnd w:id="4"/>
    <w:p w14:paraId="1E6087D4" w14:textId="77777777" w:rsidR="006B0C05" w:rsidRDefault="006B0C05" w:rsidP="006B0C05">
      <w:pPr>
        <w:rPr>
          <w:b/>
          <w:lang w:eastAsia="en-US"/>
        </w:rPr>
      </w:pPr>
      <w:r w:rsidRPr="006B0C05">
        <w:rPr>
          <w:b/>
          <w:lang w:eastAsia="en-US"/>
        </w:rPr>
        <w:lastRenderedPageBreak/>
        <w:t xml:space="preserve">Petición de </w:t>
      </w:r>
      <w:r>
        <w:rPr>
          <w:b/>
          <w:lang w:eastAsia="en-US"/>
        </w:rPr>
        <w:t xml:space="preserve">revisión </w:t>
      </w:r>
      <w:r w:rsidRPr="006B0C05">
        <w:rPr>
          <w:b/>
          <w:lang w:eastAsia="en-US"/>
        </w:rPr>
        <w:t>de</w:t>
      </w:r>
      <w:r>
        <w:rPr>
          <w:b/>
          <w:lang w:eastAsia="en-US"/>
        </w:rPr>
        <w:t>l cálculo del valor de los gastos de administración, operación y mantenimiento</w:t>
      </w:r>
    </w:p>
    <w:p w14:paraId="7847989E" w14:textId="77777777" w:rsidR="006B0C05" w:rsidRPr="000656BB" w:rsidRDefault="006B0C05" w:rsidP="006B0C05">
      <w:pPr>
        <w:rPr>
          <w:lang w:eastAsia="en-US"/>
        </w:rPr>
      </w:pPr>
      <w:r w:rsidRPr="000656BB">
        <w:rPr>
          <w:lang w:eastAsia="en-US"/>
        </w:rPr>
        <w:t>El OR fundamenta su solicitud de modificación del valor de las inversiones aprobadas en el plan de inversiones, en lo siguiente:</w:t>
      </w:r>
    </w:p>
    <w:p w14:paraId="6DB6E5F9" w14:textId="77777777" w:rsidR="005D461F" w:rsidRPr="005D461F" w:rsidRDefault="005D461F" w:rsidP="0093633C">
      <w:pPr>
        <w:keepLines/>
        <w:ind w:left="708"/>
        <w:rPr>
          <w:b/>
          <w:i/>
          <w:sz w:val="22"/>
          <w:szCs w:val="22"/>
        </w:rPr>
      </w:pPr>
      <w:r w:rsidRPr="005D461F">
        <w:rPr>
          <w:b/>
          <w:i/>
          <w:sz w:val="22"/>
          <w:szCs w:val="22"/>
        </w:rPr>
        <w:t>6 AOM</w:t>
      </w:r>
    </w:p>
    <w:p w14:paraId="1CA175F9" w14:textId="3722F03D" w:rsidR="005D461F" w:rsidRDefault="005D461F" w:rsidP="005D461F">
      <w:pPr>
        <w:keepLines/>
        <w:ind w:left="708"/>
        <w:rPr>
          <w:bCs/>
          <w:i/>
          <w:sz w:val="22"/>
          <w:szCs w:val="22"/>
        </w:rPr>
      </w:pPr>
      <w:r w:rsidRPr="005D461F">
        <w:rPr>
          <w:bCs/>
          <w:i/>
          <w:sz w:val="22"/>
          <w:szCs w:val="22"/>
        </w:rPr>
        <w:t>Al revisar el comportamiento de los Ingresos acumulados de AOM, de acuerdo con el archivo</w:t>
      </w:r>
      <w:r>
        <w:rPr>
          <w:bCs/>
          <w:i/>
          <w:sz w:val="22"/>
          <w:szCs w:val="22"/>
        </w:rPr>
        <w:t xml:space="preserve"> </w:t>
      </w:r>
      <w:r w:rsidRPr="005D461F">
        <w:rPr>
          <w:bCs/>
          <w:i/>
          <w:sz w:val="22"/>
          <w:szCs w:val="22"/>
        </w:rPr>
        <w:t>"Cálculo Ingreso D EEP", se observa un comportamiento a la baja atípico a partir del año tres,</w:t>
      </w:r>
      <w:r>
        <w:rPr>
          <w:bCs/>
          <w:i/>
          <w:sz w:val="22"/>
          <w:szCs w:val="22"/>
        </w:rPr>
        <w:t xml:space="preserve"> </w:t>
      </w:r>
      <w:r w:rsidRPr="005D461F">
        <w:rPr>
          <w:bCs/>
          <w:i/>
          <w:sz w:val="22"/>
          <w:szCs w:val="22"/>
        </w:rPr>
        <w:t xml:space="preserve">pasando de un valor de AOM estimado del año dos de </w:t>
      </w:r>
      <w:r>
        <w:rPr>
          <w:bCs/>
          <w:i/>
          <w:sz w:val="22"/>
          <w:szCs w:val="22"/>
        </w:rPr>
        <w:t>$</w:t>
      </w:r>
      <w:r w:rsidRPr="005D461F">
        <w:rPr>
          <w:bCs/>
          <w:i/>
          <w:sz w:val="22"/>
          <w:szCs w:val="22"/>
        </w:rPr>
        <w:t xml:space="preserve"> 9.212 millones a </w:t>
      </w:r>
      <w:r>
        <w:rPr>
          <w:bCs/>
          <w:i/>
          <w:sz w:val="22"/>
          <w:szCs w:val="22"/>
        </w:rPr>
        <w:t xml:space="preserve">$ </w:t>
      </w:r>
      <w:r w:rsidRPr="005D461F">
        <w:rPr>
          <w:bCs/>
          <w:i/>
          <w:sz w:val="22"/>
          <w:szCs w:val="22"/>
        </w:rPr>
        <w:t>8.939 millones en</w:t>
      </w:r>
      <w:r>
        <w:rPr>
          <w:bCs/>
          <w:i/>
          <w:sz w:val="22"/>
          <w:szCs w:val="22"/>
        </w:rPr>
        <w:t xml:space="preserve"> </w:t>
      </w:r>
      <w:r w:rsidRPr="005D461F">
        <w:rPr>
          <w:bCs/>
          <w:i/>
          <w:sz w:val="22"/>
          <w:szCs w:val="22"/>
        </w:rPr>
        <w:t xml:space="preserve">el año tres para establecerse en el año cinco de </w:t>
      </w:r>
      <w:r w:rsidR="009106AF">
        <w:rPr>
          <w:bCs/>
          <w:i/>
          <w:sz w:val="22"/>
          <w:szCs w:val="22"/>
        </w:rPr>
        <w:t>$ </w:t>
      </w:r>
      <w:r w:rsidRPr="005D461F">
        <w:rPr>
          <w:bCs/>
          <w:i/>
          <w:sz w:val="22"/>
          <w:szCs w:val="22"/>
        </w:rPr>
        <w:t>8.706 millones. A</w:t>
      </w:r>
      <w:r>
        <w:rPr>
          <w:bCs/>
          <w:i/>
          <w:sz w:val="22"/>
          <w:szCs w:val="22"/>
        </w:rPr>
        <w:t>l</w:t>
      </w:r>
      <w:r w:rsidRPr="005D461F">
        <w:rPr>
          <w:bCs/>
          <w:i/>
          <w:sz w:val="22"/>
          <w:szCs w:val="22"/>
        </w:rPr>
        <w:t xml:space="preserve"> analizar las causas de</w:t>
      </w:r>
      <w:r>
        <w:rPr>
          <w:bCs/>
          <w:i/>
          <w:sz w:val="22"/>
          <w:szCs w:val="22"/>
        </w:rPr>
        <w:t xml:space="preserve"> </w:t>
      </w:r>
      <w:r w:rsidRPr="005D461F">
        <w:rPr>
          <w:bCs/>
          <w:i/>
          <w:sz w:val="22"/>
          <w:szCs w:val="22"/>
        </w:rPr>
        <w:t>esta tendencia, se advierte que el cálculo del BRAEN_RP no tiene en cuenta la BRAEN total,</w:t>
      </w:r>
      <w:r>
        <w:rPr>
          <w:bCs/>
          <w:i/>
          <w:sz w:val="22"/>
          <w:szCs w:val="22"/>
        </w:rPr>
        <w:t xml:space="preserve"> </w:t>
      </w:r>
      <w:r w:rsidRPr="005D461F">
        <w:rPr>
          <w:bCs/>
          <w:i/>
          <w:sz w:val="22"/>
          <w:szCs w:val="22"/>
        </w:rPr>
        <w:t>con un factor RPP</w:t>
      </w:r>
      <w:r>
        <w:rPr>
          <w:bCs/>
          <w:i/>
          <w:sz w:val="22"/>
          <w:szCs w:val="22"/>
        </w:rPr>
        <w:t>=</w:t>
      </w:r>
      <w:r w:rsidRPr="005D461F">
        <w:rPr>
          <w:bCs/>
          <w:i/>
          <w:sz w:val="22"/>
          <w:szCs w:val="22"/>
        </w:rPr>
        <w:t>0, si no sólo la BRAEN asociada a los tipos de inversión I y III, lo que</w:t>
      </w:r>
      <w:r>
        <w:rPr>
          <w:bCs/>
          <w:i/>
          <w:sz w:val="22"/>
          <w:szCs w:val="22"/>
        </w:rPr>
        <w:t xml:space="preserve"> </w:t>
      </w:r>
      <w:r w:rsidRPr="005D461F">
        <w:rPr>
          <w:bCs/>
          <w:i/>
          <w:sz w:val="22"/>
          <w:szCs w:val="22"/>
        </w:rPr>
        <w:t xml:space="preserve">según entiende Energía de Pereira estaría en contradicción a </w:t>
      </w:r>
      <w:r>
        <w:rPr>
          <w:bCs/>
          <w:i/>
          <w:sz w:val="22"/>
          <w:szCs w:val="22"/>
        </w:rPr>
        <w:t>l</w:t>
      </w:r>
      <w:r w:rsidRPr="005D461F">
        <w:rPr>
          <w:bCs/>
          <w:i/>
          <w:sz w:val="22"/>
          <w:szCs w:val="22"/>
        </w:rPr>
        <w:t>o dispuesto en el artículo 9 de</w:t>
      </w:r>
      <w:r>
        <w:rPr>
          <w:bCs/>
          <w:i/>
          <w:sz w:val="22"/>
          <w:szCs w:val="22"/>
        </w:rPr>
        <w:t xml:space="preserve"> </w:t>
      </w:r>
      <w:r w:rsidRPr="005D461F">
        <w:rPr>
          <w:bCs/>
          <w:i/>
          <w:sz w:val="22"/>
          <w:szCs w:val="22"/>
        </w:rPr>
        <w:t>la Resolución CREG 085 de 2018, la cual reza:</w:t>
      </w:r>
    </w:p>
    <w:p w14:paraId="79379650" w14:textId="77777777" w:rsidR="005D461F" w:rsidRPr="0093633C" w:rsidRDefault="005D461F" w:rsidP="00E4285B">
      <w:pPr>
        <w:keepLines/>
        <w:ind w:left="1413"/>
        <w:rPr>
          <w:bCs/>
          <w:i/>
          <w:sz w:val="22"/>
          <w:szCs w:val="22"/>
        </w:rPr>
      </w:pPr>
      <w:r>
        <w:rPr>
          <w:bCs/>
          <w:i/>
          <w:sz w:val="22"/>
          <w:szCs w:val="22"/>
        </w:rPr>
        <w:t>BRAEN_</w:t>
      </w:r>
      <w:proofErr w:type="gramStart"/>
      <w:r>
        <w:rPr>
          <w:bCs/>
          <w:i/>
          <w:sz w:val="22"/>
          <w:szCs w:val="22"/>
        </w:rPr>
        <w:t>RP</w:t>
      </w:r>
      <w:r w:rsidRPr="005D461F">
        <w:rPr>
          <w:bCs/>
          <w:i/>
          <w:sz w:val="22"/>
          <w:szCs w:val="22"/>
          <w:vertAlign w:val="subscript"/>
        </w:rPr>
        <w:t>j,n</w:t>
      </w:r>
      <w:proofErr w:type="gramEnd"/>
      <w:r w:rsidRPr="005D461F">
        <w:rPr>
          <w:bCs/>
          <w:i/>
          <w:sz w:val="22"/>
          <w:szCs w:val="22"/>
          <w:vertAlign w:val="subscript"/>
        </w:rPr>
        <w:t>,t-1</w:t>
      </w:r>
      <w:r>
        <w:rPr>
          <w:bCs/>
          <w:i/>
          <w:sz w:val="22"/>
          <w:szCs w:val="22"/>
        </w:rPr>
        <w:t xml:space="preserve">: Base regulatoria de activos eléctricos nuevos del OR j en el nivel de </w:t>
      </w:r>
      <w:r w:rsidR="00E4285B">
        <w:rPr>
          <w:bCs/>
          <w:i/>
          <w:sz w:val="22"/>
          <w:szCs w:val="22"/>
        </w:rPr>
        <w:t>tensión</w:t>
      </w:r>
      <w:r>
        <w:rPr>
          <w:bCs/>
          <w:i/>
          <w:sz w:val="22"/>
          <w:szCs w:val="22"/>
        </w:rPr>
        <w:t xml:space="preserve"> n para el año t-1. </w:t>
      </w:r>
      <w:r w:rsidRPr="00C440CE">
        <w:rPr>
          <w:bCs/>
          <w:i/>
          <w:sz w:val="22"/>
          <w:szCs w:val="22"/>
          <w:u w:val="single"/>
        </w:rPr>
        <w:t xml:space="preserve">Se calcula en forma similar a la variable </w:t>
      </w:r>
      <w:proofErr w:type="gramStart"/>
      <w:r w:rsidRPr="00C440CE">
        <w:rPr>
          <w:bCs/>
          <w:i/>
          <w:sz w:val="22"/>
          <w:szCs w:val="22"/>
          <w:u w:val="single"/>
        </w:rPr>
        <w:t>BRAEN</w:t>
      </w:r>
      <w:r w:rsidR="00E4285B" w:rsidRPr="00C440CE">
        <w:rPr>
          <w:bCs/>
          <w:i/>
          <w:sz w:val="22"/>
          <w:szCs w:val="22"/>
          <w:u w:val="single"/>
        </w:rPr>
        <w:t>j,n</w:t>
      </w:r>
      <w:proofErr w:type="gramEnd"/>
      <w:r w:rsidR="00E4285B" w:rsidRPr="00C440CE">
        <w:rPr>
          <w:bCs/>
          <w:i/>
          <w:sz w:val="22"/>
          <w:szCs w:val="22"/>
          <w:u w:val="single"/>
        </w:rPr>
        <w:t>,t-1, definida en el numeral 3.1.1.2 pero tomando RPP=0 para todas la UC incluidas en su cálculo</w:t>
      </w:r>
      <w:r w:rsidR="00E4285B">
        <w:rPr>
          <w:bCs/>
          <w:i/>
          <w:sz w:val="22"/>
          <w:szCs w:val="22"/>
        </w:rPr>
        <w:t>.</w:t>
      </w:r>
    </w:p>
    <w:p w14:paraId="648E787E" w14:textId="77777777" w:rsidR="0055499A" w:rsidRDefault="008E42CB" w:rsidP="008E42CB">
      <w:pPr>
        <w:keepLines/>
        <w:spacing w:before="200" w:after="200"/>
        <w:ind w:left="709"/>
        <w:rPr>
          <w:bCs/>
          <w:i/>
          <w:sz w:val="22"/>
          <w:szCs w:val="22"/>
        </w:rPr>
      </w:pPr>
      <w:r w:rsidRPr="008E42CB">
        <w:rPr>
          <w:bCs/>
          <w:i/>
          <w:sz w:val="22"/>
          <w:szCs w:val="22"/>
        </w:rPr>
        <w:t>Debido a que el valor acumulado de las Inversiones puestas en operación VACNI han de</w:t>
      </w:r>
      <w:r>
        <w:rPr>
          <w:bCs/>
          <w:i/>
          <w:sz w:val="22"/>
          <w:szCs w:val="22"/>
        </w:rPr>
        <w:t xml:space="preserve"> </w:t>
      </w:r>
      <w:r w:rsidRPr="008E42CB">
        <w:rPr>
          <w:bCs/>
          <w:i/>
          <w:sz w:val="22"/>
          <w:szCs w:val="22"/>
        </w:rPr>
        <w:t>remunerar el porcentaje de AOM para el sostenimiento de la infraestructura nueva, exceptuando las reposiciones, toda vez que los activos asociados a estas ya habrían sido</w:t>
      </w:r>
      <w:r>
        <w:rPr>
          <w:bCs/>
          <w:i/>
          <w:sz w:val="22"/>
          <w:szCs w:val="22"/>
        </w:rPr>
        <w:t xml:space="preserve"> </w:t>
      </w:r>
      <w:r w:rsidRPr="008E42CB">
        <w:rPr>
          <w:bCs/>
          <w:i/>
          <w:sz w:val="22"/>
          <w:szCs w:val="22"/>
        </w:rPr>
        <w:t>reconocidas durante el periodo tarifario anterior y se encontrarían implícitamente en el ingreso anual de AOM.</w:t>
      </w:r>
    </w:p>
    <w:p w14:paraId="48B1564F" w14:textId="77777777" w:rsidR="00507AF2" w:rsidRDefault="005F6B36" w:rsidP="005F6B36">
      <w:pPr>
        <w:keepLines/>
        <w:spacing w:before="200" w:after="200"/>
        <w:ind w:left="709"/>
        <w:jc w:val="center"/>
        <w:rPr>
          <w:bCs/>
          <w:i/>
          <w:sz w:val="22"/>
          <w:szCs w:val="22"/>
        </w:rPr>
      </w:pPr>
      <w:r>
        <w:rPr>
          <w:noProof/>
          <w:lang w:val="es-CO" w:eastAsia="es-CO"/>
        </w:rPr>
        <w:drawing>
          <wp:inline distT="0" distB="0" distL="0" distR="0" wp14:anchorId="7726AAEA" wp14:editId="2177C8F2">
            <wp:extent cx="5544244" cy="556439"/>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6306" cy="566682"/>
                    </a:xfrm>
                    <a:prstGeom prst="rect">
                      <a:avLst/>
                    </a:prstGeom>
                  </pic:spPr>
                </pic:pic>
              </a:graphicData>
            </a:graphic>
          </wp:inline>
        </w:drawing>
      </w:r>
    </w:p>
    <w:p w14:paraId="5648FB0D" w14:textId="77777777" w:rsidR="005F6B36" w:rsidRPr="0014764F" w:rsidRDefault="005F6B36" w:rsidP="005F6B36">
      <w:pPr>
        <w:pStyle w:val="Prrafodelista"/>
        <w:keepLines/>
        <w:numPr>
          <w:ilvl w:val="0"/>
          <w:numId w:val="0"/>
        </w:numPr>
        <w:spacing w:before="120" w:after="120"/>
        <w:ind w:left="1068"/>
        <w:rPr>
          <w:bCs/>
          <w:i/>
          <w:sz w:val="16"/>
          <w:szCs w:val="16"/>
        </w:rPr>
      </w:pPr>
      <w:r w:rsidRPr="0014764F">
        <w:rPr>
          <w:bCs/>
          <w:i/>
          <w:sz w:val="16"/>
          <w:szCs w:val="16"/>
        </w:rPr>
        <w:t xml:space="preserve">Tabla </w:t>
      </w:r>
      <w:r>
        <w:rPr>
          <w:bCs/>
          <w:i/>
          <w:sz w:val="16"/>
          <w:szCs w:val="16"/>
        </w:rPr>
        <w:t>9</w:t>
      </w:r>
      <w:r w:rsidRPr="0014764F">
        <w:rPr>
          <w:bCs/>
          <w:i/>
          <w:sz w:val="16"/>
          <w:szCs w:val="16"/>
        </w:rPr>
        <w:t xml:space="preserve">. </w:t>
      </w:r>
      <w:r>
        <w:rPr>
          <w:bCs/>
          <w:i/>
          <w:sz w:val="16"/>
          <w:szCs w:val="16"/>
        </w:rPr>
        <w:t>Ingresos Anuales de AOM. Fuente archivo “Calculo Ingresos D EEP”</w:t>
      </w:r>
    </w:p>
    <w:p w14:paraId="48D40035" w14:textId="77777777" w:rsidR="0055499A" w:rsidRPr="008E42CB" w:rsidRDefault="008E42CB" w:rsidP="008E42CB">
      <w:pPr>
        <w:keepLines/>
        <w:spacing w:before="200" w:after="200"/>
        <w:ind w:left="709"/>
        <w:rPr>
          <w:bCs/>
          <w:i/>
          <w:sz w:val="22"/>
          <w:szCs w:val="22"/>
        </w:rPr>
      </w:pPr>
      <w:r w:rsidRPr="008E42CB">
        <w:rPr>
          <w:bCs/>
          <w:i/>
          <w:sz w:val="22"/>
          <w:szCs w:val="22"/>
        </w:rPr>
        <w:t>Así pues, respetuosamente se solicita al regulador revisar los cálculos de esta variable</w:t>
      </w:r>
      <w:r w:rsidR="005F6B36">
        <w:rPr>
          <w:bCs/>
          <w:i/>
          <w:sz w:val="22"/>
          <w:szCs w:val="22"/>
        </w:rPr>
        <w:t>.</w:t>
      </w:r>
    </w:p>
    <w:p w14:paraId="0818CCF8" w14:textId="20ABFFCE" w:rsidR="009259BE" w:rsidRDefault="001E096D" w:rsidP="00D857A6">
      <w:pPr>
        <w:spacing w:before="240" w:after="240"/>
        <w:rPr>
          <w:lang w:val="es-CO" w:eastAsia="en-US"/>
        </w:rPr>
      </w:pPr>
      <w:r>
        <w:rPr>
          <w:lang w:val="es-CO" w:eastAsia="en-US"/>
        </w:rPr>
        <w:t>Respecto a su solicitud, en el numeral 4 del Documento D115 de 2018, soporte de la Resolución CREG 178 de 2019, se menciona</w:t>
      </w:r>
      <w:r w:rsidR="00D21D50">
        <w:rPr>
          <w:lang w:val="es-CO" w:eastAsia="en-US"/>
        </w:rPr>
        <w:t>,</w:t>
      </w:r>
      <w:r>
        <w:rPr>
          <w:lang w:val="es-CO" w:eastAsia="en-US"/>
        </w:rPr>
        <w:t xml:space="preserve"> respecto del archivo </w:t>
      </w:r>
      <w:r w:rsidRPr="001E096D">
        <w:rPr>
          <w:i/>
          <w:iCs/>
          <w:lang w:val="es-CO" w:eastAsia="en-US"/>
        </w:rPr>
        <w:t>Calculo ingresos D EEP.xlsx</w:t>
      </w:r>
      <w:r>
        <w:rPr>
          <w:i/>
          <w:iCs/>
          <w:lang w:val="es-CO" w:eastAsia="en-US"/>
        </w:rPr>
        <w:t xml:space="preserve">, </w:t>
      </w:r>
      <w:r w:rsidRPr="001E096D">
        <w:rPr>
          <w:lang w:val="es-CO" w:eastAsia="en-US"/>
        </w:rPr>
        <w:t>lo siguiente:</w:t>
      </w:r>
    </w:p>
    <w:p w14:paraId="3A7C0628" w14:textId="77777777" w:rsidR="001E096D" w:rsidRPr="001E096D" w:rsidRDefault="001E096D" w:rsidP="001E096D">
      <w:pPr>
        <w:spacing w:before="240" w:after="240"/>
        <w:ind w:left="708"/>
        <w:rPr>
          <w:b/>
          <w:bCs/>
          <w:i/>
          <w:iCs/>
          <w:sz w:val="22"/>
          <w:szCs w:val="22"/>
          <w:lang w:val="es-CO" w:eastAsia="en-US"/>
        </w:rPr>
      </w:pPr>
      <w:r w:rsidRPr="001E096D">
        <w:rPr>
          <w:b/>
          <w:bCs/>
          <w:i/>
          <w:iCs/>
          <w:sz w:val="22"/>
          <w:szCs w:val="22"/>
          <w:lang w:val="es-CO" w:eastAsia="en-US"/>
        </w:rPr>
        <w:t>4</w:t>
      </w:r>
      <w:r>
        <w:rPr>
          <w:b/>
          <w:bCs/>
          <w:i/>
          <w:iCs/>
          <w:sz w:val="22"/>
          <w:szCs w:val="22"/>
          <w:lang w:val="es-CO" w:eastAsia="en-US"/>
        </w:rPr>
        <w:t>.</w:t>
      </w:r>
      <w:r w:rsidRPr="001E096D">
        <w:rPr>
          <w:b/>
          <w:bCs/>
          <w:i/>
          <w:iCs/>
          <w:sz w:val="22"/>
          <w:szCs w:val="22"/>
          <w:lang w:val="es-CO" w:eastAsia="en-US"/>
        </w:rPr>
        <w:t xml:space="preserve"> PROPUESTA DE VARIABLES A APROBAR</w:t>
      </w:r>
    </w:p>
    <w:p w14:paraId="430511FC" w14:textId="77777777" w:rsidR="001E096D" w:rsidRPr="001E096D" w:rsidRDefault="001E096D" w:rsidP="001E096D">
      <w:pPr>
        <w:spacing w:before="240" w:after="240"/>
        <w:ind w:left="708"/>
        <w:rPr>
          <w:i/>
          <w:iCs/>
          <w:sz w:val="22"/>
          <w:szCs w:val="22"/>
          <w:lang w:val="es-CO" w:eastAsia="en-US"/>
        </w:rPr>
      </w:pPr>
      <w:r w:rsidRPr="001E096D">
        <w:rPr>
          <w:i/>
          <w:iCs/>
          <w:sz w:val="22"/>
          <w:szCs w:val="22"/>
          <w:lang w:val="es-CO" w:eastAsia="en-US"/>
        </w:rPr>
        <w:t xml:space="preserve">En el archivo Calculo ingresos D EEP.xlsx, adjunto a esta comunicación, se presenta la información, el modelo de cálculo y los parámetros empleados para calcular las variables a aprobar al OR en aplicación de la metodología definida en la Resolución CREG 015 de 2018. </w:t>
      </w:r>
    </w:p>
    <w:p w14:paraId="348FC824" w14:textId="77777777" w:rsidR="001E096D" w:rsidRPr="00EF29C8" w:rsidRDefault="001E096D" w:rsidP="001E096D">
      <w:pPr>
        <w:spacing w:before="240" w:after="240"/>
        <w:ind w:left="708"/>
        <w:rPr>
          <w:i/>
          <w:iCs/>
          <w:sz w:val="22"/>
          <w:szCs w:val="22"/>
          <w:u w:val="single"/>
          <w:lang w:val="es-CO" w:eastAsia="en-US"/>
        </w:rPr>
      </w:pPr>
      <w:r w:rsidRPr="00EF29C8">
        <w:rPr>
          <w:i/>
          <w:iCs/>
          <w:sz w:val="22"/>
          <w:szCs w:val="22"/>
          <w:u w:val="single"/>
          <w:lang w:val="es-CO" w:eastAsia="en-US"/>
        </w:rPr>
        <w:t xml:space="preserve">El archivo contiene algunas estimaciones de cargos y otras variables que son de carácter informativo, ya que estas deben ser calculadas por el LAC según lo establece la metodología. </w:t>
      </w:r>
    </w:p>
    <w:p w14:paraId="0AFDCD85" w14:textId="77777777" w:rsidR="001E096D" w:rsidRDefault="001E096D" w:rsidP="001E096D">
      <w:pPr>
        <w:spacing w:before="240" w:after="240"/>
        <w:ind w:left="708"/>
        <w:rPr>
          <w:lang w:val="es-CO" w:eastAsia="en-US"/>
        </w:rPr>
      </w:pPr>
      <w:r w:rsidRPr="001E096D">
        <w:rPr>
          <w:i/>
          <w:iCs/>
          <w:sz w:val="22"/>
          <w:szCs w:val="22"/>
          <w:lang w:val="es-CO" w:eastAsia="en-US"/>
        </w:rPr>
        <w:t>El archivo es similar al publicado en la Circular CREG 029 de 2018 y consta de 14 hojas de cálculo. A continuación, se explica el contenido y el alcance de cada una de las hojas de cálculo incluidas.</w:t>
      </w:r>
    </w:p>
    <w:p w14:paraId="45C222E2" w14:textId="56B8BAC8" w:rsidR="009259BE" w:rsidRDefault="001E096D" w:rsidP="00D857A6">
      <w:pPr>
        <w:spacing w:before="240" w:after="240"/>
        <w:rPr>
          <w:lang w:val="es-CO" w:eastAsia="en-US"/>
        </w:rPr>
      </w:pPr>
      <w:r>
        <w:rPr>
          <w:lang w:val="es-CO" w:eastAsia="en-US"/>
        </w:rPr>
        <w:t>De acuerdo con lo anterior</w:t>
      </w:r>
      <w:r w:rsidR="00D21D50">
        <w:rPr>
          <w:lang w:val="es-CO" w:eastAsia="en-US"/>
        </w:rPr>
        <w:t>,</w:t>
      </w:r>
      <w:r>
        <w:rPr>
          <w:lang w:val="es-CO" w:eastAsia="en-US"/>
        </w:rPr>
        <w:t xml:space="preserve"> </w:t>
      </w:r>
      <w:r w:rsidR="00EF29C8">
        <w:rPr>
          <w:lang w:val="es-CO" w:eastAsia="en-US"/>
        </w:rPr>
        <w:t xml:space="preserve">y </w:t>
      </w:r>
      <w:r>
        <w:rPr>
          <w:lang w:val="es-CO" w:eastAsia="en-US"/>
        </w:rPr>
        <w:t>dado</w:t>
      </w:r>
      <w:r w:rsidR="00EF29C8">
        <w:rPr>
          <w:lang w:val="es-CO" w:eastAsia="en-US"/>
        </w:rPr>
        <w:t xml:space="preserve"> que las estimaciones de los cálculos del AOM por nuevos activos no corresponden a una variable o valor que haya sido </w:t>
      </w:r>
      <w:r w:rsidR="00EF29C8">
        <w:rPr>
          <w:lang w:val="es-CO" w:eastAsia="en-US"/>
        </w:rPr>
        <w:lastRenderedPageBreak/>
        <w:t>aprobado por la Comisión en la Resolución CREG 178 de 2019</w:t>
      </w:r>
      <w:r w:rsidR="00D21D50">
        <w:rPr>
          <w:lang w:val="es-CO" w:eastAsia="en-US"/>
        </w:rPr>
        <w:t>,</w:t>
      </w:r>
      <w:r w:rsidR="00EF29C8">
        <w:rPr>
          <w:lang w:val="es-CO" w:eastAsia="en-US"/>
        </w:rPr>
        <w:t xml:space="preserve"> no se considera procedente la solicitud de la empresa.   </w:t>
      </w:r>
    </w:p>
    <w:p w14:paraId="43C12173" w14:textId="1694927A" w:rsidR="00D857A6" w:rsidRDefault="00D857A6" w:rsidP="00D857A6">
      <w:pPr>
        <w:keepNext/>
        <w:spacing w:before="240" w:after="240"/>
        <w:rPr>
          <w:spacing w:val="-3"/>
        </w:rPr>
      </w:pPr>
      <w:r>
        <w:rPr>
          <w:spacing w:val="-3"/>
        </w:rPr>
        <w:t>En los temas en los que</w:t>
      </w:r>
      <w:r w:rsidR="00D21D50">
        <w:rPr>
          <w:spacing w:val="-3"/>
        </w:rPr>
        <w:t>,</w:t>
      </w:r>
      <w:r>
        <w:rPr>
          <w:spacing w:val="-3"/>
        </w:rPr>
        <w:t xml:space="preserve"> del análisis realizado</w:t>
      </w:r>
      <w:r w:rsidR="00D21D50">
        <w:rPr>
          <w:spacing w:val="-3"/>
        </w:rPr>
        <w:t>,</w:t>
      </w:r>
      <w:r>
        <w:rPr>
          <w:spacing w:val="-3"/>
        </w:rPr>
        <w:t xml:space="preserve"> se deduce que debe modificarse la Resolución CREG 1</w:t>
      </w:r>
      <w:r w:rsidR="00EF29C8">
        <w:rPr>
          <w:spacing w:val="-3"/>
        </w:rPr>
        <w:t>7</w:t>
      </w:r>
      <w:r>
        <w:rPr>
          <w:spacing w:val="-3"/>
        </w:rPr>
        <w:t>8 de 2019, se realizan los ajustes pertinentes.</w:t>
      </w:r>
    </w:p>
    <w:p w14:paraId="55692F76" w14:textId="351FE5EA" w:rsidR="00D57D9C" w:rsidRPr="00BF69C9" w:rsidRDefault="00D57D9C" w:rsidP="00003055">
      <w:pPr>
        <w:spacing w:before="240" w:after="240"/>
        <w:rPr>
          <w:spacing w:val="-3"/>
        </w:rPr>
      </w:pPr>
      <w:r w:rsidRPr="00B43252">
        <w:rPr>
          <w:spacing w:val="-3"/>
        </w:rPr>
        <w:t xml:space="preserve">Con base en lo anterior, la Comisión de Regulación de Energía y Gas, en su sesión </w:t>
      </w:r>
      <w:r w:rsidR="00003055">
        <w:rPr>
          <w:spacing w:val="-3"/>
        </w:rPr>
        <w:t>984</w:t>
      </w:r>
      <w:r w:rsidR="00EF29C8">
        <w:rPr>
          <w:spacing w:val="-3"/>
        </w:rPr>
        <w:t xml:space="preserve"> </w:t>
      </w:r>
      <w:r w:rsidRPr="00B43252">
        <w:rPr>
          <w:spacing w:val="-3"/>
        </w:rPr>
        <w:t xml:space="preserve">del </w:t>
      </w:r>
      <w:r w:rsidR="00003055">
        <w:rPr>
          <w:spacing w:val="-3"/>
        </w:rPr>
        <w:t>12</w:t>
      </w:r>
      <w:r w:rsidRPr="00B43252">
        <w:rPr>
          <w:spacing w:val="-3"/>
        </w:rPr>
        <w:t xml:space="preserve"> de </w:t>
      </w:r>
      <w:r w:rsidR="00EF29C8">
        <w:rPr>
          <w:spacing w:val="-3"/>
        </w:rPr>
        <w:t>marzo</w:t>
      </w:r>
      <w:r w:rsidR="00234CD0" w:rsidRPr="00B43252">
        <w:rPr>
          <w:spacing w:val="-3"/>
        </w:rPr>
        <w:t xml:space="preserve"> </w:t>
      </w:r>
      <w:r w:rsidRPr="00B43252">
        <w:rPr>
          <w:spacing w:val="-3"/>
        </w:rPr>
        <w:t>de 20</w:t>
      </w:r>
      <w:r w:rsidR="00EF29C8">
        <w:rPr>
          <w:spacing w:val="-3"/>
        </w:rPr>
        <w:t>20</w:t>
      </w:r>
      <w:r w:rsidRPr="00B43252">
        <w:rPr>
          <w:spacing w:val="-3"/>
        </w:rPr>
        <w:t>, acordó</w:t>
      </w:r>
      <w:r w:rsidRPr="00BF69C9">
        <w:rPr>
          <w:spacing w:val="-3"/>
        </w:rPr>
        <w:t xml:space="preserve"> expedir esta resolución. </w:t>
      </w:r>
    </w:p>
    <w:p w14:paraId="3F4EB748" w14:textId="77777777" w:rsidR="00D57D9C" w:rsidRDefault="00D57D9C" w:rsidP="00D57D9C">
      <w:pPr>
        <w:spacing w:before="0" w:after="0"/>
        <w:ind w:right="51"/>
        <w:jc w:val="center"/>
        <w:rPr>
          <w:b/>
        </w:rPr>
      </w:pPr>
      <w:r w:rsidRPr="00BF69C9">
        <w:rPr>
          <w:b/>
        </w:rPr>
        <w:t>RESUELVE:</w:t>
      </w:r>
    </w:p>
    <w:p w14:paraId="49DA10D5" w14:textId="77777777" w:rsidR="00D57D9C" w:rsidRPr="00983FB3" w:rsidRDefault="00D57D9C" w:rsidP="00D57D9C">
      <w:pPr>
        <w:spacing w:before="0" w:after="0"/>
        <w:ind w:right="51"/>
        <w:jc w:val="center"/>
        <w:rPr>
          <w:b/>
        </w:rPr>
      </w:pPr>
    </w:p>
    <w:p w14:paraId="4DC4A6C0" w14:textId="77777777" w:rsidR="00D57D9C" w:rsidRDefault="00D57D9C" w:rsidP="00003055">
      <w:pPr>
        <w:pStyle w:val="Artculo"/>
        <w:spacing w:before="0" w:after="0"/>
        <w:ind w:left="0"/>
        <w:rPr>
          <w:b w:val="0"/>
        </w:rPr>
      </w:pPr>
      <w:r>
        <w:t xml:space="preserve">Modificar el artículo 2 de la Resolución CREG </w:t>
      </w:r>
      <w:r w:rsidR="00D857A6">
        <w:t>1</w:t>
      </w:r>
      <w:r w:rsidR="002933B1">
        <w:t>7</w:t>
      </w:r>
      <w:r w:rsidR="00D857A6">
        <w:t>8</w:t>
      </w:r>
      <w:r>
        <w:t xml:space="preserve"> de 2019. </w:t>
      </w:r>
      <w:r w:rsidRPr="00A71EA8">
        <w:rPr>
          <w:b w:val="0"/>
        </w:rPr>
        <w:t xml:space="preserve">El artículo 2 de la Resolución CREG </w:t>
      </w:r>
      <w:r w:rsidR="00D857A6">
        <w:rPr>
          <w:b w:val="0"/>
        </w:rPr>
        <w:t>1</w:t>
      </w:r>
      <w:r w:rsidR="002933B1">
        <w:rPr>
          <w:b w:val="0"/>
        </w:rPr>
        <w:t>7</w:t>
      </w:r>
      <w:r w:rsidR="00D857A6">
        <w:rPr>
          <w:b w:val="0"/>
        </w:rPr>
        <w:t>8</w:t>
      </w:r>
      <w:r w:rsidRPr="00A71EA8">
        <w:rPr>
          <w:b w:val="0"/>
        </w:rPr>
        <w:t xml:space="preserve"> de 2019 quedará así:</w:t>
      </w:r>
    </w:p>
    <w:p w14:paraId="0C3DF8C2" w14:textId="6D1A48F4" w:rsidR="00D57D9C" w:rsidRPr="00016274" w:rsidRDefault="00D57D9C" w:rsidP="00016274">
      <w:pPr>
        <w:ind w:left="708"/>
        <w:rPr>
          <w:b/>
          <w:sz w:val="22"/>
          <w:szCs w:val="22"/>
        </w:rPr>
      </w:pPr>
      <w:r w:rsidRPr="00016274">
        <w:rPr>
          <w:sz w:val="22"/>
          <w:szCs w:val="22"/>
        </w:rPr>
        <w:t>“</w:t>
      </w:r>
      <w:r w:rsidRPr="00016274">
        <w:rPr>
          <w:b/>
          <w:sz w:val="22"/>
          <w:szCs w:val="22"/>
        </w:rPr>
        <w:t xml:space="preserve">Artículo 2. Base regulatoria de activos eléctricos al inicio del </w:t>
      </w:r>
      <w:r w:rsidR="00250453" w:rsidRPr="00016274">
        <w:rPr>
          <w:b/>
          <w:sz w:val="22"/>
          <w:szCs w:val="22"/>
        </w:rPr>
        <w:t>per</w:t>
      </w:r>
      <w:r w:rsidR="00250453">
        <w:rPr>
          <w:b/>
          <w:sz w:val="22"/>
          <w:szCs w:val="22"/>
        </w:rPr>
        <w:t>í</w:t>
      </w:r>
      <w:r w:rsidR="00250453" w:rsidRPr="00016274">
        <w:rPr>
          <w:b/>
          <w:sz w:val="22"/>
          <w:szCs w:val="22"/>
        </w:rPr>
        <w:t xml:space="preserve">odo </w:t>
      </w:r>
      <w:r w:rsidRPr="00016274">
        <w:rPr>
          <w:b/>
          <w:sz w:val="22"/>
          <w:szCs w:val="22"/>
        </w:rPr>
        <w:t>tarifario.</w:t>
      </w:r>
      <w:r w:rsidRPr="00016274">
        <w:rPr>
          <w:sz w:val="22"/>
          <w:szCs w:val="22"/>
        </w:rPr>
        <w:t xml:space="preserve"> La base regulatoria de activos eléctricos al inicio del </w:t>
      </w:r>
      <w:r w:rsidR="00250453" w:rsidRPr="00016274">
        <w:rPr>
          <w:sz w:val="22"/>
          <w:szCs w:val="22"/>
        </w:rPr>
        <w:t>per</w:t>
      </w:r>
      <w:r w:rsidR="00250453">
        <w:rPr>
          <w:sz w:val="22"/>
          <w:szCs w:val="22"/>
        </w:rPr>
        <w:t>í</w:t>
      </w:r>
      <w:r w:rsidR="00250453" w:rsidRPr="00016274">
        <w:rPr>
          <w:sz w:val="22"/>
          <w:szCs w:val="22"/>
        </w:rPr>
        <w:t xml:space="preserve">odo </w:t>
      </w:r>
      <w:r w:rsidRPr="00016274">
        <w:rPr>
          <w:sz w:val="22"/>
          <w:szCs w:val="22"/>
        </w:rPr>
        <w:t xml:space="preserve">tarifario, </w:t>
      </w:r>
      <w:proofErr w:type="gramStart"/>
      <w:r w:rsidRPr="00016274">
        <w:rPr>
          <w:i/>
          <w:sz w:val="22"/>
          <w:szCs w:val="22"/>
        </w:rPr>
        <w:t>BRAE</w:t>
      </w:r>
      <w:r w:rsidRPr="00016274">
        <w:rPr>
          <w:i/>
          <w:sz w:val="22"/>
          <w:szCs w:val="22"/>
          <w:vertAlign w:val="subscript"/>
        </w:rPr>
        <w:t>j,n</w:t>
      </w:r>
      <w:proofErr w:type="gramEnd"/>
      <w:r w:rsidRPr="00016274">
        <w:rPr>
          <w:i/>
          <w:sz w:val="22"/>
          <w:szCs w:val="22"/>
          <w:vertAlign w:val="subscript"/>
        </w:rPr>
        <w:t>,0,</w:t>
      </w:r>
      <w:r w:rsidRPr="00016274">
        <w:rPr>
          <w:sz w:val="22"/>
          <w:szCs w:val="22"/>
        </w:rPr>
        <w:t xml:space="preserve"> es el siguiente:</w:t>
      </w:r>
    </w:p>
    <w:p w14:paraId="407CD842" w14:textId="246DB8EB" w:rsidR="00D57D9C" w:rsidRPr="00016274" w:rsidRDefault="00D57D9C" w:rsidP="001F1ADD">
      <w:pPr>
        <w:pStyle w:val="Descripcin"/>
        <w:spacing w:before="240" w:after="240" w:line="240" w:lineRule="auto"/>
        <w:ind w:left="709"/>
        <w:rPr>
          <w:szCs w:val="22"/>
        </w:rPr>
      </w:pPr>
      <w:r w:rsidRPr="00016274">
        <w:rPr>
          <w:szCs w:val="22"/>
        </w:rPr>
        <w:t xml:space="preserve">Tabla 1 Base regulatoria de activos eléctricos al inicio del </w:t>
      </w:r>
      <w:r w:rsidR="00250453" w:rsidRPr="00016274">
        <w:rPr>
          <w:szCs w:val="22"/>
        </w:rPr>
        <w:t>per</w:t>
      </w:r>
      <w:r w:rsidR="00250453">
        <w:rPr>
          <w:szCs w:val="22"/>
        </w:rPr>
        <w:t>í</w:t>
      </w:r>
      <w:r w:rsidR="00250453" w:rsidRPr="00016274">
        <w:rPr>
          <w:szCs w:val="22"/>
        </w:rPr>
        <w:t xml:space="preserve">odo </w:t>
      </w:r>
      <w:r w:rsidRPr="00016274">
        <w:rPr>
          <w:szCs w:val="22"/>
        </w:rPr>
        <w:t>tarifario.</w:t>
      </w:r>
    </w:p>
    <w:tbl>
      <w:tblPr>
        <w:tblW w:w="3256" w:type="dxa"/>
        <w:jc w:val="center"/>
        <w:tblCellMar>
          <w:left w:w="70" w:type="dxa"/>
          <w:right w:w="70" w:type="dxa"/>
        </w:tblCellMar>
        <w:tblLook w:val="04A0" w:firstRow="1" w:lastRow="0" w:firstColumn="1" w:lastColumn="0" w:noHBand="0" w:noVBand="1"/>
      </w:tblPr>
      <w:tblGrid>
        <w:gridCol w:w="1281"/>
        <w:gridCol w:w="1975"/>
      </w:tblGrid>
      <w:tr w:rsidR="00D57D9C" w:rsidRPr="00D857A6" w14:paraId="0B7861F6" w14:textId="77777777" w:rsidTr="00437E9E">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14:paraId="10813525" w14:textId="77777777" w:rsidR="00D57D9C" w:rsidRPr="00D857A6" w:rsidRDefault="00D57D9C" w:rsidP="00437E9E">
            <w:pPr>
              <w:spacing w:before="0" w:after="0"/>
              <w:jc w:val="left"/>
              <w:rPr>
                <w:rFonts w:cs="Arial"/>
                <w:b/>
                <w:bCs/>
                <w:sz w:val="18"/>
                <w:szCs w:val="18"/>
                <w:lang w:val="es-CO" w:eastAsia="es-CO"/>
              </w:rPr>
            </w:pPr>
            <w:r w:rsidRPr="00D857A6">
              <w:rPr>
                <w:rFonts w:cs="Arial"/>
                <w:b/>
                <w:bCs/>
                <w:sz w:val="18"/>
                <w:szCs w:val="18"/>
                <w:lang w:val="es-CO" w:eastAsia="es-CO"/>
              </w:rPr>
              <w:t> Variable</w:t>
            </w:r>
          </w:p>
        </w:tc>
        <w:tc>
          <w:tcPr>
            <w:tcW w:w="1975" w:type="dxa"/>
            <w:tcBorders>
              <w:top w:val="single" w:sz="4" w:space="0" w:color="auto"/>
              <w:left w:val="nil"/>
              <w:bottom w:val="single" w:sz="4" w:space="0" w:color="auto"/>
              <w:right w:val="single" w:sz="4" w:space="0" w:color="auto"/>
            </w:tcBorders>
            <w:shd w:val="clear" w:color="000000" w:fill="FFFFFF"/>
            <w:vAlign w:val="bottom"/>
          </w:tcPr>
          <w:p w14:paraId="47E085C3" w14:textId="77777777" w:rsidR="00D57D9C" w:rsidRPr="00D857A6" w:rsidRDefault="00D57D9C" w:rsidP="00437E9E">
            <w:pPr>
              <w:spacing w:before="0" w:after="0"/>
              <w:jc w:val="center"/>
              <w:rPr>
                <w:rFonts w:cs="Arial"/>
                <w:b/>
                <w:bCs/>
                <w:sz w:val="18"/>
                <w:szCs w:val="18"/>
                <w:lang w:val="es-CO" w:eastAsia="es-CO"/>
              </w:rPr>
            </w:pPr>
            <w:r w:rsidRPr="00D857A6">
              <w:rPr>
                <w:rFonts w:cs="Arial"/>
                <w:b/>
                <w:bCs/>
                <w:sz w:val="18"/>
                <w:szCs w:val="18"/>
                <w:lang w:val="es-CO" w:eastAsia="es-CO"/>
              </w:rPr>
              <w:t>Pesos de diciembre de 2017</w:t>
            </w:r>
          </w:p>
        </w:tc>
      </w:tr>
      <w:tr w:rsidR="002933B1" w:rsidRPr="00D857A6" w14:paraId="21F5E956" w14:textId="77777777" w:rsidTr="002933B1">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14:paraId="2452BEDC" w14:textId="77777777" w:rsidR="002933B1" w:rsidRPr="00D857A6" w:rsidRDefault="002933B1" w:rsidP="002933B1">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j,4,0</w:t>
            </w:r>
          </w:p>
        </w:tc>
        <w:tc>
          <w:tcPr>
            <w:tcW w:w="1975" w:type="dxa"/>
            <w:tcBorders>
              <w:top w:val="nil"/>
              <w:left w:val="nil"/>
              <w:bottom w:val="single" w:sz="4" w:space="0" w:color="auto"/>
              <w:right w:val="single" w:sz="4" w:space="0" w:color="auto"/>
            </w:tcBorders>
            <w:shd w:val="clear" w:color="auto" w:fill="auto"/>
            <w:noWrap/>
            <w:vAlign w:val="center"/>
          </w:tcPr>
          <w:p w14:paraId="1570C302" w14:textId="77777777" w:rsidR="002933B1" w:rsidRPr="002933B1" w:rsidRDefault="002933B1" w:rsidP="002933B1">
            <w:pPr>
              <w:spacing w:before="0" w:after="0"/>
              <w:jc w:val="right"/>
              <w:rPr>
                <w:sz w:val="18"/>
                <w:szCs w:val="18"/>
              </w:rPr>
            </w:pPr>
            <w:r w:rsidRPr="002933B1">
              <w:rPr>
                <w:sz w:val="18"/>
                <w:szCs w:val="18"/>
              </w:rPr>
              <w:t>28.951.596.644</w:t>
            </w:r>
          </w:p>
        </w:tc>
      </w:tr>
      <w:tr w:rsidR="002933B1" w:rsidRPr="00D857A6" w14:paraId="7E1AE0C2" w14:textId="77777777" w:rsidTr="002933B1">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14:paraId="72055843" w14:textId="77777777" w:rsidR="002933B1" w:rsidRPr="00D857A6" w:rsidRDefault="002933B1" w:rsidP="002933B1">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j,3,0</w:t>
            </w:r>
          </w:p>
        </w:tc>
        <w:tc>
          <w:tcPr>
            <w:tcW w:w="1975" w:type="dxa"/>
            <w:tcBorders>
              <w:top w:val="nil"/>
              <w:left w:val="nil"/>
              <w:bottom w:val="single" w:sz="4" w:space="0" w:color="auto"/>
              <w:right w:val="single" w:sz="4" w:space="0" w:color="auto"/>
            </w:tcBorders>
            <w:shd w:val="clear" w:color="auto" w:fill="auto"/>
            <w:noWrap/>
            <w:vAlign w:val="center"/>
          </w:tcPr>
          <w:p w14:paraId="5218023E" w14:textId="77777777" w:rsidR="002933B1" w:rsidRPr="002933B1" w:rsidRDefault="002933B1" w:rsidP="002933B1">
            <w:pPr>
              <w:spacing w:before="0" w:after="0"/>
              <w:jc w:val="right"/>
              <w:rPr>
                <w:sz w:val="18"/>
                <w:szCs w:val="18"/>
              </w:rPr>
            </w:pPr>
            <w:r w:rsidRPr="002933B1">
              <w:rPr>
                <w:sz w:val="18"/>
                <w:szCs w:val="18"/>
              </w:rPr>
              <w:t>61.095.947.493</w:t>
            </w:r>
          </w:p>
        </w:tc>
      </w:tr>
      <w:tr w:rsidR="002933B1" w:rsidRPr="00D857A6" w14:paraId="56A301A5" w14:textId="77777777" w:rsidTr="002933B1">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14:paraId="682D6351" w14:textId="77777777" w:rsidR="002933B1" w:rsidRPr="00D857A6" w:rsidRDefault="002933B1" w:rsidP="002933B1">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j,2,0</w:t>
            </w:r>
          </w:p>
        </w:tc>
        <w:tc>
          <w:tcPr>
            <w:tcW w:w="1975" w:type="dxa"/>
            <w:tcBorders>
              <w:top w:val="nil"/>
              <w:left w:val="nil"/>
              <w:bottom w:val="single" w:sz="4" w:space="0" w:color="auto"/>
              <w:right w:val="single" w:sz="4" w:space="0" w:color="auto"/>
            </w:tcBorders>
            <w:shd w:val="clear" w:color="auto" w:fill="auto"/>
            <w:noWrap/>
            <w:vAlign w:val="center"/>
          </w:tcPr>
          <w:p w14:paraId="3048098C" w14:textId="77777777" w:rsidR="002933B1" w:rsidRPr="002933B1" w:rsidRDefault="002933B1" w:rsidP="002933B1">
            <w:pPr>
              <w:spacing w:before="0" w:after="0"/>
              <w:jc w:val="right"/>
              <w:rPr>
                <w:sz w:val="18"/>
                <w:szCs w:val="18"/>
              </w:rPr>
            </w:pPr>
            <w:r w:rsidRPr="002933B1">
              <w:rPr>
                <w:sz w:val="18"/>
                <w:szCs w:val="18"/>
              </w:rPr>
              <w:t>147.196.263.257</w:t>
            </w:r>
          </w:p>
        </w:tc>
      </w:tr>
      <w:tr w:rsidR="002933B1" w:rsidRPr="00D857A6" w14:paraId="63490302" w14:textId="77777777" w:rsidTr="002933B1">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14:paraId="46830336" w14:textId="77777777" w:rsidR="002933B1" w:rsidRPr="00D857A6" w:rsidRDefault="002933B1" w:rsidP="002933B1">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j,1,0</w:t>
            </w:r>
          </w:p>
        </w:tc>
        <w:tc>
          <w:tcPr>
            <w:tcW w:w="1975" w:type="dxa"/>
            <w:tcBorders>
              <w:top w:val="nil"/>
              <w:left w:val="nil"/>
              <w:bottom w:val="single" w:sz="4" w:space="0" w:color="auto"/>
              <w:right w:val="single" w:sz="4" w:space="0" w:color="auto"/>
            </w:tcBorders>
            <w:shd w:val="clear" w:color="auto" w:fill="auto"/>
            <w:noWrap/>
            <w:vAlign w:val="center"/>
          </w:tcPr>
          <w:p w14:paraId="2B1F1A84" w14:textId="77777777" w:rsidR="002933B1" w:rsidRPr="002933B1" w:rsidRDefault="002933B1" w:rsidP="002933B1">
            <w:pPr>
              <w:spacing w:before="0" w:after="0"/>
              <w:jc w:val="right"/>
              <w:rPr>
                <w:sz w:val="18"/>
                <w:szCs w:val="18"/>
              </w:rPr>
            </w:pPr>
            <w:r w:rsidRPr="002933B1">
              <w:rPr>
                <w:sz w:val="18"/>
                <w:szCs w:val="18"/>
              </w:rPr>
              <w:t>99.711.519.551</w:t>
            </w:r>
          </w:p>
        </w:tc>
      </w:tr>
    </w:tbl>
    <w:p w14:paraId="03054164" w14:textId="358AF4EF" w:rsidR="002933B1" w:rsidRPr="002933B1" w:rsidRDefault="002933B1" w:rsidP="002933B1">
      <w:pPr>
        <w:ind w:left="708"/>
        <w:rPr>
          <w:sz w:val="22"/>
          <w:szCs w:val="22"/>
        </w:rPr>
      </w:pPr>
      <w:r w:rsidRPr="002933B1">
        <w:rPr>
          <w:b/>
          <w:bCs/>
          <w:sz w:val="22"/>
          <w:szCs w:val="22"/>
        </w:rPr>
        <w:t>Parágrafo:</w:t>
      </w:r>
      <w:r w:rsidRPr="002933B1">
        <w:rPr>
          <w:sz w:val="22"/>
          <w:szCs w:val="22"/>
        </w:rPr>
        <w:t xml:space="preserve"> En aplicación de lo dispuesto en el artículo 6 de la Resolución CREG 015 de 2018</w:t>
      </w:r>
      <w:r w:rsidR="00250453">
        <w:rPr>
          <w:sz w:val="22"/>
          <w:szCs w:val="22"/>
        </w:rPr>
        <w:t>,</w:t>
      </w:r>
      <w:r w:rsidRPr="002933B1">
        <w:rPr>
          <w:sz w:val="22"/>
          <w:szCs w:val="22"/>
        </w:rPr>
        <w:t xml:space="preserve"> y el artículo 50 de la Resolución CREG 036 de 2019, conforme con la solicitud de la Empresa de Energía de Pereira S.A. E.S.P., el valor de los activos puestos en operación en el 2018 fue incluido en la base regulatoria inicial de activos.</w:t>
      </w:r>
      <w:r>
        <w:rPr>
          <w:sz w:val="22"/>
          <w:szCs w:val="22"/>
        </w:rPr>
        <w:t>”</w:t>
      </w:r>
    </w:p>
    <w:p w14:paraId="7BAA4EC0" w14:textId="205BE803" w:rsidR="002933B1" w:rsidRDefault="002933B1" w:rsidP="002933B1">
      <w:pPr>
        <w:pStyle w:val="Artculo"/>
        <w:ind w:left="0"/>
        <w:rPr>
          <w:b w:val="0"/>
        </w:rPr>
      </w:pPr>
      <w:r w:rsidRPr="00C32561">
        <w:rPr>
          <w:bCs/>
        </w:rPr>
        <w:t>Modificar el artículo 3 de la Resolución CREG 178 de 2019.</w:t>
      </w:r>
      <w:r>
        <w:rPr>
          <w:b w:val="0"/>
        </w:rPr>
        <w:t xml:space="preserve"> El </w:t>
      </w:r>
      <w:r w:rsidR="00250453">
        <w:rPr>
          <w:b w:val="0"/>
        </w:rPr>
        <w:t xml:space="preserve">artículo </w:t>
      </w:r>
      <w:r>
        <w:rPr>
          <w:b w:val="0"/>
        </w:rPr>
        <w:t>3 de la Resolución CREG 178 de 2019 quedará así:</w:t>
      </w:r>
    </w:p>
    <w:p w14:paraId="4F9C0926" w14:textId="77777777" w:rsidR="002933B1" w:rsidRDefault="002933B1" w:rsidP="002933B1">
      <w:pPr>
        <w:pStyle w:val="Artculo"/>
        <w:numPr>
          <w:ilvl w:val="0"/>
          <w:numId w:val="0"/>
        </w:numPr>
        <w:ind w:left="708"/>
        <w:rPr>
          <w:b w:val="0"/>
          <w:sz w:val="22"/>
          <w:szCs w:val="22"/>
        </w:rPr>
      </w:pPr>
      <w:r w:rsidRPr="002933B1">
        <w:rPr>
          <w:bCs/>
          <w:sz w:val="22"/>
          <w:szCs w:val="22"/>
        </w:rPr>
        <w:t>Artículo 3. Inversión aprobada en el plan de inversiones.</w:t>
      </w:r>
      <w:r w:rsidRPr="002933B1">
        <w:rPr>
          <w:b w:val="0"/>
          <w:sz w:val="22"/>
          <w:szCs w:val="22"/>
        </w:rPr>
        <w:t xml:space="preserve"> El valor de las inversiones aprobadas en el plan de inversiones, </w:t>
      </w:r>
      <w:proofErr w:type="spellStart"/>
      <w:proofErr w:type="gramStart"/>
      <w:r w:rsidRPr="002966AA">
        <w:rPr>
          <w:b w:val="0"/>
          <w:i/>
          <w:sz w:val="22"/>
          <w:szCs w:val="22"/>
        </w:rPr>
        <w:t>INVA</w:t>
      </w:r>
      <w:r w:rsidRPr="002966AA">
        <w:rPr>
          <w:b w:val="0"/>
          <w:i/>
          <w:sz w:val="22"/>
          <w:szCs w:val="22"/>
          <w:vertAlign w:val="subscript"/>
        </w:rPr>
        <w:t>j,n</w:t>
      </w:r>
      <w:proofErr w:type="gramEnd"/>
      <w:r w:rsidRPr="002966AA">
        <w:rPr>
          <w:b w:val="0"/>
          <w:i/>
          <w:sz w:val="22"/>
          <w:szCs w:val="22"/>
          <w:vertAlign w:val="subscript"/>
        </w:rPr>
        <w:t>,l,t</w:t>
      </w:r>
      <w:proofErr w:type="spellEnd"/>
      <w:r w:rsidRPr="002933B1">
        <w:rPr>
          <w:b w:val="0"/>
          <w:sz w:val="22"/>
          <w:szCs w:val="22"/>
        </w:rPr>
        <w:t>, para cada nivel de tensión, es el siguiente:</w:t>
      </w:r>
    </w:p>
    <w:p w14:paraId="3017C8DA" w14:textId="77777777" w:rsidR="002933B1" w:rsidRDefault="002933B1" w:rsidP="00C6167C">
      <w:pPr>
        <w:pStyle w:val="Artculo"/>
        <w:numPr>
          <w:ilvl w:val="0"/>
          <w:numId w:val="0"/>
        </w:numPr>
        <w:spacing w:after="0"/>
        <w:ind w:left="708"/>
        <w:rPr>
          <w:b w:val="0"/>
          <w:sz w:val="22"/>
          <w:szCs w:val="22"/>
        </w:rPr>
      </w:pPr>
      <w:r w:rsidRPr="002933B1">
        <w:rPr>
          <w:b w:val="0"/>
          <w:sz w:val="22"/>
          <w:szCs w:val="22"/>
        </w:rPr>
        <w:t>Tabla 2 Plan de inversiones del nivel de tensión 4, pesos de diciembre de 2017</w:t>
      </w:r>
    </w:p>
    <w:tbl>
      <w:tblPr>
        <w:tblW w:w="8783" w:type="dxa"/>
        <w:jc w:val="right"/>
        <w:tblLayout w:type="fixed"/>
        <w:tblCellMar>
          <w:left w:w="70" w:type="dxa"/>
          <w:right w:w="70" w:type="dxa"/>
        </w:tblCellMar>
        <w:tblLook w:val="04A0" w:firstRow="1" w:lastRow="0" w:firstColumn="1" w:lastColumn="0" w:noHBand="0" w:noVBand="1"/>
      </w:tblPr>
      <w:tblGrid>
        <w:gridCol w:w="1413"/>
        <w:gridCol w:w="1474"/>
        <w:gridCol w:w="1474"/>
        <w:gridCol w:w="1474"/>
        <w:gridCol w:w="1474"/>
        <w:gridCol w:w="1474"/>
      </w:tblGrid>
      <w:tr w:rsidR="002933B1" w:rsidRPr="007E09A4" w14:paraId="6668F5F0" w14:textId="77777777" w:rsidTr="002933B1">
        <w:trPr>
          <w:trHeight w:val="480"/>
          <w:tblHeader/>
          <w:jc w:val="right"/>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12911" w14:textId="77777777" w:rsidR="002933B1" w:rsidRPr="007E09A4" w:rsidRDefault="002933B1" w:rsidP="002933B1">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5112ACC"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EA3A1BC"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6808A08"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C3C1B7E"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18F7684C"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,5</w:t>
            </w:r>
          </w:p>
        </w:tc>
      </w:tr>
      <w:tr w:rsidR="00494B41" w:rsidRPr="00494B41" w14:paraId="1F5B99F6"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63AFD938"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C2D1BCC"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99054E0"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114E147"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9133AB5"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1C00A64"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5BA3F240"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182E40F8"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417F3253"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7BA77E3"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7962238"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5ABA79E"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54A3A1C"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4467158F"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3B91764A"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5673C415" w14:textId="77777777" w:rsidR="00494B41" w:rsidRPr="00494B41" w:rsidRDefault="00494B41" w:rsidP="00494B41">
            <w:pPr>
              <w:spacing w:before="0" w:after="0"/>
              <w:jc w:val="right"/>
              <w:rPr>
                <w:sz w:val="18"/>
                <w:szCs w:val="18"/>
              </w:rPr>
            </w:pPr>
            <w:r w:rsidRPr="00494B41">
              <w:rPr>
                <w:sz w:val="18"/>
                <w:szCs w:val="18"/>
              </w:rPr>
              <w:t>325.997.316</w:t>
            </w:r>
          </w:p>
        </w:tc>
        <w:tc>
          <w:tcPr>
            <w:tcW w:w="1474" w:type="dxa"/>
            <w:tcBorders>
              <w:top w:val="nil"/>
              <w:left w:val="nil"/>
              <w:bottom w:val="single" w:sz="4" w:space="0" w:color="auto"/>
              <w:right w:val="single" w:sz="4" w:space="0" w:color="auto"/>
            </w:tcBorders>
            <w:shd w:val="clear" w:color="auto" w:fill="auto"/>
            <w:noWrap/>
            <w:vAlign w:val="center"/>
          </w:tcPr>
          <w:p w14:paraId="3236333F" w14:textId="77777777" w:rsidR="00494B41" w:rsidRPr="00494B41" w:rsidRDefault="00494B41" w:rsidP="00494B41">
            <w:pPr>
              <w:spacing w:before="0" w:after="0"/>
              <w:jc w:val="right"/>
              <w:rPr>
                <w:sz w:val="18"/>
                <w:szCs w:val="18"/>
              </w:rPr>
            </w:pPr>
            <w:r w:rsidRPr="00494B41">
              <w:rPr>
                <w:sz w:val="18"/>
                <w:szCs w:val="18"/>
              </w:rPr>
              <w:t>182.471.949</w:t>
            </w:r>
          </w:p>
        </w:tc>
        <w:tc>
          <w:tcPr>
            <w:tcW w:w="1474" w:type="dxa"/>
            <w:tcBorders>
              <w:top w:val="nil"/>
              <w:left w:val="nil"/>
              <w:bottom w:val="single" w:sz="4" w:space="0" w:color="auto"/>
              <w:right w:val="single" w:sz="4" w:space="0" w:color="auto"/>
            </w:tcBorders>
            <w:shd w:val="clear" w:color="auto" w:fill="auto"/>
            <w:noWrap/>
            <w:vAlign w:val="center"/>
          </w:tcPr>
          <w:p w14:paraId="6458B4A7" w14:textId="77777777" w:rsidR="00494B41" w:rsidRPr="00494B41" w:rsidRDefault="00494B41" w:rsidP="00494B41">
            <w:pPr>
              <w:spacing w:before="0" w:after="0"/>
              <w:jc w:val="right"/>
              <w:rPr>
                <w:sz w:val="18"/>
                <w:szCs w:val="18"/>
              </w:rPr>
            </w:pPr>
            <w:r w:rsidRPr="00494B41">
              <w:rPr>
                <w:sz w:val="18"/>
                <w:szCs w:val="18"/>
              </w:rPr>
              <w:t>162.175.942</w:t>
            </w:r>
          </w:p>
        </w:tc>
        <w:tc>
          <w:tcPr>
            <w:tcW w:w="1474" w:type="dxa"/>
            <w:tcBorders>
              <w:top w:val="nil"/>
              <w:left w:val="nil"/>
              <w:bottom w:val="single" w:sz="4" w:space="0" w:color="auto"/>
              <w:right w:val="single" w:sz="4" w:space="0" w:color="auto"/>
            </w:tcBorders>
            <w:shd w:val="clear" w:color="auto" w:fill="auto"/>
            <w:noWrap/>
            <w:vAlign w:val="center"/>
          </w:tcPr>
          <w:p w14:paraId="3A17506C"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B750C56"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66C1F7E4"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41B2F261"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9094E81"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515677B"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12FB17F"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DB950D7"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95F4409"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55E1158D"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3A4FD1E0"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2333555E" w14:textId="77777777" w:rsidR="00494B41" w:rsidRPr="00494B41" w:rsidRDefault="00494B41" w:rsidP="00494B41">
            <w:pPr>
              <w:spacing w:before="0" w:after="0"/>
              <w:jc w:val="right"/>
              <w:rPr>
                <w:sz w:val="18"/>
                <w:szCs w:val="18"/>
              </w:rPr>
            </w:pPr>
            <w:r w:rsidRPr="00494B41">
              <w:rPr>
                <w:sz w:val="18"/>
                <w:szCs w:val="18"/>
              </w:rPr>
              <w:t>203.292.000</w:t>
            </w:r>
          </w:p>
        </w:tc>
        <w:tc>
          <w:tcPr>
            <w:tcW w:w="1474" w:type="dxa"/>
            <w:tcBorders>
              <w:top w:val="nil"/>
              <w:left w:val="nil"/>
              <w:bottom w:val="single" w:sz="4" w:space="0" w:color="auto"/>
              <w:right w:val="single" w:sz="4" w:space="0" w:color="auto"/>
            </w:tcBorders>
            <w:shd w:val="clear" w:color="auto" w:fill="auto"/>
            <w:noWrap/>
            <w:vAlign w:val="center"/>
          </w:tcPr>
          <w:p w14:paraId="035ECC92"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6DAB336" w14:textId="77777777" w:rsidR="00494B41" w:rsidRPr="00494B41" w:rsidRDefault="00494B41" w:rsidP="00494B41">
            <w:pPr>
              <w:spacing w:before="0" w:after="0"/>
              <w:jc w:val="right"/>
              <w:rPr>
                <w:sz w:val="18"/>
                <w:szCs w:val="18"/>
              </w:rPr>
            </w:pPr>
            <w:r w:rsidRPr="00494B41">
              <w:rPr>
                <w:sz w:val="18"/>
                <w:szCs w:val="18"/>
              </w:rPr>
              <w:t>101.646.000</w:t>
            </w:r>
          </w:p>
        </w:tc>
        <w:tc>
          <w:tcPr>
            <w:tcW w:w="1474" w:type="dxa"/>
            <w:tcBorders>
              <w:top w:val="nil"/>
              <w:left w:val="nil"/>
              <w:bottom w:val="single" w:sz="4" w:space="0" w:color="auto"/>
              <w:right w:val="single" w:sz="4" w:space="0" w:color="auto"/>
            </w:tcBorders>
            <w:shd w:val="clear" w:color="auto" w:fill="auto"/>
            <w:noWrap/>
            <w:vAlign w:val="center"/>
          </w:tcPr>
          <w:p w14:paraId="6F1A04F7"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43D7C94"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1A8B2E20"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3704AF9E"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49D221BB"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D64DAE7"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12E8CD6"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1DDBB12" w14:textId="77777777" w:rsidR="00494B41" w:rsidRPr="00494B41" w:rsidRDefault="00494B41" w:rsidP="00494B41">
            <w:pPr>
              <w:spacing w:before="0" w:after="0"/>
              <w:jc w:val="right"/>
              <w:rPr>
                <w:sz w:val="18"/>
                <w:szCs w:val="18"/>
              </w:rPr>
            </w:pPr>
            <w:r w:rsidRPr="00494B41">
              <w:rPr>
                <w:sz w:val="18"/>
                <w:szCs w:val="18"/>
              </w:rPr>
              <w:t>70.245.000</w:t>
            </w:r>
          </w:p>
        </w:tc>
        <w:tc>
          <w:tcPr>
            <w:tcW w:w="1474" w:type="dxa"/>
            <w:tcBorders>
              <w:top w:val="nil"/>
              <w:left w:val="nil"/>
              <w:bottom w:val="single" w:sz="4" w:space="0" w:color="auto"/>
              <w:right w:val="single" w:sz="4" w:space="0" w:color="auto"/>
            </w:tcBorders>
            <w:shd w:val="clear" w:color="auto" w:fill="auto"/>
            <w:noWrap/>
            <w:vAlign w:val="center"/>
          </w:tcPr>
          <w:p w14:paraId="225E6666"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44FA2D3D"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687537A5"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3E4B3B8"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7CF8092"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E843C13"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2019958"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26482C8"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64909438"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4CA65D4B"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2555E1CF"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AC49AB0"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36F3FA3"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DE900B2"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ECC7425"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2F194729"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19930DF3"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98AE271"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01DE79D"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64B2E5A"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D3E14FF"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1B886D4" w14:textId="77777777" w:rsidR="00494B41" w:rsidRPr="00494B41" w:rsidRDefault="00494B41" w:rsidP="00494B41">
            <w:pPr>
              <w:spacing w:before="0" w:after="0"/>
              <w:jc w:val="right"/>
              <w:rPr>
                <w:sz w:val="18"/>
                <w:szCs w:val="18"/>
              </w:rPr>
            </w:pPr>
            <w:r w:rsidRPr="00494B41">
              <w:rPr>
                <w:sz w:val="18"/>
                <w:szCs w:val="18"/>
              </w:rPr>
              <w:t>0</w:t>
            </w:r>
          </w:p>
        </w:tc>
      </w:tr>
      <w:tr w:rsidR="00494B41" w:rsidRPr="00494B41" w14:paraId="44349195"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77CBC90E"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5FED2422" w14:textId="77777777" w:rsidR="00494B41" w:rsidRPr="00494B41" w:rsidRDefault="00494B41" w:rsidP="00494B41">
            <w:pPr>
              <w:spacing w:before="0" w:after="0"/>
              <w:jc w:val="right"/>
              <w:rPr>
                <w:sz w:val="18"/>
                <w:szCs w:val="18"/>
              </w:rPr>
            </w:pPr>
            <w:r w:rsidRPr="00494B41">
              <w:rPr>
                <w:sz w:val="18"/>
                <w:szCs w:val="18"/>
              </w:rPr>
              <w:t>778.051.359</w:t>
            </w:r>
          </w:p>
        </w:tc>
        <w:tc>
          <w:tcPr>
            <w:tcW w:w="1474" w:type="dxa"/>
            <w:tcBorders>
              <w:top w:val="nil"/>
              <w:left w:val="nil"/>
              <w:bottom w:val="single" w:sz="4" w:space="0" w:color="auto"/>
              <w:right w:val="single" w:sz="4" w:space="0" w:color="auto"/>
            </w:tcBorders>
            <w:shd w:val="clear" w:color="auto" w:fill="auto"/>
            <w:noWrap/>
            <w:vAlign w:val="center"/>
          </w:tcPr>
          <w:p w14:paraId="2790048B" w14:textId="77777777" w:rsidR="00494B41" w:rsidRPr="00494B41" w:rsidRDefault="00494B41" w:rsidP="00494B41">
            <w:pPr>
              <w:spacing w:before="0" w:after="0"/>
              <w:jc w:val="right"/>
              <w:rPr>
                <w:sz w:val="18"/>
                <w:szCs w:val="18"/>
              </w:rPr>
            </w:pPr>
            <w:r w:rsidRPr="00494B41">
              <w:rPr>
                <w:sz w:val="18"/>
                <w:szCs w:val="18"/>
              </w:rPr>
              <w:t>1.043.675.712</w:t>
            </w:r>
          </w:p>
        </w:tc>
        <w:tc>
          <w:tcPr>
            <w:tcW w:w="1474" w:type="dxa"/>
            <w:tcBorders>
              <w:top w:val="nil"/>
              <w:left w:val="nil"/>
              <w:bottom w:val="single" w:sz="4" w:space="0" w:color="auto"/>
              <w:right w:val="single" w:sz="4" w:space="0" w:color="auto"/>
            </w:tcBorders>
            <w:shd w:val="clear" w:color="auto" w:fill="auto"/>
            <w:noWrap/>
            <w:vAlign w:val="center"/>
          </w:tcPr>
          <w:p w14:paraId="5B0B1A51"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3FD7CC0" w14:textId="77777777" w:rsidR="00494B41" w:rsidRPr="00494B41" w:rsidRDefault="00494B41" w:rsidP="00494B41">
            <w:pPr>
              <w:spacing w:before="0" w:after="0"/>
              <w:jc w:val="right"/>
              <w:rPr>
                <w:sz w:val="18"/>
                <w:szCs w:val="18"/>
              </w:rPr>
            </w:pPr>
            <w:r w:rsidRPr="00494B41">
              <w:rPr>
                <w:sz w:val="18"/>
                <w:szCs w:val="18"/>
              </w:rPr>
              <w:t>135.857.667</w:t>
            </w:r>
          </w:p>
        </w:tc>
        <w:tc>
          <w:tcPr>
            <w:tcW w:w="1474" w:type="dxa"/>
            <w:tcBorders>
              <w:top w:val="nil"/>
              <w:left w:val="nil"/>
              <w:bottom w:val="single" w:sz="4" w:space="0" w:color="auto"/>
              <w:right w:val="single" w:sz="4" w:space="0" w:color="auto"/>
            </w:tcBorders>
            <w:shd w:val="clear" w:color="auto" w:fill="auto"/>
            <w:noWrap/>
            <w:vAlign w:val="center"/>
          </w:tcPr>
          <w:p w14:paraId="3EA7BE19" w14:textId="77777777" w:rsidR="00494B41" w:rsidRPr="00494B41" w:rsidRDefault="00494B41" w:rsidP="00494B41">
            <w:pPr>
              <w:spacing w:before="0" w:after="0"/>
              <w:jc w:val="right"/>
              <w:rPr>
                <w:sz w:val="18"/>
                <w:szCs w:val="18"/>
              </w:rPr>
            </w:pPr>
            <w:r w:rsidRPr="00494B41">
              <w:rPr>
                <w:sz w:val="18"/>
                <w:szCs w:val="18"/>
              </w:rPr>
              <w:t>226.074.667</w:t>
            </w:r>
          </w:p>
        </w:tc>
      </w:tr>
    </w:tbl>
    <w:p w14:paraId="2FC1EC6D" w14:textId="77777777" w:rsidR="002933B1" w:rsidRDefault="002933B1" w:rsidP="002933B1">
      <w:pPr>
        <w:pStyle w:val="Artculo"/>
        <w:numPr>
          <w:ilvl w:val="0"/>
          <w:numId w:val="0"/>
        </w:numPr>
        <w:ind w:left="708"/>
        <w:rPr>
          <w:b w:val="0"/>
          <w:sz w:val="22"/>
          <w:szCs w:val="22"/>
        </w:rPr>
      </w:pPr>
      <w:r w:rsidRPr="002933B1">
        <w:rPr>
          <w:b w:val="0"/>
          <w:sz w:val="22"/>
          <w:szCs w:val="22"/>
        </w:rPr>
        <w:lastRenderedPageBreak/>
        <w:t xml:space="preserve">Tabla </w:t>
      </w:r>
      <w:r>
        <w:rPr>
          <w:b w:val="0"/>
          <w:sz w:val="22"/>
          <w:szCs w:val="22"/>
        </w:rPr>
        <w:t>3</w:t>
      </w:r>
      <w:r w:rsidRPr="002933B1">
        <w:rPr>
          <w:b w:val="0"/>
          <w:sz w:val="22"/>
          <w:szCs w:val="22"/>
        </w:rPr>
        <w:t xml:space="preserve"> Plan de inversiones del nivel de tensión </w:t>
      </w:r>
      <w:r>
        <w:rPr>
          <w:b w:val="0"/>
          <w:sz w:val="22"/>
          <w:szCs w:val="22"/>
        </w:rPr>
        <w:t>3</w:t>
      </w:r>
      <w:r w:rsidRPr="002933B1">
        <w:rPr>
          <w:b w:val="0"/>
          <w:sz w:val="22"/>
          <w:szCs w:val="22"/>
        </w:rPr>
        <w:t>, pesos de diciembre de 2017</w:t>
      </w:r>
    </w:p>
    <w:tbl>
      <w:tblPr>
        <w:tblW w:w="8783" w:type="dxa"/>
        <w:jc w:val="right"/>
        <w:tblLayout w:type="fixed"/>
        <w:tblCellMar>
          <w:left w:w="70" w:type="dxa"/>
          <w:right w:w="70" w:type="dxa"/>
        </w:tblCellMar>
        <w:tblLook w:val="04A0" w:firstRow="1" w:lastRow="0" w:firstColumn="1" w:lastColumn="0" w:noHBand="0" w:noVBand="1"/>
      </w:tblPr>
      <w:tblGrid>
        <w:gridCol w:w="1413"/>
        <w:gridCol w:w="1474"/>
        <w:gridCol w:w="1474"/>
        <w:gridCol w:w="1474"/>
        <w:gridCol w:w="1474"/>
        <w:gridCol w:w="1474"/>
      </w:tblGrid>
      <w:tr w:rsidR="002933B1" w:rsidRPr="007E09A4" w14:paraId="1CAE0ED6" w14:textId="77777777" w:rsidTr="002933B1">
        <w:trPr>
          <w:trHeight w:val="480"/>
          <w:tblHeader/>
          <w:jc w:val="right"/>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7EFA2" w14:textId="77777777" w:rsidR="002933B1" w:rsidRPr="007E09A4" w:rsidRDefault="002933B1" w:rsidP="002933B1">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08D0F21F"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2E541B0"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015E025"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244B1CD"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4065CE74"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,5</w:t>
            </w:r>
          </w:p>
        </w:tc>
      </w:tr>
      <w:tr w:rsidR="00494B41" w:rsidRPr="0043040A" w14:paraId="39F8271E"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5C7BE149"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77E9A8B"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6EFB84FC" w14:textId="77777777" w:rsidR="00494B41" w:rsidRPr="00494B41" w:rsidRDefault="00494B41" w:rsidP="00494B41">
            <w:pPr>
              <w:spacing w:before="0" w:after="0"/>
              <w:jc w:val="right"/>
              <w:rPr>
                <w:sz w:val="18"/>
                <w:szCs w:val="18"/>
              </w:rPr>
            </w:pPr>
            <w:r w:rsidRPr="00494B41">
              <w:rPr>
                <w:sz w:val="18"/>
                <w:szCs w:val="18"/>
              </w:rPr>
              <w:t>2.185.129.000</w:t>
            </w:r>
          </w:p>
        </w:tc>
        <w:tc>
          <w:tcPr>
            <w:tcW w:w="1474" w:type="dxa"/>
            <w:tcBorders>
              <w:top w:val="nil"/>
              <w:left w:val="nil"/>
              <w:bottom w:val="single" w:sz="4" w:space="0" w:color="auto"/>
              <w:right w:val="single" w:sz="4" w:space="0" w:color="auto"/>
            </w:tcBorders>
            <w:shd w:val="clear" w:color="auto" w:fill="auto"/>
            <w:noWrap/>
            <w:vAlign w:val="center"/>
            <w:hideMark/>
          </w:tcPr>
          <w:p w14:paraId="4229A41E"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5289F461"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hideMark/>
          </w:tcPr>
          <w:p w14:paraId="11711325" w14:textId="77777777" w:rsidR="00494B41" w:rsidRPr="00494B41" w:rsidRDefault="00494B41" w:rsidP="00494B41">
            <w:pPr>
              <w:spacing w:before="0" w:after="0"/>
              <w:jc w:val="right"/>
              <w:rPr>
                <w:sz w:val="18"/>
                <w:szCs w:val="18"/>
              </w:rPr>
            </w:pPr>
            <w:r w:rsidRPr="00494B41">
              <w:rPr>
                <w:sz w:val="18"/>
                <w:szCs w:val="18"/>
              </w:rPr>
              <w:t>0</w:t>
            </w:r>
          </w:p>
        </w:tc>
      </w:tr>
      <w:tr w:rsidR="00494B41" w:rsidRPr="0043040A" w14:paraId="5AA272D6"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000177FA"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53646FA3"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F1B946F"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01A5451"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D219A24"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D233483" w14:textId="77777777" w:rsidR="00494B41" w:rsidRPr="00494B41" w:rsidRDefault="00494B41" w:rsidP="00494B41">
            <w:pPr>
              <w:spacing w:before="0" w:after="0"/>
              <w:jc w:val="right"/>
              <w:rPr>
                <w:sz w:val="18"/>
                <w:szCs w:val="18"/>
              </w:rPr>
            </w:pPr>
            <w:r w:rsidRPr="00494B41">
              <w:rPr>
                <w:sz w:val="18"/>
                <w:szCs w:val="18"/>
              </w:rPr>
              <w:t>0</w:t>
            </w:r>
          </w:p>
        </w:tc>
      </w:tr>
      <w:tr w:rsidR="00494B41" w:rsidRPr="0043040A" w14:paraId="2A90E684"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251C4F24"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4A14D1EC" w14:textId="77777777" w:rsidR="00494B41" w:rsidRPr="00494B41" w:rsidRDefault="00494B41" w:rsidP="00494B41">
            <w:pPr>
              <w:spacing w:before="0" w:after="0"/>
              <w:jc w:val="right"/>
              <w:rPr>
                <w:sz w:val="18"/>
                <w:szCs w:val="18"/>
              </w:rPr>
            </w:pPr>
            <w:r w:rsidRPr="00494B41">
              <w:rPr>
                <w:sz w:val="18"/>
                <w:szCs w:val="18"/>
              </w:rPr>
              <w:t>1.273.699.499</w:t>
            </w:r>
          </w:p>
        </w:tc>
        <w:tc>
          <w:tcPr>
            <w:tcW w:w="1474" w:type="dxa"/>
            <w:tcBorders>
              <w:top w:val="nil"/>
              <w:left w:val="nil"/>
              <w:bottom w:val="single" w:sz="4" w:space="0" w:color="auto"/>
              <w:right w:val="single" w:sz="4" w:space="0" w:color="auto"/>
            </w:tcBorders>
            <w:shd w:val="clear" w:color="auto" w:fill="auto"/>
            <w:noWrap/>
            <w:vAlign w:val="center"/>
          </w:tcPr>
          <w:p w14:paraId="1BC62D45" w14:textId="77777777" w:rsidR="00494B41" w:rsidRPr="00494B41" w:rsidRDefault="00494B41" w:rsidP="00494B41">
            <w:pPr>
              <w:spacing w:before="0" w:after="0"/>
              <w:jc w:val="right"/>
              <w:rPr>
                <w:sz w:val="18"/>
                <w:szCs w:val="18"/>
              </w:rPr>
            </w:pPr>
            <w:r w:rsidRPr="00494B41">
              <w:rPr>
                <w:sz w:val="18"/>
                <w:szCs w:val="18"/>
              </w:rPr>
              <w:t>43.004.145</w:t>
            </w:r>
          </w:p>
        </w:tc>
        <w:tc>
          <w:tcPr>
            <w:tcW w:w="1474" w:type="dxa"/>
            <w:tcBorders>
              <w:top w:val="nil"/>
              <w:left w:val="nil"/>
              <w:bottom w:val="single" w:sz="4" w:space="0" w:color="auto"/>
              <w:right w:val="single" w:sz="4" w:space="0" w:color="auto"/>
            </w:tcBorders>
            <w:shd w:val="clear" w:color="auto" w:fill="auto"/>
            <w:noWrap/>
            <w:vAlign w:val="center"/>
          </w:tcPr>
          <w:p w14:paraId="1CC35E13" w14:textId="77777777" w:rsidR="00494B41" w:rsidRPr="00494B41" w:rsidRDefault="00494B41" w:rsidP="00494B41">
            <w:pPr>
              <w:spacing w:before="0" w:after="0"/>
              <w:jc w:val="right"/>
              <w:rPr>
                <w:sz w:val="18"/>
                <w:szCs w:val="18"/>
              </w:rPr>
            </w:pPr>
            <w:r w:rsidRPr="00494B41">
              <w:rPr>
                <w:sz w:val="18"/>
                <w:szCs w:val="18"/>
              </w:rPr>
              <w:t>665.664.768</w:t>
            </w:r>
          </w:p>
        </w:tc>
        <w:tc>
          <w:tcPr>
            <w:tcW w:w="1474" w:type="dxa"/>
            <w:tcBorders>
              <w:top w:val="nil"/>
              <w:left w:val="nil"/>
              <w:bottom w:val="single" w:sz="4" w:space="0" w:color="auto"/>
              <w:right w:val="single" w:sz="4" w:space="0" w:color="auto"/>
            </w:tcBorders>
            <w:shd w:val="clear" w:color="auto" w:fill="auto"/>
            <w:noWrap/>
            <w:vAlign w:val="center"/>
          </w:tcPr>
          <w:p w14:paraId="0DFCC69D" w14:textId="77777777" w:rsidR="00494B41" w:rsidRPr="00494B41" w:rsidRDefault="00494B41" w:rsidP="00494B41">
            <w:pPr>
              <w:spacing w:before="0" w:after="0"/>
              <w:jc w:val="right"/>
              <w:rPr>
                <w:sz w:val="18"/>
                <w:szCs w:val="18"/>
              </w:rPr>
            </w:pPr>
            <w:r w:rsidRPr="00494B41">
              <w:rPr>
                <w:sz w:val="18"/>
                <w:szCs w:val="18"/>
              </w:rPr>
              <w:t>2.924.709.000</w:t>
            </w:r>
          </w:p>
        </w:tc>
        <w:tc>
          <w:tcPr>
            <w:tcW w:w="1474" w:type="dxa"/>
            <w:tcBorders>
              <w:top w:val="nil"/>
              <w:left w:val="nil"/>
              <w:bottom w:val="single" w:sz="4" w:space="0" w:color="auto"/>
              <w:right w:val="single" w:sz="4" w:space="0" w:color="auto"/>
            </w:tcBorders>
            <w:shd w:val="clear" w:color="auto" w:fill="auto"/>
            <w:noWrap/>
            <w:vAlign w:val="center"/>
          </w:tcPr>
          <w:p w14:paraId="355C21FE" w14:textId="77777777" w:rsidR="00494B41" w:rsidRPr="00494B41" w:rsidRDefault="00494B41" w:rsidP="00494B41">
            <w:pPr>
              <w:spacing w:before="0" w:after="0"/>
              <w:jc w:val="right"/>
              <w:rPr>
                <w:sz w:val="18"/>
                <w:szCs w:val="18"/>
              </w:rPr>
            </w:pPr>
            <w:r w:rsidRPr="00494B41">
              <w:rPr>
                <w:sz w:val="18"/>
                <w:szCs w:val="18"/>
              </w:rPr>
              <w:t>2.914.616.000</w:t>
            </w:r>
          </w:p>
        </w:tc>
      </w:tr>
      <w:tr w:rsidR="00494B41" w:rsidRPr="0043040A" w14:paraId="6A27AE66"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13E8163F"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49AA1C85"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E14E58C"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2B6ED6C"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EBF1F99"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52C28D7" w14:textId="77777777" w:rsidR="00494B41" w:rsidRPr="00494B41" w:rsidRDefault="00494B41" w:rsidP="00494B41">
            <w:pPr>
              <w:spacing w:before="0" w:after="0"/>
              <w:jc w:val="right"/>
              <w:rPr>
                <w:sz w:val="18"/>
                <w:szCs w:val="18"/>
              </w:rPr>
            </w:pPr>
            <w:r w:rsidRPr="00494B41">
              <w:rPr>
                <w:sz w:val="18"/>
                <w:szCs w:val="18"/>
              </w:rPr>
              <w:t>0</w:t>
            </w:r>
          </w:p>
        </w:tc>
      </w:tr>
      <w:tr w:rsidR="00494B41" w:rsidRPr="0043040A" w14:paraId="0E68E445"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0F5A6749"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A390209"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80FD4AF"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25F0701"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029C8B82" w14:textId="77777777" w:rsidR="00494B41" w:rsidRPr="00494B41" w:rsidRDefault="00494B41" w:rsidP="00494B41">
            <w:pPr>
              <w:spacing w:before="0" w:after="0"/>
              <w:jc w:val="right"/>
              <w:rPr>
                <w:sz w:val="18"/>
                <w:szCs w:val="18"/>
              </w:rPr>
            </w:pPr>
            <w:r w:rsidRPr="00494B41">
              <w:rPr>
                <w:sz w:val="18"/>
                <w:szCs w:val="18"/>
              </w:rPr>
              <w:t>154.647.000</w:t>
            </w:r>
          </w:p>
        </w:tc>
        <w:tc>
          <w:tcPr>
            <w:tcW w:w="1474" w:type="dxa"/>
            <w:tcBorders>
              <w:top w:val="nil"/>
              <w:left w:val="nil"/>
              <w:bottom w:val="single" w:sz="4" w:space="0" w:color="auto"/>
              <w:right w:val="single" w:sz="4" w:space="0" w:color="auto"/>
            </w:tcBorders>
            <w:shd w:val="clear" w:color="auto" w:fill="auto"/>
            <w:noWrap/>
            <w:vAlign w:val="center"/>
          </w:tcPr>
          <w:p w14:paraId="4AA09B0B" w14:textId="77777777" w:rsidR="00494B41" w:rsidRPr="00494B41" w:rsidRDefault="00494B41" w:rsidP="00494B41">
            <w:pPr>
              <w:spacing w:before="0" w:after="0"/>
              <w:jc w:val="right"/>
              <w:rPr>
                <w:sz w:val="18"/>
                <w:szCs w:val="18"/>
              </w:rPr>
            </w:pPr>
            <w:r w:rsidRPr="00494B41">
              <w:rPr>
                <w:sz w:val="18"/>
                <w:szCs w:val="18"/>
              </w:rPr>
              <w:t>119.199.000</w:t>
            </w:r>
          </w:p>
        </w:tc>
      </w:tr>
      <w:tr w:rsidR="00494B41" w:rsidRPr="0043040A" w14:paraId="06C2CE8A"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6909EB6D"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C99B5ED"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FE50C34"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1120F31"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CDD9EA5" w14:textId="77777777" w:rsidR="00494B41" w:rsidRPr="00494B41" w:rsidRDefault="00494B41" w:rsidP="00494B41">
            <w:pPr>
              <w:spacing w:before="0" w:after="0"/>
              <w:jc w:val="right"/>
              <w:rPr>
                <w:sz w:val="18"/>
                <w:szCs w:val="18"/>
              </w:rPr>
            </w:pPr>
            <w:r w:rsidRPr="00494B41">
              <w:rPr>
                <w:sz w:val="18"/>
                <w:szCs w:val="18"/>
              </w:rPr>
              <w:t>634.819.000</w:t>
            </w:r>
          </w:p>
        </w:tc>
        <w:tc>
          <w:tcPr>
            <w:tcW w:w="1474" w:type="dxa"/>
            <w:tcBorders>
              <w:top w:val="nil"/>
              <w:left w:val="nil"/>
              <w:bottom w:val="single" w:sz="4" w:space="0" w:color="auto"/>
              <w:right w:val="single" w:sz="4" w:space="0" w:color="auto"/>
            </w:tcBorders>
            <w:shd w:val="clear" w:color="auto" w:fill="auto"/>
            <w:noWrap/>
            <w:vAlign w:val="center"/>
          </w:tcPr>
          <w:p w14:paraId="0D1C0399" w14:textId="77777777" w:rsidR="00494B41" w:rsidRPr="00494B41" w:rsidRDefault="00494B41" w:rsidP="00494B41">
            <w:pPr>
              <w:spacing w:before="0" w:after="0"/>
              <w:jc w:val="right"/>
              <w:rPr>
                <w:sz w:val="18"/>
                <w:szCs w:val="18"/>
              </w:rPr>
            </w:pPr>
            <w:r w:rsidRPr="00494B41">
              <w:rPr>
                <w:sz w:val="18"/>
                <w:szCs w:val="18"/>
              </w:rPr>
              <w:t>765.274.000</w:t>
            </w:r>
          </w:p>
        </w:tc>
      </w:tr>
      <w:tr w:rsidR="00494B41" w:rsidRPr="0043040A" w14:paraId="6A3563EF"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7A7A4252"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F4F3ADA" w14:textId="77777777" w:rsidR="00494B41" w:rsidRPr="00494B41" w:rsidRDefault="00494B41" w:rsidP="00494B41">
            <w:pPr>
              <w:spacing w:before="0" w:after="0"/>
              <w:jc w:val="right"/>
              <w:rPr>
                <w:sz w:val="18"/>
                <w:szCs w:val="18"/>
              </w:rPr>
            </w:pPr>
            <w:r w:rsidRPr="00494B41">
              <w:rPr>
                <w:sz w:val="18"/>
                <w:szCs w:val="18"/>
              </w:rPr>
              <w:t>815.925.600</w:t>
            </w:r>
          </w:p>
        </w:tc>
        <w:tc>
          <w:tcPr>
            <w:tcW w:w="1474" w:type="dxa"/>
            <w:tcBorders>
              <w:top w:val="nil"/>
              <w:left w:val="nil"/>
              <w:bottom w:val="single" w:sz="4" w:space="0" w:color="auto"/>
              <w:right w:val="single" w:sz="4" w:space="0" w:color="auto"/>
            </w:tcBorders>
            <w:shd w:val="clear" w:color="auto" w:fill="auto"/>
            <w:noWrap/>
            <w:vAlign w:val="center"/>
          </w:tcPr>
          <w:p w14:paraId="5D9188CC" w14:textId="77777777" w:rsidR="00494B41" w:rsidRPr="00494B41" w:rsidRDefault="00494B41" w:rsidP="00494B41">
            <w:pPr>
              <w:spacing w:before="0" w:after="0"/>
              <w:jc w:val="right"/>
              <w:rPr>
                <w:sz w:val="18"/>
                <w:szCs w:val="18"/>
              </w:rPr>
            </w:pPr>
            <w:r w:rsidRPr="00494B41">
              <w:rPr>
                <w:sz w:val="18"/>
                <w:szCs w:val="18"/>
              </w:rPr>
              <w:t>115.965.000</w:t>
            </w:r>
          </w:p>
        </w:tc>
        <w:tc>
          <w:tcPr>
            <w:tcW w:w="1474" w:type="dxa"/>
            <w:tcBorders>
              <w:top w:val="nil"/>
              <w:left w:val="nil"/>
              <w:bottom w:val="single" w:sz="4" w:space="0" w:color="auto"/>
              <w:right w:val="single" w:sz="4" w:space="0" w:color="auto"/>
            </w:tcBorders>
            <w:shd w:val="clear" w:color="auto" w:fill="auto"/>
            <w:noWrap/>
            <w:vAlign w:val="center"/>
          </w:tcPr>
          <w:p w14:paraId="3339DE84" w14:textId="77777777" w:rsidR="00494B41" w:rsidRPr="00494B41" w:rsidRDefault="00494B41" w:rsidP="00494B41">
            <w:pPr>
              <w:spacing w:before="0" w:after="0"/>
              <w:jc w:val="right"/>
              <w:rPr>
                <w:sz w:val="18"/>
                <w:szCs w:val="18"/>
              </w:rPr>
            </w:pPr>
            <w:r w:rsidRPr="00494B41">
              <w:rPr>
                <w:sz w:val="18"/>
                <w:szCs w:val="18"/>
              </w:rPr>
              <w:t>94.173.000</w:t>
            </w:r>
          </w:p>
        </w:tc>
        <w:tc>
          <w:tcPr>
            <w:tcW w:w="1474" w:type="dxa"/>
            <w:tcBorders>
              <w:top w:val="nil"/>
              <w:left w:val="nil"/>
              <w:bottom w:val="single" w:sz="4" w:space="0" w:color="auto"/>
              <w:right w:val="single" w:sz="4" w:space="0" w:color="auto"/>
            </w:tcBorders>
            <w:shd w:val="clear" w:color="auto" w:fill="auto"/>
            <w:noWrap/>
            <w:vAlign w:val="center"/>
          </w:tcPr>
          <w:p w14:paraId="4E1A30B7" w14:textId="77777777" w:rsidR="00494B41" w:rsidRPr="00494B41" w:rsidRDefault="00494B41" w:rsidP="00494B41">
            <w:pPr>
              <w:spacing w:before="0" w:after="0"/>
              <w:jc w:val="right"/>
              <w:rPr>
                <w:sz w:val="18"/>
                <w:szCs w:val="18"/>
              </w:rPr>
            </w:pPr>
            <w:r w:rsidRPr="00494B41">
              <w:rPr>
                <w:sz w:val="18"/>
                <w:szCs w:val="18"/>
              </w:rPr>
              <w:t>3.790.301.120</w:t>
            </w:r>
          </w:p>
        </w:tc>
        <w:tc>
          <w:tcPr>
            <w:tcW w:w="1474" w:type="dxa"/>
            <w:tcBorders>
              <w:top w:val="nil"/>
              <w:left w:val="nil"/>
              <w:bottom w:val="single" w:sz="4" w:space="0" w:color="auto"/>
              <w:right w:val="single" w:sz="4" w:space="0" w:color="auto"/>
            </w:tcBorders>
            <w:shd w:val="clear" w:color="auto" w:fill="auto"/>
            <w:noWrap/>
            <w:vAlign w:val="center"/>
          </w:tcPr>
          <w:p w14:paraId="5DCBB040" w14:textId="77777777" w:rsidR="00494B41" w:rsidRPr="00494B41" w:rsidRDefault="00494B41" w:rsidP="00494B41">
            <w:pPr>
              <w:spacing w:before="0" w:after="0"/>
              <w:jc w:val="right"/>
              <w:rPr>
                <w:sz w:val="18"/>
                <w:szCs w:val="18"/>
              </w:rPr>
            </w:pPr>
            <w:r w:rsidRPr="00494B41">
              <w:rPr>
                <w:sz w:val="18"/>
                <w:szCs w:val="18"/>
              </w:rPr>
              <w:t>2.040.252.532</w:t>
            </w:r>
          </w:p>
        </w:tc>
      </w:tr>
      <w:tr w:rsidR="00494B41" w:rsidRPr="0043040A" w14:paraId="681AE871"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1D47BC1E"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4087AC7" w14:textId="77777777" w:rsidR="00494B41" w:rsidRPr="00494B41" w:rsidRDefault="00494B41" w:rsidP="00494B41">
            <w:pPr>
              <w:spacing w:before="0" w:after="0"/>
              <w:jc w:val="right"/>
              <w:rPr>
                <w:sz w:val="18"/>
                <w:szCs w:val="18"/>
              </w:rPr>
            </w:pPr>
            <w:r w:rsidRPr="00494B41">
              <w:rPr>
                <w:sz w:val="18"/>
                <w:szCs w:val="18"/>
              </w:rPr>
              <w:t>179.738.990</w:t>
            </w:r>
          </w:p>
        </w:tc>
        <w:tc>
          <w:tcPr>
            <w:tcW w:w="1474" w:type="dxa"/>
            <w:tcBorders>
              <w:top w:val="nil"/>
              <w:left w:val="nil"/>
              <w:bottom w:val="single" w:sz="4" w:space="0" w:color="auto"/>
              <w:right w:val="single" w:sz="4" w:space="0" w:color="auto"/>
            </w:tcBorders>
            <w:shd w:val="clear" w:color="auto" w:fill="auto"/>
            <w:noWrap/>
            <w:vAlign w:val="center"/>
          </w:tcPr>
          <w:p w14:paraId="345B00C1" w14:textId="77777777" w:rsidR="00494B41" w:rsidRPr="00494B41" w:rsidRDefault="00494B41" w:rsidP="00494B41">
            <w:pPr>
              <w:spacing w:before="0" w:after="0"/>
              <w:jc w:val="right"/>
              <w:rPr>
                <w:sz w:val="18"/>
                <w:szCs w:val="18"/>
              </w:rPr>
            </w:pPr>
            <w:r w:rsidRPr="00494B41">
              <w:rPr>
                <w:sz w:val="18"/>
                <w:szCs w:val="18"/>
              </w:rPr>
              <w:t>50.350.320</w:t>
            </w:r>
          </w:p>
        </w:tc>
        <w:tc>
          <w:tcPr>
            <w:tcW w:w="1474" w:type="dxa"/>
            <w:tcBorders>
              <w:top w:val="nil"/>
              <w:left w:val="nil"/>
              <w:bottom w:val="single" w:sz="4" w:space="0" w:color="auto"/>
              <w:right w:val="single" w:sz="4" w:space="0" w:color="auto"/>
            </w:tcBorders>
            <w:shd w:val="clear" w:color="auto" w:fill="auto"/>
            <w:noWrap/>
            <w:vAlign w:val="center"/>
          </w:tcPr>
          <w:p w14:paraId="2238CB80" w14:textId="77777777" w:rsidR="00494B41" w:rsidRPr="00494B41" w:rsidRDefault="00494B41" w:rsidP="00494B41">
            <w:pPr>
              <w:spacing w:before="0" w:after="0"/>
              <w:jc w:val="right"/>
              <w:rPr>
                <w:sz w:val="18"/>
                <w:szCs w:val="18"/>
              </w:rPr>
            </w:pPr>
            <w:r w:rsidRPr="00494B41">
              <w:rPr>
                <w:sz w:val="18"/>
                <w:szCs w:val="18"/>
              </w:rPr>
              <w:t>64.380.000</w:t>
            </w:r>
          </w:p>
        </w:tc>
        <w:tc>
          <w:tcPr>
            <w:tcW w:w="1474" w:type="dxa"/>
            <w:tcBorders>
              <w:top w:val="nil"/>
              <w:left w:val="nil"/>
              <w:bottom w:val="single" w:sz="4" w:space="0" w:color="auto"/>
              <w:right w:val="single" w:sz="4" w:space="0" w:color="auto"/>
            </w:tcBorders>
            <w:shd w:val="clear" w:color="auto" w:fill="auto"/>
            <w:noWrap/>
            <w:vAlign w:val="center"/>
          </w:tcPr>
          <w:p w14:paraId="77E3A9BD" w14:textId="77777777" w:rsidR="00494B41" w:rsidRPr="00494B41" w:rsidRDefault="00494B41" w:rsidP="00494B41">
            <w:pPr>
              <w:spacing w:before="0" w:after="0"/>
              <w:jc w:val="right"/>
              <w:rPr>
                <w:sz w:val="18"/>
                <w:szCs w:val="18"/>
              </w:rPr>
            </w:pPr>
            <w:r w:rsidRPr="00494B41">
              <w:rPr>
                <w:sz w:val="18"/>
                <w:szCs w:val="18"/>
              </w:rPr>
              <w:t>114.256.390</w:t>
            </w:r>
          </w:p>
        </w:tc>
        <w:tc>
          <w:tcPr>
            <w:tcW w:w="1474" w:type="dxa"/>
            <w:tcBorders>
              <w:top w:val="nil"/>
              <w:left w:val="nil"/>
              <w:bottom w:val="single" w:sz="4" w:space="0" w:color="auto"/>
              <w:right w:val="single" w:sz="4" w:space="0" w:color="auto"/>
            </w:tcBorders>
            <w:shd w:val="clear" w:color="auto" w:fill="auto"/>
            <w:noWrap/>
            <w:vAlign w:val="center"/>
          </w:tcPr>
          <w:p w14:paraId="73F3B95C" w14:textId="77777777" w:rsidR="00494B41" w:rsidRPr="00494B41" w:rsidRDefault="00494B41" w:rsidP="00494B41">
            <w:pPr>
              <w:spacing w:before="0" w:after="0"/>
              <w:jc w:val="right"/>
              <w:rPr>
                <w:sz w:val="18"/>
                <w:szCs w:val="18"/>
              </w:rPr>
            </w:pPr>
            <w:r w:rsidRPr="00494B41">
              <w:rPr>
                <w:sz w:val="18"/>
                <w:szCs w:val="18"/>
              </w:rPr>
              <w:t>93.757.790</w:t>
            </w:r>
          </w:p>
        </w:tc>
      </w:tr>
      <w:tr w:rsidR="00494B41" w:rsidRPr="0043040A" w14:paraId="4380A1E9"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6B543826"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8FB08BC" w14:textId="77777777" w:rsidR="00494B41" w:rsidRPr="00494B41" w:rsidRDefault="00494B41" w:rsidP="00494B41">
            <w:pPr>
              <w:spacing w:before="0" w:after="0"/>
              <w:jc w:val="right"/>
              <w:rPr>
                <w:sz w:val="18"/>
                <w:szCs w:val="18"/>
              </w:rPr>
            </w:pPr>
            <w:r w:rsidRPr="00494B41">
              <w:rPr>
                <w:sz w:val="18"/>
                <w:szCs w:val="18"/>
              </w:rPr>
              <w:t>52.221.000</w:t>
            </w:r>
          </w:p>
        </w:tc>
        <w:tc>
          <w:tcPr>
            <w:tcW w:w="1474" w:type="dxa"/>
            <w:tcBorders>
              <w:top w:val="nil"/>
              <w:left w:val="nil"/>
              <w:bottom w:val="single" w:sz="4" w:space="0" w:color="auto"/>
              <w:right w:val="single" w:sz="4" w:space="0" w:color="auto"/>
            </w:tcBorders>
            <w:shd w:val="clear" w:color="auto" w:fill="auto"/>
            <w:noWrap/>
            <w:vAlign w:val="center"/>
          </w:tcPr>
          <w:p w14:paraId="718AE2BE" w14:textId="77777777" w:rsidR="00494B41" w:rsidRPr="00494B41" w:rsidRDefault="00494B41" w:rsidP="00494B41">
            <w:pPr>
              <w:spacing w:before="0" w:after="0"/>
              <w:jc w:val="right"/>
              <w:rPr>
                <w:sz w:val="18"/>
                <w:szCs w:val="18"/>
              </w:rPr>
            </w:pPr>
            <w:r w:rsidRPr="00494B41">
              <w:rPr>
                <w:sz w:val="18"/>
                <w:szCs w:val="18"/>
              </w:rPr>
              <w:t>23.387.000</w:t>
            </w:r>
          </w:p>
        </w:tc>
        <w:tc>
          <w:tcPr>
            <w:tcW w:w="1474" w:type="dxa"/>
            <w:tcBorders>
              <w:top w:val="nil"/>
              <w:left w:val="nil"/>
              <w:bottom w:val="single" w:sz="4" w:space="0" w:color="auto"/>
              <w:right w:val="single" w:sz="4" w:space="0" w:color="auto"/>
            </w:tcBorders>
            <w:shd w:val="clear" w:color="auto" w:fill="auto"/>
            <w:noWrap/>
            <w:vAlign w:val="center"/>
          </w:tcPr>
          <w:p w14:paraId="78299A0B" w14:textId="77777777" w:rsidR="00494B41" w:rsidRPr="00494B41" w:rsidRDefault="00494B41" w:rsidP="00494B41">
            <w:pPr>
              <w:spacing w:before="0" w:after="0"/>
              <w:jc w:val="right"/>
              <w:rPr>
                <w:sz w:val="18"/>
                <w:szCs w:val="18"/>
              </w:rPr>
            </w:pPr>
            <w:r w:rsidRPr="00494B41">
              <w:rPr>
                <w:sz w:val="18"/>
                <w:szCs w:val="18"/>
              </w:rPr>
              <w:t>20.001.000</w:t>
            </w:r>
          </w:p>
        </w:tc>
        <w:tc>
          <w:tcPr>
            <w:tcW w:w="1474" w:type="dxa"/>
            <w:tcBorders>
              <w:top w:val="nil"/>
              <w:left w:val="nil"/>
              <w:bottom w:val="single" w:sz="4" w:space="0" w:color="auto"/>
              <w:right w:val="single" w:sz="4" w:space="0" w:color="auto"/>
            </w:tcBorders>
            <w:shd w:val="clear" w:color="auto" w:fill="auto"/>
            <w:noWrap/>
            <w:vAlign w:val="center"/>
          </w:tcPr>
          <w:p w14:paraId="6F077E1F" w14:textId="77777777" w:rsidR="00494B41" w:rsidRPr="00494B41" w:rsidRDefault="00494B41" w:rsidP="00494B41">
            <w:pPr>
              <w:spacing w:before="0" w:after="0"/>
              <w:jc w:val="right"/>
              <w:rPr>
                <w:sz w:val="18"/>
                <w:szCs w:val="18"/>
              </w:rPr>
            </w:pPr>
            <w:r w:rsidRPr="00494B41">
              <w:rPr>
                <w:sz w:val="18"/>
                <w:szCs w:val="18"/>
              </w:rPr>
              <w:t>181.638.000</w:t>
            </w:r>
          </w:p>
        </w:tc>
        <w:tc>
          <w:tcPr>
            <w:tcW w:w="1474" w:type="dxa"/>
            <w:tcBorders>
              <w:top w:val="nil"/>
              <w:left w:val="nil"/>
              <w:bottom w:val="single" w:sz="4" w:space="0" w:color="auto"/>
              <w:right w:val="single" w:sz="4" w:space="0" w:color="auto"/>
            </w:tcBorders>
            <w:shd w:val="clear" w:color="auto" w:fill="auto"/>
            <w:noWrap/>
            <w:vAlign w:val="center"/>
          </w:tcPr>
          <w:p w14:paraId="0D7E5B48" w14:textId="77777777" w:rsidR="00494B41" w:rsidRPr="00494B41" w:rsidRDefault="00494B41" w:rsidP="00494B41">
            <w:pPr>
              <w:spacing w:before="0" w:after="0"/>
              <w:jc w:val="right"/>
              <w:rPr>
                <w:sz w:val="18"/>
                <w:szCs w:val="18"/>
              </w:rPr>
            </w:pPr>
            <w:r w:rsidRPr="00494B41">
              <w:rPr>
                <w:sz w:val="18"/>
                <w:szCs w:val="18"/>
              </w:rPr>
              <w:t>90.770.619</w:t>
            </w:r>
          </w:p>
        </w:tc>
      </w:tr>
      <w:tr w:rsidR="00494B41" w:rsidRPr="0043040A" w14:paraId="17458ADC"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38D04FCC"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2A920B05" w14:textId="77777777" w:rsidR="00494B41" w:rsidRPr="00494B41" w:rsidRDefault="00494B41" w:rsidP="00494B41">
            <w:pPr>
              <w:spacing w:before="0" w:after="0"/>
              <w:jc w:val="right"/>
              <w:rPr>
                <w:sz w:val="18"/>
                <w:szCs w:val="18"/>
              </w:rPr>
            </w:pPr>
            <w:r w:rsidRPr="00494B41">
              <w:rPr>
                <w:sz w:val="18"/>
                <w:szCs w:val="18"/>
              </w:rPr>
              <w:t>778.051.359</w:t>
            </w:r>
          </w:p>
        </w:tc>
        <w:tc>
          <w:tcPr>
            <w:tcW w:w="1474" w:type="dxa"/>
            <w:tcBorders>
              <w:top w:val="nil"/>
              <w:left w:val="nil"/>
              <w:bottom w:val="single" w:sz="4" w:space="0" w:color="auto"/>
              <w:right w:val="single" w:sz="4" w:space="0" w:color="auto"/>
            </w:tcBorders>
            <w:shd w:val="clear" w:color="auto" w:fill="auto"/>
            <w:noWrap/>
            <w:vAlign w:val="center"/>
          </w:tcPr>
          <w:p w14:paraId="3FBD845A" w14:textId="77777777" w:rsidR="00494B41" w:rsidRPr="00494B41" w:rsidRDefault="00494B41" w:rsidP="00494B41">
            <w:pPr>
              <w:spacing w:before="0" w:after="0"/>
              <w:jc w:val="right"/>
              <w:rPr>
                <w:sz w:val="18"/>
                <w:szCs w:val="18"/>
              </w:rPr>
            </w:pPr>
            <w:r w:rsidRPr="00494B41">
              <w:rPr>
                <w:sz w:val="18"/>
                <w:szCs w:val="18"/>
              </w:rPr>
              <w:t>1.043.675.712</w:t>
            </w:r>
          </w:p>
        </w:tc>
        <w:tc>
          <w:tcPr>
            <w:tcW w:w="1474" w:type="dxa"/>
            <w:tcBorders>
              <w:top w:val="nil"/>
              <w:left w:val="nil"/>
              <w:bottom w:val="single" w:sz="4" w:space="0" w:color="auto"/>
              <w:right w:val="single" w:sz="4" w:space="0" w:color="auto"/>
            </w:tcBorders>
            <w:shd w:val="clear" w:color="auto" w:fill="auto"/>
            <w:noWrap/>
            <w:vAlign w:val="center"/>
          </w:tcPr>
          <w:p w14:paraId="648B39C0"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C335869" w14:textId="77777777" w:rsidR="00494B41" w:rsidRPr="00494B41" w:rsidRDefault="00494B41" w:rsidP="00494B41">
            <w:pPr>
              <w:spacing w:before="0" w:after="0"/>
              <w:jc w:val="right"/>
              <w:rPr>
                <w:sz w:val="18"/>
                <w:szCs w:val="18"/>
              </w:rPr>
            </w:pPr>
            <w:r w:rsidRPr="00494B41">
              <w:rPr>
                <w:sz w:val="18"/>
                <w:szCs w:val="18"/>
              </w:rPr>
              <w:t>135.857.667</w:t>
            </w:r>
          </w:p>
        </w:tc>
        <w:tc>
          <w:tcPr>
            <w:tcW w:w="1474" w:type="dxa"/>
            <w:tcBorders>
              <w:top w:val="nil"/>
              <w:left w:val="nil"/>
              <w:bottom w:val="single" w:sz="4" w:space="0" w:color="auto"/>
              <w:right w:val="single" w:sz="4" w:space="0" w:color="auto"/>
            </w:tcBorders>
            <w:shd w:val="clear" w:color="auto" w:fill="auto"/>
            <w:noWrap/>
            <w:vAlign w:val="center"/>
          </w:tcPr>
          <w:p w14:paraId="68D38FEE" w14:textId="77777777" w:rsidR="00494B41" w:rsidRPr="00494B41" w:rsidRDefault="00494B41" w:rsidP="00494B41">
            <w:pPr>
              <w:spacing w:before="0" w:after="0"/>
              <w:jc w:val="right"/>
              <w:rPr>
                <w:sz w:val="18"/>
                <w:szCs w:val="18"/>
              </w:rPr>
            </w:pPr>
            <w:r w:rsidRPr="00494B41">
              <w:rPr>
                <w:sz w:val="18"/>
                <w:szCs w:val="18"/>
              </w:rPr>
              <w:t>226.074.667</w:t>
            </w:r>
          </w:p>
        </w:tc>
      </w:tr>
    </w:tbl>
    <w:p w14:paraId="61ECD4E4" w14:textId="77777777" w:rsidR="002933B1" w:rsidRDefault="002933B1" w:rsidP="002933B1">
      <w:pPr>
        <w:pStyle w:val="Artculo"/>
        <w:numPr>
          <w:ilvl w:val="0"/>
          <w:numId w:val="0"/>
        </w:numPr>
        <w:ind w:left="708"/>
        <w:rPr>
          <w:b w:val="0"/>
          <w:sz w:val="22"/>
          <w:szCs w:val="22"/>
        </w:rPr>
      </w:pPr>
      <w:r w:rsidRPr="002933B1">
        <w:rPr>
          <w:b w:val="0"/>
          <w:sz w:val="22"/>
          <w:szCs w:val="22"/>
        </w:rPr>
        <w:t xml:space="preserve">Tabla </w:t>
      </w:r>
      <w:r>
        <w:rPr>
          <w:b w:val="0"/>
          <w:sz w:val="22"/>
          <w:szCs w:val="22"/>
        </w:rPr>
        <w:t>4</w:t>
      </w:r>
      <w:r w:rsidRPr="002933B1">
        <w:rPr>
          <w:b w:val="0"/>
          <w:sz w:val="22"/>
          <w:szCs w:val="22"/>
        </w:rPr>
        <w:t xml:space="preserve"> Plan de inversiones del nivel de tensión </w:t>
      </w:r>
      <w:r>
        <w:rPr>
          <w:b w:val="0"/>
          <w:sz w:val="22"/>
          <w:szCs w:val="22"/>
        </w:rPr>
        <w:t>2</w:t>
      </w:r>
      <w:r w:rsidRPr="002933B1">
        <w:rPr>
          <w:b w:val="0"/>
          <w:sz w:val="22"/>
          <w:szCs w:val="22"/>
        </w:rPr>
        <w:t>, pesos de diciembre de 2017</w:t>
      </w:r>
    </w:p>
    <w:tbl>
      <w:tblPr>
        <w:tblW w:w="8783" w:type="dxa"/>
        <w:jc w:val="right"/>
        <w:tblLayout w:type="fixed"/>
        <w:tblCellMar>
          <w:left w:w="70" w:type="dxa"/>
          <w:right w:w="70" w:type="dxa"/>
        </w:tblCellMar>
        <w:tblLook w:val="04A0" w:firstRow="1" w:lastRow="0" w:firstColumn="1" w:lastColumn="0" w:noHBand="0" w:noVBand="1"/>
      </w:tblPr>
      <w:tblGrid>
        <w:gridCol w:w="1413"/>
        <w:gridCol w:w="1474"/>
        <w:gridCol w:w="1474"/>
        <w:gridCol w:w="1474"/>
        <w:gridCol w:w="1474"/>
        <w:gridCol w:w="1474"/>
      </w:tblGrid>
      <w:tr w:rsidR="002933B1" w:rsidRPr="007E09A4" w14:paraId="50DF0D15" w14:textId="77777777" w:rsidTr="002933B1">
        <w:trPr>
          <w:trHeight w:val="480"/>
          <w:tblHeader/>
          <w:jc w:val="right"/>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006CB" w14:textId="77777777" w:rsidR="002933B1" w:rsidRPr="007E09A4" w:rsidRDefault="002933B1" w:rsidP="002933B1">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D017D06"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1D2642DF"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5FE029DF"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5B32714"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4EF06A7"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,5</w:t>
            </w:r>
          </w:p>
        </w:tc>
      </w:tr>
      <w:tr w:rsidR="00494B41" w:rsidRPr="0043040A" w14:paraId="528CA688"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1805C55C"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0710F06"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C5A2049"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289578D2" w14:textId="77777777" w:rsidR="00494B41" w:rsidRPr="00494B41" w:rsidRDefault="00494B41" w:rsidP="00494B41">
            <w:pPr>
              <w:spacing w:before="0" w:after="0"/>
              <w:jc w:val="right"/>
              <w:rPr>
                <w:sz w:val="18"/>
                <w:szCs w:val="18"/>
              </w:rPr>
            </w:pPr>
            <w:r w:rsidRPr="00494B41">
              <w:rPr>
                <w:sz w:val="18"/>
                <w:szCs w:val="18"/>
              </w:rPr>
              <w:t>3.336.136.500</w:t>
            </w:r>
          </w:p>
        </w:tc>
        <w:tc>
          <w:tcPr>
            <w:tcW w:w="1474" w:type="dxa"/>
            <w:tcBorders>
              <w:top w:val="nil"/>
              <w:left w:val="nil"/>
              <w:bottom w:val="single" w:sz="4" w:space="0" w:color="auto"/>
              <w:right w:val="single" w:sz="4" w:space="0" w:color="auto"/>
            </w:tcBorders>
            <w:shd w:val="clear" w:color="auto" w:fill="auto"/>
            <w:noWrap/>
            <w:vAlign w:val="center"/>
          </w:tcPr>
          <w:p w14:paraId="0948E423" w14:textId="77777777" w:rsidR="00494B41" w:rsidRPr="00494B41" w:rsidRDefault="00494B41" w:rsidP="00494B41">
            <w:pPr>
              <w:spacing w:before="0" w:after="0"/>
              <w:jc w:val="right"/>
              <w:rPr>
                <w:sz w:val="18"/>
                <w:szCs w:val="18"/>
              </w:rPr>
            </w:pPr>
            <w:r w:rsidRPr="00494B41">
              <w:rPr>
                <w:sz w:val="18"/>
                <w:szCs w:val="18"/>
              </w:rPr>
              <w:t>765.804.000</w:t>
            </w:r>
          </w:p>
        </w:tc>
        <w:tc>
          <w:tcPr>
            <w:tcW w:w="1474" w:type="dxa"/>
            <w:tcBorders>
              <w:top w:val="nil"/>
              <w:left w:val="nil"/>
              <w:bottom w:val="single" w:sz="4" w:space="0" w:color="auto"/>
              <w:right w:val="single" w:sz="4" w:space="0" w:color="auto"/>
            </w:tcBorders>
            <w:shd w:val="clear" w:color="auto" w:fill="auto"/>
            <w:noWrap/>
            <w:vAlign w:val="center"/>
          </w:tcPr>
          <w:p w14:paraId="4C64D001" w14:textId="77777777" w:rsidR="00494B41" w:rsidRPr="00494B41" w:rsidRDefault="00494B41" w:rsidP="00494B41">
            <w:pPr>
              <w:spacing w:before="0" w:after="0"/>
              <w:jc w:val="right"/>
              <w:rPr>
                <w:sz w:val="18"/>
                <w:szCs w:val="18"/>
              </w:rPr>
            </w:pPr>
            <w:r w:rsidRPr="00494B41">
              <w:rPr>
                <w:sz w:val="18"/>
                <w:szCs w:val="18"/>
              </w:rPr>
              <w:t>2.891.223.000</w:t>
            </w:r>
          </w:p>
        </w:tc>
      </w:tr>
      <w:tr w:rsidR="00494B41" w:rsidRPr="0043040A" w14:paraId="54D83020"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78DD8605"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56B6D1E"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546091D"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AD888FB"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00BF127"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152F5B8F" w14:textId="77777777" w:rsidR="00494B41" w:rsidRPr="00494B41" w:rsidRDefault="00494B41" w:rsidP="00494B41">
            <w:pPr>
              <w:spacing w:before="0" w:after="0"/>
              <w:jc w:val="right"/>
              <w:rPr>
                <w:sz w:val="18"/>
                <w:szCs w:val="18"/>
              </w:rPr>
            </w:pPr>
            <w:r w:rsidRPr="00494B41">
              <w:rPr>
                <w:sz w:val="18"/>
                <w:szCs w:val="18"/>
              </w:rPr>
              <w:t>0</w:t>
            </w:r>
          </w:p>
        </w:tc>
      </w:tr>
      <w:tr w:rsidR="00494B41" w:rsidRPr="0043040A" w14:paraId="05DF15A9"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04BB17CA"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88C63E5" w14:textId="77777777" w:rsidR="00494B41" w:rsidRPr="00494B41" w:rsidRDefault="00494B41" w:rsidP="00494B41">
            <w:pPr>
              <w:spacing w:before="0" w:after="0"/>
              <w:jc w:val="right"/>
              <w:rPr>
                <w:sz w:val="18"/>
                <w:szCs w:val="18"/>
              </w:rPr>
            </w:pPr>
            <w:r w:rsidRPr="00494B41">
              <w:rPr>
                <w:sz w:val="18"/>
                <w:szCs w:val="18"/>
              </w:rPr>
              <w:t>250.822.000</w:t>
            </w:r>
          </w:p>
        </w:tc>
        <w:tc>
          <w:tcPr>
            <w:tcW w:w="1474" w:type="dxa"/>
            <w:tcBorders>
              <w:top w:val="nil"/>
              <w:left w:val="nil"/>
              <w:bottom w:val="single" w:sz="4" w:space="0" w:color="auto"/>
              <w:right w:val="single" w:sz="4" w:space="0" w:color="auto"/>
            </w:tcBorders>
            <w:shd w:val="clear" w:color="auto" w:fill="auto"/>
            <w:noWrap/>
            <w:vAlign w:val="center"/>
          </w:tcPr>
          <w:p w14:paraId="5CE114EB" w14:textId="77777777" w:rsidR="00494B41" w:rsidRPr="00494B41" w:rsidRDefault="00494B41" w:rsidP="00494B41">
            <w:pPr>
              <w:spacing w:before="0" w:after="0"/>
              <w:jc w:val="right"/>
              <w:rPr>
                <w:sz w:val="18"/>
                <w:szCs w:val="18"/>
              </w:rPr>
            </w:pPr>
            <w:r w:rsidRPr="00494B41">
              <w:rPr>
                <w:sz w:val="18"/>
                <w:szCs w:val="18"/>
              </w:rPr>
              <w:t>201.198.000</w:t>
            </w:r>
          </w:p>
        </w:tc>
        <w:tc>
          <w:tcPr>
            <w:tcW w:w="1474" w:type="dxa"/>
            <w:tcBorders>
              <w:top w:val="nil"/>
              <w:left w:val="nil"/>
              <w:bottom w:val="single" w:sz="4" w:space="0" w:color="auto"/>
              <w:right w:val="single" w:sz="4" w:space="0" w:color="auto"/>
            </w:tcBorders>
            <w:shd w:val="clear" w:color="auto" w:fill="auto"/>
            <w:noWrap/>
            <w:vAlign w:val="center"/>
          </w:tcPr>
          <w:p w14:paraId="41EC5536" w14:textId="77777777" w:rsidR="00494B41" w:rsidRPr="00494B41" w:rsidRDefault="00494B41" w:rsidP="00494B41">
            <w:pPr>
              <w:spacing w:before="0" w:after="0"/>
              <w:jc w:val="right"/>
              <w:rPr>
                <w:sz w:val="18"/>
                <w:szCs w:val="18"/>
              </w:rPr>
            </w:pPr>
            <w:r w:rsidRPr="00494B41">
              <w:rPr>
                <w:sz w:val="18"/>
                <w:szCs w:val="18"/>
              </w:rPr>
              <w:t>379.123.185</w:t>
            </w:r>
          </w:p>
        </w:tc>
        <w:tc>
          <w:tcPr>
            <w:tcW w:w="1474" w:type="dxa"/>
            <w:tcBorders>
              <w:top w:val="nil"/>
              <w:left w:val="nil"/>
              <w:bottom w:val="single" w:sz="4" w:space="0" w:color="auto"/>
              <w:right w:val="single" w:sz="4" w:space="0" w:color="auto"/>
            </w:tcBorders>
            <w:shd w:val="clear" w:color="auto" w:fill="auto"/>
            <w:noWrap/>
            <w:vAlign w:val="center"/>
          </w:tcPr>
          <w:p w14:paraId="228DCA4B" w14:textId="77777777" w:rsidR="00494B41" w:rsidRPr="00494B41" w:rsidRDefault="00494B41" w:rsidP="00494B41">
            <w:pPr>
              <w:spacing w:before="0" w:after="0"/>
              <w:jc w:val="right"/>
              <w:rPr>
                <w:sz w:val="18"/>
                <w:szCs w:val="18"/>
              </w:rPr>
            </w:pPr>
            <w:r w:rsidRPr="00494B41">
              <w:rPr>
                <w:sz w:val="18"/>
                <w:szCs w:val="18"/>
              </w:rPr>
              <w:t>704.193.000</w:t>
            </w:r>
          </w:p>
        </w:tc>
        <w:tc>
          <w:tcPr>
            <w:tcW w:w="1474" w:type="dxa"/>
            <w:tcBorders>
              <w:top w:val="nil"/>
              <w:left w:val="nil"/>
              <w:bottom w:val="single" w:sz="4" w:space="0" w:color="auto"/>
              <w:right w:val="single" w:sz="4" w:space="0" w:color="auto"/>
            </w:tcBorders>
            <w:shd w:val="clear" w:color="auto" w:fill="auto"/>
            <w:noWrap/>
            <w:vAlign w:val="center"/>
          </w:tcPr>
          <w:p w14:paraId="34965246" w14:textId="77777777" w:rsidR="00494B41" w:rsidRPr="00494B41" w:rsidRDefault="00494B41" w:rsidP="00494B41">
            <w:pPr>
              <w:spacing w:before="0" w:after="0"/>
              <w:jc w:val="right"/>
              <w:rPr>
                <w:sz w:val="18"/>
                <w:szCs w:val="18"/>
              </w:rPr>
            </w:pPr>
            <w:r w:rsidRPr="00494B41">
              <w:rPr>
                <w:sz w:val="18"/>
                <w:szCs w:val="18"/>
              </w:rPr>
              <w:t>1.357.411.000</w:t>
            </w:r>
          </w:p>
        </w:tc>
      </w:tr>
      <w:tr w:rsidR="00494B41" w:rsidRPr="0043040A" w14:paraId="6D875FEE"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5A4E99C8"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46E8000"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6E313A84"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19ED4D5"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7557EB62"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8EE001E" w14:textId="77777777" w:rsidR="00494B41" w:rsidRPr="00494B41" w:rsidRDefault="00494B41" w:rsidP="00494B41">
            <w:pPr>
              <w:spacing w:before="0" w:after="0"/>
              <w:jc w:val="right"/>
              <w:rPr>
                <w:sz w:val="18"/>
                <w:szCs w:val="18"/>
              </w:rPr>
            </w:pPr>
            <w:r w:rsidRPr="00494B41">
              <w:rPr>
                <w:sz w:val="18"/>
                <w:szCs w:val="18"/>
              </w:rPr>
              <w:t>0</w:t>
            </w:r>
          </w:p>
        </w:tc>
      </w:tr>
      <w:tr w:rsidR="00494B41" w:rsidRPr="0043040A" w14:paraId="27F26409"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7D780FEA"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20777ED" w14:textId="77777777" w:rsidR="00494B41" w:rsidRPr="00494B41" w:rsidRDefault="00494B41" w:rsidP="00494B41">
            <w:pPr>
              <w:spacing w:before="0" w:after="0"/>
              <w:jc w:val="right"/>
              <w:rPr>
                <w:sz w:val="18"/>
                <w:szCs w:val="18"/>
              </w:rPr>
            </w:pPr>
            <w:r w:rsidRPr="00494B41">
              <w:rPr>
                <w:sz w:val="18"/>
                <w:szCs w:val="18"/>
              </w:rPr>
              <w:t>403.800.000</w:t>
            </w:r>
          </w:p>
        </w:tc>
        <w:tc>
          <w:tcPr>
            <w:tcW w:w="1474" w:type="dxa"/>
            <w:tcBorders>
              <w:top w:val="nil"/>
              <w:left w:val="nil"/>
              <w:bottom w:val="single" w:sz="4" w:space="0" w:color="auto"/>
              <w:right w:val="single" w:sz="4" w:space="0" w:color="auto"/>
            </w:tcBorders>
            <w:shd w:val="clear" w:color="auto" w:fill="auto"/>
            <w:noWrap/>
            <w:vAlign w:val="center"/>
          </w:tcPr>
          <w:p w14:paraId="73907292" w14:textId="77777777" w:rsidR="00494B41" w:rsidRPr="00494B41" w:rsidRDefault="00494B41" w:rsidP="00494B41">
            <w:pPr>
              <w:spacing w:before="0" w:after="0"/>
              <w:jc w:val="right"/>
              <w:rPr>
                <w:sz w:val="18"/>
                <w:szCs w:val="18"/>
              </w:rPr>
            </w:pPr>
            <w:r w:rsidRPr="00494B41">
              <w:rPr>
                <w:sz w:val="18"/>
                <w:szCs w:val="18"/>
              </w:rPr>
              <w:t>504.041.000</w:t>
            </w:r>
          </w:p>
        </w:tc>
        <w:tc>
          <w:tcPr>
            <w:tcW w:w="1474" w:type="dxa"/>
            <w:tcBorders>
              <w:top w:val="nil"/>
              <w:left w:val="nil"/>
              <w:bottom w:val="single" w:sz="4" w:space="0" w:color="auto"/>
              <w:right w:val="single" w:sz="4" w:space="0" w:color="auto"/>
            </w:tcBorders>
            <w:shd w:val="clear" w:color="auto" w:fill="auto"/>
            <w:noWrap/>
            <w:vAlign w:val="center"/>
          </w:tcPr>
          <w:p w14:paraId="07884315" w14:textId="77777777" w:rsidR="00494B41" w:rsidRPr="00494B41" w:rsidRDefault="00494B41" w:rsidP="00494B41">
            <w:pPr>
              <w:spacing w:before="0" w:after="0"/>
              <w:jc w:val="right"/>
              <w:rPr>
                <w:sz w:val="18"/>
                <w:szCs w:val="18"/>
              </w:rPr>
            </w:pPr>
            <w:r w:rsidRPr="00494B41">
              <w:rPr>
                <w:sz w:val="18"/>
                <w:szCs w:val="18"/>
              </w:rPr>
              <w:t>285.074.000</w:t>
            </w:r>
          </w:p>
        </w:tc>
        <w:tc>
          <w:tcPr>
            <w:tcW w:w="1474" w:type="dxa"/>
            <w:tcBorders>
              <w:top w:val="nil"/>
              <w:left w:val="nil"/>
              <w:bottom w:val="single" w:sz="4" w:space="0" w:color="auto"/>
              <w:right w:val="single" w:sz="4" w:space="0" w:color="auto"/>
            </w:tcBorders>
            <w:shd w:val="clear" w:color="auto" w:fill="auto"/>
            <w:noWrap/>
            <w:vAlign w:val="center"/>
          </w:tcPr>
          <w:p w14:paraId="1182205F" w14:textId="77777777" w:rsidR="00494B41" w:rsidRPr="00494B41" w:rsidRDefault="00494B41" w:rsidP="00494B41">
            <w:pPr>
              <w:spacing w:before="0" w:after="0"/>
              <w:jc w:val="right"/>
              <w:rPr>
                <w:sz w:val="18"/>
                <w:szCs w:val="18"/>
              </w:rPr>
            </w:pPr>
            <w:r w:rsidRPr="00494B41">
              <w:rPr>
                <w:sz w:val="18"/>
                <w:szCs w:val="18"/>
              </w:rPr>
              <w:t>324.584.000</w:t>
            </w:r>
          </w:p>
        </w:tc>
        <w:tc>
          <w:tcPr>
            <w:tcW w:w="1474" w:type="dxa"/>
            <w:tcBorders>
              <w:top w:val="nil"/>
              <w:left w:val="nil"/>
              <w:bottom w:val="single" w:sz="4" w:space="0" w:color="auto"/>
              <w:right w:val="single" w:sz="4" w:space="0" w:color="auto"/>
            </w:tcBorders>
            <w:shd w:val="clear" w:color="auto" w:fill="auto"/>
            <w:noWrap/>
            <w:vAlign w:val="center"/>
          </w:tcPr>
          <w:p w14:paraId="4820A8A4" w14:textId="77777777" w:rsidR="00494B41" w:rsidRPr="00494B41" w:rsidRDefault="00494B41" w:rsidP="00494B41">
            <w:pPr>
              <w:spacing w:before="0" w:after="0"/>
              <w:jc w:val="right"/>
              <w:rPr>
                <w:sz w:val="18"/>
                <w:szCs w:val="18"/>
              </w:rPr>
            </w:pPr>
            <w:r w:rsidRPr="00494B41">
              <w:rPr>
                <w:sz w:val="18"/>
                <w:szCs w:val="18"/>
              </w:rPr>
              <w:t>463.353.000</w:t>
            </w:r>
          </w:p>
        </w:tc>
      </w:tr>
      <w:tr w:rsidR="00494B41" w:rsidRPr="0043040A" w14:paraId="455B1E06"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18F4798D"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5E7C640"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57AD6FA6"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33A10A73" w14:textId="77777777" w:rsidR="00494B41" w:rsidRPr="00494B41" w:rsidRDefault="00494B41" w:rsidP="00494B41">
            <w:pPr>
              <w:spacing w:before="0" w:after="0"/>
              <w:jc w:val="right"/>
              <w:rPr>
                <w:sz w:val="18"/>
                <w:szCs w:val="18"/>
              </w:rPr>
            </w:pPr>
            <w:r w:rsidRPr="00494B41">
              <w:rPr>
                <w:sz w:val="18"/>
                <w:szCs w:val="18"/>
              </w:rPr>
              <w:t>342.440.000</w:t>
            </w:r>
          </w:p>
        </w:tc>
        <w:tc>
          <w:tcPr>
            <w:tcW w:w="1474" w:type="dxa"/>
            <w:tcBorders>
              <w:top w:val="nil"/>
              <w:left w:val="nil"/>
              <w:bottom w:val="single" w:sz="4" w:space="0" w:color="auto"/>
              <w:right w:val="single" w:sz="4" w:space="0" w:color="auto"/>
            </w:tcBorders>
            <w:shd w:val="clear" w:color="auto" w:fill="auto"/>
            <w:noWrap/>
            <w:vAlign w:val="center"/>
          </w:tcPr>
          <w:p w14:paraId="441A9AC5" w14:textId="77777777" w:rsidR="00494B41" w:rsidRPr="00494B41" w:rsidRDefault="00494B41" w:rsidP="00494B41">
            <w:pPr>
              <w:spacing w:before="0" w:after="0"/>
              <w:jc w:val="right"/>
              <w:rPr>
                <w:sz w:val="18"/>
                <w:szCs w:val="18"/>
              </w:rPr>
            </w:pPr>
            <w:r w:rsidRPr="00494B41">
              <w:rPr>
                <w:sz w:val="18"/>
                <w:szCs w:val="18"/>
              </w:rPr>
              <w:t>256.830.000</w:t>
            </w:r>
          </w:p>
        </w:tc>
        <w:tc>
          <w:tcPr>
            <w:tcW w:w="1474" w:type="dxa"/>
            <w:tcBorders>
              <w:top w:val="nil"/>
              <w:left w:val="nil"/>
              <w:bottom w:val="single" w:sz="4" w:space="0" w:color="auto"/>
              <w:right w:val="single" w:sz="4" w:space="0" w:color="auto"/>
            </w:tcBorders>
            <w:shd w:val="clear" w:color="auto" w:fill="auto"/>
            <w:noWrap/>
            <w:vAlign w:val="center"/>
          </w:tcPr>
          <w:p w14:paraId="4BB04BDC" w14:textId="77777777" w:rsidR="00494B41" w:rsidRPr="00494B41" w:rsidRDefault="00494B41" w:rsidP="00494B41">
            <w:pPr>
              <w:spacing w:before="0" w:after="0"/>
              <w:jc w:val="right"/>
              <w:rPr>
                <w:sz w:val="18"/>
                <w:szCs w:val="18"/>
              </w:rPr>
            </w:pPr>
            <w:r w:rsidRPr="00494B41">
              <w:rPr>
                <w:sz w:val="18"/>
                <w:szCs w:val="18"/>
              </w:rPr>
              <w:t>428.050.000</w:t>
            </w:r>
          </w:p>
        </w:tc>
      </w:tr>
      <w:tr w:rsidR="00494B41" w:rsidRPr="0043040A" w14:paraId="26EB49CB"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539BA39F"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4E0E3A1" w14:textId="77777777" w:rsidR="00494B41" w:rsidRPr="00494B41" w:rsidRDefault="00494B41" w:rsidP="00494B41">
            <w:pPr>
              <w:spacing w:before="0" w:after="0"/>
              <w:jc w:val="right"/>
              <w:rPr>
                <w:sz w:val="18"/>
                <w:szCs w:val="18"/>
              </w:rPr>
            </w:pPr>
            <w:r w:rsidRPr="00494B41">
              <w:rPr>
                <w:sz w:val="18"/>
                <w:szCs w:val="18"/>
              </w:rPr>
              <w:t>5.068.082.728</w:t>
            </w:r>
          </w:p>
        </w:tc>
        <w:tc>
          <w:tcPr>
            <w:tcW w:w="1474" w:type="dxa"/>
            <w:tcBorders>
              <w:top w:val="nil"/>
              <w:left w:val="nil"/>
              <w:bottom w:val="single" w:sz="4" w:space="0" w:color="auto"/>
              <w:right w:val="single" w:sz="4" w:space="0" w:color="auto"/>
            </w:tcBorders>
            <w:shd w:val="clear" w:color="auto" w:fill="auto"/>
            <w:noWrap/>
            <w:vAlign w:val="center"/>
          </w:tcPr>
          <w:p w14:paraId="12895B4D" w14:textId="77777777" w:rsidR="00494B41" w:rsidRPr="00494B41" w:rsidRDefault="00494B41" w:rsidP="00494B41">
            <w:pPr>
              <w:spacing w:before="0" w:after="0"/>
              <w:jc w:val="right"/>
              <w:rPr>
                <w:sz w:val="18"/>
                <w:szCs w:val="18"/>
              </w:rPr>
            </w:pPr>
            <w:r w:rsidRPr="00494B41">
              <w:rPr>
                <w:sz w:val="18"/>
                <w:szCs w:val="18"/>
              </w:rPr>
              <w:t>5.358.362.498</w:t>
            </w:r>
          </w:p>
        </w:tc>
        <w:tc>
          <w:tcPr>
            <w:tcW w:w="1474" w:type="dxa"/>
            <w:tcBorders>
              <w:top w:val="nil"/>
              <w:left w:val="nil"/>
              <w:bottom w:val="single" w:sz="4" w:space="0" w:color="auto"/>
              <w:right w:val="single" w:sz="4" w:space="0" w:color="auto"/>
            </w:tcBorders>
            <w:shd w:val="clear" w:color="auto" w:fill="auto"/>
            <w:noWrap/>
            <w:vAlign w:val="center"/>
          </w:tcPr>
          <w:p w14:paraId="3A805B36" w14:textId="77777777" w:rsidR="00494B41" w:rsidRPr="00494B41" w:rsidRDefault="00494B41" w:rsidP="00494B41">
            <w:pPr>
              <w:spacing w:before="0" w:after="0"/>
              <w:jc w:val="right"/>
              <w:rPr>
                <w:sz w:val="18"/>
                <w:szCs w:val="18"/>
              </w:rPr>
            </w:pPr>
            <w:r w:rsidRPr="00494B41">
              <w:rPr>
                <w:sz w:val="18"/>
                <w:szCs w:val="18"/>
              </w:rPr>
              <w:t>4.671.210.854</w:t>
            </w:r>
          </w:p>
        </w:tc>
        <w:tc>
          <w:tcPr>
            <w:tcW w:w="1474" w:type="dxa"/>
            <w:tcBorders>
              <w:top w:val="nil"/>
              <w:left w:val="nil"/>
              <w:bottom w:val="single" w:sz="4" w:space="0" w:color="auto"/>
              <w:right w:val="single" w:sz="4" w:space="0" w:color="auto"/>
            </w:tcBorders>
            <w:shd w:val="clear" w:color="auto" w:fill="auto"/>
            <w:noWrap/>
            <w:vAlign w:val="center"/>
          </w:tcPr>
          <w:p w14:paraId="6937EFF8" w14:textId="77777777" w:rsidR="00494B41" w:rsidRPr="00494B41" w:rsidRDefault="00494B41" w:rsidP="00494B41">
            <w:pPr>
              <w:spacing w:before="0" w:after="0"/>
              <w:jc w:val="right"/>
              <w:rPr>
                <w:sz w:val="18"/>
                <w:szCs w:val="18"/>
              </w:rPr>
            </w:pPr>
            <w:r w:rsidRPr="00494B41">
              <w:rPr>
                <w:sz w:val="18"/>
                <w:szCs w:val="18"/>
              </w:rPr>
              <w:t>5.742.846.870</w:t>
            </w:r>
          </w:p>
        </w:tc>
        <w:tc>
          <w:tcPr>
            <w:tcW w:w="1474" w:type="dxa"/>
            <w:tcBorders>
              <w:top w:val="nil"/>
              <w:left w:val="nil"/>
              <w:bottom w:val="single" w:sz="4" w:space="0" w:color="auto"/>
              <w:right w:val="single" w:sz="4" w:space="0" w:color="auto"/>
            </w:tcBorders>
            <w:shd w:val="clear" w:color="auto" w:fill="auto"/>
            <w:noWrap/>
            <w:vAlign w:val="center"/>
          </w:tcPr>
          <w:p w14:paraId="21FDF6A1" w14:textId="77777777" w:rsidR="00494B41" w:rsidRPr="00494B41" w:rsidRDefault="00494B41" w:rsidP="00494B41">
            <w:pPr>
              <w:spacing w:before="0" w:after="0"/>
              <w:jc w:val="right"/>
              <w:rPr>
                <w:sz w:val="18"/>
                <w:szCs w:val="18"/>
              </w:rPr>
            </w:pPr>
            <w:r w:rsidRPr="00494B41">
              <w:rPr>
                <w:sz w:val="18"/>
                <w:szCs w:val="18"/>
              </w:rPr>
              <w:t>4.505.201.730</w:t>
            </w:r>
          </w:p>
        </w:tc>
      </w:tr>
      <w:tr w:rsidR="00494B41" w:rsidRPr="0043040A" w14:paraId="679F4D36"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2B7AB947"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1E22AC0A" w14:textId="77777777" w:rsidR="00494B41" w:rsidRPr="00494B41" w:rsidRDefault="00494B41" w:rsidP="00494B41">
            <w:pPr>
              <w:spacing w:before="0" w:after="0"/>
              <w:jc w:val="right"/>
              <w:rPr>
                <w:sz w:val="18"/>
                <w:szCs w:val="18"/>
              </w:rPr>
            </w:pPr>
            <w:r w:rsidRPr="00494B41">
              <w:rPr>
                <w:sz w:val="18"/>
                <w:szCs w:val="18"/>
              </w:rPr>
              <w:t>1.118.964.942</w:t>
            </w:r>
          </w:p>
        </w:tc>
        <w:tc>
          <w:tcPr>
            <w:tcW w:w="1474" w:type="dxa"/>
            <w:tcBorders>
              <w:top w:val="nil"/>
              <w:left w:val="nil"/>
              <w:bottom w:val="single" w:sz="4" w:space="0" w:color="auto"/>
              <w:right w:val="single" w:sz="4" w:space="0" w:color="auto"/>
            </w:tcBorders>
            <w:shd w:val="clear" w:color="auto" w:fill="auto"/>
            <w:noWrap/>
            <w:vAlign w:val="center"/>
          </w:tcPr>
          <w:p w14:paraId="332ECDE8" w14:textId="77777777" w:rsidR="00494B41" w:rsidRPr="00494B41" w:rsidRDefault="00494B41" w:rsidP="00494B41">
            <w:pPr>
              <w:spacing w:before="0" w:after="0"/>
              <w:jc w:val="right"/>
              <w:rPr>
                <w:sz w:val="18"/>
                <w:szCs w:val="18"/>
              </w:rPr>
            </w:pPr>
            <w:r w:rsidRPr="00494B41">
              <w:rPr>
                <w:sz w:val="18"/>
                <w:szCs w:val="18"/>
              </w:rPr>
              <w:t>2.305.801.857</w:t>
            </w:r>
          </w:p>
        </w:tc>
        <w:tc>
          <w:tcPr>
            <w:tcW w:w="1474" w:type="dxa"/>
            <w:tcBorders>
              <w:top w:val="nil"/>
              <w:left w:val="nil"/>
              <w:bottom w:val="single" w:sz="4" w:space="0" w:color="auto"/>
              <w:right w:val="single" w:sz="4" w:space="0" w:color="auto"/>
            </w:tcBorders>
            <w:shd w:val="clear" w:color="auto" w:fill="auto"/>
            <w:noWrap/>
            <w:vAlign w:val="center"/>
          </w:tcPr>
          <w:p w14:paraId="259E01B1" w14:textId="77777777" w:rsidR="00494B41" w:rsidRPr="00494B41" w:rsidRDefault="00494B41" w:rsidP="00494B41">
            <w:pPr>
              <w:spacing w:before="0" w:after="0"/>
              <w:jc w:val="right"/>
              <w:rPr>
                <w:sz w:val="18"/>
                <w:szCs w:val="18"/>
              </w:rPr>
            </w:pPr>
            <w:r w:rsidRPr="00494B41">
              <w:rPr>
                <w:sz w:val="18"/>
                <w:szCs w:val="18"/>
              </w:rPr>
              <w:t>1.408.522.670</w:t>
            </w:r>
          </w:p>
        </w:tc>
        <w:tc>
          <w:tcPr>
            <w:tcW w:w="1474" w:type="dxa"/>
            <w:tcBorders>
              <w:top w:val="nil"/>
              <w:left w:val="nil"/>
              <w:bottom w:val="single" w:sz="4" w:space="0" w:color="auto"/>
              <w:right w:val="single" w:sz="4" w:space="0" w:color="auto"/>
            </w:tcBorders>
            <w:shd w:val="clear" w:color="auto" w:fill="auto"/>
            <w:noWrap/>
            <w:vAlign w:val="center"/>
          </w:tcPr>
          <w:p w14:paraId="39B3B6EC" w14:textId="77777777" w:rsidR="00494B41" w:rsidRPr="00494B41" w:rsidRDefault="00494B41" w:rsidP="00494B41">
            <w:pPr>
              <w:spacing w:before="0" w:after="0"/>
              <w:jc w:val="right"/>
              <w:rPr>
                <w:sz w:val="18"/>
                <w:szCs w:val="18"/>
              </w:rPr>
            </w:pPr>
            <w:r w:rsidRPr="00494B41">
              <w:rPr>
                <w:sz w:val="18"/>
                <w:szCs w:val="18"/>
              </w:rPr>
              <w:t>1.543.679.470</w:t>
            </w:r>
          </w:p>
        </w:tc>
        <w:tc>
          <w:tcPr>
            <w:tcW w:w="1474" w:type="dxa"/>
            <w:tcBorders>
              <w:top w:val="nil"/>
              <w:left w:val="nil"/>
              <w:bottom w:val="single" w:sz="4" w:space="0" w:color="auto"/>
              <w:right w:val="single" w:sz="4" w:space="0" w:color="auto"/>
            </w:tcBorders>
            <w:shd w:val="clear" w:color="auto" w:fill="auto"/>
            <w:noWrap/>
            <w:vAlign w:val="center"/>
          </w:tcPr>
          <w:p w14:paraId="3E7D4A7C" w14:textId="77777777" w:rsidR="00494B41" w:rsidRPr="00494B41" w:rsidRDefault="00494B41" w:rsidP="00494B41">
            <w:pPr>
              <w:spacing w:before="0" w:after="0"/>
              <w:jc w:val="right"/>
              <w:rPr>
                <w:sz w:val="18"/>
                <w:szCs w:val="18"/>
              </w:rPr>
            </w:pPr>
            <w:r w:rsidRPr="00494B41">
              <w:rPr>
                <w:sz w:val="18"/>
                <w:szCs w:val="18"/>
              </w:rPr>
              <w:t>1.993.845.790</w:t>
            </w:r>
          </w:p>
        </w:tc>
      </w:tr>
      <w:tr w:rsidR="00494B41" w:rsidRPr="0043040A" w14:paraId="777BE035"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65620C79"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D856175" w14:textId="77777777" w:rsidR="00494B41" w:rsidRPr="00494B41" w:rsidRDefault="00494B41" w:rsidP="00494B41">
            <w:pPr>
              <w:spacing w:before="0" w:after="0"/>
              <w:jc w:val="right"/>
              <w:rPr>
                <w:sz w:val="18"/>
                <w:szCs w:val="18"/>
              </w:rPr>
            </w:pPr>
            <w:r w:rsidRPr="00494B41">
              <w:rPr>
                <w:sz w:val="18"/>
                <w:szCs w:val="18"/>
              </w:rPr>
              <w:t>758.672.000</w:t>
            </w:r>
          </w:p>
        </w:tc>
        <w:tc>
          <w:tcPr>
            <w:tcW w:w="1474" w:type="dxa"/>
            <w:tcBorders>
              <w:top w:val="nil"/>
              <w:left w:val="nil"/>
              <w:bottom w:val="single" w:sz="4" w:space="0" w:color="auto"/>
              <w:right w:val="single" w:sz="4" w:space="0" w:color="auto"/>
            </w:tcBorders>
            <w:shd w:val="clear" w:color="auto" w:fill="auto"/>
            <w:noWrap/>
            <w:vAlign w:val="center"/>
          </w:tcPr>
          <w:p w14:paraId="00F8CE1A" w14:textId="77777777" w:rsidR="00494B41" w:rsidRPr="00494B41" w:rsidRDefault="00494B41" w:rsidP="00494B41">
            <w:pPr>
              <w:spacing w:before="0" w:after="0"/>
              <w:jc w:val="right"/>
              <w:rPr>
                <w:sz w:val="18"/>
                <w:szCs w:val="18"/>
              </w:rPr>
            </w:pPr>
            <w:r w:rsidRPr="00494B41">
              <w:rPr>
                <w:sz w:val="18"/>
                <w:szCs w:val="18"/>
              </w:rPr>
              <w:t>1.028.321.000</w:t>
            </w:r>
          </w:p>
        </w:tc>
        <w:tc>
          <w:tcPr>
            <w:tcW w:w="1474" w:type="dxa"/>
            <w:tcBorders>
              <w:top w:val="nil"/>
              <w:left w:val="nil"/>
              <w:bottom w:val="single" w:sz="4" w:space="0" w:color="auto"/>
              <w:right w:val="single" w:sz="4" w:space="0" w:color="auto"/>
            </w:tcBorders>
            <w:shd w:val="clear" w:color="auto" w:fill="auto"/>
            <w:noWrap/>
            <w:vAlign w:val="center"/>
          </w:tcPr>
          <w:p w14:paraId="64077404" w14:textId="77777777" w:rsidR="00494B41" w:rsidRPr="00494B41" w:rsidRDefault="00494B41" w:rsidP="00494B41">
            <w:pPr>
              <w:spacing w:before="0" w:after="0"/>
              <w:jc w:val="right"/>
              <w:rPr>
                <w:sz w:val="18"/>
                <w:szCs w:val="18"/>
              </w:rPr>
            </w:pPr>
            <w:r w:rsidRPr="00494B41">
              <w:rPr>
                <w:sz w:val="18"/>
                <w:szCs w:val="18"/>
              </w:rPr>
              <w:t>819.800.000</w:t>
            </w:r>
          </w:p>
        </w:tc>
        <w:tc>
          <w:tcPr>
            <w:tcW w:w="1474" w:type="dxa"/>
            <w:tcBorders>
              <w:top w:val="nil"/>
              <w:left w:val="nil"/>
              <w:bottom w:val="single" w:sz="4" w:space="0" w:color="auto"/>
              <w:right w:val="single" w:sz="4" w:space="0" w:color="auto"/>
            </w:tcBorders>
            <w:shd w:val="clear" w:color="auto" w:fill="auto"/>
            <w:noWrap/>
            <w:vAlign w:val="center"/>
          </w:tcPr>
          <w:p w14:paraId="0CFA9C9E" w14:textId="77777777" w:rsidR="00494B41" w:rsidRPr="00494B41" w:rsidRDefault="00494B41" w:rsidP="00494B41">
            <w:pPr>
              <w:spacing w:before="0" w:after="0"/>
              <w:jc w:val="right"/>
              <w:rPr>
                <w:sz w:val="18"/>
                <w:szCs w:val="18"/>
              </w:rPr>
            </w:pPr>
            <w:r w:rsidRPr="00494B41">
              <w:rPr>
                <w:sz w:val="18"/>
                <w:szCs w:val="18"/>
              </w:rPr>
              <w:t>1.000.528.000</w:t>
            </w:r>
          </w:p>
        </w:tc>
        <w:tc>
          <w:tcPr>
            <w:tcW w:w="1474" w:type="dxa"/>
            <w:tcBorders>
              <w:top w:val="nil"/>
              <w:left w:val="nil"/>
              <w:bottom w:val="single" w:sz="4" w:space="0" w:color="auto"/>
              <w:right w:val="single" w:sz="4" w:space="0" w:color="auto"/>
            </w:tcBorders>
            <w:shd w:val="clear" w:color="auto" w:fill="auto"/>
            <w:noWrap/>
            <w:vAlign w:val="center"/>
          </w:tcPr>
          <w:p w14:paraId="05570C34" w14:textId="77777777" w:rsidR="00494B41" w:rsidRPr="00494B41" w:rsidRDefault="00494B41" w:rsidP="00494B41">
            <w:pPr>
              <w:spacing w:before="0" w:after="0"/>
              <w:jc w:val="right"/>
              <w:rPr>
                <w:sz w:val="18"/>
                <w:szCs w:val="18"/>
              </w:rPr>
            </w:pPr>
            <w:r w:rsidRPr="00494B41">
              <w:rPr>
                <w:sz w:val="18"/>
                <w:szCs w:val="18"/>
              </w:rPr>
              <w:t>792.260.000</w:t>
            </w:r>
          </w:p>
        </w:tc>
      </w:tr>
      <w:tr w:rsidR="00494B41" w:rsidRPr="0043040A" w14:paraId="01DB6987"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66554FBB"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1E0AA26" w14:textId="77777777" w:rsidR="00494B41" w:rsidRPr="00494B41" w:rsidRDefault="00494B41" w:rsidP="00494B41">
            <w:pPr>
              <w:spacing w:before="0" w:after="0"/>
              <w:jc w:val="right"/>
              <w:rPr>
                <w:sz w:val="18"/>
                <w:szCs w:val="18"/>
              </w:rPr>
            </w:pPr>
            <w:r w:rsidRPr="00494B41">
              <w:rPr>
                <w:sz w:val="18"/>
                <w:szCs w:val="18"/>
              </w:rPr>
              <w:t>778.051.359</w:t>
            </w:r>
          </w:p>
        </w:tc>
        <w:tc>
          <w:tcPr>
            <w:tcW w:w="1474" w:type="dxa"/>
            <w:tcBorders>
              <w:top w:val="nil"/>
              <w:left w:val="nil"/>
              <w:bottom w:val="single" w:sz="4" w:space="0" w:color="auto"/>
              <w:right w:val="single" w:sz="4" w:space="0" w:color="auto"/>
            </w:tcBorders>
            <w:shd w:val="clear" w:color="auto" w:fill="auto"/>
            <w:noWrap/>
            <w:vAlign w:val="center"/>
          </w:tcPr>
          <w:p w14:paraId="52EC5F40" w14:textId="77777777" w:rsidR="00494B41" w:rsidRPr="00494B41" w:rsidRDefault="00494B41" w:rsidP="00494B41">
            <w:pPr>
              <w:spacing w:before="0" w:after="0"/>
              <w:jc w:val="right"/>
              <w:rPr>
                <w:sz w:val="18"/>
                <w:szCs w:val="18"/>
              </w:rPr>
            </w:pPr>
            <w:r w:rsidRPr="00494B41">
              <w:rPr>
                <w:sz w:val="18"/>
                <w:szCs w:val="18"/>
              </w:rPr>
              <w:t>1.043.675.712</w:t>
            </w:r>
          </w:p>
        </w:tc>
        <w:tc>
          <w:tcPr>
            <w:tcW w:w="1474" w:type="dxa"/>
            <w:tcBorders>
              <w:top w:val="nil"/>
              <w:left w:val="nil"/>
              <w:bottom w:val="single" w:sz="4" w:space="0" w:color="auto"/>
              <w:right w:val="single" w:sz="4" w:space="0" w:color="auto"/>
            </w:tcBorders>
            <w:shd w:val="clear" w:color="auto" w:fill="auto"/>
            <w:noWrap/>
            <w:vAlign w:val="center"/>
          </w:tcPr>
          <w:p w14:paraId="510F065F" w14:textId="77777777" w:rsidR="00494B41" w:rsidRPr="00494B41" w:rsidRDefault="00494B41" w:rsidP="00494B41">
            <w:pPr>
              <w:spacing w:before="0" w:after="0"/>
              <w:jc w:val="right"/>
              <w:rPr>
                <w:sz w:val="18"/>
                <w:szCs w:val="18"/>
              </w:rPr>
            </w:pPr>
            <w:r w:rsidRPr="00494B41">
              <w:rPr>
                <w:sz w:val="18"/>
                <w:szCs w:val="18"/>
              </w:rPr>
              <w:t>0</w:t>
            </w:r>
          </w:p>
        </w:tc>
        <w:tc>
          <w:tcPr>
            <w:tcW w:w="1474" w:type="dxa"/>
            <w:tcBorders>
              <w:top w:val="nil"/>
              <w:left w:val="nil"/>
              <w:bottom w:val="single" w:sz="4" w:space="0" w:color="auto"/>
              <w:right w:val="single" w:sz="4" w:space="0" w:color="auto"/>
            </w:tcBorders>
            <w:shd w:val="clear" w:color="auto" w:fill="auto"/>
            <w:noWrap/>
            <w:vAlign w:val="center"/>
          </w:tcPr>
          <w:p w14:paraId="48744879" w14:textId="77777777" w:rsidR="00494B41" w:rsidRPr="00494B41" w:rsidRDefault="00494B41" w:rsidP="00494B41">
            <w:pPr>
              <w:spacing w:before="0" w:after="0"/>
              <w:jc w:val="right"/>
              <w:rPr>
                <w:sz w:val="18"/>
                <w:szCs w:val="18"/>
              </w:rPr>
            </w:pPr>
            <w:r w:rsidRPr="00494B41">
              <w:rPr>
                <w:sz w:val="18"/>
                <w:szCs w:val="18"/>
              </w:rPr>
              <w:t>135.857.667</w:t>
            </w:r>
          </w:p>
        </w:tc>
        <w:tc>
          <w:tcPr>
            <w:tcW w:w="1474" w:type="dxa"/>
            <w:tcBorders>
              <w:top w:val="nil"/>
              <w:left w:val="nil"/>
              <w:bottom w:val="single" w:sz="4" w:space="0" w:color="auto"/>
              <w:right w:val="single" w:sz="4" w:space="0" w:color="auto"/>
            </w:tcBorders>
            <w:shd w:val="clear" w:color="auto" w:fill="auto"/>
            <w:noWrap/>
            <w:vAlign w:val="center"/>
          </w:tcPr>
          <w:p w14:paraId="300D1B41" w14:textId="77777777" w:rsidR="00494B41" w:rsidRPr="00494B41" w:rsidRDefault="00494B41" w:rsidP="00494B41">
            <w:pPr>
              <w:spacing w:before="0" w:after="0"/>
              <w:jc w:val="right"/>
              <w:rPr>
                <w:sz w:val="18"/>
                <w:szCs w:val="18"/>
              </w:rPr>
            </w:pPr>
            <w:r w:rsidRPr="00494B41">
              <w:rPr>
                <w:sz w:val="18"/>
                <w:szCs w:val="18"/>
              </w:rPr>
              <w:t>226.074.667</w:t>
            </w:r>
          </w:p>
        </w:tc>
      </w:tr>
    </w:tbl>
    <w:p w14:paraId="596C1C82" w14:textId="77777777" w:rsidR="002933B1" w:rsidRDefault="002933B1" w:rsidP="002933B1">
      <w:pPr>
        <w:pStyle w:val="Artculo"/>
        <w:numPr>
          <w:ilvl w:val="0"/>
          <w:numId w:val="0"/>
        </w:numPr>
        <w:ind w:left="708"/>
        <w:rPr>
          <w:b w:val="0"/>
          <w:sz w:val="22"/>
          <w:szCs w:val="22"/>
        </w:rPr>
      </w:pPr>
      <w:r w:rsidRPr="002933B1">
        <w:rPr>
          <w:b w:val="0"/>
          <w:sz w:val="22"/>
          <w:szCs w:val="22"/>
        </w:rPr>
        <w:t xml:space="preserve">Tabla </w:t>
      </w:r>
      <w:r>
        <w:rPr>
          <w:b w:val="0"/>
          <w:sz w:val="22"/>
          <w:szCs w:val="22"/>
        </w:rPr>
        <w:t>5</w:t>
      </w:r>
      <w:r w:rsidRPr="002933B1">
        <w:rPr>
          <w:b w:val="0"/>
          <w:sz w:val="22"/>
          <w:szCs w:val="22"/>
        </w:rPr>
        <w:t xml:space="preserve"> Plan de inversiones del nivel de tensión </w:t>
      </w:r>
      <w:r>
        <w:rPr>
          <w:b w:val="0"/>
          <w:sz w:val="22"/>
          <w:szCs w:val="22"/>
        </w:rPr>
        <w:t>1</w:t>
      </w:r>
      <w:r w:rsidRPr="002933B1">
        <w:rPr>
          <w:b w:val="0"/>
          <w:sz w:val="22"/>
          <w:szCs w:val="22"/>
        </w:rPr>
        <w:t>, pesos de diciembre de 2017</w:t>
      </w:r>
    </w:p>
    <w:tbl>
      <w:tblPr>
        <w:tblW w:w="8783" w:type="dxa"/>
        <w:jc w:val="right"/>
        <w:tblLayout w:type="fixed"/>
        <w:tblCellMar>
          <w:left w:w="70" w:type="dxa"/>
          <w:right w:w="70" w:type="dxa"/>
        </w:tblCellMar>
        <w:tblLook w:val="04A0" w:firstRow="1" w:lastRow="0" w:firstColumn="1" w:lastColumn="0" w:noHBand="0" w:noVBand="1"/>
      </w:tblPr>
      <w:tblGrid>
        <w:gridCol w:w="1413"/>
        <w:gridCol w:w="1474"/>
        <w:gridCol w:w="1474"/>
        <w:gridCol w:w="1474"/>
        <w:gridCol w:w="1474"/>
        <w:gridCol w:w="1474"/>
      </w:tblGrid>
      <w:tr w:rsidR="002933B1" w:rsidRPr="007E09A4" w14:paraId="1B4F1D5E" w14:textId="77777777" w:rsidTr="002933B1">
        <w:trPr>
          <w:trHeight w:val="480"/>
          <w:tblHeader/>
          <w:jc w:val="right"/>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E9779" w14:textId="77777777" w:rsidR="002933B1" w:rsidRPr="007E09A4" w:rsidRDefault="002933B1" w:rsidP="002933B1">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3055CB2F"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,1</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666095D3"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,2</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2260B1FF"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,3</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72993E27"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,4</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7BF2590C" w14:textId="77777777" w:rsidR="002933B1" w:rsidRPr="007E09A4" w:rsidRDefault="002933B1" w:rsidP="002933B1">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,5</w:t>
            </w:r>
          </w:p>
        </w:tc>
      </w:tr>
      <w:tr w:rsidR="00494B41" w:rsidRPr="0043040A" w14:paraId="6DBC9AE1"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45266A4D"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r>
              <w:rPr>
                <w:rFonts w:cs="Arial"/>
                <w:i/>
                <w:iCs/>
                <w:color w:val="000000"/>
                <w:sz w:val="18"/>
                <w:szCs w:val="18"/>
                <w:lang w:val="es-CO" w:eastAsia="es-CO"/>
              </w:rPr>
              <w:t>1</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6DC8ECED" w14:textId="77777777" w:rsidR="00494B41" w:rsidRPr="00494B41" w:rsidRDefault="00494B41" w:rsidP="00494B41">
            <w:pPr>
              <w:spacing w:before="0" w:after="0"/>
              <w:jc w:val="right"/>
              <w:rPr>
                <w:sz w:val="18"/>
                <w:szCs w:val="18"/>
              </w:rPr>
            </w:pPr>
            <w:r w:rsidRPr="00494B41">
              <w:rPr>
                <w:sz w:val="18"/>
                <w:szCs w:val="18"/>
              </w:rPr>
              <w:t>776.447.000</w:t>
            </w:r>
          </w:p>
        </w:tc>
        <w:tc>
          <w:tcPr>
            <w:tcW w:w="1474" w:type="dxa"/>
            <w:tcBorders>
              <w:top w:val="nil"/>
              <w:left w:val="nil"/>
              <w:bottom w:val="single" w:sz="4" w:space="0" w:color="auto"/>
              <w:right w:val="single" w:sz="4" w:space="0" w:color="auto"/>
            </w:tcBorders>
            <w:shd w:val="clear" w:color="auto" w:fill="auto"/>
            <w:noWrap/>
            <w:vAlign w:val="center"/>
          </w:tcPr>
          <w:p w14:paraId="503641F3" w14:textId="77777777" w:rsidR="00494B41" w:rsidRPr="00494B41" w:rsidRDefault="00494B41" w:rsidP="00494B41">
            <w:pPr>
              <w:spacing w:before="0" w:after="0"/>
              <w:jc w:val="right"/>
              <w:rPr>
                <w:sz w:val="18"/>
                <w:szCs w:val="18"/>
              </w:rPr>
            </w:pPr>
            <w:r w:rsidRPr="00494B41">
              <w:rPr>
                <w:sz w:val="18"/>
                <w:szCs w:val="18"/>
              </w:rPr>
              <w:t>1.219.822.000</w:t>
            </w:r>
          </w:p>
        </w:tc>
        <w:tc>
          <w:tcPr>
            <w:tcW w:w="1474" w:type="dxa"/>
            <w:tcBorders>
              <w:top w:val="nil"/>
              <w:left w:val="nil"/>
              <w:bottom w:val="single" w:sz="4" w:space="0" w:color="auto"/>
              <w:right w:val="single" w:sz="4" w:space="0" w:color="auto"/>
            </w:tcBorders>
            <w:shd w:val="clear" w:color="auto" w:fill="auto"/>
            <w:noWrap/>
            <w:vAlign w:val="center"/>
          </w:tcPr>
          <w:p w14:paraId="4C8CD8E0" w14:textId="77777777" w:rsidR="00494B41" w:rsidRPr="00494B41" w:rsidRDefault="00494B41" w:rsidP="00494B41">
            <w:pPr>
              <w:spacing w:before="0" w:after="0"/>
              <w:jc w:val="right"/>
              <w:rPr>
                <w:sz w:val="18"/>
                <w:szCs w:val="18"/>
              </w:rPr>
            </w:pPr>
            <w:r w:rsidRPr="00494B41">
              <w:rPr>
                <w:sz w:val="18"/>
                <w:szCs w:val="18"/>
              </w:rPr>
              <w:t>828.082.000</w:t>
            </w:r>
          </w:p>
        </w:tc>
        <w:tc>
          <w:tcPr>
            <w:tcW w:w="1474" w:type="dxa"/>
            <w:tcBorders>
              <w:top w:val="nil"/>
              <w:left w:val="nil"/>
              <w:bottom w:val="single" w:sz="4" w:space="0" w:color="auto"/>
              <w:right w:val="single" w:sz="4" w:space="0" w:color="auto"/>
            </w:tcBorders>
            <w:shd w:val="clear" w:color="auto" w:fill="auto"/>
            <w:noWrap/>
            <w:vAlign w:val="center"/>
          </w:tcPr>
          <w:p w14:paraId="5268DBCC" w14:textId="77777777" w:rsidR="00494B41" w:rsidRPr="00494B41" w:rsidRDefault="00494B41" w:rsidP="00494B41">
            <w:pPr>
              <w:spacing w:before="0" w:after="0"/>
              <w:jc w:val="right"/>
              <w:rPr>
                <w:sz w:val="18"/>
                <w:szCs w:val="18"/>
              </w:rPr>
            </w:pPr>
            <w:r w:rsidRPr="00494B41">
              <w:rPr>
                <w:sz w:val="18"/>
                <w:szCs w:val="18"/>
              </w:rPr>
              <w:t>1.012.437.000</w:t>
            </w:r>
          </w:p>
        </w:tc>
        <w:tc>
          <w:tcPr>
            <w:tcW w:w="1474" w:type="dxa"/>
            <w:tcBorders>
              <w:top w:val="nil"/>
              <w:left w:val="nil"/>
              <w:bottom w:val="single" w:sz="4" w:space="0" w:color="auto"/>
              <w:right w:val="single" w:sz="4" w:space="0" w:color="auto"/>
            </w:tcBorders>
            <w:shd w:val="clear" w:color="auto" w:fill="auto"/>
            <w:noWrap/>
            <w:vAlign w:val="center"/>
          </w:tcPr>
          <w:p w14:paraId="1BC4F375" w14:textId="77777777" w:rsidR="00494B41" w:rsidRPr="00494B41" w:rsidRDefault="00494B41" w:rsidP="00494B41">
            <w:pPr>
              <w:spacing w:before="0" w:after="0"/>
              <w:jc w:val="right"/>
              <w:rPr>
                <w:sz w:val="18"/>
                <w:szCs w:val="18"/>
              </w:rPr>
            </w:pPr>
            <w:r w:rsidRPr="00494B41">
              <w:rPr>
                <w:sz w:val="18"/>
                <w:szCs w:val="18"/>
              </w:rPr>
              <w:t>1.263.860.000</w:t>
            </w:r>
          </w:p>
        </w:tc>
      </w:tr>
      <w:tr w:rsidR="00494B41" w:rsidRPr="0043040A" w14:paraId="0EE1F5BF" w14:textId="77777777" w:rsidTr="00494B41">
        <w:trPr>
          <w:trHeight w:val="317"/>
          <w:jc w:val="right"/>
        </w:trPr>
        <w:tc>
          <w:tcPr>
            <w:tcW w:w="1413" w:type="dxa"/>
            <w:tcBorders>
              <w:top w:val="nil"/>
              <w:left w:val="single" w:sz="4" w:space="0" w:color="auto"/>
              <w:bottom w:val="single" w:sz="4" w:space="0" w:color="auto"/>
              <w:right w:val="nil"/>
            </w:tcBorders>
            <w:shd w:val="clear" w:color="000000" w:fill="FFFFFF"/>
            <w:vAlign w:val="center"/>
            <w:hideMark/>
          </w:tcPr>
          <w:p w14:paraId="778E9F99" w14:textId="77777777" w:rsidR="00494B41" w:rsidRPr="0043040A" w:rsidRDefault="00494B41" w:rsidP="00494B4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 xml:space="preserve">l = </w:t>
            </w:r>
            <w:r>
              <w:rPr>
                <w:rFonts w:cs="Arial"/>
                <w:i/>
                <w:iCs/>
                <w:color w:val="000000"/>
                <w:sz w:val="18"/>
                <w:szCs w:val="18"/>
                <w:lang w:val="es-CO" w:eastAsia="es-CO"/>
              </w:rPr>
              <w:t>1</w:t>
            </w:r>
            <w:r w:rsidRPr="0043040A">
              <w:rPr>
                <w:rFonts w:cs="Arial"/>
                <w:i/>
                <w:iCs/>
                <w:color w:val="000000"/>
                <w:sz w:val="18"/>
                <w:szCs w:val="18"/>
                <w:lang w:val="es-CO" w:eastAsia="es-CO"/>
              </w:rPr>
              <w:t>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58DA625" w14:textId="77777777" w:rsidR="00494B41" w:rsidRPr="00494B41" w:rsidRDefault="00494B41" w:rsidP="00494B41">
            <w:pPr>
              <w:spacing w:before="0" w:after="0"/>
              <w:jc w:val="right"/>
              <w:rPr>
                <w:sz w:val="18"/>
                <w:szCs w:val="18"/>
              </w:rPr>
            </w:pPr>
            <w:r w:rsidRPr="00494B41">
              <w:rPr>
                <w:sz w:val="18"/>
                <w:szCs w:val="18"/>
              </w:rPr>
              <w:t>663.292.300</w:t>
            </w:r>
          </w:p>
        </w:tc>
        <w:tc>
          <w:tcPr>
            <w:tcW w:w="1474" w:type="dxa"/>
            <w:tcBorders>
              <w:top w:val="nil"/>
              <w:left w:val="nil"/>
              <w:bottom w:val="single" w:sz="4" w:space="0" w:color="auto"/>
              <w:right w:val="single" w:sz="4" w:space="0" w:color="auto"/>
            </w:tcBorders>
            <w:shd w:val="clear" w:color="auto" w:fill="auto"/>
            <w:noWrap/>
            <w:vAlign w:val="center"/>
          </w:tcPr>
          <w:p w14:paraId="162BB322" w14:textId="77777777" w:rsidR="00494B41" w:rsidRPr="00494B41" w:rsidRDefault="00494B41" w:rsidP="00494B41">
            <w:pPr>
              <w:spacing w:before="0" w:after="0"/>
              <w:jc w:val="right"/>
              <w:rPr>
                <w:sz w:val="18"/>
                <w:szCs w:val="18"/>
              </w:rPr>
            </w:pPr>
            <w:r w:rsidRPr="00494B41">
              <w:rPr>
                <w:sz w:val="18"/>
                <w:szCs w:val="18"/>
              </w:rPr>
              <w:t>2.788.361.193</w:t>
            </w:r>
          </w:p>
        </w:tc>
        <w:tc>
          <w:tcPr>
            <w:tcW w:w="1474" w:type="dxa"/>
            <w:tcBorders>
              <w:top w:val="nil"/>
              <w:left w:val="nil"/>
              <w:bottom w:val="single" w:sz="4" w:space="0" w:color="auto"/>
              <w:right w:val="single" w:sz="4" w:space="0" w:color="auto"/>
            </w:tcBorders>
            <w:shd w:val="clear" w:color="auto" w:fill="auto"/>
            <w:noWrap/>
            <w:vAlign w:val="center"/>
          </w:tcPr>
          <w:p w14:paraId="2583E317" w14:textId="77777777" w:rsidR="00494B41" w:rsidRPr="00494B41" w:rsidRDefault="00494B41" w:rsidP="00494B41">
            <w:pPr>
              <w:spacing w:before="0" w:after="0"/>
              <w:jc w:val="right"/>
              <w:rPr>
                <w:sz w:val="18"/>
                <w:szCs w:val="18"/>
              </w:rPr>
            </w:pPr>
            <w:r w:rsidRPr="00494B41">
              <w:rPr>
                <w:sz w:val="18"/>
                <w:szCs w:val="18"/>
              </w:rPr>
              <w:t>2.498.658.797</w:t>
            </w:r>
          </w:p>
        </w:tc>
        <w:tc>
          <w:tcPr>
            <w:tcW w:w="1474" w:type="dxa"/>
            <w:tcBorders>
              <w:top w:val="nil"/>
              <w:left w:val="nil"/>
              <w:bottom w:val="single" w:sz="4" w:space="0" w:color="auto"/>
              <w:right w:val="single" w:sz="4" w:space="0" w:color="auto"/>
            </w:tcBorders>
            <w:shd w:val="clear" w:color="auto" w:fill="auto"/>
            <w:noWrap/>
            <w:vAlign w:val="center"/>
          </w:tcPr>
          <w:p w14:paraId="4FABA4A0" w14:textId="77777777" w:rsidR="00494B41" w:rsidRPr="00494B41" w:rsidRDefault="00494B41" w:rsidP="00494B41">
            <w:pPr>
              <w:spacing w:before="0" w:after="0"/>
              <w:jc w:val="right"/>
              <w:rPr>
                <w:sz w:val="18"/>
                <w:szCs w:val="18"/>
              </w:rPr>
            </w:pPr>
            <w:r w:rsidRPr="00494B41">
              <w:rPr>
                <w:sz w:val="18"/>
                <w:szCs w:val="18"/>
              </w:rPr>
              <w:t>2.383.475.660</w:t>
            </w:r>
          </w:p>
        </w:tc>
        <w:tc>
          <w:tcPr>
            <w:tcW w:w="1474" w:type="dxa"/>
            <w:tcBorders>
              <w:top w:val="nil"/>
              <w:left w:val="nil"/>
              <w:bottom w:val="single" w:sz="4" w:space="0" w:color="auto"/>
              <w:right w:val="single" w:sz="4" w:space="0" w:color="auto"/>
            </w:tcBorders>
            <w:shd w:val="clear" w:color="auto" w:fill="auto"/>
            <w:noWrap/>
            <w:vAlign w:val="center"/>
          </w:tcPr>
          <w:p w14:paraId="06D75B9B" w14:textId="77777777" w:rsidR="00494B41" w:rsidRPr="00494B41" w:rsidRDefault="00494B41" w:rsidP="00494B41">
            <w:pPr>
              <w:spacing w:before="0" w:after="0"/>
              <w:jc w:val="right"/>
              <w:rPr>
                <w:sz w:val="18"/>
                <w:szCs w:val="18"/>
              </w:rPr>
            </w:pPr>
            <w:r w:rsidRPr="00494B41">
              <w:rPr>
                <w:sz w:val="18"/>
                <w:szCs w:val="18"/>
              </w:rPr>
              <w:t>2.868.545.253</w:t>
            </w:r>
          </w:p>
        </w:tc>
      </w:tr>
    </w:tbl>
    <w:p w14:paraId="0D9D48DA" w14:textId="77777777" w:rsidR="00D57D9C" w:rsidRPr="009B0E38" w:rsidRDefault="00D57D9C" w:rsidP="00494B41">
      <w:pPr>
        <w:pStyle w:val="Artculo"/>
        <w:ind w:left="0"/>
        <w:rPr>
          <w:b w:val="0"/>
        </w:rPr>
      </w:pPr>
      <w:r w:rsidRPr="009B0E38">
        <w:t xml:space="preserve">Modificar el artículo </w:t>
      </w:r>
      <w:r w:rsidR="00D857A6">
        <w:t>4</w:t>
      </w:r>
      <w:r w:rsidRPr="009B0E38">
        <w:t xml:space="preserve"> de</w:t>
      </w:r>
      <w:r>
        <w:rPr>
          <w:b w:val="0"/>
        </w:rPr>
        <w:t xml:space="preserve"> </w:t>
      </w:r>
      <w:r w:rsidR="00D857A6">
        <w:t>la Resolución CREG 1</w:t>
      </w:r>
      <w:r w:rsidR="00494B41">
        <w:t>7</w:t>
      </w:r>
      <w:r w:rsidR="00D857A6">
        <w:t>8</w:t>
      </w:r>
      <w:r>
        <w:t xml:space="preserve"> de 2019. </w:t>
      </w:r>
      <w:r w:rsidR="00D857A6">
        <w:rPr>
          <w:b w:val="0"/>
        </w:rPr>
        <w:t>El artículo 4</w:t>
      </w:r>
      <w:r>
        <w:rPr>
          <w:b w:val="0"/>
        </w:rPr>
        <w:t xml:space="preserve"> de la </w:t>
      </w:r>
      <w:r w:rsidR="00D857A6">
        <w:rPr>
          <w:b w:val="0"/>
        </w:rPr>
        <w:t>Resolución CREG 1</w:t>
      </w:r>
      <w:r w:rsidR="00494B41">
        <w:rPr>
          <w:b w:val="0"/>
        </w:rPr>
        <w:t>7</w:t>
      </w:r>
      <w:r w:rsidR="00D857A6">
        <w:rPr>
          <w:b w:val="0"/>
        </w:rPr>
        <w:t>8</w:t>
      </w:r>
      <w:r w:rsidRPr="00A71EA8">
        <w:rPr>
          <w:b w:val="0"/>
        </w:rPr>
        <w:t xml:space="preserve"> de 2019 quedará así:</w:t>
      </w:r>
    </w:p>
    <w:p w14:paraId="660089F7" w14:textId="77777777" w:rsidR="00D57D9C" w:rsidRPr="00016274" w:rsidRDefault="00D57D9C" w:rsidP="00016274">
      <w:pPr>
        <w:ind w:left="708"/>
        <w:rPr>
          <w:b/>
          <w:sz w:val="22"/>
        </w:rPr>
      </w:pPr>
      <w:r w:rsidRPr="00016274">
        <w:rPr>
          <w:sz w:val="22"/>
        </w:rPr>
        <w:t>“</w:t>
      </w:r>
      <w:r w:rsidRPr="00016274">
        <w:rPr>
          <w:b/>
          <w:sz w:val="22"/>
        </w:rPr>
        <w:t>Artículo 4. Recuperación de capital de activos de la BRA inicial.</w:t>
      </w:r>
      <w:r w:rsidRPr="00016274">
        <w:rPr>
          <w:sz w:val="22"/>
        </w:rPr>
        <w:t xml:space="preserve"> El valor de la recuperación de capital reconocida para los activos incluidos en la base regulatoria inicial de activos, </w:t>
      </w:r>
      <w:proofErr w:type="gramStart"/>
      <w:r w:rsidRPr="00016274">
        <w:rPr>
          <w:i/>
          <w:sz w:val="22"/>
        </w:rPr>
        <w:t>RCBIA</w:t>
      </w:r>
      <w:r w:rsidRPr="00016274">
        <w:rPr>
          <w:i/>
          <w:sz w:val="22"/>
          <w:vertAlign w:val="subscript"/>
        </w:rPr>
        <w:t>j,n</w:t>
      </w:r>
      <w:proofErr w:type="gramEnd"/>
      <w:r w:rsidRPr="00016274">
        <w:rPr>
          <w:i/>
          <w:sz w:val="22"/>
          <w:vertAlign w:val="subscript"/>
        </w:rPr>
        <w:t>,1</w:t>
      </w:r>
      <w:r w:rsidRPr="00016274">
        <w:rPr>
          <w:sz w:val="22"/>
        </w:rPr>
        <w:t>, del año 1, para cada nivel de tensión, es el siguiente:</w:t>
      </w:r>
      <w:bookmarkStart w:id="7" w:name="_Ref195412735"/>
      <w:bookmarkStart w:id="8" w:name="_Ref209833384"/>
      <w:bookmarkStart w:id="9" w:name="_Ref476757639"/>
    </w:p>
    <w:p w14:paraId="3DB9C077" w14:textId="4777EB62" w:rsidR="00D57D9C" w:rsidRDefault="00D57D9C" w:rsidP="001F1ADD">
      <w:pPr>
        <w:pStyle w:val="Descripcin"/>
        <w:spacing w:before="240" w:after="240" w:line="240" w:lineRule="auto"/>
      </w:pPr>
      <w:r>
        <w:t xml:space="preserve">Tabla </w:t>
      </w:r>
      <w:r w:rsidR="004A79C4">
        <w:t>6</w:t>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D57D9C" w:rsidRPr="006747D5" w14:paraId="0C16795C" w14:textId="77777777" w:rsidTr="00437E9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9791D" w14:textId="77777777" w:rsidR="00D57D9C" w:rsidRPr="006747D5" w:rsidRDefault="00D57D9C" w:rsidP="00437E9E">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E4805E1" w14:textId="77777777" w:rsidR="00D57D9C" w:rsidRPr="006747D5" w:rsidRDefault="00D57D9C" w:rsidP="00437E9E">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494B41" w:rsidRPr="0043040A" w14:paraId="2A3C0622" w14:textId="77777777" w:rsidTr="00494B4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53A721F" w14:textId="77777777" w:rsidR="00494B41" w:rsidRPr="006747D5" w:rsidRDefault="00494B41" w:rsidP="00494B41">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8F5D7" w14:textId="77777777" w:rsidR="00494B41" w:rsidRPr="00494B41" w:rsidRDefault="00494B41" w:rsidP="00494B41">
            <w:pPr>
              <w:spacing w:before="0" w:after="0"/>
              <w:jc w:val="right"/>
              <w:rPr>
                <w:rFonts w:cs="Arial"/>
                <w:sz w:val="18"/>
                <w:szCs w:val="18"/>
                <w:lang w:val="es-CO" w:eastAsia="es-CO"/>
              </w:rPr>
            </w:pPr>
            <w:r w:rsidRPr="00494B41">
              <w:rPr>
                <w:sz w:val="18"/>
                <w:szCs w:val="18"/>
              </w:rPr>
              <w:t>1.108.406.740</w:t>
            </w:r>
          </w:p>
        </w:tc>
      </w:tr>
      <w:tr w:rsidR="00494B41" w:rsidRPr="0043040A" w14:paraId="59A317A7" w14:textId="77777777" w:rsidTr="00494B4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BC415B3" w14:textId="77777777" w:rsidR="00494B41" w:rsidRPr="006747D5" w:rsidRDefault="00494B41" w:rsidP="00494B41">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0C815B95" w14:textId="77777777" w:rsidR="00494B41" w:rsidRPr="00494B41" w:rsidRDefault="00494B41" w:rsidP="00494B41">
            <w:pPr>
              <w:spacing w:before="0" w:after="0"/>
              <w:jc w:val="right"/>
              <w:rPr>
                <w:rFonts w:cs="Arial"/>
                <w:sz w:val="18"/>
                <w:szCs w:val="18"/>
              </w:rPr>
            </w:pPr>
            <w:r w:rsidRPr="00494B41">
              <w:rPr>
                <w:sz w:val="18"/>
                <w:szCs w:val="18"/>
              </w:rPr>
              <w:t>2.248.355.758</w:t>
            </w:r>
          </w:p>
        </w:tc>
      </w:tr>
      <w:tr w:rsidR="00494B41" w:rsidRPr="0043040A" w14:paraId="13F32778" w14:textId="77777777" w:rsidTr="00494B4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0CF482B" w14:textId="77777777" w:rsidR="00494B41" w:rsidRPr="006747D5" w:rsidRDefault="00494B41" w:rsidP="00494B41">
            <w:pPr>
              <w:spacing w:before="0" w:after="0"/>
              <w:jc w:val="center"/>
              <w:rPr>
                <w:rFonts w:cs="Arial"/>
                <w:i/>
                <w:iCs/>
                <w:sz w:val="18"/>
                <w:szCs w:val="18"/>
                <w:lang w:val="es-CO" w:eastAsia="es-CO"/>
              </w:rPr>
            </w:pPr>
            <w:r w:rsidRPr="006747D5">
              <w:rPr>
                <w:rFonts w:cs="Arial"/>
                <w:i/>
                <w:iCs/>
                <w:sz w:val="18"/>
                <w:szCs w:val="18"/>
                <w:lang w:val="es-CO" w:eastAsia="es-CO"/>
              </w:rPr>
              <w:lastRenderedPageBreak/>
              <w:t>RCBIA</w:t>
            </w:r>
            <w:r w:rsidRPr="006747D5">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0B10860C" w14:textId="77777777" w:rsidR="00494B41" w:rsidRPr="00494B41" w:rsidRDefault="00494B41" w:rsidP="00494B41">
            <w:pPr>
              <w:spacing w:before="0" w:after="0"/>
              <w:jc w:val="right"/>
              <w:rPr>
                <w:rFonts w:cs="Arial"/>
                <w:sz w:val="18"/>
                <w:szCs w:val="18"/>
              </w:rPr>
            </w:pPr>
            <w:r w:rsidRPr="00494B41">
              <w:rPr>
                <w:sz w:val="18"/>
                <w:szCs w:val="18"/>
              </w:rPr>
              <w:t>4.578.005.188</w:t>
            </w:r>
          </w:p>
        </w:tc>
      </w:tr>
      <w:tr w:rsidR="00494B41" w:rsidRPr="0043040A" w14:paraId="6CC7AF8B" w14:textId="77777777" w:rsidTr="00494B4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23DE767" w14:textId="77777777" w:rsidR="00494B41" w:rsidRPr="006747D5" w:rsidRDefault="00494B41" w:rsidP="00494B41">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4BE35F31" w14:textId="77777777" w:rsidR="00494B41" w:rsidRPr="00494B41" w:rsidRDefault="00494B41" w:rsidP="00494B41">
            <w:pPr>
              <w:spacing w:before="0" w:after="0"/>
              <w:jc w:val="right"/>
              <w:rPr>
                <w:rFonts w:cs="Arial"/>
                <w:sz w:val="18"/>
                <w:szCs w:val="18"/>
              </w:rPr>
            </w:pPr>
            <w:r w:rsidRPr="00494B41">
              <w:rPr>
                <w:sz w:val="18"/>
                <w:szCs w:val="18"/>
              </w:rPr>
              <w:t>5.151.976.852</w:t>
            </w:r>
          </w:p>
        </w:tc>
      </w:tr>
    </w:tbl>
    <w:p w14:paraId="43A6520B" w14:textId="77777777" w:rsidR="00C32561" w:rsidRDefault="00C32561" w:rsidP="00C32561">
      <w:pPr>
        <w:pStyle w:val="Artculo"/>
        <w:ind w:left="0"/>
        <w:rPr>
          <w:b w:val="0"/>
        </w:rPr>
      </w:pPr>
      <w:r w:rsidRPr="00C32561">
        <w:rPr>
          <w:bCs/>
        </w:rPr>
        <w:t>Modificar el artículo 6 de la Resolución CREG 178 de 2019.</w:t>
      </w:r>
      <w:r>
        <w:rPr>
          <w:b w:val="0"/>
        </w:rPr>
        <w:t xml:space="preserve"> El artículo 6 de la Resolución CREG 178 de 2019 quedará así:</w:t>
      </w:r>
    </w:p>
    <w:p w14:paraId="5EA65539" w14:textId="77777777" w:rsidR="00C32561" w:rsidRDefault="00C32561" w:rsidP="00C32561">
      <w:pPr>
        <w:pStyle w:val="Artculo"/>
        <w:numPr>
          <w:ilvl w:val="0"/>
          <w:numId w:val="0"/>
        </w:numPr>
        <w:ind w:left="708"/>
        <w:rPr>
          <w:b w:val="0"/>
        </w:rPr>
      </w:pPr>
      <w:r w:rsidRPr="00C32561">
        <w:rPr>
          <w:bCs/>
        </w:rPr>
        <w:t>Artículo 6. Base regulatoria de terrenos.</w:t>
      </w:r>
      <w:r w:rsidRPr="00C32561">
        <w:rPr>
          <w:b w:val="0"/>
        </w:rPr>
        <w:t xml:space="preserve"> El valor de la base regulatoria de terrenos, </w:t>
      </w:r>
      <w:proofErr w:type="gramStart"/>
      <w:r w:rsidRPr="00C32561">
        <w:rPr>
          <w:b w:val="0"/>
        </w:rPr>
        <w:t>BRT</w:t>
      </w:r>
      <w:r w:rsidRPr="00C32561">
        <w:rPr>
          <w:b w:val="0"/>
          <w:vertAlign w:val="subscript"/>
        </w:rPr>
        <w:t>j,n</w:t>
      </w:r>
      <w:proofErr w:type="gramEnd"/>
      <w:r w:rsidRPr="00C32561">
        <w:rPr>
          <w:b w:val="0"/>
          <w:vertAlign w:val="subscript"/>
        </w:rPr>
        <w:t>,1</w:t>
      </w:r>
      <w:r w:rsidRPr="00C32561">
        <w:rPr>
          <w:b w:val="0"/>
        </w:rPr>
        <w:t>, del año 1, para los niveles de tensión 4, 3 y 2, es el siguiente:</w:t>
      </w:r>
    </w:p>
    <w:p w14:paraId="2E2054C2" w14:textId="6D02FB82" w:rsidR="00C32561" w:rsidRDefault="00C32561" w:rsidP="00C32561">
      <w:pPr>
        <w:pStyle w:val="Descripcin"/>
      </w:pPr>
      <w:r>
        <w:t xml:space="preserve">Tabla </w:t>
      </w:r>
      <w:r w:rsidR="004A79C4">
        <w:t>8</w:t>
      </w:r>
      <w:r>
        <w:t xml:space="preserve"> B</w:t>
      </w:r>
      <w:r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C32561" w:rsidRPr="006747D5" w14:paraId="730B907E" w14:textId="77777777" w:rsidTr="005E0CF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06348" w14:textId="77777777" w:rsidR="00C32561" w:rsidRPr="006747D5" w:rsidRDefault="00C32561" w:rsidP="005E0CF6">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1CD7B99" w14:textId="77777777" w:rsidR="00C32561" w:rsidRPr="006747D5" w:rsidRDefault="00C32561" w:rsidP="005E0CF6">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C32561" w:rsidRPr="00C32561" w14:paraId="1EF53C09" w14:textId="77777777" w:rsidTr="00C3256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DB331FA" w14:textId="77777777" w:rsidR="00C32561" w:rsidRPr="006747D5" w:rsidRDefault="00C32561" w:rsidP="00C32561">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tcPr>
          <w:p w14:paraId="7E911590" w14:textId="77777777" w:rsidR="00C32561" w:rsidRPr="00C32561" w:rsidRDefault="00C32561" w:rsidP="00C32561">
            <w:pPr>
              <w:spacing w:before="0" w:after="0"/>
              <w:jc w:val="right"/>
              <w:rPr>
                <w:sz w:val="18"/>
                <w:szCs w:val="18"/>
              </w:rPr>
            </w:pPr>
            <w:r w:rsidRPr="00C32561">
              <w:rPr>
                <w:sz w:val="18"/>
                <w:szCs w:val="18"/>
              </w:rPr>
              <w:t>9.909.093</w:t>
            </w:r>
          </w:p>
        </w:tc>
      </w:tr>
      <w:tr w:rsidR="00C32561" w:rsidRPr="00C32561" w14:paraId="4A0E7C9A" w14:textId="77777777" w:rsidTr="00C3256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10CEF86" w14:textId="77777777" w:rsidR="00C32561" w:rsidRPr="006747D5" w:rsidRDefault="00C32561" w:rsidP="00C32561">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tcPr>
          <w:p w14:paraId="284DC1BF" w14:textId="77777777" w:rsidR="00C32561" w:rsidRPr="00C32561" w:rsidRDefault="00C32561" w:rsidP="00C32561">
            <w:pPr>
              <w:spacing w:before="0" w:after="0"/>
              <w:jc w:val="right"/>
              <w:rPr>
                <w:sz w:val="18"/>
                <w:szCs w:val="18"/>
              </w:rPr>
            </w:pPr>
            <w:r w:rsidRPr="00C32561">
              <w:rPr>
                <w:sz w:val="18"/>
                <w:szCs w:val="18"/>
              </w:rPr>
              <w:t>20.145.668</w:t>
            </w:r>
          </w:p>
        </w:tc>
      </w:tr>
      <w:tr w:rsidR="00C32561" w:rsidRPr="00C32561" w14:paraId="4FAE5563" w14:textId="77777777" w:rsidTr="00C32561">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8CEECF9" w14:textId="77777777" w:rsidR="00C32561" w:rsidRPr="006747D5" w:rsidRDefault="00C32561" w:rsidP="00C32561">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tcPr>
          <w:p w14:paraId="2565DBCF" w14:textId="77777777" w:rsidR="00C32561" w:rsidRPr="00C32561" w:rsidRDefault="00C32561" w:rsidP="00C32561">
            <w:pPr>
              <w:spacing w:before="0" w:after="0"/>
              <w:jc w:val="right"/>
              <w:rPr>
                <w:sz w:val="18"/>
                <w:szCs w:val="18"/>
              </w:rPr>
            </w:pPr>
            <w:r w:rsidRPr="00C32561">
              <w:rPr>
                <w:sz w:val="18"/>
                <w:szCs w:val="18"/>
              </w:rPr>
              <w:t>10.924.101</w:t>
            </w:r>
          </w:p>
        </w:tc>
      </w:tr>
    </w:tbl>
    <w:p w14:paraId="6E0E91DA" w14:textId="77777777" w:rsidR="00D57D9C" w:rsidRPr="00E47066" w:rsidRDefault="00D57D9C" w:rsidP="001F1ADD">
      <w:pPr>
        <w:pStyle w:val="Artculo"/>
        <w:ind w:left="0"/>
        <w:outlineLvl w:val="2"/>
        <w:rPr>
          <w:b w:val="0"/>
        </w:rPr>
      </w:pPr>
      <w:r>
        <w:t xml:space="preserve">Modificar el artículo 7 de la </w:t>
      </w:r>
      <w:r w:rsidRPr="00A24EB4">
        <w:t>Resolución CREG 1</w:t>
      </w:r>
      <w:r w:rsidR="00C32561">
        <w:t>7</w:t>
      </w:r>
      <w:r w:rsidR="00BE5274">
        <w:t>8</w:t>
      </w:r>
      <w:r w:rsidRPr="00A24EB4">
        <w:t xml:space="preserve"> de 2019. </w:t>
      </w:r>
      <w:r>
        <w:rPr>
          <w:b w:val="0"/>
        </w:rPr>
        <w:t xml:space="preserve">El Artículo 7 de la </w:t>
      </w:r>
      <w:r w:rsidRPr="00A71EA8">
        <w:rPr>
          <w:b w:val="0"/>
        </w:rPr>
        <w:t xml:space="preserve">Resolución CREG </w:t>
      </w:r>
      <w:r>
        <w:rPr>
          <w:b w:val="0"/>
        </w:rPr>
        <w:t>1</w:t>
      </w:r>
      <w:r w:rsidR="00C32561">
        <w:rPr>
          <w:b w:val="0"/>
        </w:rPr>
        <w:t>7</w:t>
      </w:r>
      <w:r w:rsidR="00BE5274">
        <w:rPr>
          <w:b w:val="0"/>
        </w:rPr>
        <w:t>8</w:t>
      </w:r>
      <w:r w:rsidRPr="00A71EA8">
        <w:rPr>
          <w:b w:val="0"/>
        </w:rPr>
        <w:t xml:space="preserve"> de 2019</w:t>
      </w:r>
      <w:r>
        <w:rPr>
          <w:b w:val="0"/>
        </w:rPr>
        <w:t xml:space="preserve"> quedará así:</w:t>
      </w:r>
    </w:p>
    <w:p w14:paraId="3FFE3EB3" w14:textId="77777777" w:rsidR="00D57D9C" w:rsidRPr="00016274" w:rsidRDefault="00D57D9C" w:rsidP="00016274">
      <w:pPr>
        <w:ind w:left="708"/>
        <w:rPr>
          <w:b/>
          <w:sz w:val="22"/>
        </w:rPr>
      </w:pPr>
      <w:r w:rsidRPr="00016274">
        <w:rPr>
          <w:sz w:val="22"/>
        </w:rPr>
        <w:t>“</w:t>
      </w:r>
      <w:r w:rsidRPr="00016274">
        <w:rPr>
          <w:b/>
          <w:sz w:val="22"/>
        </w:rPr>
        <w:t>Artículo 7. AOM base por nivel de tensión.</w:t>
      </w:r>
      <w:r w:rsidRPr="00016274">
        <w:rPr>
          <w:sz w:val="22"/>
        </w:rPr>
        <w:t xml:space="preserve"> El valor del AOM base para cada nivel de tensión, </w:t>
      </w:r>
      <w:proofErr w:type="spellStart"/>
      <w:proofErr w:type="gramStart"/>
      <w:r w:rsidRPr="00016274">
        <w:rPr>
          <w:i/>
          <w:sz w:val="22"/>
        </w:rPr>
        <w:t>AOMbase</w:t>
      </w:r>
      <w:r w:rsidRPr="00016274">
        <w:rPr>
          <w:i/>
          <w:sz w:val="22"/>
          <w:vertAlign w:val="subscript"/>
        </w:rPr>
        <w:t>j,n</w:t>
      </w:r>
      <w:proofErr w:type="spellEnd"/>
      <w:proofErr w:type="gramEnd"/>
      <w:r w:rsidRPr="00016274">
        <w:rPr>
          <w:sz w:val="22"/>
        </w:rPr>
        <w:t>, es el siguiente:</w:t>
      </w:r>
    </w:p>
    <w:p w14:paraId="17B81F17" w14:textId="797EAF9C" w:rsidR="00D57D9C" w:rsidRDefault="00D57D9C" w:rsidP="001F1ADD">
      <w:pPr>
        <w:pStyle w:val="Descripcin"/>
        <w:spacing w:before="240" w:after="240" w:line="240" w:lineRule="auto"/>
      </w:pPr>
      <w:r>
        <w:t xml:space="preserve">Tabla </w:t>
      </w:r>
      <w:r w:rsidR="004A79C4">
        <w:t>9</w:t>
      </w:r>
      <w:r>
        <w:t xml:space="preserve">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57D9C" w:rsidRPr="00D443BE" w14:paraId="22CAF468" w14:textId="77777777" w:rsidTr="00437E9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D6277" w14:textId="77777777" w:rsidR="00D57D9C" w:rsidRPr="00D443BE" w:rsidRDefault="00D57D9C" w:rsidP="00437E9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407300C" w14:textId="77777777" w:rsidR="00D57D9C" w:rsidRPr="00D443BE" w:rsidRDefault="00D57D9C" w:rsidP="00437E9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C32561" w:rsidRPr="00C32561" w14:paraId="0E143727" w14:textId="77777777" w:rsidTr="00C3256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F0F0E86" w14:textId="77777777" w:rsidR="00C32561" w:rsidRPr="00D443BE" w:rsidRDefault="00C32561" w:rsidP="00C3256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D153A" w14:textId="77777777" w:rsidR="00C32561" w:rsidRPr="00C32561" w:rsidRDefault="00C32561" w:rsidP="00C32561">
            <w:pPr>
              <w:spacing w:before="0" w:after="0"/>
              <w:jc w:val="right"/>
              <w:rPr>
                <w:rFonts w:cs="Arial"/>
                <w:sz w:val="18"/>
                <w:szCs w:val="18"/>
                <w:lang w:val="es-CO" w:eastAsia="es-CO"/>
              </w:rPr>
            </w:pPr>
            <w:r w:rsidRPr="00C32561">
              <w:rPr>
                <w:sz w:val="18"/>
                <w:szCs w:val="18"/>
              </w:rPr>
              <w:t>776.850.899</w:t>
            </w:r>
          </w:p>
        </w:tc>
      </w:tr>
      <w:tr w:rsidR="00C32561" w:rsidRPr="00C32561" w14:paraId="6AA21D90" w14:textId="77777777" w:rsidTr="00C3256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89487EB" w14:textId="77777777" w:rsidR="00C32561" w:rsidRPr="00D443BE" w:rsidRDefault="00C32561" w:rsidP="00C3256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352F176A" w14:textId="77777777" w:rsidR="00C32561" w:rsidRPr="00C32561" w:rsidRDefault="00C32561" w:rsidP="00C32561">
            <w:pPr>
              <w:spacing w:before="0" w:after="0"/>
              <w:jc w:val="right"/>
              <w:rPr>
                <w:rFonts w:cs="Arial"/>
                <w:sz w:val="18"/>
                <w:szCs w:val="18"/>
              </w:rPr>
            </w:pPr>
            <w:r w:rsidRPr="00C32561">
              <w:rPr>
                <w:sz w:val="18"/>
                <w:szCs w:val="18"/>
              </w:rPr>
              <w:t>1.639.372.166</w:t>
            </w:r>
          </w:p>
        </w:tc>
      </w:tr>
      <w:tr w:rsidR="00C32561" w:rsidRPr="00C32561" w14:paraId="09AE392C" w14:textId="77777777" w:rsidTr="00C3256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8551845" w14:textId="77777777" w:rsidR="00C32561" w:rsidRPr="00D443BE" w:rsidRDefault="00C32561" w:rsidP="00C3256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2390EBAE" w14:textId="77777777" w:rsidR="00C32561" w:rsidRPr="00C32561" w:rsidRDefault="00C32561" w:rsidP="00C32561">
            <w:pPr>
              <w:spacing w:before="0" w:after="0"/>
              <w:jc w:val="right"/>
              <w:rPr>
                <w:rFonts w:cs="Arial"/>
                <w:sz w:val="18"/>
                <w:szCs w:val="18"/>
              </w:rPr>
            </w:pPr>
            <w:r w:rsidRPr="00C32561">
              <w:rPr>
                <w:sz w:val="18"/>
                <w:szCs w:val="18"/>
              </w:rPr>
              <w:t>3.949.680.247</w:t>
            </w:r>
          </w:p>
        </w:tc>
      </w:tr>
      <w:tr w:rsidR="00C32561" w:rsidRPr="00C32561" w14:paraId="3D96ECD5" w14:textId="77777777" w:rsidTr="00C32561">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BD400FB" w14:textId="77777777" w:rsidR="00C32561" w:rsidRPr="00D443BE" w:rsidRDefault="00C32561" w:rsidP="00C32561">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0F369FA3" w14:textId="77777777" w:rsidR="00C32561" w:rsidRPr="00C32561" w:rsidRDefault="00C32561" w:rsidP="00C32561">
            <w:pPr>
              <w:spacing w:before="0" w:after="0"/>
              <w:jc w:val="right"/>
              <w:rPr>
                <w:rFonts w:cs="Arial"/>
                <w:sz w:val="18"/>
                <w:szCs w:val="18"/>
              </w:rPr>
            </w:pPr>
            <w:r w:rsidRPr="00C32561">
              <w:rPr>
                <w:sz w:val="18"/>
                <w:szCs w:val="18"/>
              </w:rPr>
              <w:t>2.675.534.083</w:t>
            </w:r>
          </w:p>
        </w:tc>
      </w:tr>
    </w:tbl>
    <w:p w14:paraId="62087F31" w14:textId="77777777" w:rsidR="00D57D9C" w:rsidRPr="00E47066" w:rsidRDefault="00D57D9C" w:rsidP="001F1ADD">
      <w:pPr>
        <w:pStyle w:val="Artculo"/>
        <w:ind w:left="0"/>
      </w:pPr>
      <w:bookmarkStart w:id="10" w:name="_Ref194754334"/>
      <w:bookmarkEnd w:id="7"/>
      <w:bookmarkEnd w:id="8"/>
      <w:bookmarkEnd w:id="9"/>
      <w:r w:rsidRPr="00E47066">
        <w:t>Modificar el artículo 1</w:t>
      </w:r>
      <w:r w:rsidR="008F701B">
        <w:t>5</w:t>
      </w:r>
      <w:r w:rsidRPr="00E47066">
        <w:t xml:space="preserve"> de la Resolución CREG 1</w:t>
      </w:r>
      <w:r w:rsidR="00F249B4">
        <w:t>7</w:t>
      </w:r>
      <w:r w:rsidR="008F701B">
        <w:t>8</w:t>
      </w:r>
      <w:r w:rsidRPr="00E47066">
        <w:t xml:space="preserve"> de 2019</w:t>
      </w:r>
      <w:r>
        <w:t xml:space="preserve">. </w:t>
      </w:r>
      <w:r w:rsidRPr="006834A5">
        <w:rPr>
          <w:b w:val="0"/>
        </w:rPr>
        <w:t>El artículo</w:t>
      </w:r>
      <w:r>
        <w:t xml:space="preserve"> </w:t>
      </w:r>
      <w:r w:rsidRPr="006834A5">
        <w:rPr>
          <w:b w:val="0"/>
        </w:rPr>
        <w:t>1</w:t>
      </w:r>
      <w:r w:rsidR="008F701B">
        <w:rPr>
          <w:b w:val="0"/>
        </w:rPr>
        <w:t>5</w:t>
      </w:r>
      <w:r w:rsidRPr="006834A5">
        <w:rPr>
          <w:b w:val="0"/>
        </w:rPr>
        <w:t xml:space="preserve"> de la Resolución CREG 1</w:t>
      </w:r>
      <w:r w:rsidR="00F249B4">
        <w:rPr>
          <w:b w:val="0"/>
        </w:rPr>
        <w:t>7</w:t>
      </w:r>
      <w:r w:rsidR="008F701B">
        <w:rPr>
          <w:b w:val="0"/>
        </w:rPr>
        <w:t>8</w:t>
      </w:r>
      <w:r w:rsidRPr="006834A5">
        <w:rPr>
          <w:b w:val="0"/>
        </w:rPr>
        <w:t xml:space="preserve"> de 2019</w:t>
      </w:r>
      <w:r>
        <w:rPr>
          <w:b w:val="0"/>
        </w:rPr>
        <w:t xml:space="preserve"> quedará así:</w:t>
      </w:r>
    </w:p>
    <w:p w14:paraId="7B047681" w14:textId="77777777" w:rsidR="00D57D9C" w:rsidRDefault="00D57D9C" w:rsidP="001F1ADD">
      <w:pPr>
        <w:pStyle w:val="Artculo"/>
        <w:numPr>
          <w:ilvl w:val="0"/>
          <w:numId w:val="0"/>
        </w:numPr>
        <w:ind w:left="708"/>
        <w:outlineLvl w:val="2"/>
        <w:rPr>
          <w:b w:val="0"/>
        </w:rPr>
      </w:pPr>
      <w:r>
        <w:t>“Artículo 1</w:t>
      </w:r>
      <w:r w:rsidR="00234CD0">
        <w:t>5</w:t>
      </w:r>
      <w:r>
        <w:t xml:space="preserve">. </w:t>
      </w:r>
      <w:r w:rsidRPr="00823CA6">
        <w:t>Costos de reposición de referencia.</w:t>
      </w:r>
      <w:r>
        <w:rPr>
          <w:b w:val="0"/>
        </w:rPr>
        <w:t xml:space="preserve"> El costo de reposición de referencia, </w:t>
      </w:r>
      <w:proofErr w:type="spellStart"/>
      <w:r w:rsidRPr="00734187">
        <w:rPr>
          <w:b w:val="0"/>
          <w:i/>
        </w:rPr>
        <w:t>CRR</w:t>
      </w:r>
      <w:r w:rsidRPr="00734187">
        <w:rPr>
          <w:b w:val="0"/>
          <w:i/>
          <w:vertAlign w:val="subscript"/>
        </w:rPr>
        <w:t>j</w:t>
      </w:r>
      <w:proofErr w:type="spellEnd"/>
      <w:r>
        <w:rPr>
          <w:b w:val="0"/>
        </w:rPr>
        <w:t xml:space="preserve">, y los costos de reposición de referencia por nivel de tensión, </w:t>
      </w:r>
      <w:proofErr w:type="spellStart"/>
      <w:proofErr w:type="gramStart"/>
      <w:r w:rsidRPr="00734187">
        <w:rPr>
          <w:b w:val="0"/>
          <w:i/>
        </w:rPr>
        <w:t>C</w:t>
      </w:r>
      <w:r>
        <w:rPr>
          <w:b w:val="0"/>
          <w:i/>
        </w:rPr>
        <w:t>rr</w:t>
      </w:r>
      <w:r w:rsidRPr="00734187">
        <w:rPr>
          <w:b w:val="0"/>
          <w:i/>
          <w:vertAlign w:val="subscript"/>
        </w:rPr>
        <w:t>j</w:t>
      </w:r>
      <w:r>
        <w:rPr>
          <w:b w:val="0"/>
          <w:i/>
          <w:vertAlign w:val="subscript"/>
        </w:rPr>
        <w:t>,n</w:t>
      </w:r>
      <w:proofErr w:type="spellEnd"/>
      <w:proofErr w:type="gramEnd"/>
      <w:r>
        <w:rPr>
          <w:b w:val="0"/>
        </w:rPr>
        <w:t xml:space="preserve">, son los </w:t>
      </w:r>
      <w:r w:rsidRPr="00690CEF">
        <w:rPr>
          <w:b w:val="0"/>
        </w:rPr>
        <w:t>siguiente</w:t>
      </w:r>
      <w:r>
        <w:rPr>
          <w:b w:val="0"/>
        </w:rPr>
        <w:t>s</w:t>
      </w:r>
      <w:r w:rsidRPr="00690CEF">
        <w:rPr>
          <w:b w:val="0"/>
        </w:rPr>
        <w:t>:</w:t>
      </w:r>
    </w:p>
    <w:p w14:paraId="75432ECB" w14:textId="7466BEB9" w:rsidR="00D57D9C" w:rsidRDefault="00D57D9C" w:rsidP="001F1ADD">
      <w:pPr>
        <w:pStyle w:val="Descripcin"/>
        <w:widowControl/>
        <w:spacing w:before="240" w:after="240" w:line="240" w:lineRule="auto"/>
      </w:pPr>
      <w:r>
        <w:t xml:space="preserve">Tabla </w:t>
      </w:r>
      <w:r w:rsidR="004A79C4">
        <w:t>19</w:t>
      </w:r>
      <w:r>
        <w:t xml:space="preserve"> 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D57D9C" w:rsidRPr="000E022D" w14:paraId="23F75B07" w14:textId="77777777" w:rsidTr="00016274">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70C5F" w14:textId="77777777" w:rsidR="00D57D9C" w:rsidRPr="000E022D" w:rsidRDefault="00D57D9C" w:rsidP="00437E9E">
            <w:pPr>
              <w:keepNext/>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65525E45" w14:textId="77777777" w:rsidR="00D57D9C" w:rsidRPr="000E022D" w:rsidRDefault="00D57D9C" w:rsidP="00437E9E">
            <w:pPr>
              <w:keepNext/>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02628A" w:rsidRPr="000E022D" w14:paraId="7C846948" w14:textId="77777777" w:rsidTr="0002628A">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36BECD7" w14:textId="77777777" w:rsidR="0002628A" w:rsidRPr="000E022D" w:rsidRDefault="0002628A" w:rsidP="0002628A">
            <w:pPr>
              <w:keepNext/>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9D104" w14:textId="77777777" w:rsidR="0002628A" w:rsidRPr="0002628A" w:rsidRDefault="0002628A" w:rsidP="0002628A">
            <w:pPr>
              <w:keepNext/>
              <w:spacing w:before="0" w:after="0"/>
              <w:jc w:val="right"/>
              <w:rPr>
                <w:rFonts w:cs="Arial"/>
                <w:sz w:val="20"/>
                <w:szCs w:val="20"/>
                <w:lang w:val="es-CO" w:eastAsia="es-CO"/>
              </w:rPr>
            </w:pPr>
            <w:r w:rsidRPr="0002628A">
              <w:rPr>
                <w:sz w:val="20"/>
                <w:szCs w:val="20"/>
              </w:rPr>
              <w:t>360.137.398.312</w:t>
            </w:r>
          </w:p>
        </w:tc>
      </w:tr>
      <w:tr w:rsidR="0002628A" w:rsidRPr="000E022D" w14:paraId="1D9A0D37" w14:textId="77777777" w:rsidTr="0002628A">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EC7DF65" w14:textId="77777777" w:rsidR="0002628A" w:rsidRPr="000E022D" w:rsidRDefault="0002628A" w:rsidP="0002628A">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54D229CA" w14:textId="77777777" w:rsidR="0002628A" w:rsidRPr="0002628A" w:rsidRDefault="0002628A" w:rsidP="0002628A">
            <w:pPr>
              <w:spacing w:before="0" w:after="0"/>
              <w:jc w:val="right"/>
              <w:rPr>
                <w:rFonts w:cs="Arial"/>
                <w:sz w:val="20"/>
                <w:szCs w:val="20"/>
              </w:rPr>
            </w:pPr>
            <w:r w:rsidRPr="0002628A">
              <w:rPr>
                <w:sz w:val="20"/>
                <w:szCs w:val="20"/>
              </w:rPr>
              <w:t>29.961.187.823</w:t>
            </w:r>
          </w:p>
        </w:tc>
      </w:tr>
      <w:tr w:rsidR="0002628A" w:rsidRPr="000E022D" w14:paraId="703C710B" w14:textId="77777777" w:rsidTr="0002628A">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9F9C0DC" w14:textId="77777777" w:rsidR="0002628A" w:rsidRPr="000E022D" w:rsidRDefault="0002628A" w:rsidP="0002628A">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3D689582" w14:textId="77777777" w:rsidR="0002628A" w:rsidRPr="0002628A" w:rsidRDefault="0002628A" w:rsidP="0002628A">
            <w:pPr>
              <w:spacing w:before="0" w:after="0"/>
              <w:jc w:val="right"/>
              <w:rPr>
                <w:rFonts w:cs="Arial"/>
                <w:sz w:val="20"/>
                <w:szCs w:val="20"/>
              </w:rPr>
            </w:pPr>
            <w:r w:rsidRPr="0002628A">
              <w:rPr>
                <w:sz w:val="20"/>
                <w:szCs w:val="20"/>
              </w:rPr>
              <w:t>63.109.927.257</w:t>
            </w:r>
          </w:p>
        </w:tc>
      </w:tr>
      <w:tr w:rsidR="0002628A" w:rsidRPr="000E022D" w14:paraId="02A5B439" w14:textId="77777777" w:rsidTr="0002628A">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9C9A483" w14:textId="77777777" w:rsidR="0002628A" w:rsidRPr="000E022D" w:rsidRDefault="0002628A" w:rsidP="0002628A">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27B916A0" w14:textId="77777777" w:rsidR="0002628A" w:rsidRPr="0002628A" w:rsidRDefault="0002628A" w:rsidP="0002628A">
            <w:pPr>
              <w:spacing w:before="0" w:after="0"/>
              <w:jc w:val="right"/>
              <w:rPr>
                <w:rFonts w:cs="Arial"/>
                <w:sz w:val="20"/>
                <w:szCs w:val="20"/>
              </w:rPr>
            </w:pPr>
            <w:r w:rsidRPr="0002628A">
              <w:rPr>
                <w:sz w:val="20"/>
                <w:szCs w:val="20"/>
              </w:rPr>
              <w:t>153.908.535.938</w:t>
            </w:r>
          </w:p>
        </w:tc>
      </w:tr>
      <w:tr w:rsidR="0002628A" w:rsidRPr="000E022D" w14:paraId="74B003ED" w14:textId="77777777" w:rsidTr="0002628A">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9FF95BF" w14:textId="77777777" w:rsidR="0002628A" w:rsidRPr="000E022D" w:rsidRDefault="0002628A" w:rsidP="0002628A">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4D208C37" w14:textId="77777777" w:rsidR="0002628A" w:rsidRPr="0002628A" w:rsidRDefault="0002628A" w:rsidP="0002628A">
            <w:pPr>
              <w:spacing w:before="0" w:after="0"/>
              <w:jc w:val="right"/>
              <w:rPr>
                <w:rFonts w:cs="Arial"/>
                <w:sz w:val="20"/>
                <w:szCs w:val="20"/>
              </w:rPr>
            </w:pPr>
            <w:r w:rsidRPr="0002628A">
              <w:rPr>
                <w:sz w:val="20"/>
                <w:szCs w:val="20"/>
              </w:rPr>
              <w:t>113.157.747.295</w:t>
            </w:r>
          </w:p>
        </w:tc>
      </w:tr>
      <w:bookmarkEnd w:id="10"/>
    </w:tbl>
    <w:p w14:paraId="1F939528" w14:textId="77777777" w:rsidR="003928B8" w:rsidRDefault="003928B8" w:rsidP="003928B8">
      <w:pPr>
        <w:pStyle w:val="Artculo"/>
        <w:numPr>
          <w:ilvl w:val="0"/>
          <w:numId w:val="0"/>
        </w:numPr>
        <w:spacing w:before="0" w:after="0"/>
        <w:rPr>
          <w:b w:val="0"/>
        </w:rPr>
      </w:pPr>
    </w:p>
    <w:p w14:paraId="7BCDF552" w14:textId="3B784DDC" w:rsidR="00D57D9C" w:rsidRDefault="00D57D9C" w:rsidP="003928B8">
      <w:pPr>
        <w:pStyle w:val="Artculo"/>
        <w:spacing w:before="0" w:after="0"/>
        <w:ind w:left="0"/>
        <w:rPr>
          <w:b w:val="0"/>
        </w:rPr>
      </w:pPr>
      <w:r w:rsidRPr="00A4007A">
        <w:rPr>
          <w:b w:val="0"/>
        </w:rPr>
        <w:lastRenderedPageBreak/>
        <w:t>La presente resolución deberá notificarse a</w:t>
      </w:r>
      <w:r w:rsidR="00234CD0">
        <w:rPr>
          <w:b w:val="0"/>
        </w:rPr>
        <w:t>l representante legal de</w:t>
      </w:r>
      <w:r w:rsidRPr="00A4007A">
        <w:rPr>
          <w:b w:val="0"/>
        </w:rPr>
        <w:t xml:space="preserve"> </w:t>
      </w:r>
      <w:r w:rsidR="008F701B">
        <w:rPr>
          <w:b w:val="0"/>
        </w:rPr>
        <w:t xml:space="preserve">la </w:t>
      </w:r>
      <w:r w:rsidR="00B63824">
        <w:rPr>
          <w:b w:val="0"/>
        </w:rPr>
        <w:t xml:space="preserve">Empresa de Energía de Pereira </w:t>
      </w:r>
      <w:r>
        <w:rPr>
          <w:b w:val="0"/>
        </w:rPr>
        <w:t>S.A. E.S.P.</w:t>
      </w:r>
      <w:r w:rsidRPr="00F91043">
        <w:rPr>
          <w:b w:val="0"/>
        </w:rPr>
        <w:t xml:space="preserve"> </w:t>
      </w:r>
      <w:r w:rsidR="00234CD0">
        <w:rPr>
          <w:b w:val="0"/>
        </w:rPr>
        <w:t>C</w:t>
      </w:r>
      <w:r w:rsidRPr="00A4007A">
        <w:rPr>
          <w:b w:val="0"/>
        </w:rPr>
        <w:t>ontra lo aquí dispuesto no procede recurso alguno</w:t>
      </w:r>
      <w:r w:rsidR="00250453">
        <w:rPr>
          <w:b w:val="0"/>
        </w:rPr>
        <w:t>,</w:t>
      </w:r>
      <w:r w:rsidRPr="00A4007A">
        <w:rPr>
          <w:b w:val="0"/>
        </w:rPr>
        <w:t xml:space="preserve"> por haber finalizado la actuación administrativa correspondiente a la presentación de recursos previsto en la Ley.</w:t>
      </w:r>
    </w:p>
    <w:p w14:paraId="27494A2B" w14:textId="29678D62" w:rsidR="00D57D9C" w:rsidRDefault="00D57D9C" w:rsidP="00D57D9C">
      <w:pPr>
        <w:spacing w:before="0" w:after="0"/>
        <w:jc w:val="center"/>
        <w:rPr>
          <w:b/>
        </w:rPr>
      </w:pPr>
    </w:p>
    <w:p w14:paraId="04A7A539" w14:textId="77777777" w:rsidR="00C34EED" w:rsidRPr="00BF69C9" w:rsidRDefault="00C34EED" w:rsidP="00D57D9C">
      <w:pPr>
        <w:spacing w:before="0" w:after="0"/>
        <w:jc w:val="center"/>
        <w:rPr>
          <w:b/>
        </w:rPr>
      </w:pPr>
    </w:p>
    <w:p w14:paraId="41AF255E" w14:textId="77777777" w:rsidR="00D57D9C" w:rsidRPr="00BF69C9" w:rsidRDefault="00D57D9C" w:rsidP="00D57D9C">
      <w:pPr>
        <w:spacing w:before="0" w:after="0"/>
        <w:jc w:val="center"/>
        <w:rPr>
          <w:b/>
        </w:rPr>
      </w:pPr>
      <w:r>
        <w:rPr>
          <w:b/>
        </w:rPr>
        <w:t>NOTIFÍQUESE</w:t>
      </w:r>
      <w:r w:rsidRPr="00BF69C9">
        <w:rPr>
          <w:b/>
        </w:rPr>
        <w:t xml:space="preserve"> Y CÚMPLASE</w:t>
      </w:r>
    </w:p>
    <w:p w14:paraId="77396781" w14:textId="77777777" w:rsidR="00D57D9C" w:rsidRPr="00BF69C9" w:rsidRDefault="00D57D9C" w:rsidP="00D57D9C">
      <w:pPr>
        <w:ind w:right="425"/>
        <w:jc w:val="left"/>
      </w:pPr>
    </w:p>
    <w:p w14:paraId="7044B054" w14:textId="77777777" w:rsidR="00D57D9C" w:rsidRPr="00BF69C9" w:rsidRDefault="00D57D9C" w:rsidP="00D57D9C">
      <w:r w:rsidRPr="00BF69C9">
        <w:t xml:space="preserve">Dado en Bogotá D.C., </w:t>
      </w:r>
    </w:p>
    <w:p w14:paraId="1D6D3AFD" w14:textId="49321393" w:rsidR="00D57D9C" w:rsidRDefault="00D57D9C" w:rsidP="00D57D9C">
      <w:pPr>
        <w:spacing w:before="0" w:after="0"/>
        <w:jc w:val="center"/>
        <w:rPr>
          <w:b/>
        </w:rPr>
      </w:pPr>
    </w:p>
    <w:p w14:paraId="2125C938" w14:textId="77777777" w:rsidR="00003055" w:rsidRDefault="00003055" w:rsidP="00D57D9C">
      <w:pPr>
        <w:spacing w:before="0" w:after="0"/>
        <w:jc w:val="center"/>
        <w:rPr>
          <w:b/>
        </w:rPr>
      </w:pPr>
    </w:p>
    <w:p w14:paraId="33AE6A63" w14:textId="45342810" w:rsidR="00003055" w:rsidRDefault="00003055" w:rsidP="00D57D9C">
      <w:pPr>
        <w:spacing w:before="0" w:after="0"/>
        <w:jc w:val="center"/>
        <w:rPr>
          <w:b/>
        </w:rPr>
      </w:pPr>
    </w:p>
    <w:tbl>
      <w:tblPr>
        <w:tblW w:w="9498" w:type="dxa"/>
        <w:jc w:val="center"/>
        <w:tblLayout w:type="fixed"/>
        <w:tblCellMar>
          <w:left w:w="70" w:type="dxa"/>
          <w:right w:w="70" w:type="dxa"/>
        </w:tblCellMar>
        <w:tblLook w:val="0000" w:firstRow="0" w:lastRow="0" w:firstColumn="0" w:lastColumn="0" w:noHBand="0" w:noVBand="0"/>
      </w:tblPr>
      <w:tblGrid>
        <w:gridCol w:w="4678"/>
        <w:gridCol w:w="4820"/>
      </w:tblGrid>
      <w:tr w:rsidR="00003055" w:rsidRPr="002F4909" w14:paraId="4CCEB073" w14:textId="77777777" w:rsidTr="00003055">
        <w:trPr>
          <w:jc w:val="center"/>
        </w:trPr>
        <w:tc>
          <w:tcPr>
            <w:tcW w:w="4678" w:type="dxa"/>
          </w:tcPr>
          <w:p w14:paraId="6384F7D4" w14:textId="77777777" w:rsidR="00003055" w:rsidRPr="00484D59" w:rsidRDefault="00003055" w:rsidP="00003055">
            <w:pPr>
              <w:tabs>
                <w:tab w:val="left" w:pos="-720"/>
              </w:tabs>
              <w:suppressAutoHyphens/>
              <w:spacing w:before="0" w:after="0"/>
              <w:jc w:val="center"/>
              <w:rPr>
                <w:rFonts w:cs="Arial"/>
                <w:b/>
                <w:spacing w:val="-3"/>
              </w:rPr>
            </w:pPr>
            <w:r w:rsidRPr="00484D59">
              <w:rPr>
                <w:rFonts w:cs="Arial"/>
                <w:b/>
                <w:spacing w:val="-3"/>
              </w:rPr>
              <w:t>DIEGO MESA PUYO</w:t>
            </w:r>
          </w:p>
          <w:p w14:paraId="39C02233" w14:textId="77777777" w:rsidR="00003055" w:rsidRDefault="00003055" w:rsidP="00003055">
            <w:pPr>
              <w:tabs>
                <w:tab w:val="left" w:pos="-720"/>
              </w:tabs>
              <w:suppressAutoHyphens/>
              <w:spacing w:before="0" w:after="0"/>
              <w:jc w:val="center"/>
              <w:rPr>
                <w:rFonts w:cs="Arial"/>
                <w:spacing w:val="-3"/>
              </w:rPr>
            </w:pPr>
            <w:r w:rsidRPr="00484D59">
              <w:rPr>
                <w:rFonts w:cs="Arial"/>
                <w:spacing w:val="-3"/>
              </w:rPr>
              <w:t>Viceministro de Energía</w:t>
            </w:r>
            <w:r>
              <w:rPr>
                <w:rFonts w:cs="Arial"/>
                <w:spacing w:val="-3"/>
              </w:rPr>
              <w:t xml:space="preserve"> </w:t>
            </w:r>
            <w:r w:rsidRPr="00484D59">
              <w:rPr>
                <w:rFonts w:cs="Arial"/>
                <w:spacing w:val="-3"/>
              </w:rPr>
              <w:t>Delegado</w:t>
            </w:r>
          </w:p>
          <w:p w14:paraId="33105BC8" w14:textId="51BC240F" w:rsidR="00003055" w:rsidRPr="002F4909" w:rsidRDefault="00003055" w:rsidP="00003055">
            <w:pPr>
              <w:tabs>
                <w:tab w:val="left" w:pos="-720"/>
              </w:tabs>
              <w:suppressAutoHyphens/>
              <w:spacing w:before="0" w:after="0"/>
              <w:jc w:val="center"/>
              <w:rPr>
                <w:rFonts w:cs="Arial"/>
                <w:b/>
                <w:strike/>
                <w:spacing w:val="-3"/>
                <w:sz w:val="23"/>
                <w:szCs w:val="23"/>
              </w:rPr>
            </w:pPr>
            <w:r w:rsidRPr="00484D59">
              <w:rPr>
                <w:rFonts w:cs="Arial"/>
                <w:spacing w:val="-3"/>
              </w:rPr>
              <w:t xml:space="preserve"> de la</w:t>
            </w:r>
            <w:r w:rsidRPr="00484D59">
              <w:rPr>
                <w:rFonts w:cs="Arial"/>
                <w:b/>
                <w:spacing w:val="-3"/>
              </w:rPr>
              <w:t xml:space="preserve"> </w:t>
            </w:r>
            <w:proofErr w:type="gramStart"/>
            <w:r w:rsidRPr="00484D59">
              <w:t>Ministra</w:t>
            </w:r>
            <w:proofErr w:type="gramEnd"/>
            <w:r w:rsidRPr="00484D59">
              <w:t xml:space="preserve"> de Minas y Energía Presidente</w:t>
            </w:r>
          </w:p>
        </w:tc>
        <w:tc>
          <w:tcPr>
            <w:tcW w:w="4820" w:type="dxa"/>
          </w:tcPr>
          <w:p w14:paraId="159DC8EC" w14:textId="7F533CE5" w:rsidR="00003055" w:rsidRPr="00484D59" w:rsidRDefault="00003055" w:rsidP="00003055">
            <w:pPr>
              <w:tabs>
                <w:tab w:val="left" w:pos="-720"/>
              </w:tabs>
              <w:suppressAutoHyphens/>
              <w:spacing w:before="0" w:after="0"/>
              <w:jc w:val="center"/>
              <w:rPr>
                <w:rFonts w:cs="Arial"/>
                <w:b/>
              </w:rPr>
            </w:pPr>
            <w:r>
              <w:rPr>
                <w:rFonts w:cs="Arial"/>
                <w:b/>
              </w:rPr>
              <w:t>JORGE ALBERTO VALENCIA MARÍN</w:t>
            </w:r>
          </w:p>
          <w:p w14:paraId="6131C13A" w14:textId="77777777" w:rsidR="00003055" w:rsidRPr="002F4909" w:rsidRDefault="00003055" w:rsidP="00003055">
            <w:pPr>
              <w:tabs>
                <w:tab w:val="left" w:pos="-720"/>
              </w:tabs>
              <w:suppressAutoHyphens/>
              <w:spacing w:before="0"/>
              <w:jc w:val="center"/>
              <w:rPr>
                <w:rFonts w:cs="Arial"/>
                <w:b/>
                <w:spacing w:val="-3"/>
                <w:sz w:val="23"/>
                <w:szCs w:val="23"/>
              </w:rPr>
            </w:pPr>
            <w:r w:rsidRPr="00484D59">
              <w:rPr>
                <w:rFonts w:cs="Arial"/>
                <w:spacing w:val="-3"/>
              </w:rPr>
              <w:t>Director Ejecutiv</w:t>
            </w:r>
            <w:r>
              <w:rPr>
                <w:rFonts w:cs="Arial"/>
                <w:spacing w:val="-3"/>
              </w:rPr>
              <w:t>o</w:t>
            </w:r>
          </w:p>
        </w:tc>
      </w:tr>
    </w:tbl>
    <w:p w14:paraId="7CF1CE51" w14:textId="77777777" w:rsidR="00003055" w:rsidRPr="00CF2A2D" w:rsidRDefault="00003055" w:rsidP="00D57D9C">
      <w:pPr>
        <w:spacing w:before="0" w:after="0"/>
        <w:jc w:val="center"/>
        <w:rPr>
          <w:b/>
        </w:rPr>
      </w:pPr>
    </w:p>
    <w:p w14:paraId="027CC27F" w14:textId="77777777" w:rsidR="00D57D9C" w:rsidRPr="00B6354E" w:rsidRDefault="00D57D9C" w:rsidP="00D57D9C"/>
    <w:p w14:paraId="073E39AA" w14:textId="77777777" w:rsidR="00950BFC" w:rsidRPr="00D57D9C" w:rsidRDefault="00950BFC" w:rsidP="00D57D9C"/>
    <w:sectPr w:rsidR="00950BFC" w:rsidRPr="00D57D9C" w:rsidSect="00C6167C">
      <w:headerReference w:type="default" r:id="rId15"/>
      <w:headerReference w:type="first" r:id="rId16"/>
      <w:type w:val="continuous"/>
      <w:pgSz w:w="12242" w:h="18722" w:code="123"/>
      <w:pgMar w:top="2268"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08F89" w14:textId="77777777" w:rsidR="00B91ED9" w:rsidRDefault="00B91ED9">
      <w:r>
        <w:separator/>
      </w:r>
    </w:p>
    <w:p w14:paraId="42DF45EC" w14:textId="77777777" w:rsidR="00B91ED9" w:rsidRDefault="00B91ED9"/>
    <w:p w14:paraId="0A8A4FB2" w14:textId="77777777" w:rsidR="00B91ED9" w:rsidRDefault="00B91ED9" w:rsidP="00C851C0"/>
  </w:endnote>
  <w:endnote w:type="continuationSeparator" w:id="0">
    <w:p w14:paraId="24CA5AE8" w14:textId="77777777" w:rsidR="00B91ED9" w:rsidRDefault="00B91ED9">
      <w:r>
        <w:continuationSeparator/>
      </w:r>
    </w:p>
    <w:p w14:paraId="020E41BD" w14:textId="77777777" w:rsidR="00B91ED9" w:rsidRDefault="00B91ED9"/>
    <w:p w14:paraId="77FC9FC3" w14:textId="77777777" w:rsidR="00B91ED9" w:rsidRDefault="00B91ED9"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59CA2" w14:textId="77777777" w:rsidR="00B91ED9" w:rsidRDefault="00B91ED9">
      <w:r>
        <w:separator/>
      </w:r>
    </w:p>
    <w:p w14:paraId="6296B89C" w14:textId="77777777" w:rsidR="00B91ED9" w:rsidRDefault="00B91ED9"/>
    <w:p w14:paraId="4B3516A2" w14:textId="77777777" w:rsidR="00B91ED9" w:rsidRDefault="00B91ED9" w:rsidP="00C851C0"/>
  </w:footnote>
  <w:footnote w:type="continuationSeparator" w:id="0">
    <w:p w14:paraId="21088CB8" w14:textId="77777777" w:rsidR="00B91ED9" w:rsidRDefault="00B91ED9">
      <w:r>
        <w:continuationSeparator/>
      </w:r>
    </w:p>
    <w:p w14:paraId="600B2B4F" w14:textId="77777777" w:rsidR="00B91ED9" w:rsidRDefault="00B91ED9"/>
    <w:p w14:paraId="278965F2" w14:textId="77777777" w:rsidR="00B91ED9" w:rsidRDefault="00B91ED9"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8FC2" w14:textId="0520C2D5" w:rsidR="0038431F" w:rsidRPr="002560C5" w:rsidRDefault="0038431F"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662ACE">
      <w:rPr>
        <w:rFonts w:cs="Arial"/>
        <w:b w:val="0"/>
        <w:sz w:val="22"/>
        <w:szCs w:val="22"/>
        <w:u w:val="single"/>
      </w:rPr>
      <w:t xml:space="preserve"> </w:t>
    </w:r>
    <w:r w:rsidR="00662ACE">
      <w:rPr>
        <w:rFonts w:cs="Arial"/>
        <w:b w:val="0"/>
        <w:sz w:val="22"/>
        <w:szCs w:val="22"/>
        <w:u w:val="single"/>
      </w:rPr>
      <w:t xml:space="preserve">   </w:t>
    </w:r>
    <w:r w:rsidR="00662ACE" w:rsidRPr="00662ACE">
      <w:rPr>
        <w:rFonts w:cs="Arial"/>
        <w:bCs/>
        <w:sz w:val="28"/>
        <w:szCs w:val="28"/>
        <w:u w:val="single"/>
      </w:rPr>
      <w:t>026</w:t>
    </w:r>
    <w:r w:rsidR="00662ACE" w:rsidRPr="00662ACE">
      <w:rPr>
        <w:rFonts w:cs="Arial"/>
        <w:b w:val="0"/>
        <w:sz w:val="22"/>
        <w:szCs w:val="22"/>
        <w:u w:val="single"/>
      </w:rPr>
      <w:t xml:space="preserve">     </w:t>
    </w:r>
    <w:r w:rsidRPr="00662ACE">
      <w:rPr>
        <w:rFonts w:cs="Arial"/>
        <w:b w:val="0"/>
        <w:sz w:val="22"/>
        <w:szCs w:val="22"/>
      </w:rPr>
      <w:tab/>
    </w:r>
    <w:r w:rsidRPr="002560C5">
      <w:rPr>
        <w:rFonts w:cs="Arial"/>
        <w:b w:val="0"/>
        <w:sz w:val="22"/>
        <w:szCs w:val="22"/>
      </w:rPr>
      <w:t xml:space="preserve">DE </w:t>
    </w:r>
    <w:r w:rsidR="00662ACE" w:rsidRPr="00662ACE">
      <w:rPr>
        <w:rFonts w:cs="Arial"/>
        <w:bCs/>
        <w:sz w:val="28"/>
        <w:szCs w:val="28"/>
        <w:u w:val="single"/>
      </w:rPr>
      <w:t>12 MAR. 2020</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17</w:t>
    </w:r>
    <w:r w:rsidRPr="002560C5">
      <w:rPr>
        <w:rFonts w:cs="Arial"/>
        <w:b w:val="0"/>
        <w:sz w:val="22"/>
        <w:szCs w:val="22"/>
      </w:rPr>
      <w:fldChar w:fldCharType="end"/>
    </w:r>
    <w:r w:rsidRPr="002560C5">
      <w:rPr>
        <w:rFonts w:cs="Arial"/>
        <w:b w:val="0"/>
        <w:sz w:val="22"/>
        <w:szCs w:val="22"/>
      </w:rPr>
      <w:t>/</w:t>
    </w:r>
    <w:fldSimple w:instr=" NUMPAGES  \* MERGEFORMAT ">
      <w:r w:rsidRPr="00F1637D">
        <w:rPr>
          <w:rFonts w:cs="Arial"/>
          <w:b w:val="0"/>
          <w:noProof/>
          <w:sz w:val="22"/>
          <w:szCs w:val="22"/>
        </w:rPr>
        <w:t>17</w:t>
      </w:r>
    </w:fldSimple>
  </w:p>
  <w:p w14:paraId="124BE95C" w14:textId="77777777" w:rsidR="0038431F" w:rsidRDefault="0038431F"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26F7D747" wp14:editId="0D0A7E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32B1A"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054426C6" w14:textId="77777777" w:rsidR="0038431F" w:rsidRPr="00F30572" w:rsidRDefault="0038431F" w:rsidP="00C202E9">
    <w:pPr>
      <w:pBdr>
        <w:bottom w:val="single" w:sz="4" w:space="1" w:color="auto"/>
      </w:pBdr>
      <w:rPr>
        <w:sz w:val="22"/>
        <w:szCs w:val="22"/>
      </w:rPr>
    </w:pPr>
    <w:r w:rsidRPr="00A444D5">
      <w:rPr>
        <w:sz w:val="22"/>
        <w:szCs w:val="22"/>
      </w:rPr>
      <w:t xml:space="preserve">Por la cual se resuelve el recurso de reposición interpuesto por </w:t>
    </w:r>
    <w:r>
      <w:rPr>
        <w:sz w:val="22"/>
        <w:szCs w:val="22"/>
      </w:rPr>
      <w:t xml:space="preserve">la Empresa de Energía de Pereira </w:t>
    </w:r>
    <w:r w:rsidRPr="00A444D5">
      <w:rPr>
        <w:sz w:val="22"/>
        <w:szCs w:val="22"/>
      </w:rPr>
      <w:t>S.A. E.S.P., contra la Resolución CREG 1</w:t>
    </w:r>
    <w:r>
      <w:rPr>
        <w:sz w:val="22"/>
        <w:szCs w:val="22"/>
      </w:rPr>
      <w:t>78</w:t>
    </w:r>
    <w:r w:rsidRPr="00A444D5">
      <w:rPr>
        <w:sz w:val="22"/>
        <w:szCs w:val="22"/>
      </w:rPr>
      <w:t xml:space="preserve"> de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DB5B" w14:textId="77777777" w:rsidR="0038431F" w:rsidRDefault="0038431F" w:rsidP="000B7990">
    <w:pPr>
      <w:pStyle w:val="Encabezado"/>
      <w:jc w:val="center"/>
      <w:rPr>
        <w:rFonts w:ascii="Arial" w:hAnsi="Arial" w:cs="Arial"/>
        <w:spacing w:val="20"/>
        <w:sz w:val="20"/>
      </w:rPr>
    </w:pPr>
    <w:r>
      <w:rPr>
        <w:rFonts w:ascii="Arial" w:hAnsi="Arial" w:cs="Arial"/>
        <w:spacing w:val="20"/>
        <w:sz w:val="20"/>
      </w:rPr>
      <w:t>República de Colombia</w:t>
    </w:r>
  </w:p>
  <w:p w14:paraId="39EFF246" w14:textId="77777777" w:rsidR="0038431F" w:rsidRDefault="0038431F">
    <w:pPr>
      <w:pStyle w:val="Encabezado"/>
      <w:jc w:val="center"/>
      <w:rPr>
        <w:rFonts w:ascii="Arial" w:hAnsi="Arial" w:cs="Arial"/>
        <w:spacing w:val="20"/>
        <w:sz w:val="20"/>
      </w:rPr>
    </w:pPr>
  </w:p>
  <w:p w14:paraId="452E3475" w14:textId="77777777" w:rsidR="0038431F" w:rsidRDefault="0038431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6B45CE1" wp14:editId="305C1D93">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9B3D4"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EE1741"/>
    <w:multiLevelType w:val="hybridMultilevel"/>
    <w:tmpl w:val="F1B8A226"/>
    <w:lvl w:ilvl="0" w:tplc="79A08F54">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5"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6"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645FC0"/>
    <w:multiLevelType w:val="hybridMultilevel"/>
    <w:tmpl w:val="0900B59E"/>
    <w:lvl w:ilvl="0" w:tplc="240A000F">
      <w:start w:val="1"/>
      <w:numFmt w:val="decimal"/>
      <w:lvlText w:val="%1."/>
      <w:lvlJc w:val="left"/>
      <w:pPr>
        <w:ind w:left="360" w:hanging="360"/>
      </w:pPr>
      <w:rPr>
        <w:rFonts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3E2015F9"/>
    <w:multiLevelType w:val="hybridMultilevel"/>
    <w:tmpl w:val="533CA4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3077D9"/>
    <w:multiLevelType w:val="hybridMultilevel"/>
    <w:tmpl w:val="91B8B7DE"/>
    <w:lvl w:ilvl="0" w:tplc="EC5AF5F0">
      <w:start w:val="178"/>
      <w:numFmt w:val="bullet"/>
      <w:lvlText w:val=""/>
      <w:lvlJc w:val="left"/>
      <w:pPr>
        <w:ind w:left="1068" w:hanging="360"/>
      </w:pPr>
      <w:rPr>
        <w:rFonts w:ascii="Symbol" w:eastAsia="Times New Roman" w:hAnsi="Symbol" w:cs="Times New Roman" w:hint="default"/>
        <w:b w:val="0"/>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F471EEB"/>
    <w:multiLevelType w:val="multilevel"/>
    <w:tmpl w:val="7F48610C"/>
    <w:name w:val="Nueva lista 3"/>
    <w:lvl w:ilvl="0">
      <w:start w:val="1"/>
      <w:numFmt w:val="decimal"/>
      <w:pStyle w:val="Artculo"/>
      <w:suff w:val="space"/>
      <w:lvlText w:val="Artículo %1."/>
      <w:lvlJc w:val="left"/>
      <w:pPr>
        <w:ind w:left="1135"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4612A44"/>
    <w:multiLevelType w:val="hybridMultilevel"/>
    <w:tmpl w:val="0900B59E"/>
    <w:lvl w:ilvl="0" w:tplc="240A000F">
      <w:start w:val="1"/>
      <w:numFmt w:val="decimal"/>
      <w:lvlText w:val="%1."/>
      <w:lvlJc w:val="left"/>
      <w:pPr>
        <w:ind w:left="360" w:hanging="360"/>
      </w:pPr>
      <w:rPr>
        <w:rFonts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D5C36D8"/>
    <w:multiLevelType w:val="hybridMultilevel"/>
    <w:tmpl w:val="29BA0DB8"/>
    <w:lvl w:ilvl="0" w:tplc="68B442E6">
      <w:start w:val="1"/>
      <w:numFmt w:val="lowerLetter"/>
      <w:pStyle w:val="Prrafodelista"/>
      <w:lvlText w:val="%1)"/>
      <w:lvlJc w:val="left"/>
      <w:pPr>
        <w:ind w:left="2160" w:hanging="360"/>
      </w:pPr>
    </w:lvl>
    <w:lvl w:ilvl="1" w:tplc="B7FA99B4">
      <w:start w:val="1"/>
      <w:numFmt w:val="decimal"/>
      <w:lvlText w:val="%2."/>
      <w:lvlJc w:val="left"/>
      <w:pPr>
        <w:ind w:left="2880" w:hanging="360"/>
      </w:pPr>
      <w:rPr>
        <w:rFonts w:hint="default"/>
      </w:r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1"/>
  </w:num>
  <w:num w:numId="5">
    <w:abstractNumId w:val="15"/>
  </w:num>
  <w:num w:numId="6">
    <w:abstractNumId w:val="6"/>
  </w:num>
  <w:num w:numId="7">
    <w:abstractNumId w:val="16"/>
  </w:num>
  <w:num w:numId="8">
    <w:abstractNumId w:val="10"/>
  </w:num>
  <w:num w:numId="9">
    <w:abstractNumId w:val="3"/>
  </w:num>
  <w:num w:numId="10">
    <w:abstractNumId w:val="9"/>
  </w:num>
  <w:num w:numId="11">
    <w:abstractNumId w:val="7"/>
  </w:num>
  <w:num w:numId="1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09F3"/>
    <w:rsid w:val="000014A8"/>
    <w:rsid w:val="0000191D"/>
    <w:rsid w:val="0000215F"/>
    <w:rsid w:val="00003049"/>
    <w:rsid w:val="00003055"/>
    <w:rsid w:val="00005326"/>
    <w:rsid w:val="000056FB"/>
    <w:rsid w:val="00005A68"/>
    <w:rsid w:val="00006585"/>
    <w:rsid w:val="00006AE2"/>
    <w:rsid w:val="00006EF5"/>
    <w:rsid w:val="000076A1"/>
    <w:rsid w:val="00011754"/>
    <w:rsid w:val="0001209B"/>
    <w:rsid w:val="00012259"/>
    <w:rsid w:val="0001368F"/>
    <w:rsid w:val="00015F4C"/>
    <w:rsid w:val="00016274"/>
    <w:rsid w:val="00016B85"/>
    <w:rsid w:val="00017396"/>
    <w:rsid w:val="000203BE"/>
    <w:rsid w:val="0002117B"/>
    <w:rsid w:val="00022832"/>
    <w:rsid w:val="00023841"/>
    <w:rsid w:val="00024EEB"/>
    <w:rsid w:val="00025383"/>
    <w:rsid w:val="00025D05"/>
    <w:rsid w:val="0002628A"/>
    <w:rsid w:val="000268D6"/>
    <w:rsid w:val="00027C0A"/>
    <w:rsid w:val="00027C0E"/>
    <w:rsid w:val="00030018"/>
    <w:rsid w:val="00032C8E"/>
    <w:rsid w:val="00034669"/>
    <w:rsid w:val="00034F65"/>
    <w:rsid w:val="0003547A"/>
    <w:rsid w:val="0003568E"/>
    <w:rsid w:val="000356FD"/>
    <w:rsid w:val="000357D1"/>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656BB"/>
    <w:rsid w:val="0007409E"/>
    <w:rsid w:val="00076680"/>
    <w:rsid w:val="00076A1D"/>
    <w:rsid w:val="000771FB"/>
    <w:rsid w:val="00077A23"/>
    <w:rsid w:val="0008073E"/>
    <w:rsid w:val="00080C74"/>
    <w:rsid w:val="0008115D"/>
    <w:rsid w:val="00081A95"/>
    <w:rsid w:val="000821D9"/>
    <w:rsid w:val="00082B34"/>
    <w:rsid w:val="00082FE9"/>
    <w:rsid w:val="000831AC"/>
    <w:rsid w:val="000837A5"/>
    <w:rsid w:val="00083AA8"/>
    <w:rsid w:val="00084D2F"/>
    <w:rsid w:val="00084F74"/>
    <w:rsid w:val="000857D1"/>
    <w:rsid w:val="0008751B"/>
    <w:rsid w:val="0008776A"/>
    <w:rsid w:val="00090FC2"/>
    <w:rsid w:val="0009104E"/>
    <w:rsid w:val="0009196C"/>
    <w:rsid w:val="00091CDB"/>
    <w:rsid w:val="00095EA2"/>
    <w:rsid w:val="000A1319"/>
    <w:rsid w:val="000A19AC"/>
    <w:rsid w:val="000A38CC"/>
    <w:rsid w:val="000A48F8"/>
    <w:rsid w:val="000B2AB0"/>
    <w:rsid w:val="000B2EC9"/>
    <w:rsid w:val="000B3688"/>
    <w:rsid w:val="000B65BD"/>
    <w:rsid w:val="000B7990"/>
    <w:rsid w:val="000C06AF"/>
    <w:rsid w:val="000C1951"/>
    <w:rsid w:val="000C1DE0"/>
    <w:rsid w:val="000C266A"/>
    <w:rsid w:val="000C26E2"/>
    <w:rsid w:val="000C4AE2"/>
    <w:rsid w:val="000C5DF4"/>
    <w:rsid w:val="000C64D6"/>
    <w:rsid w:val="000C6881"/>
    <w:rsid w:val="000C743D"/>
    <w:rsid w:val="000C784A"/>
    <w:rsid w:val="000D0C50"/>
    <w:rsid w:val="000D1E36"/>
    <w:rsid w:val="000D26F8"/>
    <w:rsid w:val="000D2A00"/>
    <w:rsid w:val="000D36AF"/>
    <w:rsid w:val="000D3884"/>
    <w:rsid w:val="000D3FC2"/>
    <w:rsid w:val="000D5201"/>
    <w:rsid w:val="000D5C79"/>
    <w:rsid w:val="000E022D"/>
    <w:rsid w:val="000E2A42"/>
    <w:rsid w:val="000E3D26"/>
    <w:rsid w:val="000E4908"/>
    <w:rsid w:val="000F0F2F"/>
    <w:rsid w:val="000F2FDF"/>
    <w:rsid w:val="000F30B5"/>
    <w:rsid w:val="000F3A75"/>
    <w:rsid w:val="000F4463"/>
    <w:rsid w:val="000F47C4"/>
    <w:rsid w:val="000F5392"/>
    <w:rsid w:val="000F563E"/>
    <w:rsid w:val="000F68AA"/>
    <w:rsid w:val="000F7AE9"/>
    <w:rsid w:val="000F7C81"/>
    <w:rsid w:val="0010087D"/>
    <w:rsid w:val="0010101F"/>
    <w:rsid w:val="0010157E"/>
    <w:rsid w:val="00101F35"/>
    <w:rsid w:val="0010333D"/>
    <w:rsid w:val="00105E02"/>
    <w:rsid w:val="0010658E"/>
    <w:rsid w:val="00106654"/>
    <w:rsid w:val="001067D3"/>
    <w:rsid w:val="001106AF"/>
    <w:rsid w:val="001129C7"/>
    <w:rsid w:val="00112F16"/>
    <w:rsid w:val="001147FF"/>
    <w:rsid w:val="0011527F"/>
    <w:rsid w:val="0011671C"/>
    <w:rsid w:val="001177E6"/>
    <w:rsid w:val="00126B7F"/>
    <w:rsid w:val="0012783F"/>
    <w:rsid w:val="00130CF9"/>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2FD"/>
    <w:rsid w:val="0014764F"/>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E00"/>
    <w:rsid w:val="00166AA9"/>
    <w:rsid w:val="00166B53"/>
    <w:rsid w:val="001710F9"/>
    <w:rsid w:val="00171B59"/>
    <w:rsid w:val="00175EE4"/>
    <w:rsid w:val="001762DD"/>
    <w:rsid w:val="00177652"/>
    <w:rsid w:val="001778BC"/>
    <w:rsid w:val="00177D48"/>
    <w:rsid w:val="001802E9"/>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34C6"/>
    <w:rsid w:val="001C0C42"/>
    <w:rsid w:val="001C2018"/>
    <w:rsid w:val="001C32F7"/>
    <w:rsid w:val="001C36F4"/>
    <w:rsid w:val="001C3877"/>
    <w:rsid w:val="001C4A3C"/>
    <w:rsid w:val="001C601E"/>
    <w:rsid w:val="001D010F"/>
    <w:rsid w:val="001D0772"/>
    <w:rsid w:val="001D2E82"/>
    <w:rsid w:val="001D31E0"/>
    <w:rsid w:val="001D3333"/>
    <w:rsid w:val="001D516B"/>
    <w:rsid w:val="001D633A"/>
    <w:rsid w:val="001D68E3"/>
    <w:rsid w:val="001D7832"/>
    <w:rsid w:val="001E096D"/>
    <w:rsid w:val="001E26B9"/>
    <w:rsid w:val="001E3911"/>
    <w:rsid w:val="001E485E"/>
    <w:rsid w:val="001E692F"/>
    <w:rsid w:val="001F1ADD"/>
    <w:rsid w:val="001F2C5B"/>
    <w:rsid w:val="001F2FD8"/>
    <w:rsid w:val="001F4256"/>
    <w:rsid w:val="001F5AFE"/>
    <w:rsid w:val="001F780F"/>
    <w:rsid w:val="002001AC"/>
    <w:rsid w:val="002012D8"/>
    <w:rsid w:val="002015A0"/>
    <w:rsid w:val="00201ECF"/>
    <w:rsid w:val="002038CE"/>
    <w:rsid w:val="002039D6"/>
    <w:rsid w:val="00204D82"/>
    <w:rsid w:val="0020533E"/>
    <w:rsid w:val="00205E17"/>
    <w:rsid w:val="00206407"/>
    <w:rsid w:val="00207D99"/>
    <w:rsid w:val="00210DC1"/>
    <w:rsid w:val="0021157A"/>
    <w:rsid w:val="00211D34"/>
    <w:rsid w:val="0021297B"/>
    <w:rsid w:val="002133FA"/>
    <w:rsid w:val="0021367D"/>
    <w:rsid w:val="00214328"/>
    <w:rsid w:val="00214F04"/>
    <w:rsid w:val="00216E8C"/>
    <w:rsid w:val="00217D47"/>
    <w:rsid w:val="00221054"/>
    <w:rsid w:val="00221277"/>
    <w:rsid w:val="00223E50"/>
    <w:rsid w:val="0022483E"/>
    <w:rsid w:val="00224FC9"/>
    <w:rsid w:val="00227061"/>
    <w:rsid w:val="00227870"/>
    <w:rsid w:val="00227E1E"/>
    <w:rsid w:val="0023042B"/>
    <w:rsid w:val="0023338E"/>
    <w:rsid w:val="00234CD0"/>
    <w:rsid w:val="002352B9"/>
    <w:rsid w:val="0023598E"/>
    <w:rsid w:val="0023621E"/>
    <w:rsid w:val="002367F5"/>
    <w:rsid w:val="002368FC"/>
    <w:rsid w:val="00237EDC"/>
    <w:rsid w:val="00240640"/>
    <w:rsid w:val="00242A95"/>
    <w:rsid w:val="00242F2B"/>
    <w:rsid w:val="002436B9"/>
    <w:rsid w:val="00243A0A"/>
    <w:rsid w:val="002444FF"/>
    <w:rsid w:val="00245E5D"/>
    <w:rsid w:val="00250453"/>
    <w:rsid w:val="00253D8F"/>
    <w:rsid w:val="002542CD"/>
    <w:rsid w:val="0025525F"/>
    <w:rsid w:val="00255960"/>
    <w:rsid w:val="00255FEF"/>
    <w:rsid w:val="002560C5"/>
    <w:rsid w:val="00256DBC"/>
    <w:rsid w:val="00256EA4"/>
    <w:rsid w:val="00256FC6"/>
    <w:rsid w:val="002571C8"/>
    <w:rsid w:val="002578B3"/>
    <w:rsid w:val="002579DC"/>
    <w:rsid w:val="00257A41"/>
    <w:rsid w:val="00257AA4"/>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719"/>
    <w:rsid w:val="00275DAB"/>
    <w:rsid w:val="00276059"/>
    <w:rsid w:val="002769DB"/>
    <w:rsid w:val="00280F65"/>
    <w:rsid w:val="002821BE"/>
    <w:rsid w:val="002836E2"/>
    <w:rsid w:val="0028472A"/>
    <w:rsid w:val="0028662C"/>
    <w:rsid w:val="002903C0"/>
    <w:rsid w:val="002903D1"/>
    <w:rsid w:val="00291726"/>
    <w:rsid w:val="002922A7"/>
    <w:rsid w:val="00292FE9"/>
    <w:rsid w:val="002933B1"/>
    <w:rsid w:val="00295857"/>
    <w:rsid w:val="00295ACD"/>
    <w:rsid w:val="002966AA"/>
    <w:rsid w:val="0029698E"/>
    <w:rsid w:val="002A414B"/>
    <w:rsid w:val="002A4523"/>
    <w:rsid w:val="002A51EF"/>
    <w:rsid w:val="002A782A"/>
    <w:rsid w:val="002A7D62"/>
    <w:rsid w:val="002B11E2"/>
    <w:rsid w:val="002B24B8"/>
    <w:rsid w:val="002B5E3C"/>
    <w:rsid w:val="002B658E"/>
    <w:rsid w:val="002B71B1"/>
    <w:rsid w:val="002C01FA"/>
    <w:rsid w:val="002C3488"/>
    <w:rsid w:val="002C5612"/>
    <w:rsid w:val="002C7252"/>
    <w:rsid w:val="002D3AE9"/>
    <w:rsid w:val="002D3CE7"/>
    <w:rsid w:val="002D4510"/>
    <w:rsid w:val="002D7D6C"/>
    <w:rsid w:val="002E09F5"/>
    <w:rsid w:val="002E0BE1"/>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6ACE"/>
    <w:rsid w:val="0032714E"/>
    <w:rsid w:val="00327412"/>
    <w:rsid w:val="00327443"/>
    <w:rsid w:val="00330E17"/>
    <w:rsid w:val="00331C8C"/>
    <w:rsid w:val="003343C8"/>
    <w:rsid w:val="003343FE"/>
    <w:rsid w:val="003344C3"/>
    <w:rsid w:val="0033564E"/>
    <w:rsid w:val="00335EAC"/>
    <w:rsid w:val="003365B4"/>
    <w:rsid w:val="0033715F"/>
    <w:rsid w:val="003373A2"/>
    <w:rsid w:val="00337C84"/>
    <w:rsid w:val="003473A2"/>
    <w:rsid w:val="00350A8C"/>
    <w:rsid w:val="00350DE4"/>
    <w:rsid w:val="00351E6B"/>
    <w:rsid w:val="00352C2F"/>
    <w:rsid w:val="00353E2A"/>
    <w:rsid w:val="0035403A"/>
    <w:rsid w:val="003543D9"/>
    <w:rsid w:val="003619C3"/>
    <w:rsid w:val="00361EF5"/>
    <w:rsid w:val="00363183"/>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066"/>
    <w:rsid w:val="00380F32"/>
    <w:rsid w:val="00381AAD"/>
    <w:rsid w:val="00383AB4"/>
    <w:rsid w:val="0038431F"/>
    <w:rsid w:val="00385A73"/>
    <w:rsid w:val="003868C1"/>
    <w:rsid w:val="00386A4D"/>
    <w:rsid w:val="00386A9A"/>
    <w:rsid w:val="00387C27"/>
    <w:rsid w:val="0039127D"/>
    <w:rsid w:val="0039155D"/>
    <w:rsid w:val="0039158A"/>
    <w:rsid w:val="0039172F"/>
    <w:rsid w:val="003923CF"/>
    <w:rsid w:val="0039240B"/>
    <w:rsid w:val="003928B8"/>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961"/>
    <w:rsid w:val="003B2C98"/>
    <w:rsid w:val="003B3EF0"/>
    <w:rsid w:val="003B4485"/>
    <w:rsid w:val="003B534A"/>
    <w:rsid w:val="003B79D4"/>
    <w:rsid w:val="003B7AE8"/>
    <w:rsid w:val="003C0474"/>
    <w:rsid w:val="003C156A"/>
    <w:rsid w:val="003C242C"/>
    <w:rsid w:val="003C3447"/>
    <w:rsid w:val="003C4072"/>
    <w:rsid w:val="003C7029"/>
    <w:rsid w:val="003D0607"/>
    <w:rsid w:val="003D076C"/>
    <w:rsid w:val="003D1367"/>
    <w:rsid w:val="003D160E"/>
    <w:rsid w:val="003D1FD8"/>
    <w:rsid w:val="003D2CCA"/>
    <w:rsid w:val="003D34F9"/>
    <w:rsid w:val="003D38E3"/>
    <w:rsid w:val="003D4D4F"/>
    <w:rsid w:val="003D6335"/>
    <w:rsid w:val="003D7344"/>
    <w:rsid w:val="003E01CE"/>
    <w:rsid w:val="003E0745"/>
    <w:rsid w:val="003E3442"/>
    <w:rsid w:val="003E5374"/>
    <w:rsid w:val="003E5626"/>
    <w:rsid w:val="003E5647"/>
    <w:rsid w:val="003E7112"/>
    <w:rsid w:val="003E7817"/>
    <w:rsid w:val="003E78B5"/>
    <w:rsid w:val="003F140B"/>
    <w:rsid w:val="003F1778"/>
    <w:rsid w:val="003F54A4"/>
    <w:rsid w:val="003F70F2"/>
    <w:rsid w:val="003F77E3"/>
    <w:rsid w:val="003F7F77"/>
    <w:rsid w:val="00400A3D"/>
    <w:rsid w:val="0040199C"/>
    <w:rsid w:val="00402C03"/>
    <w:rsid w:val="00405029"/>
    <w:rsid w:val="0040781C"/>
    <w:rsid w:val="00407A25"/>
    <w:rsid w:val="00410552"/>
    <w:rsid w:val="004135D1"/>
    <w:rsid w:val="00414C5B"/>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539"/>
    <w:rsid w:val="00432822"/>
    <w:rsid w:val="0043300E"/>
    <w:rsid w:val="00434EA8"/>
    <w:rsid w:val="00435B1A"/>
    <w:rsid w:val="00437E9E"/>
    <w:rsid w:val="00440840"/>
    <w:rsid w:val="00440DC7"/>
    <w:rsid w:val="00441C8E"/>
    <w:rsid w:val="00441FD9"/>
    <w:rsid w:val="004429D9"/>
    <w:rsid w:val="0044318E"/>
    <w:rsid w:val="00443714"/>
    <w:rsid w:val="00443B35"/>
    <w:rsid w:val="00446813"/>
    <w:rsid w:val="00446BEE"/>
    <w:rsid w:val="00446C55"/>
    <w:rsid w:val="0045009B"/>
    <w:rsid w:val="004508F2"/>
    <w:rsid w:val="00450A9D"/>
    <w:rsid w:val="00451303"/>
    <w:rsid w:val="0045178C"/>
    <w:rsid w:val="00452577"/>
    <w:rsid w:val="004526AC"/>
    <w:rsid w:val="00453A7C"/>
    <w:rsid w:val="0045463B"/>
    <w:rsid w:val="00455DAE"/>
    <w:rsid w:val="00455E26"/>
    <w:rsid w:val="00456622"/>
    <w:rsid w:val="00461628"/>
    <w:rsid w:val="00461D9A"/>
    <w:rsid w:val="00466988"/>
    <w:rsid w:val="0047092D"/>
    <w:rsid w:val="0047122B"/>
    <w:rsid w:val="00472125"/>
    <w:rsid w:val="00473B7A"/>
    <w:rsid w:val="00474922"/>
    <w:rsid w:val="00476AFC"/>
    <w:rsid w:val="004771D9"/>
    <w:rsid w:val="00481F5D"/>
    <w:rsid w:val="0048216C"/>
    <w:rsid w:val="00482D44"/>
    <w:rsid w:val="004836D4"/>
    <w:rsid w:val="00483D96"/>
    <w:rsid w:val="00485135"/>
    <w:rsid w:val="00485CA3"/>
    <w:rsid w:val="00490CC9"/>
    <w:rsid w:val="00490D67"/>
    <w:rsid w:val="00492C4A"/>
    <w:rsid w:val="00494B41"/>
    <w:rsid w:val="00495EFD"/>
    <w:rsid w:val="004960E9"/>
    <w:rsid w:val="0049646A"/>
    <w:rsid w:val="00497384"/>
    <w:rsid w:val="00497DC9"/>
    <w:rsid w:val="004A03A3"/>
    <w:rsid w:val="004A2E88"/>
    <w:rsid w:val="004A4BC5"/>
    <w:rsid w:val="004A5305"/>
    <w:rsid w:val="004A6144"/>
    <w:rsid w:val="004A6450"/>
    <w:rsid w:val="004A6D92"/>
    <w:rsid w:val="004A79C4"/>
    <w:rsid w:val="004B132B"/>
    <w:rsid w:val="004B13C6"/>
    <w:rsid w:val="004B41C9"/>
    <w:rsid w:val="004B7FAF"/>
    <w:rsid w:val="004C0257"/>
    <w:rsid w:val="004C0564"/>
    <w:rsid w:val="004C05BC"/>
    <w:rsid w:val="004C687E"/>
    <w:rsid w:val="004D040D"/>
    <w:rsid w:val="004D182B"/>
    <w:rsid w:val="004D3F54"/>
    <w:rsid w:val="004D4B8C"/>
    <w:rsid w:val="004D5A3A"/>
    <w:rsid w:val="004D6BC4"/>
    <w:rsid w:val="004D72B2"/>
    <w:rsid w:val="004D7634"/>
    <w:rsid w:val="004D7EF7"/>
    <w:rsid w:val="004E1214"/>
    <w:rsid w:val="004E196A"/>
    <w:rsid w:val="004E410F"/>
    <w:rsid w:val="004E55D4"/>
    <w:rsid w:val="004E5EAA"/>
    <w:rsid w:val="004E611A"/>
    <w:rsid w:val="004E650C"/>
    <w:rsid w:val="004F0852"/>
    <w:rsid w:val="004F165C"/>
    <w:rsid w:val="004F177E"/>
    <w:rsid w:val="004F17CA"/>
    <w:rsid w:val="004F3DF8"/>
    <w:rsid w:val="004F5F72"/>
    <w:rsid w:val="004F6360"/>
    <w:rsid w:val="004F6460"/>
    <w:rsid w:val="00500953"/>
    <w:rsid w:val="005010CF"/>
    <w:rsid w:val="005044C6"/>
    <w:rsid w:val="0050645A"/>
    <w:rsid w:val="00506AB2"/>
    <w:rsid w:val="00506AFF"/>
    <w:rsid w:val="00506E54"/>
    <w:rsid w:val="00507AF2"/>
    <w:rsid w:val="00507DC6"/>
    <w:rsid w:val="0051288E"/>
    <w:rsid w:val="0051308E"/>
    <w:rsid w:val="00513D79"/>
    <w:rsid w:val="00514A00"/>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752"/>
    <w:rsid w:val="0055499A"/>
    <w:rsid w:val="00554C96"/>
    <w:rsid w:val="00555BA6"/>
    <w:rsid w:val="00555F0E"/>
    <w:rsid w:val="00557262"/>
    <w:rsid w:val="0055791F"/>
    <w:rsid w:val="00557B3C"/>
    <w:rsid w:val="00560A68"/>
    <w:rsid w:val="005624BA"/>
    <w:rsid w:val="005628C1"/>
    <w:rsid w:val="00563E79"/>
    <w:rsid w:val="0056428B"/>
    <w:rsid w:val="00564B67"/>
    <w:rsid w:val="00564B8B"/>
    <w:rsid w:val="00564EDF"/>
    <w:rsid w:val="0056570C"/>
    <w:rsid w:val="00566685"/>
    <w:rsid w:val="005673AC"/>
    <w:rsid w:val="00570CC7"/>
    <w:rsid w:val="005711EC"/>
    <w:rsid w:val="005714A3"/>
    <w:rsid w:val="00571C46"/>
    <w:rsid w:val="00571D26"/>
    <w:rsid w:val="00573248"/>
    <w:rsid w:val="00574008"/>
    <w:rsid w:val="005750F5"/>
    <w:rsid w:val="005843A4"/>
    <w:rsid w:val="00584D86"/>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4299"/>
    <w:rsid w:val="005B5C88"/>
    <w:rsid w:val="005B6CB3"/>
    <w:rsid w:val="005B6E70"/>
    <w:rsid w:val="005C00E9"/>
    <w:rsid w:val="005C1C67"/>
    <w:rsid w:val="005C2146"/>
    <w:rsid w:val="005C3BAA"/>
    <w:rsid w:val="005C51B8"/>
    <w:rsid w:val="005C6976"/>
    <w:rsid w:val="005C7781"/>
    <w:rsid w:val="005D0A73"/>
    <w:rsid w:val="005D1C05"/>
    <w:rsid w:val="005D1DE8"/>
    <w:rsid w:val="005D352F"/>
    <w:rsid w:val="005D461F"/>
    <w:rsid w:val="005D533D"/>
    <w:rsid w:val="005D5BC6"/>
    <w:rsid w:val="005E0CF6"/>
    <w:rsid w:val="005E2B7C"/>
    <w:rsid w:val="005E4914"/>
    <w:rsid w:val="005E5F89"/>
    <w:rsid w:val="005F3416"/>
    <w:rsid w:val="005F39CA"/>
    <w:rsid w:val="005F526D"/>
    <w:rsid w:val="005F6B36"/>
    <w:rsid w:val="005F6F41"/>
    <w:rsid w:val="005F7013"/>
    <w:rsid w:val="00601DDF"/>
    <w:rsid w:val="00602882"/>
    <w:rsid w:val="00605DA0"/>
    <w:rsid w:val="00610A14"/>
    <w:rsid w:val="0061112B"/>
    <w:rsid w:val="00611B5C"/>
    <w:rsid w:val="00614138"/>
    <w:rsid w:val="00614509"/>
    <w:rsid w:val="0061581B"/>
    <w:rsid w:val="00615D24"/>
    <w:rsid w:val="006166B9"/>
    <w:rsid w:val="00616B17"/>
    <w:rsid w:val="00616DFA"/>
    <w:rsid w:val="00620164"/>
    <w:rsid w:val="006203E4"/>
    <w:rsid w:val="00623032"/>
    <w:rsid w:val="006236DF"/>
    <w:rsid w:val="00625D9F"/>
    <w:rsid w:val="00625DC6"/>
    <w:rsid w:val="006263B4"/>
    <w:rsid w:val="00626A2F"/>
    <w:rsid w:val="0062729D"/>
    <w:rsid w:val="00627335"/>
    <w:rsid w:val="006309C0"/>
    <w:rsid w:val="006327E7"/>
    <w:rsid w:val="00632871"/>
    <w:rsid w:val="00635B22"/>
    <w:rsid w:val="00636835"/>
    <w:rsid w:val="00637F1B"/>
    <w:rsid w:val="00641554"/>
    <w:rsid w:val="006421B1"/>
    <w:rsid w:val="0064343E"/>
    <w:rsid w:val="0064391D"/>
    <w:rsid w:val="00644E86"/>
    <w:rsid w:val="00645BF9"/>
    <w:rsid w:val="00646756"/>
    <w:rsid w:val="00647CC4"/>
    <w:rsid w:val="006508AB"/>
    <w:rsid w:val="00650D7D"/>
    <w:rsid w:val="00651154"/>
    <w:rsid w:val="006516F4"/>
    <w:rsid w:val="00651821"/>
    <w:rsid w:val="00651BBF"/>
    <w:rsid w:val="00651C8E"/>
    <w:rsid w:val="006528E5"/>
    <w:rsid w:val="00652F7F"/>
    <w:rsid w:val="00654384"/>
    <w:rsid w:val="00654913"/>
    <w:rsid w:val="006622B2"/>
    <w:rsid w:val="00662ACE"/>
    <w:rsid w:val="00666A1D"/>
    <w:rsid w:val="006675CD"/>
    <w:rsid w:val="00667AD5"/>
    <w:rsid w:val="0067238D"/>
    <w:rsid w:val="00672B29"/>
    <w:rsid w:val="006740B2"/>
    <w:rsid w:val="00674313"/>
    <w:rsid w:val="006747D5"/>
    <w:rsid w:val="00675985"/>
    <w:rsid w:val="00677E6A"/>
    <w:rsid w:val="00680BFA"/>
    <w:rsid w:val="006834A5"/>
    <w:rsid w:val="00683EB3"/>
    <w:rsid w:val="00684D9B"/>
    <w:rsid w:val="0068510A"/>
    <w:rsid w:val="00685BCB"/>
    <w:rsid w:val="00690CEF"/>
    <w:rsid w:val="0069245B"/>
    <w:rsid w:val="00694E6C"/>
    <w:rsid w:val="00697556"/>
    <w:rsid w:val="006A1CA8"/>
    <w:rsid w:val="006A1EB6"/>
    <w:rsid w:val="006A2EDF"/>
    <w:rsid w:val="006A616B"/>
    <w:rsid w:val="006A72C7"/>
    <w:rsid w:val="006B0858"/>
    <w:rsid w:val="006B0C05"/>
    <w:rsid w:val="006B1FDF"/>
    <w:rsid w:val="006B4081"/>
    <w:rsid w:val="006B4647"/>
    <w:rsid w:val="006B4A7F"/>
    <w:rsid w:val="006B4C2B"/>
    <w:rsid w:val="006B5DFE"/>
    <w:rsid w:val="006B6139"/>
    <w:rsid w:val="006B6194"/>
    <w:rsid w:val="006B661E"/>
    <w:rsid w:val="006B6D47"/>
    <w:rsid w:val="006B7078"/>
    <w:rsid w:val="006B719A"/>
    <w:rsid w:val="006B7D1E"/>
    <w:rsid w:val="006C1FD7"/>
    <w:rsid w:val="006C3E16"/>
    <w:rsid w:val="006C4912"/>
    <w:rsid w:val="006C5AFE"/>
    <w:rsid w:val="006C7715"/>
    <w:rsid w:val="006C7AF6"/>
    <w:rsid w:val="006D21D6"/>
    <w:rsid w:val="006D2747"/>
    <w:rsid w:val="006D30B1"/>
    <w:rsid w:val="006D5E04"/>
    <w:rsid w:val="006E0A54"/>
    <w:rsid w:val="006E155D"/>
    <w:rsid w:val="006E160E"/>
    <w:rsid w:val="006E1EEA"/>
    <w:rsid w:val="006E4298"/>
    <w:rsid w:val="006E4C15"/>
    <w:rsid w:val="006E5FC3"/>
    <w:rsid w:val="006F20BB"/>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1878"/>
    <w:rsid w:val="007127EF"/>
    <w:rsid w:val="007134B4"/>
    <w:rsid w:val="00713F03"/>
    <w:rsid w:val="00714A31"/>
    <w:rsid w:val="0071618D"/>
    <w:rsid w:val="0072116F"/>
    <w:rsid w:val="00721534"/>
    <w:rsid w:val="00721A52"/>
    <w:rsid w:val="00721D5B"/>
    <w:rsid w:val="00722B3D"/>
    <w:rsid w:val="00723CF0"/>
    <w:rsid w:val="0072463D"/>
    <w:rsid w:val="00724792"/>
    <w:rsid w:val="00724A10"/>
    <w:rsid w:val="00724C58"/>
    <w:rsid w:val="00725E0C"/>
    <w:rsid w:val="00725FA4"/>
    <w:rsid w:val="00726548"/>
    <w:rsid w:val="00727B2C"/>
    <w:rsid w:val="00732E0B"/>
    <w:rsid w:val="00732FDC"/>
    <w:rsid w:val="00733492"/>
    <w:rsid w:val="007337B8"/>
    <w:rsid w:val="00733DD7"/>
    <w:rsid w:val="007340CC"/>
    <w:rsid w:val="00734187"/>
    <w:rsid w:val="00734C73"/>
    <w:rsid w:val="0073688B"/>
    <w:rsid w:val="00740446"/>
    <w:rsid w:val="007438A9"/>
    <w:rsid w:val="00743E7F"/>
    <w:rsid w:val="0074491E"/>
    <w:rsid w:val="00745C85"/>
    <w:rsid w:val="007511E4"/>
    <w:rsid w:val="0075578E"/>
    <w:rsid w:val="007601EE"/>
    <w:rsid w:val="007602F3"/>
    <w:rsid w:val="0076163F"/>
    <w:rsid w:val="007618FE"/>
    <w:rsid w:val="0076247A"/>
    <w:rsid w:val="00762AD1"/>
    <w:rsid w:val="00762C63"/>
    <w:rsid w:val="00762FB0"/>
    <w:rsid w:val="00763175"/>
    <w:rsid w:val="00763381"/>
    <w:rsid w:val="00767391"/>
    <w:rsid w:val="007705CD"/>
    <w:rsid w:val="00774ABE"/>
    <w:rsid w:val="00775964"/>
    <w:rsid w:val="0077639F"/>
    <w:rsid w:val="007765FE"/>
    <w:rsid w:val="007766B3"/>
    <w:rsid w:val="00777163"/>
    <w:rsid w:val="00781E1A"/>
    <w:rsid w:val="007824C8"/>
    <w:rsid w:val="0078357E"/>
    <w:rsid w:val="00783FEE"/>
    <w:rsid w:val="00785678"/>
    <w:rsid w:val="007856D5"/>
    <w:rsid w:val="007874F6"/>
    <w:rsid w:val="00787E5A"/>
    <w:rsid w:val="00790375"/>
    <w:rsid w:val="007910F2"/>
    <w:rsid w:val="00791E7E"/>
    <w:rsid w:val="007928B7"/>
    <w:rsid w:val="00793C5D"/>
    <w:rsid w:val="00794E2E"/>
    <w:rsid w:val="00795373"/>
    <w:rsid w:val="00795BFB"/>
    <w:rsid w:val="00797D48"/>
    <w:rsid w:val="007A060C"/>
    <w:rsid w:val="007A5E57"/>
    <w:rsid w:val="007A7CE2"/>
    <w:rsid w:val="007B0FAC"/>
    <w:rsid w:val="007B100F"/>
    <w:rsid w:val="007B1CF5"/>
    <w:rsid w:val="007B2760"/>
    <w:rsid w:val="007B53E9"/>
    <w:rsid w:val="007B564B"/>
    <w:rsid w:val="007B5CF2"/>
    <w:rsid w:val="007B71EE"/>
    <w:rsid w:val="007B77CE"/>
    <w:rsid w:val="007C127E"/>
    <w:rsid w:val="007C1B10"/>
    <w:rsid w:val="007C2407"/>
    <w:rsid w:val="007C580F"/>
    <w:rsid w:val="007C585E"/>
    <w:rsid w:val="007C5B24"/>
    <w:rsid w:val="007C79E3"/>
    <w:rsid w:val="007D49D7"/>
    <w:rsid w:val="007D69D2"/>
    <w:rsid w:val="007D6B92"/>
    <w:rsid w:val="007E09A4"/>
    <w:rsid w:val="007E1112"/>
    <w:rsid w:val="007E1812"/>
    <w:rsid w:val="007E3D47"/>
    <w:rsid w:val="007E4A8E"/>
    <w:rsid w:val="007E5792"/>
    <w:rsid w:val="007E5B81"/>
    <w:rsid w:val="007E661B"/>
    <w:rsid w:val="007E66B1"/>
    <w:rsid w:val="007E71A4"/>
    <w:rsid w:val="007E7A97"/>
    <w:rsid w:val="007F0ED1"/>
    <w:rsid w:val="007F1280"/>
    <w:rsid w:val="007F3464"/>
    <w:rsid w:val="007F433E"/>
    <w:rsid w:val="007F4E98"/>
    <w:rsid w:val="007F4F12"/>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5950"/>
    <w:rsid w:val="008167FC"/>
    <w:rsid w:val="00817731"/>
    <w:rsid w:val="008211A4"/>
    <w:rsid w:val="008211BA"/>
    <w:rsid w:val="00821986"/>
    <w:rsid w:val="00822961"/>
    <w:rsid w:val="0082311D"/>
    <w:rsid w:val="008237CA"/>
    <w:rsid w:val="00823CA6"/>
    <w:rsid w:val="008251BC"/>
    <w:rsid w:val="00826E96"/>
    <w:rsid w:val="008276D9"/>
    <w:rsid w:val="00830FF0"/>
    <w:rsid w:val="0083140E"/>
    <w:rsid w:val="008318F6"/>
    <w:rsid w:val="00831A7D"/>
    <w:rsid w:val="00833F8A"/>
    <w:rsid w:val="00834EFB"/>
    <w:rsid w:val="00837AD4"/>
    <w:rsid w:val="00841D80"/>
    <w:rsid w:val="00842049"/>
    <w:rsid w:val="00842644"/>
    <w:rsid w:val="00843DAD"/>
    <w:rsid w:val="00845B60"/>
    <w:rsid w:val="00845BAD"/>
    <w:rsid w:val="0084693A"/>
    <w:rsid w:val="008504BF"/>
    <w:rsid w:val="008511DC"/>
    <w:rsid w:val="00852491"/>
    <w:rsid w:val="008529BA"/>
    <w:rsid w:val="00854203"/>
    <w:rsid w:val="0085640E"/>
    <w:rsid w:val="008567D4"/>
    <w:rsid w:val="00857300"/>
    <w:rsid w:val="00861829"/>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5CC"/>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B57"/>
    <w:rsid w:val="008A0F70"/>
    <w:rsid w:val="008A1221"/>
    <w:rsid w:val="008A1461"/>
    <w:rsid w:val="008A1EDB"/>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C6D"/>
    <w:rsid w:val="008D304F"/>
    <w:rsid w:val="008D3144"/>
    <w:rsid w:val="008D5094"/>
    <w:rsid w:val="008D694A"/>
    <w:rsid w:val="008D6D03"/>
    <w:rsid w:val="008D7A9B"/>
    <w:rsid w:val="008E0060"/>
    <w:rsid w:val="008E0F2A"/>
    <w:rsid w:val="008E121C"/>
    <w:rsid w:val="008E1E53"/>
    <w:rsid w:val="008E42CB"/>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01B"/>
    <w:rsid w:val="008F72E0"/>
    <w:rsid w:val="00900D5E"/>
    <w:rsid w:val="00900E75"/>
    <w:rsid w:val="00901457"/>
    <w:rsid w:val="00901DFC"/>
    <w:rsid w:val="00902F64"/>
    <w:rsid w:val="009031F2"/>
    <w:rsid w:val="00903386"/>
    <w:rsid w:val="009049C5"/>
    <w:rsid w:val="00904A12"/>
    <w:rsid w:val="00906A2D"/>
    <w:rsid w:val="009106AF"/>
    <w:rsid w:val="009113F1"/>
    <w:rsid w:val="00911F4D"/>
    <w:rsid w:val="0091359D"/>
    <w:rsid w:val="00914A8D"/>
    <w:rsid w:val="00914F06"/>
    <w:rsid w:val="009150A8"/>
    <w:rsid w:val="00916B4E"/>
    <w:rsid w:val="00917201"/>
    <w:rsid w:val="00917367"/>
    <w:rsid w:val="009203F5"/>
    <w:rsid w:val="00920663"/>
    <w:rsid w:val="00922B59"/>
    <w:rsid w:val="00923B14"/>
    <w:rsid w:val="00925993"/>
    <w:rsid w:val="009259BE"/>
    <w:rsid w:val="00926475"/>
    <w:rsid w:val="00930543"/>
    <w:rsid w:val="0093057D"/>
    <w:rsid w:val="00931ADD"/>
    <w:rsid w:val="00931E01"/>
    <w:rsid w:val="0093297A"/>
    <w:rsid w:val="00932B77"/>
    <w:rsid w:val="00935218"/>
    <w:rsid w:val="00935985"/>
    <w:rsid w:val="00935EA3"/>
    <w:rsid w:val="0093633C"/>
    <w:rsid w:val="00936488"/>
    <w:rsid w:val="009364F2"/>
    <w:rsid w:val="00940344"/>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7503"/>
    <w:rsid w:val="00961EAC"/>
    <w:rsid w:val="0096279C"/>
    <w:rsid w:val="0096342A"/>
    <w:rsid w:val="00964BE8"/>
    <w:rsid w:val="00965975"/>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87F88"/>
    <w:rsid w:val="00991B54"/>
    <w:rsid w:val="009935FB"/>
    <w:rsid w:val="00996173"/>
    <w:rsid w:val="00996E66"/>
    <w:rsid w:val="009971F5"/>
    <w:rsid w:val="00997985"/>
    <w:rsid w:val="00997E69"/>
    <w:rsid w:val="009A0187"/>
    <w:rsid w:val="009A0748"/>
    <w:rsid w:val="009A235E"/>
    <w:rsid w:val="009A3DAA"/>
    <w:rsid w:val="009A4D1C"/>
    <w:rsid w:val="009A4F41"/>
    <w:rsid w:val="009B079A"/>
    <w:rsid w:val="009B0E38"/>
    <w:rsid w:val="009B1328"/>
    <w:rsid w:val="009B2E69"/>
    <w:rsid w:val="009B303D"/>
    <w:rsid w:val="009B45B2"/>
    <w:rsid w:val="009B4F8D"/>
    <w:rsid w:val="009B50EB"/>
    <w:rsid w:val="009B5752"/>
    <w:rsid w:val="009B57F5"/>
    <w:rsid w:val="009B7686"/>
    <w:rsid w:val="009C15AD"/>
    <w:rsid w:val="009C167B"/>
    <w:rsid w:val="009C16F9"/>
    <w:rsid w:val="009C17D3"/>
    <w:rsid w:val="009C1933"/>
    <w:rsid w:val="009C1A3A"/>
    <w:rsid w:val="009C22D3"/>
    <w:rsid w:val="009C2AF0"/>
    <w:rsid w:val="009C3000"/>
    <w:rsid w:val="009C3DB8"/>
    <w:rsid w:val="009C422B"/>
    <w:rsid w:val="009C5ED5"/>
    <w:rsid w:val="009C6FF8"/>
    <w:rsid w:val="009C71DA"/>
    <w:rsid w:val="009C7500"/>
    <w:rsid w:val="009C7987"/>
    <w:rsid w:val="009C7F29"/>
    <w:rsid w:val="009D191F"/>
    <w:rsid w:val="009D2A09"/>
    <w:rsid w:val="009D37EC"/>
    <w:rsid w:val="009D4626"/>
    <w:rsid w:val="009D5565"/>
    <w:rsid w:val="009D58C5"/>
    <w:rsid w:val="009D75F9"/>
    <w:rsid w:val="009E06C2"/>
    <w:rsid w:val="009E1060"/>
    <w:rsid w:val="009E1320"/>
    <w:rsid w:val="009E1EB8"/>
    <w:rsid w:val="009E3023"/>
    <w:rsid w:val="009E3D1C"/>
    <w:rsid w:val="009E5113"/>
    <w:rsid w:val="009E5521"/>
    <w:rsid w:val="009E5968"/>
    <w:rsid w:val="009E5BC5"/>
    <w:rsid w:val="009E7922"/>
    <w:rsid w:val="009F0489"/>
    <w:rsid w:val="009F15BD"/>
    <w:rsid w:val="009F2042"/>
    <w:rsid w:val="009F252B"/>
    <w:rsid w:val="009F418A"/>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3C2"/>
    <w:rsid w:val="00A1772B"/>
    <w:rsid w:val="00A2261B"/>
    <w:rsid w:val="00A23DA6"/>
    <w:rsid w:val="00A240CB"/>
    <w:rsid w:val="00A242DE"/>
    <w:rsid w:val="00A24CB4"/>
    <w:rsid w:val="00A24EB4"/>
    <w:rsid w:val="00A25FD7"/>
    <w:rsid w:val="00A26DEA"/>
    <w:rsid w:val="00A27D8B"/>
    <w:rsid w:val="00A366F9"/>
    <w:rsid w:val="00A3773C"/>
    <w:rsid w:val="00A4007A"/>
    <w:rsid w:val="00A40669"/>
    <w:rsid w:val="00A40880"/>
    <w:rsid w:val="00A43041"/>
    <w:rsid w:val="00A43AFF"/>
    <w:rsid w:val="00A43EC5"/>
    <w:rsid w:val="00A444D5"/>
    <w:rsid w:val="00A454E3"/>
    <w:rsid w:val="00A46303"/>
    <w:rsid w:val="00A473CD"/>
    <w:rsid w:val="00A50DBD"/>
    <w:rsid w:val="00A50F78"/>
    <w:rsid w:val="00A51DA4"/>
    <w:rsid w:val="00A52D39"/>
    <w:rsid w:val="00A532D3"/>
    <w:rsid w:val="00A537A1"/>
    <w:rsid w:val="00A571BF"/>
    <w:rsid w:val="00A60C76"/>
    <w:rsid w:val="00A60F91"/>
    <w:rsid w:val="00A611F4"/>
    <w:rsid w:val="00A618FA"/>
    <w:rsid w:val="00A619C0"/>
    <w:rsid w:val="00A62302"/>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8E8"/>
    <w:rsid w:val="00A8497A"/>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B2"/>
    <w:rsid w:val="00AB1AF2"/>
    <w:rsid w:val="00AB225B"/>
    <w:rsid w:val="00AB2BAD"/>
    <w:rsid w:val="00AB46ED"/>
    <w:rsid w:val="00AB566F"/>
    <w:rsid w:val="00AB604C"/>
    <w:rsid w:val="00AB6904"/>
    <w:rsid w:val="00AB6CA7"/>
    <w:rsid w:val="00AB6D57"/>
    <w:rsid w:val="00AB6DD5"/>
    <w:rsid w:val="00AC0BD4"/>
    <w:rsid w:val="00AC258A"/>
    <w:rsid w:val="00AC3B82"/>
    <w:rsid w:val="00AC3EF0"/>
    <w:rsid w:val="00AC422F"/>
    <w:rsid w:val="00AC45AE"/>
    <w:rsid w:val="00AC4DC2"/>
    <w:rsid w:val="00AC5002"/>
    <w:rsid w:val="00AC60E8"/>
    <w:rsid w:val="00AD01E4"/>
    <w:rsid w:val="00AD0858"/>
    <w:rsid w:val="00AD17E6"/>
    <w:rsid w:val="00AD4D6E"/>
    <w:rsid w:val="00AD7D7C"/>
    <w:rsid w:val="00AE02E3"/>
    <w:rsid w:val="00AE1231"/>
    <w:rsid w:val="00AE168C"/>
    <w:rsid w:val="00AE2B11"/>
    <w:rsid w:val="00AE5145"/>
    <w:rsid w:val="00AE7340"/>
    <w:rsid w:val="00AF0BB5"/>
    <w:rsid w:val="00AF0C52"/>
    <w:rsid w:val="00AF1BBD"/>
    <w:rsid w:val="00AF246E"/>
    <w:rsid w:val="00AF29D5"/>
    <w:rsid w:val="00AF3BB1"/>
    <w:rsid w:val="00AF53F4"/>
    <w:rsid w:val="00AF794B"/>
    <w:rsid w:val="00B03620"/>
    <w:rsid w:val="00B038E7"/>
    <w:rsid w:val="00B04251"/>
    <w:rsid w:val="00B04767"/>
    <w:rsid w:val="00B04948"/>
    <w:rsid w:val="00B052C2"/>
    <w:rsid w:val="00B06FFE"/>
    <w:rsid w:val="00B077F9"/>
    <w:rsid w:val="00B10207"/>
    <w:rsid w:val="00B11EAF"/>
    <w:rsid w:val="00B141E7"/>
    <w:rsid w:val="00B1479E"/>
    <w:rsid w:val="00B15349"/>
    <w:rsid w:val="00B16417"/>
    <w:rsid w:val="00B16B69"/>
    <w:rsid w:val="00B2435A"/>
    <w:rsid w:val="00B24EAB"/>
    <w:rsid w:val="00B25B86"/>
    <w:rsid w:val="00B26197"/>
    <w:rsid w:val="00B26280"/>
    <w:rsid w:val="00B265A1"/>
    <w:rsid w:val="00B3001F"/>
    <w:rsid w:val="00B3194B"/>
    <w:rsid w:val="00B31D3C"/>
    <w:rsid w:val="00B3344F"/>
    <w:rsid w:val="00B3466A"/>
    <w:rsid w:val="00B351B4"/>
    <w:rsid w:val="00B351FA"/>
    <w:rsid w:val="00B35960"/>
    <w:rsid w:val="00B36D02"/>
    <w:rsid w:val="00B40D0D"/>
    <w:rsid w:val="00B41627"/>
    <w:rsid w:val="00B41DF4"/>
    <w:rsid w:val="00B4232B"/>
    <w:rsid w:val="00B42917"/>
    <w:rsid w:val="00B42993"/>
    <w:rsid w:val="00B43252"/>
    <w:rsid w:val="00B43325"/>
    <w:rsid w:val="00B43898"/>
    <w:rsid w:val="00B46BCA"/>
    <w:rsid w:val="00B47528"/>
    <w:rsid w:val="00B478AA"/>
    <w:rsid w:val="00B52415"/>
    <w:rsid w:val="00B54CA5"/>
    <w:rsid w:val="00B554FE"/>
    <w:rsid w:val="00B55692"/>
    <w:rsid w:val="00B55A2C"/>
    <w:rsid w:val="00B56028"/>
    <w:rsid w:val="00B565C7"/>
    <w:rsid w:val="00B5711A"/>
    <w:rsid w:val="00B57828"/>
    <w:rsid w:val="00B57D8C"/>
    <w:rsid w:val="00B600A4"/>
    <w:rsid w:val="00B600FD"/>
    <w:rsid w:val="00B61D64"/>
    <w:rsid w:val="00B62376"/>
    <w:rsid w:val="00B6382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ED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030D"/>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74"/>
    <w:rsid w:val="00BE52B5"/>
    <w:rsid w:val="00BE6240"/>
    <w:rsid w:val="00BE6451"/>
    <w:rsid w:val="00BE6D1B"/>
    <w:rsid w:val="00BE6FCB"/>
    <w:rsid w:val="00BE7E98"/>
    <w:rsid w:val="00BF2C07"/>
    <w:rsid w:val="00BF4779"/>
    <w:rsid w:val="00BF4A8F"/>
    <w:rsid w:val="00BF5A0E"/>
    <w:rsid w:val="00BF69C9"/>
    <w:rsid w:val="00BF6CC6"/>
    <w:rsid w:val="00BF737C"/>
    <w:rsid w:val="00BF7391"/>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5B11"/>
    <w:rsid w:val="00C170C2"/>
    <w:rsid w:val="00C17547"/>
    <w:rsid w:val="00C17897"/>
    <w:rsid w:val="00C202E9"/>
    <w:rsid w:val="00C2199B"/>
    <w:rsid w:val="00C21A7C"/>
    <w:rsid w:val="00C224F8"/>
    <w:rsid w:val="00C22ACF"/>
    <w:rsid w:val="00C23B5B"/>
    <w:rsid w:val="00C23D5E"/>
    <w:rsid w:val="00C24D55"/>
    <w:rsid w:val="00C273C7"/>
    <w:rsid w:val="00C30D93"/>
    <w:rsid w:val="00C312D2"/>
    <w:rsid w:val="00C3136D"/>
    <w:rsid w:val="00C32561"/>
    <w:rsid w:val="00C32B95"/>
    <w:rsid w:val="00C32CD4"/>
    <w:rsid w:val="00C34EED"/>
    <w:rsid w:val="00C357DB"/>
    <w:rsid w:val="00C362A6"/>
    <w:rsid w:val="00C367C9"/>
    <w:rsid w:val="00C36AE6"/>
    <w:rsid w:val="00C40052"/>
    <w:rsid w:val="00C409D5"/>
    <w:rsid w:val="00C4110D"/>
    <w:rsid w:val="00C435C3"/>
    <w:rsid w:val="00C43FAE"/>
    <w:rsid w:val="00C440CE"/>
    <w:rsid w:val="00C4460E"/>
    <w:rsid w:val="00C448AD"/>
    <w:rsid w:val="00C44B9B"/>
    <w:rsid w:val="00C44CC9"/>
    <w:rsid w:val="00C44E5F"/>
    <w:rsid w:val="00C46B05"/>
    <w:rsid w:val="00C4722C"/>
    <w:rsid w:val="00C50334"/>
    <w:rsid w:val="00C51595"/>
    <w:rsid w:val="00C51B7C"/>
    <w:rsid w:val="00C52727"/>
    <w:rsid w:val="00C60C51"/>
    <w:rsid w:val="00C6167C"/>
    <w:rsid w:val="00C6184B"/>
    <w:rsid w:val="00C61B63"/>
    <w:rsid w:val="00C6234B"/>
    <w:rsid w:val="00C63095"/>
    <w:rsid w:val="00C63C92"/>
    <w:rsid w:val="00C63EAE"/>
    <w:rsid w:val="00C656EE"/>
    <w:rsid w:val="00C7067D"/>
    <w:rsid w:val="00C70E01"/>
    <w:rsid w:val="00C71203"/>
    <w:rsid w:val="00C73260"/>
    <w:rsid w:val="00C74B5F"/>
    <w:rsid w:val="00C74B95"/>
    <w:rsid w:val="00C7540C"/>
    <w:rsid w:val="00C7629F"/>
    <w:rsid w:val="00C766F0"/>
    <w:rsid w:val="00C771BE"/>
    <w:rsid w:val="00C823AC"/>
    <w:rsid w:val="00C83796"/>
    <w:rsid w:val="00C851C0"/>
    <w:rsid w:val="00C856E8"/>
    <w:rsid w:val="00C85990"/>
    <w:rsid w:val="00C8661B"/>
    <w:rsid w:val="00C8683E"/>
    <w:rsid w:val="00C87F56"/>
    <w:rsid w:val="00C9262B"/>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98"/>
    <w:rsid w:val="00CA3EF3"/>
    <w:rsid w:val="00CA4880"/>
    <w:rsid w:val="00CA51FC"/>
    <w:rsid w:val="00CA555C"/>
    <w:rsid w:val="00CA77FB"/>
    <w:rsid w:val="00CA793D"/>
    <w:rsid w:val="00CA7942"/>
    <w:rsid w:val="00CB026C"/>
    <w:rsid w:val="00CB0C67"/>
    <w:rsid w:val="00CB2382"/>
    <w:rsid w:val="00CB2886"/>
    <w:rsid w:val="00CB3293"/>
    <w:rsid w:val="00CB379B"/>
    <w:rsid w:val="00CB3BF4"/>
    <w:rsid w:val="00CB4074"/>
    <w:rsid w:val="00CB454A"/>
    <w:rsid w:val="00CB4F88"/>
    <w:rsid w:val="00CB5DD0"/>
    <w:rsid w:val="00CB76C8"/>
    <w:rsid w:val="00CC06BA"/>
    <w:rsid w:val="00CC269A"/>
    <w:rsid w:val="00CC4AD9"/>
    <w:rsid w:val="00CC4C13"/>
    <w:rsid w:val="00CC51D4"/>
    <w:rsid w:val="00CC564F"/>
    <w:rsid w:val="00CC65DA"/>
    <w:rsid w:val="00CC6C62"/>
    <w:rsid w:val="00CD000D"/>
    <w:rsid w:val="00CD0185"/>
    <w:rsid w:val="00CD1043"/>
    <w:rsid w:val="00CD13F3"/>
    <w:rsid w:val="00CD14B9"/>
    <w:rsid w:val="00CD1962"/>
    <w:rsid w:val="00CD46B3"/>
    <w:rsid w:val="00CD692C"/>
    <w:rsid w:val="00CD6C8C"/>
    <w:rsid w:val="00CE11CC"/>
    <w:rsid w:val="00CE18A4"/>
    <w:rsid w:val="00CE2AA7"/>
    <w:rsid w:val="00CE3076"/>
    <w:rsid w:val="00CE31D4"/>
    <w:rsid w:val="00CE4594"/>
    <w:rsid w:val="00CE4916"/>
    <w:rsid w:val="00CE5AA0"/>
    <w:rsid w:val="00CE7B36"/>
    <w:rsid w:val="00CE7CE8"/>
    <w:rsid w:val="00CF0103"/>
    <w:rsid w:val="00CF174F"/>
    <w:rsid w:val="00CF18FA"/>
    <w:rsid w:val="00CF21B9"/>
    <w:rsid w:val="00CF2A2D"/>
    <w:rsid w:val="00CF5CA4"/>
    <w:rsid w:val="00CF6BF9"/>
    <w:rsid w:val="00D00748"/>
    <w:rsid w:val="00D02A5C"/>
    <w:rsid w:val="00D03800"/>
    <w:rsid w:val="00D042BC"/>
    <w:rsid w:val="00D065D3"/>
    <w:rsid w:val="00D06FAB"/>
    <w:rsid w:val="00D10DD2"/>
    <w:rsid w:val="00D11C4B"/>
    <w:rsid w:val="00D12AEC"/>
    <w:rsid w:val="00D13799"/>
    <w:rsid w:val="00D14142"/>
    <w:rsid w:val="00D14C94"/>
    <w:rsid w:val="00D20C48"/>
    <w:rsid w:val="00D215E1"/>
    <w:rsid w:val="00D21D50"/>
    <w:rsid w:val="00D21DF3"/>
    <w:rsid w:val="00D231C8"/>
    <w:rsid w:val="00D256FA"/>
    <w:rsid w:val="00D26D63"/>
    <w:rsid w:val="00D27672"/>
    <w:rsid w:val="00D27F49"/>
    <w:rsid w:val="00D3027B"/>
    <w:rsid w:val="00D311DF"/>
    <w:rsid w:val="00D31C4A"/>
    <w:rsid w:val="00D32A8E"/>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BDB"/>
    <w:rsid w:val="00D5356B"/>
    <w:rsid w:val="00D53E26"/>
    <w:rsid w:val="00D53E5F"/>
    <w:rsid w:val="00D551DC"/>
    <w:rsid w:val="00D553D3"/>
    <w:rsid w:val="00D557EE"/>
    <w:rsid w:val="00D5583E"/>
    <w:rsid w:val="00D57074"/>
    <w:rsid w:val="00D57D9C"/>
    <w:rsid w:val="00D60EE3"/>
    <w:rsid w:val="00D60EE7"/>
    <w:rsid w:val="00D6230D"/>
    <w:rsid w:val="00D62F75"/>
    <w:rsid w:val="00D630BE"/>
    <w:rsid w:val="00D6322D"/>
    <w:rsid w:val="00D64899"/>
    <w:rsid w:val="00D64DB4"/>
    <w:rsid w:val="00D65EBE"/>
    <w:rsid w:val="00D67BFF"/>
    <w:rsid w:val="00D70E31"/>
    <w:rsid w:val="00D711B2"/>
    <w:rsid w:val="00D7295E"/>
    <w:rsid w:val="00D72DA3"/>
    <w:rsid w:val="00D755F8"/>
    <w:rsid w:val="00D76752"/>
    <w:rsid w:val="00D77688"/>
    <w:rsid w:val="00D829B1"/>
    <w:rsid w:val="00D8377A"/>
    <w:rsid w:val="00D84D15"/>
    <w:rsid w:val="00D85297"/>
    <w:rsid w:val="00D857A6"/>
    <w:rsid w:val="00D85B77"/>
    <w:rsid w:val="00D87054"/>
    <w:rsid w:val="00D87308"/>
    <w:rsid w:val="00D9080F"/>
    <w:rsid w:val="00D94CCE"/>
    <w:rsid w:val="00D95055"/>
    <w:rsid w:val="00D95AA4"/>
    <w:rsid w:val="00D979E4"/>
    <w:rsid w:val="00DA0339"/>
    <w:rsid w:val="00DA61BD"/>
    <w:rsid w:val="00DA653F"/>
    <w:rsid w:val="00DA6B14"/>
    <w:rsid w:val="00DA6EF0"/>
    <w:rsid w:val="00DA73F0"/>
    <w:rsid w:val="00DA78EC"/>
    <w:rsid w:val="00DB020A"/>
    <w:rsid w:val="00DB182C"/>
    <w:rsid w:val="00DB2582"/>
    <w:rsid w:val="00DB390F"/>
    <w:rsid w:val="00DB5337"/>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4FE2"/>
    <w:rsid w:val="00DC61DA"/>
    <w:rsid w:val="00DC756E"/>
    <w:rsid w:val="00DC7B09"/>
    <w:rsid w:val="00DD096C"/>
    <w:rsid w:val="00DD0CCF"/>
    <w:rsid w:val="00DD236B"/>
    <w:rsid w:val="00DD2657"/>
    <w:rsid w:val="00DD3302"/>
    <w:rsid w:val="00DD3943"/>
    <w:rsid w:val="00DD4F0E"/>
    <w:rsid w:val="00DD54ED"/>
    <w:rsid w:val="00DD5F22"/>
    <w:rsid w:val="00DD763B"/>
    <w:rsid w:val="00DE0C49"/>
    <w:rsid w:val="00DE1D45"/>
    <w:rsid w:val="00DE2640"/>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468"/>
    <w:rsid w:val="00E10E29"/>
    <w:rsid w:val="00E16AAC"/>
    <w:rsid w:val="00E24463"/>
    <w:rsid w:val="00E24857"/>
    <w:rsid w:val="00E25479"/>
    <w:rsid w:val="00E26606"/>
    <w:rsid w:val="00E26F95"/>
    <w:rsid w:val="00E27608"/>
    <w:rsid w:val="00E3092E"/>
    <w:rsid w:val="00E3419F"/>
    <w:rsid w:val="00E348B6"/>
    <w:rsid w:val="00E36456"/>
    <w:rsid w:val="00E3651B"/>
    <w:rsid w:val="00E40697"/>
    <w:rsid w:val="00E40B05"/>
    <w:rsid w:val="00E4285B"/>
    <w:rsid w:val="00E4302C"/>
    <w:rsid w:val="00E442C8"/>
    <w:rsid w:val="00E44594"/>
    <w:rsid w:val="00E44D6B"/>
    <w:rsid w:val="00E45320"/>
    <w:rsid w:val="00E47066"/>
    <w:rsid w:val="00E474A8"/>
    <w:rsid w:val="00E47A98"/>
    <w:rsid w:val="00E50497"/>
    <w:rsid w:val="00E512DA"/>
    <w:rsid w:val="00E521C9"/>
    <w:rsid w:val="00E534CF"/>
    <w:rsid w:val="00E538D3"/>
    <w:rsid w:val="00E553F7"/>
    <w:rsid w:val="00E56D4F"/>
    <w:rsid w:val="00E57794"/>
    <w:rsid w:val="00E609EA"/>
    <w:rsid w:val="00E61918"/>
    <w:rsid w:val="00E62B85"/>
    <w:rsid w:val="00E65533"/>
    <w:rsid w:val="00E658DB"/>
    <w:rsid w:val="00E66700"/>
    <w:rsid w:val="00E66A24"/>
    <w:rsid w:val="00E66EF8"/>
    <w:rsid w:val="00E6757C"/>
    <w:rsid w:val="00E70525"/>
    <w:rsid w:val="00E7099A"/>
    <w:rsid w:val="00E71517"/>
    <w:rsid w:val="00E72226"/>
    <w:rsid w:val="00E72B45"/>
    <w:rsid w:val="00E73CF4"/>
    <w:rsid w:val="00E76552"/>
    <w:rsid w:val="00E77C52"/>
    <w:rsid w:val="00E80AA0"/>
    <w:rsid w:val="00E81AA5"/>
    <w:rsid w:val="00E81CB4"/>
    <w:rsid w:val="00E82A33"/>
    <w:rsid w:val="00E8393E"/>
    <w:rsid w:val="00E83DD8"/>
    <w:rsid w:val="00E83F58"/>
    <w:rsid w:val="00E8439A"/>
    <w:rsid w:val="00E84F6C"/>
    <w:rsid w:val="00E8585B"/>
    <w:rsid w:val="00E86C55"/>
    <w:rsid w:val="00E87CCE"/>
    <w:rsid w:val="00E87F41"/>
    <w:rsid w:val="00E90E21"/>
    <w:rsid w:val="00E91622"/>
    <w:rsid w:val="00E92880"/>
    <w:rsid w:val="00E9330F"/>
    <w:rsid w:val="00E97083"/>
    <w:rsid w:val="00E973B0"/>
    <w:rsid w:val="00EA20BE"/>
    <w:rsid w:val="00EA396E"/>
    <w:rsid w:val="00EA3F15"/>
    <w:rsid w:val="00EA5386"/>
    <w:rsid w:val="00EA61C9"/>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49F6"/>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29C8"/>
    <w:rsid w:val="00EF3279"/>
    <w:rsid w:val="00F0030B"/>
    <w:rsid w:val="00F0035C"/>
    <w:rsid w:val="00F00B67"/>
    <w:rsid w:val="00F00C90"/>
    <w:rsid w:val="00F01EB4"/>
    <w:rsid w:val="00F02C0E"/>
    <w:rsid w:val="00F044B6"/>
    <w:rsid w:val="00F047DD"/>
    <w:rsid w:val="00F04810"/>
    <w:rsid w:val="00F04C88"/>
    <w:rsid w:val="00F04F0D"/>
    <w:rsid w:val="00F0759E"/>
    <w:rsid w:val="00F11188"/>
    <w:rsid w:val="00F11A2F"/>
    <w:rsid w:val="00F1266E"/>
    <w:rsid w:val="00F13E43"/>
    <w:rsid w:val="00F1637D"/>
    <w:rsid w:val="00F16A43"/>
    <w:rsid w:val="00F178D8"/>
    <w:rsid w:val="00F17914"/>
    <w:rsid w:val="00F17B18"/>
    <w:rsid w:val="00F224BD"/>
    <w:rsid w:val="00F231C2"/>
    <w:rsid w:val="00F2375C"/>
    <w:rsid w:val="00F246AE"/>
    <w:rsid w:val="00F249B4"/>
    <w:rsid w:val="00F24A92"/>
    <w:rsid w:val="00F270E9"/>
    <w:rsid w:val="00F2718C"/>
    <w:rsid w:val="00F304FE"/>
    <w:rsid w:val="00F30572"/>
    <w:rsid w:val="00F3147E"/>
    <w:rsid w:val="00F31863"/>
    <w:rsid w:val="00F3199B"/>
    <w:rsid w:val="00F35F07"/>
    <w:rsid w:val="00F37A1B"/>
    <w:rsid w:val="00F40882"/>
    <w:rsid w:val="00F449BA"/>
    <w:rsid w:val="00F46780"/>
    <w:rsid w:val="00F50305"/>
    <w:rsid w:val="00F50AC4"/>
    <w:rsid w:val="00F51218"/>
    <w:rsid w:val="00F51A86"/>
    <w:rsid w:val="00F51C53"/>
    <w:rsid w:val="00F52701"/>
    <w:rsid w:val="00F52D78"/>
    <w:rsid w:val="00F532BA"/>
    <w:rsid w:val="00F54493"/>
    <w:rsid w:val="00F5566F"/>
    <w:rsid w:val="00F559EF"/>
    <w:rsid w:val="00F55A19"/>
    <w:rsid w:val="00F56125"/>
    <w:rsid w:val="00F56D8F"/>
    <w:rsid w:val="00F57709"/>
    <w:rsid w:val="00F57CCB"/>
    <w:rsid w:val="00F61C2C"/>
    <w:rsid w:val="00F6205E"/>
    <w:rsid w:val="00F62A1B"/>
    <w:rsid w:val="00F64373"/>
    <w:rsid w:val="00F678DC"/>
    <w:rsid w:val="00F679F1"/>
    <w:rsid w:val="00F70043"/>
    <w:rsid w:val="00F72B25"/>
    <w:rsid w:val="00F73E95"/>
    <w:rsid w:val="00F74C38"/>
    <w:rsid w:val="00F7693A"/>
    <w:rsid w:val="00F76BB6"/>
    <w:rsid w:val="00F76C1D"/>
    <w:rsid w:val="00F7760D"/>
    <w:rsid w:val="00F77B04"/>
    <w:rsid w:val="00F77D2D"/>
    <w:rsid w:val="00F800C1"/>
    <w:rsid w:val="00F80317"/>
    <w:rsid w:val="00F821A3"/>
    <w:rsid w:val="00F84552"/>
    <w:rsid w:val="00F86162"/>
    <w:rsid w:val="00F91043"/>
    <w:rsid w:val="00F9198E"/>
    <w:rsid w:val="00F91C11"/>
    <w:rsid w:val="00F9246F"/>
    <w:rsid w:val="00F9309A"/>
    <w:rsid w:val="00F9314A"/>
    <w:rsid w:val="00F940B2"/>
    <w:rsid w:val="00F95AF6"/>
    <w:rsid w:val="00F95D08"/>
    <w:rsid w:val="00F96E3B"/>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2AC0"/>
    <w:rsid w:val="00FC342E"/>
    <w:rsid w:val="00FC4B39"/>
    <w:rsid w:val="00FC4BFD"/>
    <w:rsid w:val="00FC524D"/>
    <w:rsid w:val="00FC5798"/>
    <w:rsid w:val="00FC58EF"/>
    <w:rsid w:val="00FC5ADC"/>
    <w:rsid w:val="00FC64D4"/>
    <w:rsid w:val="00FC783B"/>
    <w:rsid w:val="00FD1049"/>
    <w:rsid w:val="00FD1785"/>
    <w:rsid w:val="00FD2F46"/>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3010"/>
    <w:rsid w:val="00FF4689"/>
    <w:rsid w:val="00FF70D1"/>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578DA8"/>
  <w15:chartTrackingRefBased/>
  <w15:docId w15:val="{DE8127AD-84E4-4AC6-BEDE-4BA7E83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AC5002"/>
    <w:pPr>
      <w:spacing w:before="240"/>
      <w:ind w:left="567" w:right="567"/>
    </w:pPr>
    <w:rPr>
      <w:rFonts w:eastAsia="Calibri" w:cs="Arial"/>
      <w:i/>
      <w:iCs/>
      <w:color w:val="000000"/>
      <w:sz w:val="20"/>
      <w:szCs w:val="22"/>
      <w:lang w:val="es-CO" w:eastAsia="en-US"/>
    </w:rPr>
  </w:style>
  <w:style w:type="character" w:customStyle="1" w:styleId="CitaCar">
    <w:name w:val="Cita Car"/>
    <w:basedOn w:val="Fuentedeprrafopredeter"/>
    <w:link w:val="Cita"/>
    <w:uiPriority w:val="29"/>
    <w:rsid w:val="00AC5002"/>
    <w:rPr>
      <w:rFonts w:ascii="Bookman Old Style" w:eastAsia="Calibri" w:hAnsi="Bookman Old Style"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CharStyle44">
    <w:name w:val="Char Style 44"/>
    <w:basedOn w:val="Fuentedeprrafopredeter"/>
    <w:link w:val="Style43"/>
    <w:uiPriority w:val="99"/>
    <w:rsid w:val="00AC5002"/>
    <w:rPr>
      <w:rFonts w:ascii="Courier New" w:hAnsi="Courier New" w:cs="Courier New"/>
      <w:b/>
      <w:bCs/>
      <w:spacing w:val="20"/>
      <w:sz w:val="15"/>
      <w:szCs w:val="15"/>
      <w:shd w:val="clear" w:color="auto" w:fill="FFFFFF"/>
    </w:rPr>
  </w:style>
  <w:style w:type="character" w:customStyle="1" w:styleId="CharStyle45">
    <w:name w:val="Char Style 45"/>
    <w:basedOn w:val="CharStyle44"/>
    <w:uiPriority w:val="99"/>
    <w:rsid w:val="00AC5002"/>
    <w:rPr>
      <w:rFonts w:ascii="Arial" w:hAnsi="Arial" w:cs="Arial"/>
      <w:b w:val="0"/>
      <w:bCs w:val="0"/>
      <w:spacing w:val="-10"/>
      <w:sz w:val="16"/>
      <w:szCs w:val="16"/>
      <w:shd w:val="clear" w:color="auto" w:fill="FFFFFF"/>
      <w:lang w:val="en-US" w:eastAsia="en-US"/>
    </w:rPr>
  </w:style>
  <w:style w:type="character" w:customStyle="1" w:styleId="CharStyle46">
    <w:name w:val="Char Style 46"/>
    <w:basedOn w:val="CharStyle44"/>
    <w:uiPriority w:val="99"/>
    <w:rsid w:val="00AC5002"/>
    <w:rPr>
      <w:rFonts w:ascii="Arial" w:hAnsi="Arial" w:cs="Arial"/>
      <w:b/>
      <w:bCs/>
      <w:i/>
      <w:iCs/>
      <w:smallCaps/>
      <w:spacing w:val="-10"/>
      <w:sz w:val="15"/>
      <w:szCs w:val="15"/>
      <w:shd w:val="clear" w:color="auto" w:fill="FFFFFF"/>
      <w:lang w:val="en-US" w:eastAsia="en-US"/>
    </w:rPr>
  </w:style>
  <w:style w:type="character" w:customStyle="1" w:styleId="CharStyle47">
    <w:name w:val="Char Style 47"/>
    <w:basedOn w:val="CharStyle44"/>
    <w:uiPriority w:val="99"/>
    <w:rsid w:val="00AC5002"/>
    <w:rPr>
      <w:rFonts w:ascii="Courier New" w:hAnsi="Courier New" w:cs="Courier New"/>
      <w:b/>
      <w:bCs/>
      <w:spacing w:val="0"/>
      <w:sz w:val="17"/>
      <w:szCs w:val="17"/>
      <w:shd w:val="clear" w:color="auto" w:fill="FFFFFF"/>
    </w:rPr>
  </w:style>
  <w:style w:type="character" w:customStyle="1" w:styleId="CharStyle48">
    <w:name w:val="Char Style 48"/>
    <w:basedOn w:val="CharStyle44"/>
    <w:uiPriority w:val="99"/>
    <w:rsid w:val="00AC5002"/>
    <w:rPr>
      <w:rFonts w:ascii="Arial" w:hAnsi="Arial" w:cs="Arial"/>
      <w:b/>
      <w:bCs/>
      <w:i/>
      <w:iCs/>
      <w:spacing w:val="-10"/>
      <w:sz w:val="15"/>
      <w:szCs w:val="15"/>
      <w:shd w:val="clear" w:color="auto" w:fill="FFFFFF"/>
      <w:lang w:val="en-US" w:eastAsia="en-US"/>
    </w:rPr>
  </w:style>
  <w:style w:type="character" w:customStyle="1" w:styleId="CharStyle49">
    <w:name w:val="Char Style 49"/>
    <w:basedOn w:val="CharStyle44"/>
    <w:uiPriority w:val="99"/>
    <w:rsid w:val="00AC5002"/>
    <w:rPr>
      <w:rFonts w:ascii="Arial" w:hAnsi="Arial" w:cs="Arial"/>
      <w:b w:val="0"/>
      <w:bCs w:val="0"/>
      <w:i/>
      <w:iCs/>
      <w:spacing w:val="0"/>
      <w:sz w:val="11"/>
      <w:szCs w:val="11"/>
      <w:shd w:val="clear" w:color="auto" w:fill="FFFFFF"/>
      <w:lang w:val="en-US" w:eastAsia="en-US"/>
    </w:rPr>
  </w:style>
  <w:style w:type="paragraph" w:customStyle="1" w:styleId="Style43">
    <w:name w:val="Style 43"/>
    <w:basedOn w:val="Normal"/>
    <w:link w:val="CharStyle44"/>
    <w:uiPriority w:val="99"/>
    <w:rsid w:val="00AC5002"/>
    <w:pPr>
      <w:widowControl w:val="0"/>
      <w:shd w:val="clear" w:color="auto" w:fill="FFFFFF"/>
      <w:spacing w:before="0" w:after="0" w:line="125" w:lineRule="exact"/>
    </w:pPr>
    <w:rPr>
      <w:rFonts w:ascii="Courier New" w:hAnsi="Courier New" w:cs="Courier New"/>
      <w:b/>
      <w:bCs/>
      <w:spacing w:val="20"/>
      <w:sz w:val="15"/>
      <w:szCs w:val="15"/>
      <w:lang w:val="es-CO" w:eastAsia="es-CO"/>
    </w:rPr>
  </w:style>
  <w:style w:type="character" w:customStyle="1" w:styleId="CharStyle73">
    <w:name w:val="Char Style 73"/>
    <w:basedOn w:val="CharStyle44"/>
    <w:uiPriority w:val="99"/>
    <w:rsid w:val="00987F88"/>
    <w:rPr>
      <w:rFonts w:ascii="Arial" w:hAnsi="Arial" w:cs="Arial"/>
      <w:b w:val="0"/>
      <w:bCs w:val="0"/>
      <w:spacing w:val="0"/>
      <w:sz w:val="19"/>
      <w:szCs w:val="19"/>
      <w:u w:val="none"/>
      <w:shd w:val="clear" w:color="auto" w:fill="FFFFFF"/>
    </w:rPr>
  </w:style>
  <w:style w:type="character" w:customStyle="1" w:styleId="CharStyle74">
    <w:name w:val="Char Style 74"/>
    <w:basedOn w:val="CharStyle44"/>
    <w:uiPriority w:val="99"/>
    <w:rsid w:val="00987F88"/>
    <w:rPr>
      <w:rFonts w:ascii="Arial" w:hAnsi="Arial" w:cs="Arial"/>
      <w:b w:val="0"/>
      <w:bCs w:val="0"/>
      <w:spacing w:val="-10"/>
      <w:sz w:val="21"/>
      <w:szCs w:val="21"/>
      <w:u w:val="none"/>
      <w:shd w:val="clear" w:color="auto" w:fill="FFFFFF"/>
    </w:rPr>
  </w:style>
  <w:style w:type="character" w:customStyle="1" w:styleId="CharStyle75">
    <w:name w:val="Char Style 75"/>
    <w:basedOn w:val="CharStyle44"/>
    <w:uiPriority w:val="99"/>
    <w:rsid w:val="00987F88"/>
    <w:rPr>
      <w:rFonts w:ascii="Arial" w:hAnsi="Arial" w:cs="Arial"/>
      <w:b/>
      <w:bCs/>
      <w:spacing w:val="-10"/>
      <w:sz w:val="21"/>
      <w:szCs w:val="21"/>
      <w:u w:val="none"/>
      <w:shd w:val="clear" w:color="auto" w:fill="FFFFFF"/>
    </w:rPr>
  </w:style>
  <w:style w:type="character" w:customStyle="1" w:styleId="CharStyle101">
    <w:name w:val="Char Style 101"/>
    <w:basedOn w:val="CharStyle44"/>
    <w:uiPriority w:val="99"/>
    <w:rsid w:val="00D042BC"/>
    <w:rPr>
      <w:rFonts w:ascii="Arial" w:hAnsi="Arial" w:cs="Arial"/>
      <w:b/>
      <w:bCs/>
      <w:spacing w:val="20"/>
      <w:sz w:val="21"/>
      <w:szCs w:val="21"/>
      <w:u w:val="none"/>
      <w:shd w:val="clear" w:color="auto" w:fill="FFFFFF"/>
    </w:rPr>
  </w:style>
  <w:style w:type="character" w:customStyle="1" w:styleId="CharStyle109">
    <w:name w:val="Char Style 109"/>
    <w:basedOn w:val="CharStyle44"/>
    <w:uiPriority w:val="99"/>
    <w:rsid w:val="00AC258A"/>
    <w:rPr>
      <w:rFonts w:ascii="Arial" w:hAnsi="Arial" w:cs="Arial"/>
      <w:b/>
      <w:bCs/>
      <w:spacing w:val="0"/>
      <w:sz w:val="22"/>
      <w:szCs w:val="22"/>
      <w:shd w:val="clear" w:color="auto" w:fill="FFFFFF"/>
      <w:lang w:val="en-US" w:eastAsia="en-US"/>
    </w:rPr>
  </w:style>
  <w:style w:type="character" w:customStyle="1" w:styleId="CharStyle131">
    <w:name w:val="Char Style 131"/>
    <w:basedOn w:val="CharStyle44"/>
    <w:uiPriority w:val="99"/>
    <w:rsid w:val="008211BA"/>
    <w:rPr>
      <w:rFonts w:ascii="Arial" w:hAnsi="Arial" w:cs="Arial"/>
      <w:b w:val="0"/>
      <w:bCs w:val="0"/>
      <w:i/>
      <w:iCs/>
      <w:spacing w:val="0"/>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28273276">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336887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555334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6785538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25D13-21D5-4567-A47E-6E1FDB90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17</Pages>
  <Words>6895</Words>
  <Characters>34265</Characters>
  <Application>Microsoft Office Word</Application>
  <DocSecurity>0</DocSecurity>
  <Lines>285</Lines>
  <Paragraphs>82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41078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2020-03-19T15:16:00Z</cp:lastPrinted>
  <dcterms:created xsi:type="dcterms:W3CDTF">2020-04-03T16:40:00Z</dcterms:created>
  <dcterms:modified xsi:type="dcterms:W3CDTF">2020-04-03T16:40:00Z</dcterms:modified>
</cp:coreProperties>
</file>