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BE" w:rsidRPr="00012259" w:rsidRDefault="00216FFA" w:rsidP="00EF1D06">
      <w:pPr>
        <w:pStyle w:val="Encabezado"/>
        <w:tabs>
          <w:tab w:val="clear" w:pos="8504"/>
          <w:tab w:val="left" w:pos="0"/>
          <w:tab w:val="right" w:pos="9356"/>
        </w:tabs>
        <w:ind w:left="9356" w:hanging="9356"/>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9264" fillcolor="#0c9">
            <v:imagedata r:id="rId9" o:title=""/>
          </v:shape>
          <o:OLEObject Type="Embed" ProgID="PBrush" ShapeID="_x0000_s1027" DrawAspect="Content" ObjectID="_1506235365" r:id="rId10"/>
        </w:pict>
      </w:r>
    </w:p>
    <w:p w:rsidR="00D633BE" w:rsidRPr="00EF1D06" w:rsidRDefault="00D633BE" w:rsidP="009B2BBF">
      <w:pPr>
        <w:pStyle w:val="Ttulo4"/>
        <w:ind w:left="0"/>
        <w:rPr>
          <w:rFonts w:ascii="Bookman Old Style" w:hAnsi="Bookman Old Style"/>
          <w:b w:val="0"/>
          <w:noProof/>
          <w:sz w:val="24"/>
          <w:szCs w:val="24"/>
          <w:lang w:val="es-ES"/>
        </w:rPr>
      </w:pPr>
      <w:r w:rsidRPr="00EF1D06">
        <w:rPr>
          <w:rFonts w:ascii="Bookman Old Style" w:hAnsi="Bookman Old Style"/>
          <w:b w:val="0"/>
          <w:sz w:val="24"/>
          <w:szCs w:val="24"/>
        </w:rPr>
        <w:t>Ministerio de Minas y Energía</w:t>
      </w:r>
    </w:p>
    <w:p w:rsidR="00D633BE" w:rsidRPr="009078CE" w:rsidRDefault="00D633BE" w:rsidP="009B2BBF">
      <w:pPr>
        <w:pStyle w:val="Ttulo4"/>
        <w:rPr>
          <w:rFonts w:ascii="Bookman Old Style" w:hAnsi="Bookman Old Style"/>
        </w:rPr>
      </w:pPr>
    </w:p>
    <w:p w:rsidR="00D633BE" w:rsidRDefault="00D633BE" w:rsidP="009B2BBF">
      <w:pPr>
        <w:pStyle w:val="Ttulo3"/>
        <w:rPr>
          <w:rFonts w:ascii="Bookman Old Style" w:hAnsi="Bookman Old Style"/>
        </w:rPr>
      </w:pPr>
    </w:p>
    <w:p w:rsidR="00D633BE" w:rsidRPr="009078CE" w:rsidRDefault="00D633BE" w:rsidP="009B2BBF">
      <w:pPr>
        <w:pStyle w:val="Ttulo3"/>
        <w:ind w:left="0"/>
        <w:rPr>
          <w:rFonts w:ascii="Bookman Old Style" w:hAnsi="Bookman Old Style"/>
        </w:rPr>
      </w:pPr>
      <w:r w:rsidRPr="009078CE">
        <w:rPr>
          <w:rFonts w:ascii="Bookman Old Style" w:hAnsi="Bookman Old Style"/>
        </w:rPr>
        <w:t>COMISIÓN DE REGULACIÓN DE ENERGÍA Y GAS</w:t>
      </w:r>
    </w:p>
    <w:p w:rsidR="00D633BE" w:rsidRPr="00FD160F" w:rsidRDefault="00D633BE" w:rsidP="009B2BBF">
      <w:pPr>
        <w:pStyle w:val="Ttulo5"/>
        <w:tabs>
          <w:tab w:val="left" w:pos="0"/>
          <w:tab w:val="right" w:pos="9356"/>
        </w:tabs>
        <w:ind w:left="0"/>
        <w:rPr>
          <w:rFonts w:ascii="Bookman Old Style" w:hAnsi="Bookman Old Style"/>
          <w:sz w:val="24"/>
          <w:szCs w:val="24"/>
        </w:rPr>
      </w:pPr>
    </w:p>
    <w:p w:rsidR="00D633BE" w:rsidRPr="00FD160F" w:rsidRDefault="00D633BE" w:rsidP="009B2BBF">
      <w:pPr>
        <w:pStyle w:val="Ttulo5"/>
        <w:tabs>
          <w:tab w:val="left" w:pos="0"/>
          <w:tab w:val="right" w:pos="9356"/>
        </w:tabs>
        <w:ind w:left="0"/>
        <w:rPr>
          <w:rFonts w:ascii="Bookman Old Style" w:hAnsi="Bookman Old Style"/>
          <w:sz w:val="24"/>
          <w:szCs w:val="24"/>
        </w:rPr>
      </w:pPr>
    </w:p>
    <w:p w:rsidR="00D633BE" w:rsidRPr="00FD160F" w:rsidRDefault="00D633BE" w:rsidP="009B2BBF">
      <w:pPr>
        <w:pStyle w:val="Ttulo5"/>
        <w:tabs>
          <w:tab w:val="left" w:pos="0"/>
          <w:tab w:val="right" w:pos="9356"/>
        </w:tabs>
        <w:ind w:left="0"/>
        <w:rPr>
          <w:rFonts w:ascii="Bookman Old Style" w:hAnsi="Bookman Old Style"/>
          <w:sz w:val="24"/>
          <w:szCs w:val="24"/>
        </w:rPr>
      </w:pPr>
      <w:r w:rsidRPr="00FD160F">
        <w:rPr>
          <w:rFonts w:ascii="Bookman Old Style" w:hAnsi="Bookman Old Style"/>
          <w:sz w:val="24"/>
          <w:szCs w:val="24"/>
        </w:rPr>
        <w:t xml:space="preserve">RESOLUCIÓN No.                   DE </w:t>
      </w:r>
      <w:r w:rsidR="006A772E" w:rsidRPr="00FD160F">
        <w:rPr>
          <w:rFonts w:ascii="Bookman Old Style" w:hAnsi="Bookman Old Style"/>
          <w:sz w:val="24"/>
          <w:szCs w:val="24"/>
        </w:rPr>
        <w:t>201</w:t>
      </w:r>
      <w:r w:rsidR="006A772E">
        <w:rPr>
          <w:rFonts w:ascii="Bookman Old Style" w:hAnsi="Bookman Old Style"/>
          <w:sz w:val="24"/>
          <w:szCs w:val="24"/>
        </w:rPr>
        <w:t>5</w:t>
      </w:r>
    </w:p>
    <w:p w:rsidR="00D633BE" w:rsidRPr="00012259" w:rsidRDefault="00D633BE" w:rsidP="009B2BBF">
      <w:pPr>
        <w:tabs>
          <w:tab w:val="left" w:pos="0"/>
          <w:tab w:val="right" w:pos="9356"/>
        </w:tabs>
        <w:ind w:left="0"/>
        <w:jc w:val="center"/>
        <w:rPr>
          <w:rFonts w:ascii="Bookman Old Style" w:hAnsi="Bookman Old Style" w:cs="Arial"/>
          <w:b/>
          <w:snapToGrid w:val="0"/>
          <w:color w:val="000000"/>
          <w:lang w:val="es-ES_tradnl"/>
        </w:rPr>
      </w:pPr>
    </w:p>
    <w:p w:rsidR="00D633BE" w:rsidRPr="00012259" w:rsidRDefault="00D633BE" w:rsidP="009B2BBF">
      <w:pPr>
        <w:pStyle w:val="Ttulo3"/>
        <w:ind w:left="0"/>
      </w:pPr>
      <w:r w:rsidRPr="00012259">
        <w:t>(                                  )</w:t>
      </w:r>
    </w:p>
    <w:p w:rsidR="00D633BE" w:rsidRDefault="00D633BE" w:rsidP="009B2BBF">
      <w:pPr>
        <w:tabs>
          <w:tab w:val="left" w:pos="0"/>
          <w:tab w:val="right" w:pos="9356"/>
        </w:tabs>
        <w:ind w:left="0"/>
        <w:jc w:val="center"/>
        <w:rPr>
          <w:rFonts w:ascii="Bookman Old Style" w:hAnsi="Bookman Old Style"/>
          <w:lang w:val="es-ES_tradnl"/>
        </w:rPr>
      </w:pPr>
    </w:p>
    <w:p w:rsidR="00EF1D06" w:rsidRDefault="00EF1D06" w:rsidP="009B2BBF">
      <w:pPr>
        <w:tabs>
          <w:tab w:val="left" w:pos="0"/>
          <w:tab w:val="right" w:pos="9356"/>
        </w:tabs>
        <w:ind w:left="0"/>
        <w:jc w:val="center"/>
        <w:rPr>
          <w:rFonts w:ascii="Bookman Old Style" w:hAnsi="Bookman Old Style"/>
          <w:lang w:val="es-ES_tradnl"/>
        </w:rPr>
      </w:pPr>
    </w:p>
    <w:p w:rsidR="00EF1D06" w:rsidRPr="00012259" w:rsidRDefault="00EF1D06" w:rsidP="009B2BBF">
      <w:pPr>
        <w:tabs>
          <w:tab w:val="left" w:pos="0"/>
          <w:tab w:val="right" w:pos="9356"/>
        </w:tabs>
        <w:ind w:left="0"/>
        <w:jc w:val="center"/>
        <w:rPr>
          <w:rFonts w:ascii="Bookman Old Style" w:hAnsi="Bookman Old Style"/>
          <w:lang w:val="es-ES_tradnl"/>
        </w:rPr>
      </w:pPr>
    </w:p>
    <w:p w:rsidR="00D633BE" w:rsidRDefault="00D633BE" w:rsidP="00D633BE">
      <w:pPr>
        <w:ind w:left="0"/>
        <w:rPr>
          <w:rFonts w:ascii="Bookman Old Style" w:hAnsi="Bookman Old Style"/>
          <w:bCs/>
          <w:lang w:val="es-CO"/>
        </w:rPr>
      </w:pPr>
    </w:p>
    <w:p w:rsidR="00501C5C" w:rsidRPr="008139FF" w:rsidRDefault="003C1808" w:rsidP="008139FF">
      <w:pPr>
        <w:tabs>
          <w:tab w:val="left" w:pos="0"/>
        </w:tabs>
        <w:ind w:left="0"/>
        <w:jc w:val="center"/>
        <w:rPr>
          <w:rFonts w:ascii="Bookman Old Style" w:eastAsia="Arial Unicode MS" w:hAnsi="Bookman Old Style" w:cs="Arial"/>
          <w:bCs/>
        </w:rPr>
      </w:pPr>
      <w:r w:rsidRPr="003C1808">
        <w:rPr>
          <w:rFonts w:ascii="Bookman Old Style" w:hAnsi="Bookman Old Style" w:cs="Arial"/>
          <w:szCs w:val="27"/>
        </w:rPr>
        <w:t>Por la cual se modifica</w:t>
      </w:r>
      <w:r w:rsidR="009456DE">
        <w:rPr>
          <w:rFonts w:ascii="Bookman Old Style" w:hAnsi="Bookman Old Style" w:cs="Arial"/>
          <w:szCs w:val="27"/>
        </w:rPr>
        <w:t xml:space="preserve"> el artículo 3 de</w:t>
      </w:r>
      <w:r w:rsidRPr="003C1808">
        <w:rPr>
          <w:rFonts w:ascii="Bookman Old Style" w:hAnsi="Bookman Old Style" w:cs="Arial"/>
          <w:szCs w:val="27"/>
        </w:rPr>
        <w:t xml:space="preserve"> la Resolución CREG 0</w:t>
      </w:r>
      <w:r w:rsidR="00B40F83">
        <w:rPr>
          <w:rFonts w:ascii="Bookman Old Style" w:hAnsi="Bookman Old Style" w:cs="Arial"/>
          <w:szCs w:val="27"/>
        </w:rPr>
        <w:t>3</w:t>
      </w:r>
      <w:r w:rsidR="009456DE">
        <w:rPr>
          <w:rFonts w:ascii="Bookman Old Style" w:hAnsi="Bookman Old Style" w:cs="Arial"/>
          <w:szCs w:val="27"/>
        </w:rPr>
        <w:t>4</w:t>
      </w:r>
      <w:r w:rsidRPr="003C1808">
        <w:rPr>
          <w:rFonts w:ascii="Bookman Old Style" w:hAnsi="Bookman Old Style" w:cs="Arial"/>
          <w:szCs w:val="27"/>
        </w:rPr>
        <w:t xml:space="preserve"> de </w:t>
      </w:r>
      <w:r w:rsidR="00B40F83">
        <w:rPr>
          <w:rFonts w:ascii="Bookman Old Style" w:hAnsi="Bookman Old Style" w:cs="Arial"/>
          <w:szCs w:val="27"/>
        </w:rPr>
        <w:t>200</w:t>
      </w:r>
      <w:r w:rsidR="009456DE">
        <w:rPr>
          <w:rFonts w:ascii="Bookman Old Style" w:hAnsi="Bookman Old Style" w:cs="Arial"/>
          <w:szCs w:val="27"/>
        </w:rPr>
        <w:t>1 con relación al precio de Reconciliación Negativa</w:t>
      </w:r>
      <w:r w:rsidRPr="003C1808">
        <w:rPr>
          <w:rFonts w:ascii="Bookman Old Style" w:hAnsi="Bookman Old Style" w:cs="Arial"/>
          <w:szCs w:val="27"/>
        </w:rPr>
        <w:t xml:space="preserve"> </w:t>
      </w:r>
    </w:p>
    <w:p w:rsidR="00501C5C" w:rsidRDefault="00501C5C" w:rsidP="00501C5C">
      <w:pPr>
        <w:tabs>
          <w:tab w:val="left" w:pos="0"/>
        </w:tabs>
        <w:ind w:left="360" w:right="281"/>
        <w:jc w:val="center"/>
        <w:rPr>
          <w:rFonts w:ascii="Bookman Old Style" w:eastAsia="Arial Unicode MS" w:hAnsi="Bookman Old Style" w:cs="Arial"/>
          <w:bCs/>
        </w:rPr>
      </w:pPr>
    </w:p>
    <w:p w:rsidR="00501C5C" w:rsidRDefault="00501C5C" w:rsidP="00501C5C">
      <w:pPr>
        <w:tabs>
          <w:tab w:val="left" w:pos="0"/>
        </w:tabs>
        <w:ind w:left="360" w:right="281"/>
        <w:jc w:val="center"/>
        <w:rPr>
          <w:rFonts w:ascii="Bookman Old Style" w:eastAsia="Arial Unicode MS" w:hAnsi="Bookman Old Style" w:cs="Arial"/>
          <w:bCs/>
        </w:rPr>
      </w:pPr>
    </w:p>
    <w:p w:rsidR="00501C5C" w:rsidRPr="00BA04BF" w:rsidRDefault="00501C5C" w:rsidP="00501C5C">
      <w:pPr>
        <w:tabs>
          <w:tab w:val="left" w:pos="0"/>
        </w:tabs>
        <w:ind w:left="0" w:right="-73"/>
        <w:jc w:val="center"/>
        <w:rPr>
          <w:rFonts w:ascii="Bookman Old Style" w:eastAsia="Arial Unicode MS" w:hAnsi="Bookman Old Style" w:cs="Arial"/>
          <w:b/>
          <w:bCs/>
        </w:rPr>
      </w:pPr>
      <w:r w:rsidRPr="00BA04BF">
        <w:rPr>
          <w:rFonts w:ascii="Bookman Old Style" w:eastAsia="Arial Unicode MS" w:hAnsi="Bookman Old Style" w:cs="Arial"/>
          <w:b/>
          <w:bCs/>
        </w:rPr>
        <w:t>LA COMISIÓN DE REGULACIÓN DE ENERGÍA Y GAS</w:t>
      </w:r>
    </w:p>
    <w:p w:rsidR="00501C5C" w:rsidRPr="00BA04BF" w:rsidRDefault="00501C5C" w:rsidP="00501C5C">
      <w:pPr>
        <w:tabs>
          <w:tab w:val="left" w:pos="0"/>
        </w:tabs>
        <w:ind w:right="-73"/>
        <w:jc w:val="both"/>
        <w:rPr>
          <w:rFonts w:ascii="Bookman Old Style" w:eastAsia="Arial Unicode MS" w:hAnsi="Bookman Old Style" w:cs="Arial"/>
          <w:bCs/>
        </w:rPr>
      </w:pPr>
    </w:p>
    <w:p w:rsidR="00501C5C" w:rsidRPr="00BA04BF" w:rsidRDefault="00501C5C" w:rsidP="00501C5C">
      <w:pPr>
        <w:tabs>
          <w:tab w:val="left" w:pos="0"/>
        </w:tabs>
        <w:ind w:right="-73"/>
        <w:jc w:val="both"/>
        <w:rPr>
          <w:rFonts w:ascii="Bookman Old Style" w:eastAsia="Arial Unicode MS" w:hAnsi="Bookman Old Style" w:cs="Arial"/>
          <w:bCs/>
        </w:rPr>
      </w:pPr>
    </w:p>
    <w:p w:rsidR="008727DF" w:rsidRDefault="008727DF" w:rsidP="008727DF">
      <w:pPr>
        <w:tabs>
          <w:tab w:val="left" w:pos="0"/>
        </w:tabs>
        <w:ind w:left="0" w:right="-73"/>
        <w:jc w:val="center"/>
        <w:rPr>
          <w:rFonts w:ascii="Bookman Old Style" w:hAnsi="Bookman Old Style" w:cs="Arial"/>
        </w:rPr>
      </w:pPr>
      <w:r w:rsidRPr="004D0E35">
        <w:rPr>
          <w:rFonts w:ascii="Bookman Old Style" w:hAnsi="Bookman Old Style" w:cs="Arial"/>
          <w:bCs/>
          <w:spacing w:val="-3"/>
        </w:rPr>
        <w:t>En ejercicio de sus atribuciones constitucionales y legales, en especial las conferidas por las Leyes 142 y 143 de 1994, y en desarrollo de los Decretos 1524 y 2253 de 1994</w:t>
      </w:r>
      <w:r w:rsidR="00ED3FEA">
        <w:rPr>
          <w:rFonts w:ascii="Bookman Old Style" w:hAnsi="Bookman Old Style" w:cs="Arial"/>
          <w:bCs/>
          <w:spacing w:val="-3"/>
        </w:rPr>
        <w:t xml:space="preserve"> y el 1260 de 2013</w:t>
      </w:r>
      <w:r w:rsidRPr="004D0E35">
        <w:rPr>
          <w:rFonts w:ascii="Bookman Old Style" w:hAnsi="Bookman Old Style" w:cs="Arial"/>
          <w:bCs/>
          <w:spacing w:val="-3"/>
        </w:rPr>
        <w:t>.</w:t>
      </w:r>
    </w:p>
    <w:p w:rsidR="00501C5C" w:rsidRPr="00BA04BF" w:rsidRDefault="00501C5C" w:rsidP="00501C5C">
      <w:pPr>
        <w:tabs>
          <w:tab w:val="left" w:pos="0"/>
        </w:tabs>
        <w:ind w:left="0" w:right="-73"/>
        <w:jc w:val="both"/>
        <w:rPr>
          <w:rFonts w:ascii="Bookman Old Style" w:hAnsi="Bookman Old Style" w:cs="Arial"/>
        </w:rPr>
      </w:pPr>
    </w:p>
    <w:p w:rsidR="00501C5C" w:rsidRPr="00BA04BF" w:rsidRDefault="00501C5C" w:rsidP="00501C5C">
      <w:pPr>
        <w:tabs>
          <w:tab w:val="left" w:pos="0"/>
        </w:tabs>
        <w:ind w:left="0" w:right="-73"/>
        <w:jc w:val="both"/>
        <w:rPr>
          <w:rFonts w:ascii="Bookman Old Style" w:hAnsi="Bookman Old Style" w:cs="Arial"/>
          <w:bCs/>
        </w:rPr>
      </w:pPr>
    </w:p>
    <w:p w:rsidR="00501C5C" w:rsidRPr="00C435C3" w:rsidRDefault="00501C5C" w:rsidP="00501C5C">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501C5C" w:rsidRDefault="00501C5C" w:rsidP="00501C5C">
      <w:pPr>
        <w:tabs>
          <w:tab w:val="left" w:pos="0"/>
        </w:tabs>
        <w:ind w:left="0" w:right="-73"/>
        <w:jc w:val="center"/>
        <w:rPr>
          <w:rFonts w:ascii="Bookman Old Style" w:hAnsi="Bookman Old Style" w:cs="Arial"/>
          <w:b/>
        </w:rPr>
      </w:pPr>
    </w:p>
    <w:p w:rsidR="00D24303" w:rsidRPr="00BA04BF" w:rsidRDefault="00D24303" w:rsidP="00501C5C">
      <w:pPr>
        <w:tabs>
          <w:tab w:val="left" w:pos="0"/>
        </w:tabs>
        <w:ind w:left="0" w:right="-73"/>
        <w:jc w:val="center"/>
        <w:rPr>
          <w:rFonts w:ascii="Bookman Old Style" w:hAnsi="Bookman Old Style" w:cs="Arial"/>
          <w:b/>
        </w:rPr>
      </w:pPr>
    </w:p>
    <w:p w:rsidR="00501C5C" w:rsidRPr="001F492E"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501C5C" w:rsidRPr="001F492E" w:rsidRDefault="00501C5C" w:rsidP="00501C5C">
      <w:pPr>
        <w:tabs>
          <w:tab w:val="left" w:pos="0"/>
        </w:tabs>
        <w:ind w:left="0" w:right="-73"/>
        <w:jc w:val="both"/>
        <w:rPr>
          <w:rFonts w:ascii="Bookman Old Style" w:hAnsi="Bookman Old Style" w:cs="Arial"/>
        </w:rPr>
      </w:pPr>
    </w:p>
    <w:p w:rsidR="00501C5C" w:rsidRPr="001F492E"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Para el cumplimiento del objetivo señalado, la Ley 143 de 1994, artículo 23, le atribuyó a la Comisión de Regulación de Energía y Gas, entre otras, las funciones de 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 valorar la capacidad de generación de respaldo de la oferta eficiente; definir y hacer operativos los criterios técnicos de calidad, confiabilidad y seguridad del servicio de energía; y determinar las condiciones para la liberación gradual del mercado hacia la libre competencia.</w:t>
      </w:r>
    </w:p>
    <w:p w:rsidR="00501C5C" w:rsidRPr="001F492E" w:rsidRDefault="00501C5C" w:rsidP="00501C5C">
      <w:pPr>
        <w:tabs>
          <w:tab w:val="left" w:pos="0"/>
        </w:tabs>
        <w:ind w:left="0" w:right="-73"/>
        <w:jc w:val="both"/>
        <w:rPr>
          <w:rFonts w:ascii="Bookman Old Style" w:hAnsi="Bookman Old Style" w:cs="Arial"/>
        </w:rPr>
      </w:pPr>
    </w:p>
    <w:p w:rsidR="00501C5C"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De acuerdo con lo establecido en el literal c) del artículo 74.1 de la ley 142 de 1994 y el literal i) del artículo 23 de la Ley 143 del mismo año, le corresponde a la CREG establecer el Reglamento de Operación, para regular el funcionamiento del Mercado Mayorista.</w:t>
      </w:r>
    </w:p>
    <w:p w:rsidR="00BE7BE2" w:rsidRPr="001F302D" w:rsidRDefault="00BE7BE2" w:rsidP="00BE7BE2">
      <w:pPr>
        <w:pStyle w:val="Piedepgina"/>
        <w:tabs>
          <w:tab w:val="clear" w:pos="4252"/>
          <w:tab w:val="clear" w:pos="8504"/>
        </w:tabs>
        <w:ind w:left="0"/>
        <w:jc w:val="both"/>
        <w:rPr>
          <w:rFonts w:ascii="Bookman Old Style" w:hAnsi="Bookman Old Style"/>
        </w:rPr>
      </w:pPr>
    </w:p>
    <w:p w:rsidR="00511017" w:rsidRDefault="00511017" w:rsidP="00BE7BE2">
      <w:pPr>
        <w:pStyle w:val="Piedepgina"/>
        <w:tabs>
          <w:tab w:val="clear" w:pos="4252"/>
          <w:tab w:val="clear" w:pos="8504"/>
        </w:tabs>
        <w:ind w:left="0"/>
        <w:jc w:val="both"/>
        <w:rPr>
          <w:rFonts w:ascii="Bookman Old Style" w:hAnsi="Bookman Old Style"/>
        </w:rPr>
      </w:pPr>
    </w:p>
    <w:p w:rsidR="00511017" w:rsidRDefault="00511017" w:rsidP="00BE7BE2">
      <w:pPr>
        <w:pStyle w:val="Piedepgina"/>
        <w:tabs>
          <w:tab w:val="clear" w:pos="4252"/>
          <w:tab w:val="clear" w:pos="8504"/>
        </w:tabs>
        <w:ind w:left="0"/>
        <w:jc w:val="both"/>
        <w:rPr>
          <w:rFonts w:ascii="Bookman Old Style" w:hAnsi="Bookman Old Style"/>
        </w:rPr>
      </w:pPr>
    </w:p>
    <w:p w:rsidR="00BE7BE2" w:rsidRPr="001F302D" w:rsidRDefault="00BE7BE2" w:rsidP="00BE7BE2">
      <w:pPr>
        <w:pStyle w:val="Piedepgina"/>
        <w:tabs>
          <w:tab w:val="clear" w:pos="4252"/>
          <w:tab w:val="clear" w:pos="8504"/>
        </w:tabs>
        <w:ind w:left="0"/>
        <w:jc w:val="both"/>
        <w:rPr>
          <w:rFonts w:ascii="Bookman Old Style" w:hAnsi="Bookman Old Style"/>
        </w:rPr>
      </w:pPr>
      <w:r>
        <w:rPr>
          <w:rFonts w:ascii="Bookman Old Style" w:hAnsi="Bookman Old Style"/>
        </w:rPr>
        <w:t xml:space="preserve">Mediante la </w:t>
      </w:r>
      <w:r w:rsidRPr="001F302D">
        <w:rPr>
          <w:rFonts w:ascii="Bookman Old Style" w:hAnsi="Bookman Old Style"/>
        </w:rPr>
        <w:t>Resolución CREG-063 de 2000</w:t>
      </w:r>
      <w:r>
        <w:rPr>
          <w:rFonts w:ascii="Bookman Old Style" w:hAnsi="Bookman Old Style"/>
        </w:rPr>
        <w:t>, la Comisión estableció “</w:t>
      </w:r>
      <w:r w:rsidRPr="00D70CF8">
        <w:rPr>
          <w:rFonts w:ascii="Bookman Old Style" w:hAnsi="Bookman Old Style"/>
        </w:rPr>
        <w:t>los criterios para la asignación entre los agentes del SIN de los costos asociados con las Generaciones de Seguridad y se modifican las disposiciones vigentes en materia de Reconciliaciones, como parte del Reglamento de Operación del SIN</w:t>
      </w:r>
      <w:r w:rsidRPr="001F302D">
        <w:rPr>
          <w:rFonts w:ascii="Bookman Old Style" w:hAnsi="Bookman Old Style"/>
        </w:rPr>
        <w:t>”</w:t>
      </w:r>
      <w:r w:rsidR="00511017">
        <w:rPr>
          <w:rFonts w:ascii="Bookman Old Style" w:hAnsi="Bookman Old Style"/>
        </w:rPr>
        <w:t>.</w:t>
      </w:r>
    </w:p>
    <w:p w:rsidR="00BE7BE2" w:rsidRPr="001F302D" w:rsidRDefault="00BE7BE2" w:rsidP="00BE7BE2">
      <w:pPr>
        <w:pStyle w:val="Piedepgina"/>
        <w:tabs>
          <w:tab w:val="clear" w:pos="4252"/>
          <w:tab w:val="clear" w:pos="8504"/>
        </w:tabs>
        <w:ind w:left="0"/>
        <w:jc w:val="both"/>
        <w:rPr>
          <w:rFonts w:ascii="Bookman Old Style" w:hAnsi="Bookman Old Style"/>
        </w:rPr>
      </w:pPr>
    </w:p>
    <w:p w:rsidR="00BE7BE2" w:rsidRPr="001F302D" w:rsidRDefault="00BE7BE2" w:rsidP="00BE7BE2">
      <w:pPr>
        <w:pStyle w:val="Piedepgina"/>
        <w:tabs>
          <w:tab w:val="clear" w:pos="4252"/>
          <w:tab w:val="clear" w:pos="8504"/>
        </w:tabs>
        <w:ind w:left="0"/>
        <w:jc w:val="both"/>
        <w:rPr>
          <w:rFonts w:ascii="Bookman Old Style" w:hAnsi="Bookman Old Style"/>
        </w:rPr>
      </w:pPr>
      <w:r w:rsidRPr="001F302D">
        <w:rPr>
          <w:rFonts w:ascii="Bookman Old Style" w:hAnsi="Bookman Old Style"/>
        </w:rPr>
        <w:t>La Comisión expidió la Resolución CREG-034 de 2001 “</w:t>
      </w:r>
      <w:r w:rsidRPr="00D70CF8">
        <w:rPr>
          <w:rFonts w:ascii="Bookman Old Style" w:hAnsi="Bookman Old Style"/>
        </w:rPr>
        <w:t>Por la cual se dictan normas sobre funcionamiento del Mercado Mayorista de Energía</w:t>
      </w:r>
      <w:r>
        <w:rPr>
          <w:rFonts w:ascii="Bookman Old Style" w:hAnsi="Bookman Old Style"/>
        </w:rPr>
        <w:t>”, que regulan las Reconciliaciones.</w:t>
      </w:r>
    </w:p>
    <w:p w:rsidR="00F0687B" w:rsidRDefault="00F0687B" w:rsidP="007D4332">
      <w:pPr>
        <w:ind w:left="0"/>
        <w:jc w:val="both"/>
        <w:rPr>
          <w:rFonts w:ascii="Bookman Old Style" w:hAnsi="Bookman Old Style"/>
        </w:rPr>
      </w:pPr>
    </w:p>
    <w:p w:rsidR="00F0687B" w:rsidRPr="00BE7BE2" w:rsidRDefault="00BE7BE2" w:rsidP="007D4332">
      <w:pPr>
        <w:ind w:left="0" w:right="51"/>
        <w:jc w:val="both"/>
        <w:rPr>
          <w:rFonts w:ascii="Bookman Old Style" w:hAnsi="Bookman Old Style" w:cs="Arial"/>
          <w:spacing w:val="-4"/>
        </w:rPr>
      </w:pPr>
      <w:r>
        <w:rPr>
          <w:rFonts w:ascii="Bookman Old Style" w:hAnsi="Bookman Old Style" w:cs="Arial"/>
          <w:spacing w:val="-4"/>
        </w:rPr>
        <w:t xml:space="preserve">Mediante la Resolución CREG 121 de 2010 </w:t>
      </w:r>
      <w:r w:rsidR="00D70CF8">
        <w:rPr>
          <w:rFonts w:ascii="Bookman Old Style" w:hAnsi="Bookman Old Style" w:cs="Arial"/>
          <w:spacing w:val="-4"/>
        </w:rPr>
        <w:t>“</w:t>
      </w:r>
      <w:r w:rsidRPr="00D70CF8">
        <w:rPr>
          <w:rFonts w:ascii="Bookman Old Style" w:hAnsi="Bookman Old Style" w:cs="Arial"/>
          <w:spacing w:val="-4"/>
        </w:rPr>
        <w:t>Por la cual se ordena hacer público un proyecto de resolución de carácter general, que pretende adoptar la CREG con el fin de dictar normas sobre funcionamiento del Mercado Mayorista de Energía</w:t>
      </w:r>
      <w:r w:rsidR="00D70CF8">
        <w:rPr>
          <w:rFonts w:ascii="Bookman Old Style" w:hAnsi="Bookman Old Style" w:cs="Arial"/>
          <w:spacing w:val="-4"/>
        </w:rPr>
        <w:t>”</w:t>
      </w:r>
      <w:r>
        <w:rPr>
          <w:rFonts w:ascii="Bookman Old Style" w:hAnsi="Bookman Old Style" w:cs="Arial"/>
          <w:spacing w:val="-4"/>
        </w:rPr>
        <w:t xml:space="preserve">, se </w:t>
      </w:r>
      <w:r w:rsidR="00AA0C87">
        <w:rPr>
          <w:rFonts w:ascii="Bookman Old Style" w:hAnsi="Bookman Old Style" w:cs="Arial"/>
          <w:spacing w:val="-4"/>
        </w:rPr>
        <w:t>modificó</w:t>
      </w:r>
      <w:r>
        <w:rPr>
          <w:rFonts w:ascii="Bookman Old Style" w:hAnsi="Bookman Old Style" w:cs="Arial"/>
          <w:spacing w:val="-4"/>
        </w:rPr>
        <w:t xml:space="preserve"> el precio de reconciliación negativa.</w:t>
      </w:r>
    </w:p>
    <w:p w:rsidR="00FD23A4" w:rsidRDefault="00FD23A4" w:rsidP="007D4332">
      <w:pPr>
        <w:ind w:left="0" w:right="51"/>
        <w:jc w:val="both"/>
        <w:rPr>
          <w:rFonts w:ascii="Bookman Old Style" w:hAnsi="Bookman Old Style" w:cs="Arial"/>
          <w:spacing w:val="-4"/>
        </w:rPr>
      </w:pPr>
    </w:p>
    <w:p w:rsidR="006414B4" w:rsidRDefault="001644DB" w:rsidP="007D4332">
      <w:pPr>
        <w:ind w:left="0" w:right="51"/>
        <w:jc w:val="both"/>
        <w:rPr>
          <w:rFonts w:ascii="Bookman Old Style" w:hAnsi="Bookman Old Style" w:cs="Arial"/>
          <w:spacing w:val="-4"/>
        </w:rPr>
      </w:pPr>
      <w:r>
        <w:rPr>
          <w:rFonts w:ascii="Bookman Old Style" w:hAnsi="Bookman Old Style" w:cs="Arial"/>
          <w:spacing w:val="-4"/>
        </w:rPr>
        <w:t>Cuando los agentes generadores tienen una generación real menor a su generación ideal presentan una reconciliación negativa debid</w:t>
      </w:r>
      <w:r w:rsidR="00030578">
        <w:rPr>
          <w:rFonts w:ascii="Bookman Old Style" w:hAnsi="Bookman Old Style" w:cs="Arial"/>
          <w:spacing w:val="-4"/>
        </w:rPr>
        <w:t>o</w:t>
      </w:r>
      <w:r>
        <w:rPr>
          <w:rFonts w:ascii="Bookman Old Style" w:hAnsi="Bookman Old Style" w:cs="Arial"/>
          <w:spacing w:val="-4"/>
        </w:rPr>
        <w:t xml:space="preserve"> a la diferencia entre la generación real y la ideal, </w:t>
      </w:r>
      <w:r w:rsidR="00030578">
        <w:rPr>
          <w:rFonts w:ascii="Bookman Old Style" w:hAnsi="Bookman Old Style" w:cs="Arial"/>
          <w:spacing w:val="-4"/>
        </w:rPr>
        <w:t xml:space="preserve">por lo cual </w:t>
      </w:r>
      <w:r w:rsidR="006414B4">
        <w:rPr>
          <w:rFonts w:ascii="Bookman Old Style" w:hAnsi="Bookman Old Style" w:cs="Arial"/>
          <w:spacing w:val="-4"/>
        </w:rPr>
        <w:t>deben devolver esta diferencia por el precio de reconciliación negativa</w:t>
      </w:r>
      <w:r w:rsidR="00030578">
        <w:rPr>
          <w:rFonts w:ascii="Bookman Old Style" w:hAnsi="Bookman Old Style" w:cs="Arial"/>
          <w:spacing w:val="-4"/>
        </w:rPr>
        <w:t xml:space="preserve"> dado que toda su generación ideal fue remunerada a precio de bolsa</w:t>
      </w:r>
      <w:r w:rsidR="006414B4">
        <w:rPr>
          <w:rFonts w:ascii="Bookman Old Style" w:hAnsi="Bookman Old Style" w:cs="Arial"/>
          <w:spacing w:val="-4"/>
        </w:rPr>
        <w:t xml:space="preserve">. </w:t>
      </w:r>
    </w:p>
    <w:p w:rsidR="006414B4" w:rsidRDefault="006414B4" w:rsidP="007D4332">
      <w:pPr>
        <w:ind w:left="0" w:right="51"/>
        <w:jc w:val="both"/>
        <w:rPr>
          <w:rFonts w:ascii="Bookman Old Style" w:hAnsi="Bookman Old Style" w:cs="Arial"/>
          <w:spacing w:val="-4"/>
        </w:rPr>
      </w:pPr>
    </w:p>
    <w:p w:rsidR="006414B4" w:rsidRDefault="0044787D" w:rsidP="007D4332">
      <w:pPr>
        <w:ind w:left="0" w:right="51"/>
        <w:jc w:val="both"/>
        <w:rPr>
          <w:rFonts w:ascii="Bookman Old Style" w:hAnsi="Bookman Old Style" w:cs="Arial"/>
          <w:spacing w:val="-4"/>
        </w:rPr>
      </w:pPr>
      <w:r>
        <w:rPr>
          <w:rFonts w:ascii="Bookman Old Style" w:hAnsi="Bookman Old Style" w:cs="Arial"/>
          <w:spacing w:val="-4"/>
        </w:rPr>
        <w:t xml:space="preserve">En la Resolución CREG 121 de 2010 se </w:t>
      </w:r>
      <w:r w:rsidR="00585AF3">
        <w:rPr>
          <w:rFonts w:ascii="Bookman Old Style" w:hAnsi="Bookman Old Style" w:cs="Arial"/>
          <w:spacing w:val="-4"/>
        </w:rPr>
        <w:t>estableció</w:t>
      </w:r>
      <w:r>
        <w:rPr>
          <w:rFonts w:ascii="Bookman Old Style" w:hAnsi="Bookman Old Style" w:cs="Arial"/>
          <w:spacing w:val="-4"/>
        </w:rPr>
        <w:t xml:space="preserve"> que el precio de reconciliación negativa </w:t>
      </w:r>
      <w:r w:rsidR="00585AF3">
        <w:rPr>
          <w:rFonts w:ascii="Bookman Old Style" w:hAnsi="Bookman Old Style" w:cs="Arial"/>
          <w:spacing w:val="-4"/>
        </w:rPr>
        <w:t xml:space="preserve">es igual al máximo precio ofertado para </w:t>
      </w:r>
      <w:r w:rsidR="0081678D">
        <w:rPr>
          <w:rFonts w:ascii="Bookman Old Style" w:hAnsi="Bookman Old Style" w:cs="Arial"/>
          <w:spacing w:val="-4"/>
        </w:rPr>
        <w:t xml:space="preserve">la </w:t>
      </w:r>
      <w:r w:rsidR="00585AF3">
        <w:rPr>
          <w:rFonts w:ascii="Bookman Old Style" w:hAnsi="Bookman Old Style" w:cs="Arial"/>
          <w:spacing w:val="-4"/>
        </w:rPr>
        <w:t>demanda total doméstica, MPO</w:t>
      </w:r>
      <w:r w:rsidR="00585AF3">
        <w:rPr>
          <w:rFonts w:ascii="Bookman Old Style" w:hAnsi="Bookman Old Style" w:cs="Arial"/>
          <w:spacing w:val="-4"/>
          <w:vertAlign w:val="subscript"/>
        </w:rPr>
        <w:t>N</w:t>
      </w:r>
      <w:r w:rsidR="00585AF3">
        <w:rPr>
          <w:rFonts w:ascii="Bookman Old Style" w:hAnsi="Bookman Old Style" w:cs="Arial"/>
          <w:spacing w:val="-4"/>
        </w:rPr>
        <w:t xml:space="preserve">, y que cuando se da la condición de que el precio de bolsa supera el precio de escasez, condición definida como condición crítica, </w:t>
      </w:r>
      <w:r w:rsidR="006414B4">
        <w:rPr>
          <w:rFonts w:ascii="Bookman Old Style" w:hAnsi="Bookman Old Style" w:cs="Arial"/>
          <w:spacing w:val="-4"/>
        </w:rPr>
        <w:t>el precio de reconciliación negativa supera el precio de escasez.</w:t>
      </w:r>
    </w:p>
    <w:p w:rsidR="006414B4" w:rsidRDefault="006414B4" w:rsidP="007D4332">
      <w:pPr>
        <w:ind w:left="0" w:right="51"/>
        <w:jc w:val="both"/>
        <w:rPr>
          <w:rFonts w:ascii="Bookman Old Style" w:hAnsi="Bookman Old Style" w:cs="Arial"/>
          <w:spacing w:val="-4"/>
        </w:rPr>
      </w:pPr>
    </w:p>
    <w:p w:rsidR="003158AB" w:rsidRDefault="00030578" w:rsidP="007D4332">
      <w:pPr>
        <w:ind w:left="0" w:right="51"/>
        <w:jc w:val="both"/>
        <w:rPr>
          <w:rFonts w:ascii="Bookman Old Style" w:hAnsi="Bookman Old Style" w:cs="Arial"/>
          <w:spacing w:val="-4"/>
        </w:rPr>
      </w:pPr>
      <w:r>
        <w:rPr>
          <w:rFonts w:ascii="Bookman Old Style" w:hAnsi="Bookman Old Style" w:cs="Arial"/>
          <w:spacing w:val="-4"/>
        </w:rPr>
        <w:t>De acuerdo con los comentarios recibidos de los agentes</w:t>
      </w:r>
      <w:r w:rsidR="00EC583A">
        <w:rPr>
          <w:rFonts w:ascii="Bookman Old Style" w:hAnsi="Bookman Old Style" w:cs="Arial"/>
          <w:spacing w:val="-4"/>
        </w:rPr>
        <w:t xml:space="preserve"> GECELCA y CELSIA  </w:t>
      </w:r>
      <w:r>
        <w:rPr>
          <w:rFonts w:ascii="Bookman Old Style" w:hAnsi="Bookman Old Style" w:cs="Arial"/>
          <w:spacing w:val="-4"/>
        </w:rPr>
        <w:t>en los radicados CRE</w:t>
      </w:r>
      <w:r w:rsidR="003158AB">
        <w:rPr>
          <w:rFonts w:ascii="Bookman Old Style" w:hAnsi="Bookman Old Style" w:cs="Arial"/>
          <w:spacing w:val="-4"/>
        </w:rPr>
        <w:t>G E-2015-009824 y E-2015-009949</w:t>
      </w:r>
      <w:r w:rsidR="00EC583A">
        <w:rPr>
          <w:rFonts w:ascii="Bookman Old Style" w:hAnsi="Bookman Old Style" w:cs="Arial"/>
          <w:spacing w:val="-4"/>
        </w:rPr>
        <w:t>,</w:t>
      </w:r>
      <w:r>
        <w:rPr>
          <w:rFonts w:ascii="Bookman Old Style" w:hAnsi="Bookman Old Style" w:cs="Arial"/>
          <w:spacing w:val="-4"/>
        </w:rPr>
        <w:t xml:space="preserve">  se argumenta que e</w:t>
      </w:r>
      <w:r w:rsidR="006414B4">
        <w:rPr>
          <w:rFonts w:ascii="Bookman Old Style" w:hAnsi="Bookman Old Style" w:cs="Arial"/>
          <w:spacing w:val="-4"/>
        </w:rPr>
        <w:t>n condición crítica</w:t>
      </w:r>
      <w:r w:rsidR="00585AF3">
        <w:rPr>
          <w:rFonts w:ascii="Bookman Old Style" w:hAnsi="Bookman Old Style" w:cs="Arial"/>
          <w:spacing w:val="-4"/>
        </w:rPr>
        <w:t xml:space="preserve"> los agentes generadores </w:t>
      </w:r>
      <w:r w:rsidR="006414B4">
        <w:rPr>
          <w:rFonts w:ascii="Bookman Old Style" w:hAnsi="Bookman Old Style" w:cs="Arial"/>
          <w:spacing w:val="-4"/>
        </w:rPr>
        <w:t xml:space="preserve">que </w:t>
      </w:r>
      <w:r w:rsidR="00585AF3">
        <w:rPr>
          <w:rFonts w:ascii="Bookman Old Style" w:hAnsi="Bookman Old Style" w:cs="Arial"/>
          <w:spacing w:val="-4"/>
        </w:rPr>
        <w:t>tienen reconciliaciones negativas</w:t>
      </w:r>
      <w:r>
        <w:rPr>
          <w:rFonts w:ascii="Bookman Old Style" w:hAnsi="Bookman Old Style" w:cs="Arial"/>
          <w:spacing w:val="-4"/>
        </w:rPr>
        <w:t xml:space="preserve"> están</w:t>
      </w:r>
      <w:r w:rsidR="006414B4">
        <w:rPr>
          <w:rFonts w:ascii="Bookman Old Style" w:hAnsi="Bookman Old Style" w:cs="Arial"/>
          <w:spacing w:val="-4"/>
        </w:rPr>
        <w:t xml:space="preserve"> asumi</w:t>
      </w:r>
      <w:r>
        <w:rPr>
          <w:rFonts w:ascii="Bookman Old Style" w:hAnsi="Bookman Old Style" w:cs="Arial"/>
          <w:spacing w:val="-4"/>
        </w:rPr>
        <w:t>endo</w:t>
      </w:r>
      <w:r w:rsidR="006414B4">
        <w:rPr>
          <w:rFonts w:ascii="Bookman Old Style" w:hAnsi="Bookman Old Style" w:cs="Arial"/>
          <w:spacing w:val="-4"/>
        </w:rPr>
        <w:t xml:space="preserve"> un valor adicional por encima </w:t>
      </w:r>
      <w:r>
        <w:rPr>
          <w:rFonts w:ascii="Bookman Old Style" w:hAnsi="Bookman Old Style" w:cs="Arial"/>
          <w:spacing w:val="-4"/>
        </w:rPr>
        <w:t xml:space="preserve">de </w:t>
      </w:r>
      <w:r w:rsidR="001644DB">
        <w:rPr>
          <w:rFonts w:ascii="Bookman Old Style" w:hAnsi="Bookman Old Style" w:cs="Arial"/>
          <w:spacing w:val="-4"/>
        </w:rPr>
        <w:t>la</w:t>
      </w:r>
      <w:r w:rsidR="00585AF3">
        <w:rPr>
          <w:rFonts w:ascii="Bookman Old Style" w:hAnsi="Bookman Old Style" w:cs="Arial"/>
          <w:spacing w:val="-4"/>
        </w:rPr>
        <w:t xml:space="preserve"> remuneración que </w:t>
      </w:r>
      <w:r w:rsidR="006414B4">
        <w:rPr>
          <w:rFonts w:ascii="Bookman Old Style" w:hAnsi="Bookman Old Style" w:cs="Arial"/>
          <w:spacing w:val="-4"/>
        </w:rPr>
        <w:t>reciben por su generación ideal</w:t>
      </w:r>
      <w:r>
        <w:rPr>
          <w:rFonts w:ascii="Bookman Old Style" w:hAnsi="Bookman Old Style" w:cs="Arial"/>
          <w:spacing w:val="-4"/>
        </w:rPr>
        <w:t>, ya que esta es remunerada a precio de escasez</w:t>
      </w:r>
      <w:r w:rsidR="002C2742">
        <w:rPr>
          <w:rFonts w:ascii="Bookman Old Style" w:hAnsi="Bookman Old Style" w:cs="Arial"/>
          <w:spacing w:val="-4"/>
        </w:rPr>
        <w:t xml:space="preserve"> tal y como lo establece el artículo 55 de la Resolución CREG 071 de 2006</w:t>
      </w:r>
      <w:r>
        <w:rPr>
          <w:rFonts w:ascii="Bookman Old Style" w:hAnsi="Bookman Old Style" w:cs="Arial"/>
          <w:spacing w:val="-4"/>
        </w:rPr>
        <w:t xml:space="preserve">. </w:t>
      </w:r>
      <w:r w:rsidR="00EC583A">
        <w:rPr>
          <w:rFonts w:ascii="Bookman Old Style" w:hAnsi="Bookman Old Style" w:cs="Arial"/>
          <w:spacing w:val="-4"/>
        </w:rPr>
        <w:t>Siendo la primera vez que la CREG se inform</w:t>
      </w:r>
      <w:r w:rsidR="00262E2C">
        <w:rPr>
          <w:rFonts w:ascii="Bookman Old Style" w:hAnsi="Bookman Old Style" w:cs="Arial"/>
          <w:spacing w:val="-4"/>
        </w:rPr>
        <w:t>a</w:t>
      </w:r>
      <w:r w:rsidR="00EC583A">
        <w:rPr>
          <w:rFonts w:ascii="Bookman Old Style" w:hAnsi="Bookman Old Style" w:cs="Arial"/>
          <w:spacing w:val="-4"/>
        </w:rPr>
        <w:t xml:space="preserve"> de la situación antes descrita, l</w:t>
      </w:r>
      <w:r>
        <w:rPr>
          <w:rFonts w:ascii="Bookman Old Style" w:hAnsi="Bookman Old Style" w:cs="Arial"/>
          <w:spacing w:val="-4"/>
        </w:rPr>
        <w:t>a CREG d</w:t>
      </w:r>
      <w:r w:rsidR="002C2742">
        <w:rPr>
          <w:rFonts w:ascii="Bookman Old Style" w:hAnsi="Bookman Old Style" w:cs="Arial"/>
          <w:spacing w:val="-4"/>
        </w:rPr>
        <w:t>eterminó que el precio de reconciliación negativa debería acotarse hasta el precio de escasez</w:t>
      </w:r>
      <w:r w:rsidR="00EC583A">
        <w:rPr>
          <w:rFonts w:ascii="Bookman Old Style" w:hAnsi="Bookman Old Style" w:cs="Arial"/>
          <w:spacing w:val="-4"/>
        </w:rPr>
        <w:t xml:space="preserve"> tal y como se describe en la parte resolutiva de esta resolución.</w:t>
      </w:r>
    </w:p>
    <w:p w:rsidR="00CB448F" w:rsidRDefault="00CB448F" w:rsidP="007D4332">
      <w:pPr>
        <w:ind w:left="0" w:right="51"/>
        <w:jc w:val="both"/>
        <w:rPr>
          <w:rFonts w:ascii="Bookman Old Style" w:hAnsi="Bookman Old Style" w:cs="Arial"/>
          <w:spacing w:val="-4"/>
        </w:rPr>
      </w:pPr>
    </w:p>
    <w:p w:rsidR="00F4180D" w:rsidRDefault="00F4180D" w:rsidP="007D4332">
      <w:pPr>
        <w:ind w:left="0" w:right="51"/>
        <w:jc w:val="both"/>
        <w:rPr>
          <w:rFonts w:ascii="Bookman Old Style" w:hAnsi="Bookman Old Style" w:cs="Arial"/>
          <w:spacing w:val="-4"/>
        </w:rPr>
      </w:pPr>
      <w:r>
        <w:rPr>
          <w:rFonts w:ascii="Bookman Old Style" w:hAnsi="Bookman Old Style" w:cs="Arial"/>
          <w:spacing w:val="-4"/>
        </w:rPr>
        <w:t>En la Resolución CREG 159 de 2015 se estableció que el precio de reconciliación negativa es igual al mínimo entre el  precio de bolsa y el precio de escasez.</w:t>
      </w:r>
      <w:r w:rsidR="00C44AC9">
        <w:rPr>
          <w:rFonts w:ascii="Bookman Old Style" w:hAnsi="Bookman Old Style" w:cs="Arial"/>
          <w:spacing w:val="-4"/>
        </w:rPr>
        <w:t xml:space="preserve"> No obstante, </w:t>
      </w:r>
      <w:r w:rsidR="00E30EA8">
        <w:rPr>
          <w:rFonts w:ascii="Bookman Old Style" w:hAnsi="Bookman Old Style" w:cs="Arial"/>
          <w:spacing w:val="-4"/>
        </w:rPr>
        <w:t>XM S.A ESP, hizo saber a esta Comisión la necesidad</w:t>
      </w:r>
      <w:r w:rsidR="00C44AC9">
        <w:rPr>
          <w:rFonts w:ascii="Bookman Old Style" w:hAnsi="Bookman Old Style" w:cs="Arial"/>
          <w:spacing w:val="-4"/>
        </w:rPr>
        <w:t xml:space="preserve"> </w:t>
      </w:r>
      <w:r w:rsidR="00536A74">
        <w:rPr>
          <w:rFonts w:ascii="Bookman Old Style" w:hAnsi="Bookman Old Style" w:cs="Arial"/>
          <w:spacing w:val="-4"/>
        </w:rPr>
        <w:t>de incluir</w:t>
      </w:r>
      <w:r w:rsidR="00C44AC9">
        <w:rPr>
          <w:rFonts w:ascii="Bookman Old Style" w:hAnsi="Bookman Old Style" w:cs="Arial"/>
          <w:spacing w:val="-4"/>
        </w:rPr>
        <w:t xml:space="preserve"> todos los posibles casos de liquidación para calcular el precio de reconciliación negativa.</w:t>
      </w:r>
    </w:p>
    <w:p w:rsidR="00F4180D" w:rsidRDefault="00F4180D" w:rsidP="007D4332">
      <w:pPr>
        <w:ind w:left="0" w:right="51"/>
        <w:jc w:val="both"/>
        <w:rPr>
          <w:rFonts w:ascii="Bookman Old Style" w:hAnsi="Bookman Old Style" w:cs="Arial"/>
          <w:spacing w:val="-4"/>
        </w:rPr>
      </w:pPr>
    </w:p>
    <w:p w:rsidR="003158AB" w:rsidRPr="00585AF3" w:rsidRDefault="003158AB" w:rsidP="007D4332">
      <w:pPr>
        <w:ind w:left="0" w:right="51"/>
        <w:jc w:val="both"/>
        <w:rPr>
          <w:rFonts w:ascii="Bookman Old Style" w:hAnsi="Bookman Old Style" w:cs="Arial"/>
          <w:spacing w:val="-4"/>
        </w:rPr>
      </w:pPr>
      <w:r>
        <w:rPr>
          <w:rFonts w:ascii="Bookman Old Style" w:hAnsi="Bookman Old Style" w:cs="Arial"/>
          <w:spacing w:val="-4"/>
        </w:rPr>
        <w:t xml:space="preserve">De conformidad con el dispuesto en </w:t>
      </w:r>
      <w:r w:rsidR="00E763D9">
        <w:rPr>
          <w:rFonts w:ascii="Bookman Old Style" w:hAnsi="Bookman Old Style" w:cs="Arial"/>
          <w:spacing w:val="-4"/>
        </w:rPr>
        <w:t>el</w:t>
      </w:r>
      <w:r>
        <w:rPr>
          <w:rFonts w:ascii="Bookman Old Style" w:hAnsi="Bookman Old Style" w:cs="Arial"/>
          <w:spacing w:val="-4"/>
        </w:rPr>
        <w:t xml:space="preserve"> numeral </w:t>
      </w:r>
      <w:r w:rsidR="00E763D9">
        <w:rPr>
          <w:rFonts w:ascii="Bookman Old Style" w:hAnsi="Bookman Old Style" w:cs="Arial"/>
          <w:spacing w:val="-4"/>
        </w:rPr>
        <w:t>5 del</w:t>
      </w:r>
      <w:r>
        <w:rPr>
          <w:rFonts w:ascii="Bookman Old Style" w:hAnsi="Bookman Old Style" w:cs="Arial"/>
          <w:spacing w:val="-4"/>
        </w:rPr>
        <w:t xml:space="preserve"> artículo 1 de la Resolución CREG 097 de 2004, la Comisión estando facultado para ello</w:t>
      </w:r>
      <w:r w:rsidR="00E763D9">
        <w:rPr>
          <w:rFonts w:ascii="Bookman Old Style" w:hAnsi="Bookman Old Style" w:cs="Arial"/>
          <w:spacing w:val="-4"/>
        </w:rPr>
        <w:t>,</w:t>
      </w:r>
      <w:r>
        <w:rPr>
          <w:rFonts w:ascii="Bookman Old Style" w:hAnsi="Bookman Old Style" w:cs="Arial"/>
          <w:spacing w:val="-4"/>
        </w:rPr>
        <w:t xml:space="preserve"> decidió no someter el presente acto administrativo a consult</w:t>
      </w:r>
      <w:r w:rsidR="00E763D9">
        <w:rPr>
          <w:rFonts w:ascii="Bookman Old Style" w:hAnsi="Bookman Old Style" w:cs="Arial"/>
          <w:spacing w:val="-4"/>
        </w:rPr>
        <w:t>a.</w:t>
      </w:r>
    </w:p>
    <w:p w:rsidR="00691888" w:rsidRDefault="00691888" w:rsidP="00FE6A44">
      <w:pPr>
        <w:ind w:left="0"/>
        <w:jc w:val="both"/>
        <w:rPr>
          <w:rFonts w:ascii="Bookman Old Style" w:hAnsi="Bookman Old Style" w:cs="Arial"/>
        </w:rPr>
      </w:pPr>
    </w:p>
    <w:p w:rsidR="00EC583A" w:rsidRPr="00C10833" w:rsidRDefault="00C10833" w:rsidP="00C10833">
      <w:pPr>
        <w:ind w:left="0" w:right="51"/>
        <w:jc w:val="both"/>
        <w:rPr>
          <w:rFonts w:ascii="Bookman Old Style" w:hAnsi="Bookman Old Style" w:cs="Arial"/>
          <w:spacing w:val="-4"/>
        </w:rPr>
      </w:pPr>
      <w:r w:rsidRPr="00C10833">
        <w:rPr>
          <w:rFonts w:ascii="Bookman Old Style" w:hAnsi="Bookman Old Style" w:cs="Arial"/>
          <w:spacing w:val="-4"/>
        </w:rPr>
        <w:t>La Comisión de Regulación de Energía y Gas, en su sesión No.678 del 9 de octubre de 2015</w:t>
      </w:r>
      <w:r w:rsidR="00286FB6">
        <w:rPr>
          <w:rFonts w:ascii="Bookman Old Style" w:hAnsi="Bookman Old Style" w:cs="Arial"/>
          <w:spacing w:val="-4"/>
        </w:rPr>
        <w:t>,</w:t>
      </w:r>
      <w:r w:rsidRPr="00C10833">
        <w:rPr>
          <w:rFonts w:ascii="Bookman Old Style" w:hAnsi="Bookman Old Style" w:cs="Arial"/>
          <w:spacing w:val="-4"/>
        </w:rPr>
        <w:t xml:space="preserve"> aprobó el presente acto administrativo</w:t>
      </w:r>
      <w:r>
        <w:rPr>
          <w:rFonts w:ascii="Bookman Old Style" w:hAnsi="Bookman Old Style" w:cs="Arial"/>
          <w:spacing w:val="-4"/>
        </w:rPr>
        <w:t>.</w:t>
      </w:r>
    </w:p>
    <w:p w:rsidR="00EC583A" w:rsidRDefault="00EC583A" w:rsidP="00501C5C">
      <w:pPr>
        <w:suppressAutoHyphens/>
        <w:jc w:val="center"/>
        <w:rPr>
          <w:rFonts w:ascii="Bookman Old Style" w:hAnsi="Bookman Old Style"/>
          <w:b/>
          <w:spacing w:val="-3"/>
        </w:rPr>
      </w:pPr>
    </w:p>
    <w:p w:rsidR="00536A74" w:rsidRDefault="00536A74" w:rsidP="00501C5C">
      <w:pPr>
        <w:suppressAutoHyphens/>
        <w:jc w:val="center"/>
        <w:rPr>
          <w:rFonts w:ascii="Bookman Old Style" w:hAnsi="Bookman Old Style"/>
          <w:b/>
          <w:spacing w:val="-3"/>
        </w:rPr>
      </w:pPr>
    </w:p>
    <w:p w:rsidR="00536A74" w:rsidRDefault="00536A74" w:rsidP="00501C5C">
      <w:pPr>
        <w:suppressAutoHyphens/>
        <w:jc w:val="center"/>
        <w:rPr>
          <w:rFonts w:ascii="Bookman Old Style" w:hAnsi="Bookman Old Style"/>
          <w:b/>
          <w:spacing w:val="-3"/>
        </w:rPr>
      </w:pPr>
    </w:p>
    <w:p w:rsidR="00501C5C" w:rsidRPr="00C435C3" w:rsidRDefault="00501C5C" w:rsidP="00501C5C">
      <w:pPr>
        <w:suppressAutoHyphens/>
        <w:jc w:val="center"/>
        <w:rPr>
          <w:rFonts w:ascii="Bookman Old Style" w:hAnsi="Bookman Old Style"/>
          <w:spacing w:val="-3"/>
        </w:rPr>
      </w:pPr>
      <w:r w:rsidRPr="00C435C3">
        <w:rPr>
          <w:rFonts w:ascii="Bookman Old Style" w:hAnsi="Bookman Old Style"/>
          <w:b/>
          <w:spacing w:val="-3"/>
        </w:rPr>
        <w:t>R E S U E L V E:</w:t>
      </w:r>
    </w:p>
    <w:p w:rsidR="00501C5C" w:rsidRDefault="00501C5C">
      <w:pPr>
        <w:keepNext/>
        <w:ind w:left="0"/>
        <w:jc w:val="center"/>
        <w:rPr>
          <w:rFonts w:ascii="Bookman Old Style" w:hAnsi="Bookman Old Style" w:cs="Arial"/>
          <w:b/>
          <w:bCs/>
          <w:spacing w:val="60"/>
        </w:rPr>
      </w:pPr>
    </w:p>
    <w:p w:rsidR="00501C5C" w:rsidRPr="002C2742" w:rsidRDefault="00501C5C">
      <w:pPr>
        <w:tabs>
          <w:tab w:val="left" w:pos="0"/>
        </w:tabs>
        <w:ind w:left="0"/>
        <w:jc w:val="both"/>
        <w:rPr>
          <w:rFonts w:ascii="Bookman Old Style" w:hAnsi="Bookman Old Style" w:cs="Arial"/>
        </w:rPr>
      </w:pPr>
    </w:p>
    <w:p w:rsidR="00CD5630" w:rsidRDefault="00CD5630">
      <w:pPr>
        <w:pStyle w:val="Ttulo1"/>
        <w:tabs>
          <w:tab w:val="left" w:pos="0"/>
        </w:tabs>
        <w:ind w:left="0"/>
        <w:jc w:val="both"/>
        <w:rPr>
          <w:rFonts w:ascii="Bookman Old Style" w:hAnsi="Bookman Old Style"/>
          <w:b w:val="0"/>
          <w:spacing w:val="-3"/>
          <w:szCs w:val="24"/>
        </w:rPr>
      </w:pPr>
      <w:r w:rsidRPr="00953D6D">
        <w:rPr>
          <w:rFonts w:ascii="Bookman Old Style" w:hAnsi="Bookman Old Style"/>
          <w:spacing w:val="-3"/>
          <w:szCs w:val="24"/>
        </w:rPr>
        <w:t xml:space="preserve">ARTÍCULO </w:t>
      </w:r>
      <w:r>
        <w:rPr>
          <w:rFonts w:ascii="Bookman Old Style" w:hAnsi="Bookman Old Style"/>
          <w:spacing w:val="-3"/>
          <w:szCs w:val="24"/>
        </w:rPr>
        <w:t>1</w:t>
      </w:r>
      <w:r w:rsidRPr="00953D6D">
        <w:rPr>
          <w:rFonts w:ascii="Bookman Old Style" w:hAnsi="Bookman Old Style"/>
          <w:spacing w:val="-3"/>
          <w:szCs w:val="24"/>
        </w:rPr>
        <w:t>. Modificación de</w:t>
      </w:r>
      <w:r>
        <w:rPr>
          <w:rFonts w:ascii="Bookman Old Style" w:hAnsi="Bookman Old Style"/>
          <w:spacing w:val="-3"/>
          <w:szCs w:val="24"/>
        </w:rPr>
        <w:t>l Artículo 3 de la Resolución CREG-034 de 2001</w:t>
      </w:r>
      <w:r w:rsidRPr="00953D6D">
        <w:rPr>
          <w:rFonts w:ascii="Bookman Old Style" w:hAnsi="Bookman Old Style"/>
          <w:spacing w:val="-3"/>
          <w:szCs w:val="24"/>
        </w:rPr>
        <w:t>.</w:t>
      </w:r>
      <w:r>
        <w:rPr>
          <w:rFonts w:ascii="Bookman Old Style" w:hAnsi="Bookman Old Style"/>
          <w:b w:val="0"/>
          <w:spacing w:val="-3"/>
          <w:szCs w:val="24"/>
        </w:rPr>
        <w:t xml:space="preserve"> E</w:t>
      </w:r>
      <w:r w:rsidRPr="00953D6D">
        <w:rPr>
          <w:rFonts w:ascii="Bookman Old Style" w:hAnsi="Bookman Old Style"/>
          <w:b w:val="0"/>
          <w:spacing w:val="-3"/>
          <w:szCs w:val="24"/>
        </w:rPr>
        <w:t>l Artículo 3 de</w:t>
      </w:r>
      <w:r>
        <w:rPr>
          <w:rFonts w:ascii="Bookman Old Style" w:hAnsi="Bookman Old Style"/>
          <w:b w:val="0"/>
          <w:spacing w:val="-3"/>
          <w:szCs w:val="24"/>
        </w:rPr>
        <w:t xml:space="preserve"> la Resolución CREG-034 de 2001</w:t>
      </w:r>
      <w:r w:rsidRPr="00953D6D">
        <w:rPr>
          <w:rFonts w:ascii="Bookman Old Style" w:hAnsi="Bookman Old Style"/>
          <w:b w:val="0"/>
          <w:spacing w:val="-3"/>
          <w:szCs w:val="24"/>
        </w:rPr>
        <w:t xml:space="preserve"> quedará así:</w:t>
      </w:r>
    </w:p>
    <w:p w:rsidR="00CD5630" w:rsidRDefault="00CD5630">
      <w:pPr>
        <w:rPr>
          <w:b/>
        </w:rPr>
      </w:pPr>
    </w:p>
    <w:p w:rsidR="002C2742" w:rsidRPr="00333F48" w:rsidRDefault="002C2742">
      <w:pPr>
        <w:rPr>
          <w:b/>
          <w:i/>
        </w:rPr>
      </w:pPr>
    </w:p>
    <w:p w:rsidR="00F4180D" w:rsidRDefault="00CD5630">
      <w:pPr>
        <w:pStyle w:val="Ttulo1"/>
        <w:tabs>
          <w:tab w:val="left" w:pos="0"/>
        </w:tabs>
        <w:ind w:left="708"/>
        <w:jc w:val="both"/>
        <w:rPr>
          <w:rFonts w:ascii="Bookman Old Style" w:hAnsi="Bookman Old Style"/>
          <w:b w:val="0"/>
          <w:i/>
          <w:spacing w:val="-3"/>
          <w:szCs w:val="24"/>
        </w:rPr>
      </w:pPr>
      <w:r w:rsidRPr="00333F48">
        <w:rPr>
          <w:rFonts w:ascii="Bookman Old Style" w:hAnsi="Bookman Old Style"/>
          <w:i/>
          <w:spacing w:val="-3"/>
          <w:szCs w:val="24"/>
        </w:rPr>
        <w:t xml:space="preserve">ARTÍCULO </w:t>
      </w:r>
      <w:r w:rsidR="00333F48" w:rsidRPr="00333F48">
        <w:rPr>
          <w:rFonts w:ascii="Bookman Old Style" w:hAnsi="Bookman Old Style"/>
          <w:i/>
          <w:spacing w:val="-3"/>
          <w:szCs w:val="24"/>
        </w:rPr>
        <w:t>3</w:t>
      </w:r>
      <w:r w:rsidRPr="00333F48">
        <w:rPr>
          <w:rFonts w:ascii="Bookman Old Style" w:hAnsi="Bookman Old Style"/>
          <w:i/>
          <w:spacing w:val="-3"/>
          <w:szCs w:val="24"/>
        </w:rPr>
        <w:t>. Precio de Reconciliación Negativa</w:t>
      </w:r>
      <w:r w:rsidRPr="00333F48">
        <w:rPr>
          <w:rFonts w:ascii="Bookman Old Style" w:hAnsi="Bookman Old Style"/>
          <w:b w:val="0"/>
          <w:i/>
          <w:spacing w:val="-3"/>
          <w:szCs w:val="24"/>
        </w:rPr>
        <w:t>.</w:t>
      </w:r>
      <w:r w:rsidR="00F4180D">
        <w:rPr>
          <w:rFonts w:ascii="Bookman Old Style" w:hAnsi="Bookman Old Style"/>
          <w:b w:val="0"/>
          <w:i/>
          <w:spacing w:val="-3"/>
          <w:szCs w:val="24"/>
        </w:rPr>
        <w:t xml:space="preserve"> El precio de Reconciliación Negativa corresponde al valor a devolver por el agente generador cuya generación ideal es superior a su generación real.  Dicho valor debe s</w:t>
      </w:r>
      <w:bookmarkStart w:id="0" w:name="_GoBack"/>
      <w:bookmarkEnd w:id="0"/>
      <w:r w:rsidR="00F4180D">
        <w:rPr>
          <w:rFonts w:ascii="Bookman Old Style" w:hAnsi="Bookman Old Style"/>
          <w:b w:val="0"/>
          <w:i/>
          <w:spacing w:val="-3"/>
          <w:szCs w:val="24"/>
        </w:rPr>
        <w:t>er igual al precio que se le remunere al generador en la liquidación</w:t>
      </w:r>
      <w:r w:rsidR="00B9538F">
        <w:rPr>
          <w:rFonts w:ascii="Bookman Old Style" w:hAnsi="Bookman Old Style"/>
          <w:b w:val="0"/>
          <w:i/>
          <w:spacing w:val="-3"/>
          <w:szCs w:val="24"/>
        </w:rPr>
        <w:t>,</w:t>
      </w:r>
      <w:r w:rsidR="00F4180D">
        <w:rPr>
          <w:rFonts w:ascii="Bookman Old Style" w:hAnsi="Bookman Old Style"/>
          <w:b w:val="0"/>
          <w:i/>
          <w:spacing w:val="-3"/>
          <w:szCs w:val="24"/>
        </w:rPr>
        <w:t xml:space="preserve"> de acuerdo con la condición que haya tenido en el despacho del día.</w:t>
      </w:r>
    </w:p>
    <w:p w:rsidR="00F4180D" w:rsidRDefault="00F4180D">
      <w:pPr>
        <w:pStyle w:val="Ttulo1"/>
        <w:tabs>
          <w:tab w:val="left" w:pos="0"/>
        </w:tabs>
        <w:ind w:left="708"/>
        <w:jc w:val="both"/>
        <w:rPr>
          <w:rFonts w:ascii="Bookman Old Style" w:hAnsi="Bookman Old Style"/>
          <w:b w:val="0"/>
          <w:i/>
          <w:spacing w:val="-3"/>
          <w:szCs w:val="24"/>
        </w:rPr>
      </w:pPr>
    </w:p>
    <w:p w:rsidR="00CD5630" w:rsidRPr="00333F48" w:rsidRDefault="00F4180D">
      <w:pPr>
        <w:pStyle w:val="Ttulo1"/>
        <w:tabs>
          <w:tab w:val="left" w:pos="0"/>
        </w:tabs>
        <w:ind w:left="708"/>
        <w:jc w:val="both"/>
        <w:rPr>
          <w:rFonts w:ascii="Bookman Old Style" w:hAnsi="Bookman Old Style"/>
          <w:b w:val="0"/>
          <w:i/>
          <w:spacing w:val="-3"/>
        </w:rPr>
      </w:pPr>
      <w:r>
        <w:rPr>
          <w:rFonts w:ascii="Bookman Old Style" w:hAnsi="Bookman Old Style"/>
          <w:b w:val="0"/>
          <w:i/>
          <w:spacing w:val="-3"/>
          <w:szCs w:val="24"/>
        </w:rPr>
        <w:t>E</w:t>
      </w:r>
      <w:r w:rsidR="00CD5630" w:rsidRPr="00333F48">
        <w:rPr>
          <w:rFonts w:ascii="Bookman Old Style" w:hAnsi="Bookman Old Style"/>
          <w:b w:val="0"/>
          <w:i/>
          <w:spacing w:val="-3"/>
          <w:szCs w:val="24"/>
        </w:rPr>
        <w:t>l ASIC aplicará la</w:t>
      </w:r>
      <w:r w:rsidR="000263EF">
        <w:rPr>
          <w:rFonts w:ascii="Bookman Old Style" w:hAnsi="Bookman Old Style"/>
          <w:b w:val="0"/>
          <w:i/>
          <w:spacing w:val="-3"/>
          <w:szCs w:val="24"/>
        </w:rPr>
        <w:t>s</w:t>
      </w:r>
      <w:r w:rsidR="00CD5630" w:rsidRPr="00333F48">
        <w:rPr>
          <w:rFonts w:ascii="Bookman Old Style" w:hAnsi="Bookman Old Style"/>
          <w:b w:val="0"/>
          <w:i/>
          <w:spacing w:val="-3"/>
          <w:szCs w:val="24"/>
        </w:rPr>
        <w:t xml:space="preserve"> siguiente</w:t>
      </w:r>
      <w:r w:rsidR="000263EF">
        <w:rPr>
          <w:rFonts w:ascii="Bookman Old Style" w:hAnsi="Bookman Old Style"/>
          <w:b w:val="0"/>
          <w:i/>
          <w:spacing w:val="-3"/>
          <w:szCs w:val="24"/>
        </w:rPr>
        <w:t>s</w:t>
      </w:r>
      <w:r w:rsidR="00CD5630" w:rsidRPr="00333F48">
        <w:rPr>
          <w:rFonts w:ascii="Bookman Old Style" w:hAnsi="Bookman Old Style"/>
          <w:b w:val="0"/>
          <w:i/>
          <w:spacing w:val="-3"/>
          <w:szCs w:val="24"/>
        </w:rPr>
        <w:t xml:space="preserve"> regla</w:t>
      </w:r>
      <w:r w:rsidR="000263EF">
        <w:rPr>
          <w:rFonts w:ascii="Bookman Old Style" w:hAnsi="Bookman Old Style"/>
          <w:b w:val="0"/>
          <w:i/>
          <w:spacing w:val="-3"/>
          <w:szCs w:val="24"/>
        </w:rPr>
        <w:t>s</w:t>
      </w:r>
      <w:r w:rsidR="00CD5630" w:rsidRPr="00333F48">
        <w:rPr>
          <w:rFonts w:ascii="Bookman Old Style" w:hAnsi="Bookman Old Style"/>
          <w:b w:val="0"/>
          <w:i/>
          <w:spacing w:val="-3"/>
          <w:szCs w:val="24"/>
        </w:rPr>
        <w:t xml:space="preserve">: </w:t>
      </w:r>
    </w:p>
    <w:p w:rsidR="00CD5630" w:rsidRPr="00333F48" w:rsidRDefault="00CD5630">
      <w:pPr>
        <w:rPr>
          <w:rFonts w:ascii="Bookman Old Style" w:hAnsi="Bookman Old Style"/>
          <w:i/>
          <w:lang w:val="es-CO"/>
        </w:rPr>
      </w:pPr>
    </w:p>
    <w:p w:rsidR="00CD5630" w:rsidRPr="00333F48" w:rsidRDefault="00CD5630">
      <w:pPr>
        <w:pStyle w:val="Ttulo1"/>
        <w:tabs>
          <w:tab w:val="left" w:pos="0"/>
        </w:tabs>
        <w:ind w:left="708"/>
        <w:jc w:val="both"/>
        <w:rPr>
          <w:rFonts w:ascii="Bookman Old Style" w:hAnsi="Bookman Old Style"/>
          <w:b w:val="0"/>
          <w:i/>
          <w:spacing w:val="-3"/>
          <w:szCs w:val="24"/>
        </w:rPr>
      </w:pPr>
      <w:r w:rsidRPr="00333F48">
        <w:rPr>
          <w:rFonts w:ascii="Bookman Old Style" w:hAnsi="Bookman Old Style"/>
          <w:b w:val="0"/>
          <w:i/>
          <w:spacing w:val="-3"/>
          <w:szCs w:val="24"/>
        </w:rPr>
        <w:t xml:space="preserve">El Precio de Reconciliación Negativa </w:t>
      </w:r>
      <w:r w:rsidR="000263EF">
        <w:rPr>
          <w:rFonts w:ascii="Bookman Old Style" w:hAnsi="Bookman Old Style"/>
          <w:b w:val="0"/>
          <w:i/>
          <w:spacing w:val="-3"/>
          <w:szCs w:val="24"/>
        </w:rPr>
        <w:t xml:space="preserve">(PRN) </w:t>
      </w:r>
      <w:r w:rsidR="006F5CF8">
        <w:rPr>
          <w:rFonts w:ascii="Bookman Old Style" w:hAnsi="Bookman Old Style"/>
          <w:b w:val="0"/>
          <w:i/>
          <w:spacing w:val="-3"/>
          <w:szCs w:val="24"/>
        </w:rPr>
        <w:t>se calculará teniendo en cuenta las siguientes situaciones:</w:t>
      </w:r>
    </w:p>
    <w:p w:rsidR="00CD5630" w:rsidRPr="000263EF" w:rsidRDefault="00CD5630">
      <w:pPr>
        <w:rPr>
          <w:rFonts w:ascii="Bookman Old Style" w:hAnsi="Bookman Old Style"/>
          <w:i/>
          <w:spacing w:val="-3"/>
          <w:lang w:val="es-CO"/>
        </w:rPr>
      </w:pPr>
    </w:p>
    <w:p w:rsidR="000263EF" w:rsidRPr="000263EF" w:rsidRDefault="000263EF" w:rsidP="000263EF">
      <w:pPr>
        <w:pStyle w:val="Prrafodelista"/>
        <w:numPr>
          <w:ilvl w:val="0"/>
          <w:numId w:val="68"/>
        </w:numPr>
        <w:suppressAutoHyphens/>
        <w:contextualSpacing/>
        <w:jc w:val="both"/>
        <w:rPr>
          <w:rFonts w:ascii="Bookman Old Style" w:hAnsi="Bookman Old Style"/>
          <w:i/>
          <w:spacing w:val="-3"/>
          <w:sz w:val="24"/>
          <w:szCs w:val="24"/>
        </w:rPr>
      </w:pPr>
      <w:r w:rsidRPr="000263EF">
        <w:rPr>
          <w:rFonts w:ascii="Bookman Old Style" w:hAnsi="Bookman Old Style"/>
          <w:i/>
          <w:spacing w:val="-3"/>
          <w:sz w:val="24"/>
          <w:szCs w:val="24"/>
        </w:rPr>
        <w:t>Cuando el P</w:t>
      </w:r>
      <w:r w:rsidR="006F5CF8">
        <w:rPr>
          <w:rFonts w:ascii="Bookman Old Style" w:hAnsi="Bookman Old Style"/>
          <w:i/>
          <w:spacing w:val="-3"/>
          <w:sz w:val="24"/>
          <w:szCs w:val="24"/>
        </w:rPr>
        <w:t>recio de Bolsa</w:t>
      </w:r>
      <w:r w:rsidR="003702BB">
        <w:rPr>
          <w:rFonts w:ascii="Bookman Old Style" w:hAnsi="Bookman Old Style"/>
          <w:i/>
          <w:spacing w:val="-3"/>
          <w:sz w:val="24"/>
          <w:szCs w:val="24"/>
        </w:rPr>
        <w:t xml:space="preserve"> nacional</w:t>
      </w:r>
      <w:r w:rsidR="006F5CF8">
        <w:rPr>
          <w:rFonts w:ascii="Bookman Old Style" w:hAnsi="Bookman Old Style"/>
          <w:i/>
          <w:spacing w:val="-3"/>
          <w:sz w:val="24"/>
          <w:szCs w:val="24"/>
        </w:rPr>
        <w:t xml:space="preserve"> (</w:t>
      </w:r>
      <w:proofErr w:type="spellStart"/>
      <w:r w:rsidR="003702BB">
        <w:rPr>
          <w:rFonts w:ascii="Bookman Old Style" w:hAnsi="Bookman Old Style"/>
          <w:i/>
          <w:spacing w:val="-3"/>
          <w:sz w:val="24"/>
          <w:szCs w:val="24"/>
        </w:rPr>
        <w:t>MPO</w:t>
      </w:r>
      <w:r w:rsidR="003702BB" w:rsidRPr="003702BB">
        <w:rPr>
          <w:rFonts w:ascii="Bookman Old Style" w:hAnsi="Bookman Old Style"/>
          <w:i/>
          <w:spacing w:val="-3"/>
          <w:sz w:val="24"/>
          <w:szCs w:val="24"/>
          <w:vertAlign w:val="subscript"/>
        </w:rPr>
        <w:t>nac</w:t>
      </w:r>
      <w:proofErr w:type="spellEnd"/>
      <w:r w:rsidR="006F5CF8">
        <w:rPr>
          <w:rFonts w:ascii="Bookman Old Style" w:hAnsi="Bookman Old Style"/>
          <w:i/>
          <w:spacing w:val="-3"/>
          <w:sz w:val="24"/>
          <w:szCs w:val="24"/>
        </w:rPr>
        <w:t>)</w:t>
      </w:r>
      <w:r w:rsidRPr="000263EF">
        <w:rPr>
          <w:rFonts w:ascii="Bookman Old Style" w:hAnsi="Bookman Old Style"/>
          <w:i/>
          <w:spacing w:val="-3"/>
          <w:sz w:val="24"/>
          <w:szCs w:val="24"/>
        </w:rPr>
        <w:t xml:space="preserve"> </w:t>
      </w:r>
      <w:r w:rsidR="006F5CF8">
        <w:rPr>
          <w:rFonts w:ascii="Bookman Old Style" w:hAnsi="Bookman Old Style"/>
          <w:i/>
          <w:spacing w:val="-3"/>
          <w:sz w:val="24"/>
          <w:szCs w:val="24"/>
        </w:rPr>
        <w:t xml:space="preserve">sea menor o igual al </w:t>
      </w:r>
      <w:r w:rsidRPr="000263EF">
        <w:rPr>
          <w:rFonts w:ascii="Bookman Old Style" w:hAnsi="Bookman Old Style"/>
          <w:i/>
          <w:spacing w:val="-3"/>
          <w:sz w:val="24"/>
          <w:szCs w:val="24"/>
        </w:rPr>
        <w:t>P</w:t>
      </w:r>
      <w:r w:rsidR="006F5CF8">
        <w:rPr>
          <w:rFonts w:ascii="Bookman Old Style" w:hAnsi="Bookman Old Style"/>
          <w:i/>
          <w:spacing w:val="-3"/>
          <w:sz w:val="24"/>
          <w:szCs w:val="24"/>
        </w:rPr>
        <w:t xml:space="preserve">recio de </w:t>
      </w:r>
      <w:r w:rsidRPr="000263EF">
        <w:rPr>
          <w:rFonts w:ascii="Bookman Old Style" w:hAnsi="Bookman Old Style"/>
          <w:i/>
          <w:spacing w:val="-3"/>
          <w:sz w:val="24"/>
          <w:szCs w:val="24"/>
        </w:rPr>
        <w:t>E</w:t>
      </w:r>
      <w:r w:rsidR="006F5CF8">
        <w:rPr>
          <w:rFonts w:ascii="Bookman Old Style" w:hAnsi="Bookman Old Style"/>
          <w:i/>
          <w:spacing w:val="-3"/>
          <w:sz w:val="24"/>
          <w:szCs w:val="24"/>
        </w:rPr>
        <w:t>scasez (PE)</w:t>
      </w:r>
    </w:p>
    <w:p w:rsidR="000263EF" w:rsidRPr="000263EF" w:rsidRDefault="000263EF" w:rsidP="000263EF">
      <w:pPr>
        <w:rPr>
          <w:rFonts w:ascii="Bookman Old Style" w:hAnsi="Bookman Old Style"/>
          <w:i/>
          <w:spacing w:val="-3"/>
          <w:lang w:val="es-CO"/>
        </w:rPr>
      </w:pPr>
    </w:p>
    <w:p w:rsidR="000263EF" w:rsidRDefault="006F5CF8" w:rsidP="000263EF">
      <w:pPr>
        <w:ind w:left="360"/>
        <w:rPr>
          <w:rFonts w:ascii="Bookman Old Style" w:hAnsi="Bookman Old Style"/>
          <w:i/>
          <w:spacing w:val="-3"/>
          <w:lang w:val="es-CO"/>
        </w:rPr>
      </w:pPr>
      <w:r>
        <w:rPr>
          <w:rFonts w:ascii="Bookman Old Style" w:hAnsi="Bookman Old Style"/>
          <w:i/>
          <w:spacing w:val="-3"/>
          <w:lang w:val="es-CO"/>
        </w:rPr>
        <w:t xml:space="preserve">Caso a.  Si la </w:t>
      </w:r>
      <w:r w:rsidR="000263EF" w:rsidRPr="000263EF">
        <w:rPr>
          <w:rFonts w:ascii="Bookman Old Style" w:hAnsi="Bookman Old Style"/>
          <w:i/>
          <w:spacing w:val="-3"/>
          <w:lang w:val="es-CO"/>
        </w:rPr>
        <w:t xml:space="preserve">Gr ≤ </w:t>
      </w:r>
      <w:proofErr w:type="spellStart"/>
      <w:r w:rsidR="000263EF" w:rsidRPr="000263EF">
        <w:rPr>
          <w:rFonts w:ascii="Bookman Old Style" w:hAnsi="Bookman Old Style"/>
          <w:i/>
          <w:spacing w:val="-3"/>
          <w:lang w:val="es-CO"/>
        </w:rPr>
        <w:t>GI</w:t>
      </w:r>
      <w:r w:rsidR="000263EF" w:rsidRPr="00A60317">
        <w:rPr>
          <w:rFonts w:ascii="Bookman Old Style" w:hAnsi="Bookman Old Style"/>
          <w:i/>
          <w:spacing w:val="-3"/>
          <w:vertAlign w:val="subscript"/>
          <w:lang w:val="es-CO"/>
        </w:rPr>
        <w:t>na</w:t>
      </w:r>
      <w:r w:rsidR="00A60317">
        <w:rPr>
          <w:rFonts w:ascii="Bookman Old Style" w:hAnsi="Bookman Old Style"/>
          <w:i/>
          <w:spacing w:val="-3"/>
          <w:vertAlign w:val="subscript"/>
          <w:lang w:val="es-CO"/>
        </w:rPr>
        <w:t>c</w:t>
      </w:r>
      <w:proofErr w:type="spellEnd"/>
    </w:p>
    <w:p w:rsidR="000263EF" w:rsidRPr="000263EF" w:rsidRDefault="000263EF" w:rsidP="003702BB">
      <w:pPr>
        <w:ind w:left="0"/>
        <w:rPr>
          <w:rFonts w:ascii="Bookman Old Style" w:hAnsi="Bookman Old Style"/>
          <w:i/>
          <w:spacing w:val="-3"/>
          <w:lang w:val="es-CO"/>
        </w:rPr>
      </w:pPr>
    </w:p>
    <w:p w:rsidR="000263EF" w:rsidRPr="000263EF" w:rsidRDefault="00A60317" w:rsidP="000263EF">
      <w:pPr>
        <w:ind w:left="360"/>
        <w:rPr>
          <w:rFonts w:ascii="Bookman Old Style" w:hAnsi="Bookman Old Style"/>
          <w:i/>
          <w:spacing w:val="-3"/>
          <w:lang w:val="es-CO"/>
        </w:rPr>
      </w:pPr>
      <w:r w:rsidRPr="00A60317">
        <w:rPr>
          <w:rFonts w:ascii="Bookman Old Style" w:hAnsi="Bookman Old Style"/>
          <w:i/>
          <w:spacing w:val="-3"/>
          <w:position w:val="-24"/>
          <w:lang w:val="es-CO"/>
        </w:rPr>
        <w:object w:dxaOrig="6020" w:dyaOrig="639">
          <v:shape id="_x0000_i1026" type="#_x0000_t75" style="width:301.5pt;height:33pt" o:ole="">
            <v:imagedata r:id="rId11" o:title=""/>
          </v:shape>
          <o:OLEObject Type="Embed" ProgID="Equation.3" ShapeID="_x0000_i1026" DrawAspect="Content" ObjectID="_1506235352" r:id="rId12"/>
        </w:object>
      </w:r>
    </w:p>
    <w:p w:rsidR="000263EF" w:rsidRPr="000263EF" w:rsidRDefault="000263EF" w:rsidP="000263EF">
      <w:pPr>
        <w:ind w:left="360"/>
        <w:rPr>
          <w:rFonts w:ascii="Bookman Old Style" w:hAnsi="Bookman Old Style"/>
          <w:i/>
          <w:spacing w:val="-3"/>
          <w:lang w:val="es-CO"/>
        </w:rPr>
      </w:pPr>
    </w:p>
    <w:p w:rsidR="000263EF" w:rsidRPr="000263EF" w:rsidRDefault="00A60317" w:rsidP="000263EF">
      <w:pPr>
        <w:ind w:left="360"/>
        <w:rPr>
          <w:rFonts w:ascii="Bookman Old Style" w:hAnsi="Bookman Old Style"/>
          <w:i/>
          <w:spacing w:val="-3"/>
          <w:lang w:val="es-CO"/>
        </w:rPr>
      </w:pPr>
      <w:r>
        <w:rPr>
          <w:rFonts w:ascii="Bookman Old Style" w:hAnsi="Bookman Old Style"/>
          <w:i/>
          <w:spacing w:val="-3"/>
          <w:lang w:val="es-CO"/>
        </w:rPr>
        <w:t xml:space="preserve">Caso b. Si la </w:t>
      </w:r>
      <w:r w:rsidR="000263EF" w:rsidRPr="000263EF">
        <w:rPr>
          <w:rFonts w:ascii="Bookman Old Style" w:hAnsi="Bookman Old Style"/>
          <w:i/>
          <w:spacing w:val="-3"/>
          <w:lang w:val="es-CO"/>
        </w:rPr>
        <w:t xml:space="preserve">Gr &gt; </w:t>
      </w:r>
      <w:proofErr w:type="spellStart"/>
      <w:r w:rsidR="00B24864" w:rsidRPr="000263EF">
        <w:rPr>
          <w:rFonts w:ascii="Bookman Old Style" w:hAnsi="Bookman Old Style"/>
          <w:i/>
          <w:spacing w:val="-3"/>
          <w:lang w:val="es-CO"/>
        </w:rPr>
        <w:t>GI</w:t>
      </w:r>
      <w:r w:rsidR="00B24864" w:rsidRPr="00A60317">
        <w:rPr>
          <w:rFonts w:ascii="Bookman Old Style" w:hAnsi="Bookman Old Style"/>
          <w:i/>
          <w:spacing w:val="-3"/>
          <w:vertAlign w:val="subscript"/>
          <w:lang w:val="es-CO"/>
        </w:rPr>
        <w:t>na</w:t>
      </w:r>
      <w:r w:rsidR="00B24864">
        <w:rPr>
          <w:rFonts w:ascii="Bookman Old Style" w:hAnsi="Bookman Old Style"/>
          <w:i/>
          <w:spacing w:val="-3"/>
          <w:vertAlign w:val="subscript"/>
          <w:lang w:val="es-CO"/>
        </w:rPr>
        <w:t>c</w:t>
      </w:r>
      <w:proofErr w:type="spellEnd"/>
      <w:r w:rsidR="00B24864" w:rsidRPr="000263EF">
        <w:rPr>
          <w:rFonts w:ascii="Bookman Old Style" w:hAnsi="Bookman Old Style"/>
          <w:i/>
          <w:spacing w:val="-3"/>
          <w:lang w:val="es-CO"/>
        </w:rPr>
        <w:t xml:space="preserve"> </w:t>
      </w:r>
      <w:r w:rsidR="000263EF" w:rsidRPr="000263EF">
        <w:rPr>
          <w:rFonts w:ascii="Bookman Old Style" w:hAnsi="Bookman Old Style"/>
          <w:i/>
          <w:spacing w:val="-3"/>
          <w:lang w:val="es-CO"/>
        </w:rPr>
        <w:t xml:space="preserve">y Gr ≤ </w:t>
      </w:r>
      <w:proofErr w:type="spellStart"/>
      <w:r w:rsidR="000263EF" w:rsidRPr="000263EF">
        <w:rPr>
          <w:rFonts w:ascii="Bookman Old Style" w:hAnsi="Bookman Old Style"/>
          <w:i/>
          <w:spacing w:val="-3"/>
          <w:lang w:val="es-CO"/>
        </w:rPr>
        <w:t>GI</w:t>
      </w:r>
      <w:r w:rsidR="000263EF" w:rsidRPr="00A60317">
        <w:rPr>
          <w:rFonts w:ascii="Bookman Old Style" w:hAnsi="Bookman Old Style"/>
          <w:i/>
          <w:spacing w:val="-3"/>
          <w:vertAlign w:val="subscript"/>
          <w:lang w:val="es-CO"/>
        </w:rPr>
        <w:t>na</w:t>
      </w:r>
      <w:r>
        <w:rPr>
          <w:rFonts w:ascii="Bookman Old Style" w:hAnsi="Bookman Old Style"/>
          <w:i/>
          <w:spacing w:val="-3"/>
          <w:vertAlign w:val="subscript"/>
          <w:lang w:val="es-CO"/>
        </w:rPr>
        <w:t>c</w:t>
      </w:r>
      <w:proofErr w:type="spellEnd"/>
      <w:r w:rsidR="000263EF" w:rsidRPr="00A60317">
        <w:rPr>
          <w:rFonts w:ascii="Bookman Old Style" w:hAnsi="Bookman Old Style"/>
          <w:i/>
          <w:spacing w:val="-3"/>
          <w:vertAlign w:val="subscript"/>
          <w:lang w:val="es-CO"/>
        </w:rPr>
        <w:t xml:space="preserve"> </w:t>
      </w:r>
      <w:r w:rsidR="000263EF" w:rsidRPr="000263EF">
        <w:rPr>
          <w:rFonts w:ascii="Bookman Old Style" w:hAnsi="Bookman Old Style"/>
          <w:i/>
          <w:spacing w:val="-3"/>
          <w:lang w:val="es-CO"/>
        </w:rPr>
        <w:t xml:space="preserve">+ </w:t>
      </w:r>
      <w:proofErr w:type="spellStart"/>
      <w:r w:rsidR="000263EF" w:rsidRPr="000263EF">
        <w:rPr>
          <w:rFonts w:ascii="Bookman Old Style" w:hAnsi="Bookman Old Style"/>
          <w:i/>
          <w:spacing w:val="-3"/>
          <w:lang w:val="es-CO"/>
        </w:rPr>
        <w:t>GI</w:t>
      </w:r>
      <w:r w:rsidR="000263EF" w:rsidRPr="00A60317">
        <w:rPr>
          <w:rFonts w:ascii="Bookman Old Style" w:hAnsi="Bookman Old Style"/>
          <w:i/>
          <w:spacing w:val="-3"/>
          <w:vertAlign w:val="subscript"/>
          <w:lang w:val="es-CO"/>
        </w:rPr>
        <w:t>tie</w:t>
      </w:r>
      <w:proofErr w:type="spellEnd"/>
    </w:p>
    <w:p w:rsidR="000263EF" w:rsidRPr="000263EF" w:rsidRDefault="000263EF" w:rsidP="000263EF">
      <w:pPr>
        <w:pStyle w:val="Prrafodelista"/>
        <w:ind w:left="360"/>
        <w:rPr>
          <w:rFonts w:ascii="Bookman Old Style" w:hAnsi="Bookman Old Style"/>
          <w:i/>
          <w:spacing w:val="-3"/>
          <w:sz w:val="24"/>
          <w:szCs w:val="24"/>
        </w:rPr>
      </w:pPr>
    </w:p>
    <w:p w:rsidR="000263EF" w:rsidRPr="000263EF" w:rsidRDefault="00A60317" w:rsidP="000263EF">
      <w:pPr>
        <w:pStyle w:val="Prrafodelista"/>
        <w:ind w:left="360"/>
        <w:rPr>
          <w:rFonts w:ascii="Bookman Old Style" w:hAnsi="Bookman Old Style"/>
          <w:i/>
          <w:spacing w:val="-3"/>
          <w:sz w:val="24"/>
          <w:szCs w:val="24"/>
        </w:rPr>
      </w:pPr>
      <w:r w:rsidRPr="00A60317">
        <w:rPr>
          <w:rFonts w:ascii="Bookman Old Style" w:hAnsi="Bookman Old Style"/>
          <w:i/>
          <w:spacing w:val="-3"/>
          <w:position w:val="-24"/>
          <w:sz w:val="24"/>
          <w:szCs w:val="24"/>
        </w:rPr>
        <w:object w:dxaOrig="5140" w:dyaOrig="639">
          <v:shape id="_x0000_i1027" type="#_x0000_t75" style="width:258pt;height:33pt" o:ole="">
            <v:imagedata r:id="rId13" o:title=""/>
          </v:shape>
          <o:OLEObject Type="Embed" ProgID="Equation.3" ShapeID="_x0000_i1027" DrawAspect="Content" ObjectID="_1506235353" r:id="rId14"/>
        </w:object>
      </w:r>
    </w:p>
    <w:p w:rsidR="000263EF" w:rsidRPr="000263EF" w:rsidRDefault="000263EF" w:rsidP="000263EF">
      <w:pPr>
        <w:pStyle w:val="Prrafodelista"/>
        <w:ind w:left="360"/>
        <w:rPr>
          <w:rFonts w:ascii="Bookman Old Style" w:hAnsi="Bookman Old Style"/>
          <w:i/>
          <w:spacing w:val="-3"/>
          <w:sz w:val="24"/>
          <w:szCs w:val="24"/>
        </w:rPr>
      </w:pPr>
    </w:p>
    <w:p w:rsidR="000263EF" w:rsidRPr="000263EF" w:rsidRDefault="00A60317" w:rsidP="000263EF">
      <w:pPr>
        <w:ind w:left="360"/>
        <w:rPr>
          <w:rFonts w:ascii="Bookman Old Style" w:hAnsi="Bookman Old Style"/>
          <w:i/>
          <w:spacing w:val="-3"/>
          <w:lang w:val="es-CO"/>
        </w:rPr>
      </w:pPr>
      <w:r>
        <w:rPr>
          <w:rFonts w:ascii="Bookman Old Style" w:hAnsi="Bookman Old Style"/>
          <w:i/>
          <w:spacing w:val="-3"/>
          <w:lang w:val="es-CO"/>
        </w:rPr>
        <w:t xml:space="preserve">Caso c. Si la </w:t>
      </w:r>
      <w:r w:rsidR="000263EF" w:rsidRPr="000263EF">
        <w:rPr>
          <w:rFonts w:ascii="Bookman Old Style" w:hAnsi="Bookman Old Style"/>
          <w:i/>
          <w:spacing w:val="-3"/>
          <w:lang w:val="es-CO"/>
        </w:rPr>
        <w:t xml:space="preserve">Gr &gt; </w:t>
      </w:r>
      <w:proofErr w:type="spellStart"/>
      <w:r w:rsidR="000263EF" w:rsidRPr="000263EF">
        <w:rPr>
          <w:rFonts w:ascii="Bookman Old Style" w:hAnsi="Bookman Old Style"/>
          <w:i/>
          <w:spacing w:val="-3"/>
          <w:lang w:val="es-CO"/>
        </w:rPr>
        <w:t>GI</w:t>
      </w:r>
      <w:r w:rsidR="000263EF" w:rsidRPr="00A60317">
        <w:rPr>
          <w:rFonts w:ascii="Bookman Old Style" w:hAnsi="Bookman Old Style"/>
          <w:i/>
          <w:spacing w:val="-3"/>
          <w:vertAlign w:val="subscript"/>
          <w:lang w:val="es-CO"/>
        </w:rPr>
        <w:t>na</w:t>
      </w:r>
      <w:r>
        <w:rPr>
          <w:rFonts w:ascii="Bookman Old Style" w:hAnsi="Bookman Old Style"/>
          <w:i/>
          <w:spacing w:val="-3"/>
          <w:vertAlign w:val="subscript"/>
          <w:lang w:val="es-CO"/>
        </w:rPr>
        <w:t>c</w:t>
      </w:r>
      <w:proofErr w:type="spellEnd"/>
      <w:r w:rsidR="000263EF" w:rsidRPr="000263EF">
        <w:rPr>
          <w:rFonts w:ascii="Bookman Old Style" w:hAnsi="Bookman Old Style"/>
          <w:i/>
          <w:spacing w:val="-3"/>
          <w:lang w:val="es-CO"/>
        </w:rPr>
        <w:t xml:space="preserve"> + </w:t>
      </w:r>
      <w:proofErr w:type="spellStart"/>
      <w:r w:rsidR="000263EF" w:rsidRPr="000263EF">
        <w:rPr>
          <w:rFonts w:ascii="Bookman Old Style" w:hAnsi="Bookman Old Style"/>
          <w:i/>
          <w:spacing w:val="-3"/>
          <w:lang w:val="es-CO"/>
        </w:rPr>
        <w:t>GI</w:t>
      </w:r>
      <w:r w:rsidR="000263EF" w:rsidRPr="00A60317">
        <w:rPr>
          <w:rFonts w:ascii="Bookman Old Style" w:hAnsi="Bookman Old Style"/>
          <w:i/>
          <w:spacing w:val="-3"/>
          <w:vertAlign w:val="subscript"/>
          <w:lang w:val="es-CO"/>
        </w:rPr>
        <w:t>tie</w:t>
      </w:r>
      <w:proofErr w:type="spellEnd"/>
      <w:r w:rsidR="000263EF" w:rsidRPr="000263EF">
        <w:rPr>
          <w:rFonts w:ascii="Bookman Old Style" w:hAnsi="Bookman Old Style"/>
          <w:i/>
          <w:spacing w:val="-3"/>
          <w:lang w:val="es-CO"/>
        </w:rPr>
        <w:t xml:space="preserve"> </w:t>
      </w:r>
    </w:p>
    <w:p w:rsidR="000263EF" w:rsidRPr="000263EF" w:rsidRDefault="000263EF" w:rsidP="000263EF">
      <w:pPr>
        <w:ind w:left="360"/>
        <w:rPr>
          <w:rFonts w:ascii="Bookman Old Style" w:hAnsi="Bookman Old Style"/>
          <w:i/>
          <w:spacing w:val="-3"/>
          <w:lang w:val="es-CO"/>
        </w:rPr>
      </w:pPr>
    </w:p>
    <w:p w:rsidR="000263EF" w:rsidRDefault="00216FFA" w:rsidP="000263EF">
      <w:pPr>
        <w:ind w:left="360"/>
        <w:rPr>
          <w:rFonts w:ascii="Bookman Old Style" w:hAnsi="Bookman Old Style"/>
          <w:i/>
          <w:spacing w:val="-3"/>
          <w:lang w:val="es-CO"/>
        </w:rPr>
      </w:pPr>
      <w:r>
        <w:rPr>
          <w:rFonts w:ascii="Bookman Old Style" w:hAnsi="Bookman Old Style"/>
          <w:i/>
          <w:spacing w:val="-3"/>
          <w:lang w:val="es-CO"/>
        </w:rPr>
        <w:pict>
          <v:shape id="_x0000_s1031" type="#_x0000_t75" style="position:absolute;left:0;text-align:left;margin-left:0;margin-top:-.2pt;width:76pt;height:18.5pt;z-index:251661312;mso-position-horizontal:left;mso-position-horizontal-relative:text;mso-position-vertical-relative:text">
            <v:imagedata r:id="rId15" o:title=""/>
            <w10:wrap type="square" side="right"/>
          </v:shape>
          <o:OLEObject Type="Embed" ProgID="Equation.3" ShapeID="_x0000_s1031" DrawAspect="Content" ObjectID="_1506235366" r:id="rId16"/>
        </w:pict>
      </w:r>
      <w:r w:rsidR="000263EF" w:rsidRPr="000263EF">
        <w:rPr>
          <w:rFonts w:ascii="Bookman Old Style" w:hAnsi="Bookman Old Style"/>
          <w:i/>
          <w:spacing w:val="-3"/>
          <w:lang w:val="es-CO"/>
        </w:rPr>
        <w:br w:type="textWrapping" w:clear="all"/>
      </w:r>
    </w:p>
    <w:p w:rsidR="00A60317" w:rsidRDefault="00A60317" w:rsidP="000263EF">
      <w:pPr>
        <w:ind w:left="360"/>
        <w:rPr>
          <w:rFonts w:ascii="Bookman Old Style" w:hAnsi="Bookman Old Style"/>
          <w:i/>
          <w:spacing w:val="-3"/>
          <w:lang w:val="es-CO"/>
        </w:rPr>
      </w:pPr>
      <w:r>
        <w:rPr>
          <w:rFonts w:ascii="Bookman Old Style" w:hAnsi="Bookman Old Style"/>
          <w:i/>
          <w:spacing w:val="-3"/>
          <w:lang w:val="es-CO"/>
        </w:rPr>
        <w:t>Donde:</w:t>
      </w:r>
    </w:p>
    <w:p w:rsidR="003702BB" w:rsidRDefault="003702BB" w:rsidP="000263EF">
      <w:pPr>
        <w:ind w:left="360"/>
        <w:rPr>
          <w:rFonts w:ascii="Bookman Old Style" w:hAnsi="Bookman Old Style"/>
          <w:i/>
          <w:spacing w:val="-3"/>
          <w:lang w:val="es-CO"/>
        </w:rPr>
      </w:pPr>
    </w:p>
    <w:tbl>
      <w:tblPr>
        <w:tblStyle w:val="Tablaconcuadrcula"/>
        <w:tblW w:w="935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7997"/>
      </w:tblGrid>
      <w:tr w:rsidR="00A60317" w:rsidTr="003702BB">
        <w:tc>
          <w:tcPr>
            <w:tcW w:w="1359" w:type="dxa"/>
          </w:tcPr>
          <w:p w:rsidR="00A60317" w:rsidRDefault="00A60317" w:rsidP="003702BB">
            <w:pPr>
              <w:ind w:left="360"/>
              <w:jc w:val="center"/>
              <w:rPr>
                <w:rFonts w:ascii="Bookman Old Style" w:hAnsi="Bookman Old Style"/>
                <w:i/>
                <w:spacing w:val="-3"/>
                <w:lang w:val="es-CO"/>
              </w:rPr>
            </w:pPr>
            <w:r w:rsidRPr="000263EF">
              <w:rPr>
                <w:rFonts w:ascii="Bookman Old Style" w:hAnsi="Bookman Old Style"/>
                <w:i/>
                <w:spacing w:val="-3"/>
                <w:lang w:val="es-CO"/>
              </w:rPr>
              <w:t>GI</w:t>
            </w:r>
            <w:r>
              <w:rPr>
                <w:rFonts w:ascii="Bookman Old Style" w:hAnsi="Bookman Old Style"/>
                <w:i/>
                <w:spacing w:val="-3"/>
                <w:lang w:val="es-CO"/>
              </w:rPr>
              <w:t>:</w:t>
            </w:r>
          </w:p>
          <w:p w:rsidR="00A60317" w:rsidRDefault="00A60317" w:rsidP="003702BB">
            <w:pPr>
              <w:ind w:left="0"/>
              <w:jc w:val="center"/>
              <w:rPr>
                <w:rFonts w:ascii="Bookman Old Style" w:hAnsi="Bookman Old Style"/>
                <w:i/>
                <w:spacing w:val="-3"/>
                <w:lang w:val="es-CO"/>
              </w:rPr>
            </w:pPr>
          </w:p>
        </w:tc>
        <w:tc>
          <w:tcPr>
            <w:tcW w:w="7997" w:type="dxa"/>
          </w:tcPr>
          <w:p w:rsidR="00A60317" w:rsidRPr="00A60317" w:rsidRDefault="00A60317" w:rsidP="003702BB">
            <w:pPr>
              <w:ind w:left="0"/>
              <w:jc w:val="both"/>
              <w:rPr>
                <w:rFonts w:ascii="Bookman Old Style" w:hAnsi="Bookman Old Style"/>
                <w:i/>
                <w:spacing w:val="-3"/>
                <w:lang w:val="es-CO"/>
              </w:rPr>
            </w:pPr>
            <w:r>
              <w:rPr>
                <w:rFonts w:ascii="Bookman Old Style" w:hAnsi="Bookman Old Style"/>
                <w:i/>
                <w:spacing w:val="-3"/>
                <w:lang w:val="es-CO"/>
              </w:rPr>
              <w:t xml:space="preserve">Generación ideal total. Corresponde a la suma de </w:t>
            </w:r>
            <w:proofErr w:type="spellStart"/>
            <w:r>
              <w:rPr>
                <w:rFonts w:ascii="Bookman Old Style" w:hAnsi="Bookman Old Style"/>
                <w:i/>
                <w:spacing w:val="-3"/>
                <w:lang w:val="es-CO"/>
              </w:rPr>
              <w:t>GI</w:t>
            </w:r>
            <w:r w:rsidRPr="00A60317">
              <w:rPr>
                <w:rFonts w:ascii="Bookman Old Style" w:hAnsi="Bookman Old Style"/>
                <w:i/>
                <w:spacing w:val="-3"/>
                <w:vertAlign w:val="subscript"/>
                <w:lang w:val="es-CO"/>
              </w:rPr>
              <w:t>nac</w:t>
            </w:r>
            <w:proofErr w:type="spellEnd"/>
            <w:r>
              <w:rPr>
                <w:rFonts w:ascii="Bookman Old Style" w:hAnsi="Bookman Old Style"/>
                <w:i/>
                <w:spacing w:val="-3"/>
                <w:vertAlign w:val="subscript"/>
                <w:lang w:val="es-CO"/>
              </w:rPr>
              <w:t xml:space="preserve">, </w:t>
            </w:r>
            <w:proofErr w:type="spellStart"/>
            <w:r>
              <w:rPr>
                <w:rFonts w:ascii="Bookman Old Style" w:hAnsi="Bookman Old Style"/>
                <w:i/>
                <w:spacing w:val="-3"/>
                <w:lang w:val="es-CO"/>
              </w:rPr>
              <w:t>GI</w:t>
            </w:r>
            <w:r>
              <w:rPr>
                <w:rFonts w:ascii="Bookman Old Style" w:hAnsi="Bookman Old Style"/>
                <w:i/>
                <w:spacing w:val="-3"/>
                <w:vertAlign w:val="subscript"/>
                <w:lang w:val="es-CO"/>
              </w:rPr>
              <w:t>tie</w:t>
            </w:r>
            <w:proofErr w:type="spellEnd"/>
            <w:r>
              <w:rPr>
                <w:rFonts w:ascii="Bookman Old Style" w:hAnsi="Bookman Old Style"/>
                <w:i/>
                <w:spacing w:val="-3"/>
                <w:lang w:val="es-CO"/>
              </w:rPr>
              <w:t xml:space="preserve">, </w:t>
            </w:r>
            <w:proofErr w:type="spellStart"/>
            <w:r>
              <w:rPr>
                <w:rFonts w:ascii="Bookman Old Style" w:hAnsi="Bookman Old Style"/>
                <w:i/>
                <w:spacing w:val="-3"/>
                <w:lang w:val="es-CO"/>
              </w:rPr>
              <w:t>GI</w:t>
            </w:r>
            <w:r>
              <w:rPr>
                <w:rFonts w:ascii="Bookman Old Style" w:hAnsi="Bookman Old Style"/>
                <w:i/>
                <w:spacing w:val="-3"/>
                <w:vertAlign w:val="subscript"/>
                <w:lang w:val="es-CO"/>
              </w:rPr>
              <w:t>int</w:t>
            </w:r>
            <w:proofErr w:type="spellEnd"/>
            <w:r>
              <w:rPr>
                <w:rFonts w:ascii="Bookman Old Style" w:hAnsi="Bookman Old Style"/>
                <w:i/>
                <w:spacing w:val="-3"/>
                <w:vertAlign w:val="subscript"/>
                <w:lang w:val="es-CO"/>
              </w:rPr>
              <w:t xml:space="preserve"> </w:t>
            </w:r>
            <w:r>
              <w:rPr>
                <w:rFonts w:ascii="Bookman Old Style" w:hAnsi="Bookman Old Style"/>
                <w:i/>
                <w:spacing w:val="-3"/>
                <w:lang w:val="es-CO"/>
              </w:rPr>
              <w:t>de la planta i, del agente j, en la hora h, del día d, del mes m.</w:t>
            </w:r>
          </w:p>
        </w:tc>
      </w:tr>
      <w:tr w:rsidR="00A60317" w:rsidTr="003702BB">
        <w:tc>
          <w:tcPr>
            <w:tcW w:w="1359" w:type="dxa"/>
          </w:tcPr>
          <w:p w:rsidR="00A60317" w:rsidRPr="00A60317" w:rsidRDefault="00A60317" w:rsidP="00B24864">
            <w:pPr>
              <w:ind w:left="360"/>
              <w:jc w:val="center"/>
              <w:rPr>
                <w:rFonts w:ascii="Bookman Old Style" w:hAnsi="Bookman Old Style"/>
                <w:i/>
                <w:spacing w:val="-3"/>
                <w:lang w:val="es-CO"/>
              </w:rPr>
            </w:pPr>
            <w:proofErr w:type="spellStart"/>
            <w:r>
              <w:rPr>
                <w:rFonts w:ascii="Bookman Old Style" w:hAnsi="Bookman Old Style"/>
                <w:i/>
                <w:spacing w:val="-3"/>
                <w:lang w:val="es-CO"/>
              </w:rPr>
              <w:t>GI</w:t>
            </w:r>
            <w:r>
              <w:rPr>
                <w:rFonts w:ascii="Bookman Old Style" w:hAnsi="Bookman Old Style"/>
                <w:i/>
                <w:spacing w:val="-3"/>
                <w:vertAlign w:val="subscript"/>
                <w:lang w:val="es-CO"/>
              </w:rPr>
              <w:t>na</w:t>
            </w:r>
            <w:r w:rsidR="00B24864">
              <w:rPr>
                <w:rFonts w:ascii="Bookman Old Style" w:hAnsi="Bookman Old Style"/>
                <w:i/>
                <w:spacing w:val="-3"/>
                <w:vertAlign w:val="subscript"/>
                <w:lang w:val="es-CO"/>
              </w:rPr>
              <w:t>c</w:t>
            </w:r>
            <w:proofErr w:type="spellEnd"/>
            <w:r>
              <w:rPr>
                <w:rFonts w:ascii="Bookman Old Style" w:hAnsi="Bookman Old Style"/>
                <w:i/>
                <w:spacing w:val="-3"/>
                <w:lang w:val="es-CO"/>
              </w:rPr>
              <w:t>:</w:t>
            </w:r>
          </w:p>
        </w:tc>
        <w:tc>
          <w:tcPr>
            <w:tcW w:w="7997" w:type="dxa"/>
          </w:tcPr>
          <w:p w:rsidR="00A60317" w:rsidRDefault="00A60317" w:rsidP="003702BB">
            <w:pPr>
              <w:ind w:left="0"/>
              <w:jc w:val="both"/>
              <w:rPr>
                <w:rFonts w:ascii="Bookman Old Style" w:hAnsi="Bookman Old Style"/>
                <w:i/>
                <w:spacing w:val="-3"/>
                <w:lang w:val="es-CO"/>
              </w:rPr>
            </w:pPr>
            <w:r>
              <w:rPr>
                <w:rFonts w:ascii="Bookman Old Style" w:hAnsi="Bookman Old Style"/>
                <w:i/>
                <w:spacing w:val="-3"/>
                <w:lang w:val="es-CO"/>
              </w:rPr>
              <w:t>Generación ideal nacional de la planta i, del agente j, en la hora h del mes m.</w:t>
            </w:r>
          </w:p>
        </w:tc>
      </w:tr>
      <w:tr w:rsidR="00A60317" w:rsidTr="003702BB">
        <w:tc>
          <w:tcPr>
            <w:tcW w:w="1359" w:type="dxa"/>
          </w:tcPr>
          <w:p w:rsidR="00A60317" w:rsidRPr="00A60317" w:rsidRDefault="00A60317" w:rsidP="003702BB">
            <w:pPr>
              <w:ind w:left="360"/>
              <w:jc w:val="center"/>
              <w:rPr>
                <w:rFonts w:ascii="Bookman Old Style" w:hAnsi="Bookman Old Style"/>
                <w:i/>
                <w:spacing w:val="-3"/>
                <w:lang w:val="es-CO"/>
              </w:rPr>
            </w:pPr>
            <w:proofErr w:type="spellStart"/>
            <w:r>
              <w:rPr>
                <w:rFonts w:ascii="Bookman Old Style" w:hAnsi="Bookman Old Style"/>
                <w:i/>
                <w:spacing w:val="-3"/>
                <w:lang w:val="es-CO"/>
              </w:rPr>
              <w:t>GI</w:t>
            </w:r>
            <w:r w:rsidRPr="00A60317">
              <w:rPr>
                <w:rFonts w:ascii="Bookman Old Style" w:hAnsi="Bookman Old Style"/>
                <w:i/>
                <w:spacing w:val="-3"/>
                <w:vertAlign w:val="subscript"/>
                <w:lang w:val="es-CO"/>
              </w:rPr>
              <w:t>tie</w:t>
            </w:r>
            <w:proofErr w:type="spellEnd"/>
            <w:r>
              <w:rPr>
                <w:rFonts w:ascii="Bookman Old Style" w:hAnsi="Bookman Old Style"/>
                <w:i/>
                <w:spacing w:val="-3"/>
                <w:lang w:val="es-CO"/>
              </w:rPr>
              <w:t>:</w:t>
            </w:r>
          </w:p>
        </w:tc>
        <w:tc>
          <w:tcPr>
            <w:tcW w:w="7997" w:type="dxa"/>
          </w:tcPr>
          <w:p w:rsidR="00A60317" w:rsidRDefault="00A60317" w:rsidP="003702BB">
            <w:pPr>
              <w:ind w:left="0"/>
              <w:jc w:val="both"/>
              <w:rPr>
                <w:rFonts w:ascii="Bookman Old Style" w:hAnsi="Bookman Old Style"/>
                <w:i/>
                <w:spacing w:val="-3"/>
                <w:lang w:val="es-CO"/>
              </w:rPr>
            </w:pPr>
            <w:r>
              <w:rPr>
                <w:rFonts w:ascii="Bookman Old Style" w:hAnsi="Bookman Old Style"/>
                <w:i/>
                <w:spacing w:val="-3"/>
                <w:lang w:val="es-CO"/>
              </w:rPr>
              <w:t>Generación ideal Transacciones Internacionales de Energía (TIE) de la planta i, del agente j, en la hora h, del día d, del mes m.</w:t>
            </w:r>
          </w:p>
        </w:tc>
      </w:tr>
      <w:tr w:rsidR="00A60317" w:rsidTr="003702BB">
        <w:tc>
          <w:tcPr>
            <w:tcW w:w="1359" w:type="dxa"/>
          </w:tcPr>
          <w:p w:rsidR="00A60317" w:rsidRDefault="00A60317" w:rsidP="003702BB">
            <w:pPr>
              <w:ind w:left="360"/>
              <w:jc w:val="center"/>
              <w:rPr>
                <w:rFonts w:ascii="Bookman Old Style" w:hAnsi="Bookman Old Style"/>
                <w:i/>
                <w:spacing w:val="-3"/>
                <w:lang w:val="es-CO"/>
              </w:rPr>
            </w:pPr>
            <w:proofErr w:type="spellStart"/>
            <w:r>
              <w:rPr>
                <w:rFonts w:ascii="Bookman Old Style" w:hAnsi="Bookman Old Style"/>
                <w:i/>
                <w:spacing w:val="-3"/>
                <w:lang w:val="es-CO"/>
              </w:rPr>
              <w:t>GI</w:t>
            </w:r>
            <w:r w:rsidRPr="00A60317">
              <w:rPr>
                <w:rFonts w:ascii="Bookman Old Style" w:hAnsi="Bookman Old Style"/>
                <w:i/>
                <w:spacing w:val="-3"/>
                <w:vertAlign w:val="subscript"/>
                <w:lang w:val="es-CO"/>
              </w:rPr>
              <w:t>int</w:t>
            </w:r>
            <w:proofErr w:type="spellEnd"/>
            <w:r w:rsidR="003702BB" w:rsidRPr="003702BB">
              <w:rPr>
                <w:rFonts w:ascii="Bookman Old Style" w:hAnsi="Bookman Old Style"/>
                <w:i/>
                <w:spacing w:val="-3"/>
                <w:lang w:val="es-CO"/>
              </w:rPr>
              <w:t>:</w:t>
            </w:r>
          </w:p>
        </w:tc>
        <w:tc>
          <w:tcPr>
            <w:tcW w:w="7997" w:type="dxa"/>
          </w:tcPr>
          <w:p w:rsidR="00A60317" w:rsidRDefault="00A60317" w:rsidP="003702BB">
            <w:pPr>
              <w:ind w:left="0"/>
              <w:jc w:val="both"/>
              <w:rPr>
                <w:rFonts w:ascii="Bookman Old Style" w:hAnsi="Bookman Old Style"/>
                <w:i/>
                <w:spacing w:val="-3"/>
                <w:lang w:val="es-CO"/>
              </w:rPr>
            </w:pPr>
            <w:r>
              <w:rPr>
                <w:rFonts w:ascii="Bookman Old Style" w:hAnsi="Bookman Old Style"/>
                <w:i/>
                <w:spacing w:val="-3"/>
                <w:lang w:val="es-CO"/>
              </w:rPr>
              <w:t>Generación ideal internacional de la planta i, del agente j, en la hora h, del día d, del mes m.</w:t>
            </w:r>
          </w:p>
        </w:tc>
      </w:tr>
      <w:tr w:rsidR="003702BB" w:rsidTr="003702BB">
        <w:tc>
          <w:tcPr>
            <w:tcW w:w="1359" w:type="dxa"/>
          </w:tcPr>
          <w:p w:rsidR="003702BB" w:rsidRDefault="003702BB" w:rsidP="003702BB">
            <w:pPr>
              <w:ind w:left="360"/>
              <w:jc w:val="center"/>
              <w:rPr>
                <w:rFonts w:ascii="Bookman Old Style" w:hAnsi="Bookman Old Style"/>
                <w:i/>
                <w:spacing w:val="-3"/>
                <w:lang w:val="es-CO"/>
              </w:rPr>
            </w:pPr>
            <w:r>
              <w:rPr>
                <w:rFonts w:ascii="Bookman Old Style" w:hAnsi="Bookman Old Style"/>
                <w:i/>
                <w:spacing w:val="-3"/>
                <w:lang w:val="es-CO"/>
              </w:rPr>
              <w:t>Gr</w:t>
            </w:r>
          </w:p>
        </w:tc>
        <w:tc>
          <w:tcPr>
            <w:tcW w:w="7997" w:type="dxa"/>
          </w:tcPr>
          <w:p w:rsidR="003702BB" w:rsidRDefault="003702BB" w:rsidP="003702BB">
            <w:pPr>
              <w:ind w:left="0"/>
              <w:jc w:val="both"/>
              <w:rPr>
                <w:rFonts w:ascii="Bookman Old Style" w:hAnsi="Bookman Old Style"/>
                <w:i/>
                <w:spacing w:val="-3"/>
                <w:lang w:val="es-CO"/>
              </w:rPr>
            </w:pPr>
            <w:r>
              <w:rPr>
                <w:rFonts w:ascii="Bookman Old Style" w:hAnsi="Bookman Old Style"/>
                <w:i/>
                <w:spacing w:val="-3"/>
                <w:lang w:val="es-CO"/>
              </w:rPr>
              <w:t>Generación real de la planta i, del agente j, en la hora h, del día d, del mes m.</w:t>
            </w:r>
          </w:p>
        </w:tc>
      </w:tr>
      <w:tr w:rsidR="00A60317" w:rsidTr="003702BB">
        <w:tc>
          <w:tcPr>
            <w:tcW w:w="1359" w:type="dxa"/>
          </w:tcPr>
          <w:p w:rsidR="00A60317" w:rsidRPr="003702BB" w:rsidRDefault="00A60317" w:rsidP="003702BB">
            <w:pPr>
              <w:ind w:left="360"/>
              <w:jc w:val="center"/>
              <w:rPr>
                <w:rFonts w:ascii="Bookman Old Style" w:hAnsi="Bookman Old Style"/>
                <w:i/>
                <w:spacing w:val="-3"/>
                <w:lang w:val="es-CO"/>
              </w:rPr>
            </w:pPr>
            <w:proofErr w:type="spellStart"/>
            <w:r>
              <w:rPr>
                <w:rFonts w:ascii="Bookman Old Style" w:hAnsi="Bookman Old Style"/>
                <w:i/>
                <w:spacing w:val="-3"/>
                <w:lang w:val="es-CO"/>
              </w:rPr>
              <w:t>MPO</w:t>
            </w:r>
            <w:r w:rsidR="003702BB">
              <w:rPr>
                <w:rFonts w:ascii="Bookman Old Style" w:hAnsi="Bookman Old Style"/>
                <w:i/>
                <w:spacing w:val="-3"/>
                <w:vertAlign w:val="subscript"/>
                <w:lang w:val="es-CO"/>
              </w:rPr>
              <w:t>tie</w:t>
            </w:r>
            <w:proofErr w:type="spellEnd"/>
            <w:r w:rsidR="003702BB" w:rsidRPr="003702BB">
              <w:rPr>
                <w:rFonts w:ascii="Bookman Old Style" w:hAnsi="Bookman Old Style"/>
                <w:i/>
                <w:spacing w:val="-3"/>
                <w:lang w:val="es-CO"/>
              </w:rPr>
              <w:t>:</w:t>
            </w:r>
          </w:p>
        </w:tc>
        <w:tc>
          <w:tcPr>
            <w:tcW w:w="7997" w:type="dxa"/>
          </w:tcPr>
          <w:p w:rsidR="00A60317" w:rsidRDefault="003702BB" w:rsidP="003702BB">
            <w:pPr>
              <w:ind w:left="0"/>
              <w:jc w:val="both"/>
              <w:rPr>
                <w:rFonts w:ascii="Bookman Old Style" w:hAnsi="Bookman Old Style"/>
                <w:i/>
                <w:spacing w:val="-3"/>
                <w:lang w:val="es-CO"/>
              </w:rPr>
            </w:pPr>
            <w:r>
              <w:rPr>
                <w:rFonts w:ascii="Bookman Old Style" w:hAnsi="Bookman Old Style"/>
                <w:i/>
                <w:spacing w:val="-3"/>
                <w:lang w:val="es-CO"/>
              </w:rPr>
              <w:t>Precio de bolsa incluyendo las  TIE</w:t>
            </w:r>
          </w:p>
        </w:tc>
      </w:tr>
      <w:tr w:rsidR="003702BB" w:rsidTr="003702BB">
        <w:tc>
          <w:tcPr>
            <w:tcW w:w="1359" w:type="dxa"/>
          </w:tcPr>
          <w:p w:rsidR="003702BB" w:rsidRPr="003702BB" w:rsidRDefault="003702BB" w:rsidP="003702BB">
            <w:pPr>
              <w:ind w:left="360"/>
              <w:jc w:val="center"/>
              <w:rPr>
                <w:rFonts w:ascii="Bookman Old Style" w:hAnsi="Bookman Old Style"/>
                <w:i/>
                <w:spacing w:val="-3"/>
                <w:lang w:val="es-CO"/>
              </w:rPr>
            </w:pPr>
            <w:proofErr w:type="spellStart"/>
            <w:r>
              <w:rPr>
                <w:rFonts w:ascii="Bookman Old Style" w:hAnsi="Bookman Old Style"/>
                <w:i/>
                <w:spacing w:val="-3"/>
                <w:lang w:val="es-CO"/>
              </w:rPr>
              <w:lastRenderedPageBreak/>
              <w:t>MPO</w:t>
            </w:r>
            <w:r>
              <w:rPr>
                <w:rFonts w:ascii="Bookman Old Style" w:hAnsi="Bookman Old Style"/>
                <w:i/>
                <w:spacing w:val="-3"/>
                <w:vertAlign w:val="subscript"/>
                <w:lang w:val="es-CO"/>
              </w:rPr>
              <w:t>int</w:t>
            </w:r>
            <w:proofErr w:type="spellEnd"/>
            <w:r>
              <w:rPr>
                <w:rFonts w:ascii="Bookman Old Style" w:hAnsi="Bookman Old Style"/>
                <w:i/>
                <w:spacing w:val="-3"/>
                <w:lang w:val="es-CO"/>
              </w:rPr>
              <w:t>:</w:t>
            </w:r>
          </w:p>
        </w:tc>
        <w:tc>
          <w:tcPr>
            <w:tcW w:w="7997" w:type="dxa"/>
          </w:tcPr>
          <w:p w:rsidR="003702BB" w:rsidRDefault="003702BB" w:rsidP="003702BB">
            <w:pPr>
              <w:ind w:left="0"/>
              <w:jc w:val="both"/>
              <w:rPr>
                <w:rFonts w:ascii="Bookman Old Style" w:hAnsi="Bookman Old Style"/>
                <w:i/>
                <w:spacing w:val="-3"/>
                <w:lang w:val="es-CO"/>
              </w:rPr>
            </w:pPr>
            <w:r>
              <w:rPr>
                <w:rFonts w:ascii="Bookman Old Style" w:hAnsi="Bookman Old Style"/>
                <w:i/>
                <w:spacing w:val="-3"/>
                <w:lang w:val="es-CO"/>
              </w:rPr>
              <w:t>Precio de bolsa incluyendo las transacciones internacionales</w:t>
            </w:r>
          </w:p>
        </w:tc>
      </w:tr>
    </w:tbl>
    <w:p w:rsidR="000263EF" w:rsidRPr="003702BB" w:rsidRDefault="000263EF" w:rsidP="003702BB">
      <w:pPr>
        <w:ind w:left="0"/>
        <w:rPr>
          <w:rFonts w:ascii="Bookman Old Style" w:hAnsi="Bookman Old Style"/>
          <w:i/>
          <w:spacing w:val="-3"/>
        </w:rPr>
      </w:pPr>
    </w:p>
    <w:p w:rsidR="000263EF" w:rsidRPr="000263EF" w:rsidRDefault="000263EF" w:rsidP="000263EF">
      <w:pPr>
        <w:pStyle w:val="Prrafodelista"/>
        <w:numPr>
          <w:ilvl w:val="0"/>
          <w:numId w:val="68"/>
        </w:numPr>
        <w:suppressAutoHyphens/>
        <w:contextualSpacing/>
        <w:jc w:val="both"/>
        <w:rPr>
          <w:rFonts w:ascii="Bookman Old Style" w:hAnsi="Bookman Old Style"/>
          <w:i/>
          <w:spacing w:val="-3"/>
          <w:sz w:val="24"/>
          <w:szCs w:val="24"/>
        </w:rPr>
      </w:pPr>
      <w:r w:rsidRPr="000263EF">
        <w:rPr>
          <w:rFonts w:ascii="Bookman Old Style" w:hAnsi="Bookman Old Style"/>
          <w:i/>
          <w:spacing w:val="-3"/>
          <w:sz w:val="24"/>
          <w:szCs w:val="24"/>
        </w:rPr>
        <w:t>Cuando el P</w:t>
      </w:r>
      <w:r w:rsidR="003702BB">
        <w:rPr>
          <w:rFonts w:ascii="Bookman Old Style" w:hAnsi="Bookman Old Style"/>
          <w:i/>
          <w:spacing w:val="-3"/>
          <w:sz w:val="24"/>
          <w:szCs w:val="24"/>
        </w:rPr>
        <w:t>recio de bolsa nacional (</w:t>
      </w:r>
      <w:proofErr w:type="spellStart"/>
      <w:r w:rsidR="003702BB">
        <w:rPr>
          <w:rFonts w:ascii="Bookman Old Style" w:hAnsi="Bookman Old Style"/>
          <w:i/>
          <w:spacing w:val="-3"/>
          <w:sz w:val="24"/>
          <w:szCs w:val="24"/>
        </w:rPr>
        <w:t>MPO</w:t>
      </w:r>
      <w:r w:rsidR="003702BB">
        <w:rPr>
          <w:rFonts w:ascii="Bookman Old Style" w:hAnsi="Bookman Old Style"/>
          <w:i/>
          <w:spacing w:val="-3"/>
          <w:sz w:val="24"/>
          <w:szCs w:val="24"/>
          <w:vertAlign w:val="subscript"/>
        </w:rPr>
        <w:t>na</w:t>
      </w:r>
      <w:r w:rsidR="00B703DB">
        <w:rPr>
          <w:rFonts w:ascii="Bookman Old Style" w:hAnsi="Bookman Old Style"/>
          <w:i/>
          <w:spacing w:val="-3"/>
          <w:sz w:val="24"/>
          <w:szCs w:val="24"/>
          <w:vertAlign w:val="subscript"/>
        </w:rPr>
        <w:t>c</w:t>
      </w:r>
      <w:proofErr w:type="spellEnd"/>
      <w:r w:rsidR="003702BB">
        <w:rPr>
          <w:rFonts w:ascii="Bookman Old Style" w:hAnsi="Bookman Old Style"/>
          <w:i/>
          <w:spacing w:val="-3"/>
          <w:sz w:val="24"/>
          <w:szCs w:val="24"/>
        </w:rPr>
        <w:t>)</w:t>
      </w:r>
      <w:r w:rsidRPr="000263EF">
        <w:rPr>
          <w:rFonts w:ascii="Bookman Old Style" w:hAnsi="Bookman Old Style"/>
          <w:i/>
          <w:spacing w:val="-3"/>
          <w:sz w:val="24"/>
          <w:szCs w:val="24"/>
        </w:rPr>
        <w:t xml:space="preserve"> </w:t>
      </w:r>
      <w:r w:rsidR="003702BB">
        <w:rPr>
          <w:rFonts w:ascii="Bookman Old Style" w:hAnsi="Bookman Old Style"/>
          <w:i/>
          <w:spacing w:val="-3"/>
          <w:sz w:val="24"/>
          <w:szCs w:val="24"/>
        </w:rPr>
        <w:t xml:space="preserve">es </w:t>
      </w:r>
      <w:r w:rsidR="00B703DB">
        <w:rPr>
          <w:rFonts w:ascii="Bookman Old Style" w:hAnsi="Bookman Old Style"/>
          <w:i/>
          <w:spacing w:val="-3"/>
          <w:sz w:val="24"/>
          <w:szCs w:val="24"/>
        </w:rPr>
        <w:t>mayor</w:t>
      </w:r>
      <w:r w:rsidR="003702BB">
        <w:rPr>
          <w:rFonts w:ascii="Bookman Old Style" w:hAnsi="Bookman Old Style"/>
          <w:i/>
          <w:spacing w:val="-3"/>
          <w:sz w:val="24"/>
          <w:szCs w:val="24"/>
        </w:rPr>
        <w:t xml:space="preserve"> que el precio de escasez</w:t>
      </w:r>
      <w:r w:rsidRPr="000263EF">
        <w:rPr>
          <w:rFonts w:ascii="Bookman Old Style" w:hAnsi="Bookman Old Style"/>
          <w:i/>
          <w:spacing w:val="-3"/>
          <w:sz w:val="24"/>
          <w:szCs w:val="24"/>
        </w:rPr>
        <w:t xml:space="preserve"> </w:t>
      </w:r>
      <w:r w:rsidR="003702BB">
        <w:rPr>
          <w:rFonts w:ascii="Bookman Old Style" w:hAnsi="Bookman Old Style"/>
          <w:i/>
          <w:spacing w:val="-3"/>
          <w:sz w:val="24"/>
          <w:szCs w:val="24"/>
        </w:rPr>
        <w:t>(</w:t>
      </w:r>
      <w:r w:rsidRPr="000263EF">
        <w:rPr>
          <w:rFonts w:ascii="Bookman Old Style" w:hAnsi="Bookman Old Style"/>
          <w:i/>
          <w:spacing w:val="-3"/>
          <w:sz w:val="24"/>
          <w:szCs w:val="24"/>
        </w:rPr>
        <w:t>PE</w:t>
      </w:r>
      <w:r w:rsidR="003702BB">
        <w:rPr>
          <w:rFonts w:ascii="Bookman Old Style" w:hAnsi="Bookman Old Style"/>
          <w:i/>
          <w:spacing w:val="-3"/>
          <w:sz w:val="24"/>
          <w:szCs w:val="24"/>
        </w:rPr>
        <w:t>)</w:t>
      </w:r>
    </w:p>
    <w:p w:rsidR="000263EF" w:rsidRPr="000263EF" w:rsidRDefault="000263EF" w:rsidP="000263EF">
      <w:pPr>
        <w:rPr>
          <w:rFonts w:ascii="Bookman Old Style" w:hAnsi="Bookman Old Style"/>
          <w:i/>
          <w:spacing w:val="-3"/>
          <w:lang w:val="es-CO"/>
        </w:rPr>
      </w:pPr>
    </w:p>
    <w:p w:rsidR="000263EF" w:rsidRPr="000263EF" w:rsidRDefault="003702BB" w:rsidP="000263EF">
      <w:pPr>
        <w:ind w:left="360"/>
        <w:rPr>
          <w:rFonts w:ascii="Bookman Old Style" w:hAnsi="Bookman Old Style"/>
          <w:i/>
          <w:spacing w:val="-3"/>
          <w:lang w:val="es-CO"/>
        </w:rPr>
      </w:pPr>
      <w:r>
        <w:rPr>
          <w:rFonts w:ascii="Bookman Old Style" w:hAnsi="Bookman Old Style"/>
          <w:i/>
          <w:spacing w:val="-3"/>
          <w:lang w:val="es-CO"/>
        </w:rPr>
        <w:t xml:space="preserve">Caso d. Si la </w:t>
      </w:r>
      <w:r w:rsidR="000263EF" w:rsidRPr="000263EF">
        <w:rPr>
          <w:rFonts w:ascii="Bookman Old Style" w:hAnsi="Bookman Old Style"/>
          <w:i/>
          <w:spacing w:val="-3"/>
          <w:lang w:val="es-CO"/>
        </w:rPr>
        <w:t xml:space="preserve">Gr &gt; </w:t>
      </w:r>
      <w:proofErr w:type="spellStart"/>
      <w:r w:rsidR="000263EF" w:rsidRPr="000263EF">
        <w:rPr>
          <w:rFonts w:ascii="Bookman Old Style" w:hAnsi="Bookman Old Style"/>
          <w:i/>
          <w:spacing w:val="-3"/>
          <w:lang w:val="es-CO"/>
        </w:rPr>
        <w:t>GI</w:t>
      </w:r>
      <w:r w:rsidR="000263EF" w:rsidRPr="003702BB">
        <w:rPr>
          <w:rFonts w:ascii="Bookman Old Style" w:hAnsi="Bookman Old Style"/>
          <w:i/>
          <w:spacing w:val="-3"/>
          <w:vertAlign w:val="subscript"/>
          <w:lang w:val="es-CO"/>
        </w:rPr>
        <w:t>na</w:t>
      </w:r>
      <w:r w:rsidR="00B703DB">
        <w:rPr>
          <w:rFonts w:ascii="Bookman Old Style" w:hAnsi="Bookman Old Style"/>
          <w:i/>
          <w:spacing w:val="-3"/>
          <w:vertAlign w:val="subscript"/>
          <w:lang w:val="es-CO"/>
        </w:rPr>
        <w:t>c</w:t>
      </w:r>
      <w:proofErr w:type="spellEnd"/>
      <w:r w:rsidR="000263EF" w:rsidRPr="000263EF">
        <w:rPr>
          <w:rFonts w:ascii="Bookman Old Style" w:hAnsi="Bookman Old Style"/>
          <w:i/>
          <w:spacing w:val="-3"/>
          <w:lang w:val="es-CO"/>
        </w:rPr>
        <w:t xml:space="preserve"> y Gr ≤ </w:t>
      </w:r>
      <w:proofErr w:type="spellStart"/>
      <w:r w:rsidR="000263EF" w:rsidRPr="000263EF">
        <w:rPr>
          <w:rFonts w:ascii="Bookman Old Style" w:hAnsi="Bookman Old Style"/>
          <w:i/>
          <w:spacing w:val="-3"/>
          <w:lang w:val="es-CO"/>
        </w:rPr>
        <w:t>GI</w:t>
      </w:r>
      <w:r w:rsidR="000263EF" w:rsidRPr="003702BB">
        <w:rPr>
          <w:rFonts w:ascii="Bookman Old Style" w:hAnsi="Bookman Old Style"/>
          <w:i/>
          <w:spacing w:val="-3"/>
          <w:vertAlign w:val="subscript"/>
          <w:lang w:val="es-CO"/>
        </w:rPr>
        <w:t>na</w:t>
      </w:r>
      <w:r w:rsidR="00B703DB">
        <w:rPr>
          <w:rFonts w:ascii="Bookman Old Style" w:hAnsi="Bookman Old Style"/>
          <w:i/>
          <w:spacing w:val="-3"/>
          <w:vertAlign w:val="subscript"/>
          <w:lang w:val="es-CO"/>
        </w:rPr>
        <w:t>c</w:t>
      </w:r>
      <w:proofErr w:type="spellEnd"/>
      <w:r w:rsidR="000263EF" w:rsidRPr="000263EF">
        <w:rPr>
          <w:rFonts w:ascii="Bookman Old Style" w:hAnsi="Bookman Old Style"/>
          <w:i/>
          <w:spacing w:val="-3"/>
          <w:lang w:val="es-CO"/>
        </w:rPr>
        <w:t xml:space="preserve"> + </w:t>
      </w:r>
      <w:proofErr w:type="spellStart"/>
      <w:r w:rsidR="000263EF" w:rsidRPr="000263EF">
        <w:rPr>
          <w:rFonts w:ascii="Bookman Old Style" w:hAnsi="Bookman Old Style"/>
          <w:i/>
          <w:spacing w:val="-3"/>
          <w:lang w:val="es-CO"/>
        </w:rPr>
        <w:t>GI</w:t>
      </w:r>
      <w:r w:rsidR="000263EF" w:rsidRPr="003702BB">
        <w:rPr>
          <w:rFonts w:ascii="Bookman Old Style" w:hAnsi="Bookman Old Style"/>
          <w:i/>
          <w:spacing w:val="-3"/>
          <w:vertAlign w:val="subscript"/>
          <w:lang w:val="es-CO"/>
        </w:rPr>
        <w:t>tie</w:t>
      </w:r>
      <w:proofErr w:type="spellEnd"/>
    </w:p>
    <w:p w:rsidR="000263EF" w:rsidRPr="000263EF" w:rsidRDefault="000263EF" w:rsidP="000263EF">
      <w:pPr>
        <w:pStyle w:val="Prrafodelista"/>
        <w:ind w:left="360"/>
        <w:rPr>
          <w:rFonts w:ascii="Bookman Old Style" w:hAnsi="Bookman Old Style"/>
          <w:i/>
          <w:spacing w:val="-3"/>
          <w:sz w:val="24"/>
          <w:szCs w:val="24"/>
        </w:rPr>
      </w:pPr>
    </w:p>
    <w:p w:rsidR="000263EF" w:rsidRPr="000263EF" w:rsidRDefault="003702BB" w:rsidP="000263EF">
      <w:pPr>
        <w:pStyle w:val="Prrafodelista"/>
        <w:rPr>
          <w:rFonts w:ascii="Bookman Old Style" w:hAnsi="Bookman Old Style"/>
          <w:i/>
          <w:spacing w:val="-3"/>
          <w:sz w:val="24"/>
          <w:szCs w:val="24"/>
        </w:rPr>
      </w:pPr>
      <w:r w:rsidRPr="003702BB">
        <w:rPr>
          <w:rFonts w:ascii="Bookman Old Style" w:hAnsi="Bookman Old Style"/>
          <w:i/>
          <w:spacing w:val="-3"/>
          <w:position w:val="-24"/>
          <w:sz w:val="24"/>
          <w:szCs w:val="24"/>
        </w:rPr>
        <w:object w:dxaOrig="5220" w:dyaOrig="639">
          <v:shape id="_x0000_i1029" type="#_x0000_t75" style="width:261pt;height:33pt" o:ole="">
            <v:imagedata r:id="rId17" o:title=""/>
          </v:shape>
          <o:OLEObject Type="Embed" ProgID="Equation.3" ShapeID="_x0000_i1029" DrawAspect="Content" ObjectID="_1506235354" r:id="rId18"/>
        </w:object>
      </w:r>
    </w:p>
    <w:p w:rsidR="000263EF" w:rsidRPr="000263EF" w:rsidRDefault="000263EF" w:rsidP="000263EF">
      <w:pPr>
        <w:pStyle w:val="Prrafodelista"/>
        <w:ind w:left="360"/>
        <w:rPr>
          <w:rFonts w:ascii="Bookman Old Style" w:hAnsi="Bookman Old Style"/>
          <w:i/>
          <w:spacing w:val="-3"/>
          <w:sz w:val="24"/>
          <w:szCs w:val="24"/>
        </w:rPr>
      </w:pPr>
    </w:p>
    <w:p w:rsidR="000263EF" w:rsidRPr="000263EF" w:rsidRDefault="003702BB" w:rsidP="000263EF">
      <w:pPr>
        <w:ind w:left="360"/>
        <w:rPr>
          <w:rFonts w:ascii="Bookman Old Style" w:hAnsi="Bookman Old Style"/>
          <w:i/>
          <w:spacing w:val="-3"/>
          <w:lang w:val="es-CO"/>
        </w:rPr>
      </w:pPr>
      <w:r>
        <w:rPr>
          <w:rFonts w:ascii="Bookman Old Style" w:hAnsi="Bookman Old Style"/>
          <w:i/>
          <w:spacing w:val="-3"/>
          <w:lang w:val="es-CO"/>
        </w:rPr>
        <w:t xml:space="preserve">Caso e. Si la </w:t>
      </w:r>
      <w:r w:rsidR="000263EF" w:rsidRPr="000263EF">
        <w:rPr>
          <w:rFonts w:ascii="Bookman Old Style" w:hAnsi="Bookman Old Style"/>
          <w:i/>
          <w:spacing w:val="-3"/>
          <w:lang w:val="es-CO"/>
        </w:rPr>
        <w:t xml:space="preserve">Gr &gt; </w:t>
      </w:r>
      <w:proofErr w:type="spellStart"/>
      <w:r w:rsidR="000263EF" w:rsidRPr="000263EF">
        <w:rPr>
          <w:rFonts w:ascii="Bookman Old Style" w:hAnsi="Bookman Old Style"/>
          <w:i/>
          <w:spacing w:val="-3"/>
          <w:lang w:val="es-CO"/>
        </w:rPr>
        <w:t>GI</w:t>
      </w:r>
      <w:r w:rsidR="000263EF" w:rsidRPr="003702BB">
        <w:rPr>
          <w:rFonts w:ascii="Bookman Old Style" w:hAnsi="Bookman Old Style"/>
          <w:i/>
          <w:spacing w:val="-3"/>
          <w:vertAlign w:val="subscript"/>
          <w:lang w:val="es-CO"/>
        </w:rPr>
        <w:t>na</w:t>
      </w:r>
      <w:r w:rsidR="00B703DB">
        <w:rPr>
          <w:rFonts w:ascii="Bookman Old Style" w:hAnsi="Bookman Old Style"/>
          <w:i/>
          <w:spacing w:val="-3"/>
          <w:vertAlign w:val="subscript"/>
          <w:lang w:val="es-CO"/>
        </w:rPr>
        <w:t>c</w:t>
      </w:r>
      <w:proofErr w:type="spellEnd"/>
      <w:r w:rsidR="000263EF" w:rsidRPr="000263EF">
        <w:rPr>
          <w:rFonts w:ascii="Bookman Old Style" w:hAnsi="Bookman Old Style"/>
          <w:i/>
          <w:spacing w:val="-3"/>
          <w:lang w:val="es-CO"/>
        </w:rPr>
        <w:t xml:space="preserve"> + </w:t>
      </w:r>
      <w:proofErr w:type="spellStart"/>
      <w:r w:rsidR="000263EF" w:rsidRPr="000263EF">
        <w:rPr>
          <w:rFonts w:ascii="Bookman Old Style" w:hAnsi="Bookman Old Style"/>
          <w:i/>
          <w:spacing w:val="-3"/>
          <w:lang w:val="es-CO"/>
        </w:rPr>
        <w:t>GI</w:t>
      </w:r>
      <w:r w:rsidR="000263EF" w:rsidRPr="003702BB">
        <w:rPr>
          <w:rFonts w:ascii="Bookman Old Style" w:hAnsi="Bookman Old Style"/>
          <w:i/>
          <w:spacing w:val="-3"/>
          <w:vertAlign w:val="subscript"/>
          <w:lang w:val="es-CO"/>
        </w:rPr>
        <w:t>tie</w:t>
      </w:r>
      <w:proofErr w:type="spellEnd"/>
      <w:r w:rsidR="000263EF" w:rsidRPr="000263EF">
        <w:rPr>
          <w:rFonts w:ascii="Bookman Old Style" w:hAnsi="Bookman Old Style"/>
          <w:i/>
          <w:spacing w:val="-3"/>
          <w:lang w:val="es-CO"/>
        </w:rPr>
        <w:t xml:space="preserve"> </w:t>
      </w:r>
    </w:p>
    <w:p w:rsidR="000263EF" w:rsidRPr="000263EF" w:rsidRDefault="000263EF" w:rsidP="000263EF">
      <w:pPr>
        <w:rPr>
          <w:rFonts w:ascii="Bookman Old Style" w:hAnsi="Bookman Old Style"/>
          <w:i/>
          <w:spacing w:val="-3"/>
          <w:lang w:val="es-CO"/>
        </w:rPr>
      </w:pPr>
    </w:p>
    <w:p w:rsidR="000263EF" w:rsidRPr="000263EF" w:rsidRDefault="00216FFA" w:rsidP="000263EF">
      <w:pPr>
        <w:ind w:left="708"/>
        <w:rPr>
          <w:rFonts w:ascii="Bookman Old Style" w:hAnsi="Bookman Old Style"/>
          <w:i/>
          <w:spacing w:val="-3"/>
          <w:lang w:val="es-CO"/>
        </w:rPr>
      </w:pPr>
      <w:r>
        <w:rPr>
          <w:rFonts w:ascii="Bookman Old Style" w:hAnsi="Bookman Old Style"/>
          <w:i/>
          <w:spacing w:val="-3"/>
          <w:lang w:val="es-CO"/>
        </w:rPr>
        <w:pict>
          <v:shape id="_x0000_s1032" type="#_x0000_t75" style="position:absolute;left:0;text-align:left;margin-left:0;margin-top:-.2pt;width:74.95pt;height:18.5pt;z-index:251662336;mso-position-horizontal:left;mso-position-horizontal-relative:text;mso-position-vertical-relative:text">
            <v:imagedata r:id="rId19" o:title=""/>
            <w10:wrap type="square" side="right"/>
          </v:shape>
          <o:OLEObject Type="Embed" ProgID="Equation.3" ShapeID="_x0000_s1032" DrawAspect="Content" ObjectID="_1506235367" r:id="rId20"/>
        </w:pict>
      </w:r>
      <w:r w:rsidR="000263EF" w:rsidRPr="000263EF">
        <w:rPr>
          <w:rFonts w:ascii="Bookman Old Style" w:hAnsi="Bookman Old Style"/>
          <w:i/>
          <w:spacing w:val="-3"/>
          <w:lang w:val="es-CO"/>
        </w:rPr>
        <w:br w:type="textWrapping" w:clear="all"/>
      </w:r>
    </w:p>
    <w:p w:rsidR="000263EF" w:rsidRPr="000263EF" w:rsidRDefault="003702BB" w:rsidP="000263EF">
      <w:pPr>
        <w:ind w:left="360"/>
        <w:rPr>
          <w:rFonts w:ascii="Bookman Old Style" w:hAnsi="Bookman Old Style"/>
          <w:i/>
          <w:spacing w:val="-3"/>
          <w:lang w:val="es-CO"/>
        </w:rPr>
      </w:pPr>
      <w:r>
        <w:rPr>
          <w:rFonts w:ascii="Bookman Old Style" w:hAnsi="Bookman Old Style"/>
          <w:i/>
          <w:spacing w:val="-3"/>
          <w:lang w:val="es-CO"/>
        </w:rPr>
        <w:t xml:space="preserve">Caso f. </w:t>
      </w:r>
      <w:r w:rsidR="000A5314">
        <w:rPr>
          <w:rFonts w:ascii="Bookman Old Style" w:hAnsi="Bookman Old Style"/>
          <w:i/>
          <w:spacing w:val="-3"/>
          <w:lang w:val="es-CO"/>
        </w:rPr>
        <w:t xml:space="preserve"> </w:t>
      </w:r>
      <w:r>
        <w:rPr>
          <w:rFonts w:ascii="Bookman Old Style" w:hAnsi="Bookman Old Style"/>
          <w:i/>
          <w:spacing w:val="-3"/>
          <w:lang w:val="es-CO"/>
        </w:rPr>
        <w:t xml:space="preserve">Si la </w:t>
      </w:r>
      <w:r w:rsidR="000263EF" w:rsidRPr="000263EF">
        <w:rPr>
          <w:rFonts w:ascii="Bookman Old Style" w:hAnsi="Bookman Old Style"/>
          <w:i/>
          <w:spacing w:val="-3"/>
          <w:lang w:val="es-CO"/>
        </w:rPr>
        <w:t xml:space="preserve">Gr ≤ </w:t>
      </w:r>
      <w:proofErr w:type="spellStart"/>
      <w:r w:rsidR="000263EF" w:rsidRPr="000263EF">
        <w:rPr>
          <w:rFonts w:ascii="Bookman Old Style" w:hAnsi="Bookman Old Style"/>
          <w:i/>
          <w:spacing w:val="-3"/>
          <w:lang w:val="es-CO"/>
        </w:rPr>
        <w:t>GI</w:t>
      </w:r>
      <w:r w:rsidR="00B703DB" w:rsidRPr="00B703DB">
        <w:rPr>
          <w:rFonts w:ascii="Bookman Old Style" w:hAnsi="Bookman Old Style"/>
          <w:i/>
          <w:spacing w:val="-3"/>
          <w:vertAlign w:val="subscript"/>
          <w:lang w:val="es-CO"/>
        </w:rPr>
        <w:t>nac</w:t>
      </w:r>
      <w:proofErr w:type="spellEnd"/>
    </w:p>
    <w:p w:rsidR="000263EF" w:rsidRDefault="000263EF" w:rsidP="000263EF">
      <w:pPr>
        <w:pStyle w:val="Prrafodelista"/>
        <w:ind w:left="360"/>
        <w:rPr>
          <w:rFonts w:ascii="Bookman Old Style" w:hAnsi="Bookman Old Style"/>
          <w:i/>
          <w:spacing w:val="-3"/>
          <w:sz w:val="24"/>
          <w:szCs w:val="24"/>
        </w:rPr>
      </w:pPr>
    </w:p>
    <w:p w:rsidR="003702BB" w:rsidRDefault="003702BB" w:rsidP="009A1787">
      <w:pPr>
        <w:pStyle w:val="Prrafodelista"/>
        <w:ind w:left="360"/>
        <w:jc w:val="both"/>
        <w:rPr>
          <w:rFonts w:ascii="Bookman Old Style" w:hAnsi="Bookman Old Style"/>
          <w:i/>
          <w:spacing w:val="-3"/>
          <w:sz w:val="24"/>
          <w:szCs w:val="24"/>
        </w:rPr>
      </w:pPr>
      <w:r>
        <w:rPr>
          <w:rFonts w:ascii="Bookman Old Style" w:hAnsi="Bookman Old Style"/>
          <w:i/>
          <w:spacing w:val="-3"/>
          <w:sz w:val="24"/>
          <w:szCs w:val="24"/>
        </w:rPr>
        <w:t>En la medida que en el Caso f se deben utilizar los criterios de liquidación del Anexo 7 de la Resolución CREG-071 de 2006, se deben contemplar varias posibles situaciones:</w:t>
      </w:r>
    </w:p>
    <w:p w:rsidR="003702BB" w:rsidRDefault="003702BB" w:rsidP="000263EF">
      <w:pPr>
        <w:pStyle w:val="Prrafodelista"/>
        <w:ind w:left="360"/>
        <w:rPr>
          <w:rFonts w:ascii="Bookman Old Style" w:hAnsi="Bookman Old Style"/>
          <w:i/>
          <w:spacing w:val="-3"/>
          <w:sz w:val="24"/>
          <w:szCs w:val="24"/>
        </w:rPr>
      </w:pPr>
    </w:p>
    <w:p w:rsidR="003702BB" w:rsidRPr="003702BB" w:rsidRDefault="003702BB" w:rsidP="003702BB">
      <w:pPr>
        <w:pStyle w:val="Prrafodelista"/>
        <w:ind w:left="360"/>
        <w:rPr>
          <w:rFonts w:ascii="Bookman Old Style" w:hAnsi="Bookman Old Style"/>
          <w:i/>
          <w:spacing w:val="-3"/>
        </w:rPr>
      </w:pPr>
      <w:r w:rsidRPr="003702BB">
        <w:rPr>
          <w:rFonts w:ascii="Bookman Old Style" w:hAnsi="Bookman Old Style"/>
          <w:i/>
          <w:spacing w:val="-3"/>
        </w:rPr>
        <w:t xml:space="preserve">i. </w:t>
      </w:r>
      <w:r w:rsidRPr="000A5314">
        <w:rPr>
          <w:rFonts w:ascii="Bookman Old Style" w:hAnsi="Bookman Old Style"/>
          <w:i/>
          <w:spacing w:val="-3"/>
          <w:sz w:val="24"/>
          <w:szCs w:val="24"/>
        </w:rPr>
        <w:t>Que la desviación diaria de la obligación de energía firme sea menor o igual a cero</w:t>
      </w:r>
      <w:r>
        <w:rPr>
          <w:rFonts w:ascii="Bookman Old Style" w:hAnsi="Bookman Old Style"/>
          <w:i/>
          <w:spacing w:val="-3"/>
        </w:rPr>
        <w:t xml:space="preserve"> </w:t>
      </w:r>
      <w:r w:rsidRPr="000263EF">
        <w:rPr>
          <w:rFonts w:ascii="Bookman Old Style" w:hAnsi="Bookman Old Style"/>
          <w:i/>
          <w:spacing w:val="-3"/>
        </w:rPr>
        <w:object w:dxaOrig="1620" w:dyaOrig="380">
          <v:shape id="_x0000_i1031" type="#_x0000_t75" style="width:80.25pt;height:18pt" o:ole="">
            <v:imagedata r:id="rId21" o:title=""/>
          </v:shape>
          <o:OLEObject Type="Embed" ProgID="Equation.3" ShapeID="_x0000_i1031" DrawAspect="Content" ObjectID="_1506235355" r:id="rId22"/>
        </w:object>
      </w:r>
    </w:p>
    <w:p w:rsidR="003702BB" w:rsidRPr="003702BB" w:rsidRDefault="003702BB" w:rsidP="003702BB">
      <w:pPr>
        <w:pStyle w:val="Prrafodelista"/>
        <w:ind w:left="360"/>
        <w:rPr>
          <w:rFonts w:ascii="Bookman Old Style" w:hAnsi="Bookman Old Style"/>
          <w:i/>
          <w:spacing w:val="-3"/>
          <w:sz w:val="24"/>
        </w:rPr>
      </w:pPr>
    </w:p>
    <w:p w:rsidR="000263EF" w:rsidRDefault="004828E2" w:rsidP="000263EF">
      <w:pPr>
        <w:ind w:left="360"/>
        <w:rPr>
          <w:rFonts w:ascii="Bookman Old Style" w:hAnsi="Bookman Old Style"/>
          <w:i/>
          <w:spacing w:val="-3"/>
          <w:lang w:val="es-CO"/>
        </w:rPr>
      </w:pPr>
      <w:r w:rsidRPr="004828E2">
        <w:rPr>
          <w:rFonts w:ascii="Bookman Old Style" w:hAnsi="Bookman Old Style"/>
          <w:i/>
          <w:spacing w:val="-3"/>
          <w:position w:val="-24"/>
          <w:lang w:val="es-CO"/>
        </w:rPr>
        <w:object w:dxaOrig="5740" w:dyaOrig="639">
          <v:shape id="_x0000_i1032" type="#_x0000_t75" style="width:4in;height:33pt" o:ole="">
            <v:imagedata r:id="rId23" o:title=""/>
          </v:shape>
          <o:OLEObject Type="Embed" ProgID="Equation.3" ShapeID="_x0000_i1032" DrawAspect="Content" ObjectID="_1506235356" r:id="rId24"/>
        </w:object>
      </w:r>
    </w:p>
    <w:p w:rsidR="003702BB" w:rsidRPr="000263EF" w:rsidRDefault="003702BB" w:rsidP="000263EF">
      <w:pPr>
        <w:ind w:left="360"/>
        <w:rPr>
          <w:rFonts w:ascii="Bookman Old Style" w:hAnsi="Bookman Old Style"/>
          <w:i/>
          <w:spacing w:val="-3"/>
          <w:lang w:val="es-CO"/>
        </w:rPr>
      </w:pPr>
    </w:p>
    <w:p w:rsidR="000263EF" w:rsidRPr="000263EF" w:rsidRDefault="003702BB" w:rsidP="00753792">
      <w:pPr>
        <w:ind w:left="360"/>
        <w:rPr>
          <w:rFonts w:ascii="Bookman Old Style" w:hAnsi="Bookman Old Style"/>
          <w:i/>
          <w:spacing w:val="-3"/>
          <w:lang w:val="es-CO"/>
        </w:rPr>
      </w:pPr>
      <w:r>
        <w:rPr>
          <w:rFonts w:ascii="Bookman Old Style" w:hAnsi="Bookman Old Style"/>
          <w:i/>
          <w:spacing w:val="-3"/>
          <w:lang w:val="es-CO"/>
        </w:rPr>
        <w:t xml:space="preserve">ii. Que la desviación diaria de la obligación de energía firme sea mayor que cero y que </w:t>
      </w:r>
      <w:r w:rsidR="00753792">
        <w:rPr>
          <w:rFonts w:ascii="Bookman Old Style" w:hAnsi="Bookman Old Style"/>
          <w:i/>
          <w:spacing w:val="-3"/>
          <w:lang w:val="es-CO"/>
        </w:rPr>
        <w:t>la generación ideal sea mayor a la obligación horaria de energía firme.</w:t>
      </w:r>
      <w:r w:rsidR="000263EF" w:rsidRPr="000263EF">
        <w:rPr>
          <w:rFonts w:ascii="Bookman Old Style" w:hAnsi="Bookman Old Style"/>
          <w:i/>
          <w:spacing w:val="-3"/>
          <w:lang w:val="es-CO"/>
        </w:rPr>
        <w:object w:dxaOrig="4880" w:dyaOrig="380">
          <v:shape id="_x0000_i1033" type="#_x0000_t75" style="width:244.5pt;height:18pt" o:ole="">
            <v:imagedata r:id="rId25" o:title=""/>
          </v:shape>
          <o:OLEObject Type="Embed" ProgID="Equation.3" ShapeID="_x0000_i1033" DrawAspect="Content" ObjectID="_1506235357" r:id="rId26"/>
        </w:object>
      </w:r>
    </w:p>
    <w:p w:rsidR="000263EF" w:rsidRPr="000263EF" w:rsidRDefault="000263EF" w:rsidP="000263EF">
      <w:pPr>
        <w:ind w:left="360"/>
        <w:rPr>
          <w:rFonts w:ascii="Bookman Old Style" w:hAnsi="Bookman Old Style"/>
          <w:i/>
          <w:spacing w:val="-3"/>
          <w:lang w:val="es-CO"/>
        </w:rPr>
      </w:pPr>
    </w:p>
    <w:p w:rsidR="000263EF" w:rsidRPr="000263EF" w:rsidRDefault="000263EF" w:rsidP="000263EF">
      <w:pPr>
        <w:ind w:left="1416"/>
        <w:rPr>
          <w:rFonts w:ascii="Bookman Old Style" w:hAnsi="Bookman Old Style"/>
          <w:i/>
          <w:spacing w:val="-3"/>
          <w:lang w:val="es-CO"/>
        </w:rPr>
      </w:pPr>
      <w:r w:rsidRPr="000263EF">
        <w:rPr>
          <w:rFonts w:ascii="Bookman Old Style" w:hAnsi="Bookman Old Style"/>
          <w:i/>
          <w:spacing w:val="-3"/>
          <w:lang w:val="es-CO"/>
        </w:rPr>
        <w:object w:dxaOrig="3340" w:dyaOrig="740">
          <v:shape id="_x0000_i1034" type="#_x0000_t75" style="width:168pt;height:37.5pt" o:ole="">
            <v:imagedata r:id="rId27" o:title=""/>
          </v:shape>
          <o:OLEObject Type="Embed" ProgID="Equation.3" ShapeID="_x0000_i1034" DrawAspect="Content" ObjectID="_1506235358" r:id="rId28"/>
        </w:object>
      </w:r>
    </w:p>
    <w:p w:rsidR="000263EF" w:rsidRPr="000263EF" w:rsidRDefault="000263EF" w:rsidP="000263EF">
      <w:pPr>
        <w:ind w:left="708"/>
        <w:rPr>
          <w:rFonts w:ascii="Bookman Old Style" w:hAnsi="Bookman Old Style"/>
          <w:i/>
          <w:spacing w:val="-3"/>
          <w:lang w:val="es-CO"/>
        </w:rPr>
      </w:pPr>
    </w:p>
    <w:p w:rsidR="000263EF" w:rsidRPr="000263EF" w:rsidRDefault="000263EF" w:rsidP="000263EF">
      <w:pPr>
        <w:ind w:left="1416"/>
        <w:rPr>
          <w:rFonts w:ascii="Bookman Old Style" w:hAnsi="Bookman Old Style"/>
          <w:i/>
          <w:spacing w:val="-3"/>
          <w:lang w:val="es-CO"/>
        </w:rPr>
      </w:pPr>
      <w:r w:rsidRPr="000263EF">
        <w:rPr>
          <w:rFonts w:ascii="Bookman Old Style" w:hAnsi="Bookman Old Style"/>
          <w:i/>
          <w:spacing w:val="-3"/>
          <w:lang w:val="es-CO"/>
        </w:rPr>
        <w:object w:dxaOrig="1960" w:dyaOrig="380">
          <v:shape id="_x0000_i1035" type="#_x0000_t75" style="width:97.5pt;height:18pt" o:ole="">
            <v:imagedata r:id="rId29" o:title=""/>
          </v:shape>
          <o:OLEObject Type="Embed" ProgID="Equation.3" ShapeID="_x0000_i1035" DrawAspect="Content" ObjectID="_1506235359" r:id="rId30"/>
        </w:object>
      </w:r>
    </w:p>
    <w:p w:rsidR="000263EF" w:rsidRPr="000263EF" w:rsidRDefault="000263EF" w:rsidP="000263EF">
      <w:pPr>
        <w:ind w:left="1416"/>
        <w:rPr>
          <w:rFonts w:ascii="Bookman Old Style" w:hAnsi="Bookman Old Style"/>
          <w:i/>
          <w:spacing w:val="-3"/>
          <w:lang w:val="es-CO"/>
        </w:rPr>
      </w:pPr>
    </w:p>
    <w:p w:rsidR="000263EF" w:rsidRPr="000263EF" w:rsidRDefault="004828E2" w:rsidP="000263EF">
      <w:pPr>
        <w:ind w:left="1416"/>
        <w:rPr>
          <w:rFonts w:ascii="Bookman Old Style" w:hAnsi="Bookman Old Style"/>
          <w:i/>
          <w:spacing w:val="-3"/>
          <w:lang w:val="es-CO"/>
        </w:rPr>
      </w:pPr>
      <w:r w:rsidRPr="004828E2">
        <w:rPr>
          <w:rFonts w:ascii="Bookman Old Style" w:hAnsi="Bookman Old Style"/>
          <w:i/>
          <w:spacing w:val="-3"/>
          <w:position w:val="-24"/>
          <w:lang w:val="es-CO"/>
        </w:rPr>
        <w:object w:dxaOrig="6200" w:dyaOrig="639">
          <v:shape id="_x0000_i1036" type="#_x0000_t75" style="width:310.5pt;height:33pt" o:ole="">
            <v:imagedata r:id="rId31" o:title=""/>
          </v:shape>
          <o:OLEObject Type="Embed" ProgID="Equation.3" ShapeID="_x0000_i1036" DrawAspect="Content" ObjectID="_1506235360" r:id="rId32"/>
        </w:object>
      </w:r>
    </w:p>
    <w:p w:rsidR="000263EF" w:rsidRPr="000263EF" w:rsidRDefault="000263EF" w:rsidP="000263EF">
      <w:pPr>
        <w:ind w:left="1416"/>
        <w:rPr>
          <w:rFonts w:ascii="Bookman Old Style" w:hAnsi="Bookman Old Style"/>
          <w:i/>
          <w:spacing w:val="-3"/>
          <w:lang w:val="es-CO"/>
        </w:rPr>
      </w:pPr>
    </w:p>
    <w:p w:rsidR="000263EF" w:rsidRPr="000263EF" w:rsidRDefault="000263EF" w:rsidP="000263EF">
      <w:pPr>
        <w:tabs>
          <w:tab w:val="left" w:pos="902"/>
          <w:tab w:val="left" w:pos="7150"/>
        </w:tabs>
        <w:ind w:left="1416"/>
        <w:rPr>
          <w:rFonts w:ascii="Bookman Old Style" w:hAnsi="Bookman Old Style"/>
          <w:i/>
          <w:spacing w:val="-3"/>
          <w:lang w:val="es-CO"/>
        </w:rPr>
      </w:pPr>
      <w:r w:rsidRPr="000263EF">
        <w:rPr>
          <w:rFonts w:ascii="Bookman Old Style" w:hAnsi="Bookman Old Style"/>
          <w:i/>
          <w:spacing w:val="-3"/>
          <w:lang w:val="es-CO"/>
        </w:rPr>
        <w:tab/>
      </w:r>
      <w:r w:rsidRPr="000263EF">
        <w:rPr>
          <w:rFonts w:ascii="Bookman Old Style" w:hAnsi="Bookman Old Style"/>
          <w:i/>
          <w:spacing w:val="-3"/>
          <w:lang w:val="es-CO"/>
        </w:rPr>
        <w:object w:dxaOrig="4980" w:dyaOrig="380">
          <v:shape id="_x0000_i1037" type="#_x0000_t75" style="width:249pt;height:18pt" o:ole="">
            <v:imagedata r:id="rId33" o:title=""/>
          </v:shape>
          <o:OLEObject Type="Embed" ProgID="Equation.3" ShapeID="_x0000_i1037" DrawAspect="Content" ObjectID="_1506235361" r:id="rId34"/>
        </w:object>
      </w:r>
    </w:p>
    <w:p w:rsidR="000263EF" w:rsidRPr="000263EF" w:rsidRDefault="000263EF" w:rsidP="000263EF">
      <w:pPr>
        <w:tabs>
          <w:tab w:val="left" w:pos="902"/>
          <w:tab w:val="left" w:pos="7150"/>
        </w:tabs>
        <w:rPr>
          <w:rFonts w:ascii="Bookman Old Style" w:hAnsi="Bookman Old Style"/>
          <w:i/>
          <w:spacing w:val="-3"/>
          <w:lang w:val="es-CO"/>
        </w:rPr>
      </w:pPr>
    </w:p>
    <w:p w:rsidR="000263EF" w:rsidRPr="000263EF" w:rsidRDefault="00F4180D" w:rsidP="000263EF">
      <w:pPr>
        <w:tabs>
          <w:tab w:val="left" w:pos="902"/>
          <w:tab w:val="left" w:pos="7150"/>
        </w:tabs>
        <w:rPr>
          <w:rFonts w:ascii="Bookman Old Style" w:hAnsi="Bookman Old Style"/>
          <w:i/>
          <w:spacing w:val="-3"/>
          <w:lang w:val="es-CO"/>
        </w:rPr>
      </w:pPr>
      <w:r w:rsidRPr="004828E2">
        <w:rPr>
          <w:rFonts w:ascii="Bookman Old Style" w:hAnsi="Bookman Old Style"/>
          <w:i/>
          <w:spacing w:val="-3"/>
          <w:position w:val="-38"/>
          <w:lang w:val="es-CO"/>
        </w:rPr>
        <w:object w:dxaOrig="10080" w:dyaOrig="800">
          <v:shape id="_x0000_i1038" type="#_x0000_t75" style="width:6in;height:34.5pt" o:ole="">
            <v:imagedata r:id="rId35" o:title=""/>
          </v:shape>
          <o:OLEObject Type="Embed" ProgID="Equation.3" ShapeID="_x0000_i1038" DrawAspect="Content" ObjectID="_1506235362" r:id="rId36"/>
        </w:object>
      </w:r>
    </w:p>
    <w:p w:rsidR="000263EF" w:rsidRPr="000263EF" w:rsidRDefault="000263EF" w:rsidP="000263EF">
      <w:pPr>
        <w:tabs>
          <w:tab w:val="left" w:pos="902"/>
          <w:tab w:val="left" w:pos="7150"/>
        </w:tabs>
        <w:rPr>
          <w:rFonts w:ascii="Bookman Old Style" w:hAnsi="Bookman Old Style"/>
          <w:i/>
          <w:spacing w:val="-3"/>
          <w:lang w:val="es-CO"/>
        </w:rPr>
      </w:pPr>
    </w:p>
    <w:p w:rsidR="000263EF" w:rsidRPr="000263EF" w:rsidRDefault="00753792" w:rsidP="00753792">
      <w:pPr>
        <w:tabs>
          <w:tab w:val="left" w:pos="902"/>
          <w:tab w:val="left" w:pos="7150"/>
        </w:tabs>
        <w:rPr>
          <w:rFonts w:ascii="Bookman Old Style" w:hAnsi="Bookman Old Style"/>
          <w:i/>
          <w:spacing w:val="-3"/>
          <w:lang w:val="es-CO"/>
        </w:rPr>
      </w:pPr>
      <w:r>
        <w:rPr>
          <w:rFonts w:ascii="Bookman Old Style" w:hAnsi="Bookman Old Style"/>
          <w:i/>
          <w:spacing w:val="-3"/>
          <w:lang w:val="es-CO"/>
        </w:rPr>
        <w:t>iii.</w:t>
      </w:r>
      <w:r w:rsidRPr="00753792">
        <w:rPr>
          <w:rFonts w:ascii="Bookman Old Style" w:hAnsi="Bookman Old Style"/>
          <w:i/>
          <w:spacing w:val="-3"/>
          <w:lang w:val="es-CO"/>
        </w:rPr>
        <w:t xml:space="preserve"> </w:t>
      </w:r>
      <w:r>
        <w:rPr>
          <w:rFonts w:ascii="Bookman Old Style" w:hAnsi="Bookman Old Style"/>
          <w:i/>
          <w:spacing w:val="-3"/>
          <w:lang w:val="es-CO"/>
        </w:rPr>
        <w:t xml:space="preserve">Que la desviación diaria de la obligación de energía firme sea mayor que cero y que la generación ideal sea menor o igual </w:t>
      </w:r>
      <w:r w:rsidR="0034097F">
        <w:rPr>
          <w:rFonts w:ascii="Bookman Old Style" w:hAnsi="Bookman Old Style"/>
          <w:i/>
          <w:spacing w:val="-3"/>
          <w:lang w:val="es-CO"/>
        </w:rPr>
        <w:t xml:space="preserve">a </w:t>
      </w:r>
      <w:r>
        <w:rPr>
          <w:rFonts w:ascii="Bookman Old Style" w:hAnsi="Bookman Old Style"/>
          <w:i/>
          <w:spacing w:val="-3"/>
          <w:lang w:val="es-CO"/>
        </w:rPr>
        <w:t xml:space="preserve">la obligación horaria de energía firme. </w:t>
      </w:r>
      <w:r w:rsidR="000263EF" w:rsidRPr="000263EF">
        <w:rPr>
          <w:rFonts w:ascii="Bookman Old Style" w:hAnsi="Bookman Old Style"/>
          <w:i/>
          <w:spacing w:val="-3"/>
          <w:lang w:val="es-CO"/>
        </w:rPr>
        <w:object w:dxaOrig="4880" w:dyaOrig="380">
          <v:shape id="_x0000_i1039" type="#_x0000_t75" style="width:244.5pt;height:18pt" o:ole="">
            <v:imagedata r:id="rId37" o:title=""/>
          </v:shape>
          <o:OLEObject Type="Embed" ProgID="Equation.3" ShapeID="_x0000_i1039" DrawAspect="Content" ObjectID="_1506235363" r:id="rId38"/>
        </w:object>
      </w:r>
    </w:p>
    <w:p w:rsidR="000263EF" w:rsidRPr="000263EF" w:rsidRDefault="000263EF" w:rsidP="000263EF">
      <w:pPr>
        <w:ind w:left="1416"/>
        <w:rPr>
          <w:rFonts w:ascii="Bookman Old Style" w:hAnsi="Bookman Old Style"/>
          <w:i/>
          <w:spacing w:val="-3"/>
          <w:lang w:val="es-CO"/>
        </w:rPr>
      </w:pPr>
    </w:p>
    <w:p w:rsidR="000263EF" w:rsidRPr="000263EF" w:rsidRDefault="00F4180D" w:rsidP="000263EF">
      <w:pPr>
        <w:tabs>
          <w:tab w:val="left" w:pos="902"/>
          <w:tab w:val="left" w:pos="7150"/>
        </w:tabs>
        <w:rPr>
          <w:rFonts w:ascii="Bookman Old Style" w:hAnsi="Bookman Old Style"/>
          <w:i/>
          <w:spacing w:val="-3"/>
          <w:lang w:val="es-CO"/>
        </w:rPr>
      </w:pPr>
      <w:r w:rsidRPr="00F4180D">
        <w:rPr>
          <w:rFonts w:ascii="Bookman Old Style" w:hAnsi="Bookman Old Style"/>
          <w:i/>
          <w:spacing w:val="-3"/>
          <w:position w:val="-34"/>
          <w:lang w:val="es-CO"/>
        </w:rPr>
        <w:object w:dxaOrig="5740" w:dyaOrig="740">
          <v:shape id="_x0000_i1040" type="#_x0000_t75" style="width:287.25pt;height:37.5pt" o:ole="">
            <v:imagedata r:id="rId39" o:title=""/>
          </v:shape>
          <o:OLEObject Type="Embed" ProgID="Equation.3" ShapeID="_x0000_i1040" DrawAspect="Content" ObjectID="_1506235364" r:id="rId40"/>
        </w:object>
      </w:r>
    </w:p>
    <w:p w:rsidR="000263EF" w:rsidRPr="000263EF" w:rsidRDefault="000263EF" w:rsidP="000263EF">
      <w:pPr>
        <w:tabs>
          <w:tab w:val="left" w:pos="902"/>
          <w:tab w:val="left" w:pos="7150"/>
        </w:tabs>
        <w:rPr>
          <w:rFonts w:ascii="Bookman Old Style" w:hAnsi="Bookman Old Style"/>
          <w:i/>
          <w:spacing w:val="-3"/>
          <w:lang w:val="es-CO"/>
        </w:rPr>
      </w:pPr>
    </w:p>
    <w:p w:rsidR="000263EF" w:rsidRDefault="00753792" w:rsidP="000263EF">
      <w:pPr>
        <w:tabs>
          <w:tab w:val="left" w:pos="902"/>
          <w:tab w:val="left" w:pos="7150"/>
        </w:tabs>
        <w:rPr>
          <w:rFonts w:ascii="Bookman Old Style" w:hAnsi="Bookman Old Style"/>
          <w:i/>
          <w:spacing w:val="-3"/>
          <w:lang w:val="es-CO"/>
        </w:rPr>
      </w:pPr>
      <w:r>
        <w:rPr>
          <w:rFonts w:ascii="Bookman Old Style" w:hAnsi="Bookman Old Style"/>
          <w:i/>
          <w:spacing w:val="-3"/>
          <w:lang w:val="es-CO"/>
        </w:rPr>
        <w:t xml:space="preserve">Donde: </w:t>
      </w:r>
    </w:p>
    <w:p w:rsidR="000A5314" w:rsidRPr="000263EF" w:rsidRDefault="000A5314" w:rsidP="000263EF">
      <w:pPr>
        <w:tabs>
          <w:tab w:val="left" w:pos="902"/>
          <w:tab w:val="left" w:pos="7150"/>
        </w:tabs>
        <w:rPr>
          <w:rFonts w:ascii="Bookman Old Style" w:hAnsi="Bookman Old Style"/>
          <w:i/>
          <w:spacing w:val="-3"/>
          <w:lang w:val="es-CO"/>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37"/>
      </w:tblGrid>
      <w:tr w:rsidR="004828E2" w:rsidTr="000A5314">
        <w:tc>
          <w:tcPr>
            <w:tcW w:w="1668" w:type="dxa"/>
          </w:tcPr>
          <w:p w:rsidR="004828E2" w:rsidRPr="004828E2" w:rsidRDefault="000A5314" w:rsidP="000A5314">
            <w:pPr>
              <w:tabs>
                <w:tab w:val="left" w:pos="902"/>
                <w:tab w:val="left" w:pos="7150"/>
              </w:tabs>
              <w:ind w:left="0"/>
              <w:rPr>
                <w:rFonts w:ascii="Bookman Old Style" w:hAnsi="Bookman Old Style"/>
                <w:i/>
                <w:spacing w:val="-3"/>
                <w:vertAlign w:val="subscript"/>
                <w:lang w:val="es-CO"/>
              </w:rPr>
            </w:pPr>
            <w:r>
              <w:rPr>
                <w:rFonts w:ascii="Bookman Old Style" w:hAnsi="Bookman Old Style"/>
                <w:i/>
                <w:spacing w:val="-3"/>
                <w:lang w:val="es-CO"/>
              </w:rPr>
              <w:t xml:space="preserve"> </w:t>
            </w:r>
            <w:proofErr w:type="spellStart"/>
            <w:r w:rsidR="004828E2" w:rsidRPr="000263EF">
              <w:rPr>
                <w:rFonts w:ascii="Bookman Old Style" w:hAnsi="Bookman Old Style"/>
                <w:i/>
                <w:spacing w:val="-3"/>
                <w:lang w:val="es-CO"/>
              </w:rPr>
              <w:t>DDOEF</w:t>
            </w:r>
            <w:r w:rsidR="004828E2" w:rsidRPr="004828E2">
              <w:rPr>
                <w:rFonts w:ascii="Bookman Old Style" w:hAnsi="Bookman Old Style"/>
                <w:i/>
                <w:spacing w:val="-3"/>
                <w:vertAlign w:val="subscript"/>
                <w:lang w:val="es-CO"/>
              </w:rPr>
              <w:t>j,d,m</w:t>
            </w:r>
            <w:proofErr w:type="spellEnd"/>
            <w:r w:rsidR="004828E2" w:rsidRPr="004828E2">
              <w:rPr>
                <w:rFonts w:ascii="Bookman Old Style" w:hAnsi="Bookman Old Style"/>
                <w:i/>
                <w:spacing w:val="-3"/>
                <w:vertAlign w:val="subscript"/>
                <w:lang w:val="es-CO"/>
              </w:rPr>
              <w:t xml:space="preserve"> </w:t>
            </w:r>
            <w:r w:rsidR="004828E2" w:rsidRPr="004828E2">
              <w:rPr>
                <w:rFonts w:ascii="Bookman Old Style" w:hAnsi="Bookman Old Style"/>
                <w:i/>
                <w:spacing w:val="-3"/>
                <w:lang w:val="es-CO"/>
              </w:rPr>
              <w:t>:</w:t>
            </w:r>
          </w:p>
          <w:p w:rsidR="004828E2" w:rsidRDefault="004828E2" w:rsidP="000A5314">
            <w:pPr>
              <w:tabs>
                <w:tab w:val="left" w:pos="902"/>
                <w:tab w:val="left" w:pos="7150"/>
              </w:tabs>
              <w:ind w:left="0"/>
              <w:rPr>
                <w:rFonts w:ascii="Bookman Old Style" w:hAnsi="Bookman Old Style"/>
                <w:i/>
                <w:spacing w:val="-3"/>
                <w:lang w:val="es-CO"/>
              </w:rPr>
            </w:pPr>
          </w:p>
        </w:tc>
        <w:tc>
          <w:tcPr>
            <w:tcW w:w="7337" w:type="dxa"/>
          </w:tcPr>
          <w:p w:rsidR="004828E2" w:rsidRDefault="004828E2" w:rsidP="004828E2">
            <w:pPr>
              <w:tabs>
                <w:tab w:val="left" w:pos="902"/>
                <w:tab w:val="left" w:pos="7150"/>
              </w:tabs>
              <w:ind w:left="0"/>
              <w:rPr>
                <w:rFonts w:ascii="Bookman Old Style" w:hAnsi="Bookman Old Style"/>
                <w:i/>
                <w:spacing w:val="-3"/>
                <w:lang w:val="es-CO"/>
              </w:rPr>
            </w:pPr>
            <w:r>
              <w:rPr>
                <w:rFonts w:ascii="Bookman Old Style" w:hAnsi="Bookman Old Style"/>
                <w:i/>
                <w:spacing w:val="-3"/>
                <w:lang w:val="es-CO"/>
              </w:rPr>
              <w:t xml:space="preserve">Desviación Diaria de la Obligación de Energía Firme, conforme a lo definido en </w:t>
            </w:r>
            <w:r w:rsidRPr="000263EF">
              <w:rPr>
                <w:rFonts w:ascii="Bookman Old Style" w:hAnsi="Bookman Old Style"/>
                <w:i/>
                <w:spacing w:val="-3"/>
                <w:lang w:val="es-CO"/>
              </w:rPr>
              <w:t>el Anexo 7</w:t>
            </w:r>
            <w:r>
              <w:rPr>
                <w:rFonts w:ascii="Bookman Old Style" w:hAnsi="Bookman Old Style"/>
                <w:i/>
                <w:spacing w:val="-3"/>
                <w:lang w:val="es-CO"/>
              </w:rPr>
              <w:t xml:space="preserve"> de la Resolución CREG 071 de 2006</w:t>
            </w:r>
            <w:r w:rsidRPr="000263EF">
              <w:rPr>
                <w:rFonts w:ascii="Bookman Old Style" w:hAnsi="Bookman Old Style"/>
                <w:i/>
                <w:spacing w:val="-3"/>
                <w:lang w:val="es-CO"/>
              </w:rPr>
              <w:t>, del agente j, en el día d, del mes m.</w:t>
            </w:r>
          </w:p>
        </w:tc>
      </w:tr>
      <w:tr w:rsidR="004828E2" w:rsidTr="000A5314">
        <w:tc>
          <w:tcPr>
            <w:tcW w:w="1668" w:type="dxa"/>
          </w:tcPr>
          <w:p w:rsidR="004828E2" w:rsidRPr="000263EF" w:rsidRDefault="004828E2" w:rsidP="000A5314">
            <w:pPr>
              <w:tabs>
                <w:tab w:val="left" w:pos="902"/>
                <w:tab w:val="left" w:pos="7150"/>
              </w:tabs>
              <w:ind w:left="0"/>
              <w:rPr>
                <w:rFonts w:ascii="Bookman Old Style" w:hAnsi="Bookman Old Style"/>
                <w:i/>
                <w:spacing w:val="-3"/>
                <w:lang w:val="es-CO"/>
              </w:rPr>
            </w:pPr>
            <w:proofErr w:type="spellStart"/>
            <w:r>
              <w:rPr>
                <w:rFonts w:ascii="Bookman Old Style" w:hAnsi="Bookman Old Style"/>
                <w:i/>
                <w:spacing w:val="-3"/>
                <w:lang w:val="es-CO"/>
              </w:rPr>
              <w:t>GI</w:t>
            </w:r>
            <w:r w:rsidR="000A5314" w:rsidRPr="000A5314">
              <w:rPr>
                <w:rFonts w:ascii="Bookman Old Style" w:hAnsi="Bookman Old Style"/>
                <w:i/>
                <w:spacing w:val="-3"/>
                <w:vertAlign w:val="subscript"/>
                <w:lang w:val="es-CO"/>
              </w:rPr>
              <w:t>i</w:t>
            </w:r>
            <w:r w:rsidR="000A5314">
              <w:rPr>
                <w:rFonts w:ascii="Bookman Old Style" w:hAnsi="Bookman Old Style"/>
                <w:i/>
                <w:spacing w:val="-3"/>
                <w:lang w:val="es-CO"/>
              </w:rPr>
              <w:t>,</w:t>
            </w:r>
            <w:r w:rsidRPr="004828E2">
              <w:rPr>
                <w:rFonts w:ascii="Bookman Old Style" w:hAnsi="Bookman Old Style"/>
                <w:i/>
                <w:spacing w:val="-3"/>
                <w:vertAlign w:val="subscript"/>
                <w:lang w:val="es-CO"/>
              </w:rPr>
              <w:t>j,h,d</w:t>
            </w:r>
            <w:r>
              <w:rPr>
                <w:rFonts w:ascii="Bookman Old Style" w:hAnsi="Bookman Old Style"/>
                <w:i/>
                <w:spacing w:val="-3"/>
                <w:vertAlign w:val="subscript"/>
                <w:lang w:val="es-CO"/>
              </w:rPr>
              <w:t>,</w:t>
            </w:r>
            <w:r w:rsidRPr="000A5314">
              <w:rPr>
                <w:rFonts w:ascii="Bookman Old Style" w:hAnsi="Bookman Old Style"/>
                <w:i/>
                <w:spacing w:val="-3"/>
                <w:vertAlign w:val="subscript"/>
                <w:lang w:val="es-CO"/>
              </w:rPr>
              <w:t>m</w:t>
            </w:r>
            <w:proofErr w:type="spellEnd"/>
            <w:r>
              <w:rPr>
                <w:rFonts w:ascii="Bookman Old Style" w:hAnsi="Bookman Old Style"/>
                <w:i/>
                <w:spacing w:val="-3"/>
                <w:lang w:val="es-CO"/>
              </w:rPr>
              <w:t>:</w:t>
            </w:r>
          </w:p>
        </w:tc>
        <w:tc>
          <w:tcPr>
            <w:tcW w:w="7337" w:type="dxa"/>
          </w:tcPr>
          <w:p w:rsidR="004828E2" w:rsidRDefault="004828E2" w:rsidP="004828E2">
            <w:pPr>
              <w:tabs>
                <w:tab w:val="left" w:pos="902"/>
                <w:tab w:val="left" w:pos="7150"/>
              </w:tabs>
              <w:ind w:left="0"/>
              <w:rPr>
                <w:rFonts w:ascii="Bookman Old Style" w:hAnsi="Bookman Old Style"/>
                <w:i/>
                <w:spacing w:val="-3"/>
                <w:lang w:val="es-CO"/>
              </w:rPr>
            </w:pPr>
            <w:r>
              <w:rPr>
                <w:rFonts w:ascii="Bookman Old Style" w:hAnsi="Bookman Old Style"/>
                <w:i/>
                <w:spacing w:val="-3"/>
                <w:lang w:val="es-CO"/>
              </w:rPr>
              <w:t xml:space="preserve">Generación ideal nacional conforme a lo definido en el </w:t>
            </w:r>
            <w:r w:rsidRPr="000263EF">
              <w:rPr>
                <w:rFonts w:ascii="Bookman Old Style" w:hAnsi="Bookman Old Style"/>
                <w:i/>
                <w:spacing w:val="-3"/>
                <w:lang w:val="es-CO"/>
              </w:rPr>
              <w:t>Anexo 7</w:t>
            </w:r>
            <w:r>
              <w:rPr>
                <w:rFonts w:ascii="Bookman Old Style" w:hAnsi="Bookman Old Style"/>
                <w:i/>
                <w:spacing w:val="-3"/>
                <w:lang w:val="es-CO"/>
              </w:rPr>
              <w:t xml:space="preserve"> de la Resolución CREG 071 de 2006</w:t>
            </w:r>
            <w:r w:rsidRPr="000263EF">
              <w:rPr>
                <w:rFonts w:ascii="Bookman Old Style" w:hAnsi="Bookman Old Style"/>
                <w:i/>
                <w:spacing w:val="-3"/>
                <w:lang w:val="es-CO"/>
              </w:rPr>
              <w:t>, de</w:t>
            </w:r>
            <w:r w:rsidR="000A5314">
              <w:rPr>
                <w:rFonts w:ascii="Bookman Old Style" w:hAnsi="Bookman Old Style"/>
                <w:i/>
                <w:spacing w:val="-3"/>
                <w:lang w:val="es-CO"/>
              </w:rPr>
              <w:t xml:space="preserve"> </w:t>
            </w:r>
            <w:r w:rsidRPr="000263EF">
              <w:rPr>
                <w:rFonts w:ascii="Bookman Old Style" w:hAnsi="Bookman Old Style"/>
                <w:i/>
                <w:spacing w:val="-3"/>
                <w:lang w:val="es-CO"/>
              </w:rPr>
              <w:t>l</w:t>
            </w:r>
            <w:r w:rsidR="000A5314">
              <w:rPr>
                <w:rFonts w:ascii="Bookman Old Style" w:hAnsi="Bookman Old Style"/>
                <w:i/>
                <w:spacing w:val="-3"/>
                <w:lang w:val="es-CO"/>
              </w:rPr>
              <w:t>a planta i, del</w:t>
            </w:r>
            <w:r w:rsidRPr="000263EF">
              <w:rPr>
                <w:rFonts w:ascii="Bookman Old Style" w:hAnsi="Bookman Old Style"/>
                <w:i/>
                <w:spacing w:val="-3"/>
                <w:lang w:val="es-CO"/>
              </w:rPr>
              <w:t xml:space="preserve"> agente j,</w:t>
            </w:r>
            <w:r>
              <w:rPr>
                <w:rFonts w:ascii="Bookman Old Style" w:hAnsi="Bookman Old Style"/>
                <w:i/>
                <w:spacing w:val="-3"/>
                <w:lang w:val="es-CO"/>
              </w:rPr>
              <w:t xml:space="preserve"> en la hora h,</w:t>
            </w:r>
            <w:r w:rsidRPr="000263EF">
              <w:rPr>
                <w:rFonts w:ascii="Bookman Old Style" w:hAnsi="Bookman Old Style"/>
                <w:i/>
                <w:spacing w:val="-3"/>
                <w:lang w:val="es-CO"/>
              </w:rPr>
              <w:t xml:space="preserve"> en el día d, del mes m.</w:t>
            </w:r>
          </w:p>
        </w:tc>
      </w:tr>
      <w:tr w:rsidR="004828E2" w:rsidTr="000A5314">
        <w:tc>
          <w:tcPr>
            <w:tcW w:w="1668" w:type="dxa"/>
          </w:tcPr>
          <w:p w:rsidR="004828E2" w:rsidRPr="004828E2" w:rsidRDefault="004828E2" w:rsidP="000A5314">
            <w:pPr>
              <w:tabs>
                <w:tab w:val="left" w:pos="902"/>
                <w:tab w:val="left" w:pos="7150"/>
              </w:tabs>
              <w:ind w:left="0"/>
              <w:rPr>
                <w:rFonts w:ascii="Bookman Old Style" w:hAnsi="Bookman Old Style"/>
                <w:i/>
                <w:spacing w:val="-3"/>
                <w:lang w:val="es-CO"/>
              </w:rPr>
            </w:pPr>
            <w:proofErr w:type="spellStart"/>
            <w:r>
              <w:rPr>
                <w:rFonts w:ascii="Bookman Old Style" w:hAnsi="Bookman Old Style"/>
                <w:i/>
                <w:spacing w:val="-3"/>
                <w:lang w:val="es-CO"/>
              </w:rPr>
              <w:t>Gr</w:t>
            </w:r>
            <w:r>
              <w:rPr>
                <w:rFonts w:ascii="Bookman Old Style" w:hAnsi="Bookman Old Style"/>
                <w:i/>
                <w:spacing w:val="-3"/>
                <w:vertAlign w:val="subscript"/>
                <w:lang w:val="es-CO"/>
              </w:rPr>
              <w:t>i,j,h,d,m</w:t>
            </w:r>
            <w:proofErr w:type="spellEnd"/>
            <w:r>
              <w:rPr>
                <w:rFonts w:ascii="Bookman Old Style" w:hAnsi="Bookman Old Style"/>
                <w:i/>
                <w:spacing w:val="-3"/>
                <w:lang w:val="es-CO"/>
              </w:rPr>
              <w:t>:</w:t>
            </w:r>
          </w:p>
        </w:tc>
        <w:tc>
          <w:tcPr>
            <w:tcW w:w="7337" w:type="dxa"/>
          </w:tcPr>
          <w:p w:rsidR="004828E2" w:rsidRDefault="004828E2" w:rsidP="004828E2">
            <w:pPr>
              <w:tabs>
                <w:tab w:val="left" w:pos="902"/>
                <w:tab w:val="left" w:pos="7150"/>
              </w:tabs>
              <w:ind w:left="0"/>
              <w:rPr>
                <w:rFonts w:ascii="Bookman Old Style" w:hAnsi="Bookman Old Style"/>
                <w:i/>
                <w:spacing w:val="-3"/>
                <w:lang w:val="es-CO"/>
              </w:rPr>
            </w:pPr>
            <w:r>
              <w:rPr>
                <w:rFonts w:ascii="Bookman Old Style" w:hAnsi="Bookman Old Style"/>
                <w:i/>
                <w:spacing w:val="-3"/>
                <w:lang w:val="es-CO"/>
              </w:rPr>
              <w:t>Generación real de la planta i, del agente j, en la hora h, del día d, del mes m.</w:t>
            </w:r>
          </w:p>
        </w:tc>
      </w:tr>
      <w:tr w:rsidR="004828E2" w:rsidTr="000A5314">
        <w:tc>
          <w:tcPr>
            <w:tcW w:w="1668" w:type="dxa"/>
          </w:tcPr>
          <w:p w:rsidR="004828E2" w:rsidRDefault="004828E2" w:rsidP="000A5314">
            <w:pPr>
              <w:tabs>
                <w:tab w:val="left" w:pos="902"/>
                <w:tab w:val="left" w:pos="7150"/>
              </w:tabs>
              <w:ind w:left="0"/>
              <w:rPr>
                <w:rFonts w:ascii="Bookman Old Style" w:hAnsi="Bookman Old Style"/>
                <w:i/>
                <w:spacing w:val="-3"/>
                <w:lang w:val="es-CO"/>
              </w:rPr>
            </w:pPr>
            <w:proofErr w:type="spellStart"/>
            <w:r w:rsidRPr="000263EF">
              <w:rPr>
                <w:rFonts w:ascii="Bookman Old Style" w:hAnsi="Bookman Old Style"/>
                <w:i/>
                <w:spacing w:val="-3"/>
                <w:lang w:val="es-CO"/>
              </w:rPr>
              <w:t>OHEF</w:t>
            </w:r>
            <w:r w:rsidRPr="004828E2">
              <w:rPr>
                <w:rFonts w:ascii="Bookman Old Style" w:hAnsi="Bookman Old Style"/>
                <w:i/>
                <w:spacing w:val="-3"/>
                <w:vertAlign w:val="subscript"/>
                <w:lang w:val="es-CO"/>
              </w:rPr>
              <w:t>j,h,d,m</w:t>
            </w:r>
            <w:proofErr w:type="spellEnd"/>
            <w:r w:rsidR="000A5314" w:rsidRPr="000A5314">
              <w:rPr>
                <w:rFonts w:ascii="Bookman Old Style" w:hAnsi="Bookman Old Style"/>
                <w:i/>
                <w:spacing w:val="-3"/>
                <w:lang w:val="es-CO"/>
              </w:rPr>
              <w:t>:</w:t>
            </w:r>
          </w:p>
        </w:tc>
        <w:tc>
          <w:tcPr>
            <w:tcW w:w="7337" w:type="dxa"/>
          </w:tcPr>
          <w:p w:rsidR="004828E2" w:rsidRDefault="004828E2" w:rsidP="004828E2">
            <w:pPr>
              <w:tabs>
                <w:tab w:val="left" w:pos="902"/>
                <w:tab w:val="left" w:pos="7150"/>
              </w:tabs>
              <w:ind w:left="0"/>
              <w:rPr>
                <w:rFonts w:ascii="Bookman Old Style" w:hAnsi="Bookman Old Style"/>
                <w:i/>
                <w:spacing w:val="-3"/>
                <w:lang w:val="es-CO"/>
              </w:rPr>
            </w:pPr>
            <w:r>
              <w:rPr>
                <w:rFonts w:ascii="Bookman Old Style" w:hAnsi="Bookman Old Style"/>
                <w:i/>
                <w:spacing w:val="-3"/>
                <w:lang w:val="es-CO"/>
              </w:rPr>
              <w:t>Obligación Horaria de Energía Firme, conforme a lo definido en el Anexo 7 de la Resolución CREG 071 de 2006</w:t>
            </w:r>
            <w:r w:rsidRPr="000263EF">
              <w:rPr>
                <w:rFonts w:ascii="Bookman Old Style" w:hAnsi="Bookman Old Style"/>
                <w:i/>
                <w:spacing w:val="-3"/>
                <w:lang w:val="es-CO"/>
              </w:rPr>
              <w:t>, del agente j, en la hora h, en el día d, del mes m.</w:t>
            </w:r>
          </w:p>
        </w:tc>
      </w:tr>
    </w:tbl>
    <w:p w:rsidR="000263EF" w:rsidRPr="000263EF" w:rsidRDefault="000263EF" w:rsidP="000263EF">
      <w:pPr>
        <w:tabs>
          <w:tab w:val="left" w:pos="902"/>
          <w:tab w:val="left" w:pos="7150"/>
        </w:tabs>
        <w:rPr>
          <w:rFonts w:ascii="Bookman Old Style" w:hAnsi="Bookman Old Style"/>
          <w:i/>
          <w:spacing w:val="-3"/>
          <w:lang w:val="es-CO"/>
        </w:rPr>
      </w:pPr>
    </w:p>
    <w:p w:rsidR="00CD5630" w:rsidRPr="006F5CF8" w:rsidRDefault="00CD5630" w:rsidP="0044787D">
      <w:pPr>
        <w:pStyle w:val="Sangradetextonormal"/>
        <w:spacing w:after="0"/>
        <w:ind w:left="0"/>
        <w:rPr>
          <w:b/>
          <w:spacing w:val="-3"/>
          <w:lang w:val="es-CO"/>
        </w:rPr>
      </w:pPr>
    </w:p>
    <w:p w:rsidR="00E44645" w:rsidRDefault="00333F48">
      <w:pPr>
        <w:ind w:left="0"/>
        <w:jc w:val="both"/>
        <w:rPr>
          <w:rFonts w:ascii="Bookman Old Style" w:hAnsi="Bookman Old Style"/>
          <w:spacing w:val="-3"/>
        </w:rPr>
      </w:pPr>
      <w:r>
        <w:rPr>
          <w:rFonts w:ascii="Bookman Old Style" w:hAnsi="Bookman Old Style"/>
          <w:b/>
          <w:bCs/>
        </w:rPr>
        <w:t xml:space="preserve">ARTICULO </w:t>
      </w:r>
      <w:r w:rsidR="000263EF">
        <w:rPr>
          <w:rFonts w:ascii="Bookman Old Style" w:hAnsi="Bookman Old Style"/>
          <w:b/>
          <w:bCs/>
        </w:rPr>
        <w:t>2</w:t>
      </w:r>
      <w:r>
        <w:rPr>
          <w:rFonts w:ascii="Bookman Old Style" w:hAnsi="Bookman Old Style"/>
          <w:b/>
          <w:bCs/>
        </w:rPr>
        <w:t xml:space="preserve">. </w:t>
      </w:r>
      <w:r w:rsidR="00772311" w:rsidRPr="004C443C">
        <w:rPr>
          <w:rFonts w:ascii="Bookman Old Style" w:hAnsi="Bookman Old Style"/>
          <w:b/>
          <w:bCs/>
        </w:rPr>
        <w:t>Vigencia</w:t>
      </w:r>
      <w:r w:rsidR="00772311">
        <w:rPr>
          <w:rFonts w:ascii="Bookman Old Style" w:hAnsi="Bookman Old Style"/>
          <w:b/>
          <w:bCs/>
        </w:rPr>
        <w:t>.</w:t>
      </w:r>
      <w:r w:rsidR="00772311" w:rsidRPr="00A81720">
        <w:rPr>
          <w:rFonts w:ascii="Bookman Old Style" w:hAnsi="Bookman Old Style"/>
          <w:spacing w:val="-3"/>
        </w:rPr>
        <w:t xml:space="preserve"> Esta Resolución</w:t>
      </w:r>
      <w:r w:rsidR="009456DE">
        <w:rPr>
          <w:rFonts w:ascii="Bookman Old Style" w:hAnsi="Bookman Old Style"/>
          <w:spacing w:val="-3"/>
        </w:rPr>
        <w:t xml:space="preserve"> modifica el artículo 3 de la</w:t>
      </w:r>
      <w:r w:rsidR="00E763D9">
        <w:rPr>
          <w:rFonts w:ascii="Bookman Old Style" w:hAnsi="Bookman Old Style"/>
          <w:spacing w:val="-3"/>
        </w:rPr>
        <w:t xml:space="preserve"> Resolución</w:t>
      </w:r>
      <w:r w:rsidR="009456DE">
        <w:rPr>
          <w:rFonts w:ascii="Bookman Old Style" w:hAnsi="Bookman Old Style"/>
          <w:spacing w:val="-3"/>
        </w:rPr>
        <w:t xml:space="preserve"> CREG</w:t>
      </w:r>
      <w:r w:rsidR="00E763D9">
        <w:rPr>
          <w:rFonts w:ascii="Bookman Old Style" w:hAnsi="Bookman Old Style"/>
          <w:spacing w:val="-3"/>
        </w:rPr>
        <w:t xml:space="preserve"> 034</w:t>
      </w:r>
      <w:r w:rsidR="009456DE">
        <w:rPr>
          <w:rFonts w:ascii="Bookman Old Style" w:hAnsi="Bookman Old Style"/>
          <w:spacing w:val="-3"/>
        </w:rPr>
        <w:t xml:space="preserve"> de 2001</w:t>
      </w:r>
      <w:r w:rsidR="00536A74">
        <w:rPr>
          <w:rFonts w:ascii="Bookman Old Style" w:hAnsi="Bookman Old Style"/>
          <w:spacing w:val="-3"/>
        </w:rPr>
        <w:t>, deroga la Resolución CREG 159 de 2015</w:t>
      </w:r>
      <w:r w:rsidR="009456DE">
        <w:rPr>
          <w:rFonts w:ascii="Bookman Old Style" w:hAnsi="Bookman Old Style"/>
          <w:spacing w:val="-3"/>
        </w:rPr>
        <w:t xml:space="preserve"> y</w:t>
      </w:r>
      <w:r w:rsidR="00772311" w:rsidRPr="00A81720">
        <w:rPr>
          <w:rFonts w:ascii="Bookman Old Style" w:hAnsi="Bookman Old Style"/>
          <w:spacing w:val="-3"/>
        </w:rPr>
        <w:t xml:space="preserve"> rige a partir </w:t>
      </w:r>
      <w:r w:rsidR="008E4732">
        <w:rPr>
          <w:rFonts w:ascii="Bookman Old Style" w:hAnsi="Bookman Old Style"/>
          <w:spacing w:val="-3"/>
        </w:rPr>
        <w:t>de</w:t>
      </w:r>
      <w:r w:rsidR="00772311" w:rsidRPr="00A81720">
        <w:rPr>
          <w:rFonts w:ascii="Bookman Old Style" w:hAnsi="Bookman Old Style"/>
          <w:spacing w:val="-3"/>
        </w:rPr>
        <w:t xml:space="preserve"> la fecha de su publicación en el </w:t>
      </w:r>
      <w:r w:rsidR="00772311" w:rsidRPr="00EF1D06">
        <w:rPr>
          <w:rFonts w:ascii="Bookman Old Style" w:hAnsi="Bookman Old Style"/>
          <w:i/>
          <w:spacing w:val="-3"/>
        </w:rPr>
        <w:t>Diario Oficial.</w:t>
      </w:r>
    </w:p>
    <w:p w:rsidR="00501C5C" w:rsidRDefault="00501C5C">
      <w:pPr>
        <w:tabs>
          <w:tab w:val="left" w:pos="-720"/>
          <w:tab w:val="left" w:pos="1985"/>
        </w:tabs>
        <w:suppressAutoHyphens/>
        <w:ind w:left="0"/>
        <w:jc w:val="both"/>
        <w:rPr>
          <w:rFonts w:ascii="Bookman Old Style" w:hAnsi="Bookman Old Style" w:cs="Arial"/>
          <w:b/>
          <w:bCs/>
        </w:rPr>
      </w:pPr>
    </w:p>
    <w:p w:rsidR="00675FC0" w:rsidRPr="00BA04BF" w:rsidRDefault="00675FC0">
      <w:pPr>
        <w:tabs>
          <w:tab w:val="left" w:pos="-720"/>
          <w:tab w:val="left" w:pos="1985"/>
        </w:tabs>
        <w:suppressAutoHyphens/>
        <w:ind w:left="0"/>
        <w:jc w:val="both"/>
        <w:rPr>
          <w:rFonts w:ascii="Bookman Old Style" w:hAnsi="Bookman Old Style" w:cs="Arial"/>
          <w:b/>
          <w:bCs/>
        </w:rPr>
      </w:pPr>
    </w:p>
    <w:p w:rsidR="00501C5C" w:rsidRPr="00BA04BF" w:rsidRDefault="00501C5C" w:rsidP="00501C5C">
      <w:pPr>
        <w:tabs>
          <w:tab w:val="center" w:pos="4680"/>
        </w:tabs>
        <w:suppressAutoHyphens/>
        <w:ind w:left="0"/>
        <w:jc w:val="both"/>
        <w:rPr>
          <w:rFonts w:ascii="Bookman Old Style" w:hAnsi="Bookman Old Style" w:cs="Arial"/>
          <w:b/>
          <w:bCs/>
        </w:rPr>
      </w:pPr>
      <w:r w:rsidRPr="00BA04BF">
        <w:rPr>
          <w:rFonts w:ascii="Bookman Old Style" w:hAnsi="Bookman Old Style" w:cs="Arial"/>
          <w:spacing w:val="-4"/>
        </w:rPr>
        <w:tab/>
      </w:r>
      <w:r w:rsidRPr="00BA04BF">
        <w:rPr>
          <w:rFonts w:ascii="Bookman Old Style" w:hAnsi="Bookman Old Style" w:cs="Arial"/>
          <w:b/>
          <w:bCs/>
        </w:rPr>
        <w:t>PUBLÍQUESE Y CÚMPLASE</w:t>
      </w:r>
    </w:p>
    <w:p w:rsidR="00501C5C" w:rsidRPr="0044787D" w:rsidRDefault="00501C5C" w:rsidP="00501C5C">
      <w:pPr>
        <w:tabs>
          <w:tab w:val="left" w:pos="-720"/>
        </w:tabs>
        <w:suppressAutoHyphens/>
        <w:ind w:left="0"/>
        <w:jc w:val="both"/>
        <w:rPr>
          <w:rFonts w:ascii="Bookman Old Style" w:hAnsi="Bookman Old Style" w:cs="Arial"/>
          <w:spacing w:val="-4"/>
        </w:rPr>
      </w:pPr>
    </w:p>
    <w:p w:rsidR="00501C5C" w:rsidRDefault="00EF1D06" w:rsidP="00675EDB">
      <w:pPr>
        <w:tabs>
          <w:tab w:val="left" w:pos="-720"/>
        </w:tabs>
        <w:suppressAutoHyphens/>
        <w:ind w:left="0"/>
        <w:jc w:val="both"/>
        <w:rPr>
          <w:rFonts w:ascii="Bookman Old Style" w:hAnsi="Bookman Old Style" w:cs="Arial"/>
        </w:rPr>
      </w:pPr>
      <w:r>
        <w:rPr>
          <w:rFonts w:ascii="Bookman Old Style" w:hAnsi="Bookman Old Style" w:cs="Arial"/>
        </w:rPr>
        <w:t>Dada en Bogotá, D.C.</w:t>
      </w:r>
      <w:r w:rsidR="00511017">
        <w:rPr>
          <w:rFonts w:ascii="Bookman Old Style" w:hAnsi="Bookman Old Style" w:cs="Arial"/>
        </w:rPr>
        <w:t xml:space="preserve"> a</w:t>
      </w:r>
    </w:p>
    <w:p w:rsidR="00501C5C" w:rsidRPr="0044787D" w:rsidRDefault="00501C5C" w:rsidP="00501C5C">
      <w:pPr>
        <w:ind w:left="0"/>
        <w:jc w:val="both"/>
        <w:rPr>
          <w:rFonts w:ascii="Bookman Old Style" w:hAnsi="Bookman Old Style" w:cs="Arial"/>
        </w:rPr>
      </w:pPr>
    </w:p>
    <w:p w:rsidR="00D76181" w:rsidRPr="0044787D" w:rsidRDefault="00D76181" w:rsidP="00501C5C">
      <w:pPr>
        <w:ind w:left="0"/>
        <w:jc w:val="both"/>
        <w:rPr>
          <w:rFonts w:ascii="Bookman Old Style" w:hAnsi="Bookman Old Style" w:cs="Arial"/>
        </w:rPr>
      </w:pPr>
    </w:p>
    <w:p w:rsidR="00D76181" w:rsidRPr="0044787D" w:rsidRDefault="00D76181" w:rsidP="00501C5C">
      <w:pPr>
        <w:ind w:left="0"/>
        <w:jc w:val="both"/>
        <w:rPr>
          <w:rFonts w:ascii="Bookman Old Style" w:hAnsi="Bookman Old Style" w:cs="Arial"/>
        </w:rPr>
      </w:pPr>
    </w:p>
    <w:p w:rsidR="00D76181" w:rsidRPr="0044787D" w:rsidRDefault="00D76181" w:rsidP="00501C5C">
      <w:pPr>
        <w:ind w:left="0"/>
        <w:jc w:val="both"/>
        <w:rPr>
          <w:rFonts w:ascii="Bookman Old Style" w:hAnsi="Bookman Old Style" w:cs="Arial"/>
        </w:rPr>
      </w:pPr>
    </w:p>
    <w:p w:rsidR="00EF1D06" w:rsidRPr="0044787D" w:rsidRDefault="00EF1D06" w:rsidP="00501C5C">
      <w:pPr>
        <w:ind w:left="0"/>
        <w:jc w:val="both"/>
        <w:rPr>
          <w:rFonts w:ascii="Bookman Old Style" w:hAnsi="Bookman Old Style" w:cs="Arial"/>
        </w:rPr>
      </w:pPr>
    </w:p>
    <w:tbl>
      <w:tblPr>
        <w:tblW w:w="9426" w:type="dxa"/>
        <w:jc w:val="right"/>
        <w:tblInd w:w="339" w:type="dxa"/>
        <w:tblLayout w:type="fixed"/>
        <w:tblCellMar>
          <w:left w:w="70" w:type="dxa"/>
          <w:right w:w="70" w:type="dxa"/>
        </w:tblCellMar>
        <w:tblLook w:val="04A0" w:firstRow="1" w:lastRow="0" w:firstColumn="1" w:lastColumn="0" w:noHBand="0" w:noVBand="1"/>
      </w:tblPr>
      <w:tblGrid>
        <w:gridCol w:w="5103"/>
        <w:gridCol w:w="4323"/>
      </w:tblGrid>
      <w:tr w:rsidR="00D76181" w:rsidTr="00C10833">
        <w:trPr>
          <w:jc w:val="right"/>
        </w:trPr>
        <w:tc>
          <w:tcPr>
            <w:tcW w:w="5103" w:type="dxa"/>
            <w:hideMark/>
          </w:tcPr>
          <w:p w:rsidR="00D76181" w:rsidRDefault="00C10833" w:rsidP="00C10833">
            <w:pPr>
              <w:tabs>
                <w:tab w:val="left" w:pos="440"/>
                <w:tab w:val="left" w:pos="1580"/>
              </w:tabs>
              <w:ind w:left="204"/>
              <w:jc w:val="center"/>
              <w:rPr>
                <w:rFonts w:ascii="Bookman Old Style" w:hAnsi="Bookman Old Style" w:cs="Arial"/>
                <w:b/>
                <w:spacing w:val="-3"/>
                <w:lang w:val="es-ES_tradnl"/>
              </w:rPr>
            </w:pPr>
            <w:r>
              <w:rPr>
                <w:rFonts w:ascii="Bookman Old Style" w:hAnsi="Bookman Old Style" w:cs="Arial"/>
                <w:b/>
                <w:spacing w:val="-3"/>
              </w:rPr>
              <w:t>CARLOS FERNANDO ERASO CALERO</w:t>
            </w:r>
          </w:p>
        </w:tc>
        <w:tc>
          <w:tcPr>
            <w:tcW w:w="4323" w:type="dxa"/>
            <w:hideMark/>
          </w:tcPr>
          <w:p w:rsidR="00D76181" w:rsidRDefault="00F451ED" w:rsidP="003C5531">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JORGE PINTO NOLLA</w:t>
            </w:r>
          </w:p>
        </w:tc>
      </w:tr>
      <w:tr w:rsidR="00D76181" w:rsidTr="00C10833">
        <w:trPr>
          <w:jc w:val="right"/>
        </w:trPr>
        <w:tc>
          <w:tcPr>
            <w:tcW w:w="5103" w:type="dxa"/>
            <w:hideMark/>
          </w:tcPr>
          <w:p w:rsidR="00D76181" w:rsidRDefault="00C10833" w:rsidP="00C10833">
            <w:pPr>
              <w:ind w:left="0"/>
              <w:jc w:val="center"/>
              <w:rPr>
                <w:rFonts w:ascii="Bookman Old Style" w:hAnsi="Bookman Old Style" w:cs="Arial"/>
                <w:spacing w:val="-3"/>
                <w:lang w:val="es-ES_tradnl"/>
              </w:rPr>
            </w:pPr>
            <w:r>
              <w:rPr>
                <w:rFonts w:ascii="Bookman Old Style" w:hAnsi="Bookman Old Style" w:cs="Arial"/>
                <w:spacing w:val="-3"/>
                <w:lang w:val="es-ES_tradnl"/>
              </w:rPr>
              <w:t>Viceministro de</w:t>
            </w:r>
            <w:r w:rsidR="00D76181">
              <w:rPr>
                <w:rFonts w:ascii="Bookman Old Style" w:hAnsi="Bookman Old Style" w:cs="Arial"/>
                <w:spacing w:val="-3"/>
                <w:lang w:val="es-ES_tradnl"/>
              </w:rPr>
              <w:t xml:space="preserve"> Energía</w:t>
            </w:r>
          </w:p>
        </w:tc>
        <w:tc>
          <w:tcPr>
            <w:tcW w:w="4323" w:type="dxa"/>
            <w:hideMark/>
          </w:tcPr>
          <w:p w:rsidR="00D76181" w:rsidRDefault="00D76181" w:rsidP="003C5531">
            <w:pPr>
              <w:ind w:left="157"/>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r w:rsidR="00D76181" w:rsidTr="00C10833">
        <w:trPr>
          <w:jc w:val="right"/>
        </w:trPr>
        <w:tc>
          <w:tcPr>
            <w:tcW w:w="5103" w:type="dxa"/>
            <w:hideMark/>
          </w:tcPr>
          <w:p w:rsidR="00C10833" w:rsidRDefault="00C10833" w:rsidP="0044787D">
            <w:pPr>
              <w:jc w:val="center"/>
              <w:rPr>
                <w:rFonts w:ascii="Bookman Old Style" w:hAnsi="Bookman Old Style" w:cs="Arial"/>
                <w:spacing w:val="-3"/>
              </w:rPr>
            </w:pPr>
            <w:r>
              <w:rPr>
                <w:rFonts w:ascii="Bookman Old Style" w:hAnsi="Bookman Old Style" w:cs="Arial"/>
                <w:spacing w:val="-3"/>
              </w:rPr>
              <w:t>Delegado del Ministro de Minas y Energía</w:t>
            </w:r>
          </w:p>
          <w:p w:rsidR="00D76181" w:rsidRDefault="00D76181" w:rsidP="0044787D">
            <w:pPr>
              <w:jc w:val="center"/>
              <w:rPr>
                <w:rFonts w:ascii="Bookman Old Style" w:hAnsi="Bookman Old Style" w:cs="Arial"/>
                <w:spacing w:val="-3"/>
              </w:rPr>
            </w:pPr>
            <w:r>
              <w:rPr>
                <w:rFonts w:ascii="Bookman Old Style" w:hAnsi="Bookman Old Style" w:cs="Arial"/>
                <w:spacing w:val="-3"/>
              </w:rPr>
              <w:t>Presidente</w:t>
            </w:r>
          </w:p>
        </w:tc>
        <w:tc>
          <w:tcPr>
            <w:tcW w:w="4323" w:type="dxa"/>
          </w:tcPr>
          <w:p w:rsidR="00D76181" w:rsidRDefault="00D76181" w:rsidP="003C5531">
            <w:pPr>
              <w:rPr>
                <w:rFonts w:ascii="Bookman Old Style" w:hAnsi="Bookman Old Style" w:cs="Arial"/>
                <w:spacing w:val="-3"/>
              </w:rPr>
            </w:pPr>
          </w:p>
        </w:tc>
      </w:tr>
    </w:tbl>
    <w:p w:rsidR="00D24303" w:rsidRPr="0044170C" w:rsidRDefault="00D24303" w:rsidP="00501C5C">
      <w:pPr>
        <w:ind w:left="0"/>
        <w:jc w:val="both"/>
        <w:rPr>
          <w:rFonts w:ascii="Bookman Old Style" w:hAnsi="Bookman Old Style" w:cs="Arial"/>
          <w:sz w:val="18"/>
        </w:rPr>
      </w:pPr>
    </w:p>
    <w:p w:rsidR="00501C5C" w:rsidRPr="009B68F4" w:rsidRDefault="00501C5C" w:rsidP="00501C5C">
      <w:pPr>
        <w:ind w:left="0"/>
        <w:rPr>
          <w:rFonts w:ascii="Bookman Old Style" w:hAnsi="Bookman Old Style"/>
          <w:bCs/>
          <w:lang w:val="es-CO"/>
        </w:rPr>
      </w:pPr>
    </w:p>
    <w:p w:rsidR="00501C5C" w:rsidRPr="009B68F4" w:rsidRDefault="00501C5C" w:rsidP="00D633BE">
      <w:pPr>
        <w:ind w:left="0"/>
        <w:rPr>
          <w:rFonts w:ascii="Bookman Old Style" w:hAnsi="Bookman Old Style"/>
          <w:bCs/>
          <w:lang w:val="es-CO"/>
        </w:rPr>
      </w:pPr>
    </w:p>
    <w:sectPr w:rsidR="00501C5C" w:rsidRPr="009B68F4" w:rsidSect="005A59EF">
      <w:headerReference w:type="default" r:id="rId41"/>
      <w:headerReference w:type="first" r:id="rId4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421" w:rsidRDefault="00630421">
      <w:r>
        <w:separator/>
      </w:r>
    </w:p>
  </w:endnote>
  <w:endnote w:type="continuationSeparator" w:id="0">
    <w:p w:rsidR="00630421" w:rsidRDefault="0063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421" w:rsidRDefault="00630421">
      <w:r>
        <w:separator/>
      </w:r>
    </w:p>
  </w:footnote>
  <w:footnote w:type="continuationSeparator" w:id="0">
    <w:p w:rsidR="00630421" w:rsidRDefault="00630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48F" w:rsidRDefault="00CB448F" w:rsidP="00951F79">
    <w:pPr>
      <w:pStyle w:val="Ttulo1"/>
      <w:ind w:right="6"/>
      <w:jc w:val="left"/>
      <w:rPr>
        <w:rFonts w:ascii="Bookman Old Style" w:hAnsi="Bookman Old Style" w:cs="Arial"/>
        <w:b w:val="0"/>
        <w:sz w:val="22"/>
        <w:szCs w:val="22"/>
      </w:rPr>
    </w:pPr>
  </w:p>
  <w:p w:rsidR="00CB448F" w:rsidRPr="00951F79" w:rsidRDefault="00CB448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16FFA">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16FFA" w:rsidRPr="00216FFA">
        <w:rPr>
          <w:rFonts w:ascii="Bookman Old Style" w:hAnsi="Bookman Old Style" w:cs="Arial"/>
          <w:b w:val="0"/>
          <w:noProof/>
          <w:sz w:val="22"/>
          <w:szCs w:val="22"/>
        </w:rPr>
        <w:t>5</w:t>
      </w:r>
    </w:fldSimple>
  </w:p>
  <w:p w:rsidR="00CB448F" w:rsidRDefault="00CB448F"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12B3BF5" wp14:editId="02A80DD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B448F" w:rsidRPr="008139FF" w:rsidRDefault="00CB448F" w:rsidP="0044787D">
    <w:pPr>
      <w:tabs>
        <w:tab w:val="left" w:pos="0"/>
      </w:tabs>
      <w:ind w:left="0"/>
      <w:jc w:val="both"/>
      <w:rPr>
        <w:rFonts w:ascii="Bookman Old Style" w:eastAsia="Arial Unicode MS" w:hAnsi="Bookman Old Style" w:cs="Arial"/>
        <w:bCs/>
      </w:rPr>
    </w:pPr>
    <w:r w:rsidRPr="003C1808">
      <w:rPr>
        <w:rFonts w:ascii="Bookman Old Style" w:hAnsi="Bookman Old Style" w:cs="Arial"/>
        <w:szCs w:val="27"/>
      </w:rPr>
      <w:t>Por la cual se modifica la Resolución CREG 0</w:t>
    </w:r>
    <w:r>
      <w:rPr>
        <w:rFonts w:ascii="Bookman Old Style" w:hAnsi="Bookman Old Style" w:cs="Arial"/>
        <w:szCs w:val="27"/>
      </w:rPr>
      <w:t>34</w:t>
    </w:r>
    <w:r w:rsidRPr="003C1808">
      <w:rPr>
        <w:rFonts w:ascii="Bookman Old Style" w:hAnsi="Bookman Old Style" w:cs="Arial"/>
        <w:szCs w:val="27"/>
      </w:rPr>
      <w:t xml:space="preserve"> de </w:t>
    </w:r>
    <w:r>
      <w:rPr>
        <w:rFonts w:ascii="Bookman Old Style" w:hAnsi="Bookman Old Style" w:cs="Arial"/>
        <w:szCs w:val="27"/>
      </w:rPr>
      <w:t>2001</w:t>
    </w:r>
    <w:r w:rsidRPr="003C1808">
      <w:rPr>
        <w:rFonts w:ascii="Bookman Old Style" w:hAnsi="Bookman Old Style" w:cs="Arial"/>
        <w:szCs w:val="27"/>
      </w:rPr>
      <w:t xml:space="preserve">, en relación con </w:t>
    </w:r>
    <w:r>
      <w:rPr>
        <w:rFonts w:ascii="Bookman Old Style" w:hAnsi="Bookman Old Style" w:cs="Arial"/>
        <w:szCs w:val="27"/>
      </w:rPr>
      <w:t>el precio de reconciliación negativa</w:t>
    </w:r>
    <w:r w:rsidRPr="008139FF">
      <w:rPr>
        <w:rFonts w:ascii="Bookman Old Style" w:hAnsi="Bookman Old Style" w:cs="Arial"/>
        <w:szCs w:val="20"/>
      </w:rPr>
      <w:t>.</w:t>
    </w:r>
  </w:p>
  <w:p w:rsidR="00CB448F" w:rsidRPr="00BA04BF" w:rsidRDefault="00CB448F" w:rsidP="00BA04BF">
    <w:pPr>
      <w:pBdr>
        <w:bottom w:val="single" w:sz="4" w:space="1" w:color="auto"/>
      </w:pBdr>
      <w:ind w:left="142"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48F" w:rsidRDefault="00CB448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B448F" w:rsidRDefault="00CB448F">
    <w:pPr>
      <w:pStyle w:val="Encabezado"/>
      <w:jc w:val="center"/>
      <w:rPr>
        <w:rFonts w:ascii="Arial" w:hAnsi="Arial" w:cs="Arial"/>
        <w:spacing w:val="20"/>
        <w:sz w:val="20"/>
      </w:rPr>
    </w:pPr>
  </w:p>
  <w:p w:rsidR="00CB448F" w:rsidRDefault="00CB448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C573DE4" wp14:editId="19EE31B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501F8C"/>
    <w:lvl w:ilvl="0">
      <w:numFmt w:val="bullet"/>
      <w:lvlText w:val="*"/>
      <w:lvlJc w:val="left"/>
    </w:lvl>
  </w:abstractNum>
  <w:abstractNum w:abstractNumId="1">
    <w:nsid w:val="000E4A01"/>
    <w:multiLevelType w:val="hybridMultilevel"/>
    <w:tmpl w:val="BC60690E"/>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072486B"/>
    <w:multiLevelType w:val="hybridMultilevel"/>
    <w:tmpl w:val="4F7E0CFC"/>
    <w:lvl w:ilvl="0" w:tplc="A036AC18">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62B3F58"/>
    <w:multiLevelType w:val="hybridMultilevel"/>
    <w:tmpl w:val="0AD29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8C35547"/>
    <w:multiLevelType w:val="hybridMultilevel"/>
    <w:tmpl w:val="BE845B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91471E3"/>
    <w:multiLevelType w:val="hybridMultilevel"/>
    <w:tmpl w:val="C16A9F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B8E0611"/>
    <w:multiLevelType w:val="hybridMultilevel"/>
    <w:tmpl w:val="4A621D34"/>
    <w:lvl w:ilvl="0" w:tplc="E0082A9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nsid w:val="0C07099A"/>
    <w:multiLevelType w:val="hybridMultilevel"/>
    <w:tmpl w:val="95C88BB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nsid w:val="0C7E6873"/>
    <w:multiLevelType w:val="hybridMultilevel"/>
    <w:tmpl w:val="9904D47C"/>
    <w:lvl w:ilvl="0" w:tplc="45E266F0">
      <w:start w:val="1"/>
      <w:numFmt w:val="upperRoman"/>
      <w:pStyle w:val="Ttulo6"/>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F9D24CF"/>
    <w:multiLevelType w:val="hybridMultilevel"/>
    <w:tmpl w:val="C0D8A0D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nsid w:val="0FBD7D39"/>
    <w:multiLevelType w:val="hybridMultilevel"/>
    <w:tmpl w:val="A9744DC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nsid w:val="11076E4F"/>
    <w:multiLevelType w:val="multilevel"/>
    <w:tmpl w:val="2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nsid w:val="19E94215"/>
    <w:multiLevelType w:val="hybridMultilevel"/>
    <w:tmpl w:val="B9CEBC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B6F357D"/>
    <w:multiLevelType w:val="hybridMultilevel"/>
    <w:tmpl w:val="E0D847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17F332C"/>
    <w:multiLevelType w:val="hybridMultilevel"/>
    <w:tmpl w:val="D86C2B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52527F9"/>
    <w:multiLevelType w:val="hybridMultilevel"/>
    <w:tmpl w:val="FA343A4C"/>
    <w:lvl w:ilvl="0" w:tplc="F6CEC66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89A647E"/>
    <w:multiLevelType w:val="hybridMultilevel"/>
    <w:tmpl w:val="AF5CE508"/>
    <w:lvl w:ilvl="0" w:tplc="39CCBF9E">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2">
    <w:nsid w:val="29345B13"/>
    <w:multiLevelType w:val="hybridMultilevel"/>
    <w:tmpl w:val="67E2AA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B464A7F"/>
    <w:multiLevelType w:val="hybridMultilevel"/>
    <w:tmpl w:val="42CE6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14E2A75"/>
    <w:multiLevelType w:val="hybridMultilevel"/>
    <w:tmpl w:val="2AF42696"/>
    <w:lvl w:ilvl="0" w:tplc="5D785E9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nsid w:val="31677A5E"/>
    <w:multiLevelType w:val="hybridMultilevel"/>
    <w:tmpl w:val="52086C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344D220B"/>
    <w:multiLevelType w:val="hybridMultilevel"/>
    <w:tmpl w:val="1B281DE8"/>
    <w:lvl w:ilvl="0" w:tplc="F2B8350C">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F10509"/>
    <w:multiLevelType w:val="hybridMultilevel"/>
    <w:tmpl w:val="C6D8F3E2"/>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8EC768C"/>
    <w:multiLevelType w:val="hybridMultilevel"/>
    <w:tmpl w:val="51466706"/>
    <w:lvl w:ilvl="0" w:tplc="6866792E">
      <w:start w:val="1"/>
      <w:numFmt w:val="decimal"/>
      <w:lvlText w:val="%1."/>
      <w:lvlJc w:val="left"/>
      <w:pPr>
        <w:ind w:left="8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BB8503F"/>
    <w:multiLevelType w:val="hybridMultilevel"/>
    <w:tmpl w:val="61102EAC"/>
    <w:lvl w:ilvl="0" w:tplc="F6A830D4">
      <w:start w:val="1"/>
      <w:numFmt w:val="lowerLetter"/>
      <w:lvlText w:val="%1."/>
      <w:lvlJc w:val="left"/>
      <w:pPr>
        <w:ind w:left="720" w:hanging="360"/>
      </w:pPr>
      <w:rPr>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3D2750F5"/>
    <w:multiLevelType w:val="hybridMultilevel"/>
    <w:tmpl w:val="3E0825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15F1451"/>
    <w:multiLevelType w:val="hybridMultilevel"/>
    <w:tmpl w:val="D8502746"/>
    <w:lvl w:ilvl="0" w:tplc="7FF2D6FA">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nsid w:val="42404E92"/>
    <w:multiLevelType w:val="hybridMultilevel"/>
    <w:tmpl w:val="D55841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3F67C14"/>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47FE215B"/>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480C38F7"/>
    <w:multiLevelType w:val="hybridMultilevel"/>
    <w:tmpl w:val="1602A2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38">
    <w:nsid w:val="48B469FF"/>
    <w:multiLevelType w:val="hybridMultilevel"/>
    <w:tmpl w:val="7BB8AFCC"/>
    <w:lvl w:ilvl="0" w:tplc="24AC432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9">
    <w:nsid w:val="48BE5D1C"/>
    <w:multiLevelType w:val="hybridMultilevel"/>
    <w:tmpl w:val="94E0D03A"/>
    <w:lvl w:ilvl="0" w:tplc="240A0019">
      <w:start w:val="1"/>
      <w:numFmt w:val="lowerLetter"/>
      <w:lvlText w:val="%1."/>
      <w:lvlJc w:val="left"/>
      <w:pPr>
        <w:ind w:left="794" w:hanging="360"/>
      </w:pPr>
    </w:lvl>
    <w:lvl w:ilvl="1" w:tplc="240A0019" w:tentative="1">
      <w:start w:val="1"/>
      <w:numFmt w:val="lowerLetter"/>
      <w:lvlText w:val="%2."/>
      <w:lvlJc w:val="left"/>
      <w:pPr>
        <w:ind w:left="1514" w:hanging="360"/>
      </w:pPr>
    </w:lvl>
    <w:lvl w:ilvl="2" w:tplc="240A001B" w:tentative="1">
      <w:start w:val="1"/>
      <w:numFmt w:val="lowerRoman"/>
      <w:lvlText w:val="%3."/>
      <w:lvlJc w:val="right"/>
      <w:pPr>
        <w:ind w:left="2234" w:hanging="180"/>
      </w:pPr>
    </w:lvl>
    <w:lvl w:ilvl="3" w:tplc="240A000F" w:tentative="1">
      <w:start w:val="1"/>
      <w:numFmt w:val="decimal"/>
      <w:lvlText w:val="%4."/>
      <w:lvlJc w:val="left"/>
      <w:pPr>
        <w:ind w:left="2954" w:hanging="360"/>
      </w:pPr>
    </w:lvl>
    <w:lvl w:ilvl="4" w:tplc="240A0019" w:tentative="1">
      <w:start w:val="1"/>
      <w:numFmt w:val="lowerLetter"/>
      <w:lvlText w:val="%5."/>
      <w:lvlJc w:val="left"/>
      <w:pPr>
        <w:ind w:left="3674" w:hanging="360"/>
      </w:pPr>
    </w:lvl>
    <w:lvl w:ilvl="5" w:tplc="240A001B" w:tentative="1">
      <w:start w:val="1"/>
      <w:numFmt w:val="lowerRoman"/>
      <w:lvlText w:val="%6."/>
      <w:lvlJc w:val="right"/>
      <w:pPr>
        <w:ind w:left="4394" w:hanging="180"/>
      </w:pPr>
    </w:lvl>
    <w:lvl w:ilvl="6" w:tplc="240A000F" w:tentative="1">
      <w:start w:val="1"/>
      <w:numFmt w:val="decimal"/>
      <w:lvlText w:val="%7."/>
      <w:lvlJc w:val="left"/>
      <w:pPr>
        <w:ind w:left="5114" w:hanging="360"/>
      </w:pPr>
    </w:lvl>
    <w:lvl w:ilvl="7" w:tplc="240A0019" w:tentative="1">
      <w:start w:val="1"/>
      <w:numFmt w:val="lowerLetter"/>
      <w:lvlText w:val="%8."/>
      <w:lvlJc w:val="left"/>
      <w:pPr>
        <w:ind w:left="5834" w:hanging="360"/>
      </w:pPr>
    </w:lvl>
    <w:lvl w:ilvl="8" w:tplc="240A001B" w:tentative="1">
      <w:start w:val="1"/>
      <w:numFmt w:val="lowerRoman"/>
      <w:lvlText w:val="%9."/>
      <w:lvlJc w:val="right"/>
      <w:pPr>
        <w:ind w:left="6554" w:hanging="180"/>
      </w:pPr>
    </w:lvl>
  </w:abstractNum>
  <w:abstractNum w:abstractNumId="40">
    <w:nsid w:val="48F17FAD"/>
    <w:multiLevelType w:val="hybridMultilevel"/>
    <w:tmpl w:val="DF60205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3">
    <w:nsid w:val="4E7A6AEF"/>
    <w:multiLevelType w:val="hybridMultilevel"/>
    <w:tmpl w:val="555E846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52D166C7"/>
    <w:multiLevelType w:val="singleLevel"/>
    <w:tmpl w:val="7A94FA80"/>
    <w:lvl w:ilvl="0">
      <w:start w:val="1"/>
      <w:numFmt w:val="lowerRoman"/>
      <w:lvlText w:val="(%1)   "/>
      <w:legacy w:legacy="1" w:legacySpace="0" w:legacyIndent="283"/>
      <w:lvlJc w:val="left"/>
      <w:pPr>
        <w:ind w:left="283" w:hanging="283"/>
      </w:pPr>
    </w:lvl>
  </w:abstractNum>
  <w:abstractNum w:abstractNumId="45">
    <w:nsid w:val="58851E34"/>
    <w:multiLevelType w:val="hybridMultilevel"/>
    <w:tmpl w:val="D2CC7AEE"/>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46">
    <w:nsid w:val="5AA07BF6"/>
    <w:multiLevelType w:val="singleLevel"/>
    <w:tmpl w:val="7A94FA80"/>
    <w:lvl w:ilvl="0">
      <w:start w:val="1"/>
      <w:numFmt w:val="lowerRoman"/>
      <w:lvlText w:val="(%1)   "/>
      <w:legacy w:legacy="1" w:legacySpace="0" w:legacyIndent="283"/>
      <w:lvlJc w:val="left"/>
      <w:pPr>
        <w:ind w:left="283" w:hanging="283"/>
      </w:pPr>
    </w:lvl>
  </w:abstractNum>
  <w:abstractNum w:abstractNumId="47">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5CF8548C"/>
    <w:multiLevelType w:val="hybridMultilevel"/>
    <w:tmpl w:val="73C6EA8E"/>
    <w:lvl w:ilvl="0" w:tplc="DAAA399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nsid w:val="60DC2C18"/>
    <w:multiLevelType w:val="hybridMultilevel"/>
    <w:tmpl w:val="F14A5CD8"/>
    <w:lvl w:ilvl="0" w:tplc="55B8DBDE">
      <w:start w:val="1"/>
      <w:numFmt w:val="low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nsid w:val="65FB1E23"/>
    <w:multiLevelType w:val="hybridMultilevel"/>
    <w:tmpl w:val="CBB227A0"/>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6A620496"/>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nsid w:val="6C5D7E8F"/>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nsid w:val="6D070384"/>
    <w:multiLevelType w:val="hybridMultilevel"/>
    <w:tmpl w:val="40E87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6D94178F"/>
    <w:multiLevelType w:val="hybridMultilevel"/>
    <w:tmpl w:val="FD3CA0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6EE04A65"/>
    <w:multiLevelType w:val="hybridMultilevel"/>
    <w:tmpl w:val="E92E4AA4"/>
    <w:lvl w:ilvl="0" w:tplc="CD0E0F32">
      <w:start w:val="1"/>
      <w:numFmt w:val="lowerLetter"/>
      <w:lvlText w:val="%1)"/>
      <w:lvlJc w:val="left"/>
      <w:pPr>
        <w:ind w:left="1068" w:hanging="360"/>
      </w:pPr>
      <w:rPr>
        <w:rFonts w:hint="default"/>
        <w:b w:val="0"/>
        <w:i/>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8">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70B51802"/>
    <w:multiLevelType w:val="hybridMultilevel"/>
    <w:tmpl w:val="7F9019E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7697591A"/>
    <w:multiLevelType w:val="hybridMultilevel"/>
    <w:tmpl w:val="336AE52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2">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7C0819CB"/>
    <w:multiLevelType w:val="hybridMultilevel"/>
    <w:tmpl w:val="78D4C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7EF0153D"/>
    <w:multiLevelType w:val="hybridMultilevel"/>
    <w:tmpl w:val="0ABE5EA6"/>
    <w:lvl w:ilvl="0" w:tplc="0E5C20F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7F761A92"/>
    <w:multiLevelType w:val="hybridMultilevel"/>
    <w:tmpl w:val="98DC971A"/>
    <w:lvl w:ilvl="0" w:tplc="240A000F">
      <w:start w:val="1"/>
      <w:numFmt w:val="decimal"/>
      <w:lvlText w:val="%1."/>
      <w:lvlJc w:val="left"/>
      <w:pPr>
        <w:ind w:left="800" w:hanging="360"/>
      </w:pPr>
    </w:lvl>
    <w:lvl w:ilvl="1" w:tplc="240A0019" w:tentative="1">
      <w:start w:val="1"/>
      <w:numFmt w:val="lowerLetter"/>
      <w:lvlText w:val="%2."/>
      <w:lvlJc w:val="left"/>
      <w:pPr>
        <w:ind w:left="1520" w:hanging="360"/>
      </w:pPr>
    </w:lvl>
    <w:lvl w:ilvl="2" w:tplc="240A001B" w:tentative="1">
      <w:start w:val="1"/>
      <w:numFmt w:val="lowerRoman"/>
      <w:lvlText w:val="%3."/>
      <w:lvlJc w:val="right"/>
      <w:pPr>
        <w:ind w:left="2240" w:hanging="180"/>
      </w:pPr>
    </w:lvl>
    <w:lvl w:ilvl="3" w:tplc="240A000F" w:tentative="1">
      <w:start w:val="1"/>
      <w:numFmt w:val="decimal"/>
      <w:lvlText w:val="%4."/>
      <w:lvlJc w:val="left"/>
      <w:pPr>
        <w:ind w:left="2960" w:hanging="360"/>
      </w:pPr>
    </w:lvl>
    <w:lvl w:ilvl="4" w:tplc="240A0019" w:tentative="1">
      <w:start w:val="1"/>
      <w:numFmt w:val="lowerLetter"/>
      <w:lvlText w:val="%5."/>
      <w:lvlJc w:val="left"/>
      <w:pPr>
        <w:ind w:left="3680" w:hanging="360"/>
      </w:pPr>
    </w:lvl>
    <w:lvl w:ilvl="5" w:tplc="240A001B" w:tentative="1">
      <w:start w:val="1"/>
      <w:numFmt w:val="lowerRoman"/>
      <w:lvlText w:val="%6."/>
      <w:lvlJc w:val="right"/>
      <w:pPr>
        <w:ind w:left="4400" w:hanging="180"/>
      </w:pPr>
    </w:lvl>
    <w:lvl w:ilvl="6" w:tplc="240A000F" w:tentative="1">
      <w:start w:val="1"/>
      <w:numFmt w:val="decimal"/>
      <w:lvlText w:val="%7."/>
      <w:lvlJc w:val="left"/>
      <w:pPr>
        <w:ind w:left="5120" w:hanging="360"/>
      </w:pPr>
    </w:lvl>
    <w:lvl w:ilvl="7" w:tplc="240A0019" w:tentative="1">
      <w:start w:val="1"/>
      <w:numFmt w:val="lowerLetter"/>
      <w:lvlText w:val="%8."/>
      <w:lvlJc w:val="left"/>
      <w:pPr>
        <w:ind w:left="5840" w:hanging="360"/>
      </w:pPr>
    </w:lvl>
    <w:lvl w:ilvl="8" w:tplc="240A001B" w:tentative="1">
      <w:start w:val="1"/>
      <w:numFmt w:val="lowerRoman"/>
      <w:lvlText w:val="%9."/>
      <w:lvlJc w:val="right"/>
      <w:pPr>
        <w:ind w:left="6560" w:hanging="180"/>
      </w:pPr>
    </w:lvl>
  </w:abstractNum>
  <w:num w:numId="1">
    <w:abstractNumId w:val="37"/>
  </w:num>
  <w:num w:numId="2">
    <w:abstractNumId w:val="12"/>
  </w:num>
  <w:num w:numId="3">
    <w:abstractNumId w:val="61"/>
  </w:num>
  <w:num w:numId="4">
    <w:abstractNumId w:val="19"/>
  </w:num>
  <w:num w:numId="5">
    <w:abstractNumId w:val="47"/>
  </w:num>
  <w:num w:numId="6">
    <w:abstractNumId w:val="5"/>
  </w:num>
  <w:num w:numId="7">
    <w:abstractNumId w:val="4"/>
  </w:num>
  <w:num w:numId="8">
    <w:abstractNumId w:val="51"/>
  </w:num>
  <w:num w:numId="9">
    <w:abstractNumId w:val="49"/>
  </w:num>
  <w:num w:numId="10">
    <w:abstractNumId w:val="41"/>
  </w:num>
  <w:num w:numId="11">
    <w:abstractNumId w:val="62"/>
  </w:num>
  <w:num w:numId="12">
    <w:abstractNumId w:val="58"/>
  </w:num>
  <w:num w:numId="13">
    <w:abstractNumId w:val="27"/>
  </w:num>
  <w:num w:numId="14">
    <w:abstractNumId w:val="3"/>
  </w:num>
  <w:num w:numId="15">
    <w:abstractNumId w:val="42"/>
  </w:num>
  <w:num w:numId="1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abstractNumId w:val="46"/>
  </w:num>
  <w:num w:numId="18">
    <w:abstractNumId w:val="44"/>
  </w:num>
  <w:num w:numId="19">
    <w:abstractNumId w:val="17"/>
  </w:num>
  <w:num w:numId="20">
    <w:abstractNumId w:val="7"/>
  </w:num>
  <w:num w:numId="21">
    <w:abstractNumId w:val="60"/>
  </w:num>
  <w:num w:numId="22">
    <w:abstractNumId w:val="56"/>
  </w:num>
  <w:num w:numId="23">
    <w:abstractNumId w:val="65"/>
  </w:num>
  <w:num w:numId="24">
    <w:abstractNumId w:val="25"/>
  </w:num>
  <w:num w:numId="25">
    <w:abstractNumId w:val="45"/>
  </w:num>
  <w:num w:numId="26">
    <w:abstractNumId w:val="29"/>
  </w:num>
  <w:num w:numId="27">
    <w:abstractNumId w:val="53"/>
  </w:num>
  <w:num w:numId="28">
    <w:abstractNumId w:val="35"/>
  </w:num>
  <w:num w:numId="29">
    <w:abstractNumId w:val="63"/>
  </w:num>
  <w:num w:numId="30">
    <w:abstractNumId w:val="28"/>
  </w:num>
  <w:num w:numId="31">
    <w:abstractNumId w:val="1"/>
  </w:num>
  <w:num w:numId="32">
    <w:abstractNumId w:val="52"/>
  </w:num>
  <w:num w:numId="33">
    <w:abstractNumId w:val="23"/>
  </w:num>
  <w:num w:numId="34">
    <w:abstractNumId w:val="48"/>
  </w:num>
  <w:num w:numId="35">
    <w:abstractNumId w:val="55"/>
  </w:num>
  <w:num w:numId="36">
    <w:abstractNumId w:val="33"/>
  </w:num>
  <w:num w:numId="37">
    <w:abstractNumId w:val="14"/>
  </w:num>
  <w:num w:numId="38">
    <w:abstractNumId w:val="24"/>
  </w:num>
  <w:num w:numId="39">
    <w:abstractNumId w:val="43"/>
  </w:num>
  <w:num w:numId="40">
    <w:abstractNumId w:val="2"/>
  </w:num>
  <w:num w:numId="41">
    <w:abstractNumId w:val="21"/>
  </w:num>
  <w:num w:numId="42">
    <w:abstractNumId w:val="9"/>
  </w:num>
  <w:num w:numId="43">
    <w:abstractNumId w:val="26"/>
  </w:num>
  <w:num w:numId="44">
    <w:abstractNumId w:val="38"/>
  </w:num>
  <w:num w:numId="45">
    <w:abstractNumId w:val="38"/>
    <w:lvlOverride w:ilvl="0">
      <w:startOverride w:val="1"/>
    </w:lvlOverride>
  </w:num>
  <w:num w:numId="46">
    <w:abstractNumId w:val="8"/>
  </w:num>
  <w:num w:numId="47">
    <w:abstractNumId w:val="59"/>
  </w:num>
  <w:num w:numId="48">
    <w:abstractNumId w:val="18"/>
  </w:num>
  <w:num w:numId="49">
    <w:abstractNumId w:val="34"/>
  </w:num>
  <w:num w:numId="50">
    <w:abstractNumId w:val="30"/>
  </w:num>
  <w:num w:numId="51">
    <w:abstractNumId w:val="38"/>
    <w:lvlOverride w:ilvl="0">
      <w:startOverride w:val="1"/>
    </w:lvlOverride>
  </w:num>
  <w:num w:numId="52">
    <w:abstractNumId w:val="36"/>
  </w:num>
  <w:num w:numId="53">
    <w:abstractNumId w:val="39"/>
  </w:num>
  <w:num w:numId="54">
    <w:abstractNumId w:val="16"/>
  </w:num>
  <w:num w:numId="55">
    <w:abstractNumId w:val="38"/>
    <w:lvlOverride w:ilvl="0">
      <w:startOverride w:val="1"/>
    </w:lvlOverride>
  </w:num>
  <w:num w:numId="56">
    <w:abstractNumId w:val="20"/>
  </w:num>
  <w:num w:numId="57">
    <w:abstractNumId w:val="31"/>
  </w:num>
  <w:num w:numId="58">
    <w:abstractNumId w:val="38"/>
    <w:lvlOverride w:ilvl="0">
      <w:startOverride w:val="1"/>
    </w:lvlOverride>
  </w:num>
  <w:num w:numId="59">
    <w:abstractNumId w:val="13"/>
  </w:num>
  <w:num w:numId="60">
    <w:abstractNumId w:val="11"/>
  </w:num>
  <w:num w:numId="61">
    <w:abstractNumId w:val="40"/>
  </w:num>
  <w:num w:numId="62">
    <w:abstractNumId w:val="50"/>
  </w:num>
  <w:num w:numId="63">
    <w:abstractNumId w:val="54"/>
  </w:num>
  <w:num w:numId="64">
    <w:abstractNumId w:val="6"/>
  </w:num>
  <w:num w:numId="65">
    <w:abstractNumId w:val="57"/>
  </w:num>
  <w:num w:numId="66">
    <w:abstractNumId w:val="22"/>
  </w:num>
  <w:num w:numId="67">
    <w:abstractNumId w:val="10"/>
  </w:num>
  <w:num w:numId="68">
    <w:abstractNumId w:val="15"/>
  </w:num>
  <w:num w:numId="69">
    <w:abstractNumId w:val="64"/>
  </w:num>
  <w:num w:numId="70">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F8F"/>
    <w:rsid w:val="00006AE2"/>
    <w:rsid w:val="000072EA"/>
    <w:rsid w:val="000076A1"/>
    <w:rsid w:val="00010F58"/>
    <w:rsid w:val="00012259"/>
    <w:rsid w:val="000137C6"/>
    <w:rsid w:val="000140EC"/>
    <w:rsid w:val="00017BED"/>
    <w:rsid w:val="0002200B"/>
    <w:rsid w:val="00025383"/>
    <w:rsid w:val="000263EF"/>
    <w:rsid w:val="00030578"/>
    <w:rsid w:val="00031127"/>
    <w:rsid w:val="00031135"/>
    <w:rsid w:val="00031282"/>
    <w:rsid w:val="0003472C"/>
    <w:rsid w:val="0003614E"/>
    <w:rsid w:val="00036AD7"/>
    <w:rsid w:val="00040591"/>
    <w:rsid w:val="00041FCE"/>
    <w:rsid w:val="000438C8"/>
    <w:rsid w:val="000625DD"/>
    <w:rsid w:val="00063657"/>
    <w:rsid w:val="00063CC7"/>
    <w:rsid w:val="0007233D"/>
    <w:rsid w:val="000753A1"/>
    <w:rsid w:val="000759A1"/>
    <w:rsid w:val="00076680"/>
    <w:rsid w:val="0008073E"/>
    <w:rsid w:val="00086EB4"/>
    <w:rsid w:val="00087231"/>
    <w:rsid w:val="00091CDB"/>
    <w:rsid w:val="000931C5"/>
    <w:rsid w:val="00094A84"/>
    <w:rsid w:val="00096A07"/>
    <w:rsid w:val="000A19AC"/>
    <w:rsid w:val="000A436B"/>
    <w:rsid w:val="000A45D3"/>
    <w:rsid w:val="000A4ED3"/>
    <w:rsid w:val="000A5314"/>
    <w:rsid w:val="000A62C0"/>
    <w:rsid w:val="000A6BFA"/>
    <w:rsid w:val="000B034E"/>
    <w:rsid w:val="000B6302"/>
    <w:rsid w:val="000C1303"/>
    <w:rsid w:val="000C2D82"/>
    <w:rsid w:val="000C2DD8"/>
    <w:rsid w:val="000C4796"/>
    <w:rsid w:val="000C4D06"/>
    <w:rsid w:val="000C7895"/>
    <w:rsid w:val="000D06EC"/>
    <w:rsid w:val="000D1F4B"/>
    <w:rsid w:val="000D26F8"/>
    <w:rsid w:val="000D3BE6"/>
    <w:rsid w:val="000E5C4D"/>
    <w:rsid w:val="000F0455"/>
    <w:rsid w:val="000F0E0D"/>
    <w:rsid w:val="000F1B99"/>
    <w:rsid w:val="000F27D0"/>
    <w:rsid w:val="000F2CE1"/>
    <w:rsid w:val="000F5D59"/>
    <w:rsid w:val="000F5E45"/>
    <w:rsid w:val="00102DDC"/>
    <w:rsid w:val="00103CC2"/>
    <w:rsid w:val="00104074"/>
    <w:rsid w:val="00104DC1"/>
    <w:rsid w:val="00105132"/>
    <w:rsid w:val="001068F6"/>
    <w:rsid w:val="00112D8D"/>
    <w:rsid w:val="00113229"/>
    <w:rsid w:val="001152BA"/>
    <w:rsid w:val="001152CF"/>
    <w:rsid w:val="00115F23"/>
    <w:rsid w:val="00116463"/>
    <w:rsid w:val="0012090D"/>
    <w:rsid w:val="00121E20"/>
    <w:rsid w:val="00125D75"/>
    <w:rsid w:val="00127724"/>
    <w:rsid w:val="001337B8"/>
    <w:rsid w:val="001372EB"/>
    <w:rsid w:val="00137F12"/>
    <w:rsid w:val="001405C6"/>
    <w:rsid w:val="00141013"/>
    <w:rsid w:val="001435C6"/>
    <w:rsid w:val="00144AE6"/>
    <w:rsid w:val="00144BE0"/>
    <w:rsid w:val="00150ED6"/>
    <w:rsid w:val="00152FE5"/>
    <w:rsid w:val="001552E6"/>
    <w:rsid w:val="001555EA"/>
    <w:rsid w:val="001576A0"/>
    <w:rsid w:val="0015796F"/>
    <w:rsid w:val="001611D1"/>
    <w:rsid w:val="00162072"/>
    <w:rsid w:val="001644DB"/>
    <w:rsid w:val="00165A4A"/>
    <w:rsid w:val="00166572"/>
    <w:rsid w:val="00166A32"/>
    <w:rsid w:val="00166DD7"/>
    <w:rsid w:val="00170DE7"/>
    <w:rsid w:val="001741F8"/>
    <w:rsid w:val="001824BE"/>
    <w:rsid w:val="00187593"/>
    <w:rsid w:val="001903EB"/>
    <w:rsid w:val="00192350"/>
    <w:rsid w:val="00192CBF"/>
    <w:rsid w:val="00192FF1"/>
    <w:rsid w:val="001A2CE4"/>
    <w:rsid w:val="001A2F2E"/>
    <w:rsid w:val="001A4C06"/>
    <w:rsid w:val="001A5F1B"/>
    <w:rsid w:val="001A637D"/>
    <w:rsid w:val="001B07EA"/>
    <w:rsid w:val="001B0BDF"/>
    <w:rsid w:val="001B1C22"/>
    <w:rsid w:val="001B2465"/>
    <w:rsid w:val="001B34C6"/>
    <w:rsid w:val="001B43AF"/>
    <w:rsid w:val="001C01B5"/>
    <w:rsid w:val="001C3330"/>
    <w:rsid w:val="001C548E"/>
    <w:rsid w:val="001C676F"/>
    <w:rsid w:val="001C6BD8"/>
    <w:rsid w:val="001D337C"/>
    <w:rsid w:val="001D597F"/>
    <w:rsid w:val="001D7832"/>
    <w:rsid w:val="001E04BD"/>
    <w:rsid w:val="001E1F10"/>
    <w:rsid w:val="001E24AA"/>
    <w:rsid w:val="001E27FA"/>
    <w:rsid w:val="001E2897"/>
    <w:rsid w:val="001E455B"/>
    <w:rsid w:val="001E4EA9"/>
    <w:rsid w:val="001E65DE"/>
    <w:rsid w:val="001E73D9"/>
    <w:rsid w:val="001F02D2"/>
    <w:rsid w:val="001F249C"/>
    <w:rsid w:val="001F2DA0"/>
    <w:rsid w:val="001F492E"/>
    <w:rsid w:val="001F4BCF"/>
    <w:rsid w:val="001F6049"/>
    <w:rsid w:val="001F6323"/>
    <w:rsid w:val="001F7A5A"/>
    <w:rsid w:val="00201BF9"/>
    <w:rsid w:val="00203C40"/>
    <w:rsid w:val="0020414B"/>
    <w:rsid w:val="00204755"/>
    <w:rsid w:val="002070FB"/>
    <w:rsid w:val="00210198"/>
    <w:rsid w:val="00210A94"/>
    <w:rsid w:val="00211D34"/>
    <w:rsid w:val="00214F04"/>
    <w:rsid w:val="00215D04"/>
    <w:rsid w:val="00216550"/>
    <w:rsid w:val="00216FFA"/>
    <w:rsid w:val="002218E8"/>
    <w:rsid w:val="00222D64"/>
    <w:rsid w:val="002257F1"/>
    <w:rsid w:val="00230A63"/>
    <w:rsid w:val="00231AB6"/>
    <w:rsid w:val="00233B9D"/>
    <w:rsid w:val="00234A37"/>
    <w:rsid w:val="002352D3"/>
    <w:rsid w:val="002409A9"/>
    <w:rsid w:val="00242845"/>
    <w:rsid w:val="002440DA"/>
    <w:rsid w:val="0024518E"/>
    <w:rsid w:val="00250E94"/>
    <w:rsid w:val="00250F1B"/>
    <w:rsid w:val="002535D2"/>
    <w:rsid w:val="0025392D"/>
    <w:rsid w:val="00257058"/>
    <w:rsid w:val="0026128B"/>
    <w:rsid w:val="00261EEB"/>
    <w:rsid w:val="00262E2C"/>
    <w:rsid w:val="00263C73"/>
    <w:rsid w:val="002666E0"/>
    <w:rsid w:val="00266807"/>
    <w:rsid w:val="00266CD6"/>
    <w:rsid w:val="00272281"/>
    <w:rsid w:val="002725AA"/>
    <w:rsid w:val="0027282F"/>
    <w:rsid w:val="00275A13"/>
    <w:rsid w:val="00275DAB"/>
    <w:rsid w:val="00277F5D"/>
    <w:rsid w:val="00280291"/>
    <w:rsid w:val="00280676"/>
    <w:rsid w:val="00280E15"/>
    <w:rsid w:val="002868E4"/>
    <w:rsid w:val="00286FB6"/>
    <w:rsid w:val="00287683"/>
    <w:rsid w:val="00290DAB"/>
    <w:rsid w:val="0029418B"/>
    <w:rsid w:val="00295914"/>
    <w:rsid w:val="002962E5"/>
    <w:rsid w:val="00296D84"/>
    <w:rsid w:val="00297B92"/>
    <w:rsid w:val="002A14C3"/>
    <w:rsid w:val="002A1AE7"/>
    <w:rsid w:val="002A1EEA"/>
    <w:rsid w:val="002A3661"/>
    <w:rsid w:val="002A6073"/>
    <w:rsid w:val="002A77EE"/>
    <w:rsid w:val="002A782A"/>
    <w:rsid w:val="002B11E2"/>
    <w:rsid w:val="002B24B8"/>
    <w:rsid w:val="002B4497"/>
    <w:rsid w:val="002B6DB5"/>
    <w:rsid w:val="002B6EE1"/>
    <w:rsid w:val="002C209B"/>
    <w:rsid w:val="002C23EE"/>
    <w:rsid w:val="002C2742"/>
    <w:rsid w:val="002C38D4"/>
    <w:rsid w:val="002D2510"/>
    <w:rsid w:val="002D2BCA"/>
    <w:rsid w:val="002D2CF2"/>
    <w:rsid w:val="002D3AE9"/>
    <w:rsid w:val="002D4510"/>
    <w:rsid w:val="002D62B7"/>
    <w:rsid w:val="002E2972"/>
    <w:rsid w:val="002E3647"/>
    <w:rsid w:val="002E3D6D"/>
    <w:rsid w:val="002F0734"/>
    <w:rsid w:val="002F2570"/>
    <w:rsid w:val="002F28C5"/>
    <w:rsid w:val="002F3CC0"/>
    <w:rsid w:val="002F46E7"/>
    <w:rsid w:val="002F4E59"/>
    <w:rsid w:val="002F64D4"/>
    <w:rsid w:val="00301260"/>
    <w:rsid w:val="0030286F"/>
    <w:rsid w:val="00304035"/>
    <w:rsid w:val="00306045"/>
    <w:rsid w:val="0030794B"/>
    <w:rsid w:val="003101DA"/>
    <w:rsid w:val="0031428D"/>
    <w:rsid w:val="00314757"/>
    <w:rsid w:val="003158AB"/>
    <w:rsid w:val="00315E1B"/>
    <w:rsid w:val="003161BD"/>
    <w:rsid w:val="003168AB"/>
    <w:rsid w:val="003211CE"/>
    <w:rsid w:val="00322286"/>
    <w:rsid w:val="003235A2"/>
    <w:rsid w:val="0032545C"/>
    <w:rsid w:val="003262DE"/>
    <w:rsid w:val="00327567"/>
    <w:rsid w:val="00330689"/>
    <w:rsid w:val="0033136D"/>
    <w:rsid w:val="00332F8C"/>
    <w:rsid w:val="00333F48"/>
    <w:rsid w:val="0034097F"/>
    <w:rsid w:val="003412E6"/>
    <w:rsid w:val="003415AF"/>
    <w:rsid w:val="0034218E"/>
    <w:rsid w:val="00342891"/>
    <w:rsid w:val="0034364F"/>
    <w:rsid w:val="0034720E"/>
    <w:rsid w:val="00350EF2"/>
    <w:rsid w:val="00352679"/>
    <w:rsid w:val="00352D6D"/>
    <w:rsid w:val="00352DD8"/>
    <w:rsid w:val="0035403A"/>
    <w:rsid w:val="00360F81"/>
    <w:rsid w:val="0036376F"/>
    <w:rsid w:val="0036394B"/>
    <w:rsid w:val="00366145"/>
    <w:rsid w:val="003702BB"/>
    <w:rsid w:val="003709B5"/>
    <w:rsid w:val="00374639"/>
    <w:rsid w:val="003759C2"/>
    <w:rsid w:val="00375AA8"/>
    <w:rsid w:val="003825E2"/>
    <w:rsid w:val="003833CA"/>
    <w:rsid w:val="00384CF9"/>
    <w:rsid w:val="003851EC"/>
    <w:rsid w:val="003914C5"/>
    <w:rsid w:val="003941F4"/>
    <w:rsid w:val="00394A0C"/>
    <w:rsid w:val="00397365"/>
    <w:rsid w:val="00397366"/>
    <w:rsid w:val="003A1EB1"/>
    <w:rsid w:val="003A31F6"/>
    <w:rsid w:val="003A3D64"/>
    <w:rsid w:val="003A4B61"/>
    <w:rsid w:val="003A4D82"/>
    <w:rsid w:val="003B1994"/>
    <w:rsid w:val="003B4CB3"/>
    <w:rsid w:val="003B5C34"/>
    <w:rsid w:val="003B5C92"/>
    <w:rsid w:val="003C1808"/>
    <w:rsid w:val="003C3447"/>
    <w:rsid w:val="003C402C"/>
    <w:rsid w:val="003C4460"/>
    <w:rsid w:val="003C4AD4"/>
    <w:rsid w:val="003C5531"/>
    <w:rsid w:val="003C6114"/>
    <w:rsid w:val="003C71B9"/>
    <w:rsid w:val="003D076C"/>
    <w:rsid w:val="003D08A9"/>
    <w:rsid w:val="003D460D"/>
    <w:rsid w:val="003D4759"/>
    <w:rsid w:val="003D744D"/>
    <w:rsid w:val="003D7780"/>
    <w:rsid w:val="003E0B37"/>
    <w:rsid w:val="003E56C4"/>
    <w:rsid w:val="003E78B5"/>
    <w:rsid w:val="003E7972"/>
    <w:rsid w:val="003F02C3"/>
    <w:rsid w:val="003F435D"/>
    <w:rsid w:val="004031B3"/>
    <w:rsid w:val="00406602"/>
    <w:rsid w:val="00406930"/>
    <w:rsid w:val="0041072D"/>
    <w:rsid w:val="00414560"/>
    <w:rsid w:val="0041488D"/>
    <w:rsid w:val="00415BAB"/>
    <w:rsid w:val="00415ED2"/>
    <w:rsid w:val="0042068C"/>
    <w:rsid w:val="004210BF"/>
    <w:rsid w:val="004216A0"/>
    <w:rsid w:val="004239AA"/>
    <w:rsid w:val="00423A56"/>
    <w:rsid w:val="00432A37"/>
    <w:rsid w:val="00433A1F"/>
    <w:rsid w:val="00433C7E"/>
    <w:rsid w:val="00434116"/>
    <w:rsid w:val="00434B9C"/>
    <w:rsid w:val="00435061"/>
    <w:rsid w:val="00437693"/>
    <w:rsid w:val="0044170C"/>
    <w:rsid w:val="00444E6B"/>
    <w:rsid w:val="0044787D"/>
    <w:rsid w:val="0045029C"/>
    <w:rsid w:val="00451348"/>
    <w:rsid w:val="00451602"/>
    <w:rsid w:val="00457BD3"/>
    <w:rsid w:val="0046471D"/>
    <w:rsid w:val="004661AF"/>
    <w:rsid w:val="00466E63"/>
    <w:rsid w:val="0047122B"/>
    <w:rsid w:val="0047341F"/>
    <w:rsid w:val="00473874"/>
    <w:rsid w:val="00473B7A"/>
    <w:rsid w:val="00482682"/>
    <w:rsid w:val="004828E2"/>
    <w:rsid w:val="00483A6D"/>
    <w:rsid w:val="0048429A"/>
    <w:rsid w:val="0048656B"/>
    <w:rsid w:val="00486ACA"/>
    <w:rsid w:val="00491028"/>
    <w:rsid w:val="0049111D"/>
    <w:rsid w:val="00491ABD"/>
    <w:rsid w:val="004927EA"/>
    <w:rsid w:val="004958F2"/>
    <w:rsid w:val="00495BF4"/>
    <w:rsid w:val="004960E9"/>
    <w:rsid w:val="004975D0"/>
    <w:rsid w:val="004A0A61"/>
    <w:rsid w:val="004A2E88"/>
    <w:rsid w:val="004A496A"/>
    <w:rsid w:val="004A5305"/>
    <w:rsid w:val="004A53CA"/>
    <w:rsid w:val="004A56F0"/>
    <w:rsid w:val="004A6613"/>
    <w:rsid w:val="004B0F15"/>
    <w:rsid w:val="004B136C"/>
    <w:rsid w:val="004B3B57"/>
    <w:rsid w:val="004B7A16"/>
    <w:rsid w:val="004C0C4E"/>
    <w:rsid w:val="004C2648"/>
    <w:rsid w:val="004C4A93"/>
    <w:rsid w:val="004C7D8C"/>
    <w:rsid w:val="004D07D1"/>
    <w:rsid w:val="004D0E35"/>
    <w:rsid w:val="004D3943"/>
    <w:rsid w:val="004D3FD6"/>
    <w:rsid w:val="004D4BEC"/>
    <w:rsid w:val="004D7041"/>
    <w:rsid w:val="004D7634"/>
    <w:rsid w:val="004E1149"/>
    <w:rsid w:val="004E2529"/>
    <w:rsid w:val="004E3570"/>
    <w:rsid w:val="004E500D"/>
    <w:rsid w:val="004E6AFF"/>
    <w:rsid w:val="004F1D30"/>
    <w:rsid w:val="004F2E30"/>
    <w:rsid w:val="004F3539"/>
    <w:rsid w:val="004F56FA"/>
    <w:rsid w:val="005005F2"/>
    <w:rsid w:val="005018E2"/>
    <w:rsid w:val="00501C5C"/>
    <w:rsid w:val="00504DF1"/>
    <w:rsid w:val="00505168"/>
    <w:rsid w:val="00506380"/>
    <w:rsid w:val="0050786A"/>
    <w:rsid w:val="00510A5F"/>
    <w:rsid w:val="00510C05"/>
    <w:rsid w:val="00511017"/>
    <w:rsid w:val="00512F14"/>
    <w:rsid w:val="0051539D"/>
    <w:rsid w:val="00515E8D"/>
    <w:rsid w:val="00520C02"/>
    <w:rsid w:val="00521707"/>
    <w:rsid w:val="005226CB"/>
    <w:rsid w:val="0052288A"/>
    <w:rsid w:val="00527041"/>
    <w:rsid w:val="005300D3"/>
    <w:rsid w:val="00534D70"/>
    <w:rsid w:val="00535112"/>
    <w:rsid w:val="005355E2"/>
    <w:rsid w:val="005363E7"/>
    <w:rsid w:val="00536A74"/>
    <w:rsid w:val="0054188F"/>
    <w:rsid w:val="00544F82"/>
    <w:rsid w:val="00553530"/>
    <w:rsid w:val="00553734"/>
    <w:rsid w:val="00553A0F"/>
    <w:rsid w:val="005548EA"/>
    <w:rsid w:val="00555041"/>
    <w:rsid w:val="0055527B"/>
    <w:rsid w:val="00555ABE"/>
    <w:rsid w:val="0056154F"/>
    <w:rsid w:val="005654DB"/>
    <w:rsid w:val="005657F4"/>
    <w:rsid w:val="005658DC"/>
    <w:rsid w:val="00567BB4"/>
    <w:rsid w:val="00570E60"/>
    <w:rsid w:val="00571AB4"/>
    <w:rsid w:val="00573E2A"/>
    <w:rsid w:val="00580553"/>
    <w:rsid w:val="00580966"/>
    <w:rsid w:val="00581073"/>
    <w:rsid w:val="005811AE"/>
    <w:rsid w:val="005821F7"/>
    <w:rsid w:val="00584A47"/>
    <w:rsid w:val="00585893"/>
    <w:rsid w:val="00585AF3"/>
    <w:rsid w:val="005867D5"/>
    <w:rsid w:val="005879DC"/>
    <w:rsid w:val="00587BA0"/>
    <w:rsid w:val="00593C4F"/>
    <w:rsid w:val="005946A8"/>
    <w:rsid w:val="005A286D"/>
    <w:rsid w:val="005A30D7"/>
    <w:rsid w:val="005A4407"/>
    <w:rsid w:val="005A456B"/>
    <w:rsid w:val="005A49FE"/>
    <w:rsid w:val="005A5987"/>
    <w:rsid w:val="005A59EF"/>
    <w:rsid w:val="005A5D2C"/>
    <w:rsid w:val="005A6805"/>
    <w:rsid w:val="005B07C4"/>
    <w:rsid w:val="005B19CF"/>
    <w:rsid w:val="005B236A"/>
    <w:rsid w:val="005B2AA2"/>
    <w:rsid w:val="005B5829"/>
    <w:rsid w:val="005B6429"/>
    <w:rsid w:val="005C1761"/>
    <w:rsid w:val="005C7E75"/>
    <w:rsid w:val="005D3545"/>
    <w:rsid w:val="005D3835"/>
    <w:rsid w:val="005D4282"/>
    <w:rsid w:val="005E0118"/>
    <w:rsid w:val="005E3520"/>
    <w:rsid w:val="005E65B4"/>
    <w:rsid w:val="005F30C7"/>
    <w:rsid w:val="005F65C0"/>
    <w:rsid w:val="005F6F41"/>
    <w:rsid w:val="005F793A"/>
    <w:rsid w:val="00601B6C"/>
    <w:rsid w:val="00604AE4"/>
    <w:rsid w:val="00606A5E"/>
    <w:rsid w:val="00615FCF"/>
    <w:rsid w:val="0061791B"/>
    <w:rsid w:val="00620699"/>
    <w:rsid w:val="00621949"/>
    <w:rsid w:val="006222D0"/>
    <w:rsid w:val="00625DC6"/>
    <w:rsid w:val="00626D5F"/>
    <w:rsid w:val="00630421"/>
    <w:rsid w:val="0063250C"/>
    <w:rsid w:val="00632CCF"/>
    <w:rsid w:val="006363D6"/>
    <w:rsid w:val="006414B4"/>
    <w:rsid w:val="006419FD"/>
    <w:rsid w:val="00642BB0"/>
    <w:rsid w:val="0064391D"/>
    <w:rsid w:val="0064501D"/>
    <w:rsid w:val="00650285"/>
    <w:rsid w:val="00651821"/>
    <w:rsid w:val="00652A2A"/>
    <w:rsid w:val="006539B4"/>
    <w:rsid w:val="00654384"/>
    <w:rsid w:val="006544EE"/>
    <w:rsid w:val="0065562C"/>
    <w:rsid w:val="00656F94"/>
    <w:rsid w:val="00661431"/>
    <w:rsid w:val="006616FB"/>
    <w:rsid w:val="00661DA8"/>
    <w:rsid w:val="006675CD"/>
    <w:rsid w:val="006747E9"/>
    <w:rsid w:val="00675EDB"/>
    <w:rsid w:val="00675F6E"/>
    <w:rsid w:val="00675FC0"/>
    <w:rsid w:val="006775DF"/>
    <w:rsid w:val="006811A5"/>
    <w:rsid w:val="006842F8"/>
    <w:rsid w:val="00684D9B"/>
    <w:rsid w:val="00687F25"/>
    <w:rsid w:val="0069173D"/>
    <w:rsid w:val="00691888"/>
    <w:rsid w:val="00691A66"/>
    <w:rsid w:val="00692727"/>
    <w:rsid w:val="00697556"/>
    <w:rsid w:val="006A1E8C"/>
    <w:rsid w:val="006A75F2"/>
    <w:rsid w:val="006A772E"/>
    <w:rsid w:val="006B043D"/>
    <w:rsid w:val="006B1210"/>
    <w:rsid w:val="006B35D9"/>
    <w:rsid w:val="006B3AA9"/>
    <w:rsid w:val="006B3B48"/>
    <w:rsid w:val="006B4C2B"/>
    <w:rsid w:val="006B61F3"/>
    <w:rsid w:val="006B6D47"/>
    <w:rsid w:val="006C02E0"/>
    <w:rsid w:val="006C1E03"/>
    <w:rsid w:val="006C2C53"/>
    <w:rsid w:val="006C5828"/>
    <w:rsid w:val="006C5AFE"/>
    <w:rsid w:val="006D190C"/>
    <w:rsid w:val="006D2692"/>
    <w:rsid w:val="006D3827"/>
    <w:rsid w:val="006D4C7E"/>
    <w:rsid w:val="006D5322"/>
    <w:rsid w:val="006D5CC8"/>
    <w:rsid w:val="006D77A8"/>
    <w:rsid w:val="006E306C"/>
    <w:rsid w:val="006E307D"/>
    <w:rsid w:val="006F3CF1"/>
    <w:rsid w:val="006F57AE"/>
    <w:rsid w:val="006F5CF8"/>
    <w:rsid w:val="006F6D95"/>
    <w:rsid w:val="006F70C1"/>
    <w:rsid w:val="0070454A"/>
    <w:rsid w:val="00704947"/>
    <w:rsid w:val="00706F13"/>
    <w:rsid w:val="007072E8"/>
    <w:rsid w:val="00710B85"/>
    <w:rsid w:val="00712E95"/>
    <w:rsid w:val="00715B4E"/>
    <w:rsid w:val="00715C2C"/>
    <w:rsid w:val="0071618D"/>
    <w:rsid w:val="0072243A"/>
    <w:rsid w:val="007251E4"/>
    <w:rsid w:val="00725FA4"/>
    <w:rsid w:val="007327C7"/>
    <w:rsid w:val="00735162"/>
    <w:rsid w:val="00735358"/>
    <w:rsid w:val="00736F5A"/>
    <w:rsid w:val="00737917"/>
    <w:rsid w:val="00740446"/>
    <w:rsid w:val="00742F09"/>
    <w:rsid w:val="007438A9"/>
    <w:rsid w:val="0074491E"/>
    <w:rsid w:val="00746A42"/>
    <w:rsid w:val="00752B7E"/>
    <w:rsid w:val="007536CD"/>
    <w:rsid w:val="00753792"/>
    <w:rsid w:val="00754D5F"/>
    <w:rsid w:val="00755D06"/>
    <w:rsid w:val="007563E2"/>
    <w:rsid w:val="0075721E"/>
    <w:rsid w:val="0076247A"/>
    <w:rsid w:val="00764779"/>
    <w:rsid w:val="0076642A"/>
    <w:rsid w:val="0076706A"/>
    <w:rsid w:val="00767FE8"/>
    <w:rsid w:val="00772311"/>
    <w:rsid w:val="00775964"/>
    <w:rsid w:val="007765FE"/>
    <w:rsid w:val="00783BF4"/>
    <w:rsid w:val="00784912"/>
    <w:rsid w:val="00786928"/>
    <w:rsid w:val="0078754B"/>
    <w:rsid w:val="00790CE6"/>
    <w:rsid w:val="007912E0"/>
    <w:rsid w:val="00794A7F"/>
    <w:rsid w:val="00795BFB"/>
    <w:rsid w:val="0079707C"/>
    <w:rsid w:val="007A0DA7"/>
    <w:rsid w:val="007A401B"/>
    <w:rsid w:val="007A59B0"/>
    <w:rsid w:val="007A7A6B"/>
    <w:rsid w:val="007B021F"/>
    <w:rsid w:val="007B0460"/>
    <w:rsid w:val="007B154F"/>
    <w:rsid w:val="007B2760"/>
    <w:rsid w:val="007B4FC0"/>
    <w:rsid w:val="007B5B05"/>
    <w:rsid w:val="007C1A93"/>
    <w:rsid w:val="007C1C89"/>
    <w:rsid w:val="007C44A2"/>
    <w:rsid w:val="007C4952"/>
    <w:rsid w:val="007D00C7"/>
    <w:rsid w:val="007D4332"/>
    <w:rsid w:val="007E0D38"/>
    <w:rsid w:val="007E34A5"/>
    <w:rsid w:val="007E444A"/>
    <w:rsid w:val="007E6E71"/>
    <w:rsid w:val="007F244A"/>
    <w:rsid w:val="007F2D41"/>
    <w:rsid w:val="007F3401"/>
    <w:rsid w:val="007F4353"/>
    <w:rsid w:val="007F7B58"/>
    <w:rsid w:val="008028B8"/>
    <w:rsid w:val="00803B32"/>
    <w:rsid w:val="00804293"/>
    <w:rsid w:val="00804514"/>
    <w:rsid w:val="00804F0E"/>
    <w:rsid w:val="008066AF"/>
    <w:rsid w:val="00806C01"/>
    <w:rsid w:val="00810475"/>
    <w:rsid w:val="0081387A"/>
    <w:rsid w:val="008139FF"/>
    <w:rsid w:val="008148CC"/>
    <w:rsid w:val="008151DA"/>
    <w:rsid w:val="008156FD"/>
    <w:rsid w:val="00815E39"/>
    <w:rsid w:val="0081678D"/>
    <w:rsid w:val="008211A4"/>
    <w:rsid w:val="00823416"/>
    <w:rsid w:val="00827762"/>
    <w:rsid w:val="00831A04"/>
    <w:rsid w:val="008320D0"/>
    <w:rsid w:val="0083452B"/>
    <w:rsid w:val="00834DD9"/>
    <w:rsid w:val="008358DC"/>
    <w:rsid w:val="00835A73"/>
    <w:rsid w:val="00837B75"/>
    <w:rsid w:val="008428B6"/>
    <w:rsid w:val="0084444B"/>
    <w:rsid w:val="008445A5"/>
    <w:rsid w:val="008459C6"/>
    <w:rsid w:val="008477EE"/>
    <w:rsid w:val="00850516"/>
    <w:rsid w:val="00854523"/>
    <w:rsid w:val="008554B8"/>
    <w:rsid w:val="008571C2"/>
    <w:rsid w:val="00861223"/>
    <w:rsid w:val="00863046"/>
    <w:rsid w:val="0086376C"/>
    <w:rsid w:val="008651CC"/>
    <w:rsid w:val="00865ACD"/>
    <w:rsid w:val="008677FF"/>
    <w:rsid w:val="0087047C"/>
    <w:rsid w:val="008727DF"/>
    <w:rsid w:val="00873150"/>
    <w:rsid w:val="00874FBA"/>
    <w:rsid w:val="0087657D"/>
    <w:rsid w:val="0087757F"/>
    <w:rsid w:val="008807D5"/>
    <w:rsid w:val="00880832"/>
    <w:rsid w:val="00884922"/>
    <w:rsid w:val="00886EE1"/>
    <w:rsid w:val="0088727D"/>
    <w:rsid w:val="00887442"/>
    <w:rsid w:val="008914D0"/>
    <w:rsid w:val="008956E3"/>
    <w:rsid w:val="00896AC8"/>
    <w:rsid w:val="00897C75"/>
    <w:rsid w:val="008A0840"/>
    <w:rsid w:val="008A18FE"/>
    <w:rsid w:val="008A23E6"/>
    <w:rsid w:val="008A3138"/>
    <w:rsid w:val="008A3FAF"/>
    <w:rsid w:val="008B6492"/>
    <w:rsid w:val="008B7F5E"/>
    <w:rsid w:val="008C1130"/>
    <w:rsid w:val="008C542B"/>
    <w:rsid w:val="008C5E6E"/>
    <w:rsid w:val="008D05A4"/>
    <w:rsid w:val="008D18E6"/>
    <w:rsid w:val="008D1DA9"/>
    <w:rsid w:val="008D4FCE"/>
    <w:rsid w:val="008D7A9B"/>
    <w:rsid w:val="008E2CF5"/>
    <w:rsid w:val="008E41EC"/>
    <w:rsid w:val="008E4732"/>
    <w:rsid w:val="008E4C32"/>
    <w:rsid w:val="008E6B82"/>
    <w:rsid w:val="008E76AC"/>
    <w:rsid w:val="008F0587"/>
    <w:rsid w:val="008F20BA"/>
    <w:rsid w:val="008F21F6"/>
    <w:rsid w:val="008F317A"/>
    <w:rsid w:val="008F49B3"/>
    <w:rsid w:val="008F5883"/>
    <w:rsid w:val="008F68C6"/>
    <w:rsid w:val="008F73D1"/>
    <w:rsid w:val="00901554"/>
    <w:rsid w:val="009020F4"/>
    <w:rsid w:val="00904B85"/>
    <w:rsid w:val="00905402"/>
    <w:rsid w:val="00906A85"/>
    <w:rsid w:val="009077E5"/>
    <w:rsid w:val="009078CE"/>
    <w:rsid w:val="00917F46"/>
    <w:rsid w:val="00920E1B"/>
    <w:rsid w:val="00921D79"/>
    <w:rsid w:val="0092417F"/>
    <w:rsid w:val="009242B3"/>
    <w:rsid w:val="009259F4"/>
    <w:rsid w:val="009359F3"/>
    <w:rsid w:val="00936246"/>
    <w:rsid w:val="009362E6"/>
    <w:rsid w:val="00936DD0"/>
    <w:rsid w:val="00940D98"/>
    <w:rsid w:val="00940E43"/>
    <w:rsid w:val="009456DE"/>
    <w:rsid w:val="00945972"/>
    <w:rsid w:val="0094662A"/>
    <w:rsid w:val="009474CD"/>
    <w:rsid w:val="0094787D"/>
    <w:rsid w:val="00951F79"/>
    <w:rsid w:val="0095599F"/>
    <w:rsid w:val="00956D33"/>
    <w:rsid w:val="00956FE4"/>
    <w:rsid w:val="00962869"/>
    <w:rsid w:val="00963465"/>
    <w:rsid w:val="0096399B"/>
    <w:rsid w:val="00963A0D"/>
    <w:rsid w:val="00963E9C"/>
    <w:rsid w:val="009721F4"/>
    <w:rsid w:val="00974AB5"/>
    <w:rsid w:val="009754CD"/>
    <w:rsid w:val="00975783"/>
    <w:rsid w:val="00977CFD"/>
    <w:rsid w:val="00985F9C"/>
    <w:rsid w:val="009864D7"/>
    <w:rsid w:val="0098706D"/>
    <w:rsid w:val="00987E38"/>
    <w:rsid w:val="009906B1"/>
    <w:rsid w:val="009935FB"/>
    <w:rsid w:val="009A1787"/>
    <w:rsid w:val="009A47B0"/>
    <w:rsid w:val="009A5038"/>
    <w:rsid w:val="009A79CB"/>
    <w:rsid w:val="009B2BBF"/>
    <w:rsid w:val="009B4F4F"/>
    <w:rsid w:val="009B68F4"/>
    <w:rsid w:val="009B7CEA"/>
    <w:rsid w:val="009C0409"/>
    <w:rsid w:val="009C05C3"/>
    <w:rsid w:val="009C1A05"/>
    <w:rsid w:val="009C22BF"/>
    <w:rsid w:val="009C2B72"/>
    <w:rsid w:val="009C64F4"/>
    <w:rsid w:val="009D4904"/>
    <w:rsid w:val="009D6DA2"/>
    <w:rsid w:val="009E07D3"/>
    <w:rsid w:val="009E4060"/>
    <w:rsid w:val="009E5148"/>
    <w:rsid w:val="009F0A65"/>
    <w:rsid w:val="009F1441"/>
    <w:rsid w:val="009F4A54"/>
    <w:rsid w:val="009F4BEC"/>
    <w:rsid w:val="009F60BD"/>
    <w:rsid w:val="00A00412"/>
    <w:rsid w:val="00A00EE3"/>
    <w:rsid w:val="00A01E24"/>
    <w:rsid w:val="00A03C0D"/>
    <w:rsid w:val="00A04026"/>
    <w:rsid w:val="00A04205"/>
    <w:rsid w:val="00A045F1"/>
    <w:rsid w:val="00A06D85"/>
    <w:rsid w:val="00A0756E"/>
    <w:rsid w:val="00A07D51"/>
    <w:rsid w:val="00A122A1"/>
    <w:rsid w:val="00A12333"/>
    <w:rsid w:val="00A131A1"/>
    <w:rsid w:val="00A2218F"/>
    <w:rsid w:val="00A23688"/>
    <w:rsid w:val="00A23823"/>
    <w:rsid w:val="00A25FD7"/>
    <w:rsid w:val="00A26A70"/>
    <w:rsid w:val="00A31050"/>
    <w:rsid w:val="00A326CF"/>
    <w:rsid w:val="00A376C7"/>
    <w:rsid w:val="00A43AFF"/>
    <w:rsid w:val="00A47216"/>
    <w:rsid w:val="00A52ABB"/>
    <w:rsid w:val="00A54337"/>
    <w:rsid w:val="00A5476A"/>
    <w:rsid w:val="00A566E0"/>
    <w:rsid w:val="00A60317"/>
    <w:rsid w:val="00A619EB"/>
    <w:rsid w:val="00A626F1"/>
    <w:rsid w:val="00A62919"/>
    <w:rsid w:val="00A645F4"/>
    <w:rsid w:val="00A668CD"/>
    <w:rsid w:val="00A7044D"/>
    <w:rsid w:val="00A70FD7"/>
    <w:rsid w:val="00A7100F"/>
    <w:rsid w:val="00A73BC8"/>
    <w:rsid w:val="00A74E29"/>
    <w:rsid w:val="00A75BD6"/>
    <w:rsid w:val="00A7610A"/>
    <w:rsid w:val="00A7793A"/>
    <w:rsid w:val="00A8009E"/>
    <w:rsid w:val="00A814ED"/>
    <w:rsid w:val="00A95CB0"/>
    <w:rsid w:val="00A9639C"/>
    <w:rsid w:val="00A96533"/>
    <w:rsid w:val="00AA0C87"/>
    <w:rsid w:val="00AA2104"/>
    <w:rsid w:val="00AA4CC7"/>
    <w:rsid w:val="00AA5E8E"/>
    <w:rsid w:val="00AA7D3B"/>
    <w:rsid w:val="00AB6CA7"/>
    <w:rsid w:val="00AC1B48"/>
    <w:rsid w:val="00AC2EBF"/>
    <w:rsid w:val="00AC36E0"/>
    <w:rsid w:val="00AC4961"/>
    <w:rsid w:val="00AC7620"/>
    <w:rsid w:val="00AD01D4"/>
    <w:rsid w:val="00AD01E4"/>
    <w:rsid w:val="00AD0858"/>
    <w:rsid w:val="00AD0E77"/>
    <w:rsid w:val="00AD268D"/>
    <w:rsid w:val="00AD2F7A"/>
    <w:rsid w:val="00AD3AE3"/>
    <w:rsid w:val="00AD542B"/>
    <w:rsid w:val="00AD57C2"/>
    <w:rsid w:val="00AE0D6F"/>
    <w:rsid w:val="00AE1619"/>
    <w:rsid w:val="00AE3EF7"/>
    <w:rsid w:val="00AE7340"/>
    <w:rsid w:val="00AE7741"/>
    <w:rsid w:val="00AF03B7"/>
    <w:rsid w:val="00AF0C40"/>
    <w:rsid w:val="00AF1BBD"/>
    <w:rsid w:val="00AF5AB9"/>
    <w:rsid w:val="00B0456E"/>
    <w:rsid w:val="00B05208"/>
    <w:rsid w:val="00B056C5"/>
    <w:rsid w:val="00B10207"/>
    <w:rsid w:val="00B141E7"/>
    <w:rsid w:val="00B20EFE"/>
    <w:rsid w:val="00B217EA"/>
    <w:rsid w:val="00B21AE5"/>
    <w:rsid w:val="00B2315F"/>
    <w:rsid w:val="00B23E84"/>
    <w:rsid w:val="00B24864"/>
    <w:rsid w:val="00B24E47"/>
    <w:rsid w:val="00B310AE"/>
    <w:rsid w:val="00B31137"/>
    <w:rsid w:val="00B3233E"/>
    <w:rsid w:val="00B32CDA"/>
    <w:rsid w:val="00B33183"/>
    <w:rsid w:val="00B34685"/>
    <w:rsid w:val="00B351B4"/>
    <w:rsid w:val="00B3630D"/>
    <w:rsid w:val="00B40F83"/>
    <w:rsid w:val="00B44F65"/>
    <w:rsid w:val="00B46BCA"/>
    <w:rsid w:val="00B52EAD"/>
    <w:rsid w:val="00B5328D"/>
    <w:rsid w:val="00B54703"/>
    <w:rsid w:val="00B57C58"/>
    <w:rsid w:val="00B60F86"/>
    <w:rsid w:val="00B61685"/>
    <w:rsid w:val="00B64770"/>
    <w:rsid w:val="00B67591"/>
    <w:rsid w:val="00B703DB"/>
    <w:rsid w:val="00B7202D"/>
    <w:rsid w:val="00B72A69"/>
    <w:rsid w:val="00B740C2"/>
    <w:rsid w:val="00B77F9D"/>
    <w:rsid w:val="00B8154B"/>
    <w:rsid w:val="00B877B9"/>
    <w:rsid w:val="00B87806"/>
    <w:rsid w:val="00B87EC9"/>
    <w:rsid w:val="00B92F9F"/>
    <w:rsid w:val="00B93CD4"/>
    <w:rsid w:val="00B9538F"/>
    <w:rsid w:val="00BA04BF"/>
    <w:rsid w:val="00BA24F4"/>
    <w:rsid w:val="00BA3542"/>
    <w:rsid w:val="00BA56C6"/>
    <w:rsid w:val="00BA5E26"/>
    <w:rsid w:val="00BB06BF"/>
    <w:rsid w:val="00BB0AA2"/>
    <w:rsid w:val="00BB31D9"/>
    <w:rsid w:val="00BB54BF"/>
    <w:rsid w:val="00BB57E6"/>
    <w:rsid w:val="00BC0F81"/>
    <w:rsid w:val="00BC1452"/>
    <w:rsid w:val="00BC16F1"/>
    <w:rsid w:val="00BC38FD"/>
    <w:rsid w:val="00BC4342"/>
    <w:rsid w:val="00BC59C8"/>
    <w:rsid w:val="00BD281F"/>
    <w:rsid w:val="00BD3392"/>
    <w:rsid w:val="00BD5FDA"/>
    <w:rsid w:val="00BD741A"/>
    <w:rsid w:val="00BD76E2"/>
    <w:rsid w:val="00BE1729"/>
    <w:rsid w:val="00BE2A80"/>
    <w:rsid w:val="00BE463E"/>
    <w:rsid w:val="00BE6B9A"/>
    <w:rsid w:val="00BE7BE2"/>
    <w:rsid w:val="00BF1863"/>
    <w:rsid w:val="00BF1A75"/>
    <w:rsid w:val="00BF374F"/>
    <w:rsid w:val="00BF4B29"/>
    <w:rsid w:val="00BF7DAF"/>
    <w:rsid w:val="00C025F1"/>
    <w:rsid w:val="00C034CB"/>
    <w:rsid w:val="00C051A8"/>
    <w:rsid w:val="00C054BC"/>
    <w:rsid w:val="00C06AD0"/>
    <w:rsid w:val="00C10833"/>
    <w:rsid w:val="00C10E6B"/>
    <w:rsid w:val="00C135BA"/>
    <w:rsid w:val="00C172CF"/>
    <w:rsid w:val="00C17897"/>
    <w:rsid w:val="00C17DA8"/>
    <w:rsid w:val="00C209D7"/>
    <w:rsid w:val="00C22506"/>
    <w:rsid w:val="00C240F2"/>
    <w:rsid w:val="00C30FAB"/>
    <w:rsid w:val="00C329AB"/>
    <w:rsid w:val="00C32ABA"/>
    <w:rsid w:val="00C3445B"/>
    <w:rsid w:val="00C3518D"/>
    <w:rsid w:val="00C35A40"/>
    <w:rsid w:val="00C36AF7"/>
    <w:rsid w:val="00C40012"/>
    <w:rsid w:val="00C4013B"/>
    <w:rsid w:val="00C409D5"/>
    <w:rsid w:val="00C435C3"/>
    <w:rsid w:val="00C4425A"/>
    <w:rsid w:val="00C44514"/>
    <w:rsid w:val="00C44AC9"/>
    <w:rsid w:val="00C51EA6"/>
    <w:rsid w:val="00C54FCA"/>
    <w:rsid w:val="00C56EFD"/>
    <w:rsid w:val="00C6064B"/>
    <w:rsid w:val="00C6234B"/>
    <w:rsid w:val="00C628CE"/>
    <w:rsid w:val="00C63EAE"/>
    <w:rsid w:val="00C66D18"/>
    <w:rsid w:val="00C70207"/>
    <w:rsid w:val="00C71A42"/>
    <w:rsid w:val="00C72086"/>
    <w:rsid w:val="00C75678"/>
    <w:rsid w:val="00C7629F"/>
    <w:rsid w:val="00C76823"/>
    <w:rsid w:val="00C80043"/>
    <w:rsid w:val="00C80A01"/>
    <w:rsid w:val="00C80A71"/>
    <w:rsid w:val="00C80B59"/>
    <w:rsid w:val="00C81580"/>
    <w:rsid w:val="00C82D05"/>
    <w:rsid w:val="00C83D85"/>
    <w:rsid w:val="00C8475C"/>
    <w:rsid w:val="00C86068"/>
    <w:rsid w:val="00C8661B"/>
    <w:rsid w:val="00C942D0"/>
    <w:rsid w:val="00C94408"/>
    <w:rsid w:val="00C94803"/>
    <w:rsid w:val="00CA139A"/>
    <w:rsid w:val="00CA2899"/>
    <w:rsid w:val="00CA2E0E"/>
    <w:rsid w:val="00CA3279"/>
    <w:rsid w:val="00CA3A3D"/>
    <w:rsid w:val="00CA3E1C"/>
    <w:rsid w:val="00CA77FB"/>
    <w:rsid w:val="00CB02B9"/>
    <w:rsid w:val="00CB04F9"/>
    <w:rsid w:val="00CB379B"/>
    <w:rsid w:val="00CB4196"/>
    <w:rsid w:val="00CB4461"/>
    <w:rsid w:val="00CB448F"/>
    <w:rsid w:val="00CB5DD0"/>
    <w:rsid w:val="00CB6629"/>
    <w:rsid w:val="00CC06A4"/>
    <w:rsid w:val="00CC22E1"/>
    <w:rsid w:val="00CC4091"/>
    <w:rsid w:val="00CC51D4"/>
    <w:rsid w:val="00CC65DA"/>
    <w:rsid w:val="00CD022D"/>
    <w:rsid w:val="00CD0830"/>
    <w:rsid w:val="00CD2EF6"/>
    <w:rsid w:val="00CD41C4"/>
    <w:rsid w:val="00CD5630"/>
    <w:rsid w:val="00CE083B"/>
    <w:rsid w:val="00CE1183"/>
    <w:rsid w:val="00CE5F12"/>
    <w:rsid w:val="00CF1442"/>
    <w:rsid w:val="00CF21B9"/>
    <w:rsid w:val="00CF22FC"/>
    <w:rsid w:val="00CF4B67"/>
    <w:rsid w:val="00CF6BF9"/>
    <w:rsid w:val="00D012E3"/>
    <w:rsid w:val="00D02F99"/>
    <w:rsid w:val="00D03800"/>
    <w:rsid w:val="00D054C7"/>
    <w:rsid w:val="00D065D3"/>
    <w:rsid w:val="00D0663F"/>
    <w:rsid w:val="00D1059D"/>
    <w:rsid w:val="00D117C7"/>
    <w:rsid w:val="00D131D0"/>
    <w:rsid w:val="00D14C94"/>
    <w:rsid w:val="00D1530D"/>
    <w:rsid w:val="00D159BF"/>
    <w:rsid w:val="00D15CAE"/>
    <w:rsid w:val="00D20B51"/>
    <w:rsid w:val="00D21404"/>
    <w:rsid w:val="00D24303"/>
    <w:rsid w:val="00D32614"/>
    <w:rsid w:val="00D33D44"/>
    <w:rsid w:val="00D342A6"/>
    <w:rsid w:val="00D37538"/>
    <w:rsid w:val="00D40AF4"/>
    <w:rsid w:val="00D42085"/>
    <w:rsid w:val="00D43C15"/>
    <w:rsid w:val="00D44F75"/>
    <w:rsid w:val="00D464BF"/>
    <w:rsid w:val="00D51342"/>
    <w:rsid w:val="00D52454"/>
    <w:rsid w:val="00D53E26"/>
    <w:rsid w:val="00D54B50"/>
    <w:rsid w:val="00D556F0"/>
    <w:rsid w:val="00D564B7"/>
    <w:rsid w:val="00D57906"/>
    <w:rsid w:val="00D62527"/>
    <w:rsid w:val="00D6266B"/>
    <w:rsid w:val="00D633BE"/>
    <w:rsid w:val="00D65378"/>
    <w:rsid w:val="00D658DA"/>
    <w:rsid w:val="00D70CF8"/>
    <w:rsid w:val="00D7102D"/>
    <w:rsid w:val="00D74524"/>
    <w:rsid w:val="00D76181"/>
    <w:rsid w:val="00D8199C"/>
    <w:rsid w:val="00D84253"/>
    <w:rsid w:val="00D85F80"/>
    <w:rsid w:val="00D867C9"/>
    <w:rsid w:val="00D90BE1"/>
    <w:rsid w:val="00D95BE4"/>
    <w:rsid w:val="00D9618A"/>
    <w:rsid w:val="00D9766B"/>
    <w:rsid w:val="00DA0E3F"/>
    <w:rsid w:val="00DA15B9"/>
    <w:rsid w:val="00DA295A"/>
    <w:rsid w:val="00DA4C6F"/>
    <w:rsid w:val="00DA723B"/>
    <w:rsid w:val="00DA79BD"/>
    <w:rsid w:val="00DB0136"/>
    <w:rsid w:val="00DB182B"/>
    <w:rsid w:val="00DB228D"/>
    <w:rsid w:val="00DB53F2"/>
    <w:rsid w:val="00DB6350"/>
    <w:rsid w:val="00DB6A47"/>
    <w:rsid w:val="00DC1000"/>
    <w:rsid w:val="00DC3BFA"/>
    <w:rsid w:val="00DC6221"/>
    <w:rsid w:val="00DD11FD"/>
    <w:rsid w:val="00DD4F0E"/>
    <w:rsid w:val="00DD7779"/>
    <w:rsid w:val="00DE2710"/>
    <w:rsid w:val="00DE2D6D"/>
    <w:rsid w:val="00DE37CB"/>
    <w:rsid w:val="00DE4F25"/>
    <w:rsid w:val="00DE6418"/>
    <w:rsid w:val="00DE6996"/>
    <w:rsid w:val="00DF0BF0"/>
    <w:rsid w:val="00DF4C8A"/>
    <w:rsid w:val="00DF559A"/>
    <w:rsid w:val="00DF7A9B"/>
    <w:rsid w:val="00E00380"/>
    <w:rsid w:val="00E0117C"/>
    <w:rsid w:val="00E0393E"/>
    <w:rsid w:val="00E05E0A"/>
    <w:rsid w:val="00E05EDF"/>
    <w:rsid w:val="00E12A4C"/>
    <w:rsid w:val="00E13EB7"/>
    <w:rsid w:val="00E144D8"/>
    <w:rsid w:val="00E201FE"/>
    <w:rsid w:val="00E27AF0"/>
    <w:rsid w:val="00E30EA8"/>
    <w:rsid w:val="00E346BC"/>
    <w:rsid w:val="00E40A09"/>
    <w:rsid w:val="00E41B33"/>
    <w:rsid w:val="00E42FEC"/>
    <w:rsid w:val="00E44645"/>
    <w:rsid w:val="00E45CCA"/>
    <w:rsid w:val="00E50E53"/>
    <w:rsid w:val="00E52129"/>
    <w:rsid w:val="00E534CF"/>
    <w:rsid w:val="00E53C75"/>
    <w:rsid w:val="00E55E6A"/>
    <w:rsid w:val="00E57B22"/>
    <w:rsid w:val="00E6120A"/>
    <w:rsid w:val="00E612D5"/>
    <w:rsid w:val="00E61E5F"/>
    <w:rsid w:val="00E631B1"/>
    <w:rsid w:val="00E6446A"/>
    <w:rsid w:val="00E71F3D"/>
    <w:rsid w:val="00E7320B"/>
    <w:rsid w:val="00E73D58"/>
    <w:rsid w:val="00E763D9"/>
    <w:rsid w:val="00E76973"/>
    <w:rsid w:val="00E804BA"/>
    <w:rsid w:val="00E80AD4"/>
    <w:rsid w:val="00E80CA6"/>
    <w:rsid w:val="00E80F04"/>
    <w:rsid w:val="00E81CB4"/>
    <w:rsid w:val="00E81D5C"/>
    <w:rsid w:val="00E8443E"/>
    <w:rsid w:val="00E85104"/>
    <w:rsid w:val="00E8585B"/>
    <w:rsid w:val="00E866CD"/>
    <w:rsid w:val="00E900A9"/>
    <w:rsid w:val="00E93EB1"/>
    <w:rsid w:val="00E94B5C"/>
    <w:rsid w:val="00EA107B"/>
    <w:rsid w:val="00EA3F15"/>
    <w:rsid w:val="00EA4011"/>
    <w:rsid w:val="00EA7847"/>
    <w:rsid w:val="00EA7C79"/>
    <w:rsid w:val="00EB449E"/>
    <w:rsid w:val="00EB72FD"/>
    <w:rsid w:val="00EC0450"/>
    <w:rsid w:val="00EC1DD8"/>
    <w:rsid w:val="00EC4248"/>
    <w:rsid w:val="00EC583A"/>
    <w:rsid w:val="00EC6566"/>
    <w:rsid w:val="00EC6763"/>
    <w:rsid w:val="00ED1918"/>
    <w:rsid w:val="00ED26B1"/>
    <w:rsid w:val="00ED2E6F"/>
    <w:rsid w:val="00ED3FEA"/>
    <w:rsid w:val="00EE04C4"/>
    <w:rsid w:val="00EE0A48"/>
    <w:rsid w:val="00EE23D5"/>
    <w:rsid w:val="00EE2A2D"/>
    <w:rsid w:val="00EE2E6E"/>
    <w:rsid w:val="00EE3635"/>
    <w:rsid w:val="00EE45FF"/>
    <w:rsid w:val="00EE4619"/>
    <w:rsid w:val="00EE7B13"/>
    <w:rsid w:val="00EF1A1D"/>
    <w:rsid w:val="00EF1D06"/>
    <w:rsid w:val="00EF3760"/>
    <w:rsid w:val="00EF447F"/>
    <w:rsid w:val="00EF4E9C"/>
    <w:rsid w:val="00EF5AAC"/>
    <w:rsid w:val="00EF6B9B"/>
    <w:rsid w:val="00EF73DE"/>
    <w:rsid w:val="00F01B51"/>
    <w:rsid w:val="00F022FC"/>
    <w:rsid w:val="00F03709"/>
    <w:rsid w:val="00F042E3"/>
    <w:rsid w:val="00F0687B"/>
    <w:rsid w:val="00F0759E"/>
    <w:rsid w:val="00F075E4"/>
    <w:rsid w:val="00F10430"/>
    <w:rsid w:val="00F118AC"/>
    <w:rsid w:val="00F11E2C"/>
    <w:rsid w:val="00F12332"/>
    <w:rsid w:val="00F12FB1"/>
    <w:rsid w:val="00F16BE4"/>
    <w:rsid w:val="00F17DDF"/>
    <w:rsid w:val="00F2287C"/>
    <w:rsid w:val="00F2352C"/>
    <w:rsid w:val="00F23772"/>
    <w:rsid w:val="00F2623C"/>
    <w:rsid w:val="00F32526"/>
    <w:rsid w:val="00F32BD6"/>
    <w:rsid w:val="00F32DED"/>
    <w:rsid w:val="00F35417"/>
    <w:rsid w:val="00F36223"/>
    <w:rsid w:val="00F403C0"/>
    <w:rsid w:val="00F40705"/>
    <w:rsid w:val="00F4180D"/>
    <w:rsid w:val="00F41829"/>
    <w:rsid w:val="00F43533"/>
    <w:rsid w:val="00F43F05"/>
    <w:rsid w:val="00F451ED"/>
    <w:rsid w:val="00F51854"/>
    <w:rsid w:val="00F545BB"/>
    <w:rsid w:val="00F5669E"/>
    <w:rsid w:val="00F5719C"/>
    <w:rsid w:val="00F57689"/>
    <w:rsid w:val="00F57AE5"/>
    <w:rsid w:val="00F621CE"/>
    <w:rsid w:val="00F660F8"/>
    <w:rsid w:val="00F66D07"/>
    <w:rsid w:val="00F75950"/>
    <w:rsid w:val="00F76506"/>
    <w:rsid w:val="00F7698E"/>
    <w:rsid w:val="00F76E2C"/>
    <w:rsid w:val="00F77B95"/>
    <w:rsid w:val="00F77F81"/>
    <w:rsid w:val="00F821A3"/>
    <w:rsid w:val="00F904C4"/>
    <w:rsid w:val="00F90F1B"/>
    <w:rsid w:val="00F9314A"/>
    <w:rsid w:val="00FA0BA3"/>
    <w:rsid w:val="00FA0FB0"/>
    <w:rsid w:val="00FA0FCE"/>
    <w:rsid w:val="00FA15DE"/>
    <w:rsid w:val="00FA36AC"/>
    <w:rsid w:val="00FA3D0E"/>
    <w:rsid w:val="00FA3DA5"/>
    <w:rsid w:val="00FA5687"/>
    <w:rsid w:val="00FA587C"/>
    <w:rsid w:val="00FA72F3"/>
    <w:rsid w:val="00FA75D2"/>
    <w:rsid w:val="00FB277C"/>
    <w:rsid w:val="00FB34EF"/>
    <w:rsid w:val="00FC260B"/>
    <w:rsid w:val="00FC58EF"/>
    <w:rsid w:val="00FC7FE6"/>
    <w:rsid w:val="00FD0FBB"/>
    <w:rsid w:val="00FD160F"/>
    <w:rsid w:val="00FD23A4"/>
    <w:rsid w:val="00FD2A14"/>
    <w:rsid w:val="00FD33DF"/>
    <w:rsid w:val="00FD49A7"/>
    <w:rsid w:val="00FD5F91"/>
    <w:rsid w:val="00FE30EB"/>
    <w:rsid w:val="00FE39D7"/>
    <w:rsid w:val="00FE3EE6"/>
    <w:rsid w:val="00FE62A3"/>
    <w:rsid w:val="00FE6A44"/>
    <w:rsid w:val="00FE7A46"/>
    <w:rsid w:val="00FE7C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 w:type="character" w:customStyle="1" w:styleId="Ttulo1Car">
    <w:name w:val="Título 1 Car"/>
    <w:basedOn w:val="Fuentedeprrafopredeter"/>
    <w:link w:val="Ttulo1"/>
    <w:rsid w:val="00CD5630"/>
    <w:rPr>
      <w:rFonts w:ascii="CG Times" w:hAnsi="CG Times"/>
      <w:b/>
      <w:sz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 w:type="character" w:customStyle="1" w:styleId="Ttulo1Car">
    <w:name w:val="Título 1 Car"/>
    <w:basedOn w:val="Fuentedeprrafopredeter"/>
    <w:link w:val="Ttulo1"/>
    <w:rsid w:val="00CD5630"/>
    <w:rPr>
      <w:rFonts w:ascii="CG Times" w:hAnsi="CG Times"/>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6302">
      <w:bodyDiv w:val="1"/>
      <w:marLeft w:val="0"/>
      <w:marRight w:val="0"/>
      <w:marTop w:val="0"/>
      <w:marBottom w:val="0"/>
      <w:divBdr>
        <w:top w:val="none" w:sz="0" w:space="0" w:color="auto"/>
        <w:left w:val="none" w:sz="0" w:space="0" w:color="auto"/>
        <w:bottom w:val="none" w:sz="0" w:space="0" w:color="auto"/>
        <w:right w:val="none" w:sz="0" w:space="0" w:color="auto"/>
      </w:divBdr>
      <w:divsChild>
        <w:div w:id="2008051168">
          <w:marLeft w:val="0"/>
          <w:marRight w:val="0"/>
          <w:marTop w:val="0"/>
          <w:marBottom w:val="0"/>
          <w:divBdr>
            <w:top w:val="none" w:sz="0" w:space="0" w:color="auto"/>
            <w:left w:val="none" w:sz="0" w:space="0" w:color="auto"/>
            <w:bottom w:val="none" w:sz="0" w:space="0" w:color="auto"/>
            <w:right w:val="none" w:sz="0" w:space="0" w:color="auto"/>
          </w:divBdr>
        </w:div>
        <w:div w:id="1865245643">
          <w:marLeft w:val="0"/>
          <w:marRight w:val="0"/>
          <w:marTop w:val="0"/>
          <w:marBottom w:val="0"/>
          <w:divBdr>
            <w:top w:val="none" w:sz="0" w:space="0" w:color="auto"/>
            <w:left w:val="none" w:sz="0" w:space="0" w:color="auto"/>
            <w:bottom w:val="none" w:sz="0" w:space="0" w:color="auto"/>
            <w:right w:val="none" w:sz="0" w:space="0" w:color="auto"/>
          </w:divBdr>
        </w:div>
        <w:div w:id="747924596">
          <w:marLeft w:val="0"/>
          <w:marRight w:val="0"/>
          <w:marTop w:val="0"/>
          <w:marBottom w:val="0"/>
          <w:divBdr>
            <w:top w:val="none" w:sz="0" w:space="0" w:color="auto"/>
            <w:left w:val="none" w:sz="0" w:space="0" w:color="auto"/>
            <w:bottom w:val="none" w:sz="0" w:space="0" w:color="auto"/>
            <w:right w:val="none" w:sz="0" w:space="0" w:color="auto"/>
          </w:divBdr>
        </w:div>
        <w:div w:id="1673532717">
          <w:marLeft w:val="0"/>
          <w:marRight w:val="0"/>
          <w:marTop w:val="0"/>
          <w:marBottom w:val="0"/>
          <w:divBdr>
            <w:top w:val="none" w:sz="0" w:space="0" w:color="auto"/>
            <w:left w:val="none" w:sz="0" w:space="0" w:color="auto"/>
            <w:bottom w:val="none" w:sz="0" w:space="0" w:color="auto"/>
            <w:right w:val="none" w:sz="0" w:space="0" w:color="auto"/>
          </w:divBdr>
        </w:div>
        <w:div w:id="969631549">
          <w:marLeft w:val="0"/>
          <w:marRight w:val="0"/>
          <w:marTop w:val="0"/>
          <w:marBottom w:val="0"/>
          <w:divBdr>
            <w:top w:val="none" w:sz="0" w:space="0" w:color="auto"/>
            <w:left w:val="none" w:sz="0" w:space="0" w:color="auto"/>
            <w:bottom w:val="none" w:sz="0" w:space="0" w:color="auto"/>
            <w:right w:val="none" w:sz="0" w:space="0" w:color="auto"/>
          </w:divBdr>
        </w:div>
        <w:div w:id="833839789">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371467917">
          <w:marLeft w:val="0"/>
          <w:marRight w:val="0"/>
          <w:marTop w:val="0"/>
          <w:marBottom w:val="0"/>
          <w:divBdr>
            <w:top w:val="none" w:sz="0" w:space="0" w:color="auto"/>
            <w:left w:val="none" w:sz="0" w:space="0" w:color="auto"/>
            <w:bottom w:val="none" w:sz="0" w:space="0" w:color="auto"/>
            <w:right w:val="none" w:sz="0" w:space="0" w:color="auto"/>
          </w:divBdr>
        </w:div>
      </w:divsChild>
    </w:div>
    <w:div w:id="444889876">
      <w:bodyDiv w:val="1"/>
      <w:marLeft w:val="0"/>
      <w:marRight w:val="0"/>
      <w:marTop w:val="0"/>
      <w:marBottom w:val="0"/>
      <w:divBdr>
        <w:top w:val="none" w:sz="0" w:space="0" w:color="auto"/>
        <w:left w:val="none" w:sz="0" w:space="0" w:color="auto"/>
        <w:bottom w:val="none" w:sz="0" w:space="0" w:color="auto"/>
        <w:right w:val="none" w:sz="0" w:space="0" w:color="auto"/>
      </w:divBdr>
    </w:div>
    <w:div w:id="764227396">
      <w:bodyDiv w:val="1"/>
      <w:marLeft w:val="0"/>
      <w:marRight w:val="0"/>
      <w:marTop w:val="0"/>
      <w:marBottom w:val="0"/>
      <w:divBdr>
        <w:top w:val="none" w:sz="0" w:space="0" w:color="auto"/>
        <w:left w:val="none" w:sz="0" w:space="0" w:color="auto"/>
        <w:bottom w:val="none" w:sz="0" w:space="0" w:color="auto"/>
        <w:right w:val="none" w:sz="0" w:space="0" w:color="auto"/>
      </w:divBdr>
    </w:div>
    <w:div w:id="785346928">
      <w:bodyDiv w:val="1"/>
      <w:marLeft w:val="0"/>
      <w:marRight w:val="0"/>
      <w:marTop w:val="0"/>
      <w:marBottom w:val="0"/>
      <w:divBdr>
        <w:top w:val="none" w:sz="0" w:space="0" w:color="auto"/>
        <w:left w:val="none" w:sz="0" w:space="0" w:color="auto"/>
        <w:bottom w:val="none" w:sz="0" w:space="0" w:color="auto"/>
        <w:right w:val="none" w:sz="0" w:space="0" w:color="auto"/>
      </w:divBdr>
    </w:div>
    <w:div w:id="1679038797">
      <w:bodyDiv w:val="1"/>
      <w:marLeft w:val="0"/>
      <w:marRight w:val="0"/>
      <w:marTop w:val="0"/>
      <w:marBottom w:val="0"/>
      <w:divBdr>
        <w:top w:val="none" w:sz="0" w:space="0" w:color="auto"/>
        <w:left w:val="none" w:sz="0" w:space="0" w:color="auto"/>
        <w:bottom w:val="none" w:sz="0" w:space="0" w:color="auto"/>
        <w:right w:val="none" w:sz="0" w:space="0" w:color="auto"/>
      </w:divBdr>
      <w:divsChild>
        <w:div w:id="1250693741">
          <w:marLeft w:val="0"/>
          <w:marRight w:val="0"/>
          <w:marTop w:val="0"/>
          <w:marBottom w:val="0"/>
          <w:divBdr>
            <w:top w:val="none" w:sz="0" w:space="0" w:color="auto"/>
            <w:left w:val="none" w:sz="0" w:space="0" w:color="auto"/>
            <w:bottom w:val="none" w:sz="0" w:space="0" w:color="auto"/>
            <w:right w:val="none" w:sz="0" w:space="0" w:color="auto"/>
          </w:divBdr>
        </w:div>
      </w:divsChild>
    </w:div>
    <w:div w:id="1953778085">
      <w:bodyDiv w:val="1"/>
      <w:marLeft w:val="0"/>
      <w:marRight w:val="0"/>
      <w:marTop w:val="0"/>
      <w:marBottom w:val="0"/>
      <w:divBdr>
        <w:top w:val="none" w:sz="0" w:space="0" w:color="auto"/>
        <w:left w:val="none" w:sz="0" w:space="0" w:color="auto"/>
        <w:bottom w:val="none" w:sz="0" w:space="0" w:color="auto"/>
        <w:right w:val="none" w:sz="0" w:space="0" w:color="auto"/>
      </w:divBdr>
      <w:divsChild>
        <w:div w:id="1617516959">
          <w:marLeft w:val="0"/>
          <w:marRight w:val="0"/>
          <w:marTop w:val="0"/>
          <w:marBottom w:val="0"/>
          <w:divBdr>
            <w:top w:val="none" w:sz="0" w:space="0" w:color="auto"/>
            <w:left w:val="none" w:sz="0" w:space="0" w:color="auto"/>
            <w:bottom w:val="none" w:sz="0" w:space="0" w:color="auto"/>
            <w:right w:val="none" w:sz="0" w:space="0" w:color="auto"/>
          </w:divBdr>
        </w:div>
        <w:div w:id="104810194">
          <w:marLeft w:val="0"/>
          <w:marRight w:val="0"/>
          <w:marTop w:val="0"/>
          <w:marBottom w:val="0"/>
          <w:divBdr>
            <w:top w:val="none" w:sz="0" w:space="0" w:color="auto"/>
            <w:left w:val="none" w:sz="0" w:space="0" w:color="auto"/>
            <w:bottom w:val="none" w:sz="0" w:space="0" w:color="auto"/>
            <w:right w:val="none" w:sz="0" w:space="0" w:color="auto"/>
          </w:divBdr>
        </w:div>
        <w:div w:id="146897112">
          <w:marLeft w:val="0"/>
          <w:marRight w:val="0"/>
          <w:marTop w:val="0"/>
          <w:marBottom w:val="0"/>
          <w:divBdr>
            <w:top w:val="none" w:sz="0" w:space="0" w:color="auto"/>
            <w:left w:val="none" w:sz="0" w:space="0" w:color="auto"/>
            <w:bottom w:val="none" w:sz="0" w:space="0" w:color="auto"/>
            <w:right w:val="none" w:sz="0" w:space="0" w:color="auto"/>
          </w:divBdr>
        </w:div>
        <w:div w:id="2100517663">
          <w:marLeft w:val="0"/>
          <w:marRight w:val="0"/>
          <w:marTop w:val="0"/>
          <w:marBottom w:val="0"/>
          <w:divBdr>
            <w:top w:val="none" w:sz="0" w:space="0" w:color="auto"/>
            <w:left w:val="none" w:sz="0" w:space="0" w:color="auto"/>
            <w:bottom w:val="none" w:sz="0" w:space="0" w:color="auto"/>
            <w:right w:val="none" w:sz="0" w:space="0" w:color="auto"/>
          </w:divBdr>
        </w:div>
        <w:div w:id="2040281375">
          <w:marLeft w:val="0"/>
          <w:marRight w:val="0"/>
          <w:marTop w:val="0"/>
          <w:marBottom w:val="0"/>
          <w:divBdr>
            <w:top w:val="none" w:sz="0" w:space="0" w:color="auto"/>
            <w:left w:val="none" w:sz="0" w:space="0" w:color="auto"/>
            <w:bottom w:val="none" w:sz="0" w:space="0" w:color="auto"/>
            <w:right w:val="none" w:sz="0" w:space="0" w:color="auto"/>
          </w:divBdr>
        </w:div>
      </w:divsChild>
    </w:div>
    <w:div w:id="1997998215">
      <w:bodyDiv w:val="1"/>
      <w:marLeft w:val="0"/>
      <w:marRight w:val="0"/>
      <w:marTop w:val="0"/>
      <w:marBottom w:val="0"/>
      <w:divBdr>
        <w:top w:val="none" w:sz="0" w:space="0" w:color="auto"/>
        <w:left w:val="none" w:sz="0" w:space="0" w:color="auto"/>
        <w:bottom w:val="none" w:sz="0" w:space="0" w:color="auto"/>
        <w:right w:val="none" w:sz="0" w:space="0" w:color="auto"/>
      </w:divBdr>
      <w:divsChild>
        <w:div w:id="35069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B55F6-3336-40D4-8D47-C77C0ACD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1401</Words>
  <Characters>7048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2015-10-09T22:52:00Z</cp:lastPrinted>
  <dcterms:created xsi:type="dcterms:W3CDTF">2015-10-13T14:56:00Z</dcterms:created>
  <dcterms:modified xsi:type="dcterms:W3CDTF">2015-10-13T14:56:00Z</dcterms:modified>
</cp:coreProperties>
</file>