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06E" w:rsidRPr="0020006E" w:rsidRDefault="002D3218" w:rsidP="00D3312D">
      <w:pPr>
        <w:spacing w:after="0" w:line="240" w:lineRule="auto"/>
        <w:jc w:val="both"/>
        <w:rPr>
          <w:rFonts w:ascii="Bookman Old Style" w:eastAsia="Times New Roman" w:hAnsi="Bookman Old Style" w:cs="Times New Roman"/>
          <w:color w:val="000000"/>
          <w:sz w:val="24"/>
          <w:szCs w:val="24"/>
          <w:lang w:val="es-ES" w:eastAsia="es-ES"/>
        </w:rPr>
      </w:pPr>
      <w:bookmarkStart w:id="0" w:name="_GoBack"/>
      <w:bookmarkEnd w:id="0"/>
      <w:r>
        <w:rPr>
          <w:rFonts w:ascii="Bookman Old Style" w:eastAsia="Times New Roman" w:hAnsi="Bookman Old Style" w:cs="Times New Roman"/>
          <w:noProof/>
          <w:color w:val="000000"/>
          <w:sz w:val="24"/>
          <w:szCs w:val="24"/>
          <w:highlight w:val="red"/>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35pt;margin-top:-8.6pt;width:52.5pt;height:48.75pt;z-index:251659264" fillcolor="#0c9">
            <v:imagedata r:id="rId9" o:title=""/>
          </v:shape>
          <o:OLEObject Type="Embed" ProgID="PBrush" ShapeID="_x0000_s1026" DrawAspect="Content" ObjectID="_1456057213" r:id="rId10"/>
        </w:pict>
      </w:r>
    </w:p>
    <w:p w:rsidR="0020006E" w:rsidRPr="00507373" w:rsidRDefault="0020006E" w:rsidP="00D3312D">
      <w:pPr>
        <w:tabs>
          <w:tab w:val="left" w:pos="0"/>
          <w:tab w:val="center" w:pos="4252"/>
          <w:tab w:val="right" w:pos="9356"/>
        </w:tabs>
        <w:spacing w:after="0" w:line="240" w:lineRule="auto"/>
        <w:jc w:val="both"/>
        <w:rPr>
          <w:rFonts w:ascii="Bookman Old Style" w:eastAsia="Times New Roman" w:hAnsi="Bookman Old Style" w:cs="Times New Roman"/>
          <w:color w:val="000000"/>
          <w:sz w:val="28"/>
          <w:szCs w:val="24"/>
          <w:lang w:val="es-ES" w:eastAsia="es-ES"/>
        </w:rPr>
      </w:pPr>
    </w:p>
    <w:p w:rsidR="0020006E" w:rsidRPr="00507373" w:rsidRDefault="0020006E" w:rsidP="00D3312D">
      <w:pPr>
        <w:tabs>
          <w:tab w:val="left" w:pos="0"/>
          <w:tab w:val="center" w:pos="4252"/>
          <w:tab w:val="right" w:pos="9356"/>
        </w:tabs>
        <w:spacing w:after="0" w:line="240" w:lineRule="auto"/>
        <w:jc w:val="both"/>
        <w:rPr>
          <w:rFonts w:ascii="Bookman Old Style" w:eastAsia="Times New Roman" w:hAnsi="Bookman Old Style" w:cs="Times New Roman"/>
          <w:color w:val="000000"/>
          <w:sz w:val="20"/>
          <w:szCs w:val="24"/>
          <w:lang w:val="es-ES" w:eastAsia="es-ES"/>
        </w:rPr>
      </w:pPr>
    </w:p>
    <w:p w:rsidR="0020006E" w:rsidRPr="0020006E" w:rsidRDefault="0020006E" w:rsidP="00D3312D">
      <w:pPr>
        <w:keepNext/>
        <w:tabs>
          <w:tab w:val="left" w:pos="0"/>
          <w:tab w:val="right" w:pos="9356"/>
        </w:tabs>
        <w:spacing w:after="0" w:line="240" w:lineRule="auto"/>
        <w:jc w:val="center"/>
        <w:outlineLvl w:val="3"/>
        <w:rPr>
          <w:rFonts w:ascii="Bookman Old Style" w:eastAsia="Times New Roman" w:hAnsi="Bookman Old Style" w:cs="Times New Roman"/>
          <w:bCs/>
          <w:noProof/>
          <w:snapToGrid w:val="0"/>
          <w:color w:val="000000"/>
          <w:spacing w:val="20"/>
          <w:sz w:val="24"/>
          <w:szCs w:val="24"/>
          <w:lang w:val="es-ES" w:eastAsia="es-ES"/>
        </w:rPr>
      </w:pPr>
      <w:r w:rsidRPr="0020006E">
        <w:rPr>
          <w:rFonts w:ascii="Bookman Old Style" w:eastAsia="Times New Roman" w:hAnsi="Bookman Old Style" w:cs="Times New Roman"/>
          <w:bCs/>
          <w:snapToGrid w:val="0"/>
          <w:color w:val="000000"/>
          <w:spacing w:val="20"/>
          <w:sz w:val="24"/>
          <w:szCs w:val="24"/>
          <w:lang w:val="es-ES" w:eastAsia="es-ES"/>
        </w:rPr>
        <w:t>Ministerio de Minas y Energía</w:t>
      </w:r>
    </w:p>
    <w:p w:rsidR="0020006E" w:rsidRPr="0020006E" w:rsidRDefault="0020006E" w:rsidP="00D3312D">
      <w:pPr>
        <w:keepNext/>
        <w:tabs>
          <w:tab w:val="left" w:pos="0"/>
          <w:tab w:val="right" w:pos="9356"/>
        </w:tabs>
        <w:spacing w:after="0" w:line="240" w:lineRule="auto"/>
        <w:jc w:val="center"/>
        <w:outlineLvl w:val="3"/>
        <w:rPr>
          <w:rFonts w:ascii="Bookman Old Style" w:eastAsia="Times New Roman" w:hAnsi="Bookman Old Style" w:cs="Times New Roman"/>
          <w:bCs/>
          <w:snapToGrid w:val="0"/>
          <w:color w:val="000000"/>
          <w:spacing w:val="20"/>
          <w:sz w:val="24"/>
          <w:szCs w:val="24"/>
          <w:lang w:val="es-ES" w:eastAsia="es-ES"/>
        </w:rPr>
      </w:pPr>
    </w:p>
    <w:p w:rsidR="0020006E" w:rsidRPr="0020006E" w:rsidRDefault="0020006E" w:rsidP="00D3312D">
      <w:pPr>
        <w:keepNext/>
        <w:tabs>
          <w:tab w:val="left" w:pos="0"/>
          <w:tab w:val="right" w:pos="9356"/>
        </w:tabs>
        <w:spacing w:after="0" w:line="240" w:lineRule="auto"/>
        <w:jc w:val="center"/>
        <w:outlineLvl w:val="2"/>
        <w:rPr>
          <w:rFonts w:ascii="Bookman Old Style" w:eastAsia="Times New Roman" w:hAnsi="Bookman Old Style" w:cs="Arial"/>
          <w:b/>
          <w:snapToGrid w:val="0"/>
          <w:color w:val="000000"/>
          <w:spacing w:val="20"/>
          <w:sz w:val="24"/>
          <w:szCs w:val="24"/>
          <w:lang w:val="es-ES" w:eastAsia="es-ES"/>
        </w:rPr>
      </w:pPr>
      <w:r w:rsidRPr="0020006E">
        <w:rPr>
          <w:rFonts w:ascii="Bookman Old Style" w:eastAsia="Times New Roman" w:hAnsi="Bookman Old Style" w:cs="Arial"/>
          <w:b/>
          <w:snapToGrid w:val="0"/>
          <w:color w:val="000000"/>
          <w:spacing w:val="20"/>
          <w:sz w:val="24"/>
          <w:szCs w:val="24"/>
          <w:lang w:val="es-ES" w:eastAsia="es-ES"/>
        </w:rPr>
        <w:t>COMISIÓN DE REGULACIÓN DE ENERGÍA Y GAS</w:t>
      </w:r>
    </w:p>
    <w:p w:rsidR="0020006E" w:rsidRPr="0020006E" w:rsidRDefault="0020006E" w:rsidP="00D3312D">
      <w:pPr>
        <w:keepNext/>
        <w:tabs>
          <w:tab w:val="left" w:pos="0"/>
          <w:tab w:val="right" w:pos="9356"/>
        </w:tabs>
        <w:spacing w:after="0" w:line="240" w:lineRule="auto"/>
        <w:jc w:val="center"/>
        <w:outlineLvl w:val="4"/>
        <w:rPr>
          <w:rFonts w:ascii="Bookman Old Style" w:eastAsia="Times New Roman" w:hAnsi="Bookman Old Style" w:cs="Times New Roman"/>
          <w:b/>
          <w:snapToGrid w:val="0"/>
          <w:color w:val="000000"/>
          <w:spacing w:val="20"/>
          <w:sz w:val="24"/>
          <w:szCs w:val="24"/>
          <w:lang w:val="es-ES" w:eastAsia="es-ES"/>
        </w:rPr>
      </w:pPr>
    </w:p>
    <w:p w:rsidR="0020006E" w:rsidRPr="000E4DB9" w:rsidRDefault="0020006E" w:rsidP="00D3312D">
      <w:pPr>
        <w:keepNext/>
        <w:tabs>
          <w:tab w:val="left" w:pos="0"/>
          <w:tab w:val="right" w:pos="9356"/>
        </w:tabs>
        <w:spacing w:after="0" w:line="240" w:lineRule="auto"/>
        <w:jc w:val="center"/>
        <w:outlineLvl w:val="4"/>
        <w:rPr>
          <w:rFonts w:ascii="Bookman Old Style" w:eastAsia="Times New Roman" w:hAnsi="Bookman Old Style" w:cs="Times New Roman"/>
          <w:b/>
          <w:snapToGrid w:val="0"/>
          <w:color w:val="000000"/>
          <w:spacing w:val="20"/>
          <w:szCs w:val="24"/>
          <w:lang w:val="es-ES" w:eastAsia="es-ES"/>
        </w:rPr>
      </w:pPr>
    </w:p>
    <w:p w:rsidR="0020006E" w:rsidRPr="0020006E" w:rsidRDefault="006E5A13" w:rsidP="00D3312D">
      <w:pPr>
        <w:keepNext/>
        <w:tabs>
          <w:tab w:val="left" w:pos="0"/>
          <w:tab w:val="right" w:pos="9356"/>
        </w:tabs>
        <w:spacing w:after="0" w:line="240" w:lineRule="auto"/>
        <w:jc w:val="center"/>
        <w:outlineLvl w:val="4"/>
        <w:rPr>
          <w:rFonts w:ascii="Bookman Old Style" w:eastAsia="Times New Roman" w:hAnsi="Bookman Old Style" w:cs="Times New Roman"/>
          <w:b/>
          <w:snapToGrid w:val="0"/>
          <w:color w:val="000000"/>
          <w:spacing w:val="20"/>
          <w:sz w:val="24"/>
          <w:szCs w:val="24"/>
          <w:lang w:val="es-ES" w:eastAsia="es-ES"/>
        </w:rPr>
      </w:pPr>
      <w:r>
        <w:rPr>
          <w:rFonts w:ascii="Bookman Old Style" w:eastAsia="Times New Roman" w:hAnsi="Bookman Old Style" w:cs="Times New Roman"/>
          <w:b/>
          <w:snapToGrid w:val="0"/>
          <w:color w:val="000000"/>
          <w:spacing w:val="20"/>
          <w:sz w:val="24"/>
          <w:szCs w:val="24"/>
          <w:lang w:val="es-ES" w:eastAsia="es-ES"/>
        </w:rPr>
        <w:t>RESOLUCIÓN No.          DE 2014</w:t>
      </w:r>
    </w:p>
    <w:p w:rsidR="0020006E" w:rsidRPr="0020006E" w:rsidRDefault="0020006E" w:rsidP="00D3312D">
      <w:pPr>
        <w:tabs>
          <w:tab w:val="left" w:pos="0"/>
          <w:tab w:val="right" w:pos="9356"/>
        </w:tabs>
        <w:spacing w:after="0" w:line="240" w:lineRule="auto"/>
        <w:jc w:val="center"/>
        <w:rPr>
          <w:rFonts w:ascii="Bookman Old Style" w:eastAsia="Times New Roman" w:hAnsi="Bookman Old Style" w:cs="Arial"/>
          <w:b/>
          <w:snapToGrid w:val="0"/>
          <w:color w:val="000000"/>
          <w:sz w:val="24"/>
          <w:szCs w:val="24"/>
          <w:lang w:val="es-ES" w:eastAsia="es-ES"/>
        </w:rPr>
      </w:pPr>
    </w:p>
    <w:p w:rsidR="0020006E" w:rsidRPr="0020006E" w:rsidRDefault="0020006E" w:rsidP="00D3312D">
      <w:pPr>
        <w:keepNext/>
        <w:tabs>
          <w:tab w:val="left" w:pos="0"/>
          <w:tab w:val="right" w:pos="9356"/>
        </w:tabs>
        <w:spacing w:after="0" w:line="240" w:lineRule="auto"/>
        <w:jc w:val="center"/>
        <w:outlineLvl w:val="2"/>
        <w:rPr>
          <w:rFonts w:ascii="Bookman Old Style" w:eastAsia="Times New Roman" w:hAnsi="Bookman Old Style" w:cs="Times New Roman"/>
          <w:snapToGrid w:val="0"/>
          <w:color w:val="000000"/>
          <w:sz w:val="24"/>
          <w:szCs w:val="24"/>
          <w:lang w:val="es-ES" w:eastAsia="es-ES"/>
        </w:rPr>
      </w:pPr>
      <w:r w:rsidRPr="0020006E">
        <w:rPr>
          <w:rFonts w:ascii="Bookman Old Style" w:eastAsia="Times New Roman" w:hAnsi="Bookman Old Style" w:cs="Times New Roman"/>
          <w:snapToGrid w:val="0"/>
          <w:color w:val="000000"/>
          <w:sz w:val="24"/>
          <w:szCs w:val="24"/>
          <w:lang w:val="es-ES" w:eastAsia="es-ES"/>
        </w:rPr>
        <w:t>(                 )</w:t>
      </w:r>
    </w:p>
    <w:p w:rsidR="0020006E" w:rsidRPr="0020006E" w:rsidRDefault="0020006E" w:rsidP="00D3312D">
      <w:pPr>
        <w:tabs>
          <w:tab w:val="left" w:pos="0"/>
          <w:tab w:val="right" w:pos="9356"/>
        </w:tabs>
        <w:spacing w:after="0" w:line="240" w:lineRule="auto"/>
        <w:jc w:val="center"/>
        <w:rPr>
          <w:rFonts w:ascii="Bookman Old Style" w:eastAsia="Times New Roman" w:hAnsi="Bookman Old Style" w:cs="Times New Roman"/>
          <w:color w:val="000000"/>
          <w:sz w:val="24"/>
          <w:szCs w:val="24"/>
          <w:lang w:val="es-ES" w:eastAsia="es-ES"/>
        </w:rPr>
      </w:pPr>
    </w:p>
    <w:p w:rsidR="0020006E" w:rsidRDefault="0020006E" w:rsidP="00D3312D">
      <w:pPr>
        <w:tabs>
          <w:tab w:val="left" w:pos="0"/>
          <w:tab w:val="right" w:pos="9356"/>
        </w:tabs>
        <w:spacing w:after="0" w:line="240" w:lineRule="auto"/>
        <w:jc w:val="center"/>
        <w:rPr>
          <w:rFonts w:ascii="Bookman Old Style" w:eastAsia="Times New Roman" w:hAnsi="Bookman Old Style" w:cs="Times New Roman"/>
          <w:color w:val="000000"/>
          <w:sz w:val="16"/>
          <w:szCs w:val="24"/>
          <w:lang w:val="es-ES" w:eastAsia="es-ES"/>
        </w:rPr>
      </w:pPr>
    </w:p>
    <w:p w:rsidR="00D66EA9" w:rsidRPr="000E4DB9" w:rsidRDefault="00D66EA9" w:rsidP="00D3312D">
      <w:pPr>
        <w:tabs>
          <w:tab w:val="left" w:pos="0"/>
          <w:tab w:val="right" w:pos="9356"/>
        </w:tabs>
        <w:spacing w:after="0" w:line="240" w:lineRule="auto"/>
        <w:jc w:val="center"/>
        <w:rPr>
          <w:rFonts w:ascii="Bookman Old Style" w:eastAsia="Times New Roman" w:hAnsi="Bookman Old Style" w:cs="Times New Roman"/>
          <w:color w:val="000000"/>
          <w:sz w:val="12"/>
          <w:szCs w:val="24"/>
          <w:lang w:val="es-ES" w:eastAsia="es-ES"/>
        </w:rPr>
      </w:pPr>
    </w:p>
    <w:p w:rsidR="0020006E" w:rsidRPr="0020006E" w:rsidRDefault="00037D4D" w:rsidP="00C91A08">
      <w:pPr>
        <w:spacing w:after="0" w:line="240" w:lineRule="auto"/>
        <w:ind w:left="284"/>
        <w:jc w:val="center"/>
        <w:rPr>
          <w:rFonts w:ascii="Bookman Old Style" w:eastAsia="Times New Roman" w:hAnsi="Bookman Old Style" w:cs="Arial"/>
          <w:color w:val="000000"/>
          <w:sz w:val="24"/>
          <w:szCs w:val="24"/>
          <w:lang w:val="es-ES" w:eastAsia="es-CO"/>
        </w:rPr>
      </w:pPr>
      <w:r w:rsidRPr="00037D4D">
        <w:rPr>
          <w:rFonts w:ascii="Bookman Old Style" w:eastAsia="Times New Roman" w:hAnsi="Bookman Old Style" w:cs="Arial"/>
          <w:color w:val="000000"/>
          <w:sz w:val="24"/>
          <w:szCs w:val="24"/>
          <w:lang w:val="es-ES" w:eastAsia="es-ES"/>
        </w:rPr>
        <w:t xml:space="preserve">Por la cual se resuelve </w:t>
      </w:r>
      <w:r w:rsidR="00C91A08">
        <w:rPr>
          <w:rFonts w:ascii="Bookman Old Style" w:eastAsia="Times New Roman" w:hAnsi="Bookman Old Style" w:cs="Arial"/>
          <w:color w:val="000000"/>
          <w:sz w:val="24"/>
          <w:szCs w:val="24"/>
          <w:lang w:val="es-ES" w:eastAsia="es-ES"/>
        </w:rPr>
        <w:t>un recurso de reposición interpuesto en contra de la Resolución CREG 071 de 2013.</w:t>
      </w:r>
    </w:p>
    <w:p w:rsidR="0020006E" w:rsidRPr="000E4DB9" w:rsidRDefault="0020006E" w:rsidP="00D3312D">
      <w:pPr>
        <w:spacing w:after="0" w:line="240" w:lineRule="auto"/>
        <w:ind w:left="567"/>
        <w:jc w:val="center"/>
        <w:rPr>
          <w:rFonts w:ascii="Bookman Old Style" w:eastAsia="Times New Roman" w:hAnsi="Bookman Old Style" w:cs="Arial"/>
          <w:b/>
          <w:bCs/>
          <w:color w:val="000000"/>
          <w:sz w:val="20"/>
          <w:szCs w:val="24"/>
          <w:lang w:val="es-ES" w:eastAsia="es-CO"/>
        </w:rPr>
      </w:pPr>
    </w:p>
    <w:p w:rsidR="00D66EA9" w:rsidRPr="0020006E" w:rsidRDefault="00D66EA9" w:rsidP="00D3312D">
      <w:pPr>
        <w:spacing w:after="0" w:line="240" w:lineRule="auto"/>
        <w:ind w:left="567"/>
        <w:jc w:val="center"/>
        <w:rPr>
          <w:rFonts w:ascii="Bookman Old Style" w:eastAsia="Times New Roman" w:hAnsi="Bookman Old Style" w:cs="Arial"/>
          <w:b/>
          <w:bCs/>
          <w:color w:val="000000"/>
          <w:sz w:val="24"/>
          <w:szCs w:val="24"/>
          <w:lang w:val="es-ES" w:eastAsia="es-CO"/>
        </w:rPr>
      </w:pPr>
    </w:p>
    <w:p w:rsidR="0020006E" w:rsidRPr="0020006E" w:rsidRDefault="0020006E" w:rsidP="00D3312D">
      <w:pPr>
        <w:tabs>
          <w:tab w:val="left" w:pos="0"/>
        </w:tabs>
        <w:spacing w:after="0" w:line="240" w:lineRule="auto"/>
        <w:jc w:val="center"/>
        <w:rPr>
          <w:rFonts w:ascii="Bookman Old Style" w:eastAsia="Times New Roman" w:hAnsi="Bookman Old Style" w:cs="Arial"/>
          <w:b/>
          <w:bCs/>
          <w:iCs/>
          <w:color w:val="000000"/>
          <w:sz w:val="24"/>
          <w:szCs w:val="24"/>
          <w:lang w:val="es-ES" w:eastAsia="es-ES"/>
        </w:rPr>
      </w:pPr>
      <w:r w:rsidRPr="0020006E">
        <w:rPr>
          <w:rFonts w:ascii="Bookman Old Style" w:eastAsia="Times New Roman" w:hAnsi="Bookman Old Style" w:cs="Arial"/>
          <w:b/>
          <w:bCs/>
          <w:iCs/>
          <w:color w:val="000000"/>
          <w:sz w:val="24"/>
          <w:szCs w:val="24"/>
          <w:lang w:val="es-ES" w:eastAsia="es-ES"/>
        </w:rPr>
        <w:t>LA COMISIÓN DE REGULACIÓN DE ENERGÍA Y GAS</w:t>
      </w:r>
    </w:p>
    <w:p w:rsidR="0020006E" w:rsidRPr="0020006E" w:rsidRDefault="0020006E" w:rsidP="00D3312D">
      <w:pPr>
        <w:tabs>
          <w:tab w:val="left" w:pos="0"/>
        </w:tabs>
        <w:spacing w:after="0" w:line="240" w:lineRule="auto"/>
        <w:rPr>
          <w:rFonts w:ascii="Bookman Old Style" w:eastAsia="Times New Roman" w:hAnsi="Bookman Old Style" w:cs="Arial"/>
          <w:color w:val="000000"/>
          <w:sz w:val="24"/>
          <w:szCs w:val="24"/>
          <w:lang w:val="es-ES" w:eastAsia="es-ES"/>
        </w:rPr>
      </w:pPr>
    </w:p>
    <w:p w:rsidR="0020006E" w:rsidRPr="000E4DB9" w:rsidRDefault="0020006E" w:rsidP="00D3312D">
      <w:pPr>
        <w:tabs>
          <w:tab w:val="left" w:pos="0"/>
        </w:tabs>
        <w:spacing w:after="0" w:line="240" w:lineRule="auto"/>
        <w:rPr>
          <w:rFonts w:ascii="Bookman Old Style" w:eastAsia="Times New Roman" w:hAnsi="Bookman Old Style" w:cs="Arial"/>
          <w:color w:val="000000"/>
          <w:sz w:val="20"/>
          <w:szCs w:val="24"/>
          <w:lang w:val="es-ES" w:eastAsia="es-ES"/>
        </w:rPr>
      </w:pPr>
    </w:p>
    <w:p w:rsidR="00037D4D" w:rsidRPr="00037D4D" w:rsidRDefault="00037D4D" w:rsidP="00037D4D">
      <w:pPr>
        <w:spacing w:after="0" w:line="240" w:lineRule="auto"/>
        <w:jc w:val="center"/>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En ejercicio de las atribuciones constitucionales y legales, en especial las conferidas por las Leyes 142 y 143</w:t>
      </w:r>
      <w:r>
        <w:rPr>
          <w:rFonts w:ascii="Bookman Old Style" w:eastAsia="Times New Roman" w:hAnsi="Bookman Old Style" w:cs="Times New Roman"/>
          <w:sz w:val="24"/>
          <w:szCs w:val="24"/>
          <w:lang w:val="es-ES" w:eastAsia="es-ES"/>
        </w:rPr>
        <w:t xml:space="preserve"> de 1994</w:t>
      </w:r>
      <w:r w:rsidRPr="00037D4D">
        <w:rPr>
          <w:rFonts w:ascii="Bookman Old Style" w:eastAsia="Times New Roman" w:hAnsi="Bookman Old Style" w:cs="Times New Roman"/>
          <w:sz w:val="24"/>
          <w:szCs w:val="24"/>
          <w:lang w:val="es-ES" w:eastAsia="es-ES"/>
        </w:rPr>
        <w:t>,</w:t>
      </w:r>
    </w:p>
    <w:p w:rsidR="0020006E" w:rsidRPr="000E4DB9" w:rsidRDefault="0020006E" w:rsidP="00D3312D">
      <w:pPr>
        <w:tabs>
          <w:tab w:val="left" w:pos="0"/>
        </w:tabs>
        <w:spacing w:after="0" w:line="240" w:lineRule="auto"/>
        <w:ind w:left="567"/>
        <w:rPr>
          <w:rFonts w:ascii="Bookman Old Style" w:eastAsia="Times New Roman" w:hAnsi="Bookman Old Style" w:cs="Arial"/>
          <w:color w:val="000000"/>
          <w:sz w:val="16"/>
          <w:szCs w:val="24"/>
          <w:lang w:val="es-ES" w:eastAsia="es-ES"/>
        </w:rPr>
      </w:pPr>
    </w:p>
    <w:p w:rsidR="0020006E" w:rsidRPr="00507373" w:rsidRDefault="0020006E" w:rsidP="00D3312D">
      <w:pPr>
        <w:tabs>
          <w:tab w:val="left" w:pos="0"/>
          <w:tab w:val="left" w:pos="5395"/>
        </w:tabs>
        <w:spacing w:after="0" w:line="240" w:lineRule="auto"/>
        <w:ind w:left="567"/>
        <w:rPr>
          <w:rFonts w:ascii="Bookman Old Style" w:eastAsia="Times New Roman" w:hAnsi="Bookman Old Style" w:cs="Arial"/>
          <w:color w:val="000000"/>
          <w:sz w:val="20"/>
          <w:szCs w:val="24"/>
          <w:lang w:val="es-ES" w:eastAsia="es-ES"/>
        </w:rPr>
      </w:pPr>
      <w:r w:rsidRPr="0020006E">
        <w:rPr>
          <w:rFonts w:ascii="Bookman Old Style" w:eastAsia="Times New Roman" w:hAnsi="Bookman Old Style" w:cs="Arial"/>
          <w:color w:val="000000"/>
          <w:sz w:val="24"/>
          <w:szCs w:val="24"/>
          <w:lang w:val="es-ES" w:eastAsia="es-ES"/>
        </w:rPr>
        <w:tab/>
      </w:r>
    </w:p>
    <w:p w:rsidR="00037D4D" w:rsidRPr="00214B19" w:rsidRDefault="0066446E" w:rsidP="00214B19">
      <w:pPr>
        <w:tabs>
          <w:tab w:val="left" w:pos="0"/>
        </w:tabs>
        <w:spacing w:after="0" w:line="240" w:lineRule="auto"/>
        <w:jc w:val="center"/>
        <w:rPr>
          <w:rFonts w:ascii="Bookman Old Style" w:eastAsia="Times New Roman" w:hAnsi="Bookman Old Style" w:cs="Arial"/>
          <w:b/>
          <w:bCs/>
          <w:color w:val="000000"/>
          <w:sz w:val="24"/>
          <w:szCs w:val="24"/>
          <w:lang w:val="pt-BR" w:eastAsia="es-ES"/>
        </w:rPr>
      </w:pPr>
      <w:r>
        <w:rPr>
          <w:rFonts w:ascii="Bookman Old Style" w:eastAsia="Times New Roman" w:hAnsi="Bookman Old Style" w:cs="Arial"/>
          <w:b/>
          <w:bCs/>
          <w:color w:val="000000"/>
          <w:sz w:val="24"/>
          <w:szCs w:val="24"/>
          <w:lang w:val="pt-BR" w:eastAsia="es-ES"/>
        </w:rPr>
        <w:t>C O N S I D E R A N D O</w:t>
      </w:r>
      <w:r w:rsidR="00214B19">
        <w:rPr>
          <w:rFonts w:ascii="Bookman Old Style" w:eastAsia="Times New Roman" w:hAnsi="Bookman Old Style" w:cs="Arial"/>
          <w:b/>
          <w:bCs/>
          <w:color w:val="000000"/>
          <w:sz w:val="24"/>
          <w:szCs w:val="24"/>
          <w:lang w:val="pt-BR" w:eastAsia="es-ES"/>
        </w:rPr>
        <w:t xml:space="preserve"> Q U </w:t>
      </w:r>
      <w:proofErr w:type="gramStart"/>
      <w:r w:rsidR="00214B19">
        <w:rPr>
          <w:rFonts w:ascii="Bookman Old Style" w:eastAsia="Times New Roman" w:hAnsi="Bookman Old Style" w:cs="Arial"/>
          <w:b/>
          <w:bCs/>
          <w:color w:val="000000"/>
          <w:sz w:val="24"/>
          <w:szCs w:val="24"/>
          <w:lang w:val="pt-BR" w:eastAsia="es-ES"/>
        </w:rPr>
        <w:t>E :</w:t>
      </w:r>
      <w:proofErr w:type="gramEnd"/>
    </w:p>
    <w:p w:rsidR="00037D4D" w:rsidRDefault="00037D4D" w:rsidP="00D3312D">
      <w:pPr>
        <w:tabs>
          <w:tab w:val="left" w:pos="0"/>
        </w:tabs>
        <w:spacing w:after="0" w:line="240" w:lineRule="auto"/>
        <w:jc w:val="both"/>
        <w:rPr>
          <w:rFonts w:ascii="Bookman Old Style" w:eastAsia="Times New Roman" w:hAnsi="Bookman Old Style" w:cs="Arial"/>
          <w:color w:val="000000"/>
          <w:sz w:val="24"/>
          <w:szCs w:val="24"/>
          <w:lang w:val="es-ES" w:eastAsia="es-ES"/>
        </w:rPr>
      </w:pPr>
    </w:p>
    <w:p w:rsidR="00D66EA9" w:rsidRPr="000E4DB9" w:rsidRDefault="00D66EA9" w:rsidP="00D3312D">
      <w:pPr>
        <w:tabs>
          <w:tab w:val="left" w:pos="0"/>
        </w:tabs>
        <w:spacing w:after="0" w:line="240" w:lineRule="auto"/>
        <w:jc w:val="both"/>
        <w:rPr>
          <w:rFonts w:ascii="Bookman Old Style" w:eastAsia="Times New Roman" w:hAnsi="Bookman Old Style" w:cs="Arial"/>
          <w:color w:val="000000"/>
          <w:sz w:val="16"/>
          <w:szCs w:val="24"/>
          <w:lang w:val="es-ES" w:eastAsia="es-ES"/>
        </w:rPr>
      </w:pPr>
    </w:p>
    <w:p w:rsidR="00037D4D" w:rsidRPr="00037D4D" w:rsidRDefault="00037D4D" w:rsidP="00037D4D">
      <w:pPr>
        <w:numPr>
          <w:ilvl w:val="0"/>
          <w:numId w:val="5"/>
        </w:numPr>
        <w:overflowPunct w:val="0"/>
        <w:autoSpaceDE w:val="0"/>
        <w:autoSpaceDN w:val="0"/>
        <w:adjustRightInd w:val="0"/>
        <w:spacing w:before="120" w:after="0" w:line="240" w:lineRule="auto"/>
        <w:jc w:val="both"/>
        <w:textAlignment w:val="baseline"/>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ANTECEDENTES.</w:t>
      </w:r>
    </w:p>
    <w:p w:rsidR="00037D4D" w:rsidRPr="00037D4D" w:rsidRDefault="00037D4D" w:rsidP="00037D4D">
      <w:pPr>
        <w:spacing w:after="0" w:line="240" w:lineRule="auto"/>
        <w:ind w:left="567"/>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La Ley 142 de 1994, artículo 73.8, asignó a la Comisión de Regulación de Energía y Gas la función de resolver los conflictos que surjan entre empresas, por razón de los contratos o servidumbres que existan entre ellas y que no corresponda decidir a otras autoridades administrativas.</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C91A08">
      <w:pPr>
        <w:spacing w:after="0" w:line="240" w:lineRule="auto"/>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sz w:val="24"/>
          <w:szCs w:val="24"/>
          <w:lang w:val="es-ES" w:eastAsia="es-ES"/>
        </w:rPr>
        <w:t>Mediante sentencia C-1120 de 2005 la Honorable Corte Constitucional avaló la función  administrat</w:t>
      </w:r>
      <w:r w:rsidR="00214B19">
        <w:rPr>
          <w:rFonts w:ascii="Bookman Old Style" w:eastAsia="Times New Roman" w:hAnsi="Bookman Old Style" w:cs="Times New Roman"/>
          <w:sz w:val="24"/>
          <w:szCs w:val="24"/>
          <w:lang w:val="es-ES" w:eastAsia="es-ES"/>
        </w:rPr>
        <w:t>iva de resolución de conflictos</w:t>
      </w:r>
      <w:r w:rsidRPr="00037D4D">
        <w:rPr>
          <w:rFonts w:ascii="Bookman Old Style" w:eastAsia="Times New Roman" w:hAnsi="Bookman Old Style" w:cs="Times New Roman"/>
          <w:sz w:val="24"/>
          <w:szCs w:val="24"/>
          <w:lang w:val="es-ES" w:eastAsia="es-ES"/>
        </w:rPr>
        <w:t xml:space="preserve"> entre las empresas de servicios públicos domiciliarios que el artículo 73.8 de la Ley 142 de 1994 atribuye </w:t>
      </w:r>
      <w:r w:rsidR="00C91A08">
        <w:rPr>
          <w:rFonts w:ascii="Bookman Old Style" w:eastAsia="Times New Roman" w:hAnsi="Bookman Old Style" w:cs="Times New Roman"/>
          <w:sz w:val="24"/>
          <w:szCs w:val="24"/>
          <w:lang w:val="es-ES" w:eastAsia="es-ES"/>
        </w:rPr>
        <w:t>a las Comisiones de Regulación.</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En documento radicado en la CREG con el número E-2009-012176 de 23 de diciembre de 2009, la empresa XM</w:t>
      </w:r>
      <w:r w:rsidRPr="00037D4D">
        <w:rPr>
          <w:rFonts w:ascii="Times New Roman" w:eastAsia="Times New Roman" w:hAnsi="Times New Roman" w:cs="Times New Roman"/>
          <w:sz w:val="24"/>
          <w:szCs w:val="24"/>
          <w:lang w:val="es-ES" w:eastAsia="es-ES"/>
        </w:rPr>
        <w:t xml:space="preserve"> </w:t>
      </w:r>
      <w:r w:rsidRPr="00037D4D">
        <w:rPr>
          <w:rFonts w:ascii="Bookman Old Style" w:eastAsia="Times New Roman" w:hAnsi="Bookman Old Style" w:cs="Times New Roman"/>
          <w:sz w:val="24"/>
          <w:szCs w:val="24"/>
          <w:lang w:val="es-ES" w:eastAsia="es-ES"/>
        </w:rPr>
        <w:t>Compañía de Expertos en Mercados S</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A</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 xml:space="preserve"> E</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S</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P</w:t>
      </w:r>
      <w:r w:rsidR="006E0AA2">
        <w:rPr>
          <w:rFonts w:ascii="Bookman Old Style" w:eastAsia="Times New Roman" w:hAnsi="Bookman Old Style" w:cs="Times New Roman"/>
          <w:sz w:val="24"/>
          <w:szCs w:val="24"/>
          <w:lang w:val="es-ES" w:eastAsia="es-ES"/>
        </w:rPr>
        <w:t>. (en adelante XM)</w:t>
      </w:r>
      <w:r w:rsidRPr="00037D4D">
        <w:rPr>
          <w:rFonts w:ascii="Bookman Old Style" w:eastAsia="Times New Roman" w:hAnsi="Bookman Old Style" w:cs="Times New Roman"/>
          <w:sz w:val="24"/>
          <w:szCs w:val="24"/>
          <w:lang w:val="es-ES" w:eastAsia="es-ES"/>
        </w:rPr>
        <w:t>, a través de apoderado, solicitó a la CREG resolver el conflicto suscitado entre ella y EMGESA S</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A</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 xml:space="preserve"> E</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S</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P</w:t>
      </w:r>
      <w:r w:rsidR="006E0AA2">
        <w:rPr>
          <w:rFonts w:ascii="Bookman Old Style" w:eastAsia="Times New Roman" w:hAnsi="Bookman Old Style" w:cs="Times New Roman"/>
          <w:sz w:val="24"/>
          <w:szCs w:val="24"/>
          <w:lang w:val="es-ES" w:eastAsia="es-ES"/>
        </w:rPr>
        <w:t xml:space="preserve">. (en adelante </w:t>
      </w:r>
      <w:proofErr w:type="spellStart"/>
      <w:r w:rsidR="006E0AA2">
        <w:rPr>
          <w:rFonts w:ascii="Bookman Old Style" w:eastAsia="Times New Roman" w:hAnsi="Bookman Old Style" w:cs="Times New Roman"/>
          <w:sz w:val="24"/>
          <w:szCs w:val="24"/>
          <w:lang w:val="es-ES" w:eastAsia="es-ES"/>
        </w:rPr>
        <w:t>Emgesa</w:t>
      </w:r>
      <w:proofErr w:type="spellEnd"/>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  ocasionado por diferencia de interpretación de la regulación respecto de la suspensión del despacho del contrato EMG-OM-004-07, suscrito por esta empresa y Asociados de Recursos Mercantiles AREMARI S</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A</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 xml:space="preserve"> E</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S</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P.</w:t>
      </w:r>
      <w:r w:rsidR="006E0AA2">
        <w:rPr>
          <w:rFonts w:ascii="Bookman Old Style" w:eastAsia="Times New Roman" w:hAnsi="Bookman Old Style" w:cs="Times New Roman"/>
          <w:sz w:val="24"/>
          <w:szCs w:val="24"/>
          <w:lang w:val="es-ES" w:eastAsia="es-ES"/>
        </w:rPr>
        <w:t xml:space="preserve"> (en adelante </w:t>
      </w:r>
      <w:proofErr w:type="spellStart"/>
      <w:r w:rsidR="006E0AA2">
        <w:rPr>
          <w:rFonts w:ascii="Bookman Old Style" w:eastAsia="Times New Roman" w:hAnsi="Bookman Old Style" w:cs="Times New Roman"/>
          <w:sz w:val="24"/>
          <w:szCs w:val="24"/>
          <w:lang w:val="es-ES" w:eastAsia="es-ES"/>
        </w:rPr>
        <w:t>Aremari</w:t>
      </w:r>
      <w:proofErr w:type="spellEnd"/>
      <w:r w:rsidR="006E0AA2">
        <w:rPr>
          <w:rFonts w:ascii="Bookman Old Style" w:eastAsia="Times New Roman" w:hAnsi="Bookman Old Style" w:cs="Times New Roman"/>
          <w:sz w:val="24"/>
          <w:szCs w:val="24"/>
          <w:lang w:val="es-ES" w:eastAsia="es-ES"/>
        </w:rPr>
        <w:t>).</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C91A08"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La solicitud hecha por XM se dirige a fin de</w:t>
      </w:r>
      <w:r w:rsidR="00037D4D" w:rsidRPr="00037D4D">
        <w:rPr>
          <w:rFonts w:ascii="Bookman Old Style" w:eastAsia="Times New Roman" w:hAnsi="Bookman Old Style" w:cs="Times New Roman"/>
          <w:sz w:val="24"/>
          <w:szCs w:val="24"/>
          <w:lang w:val="es-ES" w:eastAsia="es-ES"/>
        </w:rPr>
        <w:t xml:space="preserve"> que se declare la improcedencia de una solicitud unilateral de registro de suspensión de un contrato que se encuentra debidamente registrado ante el ASIC por las partes contratantes, en cumplimiento de la regulación vigente aplicable, e igualmente que no es procedente tramitar soluciones unilaterales de registro, ni que dentro de las funciones del ASIC se encuentra la de determinar el cumplimiento o no de normas contractuales.</w:t>
      </w:r>
    </w:p>
    <w:p w:rsidR="00037D4D" w:rsidRPr="00A37A02" w:rsidRDefault="00037D4D" w:rsidP="00037D4D">
      <w:pPr>
        <w:spacing w:after="0" w:line="240" w:lineRule="auto"/>
        <w:jc w:val="both"/>
        <w:rPr>
          <w:rFonts w:ascii="Bookman Old Style" w:eastAsia="Times New Roman" w:hAnsi="Bookman Old Style" w:cs="Times New Roman"/>
          <w:sz w:val="18"/>
          <w:szCs w:val="24"/>
          <w:lang w:val="es-ES" w:eastAsia="es-ES"/>
        </w:rPr>
      </w:pPr>
    </w:p>
    <w:p w:rsidR="00C91A08" w:rsidRDefault="00225CA9"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Luego de surtirse la actuación administrativa pertinente, d</w:t>
      </w:r>
      <w:r w:rsidR="00C91A08">
        <w:rPr>
          <w:rFonts w:ascii="Bookman Old Style" w:eastAsia="Times New Roman" w:hAnsi="Bookman Old Style" w:cs="Times New Roman"/>
          <w:sz w:val="24"/>
          <w:szCs w:val="24"/>
          <w:lang w:val="es-ES" w:eastAsia="es-ES"/>
        </w:rPr>
        <w:t xml:space="preserve">icho conflicto fue resuelto mediante Resolución CREG 071 de 2013, en donde la Comisión mediante este acto administrativo </w:t>
      </w:r>
      <w:r>
        <w:rPr>
          <w:rFonts w:ascii="Bookman Old Style" w:eastAsia="Times New Roman" w:hAnsi="Bookman Old Style" w:cs="Times New Roman"/>
          <w:sz w:val="24"/>
          <w:szCs w:val="24"/>
          <w:lang w:val="es-ES" w:eastAsia="es-ES"/>
        </w:rPr>
        <w:t>dispuso</w:t>
      </w:r>
      <w:r w:rsidR="00C91A08">
        <w:rPr>
          <w:rFonts w:ascii="Bookman Old Style" w:eastAsia="Times New Roman" w:hAnsi="Bookman Old Style" w:cs="Times New Roman"/>
          <w:sz w:val="24"/>
          <w:szCs w:val="24"/>
          <w:lang w:val="es-ES" w:eastAsia="es-ES"/>
        </w:rPr>
        <w:t xml:space="preserve"> lo siguiente:</w:t>
      </w:r>
    </w:p>
    <w:p w:rsidR="00C91A08" w:rsidRDefault="00C91A08" w:rsidP="00037D4D">
      <w:pPr>
        <w:spacing w:after="0" w:line="240" w:lineRule="auto"/>
        <w:jc w:val="both"/>
        <w:rPr>
          <w:rFonts w:ascii="Bookman Old Style" w:eastAsia="Times New Roman" w:hAnsi="Bookman Old Style" w:cs="Times New Roman"/>
          <w:sz w:val="24"/>
          <w:szCs w:val="24"/>
          <w:lang w:val="es-ES" w:eastAsia="es-ES"/>
        </w:rPr>
      </w:pPr>
    </w:p>
    <w:p w:rsidR="00C91A08" w:rsidRPr="00C91A08" w:rsidRDefault="00C91A08" w:rsidP="00C91A08">
      <w:pPr>
        <w:spacing w:after="0" w:line="240" w:lineRule="auto"/>
        <w:ind w:left="284" w:right="284"/>
        <w:jc w:val="both"/>
        <w:rPr>
          <w:rFonts w:ascii="Bookman Old Style" w:eastAsia="Times New Roman" w:hAnsi="Bookman Old Style" w:cs="Times New Roman"/>
          <w:i/>
          <w:sz w:val="20"/>
          <w:szCs w:val="20"/>
          <w:lang w:val="es-ES" w:eastAsia="es-ES"/>
        </w:rPr>
      </w:pPr>
      <w:r>
        <w:rPr>
          <w:rFonts w:ascii="Bookman Old Style" w:eastAsia="Times New Roman" w:hAnsi="Bookman Old Style" w:cs="Times New Roman"/>
          <w:b/>
          <w:i/>
          <w:sz w:val="20"/>
          <w:szCs w:val="20"/>
          <w:lang w:val="es-ES" w:eastAsia="es-ES"/>
        </w:rPr>
        <w:t xml:space="preserve">“Artículo 1. </w:t>
      </w:r>
      <w:r w:rsidRPr="00C91A08">
        <w:rPr>
          <w:rFonts w:ascii="Bookman Old Style" w:eastAsia="Times New Roman" w:hAnsi="Bookman Old Style" w:cs="Times New Roman"/>
          <w:i/>
          <w:sz w:val="20"/>
          <w:szCs w:val="20"/>
          <w:lang w:val="es-ES" w:eastAsia="es-ES"/>
        </w:rPr>
        <w:t xml:space="preserve">Resolver el conflicto suscitado entre XM Expertos en Mercados S.A. E.S.P., Administrador del Sistema de Intercambios Comerciales –ASIC-, en cuanto a la interpretación adecuada de disposiciones regulatorias aplicables al momento de la controversia relacionadas con la posibilidad de pactar y solicitar al ASIC por parte de los agentes del Mercado de Energía Mayorista la terminación y suspensión unilateral de los contratos en este sentido: </w:t>
      </w:r>
    </w:p>
    <w:p w:rsidR="00C91A08" w:rsidRPr="00C91A08" w:rsidRDefault="00C91A08" w:rsidP="00C91A08">
      <w:pPr>
        <w:spacing w:after="0" w:line="240" w:lineRule="auto"/>
        <w:ind w:left="284" w:right="284"/>
        <w:jc w:val="both"/>
        <w:rPr>
          <w:rFonts w:ascii="Bookman Old Style" w:eastAsia="Times New Roman" w:hAnsi="Bookman Old Style" w:cs="Times New Roman"/>
          <w:i/>
          <w:sz w:val="20"/>
          <w:szCs w:val="20"/>
          <w:lang w:val="es-ES" w:eastAsia="es-ES"/>
        </w:rPr>
      </w:pPr>
    </w:p>
    <w:p w:rsidR="00C91A08" w:rsidRPr="00C91A08" w:rsidRDefault="00C91A08" w:rsidP="00C91A08">
      <w:pPr>
        <w:spacing w:after="0" w:line="240" w:lineRule="auto"/>
        <w:ind w:left="284" w:right="284"/>
        <w:jc w:val="both"/>
        <w:rPr>
          <w:rFonts w:ascii="Bookman Old Style" w:eastAsia="Times New Roman" w:hAnsi="Bookman Old Style" w:cs="Times New Roman"/>
          <w:i/>
          <w:sz w:val="20"/>
          <w:szCs w:val="20"/>
          <w:lang w:val="es-ES" w:eastAsia="es-ES"/>
        </w:rPr>
      </w:pPr>
      <w:r w:rsidRPr="00C91A08">
        <w:rPr>
          <w:rFonts w:ascii="Bookman Old Style" w:eastAsia="Times New Roman" w:hAnsi="Bookman Old Style" w:cs="Times New Roman"/>
          <w:i/>
          <w:sz w:val="20"/>
          <w:szCs w:val="20"/>
          <w:lang w:val="es-ES" w:eastAsia="es-ES"/>
        </w:rPr>
        <w:t>Conforme a lo establecido en las Resoluciones CREG 024 de 1995, 006 de 2003 y 038 de 2010, con posterioridad al 8 de marzo de 2010, es procedente pactar por parte de los agentes del Mercado de Energía Mayorista-MEM,</w:t>
      </w:r>
    </w:p>
    <w:p w:rsidR="00C91A08" w:rsidRPr="00C91A08" w:rsidRDefault="00C91A08" w:rsidP="00C91A08">
      <w:pPr>
        <w:spacing w:after="0" w:line="240" w:lineRule="auto"/>
        <w:ind w:left="284" w:right="284"/>
        <w:jc w:val="both"/>
        <w:rPr>
          <w:rFonts w:ascii="Bookman Old Style" w:eastAsia="Times New Roman" w:hAnsi="Bookman Old Style" w:cs="Times New Roman"/>
          <w:i/>
          <w:sz w:val="20"/>
          <w:szCs w:val="20"/>
          <w:lang w:val="es-ES" w:eastAsia="es-ES"/>
        </w:rPr>
      </w:pPr>
      <w:proofErr w:type="gramStart"/>
      <w:r w:rsidRPr="00C91A08">
        <w:rPr>
          <w:rFonts w:ascii="Bookman Old Style" w:eastAsia="Times New Roman" w:hAnsi="Bookman Old Style" w:cs="Times New Roman"/>
          <w:i/>
          <w:sz w:val="20"/>
          <w:szCs w:val="20"/>
          <w:lang w:val="es-ES" w:eastAsia="es-ES"/>
        </w:rPr>
        <w:t>y</w:t>
      </w:r>
      <w:proofErr w:type="gramEnd"/>
      <w:r w:rsidRPr="00C91A08">
        <w:rPr>
          <w:rFonts w:ascii="Bookman Old Style" w:eastAsia="Times New Roman" w:hAnsi="Bookman Old Style" w:cs="Times New Roman"/>
          <w:i/>
          <w:sz w:val="20"/>
          <w:szCs w:val="20"/>
          <w:lang w:val="es-ES" w:eastAsia="es-ES"/>
        </w:rPr>
        <w:t xml:space="preserve"> solicitar ante el ASIC, la terminación unilateral de los contratos de energía a largo plazo.</w:t>
      </w:r>
    </w:p>
    <w:p w:rsidR="00C91A08" w:rsidRPr="00C91A08" w:rsidRDefault="00C91A08" w:rsidP="00C91A08">
      <w:pPr>
        <w:spacing w:after="0" w:line="240" w:lineRule="auto"/>
        <w:ind w:left="284" w:right="284"/>
        <w:jc w:val="both"/>
        <w:rPr>
          <w:rFonts w:ascii="Bookman Old Style" w:eastAsia="Times New Roman" w:hAnsi="Bookman Old Style" w:cs="Times New Roman"/>
          <w:i/>
          <w:sz w:val="20"/>
          <w:szCs w:val="20"/>
          <w:lang w:val="es-ES" w:eastAsia="es-ES"/>
        </w:rPr>
      </w:pPr>
    </w:p>
    <w:p w:rsidR="00C91A08" w:rsidRPr="00C91A08" w:rsidRDefault="00C91A08" w:rsidP="00C91A08">
      <w:pPr>
        <w:spacing w:after="0" w:line="240" w:lineRule="auto"/>
        <w:ind w:left="284" w:right="284"/>
        <w:jc w:val="both"/>
        <w:rPr>
          <w:rFonts w:ascii="Bookman Old Style" w:eastAsia="Times New Roman" w:hAnsi="Bookman Old Style" w:cs="Times New Roman"/>
          <w:i/>
          <w:sz w:val="20"/>
          <w:szCs w:val="20"/>
          <w:lang w:val="es-ES" w:eastAsia="es-ES"/>
        </w:rPr>
      </w:pPr>
      <w:r w:rsidRPr="00C91A08">
        <w:rPr>
          <w:rFonts w:ascii="Bookman Old Style" w:eastAsia="Times New Roman" w:hAnsi="Bookman Old Style" w:cs="Times New Roman"/>
          <w:i/>
          <w:sz w:val="20"/>
          <w:szCs w:val="20"/>
          <w:lang w:val="es-ES" w:eastAsia="es-ES"/>
        </w:rPr>
        <w:t>Así mismo, de acuerdo con lo establecido en las Resoluciones CREG 024 de 1995 y 006 de 2003, son improcedentes aquellas solicitudes de suspensión unilateral de los contratos de energía a largo plazo que se realicen por parte de los agentes del Mercado de Energía Mayorista-MEM ante el ASIC,  en virtud de las obligaciones y disposiciones previstas en estos contratos suscritos y registrados con anterioridad a la vigencia de la Resolución CREG 038 de 2010, en la medida que se consideran incompatibles con la regulación.</w:t>
      </w:r>
    </w:p>
    <w:p w:rsidR="00C91A08" w:rsidRPr="00C91A08" w:rsidRDefault="00C91A08" w:rsidP="00C91A08">
      <w:pPr>
        <w:spacing w:after="0" w:line="240" w:lineRule="auto"/>
        <w:ind w:left="284" w:right="284"/>
        <w:jc w:val="both"/>
        <w:rPr>
          <w:rFonts w:ascii="Bookman Old Style" w:eastAsia="Times New Roman" w:hAnsi="Bookman Old Style" w:cs="Times New Roman"/>
          <w:i/>
          <w:sz w:val="20"/>
          <w:szCs w:val="20"/>
          <w:lang w:val="es-ES" w:eastAsia="es-ES"/>
        </w:rPr>
      </w:pPr>
    </w:p>
    <w:p w:rsidR="00C91A08" w:rsidRPr="00C91A08" w:rsidRDefault="00C91A08" w:rsidP="00C91A08">
      <w:pPr>
        <w:spacing w:after="0" w:line="240" w:lineRule="auto"/>
        <w:ind w:left="284" w:right="284"/>
        <w:jc w:val="both"/>
        <w:rPr>
          <w:rFonts w:ascii="Bookman Old Style" w:eastAsia="Times New Roman" w:hAnsi="Bookman Old Style" w:cs="Times New Roman"/>
          <w:i/>
          <w:sz w:val="20"/>
          <w:szCs w:val="20"/>
          <w:lang w:val="es-ES" w:eastAsia="es-ES"/>
        </w:rPr>
      </w:pPr>
      <w:r w:rsidRPr="00C91A08">
        <w:rPr>
          <w:rFonts w:ascii="Bookman Old Style" w:eastAsia="Times New Roman" w:hAnsi="Bookman Old Style" w:cs="Times New Roman"/>
          <w:i/>
          <w:sz w:val="20"/>
          <w:szCs w:val="20"/>
          <w:lang w:val="es-ES" w:eastAsia="es-ES"/>
        </w:rPr>
        <w:t>Lo anterior, de acuerdo con los argumentos expuestos en presente resolución.</w:t>
      </w:r>
      <w:r>
        <w:rPr>
          <w:rFonts w:ascii="Bookman Old Style" w:eastAsia="Times New Roman" w:hAnsi="Bookman Old Style" w:cs="Times New Roman"/>
          <w:i/>
          <w:sz w:val="20"/>
          <w:szCs w:val="20"/>
          <w:lang w:val="es-ES" w:eastAsia="es-ES"/>
        </w:rPr>
        <w:t>”</w:t>
      </w:r>
    </w:p>
    <w:p w:rsidR="00C91A08" w:rsidRDefault="00C91A08" w:rsidP="00037D4D">
      <w:pPr>
        <w:spacing w:after="0" w:line="240" w:lineRule="auto"/>
        <w:jc w:val="both"/>
        <w:rPr>
          <w:rFonts w:ascii="Bookman Old Style" w:eastAsia="Times New Roman" w:hAnsi="Bookman Old Style" w:cs="Times New Roman"/>
          <w:sz w:val="24"/>
          <w:szCs w:val="24"/>
          <w:lang w:val="es-ES" w:eastAsia="es-ES"/>
        </w:rPr>
      </w:pPr>
    </w:p>
    <w:p w:rsidR="00225CA9" w:rsidRDefault="00C91A08" w:rsidP="00225CA9">
      <w:pPr>
        <w:pStyle w:val="Prrafodelista"/>
        <w:numPr>
          <w:ilvl w:val="0"/>
          <w:numId w:val="5"/>
        </w:numPr>
        <w:jc w:val="both"/>
        <w:rPr>
          <w:rFonts w:ascii="Bookman Old Style" w:hAnsi="Bookman Old Style"/>
          <w:b/>
          <w:sz w:val="24"/>
          <w:szCs w:val="24"/>
          <w:lang w:val="es-ES"/>
        </w:rPr>
      </w:pPr>
      <w:r>
        <w:rPr>
          <w:rFonts w:ascii="Bookman Old Style" w:hAnsi="Bookman Old Style"/>
          <w:b/>
          <w:sz w:val="24"/>
          <w:szCs w:val="24"/>
          <w:lang w:val="es-ES"/>
        </w:rPr>
        <w:t xml:space="preserve">EL RECURSO DE REPOSICIÓN </w:t>
      </w:r>
    </w:p>
    <w:p w:rsidR="00225CA9" w:rsidRPr="00225CA9" w:rsidRDefault="00225CA9" w:rsidP="00225CA9">
      <w:pPr>
        <w:pStyle w:val="Prrafodelista"/>
        <w:ind w:left="720"/>
        <w:jc w:val="both"/>
        <w:rPr>
          <w:rFonts w:ascii="Bookman Old Style" w:hAnsi="Bookman Old Style"/>
          <w:b/>
          <w:sz w:val="24"/>
          <w:szCs w:val="24"/>
          <w:lang w:val="es-ES"/>
        </w:rPr>
      </w:pPr>
    </w:p>
    <w:p w:rsidR="00225CA9" w:rsidRPr="00225CA9" w:rsidRDefault="00225CA9" w:rsidP="00225CA9">
      <w:pPr>
        <w:spacing w:after="0" w:line="240" w:lineRule="auto"/>
        <w:jc w:val="both"/>
        <w:rPr>
          <w:rFonts w:ascii="Bookman Old Style" w:hAnsi="Bookman Old Style"/>
          <w:b/>
          <w:sz w:val="24"/>
          <w:szCs w:val="24"/>
          <w:lang w:val="es-ES"/>
        </w:rPr>
      </w:pPr>
      <w:r>
        <w:rPr>
          <w:rFonts w:ascii="Bookman Old Style" w:eastAsia="Times New Roman" w:hAnsi="Bookman Old Style" w:cs="Times New Roman"/>
          <w:b/>
          <w:sz w:val="24"/>
          <w:szCs w:val="24"/>
          <w:lang w:val="es-ES" w:eastAsia="es-ES"/>
        </w:rPr>
        <w:t xml:space="preserve">A. </w:t>
      </w:r>
      <w:r w:rsidRPr="00225CA9">
        <w:rPr>
          <w:rFonts w:ascii="Bookman Old Style" w:eastAsia="Times New Roman" w:hAnsi="Bookman Old Style" w:cs="Times New Roman"/>
          <w:b/>
          <w:sz w:val="24"/>
          <w:szCs w:val="24"/>
          <w:lang w:val="es-ES" w:eastAsia="es-ES"/>
        </w:rPr>
        <w:t xml:space="preserve">Solicitudes </w:t>
      </w:r>
    </w:p>
    <w:p w:rsidR="00C91A08" w:rsidRDefault="00C91A08" w:rsidP="00037D4D">
      <w:pPr>
        <w:spacing w:after="0" w:line="240" w:lineRule="auto"/>
        <w:jc w:val="both"/>
        <w:rPr>
          <w:rFonts w:ascii="Bookman Old Style" w:eastAsia="Times New Roman" w:hAnsi="Bookman Old Style" w:cs="Times New Roman"/>
          <w:sz w:val="24"/>
          <w:szCs w:val="24"/>
          <w:lang w:val="es-ES" w:eastAsia="es-ES"/>
        </w:rPr>
      </w:pPr>
    </w:p>
    <w:p w:rsidR="00C91A08" w:rsidRDefault="00C91A08"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Mediante comunicación </w:t>
      </w:r>
      <w:r w:rsidR="00944CA1">
        <w:rPr>
          <w:rFonts w:ascii="Bookman Old Style" w:eastAsia="Times New Roman" w:hAnsi="Bookman Old Style" w:cs="Times New Roman"/>
          <w:sz w:val="24"/>
          <w:szCs w:val="24"/>
          <w:lang w:val="es-ES" w:eastAsia="es-ES"/>
        </w:rPr>
        <w:t xml:space="preserve">E-2013-008383 la empresa </w:t>
      </w:r>
      <w:proofErr w:type="spellStart"/>
      <w:r w:rsidR="00944CA1">
        <w:rPr>
          <w:rFonts w:ascii="Bookman Old Style" w:eastAsia="Times New Roman" w:hAnsi="Bookman Old Style" w:cs="Times New Roman"/>
          <w:sz w:val="24"/>
          <w:szCs w:val="24"/>
          <w:lang w:val="es-ES" w:eastAsia="es-ES"/>
        </w:rPr>
        <w:t>Aremari</w:t>
      </w:r>
      <w:proofErr w:type="spellEnd"/>
      <w:r w:rsidR="00944CA1">
        <w:rPr>
          <w:rFonts w:ascii="Bookman Old Style" w:eastAsia="Times New Roman" w:hAnsi="Bookman Old Style" w:cs="Times New Roman"/>
          <w:sz w:val="24"/>
          <w:szCs w:val="24"/>
          <w:lang w:val="es-ES" w:eastAsia="es-ES"/>
        </w:rPr>
        <w:t xml:space="preserve"> a través de su representante legal presentó recurso de reposición en contra de la Resolución CREG 071 de 2013 en </w:t>
      </w:r>
      <w:r w:rsidR="00CF1C9D">
        <w:rPr>
          <w:rFonts w:ascii="Bookman Old Style" w:eastAsia="Times New Roman" w:hAnsi="Bookman Old Style" w:cs="Times New Roman"/>
          <w:sz w:val="24"/>
          <w:szCs w:val="24"/>
          <w:lang w:val="es-ES" w:eastAsia="es-ES"/>
        </w:rPr>
        <w:t>el</w:t>
      </w:r>
      <w:r w:rsidR="00944CA1">
        <w:rPr>
          <w:rFonts w:ascii="Bookman Old Style" w:eastAsia="Times New Roman" w:hAnsi="Bookman Old Style" w:cs="Times New Roman"/>
          <w:sz w:val="24"/>
          <w:szCs w:val="24"/>
          <w:lang w:val="es-ES" w:eastAsia="es-ES"/>
        </w:rPr>
        <w:t xml:space="preserve"> </w:t>
      </w:r>
      <w:r w:rsidR="00225CA9">
        <w:rPr>
          <w:rFonts w:ascii="Bookman Old Style" w:eastAsia="Times New Roman" w:hAnsi="Bookman Old Style" w:cs="Times New Roman"/>
          <w:sz w:val="24"/>
          <w:szCs w:val="24"/>
          <w:lang w:val="es-ES" w:eastAsia="es-ES"/>
        </w:rPr>
        <w:t>cual realiza las siguientes solicitudes:</w:t>
      </w:r>
    </w:p>
    <w:p w:rsidR="00C91A08" w:rsidRDefault="00C91A08" w:rsidP="00037D4D">
      <w:pPr>
        <w:spacing w:after="0" w:line="240" w:lineRule="auto"/>
        <w:jc w:val="both"/>
        <w:rPr>
          <w:rFonts w:ascii="Bookman Old Style" w:eastAsia="Times New Roman" w:hAnsi="Bookman Old Style" w:cs="Times New Roman"/>
          <w:sz w:val="24"/>
          <w:szCs w:val="24"/>
          <w:lang w:val="es-ES" w:eastAsia="es-ES"/>
        </w:rPr>
      </w:pPr>
    </w:p>
    <w:p w:rsidR="00225CA9" w:rsidRPr="00225CA9" w:rsidRDefault="00225CA9" w:rsidP="00225CA9">
      <w:pPr>
        <w:spacing w:after="0" w:line="240" w:lineRule="auto"/>
        <w:ind w:left="284" w:right="284"/>
        <w:jc w:val="both"/>
        <w:rPr>
          <w:rFonts w:ascii="Bookman Old Style" w:eastAsia="Times New Roman" w:hAnsi="Bookman Old Style" w:cs="Times New Roman"/>
          <w:i/>
          <w:sz w:val="20"/>
          <w:szCs w:val="20"/>
          <w:lang w:val="es-ES" w:eastAsia="es-ES"/>
        </w:rPr>
      </w:pPr>
      <w:r w:rsidRPr="00225CA9">
        <w:rPr>
          <w:rFonts w:ascii="Bookman Old Style" w:eastAsia="Times New Roman" w:hAnsi="Bookman Old Style" w:cs="Times New Roman"/>
          <w:i/>
          <w:sz w:val="20"/>
          <w:szCs w:val="20"/>
          <w:lang w:val="es-ES" w:eastAsia="es-ES"/>
        </w:rPr>
        <w:t>“De conformidad con lo aquí expuesto solicito a la CREG reformar su decisión y reconocer que no es procedente la terminación unilateral de los contratos, por cuanto esta no es el ejercicio de una facultad exorbitante y en caso de serlo explicar el procedimiento previo que se debe adoptar como garantía del debido proceso y el derecho de defensa y en consecuencia reconocer que este tipo de solicitudes sol</w:t>
      </w:r>
      <w:r w:rsidR="000B7C96">
        <w:rPr>
          <w:rFonts w:ascii="Bookman Old Style" w:eastAsia="Times New Roman" w:hAnsi="Bookman Old Style" w:cs="Times New Roman"/>
          <w:i/>
          <w:sz w:val="20"/>
          <w:szCs w:val="20"/>
          <w:lang w:val="es-ES" w:eastAsia="es-ES"/>
        </w:rPr>
        <w:t>o</w:t>
      </w:r>
      <w:r w:rsidRPr="00225CA9">
        <w:rPr>
          <w:rFonts w:ascii="Bookman Old Style" w:eastAsia="Times New Roman" w:hAnsi="Bookman Old Style" w:cs="Times New Roman"/>
          <w:i/>
          <w:sz w:val="20"/>
          <w:szCs w:val="20"/>
          <w:lang w:val="es-ES" w:eastAsia="es-ES"/>
        </w:rPr>
        <w:t xml:space="preserve"> tiene el efecto de suspender el despacho de la energía de los contratos que el administra por expreso acuerdo celebrado válidamente entre las partes, el cual es válido, por el principio de la autonomía de la voluntad, y ante la ausencia de objeto ilícito o causa ilícita, incluso antes de la expedición de la Resolución CREG 038 de 2010”.</w:t>
      </w:r>
    </w:p>
    <w:p w:rsidR="00C91A08" w:rsidRPr="00225CA9" w:rsidRDefault="00C91A08" w:rsidP="00037D4D">
      <w:pPr>
        <w:spacing w:after="0" w:line="240" w:lineRule="auto"/>
        <w:jc w:val="both"/>
        <w:rPr>
          <w:rFonts w:ascii="Bookman Old Style" w:eastAsia="Times New Roman" w:hAnsi="Bookman Old Style" w:cs="Times New Roman"/>
          <w:b/>
          <w:sz w:val="24"/>
          <w:szCs w:val="24"/>
          <w:lang w:val="es-ES" w:eastAsia="es-ES"/>
        </w:rPr>
      </w:pPr>
    </w:p>
    <w:p w:rsidR="00225CA9" w:rsidRPr="00225CA9" w:rsidRDefault="00225CA9" w:rsidP="00225CA9">
      <w:pPr>
        <w:spacing w:after="0" w:line="240" w:lineRule="auto"/>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B. </w:t>
      </w:r>
      <w:r w:rsidRPr="00225CA9">
        <w:rPr>
          <w:rFonts w:ascii="Bookman Old Style" w:eastAsia="Times New Roman" w:hAnsi="Bookman Old Style" w:cs="Times New Roman"/>
          <w:b/>
          <w:sz w:val="24"/>
          <w:szCs w:val="24"/>
          <w:lang w:val="es-ES" w:eastAsia="es-ES"/>
        </w:rPr>
        <w:t>Argumentos que sustentan el recurso</w:t>
      </w:r>
    </w:p>
    <w:p w:rsidR="00225CA9" w:rsidRPr="00225CA9" w:rsidRDefault="00225CA9" w:rsidP="00225CA9">
      <w:pPr>
        <w:spacing w:after="0" w:line="240" w:lineRule="auto"/>
        <w:jc w:val="both"/>
        <w:rPr>
          <w:rFonts w:ascii="Bookman Old Style" w:eastAsia="Times New Roman" w:hAnsi="Bookman Old Style" w:cs="Times New Roman"/>
          <w:sz w:val="24"/>
          <w:szCs w:val="24"/>
          <w:lang w:val="es-ES" w:eastAsia="es-ES"/>
        </w:rPr>
      </w:pPr>
    </w:p>
    <w:p w:rsidR="00225CA9" w:rsidRDefault="00225CA9" w:rsidP="00225CA9">
      <w:pPr>
        <w:spacing w:after="0" w:line="240" w:lineRule="auto"/>
        <w:jc w:val="both"/>
        <w:rPr>
          <w:rFonts w:ascii="Bookman Old Style" w:eastAsia="Times New Roman" w:hAnsi="Bookman Old Style" w:cs="Times New Roman"/>
          <w:sz w:val="24"/>
          <w:szCs w:val="24"/>
          <w:lang w:val="es-ES" w:eastAsia="es-ES"/>
        </w:rPr>
      </w:pPr>
      <w:r w:rsidRPr="00225CA9">
        <w:rPr>
          <w:rFonts w:ascii="Bookman Old Style" w:eastAsia="Times New Roman" w:hAnsi="Bookman Old Style" w:cs="Times New Roman"/>
          <w:sz w:val="24"/>
          <w:szCs w:val="24"/>
          <w:lang w:val="es-ES" w:eastAsia="es-ES"/>
        </w:rPr>
        <w:t xml:space="preserve">Los argumentos que sustentan </w:t>
      </w:r>
      <w:r>
        <w:rPr>
          <w:rFonts w:ascii="Bookman Old Style" w:eastAsia="Times New Roman" w:hAnsi="Bookman Old Style" w:cs="Times New Roman"/>
          <w:sz w:val="24"/>
          <w:szCs w:val="24"/>
          <w:lang w:val="es-ES" w:eastAsia="es-ES"/>
        </w:rPr>
        <w:t>esta petición</w:t>
      </w:r>
      <w:r w:rsidRPr="00225CA9">
        <w:rPr>
          <w:rFonts w:ascii="Bookman Old Style" w:eastAsia="Times New Roman" w:hAnsi="Bookman Old Style" w:cs="Times New Roman"/>
          <w:sz w:val="24"/>
          <w:szCs w:val="24"/>
          <w:lang w:val="es-ES" w:eastAsia="es-ES"/>
        </w:rPr>
        <w:t xml:space="preserve"> hacen referencia a lo siguiente:</w:t>
      </w:r>
    </w:p>
    <w:p w:rsidR="00225CA9" w:rsidRDefault="00225CA9" w:rsidP="00037D4D">
      <w:pPr>
        <w:spacing w:after="0" w:line="240" w:lineRule="auto"/>
        <w:jc w:val="both"/>
        <w:rPr>
          <w:rFonts w:ascii="Bookman Old Style" w:eastAsia="Times New Roman" w:hAnsi="Bookman Old Style" w:cs="Times New Roman"/>
          <w:sz w:val="24"/>
          <w:szCs w:val="24"/>
          <w:lang w:val="es-ES" w:eastAsia="es-ES"/>
        </w:rPr>
      </w:pPr>
    </w:p>
    <w:p w:rsidR="00225CA9" w:rsidRPr="006812D6" w:rsidRDefault="00225CA9" w:rsidP="006812D6">
      <w:pPr>
        <w:spacing w:after="0" w:line="240" w:lineRule="auto"/>
        <w:ind w:left="284" w:right="284"/>
        <w:jc w:val="center"/>
        <w:rPr>
          <w:rFonts w:ascii="Bookman Old Style" w:eastAsia="Times New Roman" w:hAnsi="Bookman Old Style" w:cs="Times New Roman"/>
          <w:i/>
          <w:sz w:val="20"/>
          <w:szCs w:val="20"/>
          <w:lang w:val="es-ES" w:eastAsia="es-ES"/>
        </w:rPr>
      </w:pPr>
      <w:r w:rsidRPr="006812D6">
        <w:rPr>
          <w:rFonts w:ascii="Bookman Old Style" w:eastAsia="Times New Roman" w:hAnsi="Bookman Old Style" w:cs="Times New Roman"/>
          <w:i/>
          <w:sz w:val="20"/>
          <w:szCs w:val="20"/>
          <w:lang w:val="es-ES" w:eastAsia="es-ES"/>
        </w:rPr>
        <w:t>“IMPROCEDENCIA DE LA TERMINACIÓN UNILATERAL DE LOS CONTRATOS DE SUMINISTROS DE ENERGÍA.</w:t>
      </w:r>
    </w:p>
    <w:p w:rsidR="00225CA9" w:rsidRPr="006812D6" w:rsidRDefault="00225CA9" w:rsidP="006812D6">
      <w:pPr>
        <w:spacing w:after="0" w:line="240" w:lineRule="auto"/>
        <w:ind w:left="284" w:right="284"/>
        <w:jc w:val="both"/>
        <w:rPr>
          <w:rFonts w:ascii="Bookman Old Style" w:eastAsia="Times New Roman" w:hAnsi="Bookman Old Style" w:cs="Times New Roman"/>
          <w:i/>
          <w:sz w:val="20"/>
          <w:szCs w:val="20"/>
          <w:lang w:val="es-ES" w:eastAsia="es-ES"/>
        </w:rPr>
      </w:pPr>
    </w:p>
    <w:p w:rsidR="00225CA9" w:rsidRPr="006812D6" w:rsidRDefault="00225CA9" w:rsidP="006812D6">
      <w:pPr>
        <w:spacing w:after="0" w:line="240" w:lineRule="auto"/>
        <w:ind w:left="284" w:right="284"/>
        <w:jc w:val="both"/>
        <w:rPr>
          <w:rFonts w:ascii="Bookman Old Style" w:eastAsia="Times New Roman" w:hAnsi="Bookman Old Style" w:cs="Times New Roman"/>
          <w:i/>
          <w:sz w:val="20"/>
          <w:szCs w:val="20"/>
          <w:lang w:val="es-ES" w:eastAsia="es-ES"/>
        </w:rPr>
      </w:pPr>
      <w:r w:rsidRPr="006812D6">
        <w:rPr>
          <w:rFonts w:ascii="Bookman Old Style" w:eastAsia="Times New Roman" w:hAnsi="Bookman Old Style" w:cs="Times New Roman"/>
          <w:i/>
          <w:sz w:val="20"/>
          <w:szCs w:val="20"/>
          <w:lang w:val="es-ES" w:eastAsia="es-ES"/>
        </w:rPr>
        <w:t xml:space="preserve">Con todo respeto debemos recordarle a la comisión que en los contratos celebrados entre los particulares, cometidos al derecho privado, las partes se encuentran en igualdad de condiciones y en este sentido, no es procedente la terminación unilateral de los contratos, por cuanto esta es una prerrogativa exorbitante propia y exclusiva de las autoridades cuando celebran contratos estatales regidos por la Ley 80 de 1993. </w:t>
      </w:r>
    </w:p>
    <w:p w:rsidR="00225CA9" w:rsidRPr="006812D6" w:rsidRDefault="00225CA9" w:rsidP="006812D6">
      <w:pPr>
        <w:spacing w:after="0" w:line="240" w:lineRule="auto"/>
        <w:ind w:left="284" w:right="284"/>
        <w:jc w:val="both"/>
        <w:rPr>
          <w:rFonts w:ascii="Bookman Old Style" w:eastAsia="Times New Roman" w:hAnsi="Bookman Old Style" w:cs="Times New Roman"/>
          <w:i/>
          <w:sz w:val="20"/>
          <w:szCs w:val="20"/>
          <w:lang w:val="es-ES" w:eastAsia="es-ES"/>
        </w:rPr>
      </w:pPr>
    </w:p>
    <w:p w:rsidR="0094143B" w:rsidRDefault="0094143B" w:rsidP="006812D6">
      <w:pPr>
        <w:spacing w:after="0" w:line="240" w:lineRule="auto"/>
        <w:ind w:left="284" w:right="284"/>
        <w:jc w:val="both"/>
        <w:rPr>
          <w:rFonts w:ascii="Bookman Old Style" w:eastAsia="Times New Roman" w:hAnsi="Bookman Old Style" w:cs="Times New Roman"/>
          <w:i/>
          <w:sz w:val="20"/>
          <w:szCs w:val="20"/>
          <w:lang w:val="es-ES" w:eastAsia="es-ES"/>
        </w:rPr>
      </w:pPr>
    </w:p>
    <w:p w:rsidR="00225CA9" w:rsidRPr="006812D6" w:rsidRDefault="00225CA9" w:rsidP="006812D6">
      <w:pPr>
        <w:spacing w:after="0" w:line="240" w:lineRule="auto"/>
        <w:ind w:left="284" w:right="284"/>
        <w:jc w:val="both"/>
        <w:rPr>
          <w:rFonts w:ascii="Bookman Old Style" w:eastAsia="Times New Roman" w:hAnsi="Bookman Old Style" w:cs="Times New Roman"/>
          <w:i/>
          <w:sz w:val="20"/>
          <w:szCs w:val="20"/>
          <w:lang w:val="es-ES" w:eastAsia="es-ES"/>
        </w:rPr>
      </w:pPr>
      <w:r w:rsidRPr="006812D6">
        <w:rPr>
          <w:rFonts w:ascii="Bookman Old Style" w:eastAsia="Times New Roman" w:hAnsi="Bookman Old Style" w:cs="Times New Roman"/>
          <w:i/>
          <w:sz w:val="20"/>
          <w:szCs w:val="20"/>
          <w:lang w:val="es-ES" w:eastAsia="es-ES"/>
        </w:rPr>
        <w:t xml:space="preserve">El anterior régimen de derecho privado es extensivo a las empresas oficiales, en los términos del artículo 76 de la Ley 143 de 1994, que establece que los actos y los contratos, salvo los que se refieren a contratos de empréstito, celebrados por las sociedades por acciones en las cuales las entidades oficiales tengan participación en su capital social, sin </w:t>
      </w:r>
      <w:r w:rsidR="00753187" w:rsidRPr="006812D6">
        <w:rPr>
          <w:rFonts w:ascii="Bookman Old Style" w:eastAsia="Times New Roman" w:hAnsi="Bookman Old Style" w:cs="Times New Roman"/>
          <w:i/>
          <w:sz w:val="20"/>
          <w:szCs w:val="20"/>
          <w:lang w:val="es-ES" w:eastAsia="es-ES"/>
        </w:rPr>
        <w:t>atención a la cuantía que dicha participación represente, se regirán por el derecho privado.</w:t>
      </w:r>
    </w:p>
    <w:p w:rsidR="00753187" w:rsidRPr="006812D6" w:rsidRDefault="00753187" w:rsidP="006812D6">
      <w:pPr>
        <w:spacing w:after="0" w:line="240" w:lineRule="auto"/>
        <w:ind w:left="284" w:right="284"/>
        <w:jc w:val="both"/>
        <w:rPr>
          <w:rFonts w:ascii="Bookman Old Style" w:eastAsia="Times New Roman" w:hAnsi="Bookman Old Style" w:cs="Times New Roman"/>
          <w:i/>
          <w:sz w:val="20"/>
          <w:szCs w:val="20"/>
          <w:lang w:val="es-ES" w:eastAsia="es-ES"/>
        </w:rPr>
      </w:pPr>
    </w:p>
    <w:p w:rsidR="00753187" w:rsidRPr="006812D6" w:rsidRDefault="00753187" w:rsidP="006812D6">
      <w:pPr>
        <w:spacing w:after="0" w:line="240" w:lineRule="auto"/>
        <w:ind w:left="284" w:right="284"/>
        <w:jc w:val="both"/>
        <w:rPr>
          <w:rFonts w:ascii="Bookman Old Style" w:eastAsia="Times New Roman" w:hAnsi="Bookman Old Style" w:cs="Times New Roman"/>
          <w:i/>
          <w:sz w:val="20"/>
          <w:szCs w:val="20"/>
          <w:lang w:val="es-ES" w:eastAsia="es-ES"/>
        </w:rPr>
      </w:pPr>
      <w:r w:rsidRPr="006812D6">
        <w:rPr>
          <w:rFonts w:ascii="Bookman Old Style" w:eastAsia="Times New Roman" w:hAnsi="Bookman Old Style" w:cs="Times New Roman"/>
          <w:i/>
          <w:sz w:val="20"/>
          <w:szCs w:val="20"/>
          <w:lang w:val="es-ES" w:eastAsia="es-ES"/>
        </w:rPr>
        <w:t>Nótese que el inciso 2do del artículo 3º de la resolución CREG establece unas consecuencias para aquellos contratos en los cuales se hubiere pactado la terminación unilateral. El pacto de la terminación unilateral a nuestro entendimiento, no se ha hecho obligatoria por parte de la CREG en ejercicio de la facultad consagrada en el artículo 31 de la Ley 142 de 1994, por lo cual, esta cláusula no es una facultad exorbitante, y por lo tanto, la terminación del contrato, en el evento de incumplimiento de una de las partes, en los términos de ley, solo procede por decisión judicial, en los términos del artículo 870 del Código de Comercio.</w:t>
      </w:r>
    </w:p>
    <w:p w:rsidR="00753187" w:rsidRPr="006812D6" w:rsidRDefault="00753187" w:rsidP="006812D6">
      <w:pPr>
        <w:spacing w:after="0" w:line="240" w:lineRule="auto"/>
        <w:ind w:left="284" w:right="284"/>
        <w:jc w:val="both"/>
        <w:rPr>
          <w:rFonts w:ascii="Bookman Old Style" w:eastAsia="Times New Roman" w:hAnsi="Bookman Old Style" w:cs="Times New Roman"/>
          <w:i/>
          <w:sz w:val="20"/>
          <w:szCs w:val="20"/>
          <w:lang w:val="es-ES" w:eastAsia="es-ES"/>
        </w:rPr>
      </w:pPr>
    </w:p>
    <w:p w:rsidR="00753187" w:rsidRPr="006812D6" w:rsidRDefault="00753187" w:rsidP="006812D6">
      <w:pPr>
        <w:spacing w:after="0" w:line="240" w:lineRule="auto"/>
        <w:ind w:left="284" w:right="284"/>
        <w:jc w:val="center"/>
        <w:rPr>
          <w:rFonts w:ascii="Bookman Old Style" w:eastAsia="Times New Roman" w:hAnsi="Bookman Old Style" w:cs="Times New Roman"/>
          <w:i/>
          <w:sz w:val="20"/>
          <w:szCs w:val="20"/>
          <w:lang w:val="es-ES" w:eastAsia="es-ES"/>
        </w:rPr>
      </w:pPr>
      <w:r w:rsidRPr="006812D6">
        <w:rPr>
          <w:rFonts w:ascii="Bookman Old Style" w:eastAsia="Times New Roman" w:hAnsi="Bookman Old Style" w:cs="Times New Roman"/>
          <w:i/>
          <w:sz w:val="20"/>
          <w:szCs w:val="20"/>
          <w:lang w:val="es-ES" w:eastAsia="es-ES"/>
        </w:rPr>
        <w:t>MANDATO CON REPRESENTACIÓN DE XM-S.A.</w:t>
      </w:r>
    </w:p>
    <w:p w:rsidR="00753187" w:rsidRPr="006812D6" w:rsidRDefault="00753187" w:rsidP="006812D6">
      <w:pPr>
        <w:spacing w:after="0" w:line="240" w:lineRule="auto"/>
        <w:ind w:left="284" w:right="284"/>
        <w:rPr>
          <w:rFonts w:ascii="Bookman Old Style" w:eastAsia="Times New Roman" w:hAnsi="Bookman Old Style" w:cs="Times New Roman"/>
          <w:i/>
          <w:sz w:val="20"/>
          <w:szCs w:val="20"/>
          <w:lang w:val="es-ES" w:eastAsia="es-ES"/>
        </w:rPr>
      </w:pPr>
    </w:p>
    <w:p w:rsidR="00753187" w:rsidRPr="006812D6" w:rsidRDefault="00753187" w:rsidP="006812D6">
      <w:pPr>
        <w:spacing w:after="0" w:line="240" w:lineRule="auto"/>
        <w:ind w:left="284" w:right="284"/>
        <w:jc w:val="both"/>
        <w:rPr>
          <w:rFonts w:ascii="Bookman Old Style" w:eastAsia="Times New Roman" w:hAnsi="Bookman Old Style" w:cs="Times New Roman"/>
          <w:i/>
          <w:sz w:val="20"/>
          <w:szCs w:val="20"/>
          <w:lang w:val="es-ES" w:eastAsia="es-ES"/>
        </w:rPr>
      </w:pPr>
      <w:r w:rsidRPr="006812D6">
        <w:rPr>
          <w:rFonts w:ascii="Bookman Old Style" w:eastAsia="Times New Roman" w:hAnsi="Bookman Old Style" w:cs="Times New Roman"/>
          <w:i/>
          <w:sz w:val="20"/>
          <w:szCs w:val="20"/>
          <w:lang w:val="es-ES" w:eastAsia="es-ES"/>
        </w:rPr>
        <w:t>No se puede desconocer las funciones que ‘XM Compañía de Expertos en Mercado S.A. E.S.P.’, realiza en el LAC y en el ASIC, tiene como fuente de las obligaciones el cumplimiento del contrato de mandato celebrado con los agentes del MEM, la cual a su vez nace del mandato legal, que le impone el deber de administrar el sistema de intercambios y comercialización de energía eléctrica en los términos del artículo 167, parágrafo 1, de la Ley 142 de 1994.</w:t>
      </w:r>
    </w:p>
    <w:p w:rsidR="00753187" w:rsidRPr="006812D6" w:rsidRDefault="00753187" w:rsidP="006812D6">
      <w:pPr>
        <w:spacing w:after="0" w:line="240" w:lineRule="auto"/>
        <w:ind w:left="284" w:right="284"/>
        <w:jc w:val="both"/>
        <w:rPr>
          <w:rFonts w:ascii="Bookman Old Style" w:eastAsia="Times New Roman" w:hAnsi="Bookman Old Style" w:cs="Times New Roman"/>
          <w:i/>
          <w:sz w:val="20"/>
          <w:szCs w:val="20"/>
          <w:lang w:val="es-ES" w:eastAsia="es-ES"/>
        </w:rPr>
      </w:pPr>
    </w:p>
    <w:p w:rsidR="00753187" w:rsidRPr="006812D6" w:rsidRDefault="00753187" w:rsidP="006812D6">
      <w:pPr>
        <w:spacing w:after="0" w:line="240" w:lineRule="auto"/>
        <w:ind w:left="284" w:right="284"/>
        <w:jc w:val="both"/>
        <w:rPr>
          <w:rFonts w:ascii="Bookman Old Style" w:eastAsia="Times New Roman" w:hAnsi="Bookman Old Style" w:cs="Times New Roman"/>
          <w:i/>
          <w:sz w:val="20"/>
          <w:szCs w:val="20"/>
          <w:lang w:val="es-ES" w:eastAsia="es-ES"/>
        </w:rPr>
      </w:pPr>
      <w:r w:rsidRPr="006812D6">
        <w:rPr>
          <w:rFonts w:ascii="Bookman Old Style" w:eastAsia="Times New Roman" w:hAnsi="Bookman Old Style" w:cs="Times New Roman"/>
          <w:i/>
          <w:sz w:val="20"/>
          <w:szCs w:val="20"/>
          <w:lang w:val="es-ES" w:eastAsia="es-ES"/>
        </w:rPr>
        <w:t>Así las cosas, cuando un agente solicita al ASIC la suspensión del despacho de un contrato de energía, por el incumplimiento de otra parte, no le está solicitando la terminación del contrato sino que deje de considerar el suministro de lo pactado, lo cual puede tener fundamento en el acuerdo de voluntades celebrado entre las partes y el cual registra y administra XM en virtud del contrato de mandato con representación que le fue conferido por los agentes y en la misma ley, por cuanto el código de comercio, para el contrato de suministro, permite y autoriza la terminación del suministro por el incumplimiento grave de una de las partes.</w:t>
      </w:r>
    </w:p>
    <w:p w:rsidR="00753187" w:rsidRPr="006812D6" w:rsidRDefault="00753187" w:rsidP="006812D6">
      <w:pPr>
        <w:spacing w:after="0" w:line="240" w:lineRule="auto"/>
        <w:ind w:left="284" w:right="284"/>
        <w:jc w:val="both"/>
        <w:rPr>
          <w:rFonts w:ascii="Bookman Old Style" w:eastAsia="Times New Roman" w:hAnsi="Bookman Old Style" w:cs="Times New Roman"/>
          <w:i/>
          <w:sz w:val="20"/>
          <w:szCs w:val="20"/>
          <w:lang w:val="es-ES" w:eastAsia="es-ES"/>
        </w:rPr>
      </w:pPr>
    </w:p>
    <w:p w:rsidR="006812D6" w:rsidRPr="006812D6" w:rsidRDefault="00753187" w:rsidP="006812D6">
      <w:pPr>
        <w:spacing w:after="0" w:line="240" w:lineRule="auto"/>
        <w:ind w:left="284" w:right="284"/>
        <w:jc w:val="both"/>
        <w:rPr>
          <w:rFonts w:ascii="Bookman Old Style" w:eastAsia="Times New Roman" w:hAnsi="Bookman Old Style" w:cs="Times New Roman"/>
          <w:i/>
          <w:sz w:val="20"/>
          <w:szCs w:val="20"/>
          <w:lang w:val="es-ES" w:eastAsia="es-ES"/>
        </w:rPr>
      </w:pPr>
      <w:r w:rsidRPr="006812D6">
        <w:rPr>
          <w:rFonts w:ascii="Bookman Old Style" w:eastAsia="Times New Roman" w:hAnsi="Bookman Old Style" w:cs="Times New Roman"/>
          <w:i/>
          <w:sz w:val="20"/>
          <w:szCs w:val="20"/>
          <w:lang w:val="es-ES" w:eastAsia="es-ES"/>
        </w:rPr>
        <w:t>Así las cosas, antes de la expedición de la resolución CREG No 038, no existía la norma que limitara o prohibiera el pacto en los contratos que conllevara la suspensión del suministro por el incumplimiento de las partes y mucho menos de la regulación, que impidiera o prohibiera a XM ejecutar las solicitudes que en este sentido le presentara una de las partes en cumplimiento de los (sic) pactado en los contratos de suministro de energía.</w:t>
      </w:r>
    </w:p>
    <w:p w:rsidR="006812D6" w:rsidRPr="006812D6" w:rsidRDefault="006812D6" w:rsidP="006812D6">
      <w:pPr>
        <w:spacing w:after="0" w:line="240" w:lineRule="auto"/>
        <w:ind w:left="284" w:right="284"/>
        <w:jc w:val="both"/>
        <w:rPr>
          <w:rFonts w:ascii="Bookman Old Style" w:eastAsia="Times New Roman" w:hAnsi="Bookman Old Style" w:cs="Times New Roman"/>
          <w:i/>
          <w:sz w:val="20"/>
          <w:szCs w:val="20"/>
          <w:lang w:val="es-ES" w:eastAsia="es-ES"/>
        </w:rPr>
      </w:pPr>
    </w:p>
    <w:p w:rsidR="00753187" w:rsidRPr="006812D6" w:rsidRDefault="006812D6" w:rsidP="006812D6">
      <w:pPr>
        <w:spacing w:after="0" w:line="240" w:lineRule="auto"/>
        <w:ind w:left="284" w:right="284"/>
        <w:jc w:val="both"/>
        <w:rPr>
          <w:rFonts w:ascii="Bookman Old Style" w:eastAsia="Times New Roman" w:hAnsi="Bookman Old Style" w:cs="Times New Roman"/>
          <w:i/>
          <w:sz w:val="20"/>
          <w:szCs w:val="20"/>
          <w:lang w:val="es-ES" w:eastAsia="es-ES"/>
        </w:rPr>
      </w:pPr>
      <w:r w:rsidRPr="006812D6">
        <w:rPr>
          <w:rFonts w:ascii="Bookman Old Style" w:eastAsia="Times New Roman" w:hAnsi="Bookman Old Style" w:cs="Times New Roman"/>
          <w:i/>
          <w:sz w:val="20"/>
          <w:szCs w:val="20"/>
          <w:lang w:val="es-ES" w:eastAsia="es-ES"/>
        </w:rPr>
        <w:t>XM, como mandatario con representación de los agentes está obligado, entre otras cosas a ejecutar las obligaciones del mandante, no solo las relacionadas con el despacho del suministro, sino las solicitudes relacionadas con la suspensión o interrupción del mismo.</w:t>
      </w:r>
      <w:r>
        <w:rPr>
          <w:rFonts w:ascii="Bookman Old Style" w:eastAsia="Times New Roman" w:hAnsi="Bookman Old Style" w:cs="Times New Roman"/>
          <w:i/>
          <w:sz w:val="20"/>
          <w:szCs w:val="20"/>
          <w:lang w:val="es-ES" w:eastAsia="es-ES"/>
        </w:rPr>
        <w:t>”</w:t>
      </w:r>
      <w:r w:rsidR="00753187" w:rsidRPr="006812D6">
        <w:rPr>
          <w:rFonts w:ascii="Bookman Old Style" w:eastAsia="Times New Roman" w:hAnsi="Bookman Old Style" w:cs="Times New Roman"/>
          <w:i/>
          <w:sz w:val="20"/>
          <w:szCs w:val="20"/>
          <w:lang w:val="es-ES" w:eastAsia="es-ES"/>
        </w:rPr>
        <w:t xml:space="preserve">   </w:t>
      </w:r>
    </w:p>
    <w:p w:rsidR="00225CA9" w:rsidRDefault="00225CA9" w:rsidP="00037D4D">
      <w:pPr>
        <w:spacing w:after="0" w:line="240" w:lineRule="auto"/>
        <w:jc w:val="both"/>
        <w:rPr>
          <w:rFonts w:ascii="Bookman Old Style" w:eastAsia="Times New Roman" w:hAnsi="Bookman Old Style" w:cs="Times New Roman"/>
          <w:sz w:val="24"/>
          <w:szCs w:val="24"/>
          <w:lang w:val="es-ES" w:eastAsia="es-ES"/>
        </w:rPr>
      </w:pPr>
    </w:p>
    <w:p w:rsidR="006812D6" w:rsidRPr="006812D6" w:rsidRDefault="006812D6" w:rsidP="006812D6">
      <w:pPr>
        <w:spacing w:after="0" w:line="240" w:lineRule="auto"/>
        <w:jc w:val="both"/>
        <w:rPr>
          <w:rFonts w:ascii="Bookman Old Style" w:eastAsia="Times New Roman" w:hAnsi="Bookman Old Style" w:cs="Times New Roman"/>
          <w:b/>
          <w:sz w:val="24"/>
          <w:szCs w:val="24"/>
          <w:lang w:val="es-ES" w:eastAsia="es-ES"/>
        </w:rPr>
      </w:pPr>
      <w:r w:rsidRPr="006812D6">
        <w:rPr>
          <w:rFonts w:ascii="Bookman Old Style" w:eastAsia="Times New Roman" w:hAnsi="Bookman Old Style" w:cs="Times New Roman"/>
          <w:b/>
          <w:sz w:val="24"/>
          <w:szCs w:val="24"/>
          <w:lang w:val="es-ES" w:eastAsia="es-ES"/>
        </w:rPr>
        <w:t>III. LA ADMISIÓN DEL RECURSO DE REPOSICIÓN</w:t>
      </w:r>
    </w:p>
    <w:p w:rsidR="006812D6" w:rsidRPr="006812D6" w:rsidRDefault="006812D6" w:rsidP="006812D6">
      <w:pPr>
        <w:spacing w:after="0" w:line="240" w:lineRule="auto"/>
        <w:jc w:val="both"/>
        <w:rPr>
          <w:rFonts w:ascii="Bookman Old Style" w:eastAsia="Times New Roman" w:hAnsi="Bookman Old Style" w:cs="Times New Roman"/>
          <w:sz w:val="24"/>
          <w:szCs w:val="24"/>
          <w:lang w:val="es-ES" w:eastAsia="es-ES"/>
        </w:rPr>
      </w:pPr>
    </w:p>
    <w:p w:rsidR="006812D6" w:rsidRPr="006812D6" w:rsidRDefault="006812D6" w:rsidP="006812D6">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La Resolución CREG 071 del 5 de julio de</w:t>
      </w:r>
      <w:r w:rsidRPr="006812D6">
        <w:rPr>
          <w:rFonts w:ascii="Bookman Old Style" w:eastAsia="Times New Roman" w:hAnsi="Bookman Old Style" w:cs="Times New Roman"/>
          <w:sz w:val="24"/>
          <w:szCs w:val="24"/>
          <w:lang w:val="es-ES" w:eastAsia="es-ES"/>
        </w:rPr>
        <w:t xml:space="preserve"> </w:t>
      </w:r>
      <w:r>
        <w:rPr>
          <w:rFonts w:ascii="Bookman Old Style" w:eastAsia="Times New Roman" w:hAnsi="Bookman Old Style" w:cs="Times New Roman"/>
          <w:sz w:val="24"/>
          <w:szCs w:val="24"/>
          <w:lang w:val="es-ES" w:eastAsia="es-ES"/>
        </w:rPr>
        <w:t>2013 fue notificada</w:t>
      </w:r>
      <w:r w:rsidRPr="006812D6">
        <w:rPr>
          <w:rFonts w:ascii="Bookman Old Style" w:eastAsia="Times New Roman" w:hAnsi="Bookman Old Style" w:cs="Times New Roman"/>
          <w:sz w:val="24"/>
          <w:szCs w:val="24"/>
          <w:lang w:val="es-ES" w:eastAsia="es-ES"/>
        </w:rPr>
        <w:t xml:space="preserve"> personalmente a la recurrente mediante diligencia registrada a través del oficio I-2013-</w:t>
      </w:r>
      <w:r>
        <w:rPr>
          <w:rFonts w:ascii="Bookman Old Style" w:eastAsia="Times New Roman" w:hAnsi="Bookman Old Style" w:cs="Times New Roman"/>
          <w:sz w:val="24"/>
          <w:szCs w:val="24"/>
          <w:lang w:val="es-ES" w:eastAsia="es-ES"/>
        </w:rPr>
        <w:t>003618</w:t>
      </w:r>
      <w:r w:rsidRPr="006812D6">
        <w:rPr>
          <w:rFonts w:ascii="Bookman Old Style" w:eastAsia="Times New Roman" w:hAnsi="Bookman Old Style" w:cs="Times New Roman"/>
          <w:sz w:val="24"/>
          <w:szCs w:val="24"/>
          <w:lang w:val="es-ES" w:eastAsia="es-ES"/>
        </w:rPr>
        <w:t xml:space="preserve"> del 12 de </w:t>
      </w:r>
      <w:r>
        <w:rPr>
          <w:rFonts w:ascii="Bookman Old Style" w:eastAsia="Times New Roman" w:hAnsi="Bookman Old Style" w:cs="Times New Roman"/>
          <w:sz w:val="24"/>
          <w:szCs w:val="24"/>
          <w:lang w:val="es-ES" w:eastAsia="es-ES"/>
        </w:rPr>
        <w:t>septiembre</w:t>
      </w:r>
      <w:r w:rsidRPr="006812D6">
        <w:rPr>
          <w:rFonts w:ascii="Bookman Old Style" w:eastAsia="Times New Roman" w:hAnsi="Bookman Old Style" w:cs="Times New Roman"/>
          <w:sz w:val="24"/>
          <w:szCs w:val="24"/>
          <w:lang w:val="es-ES" w:eastAsia="es-ES"/>
        </w:rPr>
        <w:t xml:space="preserve"> de 2013. El recurso de reposición fue interpuesto mediante el oficio E-2013-</w:t>
      </w:r>
      <w:r>
        <w:rPr>
          <w:rFonts w:ascii="Bookman Old Style" w:eastAsia="Times New Roman" w:hAnsi="Bookman Old Style" w:cs="Times New Roman"/>
          <w:sz w:val="24"/>
          <w:szCs w:val="24"/>
          <w:lang w:val="es-ES" w:eastAsia="es-ES"/>
        </w:rPr>
        <w:t>008333</w:t>
      </w:r>
      <w:r w:rsidRPr="006812D6">
        <w:rPr>
          <w:rFonts w:ascii="Bookman Old Style" w:eastAsia="Times New Roman" w:hAnsi="Bookman Old Style" w:cs="Times New Roman"/>
          <w:sz w:val="24"/>
          <w:szCs w:val="24"/>
          <w:lang w:val="es-ES" w:eastAsia="es-ES"/>
        </w:rPr>
        <w:t xml:space="preserve"> de </w:t>
      </w:r>
      <w:r>
        <w:rPr>
          <w:rFonts w:ascii="Bookman Old Style" w:eastAsia="Times New Roman" w:hAnsi="Bookman Old Style" w:cs="Times New Roman"/>
          <w:sz w:val="24"/>
          <w:szCs w:val="24"/>
          <w:lang w:val="es-ES" w:eastAsia="es-ES"/>
        </w:rPr>
        <w:t>18 de septiembre</w:t>
      </w:r>
      <w:r w:rsidRPr="006812D6">
        <w:rPr>
          <w:rFonts w:ascii="Bookman Old Style" w:eastAsia="Times New Roman" w:hAnsi="Bookman Old Style" w:cs="Times New Roman"/>
          <w:sz w:val="24"/>
          <w:szCs w:val="24"/>
          <w:lang w:val="es-ES" w:eastAsia="es-ES"/>
        </w:rPr>
        <w:t xml:space="preserve"> de 2013, razón por la cual se establece que dicho recurso fue radicado dentro del término previsto en el numeral 2 de la parte resolutiva </w:t>
      </w:r>
      <w:r w:rsidR="006E5A13">
        <w:rPr>
          <w:rFonts w:ascii="Bookman Old Style" w:eastAsia="Times New Roman" w:hAnsi="Bookman Old Style" w:cs="Times New Roman"/>
          <w:sz w:val="24"/>
          <w:szCs w:val="24"/>
          <w:lang w:val="es-ES" w:eastAsia="es-ES"/>
        </w:rPr>
        <w:t>del acto administrativo impugnado</w:t>
      </w:r>
      <w:r w:rsidRPr="006812D6">
        <w:rPr>
          <w:rFonts w:ascii="Bookman Old Style" w:eastAsia="Times New Roman" w:hAnsi="Bookman Old Style" w:cs="Times New Roman"/>
          <w:sz w:val="24"/>
          <w:szCs w:val="24"/>
          <w:lang w:val="es-ES" w:eastAsia="es-ES"/>
        </w:rPr>
        <w:t xml:space="preserve">. </w:t>
      </w:r>
    </w:p>
    <w:p w:rsidR="00A37A02" w:rsidRDefault="00A37A02" w:rsidP="006812D6">
      <w:pPr>
        <w:spacing w:after="0" w:line="240" w:lineRule="auto"/>
        <w:jc w:val="both"/>
        <w:rPr>
          <w:rFonts w:ascii="Bookman Old Style" w:eastAsia="Times New Roman" w:hAnsi="Bookman Old Style" w:cs="Times New Roman"/>
          <w:sz w:val="24"/>
          <w:szCs w:val="24"/>
          <w:lang w:val="es-ES" w:eastAsia="es-ES"/>
        </w:rPr>
      </w:pPr>
    </w:p>
    <w:p w:rsidR="00A37A02" w:rsidRDefault="00A37A02" w:rsidP="006812D6">
      <w:pPr>
        <w:spacing w:after="0" w:line="240" w:lineRule="auto"/>
        <w:jc w:val="both"/>
        <w:rPr>
          <w:rFonts w:ascii="Bookman Old Style" w:eastAsia="Times New Roman" w:hAnsi="Bookman Old Style" w:cs="Times New Roman"/>
          <w:sz w:val="24"/>
          <w:szCs w:val="24"/>
          <w:lang w:val="es-ES" w:eastAsia="es-ES"/>
        </w:rPr>
      </w:pPr>
    </w:p>
    <w:p w:rsidR="00A37A02" w:rsidRDefault="00A37A02" w:rsidP="006812D6">
      <w:pPr>
        <w:spacing w:after="0" w:line="240" w:lineRule="auto"/>
        <w:jc w:val="both"/>
        <w:rPr>
          <w:rFonts w:ascii="Bookman Old Style" w:eastAsia="Times New Roman" w:hAnsi="Bookman Old Style" w:cs="Times New Roman"/>
          <w:sz w:val="24"/>
          <w:szCs w:val="24"/>
          <w:lang w:val="es-ES" w:eastAsia="es-ES"/>
        </w:rPr>
      </w:pPr>
    </w:p>
    <w:p w:rsidR="00A37A02" w:rsidRPr="00A37A02" w:rsidRDefault="00A37A02" w:rsidP="006812D6">
      <w:pPr>
        <w:spacing w:after="0" w:line="240" w:lineRule="auto"/>
        <w:jc w:val="both"/>
        <w:rPr>
          <w:rFonts w:ascii="Bookman Old Style" w:eastAsia="Times New Roman" w:hAnsi="Bookman Old Style" w:cs="Times New Roman"/>
          <w:sz w:val="16"/>
          <w:szCs w:val="24"/>
          <w:lang w:val="es-ES" w:eastAsia="es-ES"/>
        </w:rPr>
      </w:pPr>
    </w:p>
    <w:p w:rsidR="006812D6" w:rsidRPr="006812D6" w:rsidRDefault="006812D6" w:rsidP="006812D6">
      <w:pPr>
        <w:spacing w:after="0" w:line="240" w:lineRule="auto"/>
        <w:jc w:val="both"/>
        <w:rPr>
          <w:rFonts w:ascii="Bookman Old Style" w:eastAsia="Times New Roman" w:hAnsi="Bookman Old Style" w:cs="Times New Roman"/>
          <w:sz w:val="24"/>
          <w:szCs w:val="24"/>
          <w:lang w:val="es-ES" w:eastAsia="es-ES"/>
        </w:rPr>
      </w:pPr>
      <w:r w:rsidRPr="006812D6">
        <w:rPr>
          <w:rFonts w:ascii="Bookman Old Style" w:eastAsia="Times New Roman" w:hAnsi="Bookman Old Style" w:cs="Times New Roman"/>
          <w:sz w:val="24"/>
          <w:szCs w:val="24"/>
          <w:lang w:val="es-ES" w:eastAsia="es-ES"/>
        </w:rPr>
        <w:lastRenderedPageBreak/>
        <w:t>En virtud de lo anterior y una vez verificado el cumplimiento de los requisitos a los que hace referencia el artículo 77</w:t>
      </w:r>
      <w:r w:rsidRPr="006812D6">
        <w:rPr>
          <w:rFonts w:ascii="Bookman Old Style" w:eastAsia="Times New Roman" w:hAnsi="Bookman Old Style" w:cs="Times New Roman"/>
          <w:sz w:val="24"/>
          <w:szCs w:val="24"/>
          <w:vertAlign w:val="superscript"/>
          <w:lang w:val="es-ES" w:eastAsia="es-ES"/>
        </w:rPr>
        <w:footnoteReference w:id="1"/>
      </w:r>
      <w:r w:rsidRPr="006812D6">
        <w:rPr>
          <w:rFonts w:ascii="Bookman Old Style" w:eastAsia="Times New Roman" w:hAnsi="Bookman Old Style" w:cs="Times New Roman"/>
          <w:sz w:val="24"/>
          <w:szCs w:val="24"/>
          <w:lang w:val="es-ES" w:eastAsia="es-ES"/>
        </w:rPr>
        <w:t xml:space="preserve"> del Código de Procedimiento Administrativo y de lo Contencioso Administrativo, procede la </w:t>
      </w:r>
      <w:r w:rsidR="006E5A13">
        <w:rPr>
          <w:rFonts w:ascii="Bookman Old Style" w:eastAsia="Times New Roman" w:hAnsi="Bookman Old Style" w:cs="Times New Roman"/>
          <w:sz w:val="24"/>
          <w:szCs w:val="24"/>
          <w:lang w:val="es-ES" w:eastAsia="es-ES"/>
        </w:rPr>
        <w:t>Comisión</w:t>
      </w:r>
      <w:r w:rsidRPr="006812D6">
        <w:rPr>
          <w:rFonts w:ascii="Bookman Old Style" w:eastAsia="Times New Roman" w:hAnsi="Bookman Old Style" w:cs="Times New Roman"/>
          <w:sz w:val="24"/>
          <w:szCs w:val="24"/>
          <w:lang w:val="es-ES" w:eastAsia="es-ES"/>
        </w:rPr>
        <w:t xml:space="preserve"> a pronunciarse en relación con los argumentos en que se sustenta la impugnación. </w:t>
      </w:r>
    </w:p>
    <w:p w:rsidR="006812D6" w:rsidRPr="00A37A02" w:rsidRDefault="006812D6" w:rsidP="006812D6">
      <w:pPr>
        <w:spacing w:after="0" w:line="240" w:lineRule="auto"/>
        <w:jc w:val="both"/>
        <w:rPr>
          <w:rFonts w:ascii="Bookman Old Style" w:eastAsia="Times New Roman" w:hAnsi="Bookman Old Style" w:cs="Times New Roman"/>
          <w:sz w:val="10"/>
          <w:szCs w:val="24"/>
          <w:lang w:val="es-ES" w:eastAsia="es-ES"/>
        </w:rPr>
      </w:pPr>
    </w:p>
    <w:p w:rsidR="00A37A02" w:rsidRPr="00A37A02" w:rsidRDefault="00A37A02" w:rsidP="006812D6">
      <w:pPr>
        <w:spacing w:after="0" w:line="240" w:lineRule="auto"/>
        <w:jc w:val="both"/>
        <w:rPr>
          <w:rFonts w:ascii="Bookman Old Style" w:eastAsia="Times New Roman" w:hAnsi="Bookman Old Style" w:cs="Times New Roman"/>
          <w:sz w:val="20"/>
          <w:szCs w:val="24"/>
          <w:lang w:val="es-ES" w:eastAsia="es-ES"/>
        </w:rPr>
      </w:pPr>
    </w:p>
    <w:p w:rsidR="006812D6" w:rsidRPr="006812D6" w:rsidRDefault="006E5A13" w:rsidP="006812D6">
      <w:pPr>
        <w:spacing w:after="0" w:line="240" w:lineRule="auto"/>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IV</w:t>
      </w:r>
      <w:r w:rsidRPr="006812D6">
        <w:rPr>
          <w:rFonts w:ascii="Bookman Old Style" w:eastAsia="Times New Roman" w:hAnsi="Bookman Old Style" w:cs="Times New Roman"/>
          <w:b/>
          <w:sz w:val="24"/>
          <w:szCs w:val="24"/>
          <w:lang w:val="es-ES" w:eastAsia="es-ES"/>
        </w:rPr>
        <w:t xml:space="preserve">. ANÁLISIS DE LOS ARGUMENTOS PLANTEADOS EN EL RECURSO DE REPOSICIÓN EN CONTRA </w:t>
      </w:r>
      <w:r w:rsidRPr="006E5A13">
        <w:rPr>
          <w:rFonts w:ascii="Bookman Old Style" w:eastAsia="Times New Roman" w:hAnsi="Bookman Old Style" w:cs="Times New Roman"/>
          <w:b/>
          <w:sz w:val="24"/>
          <w:szCs w:val="24"/>
          <w:lang w:val="es-ES" w:eastAsia="es-ES"/>
        </w:rPr>
        <w:t>RESOLUCIÓN CREG 071</w:t>
      </w:r>
      <w:r w:rsidRPr="006812D6">
        <w:rPr>
          <w:rFonts w:ascii="Bookman Old Style" w:eastAsia="Times New Roman" w:hAnsi="Bookman Old Style" w:cs="Times New Roman"/>
          <w:b/>
          <w:sz w:val="24"/>
          <w:szCs w:val="24"/>
          <w:lang w:val="es-ES" w:eastAsia="es-ES"/>
        </w:rPr>
        <w:t xml:space="preserve"> DE 2013.</w:t>
      </w:r>
    </w:p>
    <w:p w:rsidR="006812D6" w:rsidRPr="00A37A02" w:rsidRDefault="006812D6" w:rsidP="006812D6">
      <w:pPr>
        <w:spacing w:after="0" w:line="240" w:lineRule="auto"/>
        <w:jc w:val="both"/>
        <w:rPr>
          <w:rFonts w:ascii="Bookman Old Style" w:eastAsia="Times New Roman" w:hAnsi="Bookman Old Style" w:cs="Times New Roman"/>
          <w:sz w:val="20"/>
          <w:szCs w:val="24"/>
          <w:lang w:val="es-ES" w:eastAsia="es-ES"/>
        </w:rPr>
      </w:pPr>
    </w:p>
    <w:p w:rsidR="006E5A13" w:rsidRDefault="006E5A13" w:rsidP="006812D6">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Un análisis de los argumentos en que se sustenta el recurso de reposición presentado por </w:t>
      </w:r>
      <w:proofErr w:type="spellStart"/>
      <w:r>
        <w:rPr>
          <w:rFonts w:ascii="Bookman Old Style" w:eastAsia="Times New Roman" w:hAnsi="Bookman Old Style" w:cs="Times New Roman"/>
          <w:sz w:val="24"/>
          <w:szCs w:val="24"/>
          <w:lang w:val="es-ES" w:eastAsia="es-ES"/>
        </w:rPr>
        <w:t>Aremari</w:t>
      </w:r>
      <w:proofErr w:type="spellEnd"/>
      <w:r>
        <w:rPr>
          <w:rFonts w:ascii="Bookman Old Style" w:eastAsia="Times New Roman" w:hAnsi="Bookman Old Style" w:cs="Times New Roman"/>
          <w:sz w:val="24"/>
          <w:szCs w:val="24"/>
          <w:lang w:val="es-ES" w:eastAsia="es-ES"/>
        </w:rPr>
        <w:t xml:space="preserve"> y en particular la precisión que esta realiza permiten establecer inicialmente que los mismos desconocen el alcance de la facultad de resolver conflictos por parte de la Comisión en virtud de lo dispuesto en el artículo 73.8 de la Ley 142 de 1994</w:t>
      </w:r>
      <w:r w:rsidR="003031E0">
        <w:rPr>
          <w:rFonts w:ascii="Bookman Old Style" w:eastAsia="Times New Roman" w:hAnsi="Bookman Old Style" w:cs="Times New Roman"/>
          <w:sz w:val="24"/>
          <w:szCs w:val="24"/>
          <w:lang w:val="es-ES" w:eastAsia="es-ES"/>
        </w:rPr>
        <w:t>, de acuerdo con los hechos que se suscitan en</w:t>
      </w:r>
      <w:r>
        <w:rPr>
          <w:rFonts w:ascii="Bookman Old Style" w:eastAsia="Times New Roman" w:hAnsi="Bookman Old Style" w:cs="Times New Roman"/>
          <w:sz w:val="24"/>
          <w:szCs w:val="24"/>
          <w:lang w:val="es-ES" w:eastAsia="es-ES"/>
        </w:rPr>
        <w:t xml:space="preserve"> el caso concreto. </w:t>
      </w:r>
    </w:p>
    <w:p w:rsidR="006E5A13" w:rsidRPr="00A37A02" w:rsidRDefault="006E5A13" w:rsidP="006812D6">
      <w:pPr>
        <w:spacing w:after="0" w:line="240" w:lineRule="auto"/>
        <w:jc w:val="both"/>
        <w:rPr>
          <w:rFonts w:ascii="Bookman Old Style" w:eastAsia="Times New Roman" w:hAnsi="Bookman Old Style" w:cs="Times New Roman"/>
          <w:sz w:val="18"/>
          <w:szCs w:val="24"/>
          <w:lang w:val="es-ES" w:eastAsia="es-ES"/>
        </w:rPr>
      </w:pPr>
    </w:p>
    <w:p w:rsidR="00C91A08" w:rsidRDefault="006E5A13"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Tal como se expuso en la Resolución CREG 071 de 2013, el alcance del pronunciamiento de la Comisión p</w:t>
      </w:r>
      <w:r w:rsidR="00475021">
        <w:rPr>
          <w:rFonts w:ascii="Bookman Old Style" w:eastAsia="Times New Roman" w:hAnsi="Bookman Old Style" w:cs="Times New Roman"/>
          <w:sz w:val="24"/>
          <w:szCs w:val="24"/>
          <w:lang w:val="es-ES" w:eastAsia="es-ES"/>
        </w:rPr>
        <w:t>ara el caso concreto se limita</w:t>
      </w:r>
      <w:r>
        <w:rPr>
          <w:rFonts w:ascii="Bookman Old Style" w:eastAsia="Times New Roman" w:hAnsi="Bookman Old Style" w:cs="Times New Roman"/>
          <w:sz w:val="24"/>
          <w:szCs w:val="24"/>
          <w:lang w:val="es-ES" w:eastAsia="es-ES"/>
        </w:rPr>
        <w:t xml:space="preserve"> a lo siguiente:</w:t>
      </w:r>
    </w:p>
    <w:p w:rsidR="006E5A13" w:rsidRDefault="006E5A13" w:rsidP="00037D4D">
      <w:pPr>
        <w:spacing w:after="0" w:line="240" w:lineRule="auto"/>
        <w:jc w:val="both"/>
        <w:rPr>
          <w:rFonts w:ascii="Bookman Old Style" w:eastAsia="Times New Roman" w:hAnsi="Bookman Old Style" w:cs="Times New Roman"/>
          <w:sz w:val="24"/>
          <w:szCs w:val="24"/>
          <w:lang w:val="es-ES" w:eastAsia="es-ES"/>
        </w:rPr>
      </w:pPr>
    </w:p>
    <w:p w:rsidR="00037D4D" w:rsidRPr="00C91A08" w:rsidRDefault="00C91A08" w:rsidP="00C91A08">
      <w:pPr>
        <w:spacing w:after="0" w:line="240" w:lineRule="auto"/>
        <w:ind w:left="284" w:right="284"/>
        <w:jc w:val="both"/>
        <w:rPr>
          <w:rFonts w:ascii="Bookman Old Style" w:eastAsia="Times New Roman" w:hAnsi="Bookman Old Style" w:cs="Times New Roman"/>
          <w:i/>
          <w:sz w:val="20"/>
          <w:szCs w:val="20"/>
          <w:lang w:val="es-ES" w:eastAsia="es-ES"/>
        </w:rPr>
      </w:pPr>
      <w:r w:rsidRPr="00C91A08">
        <w:rPr>
          <w:rFonts w:ascii="Bookman Old Style" w:eastAsia="Times New Roman" w:hAnsi="Bookman Old Style" w:cs="Times New Roman"/>
          <w:i/>
          <w:sz w:val="20"/>
          <w:szCs w:val="20"/>
          <w:lang w:val="es-ES" w:eastAsia="es-ES"/>
        </w:rPr>
        <w:t>“(…)</w:t>
      </w:r>
      <w:r w:rsidR="00037D4D" w:rsidRPr="00C91A08">
        <w:rPr>
          <w:rFonts w:ascii="Bookman Old Style" w:eastAsia="Times New Roman" w:hAnsi="Bookman Old Style" w:cs="Times New Roman"/>
          <w:i/>
          <w:sz w:val="20"/>
          <w:szCs w:val="20"/>
          <w:lang w:val="es-ES" w:eastAsia="es-ES"/>
        </w:rPr>
        <w:t xml:space="preserve"> </w:t>
      </w:r>
      <w:r w:rsidR="00AD1925" w:rsidRPr="00C91A08">
        <w:rPr>
          <w:rFonts w:ascii="Bookman Old Style" w:eastAsia="Times New Roman" w:hAnsi="Bookman Old Style" w:cs="Times New Roman"/>
          <w:i/>
          <w:sz w:val="20"/>
          <w:szCs w:val="20"/>
          <w:lang w:val="es-ES" w:eastAsia="es-ES"/>
        </w:rPr>
        <w:t>la facultad para dirimir el presente conflicto se limita a precisar el alcance de la aplicación de las disposiciones regulatorias aplicables</w:t>
      </w:r>
      <w:r w:rsidR="00AD1925" w:rsidRPr="00C91A08">
        <w:rPr>
          <w:rStyle w:val="Refdenotaalpie"/>
          <w:rFonts w:ascii="Bookman Old Style" w:eastAsia="Times New Roman" w:hAnsi="Bookman Old Style" w:cs="Times New Roman"/>
          <w:i/>
          <w:sz w:val="20"/>
          <w:szCs w:val="20"/>
          <w:lang w:val="es-ES" w:eastAsia="es-ES"/>
        </w:rPr>
        <w:footnoteReference w:id="2"/>
      </w:r>
      <w:r w:rsidR="00AD1925" w:rsidRPr="00C91A08">
        <w:rPr>
          <w:rFonts w:ascii="Bookman Old Style" w:eastAsia="Times New Roman" w:hAnsi="Bookman Old Style" w:cs="Times New Roman"/>
          <w:i/>
          <w:sz w:val="20"/>
          <w:szCs w:val="20"/>
          <w:lang w:val="es-ES" w:eastAsia="es-ES"/>
        </w:rPr>
        <w:t xml:space="preserve"> al momento de la controversia,</w:t>
      </w:r>
      <w:r w:rsidR="00037D4D" w:rsidRPr="00C91A08">
        <w:rPr>
          <w:rFonts w:ascii="Bookman Old Style" w:eastAsia="Times New Roman" w:hAnsi="Bookman Old Style" w:cs="Times New Roman"/>
          <w:i/>
          <w:sz w:val="20"/>
          <w:szCs w:val="20"/>
          <w:lang w:val="es-ES" w:eastAsia="es-ES"/>
        </w:rPr>
        <w:t xml:space="preserve"> relacionadas con el Mercado de Energía Mayorista, en cuanto a las operaciones, contenido, terminación y cumplimiento de las obligacion</w:t>
      </w:r>
      <w:r w:rsidR="007F525C" w:rsidRPr="00C91A08">
        <w:rPr>
          <w:rFonts w:ascii="Bookman Old Style" w:eastAsia="Times New Roman" w:hAnsi="Bookman Old Style" w:cs="Times New Roman"/>
          <w:i/>
          <w:sz w:val="20"/>
          <w:szCs w:val="20"/>
          <w:lang w:val="es-ES" w:eastAsia="es-ES"/>
        </w:rPr>
        <w:t>es de los contratos de energía,</w:t>
      </w:r>
      <w:r w:rsidR="00037D4D" w:rsidRPr="00C91A08">
        <w:rPr>
          <w:rFonts w:ascii="Bookman Old Style" w:eastAsia="Times New Roman" w:hAnsi="Bookman Old Style" w:cs="Times New Roman"/>
          <w:i/>
          <w:sz w:val="20"/>
          <w:szCs w:val="20"/>
          <w:lang w:val="es-ES" w:eastAsia="es-ES"/>
        </w:rPr>
        <w:t xml:space="preserve"> delimitando su aplicación, respecto de aquellas disposiciones que rigen la relación que existe entre los agentes del Mercado Mayorista de Energía con el ASIC, precisando las funciones que a este le han sido asignadas respecto de las operaciones del Mercado Mayorista de Energía MEM. </w:t>
      </w:r>
    </w:p>
    <w:p w:rsidR="00037D4D" w:rsidRPr="00C91A08" w:rsidRDefault="00037D4D" w:rsidP="00C91A08">
      <w:pPr>
        <w:spacing w:after="0" w:line="240" w:lineRule="auto"/>
        <w:ind w:left="284" w:right="284"/>
        <w:jc w:val="both"/>
        <w:rPr>
          <w:rFonts w:ascii="Bookman Old Style" w:eastAsia="Times New Roman" w:hAnsi="Bookman Old Style" w:cs="Times New Roman"/>
          <w:i/>
          <w:sz w:val="20"/>
          <w:szCs w:val="20"/>
          <w:lang w:val="es-ES" w:eastAsia="es-ES"/>
        </w:rPr>
      </w:pPr>
    </w:p>
    <w:p w:rsidR="00037D4D" w:rsidRPr="00C91A08" w:rsidRDefault="00037D4D" w:rsidP="00C91A08">
      <w:pPr>
        <w:spacing w:after="0" w:line="240" w:lineRule="auto"/>
        <w:ind w:left="284" w:right="284"/>
        <w:jc w:val="both"/>
        <w:rPr>
          <w:rFonts w:ascii="Bookman Old Style" w:eastAsia="Times New Roman" w:hAnsi="Bookman Old Style" w:cs="Times New Roman"/>
          <w:i/>
          <w:sz w:val="20"/>
          <w:szCs w:val="20"/>
          <w:lang w:val="es-ES" w:eastAsia="es-ES"/>
        </w:rPr>
      </w:pPr>
      <w:r w:rsidRPr="00C91A08">
        <w:rPr>
          <w:rFonts w:ascii="Bookman Old Style" w:eastAsia="Times New Roman" w:hAnsi="Bookman Old Style" w:cs="Times New Roman"/>
          <w:i/>
          <w:sz w:val="20"/>
          <w:szCs w:val="20"/>
          <w:lang w:val="es-ES" w:eastAsia="es-ES"/>
        </w:rPr>
        <w:t xml:space="preserve">Lo anterior, con el fin de establecer si estas disposiciones </w:t>
      </w:r>
      <w:r w:rsidR="00AD1925" w:rsidRPr="00C91A08">
        <w:rPr>
          <w:rFonts w:ascii="Bookman Old Style" w:eastAsia="Times New Roman" w:hAnsi="Bookman Old Style" w:cs="Times New Roman"/>
          <w:i/>
          <w:sz w:val="20"/>
          <w:szCs w:val="20"/>
          <w:lang w:val="es-ES" w:eastAsia="es-ES"/>
        </w:rPr>
        <w:t xml:space="preserve">en aquel momento permitían </w:t>
      </w:r>
      <w:r w:rsidRPr="00C91A08">
        <w:rPr>
          <w:rFonts w:ascii="Bookman Old Style" w:eastAsia="Times New Roman" w:hAnsi="Bookman Old Style" w:cs="Times New Roman"/>
          <w:i/>
          <w:sz w:val="20"/>
          <w:szCs w:val="20"/>
          <w:lang w:val="es-ES" w:eastAsia="es-ES"/>
        </w:rPr>
        <w:t>solicitar al ASIC en virtud del contrato de mandato dar aplicación a la terminación o suspensión unilateral de los contratos de energía por parte de los Agentes del Mercado de Energía Mayorista</w:t>
      </w:r>
      <w:r w:rsidR="00C91A08" w:rsidRPr="00C91A08">
        <w:rPr>
          <w:rFonts w:ascii="Bookman Old Style" w:eastAsia="Times New Roman" w:hAnsi="Bookman Old Style" w:cs="Times New Roman"/>
          <w:i/>
          <w:sz w:val="20"/>
          <w:szCs w:val="20"/>
          <w:lang w:val="es-ES" w:eastAsia="es-ES"/>
        </w:rPr>
        <w:t>”</w:t>
      </w:r>
      <w:r w:rsidRPr="00C91A08">
        <w:rPr>
          <w:rFonts w:ascii="Bookman Old Style" w:eastAsia="Times New Roman" w:hAnsi="Bookman Old Style" w:cs="Times New Roman"/>
          <w:i/>
          <w:sz w:val="20"/>
          <w:szCs w:val="20"/>
          <w:lang w:val="es-ES" w:eastAsia="es-ES"/>
        </w:rPr>
        <w:t xml:space="preserve">. </w:t>
      </w:r>
    </w:p>
    <w:p w:rsidR="00C91A08" w:rsidRPr="00A37A02" w:rsidRDefault="00C91A08" w:rsidP="00037D4D">
      <w:pPr>
        <w:spacing w:after="0" w:line="240" w:lineRule="auto"/>
        <w:jc w:val="both"/>
        <w:rPr>
          <w:rFonts w:ascii="Bookman Old Style" w:eastAsia="Times New Roman" w:hAnsi="Bookman Old Style" w:cs="Times New Roman"/>
          <w:b/>
          <w:sz w:val="18"/>
          <w:szCs w:val="20"/>
          <w:lang w:eastAsia="es-ES"/>
        </w:rPr>
      </w:pPr>
    </w:p>
    <w:p w:rsidR="003031E0" w:rsidRDefault="005F0D40" w:rsidP="003031E0">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 xml:space="preserve">Ahora, se debe considerar que los argumentos </w:t>
      </w:r>
      <w:r w:rsidR="003031E0">
        <w:rPr>
          <w:rFonts w:ascii="Bookman Old Style" w:eastAsia="Times New Roman" w:hAnsi="Bookman Old Style" w:cs="Times New Roman"/>
          <w:sz w:val="24"/>
          <w:szCs w:val="20"/>
          <w:lang w:eastAsia="es-ES"/>
        </w:rPr>
        <w:t xml:space="preserve">que se </w:t>
      </w:r>
      <w:r>
        <w:rPr>
          <w:rFonts w:ascii="Bookman Old Style" w:eastAsia="Times New Roman" w:hAnsi="Bookman Old Style" w:cs="Times New Roman"/>
          <w:sz w:val="24"/>
          <w:szCs w:val="20"/>
          <w:lang w:eastAsia="es-ES"/>
        </w:rPr>
        <w:t xml:space="preserve">presentan dentro del recurso </w:t>
      </w:r>
      <w:r w:rsidR="003031E0">
        <w:rPr>
          <w:rFonts w:ascii="Bookman Old Style" w:eastAsia="Times New Roman" w:hAnsi="Bookman Old Style" w:cs="Times New Roman"/>
          <w:sz w:val="24"/>
          <w:szCs w:val="20"/>
          <w:lang w:eastAsia="es-ES"/>
        </w:rPr>
        <w:t xml:space="preserve">están </w:t>
      </w:r>
      <w:r>
        <w:rPr>
          <w:rFonts w:ascii="Bookman Old Style" w:eastAsia="Times New Roman" w:hAnsi="Bookman Old Style" w:cs="Times New Roman"/>
          <w:sz w:val="24"/>
          <w:szCs w:val="20"/>
          <w:lang w:eastAsia="es-ES"/>
        </w:rPr>
        <w:t>dirigido</w:t>
      </w:r>
      <w:r w:rsidR="003031E0">
        <w:rPr>
          <w:rFonts w:ascii="Bookman Old Style" w:eastAsia="Times New Roman" w:hAnsi="Bookman Old Style" w:cs="Times New Roman"/>
          <w:sz w:val="24"/>
          <w:szCs w:val="20"/>
          <w:lang w:eastAsia="es-ES"/>
        </w:rPr>
        <w:t>s a rebatir la consideración hecha dentro de</w:t>
      </w:r>
      <w:r>
        <w:rPr>
          <w:rFonts w:ascii="Bookman Old Style" w:eastAsia="Times New Roman" w:hAnsi="Bookman Old Style" w:cs="Times New Roman"/>
          <w:sz w:val="24"/>
          <w:szCs w:val="20"/>
          <w:lang w:eastAsia="es-ES"/>
        </w:rPr>
        <w:t>l acto administrativo impugnado que hace referencia a</w:t>
      </w:r>
      <w:r w:rsidR="003031E0">
        <w:rPr>
          <w:rFonts w:ascii="Bookman Old Style" w:eastAsia="Times New Roman" w:hAnsi="Bookman Old Style" w:cs="Times New Roman"/>
          <w:sz w:val="24"/>
          <w:szCs w:val="20"/>
          <w:lang w:eastAsia="es-ES"/>
        </w:rPr>
        <w:t xml:space="preserve"> la aplicación del principio de la </w:t>
      </w:r>
      <w:r w:rsidR="003031E0" w:rsidRPr="003031E0">
        <w:rPr>
          <w:rFonts w:ascii="Bookman Old Style" w:eastAsia="Times New Roman" w:hAnsi="Bookman Old Style" w:cs="Times New Roman"/>
          <w:sz w:val="24"/>
          <w:szCs w:val="20"/>
          <w:lang w:eastAsia="es-ES"/>
        </w:rPr>
        <w:t>autonomía de la voluntad</w:t>
      </w:r>
      <w:r w:rsidR="003031E0">
        <w:rPr>
          <w:rFonts w:ascii="Bookman Old Style" w:eastAsia="Times New Roman" w:hAnsi="Bookman Old Style" w:cs="Times New Roman"/>
          <w:sz w:val="24"/>
          <w:szCs w:val="20"/>
          <w:lang w:eastAsia="es-ES"/>
        </w:rPr>
        <w:t xml:space="preserve"> dentro de las relaciones de los agentes dentro del Mercado de Energía Mayorista. Lo anterior, toda vez que</w:t>
      </w:r>
      <w:r w:rsidR="00A137EC">
        <w:rPr>
          <w:rFonts w:ascii="Bookman Old Style" w:eastAsia="Times New Roman" w:hAnsi="Bookman Old Style" w:cs="Times New Roman"/>
          <w:sz w:val="24"/>
          <w:szCs w:val="20"/>
          <w:lang w:eastAsia="es-ES"/>
        </w:rPr>
        <w:t xml:space="preserve"> en la Resolución CREG 071 de 2013 </w:t>
      </w:r>
      <w:r w:rsidR="003031E0">
        <w:rPr>
          <w:rFonts w:ascii="Bookman Old Style" w:eastAsia="Times New Roman" w:hAnsi="Bookman Old Style" w:cs="Times New Roman"/>
          <w:sz w:val="24"/>
          <w:szCs w:val="20"/>
          <w:lang w:eastAsia="es-ES"/>
        </w:rPr>
        <w:t>se precisó que:</w:t>
      </w:r>
    </w:p>
    <w:p w:rsidR="00A37A02" w:rsidRPr="00A37A02" w:rsidRDefault="00A37A02" w:rsidP="003031E0">
      <w:pPr>
        <w:spacing w:after="0" w:line="240" w:lineRule="auto"/>
        <w:ind w:left="284" w:right="284"/>
        <w:jc w:val="both"/>
        <w:rPr>
          <w:rFonts w:ascii="Bookman Old Style" w:eastAsia="Times New Roman" w:hAnsi="Bookman Old Style" w:cs="Times New Roman"/>
          <w:sz w:val="16"/>
          <w:szCs w:val="20"/>
          <w:lang w:eastAsia="es-ES"/>
        </w:rPr>
      </w:pPr>
    </w:p>
    <w:p w:rsidR="003031E0" w:rsidRPr="003031E0" w:rsidRDefault="003031E0" w:rsidP="003031E0">
      <w:pPr>
        <w:spacing w:after="0" w:line="240" w:lineRule="auto"/>
        <w:ind w:left="284" w:right="284"/>
        <w:jc w:val="both"/>
        <w:rPr>
          <w:rFonts w:ascii="Bookman Old Style" w:eastAsia="Times New Roman" w:hAnsi="Bookman Old Style" w:cs="Times New Roman"/>
          <w:i/>
          <w:sz w:val="20"/>
          <w:szCs w:val="20"/>
          <w:lang w:eastAsia="es-ES"/>
        </w:rPr>
      </w:pPr>
      <w:r w:rsidRPr="003031E0">
        <w:rPr>
          <w:rFonts w:ascii="Bookman Old Style" w:eastAsia="Times New Roman" w:hAnsi="Bookman Old Style" w:cs="Times New Roman"/>
          <w:sz w:val="20"/>
          <w:szCs w:val="20"/>
          <w:lang w:eastAsia="es-ES"/>
        </w:rPr>
        <w:t xml:space="preserve"> </w:t>
      </w:r>
      <w:r w:rsidRPr="003031E0">
        <w:rPr>
          <w:rFonts w:ascii="Bookman Old Style" w:eastAsia="Times New Roman" w:hAnsi="Bookman Old Style" w:cs="Times New Roman"/>
          <w:i/>
          <w:sz w:val="20"/>
          <w:szCs w:val="20"/>
          <w:lang w:eastAsia="es-ES"/>
        </w:rPr>
        <w:t>“</w:t>
      </w:r>
      <w:r w:rsidR="00A137EC">
        <w:rPr>
          <w:rFonts w:ascii="Bookman Old Style" w:eastAsia="Times New Roman" w:hAnsi="Bookman Old Style" w:cs="Times New Roman"/>
          <w:i/>
          <w:sz w:val="20"/>
          <w:szCs w:val="20"/>
          <w:lang w:eastAsia="es-ES"/>
        </w:rPr>
        <w:t xml:space="preserve">(…) </w:t>
      </w:r>
      <w:r w:rsidRPr="003031E0">
        <w:rPr>
          <w:rFonts w:ascii="Bookman Old Style" w:eastAsia="Times New Roman" w:hAnsi="Bookman Old Style" w:cs="Times New Roman"/>
          <w:i/>
          <w:sz w:val="20"/>
          <w:szCs w:val="20"/>
          <w:lang w:eastAsia="es-ES"/>
        </w:rPr>
        <w:t xml:space="preserve">las partes pueden pactar libremente sus obligaciones y estipulaciones contractuales, mientras estas sean compatibles y no contravengan lo dispuesto en la regulación, en este caso respecto del Reglamento de Operación y de las operaciones de energía a largo plazo, debido a que la autonomía de la voluntad de los agentes se sujeta y debe expresarse de forma compatible con lo previsto en la regulación, en especial respecto del funcionamiento del MEM para el caso concreto”. </w:t>
      </w:r>
    </w:p>
    <w:p w:rsidR="003031E0" w:rsidRDefault="003031E0" w:rsidP="00037D4D">
      <w:pPr>
        <w:spacing w:after="0" w:line="240" w:lineRule="auto"/>
        <w:jc w:val="both"/>
        <w:rPr>
          <w:rFonts w:ascii="Bookman Old Style" w:eastAsia="Times New Roman" w:hAnsi="Bookman Old Style" w:cs="Times New Roman"/>
          <w:sz w:val="24"/>
          <w:szCs w:val="20"/>
          <w:lang w:eastAsia="es-ES"/>
        </w:rPr>
      </w:pPr>
    </w:p>
    <w:p w:rsidR="003031E0" w:rsidRDefault="005F0D40" w:rsidP="00037D4D">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Es así que d</w:t>
      </w:r>
      <w:r w:rsidR="00A137EC">
        <w:rPr>
          <w:rFonts w:ascii="Bookman Old Style" w:eastAsia="Times New Roman" w:hAnsi="Bookman Old Style" w:cs="Times New Roman"/>
          <w:sz w:val="24"/>
          <w:szCs w:val="20"/>
          <w:lang w:eastAsia="es-ES"/>
        </w:rPr>
        <w:t xml:space="preserve">e acuerdo con </w:t>
      </w:r>
      <w:r>
        <w:rPr>
          <w:rFonts w:ascii="Bookman Old Style" w:eastAsia="Times New Roman" w:hAnsi="Bookman Old Style" w:cs="Times New Roman"/>
          <w:sz w:val="24"/>
          <w:szCs w:val="20"/>
          <w:lang w:eastAsia="es-ES"/>
        </w:rPr>
        <w:t>dichos argumentos,</w:t>
      </w:r>
      <w:r w:rsidR="00A137EC">
        <w:rPr>
          <w:rFonts w:ascii="Bookman Old Style" w:eastAsia="Times New Roman" w:hAnsi="Bookman Old Style" w:cs="Times New Roman"/>
          <w:sz w:val="24"/>
          <w:szCs w:val="20"/>
          <w:lang w:eastAsia="es-ES"/>
        </w:rPr>
        <w:t xml:space="preserve"> l</w:t>
      </w:r>
      <w:r w:rsidR="003031E0">
        <w:rPr>
          <w:rFonts w:ascii="Bookman Old Style" w:eastAsia="Times New Roman" w:hAnsi="Bookman Old Style" w:cs="Times New Roman"/>
          <w:sz w:val="24"/>
          <w:szCs w:val="20"/>
          <w:lang w:eastAsia="es-ES"/>
        </w:rPr>
        <w:t xml:space="preserve">a recurrente </w:t>
      </w:r>
      <w:r w:rsidR="00A137EC">
        <w:rPr>
          <w:rFonts w:ascii="Bookman Old Style" w:eastAsia="Times New Roman" w:hAnsi="Bookman Old Style" w:cs="Times New Roman"/>
          <w:sz w:val="24"/>
          <w:szCs w:val="20"/>
          <w:lang w:eastAsia="es-ES"/>
        </w:rPr>
        <w:t>plantea de forma general que la</w:t>
      </w:r>
      <w:r w:rsidR="003031E0">
        <w:rPr>
          <w:rFonts w:ascii="Bookman Old Style" w:eastAsia="Times New Roman" w:hAnsi="Bookman Old Style" w:cs="Times New Roman"/>
          <w:sz w:val="24"/>
          <w:szCs w:val="20"/>
          <w:lang w:eastAsia="es-ES"/>
        </w:rPr>
        <w:t xml:space="preserve"> aplicación del derecho privado </w:t>
      </w:r>
      <w:r w:rsidR="00A137EC">
        <w:rPr>
          <w:rFonts w:ascii="Bookman Old Style" w:eastAsia="Times New Roman" w:hAnsi="Bookman Old Style" w:cs="Times New Roman"/>
          <w:sz w:val="24"/>
          <w:szCs w:val="20"/>
          <w:lang w:eastAsia="es-ES"/>
        </w:rPr>
        <w:t>se ha de considerar</w:t>
      </w:r>
      <w:r w:rsidR="003031E0">
        <w:rPr>
          <w:rFonts w:ascii="Bookman Old Style" w:eastAsia="Times New Roman" w:hAnsi="Bookman Old Style" w:cs="Times New Roman"/>
          <w:sz w:val="24"/>
          <w:szCs w:val="20"/>
          <w:lang w:eastAsia="es-ES"/>
        </w:rPr>
        <w:t xml:space="preserve"> prevalente dentro de las relaciones que existen entre los agentes dentro del Mercado de Energía Mayorista</w:t>
      </w:r>
      <w:r w:rsidR="00475021">
        <w:rPr>
          <w:rFonts w:ascii="Bookman Old Style" w:eastAsia="Times New Roman" w:hAnsi="Bookman Old Style" w:cs="Times New Roman"/>
          <w:sz w:val="24"/>
          <w:szCs w:val="20"/>
          <w:lang w:eastAsia="es-ES"/>
        </w:rPr>
        <w:t xml:space="preserve"> y para el caso concreto</w:t>
      </w:r>
      <w:r w:rsidR="003031E0">
        <w:rPr>
          <w:rFonts w:ascii="Bookman Old Style" w:eastAsia="Times New Roman" w:hAnsi="Bookman Old Style" w:cs="Times New Roman"/>
          <w:sz w:val="24"/>
          <w:szCs w:val="20"/>
          <w:lang w:eastAsia="es-ES"/>
        </w:rPr>
        <w:t>, sin tener en cuenta los efectos que estas estipulaciones pueden tener dentro de la aplicación de la regulación y el buen funcionamiento del mercado.</w:t>
      </w:r>
    </w:p>
    <w:p w:rsidR="003031E0" w:rsidRDefault="003031E0" w:rsidP="00037D4D">
      <w:pPr>
        <w:spacing w:after="0" w:line="240" w:lineRule="auto"/>
        <w:jc w:val="both"/>
        <w:rPr>
          <w:rFonts w:ascii="Bookman Old Style" w:eastAsia="Times New Roman" w:hAnsi="Bookman Old Style" w:cs="Times New Roman"/>
          <w:sz w:val="24"/>
          <w:szCs w:val="20"/>
          <w:lang w:eastAsia="es-ES"/>
        </w:rPr>
      </w:pPr>
    </w:p>
    <w:p w:rsidR="003031E0" w:rsidRDefault="005F0D40" w:rsidP="003031E0">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Esta premisa no es de recibo para efectos de lo expuesto a la hora de resolver el presente conflicto, ya que c</w:t>
      </w:r>
      <w:r w:rsidR="003031E0">
        <w:rPr>
          <w:rFonts w:ascii="Bookman Old Style" w:eastAsia="Times New Roman" w:hAnsi="Bookman Old Style" w:cs="Times New Roman"/>
          <w:sz w:val="24"/>
          <w:szCs w:val="20"/>
          <w:lang w:eastAsia="es-ES"/>
        </w:rPr>
        <w:t xml:space="preserve">ontrario a lo que plantea la recurrente en su impugnación, </w:t>
      </w:r>
      <w:r w:rsidR="001B59A0">
        <w:rPr>
          <w:rFonts w:ascii="Bookman Old Style" w:eastAsia="Times New Roman" w:hAnsi="Bookman Old Style" w:cs="Times New Roman"/>
          <w:sz w:val="24"/>
          <w:szCs w:val="20"/>
          <w:lang w:eastAsia="es-ES"/>
        </w:rPr>
        <w:t xml:space="preserve">como parte de la aplicación del principio de la autonomía de la voluntad, </w:t>
      </w:r>
      <w:r>
        <w:rPr>
          <w:rFonts w:ascii="Bookman Old Style" w:eastAsia="Times New Roman" w:hAnsi="Bookman Old Style" w:cs="Times New Roman"/>
          <w:sz w:val="24"/>
          <w:szCs w:val="20"/>
          <w:lang w:eastAsia="es-ES"/>
        </w:rPr>
        <w:t>se ha expuesto por parte de la Comisión que</w:t>
      </w:r>
      <w:r w:rsidR="00A137EC">
        <w:rPr>
          <w:rFonts w:ascii="Bookman Old Style" w:eastAsia="Times New Roman" w:hAnsi="Bookman Old Style" w:cs="Times New Roman"/>
          <w:sz w:val="24"/>
          <w:szCs w:val="20"/>
          <w:lang w:eastAsia="es-ES"/>
        </w:rPr>
        <w:t xml:space="preserve"> </w:t>
      </w:r>
      <w:r w:rsidR="003031E0" w:rsidRPr="003031E0">
        <w:rPr>
          <w:rFonts w:ascii="Bookman Old Style" w:eastAsia="Times New Roman" w:hAnsi="Bookman Old Style" w:cs="Times New Roman"/>
          <w:sz w:val="24"/>
          <w:szCs w:val="20"/>
          <w:lang w:eastAsia="es-ES"/>
        </w:rPr>
        <w:t>las partes pueden pactar libremente sus obligaciones</w:t>
      </w:r>
      <w:r w:rsidR="00475021">
        <w:rPr>
          <w:rFonts w:ascii="Bookman Old Style" w:eastAsia="Times New Roman" w:hAnsi="Bookman Old Style" w:cs="Times New Roman"/>
          <w:sz w:val="24"/>
          <w:szCs w:val="20"/>
          <w:lang w:eastAsia="es-ES"/>
        </w:rPr>
        <w:t xml:space="preserve"> y estipulaciones contractuales</w:t>
      </w:r>
      <w:r w:rsidR="003031E0" w:rsidRPr="003031E0">
        <w:rPr>
          <w:rFonts w:ascii="Bookman Old Style" w:eastAsia="Times New Roman" w:hAnsi="Bookman Old Style" w:cs="Times New Roman"/>
          <w:sz w:val="24"/>
          <w:szCs w:val="20"/>
          <w:lang w:eastAsia="es-ES"/>
        </w:rPr>
        <w:t xml:space="preserve"> mientras estas sean compatibles y no contravengan lo dispuesto en la regulación, en este caso</w:t>
      </w:r>
      <w:r>
        <w:rPr>
          <w:rFonts w:ascii="Bookman Old Style" w:eastAsia="Times New Roman" w:hAnsi="Bookman Old Style" w:cs="Times New Roman"/>
          <w:sz w:val="24"/>
          <w:szCs w:val="20"/>
          <w:lang w:eastAsia="es-ES"/>
        </w:rPr>
        <w:t>,</w:t>
      </w:r>
      <w:r w:rsidR="003031E0" w:rsidRPr="003031E0">
        <w:rPr>
          <w:rFonts w:ascii="Bookman Old Style" w:eastAsia="Times New Roman" w:hAnsi="Bookman Old Style" w:cs="Times New Roman"/>
          <w:sz w:val="24"/>
          <w:szCs w:val="20"/>
          <w:lang w:eastAsia="es-ES"/>
        </w:rPr>
        <w:t xml:space="preserve"> respecto del Reglamento de Operación y de las operac</w:t>
      </w:r>
      <w:r w:rsidR="001B59A0">
        <w:rPr>
          <w:rFonts w:ascii="Bookman Old Style" w:eastAsia="Times New Roman" w:hAnsi="Bookman Old Style" w:cs="Times New Roman"/>
          <w:sz w:val="24"/>
          <w:szCs w:val="20"/>
          <w:lang w:eastAsia="es-ES"/>
        </w:rPr>
        <w:t>iones de energía a largo plazo.</w:t>
      </w:r>
    </w:p>
    <w:p w:rsidR="001B59A0" w:rsidRDefault="001B59A0" w:rsidP="003031E0">
      <w:pPr>
        <w:spacing w:after="0" w:line="240" w:lineRule="auto"/>
        <w:jc w:val="both"/>
        <w:rPr>
          <w:rFonts w:ascii="Bookman Old Style" w:eastAsia="Times New Roman" w:hAnsi="Bookman Old Style" w:cs="Times New Roman"/>
          <w:sz w:val="24"/>
          <w:szCs w:val="20"/>
          <w:lang w:eastAsia="es-ES"/>
        </w:rPr>
      </w:pPr>
    </w:p>
    <w:p w:rsidR="001B59A0" w:rsidRDefault="001B59A0" w:rsidP="001B59A0">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Es así que con sujeción a los hechos de los que se deriva el presente conflicto, la regulación con posterioridad a la vigencia de</w:t>
      </w:r>
      <w:r w:rsidRPr="001B59A0">
        <w:rPr>
          <w:rFonts w:ascii="Bookman Old Style" w:eastAsia="Times New Roman" w:hAnsi="Bookman Old Style" w:cs="Times New Roman"/>
          <w:sz w:val="24"/>
          <w:szCs w:val="20"/>
          <w:lang w:eastAsia="es-ES"/>
        </w:rPr>
        <w:t>l artículo 3 de la R</w:t>
      </w:r>
      <w:r>
        <w:rPr>
          <w:rFonts w:ascii="Bookman Old Style" w:eastAsia="Times New Roman" w:hAnsi="Bookman Old Style" w:cs="Times New Roman"/>
          <w:sz w:val="24"/>
          <w:szCs w:val="20"/>
          <w:lang w:eastAsia="es-ES"/>
        </w:rPr>
        <w:t>esolución CREG 038 del año 2010</w:t>
      </w:r>
      <w:r w:rsidRPr="001B59A0">
        <w:rPr>
          <w:rFonts w:ascii="Bookman Old Style" w:eastAsia="Times New Roman" w:hAnsi="Bookman Old Style" w:cs="Times New Roman"/>
          <w:sz w:val="24"/>
          <w:szCs w:val="20"/>
          <w:lang w:eastAsia="es-ES"/>
        </w:rPr>
        <w:t xml:space="preserve"> </w:t>
      </w:r>
      <w:r>
        <w:rPr>
          <w:rFonts w:ascii="Bookman Old Style" w:eastAsia="Times New Roman" w:hAnsi="Bookman Old Style" w:cs="Times New Roman"/>
          <w:sz w:val="24"/>
          <w:szCs w:val="20"/>
          <w:lang w:eastAsia="es-ES"/>
        </w:rPr>
        <w:t xml:space="preserve">ha consagrado </w:t>
      </w:r>
      <w:r w:rsidRPr="001B59A0">
        <w:rPr>
          <w:rFonts w:ascii="Bookman Old Style" w:eastAsia="Times New Roman" w:hAnsi="Bookman Old Style" w:cs="Times New Roman"/>
          <w:sz w:val="24"/>
          <w:szCs w:val="20"/>
          <w:lang w:eastAsia="es-ES"/>
        </w:rPr>
        <w:t>la posibilidad de dar aplicación a la terminación unilateral del contrato e informar al ASIC esta circunstancia, de acuerdo con la causal o circunstancia que genera la terminación</w:t>
      </w:r>
      <w:r>
        <w:rPr>
          <w:rFonts w:ascii="Bookman Old Style" w:eastAsia="Times New Roman" w:hAnsi="Bookman Old Style" w:cs="Times New Roman"/>
          <w:sz w:val="24"/>
          <w:szCs w:val="20"/>
          <w:lang w:eastAsia="es-ES"/>
        </w:rPr>
        <w:t>.</w:t>
      </w:r>
    </w:p>
    <w:p w:rsidR="001B59A0" w:rsidRDefault="001B59A0" w:rsidP="001B59A0">
      <w:pPr>
        <w:spacing w:after="0" w:line="240" w:lineRule="auto"/>
        <w:jc w:val="both"/>
        <w:rPr>
          <w:rFonts w:ascii="Bookman Old Style" w:eastAsia="Times New Roman" w:hAnsi="Bookman Old Style" w:cs="Times New Roman"/>
          <w:sz w:val="24"/>
          <w:szCs w:val="20"/>
          <w:lang w:eastAsia="es-ES"/>
        </w:rPr>
      </w:pPr>
    </w:p>
    <w:p w:rsidR="00CF1C9D" w:rsidRDefault="001B59A0" w:rsidP="001B59A0">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 xml:space="preserve">Con anterioridad a la vigencia de dicho artículo, </w:t>
      </w:r>
      <w:r w:rsidR="003623AE" w:rsidRPr="003623AE">
        <w:rPr>
          <w:rFonts w:ascii="Bookman Old Style" w:eastAsia="Times New Roman" w:hAnsi="Bookman Old Style" w:cs="Times New Roman"/>
          <w:sz w:val="24"/>
          <w:szCs w:val="20"/>
          <w:lang w:eastAsia="es-ES"/>
        </w:rPr>
        <w:t>la regulación imposibilitaba que se pudiese dar la terminación unilateral de los contratos</w:t>
      </w:r>
      <w:r w:rsidR="0077614F">
        <w:rPr>
          <w:rFonts w:ascii="Bookman Old Style" w:eastAsia="Times New Roman" w:hAnsi="Bookman Old Style" w:cs="Times New Roman"/>
          <w:sz w:val="24"/>
          <w:szCs w:val="20"/>
          <w:lang w:eastAsia="es-ES"/>
        </w:rPr>
        <w:t xml:space="preserve"> y que los efectos de esta medida se dieran por parte de XM en su calidad de mandatario de los agentes, ya que esta medida</w:t>
      </w:r>
      <w:r w:rsidR="003623AE" w:rsidRPr="003623AE">
        <w:rPr>
          <w:rFonts w:ascii="Bookman Old Style" w:eastAsia="Times New Roman" w:hAnsi="Bookman Old Style" w:cs="Times New Roman"/>
          <w:sz w:val="24"/>
          <w:szCs w:val="20"/>
          <w:lang w:eastAsia="es-ES"/>
        </w:rPr>
        <w:t xml:space="preserve"> ante las circunstancias y hechos que se presentaban hasta ese momento, requerían de una modificación de la regulación en este aspecto, desde su aplicación. Por lo tanto, esta disposición implica que la ineficacia de esta disposición del contrato de energía a largo plazo se genera por una cláusula o elemento accidental pactado entre los agentes y el me</w:t>
      </w:r>
      <w:r w:rsidR="0077614F">
        <w:rPr>
          <w:rFonts w:ascii="Bookman Old Style" w:eastAsia="Times New Roman" w:hAnsi="Bookman Old Style" w:cs="Times New Roman"/>
          <w:sz w:val="24"/>
          <w:szCs w:val="20"/>
          <w:lang w:eastAsia="es-ES"/>
        </w:rPr>
        <w:t>canismo de aplicación se realizara</w:t>
      </w:r>
      <w:r w:rsidR="003623AE" w:rsidRPr="003623AE">
        <w:rPr>
          <w:rFonts w:ascii="Bookman Old Style" w:eastAsia="Times New Roman" w:hAnsi="Bookman Old Style" w:cs="Times New Roman"/>
          <w:sz w:val="24"/>
          <w:szCs w:val="20"/>
          <w:lang w:eastAsia="es-ES"/>
        </w:rPr>
        <w:t xml:space="preserve"> a través de una disposición regulatoria.</w:t>
      </w:r>
    </w:p>
    <w:p w:rsidR="00CF1C9D" w:rsidRDefault="00CF1C9D" w:rsidP="001B59A0">
      <w:pPr>
        <w:spacing w:after="0" w:line="240" w:lineRule="auto"/>
        <w:jc w:val="both"/>
        <w:rPr>
          <w:rFonts w:ascii="Bookman Old Style" w:eastAsia="Times New Roman" w:hAnsi="Bookman Old Style" w:cs="Times New Roman"/>
          <w:sz w:val="24"/>
          <w:szCs w:val="20"/>
          <w:lang w:eastAsia="es-ES"/>
        </w:rPr>
      </w:pPr>
    </w:p>
    <w:p w:rsidR="0077614F" w:rsidRDefault="0077614F" w:rsidP="001B59A0">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Es así que justificar la prevalencia del derecho privado dentro del presente conflicto como argumento central de la recurrente en su recu</w:t>
      </w:r>
      <w:r w:rsidR="00CF1C9D">
        <w:rPr>
          <w:rFonts w:ascii="Bookman Old Style" w:eastAsia="Times New Roman" w:hAnsi="Bookman Old Style" w:cs="Times New Roman"/>
          <w:sz w:val="24"/>
          <w:szCs w:val="20"/>
          <w:lang w:eastAsia="es-ES"/>
        </w:rPr>
        <w:t>rso, permitiría que los agentes,</w:t>
      </w:r>
      <w:r>
        <w:rPr>
          <w:rFonts w:ascii="Bookman Old Style" w:eastAsia="Times New Roman" w:hAnsi="Bookman Old Style" w:cs="Times New Roman"/>
          <w:sz w:val="24"/>
          <w:szCs w:val="20"/>
          <w:lang w:eastAsia="es-ES"/>
        </w:rPr>
        <w:t xml:space="preserve"> </w:t>
      </w:r>
      <w:r w:rsidRPr="0077614F">
        <w:rPr>
          <w:rFonts w:ascii="Bookman Old Style" w:eastAsia="Times New Roman" w:hAnsi="Bookman Old Style" w:cs="Times New Roman"/>
          <w:sz w:val="24"/>
          <w:szCs w:val="20"/>
          <w:lang w:eastAsia="es-ES"/>
        </w:rPr>
        <w:t xml:space="preserve">ya sea en los contratos a largo plazo, o en los contratos de mandato que suscriben con </w:t>
      </w:r>
      <w:r>
        <w:rPr>
          <w:rFonts w:ascii="Bookman Old Style" w:eastAsia="Times New Roman" w:hAnsi="Bookman Old Style" w:cs="Times New Roman"/>
          <w:sz w:val="24"/>
          <w:szCs w:val="20"/>
          <w:lang w:eastAsia="es-ES"/>
        </w:rPr>
        <w:t xml:space="preserve">XM en ejercicio de funciones de CND, ASIC y LAC, puedan incorporar </w:t>
      </w:r>
      <w:r w:rsidRPr="0077614F">
        <w:rPr>
          <w:rFonts w:ascii="Bookman Old Style" w:eastAsia="Times New Roman" w:hAnsi="Bookman Old Style" w:cs="Times New Roman"/>
          <w:sz w:val="24"/>
          <w:szCs w:val="20"/>
          <w:lang w:eastAsia="es-ES"/>
        </w:rPr>
        <w:t>obligaciones y atribuciones que se encuentran por fuera de aquellas que la Ley 143 de 1994 y la regulación le han establecido</w:t>
      </w:r>
      <w:r>
        <w:rPr>
          <w:rFonts w:ascii="Bookman Old Style" w:eastAsia="Times New Roman" w:hAnsi="Bookman Old Style" w:cs="Times New Roman"/>
          <w:sz w:val="24"/>
          <w:szCs w:val="20"/>
          <w:lang w:eastAsia="es-ES"/>
        </w:rPr>
        <w:t>,</w:t>
      </w:r>
      <w:r w:rsidR="00CF1C9D">
        <w:rPr>
          <w:rFonts w:ascii="Bookman Old Style" w:eastAsia="Times New Roman" w:hAnsi="Bookman Old Style" w:cs="Times New Roman"/>
          <w:sz w:val="24"/>
          <w:szCs w:val="20"/>
          <w:lang w:eastAsia="es-ES"/>
        </w:rPr>
        <w:t xml:space="preserve"> o que vayan más allá del ejercicio de estas funciones, lo cual puede generar que su aplicación conlleve a </w:t>
      </w:r>
      <w:r>
        <w:rPr>
          <w:rFonts w:ascii="Bookman Old Style" w:eastAsia="Times New Roman" w:hAnsi="Bookman Old Style" w:cs="Times New Roman"/>
          <w:sz w:val="24"/>
          <w:szCs w:val="20"/>
          <w:lang w:eastAsia="es-ES"/>
        </w:rPr>
        <w:t>la afectación y el buen funcionamiento del mercado</w:t>
      </w:r>
      <w:r w:rsidRPr="0077614F">
        <w:rPr>
          <w:rFonts w:ascii="Bookman Old Style" w:eastAsia="Times New Roman" w:hAnsi="Bookman Old Style" w:cs="Times New Roman"/>
          <w:sz w:val="24"/>
          <w:szCs w:val="20"/>
          <w:lang w:eastAsia="es-ES"/>
        </w:rPr>
        <w:t>.</w:t>
      </w:r>
    </w:p>
    <w:p w:rsidR="00A37A02" w:rsidRDefault="00A37A02" w:rsidP="001B59A0">
      <w:pPr>
        <w:spacing w:after="0" w:line="240" w:lineRule="auto"/>
        <w:jc w:val="both"/>
        <w:rPr>
          <w:rFonts w:ascii="Bookman Old Style" w:eastAsia="Times New Roman" w:hAnsi="Bookman Old Style" w:cs="Times New Roman"/>
          <w:sz w:val="24"/>
          <w:szCs w:val="20"/>
          <w:lang w:eastAsia="es-ES"/>
        </w:rPr>
      </w:pPr>
    </w:p>
    <w:p w:rsidR="00CD3BEB" w:rsidRDefault="0077614F" w:rsidP="001B59A0">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As</w:t>
      </w:r>
      <w:r w:rsidR="0098239E">
        <w:rPr>
          <w:rFonts w:ascii="Bookman Old Style" w:eastAsia="Times New Roman" w:hAnsi="Bookman Old Style" w:cs="Times New Roman"/>
          <w:sz w:val="24"/>
          <w:szCs w:val="20"/>
          <w:lang w:eastAsia="es-ES"/>
        </w:rPr>
        <w:t xml:space="preserve">í mismo, se debe precisar que para efectos del presente conflicto lo que ha precisado la Comisión es que </w:t>
      </w:r>
      <w:r w:rsidR="0098239E" w:rsidRPr="0098239E">
        <w:rPr>
          <w:rFonts w:ascii="Bookman Old Style" w:eastAsia="Times New Roman" w:hAnsi="Bookman Old Style" w:cs="Times New Roman"/>
          <w:sz w:val="24"/>
          <w:szCs w:val="20"/>
          <w:lang w:eastAsia="es-ES"/>
        </w:rPr>
        <w:t xml:space="preserve">la regulación a partir del 8 de marzo de 2010 </w:t>
      </w:r>
      <w:r w:rsidR="0098239E">
        <w:rPr>
          <w:rFonts w:ascii="Bookman Old Style" w:eastAsia="Times New Roman" w:hAnsi="Bookman Old Style" w:cs="Times New Roman"/>
          <w:sz w:val="24"/>
          <w:szCs w:val="20"/>
          <w:lang w:eastAsia="es-ES"/>
        </w:rPr>
        <w:t>a consagrado</w:t>
      </w:r>
      <w:r w:rsidR="0098239E" w:rsidRPr="0098239E">
        <w:rPr>
          <w:rFonts w:ascii="Bookman Old Style" w:eastAsia="Times New Roman" w:hAnsi="Bookman Old Style" w:cs="Times New Roman"/>
          <w:sz w:val="24"/>
          <w:szCs w:val="20"/>
          <w:lang w:eastAsia="es-ES"/>
        </w:rPr>
        <w:t xml:space="preserve"> la posibilidad de dar aplicación a la terminación unilateral del contrato e informar al ASIC esta circunstancia, de acuerdo con la causal o circunst</w:t>
      </w:r>
      <w:r w:rsidR="00CD3BEB">
        <w:rPr>
          <w:rFonts w:ascii="Bookman Old Style" w:eastAsia="Times New Roman" w:hAnsi="Bookman Old Style" w:cs="Times New Roman"/>
          <w:sz w:val="24"/>
          <w:szCs w:val="20"/>
          <w:lang w:eastAsia="es-ES"/>
        </w:rPr>
        <w:t>ancia que genera la terminación.</w:t>
      </w:r>
      <w:r w:rsidR="0098239E">
        <w:rPr>
          <w:rFonts w:ascii="Bookman Old Style" w:eastAsia="Times New Roman" w:hAnsi="Bookman Old Style" w:cs="Times New Roman"/>
          <w:sz w:val="24"/>
          <w:szCs w:val="20"/>
          <w:lang w:eastAsia="es-ES"/>
        </w:rPr>
        <w:t xml:space="preserve"> </w:t>
      </w:r>
    </w:p>
    <w:p w:rsidR="00CD3BEB" w:rsidRDefault="00CD3BEB" w:rsidP="001B59A0">
      <w:pPr>
        <w:spacing w:after="0" w:line="240" w:lineRule="auto"/>
        <w:jc w:val="both"/>
        <w:rPr>
          <w:rFonts w:ascii="Bookman Old Style" w:eastAsia="Times New Roman" w:hAnsi="Bookman Old Style" w:cs="Times New Roman"/>
          <w:sz w:val="24"/>
          <w:szCs w:val="20"/>
          <w:lang w:eastAsia="es-ES"/>
        </w:rPr>
      </w:pPr>
    </w:p>
    <w:p w:rsidR="00A37A02" w:rsidRDefault="00A37A02" w:rsidP="001B59A0">
      <w:pPr>
        <w:spacing w:after="0" w:line="240" w:lineRule="auto"/>
        <w:jc w:val="both"/>
        <w:rPr>
          <w:rFonts w:ascii="Bookman Old Style" w:eastAsia="Times New Roman" w:hAnsi="Bookman Old Style" w:cs="Times New Roman"/>
          <w:sz w:val="24"/>
          <w:szCs w:val="20"/>
          <w:lang w:eastAsia="es-ES"/>
        </w:rPr>
      </w:pPr>
    </w:p>
    <w:p w:rsidR="0077614F" w:rsidRDefault="0098239E" w:rsidP="001B59A0">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lastRenderedPageBreak/>
        <w:t>Por lo tanto, no es válido para efectos de la resolución del presente conflicto la discusión relativa a la existencia a una “</w:t>
      </w:r>
      <w:r w:rsidRPr="0098239E">
        <w:rPr>
          <w:rFonts w:ascii="Bookman Old Style" w:eastAsia="Times New Roman" w:hAnsi="Bookman Old Style" w:cs="Times New Roman"/>
          <w:i/>
          <w:sz w:val="24"/>
          <w:szCs w:val="20"/>
          <w:lang w:eastAsia="es-ES"/>
        </w:rPr>
        <w:t>improcedencia de la terminación unilateral de los contratos de suministro de energía”</w:t>
      </w:r>
      <w:r>
        <w:rPr>
          <w:rFonts w:ascii="Bookman Old Style" w:eastAsia="Times New Roman" w:hAnsi="Bookman Old Style" w:cs="Times New Roman"/>
          <w:sz w:val="24"/>
          <w:szCs w:val="20"/>
          <w:lang w:eastAsia="es-ES"/>
        </w:rPr>
        <w:t xml:space="preserve"> bajo la consideraci</w:t>
      </w:r>
      <w:r w:rsidR="00144608">
        <w:rPr>
          <w:rFonts w:ascii="Bookman Old Style" w:eastAsia="Times New Roman" w:hAnsi="Bookman Old Style" w:cs="Times New Roman"/>
          <w:sz w:val="24"/>
          <w:szCs w:val="20"/>
          <w:lang w:eastAsia="es-ES"/>
        </w:rPr>
        <w:t>ón que en el marco del derecho privado esta obedece al ejercicio de una facultad exorbitante, la cual solo puede ser declarada por un juez y no a través de las partes, por lo que no puede ser aplicada dentro de</w:t>
      </w:r>
      <w:r w:rsidR="00A37A02">
        <w:rPr>
          <w:rFonts w:ascii="Bookman Old Style" w:eastAsia="Times New Roman" w:hAnsi="Bookman Old Style" w:cs="Times New Roman"/>
          <w:sz w:val="24"/>
          <w:szCs w:val="20"/>
          <w:lang w:eastAsia="es-ES"/>
        </w:rPr>
        <w:t>l Mercado de Energía Mayorista,</w:t>
      </w:r>
      <w:r w:rsidR="00CD3BEB">
        <w:rPr>
          <w:rFonts w:ascii="Bookman Old Style" w:eastAsia="Times New Roman" w:hAnsi="Bookman Old Style" w:cs="Times New Roman"/>
          <w:sz w:val="24"/>
          <w:szCs w:val="20"/>
          <w:lang w:eastAsia="es-ES"/>
        </w:rPr>
        <w:t xml:space="preserve"> </w:t>
      </w:r>
      <w:r>
        <w:rPr>
          <w:rFonts w:ascii="Bookman Old Style" w:eastAsia="Times New Roman" w:hAnsi="Bookman Old Style" w:cs="Times New Roman"/>
          <w:sz w:val="24"/>
          <w:szCs w:val="20"/>
          <w:lang w:eastAsia="es-ES"/>
        </w:rPr>
        <w:t xml:space="preserve">como lo expone la recurrente entre otros argumentos cuando afirma: </w:t>
      </w:r>
    </w:p>
    <w:p w:rsidR="0098239E" w:rsidRPr="00E07CD1" w:rsidRDefault="0098239E" w:rsidP="001B59A0">
      <w:pPr>
        <w:spacing w:after="0" w:line="240" w:lineRule="auto"/>
        <w:jc w:val="both"/>
        <w:rPr>
          <w:rFonts w:ascii="Bookman Old Style" w:eastAsia="Times New Roman" w:hAnsi="Bookman Old Style" w:cs="Times New Roman"/>
          <w:sz w:val="20"/>
          <w:szCs w:val="20"/>
          <w:lang w:eastAsia="es-ES"/>
        </w:rPr>
      </w:pPr>
    </w:p>
    <w:p w:rsidR="0098239E" w:rsidRDefault="0098239E" w:rsidP="0098239E">
      <w:pPr>
        <w:spacing w:after="0" w:line="240" w:lineRule="auto"/>
        <w:ind w:left="284" w:right="284"/>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i/>
          <w:sz w:val="20"/>
          <w:szCs w:val="20"/>
          <w:lang w:val="es-ES" w:eastAsia="es-ES"/>
        </w:rPr>
        <w:t>“</w:t>
      </w:r>
      <w:r w:rsidRPr="006812D6">
        <w:rPr>
          <w:rFonts w:ascii="Bookman Old Style" w:eastAsia="Times New Roman" w:hAnsi="Bookman Old Style" w:cs="Times New Roman"/>
          <w:i/>
          <w:sz w:val="20"/>
          <w:szCs w:val="20"/>
          <w:lang w:val="es-ES" w:eastAsia="es-ES"/>
        </w:rPr>
        <w:t>Nótese que el inciso 2do del artículo 3º de la resolución CREG establece unas consecuencias para aquellos contratos en los cuales se hubiere pactado la terminación unilateral. El pacto de la terminación unilateral a nuestro entendimiento, no se ha hecho obligatoria por parte de la CREG en ejercicio de la facultad consagrada en el artículo 31 de la Ley 142 de 1994, por lo cual, esta cláusula no es una facultad exorbitante, y por lo tanto, la terminación del contrato, en el evento de incumplimiento de una de las partes, en los términos de ley, solo procede por decisión judicial, en los términos del artículo 870 del Código de Comercio</w:t>
      </w:r>
      <w:r>
        <w:rPr>
          <w:rFonts w:ascii="Bookman Old Style" w:eastAsia="Times New Roman" w:hAnsi="Bookman Old Style" w:cs="Times New Roman"/>
          <w:i/>
          <w:sz w:val="20"/>
          <w:szCs w:val="20"/>
          <w:lang w:val="es-ES" w:eastAsia="es-ES"/>
        </w:rPr>
        <w:t>”</w:t>
      </w:r>
    </w:p>
    <w:p w:rsidR="0098239E" w:rsidRDefault="0098239E" w:rsidP="001B59A0">
      <w:pPr>
        <w:spacing w:after="0" w:line="240" w:lineRule="auto"/>
        <w:jc w:val="both"/>
        <w:rPr>
          <w:rFonts w:ascii="Bookman Old Style" w:eastAsia="Times New Roman" w:hAnsi="Bookman Old Style" w:cs="Times New Roman"/>
          <w:sz w:val="24"/>
          <w:szCs w:val="20"/>
          <w:lang w:eastAsia="es-ES"/>
        </w:rPr>
      </w:pPr>
    </w:p>
    <w:p w:rsidR="00CD3BEB" w:rsidRDefault="00CD3BEB" w:rsidP="001B59A0">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 xml:space="preserve">Contrario a lo que afirma la recurrente, la aplicación de esta disposición de la Resolución CREG 038 de 2010 </w:t>
      </w:r>
      <w:r w:rsidR="000B7C96">
        <w:rPr>
          <w:rFonts w:ascii="Bookman Old Style" w:eastAsia="Times New Roman" w:hAnsi="Bookman Old Style" w:cs="Times New Roman"/>
          <w:sz w:val="24"/>
          <w:szCs w:val="20"/>
          <w:lang w:eastAsia="es-ES"/>
        </w:rPr>
        <w:t>hace parte de la armonización de</w:t>
      </w:r>
      <w:r>
        <w:rPr>
          <w:rFonts w:ascii="Bookman Old Style" w:eastAsia="Times New Roman" w:hAnsi="Bookman Old Style" w:cs="Times New Roman"/>
          <w:sz w:val="24"/>
          <w:szCs w:val="20"/>
          <w:lang w:eastAsia="es-ES"/>
        </w:rPr>
        <w:t xml:space="preserve"> la regulación, las funciones del ASIC y </w:t>
      </w:r>
      <w:r w:rsidR="000B7C96">
        <w:rPr>
          <w:rFonts w:ascii="Bookman Old Style" w:eastAsia="Times New Roman" w:hAnsi="Bookman Old Style" w:cs="Times New Roman"/>
          <w:sz w:val="24"/>
          <w:szCs w:val="20"/>
          <w:lang w:eastAsia="es-ES"/>
        </w:rPr>
        <w:t xml:space="preserve">el principio de </w:t>
      </w:r>
      <w:r>
        <w:rPr>
          <w:rFonts w:ascii="Bookman Old Style" w:eastAsia="Times New Roman" w:hAnsi="Bookman Old Style" w:cs="Times New Roman"/>
          <w:sz w:val="24"/>
          <w:szCs w:val="20"/>
          <w:lang w:eastAsia="es-ES"/>
        </w:rPr>
        <w:t>la autonomía de la voluntad de los agentes plasmada en sus c</w:t>
      </w:r>
      <w:r w:rsidR="000B7C96">
        <w:rPr>
          <w:rFonts w:ascii="Bookman Old Style" w:eastAsia="Times New Roman" w:hAnsi="Bookman Old Style" w:cs="Times New Roman"/>
          <w:sz w:val="24"/>
          <w:szCs w:val="20"/>
          <w:lang w:eastAsia="es-ES"/>
        </w:rPr>
        <w:t>ontratos, a fin de que no llegue</w:t>
      </w:r>
      <w:r>
        <w:rPr>
          <w:rFonts w:ascii="Bookman Old Style" w:eastAsia="Times New Roman" w:hAnsi="Bookman Old Style" w:cs="Times New Roman"/>
          <w:sz w:val="24"/>
          <w:szCs w:val="20"/>
          <w:lang w:eastAsia="es-ES"/>
        </w:rPr>
        <w:t xml:space="preserve"> a verse afectado el buen funcionamiento del Mercad</w:t>
      </w:r>
      <w:r w:rsidR="000B7C96">
        <w:rPr>
          <w:rFonts w:ascii="Bookman Old Style" w:eastAsia="Times New Roman" w:hAnsi="Bookman Old Style" w:cs="Times New Roman"/>
          <w:sz w:val="24"/>
          <w:szCs w:val="20"/>
          <w:lang w:eastAsia="es-ES"/>
        </w:rPr>
        <w:t>o de Energía Mayorista. L</w:t>
      </w:r>
      <w:r>
        <w:rPr>
          <w:rFonts w:ascii="Bookman Old Style" w:eastAsia="Times New Roman" w:hAnsi="Bookman Old Style" w:cs="Times New Roman"/>
          <w:sz w:val="24"/>
          <w:szCs w:val="20"/>
          <w:lang w:eastAsia="es-ES"/>
        </w:rPr>
        <w:t>a</w:t>
      </w:r>
      <w:r w:rsidR="000B7C96">
        <w:rPr>
          <w:rFonts w:ascii="Bookman Old Style" w:eastAsia="Times New Roman" w:hAnsi="Bookman Old Style" w:cs="Times New Roman"/>
          <w:sz w:val="24"/>
          <w:szCs w:val="20"/>
          <w:lang w:eastAsia="es-ES"/>
        </w:rPr>
        <w:t xml:space="preserve"> posibilidad de ejecutar la</w:t>
      </w:r>
      <w:r>
        <w:rPr>
          <w:rFonts w:ascii="Bookman Old Style" w:eastAsia="Times New Roman" w:hAnsi="Bookman Old Style" w:cs="Times New Roman"/>
          <w:sz w:val="24"/>
          <w:szCs w:val="20"/>
          <w:lang w:eastAsia="es-ES"/>
        </w:rPr>
        <w:t xml:space="preserve"> terminación unilateral se enmarca dentro del ejercicio de la autonomía de la voluntad de los agentes</w:t>
      </w:r>
      <w:r w:rsidR="000B7C96">
        <w:rPr>
          <w:rFonts w:ascii="Bookman Old Style" w:eastAsia="Times New Roman" w:hAnsi="Bookman Old Style" w:cs="Times New Roman"/>
          <w:sz w:val="24"/>
          <w:szCs w:val="20"/>
          <w:lang w:eastAsia="es-ES"/>
        </w:rPr>
        <w:t>, toda vez que estos</w:t>
      </w:r>
      <w:r w:rsidR="00144608">
        <w:rPr>
          <w:rFonts w:ascii="Bookman Old Style" w:eastAsia="Times New Roman" w:hAnsi="Bookman Old Style" w:cs="Times New Roman"/>
          <w:sz w:val="24"/>
          <w:szCs w:val="20"/>
          <w:lang w:eastAsia="es-ES"/>
        </w:rPr>
        <w:t xml:space="preserve"> los que pactan la aplicación de esta medida, por lo que esta</w:t>
      </w:r>
      <w:r>
        <w:rPr>
          <w:rFonts w:ascii="Bookman Old Style" w:eastAsia="Times New Roman" w:hAnsi="Bookman Old Style" w:cs="Times New Roman"/>
          <w:sz w:val="24"/>
          <w:szCs w:val="20"/>
          <w:lang w:eastAsia="es-ES"/>
        </w:rPr>
        <w:t xml:space="preserve"> no corresponde a la imposición</w:t>
      </w:r>
      <w:r w:rsidR="00144608">
        <w:rPr>
          <w:rFonts w:ascii="Bookman Old Style" w:eastAsia="Times New Roman" w:hAnsi="Bookman Old Style" w:cs="Times New Roman"/>
          <w:sz w:val="24"/>
          <w:szCs w:val="20"/>
          <w:lang w:eastAsia="es-ES"/>
        </w:rPr>
        <w:t xml:space="preserve"> de una medida regulatoria, ni pretende ir en contra de la aplicación del derecho privado en concordancia con lo previsto en la regulación</w:t>
      </w:r>
      <w:r>
        <w:rPr>
          <w:rFonts w:ascii="Bookman Old Style" w:eastAsia="Times New Roman" w:hAnsi="Bookman Old Style" w:cs="Times New Roman"/>
          <w:sz w:val="24"/>
          <w:szCs w:val="20"/>
          <w:lang w:eastAsia="es-ES"/>
        </w:rPr>
        <w:t xml:space="preserve">. Sobre este punto exponen los considerandos de la Resolución CREG 038 de 2010: </w:t>
      </w:r>
    </w:p>
    <w:p w:rsidR="00CD3BEB" w:rsidRDefault="00CD3BEB" w:rsidP="001B59A0">
      <w:pPr>
        <w:spacing w:after="0" w:line="240" w:lineRule="auto"/>
        <w:jc w:val="both"/>
        <w:rPr>
          <w:rFonts w:ascii="Bookman Old Style" w:eastAsia="Times New Roman" w:hAnsi="Bookman Old Style" w:cs="Times New Roman"/>
          <w:sz w:val="24"/>
          <w:szCs w:val="20"/>
          <w:lang w:eastAsia="es-ES"/>
        </w:rPr>
      </w:pPr>
    </w:p>
    <w:p w:rsidR="00CD3BEB" w:rsidRPr="00CD3BEB" w:rsidRDefault="00CD3BEB" w:rsidP="00CD3BEB">
      <w:pPr>
        <w:spacing w:after="0" w:line="240" w:lineRule="auto"/>
        <w:ind w:left="284" w:right="284"/>
        <w:jc w:val="both"/>
        <w:rPr>
          <w:rFonts w:ascii="Bookman Old Style" w:eastAsia="Times New Roman" w:hAnsi="Bookman Old Style" w:cs="Times New Roman"/>
          <w:i/>
          <w:sz w:val="20"/>
          <w:szCs w:val="20"/>
          <w:lang w:eastAsia="es-ES"/>
        </w:rPr>
      </w:pPr>
      <w:r>
        <w:rPr>
          <w:rFonts w:ascii="Bookman Old Style" w:eastAsia="Times New Roman" w:hAnsi="Bookman Old Style" w:cs="Times New Roman"/>
          <w:i/>
          <w:sz w:val="20"/>
          <w:szCs w:val="20"/>
          <w:lang w:eastAsia="es-ES"/>
        </w:rPr>
        <w:t>“</w:t>
      </w:r>
      <w:r w:rsidRPr="00CD3BEB">
        <w:rPr>
          <w:rFonts w:ascii="Bookman Old Style" w:eastAsia="Times New Roman" w:hAnsi="Bookman Old Style" w:cs="Times New Roman"/>
          <w:i/>
          <w:sz w:val="20"/>
          <w:szCs w:val="20"/>
          <w:lang w:eastAsia="es-ES"/>
        </w:rPr>
        <w:t>Así mismo, se requiere hacer expresa la posibilidad de que, cuando los agentes en sus contratos prevean causales de terminación unilateral, una de las partes pueda informar al ASIC de la terminación del contrato</w:t>
      </w:r>
      <w:r>
        <w:rPr>
          <w:rFonts w:ascii="Bookman Old Style" w:eastAsia="Times New Roman" w:hAnsi="Bookman Old Style" w:cs="Times New Roman"/>
          <w:i/>
          <w:sz w:val="20"/>
          <w:szCs w:val="20"/>
          <w:lang w:eastAsia="es-ES"/>
        </w:rPr>
        <w:t>”</w:t>
      </w:r>
      <w:r w:rsidRPr="00CD3BEB">
        <w:rPr>
          <w:rFonts w:ascii="Bookman Old Style" w:eastAsia="Times New Roman" w:hAnsi="Bookman Old Style" w:cs="Times New Roman"/>
          <w:i/>
          <w:sz w:val="20"/>
          <w:szCs w:val="20"/>
          <w:lang w:eastAsia="es-ES"/>
        </w:rPr>
        <w:t>.</w:t>
      </w:r>
    </w:p>
    <w:p w:rsidR="00CD3BEB" w:rsidRPr="00A37A02" w:rsidRDefault="00CD3BEB" w:rsidP="001B59A0">
      <w:pPr>
        <w:spacing w:after="0" w:line="240" w:lineRule="auto"/>
        <w:jc w:val="both"/>
        <w:rPr>
          <w:rFonts w:ascii="Bookman Old Style" w:eastAsia="Times New Roman" w:hAnsi="Bookman Old Style" w:cs="Times New Roman"/>
          <w:szCs w:val="20"/>
          <w:lang w:eastAsia="es-ES"/>
        </w:rPr>
      </w:pPr>
    </w:p>
    <w:p w:rsidR="00E13693" w:rsidRDefault="00E13693" w:rsidP="001B59A0">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De acuerdo con esto, no es procedente la solicitud que realiza la recurrente dentro de su impugnación, ya que la misma</w:t>
      </w:r>
      <w:r w:rsidR="00144608">
        <w:rPr>
          <w:rFonts w:ascii="Bookman Old Style" w:eastAsia="Times New Roman" w:hAnsi="Bookman Old Style" w:cs="Times New Roman"/>
          <w:sz w:val="24"/>
          <w:szCs w:val="20"/>
          <w:lang w:eastAsia="es-ES"/>
        </w:rPr>
        <w:t xml:space="preserve"> así como </w:t>
      </w:r>
      <w:r w:rsidR="000B7C96">
        <w:rPr>
          <w:rFonts w:ascii="Bookman Old Style" w:eastAsia="Times New Roman" w:hAnsi="Bookman Old Style" w:cs="Times New Roman"/>
          <w:sz w:val="24"/>
          <w:szCs w:val="20"/>
          <w:lang w:eastAsia="es-ES"/>
        </w:rPr>
        <w:t xml:space="preserve">el argumento que esta expone </w:t>
      </w:r>
      <w:r w:rsidR="00144608">
        <w:rPr>
          <w:rFonts w:ascii="Bookman Old Style" w:eastAsia="Times New Roman" w:hAnsi="Bookman Old Style" w:cs="Times New Roman"/>
          <w:sz w:val="24"/>
          <w:szCs w:val="20"/>
          <w:lang w:eastAsia="es-ES"/>
        </w:rPr>
        <w:t xml:space="preserve"> en relación con la </w:t>
      </w:r>
      <w:r w:rsidR="00AA37CF">
        <w:rPr>
          <w:rFonts w:ascii="Bookman Old Style" w:eastAsia="Times New Roman" w:hAnsi="Bookman Old Style" w:cs="Times New Roman"/>
          <w:sz w:val="24"/>
          <w:szCs w:val="20"/>
          <w:lang w:eastAsia="es-ES"/>
        </w:rPr>
        <w:t>im</w:t>
      </w:r>
      <w:r w:rsidR="00144608">
        <w:rPr>
          <w:rFonts w:ascii="Bookman Old Style" w:eastAsia="Times New Roman" w:hAnsi="Bookman Old Style" w:cs="Times New Roman"/>
          <w:sz w:val="24"/>
          <w:szCs w:val="20"/>
          <w:lang w:eastAsia="es-ES"/>
        </w:rPr>
        <w:t>procedencia</w:t>
      </w:r>
      <w:r w:rsidR="00E07CD1">
        <w:rPr>
          <w:rFonts w:ascii="Bookman Old Style" w:eastAsia="Times New Roman" w:hAnsi="Bookman Old Style" w:cs="Times New Roman"/>
          <w:sz w:val="24"/>
          <w:szCs w:val="20"/>
          <w:lang w:eastAsia="es-ES"/>
        </w:rPr>
        <w:t xml:space="preserve"> de que dentro de </w:t>
      </w:r>
      <w:r w:rsidR="00AA37CF">
        <w:rPr>
          <w:rFonts w:ascii="Bookman Old Style" w:eastAsia="Times New Roman" w:hAnsi="Bookman Old Style" w:cs="Times New Roman"/>
          <w:sz w:val="24"/>
          <w:szCs w:val="20"/>
          <w:lang w:eastAsia="es-ES"/>
        </w:rPr>
        <w:t xml:space="preserve">la regulación </w:t>
      </w:r>
      <w:r w:rsidR="00E07CD1">
        <w:rPr>
          <w:rFonts w:ascii="Bookman Old Style" w:eastAsia="Times New Roman" w:hAnsi="Bookman Old Style" w:cs="Times New Roman"/>
          <w:sz w:val="24"/>
          <w:szCs w:val="20"/>
          <w:lang w:eastAsia="es-ES"/>
        </w:rPr>
        <w:t xml:space="preserve">se prevea </w:t>
      </w:r>
      <w:r w:rsidR="00144608">
        <w:rPr>
          <w:rFonts w:ascii="Bookman Old Style" w:eastAsia="Times New Roman" w:hAnsi="Bookman Old Style" w:cs="Times New Roman"/>
          <w:sz w:val="24"/>
          <w:szCs w:val="20"/>
          <w:lang w:eastAsia="es-ES"/>
        </w:rPr>
        <w:t xml:space="preserve">la </w:t>
      </w:r>
      <w:r w:rsidR="00E07CD1">
        <w:rPr>
          <w:rFonts w:ascii="Bookman Old Style" w:eastAsia="Times New Roman" w:hAnsi="Bookman Old Style" w:cs="Times New Roman"/>
          <w:sz w:val="24"/>
          <w:szCs w:val="20"/>
          <w:lang w:eastAsia="es-ES"/>
        </w:rPr>
        <w:t xml:space="preserve">posibilidad de aplicar la </w:t>
      </w:r>
      <w:r w:rsidR="00144608">
        <w:rPr>
          <w:rFonts w:ascii="Bookman Old Style" w:eastAsia="Times New Roman" w:hAnsi="Bookman Old Style" w:cs="Times New Roman"/>
          <w:sz w:val="24"/>
          <w:szCs w:val="20"/>
          <w:lang w:eastAsia="es-ES"/>
        </w:rPr>
        <w:t xml:space="preserve">terminación unilateral </w:t>
      </w:r>
      <w:r w:rsidR="00E07CD1">
        <w:rPr>
          <w:rFonts w:ascii="Bookman Old Style" w:eastAsia="Times New Roman" w:hAnsi="Bookman Old Style" w:cs="Times New Roman"/>
          <w:sz w:val="24"/>
          <w:szCs w:val="20"/>
          <w:lang w:eastAsia="es-ES"/>
        </w:rPr>
        <w:t xml:space="preserve">de los contratos a largo plazo como parte </w:t>
      </w:r>
      <w:r w:rsidR="00144608">
        <w:rPr>
          <w:rFonts w:ascii="Bookman Old Style" w:eastAsia="Times New Roman" w:hAnsi="Bookman Old Style" w:cs="Times New Roman"/>
          <w:sz w:val="24"/>
          <w:szCs w:val="20"/>
          <w:lang w:eastAsia="es-ES"/>
        </w:rPr>
        <w:t>del principio de la autonomía de la voluntad,</w:t>
      </w:r>
      <w:r>
        <w:rPr>
          <w:rFonts w:ascii="Bookman Old Style" w:eastAsia="Times New Roman" w:hAnsi="Bookman Old Style" w:cs="Times New Roman"/>
          <w:sz w:val="24"/>
          <w:szCs w:val="20"/>
          <w:lang w:eastAsia="es-ES"/>
        </w:rPr>
        <w:t xml:space="preserve"> no hace</w:t>
      </w:r>
      <w:r w:rsidR="00144608">
        <w:rPr>
          <w:rFonts w:ascii="Bookman Old Style" w:eastAsia="Times New Roman" w:hAnsi="Bookman Old Style" w:cs="Times New Roman"/>
          <w:sz w:val="24"/>
          <w:szCs w:val="20"/>
          <w:lang w:eastAsia="es-ES"/>
        </w:rPr>
        <w:t>n</w:t>
      </w:r>
      <w:r>
        <w:rPr>
          <w:rFonts w:ascii="Bookman Old Style" w:eastAsia="Times New Roman" w:hAnsi="Bookman Old Style" w:cs="Times New Roman"/>
          <w:sz w:val="24"/>
          <w:szCs w:val="20"/>
          <w:lang w:eastAsia="es-ES"/>
        </w:rPr>
        <w:t xml:space="preserve"> parte</w:t>
      </w:r>
      <w:r w:rsidR="00144608">
        <w:rPr>
          <w:rFonts w:ascii="Bookman Old Style" w:eastAsia="Times New Roman" w:hAnsi="Bookman Old Style" w:cs="Times New Roman"/>
          <w:sz w:val="24"/>
          <w:szCs w:val="20"/>
          <w:lang w:eastAsia="es-ES"/>
        </w:rPr>
        <w:t>,</w:t>
      </w:r>
      <w:r>
        <w:rPr>
          <w:rFonts w:ascii="Bookman Old Style" w:eastAsia="Times New Roman" w:hAnsi="Bookman Old Style" w:cs="Times New Roman"/>
          <w:sz w:val="24"/>
          <w:szCs w:val="20"/>
          <w:lang w:eastAsia="es-ES"/>
        </w:rPr>
        <w:t xml:space="preserve"> ni corresponde</w:t>
      </w:r>
      <w:r w:rsidR="00144608">
        <w:rPr>
          <w:rFonts w:ascii="Bookman Old Style" w:eastAsia="Times New Roman" w:hAnsi="Bookman Old Style" w:cs="Times New Roman"/>
          <w:sz w:val="24"/>
          <w:szCs w:val="20"/>
          <w:lang w:eastAsia="es-ES"/>
        </w:rPr>
        <w:t xml:space="preserve">n a las consideraciones a las cuales se sujeta la facultad de la Comisión para resolver el presente conflicto </w:t>
      </w:r>
      <w:r>
        <w:rPr>
          <w:rFonts w:ascii="Bookman Old Style" w:eastAsia="Times New Roman" w:hAnsi="Bookman Old Style" w:cs="Times New Roman"/>
          <w:sz w:val="24"/>
          <w:szCs w:val="20"/>
          <w:lang w:eastAsia="es-ES"/>
        </w:rPr>
        <w:t>que se ha sometido a su consideración.</w:t>
      </w:r>
    </w:p>
    <w:p w:rsidR="00E13693" w:rsidRDefault="00E13693" w:rsidP="001B59A0">
      <w:pPr>
        <w:spacing w:after="0" w:line="240" w:lineRule="auto"/>
        <w:jc w:val="both"/>
        <w:rPr>
          <w:rFonts w:ascii="Bookman Old Style" w:eastAsia="Times New Roman" w:hAnsi="Bookman Old Style" w:cs="Times New Roman"/>
          <w:sz w:val="24"/>
          <w:szCs w:val="20"/>
          <w:lang w:eastAsia="es-ES"/>
        </w:rPr>
      </w:pPr>
    </w:p>
    <w:p w:rsidR="0098239E" w:rsidRDefault="0098239E" w:rsidP="001B59A0">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Igualmente, no es válid</w:t>
      </w:r>
      <w:r w:rsidR="00E13693">
        <w:rPr>
          <w:rFonts w:ascii="Bookman Old Style" w:eastAsia="Times New Roman" w:hAnsi="Bookman Old Style" w:cs="Times New Roman"/>
          <w:sz w:val="24"/>
          <w:szCs w:val="20"/>
          <w:lang w:eastAsia="es-ES"/>
        </w:rPr>
        <w:t xml:space="preserve">o el argumento </w:t>
      </w:r>
      <w:r w:rsidR="002A1AA3">
        <w:rPr>
          <w:rFonts w:ascii="Bookman Old Style" w:eastAsia="Times New Roman" w:hAnsi="Bookman Old Style" w:cs="Times New Roman"/>
          <w:sz w:val="24"/>
          <w:szCs w:val="20"/>
          <w:lang w:eastAsia="es-ES"/>
        </w:rPr>
        <w:t xml:space="preserve">de la recurrente en tratar de justificar que </w:t>
      </w:r>
      <w:r>
        <w:rPr>
          <w:rFonts w:ascii="Bookman Old Style" w:eastAsia="Times New Roman" w:hAnsi="Bookman Old Style" w:cs="Times New Roman"/>
          <w:sz w:val="24"/>
          <w:szCs w:val="20"/>
          <w:lang w:eastAsia="es-ES"/>
        </w:rPr>
        <w:t xml:space="preserve">XM en marco del contrato de mandato que celebra con los agentes </w:t>
      </w:r>
      <w:r w:rsidR="00E13693">
        <w:rPr>
          <w:rFonts w:ascii="Bookman Old Style" w:eastAsia="Times New Roman" w:hAnsi="Bookman Old Style" w:cs="Times New Roman"/>
          <w:sz w:val="24"/>
          <w:szCs w:val="20"/>
          <w:lang w:eastAsia="es-ES"/>
        </w:rPr>
        <w:t>puede</w:t>
      </w:r>
      <w:r>
        <w:rPr>
          <w:rFonts w:ascii="Bookman Old Style" w:eastAsia="Times New Roman" w:hAnsi="Bookman Old Style" w:cs="Times New Roman"/>
          <w:sz w:val="24"/>
          <w:szCs w:val="20"/>
          <w:lang w:eastAsia="es-ES"/>
        </w:rPr>
        <w:t xml:space="preserve"> realizar cualquier tipo de </w:t>
      </w:r>
      <w:r w:rsidR="002A1AA3">
        <w:rPr>
          <w:rFonts w:ascii="Bookman Old Style" w:eastAsia="Times New Roman" w:hAnsi="Bookman Old Style" w:cs="Times New Roman"/>
          <w:sz w:val="24"/>
          <w:szCs w:val="20"/>
          <w:lang w:eastAsia="es-ES"/>
        </w:rPr>
        <w:t>actuaciones</w:t>
      </w:r>
      <w:r w:rsidR="00F52AE4">
        <w:rPr>
          <w:rFonts w:ascii="Bookman Old Style" w:eastAsia="Times New Roman" w:hAnsi="Bookman Old Style" w:cs="Times New Roman"/>
          <w:sz w:val="24"/>
          <w:szCs w:val="20"/>
          <w:lang w:eastAsia="es-ES"/>
        </w:rPr>
        <w:t xml:space="preserve"> en su calidad de ASIC</w:t>
      </w:r>
      <w:r w:rsidR="00E13693">
        <w:rPr>
          <w:rFonts w:ascii="Bookman Old Style" w:eastAsia="Times New Roman" w:hAnsi="Bookman Old Style" w:cs="Times New Roman"/>
          <w:sz w:val="24"/>
          <w:szCs w:val="20"/>
          <w:lang w:eastAsia="es-ES"/>
        </w:rPr>
        <w:t xml:space="preserve"> y LAC</w:t>
      </w:r>
      <w:r w:rsidR="002A1AA3">
        <w:rPr>
          <w:rFonts w:ascii="Bookman Old Style" w:eastAsia="Times New Roman" w:hAnsi="Bookman Old Style" w:cs="Times New Roman"/>
          <w:sz w:val="24"/>
          <w:szCs w:val="20"/>
          <w:lang w:eastAsia="es-ES"/>
        </w:rPr>
        <w:t xml:space="preserve"> a efecto de no realizar el suministro de la energía pactada en los contratos cuando afirma:</w:t>
      </w:r>
    </w:p>
    <w:p w:rsidR="00E13693" w:rsidRPr="00E07CD1" w:rsidRDefault="00E13693" w:rsidP="001B59A0">
      <w:pPr>
        <w:spacing w:after="0" w:line="240" w:lineRule="auto"/>
        <w:jc w:val="both"/>
        <w:rPr>
          <w:rFonts w:ascii="Bookman Old Style" w:eastAsia="Times New Roman" w:hAnsi="Bookman Old Style" w:cs="Times New Roman"/>
          <w:sz w:val="20"/>
          <w:szCs w:val="20"/>
          <w:lang w:eastAsia="es-ES"/>
        </w:rPr>
      </w:pPr>
    </w:p>
    <w:p w:rsidR="00E13693" w:rsidRPr="00A44C13" w:rsidRDefault="00E13693" w:rsidP="00E13693">
      <w:pPr>
        <w:spacing w:after="0" w:line="240" w:lineRule="auto"/>
        <w:ind w:left="284" w:right="284"/>
        <w:jc w:val="both"/>
        <w:rPr>
          <w:rFonts w:ascii="Bookman Old Style" w:eastAsia="Times New Roman" w:hAnsi="Bookman Old Style" w:cs="Times New Roman"/>
          <w:b/>
          <w:i/>
          <w:sz w:val="20"/>
          <w:szCs w:val="20"/>
          <w:u w:val="single"/>
          <w:lang w:eastAsia="es-ES"/>
        </w:rPr>
      </w:pPr>
      <w:r>
        <w:rPr>
          <w:rFonts w:ascii="Bookman Old Style" w:eastAsia="Times New Roman" w:hAnsi="Bookman Old Style" w:cs="Times New Roman"/>
          <w:i/>
          <w:sz w:val="20"/>
          <w:szCs w:val="20"/>
          <w:lang w:eastAsia="es-ES"/>
        </w:rPr>
        <w:t>“</w:t>
      </w:r>
      <w:r w:rsidRPr="00E13693">
        <w:rPr>
          <w:rFonts w:ascii="Bookman Old Style" w:eastAsia="Times New Roman" w:hAnsi="Bookman Old Style" w:cs="Times New Roman"/>
          <w:i/>
          <w:sz w:val="20"/>
          <w:szCs w:val="20"/>
          <w:lang w:eastAsia="es-ES"/>
        </w:rPr>
        <w:t xml:space="preserve">Así las cosas, antes de la expedición de la resolución CREG No 038, no existía la norma que limitara o prohibiera el pacto en los contratos que conllevara la suspensión del suministro por el incumplimiento de las partes y mucho menos de la regulación, </w:t>
      </w:r>
      <w:r w:rsidRPr="00A44C13">
        <w:rPr>
          <w:rFonts w:ascii="Bookman Old Style" w:eastAsia="Times New Roman" w:hAnsi="Bookman Old Style" w:cs="Times New Roman"/>
          <w:b/>
          <w:i/>
          <w:sz w:val="20"/>
          <w:szCs w:val="20"/>
          <w:u w:val="single"/>
          <w:lang w:eastAsia="es-ES"/>
        </w:rPr>
        <w:t xml:space="preserve">que impidiera o prohibiera a XM ejecutar las solicitudes que en este sentido le </w:t>
      </w:r>
      <w:r w:rsidRPr="00A44C13">
        <w:rPr>
          <w:rFonts w:ascii="Bookman Old Style" w:eastAsia="Times New Roman" w:hAnsi="Bookman Old Style" w:cs="Times New Roman"/>
          <w:b/>
          <w:i/>
          <w:sz w:val="20"/>
          <w:szCs w:val="20"/>
          <w:u w:val="single"/>
          <w:lang w:eastAsia="es-ES"/>
        </w:rPr>
        <w:lastRenderedPageBreak/>
        <w:t>presentara una de las partes en cumplimiento de los (sic) pactado en los contratos de suministro de energía.</w:t>
      </w:r>
    </w:p>
    <w:p w:rsidR="00E13693" w:rsidRPr="00E13693" w:rsidRDefault="00E13693" w:rsidP="00E13693">
      <w:pPr>
        <w:spacing w:after="0" w:line="240" w:lineRule="auto"/>
        <w:ind w:left="284" w:right="284"/>
        <w:jc w:val="both"/>
        <w:rPr>
          <w:rFonts w:ascii="Bookman Old Style" w:eastAsia="Times New Roman" w:hAnsi="Bookman Old Style" w:cs="Times New Roman"/>
          <w:i/>
          <w:sz w:val="20"/>
          <w:szCs w:val="20"/>
          <w:lang w:eastAsia="es-ES"/>
        </w:rPr>
      </w:pPr>
    </w:p>
    <w:p w:rsidR="00E13693" w:rsidRPr="00E13693" w:rsidRDefault="00E13693" w:rsidP="00E13693">
      <w:pPr>
        <w:spacing w:after="0" w:line="240" w:lineRule="auto"/>
        <w:ind w:left="284" w:right="284"/>
        <w:jc w:val="both"/>
        <w:rPr>
          <w:rFonts w:ascii="Bookman Old Style" w:eastAsia="Times New Roman" w:hAnsi="Bookman Old Style" w:cs="Times New Roman"/>
          <w:i/>
          <w:sz w:val="20"/>
          <w:szCs w:val="20"/>
          <w:lang w:eastAsia="es-ES"/>
        </w:rPr>
      </w:pPr>
      <w:r w:rsidRPr="00E13693">
        <w:rPr>
          <w:rFonts w:ascii="Bookman Old Style" w:eastAsia="Times New Roman" w:hAnsi="Bookman Old Style" w:cs="Times New Roman"/>
          <w:b/>
          <w:i/>
          <w:sz w:val="20"/>
          <w:szCs w:val="20"/>
          <w:u w:val="single"/>
          <w:lang w:eastAsia="es-ES"/>
        </w:rPr>
        <w:t>XM, como mandatario con representación de los agentes está obligado, entre otras cosas a ejecutar las obligaciones del mandante, no solo las relacionadas con el despacho del suministro, sino las solicitudes relacionadas con la suspensión o interrupción del mismo.</w:t>
      </w:r>
      <w:r w:rsidRPr="00E13693">
        <w:rPr>
          <w:rFonts w:ascii="Bookman Old Style" w:eastAsia="Times New Roman" w:hAnsi="Bookman Old Style" w:cs="Times New Roman"/>
          <w:i/>
          <w:sz w:val="20"/>
          <w:szCs w:val="20"/>
          <w:lang w:eastAsia="es-ES"/>
        </w:rPr>
        <w:t xml:space="preserve">” </w:t>
      </w:r>
      <w:r>
        <w:rPr>
          <w:rFonts w:ascii="Bookman Old Style" w:eastAsia="Times New Roman" w:hAnsi="Bookman Old Style" w:cs="Times New Roman"/>
          <w:i/>
          <w:sz w:val="20"/>
          <w:szCs w:val="20"/>
          <w:lang w:eastAsia="es-ES"/>
        </w:rPr>
        <w:t>(Resaltado fuera de texto)</w:t>
      </w:r>
      <w:r w:rsidRPr="00E13693">
        <w:rPr>
          <w:rFonts w:ascii="Bookman Old Style" w:eastAsia="Times New Roman" w:hAnsi="Bookman Old Style" w:cs="Times New Roman"/>
          <w:i/>
          <w:sz w:val="20"/>
          <w:szCs w:val="20"/>
          <w:lang w:eastAsia="es-ES"/>
        </w:rPr>
        <w:t xml:space="preserve">  </w:t>
      </w:r>
    </w:p>
    <w:p w:rsidR="002A1AA3" w:rsidRPr="00E13693" w:rsidRDefault="002A1AA3" w:rsidP="00E13693">
      <w:pPr>
        <w:spacing w:after="0" w:line="240" w:lineRule="auto"/>
        <w:ind w:left="284" w:right="284"/>
        <w:jc w:val="both"/>
        <w:rPr>
          <w:rFonts w:ascii="Bookman Old Style" w:eastAsia="Times New Roman" w:hAnsi="Bookman Old Style" w:cs="Times New Roman"/>
          <w:i/>
          <w:sz w:val="20"/>
          <w:szCs w:val="20"/>
          <w:lang w:eastAsia="es-ES"/>
        </w:rPr>
      </w:pPr>
    </w:p>
    <w:p w:rsidR="00E13693" w:rsidRPr="00E13693" w:rsidRDefault="00E13693" w:rsidP="00E13693">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 xml:space="preserve">Contrario a esto, la Comisión ha precisado que con base en la premisa relativa a que </w:t>
      </w:r>
      <w:r w:rsidRPr="00E13693">
        <w:rPr>
          <w:rFonts w:ascii="Bookman Old Style" w:eastAsia="Times New Roman" w:hAnsi="Bookman Old Style" w:cs="Times New Roman"/>
          <w:sz w:val="24"/>
          <w:szCs w:val="20"/>
          <w:lang w:eastAsia="es-ES"/>
        </w:rPr>
        <w:t>los agentes al establecer el contenido de los con</w:t>
      </w:r>
      <w:r w:rsidR="00E07CD1">
        <w:rPr>
          <w:rFonts w:ascii="Bookman Old Style" w:eastAsia="Times New Roman" w:hAnsi="Bookman Old Style" w:cs="Times New Roman"/>
          <w:sz w:val="24"/>
          <w:szCs w:val="20"/>
          <w:lang w:eastAsia="es-ES"/>
        </w:rPr>
        <w:t>tratos</w:t>
      </w:r>
      <w:r w:rsidRPr="00E13693">
        <w:rPr>
          <w:rFonts w:ascii="Bookman Old Style" w:eastAsia="Times New Roman" w:hAnsi="Bookman Old Style" w:cs="Times New Roman"/>
          <w:sz w:val="24"/>
          <w:szCs w:val="20"/>
          <w:lang w:eastAsia="es-ES"/>
        </w:rPr>
        <w:t xml:space="preserve"> en ejercicio de</w:t>
      </w:r>
      <w:r w:rsidR="00E07CD1">
        <w:rPr>
          <w:rFonts w:ascii="Bookman Old Style" w:eastAsia="Times New Roman" w:hAnsi="Bookman Old Style" w:cs="Times New Roman"/>
          <w:sz w:val="24"/>
          <w:szCs w:val="20"/>
          <w:lang w:eastAsia="es-ES"/>
        </w:rPr>
        <w:t xml:space="preserve"> la autonomía de la voluntad, </w:t>
      </w:r>
      <w:r w:rsidR="00E07CD1" w:rsidRPr="00E13693">
        <w:rPr>
          <w:rFonts w:ascii="Bookman Old Style" w:eastAsia="Times New Roman" w:hAnsi="Bookman Old Style" w:cs="Times New Roman"/>
          <w:sz w:val="24"/>
          <w:szCs w:val="20"/>
          <w:lang w:eastAsia="es-ES"/>
        </w:rPr>
        <w:t xml:space="preserve">pueden </w:t>
      </w:r>
      <w:r w:rsidRPr="00E13693">
        <w:rPr>
          <w:rFonts w:ascii="Bookman Old Style" w:eastAsia="Times New Roman" w:hAnsi="Bookman Old Style" w:cs="Times New Roman"/>
          <w:sz w:val="24"/>
          <w:szCs w:val="20"/>
          <w:lang w:eastAsia="es-ES"/>
        </w:rPr>
        <w:t>establecer disposiciones</w:t>
      </w:r>
      <w:r w:rsidR="00E07CD1">
        <w:rPr>
          <w:rFonts w:ascii="Bookman Old Style" w:eastAsia="Times New Roman" w:hAnsi="Bookman Old Style" w:cs="Times New Roman"/>
          <w:sz w:val="24"/>
          <w:szCs w:val="20"/>
          <w:lang w:eastAsia="es-ES"/>
        </w:rPr>
        <w:t xml:space="preserve"> y obligaciones para las partes</w:t>
      </w:r>
      <w:r w:rsidRPr="00E13693">
        <w:rPr>
          <w:rFonts w:ascii="Bookman Old Style" w:eastAsia="Times New Roman" w:hAnsi="Bookman Old Style" w:cs="Times New Roman"/>
          <w:sz w:val="24"/>
          <w:szCs w:val="20"/>
          <w:lang w:eastAsia="es-ES"/>
        </w:rPr>
        <w:t xml:space="preserve"> siempre que estas sean compatibles y no v</w:t>
      </w:r>
      <w:r>
        <w:rPr>
          <w:rFonts w:ascii="Bookman Old Style" w:eastAsia="Times New Roman" w:hAnsi="Bookman Old Style" w:cs="Times New Roman"/>
          <w:sz w:val="24"/>
          <w:szCs w:val="20"/>
          <w:lang w:eastAsia="es-ES"/>
        </w:rPr>
        <w:t>ayan en contra de la regulación</w:t>
      </w:r>
      <w:r w:rsidR="00E07CD1">
        <w:rPr>
          <w:rFonts w:ascii="Bookman Old Style" w:eastAsia="Times New Roman" w:hAnsi="Bookman Old Style" w:cs="Times New Roman"/>
          <w:sz w:val="24"/>
          <w:szCs w:val="20"/>
          <w:lang w:eastAsia="es-ES"/>
        </w:rPr>
        <w:t>. Lo anterior, teniendo en cuenta que agentes</w:t>
      </w:r>
      <w:r>
        <w:rPr>
          <w:rFonts w:ascii="Bookman Old Style" w:eastAsia="Times New Roman" w:hAnsi="Bookman Old Style" w:cs="Times New Roman"/>
          <w:sz w:val="24"/>
          <w:szCs w:val="20"/>
          <w:lang w:eastAsia="es-ES"/>
        </w:rPr>
        <w:t xml:space="preserve"> dentro de sus contratos, incluyendo el mandato que</w:t>
      </w:r>
      <w:r w:rsidR="00E07CD1">
        <w:rPr>
          <w:rFonts w:ascii="Bookman Old Style" w:eastAsia="Times New Roman" w:hAnsi="Bookman Old Style" w:cs="Times New Roman"/>
          <w:sz w:val="24"/>
          <w:szCs w:val="20"/>
          <w:lang w:eastAsia="es-ES"/>
        </w:rPr>
        <w:t xml:space="preserve"> suscriben con XM, podrían</w:t>
      </w:r>
      <w:r>
        <w:rPr>
          <w:rFonts w:ascii="Bookman Old Style" w:eastAsia="Times New Roman" w:hAnsi="Bookman Old Style" w:cs="Times New Roman"/>
          <w:sz w:val="24"/>
          <w:szCs w:val="20"/>
          <w:lang w:eastAsia="es-ES"/>
        </w:rPr>
        <w:t xml:space="preserve"> incorporar </w:t>
      </w:r>
      <w:r w:rsidRPr="00E13693">
        <w:rPr>
          <w:rFonts w:ascii="Bookman Old Style" w:eastAsia="Times New Roman" w:hAnsi="Bookman Old Style" w:cs="Times New Roman"/>
          <w:sz w:val="24"/>
          <w:szCs w:val="20"/>
          <w:lang w:eastAsia="es-ES"/>
        </w:rPr>
        <w:t xml:space="preserve">obligaciones y atribuciones que tendría que ejecutar el ASIC, las cuales se encuentran por fuera </w:t>
      </w:r>
      <w:r>
        <w:rPr>
          <w:rFonts w:ascii="Bookman Old Style" w:eastAsia="Times New Roman" w:hAnsi="Bookman Old Style" w:cs="Times New Roman"/>
          <w:sz w:val="24"/>
          <w:szCs w:val="20"/>
          <w:lang w:eastAsia="es-ES"/>
        </w:rPr>
        <w:t>de la Ley y la regulación, lo cual podría conllevar a la afectación del buen funcionamiento del mercado como ocurriría en el caso concreto</w:t>
      </w:r>
      <w:r w:rsidRPr="00E13693">
        <w:rPr>
          <w:rFonts w:ascii="Bookman Old Style" w:eastAsia="Times New Roman" w:hAnsi="Bookman Old Style" w:cs="Times New Roman"/>
          <w:sz w:val="24"/>
          <w:szCs w:val="20"/>
          <w:lang w:eastAsia="es-ES"/>
        </w:rPr>
        <w:t>.</w:t>
      </w:r>
    </w:p>
    <w:p w:rsidR="00E13693" w:rsidRDefault="00E13693" w:rsidP="00E13693">
      <w:pPr>
        <w:spacing w:after="0" w:line="240" w:lineRule="auto"/>
        <w:jc w:val="both"/>
        <w:rPr>
          <w:rFonts w:ascii="Bookman Old Style" w:eastAsia="Times New Roman" w:hAnsi="Bookman Old Style" w:cs="Times New Roman"/>
          <w:sz w:val="24"/>
          <w:szCs w:val="20"/>
          <w:lang w:eastAsia="es-ES"/>
        </w:rPr>
      </w:pPr>
    </w:p>
    <w:p w:rsidR="00E13693" w:rsidRDefault="00E13693" w:rsidP="00E13693">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En concordancia con lo anterior y tal como lo precisó la Comisión en el acto administrativo impugnado:</w:t>
      </w:r>
    </w:p>
    <w:p w:rsidR="00E13693" w:rsidRPr="00E13693" w:rsidRDefault="00E13693" w:rsidP="00E13693">
      <w:pPr>
        <w:spacing w:after="0" w:line="240" w:lineRule="auto"/>
        <w:jc w:val="both"/>
        <w:rPr>
          <w:rFonts w:ascii="Bookman Old Style" w:eastAsia="Times New Roman" w:hAnsi="Bookman Old Style" w:cs="Times New Roman"/>
          <w:sz w:val="24"/>
          <w:szCs w:val="20"/>
          <w:lang w:eastAsia="es-ES"/>
        </w:rPr>
      </w:pPr>
    </w:p>
    <w:p w:rsidR="00E13693" w:rsidRPr="00E13693" w:rsidRDefault="00E13693" w:rsidP="00E13693">
      <w:pPr>
        <w:spacing w:after="0" w:line="240" w:lineRule="auto"/>
        <w:ind w:left="284" w:right="284"/>
        <w:jc w:val="both"/>
        <w:rPr>
          <w:rFonts w:ascii="Bookman Old Style" w:eastAsia="Times New Roman" w:hAnsi="Bookman Old Style" w:cs="Times New Roman"/>
          <w:i/>
          <w:sz w:val="20"/>
          <w:szCs w:val="20"/>
          <w:lang w:eastAsia="es-ES"/>
        </w:rPr>
      </w:pPr>
      <w:r>
        <w:rPr>
          <w:rFonts w:ascii="Bookman Old Style" w:eastAsia="Times New Roman" w:hAnsi="Bookman Old Style" w:cs="Times New Roman"/>
          <w:i/>
          <w:sz w:val="20"/>
          <w:szCs w:val="20"/>
          <w:lang w:eastAsia="es-ES"/>
        </w:rPr>
        <w:t>“</w:t>
      </w:r>
      <w:r w:rsidRPr="00E13693">
        <w:rPr>
          <w:rFonts w:ascii="Bookman Old Style" w:eastAsia="Times New Roman" w:hAnsi="Bookman Old Style" w:cs="Times New Roman"/>
          <w:i/>
          <w:sz w:val="20"/>
          <w:szCs w:val="20"/>
          <w:lang w:eastAsia="es-ES"/>
        </w:rPr>
        <w:t>Es así que en el contrato de mandato se pueden incluir disposiciones relativas a la obligación de informar al ASIC aquellas las modificaciones que alteren la liquidación comercial del mismo, de acuerdo con lo establecido en el artículo 5 de la Resolución CREG 006 de 2003, por lo que le existe la obligación al ASIC proceder con la modificación del registro; sin embargo, esto no se puede confundir con la posibilidad de asignarle funciones al ASIC, dentro de los contratos de mandato por parte de los agentes, tendientes a ejecutar obligaciones o establecer incumplimientos a nombre de estos.</w:t>
      </w:r>
    </w:p>
    <w:p w:rsidR="00E13693" w:rsidRPr="00E13693" w:rsidRDefault="00E13693" w:rsidP="00E13693">
      <w:pPr>
        <w:spacing w:after="0" w:line="240" w:lineRule="auto"/>
        <w:ind w:left="284" w:right="284"/>
        <w:jc w:val="both"/>
        <w:rPr>
          <w:rFonts w:ascii="Bookman Old Style" w:eastAsia="Times New Roman" w:hAnsi="Bookman Old Style" w:cs="Times New Roman"/>
          <w:i/>
          <w:sz w:val="20"/>
          <w:szCs w:val="20"/>
          <w:lang w:eastAsia="es-ES"/>
        </w:rPr>
      </w:pPr>
    </w:p>
    <w:p w:rsidR="00E13693" w:rsidRPr="00E13693" w:rsidRDefault="00E13693" w:rsidP="00E13693">
      <w:pPr>
        <w:spacing w:after="0" w:line="240" w:lineRule="auto"/>
        <w:ind w:left="284" w:right="284"/>
        <w:jc w:val="both"/>
        <w:rPr>
          <w:rFonts w:ascii="Bookman Old Style" w:eastAsia="Times New Roman" w:hAnsi="Bookman Old Style" w:cs="Times New Roman"/>
          <w:i/>
          <w:sz w:val="20"/>
          <w:szCs w:val="20"/>
          <w:lang w:eastAsia="es-ES"/>
        </w:rPr>
      </w:pPr>
      <w:r w:rsidRPr="00E13693">
        <w:rPr>
          <w:rFonts w:ascii="Bookman Old Style" w:eastAsia="Times New Roman" w:hAnsi="Bookman Old Style" w:cs="Times New Roman"/>
          <w:i/>
          <w:sz w:val="20"/>
          <w:szCs w:val="20"/>
          <w:lang w:eastAsia="es-ES"/>
        </w:rPr>
        <w:t>Igualmente, se genera la posibilidad de que los agentes al solicitar la aplicación de esta atribución, puedan dar instrucciones encontradas que pueden afectar el buen funcionamiento del mercado. Esto, en la medida que desequilibra la actuación formal, imparcial y objetiva que realiza el ASIC dentro de las transacciones de energía en el Mercado de Energía Mayorista, las cuales para el caso concreto se relacionan únicamente con la inscripción, el registro de las contratos a largo plazo, la información necesaria para el registro y despacho de los contratos, del monitoreo de estas operaciones y en general del buen funcionamiento del Sistema de Intercambios Comerciales, asignándole funciones en representación de los agentes para verificar incumplimientos o ejecutar disposiciones y obligaciones de las partes en los contratos a largo plazo.</w:t>
      </w:r>
      <w:r>
        <w:rPr>
          <w:rFonts w:ascii="Bookman Old Style" w:eastAsia="Times New Roman" w:hAnsi="Bookman Old Style" w:cs="Times New Roman"/>
          <w:i/>
          <w:sz w:val="20"/>
          <w:szCs w:val="20"/>
          <w:lang w:eastAsia="es-ES"/>
        </w:rPr>
        <w:t>”</w:t>
      </w:r>
    </w:p>
    <w:p w:rsidR="00E13693" w:rsidRDefault="00E13693" w:rsidP="001B59A0">
      <w:pPr>
        <w:spacing w:after="0" w:line="240" w:lineRule="auto"/>
        <w:jc w:val="both"/>
        <w:rPr>
          <w:rFonts w:ascii="Bookman Old Style" w:eastAsia="Times New Roman" w:hAnsi="Bookman Old Style" w:cs="Times New Roman"/>
          <w:sz w:val="24"/>
          <w:szCs w:val="20"/>
          <w:lang w:eastAsia="es-ES"/>
        </w:rPr>
      </w:pPr>
    </w:p>
    <w:p w:rsidR="00E13693" w:rsidRDefault="00E13693" w:rsidP="001B59A0">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t xml:space="preserve">De acuerdo con lo anteriormente expuesto, los argumentos expuestos por la recurrente no son de recibo a efectos de revocar la decisión adoptada mediante la Resolución CREG 071 de 2013, ya que los mismos están dirigidos a dar prevalencia a la aplicación del derecho privado </w:t>
      </w:r>
      <w:r w:rsidR="00A44C13">
        <w:rPr>
          <w:rFonts w:ascii="Bookman Old Style" w:eastAsia="Times New Roman" w:hAnsi="Bookman Old Style" w:cs="Times New Roman"/>
          <w:sz w:val="24"/>
          <w:szCs w:val="20"/>
          <w:lang w:eastAsia="es-ES"/>
        </w:rPr>
        <w:t>en el caso concreto, desconociendo el alcance de las funciones y el límite al cual se sujetan las actuaciones que desarrolla XM en ejercicio de sus funciones de CND, ASIC y LAC, razón por la cual, la aplicación del derecho privado y en particular el desarrollo del principio de la autonomía de la voluntad entre los contratos que celebran los agentes, así como del mandato que ejecuta XM dentro del Mercado de Energía Mayorista deben ser compatibles con lo previsto en la regulación y no lleve a la afectación del buen funcionamiento del mercado.</w:t>
      </w:r>
    </w:p>
    <w:p w:rsidR="00A44C13" w:rsidRDefault="00A44C13" w:rsidP="001B59A0">
      <w:pPr>
        <w:spacing w:after="0" w:line="240" w:lineRule="auto"/>
        <w:jc w:val="both"/>
        <w:rPr>
          <w:rFonts w:ascii="Bookman Old Style" w:eastAsia="Times New Roman" w:hAnsi="Bookman Old Style" w:cs="Times New Roman"/>
          <w:sz w:val="24"/>
          <w:szCs w:val="20"/>
          <w:lang w:eastAsia="es-ES"/>
        </w:rPr>
      </w:pPr>
    </w:p>
    <w:p w:rsidR="00A44C13" w:rsidRDefault="00A44C13" w:rsidP="001B59A0">
      <w:pPr>
        <w:spacing w:after="0" w:line="240" w:lineRule="auto"/>
        <w:jc w:val="both"/>
        <w:rPr>
          <w:rFonts w:ascii="Bookman Old Style" w:eastAsia="Times New Roman" w:hAnsi="Bookman Old Style" w:cs="Times New Roman"/>
          <w:sz w:val="24"/>
          <w:szCs w:val="20"/>
          <w:lang w:eastAsia="es-ES"/>
        </w:rPr>
      </w:pPr>
      <w:r>
        <w:rPr>
          <w:rFonts w:ascii="Bookman Old Style" w:eastAsia="Times New Roman" w:hAnsi="Bookman Old Style" w:cs="Times New Roman"/>
          <w:sz w:val="24"/>
          <w:szCs w:val="20"/>
          <w:lang w:eastAsia="es-ES"/>
        </w:rPr>
        <w:lastRenderedPageBreak/>
        <w:t>Es por esto que la Comisión refirma la conclusión expuesta dentro de la Resolución CREG 071 de 2013 en virtud de las consideraciones allí expuestas en las cuales se expuso:</w:t>
      </w:r>
    </w:p>
    <w:p w:rsidR="00037D4D" w:rsidRPr="00507373" w:rsidRDefault="00037D4D" w:rsidP="00037D4D">
      <w:pPr>
        <w:spacing w:after="0" w:line="240" w:lineRule="auto"/>
        <w:jc w:val="both"/>
        <w:rPr>
          <w:rFonts w:ascii="Bookman Old Style" w:eastAsia="Times New Roman" w:hAnsi="Bookman Old Style" w:cs="Times New Roman"/>
          <w:sz w:val="20"/>
          <w:szCs w:val="24"/>
          <w:lang w:val="es-ES" w:eastAsia="es-ES"/>
        </w:rPr>
      </w:pPr>
    </w:p>
    <w:p w:rsidR="00037D4D" w:rsidRPr="00A44C13" w:rsidRDefault="00A44C13" w:rsidP="00A44C13">
      <w:pPr>
        <w:spacing w:after="0" w:line="240" w:lineRule="auto"/>
        <w:ind w:left="284" w:right="284"/>
        <w:jc w:val="both"/>
        <w:rPr>
          <w:rFonts w:ascii="Bookman Old Style" w:eastAsia="Times New Roman" w:hAnsi="Bookman Old Style" w:cs="Times New Roman"/>
          <w:i/>
          <w:sz w:val="20"/>
          <w:szCs w:val="20"/>
          <w:lang w:val="es-ES" w:eastAsia="es-ES"/>
        </w:rPr>
      </w:pPr>
      <w:r>
        <w:rPr>
          <w:rFonts w:ascii="Bookman Old Style" w:eastAsia="Times New Roman" w:hAnsi="Bookman Old Style" w:cs="Times New Roman"/>
          <w:i/>
          <w:sz w:val="20"/>
          <w:szCs w:val="20"/>
          <w:lang w:val="es-ES" w:eastAsia="es-ES"/>
        </w:rPr>
        <w:t>“</w:t>
      </w:r>
      <w:r w:rsidR="00037D4D" w:rsidRPr="00A44C13">
        <w:rPr>
          <w:rFonts w:ascii="Bookman Old Style" w:eastAsia="Times New Roman" w:hAnsi="Bookman Old Style" w:cs="Times New Roman"/>
          <w:i/>
          <w:sz w:val="20"/>
          <w:szCs w:val="20"/>
          <w:lang w:val="es-ES" w:eastAsia="es-ES"/>
        </w:rPr>
        <w:t xml:space="preserve">De lo anterior se concluye, que los agentes deben tener en cuenta al momento de establecer el contenido de los contratos de energía a largo plazo, aquellas circunstancias que están previstas por la regulación en relación con su determinación, así como de la naturaleza de las funciones y los límites de aquellas personas que actúan dentro del Mercado de Energía Mayorista, en especial el ASIC, debido a que la autonomía de la voluntad que ellos despliegan, se encuentra sujeto a </w:t>
      </w:r>
      <w:r w:rsidR="002C3065" w:rsidRPr="00A44C13">
        <w:rPr>
          <w:rFonts w:ascii="Bookman Old Style" w:eastAsia="Times New Roman" w:hAnsi="Bookman Old Style" w:cs="Times New Roman"/>
          <w:i/>
          <w:sz w:val="20"/>
          <w:szCs w:val="20"/>
          <w:lang w:val="es-ES" w:eastAsia="es-ES"/>
        </w:rPr>
        <w:t>la compatibilidad con las disposiciones establecidas en la Ley 143 de 1994 y</w:t>
      </w:r>
      <w:r w:rsidR="00037D4D" w:rsidRPr="00A44C13">
        <w:rPr>
          <w:rFonts w:ascii="Bookman Old Style" w:eastAsia="Times New Roman" w:hAnsi="Bookman Old Style" w:cs="Times New Roman"/>
          <w:i/>
          <w:sz w:val="20"/>
          <w:szCs w:val="20"/>
          <w:lang w:val="es-ES" w:eastAsia="es-ES"/>
        </w:rPr>
        <w:t xml:space="preserve"> </w:t>
      </w:r>
      <w:r w:rsidR="002C3065" w:rsidRPr="00A44C13">
        <w:rPr>
          <w:rFonts w:ascii="Bookman Old Style" w:eastAsia="Times New Roman" w:hAnsi="Bookman Old Style" w:cs="Times New Roman"/>
          <w:i/>
          <w:sz w:val="20"/>
          <w:szCs w:val="20"/>
          <w:lang w:val="es-ES" w:eastAsia="es-ES"/>
        </w:rPr>
        <w:t>en la regulación, así como en el contenido de los contratos de mandato, los cuales se encuentran estrechamente ligados al contenido de la regulación.</w:t>
      </w:r>
    </w:p>
    <w:p w:rsidR="00037D4D" w:rsidRPr="00A44C13" w:rsidRDefault="00037D4D" w:rsidP="00A44C13">
      <w:pPr>
        <w:spacing w:after="0" w:line="240" w:lineRule="auto"/>
        <w:ind w:left="284" w:right="284"/>
        <w:jc w:val="both"/>
        <w:rPr>
          <w:rFonts w:ascii="Bookman Old Style" w:eastAsia="Times New Roman" w:hAnsi="Bookman Old Style" w:cs="Times New Roman"/>
          <w:i/>
          <w:sz w:val="20"/>
          <w:szCs w:val="20"/>
          <w:lang w:val="es-ES" w:eastAsia="es-ES"/>
        </w:rPr>
      </w:pPr>
    </w:p>
    <w:p w:rsidR="00037D4D" w:rsidRPr="00A44C13" w:rsidRDefault="00037D4D" w:rsidP="00A44C13">
      <w:pPr>
        <w:spacing w:after="0" w:line="240" w:lineRule="auto"/>
        <w:ind w:left="284" w:right="284"/>
        <w:jc w:val="both"/>
        <w:rPr>
          <w:rFonts w:ascii="Bookman Old Style" w:eastAsia="Times New Roman" w:hAnsi="Bookman Old Style" w:cs="Times New Roman"/>
          <w:i/>
          <w:sz w:val="20"/>
          <w:szCs w:val="20"/>
          <w:lang w:val="es-ES" w:eastAsia="es-ES"/>
        </w:rPr>
      </w:pPr>
      <w:r w:rsidRPr="00A44C13">
        <w:rPr>
          <w:rFonts w:ascii="Bookman Old Style" w:eastAsia="Times New Roman" w:hAnsi="Bookman Old Style" w:cs="Times New Roman"/>
          <w:i/>
          <w:sz w:val="20"/>
          <w:szCs w:val="20"/>
          <w:lang w:val="es-ES" w:eastAsia="es-ES"/>
        </w:rPr>
        <w:t>En virtud de lo anterior, se establece la incompatibilidad que existe</w:t>
      </w:r>
      <w:r w:rsidR="002C3065" w:rsidRPr="00A44C13">
        <w:rPr>
          <w:rFonts w:ascii="Bookman Old Style" w:eastAsia="Times New Roman" w:hAnsi="Bookman Old Style" w:cs="Times New Roman"/>
          <w:i/>
          <w:sz w:val="20"/>
          <w:szCs w:val="20"/>
          <w:lang w:val="es-ES" w:eastAsia="es-ES"/>
        </w:rPr>
        <w:t xml:space="preserve"> para el </w:t>
      </w:r>
      <w:r w:rsidR="008F662E" w:rsidRPr="00A44C13">
        <w:rPr>
          <w:rFonts w:ascii="Bookman Old Style" w:eastAsia="Times New Roman" w:hAnsi="Bookman Old Style" w:cs="Times New Roman"/>
          <w:i/>
          <w:sz w:val="20"/>
          <w:szCs w:val="20"/>
          <w:lang w:val="es-ES" w:eastAsia="es-ES"/>
        </w:rPr>
        <w:t>m</w:t>
      </w:r>
      <w:r w:rsidR="002C3065" w:rsidRPr="00A44C13">
        <w:rPr>
          <w:rFonts w:ascii="Bookman Old Style" w:eastAsia="Times New Roman" w:hAnsi="Bookman Old Style" w:cs="Times New Roman"/>
          <w:i/>
          <w:sz w:val="20"/>
          <w:szCs w:val="20"/>
          <w:lang w:val="es-ES" w:eastAsia="es-ES"/>
        </w:rPr>
        <w:t xml:space="preserve">omento en que se suscita el presente conflicto </w:t>
      </w:r>
      <w:r w:rsidRPr="00A44C13">
        <w:rPr>
          <w:rFonts w:ascii="Bookman Old Style" w:eastAsia="Times New Roman" w:hAnsi="Bookman Old Style" w:cs="Times New Roman"/>
          <w:i/>
          <w:sz w:val="20"/>
          <w:szCs w:val="20"/>
          <w:lang w:val="es-ES" w:eastAsia="es-ES"/>
        </w:rPr>
        <w:t xml:space="preserve">entre la solicitud de suspensión unilateral de los contratos de energía a largo plazo pactada por parte de los agentes en ejercicio </w:t>
      </w:r>
      <w:r w:rsidR="005C0CE5">
        <w:rPr>
          <w:rFonts w:ascii="Bookman Old Style" w:eastAsia="Times New Roman" w:hAnsi="Bookman Old Style" w:cs="Times New Roman"/>
          <w:i/>
          <w:sz w:val="20"/>
          <w:szCs w:val="20"/>
          <w:lang w:val="es-ES" w:eastAsia="es-ES"/>
        </w:rPr>
        <w:t>de su autonomía de la voluntad,</w:t>
      </w:r>
      <w:r w:rsidRPr="00A44C13">
        <w:rPr>
          <w:rFonts w:ascii="Bookman Old Style" w:eastAsia="Times New Roman" w:hAnsi="Bookman Old Style" w:cs="Times New Roman"/>
          <w:i/>
          <w:sz w:val="20"/>
          <w:szCs w:val="20"/>
          <w:lang w:val="es-ES" w:eastAsia="es-ES"/>
        </w:rPr>
        <w:t xml:space="preserve"> la regulación expedida por esta Comisión del Mercado de Energía Mayorista</w:t>
      </w:r>
      <w:r w:rsidR="002C3065" w:rsidRPr="00A44C13">
        <w:rPr>
          <w:rFonts w:ascii="Bookman Old Style" w:eastAsia="Times New Roman" w:hAnsi="Bookman Old Style" w:cs="Times New Roman"/>
          <w:i/>
          <w:sz w:val="20"/>
          <w:szCs w:val="20"/>
          <w:lang w:val="es-ES" w:eastAsia="es-ES"/>
        </w:rPr>
        <w:t>, así como del contenido del contrato de mandato</w:t>
      </w:r>
      <w:r w:rsidR="00A44C13">
        <w:rPr>
          <w:rFonts w:ascii="Bookman Old Style" w:eastAsia="Times New Roman" w:hAnsi="Bookman Old Style" w:cs="Times New Roman"/>
          <w:i/>
          <w:sz w:val="20"/>
          <w:szCs w:val="20"/>
          <w:lang w:val="es-ES" w:eastAsia="es-ES"/>
        </w:rPr>
        <w:t>”</w:t>
      </w:r>
      <w:r w:rsidR="002C3065" w:rsidRPr="00A44C13">
        <w:rPr>
          <w:rFonts w:ascii="Bookman Old Style" w:eastAsia="Times New Roman" w:hAnsi="Bookman Old Style" w:cs="Times New Roman"/>
          <w:i/>
          <w:sz w:val="20"/>
          <w:szCs w:val="20"/>
          <w:lang w:val="es-ES" w:eastAsia="es-ES"/>
        </w:rPr>
        <w:t>.</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La Comisión de Regulación de Energía y Gas, en su sesión No. </w:t>
      </w:r>
      <w:r w:rsidR="00A37A02">
        <w:rPr>
          <w:rFonts w:ascii="Bookman Old Style" w:eastAsia="Times New Roman" w:hAnsi="Bookman Old Style" w:cs="Times New Roman"/>
          <w:sz w:val="24"/>
          <w:szCs w:val="24"/>
          <w:lang w:val="es-ES" w:eastAsia="es-ES"/>
        </w:rPr>
        <w:t xml:space="preserve">591 </w:t>
      </w:r>
      <w:r w:rsidRPr="00037D4D">
        <w:rPr>
          <w:rFonts w:ascii="Bookman Old Style" w:eastAsia="Times New Roman" w:hAnsi="Bookman Old Style" w:cs="Times New Roman"/>
          <w:sz w:val="24"/>
          <w:szCs w:val="24"/>
          <w:lang w:val="es-ES" w:eastAsia="es-ES"/>
        </w:rPr>
        <w:t>de</w:t>
      </w:r>
      <w:r w:rsidR="00A37A02">
        <w:rPr>
          <w:rFonts w:ascii="Bookman Old Style" w:eastAsia="Times New Roman" w:hAnsi="Bookman Old Style" w:cs="Times New Roman"/>
          <w:sz w:val="24"/>
          <w:szCs w:val="24"/>
          <w:lang w:val="es-ES" w:eastAsia="es-ES"/>
        </w:rPr>
        <w:t xml:space="preserve">l 7 de </w:t>
      </w:r>
      <w:r w:rsidRPr="00037D4D">
        <w:rPr>
          <w:rFonts w:ascii="Bookman Old Style" w:eastAsia="Times New Roman" w:hAnsi="Bookman Old Style" w:cs="Times New Roman"/>
          <w:sz w:val="24"/>
          <w:szCs w:val="24"/>
          <w:lang w:val="es-ES" w:eastAsia="es-ES"/>
        </w:rPr>
        <w:t xml:space="preserve"> </w:t>
      </w:r>
      <w:r w:rsidR="00A44C13">
        <w:rPr>
          <w:rFonts w:ascii="Bookman Old Style" w:eastAsia="Times New Roman" w:hAnsi="Bookman Old Style" w:cs="Times New Roman"/>
          <w:sz w:val="24"/>
          <w:szCs w:val="24"/>
          <w:lang w:val="es-ES" w:eastAsia="es-ES"/>
        </w:rPr>
        <w:t>febrero de 2014</w:t>
      </w:r>
      <w:r w:rsidRPr="00037D4D">
        <w:rPr>
          <w:rFonts w:ascii="Bookman Old Style" w:eastAsia="Times New Roman" w:hAnsi="Bookman Old Style" w:cs="Times New Roman"/>
          <w:sz w:val="24"/>
          <w:szCs w:val="24"/>
          <w:lang w:val="es-ES" w:eastAsia="es-ES"/>
        </w:rPr>
        <w:t>, acordó expedir la presente Resolución</w:t>
      </w:r>
      <w:r w:rsidR="00A44C13">
        <w:rPr>
          <w:rFonts w:ascii="Bookman Old Style" w:eastAsia="Times New Roman" w:hAnsi="Bookman Old Style" w:cs="Times New Roman"/>
          <w:sz w:val="24"/>
          <w:szCs w:val="24"/>
          <w:lang w:val="es-ES" w:eastAsia="es-ES"/>
        </w:rPr>
        <w:t xml:space="preserve"> mediante la cual se resuelve un recurso de reposición interpuesto en contra de la Resolución CREG 071 de 2013</w:t>
      </w:r>
      <w:r w:rsidRPr="00037D4D">
        <w:rPr>
          <w:rFonts w:ascii="Bookman Old Style" w:eastAsia="Times New Roman" w:hAnsi="Bookman Old Style" w:cs="Times New Roman"/>
          <w:sz w:val="24"/>
          <w:szCs w:val="24"/>
          <w:lang w:val="es-ES" w:eastAsia="es-ES"/>
        </w:rPr>
        <w:t>;</w:t>
      </w:r>
    </w:p>
    <w:p w:rsidR="00A37A02" w:rsidRPr="00037D4D" w:rsidRDefault="00A37A02" w:rsidP="00037D4D">
      <w:pPr>
        <w:spacing w:after="0" w:line="240" w:lineRule="auto"/>
        <w:jc w:val="both"/>
        <w:rPr>
          <w:rFonts w:ascii="Bookman Old Style" w:eastAsia="Times New Roman" w:hAnsi="Bookman Old Style" w:cs="Times New Roman"/>
          <w:sz w:val="24"/>
          <w:szCs w:val="24"/>
          <w:lang w:val="es-ES" w:eastAsia="es-ES"/>
        </w:rPr>
      </w:pPr>
    </w:p>
    <w:p w:rsidR="00037D4D" w:rsidRPr="005C0CE5" w:rsidRDefault="00037D4D" w:rsidP="00037D4D">
      <w:pPr>
        <w:spacing w:after="0" w:line="240" w:lineRule="auto"/>
        <w:jc w:val="both"/>
        <w:rPr>
          <w:rFonts w:ascii="Bookman Old Style" w:eastAsia="Times New Roman" w:hAnsi="Bookman Old Style" w:cs="Times New Roman"/>
          <w:b/>
          <w:sz w:val="10"/>
          <w:szCs w:val="24"/>
          <w:lang w:val="es-ES" w:eastAsia="es-ES"/>
        </w:rPr>
      </w:pPr>
    </w:p>
    <w:p w:rsidR="00037D4D" w:rsidRPr="00037D4D" w:rsidRDefault="00037D4D" w:rsidP="00037D4D">
      <w:pPr>
        <w:spacing w:after="0" w:line="240" w:lineRule="auto"/>
        <w:ind w:left="567"/>
        <w:jc w:val="center"/>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R E</w:t>
      </w:r>
      <w:r w:rsidRPr="00037D4D">
        <w:rPr>
          <w:rFonts w:ascii="Bookman Old Style" w:eastAsia="Times New Roman" w:hAnsi="Bookman Old Style" w:cs="Times New Roman"/>
          <w:sz w:val="24"/>
          <w:szCs w:val="24"/>
          <w:lang w:val="es-ES" w:eastAsia="es-ES"/>
        </w:rPr>
        <w:t xml:space="preserve"> </w:t>
      </w:r>
      <w:r w:rsidRPr="00037D4D">
        <w:rPr>
          <w:rFonts w:ascii="Bookman Old Style" w:eastAsia="Times New Roman" w:hAnsi="Bookman Old Style" w:cs="Times New Roman"/>
          <w:b/>
          <w:sz w:val="24"/>
          <w:szCs w:val="24"/>
          <w:lang w:val="es-ES" w:eastAsia="es-ES"/>
        </w:rPr>
        <w:t>S U E L V E:</w:t>
      </w:r>
    </w:p>
    <w:p w:rsidR="00037D4D" w:rsidRPr="00037D4D" w:rsidRDefault="00037D4D" w:rsidP="00037D4D">
      <w:pPr>
        <w:spacing w:after="0" w:line="240" w:lineRule="auto"/>
        <w:ind w:left="567"/>
        <w:jc w:val="center"/>
        <w:rPr>
          <w:rFonts w:ascii="Bookman Old Style" w:eastAsia="Times New Roman" w:hAnsi="Bookman Old Style" w:cs="Times New Roman"/>
          <w:b/>
          <w:sz w:val="6"/>
          <w:szCs w:val="24"/>
          <w:lang w:val="es-ES" w:eastAsia="es-ES"/>
        </w:rPr>
      </w:pPr>
    </w:p>
    <w:p w:rsidR="00037D4D" w:rsidRPr="00037D4D" w:rsidRDefault="00037D4D" w:rsidP="00037D4D">
      <w:pPr>
        <w:spacing w:after="0" w:line="240" w:lineRule="auto"/>
        <w:ind w:left="567"/>
        <w:jc w:val="center"/>
        <w:rPr>
          <w:rFonts w:ascii="Bookman Old Style" w:eastAsia="Times New Roman" w:hAnsi="Bookman Old Style" w:cs="Times New Roman"/>
          <w:b/>
          <w:sz w:val="6"/>
          <w:szCs w:val="24"/>
          <w:lang w:val="es-ES" w:eastAsia="es-ES"/>
        </w:rPr>
      </w:pPr>
    </w:p>
    <w:p w:rsidR="00A37A02" w:rsidRPr="005C0CE5" w:rsidRDefault="00A37A02" w:rsidP="00A44C13">
      <w:pPr>
        <w:spacing w:after="0" w:line="240" w:lineRule="auto"/>
        <w:jc w:val="both"/>
        <w:rPr>
          <w:rFonts w:ascii="Bookman Old Style" w:eastAsia="Times New Roman" w:hAnsi="Bookman Old Style" w:cs="Times New Roman"/>
          <w:b/>
          <w:sz w:val="20"/>
          <w:szCs w:val="24"/>
          <w:lang w:val="es-ES" w:eastAsia="es-ES"/>
        </w:rPr>
      </w:pPr>
    </w:p>
    <w:p w:rsidR="00037D4D" w:rsidRPr="00037D4D" w:rsidRDefault="00A37A02" w:rsidP="00A44C13">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b/>
          <w:sz w:val="24"/>
          <w:szCs w:val="24"/>
          <w:lang w:val="es-ES" w:eastAsia="es-ES"/>
        </w:rPr>
        <w:t>Artículo 1º.</w:t>
      </w:r>
      <w:r>
        <w:rPr>
          <w:rFonts w:ascii="Bookman Old Style" w:eastAsia="Times New Roman" w:hAnsi="Bookman Old Style" w:cs="Times New Roman"/>
          <w:b/>
          <w:sz w:val="24"/>
          <w:szCs w:val="24"/>
          <w:lang w:val="es-ES" w:eastAsia="es-ES"/>
        </w:rPr>
        <w:tab/>
      </w:r>
      <w:r w:rsidR="00475021">
        <w:rPr>
          <w:rFonts w:ascii="Bookman Old Style" w:eastAsia="Times New Roman" w:hAnsi="Bookman Old Style" w:cs="Times New Roman"/>
          <w:sz w:val="24"/>
          <w:szCs w:val="24"/>
          <w:lang w:val="es-ES" w:eastAsia="es-ES"/>
        </w:rPr>
        <w:t>No Reponer</w:t>
      </w:r>
      <w:r w:rsidR="00A44C13">
        <w:rPr>
          <w:rFonts w:ascii="Bookman Old Style" w:eastAsia="Times New Roman" w:hAnsi="Bookman Old Style" w:cs="Times New Roman"/>
          <w:sz w:val="24"/>
          <w:szCs w:val="24"/>
          <w:lang w:val="es-ES" w:eastAsia="es-ES"/>
        </w:rPr>
        <w:t xml:space="preserve"> la Resolución CREG 071 de 2013 “</w:t>
      </w:r>
      <w:r w:rsidR="00A44C13" w:rsidRPr="00A44C13">
        <w:rPr>
          <w:rFonts w:ascii="Bookman Old Style" w:eastAsia="Times New Roman" w:hAnsi="Bookman Old Style" w:cs="Times New Roman"/>
          <w:sz w:val="24"/>
          <w:szCs w:val="24"/>
          <w:lang w:val="es-ES" w:eastAsia="es-ES"/>
        </w:rPr>
        <w:t>Por la cual se resuelve una petición presentada por XM –S.A. E.S.P. en su condición de Entidad encargada de la administración del sistema de intercambios comerciales – ASIC-, para la resolución de un conflicto ocasionado por diferencia de interpretación de la regulación con EMGESA S.A. E.S.P., respecto del contrato EMG-OM-004-07, suscrito por esta empresa y Asociados de Recursos Mercantiles AREMARI S.A. E.S.P</w:t>
      </w:r>
      <w:r w:rsidR="00A44C13">
        <w:rPr>
          <w:rFonts w:ascii="Bookman Old Style" w:eastAsia="Times New Roman" w:hAnsi="Bookman Old Style" w:cs="Times New Roman"/>
          <w:sz w:val="24"/>
          <w:szCs w:val="24"/>
          <w:lang w:val="es-ES" w:eastAsia="es-ES"/>
        </w:rPr>
        <w:t>”</w:t>
      </w:r>
      <w:r w:rsidR="00A44C13" w:rsidRPr="00A44C13">
        <w:rPr>
          <w:rFonts w:ascii="Bookman Old Style" w:eastAsia="Times New Roman" w:hAnsi="Bookman Old Style" w:cs="Times New Roman"/>
          <w:sz w:val="24"/>
          <w:szCs w:val="24"/>
          <w:lang w:val="es-ES" w:eastAsia="es-ES"/>
        </w:rPr>
        <w:t>.</w:t>
      </w:r>
      <w:r w:rsidR="00A44C13">
        <w:rPr>
          <w:rFonts w:ascii="Bookman Old Style" w:eastAsia="Times New Roman" w:hAnsi="Bookman Old Style" w:cs="Times New Roman"/>
          <w:sz w:val="24"/>
          <w:szCs w:val="24"/>
          <w:lang w:val="es-ES" w:eastAsia="es-ES"/>
        </w:rPr>
        <w:t xml:space="preserve"> </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br/>
      </w:r>
      <w:r w:rsidR="00A37A02">
        <w:rPr>
          <w:rFonts w:ascii="Bookman Old Style" w:eastAsia="Times New Roman" w:hAnsi="Bookman Old Style" w:cs="Times New Roman"/>
          <w:b/>
          <w:sz w:val="24"/>
          <w:szCs w:val="24"/>
          <w:lang w:val="es-ES" w:eastAsia="es-ES"/>
        </w:rPr>
        <w:t>Artículo 2º.</w:t>
      </w:r>
      <w:r w:rsidR="00A37A02">
        <w:rPr>
          <w:rFonts w:ascii="Bookman Old Style" w:eastAsia="Times New Roman" w:hAnsi="Bookman Old Style" w:cs="Times New Roman"/>
          <w:b/>
          <w:sz w:val="24"/>
          <w:szCs w:val="24"/>
          <w:lang w:val="es-ES" w:eastAsia="es-ES"/>
        </w:rPr>
        <w:tab/>
      </w:r>
      <w:r w:rsidR="00682FAA" w:rsidRPr="00682FAA">
        <w:rPr>
          <w:rFonts w:ascii="Bookman Old Style" w:eastAsia="Times New Roman" w:hAnsi="Bookman Old Style" w:cs="Times New Roman"/>
          <w:sz w:val="24"/>
          <w:szCs w:val="24"/>
          <w:lang w:val="es-ES" w:eastAsia="es-ES"/>
        </w:rPr>
        <w:t>La presente Resolución deberá notificarse a la</w:t>
      </w:r>
      <w:r w:rsidR="00682FAA">
        <w:rPr>
          <w:rFonts w:ascii="Bookman Old Style" w:eastAsia="Times New Roman" w:hAnsi="Bookman Old Style" w:cs="Times New Roman"/>
          <w:sz w:val="24"/>
          <w:szCs w:val="24"/>
          <w:lang w:val="es-ES" w:eastAsia="es-ES"/>
        </w:rPr>
        <w:t>s</w:t>
      </w:r>
      <w:r w:rsidR="00682FAA" w:rsidRPr="00682FAA">
        <w:rPr>
          <w:rFonts w:ascii="Bookman Old Style" w:eastAsia="Times New Roman" w:hAnsi="Bookman Old Style" w:cs="Times New Roman"/>
          <w:sz w:val="24"/>
          <w:szCs w:val="24"/>
          <w:lang w:val="es-ES" w:eastAsia="es-ES"/>
        </w:rPr>
        <w:t xml:space="preserve"> empresa</w:t>
      </w:r>
      <w:r w:rsidR="00682FAA">
        <w:rPr>
          <w:rFonts w:ascii="Bookman Old Style" w:eastAsia="Times New Roman" w:hAnsi="Bookman Old Style" w:cs="Times New Roman"/>
          <w:sz w:val="24"/>
          <w:szCs w:val="24"/>
          <w:lang w:val="es-ES" w:eastAsia="es-ES"/>
        </w:rPr>
        <w:t>s</w:t>
      </w:r>
      <w:r w:rsidR="00682FAA" w:rsidRPr="00682FAA">
        <w:rPr>
          <w:rFonts w:ascii="Bookman Old Style" w:eastAsia="Times New Roman" w:hAnsi="Bookman Old Style" w:cs="Times New Roman"/>
          <w:sz w:val="24"/>
          <w:szCs w:val="24"/>
          <w:lang w:val="es-ES" w:eastAsia="es-ES"/>
        </w:rPr>
        <w:t xml:space="preserve"> </w:t>
      </w:r>
      <w:r w:rsidR="00682FAA">
        <w:rPr>
          <w:rFonts w:ascii="Bookman Old Style" w:eastAsia="Times New Roman" w:hAnsi="Bookman Old Style" w:cs="Times New Roman"/>
          <w:sz w:val="24"/>
          <w:szCs w:val="24"/>
          <w:lang w:val="es-ES" w:eastAsia="es-ES"/>
        </w:rPr>
        <w:t xml:space="preserve">XM Expertos en Mercados </w:t>
      </w:r>
      <w:r w:rsidR="00682FAA" w:rsidRPr="00682FAA">
        <w:rPr>
          <w:rFonts w:ascii="Bookman Old Style" w:eastAsia="Times New Roman" w:hAnsi="Bookman Old Style" w:cs="Times New Roman"/>
          <w:sz w:val="24"/>
          <w:szCs w:val="24"/>
          <w:lang w:val="es-ES" w:eastAsia="es-ES"/>
        </w:rPr>
        <w:t>S.A. E.S.P.,</w:t>
      </w:r>
      <w:r w:rsidR="00682FAA">
        <w:rPr>
          <w:rFonts w:ascii="Bookman Old Style" w:eastAsia="Times New Roman" w:hAnsi="Bookman Old Style" w:cs="Times New Roman"/>
          <w:sz w:val="24"/>
          <w:szCs w:val="24"/>
          <w:lang w:val="es-ES" w:eastAsia="es-ES"/>
        </w:rPr>
        <w:t xml:space="preserve"> EMGESA S.A. E.S.P. y </w:t>
      </w:r>
      <w:r w:rsidR="00475021">
        <w:rPr>
          <w:rFonts w:ascii="Bookman Old Style" w:eastAsia="Times New Roman" w:hAnsi="Bookman Old Style" w:cs="Times New Roman"/>
          <w:sz w:val="24"/>
          <w:szCs w:val="24"/>
          <w:lang w:val="es-ES" w:eastAsia="es-ES"/>
        </w:rPr>
        <w:t>Asociados</w:t>
      </w:r>
      <w:r w:rsidR="00682FAA">
        <w:rPr>
          <w:rFonts w:ascii="Bookman Old Style" w:eastAsia="Times New Roman" w:hAnsi="Bookman Old Style" w:cs="Times New Roman"/>
          <w:sz w:val="24"/>
          <w:szCs w:val="24"/>
          <w:lang w:val="es-ES" w:eastAsia="es-ES"/>
        </w:rPr>
        <w:t xml:space="preserve"> de Recursos Mercantiles AREMARI S.A. E.S.P.</w:t>
      </w:r>
      <w:r w:rsidR="00682FAA" w:rsidRPr="00682FAA">
        <w:rPr>
          <w:rFonts w:ascii="Bookman Old Style" w:eastAsia="Times New Roman" w:hAnsi="Bookman Old Style" w:cs="Times New Roman"/>
          <w:sz w:val="24"/>
          <w:szCs w:val="24"/>
          <w:lang w:val="es-ES" w:eastAsia="es-ES"/>
        </w:rPr>
        <w:t xml:space="preserve"> Contra lo dispuesto en este acto </w:t>
      </w:r>
      <w:r w:rsidR="00475021">
        <w:rPr>
          <w:rFonts w:ascii="Bookman Old Style" w:eastAsia="Times New Roman" w:hAnsi="Bookman Old Style" w:cs="Times New Roman"/>
          <w:sz w:val="24"/>
          <w:szCs w:val="24"/>
          <w:lang w:val="es-ES" w:eastAsia="es-ES"/>
        </w:rPr>
        <w:t xml:space="preserve">no procede </w:t>
      </w:r>
      <w:r w:rsidR="00475021" w:rsidRPr="00475021">
        <w:rPr>
          <w:rFonts w:ascii="Bookman Old Style" w:eastAsia="Times New Roman" w:hAnsi="Bookman Old Style" w:cs="Times New Roman"/>
          <w:sz w:val="24"/>
          <w:szCs w:val="24"/>
          <w:lang w:val="es-ES" w:eastAsia="es-ES"/>
        </w:rPr>
        <w:t>recurso alguno por encontrarse agotada la vía gubernativa.</w:t>
      </w:r>
    </w:p>
    <w:p w:rsidR="00037D4D" w:rsidRDefault="00037D4D" w:rsidP="00037D4D">
      <w:pPr>
        <w:spacing w:after="0" w:line="240" w:lineRule="auto"/>
        <w:rPr>
          <w:rFonts w:ascii="Bookman Old Style" w:eastAsia="Times New Roman" w:hAnsi="Bookman Old Style" w:cs="Times New Roman"/>
          <w:sz w:val="4"/>
          <w:szCs w:val="24"/>
          <w:lang w:val="es-MX" w:eastAsia="es-ES"/>
        </w:rPr>
      </w:pPr>
    </w:p>
    <w:p w:rsidR="00A37A02" w:rsidRDefault="00A37A02" w:rsidP="00037D4D">
      <w:pPr>
        <w:spacing w:after="0" w:line="240" w:lineRule="auto"/>
        <w:rPr>
          <w:rFonts w:ascii="Bookman Old Style" w:eastAsia="Times New Roman" w:hAnsi="Bookman Old Style" w:cs="Times New Roman"/>
          <w:sz w:val="4"/>
          <w:szCs w:val="24"/>
          <w:lang w:val="es-MX" w:eastAsia="es-ES"/>
        </w:rPr>
      </w:pPr>
    </w:p>
    <w:p w:rsidR="00A37A02" w:rsidRPr="00507373" w:rsidRDefault="00A37A02" w:rsidP="00037D4D">
      <w:pPr>
        <w:spacing w:after="0" w:line="240" w:lineRule="auto"/>
        <w:rPr>
          <w:rFonts w:ascii="Bookman Old Style" w:eastAsia="Times New Roman" w:hAnsi="Bookman Old Style" w:cs="Times New Roman"/>
          <w:sz w:val="4"/>
          <w:szCs w:val="24"/>
          <w:lang w:val="es-MX" w:eastAsia="es-ES"/>
        </w:rPr>
      </w:pPr>
    </w:p>
    <w:p w:rsidR="00037D4D" w:rsidRPr="005C0CE5" w:rsidRDefault="00037D4D" w:rsidP="00037D4D">
      <w:pPr>
        <w:spacing w:after="0" w:line="240" w:lineRule="auto"/>
        <w:rPr>
          <w:rFonts w:ascii="Bookman Old Style" w:eastAsia="Times New Roman" w:hAnsi="Bookman Old Style" w:cs="Times New Roman"/>
          <w:b/>
          <w:bCs/>
          <w:sz w:val="14"/>
          <w:szCs w:val="24"/>
          <w:lang w:val="es-ES" w:eastAsia="es-ES"/>
        </w:rPr>
      </w:pPr>
    </w:p>
    <w:p w:rsidR="00A37A02" w:rsidRPr="005C0CE5" w:rsidRDefault="00A37A02" w:rsidP="00037D4D">
      <w:pPr>
        <w:spacing w:after="0" w:line="240" w:lineRule="auto"/>
        <w:rPr>
          <w:rFonts w:ascii="Bookman Old Style" w:eastAsia="Times New Roman" w:hAnsi="Bookman Old Style" w:cs="Times New Roman"/>
          <w:b/>
          <w:bCs/>
          <w:sz w:val="8"/>
          <w:szCs w:val="24"/>
          <w:lang w:val="es-ES" w:eastAsia="es-ES"/>
        </w:rPr>
      </w:pPr>
    </w:p>
    <w:p w:rsidR="00037D4D" w:rsidRPr="00037D4D" w:rsidRDefault="00037D4D" w:rsidP="00037D4D">
      <w:pPr>
        <w:spacing w:after="0" w:line="240" w:lineRule="auto"/>
        <w:jc w:val="center"/>
        <w:rPr>
          <w:rFonts w:ascii="Bookman Old Style" w:eastAsia="Times New Roman" w:hAnsi="Bookman Old Style" w:cs="Courier New"/>
          <w:b/>
          <w:bCs/>
          <w:spacing w:val="-3"/>
          <w:sz w:val="24"/>
          <w:szCs w:val="24"/>
          <w:lang w:val="es-ES" w:eastAsia="es-ES"/>
        </w:rPr>
      </w:pPr>
      <w:r w:rsidRPr="00037D4D">
        <w:rPr>
          <w:rFonts w:ascii="Bookman Old Style" w:eastAsia="Times New Roman" w:hAnsi="Bookman Old Style" w:cs="Times New Roman"/>
          <w:b/>
          <w:bCs/>
          <w:sz w:val="24"/>
          <w:szCs w:val="24"/>
          <w:lang w:val="es-ES" w:eastAsia="es-ES"/>
        </w:rPr>
        <w:t>NOTIFÍQUESE Y CÚMPLASE</w:t>
      </w:r>
    </w:p>
    <w:p w:rsidR="00037D4D" w:rsidRPr="00A37A02" w:rsidRDefault="00037D4D" w:rsidP="00037D4D">
      <w:pPr>
        <w:spacing w:after="0" w:line="240" w:lineRule="auto"/>
        <w:ind w:left="567"/>
        <w:rPr>
          <w:rFonts w:ascii="Bookman Old Style" w:eastAsia="Times New Roman" w:hAnsi="Bookman Old Style" w:cs="Arial"/>
          <w:spacing w:val="-3"/>
          <w:szCs w:val="24"/>
          <w:lang w:val="es-ES" w:eastAsia="es-ES"/>
        </w:rPr>
      </w:pPr>
    </w:p>
    <w:p w:rsidR="00037D4D" w:rsidRPr="00507373" w:rsidRDefault="00037D4D" w:rsidP="00037D4D">
      <w:pPr>
        <w:spacing w:after="0" w:line="240" w:lineRule="auto"/>
        <w:jc w:val="both"/>
        <w:rPr>
          <w:rFonts w:ascii="Bookman Old Style" w:eastAsia="Times New Roman" w:hAnsi="Bookman Old Style" w:cs="Arial"/>
          <w:spacing w:val="-3"/>
          <w:sz w:val="36"/>
          <w:szCs w:val="24"/>
          <w:lang w:val="es-ES" w:eastAsia="es-ES"/>
        </w:rPr>
      </w:pPr>
      <w:r w:rsidRPr="00037D4D">
        <w:rPr>
          <w:rFonts w:ascii="Bookman Old Style" w:eastAsia="Times New Roman" w:hAnsi="Bookman Old Style" w:cs="Arial"/>
          <w:spacing w:val="-3"/>
          <w:sz w:val="24"/>
          <w:szCs w:val="24"/>
          <w:lang w:val="es-ES" w:eastAsia="es-ES"/>
        </w:rPr>
        <w:t xml:space="preserve">Dada en </w:t>
      </w:r>
      <w:r w:rsidRPr="00037D4D">
        <w:rPr>
          <w:rFonts w:ascii="Bookman Old Style" w:eastAsia="Times New Roman" w:hAnsi="Bookman Old Style" w:cs="Times New Roman"/>
          <w:sz w:val="24"/>
          <w:szCs w:val="24"/>
          <w:lang w:val="es-ES" w:eastAsia="es-ES"/>
        </w:rPr>
        <w:t>Bogotá</w:t>
      </w:r>
      <w:r w:rsidRPr="00037D4D">
        <w:rPr>
          <w:rFonts w:ascii="Bookman Old Style" w:eastAsia="Times New Roman" w:hAnsi="Bookman Old Style" w:cs="Arial"/>
          <w:spacing w:val="-3"/>
          <w:sz w:val="24"/>
          <w:szCs w:val="24"/>
          <w:lang w:val="es-ES" w:eastAsia="es-ES"/>
        </w:rPr>
        <w:t>, D.C. a los</w:t>
      </w:r>
    </w:p>
    <w:p w:rsidR="0020006E" w:rsidRDefault="0020006E" w:rsidP="00D3312D">
      <w:pPr>
        <w:spacing w:after="0" w:line="240" w:lineRule="auto"/>
        <w:jc w:val="both"/>
        <w:rPr>
          <w:rFonts w:ascii="Bookman Old Style" w:eastAsia="Times New Roman" w:hAnsi="Bookman Old Style" w:cs="Arial"/>
          <w:color w:val="000000"/>
          <w:sz w:val="24"/>
          <w:szCs w:val="24"/>
          <w:lang w:val="es-ES" w:eastAsia="es-ES"/>
        </w:rPr>
      </w:pPr>
    </w:p>
    <w:p w:rsidR="00D66EA9" w:rsidRPr="005C0CE5" w:rsidRDefault="00D66EA9" w:rsidP="00D3312D">
      <w:pPr>
        <w:spacing w:after="0" w:line="240" w:lineRule="auto"/>
        <w:jc w:val="both"/>
        <w:rPr>
          <w:rFonts w:ascii="Bookman Old Style" w:eastAsia="Times New Roman" w:hAnsi="Bookman Old Style" w:cs="Arial"/>
          <w:color w:val="000000"/>
          <w:sz w:val="28"/>
          <w:szCs w:val="24"/>
          <w:lang w:val="es-ES" w:eastAsia="es-ES"/>
        </w:rPr>
      </w:pPr>
    </w:p>
    <w:p w:rsidR="00D66EA9" w:rsidRPr="005C0CE5" w:rsidRDefault="00D66EA9" w:rsidP="00D3312D">
      <w:pPr>
        <w:spacing w:after="0" w:line="240" w:lineRule="auto"/>
        <w:jc w:val="both"/>
        <w:rPr>
          <w:rFonts w:ascii="Bookman Old Style" w:eastAsia="Times New Roman" w:hAnsi="Bookman Old Style" w:cs="Arial"/>
          <w:color w:val="000000"/>
          <w:sz w:val="12"/>
          <w:szCs w:val="24"/>
          <w:lang w:val="es-ES" w:eastAsia="es-ES"/>
        </w:rPr>
      </w:pPr>
    </w:p>
    <w:p w:rsidR="00A37A02" w:rsidRDefault="00A37A02" w:rsidP="00D3312D">
      <w:pPr>
        <w:spacing w:after="0" w:line="240" w:lineRule="auto"/>
        <w:jc w:val="both"/>
        <w:rPr>
          <w:rFonts w:ascii="Bookman Old Style" w:eastAsia="Times New Roman" w:hAnsi="Bookman Old Style" w:cs="Arial"/>
          <w:color w:val="000000"/>
          <w:sz w:val="24"/>
          <w:szCs w:val="24"/>
          <w:lang w:val="es-ES" w:eastAsia="es-ES"/>
        </w:rPr>
      </w:pPr>
    </w:p>
    <w:tbl>
      <w:tblPr>
        <w:tblW w:w="9474" w:type="dxa"/>
        <w:jc w:val="center"/>
        <w:tblCellSpacing w:w="0" w:type="dxa"/>
        <w:tblCellMar>
          <w:left w:w="0" w:type="dxa"/>
          <w:right w:w="0" w:type="dxa"/>
        </w:tblCellMar>
        <w:tblLook w:val="04A0" w:firstRow="1" w:lastRow="0" w:firstColumn="1" w:lastColumn="0" w:noHBand="0" w:noVBand="1"/>
      </w:tblPr>
      <w:tblGrid>
        <w:gridCol w:w="4961"/>
        <w:gridCol w:w="4513"/>
      </w:tblGrid>
      <w:tr w:rsidR="00D66EA9" w:rsidTr="007F525C">
        <w:trPr>
          <w:tblCellSpacing w:w="0" w:type="dxa"/>
          <w:jc w:val="center"/>
        </w:trPr>
        <w:tc>
          <w:tcPr>
            <w:tcW w:w="4961" w:type="dxa"/>
            <w:hideMark/>
          </w:tcPr>
          <w:p w:rsidR="00D66EA9" w:rsidRPr="00D66EA9" w:rsidRDefault="00A44C13" w:rsidP="00D66EA9">
            <w:pPr>
              <w:widowControl w:val="0"/>
              <w:spacing w:after="0" w:line="240" w:lineRule="auto"/>
              <w:jc w:val="center"/>
              <w:rPr>
                <w:rFonts w:ascii="Bookman Old Style" w:hAnsi="Bookman Old Style" w:cs="Arial"/>
                <w:b/>
                <w:color w:val="000000"/>
                <w:sz w:val="24"/>
                <w:szCs w:val="24"/>
              </w:rPr>
            </w:pPr>
            <w:r>
              <w:rPr>
                <w:rFonts w:ascii="Bookman Old Style" w:hAnsi="Bookman Old Style" w:cs="Arial"/>
                <w:b/>
                <w:color w:val="000000"/>
                <w:sz w:val="24"/>
                <w:szCs w:val="24"/>
              </w:rPr>
              <w:t>ORLANDO CABRALES SEGOVIA</w:t>
            </w:r>
          </w:p>
        </w:tc>
        <w:tc>
          <w:tcPr>
            <w:tcW w:w="4513" w:type="dxa"/>
            <w:hideMark/>
          </w:tcPr>
          <w:p w:rsidR="00D66EA9" w:rsidRPr="00D66EA9" w:rsidRDefault="00D66EA9" w:rsidP="00D66EA9">
            <w:pPr>
              <w:widowControl w:val="0"/>
              <w:spacing w:after="0" w:line="240" w:lineRule="auto"/>
              <w:jc w:val="center"/>
              <w:rPr>
                <w:rFonts w:ascii="Bookman Old Style" w:hAnsi="Bookman Old Style" w:cs="Arial"/>
                <w:color w:val="000000"/>
                <w:sz w:val="24"/>
                <w:szCs w:val="24"/>
              </w:rPr>
            </w:pPr>
            <w:r w:rsidRPr="00D66EA9">
              <w:rPr>
                <w:rFonts w:ascii="Bookman Old Style" w:hAnsi="Bookman Old Style" w:cs="Arial"/>
                <w:b/>
                <w:bCs/>
                <w:color w:val="000000"/>
                <w:sz w:val="24"/>
                <w:szCs w:val="24"/>
              </w:rPr>
              <w:t>GERMÁN CASTRO FERREIRA</w:t>
            </w:r>
          </w:p>
        </w:tc>
      </w:tr>
      <w:tr w:rsidR="00D66EA9" w:rsidTr="007F525C">
        <w:trPr>
          <w:tblCellSpacing w:w="0" w:type="dxa"/>
          <w:jc w:val="center"/>
        </w:trPr>
        <w:tc>
          <w:tcPr>
            <w:tcW w:w="4961" w:type="dxa"/>
            <w:hideMark/>
          </w:tcPr>
          <w:tbl>
            <w:tblPr>
              <w:tblW w:w="0" w:type="auto"/>
              <w:tblCellMar>
                <w:left w:w="0" w:type="dxa"/>
                <w:right w:w="0" w:type="dxa"/>
              </w:tblCellMar>
              <w:tblLook w:val="04A0" w:firstRow="1" w:lastRow="0" w:firstColumn="1" w:lastColumn="0" w:noHBand="0" w:noVBand="1"/>
            </w:tblPr>
            <w:tblGrid>
              <w:gridCol w:w="4961"/>
            </w:tblGrid>
            <w:tr w:rsidR="00D66EA9" w:rsidRPr="00D66EA9" w:rsidTr="007F525C">
              <w:tc>
                <w:tcPr>
                  <w:tcW w:w="5104" w:type="dxa"/>
                  <w:hideMark/>
                </w:tcPr>
                <w:p w:rsidR="00A44C13" w:rsidRDefault="00A44C13" w:rsidP="00A44C13">
                  <w:pPr>
                    <w:snapToGrid w:val="0"/>
                    <w:spacing w:after="0" w:line="240" w:lineRule="auto"/>
                    <w:ind w:firstLine="590"/>
                    <w:jc w:val="center"/>
                    <w:rPr>
                      <w:rFonts w:ascii="Bookman Old Style" w:hAnsi="Bookman Old Style" w:cs="Arial"/>
                      <w:color w:val="000000"/>
                      <w:sz w:val="24"/>
                      <w:szCs w:val="24"/>
                    </w:rPr>
                  </w:pPr>
                  <w:r>
                    <w:rPr>
                      <w:rFonts w:ascii="Bookman Old Style" w:hAnsi="Bookman Old Style" w:cs="Arial"/>
                      <w:color w:val="000000"/>
                      <w:sz w:val="24"/>
                      <w:szCs w:val="24"/>
                    </w:rPr>
                    <w:t>Viceministro de Energía</w:t>
                  </w:r>
                </w:p>
                <w:p w:rsidR="00D66EA9" w:rsidRPr="00D66EA9" w:rsidRDefault="00A44C13" w:rsidP="00A44C13">
                  <w:pPr>
                    <w:snapToGrid w:val="0"/>
                    <w:spacing w:after="0" w:line="240" w:lineRule="auto"/>
                    <w:ind w:firstLine="590"/>
                    <w:jc w:val="center"/>
                    <w:rPr>
                      <w:rFonts w:ascii="Bookman Old Style" w:hAnsi="Bookman Old Style" w:cs="Arial"/>
                      <w:color w:val="000000"/>
                      <w:sz w:val="24"/>
                      <w:szCs w:val="24"/>
                    </w:rPr>
                  </w:pPr>
                  <w:r>
                    <w:rPr>
                      <w:rFonts w:ascii="Bookman Old Style" w:hAnsi="Bookman Old Style" w:cs="Arial"/>
                      <w:color w:val="000000"/>
                      <w:sz w:val="24"/>
                      <w:szCs w:val="24"/>
                    </w:rPr>
                    <w:t xml:space="preserve">Delegado del </w:t>
                  </w:r>
                  <w:r w:rsidR="00D66EA9" w:rsidRPr="00D66EA9">
                    <w:rPr>
                      <w:rFonts w:ascii="Bookman Old Style" w:hAnsi="Bookman Old Style" w:cs="Arial"/>
                      <w:color w:val="000000"/>
                      <w:sz w:val="24"/>
                      <w:szCs w:val="24"/>
                    </w:rPr>
                    <w:t>Ministro de Minas y Energía</w:t>
                  </w:r>
                </w:p>
              </w:tc>
            </w:tr>
            <w:tr w:rsidR="00D66EA9" w:rsidRPr="00D66EA9" w:rsidTr="007F525C">
              <w:tc>
                <w:tcPr>
                  <w:tcW w:w="5104" w:type="dxa"/>
                  <w:hideMark/>
                </w:tcPr>
                <w:p w:rsidR="00D66EA9" w:rsidRPr="00D66EA9" w:rsidRDefault="00D66EA9" w:rsidP="007F525C">
                  <w:pPr>
                    <w:snapToGrid w:val="0"/>
                    <w:jc w:val="center"/>
                    <w:rPr>
                      <w:rFonts w:ascii="Bookman Old Style" w:hAnsi="Bookman Old Style" w:cs="Arial"/>
                      <w:color w:val="000000"/>
                      <w:sz w:val="24"/>
                      <w:szCs w:val="24"/>
                    </w:rPr>
                  </w:pPr>
                  <w:r w:rsidRPr="00D66EA9">
                    <w:rPr>
                      <w:rFonts w:ascii="Bookman Old Style" w:hAnsi="Bookman Old Style" w:cs="Arial"/>
                      <w:color w:val="000000"/>
                      <w:sz w:val="24"/>
                      <w:szCs w:val="24"/>
                    </w:rPr>
                    <w:t>Presidente</w:t>
                  </w:r>
                </w:p>
              </w:tc>
            </w:tr>
          </w:tbl>
          <w:p w:rsidR="00D66EA9" w:rsidRPr="00D66EA9" w:rsidRDefault="00D66EA9" w:rsidP="007F525C">
            <w:pPr>
              <w:rPr>
                <w:sz w:val="24"/>
                <w:szCs w:val="24"/>
                <w:lang w:eastAsia="es-CO"/>
              </w:rPr>
            </w:pPr>
          </w:p>
        </w:tc>
        <w:tc>
          <w:tcPr>
            <w:tcW w:w="4513" w:type="dxa"/>
            <w:hideMark/>
          </w:tcPr>
          <w:p w:rsidR="00D66EA9" w:rsidRPr="00D66EA9" w:rsidRDefault="00D66EA9" w:rsidP="007F525C">
            <w:pPr>
              <w:jc w:val="center"/>
              <w:rPr>
                <w:rFonts w:ascii="Bookman Old Style" w:hAnsi="Bookman Old Style"/>
                <w:sz w:val="24"/>
                <w:szCs w:val="24"/>
              </w:rPr>
            </w:pPr>
            <w:r w:rsidRPr="00D66EA9">
              <w:rPr>
                <w:rFonts w:ascii="Bookman Old Style" w:hAnsi="Bookman Old Style" w:cs="Arial"/>
                <w:color w:val="000000"/>
                <w:sz w:val="24"/>
                <w:szCs w:val="24"/>
              </w:rPr>
              <w:t>Director Ejecutivo</w:t>
            </w:r>
          </w:p>
          <w:p w:rsidR="00D66EA9" w:rsidRPr="00D66EA9" w:rsidRDefault="00D66EA9" w:rsidP="007F525C">
            <w:pPr>
              <w:widowControl w:val="0"/>
              <w:jc w:val="center"/>
              <w:rPr>
                <w:rFonts w:ascii="Bookman Old Style" w:hAnsi="Bookman Old Style" w:cs="Arial"/>
                <w:color w:val="000000"/>
                <w:sz w:val="24"/>
                <w:szCs w:val="24"/>
              </w:rPr>
            </w:pPr>
            <w:r w:rsidRPr="00D66EA9">
              <w:rPr>
                <w:rFonts w:ascii="Bookman Old Style" w:hAnsi="Bookman Old Style" w:cs="Arial"/>
                <w:noProof/>
                <w:color w:val="000000"/>
                <w:sz w:val="24"/>
                <w:szCs w:val="24"/>
                <w:lang w:eastAsia="es-CO"/>
              </w:rPr>
              <w:drawing>
                <wp:inline distT="0" distB="0" distL="0" distR="0" wp14:anchorId="09CE12B2" wp14:editId="41AFDBFB">
                  <wp:extent cx="152400" cy="9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p>
        </w:tc>
      </w:tr>
    </w:tbl>
    <w:p w:rsidR="00D66EA9" w:rsidRPr="0020006E" w:rsidRDefault="00D66EA9" w:rsidP="00D3312D">
      <w:pPr>
        <w:spacing w:after="0" w:line="240" w:lineRule="auto"/>
        <w:jc w:val="both"/>
        <w:rPr>
          <w:rFonts w:ascii="Bookman Old Style" w:eastAsia="Times New Roman" w:hAnsi="Bookman Old Style" w:cs="Arial"/>
          <w:color w:val="000000"/>
          <w:sz w:val="24"/>
          <w:szCs w:val="24"/>
          <w:lang w:val="es-ES" w:eastAsia="es-ES"/>
        </w:rPr>
      </w:pPr>
    </w:p>
    <w:sectPr w:rsidR="00D66EA9" w:rsidRPr="0020006E" w:rsidSect="00D66EA9">
      <w:headerReference w:type="default" r:id="rId12"/>
      <w:headerReference w:type="first" r:id="rId13"/>
      <w:pgSz w:w="12242" w:h="18722" w:code="123"/>
      <w:pgMar w:top="647" w:right="1469"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CD1" w:rsidRDefault="00E07CD1" w:rsidP="0066446E">
      <w:pPr>
        <w:spacing w:after="0" w:line="240" w:lineRule="auto"/>
      </w:pPr>
      <w:r>
        <w:separator/>
      </w:r>
    </w:p>
  </w:endnote>
  <w:endnote w:type="continuationSeparator" w:id="0">
    <w:p w:rsidR="00E07CD1" w:rsidRDefault="00E07CD1" w:rsidP="0066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CD1" w:rsidRDefault="00E07CD1" w:rsidP="0066446E">
      <w:pPr>
        <w:spacing w:after="0" w:line="240" w:lineRule="auto"/>
      </w:pPr>
      <w:r>
        <w:separator/>
      </w:r>
    </w:p>
  </w:footnote>
  <w:footnote w:type="continuationSeparator" w:id="0">
    <w:p w:rsidR="00E07CD1" w:rsidRDefault="00E07CD1" w:rsidP="0066446E">
      <w:pPr>
        <w:spacing w:after="0" w:line="240" w:lineRule="auto"/>
      </w:pPr>
      <w:r>
        <w:continuationSeparator/>
      </w:r>
    </w:p>
  </w:footnote>
  <w:footnote w:id="1">
    <w:p w:rsidR="00E07CD1" w:rsidRPr="00A37A02" w:rsidRDefault="00E07CD1" w:rsidP="006812D6">
      <w:pPr>
        <w:pStyle w:val="Textonotapie"/>
        <w:rPr>
          <w:rFonts w:cs="Arial"/>
          <w:sz w:val="16"/>
          <w:szCs w:val="16"/>
          <w:lang w:val="es-CO"/>
        </w:rPr>
      </w:pPr>
      <w:r w:rsidRPr="00A37A02">
        <w:rPr>
          <w:rStyle w:val="Refdenotaalpie"/>
          <w:rFonts w:cs="Arial"/>
          <w:sz w:val="16"/>
          <w:szCs w:val="16"/>
        </w:rPr>
        <w:footnoteRef/>
      </w:r>
      <w:r w:rsidRPr="00A37A02">
        <w:rPr>
          <w:rFonts w:cs="Arial"/>
          <w:sz w:val="16"/>
          <w:szCs w:val="16"/>
          <w:lang w:val="es-CO"/>
        </w:rPr>
        <w:t xml:space="preserve"> “</w:t>
      </w:r>
      <w:r w:rsidRPr="00A37A02">
        <w:rPr>
          <w:rFonts w:cs="Arial"/>
          <w:b/>
          <w:sz w:val="16"/>
          <w:szCs w:val="16"/>
          <w:lang w:val="es-CO"/>
        </w:rPr>
        <w:t>Artículo 77. Requisitos</w:t>
      </w:r>
      <w:r w:rsidRPr="00A37A02">
        <w:rPr>
          <w:rFonts w:cs="Arial"/>
          <w:sz w:val="16"/>
          <w:szCs w:val="16"/>
          <w:lang w:val="es-CO"/>
        </w:rPr>
        <w:t>. Por regla general los recursos se interpondrán por escrito que no requiere de presentación personal si quien lo presenta ha sido reconocido en la actuación. Igualmente, podrán presentarse por medios electrónicos.</w:t>
      </w:r>
    </w:p>
    <w:p w:rsidR="00E07CD1" w:rsidRPr="00A37A02" w:rsidRDefault="00E07CD1" w:rsidP="006812D6">
      <w:pPr>
        <w:pStyle w:val="Textonotapie"/>
        <w:rPr>
          <w:rFonts w:cs="Arial"/>
          <w:sz w:val="16"/>
          <w:szCs w:val="16"/>
          <w:lang w:val="es-CO"/>
        </w:rPr>
      </w:pPr>
    </w:p>
    <w:p w:rsidR="00E07CD1" w:rsidRPr="00A37A02" w:rsidRDefault="00E07CD1" w:rsidP="006812D6">
      <w:pPr>
        <w:pStyle w:val="Textonotapie"/>
        <w:rPr>
          <w:rFonts w:cs="Arial"/>
          <w:sz w:val="16"/>
          <w:szCs w:val="16"/>
          <w:lang w:val="es-CO"/>
        </w:rPr>
      </w:pPr>
      <w:r w:rsidRPr="00A37A02">
        <w:rPr>
          <w:rFonts w:cs="Arial"/>
          <w:sz w:val="16"/>
          <w:szCs w:val="16"/>
          <w:lang w:val="es-CO"/>
        </w:rPr>
        <w:t>Los recursos deberán reunir, además, los siguientes requisitos:</w:t>
      </w:r>
    </w:p>
    <w:p w:rsidR="00E07CD1" w:rsidRPr="00A37A02" w:rsidRDefault="00E07CD1" w:rsidP="006812D6">
      <w:pPr>
        <w:pStyle w:val="Textonotapie"/>
        <w:rPr>
          <w:rFonts w:cs="Arial"/>
          <w:sz w:val="16"/>
          <w:szCs w:val="16"/>
          <w:lang w:val="es-CO"/>
        </w:rPr>
      </w:pPr>
    </w:p>
    <w:p w:rsidR="00E07CD1" w:rsidRPr="00A37A02" w:rsidRDefault="00E07CD1" w:rsidP="006812D6">
      <w:pPr>
        <w:pStyle w:val="Textonotapie"/>
        <w:rPr>
          <w:rFonts w:cs="Arial"/>
          <w:sz w:val="16"/>
          <w:szCs w:val="16"/>
          <w:lang w:val="es-CO"/>
        </w:rPr>
      </w:pPr>
      <w:r w:rsidRPr="00A37A02">
        <w:rPr>
          <w:rFonts w:cs="Arial"/>
          <w:sz w:val="16"/>
          <w:szCs w:val="16"/>
          <w:lang w:val="es-CO"/>
        </w:rPr>
        <w:t>1. Interponerse dentro del plazo legal, por el interesado o su representante o apoderado debidamente constituido.</w:t>
      </w:r>
    </w:p>
    <w:p w:rsidR="00E07CD1" w:rsidRPr="00A37A02" w:rsidRDefault="00E07CD1" w:rsidP="006812D6">
      <w:pPr>
        <w:pStyle w:val="Textonotapie"/>
        <w:rPr>
          <w:rFonts w:cs="Arial"/>
          <w:sz w:val="16"/>
          <w:szCs w:val="16"/>
          <w:lang w:val="es-CO"/>
        </w:rPr>
      </w:pPr>
      <w:r w:rsidRPr="00A37A02">
        <w:rPr>
          <w:rFonts w:cs="Arial"/>
          <w:sz w:val="16"/>
          <w:szCs w:val="16"/>
          <w:lang w:val="es-CO"/>
        </w:rPr>
        <w:t>2. Sustentarse con expresión concreta de los motivos de inconformidad.</w:t>
      </w:r>
    </w:p>
    <w:p w:rsidR="00E07CD1" w:rsidRPr="00A37A02" w:rsidRDefault="00E07CD1" w:rsidP="006812D6">
      <w:pPr>
        <w:pStyle w:val="Textonotapie"/>
        <w:rPr>
          <w:rFonts w:cs="Arial"/>
          <w:sz w:val="16"/>
          <w:szCs w:val="16"/>
          <w:lang w:val="es-CO"/>
        </w:rPr>
      </w:pPr>
      <w:r w:rsidRPr="00A37A02">
        <w:rPr>
          <w:rFonts w:cs="Arial"/>
          <w:sz w:val="16"/>
          <w:szCs w:val="16"/>
          <w:lang w:val="es-CO"/>
        </w:rPr>
        <w:t>3. Solicitar y aportar las pruebas que se pretende hacer valer.</w:t>
      </w:r>
    </w:p>
    <w:p w:rsidR="00E07CD1" w:rsidRPr="00A37A02" w:rsidRDefault="00E07CD1" w:rsidP="006812D6">
      <w:pPr>
        <w:pStyle w:val="Textonotapie"/>
        <w:rPr>
          <w:rFonts w:cs="Arial"/>
          <w:sz w:val="16"/>
          <w:szCs w:val="16"/>
          <w:lang w:val="es-CO"/>
        </w:rPr>
      </w:pPr>
      <w:r w:rsidRPr="00A37A02">
        <w:rPr>
          <w:rFonts w:cs="Arial"/>
          <w:sz w:val="16"/>
          <w:szCs w:val="16"/>
          <w:lang w:val="es-CO"/>
        </w:rPr>
        <w:t>4. Indicar el nombre y la dirección del recurrente, así como la dirección electrónica si desea ser notificado por este medio. (…)”</w:t>
      </w:r>
    </w:p>
  </w:footnote>
  <w:footnote w:id="2">
    <w:p w:rsidR="00E07CD1" w:rsidRPr="00AD1925" w:rsidRDefault="00E07CD1">
      <w:pPr>
        <w:pStyle w:val="Textonotapie"/>
        <w:rPr>
          <w:sz w:val="18"/>
          <w:szCs w:val="18"/>
          <w:lang w:val="es-CO"/>
        </w:rPr>
      </w:pPr>
      <w:r w:rsidRPr="00A37A02">
        <w:rPr>
          <w:rStyle w:val="Refdenotaalpie"/>
          <w:rFonts w:cs="Arial"/>
          <w:sz w:val="16"/>
          <w:szCs w:val="16"/>
        </w:rPr>
        <w:footnoteRef/>
      </w:r>
      <w:r w:rsidRPr="00A37A02">
        <w:rPr>
          <w:rFonts w:cs="Arial"/>
          <w:sz w:val="16"/>
          <w:szCs w:val="16"/>
          <w:lang w:val="es-CO"/>
        </w:rPr>
        <w:t xml:space="preserve"> Artículos 7, 14, 15 16 y 18 de la Resolución CREG 024 de 1995, Artículo 5 de la Resolución CREG 006 de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D1" w:rsidRDefault="00E07CD1" w:rsidP="0020006E">
    <w:pPr>
      <w:pStyle w:val="Ttulo1"/>
      <w:ind w:right="6"/>
      <w:jc w:val="left"/>
      <w:rPr>
        <w:rFonts w:ascii="Bookman Old Style" w:hAnsi="Bookman Old Style" w:cs="Arial"/>
        <w:b w:val="0"/>
        <w:sz w:val="22"/>
        <w:szCs w:val="22"/>
      </w:rPr>
    </w:pPr>
  </w:p>
  <w:p w:rsidR="00E07CD1" w:rsidRPr="00951F79" w:rsidRDefault="00E07CD1" w:rsidP="0020006E">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D3218">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D3218">
      <w:fldChar w:fldCharType="begin"/>
    </w:r>
    <w:r w:rsidR="002D3218">
      <w:instrText xml:space="preserve"> NUMPAGES  \* MERGEFORMAT </w:instrText>
    </w:r>
    <w:r w:rsidR="002D3218">
      <w:fldChar w:fldCharType="separate"/>
    </w:r>
    <w:r w:rsidR="002D3218" w:rsidRPr="002D3218">
      <w:rPr>
        <w:rFonts w:ascii="Bookman Old Style" w:hAnsi="Bookman Old Style" w:cs="Arial"/>
        <w:b w:val="0"/>
        <w:noProof/>
        <w:sz w:val="22"/>
        <w:szCs w:val="22"/>
      </w:rPr>
      <w:t>8</w:t>
    </w:r>
    <w:r w:rsidR="002D3218">
      <w:rPr>
        <w:rFonts w:ascii="Bookman Old Style" w:hAnsi="Bookman Old Style" w:cs="Arial"/>
        <w:b w:val="0"/>
        <w:noProof/>
        <w:sz w:val="22"/>
        <w:szCs w:val="22"/>
      </w:rPr>
      <w:fldChar w:fldCharType="end"/>
    </w:r>
  </w:p>
  <w:p w:rsidR="00E07CD1" w:rsidRDefault="00E07CD1" w:rsidP="00F834C0">
    <w:pPr>
      <w:spacing w:after="0" w:line="240" w:lineRule="auto"/>
      <w:ind w:left="142" w:right="147"/>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530AC217" wp14:editId="5EC4C4B2">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E07CD1" w:rsidRDefault="00E07CD1" w:rsidP="00D66EA9">
    <w:pPr>
      <w:spacing w:after="0" w:line="240" w:lineRule="auto"/>
      <w:ind w:left="284"/>
      <w:jc w:val="both"/>
      <w:rPr>
        <w:rFonts w:ascii="Bookman Old Style" w:eastAsia="Times New Roman" w:hAnsi="Bookman Old Style" w:cs="Arial"/>
        <w:color w:val="000000"/>
        <w:lang w:val="es-ES" w:eastAsia="es-ES"/>
      </w:rPr>
    </w:pPr>
    <w:r w:rsidRPr="00D66EA9">
      <w:rPr>
        <w:rFonts w:ascii="Bookman Old Style" w:eastAsia="Times New Roman" w:hAnsi="Bookman Old Style" w:cs="Arial"/>
        <w:color w:val="000000"/>
        <w:lang w:val="es-ES" w:eastAsia="es-ES"/>
      </w:rPr>
      <w:t xml:space="preserve">Por </w:t>
    </w:r>
    <w:r w:rsidRPr="00C91A08">
      <w:rPr>
        <w:rFonts w:ascii="Bookman Old Style" w:eastAsia="Times New Roman" w:hAnsi="Bookman Old Style" w:cs="Arial"/>
        <w:color w:val="000000"/>
        <w:lang w:val="es-ES" w:eastAsia="es-ES"/>
      </w:rPr>
      <w:t>cual se resuelve un recurso de reposición interpuesto en contra de la Resolución CREG 071 de 2013.</w:t>
    </w:r>
  </w:p>
  <w:p w:rsidR="00E07CD1" w:rsidRPr="00D66EA9" w:rsidRDefault="00E07CD1" w:rsidP="00D66EA9">
    <w:pPr>
      <w:spacing w:after="0" w:line="240" w:lineRule="auto"/>
      <w:ind w:left="284"/>
      <w:jc w:val="both"/>
      <w:rPr>
        <w:rFonts w:ascii="Bookman Old Style" w:eastAsia="Times New Roman" w:hAnsi="Bookman Old Style" w:cs="Arial"/>
        <w:color w:val="000000"/>
        <w:lang w:val="es-ES" w:eastAsia="es-CO"/>
      </w:rPr>
    </w:pPr>
    <w:r>
      <w:rPr>
        <w:rFonts w:ascii="Bookman Old Style" w:eastAsia="Times New Roman" w:hAnsi="Bookman Old Style" w:cs="Arial"/>
        <w:color w:val="000000"/>
        <w:lang w:val="es-ES" w:eastAsia="es-ES"/>
      </w:rPr>
      <w:t>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D1" w:rsidRDefault="00E07CD1" w:rsidP="0020006E">
    <w:pPr>
      <w:pStyle w:val="Encabezado"/>
      <w:jc w:val="both"/>
      <w:rPr>
        <w:rFonts w:ascii="Arial" w:hAnsi="Arial" w:cs="Arial"/>
        <w:spacing w:val="20"/>
        <w:sz w:val="20"/>
      </w:rPr>
    </w:pPr>
    <w:r>
      <w:rPr>
        <w:rFonts w:ascii="Arial" w:hAnsi="Arial" w:cs="Arial"/>
        <w:spacing w:val="20"/>
        <w:sz w:val="20"/>
      </w:rPr>
      <w:t xml:space="preserve">                                   República de Colombia</w:t>
    </w:r>
  </w:p>
  <w:p w:rsidR="00E07CD1" w:rsidRDefault="00E07CD1">
    <w:pPr>
      <w:pStyle w:val="Encabezado"/>
      <w:jc w:val="center"/>
      <w:rPr>
        <w:rFonts w:ascii="Arial" w:hAnsi="Arial" w:cs="Arial"/>
        <w:spacing w:val="20"/>
        <w:sz w:val="20"/>
      </w:rPr>
    </w:pPr>
  </w:p>
  <w:p w:rsidR="00E07CD1" w:rsidRDefault="00E07CD1" w:rsidP="0020006E">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5AAEA06A" wp14:editId="784CDE1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FAFC47B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start w:val="1"/>
      <w:numFmt w:val="upperRoman"/>
      <w:lvlText w:val="%3)"/>
      <w:lvlJc w:val="left"/>
      <w:pPr>
        <w:ind w:left="2700" w:hanging="720"/>
      </w:pPr>
      <w:rPr>
        <w:rFonts w:cs="Arial" w:hint="default"/>
        <w:color w:val="auto"/>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362898"/>
    <w:multiLevelType w:val="hybridMultilevel"/>
    <w:tmpl w:val="088EB12C"/>
    <w:name w:val="WW8Num6423223"/>
    <w:lvl w:ilvl="0" w:tplc="2A7C39E8">
      <w:start w:val="1"/>
      <w:numFmt w:val="decimal"/>
      <w:lvlText w:val="%1."/>
      <w:lvlJc w:val="left"/>
      <w:pPr>
        <w:ind w:left="1146"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18EA1190"/>
    <w:multiLevelType w:val="multilevel"/>
    <w:tmpl w:val="0EF65D8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51462A26"/>
    <w:multiLevelType w:val="hybridMultilevel"/>
    <w:tmpl w:val="71AE7AA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26B67DE"/>
    <w:multiLevelType w:val="hybridMultilevel"/>
    <w:tmpl w:val="2F4004B8"/>
    <w:lvl w:ilvl="0" w:tplc="BA8E61BE">
      <w:start w:val="5"/>
      <w:numFmt w:val="upperRoman"/>
      <w:lvlText w:val="%1."/>
      <w:lvlJc w:val="left"/>
      <w:pPr>
        <w:ind w:left="1004" w:hanging="720"/>
      </w:p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5">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6">
    <w:nsid w:val="68C945D1"/>
    <w:multiLevelType w:val="hybridMultilevel"/>
    <w:tmpl w:val="4F40D326"/>
    <w:lvl w:ilvl="0" w:tplc="FFFFFFFF">
      <w:start w:val="1"/>
      <w:numFmt w:val="decimal"/>
      <w:lvlText w:val="%1."/>
      <w:lvlJc w:val="left"/>
      <w:pPr>
        <w:ind w:left="1146" w:hanging="360"/>
      </w:pPr>
    </w:lvl>
    <w:lvl w:ilvl="1" w:tplc="FFFFFFFF">
      <w:start w:val="1"/>
      <w:numFmt w:val="lowerRoman"/>
      <w:lvlText w:val="%2."/>
      <w:lvlJc w:val="righ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6E6A2EBE"/>
    <w:multiLevelType w:val="hybridMultilevel"/>
    <w:tmpl w:val="A2402248"/>
    <w:lvl w:ilvl="0" w:tplc="AED47802">
      <w:start w:val="1"/>
      <w:numFmt w:val="upperRoman"/>
      <w:lvlText w:val="%1."/>
      <w:lvlJc w:val="left"/>
      <w:pPr>
        <w:tabs>
          <w:tab w:val="num" w:pos="720"/>
        </w:tabs>
        <w:ind w:left="720" w:hanging="720"/>
      </w:pPr>
      <w:rPr>
        <w:i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8">
    <w:nsid w:val="71B50B47"/>
    <w:multiLevelType w:val="hybridMultilevel"/>
    <w:tmpl w:val="0B66C44C"/>
    <w:lvl w:ilvl="0" w:tplc="F9CEEBFE">
      <w:start w:val="1"/>
      <w:numFmt w:val="decimal"/>
      <w:lvlText w:val="%1."/>
      <w:lvlJc w:val="left"/>
      <w:pPr>
        <w:ind w:left="720" w:hanging="360"/>
      </w:pPr>
      <w:rPr>
        <w:rFonts w:ascii="Bookman Old Style" w:eastAsia="Times New Roman" w:hAnsi="Bookman Old Style" w:cs="Times New Roman"/>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nsid w:val="73432BD8"/>
    <w:multiLevelType w:val="hybridMultilevel"/>
    <w:tmpl w:val="FFFCEB46"/>
    <w:lvl w:ilvl="0" w:tplc="6E4CF9B8">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10">
    <w:nsid w:val="7E2F34FF"/>
    <w:multiLevelType w:val="multilevel"/>
    <w:tmpl w:val="D564E2DE"/>
    <w:lvl w:ilvl="0">
      <w:start w:val="4"/>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8"/>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06E"/>
    <w:rsid w:val="00005535"/>
    <w:rsid w:val="000109AE"/>
    <w:rsid w:val="00015925"/>
    <w:rsid w:val="00037D4D"/>
    <w:rsid w:val="000A3793"/>
    <w:rsid w:val="000B7C96"/>
    <w:rsid w:val="000E4DB9"/>
    <w:rsid w:val="00100C3C"/>
    <w:rsid w:val="00144608"/>
    <w:rsid w:val="001525C7"/>
    <w:rsid w:val="00174C12"/>
    <w:rsid w:val="001A3C71"/>
    <w:rsid w:val="001B59A0"/>
    <w:rsid w:val="0020006E"/>
    <w:rsid w:val="00206190"/>
    <w:rsid w:val="0021098D"/>
    <w:rsid w:val="00214B19"/>
    <w:rsid w:val="00225CA9"/>
    <w:rsid w:val="00232DEB"/>
    <w:rsid w:val="00244439"/>
    <w:rsid w:val="002A1AA3"/>
    <w:rsid w:val="002B4B73"/>
    <w:rsid w:val="002C3065"/>
    <w:rsid w:val="002D3218"/>
    <w:rsid w:val="003031E0"/>
    <w:rsid w:val="00313BD1"/>
    <w:rsid w:val="00352147"/>
    <w:rsid w:val="003623AE"/>
    <w:rsid w:val="00370B3A"/>
    <w:rsid w:val="003766AB"/>
    <w:rsid w:val="003F2101"/>
    <w:rsid w:val="00430C74"/>
    <w:rsid w:val="0044528B"/>
    <w:rsid w:val="004602BB"/>
    <w:rsid w:val="00475021"/>
    <w:rsid w:val="00481AE1"/>
    <w:rsid w:val="004824DA"/>
    <w:rsid w:val="004A25F8"/>
    <w:rsid w:val="004B1332"/>
    <w:rsid w:val="004C625F"/>
    <w:rsid w:val="00507373"/>
    <w:rsid w:val="00555087"/>
    <w:rsid w:val="00564095"/>
    <w:rsid w:val="005C0CE5"/>
    <w:rsid w:val="005D3C53"/>
    <w:rsid w:val="005F0D40"/>
    <w:rsid w:val="00625182"/>
    <w:rsid w:val="00651ED8"/>
    <w:rsid w:val="0066446E"/>
    <w:rsid w:val="006812D6"/>
    <w:rsid w:val="00682FAA"/>
    <w:rsid w:val="006A750A"/>
    <w:rsid w:val="006C1011"/>
    <w:rsid w:val="006E0AA2"/>
    <w:rsid w:val="006E5A13"/>
    <w:rsid w:val="00711C61"/>
    <w:rsid w:val="00753187"/>
    <w:rsid w:val="0077614F"/>
    <w:rsid w:val="007917F0"/>
    <w:rsid w:val="007E4F91"/>
    <w:rsid w:val="007F525C"/>
    <w:rsid w:val="00883E82"/>
    <w:rsid w:val="008B4155"/>
    <w:rsid w:val="008F662E"/>
    <w:rsid w:val="0094143B"/>
    <w:rsid w:val="00944CA1"/>
    <w:rsid w:val="00947AF0"/>
    <w:rsid w:val="0098239E"/>
    <w:rsid w:val="00A137EC"/>
    <w:rsid w:val="00A14AFE"/>
    <w:rsid w:val="00A37A02"/>
    <w:rsid w:val="00A446A2"/>
    <w:rsid w:val="00A44C13"/>
    <w:rsid w:val="00A5344E"/>
    <w:rsid w:val="00A643B6"/>
    <w:rsid w:val="00A729A9"/>
    <w:rsid w:val="00AA2D2F"/>
    <w:rsid w:val="00AA37CF"/>
    <w:rsid w:val="00AD1925"/>
    <w:rsid w:val="00AF0AA0"/>
    <w:rsid w:val="00B57C4D"/>
    <w:rsid w:val="00B7014F"/>
    <w:rsid w:val="00BC6AC2"/>
    <w:rsid w:val="00C622F8"/>
    <w:rsid w:val="00C906BC"/>
    <w:rsid w:val="00C91A08"/>
    <w:rsid w:val="00CA3171"/>
    <w:rsid w:val="00CD315E"/>
    <w:rsid w:val="00CD3BEB"/>
    <w:rsid w:val="00CF1C9D"/>
    <w:rsid w:val="00D064CB"/>
    <w:rsid w:val="00D3312D"/>
    <w:rsid w:val="00D369ED"/>
    <w:rsid w:val="00D46A2D"/>
    <w:rsid w:val="00D66EA9"/>
    <w:rsid w:val="00E07CD1"/>
    <w:rsid w:val="00E13693"/>
    <w:rsid w:val="00E2756C"/>
    <w:rsid w:val="00E95412"/>
    <w:rsid w:val="00EF1349"/>
    <w:rsid w:val="00F24C99"/>
    <w:rsid w:val="00F52AE4"/>
    <w:rsid w:val="00F834C0"/>
    <w:rsid w:val="00FB5CF1"/>
    <w:rsid w:val="00FC2D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0006E"/>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20006E"/>
    <w:pPr>
      <w:keepNext/>
      <w:spacing w:before="240" w:after="60" w:line="240" w:lineRule="auto"/>
      <w:ind w:left="567"/>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20006E"/>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aliases w:val="TBG Heading 4,o"/>
    <w:basedOn w:val="Normal"/>
    <w:next w:val="Normal"/>
    <w:link w:val="Ttulo4Car"/>
    <w:qFormat/>
    <w:rsid w:val="0020006E"/>
    <w:pPr>
      <w:keepNext/>
      <w:spacing w:after="0" w:line="240" w:lineRule="auto"/>
      <w:ind w:left="567"/>
      <w:jc w:val="center"/>
      <w:outlineLvl w:val="3"/>
    </w:pPr>
    <w:rPr>
      <w:rFonts w:ascii="Arial" w:eastAsia="Times New Roman" w:hAnsi="Arial" w:cs="Times New Roman"/>
      <w:b/>
      <w:snapToGrid w:val="0"/>
      <w:color w:val="000000"/>
      <w:spacing w:val="20"/>
      <w:sz w:val="20"/>
      <w:szCs w:val="20"/>
      <w:lang w:val="es-ES_tradnl" w:eastAsia="es-ES"/>
    </w:rPr>
  </w:style>
  <w:style w:type="paragraph" w:styleId="Ttulo5">
    <w:name w:val="heading 5"/>
    <w:basedOn w:val="Normal"/>
    <w:next w:val="Normal"/>
    <w:link w:val="Ttulo5Car"/>
    <w:qFormat/>
    <w:rsid w:val="0020006E"/>
    <w:pPr>
      <w:keepNext/>
      <w:spacing w:after="0" w:line="240" w:lineRule="auto"/>
      <w:ind w:left="567"/>
      <w:jc w:val="center"/>
      <w:outlineLvl w:val="4"/>
    </w:pPr>
    <w:rPr>
      <w:rFonts w:ascii="Arial" w:eastAsia="Times New Roman" w:hAnsi="Arial" w:cs="Times New Roman"/>
      <w:b/>
      <w:snapToGrid w:val="0"/>
      <w:color w:val="000000"/>
      <w:spacing w:val="20"/>
      <w:sz w:val="28"/>
      <w:szCs w:val="20"/>
      <w:lang w:val="es-ES_tradnl" w:eastAsia="es-ES"/>
    </w:rPr>
  </w:style>
  <w:style w:type="paragraph" w:styleId="Ttulo6">
    <w:name w:val="heading 6"/>
    <w:basedOn w:val="Normal"/>
    <w:next w:val="Normal"/>
    <w:link w:val="Ttulo6Car"/>
    <w:unhideWhenUsed/>
    <w:qFormat/>
    <w:rsid w:val="0020006E"/>
    <w:pPr>
      <w:spacing w:before="240" w:after="60" w:line="240" w:lineRule="auto"/>
      <w:ind w:left="567"/>
      <w:outlineLvl w:val="5"/>
    </w:pPr>
    <w:rPr>
      <w:rFonts w:ascii="Calibri" w:eastAsia="Times New Roman" w:hAnsi="Calibri"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0006E"/>
    <w:rPr>
      <w:rFonts w:ascii="CG Times" w:eastAsia="Times New Roman" w:hAnsi="CG Times" w:cs="Times New Roman"/>
      <w:b/>
      <w:sz w:val="24"/>
      <w:szCs w:val="20"/>
      <w:lang w:eastAsia="es-ES"/>
    </w:rPr>
  </w:style>
  <w:style w:type="character" w:customStyle="1" w:styleId="Ttulo2Car">
    <w:name w:val="Título 2 Car"/>
    <w:basedOn w:val="Fuentedeprrafopredeter"/>
    <w:link w:val="Ttulo2"/>
    <w:uiPriority w:val="9"/>
    <w:rsid w:val="0020006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20006E"/>
    <w:rPr>
      <w:rFonts w:ascii="CG Times" w:eastAsia="Times New Roman" w:hAnsi="CG Times" w:cs="Times New Roman"/>
      <w:b/>
      <w:snapToGrid w:val="0"/>
      <w:color w:val="000000"/>
      <w:sz w:val="24"/>
      <w:szCs w:val="20"/>
      <w:lang w:val="es-ES_tradnl" w:eastAsia="es-ES"/>
    </w:rPr>
  </w:style>
  <w:style w:type="character" w:customStyle="1" w:styleId="Ttulo4Car">
    <w:name w:val="Título 4 Car"/>
    <w:aliases w:val="TBG Heading 4 Car,o Car"/>
    <w:basedOn w:val="Fuentedeprrafopredeter"/>
    <w:link w:val="Ttulo4"/>
    <w:rsid w:val="0020006E"/>
    <w:rPr>
      <w:rFonts w:ascii="Arial" w:eastAsia="Times New Roman" w:hAnsi="Arial" w:cs="Times New Roman"/>
      <w:b/>
      <w:snapToGrid w:val="0"/>
      <w:color w:val="000000"/>
      <w:spacing w:val="20"/>
      <w:sz w:val="20"/>
      <w:szCs w:val="20"/>
      <w:lang w:val="es-ES_tradnl" w:eastAsia="es-ES"/>
    </w:rPr>
  </w:style>
  <w:style w:type="character" w:customStyle="1" w:styleId="Ttulo5Car">
    <w:name w:val="Título 5 Car"/>
    <w:basedOn w:val="Fuentedeprrafopredeter"/>
    <w:link w:val="Ttulo5"/>
    <w:rsid w:val="0020006E"/>
    <w:rPr>
      <w:rFonts w:ascii="Arial" w:eastAsia="Times New Roman" w:hAnsi="Arial" w:cs="Times New Roman"/>
      <w:b/>
      <w:snapToGrid w:val="0"/>
      <w:color w:val="000000"/>
      <w:spacing w:val="20"/>
      <w:sz w:val="28"/>
      <w:szCs w:val="20"/>
      <w:lang w:val="es-ES_tradnl" w:eastAsia="es-ES"/>
    </w:rPr>
  </w:style>
  <w:style w:type="character" w:customStyle="1" w:styleId="Ttulo6Car">
    <w:name w:val="Título 6 Car"/>
    <w:basedOn w:val="Fuentedeprrafopredeter"/>
    <w:link w:val="Ttulo6"/>
    <w:rsid w:val="0020006E"/>
    <w:rPr>
      <w:rFonts w:ascii="Calibri" w:eastAsia="Times New Roman" w:hAnsi="Calibri" w:cs="Times New Roman"/>
      <w:b/>
      <w:bCs/>
      <w:lang w:val="es-ES" w:eastAsia="es-ES"/>
    </w:rPr>
  </w:style>
  <w:style w:type="numbering" w:customStyle="1" w:styleId="Sinlista1">
    <w:name w:val="Sin lista1"/>
    <w:next w:val="Sinlista"/>
    <w:uiPriority w:val="99"/>
    <w:semiHidden/>
    <w:unhideWhenUsed/>
    <w:rsid w:val="0020006E"/>
  </w:style>
  <w:style w:type="paragraph" w:styleId="Encabezado">
    <w:name w:val="header"/>
    <w:basedOn w:val="Normal"/>
    <w:link w:val="EncabezadoCar"/>
    <w:rsid w:val="0020006E"/>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20006E"/>
    <w:rPr>
      <w:rFonts w:ascii="CG Times" w:eastAsia="Times New Roman" w:hAnsi="CG Times" w:cs="Times New Roman"/>
      <w:sz w:val="24"/>
      <w:szCs w:val="20"/>
      <w:lang w:eastAsia="es-ES"/>
    </w:rPr>
  </w:style>
  <w:style w:type="paragraph" w:styleId="Piedepgina">
    <w:name w:val="footer"/>
    <w:basedOn w:val="Normal"/>
    <w:link w:val="PiedepginaCar"/>
    <w:semiHidden/>
    <w:rsid w:val="0020006E"/>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20006E"/>
    <w:rPr>
      <w:rFonts w:ascii="Times New Roman" w:eastAsia="Times New Roman" w:hAnsi="Times New Roman" w:cs="Times New Roman"/>
      <w:sz w:val="24"/>
      <w:szCs w:val="24"/>
      <w:lang w:val="es-ES" w:eastAsia="es-ES"/>
    </w:rPr>
  </w:style>
  <w:style w:type="paragraph" w:customStyle="1" w:styleId="Estilo1">
    <w:name w:val="Estilo1"/>
    <w:basedOn w:val="Normal"/>
    <w:rsid w:val="0020006E"/>
    <w:pPr>
      <w:shd w:val="clear" w:color="auto" w:fill="C0C0C0"/>
      <w:spacing w:after="0" w:line="240" w:lineRule="auto"/>
      <w:ind w:left="567"/>
      <w:jc w:val="center"/>
    </w:pPr>
    <w:rPr>
      <w:rFonts w:ascii="Comic Sans MS" w:eastAsia="Times New Roman" w:hAnsi="Comic Sans MS" w:cs="Times New Roman"/>
      <w:color w:val="0000FF"/>
      <w:sz w:val="36"/>
      <w:szCs w:val="20"/>
      <w:lang w:eastAsia="es-ES"/>
    </w:rPr>
  </w:style>
  <w:style w:type="character" w:styleId="Nmerodepgina">
    <w:name w:val="page number"/>
    <w:basedOn w:val="Fuentedeprrafopredeter"/>
    <w:semiHidden/>
    <w:rsid w:val="0020006E"/>
  </w:style>
  <w:style w:type="paragraph" w:styleId="Textoindependiente">
    <w:name w:val="Body Text"/>
    <w:basedOn w:val="Normal"/>
    <w:link w:val="TextoindependienteCar"/>
    <w:rsid w:val="0020006E"/>
    <w:pPr>
      <w:spacing w:after="0" w:line="240" w:lineRule="auto"/>
      <w:ind w:left="567"/>
      <w:jc w:val="center"/>
    </w:pPr>
    <w:rPr>
      <w:rFonts w:ascii="Arial" w:eastAsia="Times New Roman" w:hAnsi="Arial" w:cs="Times New Roman"/>
      <w:b/>
      <w:bCs/>
      <w:sz w:val="24"/>
      <w:szCs w:val="24"/>
      <w:lang w:val="es-ES" w:eastAsia="es-ES"/>
    </w:rPr>
  </w:style>
  <w:style w:type="character" w:customStyle="1" w:styleId="TextoindependienteCar">
    <w:name w:val="Texto independiente Car"/>
    <w:basedOn w:val="Fuentedeprrafopredeter"/>
    <w:link w:val="Textoindependiente"/>
    <w:rsid w:val="0020006E"/>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semiHidden/>
    <w:rsid w:val="0020006E"/>
    <w:pPr>
      <w:spacing w:after="0" w:line="240" w:lineRule="auto"/>
      <w:ind w:left="567"/>
      <w:jc w:val="center"/>
      <w:outlineLvl w:val="0"/>
    </w:pPr>
    <w:rPr>
      <w:rFonts w:ascii="Arial" w:eastAsia="Times New Roman" w:hAnsi="Arial" w:cs="Times New Roman"/>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20006E"/>
    <w:rPr>
      <w:rFonts w:ascii="Arial" w:eastAsia="Times New Roman" w:hAnsi="Arial" w:cs="Times New Roman"/>
      <w:b/>
      <w:bCs/>
      <w:spacing w:val="-3"/>
      <w:sz w:val="24"/>
      <w:szCs w:val="24"/>
      <w:lang w:val="es-ES" w:eastAsia="es-ES"/>
    </w:rPr>
  </w:style>
  <w:style w:type="paragraph" w:styleId="Textodeglobo">
    <w:name w:val="Balloon Text"/>
    <w:basedOn w:val="Normal"/>
    <w:link w:val="TextodegloboCar"/>
    <w:uiPriority w:val="99"/>
    <w:semiHidden/>
    <w:unhideWhenUsed/>
    <w:rsid w:val="0020006E"/>
    <w:pPr>
      <w:spacing w:after="0" w:line="240" w:lineRule="auto"/>
      <w:ind w:left="567"/>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semiHidden/>
    <w:rsid w:val="0020006E"/>
    <w:rPr>
      <w:rFonts w:ascii="Tahoma" w:eastAsia="Times New Roman" w:hAnsi="Tahoma" w:cs="Times New Roman"/>
      <w:sz w:val="16"/>
      <w:szCs w:val="16"/>
      <w:lang w:val="es-ES" w:eastAsia="es-ES"/>
    </w:rPr>
  </w:style>
  <w:style w:type="table" w:styleId="Tablaconcuadrcula">
    <w:name w:val="Table Grid"/>
    <w:basedOn w:val="Tablanormal"/>
    <w:uiPriority w:val="59"/>
    <w:rsid w:val="0020006E"/>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20006E"/>
    <w:pPr>
      <w:widowControl w:val="0"/>
      <w:adjustRightInd w:val="0"/>
      <w:spacing w:after="0" w:line="360" w:lineRule="atLeast"/>
      <w:ind w:left="567"/>
      <w:jc w:val="center"/>
      <w:textAlignment w:val="baseline"/>
    </w:pPr>
    <w:rPr>
      <w:rFonts w:ascii="Arial" w:eastAsia="Times New Roman" w:hAnsi="Arial" w:cs="Times New Roman"/>
      <w:b/>
      <w:bCs/>
      <w:sz w:val="24"/>
      <w:szCs w:val="24"/>
      <w:lang w:val="es-ES" w:eastAsia="es-ES"/>
    </w:rPr>
  </w:style>
  <w:style w:type="character" w:customStyle="1" w:styleId="TtuloCar">
    <w:name w:val="Título Car"/>
    <w:basedOn w:val="Fuentedeprrafopredeter"/>
    <w:link w:val="Ttulo"/>
    <w:rsid w:val="0020006E"/>
    <w:rPr>
      <w:rFonts w:ascii="Arial" w:eastAsia="Times New Roman" w:hAnsi="Arial" w:cs="Times New Roman"/>
      <w:b/>
      <w:bCs/>
      <w:sz w:val="24"/>
      <w:szCs w:val="24"/>
      <w:lang w:val="es-ES" w:eastAsia="es-ES"/>
    </w:rPr>
  </w:style>
  <w:style w:type="paragraph" w:styleId="Prrafodelista">
    <w:name w:val="List Paragraph"/>
    <w:basedOn w:val="Normal"/>
    <w:link w:val="PrrafodelistaCar"/>
    <w:uiPriority w:val="34"/>
    <w:qFormat/>
    <w:rsid w:val="0020006E"/>
    <w:pPr>
      <w:spacing w:after="0" w:line="240" w:lineRule="auto"/>
      <w:ind w:left="708"/>
    </w:pPr>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rsid w:val="0020006E"/>
    <w:rPr>
      <w:rFonts w:ascii="Times New Roman" w:eastAsia="Times New Roman" w:hAnsi="Times New Roman" w:cs="Times New Roman"/>
      <w:sz w:val="20"/>
      <w:szCs w:val="20"/>
      <w:lang w:eastAsia="es-ES"/>
    </w:rPr>
  </w:style>
  <w:style w:type="paragraph" w:styleId="TDC1">
    <w:name w:val="toc 1"/>
    <w:basedOn w:val="Normal"/>
    <w:next w:val="Normal"/>
    <w:autoRedefine/>
    <w:semiHidden/>
    <w:rsid w:val="0020006E"/>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20006E"/>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semiHidden/>
    <w:unhideWhenUsed/>
    <w:rsid w:val="0020006E"/>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semiHidden/>
    <w:rsid w:val="0020006E"/>
    <w:rPr>
      <w:rFonts w:ascii="Times New Roman" w:eastAsia="Times New Roman" w:hAnsi="Times New Roman" w:cs="Times New Roman"/>
      <w:sz w:val="24"/>
      <w:szCs w:val="24"/>
      <w:lang w:val="es-ES" w:eastAsia="es-ES"/>
    </w:rPr>
  </w:style>
  <w:style w:type="paragraph" w:styleId="Epgrafe">
    <w:name w:val="caption"/>
    <w:basedOn w:val="Normal"/>
    <w:next w:val="Normal"/>
    <w:uiPriority w:val="35"/>
    <w:qFormat/>
    <w:rsid w:val="0020006E"/>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20006E"/>
    <w:pPr>
      <w:spacing w:after="0" w:line="240" w:lineRule="auto"/>
    </w:pPr>
    <w:rPr>
      <w:rFonts w:ascii="Calibri" w:eastAsia="Times New Roman" w:hAnsi="Calibri" w:cs="Calibri"/>
      <w:lang w:val="es-ES"/>
    </w:rPr>
  </w:style>
  <w:style w:type="character" w:customStyle="1" w:styleId="apple-style-span">
    <w:name w:val="apple-style-span"/>
    <w:rsid w:val="0020006E"/>
    <w:rPr>
      <w:rFonts w:ascii="Times New Roman" w:hAnsi="Times New Roman" w:cs="Times New Roman"/>
    </w:rPr>
  </w:style>
  <w:style w:type="paragraph" w:styleId="Subttulo">
    <w:name w:val="Subtitle"/>
    <w:basedOn w:val="Normal"/>
    <w:link w:val="SubttuloCar"/>
    <w:qFormat/>
    <w:rsid w:val="0020006E"/>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20006E"/>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20006E"/>
  </w:style>
  <w:style w:type="paragraph" w:customStyle="1" w:styleId="BodyText21">
    <w:name w:val="Body Text 21"/>
    <w:basedOn w:val="Normal"/>
    <w:uiPriority w:val="99"/>
    <w:rsid w:val="0020006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customStyle="1" w:styleId="Estilo2">
    <w:name w:val="Estilo2"/>
    <w:basedOn w:val="Estilo1"/>
    <w:link w:val="Estilo2Car"/>
    <w:rsid w:val="0020006E"/>
    <w:pPr>
      <w:keepNext/>
      <w:widowControl w:val="0"/>
      <w:numPr>
        <w:numId w:val="1"/>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20006E"/>
    <w:rPr>
      <w:rFonts w:ascii="Bookman Old Style" w:eastAsia="Times New Roman" w:hAnsi="Bookman Old Style" w:cs="Times New Roman"/>
      <w:b/>
      <w:bCs/>
      <w:sz w:val="24"/>
      <w:szCs w:val="24"/>
      <w:lang w:eastAsia="ar-SA"/>
    </w:rPr>
  </w:style>
  <w:style w:type="paragraph" w:styleId="Mapadeldocumento">
    <w:name w:val="Document Map"/>
    <w:basedOn w:val="Normal"/>
    <w:link w:val="MapadeldocumentoCar"/>
    <w:uiPriority w:val="99"/>
    <w:semiHidden/>
    <w:unhideWhenUsed/>
    <w:rsid w:val="0020006E"/>
    <w:pPr>
      <w:spacing w:after="0" w:line="240" w:lineRule="auto"/>
      <w:ind w:left="567"/>
    </w:pPr>
    <w:rPr>
      <w:rFonts w:ascii="Tahoma" w:eastAsia="Times New Roman" w:hAnsi="Tahoma" w:cs="Times New Roman"/>
      <w:sz w:val="16"/>
      <w:szCs w:val="16"/>
      <w:lang w:val="es-ES" w:eastAsia="es-ES"/>
    </w:rPr>
  </w:style>
  <w:style w:type="character" w:customStyle="1" w:styleId="MapadeldocumentoCar">
    <w:name w:val="Mapa del documento Car"/>
    <w:basedOn w:val="Fuentedeprrafopredeter"/>
    <w:link w:val="Mapadeldocumento"/>
    <w:uiPriority w:val="99"/>
    <w:semiHidden/>
    <w:rsid w:val="0020006E"/>
    <w:rPr>
      <w:rFonts w:ascii="Tahoma" w:eastAsia="Times New Roman" w:hAnsi="Tahoma" w:cs="Times New Roman"/>
      <w:sz w:val="16"/>
      <w:szCs w:val="16"/>
      <w:lang w:val="es-ES" w:eastAsia="es-ES"/>
    </w:rPr>
  </w:style>
  <w:style w:type="character" w:styleId="Refdecomentario">
    <w:name w:val="annotation reference"/>
    <w:uiPriority w:val="99"/>
    <w:semiHidden/>
    <w:unhideWhenUsed/>
    <w:rsid w:val="0020006E"/>
    <w:rPr>
      <w:sz w:val="16"/>
      <w:szCs w:val="16"/>
    </w:rPr>
  </w:style>
  <w:style w:type="paragraph" w:styleId="Textocomentario">
    <w:name w:val="annotation text"/>
    <w:basedOn w:val="Normal"/>
    <w:link w:val="TextocomentarioCar"/>
    <w:uiPriority w:val="99"/>
    <w:semiHidden/>
    <w:unhideWhenUsed/>
    <w:rsid w:val="0020006E"/>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20006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0006E"/>
    <w:rPr>
      <w:b/>
      <w:bCs/>
    </w:rPr>
  </w:style>
  <w:style w:type="character" w:customStyle="1" w:styleId="AsuntodelcomentarioCar">
    <w:name w:val="Asunto del comentario Car"/>
    <w:basedOn w:val="TextocomentarioCar"/>
    <w:link w:val="Asuntodelcomentario"/>
    <w:uiPriority w:val="99"/>
    <w:semiHidden/>
    <w:rsid w:val="0020006E"/>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20006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20006E"/>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20006E"/>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20006E"/>
    <w:rPr>
      <w:vertAlign w:val="superscript"/>
    </w:rPr>
  </w:style>
  <w:style w:type="paragraph" w:styleId="Textonotapie">
    <w:name w:val="footnote text"/>
    <w:aliases w:val="fn,footnote text"/>
    <w:basedOn w:val="Normal"/>
    <w:link w:val="TextonotapieCar"/>
    <w:uiPriority w:val="99"/>
    <w:semiHidden/>
    <w:rsid w:val="0020006E"/>
    <w:pPr>
      <w:spacing w:after="0" w:line="240" w:lineRule="auto"/>
      <w:jc w:val="both"/>
    </w:pPr>
    <w:rPr>
      <w:rFonts w:ascii="Bookman Old Style" w:eastAsia="Times New Roman" w:hAnsi="Bookman Old Style" w:cs="Times New Roman"/>
      <w:sz w:val="24"/>
      <w:szCs w:val="20"/>
      <w:lang w:val="en-US" w:eastAsia="es-ES"/>
    </w:rPr>
  </w:style>
  <w:style w:type="character" w:customStyle="1" w:styleId="TextonotapieCar">
    <w:name w:val="Texto nota pie Car"/>
    <w:aliases w:val="fn Car,footnote text Car"/>
    <w:basedOn w:val="Fuentedeprrafopredeter"/>
    <w:link w:val="Textonotapie"/>
    <w:uiPriority w:val="99"/>
    <w:semiHidden/>
    <w:rsid w:val="0020006E"/>
    <w:rPr>
      <w:rFonts w:ascii="Bookman Old Style" w:eastAsia="Times New Roman" w:hAnsi="Bookman Old Style" w:cs="Times New Roman"/>
      <w:sz w:val="24"/>
      <w:szCs w:val="20"/>
      <w:lang w:val="en-US" w:eastAsia="es-ES"/>
    </w:rPr>
  </w:style>
  <w:style w:type="character" w:styleId="Refdenotaalpie">
    <w:name w:val="footnote reference"/>
    <w:uiPriority w:val="99"/>
    <w:semiHidden/>
    <w:rsid w:val="0020006E"/>
    <w:rPr>
      <w:vertAlign w:val="superscript"/>
    </w:rPr>
  </w:style>
  <w:style w:type="paragraph" w:customStyle="1" w:styleId="Estilo4">
    <w:name w:val="Estilo4"/>
    <w:basedOn w:val="Normal"/>
    <w:link w:val="Estilo4Car"/>
    <w:qFormat/>
    <w:rsid w:val="0020006E"/>
    <w:pPr>
      <w:keepNext/>
      <w:spacing w:after="0" w:line="240" w:lineRule="auto"/>
      <w:jc w:val="center"/>
      <w:outlineLvl w:val="0"/>
    </w:pPr>
    <w:rPr>
      <w:rFonts w:ascii="Arial" w:eastAsia="Times New Roman" w:hAnsi="Arial" w:cs="Times New Roman"/>
      <w:b/>
      <w:kern w:val="28"/>
      <w:lang w:val="es-ES_tradnl" w:eastAsia="es-ES"/>
    </w:rPr>
  </w:style>
  <w:style w:type="character" w:customStyle="1" w:styleId="Estilo4Car">
    <w:name w:val="Estilo4 Car"/>
    <w:link w:val="Estilo4"/>
    <w:rsid w:val="0020006E"/>
    <w:rPr>
      <w:rFonts w:ascii="Arial" w:eastAsia="Times New Roman" w:hAnsi="Arial" w:cs="Times New Roman"/>
      <w:b/>
      <w:kern w:val="28"/>
      <w:lang w:val="es-ES_tradnl" w:eastAsia="es-ES"/>
    </w:rPr>
  </w:style>
  <w:style w:type="paragraph" w:customStyle="1" w:styleId="Estilo5">
    <w:name w:val="Estilo5"/>
    <w:basedOn w:val="Estilo1"/>
    <w:qFormat/>
    <w:rsid w:val="0020006E"/>
    <w:pPr>
      <w:keepNext/>
      <w:numPr>
        <w:numId w:val="2"/>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Revisin">
    <w:name w:val="Revision"/>
    <w:hidden/>
    <w:uiPriority w:val="99"/>
    <w:semiHidden/>
    <w:rsid w:val="0020006E"/>
    <w:pPr>
      <w:spacing w:after="0" w:line="240" w:lineRule="auto"/>
    </w:pPr>
    <w:rPr>
      <w:rFonts w:ascii="Times New Roman" w:eastAsia="Times New Roman" w:hAnsi="Times New Roman" w:cs="Times New Roman"/>
      <w:sz w:val="24"/>
      <w:szCs w:val="24"/>
      <w:lang w:val="es-ES" w:eastAsia="es-ES"/>
    </w:rPr>
  </w:style>
  <w:style w:type="paragraph" w:customStyle="1" w:styleId="Estilo8">
    <w:name w:val="Estilo8"/>
    <w:basedOn w:val="Normal"/>
    <w:qFormat/>
    <w:rsid w:val="0020006E"/>
    <w:pPr>
      <w:spacing w:after="0" w:line="240" w:lineRule="auto"/>
    </w:pPr>
    <w:rPr>
      <w:rFonts w:ascii="Arial" w:eastAsia="Times New Roman" w:hAnsi="Arial" w:cs="Arial"/>
      <w:lang w:val="es-ES_tradnl" w:eastAsia="es-CO"/>
    </w:rPr>
  </w:style>
  <w:style w:type="paragraph" w:customStyle="1" w:styleId="Textoindependiente21">
    <w:name w:val="Texto independiente 21"/>
    <w:basedOn w:val="Normal"/>
    <w:rsid w:val="0020006E"/>
    <w:pPr>
      <w:overflowPunct w:val="0"/>
      <w:autoSpaceDE w:val="0"/>
      <w:autoSpaceDN w:val="0"/>
      <w:adjustRightInd w:val="0"/>
      <w:spacing w:after="0" w:line="240" w:lineRule="auto"/>
      <w:ind w:right="20"/>
      <w:jc w:val="both"/>
      <w:textAlignment w:val="baseline"/>
    </w:pPr>
    <w:rPr>
      <w:rFonts w:ascii="Bookman Old Style" w:eastAsia="Times New Roman" w:hAnsi="Bookman Old Style" w:cs="Times New Roman"/>
      <w:szCs w:val="20"/>
      <w:lang w:val="es-ES_tradnl" w:eastAsia="es-ES"/>
    </w:rPr>
  </w:style>
  <w:style w:type="paragraph" w:customStyle="1" w:styleId="ARTICULOS">
    <w:name w:val="ARTICULOS"/>
    <w:basedOn w:val="Normal"/>
    <w:link w:val="ARTICULOSCar"/>
    <w:qFormat/>
    <w:rsid w:val="0020006E"/>
    <w:pPr>
      <w:widowControl w:val="0"/>
      <w:numPr>
        <w:numId w:val="3"/>
      </w:numPr>
      <w:adjustRightInd w:val="0"/>
      <w:spacing w:after="0" w:line="240" w:lineRule="auto"/>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20006E"/>
    <w:rPr>
      <w:rFonts w:ascii="Bookman Old Style" w:eastAsia="Times New Roman" w:hAnsi="Bookman Old Style" w:cs="Times New Roman"/>
      <w:bCs/>
      <w:sz w:val="24"/>
      <w:szCs w:val="24"/>
      <w:lang w:val="x-none" w:eastAsia="x-none"/>
    </w:rPr>
  </w:style>
  <w:style w:type="paragraph" w:customStyle="1" w:styleId="xl28">
    <w:name w:val="xl28"/>
    <w:basedOn w:val="Normal"/>
    <w:rsid w:val="0020006E"/>
    <w:pPr>
      <w:pBdr>
        <w:left w:val="single" w:sz="4" w:space="0" w:color="auto"/>
        <w:bottom w:val="single" w:sz="4" w:space="0" w:color="auto"/>
      </w:pBdr>
      <w:spacing w:before="100" w:after="100" w:line="240" w:lineRule="auto"/>
      <w:jc w:val="center"/>
    </w:pPr>
    <w:rPr>
      <w:rFonts w:ascii="Arial" w:eastAsia="Times New Roman" w:hAnsi="Arial" w:cs="Times New Roman"/>
      <w:b/>
      <w:szCs w:val="20"/>
      <w:lang w:val="es-ES" w:eastAsia="es-MX"/>
    </w:rPr>
  </w:style>
  <w:style w:type="paragraph" w:customStyle="1" w:styleId="xl32">
    <w:name w:val="xl32"/>
    <w:basedOn w:val="Normal"/>
    <w:rsid w:val="0020006E"/>
    <w:pPr>
      <w:pBdr>
        <w:left w:val="single" w:sz="4" w:space="0" w:color="auto"/>
        <w:right w:val="single" w:sz="4" w:space="0" w:color="auto"/>
      </w:pBdr>
      <w:spacing w:before="100" w:after="100" w:line="240" w:lineRule="auto"/>
      <w:jc w:val="center"/>
    </w:pPr>
    <w:rPr>
      <w:rFonts w:ascii="Arial" w:eastAsia="Times New Roman" w:hAnsi="Arial" w:cs="Times New Roman"/>
      <w:szCs w:val="20"/>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0006E"/>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20006E"/>
    <w:pPr>
      <w:keepNext/>
      <w:spacing w:before="240" w:after="60" w:line="240" w:lineRule="auto"/>
      <w:ind w:left="567"/>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20006E"/>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aliases w:val="TBG Heading 4,o"/>
    <w:basedOn w:val="Normal"/>
    <w:next w:val="Normal"/>
    <w:link w:val="Ttulo4Car"/>
    <w:qFormat/>
    <w:rsid w:val="0020006E"/>
    <w:pPr>
      <w:keepNext/>
      <w:spacing w:after="0" w:line="240" w:lineRule="auto"/>
      <w:ind w:left="567"/>
      <w:jc w:val="center"/>
      <w:outlineLvl w:val="3"/>
    </w:pPr>
    <w:rPr>
      <w:rFonts w:ascii="Arial" w:eastAsia="Times New Roman" w:hAnsi="Arial" w:cs="Times New Roman"/>
      <w:b/>
      <w:snapToGrid w:val="0"/>
      <w:color w:val="000000"/>
      <w:spacing w:val="20"/>
      <w:sz w:val="20"/>
      <w:szCs w:val="20"/>
      <w:lang w:val="es-ES_tradnl" w:eastAsia="es-ES"/>
    </w:rPr>
  </w:style>
  <w:style w:type="paragraph" w:styleId="Ttulo5">
    <w:name w:val="heading 5"/>
    <w:basedOn w:val="Normal"/>
    <w:next w:val="Normal"/>
    <w:link w:val="Ttulo5Car"/>
    <w:qFormat/>
    <w:rsid w:val="0020006E"/>
    <w:pPr>
      <w:keepNext/>
      <w:spacing w:after="0" w:line="240" w:lineRule="auto"/>
      <w:ind w:left="567"/>
      <w:jc w:val="center"/>
      <w:outlineLvl w:val="4"/>
    </w:pPr>
    <w:rPr>
      <w:rFonts w:ascii="Arial" w:eastAsia="Times New Roman" w:hAnsi="Arial" w:cs="Times New Roman"/>
      <w:b/>
      <w:snapToGrid w:val="0"/>
      <w:color w:val="000000"/>
      <w:spacing w:val="20"/>
      <w:sz w:val="28"/>
      <w:szCs w:val="20"/>
      <w:lang w:val="es-ES_tradnl" w:eastAsia="es-ES"/>
    </w:rPr>
  </w:style>
  <w:style w:type="paragraph" w:styleId="Ttulo6">
    <w:name w:val="heading 6"/>
    <w:basedOn w:val="Normal"/>
    <w:next w:val="Normal"/>
    <w:link w:val="Ttulo6Car"/>
    <w:unhideWhenUsed/>
    <w:qFormat/>
    <w:rsid w:val="0020006E"/>
    <w:pPr>
      <w:spacing w:before="240" w:after="60" w:line="240" w:lineRule="auto"/>
      <w:ind w:left="567"/>
      <w:outlineLvl w:val="5"/>
    </w:pPr>
    <w:rPr>
      <w:rFonts w:ascii="Calibri" w:eastAsia="Times New Roman" w:hAnsi="Calibri"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0006E"/>
    <w:rPr>
      <w:rFonts w:ascii="CG Times" w:eastAsia="Times New Roman" w:hAnsi="CG Times" w:cs="Times New Roman"/>
      <w:b/>
      <w:sz w:val="24"/>
      <w:szCs w:val="20"/>
      <w:lang w:eastAsia="es-ES"/>
    </w:rPr>
  </w:style>
  <w:style w:type="character" w:customStyle="1" w:styleId="Ttulo2Car">
    <w:name w:val="Título 2 Car"/>
    <w:basedOn w:val="Fuentedeprrafopredeter"/>
    <w:link w:val="Ttulo2"/>
    <w:uiPriority w:val="9"/>
    <w:rsid w:val="0020006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20006E"/>
    <w:rPr>
      <w:rFonts w:ascii="CG Times" w:eastAsia="Times New Roman" w:hAnsi="CG Times" w:cs="Times New Roman"/>
      <w:b/>
      <w:snapToGrid w:val="0"/>
      <w:color w:val="000000"/>
      <w:sz w:val="24"/>
      <w:szCs w:val="20"/>
      <w:lang w:val="es-ES_tradnl" w:eastAsia="es-ES"/>
    </w:rPr>
  </w:style>
  <w:style w:type="character" w:customStyle="1" w:styleId="Ttulo4Car">
    <w:name w:val="Título 4 Car"/>
    <w:aliases w:val="TBG Heading 4 Car,o Car"/>
    <w:basedOn w:val="Fuentedeprrafopredeter"/>
    <w:link w:val="Ttulo4"/>
    <w:rsid w:val="0020006E"/>
    <w:rPr>
      <w:rFonts w:ascii="Arial" w:eastAsia="Times New Roman" w:hAnsi="Arial" w:cs="Times New Roman"/>
      <w:b/>
      <w:snapToGrid w:val="0"/>
      <w:color w:val="000000"/>
      <w:spacing w:val="20"/>
      <w:sz w:val="20"/>
      <w:szCs w:val="20"/>
      <w:lang w:val="es-ES_tradnl" w:eastAsia="es-ES"/>
    </w:rPr>
  </w:style>
  <w:style w:type="character" w:customStyle="1" w:styleId="Ttulo5Car">
    <w:name w:val="Título 5 Car"/>
    <w:basedOn w:val="Fuentedeprrafopredeter"/>
    <w:link w:val="Ttulo5"/>
    <w:rsid w:val="0020006E"/>
    <w:rPr>
      <w:rFonts w:ascii="Arial" w:eastAsia="Times New Roman" w:hAnsi="Arial" w:cs="Times New Roman"/>
      <w:b/>
      <w:snapToGrid w:val="0"/>
      <w:color w:val="000000"/>
      <w:spacing w:val="20"/>
      <w:sz w:val="28"/>
      <w:szCs w:val="20"/>
      <w:lang w:val="es-ES_tradnl" w:eastAsia="es-ES"/>
    </w:rPr>
  </w:style>
  <w:style w:type="character" w:customStyle="1" w:styleId="Ttulo6Car">
    <w:name w:val="Título 6 Car"/>
    <w:basedOn w:val="Fuentedeprrafopredeter"/>
    <w:link w:val="Ttulo6"/>
    <w:rsid w:val="0020006E"/>
    <w:rPr>
      <w:rFonts w:ascii="Calibri" w:eastAsia="Times New Roman" w:hAnsi="Calibri" w:cs="Times New Roman"/>
      <w:b/>
      <w:bCs/>
      <w:lang w:val="es-ES" w:eastAsia="es-ES"/>
    </w:rPr>
  </w:style>
  <w:style w:type="numbering" w:customStyle="1" w:styleId="Sinlista1">
    <w:name w:val="Sin lista1"/>
    <w:next w:val="Sinlista"/>
    <w:uiPriority w:val="99"/>
    <w:semiHidden/>
    <w:unhideWhenUsed/>
    <w:rsid w:val="0020006E"/>
  </w:style>
  <w:style w:type="paragraph" w:styleId="Encabezado">
    <w:name w:val="header"/>
    <w:basedOn w:val="Normal"/>
    <w:link w:val="EncabezadoCar"/>
    <w:rsid w:val="0020006E"/>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20006E"/>
    <w:rPr>
      <w:rFonts w:ascii="CG Times" w:eastAsia="Times New Roman" w:hAnsi="CG Times" w:cs="Times New Roman"/>
      <w:sz w:val="24"/>
      <w:szCs w:val="20"/>
      <w:lang w:eastAsia="es-ES"/>
    </w:rPr>
  </w:style>
  <w:style w:type="paragraph" w:styleId="Piedepgina">
    <w:name w:val="footer"/>
    <w:basedOn w:val="Normal"/>
    <w:link w:val="PiedepginaCar"/>
    <w:semiHidden/>
    <w:rsid w:val="0020006E"/>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20006E"/>
    <w:rPr>
      <w:rFonts w:ascii="Times New Roman" w:eastAsia="Times New Roman" w:hAnsi="Times New Roman" w:cs="Times New Roman"/>
      <w:sz w:val="24"/>
      <w:szCs w:val="24"/>
      <w:lang w:val="es-ES" w:eastAsia="es-ES"/>
    </w:rPr>
  </w:style>
  <w:style w:type="paragraph" w:customStyle="1" w:styleId="Estilo1">
    <w:name w:val="Estilo1"/>
    <w:basedOn w:val="Normal"/>
    <w:rsid w:val="0020006E"/>
    <w:pPr>
      <w:shd w:val="clear" w:color="auto" w:fill="C0C0C0"/>
      <w:spacing w:after="0" w:line="240" w:lineRule="auto"/>
      <w:ind w:left="567"/>
      <w:jc w:val="center"/>
    </w:pPr>
    <w:rPr>
      <w:rFonts w:ascii="Comic Sans MS" w:eastAsia="Times New Roman" w:hAnsi="Comic Sans MS" w:cs="Times New Roman"/>
      <w:color w:val="0000FF"/>
      <w:sz w:val="36"/>
      <w:szCs w:val="20"/>
      <w:lang w:eastAsia="es-ES"/>
    </w:rPr>
  </w:style>
  <w:style w:type="character" w:styleId="Nmerodepgina">
    <w:name w:val="page number"/>
    <w:basedOn w:val="Fuentedeprrafopredeter"/>
    <w:semiHidden/>
    <w:rsid w:val="0020006E"/>
  </w:style>
  <w:style w:type="paragraph" w:styleId="Textoindependiente">
    <w:name w:val="Body Text"/>
    <w:basedOn w:val="Normal"/>
    <w:link w:val="TextoindependienteCar"/>
    <w:rsid w:val="0020006E"/>
    <w:pPr>
      <w:spacing w:after="0" w:line="240" w:lineRule="auto"/>
      <w:ind w:left="567"/>
      <w:jc w:val="center"/>
    </w:pPr>
    <w:rPr>
      <w:rFonts w:ascii="Arial" w:eastAsia="Times New Roman" w:hAnsi="Arial" w:cs="Times New Roman"/>
      <w:b/>
      <w:bCs/>
      <w:sz w:val="24"/>
      <w:szCs w:val="24"/>
      <w:lang w:val="es-ES" w:eastAsia="es-ES"/>
    </w:rPr>
  </w:style>
  <w:style w:type="character" w:customStyle="1" w:styleId="TextoindependienteCar">
    <w:name w:val="Texto independiente Car"/>
    <w:basedOn w:val="Fuentedeprrafopredeter"/>
    <w:link w:val="Textoindependiente"/>
    <w:rsid w:val="0020006E"/>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semiHidden/>
    <w:rsid w:val="0020006E"/>
    <w:pPr>
      <w:spacing w:after="0" w:line="240" w:lineRule="auto"/>
      <w:ind w:left="567"/>
      <w:jc w:val="center"/>
      <w:outlineLvl w:val="0"/>
    </w:pPr>
    <w:rPr>
      <w:rFonts w:ascii="Arial" w:eastAsia="Times New Roman" w:hAnsi="Arial" w:cs="Times New Roman"/>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20006E"/>
    <w:rPr>
      <w:rFonts w:ascii="Arial" w:eastAsia="Times New Roman" w:hAnsi="Arial" w:cs="Times New Roman"/>
      <w:b/>
      <w:bCs/>
      <w:spacing w:val="-3"/>
      <w:sz w:val="24"/>
      <w:szCs w:val="24"/>
      <w:lang w:val="es-ES" w:eastAsia="es-ES"/>
    </w:rPr>
  </w:style>
  <w:style w:type="paragraph" w:styleId="Textodeglobo">
    <w:name w:val="Balloon Text"/>
    <w:basedOn w:val="Normal"/>
    <w:link w:val="TextodegloboCar"/>
    <w:uiPriority w:val="99"/>
    <w:semiHidden/>
    <w:unhideWhenUsed/>
    <w:rsid w:val="0020006E"/>
    <w:pPr>
      <w:spacing w:after="0" w:line="240" w:lineRule="auto"/>
      <w:ind w:left="567"/>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semiHidden/>
    <w:rsid w:val="0020006E"/>
    <w:rPr>
      <w:rFonts w:ascii="Tahoma" w:eastAsia="Times New Roman" w:hAnsi="Tahoma" w:cs="Times New Roman"/>
      <w:sz w:val="16"/>
      <w:szCs w:val="16"/>
      <w:lang w:val="es-ES" w:eastAsia="es-ES"/>
    </w:rPr>
  </w:style>
  <w:style w:type="table" w:styleId="Tablaconcuadrcula">
    <w:name w:val="Table Grid"/>
    <w:basedOn w:val="Tablanormal"/>
    <w:uiPriority w:val="59"/>
    <w:rsid w:val="0020006E"/>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20006E"/>
    <w:pPr>
      <w:widowControl w:val="0"/>
      <w:adjustRightInd w:val="0"/>
      <w:spacing w:after="0" w:line="360" w:lineRule="atLeast"/>
      <w:ind w:left="567"/>
      <w:jc w:val="center"/>
      <w:textAlignment w:val="baseline"/>
    </w:pPr>
    <w:rPr>
      <w:rFonts w:ascii="Arial" w:eastAsia="Times New Roman" w:hAnsi="Arial" w:cs="Times New Roman"/>
      <w:b/>
      <w:bCs/>
      <w:sz w:val="24"/>
      <w:szCs w:val="24"/>
      <w:lang w:val="es-ES" w:eastAsia="es-ES"/>
    </w:rPr>
  </w:style>
  <w:style w:type="character" w:customStyle="1" w:styleId="TtuloCar">
    <w:name w:val="Título Car"/>
    <w:basedOn w:val="Fuentedeprrafopredeter"/>
    <w:link w:val="Ttulo"/>
    <w:rsid w:val="0020006E"/>
    <w:rPr>
      <w:rFonts w:ascii="Arial" w:eastAsia="Times New Roman" w:hAnsi="Arial" w:cs="Times New Roman"/>
      <w:b/>
      <w:bCs/>
      <w:sz w:val="24"/>
      <w:szCs w:val="24"/>
      <w:lang w:val="es-ES" w:eastAsia="es-ES"/>
    </w:rPr>
  </w:style>
  <w:style w:type="paragraph" w:styleId="Prrafodelista">
    <w:name w:val="List Paragraph"/>
    <w:basedOn w:val="Normal"/>
    <w:link w:val="PrrafodelistaCar"/>
    <w:uiPriority w:val="34"/>
    <w:qFormat/>
    <w:rsid w:val="0020006E"/>
    <w:pPr>
      <w:spacing w:after="0" w:line="240" w:lineRule="auto"/>
      <w:ind w:left="708"/>
    </w:pPr>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rsid w:val="0020006E"/>
    <w:rPr>
      <w:rFonts w:ascii="Times New Roman" w:eastAsia="Times New Roman" w:hAnsi="Times New Roman" w:cs="Times New Roman"/>
      <w:sz w:val="20"/>
      <w:szCs w:val="20"/>
      <w:lang w:eastAsia="es-ES"/>
    </w:rPr>
  </w:style>
  <w:style w:type="paragraph" w:styleId="TDC1">
    <w:name w:val="toc 1"/>
    <w:basedOn w:val="Normal"/>
    <w:next w:val="Normal"/>
    <w:autoRedefine/>
    <w:semiHidden/>
    <w:rsid w:val="0020006E"/>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20006E"/>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semiHidden/>
    <w:unhideWhenUsed/>
    <w:rsid w:val="0020006E"/>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semiHidden/>
    <w:rsid w:val="0020006E"/>
    <w:rPr>
      <w:rFonts w:ascii="Times New Roman" w:eastAsia="Times New Roman" w:hAnsi="Times New Roman" w:cs="Times New Roman"/>
      <w:sz w:val="24"/>
      <w:szCs w:val="24"/>
      <w:lang w:val="es-ES" w:eastAsia="es-ES"/>
    </w:rPr>
  </w:style>
  <w:style w:type="paragraph" w:styleId="Epgrafe">
    <w:name w:val="caption"/>
    <w:basedOn w:val="Normal"/>
    <w:next w:val="Normal"/>
    <w:uiPriority w:val="35"/>
    <w:qFormat/>
    <w:rsid w:val="0020006E"/>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20006E"/>
    <w:pPr>
      <w:spacing w:after="0" w:line="240" w:lineRule="auto"/>
    </w:pPr>
    <w:rPr>
      <w:rFonts w:ascii="Calibri" w:eastAsia="Times New Roman" w:hAnsi="Calibri" w:cs="Calibri"/>
      <w:lang w:val="es-ES"/>
    </w:rPr>
  </w:style>
  <w:style w:type="character" w:customStyle="1" w:styleId="apple-style-span">
    <w:name w:val="apple-style-span"/>
    <w:rsid w:val="0020006E"/>
    <w:rPr>
      <w:rFonts w:ascii="Times New Roman" w:hAnsi="Times New Roman" w:cs="Times New Roman"/>
    </w:rPr>
  </w:style>
  <w:style w:type="paragraph" w:styleId="Subttulo">
    <w:name w:val="Subtitle"/>
    <w:basedOn w:val="Normal"/>
    <w:link w:val="SubttuloCar"/>
    <w:qFormat/>
    <w:rsid w:val="0020006E"/>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20006E"/>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20006E"/>
  </w:style>
  <w:style w:type="paragraph" w:customStyle="1" w:styleId="BodyText21">
    <w:name w:val="Body Text 21"/>
    <w:basedOn w:val="Normal"/>
    <w:uiPriority w:val="99"/>
    <w:rsid w:val="0020006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customStyle="1" w:styleId="Estilo2">
    <w:name w:val="Estilo2"/>
    <w:basedOn w:val="Estilo1"/>
    <w:link w:val="Estilo2Car"/>
    <w:rsid w:val="0020006E"/>
    <w:pPr>
      <w:keepNext/>
      <w:widowControl w:val="0"/>
      <w:numPr>
        <w:numId w:val="1"/>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20006E"/>
    <w:rPr>
      <w:rFonts w:ascii="Bookman Old Style" w:eastAsia="Times New Roman" w:hAnsi="Bookman Old Style" w:cs="Times New Roman"/>
      <w:b/>
      <w:bCs/>
      <w:sz w:val="24"/>
      <w:szCs w:val="24"/>
      <w:lang w:eastAsia="ar-SA"/>
    </w:rPr>
  </w:style>
  <w:style w:type="paragraph" w:styleId="Mapadeldocumento">
    <w:name w:val="Document Map"/>
    <w:basedOn w:val="Normal"/>
    <w:link w:val="MapadeldocumentoCar"/>
    <w:uiPriority w:val="99"/>
    <w:semiHidden/>
    <w:unhideWhenUsed/>
    <w:rsid w:val="0020006E"/>
    <w:pPr>
      <w:spacing w:after="0" w:line="240" w:lineRule="auto"/>
      <w:ind w:left="567"/>
    </w:pPr>
    <w:rPr>
      <w:rFonts w:ascii="Tahoma" w:eastAsia="Times New Roman" w:hAnsi="Tahoma" w:cs="Times New Roman"/>
      <w:sz w:val="16"/>
      <w:szCs w:val="16"/>
      <w:lang w:val="es-ES" w:eastAsia="es-ES"/>
    </w:rPr>
  </w:style>
  <w:style w:type="character" w:customStyle="1" w:styleId="MapadeldocumentoCar">
    <w:name w:val="Mapa del documento Car"/>
    <w:basedOn w:val="Fuentedeprrafopredeter"/>
    <w:link w:val="Mapadeldocumento"/>
    <w:uiPriority w:val="99"/>
    <w:semiHidden/>
    <w:rsid w:val="0020006E"/>
    <w:rPr>
      <w:rFonts w:ascii="Tahoma" w:eastAsia="Times New Roman" w:hAnsi="Tahoma" w:cs="Times New Roman"/>
      <w:sz w:val="16"/>
      <w:szCs w:val="16"/>
      <w:lang w:val="es-ES" w:eastAsia="es-ES"/>
    </w:rPr>
  </w:style>
  <w:style w:type="character" w:styleId="Refdecomentario">
    <w:name w:val="annotation reference"/>
    <w:uiPriority w:val="99"/>
    <w:semiHidden/>
    <w:unhideWhenUsed/>
    <w:rsid w:val="0020006E"/>
    <w:rPr>
      <w:sz w:val="16"/>
      <w:szCs w:val="16"/>
    </w:rPr>
  </w:style>
  <w:style w:type="paragraph" w:styleId="Textocomentario">
    <w:name w:val="annotation text"/>
    <w:basedOn w:val="Normal"/>
    <w:link w:val="TextocomentarioCar"/>
    <w:uiPriority w:val="99"/>
    <w:semiHidden/>
    <w:unhideWhenUsed/>
    <w:rsid w:val="0020006E"/>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20006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0006E"/>
    <w:rPr>
      <w:b/>
      <w:bCs/>
    </w:rPr>
  </w:style>
  <w:style w:type="character" w:customStyle="1" w:styleId="AsuntodelcomentarioCar">
    <w:name w:val="Asunto del comentario Car"/>
    <w:basedOn w:val="TextocomentarioCar"/>
    <w:link w:val="Asuntodelcomentario"/>
    <w:uiPriority w:val="99"/>
    <w:semiHidden/>
    <w:rsid w:val="0020006E"/>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20006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20006E"/>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20006E"/>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20006E"/>
    <w:rPr>
      <w:vertAlign w:val="superscript"/>
    </w:rPr>
  </w:style>
  <w:style w:type="paragraph" w:styleId="Textonotapie">
    <w:name w:val="footnote text"/>
    <w:aliases w:val="fn,footnote text"/>
    <w:basedOn w:val="Normal"/>
    <w:link w:val="TextonotapieCar"/>
    <w:uiPriority w:val="99"/>
    <w:semiHidden/>
    <w:rsid w:val="0020006E"/>
    <w:pPr>
      <w:spacing w:after="0" w:line="240" w:lineRule="auto"/>
      <w:jc w:val="both"/>
    </w:pPr>
    <w:rPr>
      <w:rFonts w:ascii="Bookman Old Style" w:eastAsia="Times New Roman" w:hAnsi="Bookman Old Style" w:cs="Times New Roman"/>
      <w:sz w:val="24"/>
      <w:szCs w:val="20"/>
      <w:lang w:val="en-US" w:eastAsia="es-ES"/>
    </w:rPr>
  </w:style>
  <w:style w:type="character" w:customStyle="1" w:styleId="TextonotapieCar">
    <w:name w:val="Texto nota pie Car"/>
    <w:aliases w:val="fn Car,footnote text Car"/>
    <w:basedOn w:val="Fuentedeprrafopredeter"/>
    <w:link w:val="Textonotapie"/>
    <w:uiPriority w:val="99"/>
    <w:semiHidden/>
    <w:rsid w:val="0020006E"/>
    <w:rPr>
      <w:rFonts w:ascii="Bookman Old Style" w:eastAsia="Times New Roman" w:hAnsi="Bookman Old Style" w:cs="Times New Roman"/>
      <w:sz w:val="24"/>
      <w:szCs w:val="20"/>
      <w:lang w:val="en-US" w:eastAsia="es-ES"/>
    </w:rPr>
  </w:style>
  <w:style w:type="character" w:styleId="Refdenotaalpie">
    <w:name w:val="footnote reference"/>
    <w:uiPriority w:val="99"/>
    <w:semiHidden/>
    <w:rsid w:val="0020006E"/>
    <w:rPr>
      <w:vertAlign w:val="superscript"/>
    </w:rPr>
  </w:style>
  <w:style w:type="paragraph" w:customStyle="1" w:styleId="Estilo4">
    <w:name w:val="Estilo4"/>
    <w:basedOn w:val="Normal"/>
    <w:link w:val="Estilo4Car"/>
    <w:qFormat/>
    <w:rsid w:val="0020006E"/>
    <w:pPr>
      <w:keepNext/>
      <w:spacing w:after="0" w:line="240" w:lineRule="auto"/>
      <w:jc w:val="center"/>
      <w:outlineLvl w:val="0"/>
    </w:pPr>
    <w:rPr>
      <w:rFonts w:ascii="Arial" w:eastAsia="Times New Roman" w:hAnsi="Arial" w:cs="Times New Roman"/>
      <w:b/>
      <w:kern w:val="28"/>
      <w:lang w:val="es-ES_tradnl" w:eastAsia="es-ES"/>
    </w:rPr>
  </w:style>
  <w:style w:type="character" w:customStyle="1" w:styleId="Estilo4Car">
    <w:name w:val="Estilo4 Car"/>
    <w:link w:val="Estilo4"/>
    <w:rsid w:val="0020006E"/>
    <w:rPr>
      <w:rFonts w:ascii="Arial" w:eastAsia="Times New Roman" w:hAnsi="Arial" w:cs="Times New Roman"/>
      <w:b/>
      <w:kern w:val="28"/>
      <w:lang w:val="es-ES_tradnl" w:eastAsia="es-ES"/>
    </w:rPr>
  </w:style>
  <w:style w:type="paragraph" w:customStyle="1" w:styleId="Estilo5">
    <w:name w:val="Estilo5"/>
    <w:basedOn w:val="Estilo1"/>
    <w:qFormat/>
    <w:rsid w:val="0020006E"/>
    <w:pPr>
      <w:keepNext/>
      <w:numPr>
        <w:numId w:val="2"/>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Revisin">
    <w:name w:val="Revision"/>
    <w:hidden/>
    <w:uiPriority w:val="99"/>
    <w:semiHidden/>
    <w:rsid w:val="0020006E"/>
    <w:pPr>
      <w:spacing w:after="0" w:line="240" w:lineRule="auto"/>
    </w:pPr>
    <w:rPr>
      <w:rFonts w:ascii="Times New Roman" w:eastAsia="Times New Roman" w:hAnsi="Times New Roman" w:cs="Times New Roman"/>
      <w:sz w:val="24"/>
      <w:szCs w:val="24"/>
      <w:lang w:val="es-ES" w:eastAsia="es-ES"/>
    </w:rPr>
  </w:style>
  <w:style w:type="paragraph" w:customStyle="1" w:styleId="Estilo8">
    <w:name w:val="Estilo8"/>
    <w:basedOn w:val="Normal"/>
    <w:qFormat/>
    <w:rsid w:val="0020006E"/>
    <w:pPr>
      <w:spacing w:after="0" w:line="240" w:lineRule="auto"/>
    </w:pPr>
    <w:rPr>
      <w:rFonts w:ascii="Arial" w:eastAsia="Times New Roman" w:hAnsi="Arial" w:cs="Arial"/>
      <w:lang w:val="es-ES_tradnl" w:eastAsia="es-CO"/>
    </w:rPr>
  </w:style>
  <w:style w:type="paragraph" w:customStyle="1" w:styleId="Textoindependiente21">
    <w:name w:val="Texto independiente 21"/>
    <w:basedOn w:val="Normal"/>
    <w:rsid w:val="0020006E"/>
    <w:pPr>
      <w:overflowPunct w:val="0"/>
      <w:autoSpaceDE w:val="0"/>
      <w:autoSpaceDN w:val="0"/>
      <w:adjustRightInd w:val="0"/>
      <w:spacing w:after="0" w:line="240" w:lineRule="auto"/>
      <w:ind w:right="20"/>
      <w:jc w:val="both"/>
      <w:textAlignment w:val="baseline"/>
    </w:pPr>
    <w:rPr>
      <w:rFonts w:ascii="Bookman Old Style" w:eastAsia="Times New Roman" w:hAnsi="Bookman Old Style" w:cs="Times New Roman"/>
      <w:szCs w:val="20"/>
      <w:lang w:val="es-ES_tradnl" w:eastAsia="es-ES"/>
    </w:rPr>
  </w:style>
  <w:style w:type="paragraph" w:customStyle="1" w:styleId="ARTICULOS">
    <w:name w:val="ARTICULOS"/>
    <w:basedOn w:val="Normal"/>
    <w:link w:val="ARTICULOSCar"/>
    <w:qFormat/>
    <w:rsid w:val="0020006E"/>
    <w:pPr>
      <w:widowControl w:val="0"/>
      <w:numPr>
        <w:numId w:val="3"/>
      </w:numPr>
      <w:adjustRightInd w:val="0"/>
      <w:spacing w:after="0" w:line="240" w:lineRule="auto"/>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20006E"/>
    <w:rPr>
      <w:rFonts w:ascii="Bookman Old Style" w:eastAsia="Times New Roman" w:hAnsi="Bookman Old Style" w:cs="Times New Roman"/>
      <w:bCs/>
      <w:sz w:val="24"/>
      <w:szCs w:val="24"/>
      <w:lang w:val="x-none" w:eastAsia="x-none"/>
    </w:rPr>
  </w:style>
  <w:style w:type="paragraph" w:customStyle="1" w:styleId="xl28">
    <w:name w:val="xl28"/>
    <w:basedOn w:val="Normal"/>
    <w:rsid w:val="0020006E"/>
    <w:pPr>
      <w:pBdr>
        <w:left w:val="single" w:sz="4" w:space="0" w:color="auto"/>
        <w:bottom w:val="single" w:sz="4" w:space="0" w:color="auto"/>
      </w:pBdr>
      <w:spacing w:before="100" w:after="100" w:line="240" w:lineRule="auto"/>
      <w:jc w:val="center"/>
    </w:pPr>
    <w:rPr>
      <w:rFonts w:ascii="Arial" w:eastAsia="Times New Roman" w:hAnsi="Arial" w:cs="Times New Roman"/>
      <w:b/>
      <w:szCs w:val="20"/>
      <w:lang w:val="es-ES" w:eastAsia="es-MX"/>
    </w:rPr>
  </w:style>
  <w:style w:type="paragraph" w:customStyle="1" w:styleId="xl32">
    <w:name w:val="xl32"/>
    <w:basedOn w:val="Normal"/>
    <w:rsid w:val="0020006E"/>
    <w:pPr>
      <w:pBdr>
        <w:left w:val="single" w:sz="4" w:space="0" w:color="auto"/>
        <w:right w:val="single" w:sz="4" w:space="0" w:color="auto"/>
      </w:pBdr>
      <w:spacing w:before="100" w:after="100" w:line="240" w:lineRule="auto"/>
      <w:jc w:val="center"/>
    </w:pPr>
    <w:rPr>
      <w:rFonts w:ascii="Arial" w:eastAsia="Times New Roman" w:hAnsi="Arial" w:cs="Times New Roman"/>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4245E-507F-4389-AC87-B121F735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3672</Words>
  <Characters>20202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 Granados</dc:creator>
  <cp:lastModifiedBy>Luz Stella Rojas Macias</cp:lastModifiedBy>
  <cp:revision>2</cp:revision>
  <cp:lastPrinted>2014-02-19T16:26:00Z</cp:lastPrinted>
  <dcterms:created xsi:type="dcterms:W3CDTF">2014-03-11T20:34:00Z</dcterms:created>
  <dcterms:modified xsi:type="dcterms:W3CDTF">2014-03-11T20:34:00Z</dcterms:modified>
</cp:coreProperties>
</file>