
<file path=[Content_Types].xml><?xml version="1.0" encoding="utf-8"?>
<Types xmlns="http://schemas.openxmlformats.org/package/2006/content-types">
  <Default Extension="png" ContentType="image/png"/>
  <Default Extension="bin" ContentType="application/vnd.openxmlformats-officedocument.oleObject"/>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75F93" w:rsidRPr="007A5CCB" w:rsidRDefault="00DE4BB6" w:rsidP="0036397A">
      <w:pPr>
        <w:jc w:val="center"/>
        <w:rPr>
          <w:b/>
        </w:rPr>
      </w:pPr>
      <w:bookmarkStart w:id="0" w:name="_GoBack"/>
      <w:bookmarkEnd w:id="0"/>
      <w:r>
        <w:rPr>
          <w:b/>
          <w:noProof/>
          <w:lang w:val="es-CO" w:eastAsia="es-CO"/>
        </w:rPr>
        <w:object w:dxaOrig="1440" w:dyaOrig="1440" w14:anchorId="3CA5C44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7" type="#_x0000_t75" style="position:absolute;left:0;text-align:left;margin-left:202.4pt;margin-top:-53.35pt;width:52.5pt;height:48.75pt;z-index:251659264" fillcolor="#0c9">
            <v:imagedata r:id="rId8" o:title=""/>
          </v:shape>
          <o:OLEObject Type="Embed" ProgID="PBrush" ShapeID="_x0000_s1027" DrawAspect="Content" ObjectID="_1571051889" r:id="rId9"/>
        </w:object>
      </w:r>
      <w:r w:rsidR="00575F93" w:rsidRPr="007A5CCB">
        <w:t>Ministerio de Minas y Energía</w:t>
      </w:r>
    </w:p>
    <w:p w:rsidR="00575F93" w:rsidRPr="007A5CCB" w:rsidRDefault="00575F93" w:rsidP="00575F93">
      <w:pPr>
        <w:rPr>
          <w:lang w:val="es-ES_tradnl"/>
        </w:rPr>
      </w:pPr>
    </w:p>
    <w:p w:rsidR="00575F93" w:rsidRPr="007A5CCB" w:rsidRDefault="00575F93" w:rsidP="0036397A"/>
    <w:p w:rsidR="00575F93" w:rsidRPr="00A958DD" w:rsidRDefault="00575F93" w:rsidP="0036397A">
      <w:pPr>
        <w:jc w:val="center"/>
        <w:rPr>
          <w:b/>
        </w:rPr>
      </w:pPr>
      <w:r w:rsidRPr="00A958DD">
        <w:rPr>
          <w:b/>
        </w:rPr>
        <w:t>COMISIÓN DE REGULACIÓN DE ENERGÍA Y GAS</w:t>
      </w:r>
    </w:p>
    <w:p w:rsidR="00575F93" w:rsidRPr="007A5CCB" w:rsidRDefault="00575F93" w:rsidP="0036397A"/>
    <w:p w:rsidR="00575F93" w:rsidRPr="007A5CCB" w:rsidRDefault="00575F93" w:rsidP="0036397A"/>
    <w:p w:rsidR="00575F93" w:rsidRPr="0036397A" w:rsidRDefault="00575F93" w:rsidP="0036397A">
      <w:pPr>
        <w:jc w:val="center"/>
        <w:rPr>
          <w:b/>
        </w:rPr>
      </w:pPr>
      <w:r w:rsidRPr="0036397A">
        <w:rPr>
          <w:b/>
        </w:rPr>
        <w:t xml:space="preserve">RESOLUCIÓN No.                   </w:t>
      </w:r>
      <w:r w:rsidR="00A30309" w:rsidRPr="0036397A">
        <w:rPr>
          <w:b/>
        </w:rPr>
        <w:t>DE 2017</w:t>
      </w:r>
    </w:p>
    <w:p w:rsidR="00575F93" w:rsidRPr="007A5CCB" w:rsidRDefault="00575F93" w:rsidP="00575F93">
      <w:pPr>
        <w:tabs>
          <w:tab w:val="left" w:pos="0"/>
          <w:tab w:val="right" w:pos="9356"/>
        </w:tabs>
        <w:contextualSpacing/>
        <w:jc w:val="center"/>
        <w:rPr>
          <w:rFonts w:cs="Arial"/>
          <w:b/>
          <w:snapToGrid w:val="0"/>
          <w:color w:val="000000"/>
          <w:lang w:val="es-ES_tradnl"/>
        </w:rPr>
      </w:pPr>
    </w:p>
    <w:p w:rsidR="00575F93" w:rsidRPr="007A5CCB" w:rsidRDefault="00575F93" w:rsidP="0036397A">
      <w:pPr>
        <w:jc w:val="center"/>
        <w:rPr>
          <w:b/>
        </w:rPr>
      </w:pPr>
      <w:r w:rsidRPr="007A5CCB">
        <w:t>(                                  )</w:t>
      </w:r>
    </w:p>
    <w:p w:rsidR="00575F93" w:rsidRDefault="00575F93" w:rsidP="00575F93">
      <w:pPr>
        <w:tabs>
          <w:tab w:val="left" w:pos="0"/>
          <w:tab w:val="right" w:pos="9356"/>
        </w:tabs>
        <w:contextualSpacing/>
        <w:jc w:val="center"/>
        <w:rPr>
          <w:lang w:val="es-ES_tradnl"/>
        </w:rPr>
      </w:pPr>
    </w:p>
    <w:p w:rsidR="00A30309" w:rsidRPr="007A5CCB" w:rsidRDefault="00A30309" w:rsidP="00575F93">
      <w:pPr>
        <w:tabs>
          <w:tab w:val="left" w:pos="0"/>
          <w:tab w:val="right" w:pos="9356"/>
        </w:tabs>
        <w:contextualSpacing/>
        <w:jc w:val="center"/>
        <w:rPr>
          <w:lang w:val="es-ES_tradnl"/>
        </w:rPr>
      </w:pPr>
    </w:p>
    <w:p w:rsidR="00A30309" w:rsidRPr="00A30309" w:rsidRDefault="00A30309" w:rsidP="00A30309">
      <w:pPr>
        <w:jc w:val="center"/>
        <w:rPr>
          <w:rFonts w:cs="Arial"/>
          <w:color w:val="000000"/>
        </w:rPr>
      </w:pPr>
      <w:r>
        <w:rPr>
          <w:rFonts w:cs="Arial"/>
        </w:rPr>
        <w:t xml:space="preserve"> </w:t>
      </w:r>
      <w:r w:rsidR="00575F93" w:rsidRPr="007A5CCB">
        <w:rPr>
          <w:rFonts w:cs="Arial"/>
          <w:color w:val="000000"/>
        </w:rPr>
        <w:t xml:space="preserve">Por la cual se define </w:t>
      </w:r>
      <w:r w:rsidRPr="00A30309">
        <w:rPr>
          <w:rFonts w:cs="Arial"/>
          <w:color w:val="000000"/>
        </w:rPr>
        <w:t xml:space="preserve">la regulación asociada al </w:t>
      </w:r>
      <w:r w:rsidRPr="002C432C">
        <w:rPr>
          <w:rFonts w:cs="Arial"/>
          <w:i/>
          <w:color w:val="000000"/>
        </w:rPr>
        <w:t>Open Season</w:t>
      </w:r>
      <w:r w:rsidRPr="00A30309">
        <w:rPr>
          <w:rFonts w:cs="Arial"/>
          <w:color w:val="000000"/>
        </w:rPr>
        <w:t xml:space="preserve"> como </w:t>
      </w:r>
    </w:p>
    <w:p w:rsidR="00A30309" w:rsidRDefault="00A30309" w:rsidP="00575F93">
      <w:pPr>
        <w:jc w:val="center"/>
        <w:rPr>
          <w:rFonts w:cs="Arial"/>
          <w:color w:val="000000"/>
        </w:rPr>
      </w:pPr>
      <w:r w:rsidRPr="00A30309">
        <w:rPr>
          <w:rFonts w:cs="Arial"/>
          <w:color w:val="000000"/>
        </w:rPr>
        <w:t>mecanismo de mercado para el desarrollo de proyectos de infraestructura de transporte de g</w:t>
      </w:r>
      <w:r w:rsidR="00BD0A4E">
        <w:rPr>
          <w:rFonts w:cs="Arial"/>
          <w:color w:val="000000"/>
        </w:rPr>
        <w:t>as asociados con</w:t>
      </w:r>
      <w:r>
        <w:rPr>
          <w:rFonts w:cs="Arial"/>
          <w:color w:val="000000"/>
        </w:rPr>
        <w:t xml:space="preserve"> extensiones</w:t>
      </w:r>
      <w:r w:rsidR="00BD0A4E">
        <w:rPr>
          <w:rFonts w:cs="Arial"/>
          <w:color w:val="000000"/>
        </w:rPr>
        <w:t xml:space="preserve"> y </w:t>
      </w:r>
      <w:r w:rsidRPr="00A30309">
        <w:rPr>
          <w:rFonts w:cs="Arial"/>
          <w:color w:val="000000"/>
        </w:rPr>
        <w:t>otros gasoductos</w:t>
      </w:r>
      <w:r w:rsidR="00106BAE" w:rsidRPr="00106BAE">
        <w:rPr>
          <w:rFonts w:cs="Arial"/>
          <w:color w:val="000000"/>
        </w:rPr>
        <w:t xml:space="preserve"> </w:t>
      </w:r>
      <w:r w:rsidR="00BD0A4E">
        <w:rPr>
          <w:rFonts w:cs="Arial"/>
          <w:color w:val="000000"/>
        </w:rPr>
        <w:t xml:space="preserve">diferentes a ampliaciones de capacidad, gasoductos dedicados y de conexión, </w:t>
      </w:r>
      <w:r>
        <w:rPr>
          <w:rFonts w:cs="Arial"/>
          <w:color w:val="000000"/>
        </w:rPr>
        <w:t>y se adoptan otras disposiciones</w:t>
      </w:r>
    </w:p>
    <w:p w:rsidR="00575F93" w:rsidRPr="007A5CCB" w:rsidRDefault="00575F93" w:rsidP="00575F93">
      <w:pPr>
        <w:widowControl w:val="0"/>
        <w:suppressAutoHyphens/>
        <w:rPr>
          <w:rFonts w:cs="Arial"/>
          <w:spacing w:val="-3"/>
        </w:rPr>
      </w:pPr>
    </w:p>
    <w:p w:rsidR="00575F93" w:rsidRPr="007A5CCB" w:rsidRDefault="00575F93" w:rsidP="00575F93">
      <w:pPr>
        <w:widowControl w:val="0"/>
      </w:pPr>
    </w:p>
    <w:p w:rsidR="00575F93" w:rsidRPr="007A5CCB" w:rsidRDefault="00575F93" w:rsidP="00575F93">
      <w:pPr>
        <w:widowControl w:val="0"/>
        <w:jc w:val="center"/>
        <w:rPr>
          <w:b/>
        </w:rPr>
      </w:pPr>
      <w:r w:rsidRPr="007A5CCB">
        <w:rPr>
          <w:b/>
        </w:rPr>
        <w:t>LA COMISIÓN DE REGULACIÓN DE ENERGÍA Y GAS</w:t>
      </w:r>
    </w:p>
    <w:p w:rsidR="00575F93" w:rsidRPr="007A5CCB" w:rsidRDefault="00575F93" w:rsidP="00575F93">
      <w:pPr>
        <w:widowControl w:val="0"/>
      </w:pPr>
    </w:p>
    <w:p w:rsidR="00575F93" w:rsidRPr="007A5CCB" w:rsidRDefault="00575F93" w:rsidP="00575F93">
      <w:pPr>
        <w:widowControl w:val="0"/>
      </w:pPr>
    </w:p>
    <w:p w:rsidR="00575F93" w:rsidRDefault="00575F93" w:rsidP="00575F93">
      <w:pPr>
        <w:widowControl w:val="0"/>
        <w:jc w:val="center"/>
        <w:rPr>
          <w:rFonts w:cs="Arial"/>
          <w:bCs/>
          <w:spacing w:val="-3"/>
          <w:lang w:val="es-CO"/>
        </w:rPr>
      </w:pPr>
      <w:r w:rsidRPr="007A5CCB">
        <w:rPr>
          <w:rFonts w:cs="Arial"/>
          <w:bCs/>
          <w:spacing w:val="-3"/>
        </w:rPr>
        <w:t xml:space="preserve">En ejercicio de sus atribuciones legales, en especial las conferidas por las </w:t>
      </w:r>
      <w:r w:rsidRPr="007A5CCB">
        <w:rPr>
          <w:rFonts w:cs="Arial"/>
          <w:bCs/>
          <w:spacing w:val="-3"/>
          <w:lang w:val="es-CO"/>
        </w:rPr>
        <w:t>l</w:t>
      </w:r>
      <w:r w:rsidRPr="007A5CCB">
        <w:rPr>
          <w:rFonts w:cs="Arial"/>
          <w:bCs/>
          <w:spacing w:val="-3"/>
        </w:rPr>
        <w:t>eyes 142, 143 de 1994, y en desarrollo de los Decretos 1524</w:t>
      </w:r>
      <w:r w:rsidRPr="007A5CCB">
        <w:rPr>
          <w:rFonts w:cs="Arial"/>
          <w:bCs/>
          <w:spacing w:val="-3"/>
          <w:lang w:val="es-CO"/>
        </w:rPr>
        <w:t>,</w:t>
      </w:r>
      <w:r w:rsidRPr="007A5CCB">
        <w:rPr>
          <w:rFonts w:cs="Arial"/>
          <w:bCs/>
          <w:spacing w:val="-3"/>
        </w:rPr>
        <w:t xml:space="preserve"> 2253 de 1994</w:t>
      </w:r>
      <w:r w:rsidR="00A30309">
        <w:rPr>
          <w:rFonts w:cs="Arial"/>
          <w:bCs/>
          <w:spacing w:val="-3"/>
          <w:lang w:val="es-CO"/>
        </w:rPr>
        <w:t>, 1260 de 2013</w:t>
      </w:r>
      <w:r w:rsidR="00106BAE">
        <w:rPr>
          <w:rFonts w:cs="Arial"/>
          <w:bCs/>
          <w:spacing w:val="-3"/>
          <w:lang w:val="es-CO"/>
        </w:rPr>
        <w:t>, y</w:t>
      </w:r>
    </w:p>
    <w:p w:rsidR="00106BAE" w:rsidRDefault="00106BAE" w:rsidP="00575F93">
      <w:pPr>
        <w:widowControl w:val="0"/>
        <w:jc w:val="center"/>
        <w:rPr>
          <w:rFonts w:cs="Arial"/>
          <w:bCs/>
          <w:spacing w:val="-3"/>
          <w:lang w:val="es-CO"/>
        </w:rPr>
      </w:pPr>
    </w:p>
    <w:p w:rsidR="00106BAE" w:rsidRPr="00106BAE" w:rsidRDefault="00106BAE" w:rsidP="00106BAE">
      <w:pPr>
        <w:jc w:val="center"/>
        <w:rPr>
          <w:rFonts w:cs="Arial"/>
          <w:b/>
          <w:color w:val="000000"/>
        </w:rPr>
      </w:pPr>
      <w:r w:rsidRPr="00106BAE">
        <w:rPr>
          <w:rFonts w:cs="Arial"/>
          <w:b/>
          <w:color w:val="000000"/>
        </w:rPr>
        <w:t>C O N S I D E R A N D O  Q U E:</w:t>
      </w:r>
    </w:p>
    <w:p w:rsidR="00106BAE" w:rsidRPr="007A5CCB" w:rsidRDefault="00106BAE" w:rsidP="00575F93">
      <w:pPr>
        <w:contextualSpacing/>
        <w:rPr>
          <w:rFonts w:cs="Arial"/>
          <w:b/>
          <w:color w:val="000000"/>
        </w:rPr>
      </w:pPr>
    </w:p>
    <w:p w:rsidR="00575F93" w:rsidRPr="007A5CCB" w:rsidRDefault="00575F93" w:rsidP="00575F93">
      <w:pPr>
        <w:rPr>
          <w:rFonts w:cs="Arial"/>
          <w:bCs/>
          <w:color w:val="000000" w:themeColor="text1"/>
          <w:lang w:eastAsia="es-CO"/>
        </w:rPr>
      </w:pPr>
      <w:r w:rsidRPr="007A5CCB">
        <w:rPr>
          <w:rFonts w:cs="Arial"/>
          <w:bCs/>
          <w:color w:val="000000" w:themeColor="text1"/>
          <w:lang w:eastAsia="es-CO"/>
        </w:rPr>
        <w:t>El artículo 333 de la Constitución Política establece que “el Estado, por mandato de la ley, impedirá que se obstruya o se restrinja la libertad económica y evitará o controlará cualquier abuso que personas o empresas hagan de su posición dominante en el mercado nacional”.</w:t>
      </w:r>
    </w:p>
    <w:p w:rsidR="00575F93" w:rsidRPr="007A5CCB" w:rsidRDefault="00575F93" w:rsidP="00575F93">
      <w:pPr>
        <w:rPr>
          <w:rFonts w:cs="Arial"/>
          <w:color w:val="000000" w:themeColor="text1"/>
        </w:rPr>
      </w:pPr>
    </w:p>
    <w:p w:rsidR="00575F93" w:rsidRPr="007A5CCB" w:rsidRDefault="00575F93" w:rsidP="00575F93">
      <w:pPr>
        <w:rPr>
          <w:rFonts w:cs="Arial"/>
          <w:color w:val="000000" w:themeColor="text1"/>
          <w:lang w:val="es-ES_tradnl"/>
        </w:rPr>
      </w:pPr>
      <w:r w:rsidRPr="007A5CCB">
        <w:rPr>
          <w:rFonts w:cs="Arial"/>
          <w:color w:val="000000" w:themeColor="text1"/>
          <w:lang w:val="es-ES_tradnl"/>
        </w:rPr>
        <w:t>El artículo 365 de la Constitución Política establece, a su vez, que “los servicios públicos son inherentes a la finalidad social del Estado. Es deber del Estado asegurar su prestación eficiente a todos los habitantes del territorio nacional”, que los mismos estarán sometidos al régimen jurídico que fije la ley, y que “en todo caso, el Estado mantendrá la regulación, el control y la vigilancia de dichos servicios”.</w:t>
      </w:r>
    </w:p>
    <w:p w:rsidR="00575F93" w:rsidRPr="007A5CCB" w:rsidRDefault="00575F93" w:rsidP="00575F93">
      <w:pPr>
        <w:rPr>
          <w:rFonts w:cs="Arial"/>
          <w:color w:val="000000" w:themeColor="text1"/>
          <w:lang w:val="es-CO"/>
        </w:rPr>
      </w:pPr>
    </w:p>
    <w:p w:rsidR="00575F93" w:rsidRPr="007A5CCB" w:rsidRDefault="00575F93" w:rsidP="00575F93">
      <w:pPr>
        <w:rPr>
          <w:rFonts w:cs="Calibri"/>
          <w:color w:val="000000" w:themeColor="text1"/>
        </w:rPr>
      </w:pPr>
      <w:r w:rsidRPr="007A5CCB">
        <w:rPr>
          <w:rFonts w:cs="Calibri"/>
          <w:color w:val="000000" w:themeColor="text1"/>
        </w:rPr>
        <w:t>Los artículos 1, 2, 3 y 4 de la Ley 142 de 1994 establecen que los servicios públicos domiciliarios son esenciales y que la intervención del Estado está encaminada, entre otros fines, a conseguir su prestación eficiente, asegurar su calidad, ampliar su cobertura, permitir la libre competencia y evitar el abuso de la posición dominante. Esto mediante diversos instrumentos expresados, entre otros, en las funciones y atribuciones asignadas a las entidades en materia de servicios públicos, a las cuales le corresponde expedir la normativa en diferentes materias como es la gestión y obtención de recursos para la prestación de servicios, la fijación de metas de eficiencia, cobertura, calidad y su evaluación, la definición del régimen tarifario, la organización de sistemas de información, la neutralidad de la prestación de los servicios, entre otras.</w:t>
      </w:r>
    </w:p>
    <w:p w:rsidR="00575F93" w:rsidRPr="007A5CCB" w:rsidRDefault="00575F93" w:rsidP="00575F93">
      <w:pPr>
        <w:rPr>
          <w:rFonts w:cs="Arial"/>
          <w:color w:val="000000" w:themeColor="text1"/>
        </w:rPr>
      </w:pPr>
    </w:p>
    <w:p w:rsidR="00575F93" w:rsidRPr="007A5CCB" w:rsidRDefault="00575F93" w:rsidP="00575F93">
      <w:pPr>
        <w:rPr>
          <w:rFonts w:cs="Calibri"/>
          <w:color w:val="000000" w:themeColor="text1"/>
        </w:rPr>
      </w:pPr>
      <w:r w:rsidRPr="007A5CCB">
        <w:rPr>
          <w:rFonts w:cs="Calibri"/>
          <w:color w:val="000000" w:themeColor="text1"/>
        </w:rPr>
        <w:lastRenderedPageBreak/>
        <w:t>Los artículos 14.18 y 69 de la Ley 142 de 1994 prevén a cargo de las comisiones de regulación la atribución de regular el servicio público respectivo con sujeción a la ley y a los decretos reglamentarios como una función de intervención sobre la base de lo que las normas superiores dispongan para asegurar que quienes presten los servicios públicos se sujeten a sus mandatos. El ejercicio de dicha atribución ha sido definida</w:t>
      </w:r>
      <w:r w:rsidR="009C17FF">
        <w:rPr>
          <w:rFonts w:cs="Calibri"/>
          <w:color w:val="000000" w:themeColor="text1"/>
        </w:rPr>
        <w:t xml:space="preserve"> </w:t>
      </w:r>
      <w:r w:rsidRPr="007A5CCB">
        <w:rPr>
          <w:rFonts w:cs="Calibri"/>
          <w:color w:val="000000" w:themeColor="text1"/>
        </w:rPr>
        <w:t>legalmente como la facultad de dictar normas de carácter general o particular en los términos de la Constitución y la ley, para someter la conducta de las personas que presten los servicios públicos domiciliarios y sus actividades complementarias a las reglas, normas, principios y deberes establecidos por la ley y los reglamentos.</w:t>
      </w:r>
    </w:p>
    <w:p w:rsidR="00575F93" w:rsidRPr="007A5CCB" w:rsidRDefault="00575F93" w:rsidP="00575F93">
      <w:pPr>
        <w:contextualSpacing/>
        <w:rPr>
          <w:lang w:val="es-CO"/>
        </w:rPr>
      </w:pPr>
    </w:p>
    <w:p w:rsidR="00575F93" w:rsidRPr="007A5CCB" w:rsidRDefault="00575F93" w:rsidP="00575F93">
      <w:pPr>
        <w:contextualSpacing/>
        <w:rPr>
          <w:lang w:val="es-CO"/>
        </w:rPr>
      </w:pPr>
      <w:r w:rsidRPr="007A5CCB">
        <w:rPr>
          <w:lang w:val="es-CO"/>
        </w:rPr>
        <w:t xml:space="preserve">En relación con lo anterior y atendiendo el análisis que se ha hecho del alcance y la finalidad que comprende dicha atribución, se debe tener en cuenta entonces que la regulación y las medidas regulatorias que se adopten por parte de esta Comisión, </w:t>
      </w:r>
      <w:r w:rsidRPr="007A5CCB">
        <w:rPr>
          <w:rFonts w:eastAsia="Calibri"/>
          <w:lang w:val="es-ES_tradnl" w:eastAsia="en-US"/>
        </w:rPr>
        <w:t>deben propender, entre otros fines, por la convergencia entre los intereses colectivos que persigue la prestación de los servicios públicos, como por aquellos intereses de las empresas en relación con la competencia, la iniciativa privada y la libertad de empresa, entendidas como la existencia de “</w:t>
      </w:r>
      <w:r w:rsidRPr="007A5CCB">
        <w:rPr>
          <w:rFonts w:eastAsia="Calibri"/>
          <w:i/>
          <w:lang w:val="es-ES_tradnl" w:eastAsia="en-US"/>
        </w:rPr>
        <w:t>relaciones jurídicas de equilibrio entre usuarios y las empresas prestadoras de servicios públicos domiciliarios”</w:t>
      </w:r>
      <w:r w:rsidRPr="007A5CCB">
        <w:rPr>
          <w:rFonts w:eastAsia="Calibri"/>
          <w:vertAlign w:val="superscript"/>
          <w:lang w:val="es-ES_tradnl" w:eastAsia="en-US"/>
        </w:rPr>
        <w:footnoteReference w:id="1"/>
      </w:r>
      <w:r w:rsidRPr="007A5CCB">
        <w:rPr>
          <w:rFonts w:eastAsia="Calibri"/>
          <w:i/>
          <w:lang w:val="es-ES_tradnl" w:eastAsia="en-US"/>
        </w:rPr>
        <w:t>.</w:t>
      </w:r>
    </w:p>
    <w:p w:rsidR="00575F93" w:rsidRPr="007A5CCB" w:rsidRDefault="00575F93" w:rsidP="00575F93">
      <w:pPr>
        <w:contextualSpacing/>
        <w:rPr>
          <w:lang w:val="es-CO"/>
        </w:rPr>
      </w:pPr>
    </w:p>
    <w:p w:rsidR="00575F93" w:rsidRPr="007A5CCB" w:rsidRDefault="00575F93" w:rsidP="00575F93">
      <w:pPr>
        <w:contextualSpacing/>
        <w:rPr>
          <w:rFonts w:eastAsia="Calibri"/>
          <w:lang w:val="es-ES_tradnl" w:eastAsia="en-US"/>
        </w:rPr>
      </w:pPr>
      <w:r w:rsidRPr="007A5CCB">
        <w:rPr>
          <w:rFonts w:eastAsia="Calibri"/>
          <w:lang w:val="es-CO" w:eastAsia="en-US"/>
        </w:rPr>
        <w:t>Dicha</w:t>
      </w:r>
      <w:r w:rsidRPr="007A5CCB">
        <w:rPr>
          <w:rFonts w:eastAsia="Calibri"/>
          <w:lang w:val="es-ES_tradnl" w:eastAsia="en-US"/>
        </w:rPr>
        <w:t xml:space="preserve"> convergencia, a través de los mecanismos regulatorios, debe garantizar el equilibrio entre la libertad económica (incentivo económico), la promoción de intereses colectivos concretos y la prestación de servicios públicos, es decir, la regulación ha de propender por hacer compatibles los intereses privados, que actúan como motor de la actividad económica, con la satisfacción de las necesidades colectivas</w:t>
      </w:r>
      <w:r w:rsidRPr="007A5CCB">
        <w:rPr>
          <w:rFonts w:eastAsia="Calibri"/>
          <w:vertAlign w:val="superscript"/>
          <w:lang w:val="es-ES_tradnl" w:eastAsia="en-US"/>
        </w:rPr>
        <w:footnoteReference w:id="2"/>
      </w:r>
      <w:r w:rsidRPr="007A5CCB">
        <w:rPr>
          <w:rFonts w:eastAsia="Calibri"/>
          <w:lang w:val="es-ES_tradnl" w:eastAsia="en-US"/>
        </w:rPr>
        <w:t>. Sobre este punto expone la H. Corte Constitucional ha expuesto lo siguiente:</w:t>
      </w:r>
    </w:p>
    <w:p w:rsidR="00575F93" w:rsidRPr="007A5CCB" w:rsidRDefault="00575F93" w:rsidP="00575F93">
      <w:pPr>
        <w:contextualSpacing/>
        <w:rPr>
          <w:lang w:val="es-CO"/>
        </w:rPr>
      </w:pPr>
    </w:p>
    <w:p w:rsidR="00575F93" w:rsidRPr="007A5CCB" w:rsidRDefault="00575F93" w:rsidP="00575F93">
      <w:pPr>
        <w:ind w:left="284" w:right="284"/>
        <w:contextualSpacing/>
        <w:rPr>
          <w:rFonts w:cs="Calibri"/>
          <w:iCs/>
          <w:sz w:val="22"/>
          <w:szCs w:val="22"/>
          <w:lang w:val="es-CO" w:eastAsia="es-CO"/>
        </w:rPr>
      </w:pPr>
      <w:r w:rsidRPr="007A5CCB">
        <w:rPr>
          <w:rFonts w:cs="Calibri"/>
          <w:i/>
          <w:iCs/>
          <w:sz w:val="22"/>
          <w:szCs w:val="22"/>
          <w:lang w:val="es-CO" w:eastAsia="es-CO"/>
        </w:rPr>
        <w:t>“Los órganos de regulación han de ejercer sus competencias con miras a alcanzar los fines que justifican su existencia en un mercado inscrito dentro de un Estado social y democrático de derecho. Estos fines se pueden agrupar en dos clases, a pesar de su variedad y especificidad. La primera clase comprende los fines sociales que el mercado por sí mismo no alcanzará, según las prioridades de orden político definidas por el legislador y de conformidad con el rango temporal que éste se ha trazado para alcanzarlos. La segunda clase abarca los fines económicos atinentes a procurar que el mercado funcione adecuadamente en beneficio de todos, no de quienes dentro de él ocupan una posición especial de poder, en razón a su predominio económico o tecnológico o en razón a su acceso especial al proceso de toma de decisiones públicas tanto en el órgano legislativo como en los órganos administrativos clásicos”</w:t>
      </w:r>
      <w:r w:rsidRPr="007A5CCB">
        <w:rPr>
          <w:rFonts w:cs="Calibri"/>
          <w:iCs/>
          <w:sz w:val="22"/>
          <w:szCs w:val="22"/>
          <w:lang w:val="es-CO" w:eastAsia="es-CO"/>
        </w:rPr>
        <w:t>.</w:t>
      </w:r>
    </w:p>
    <w:p w:rsidR="00575F93" w:rsidRPr="007A5CCB" w:rsidRDefault="00575F93" w:rsidP="00575F93">
      <w:pPr>
        <w:ind w:left="284" w:right="284"/>
        <w:contextualSpacing/>
        <w:rPr>
          <w:rFonts w:cs="Calibri"/>
          <w:i/>
          <w:iCs/>
          <w:sz w:val="22"/>
          <w:szCs w:val="22"/>
          <w:lang w:val="es-CO" w:eastAsia="es-CO"/>
        </w:rPr>
      </w:pPr>
    </w:p>
    <w:p w:rsidR="00575F93" w:rsidRPr="007A5CCB" w:rsidRDefault="00575F93" w:rsidP="00575F93">
      <w:pPr>
        <w:ind w:left="284" w:right="284"/>
        <w:contextualSpacing/>
        <w:rPr>
          <w:rFonts w:cs="Calibri"/>
          <w:sz w:val="22"/>
          <w:szCs w:val="22"/>
          <w:lang w:val="es-CO" w:eastAsia="es-CO"/>
        </w:rPr>
      </w:pPr>
      <w:r w:rsidRPr="007A5CCB">
        <w:rPr>
          <w:rFonts w:cs="Calibri"/>
          <w:i/>
          <w:iCs/>
          <w:sz w:val="22"/>
          <w:szCs w:val="22"/>
          <w:lang w:val="es-CO" w:eastAsia="es-CO"/>
        </w:rPr>
        <w:t>(</w:t>
      </w:r>
      <w:r w:rsidRPr="007A5CCB">
        <w:rPr>
          <w:rFonts w:cs="Calibri"/>
          <w:sz w:val="22"/>
          <w:szCs w:val="22"/>
          <w:lang w:val="es-CO" w:eastAsia="es-CO"/>
        </w:rPr>
        <w:t>…)</w:t>
      </w:r>
    </w:p>
    <w:p w:rsidR="00575F93" w:rsidRPr="007A5CCB" w:rsidRDefault="00575F93" w:rsidP="00575F93">
      <w:pPr>
        <w:ind w:left="284" w:right="284"/>
        <w:contextualSpacing/>
        <w:rPr>
          <w:rFonts w:cs="Calibri"/>
          <w:sz w:val="22"/>
          <w:szCs w:val="22"/>
          <w:lang w:val="es-CO" w:eastAsia="es-CO"/>
        </w:rPr>
      </w:pPr>
    </w:p>
    <w:p w:rsidR="00575F93" w:rsidRPr="007A5CCB" w:rsidRDefault="00575F93" w:rsidP="00575F93">
      <w:pPr>
        <w:ind w:left="284" w:right="284"/>
        <w:contextualSpacing/>
        <w:rPr>
          <w:rFonts w:eastAsia="Calibri"/>
          <w:sz w:val="22"/>
          <w:szCs w:val="22"/>
          <w:lang w:val="es-ES_tradnl" w:eastAsia="en-US"/>
        </w:rPr>
      </w:pPr>
      <w:r w:rsidRPr="007A5CCB">
        <w:rPr>
          <w:rFonts w:cs="Calibri"/>
          <w:i/>
          <w:iCs/>
          <w:color w:val="000000"/>
          <w:sz w:val="22"/>
          <w:szCs w:val="22"/>
          <w:lang w:val="es-CO" w:eastAsia="es-CO"/>
        </w:rPr>
        <w:t>“</w:t>
      </w:r>
      <w:r w:rsidRPr="007A5CCB">
        <w:rPr>
          <w:rFonts w:cs="Calibri"/>
          <w:b/>
          <w:i/>
          <w:iCs/>
          <w:color w:val="000000"/>
          <w:sz w:val="22"/>
          <w:szCs w:val="22"/>
          <w:u w:val="single"/>
          <w:lang w:val="es-CO" w:eastAsia="es-CO"/>
        </w:rPr>
        <w:t xml:space="preserve">La regulación, en tanto que mecanismo de intervención del Estado, busca garantizar </w:t>
      </w:r>
      <w:r w:rsidRPr="007A5CCB">
        <w:rPr>
          <w:rFonts w:cs="Calibri"/>
          <w:b/>
          <w:i/>
          <w:iCs/>
          <w:sz w:val="22"/>
          <w:szCs w:val="22"/>
          <w:u w:val="single"/>
          <w:lang w:val="es-CO" w:eastAsia="es-CO"/>
        </w:rPr>
        <w:t>la efectividad de los principios sociales y el adecuado funcionamiento del mercado</w:t>
      </w:r>
      <w:r w:rsidRPr="007A5CCB">
        <w:rPr>
          <w:rFonts w:cs="Calibri"/>
          <w:i/>
          <w:iCs/>
          <w:sz w:val="22"/>
          <w:szCs w:val="22"/>
          <w:u w:val="single"/>
          <w:lang w:val="es-CO" w:eastAsia="es-CO"/>
        </w:rPr>
        <w:t xml:space="preserve"> (…)”.</w:t>
      </w:r>
      <w:r w:rsidRPr="007A5CCB">
        <w:rPr>
          <w:rFonts w:cs="Calibri"/>
          <w:i/>
          <w:iCs/>
          <w:sz w:val="22"/>
          <w:szCs w:val="22"/>
          <w:u w:val="single"/>
          <w:vertAlign w:val="superscript"/>
          <w:lang w:val="es-CO" w:eastAsia="es-CO"/>
        </w:rPr>
        <w:footnoteReference w:id="3"/>
      </w:r>
      <w:r w:rsidRPr="007A5CCB">
        <w:rPr>
          <w:rFonts w:cs="Calibri"/>
          <w:iCs/>
          <w:sz w:val="22"/>
          <w:szCs w:val="22"/>
          <w:lang w:val="es-CO" w:eastAsia="es-CO"/>
        </w:rPr>
        <w:t xml:space="preserve"> (Resaltado fuera de texto)</w:t>
      </w:r>
    </w:p>
    <w:p w:rsidR="00575F93" w:rsidRPr="007A5CCB" w:rsidRDefault="00575F93" w:rsidP="00575F93">
      <w:pPr>
        <w:contextualSpacing/>
        <w:rPr>
          <w:lang w:val="es-ES_tradnl"/>
        </w:rPr>
      </w:pPr>
    </w:p>
    <w:p w:rsidR="00575F93" w:rsidRPr="007A5CCB" w:rsidRDefault="00575F93" w:rsidP="00575F93">
      <w:pPr>
        <w:contextualSpacing/>
        <w:rPr>
          <w:lang w:val="es-CO"/>
        </w:rPr>
      </w:pPr>
      <w:r w:rsidRPr="007A5CCB">
        <w:rPr>
          <w:lang w:val="es-CO"/>
        </w:rPr>
        <w:lastRenderedPageBreak/>
        <w:t>Esto, teniendo en cuenta que la jurisprudencia constitucional</w:t>
      </w:r>
      <w:r w:rsidRPr="007A5CCB">
        <w:rPr>
          <w:vertAlign w:val="superscript"/>
          <w:lang w:val="es-CO"/>
        </w:rPr>
        <w:footnoteReference w:id="4"/>
      </w:r>
      <w:r w:rsidRPr="007A5CCB">
        <w:rPr>
          <w:vertAlign w:val="superscript"/>
          <w:lang w:val="es-CO"/>
        </w:rPr>
        <w:t xml:space="preserve"> </w:t>
      </w:r>
      <w:r w:rsidRPr="007A5CCB">
        <w:rPr>
          <w:lang w:val="es-CO"/>
        </w:rPr>
        <w:t xml:space="preserve">ha precisado que la regulación, como mecanismo de intervención del Estado en la economía, así como las funciones que en esta materia le han sido atribuidas a las comisiones de regulación en materia de servicios públicos domiciliarios, se debe ejercer a fin de garantizar la prestación eficiente de los servicios, en este caso de energía eléctrica y gas combustible, el buen funcionamiento del mercado, </w:t>
      </w:r>
      <w:r w:rsidRPr="007A5CCB">
        <w:rPr>
          <w:rFonts w:eastAsia="Calibri"/>
          <w:lang w:val="es-ES_tradnl" w:eastAsia="en-US"/>
        </w:rPr>
        <w:t>los fines sociales del Estado</w:t>
      </w:r>
      <w:r w:rsidRPr="007A5CCB">
        <w:rPr>
          <w:rFonts w:eastAsia="Calibri"/>
          <w:vertAlign w:val="superscript"/>
          <w:lang w:val="es-ES_tradnl" w:eastAsia="en-US"/>
        </w:rPr>
        <w:footnoteReference w:id="5"/>
      </w:r>
      <w:r w:rsidRPr="007A5CCB">
        <w:rPr>
          <w:rFonts w:eastAsia="Calibri"/>
          <w:lang w:val="es-ES_tradnl" w:eastAsia="en-US"/>
        </w:rPr>
        <w:t>, la corrección de las imperfecciones del mercado</w:t>
      </w:r>
      <w:r w:rsidRPr="007A5CCB">
        <w:rPr>
          <w:rFonts w:eastAsia="Calibri"/>
          <w:vertAlign w:val="superscript"/>
          <w:lang w:val="es-ES_tradnl" w:eastAsia="en-US"/>
        </w:rPr>
        <w:footnoteReference w:id="6"/>
      </w:r>
      <w:r w:rsidRPr="007A5CCB">
        <w:rPr>
          <w:rFonts w:eastAsia="Calibri"/>
          <w:lang w:val="es-ES_tradnl" w:eastAsia="en-US"/>
        </w:rPr>
        <w:t>, así como la satisfacción del interés general, entre otros.</w:t>
      </w:r>
    </w:p>
    <w:p w:rsidR="00575F93" w:rsidRPr="007A5CCB" w:rsidRDefault="00575F93" w:rsidP="00575F93">
      <w:pPr>
        <w:rPr>
          <w:rFonts w:cs="Arial"/>
          <w:color w:val="000000" w:themeColor="text1"/>
        </w:rPr>
      </w:pPr>
    </w:p>
    <w:p w:rsidR="00575F93" w:rsidRPr="007A5CCB" w:rsidRDefault="00575F93" w:rsidP="00575F93">
      <w:pPr>
        <w:rPr>
          <w:rFonts w:cs="Arial"/>
          <w:color w:val="000000" w:themeColor="text1"/>
        </w:rPr>
      </w:pPr>
      <w:r w:rsidRPr="007A5CCB">
        <w:rPr>
          <w:rFonts w:cs="Arial"/>
          <w:color w:val="000000" w:themeColor="text1"/>
        </w:rPr>
        <w:t>El artículo 34 de la Ley 142 de 1994 dispone que “las empresas de servicios públicos, en todos sus actos y contratos, deben evitar privilegios y discriminaciones injustificadas, y abstenerse de toda práctica que tenga la capacidad, el propósito o el efecto de generar competencia desleal o de restringir en forma indebida la competencia”, estableciendo para el efecto, entre otras, qué prácticas son consideradas como restricción indebida a la competencia, dentro de las que se destaca la establecida en su numeral 34.6, que estipula como una de ellas, “el abuso de la posición dominante al que se refiere el artículo 133 de esta Ley, cualquiera que sea la otra parte contratante y en cualquier clase de contratos”.</w:t>
      </w:r>
    </w:p>
    <w:p w:rsidR="00575F93" w:rsidRPr="007A5CCB" w:rsidRDefault="00575F93" w:rsidP="00575F93">
      <w:pPr>
        <w:rPr>
          <w:rFonts w:cs="Arial"/>
          <w:color w:val="000000" w:themeColor="text1"/>
        </w:rPr>
      </w:pPr>
    </w:p>
    <w:p w:rsidR="00575F93" w:rsidRPr="007A5CCB" w:rsidRDefault="00575F93" w:rsidP="00575F93">
      <w:pPr>
        <w:rPr>
          <w:rFonts w:cs="Arial"/>
          <w:color w:val="000000" w:themeColor="text1"/>
        </w:rPr>
      </w:pPr>
      <w:r w:rsidRPr="007A5CCB">
        <w:rPr>
          <w:rFonts w:cs="Arial"/>
          <w:color w:val="000000" w:themeColor="text1"/>
        </w:rPr>
        <w:t>Según lo dispuesto en el artículo 73 de la Ley 142 de 1994, corresponde a las comisiones regular los monopolios en la prestación de los servicios públicos, cuando la competencia no sea, de hecho, posible y, en los demás casos, la de promover la competencia entre quienes prestan servicios públicos, para que las operaciones de los monopolistas o de los competidores sean económicamente eficientes, no impliquen abuso de posición dominante y produzcan servicios de calidad.</w:t>
      </w:r>
    </w:p>
    <w:p w:rsidR="00575F93" w:rsidRPr="007A5CCB" w:rsidRDefault="00575F93" w:rsidP="00575F93">
      <w:pPr>
        <w:rPr>
          <w:rFonts w:cs="Arial"/>
          <w:color w:val="000000" w:themeColor="text1"/>
        </w:rPr>
      </w:pPr>
    </w:p>
    <w:p w:rsidR="00575F93" w:rsidRPr="007A5CCB" w:rsidRDefault="00575F93" w:rsidP="00575F93">
      <w:pPr>
        <w:rPr>
          <w:rFonts w:cs="Arial"/>
          <w:color w:val="000000" w:themeColor="text1"/>
        </w:rPr>
      </w:pPr>
      <w:r w:rsidRPr="007A5CCB">
        <w:rPr>
          <w:rFonts w:cs="Arial"/>
          <w:color w:val="000000" w:themeColor="text1"/>
        </w:rPr>
        <w:t xml:space="preserve">La Ley 401 de 1997 dispuso en el parágrafo 2 de su artículo 11 que “las competencias previstas en la Ley </w:t>
      </w:r>
      <w:hyperlink r:id="rId10" w:anchor="1" w:tgtFrame="_blank" w:history="1">
        <w:r w:rsidRPr="007A5CCB">
          <w:rPr>
            <w:rFonts w:cs="Arial"/>
            <w:color w:val="000000" w:themeColor="text1"/>
          </w:rPr>
          <w:t>142</w:t>
        </w:r>
      </w:hyperlink>
      <w:r w:rsidRPr="007A5CCB">
        <w:rPr>
          <w:rFonts w:cs="Arial"/>
          <w:color w:val="000000" w:themeColor="text1"/>
        </w:rPr>
        <w:t xml:space="preserve"> de 1994 en lo relacionado con el servicio público domiciliario, comercial e industrial de gas combustible, sólo se predicarán en los casos en que el gas se utilice efectivamente como </w:t>
      </w:r>
      <w:r w:rsidRPr="006D5DB4">
        <w:rPr>
          <w:rFonts w:cs="Arial"/>
          <w:color w:val="000000" w:themeColor="text1"/>
        </w:rPr>
        <w:t>combustible y no como materia prima de procesos industriales petroquímicos”.</w:t>
      </w:r>
      <w:r w:rsidRPr="006D5DB4">
        <w:t xml:space="preserve"> </w:t>
      </w:r>
      <w:r w:rsidRPr="006D5DB4">
        <w:rPr>
          <w:rFonts w:cs="Arial"/>
          <w:color w:val="000000" w:themeColor="text1"/>
        </w:rPr>
        <w:t xml:space="preserve">En dicha </w:t>
      </w:r>
      <w:r w:rsidR="006D5DB4" w:rsidRPr="006D5DB4">
        <w:rPr>
          <w:rFonts w:cs="Arial"/>
          <w:color w:val="000000" w:themeColor="text1"/>
        </w:rPr>
        <w:t xml:space="preserve">norma </w:t>
      </w:r>
      <w:r w:rsidRPr="006D5DB4">
        <w:rPr>
          <w:rFonts w:cs="Arial"/>
          <w:color w:val="000000" w:themeColor="text1"/>
        </w:rPr>
        <w:t>se establece que el gas combustible que se transporte por red física a todos los usuarios del territorio nacional, se regirá por las disposiciones</w:t>
      </w:r>
      <w:r w:rsidRPr="007A5CCB">
        <w:rPr>
          <w:rFonts w:cs="Arial"/>
          <w:color w:val="000000" w:themeColor="text1"/>
        </w:rPr>
        <w:t xml:space="preserve"> contenidas en la Ley 142 de 1994, con el propósito de asegurar una prestación eficiente del servicio público domiciliario.</w:t>
      </w:r>
    </w:p>
    <w:p w:rsidR="00575F93" w:rsidRPr="007A5CCB" w:rsidRDefault="00575F93" w:rsidP="00575F93">
      <w:pPr>
        <w:rPr>
          <w:rFonts w:cs="Arial"/>
          <w:color w:val="000000" w:themeColor="text1"/>
        </w:rPr>
      </w:pPr>
    </w:p>
    <w:p w:rsidR="00575F93" w:rsidRPr="007A5CCB" w:rsidRDefault="00575F93" w:rsidP="00575F93">
      <w:pPr>
        <w:rPr>
          <w:rFonts w:cs="Arial"/>
          <w:color w:val="000000" w:themeColor="text1"/>
        </w:rPr>
      </w:pPr>
      <w:r w:rsidRPr="007A5CCB">
        <w:rPr>
          <w:rFonts w:cs="Arial"/>
          <w:color w:val="000000" w:themeColor="text1"/>
        </w:rPr>
        <w:t>De acuerdo con lo establecido en el literal a) del artículo 74.1 de la Ley 142 de 1994, es función de la Comisión de Regulación de Energía y Gas, CREG, regular el ejercicio de las actividades de los sectores de energía y gas combustible para asegurar la disponibilidad de una oferta energética eficiente, propiciar la competencia en el sector de minas y energía, proponer la adopción de las medidas necesarias para impedir abusos de posición dominante y buscar la liberación gradual de los mercados hacia la libre competencia.</w:t>
      </w:r>
    </w:p>
    <w:p w:rsidR="00575F93" w:rsidRPr="007A5CCB" w:rsidRDefault="00575F93" w:rsidP="00575F93">
      <w:pPr>
        <w:rPr>
          <w:rFonts w:cs="Arial"/>
          <w:color w:val="000000" w:themeColor="text1"/>
        </w:rPr>
      </w:pPr>
    </w:p>
    <w:p w:rsidR="00575F93" w:rsidRPr="007A5CCB" w:rsidRDefault="00575F93" w:rsidP="00575F93">
      <w:pPr>
        <w:rPr>
          <w:rFonts w:cs="Arial"/>
          <w:color w:val="000000" w:themeColor="text1"/>
        </w:rPr>
      </w:pPr>
      <w:r w:rsidRPr="007A5CCB">
        <w:rPr>
          <w:rFonts w:cs="Arial"/>
          <w:color w:val="000000" w:themeColor="text1"/>
        </w:rPr>
        <w:lastRenderedPageBreak/>
        <w:t>De acuerdo con lo establecido en el artículo 14 de la Ley 142 de 1994, la actividad de transporte de gas natural es una actividad complementaria del servicio público domiciliario de gas combustible. Así mismo, es derecho de todas las empresas, construir, operar y modificar sus redes e instalaciones para prestar los servicios públicos, para lo cual cumplirán con los mismos requisitos exigidos por la ley a todos los prestadores, como lo garantiza el artículo 28 de la Ley 142 de 1994.</w:t>
      </w:r>
    </w:p>
    <w:p w:rsidR="00575F93" w:rsidRPr="007A5CCB" w:rsidRDefault="00575F93" w:rsidP="00575F93">
      <w:pPr>
        <w:rPr>
          <w:rFonts w:cs="Arial"/>
          <w:color w:val="000000" w:themeColor="text1"/>
        </w:rPr>
      </w:pPr>
    </w:p>
    <w:p w:rsidR="00575F93" w:rsidRPr="007A5CCB" w:rsidRDefault="00575F93" w:rsidP="00575F93">
      <w:pPr>
        <w:rPr>
          <w:rFonts w:cs="Arial"/>
          <w:color w:val="000000" w:themeColor="text1"/>
        </w:rPr>
      </w:pPr>
      <w:r w:rsidRPr="007A5CCB">
        <w:rPr>
          <w:rFonts w:cs="Arial"/>
          <w:color w:val="000000" w:themeColor="text1"/>
        </w:rPr>
        <w:t>Las personas jurídicas que produzcan para ellas mismas, o como consecuencia o complemento de su actividad principal, los bienes y servicios propios del objeto de las empresas de servicios públicos, pueden prestar las actividades que integran el servicio público, para lo cual deben sujetarse a la Ley 142 de 1994 en sus actos o contratos que celebren para suministrar los bienes o servicios cuya prestación sea parte del objeto de las empresas de servicios públicos, a otras personas en forma masiva, o a cambio de cualquier clase de remuneración, y están obligadas a constituirse en empresas de servicios públicos cuando la comisión así lo exija, como está previsto en dicha Ley, como lo prevén los artículos 15 y 16 de la Ley 142 de 1994.</w:t>
      </w:r>
    </w:p>
    <w:p w:rsidR="00575F93" w:rsidRPr="007A5CCB" w:rsidRDefault="00575F93" w:rsidP="00575F93">
      <w:pPr>
        <w:rPr>
          <w:rFonts w:cs="Arial"/>
          <w:color w:val="000000" w:themeColor="text1"/>
        </w:rPr>
      </w:pPr>
    </w:p>
    <w:p w:rsidR="00575F93" w:rsidRPr="007A5CCB" w:rsidRDefault="00575F93" w:rsidP="00575F93">
      <w:pPr>
        <w:rPr>
          <w:rFonts w:cs="Arial"/>
          <w:color w:val="000000" w:themeColor="text1"/>
        </w:rPr>
      </w:pPr>
      <w:r w:rsidRPr="007A5CCB">
        <w:rPr>
          <w:rFonts w:cs="Arial"/>
          <w:color w:val="000000" w:themeColor="text1"/>
        </w:rPr>
        <w:t>El literal b) del artículo 74.1 de la Ley 142 de 1994 determina que corresponde a la CREG e</w:t>
      </w:r>
      <w:r w:rsidRPr="007A5CCB">
        <w:rPr>
          <w:color w:val="000000" w:themeColor="text1"/>
        </w:rPr>
        <w:t>xpedir regulaciones específicas para el uso eficiente del gas combustible por parte de los consumidores.</w:t>
      </w:r>
      <w:r w:rsidRPr="007A5CCB">
        <w:rPr>
          <w:rFonts w:cs="Arial"/>
          <w:color w:val="000000" w:themeColor="text1"/>
        </w:rPr>
        <w:t xml:space="preserve"> Así mismo, de acuerdo con lo establecido en el literal c) del artículo 74.1 de la Ley 142 de 1994, es función de la CREG establecer el reglamento de operación para regular el funcionamiento del mercado mayorista de gas combustible.</w:t>
      </w:r>
    </w:p>
    <w:p w:rsidR="00575F93" w:rsidRPr="007A5CCB" w:rsidRDefault="00575F93" w:rsidP="00575F93">
      <w:pPr>
        <w:rPr>
          <w:rFonts w:cs="Arial"/>
          <w:color w:val="000000" w:themeColor="text1"/>
        </w:rPr>
      </w:pPr>
    </w:p>
    <w:p w:rsidR="00575F93" w:rsidRPr="007A5CCB" w:rsidRDefault="00575F93" w:rsidP="00575F93">
      <w:pPr>
        <w:rPr>
          <w:rFonts w:cs="Arial"/>
          <w:color w:val="000000" w:themeColor="text1"/>
        </w:rPr>
      </w:pPr>
      <w:r w:rsidRPr="007A5CCB">
        <w:rPr>
          <w:rFonts w:cs="Arial"/>
          <w:color w:val="000000" w:themeColor="text1"/>
        </w:rPr>
        <w:t>Ley 401 de 1997 en su artículo 3 le atribuyó a la CREG la función de establecer las reglas y condiciones operativas que debe cumplir toda la infraestructura del Sistema Nacional de Transporte a través del Reglamento Único de Transporte de Gas Natural.</w:t>
      </w:r>
    </w:p>
    <w:p w:rsidR="00575F93" w:rsidRPr="007A5CCB" w:rsidRDefault="00575F93" w:rsidP="00575F93">
      <w:pPr>
        <w:rPr>
          <w:rFonts w:cs="Arial"/>
          <w:color w:val="000000" w:themeColor="text1"/>
        </w:rPr>
      </w:pPr>
    </w:p>
    <w:p w:rsidR="00575F93" w:rsidRPr="007A5CCB" w:rsidRDefault="00575F93" w:rsidP="00575F93">
      <w:pPr>
        <w:rPr>
          <w:rFonts w:cs="Arial"/>
          <w:color w:val="000000" w:themeColor="text1"/>
        </w:rPr>
      </w:pPr>
      <w:r w:rsidRPr="007A5CCB">
        <w:rPr>
          <w:rFonts w:cs="Arial"/>
          <w:color w:val="000000" w:themeColor="text1"/>
        </w:rPr>
        <w:t xml:space="preserve">Mediante la Resolución CREG 071 de 1999, la cual ha sido modificada, adicionada y complementada, entre otras, por las resoluciones CREG 084 de 2000, 028 de 2001, 102 de 2001, 014 de 2003, 054 de 2007, 041 de 2008, 077 de 2008, 154 de 2008, 131 de 2009, 187 de 2009, 162 de 2010, 169 de 2011, 171 de 2011, 078 de 2013 y 089 de 2013, la CREG adoptó el reglamento único de transporte de gas natural, RUT, mediante el cual se busca en relación con el Sistema Nacional de Transporte: i) garantizar el acceso abierto y sin discriminación; ii) crear las condiciones e instrumentos para la operación eficiente, económica y confiable; iii) facilitar el desarrollo de mercados de suministro y transporte de gas; iv) estandarizar prácticas y terminología para la industria de gas y; v) fijar normas y especificaciones de calidad del gas transportado. </w:t>
      </w:r>
    </w:p>
    <w:p w:rsidR="00575F93" w:rsidRPr="007A5CCB" w:rsidRDefault="00575F93" w:rsidP="00575F93">
      <w:pPr>
        <w:rPr>
          <w:rFonts w:cs="Arial"/>
          <w:color w:val="000000" w:themeColor="text1"/>
        </w:rPr>
      </w:pPr>
    </w:p>
    <w:p w:rsidR="00575F93" w:rsidRPr="007A5CCB" w:rsidRDefault="00575F93" w:rsidP="00575F93">
      <w:pPr>
        <w:rPr>
          <w:rFonts w:cs="Arial"/>
          <w:color w:val="000000" w:themeColor="text1"/>
        </w:rPr>
      </w:pPr>
      <w:r w:rsidRPr="007A5CCB">
        <w:rPr>
          <w:rFonts w:cs="Arial"/>
          <w:color w:val="000000" w:themeColor="text1"/>
        </w:rPr>
        <w:t>Así mismo, en el numeral 1.3 del RUT se establece que “la iniciativa para la reforma del reglamento también será de la Comisión si ésta estima que debe adecuarse a la evolución de la industria, que contraría las regulaciones generales sobre el servicio, que va en detrimento de mayor concurrencia entre oferentes y demandantes del suministro o del libre acceso y uso del servicio de transporte y otros servicios asociados”.</w:t>
      </w:r>
    </w:p>
    <w:p w:rsidR="00575F93" w:rsidRPr="007A5CCB" w:rsidRDefault="00575F93" w:rsidP="00575F93">
      <w:pPr>
        <w:rPr>
          <w:rFonts w:cs="Arial"/>
          <w:color w:val="000000" w:themeColor="text1"/>
        </w:rPr>
      </w:pPr>
    </w:p>
    <w:p w:rsidR="00575F93" w:rsidRPr="007A5CCB" w:rsidRDefault="00575F93" w:rsidP="00575F93">
      <w:pPr>
        <w:rPr>
          <w:color w:val="000000"/>
          <w:lang w:val="es-ES_tradnl"/>
        </w:rPr>
      </w:pPr>
      <w:r w:rsidRPr="007A5CCB">
        <w:rPr>
          <w:color w:val="000000"/>
          <w:lang w:val="es-ES_tradnl"/>
        </w:rPr>
        <w:t>El numeral 6 del artículo 11 de la Ley 142 de 1994 establece la función social de la propiedad en las entidades prestadoras de servicios públicos, ya sea esta pública o privada. De acuerdo con esto, las entidades que presten servicios públicos tienen la obligación de facilitar el acceso e interconexión de otras empresas o entidades que prestan servicios públicos, o que sean grandes usuarios de ellos, a los bienes empleados para la organización y prestación de los servicios.</w:t>
      </w:r>
    </w:p>
    <w:p w:rsidR="00575F93" w:rsidRPr="007A5CCB" w:rsidRDefault="00575F93" w:rsidP="00575F93">
      <w:pPr>
        <w:rPr>
          <w:color w:val="000000"/>
          <w:lang w:val="es-ES_tradnl"/>
        </w:rPr>
      </w:pPr>
    </w:p>
    <w:p w:rsidR="00575F93" w:rsidRPr="007A5CCB" w:rsidRDefault="00575F93" w:rsidP="00575F93">
      <w:pPr>
        <w:rPr>
          <w:color w:val="000000"/>
          <w:lang w:val="es-ES_tradnl"/>
        </w:rPr>
      </w:pPr>
      <w:r w:rsidRPr="007A5CCB">
        <w:rPr>
          <w:color w:val="000000"/>
          <w:lang w:val="es-ES_tradnl"/>
        </w:rPr>
        <w:t>En concordancia con lo anterior, el artículo 39 de la Ley 142 de 1994 establece la posibilidad de suscribir contratos en virtud de los cuales dos o más entidades prestadoras de servicios públicos regulen el acceso compartido o de interconexión de bienes indispensables para la prestación de servicios públicos, mediante el pago de remuneración o peaje razonable. Así mismo, si las partes no se convienen en dicho contrato, en virtud de la Ley 142 de 1994 la comisión de regulación correspondiente podrá imponer una servidumbre de acceso o de interconexión a quien tenga el uso del bien.</w:t>
      </w:r>
    </w:p>
    <w:p w:rsidR="00575F93" w:rsidRPr="007A5CCB" w:rsidRDefault="00575F93" w:rsidP="00575F93">
      <w:pPr>
        <w:rPr>
          <w:rFonts w:cs="Arial"/>
          <w:color w:val="000000" w:themeColor="text1"/>
        </w:rPr>
      </w:pPr>
    </w:p>
    <w:p w:rsidR="00575F93" w:rsidRPr="007A5CCB" w:rsidRDefault="006D5DB4" w:rsidP="00575F93">
      <w:pPr>
        <w:rPr>
          <w:rFonts w:cs="Arial"/>
          <w:color w:val="000000" w:themeColor="text1"/>
        </w:rPr>
      </w:pPr>
      <w:r>
        <w:rPr>
          <w:rFonts w:cs="Arial"/>
          <w:color w:val="000000" w:themeColor="text1"/>
        </w:rPr>
        <w:t>Con base en</w:t>
      </w:r>
      <w:r w:rsidR="00575F93" w:rsidRPr="007A5CCB">
        <w:rPr>
          <w:rFonts w:cs="Arial"/>
          <w:color w:val="000000" w:themeColor="text1"/>
        </w:rPr>
        <w:t xml:space="preserve"> las </w:t>
      </w:r>
      <w:r w:rsidR="00575F93" w:rsidRPr="006D5DB4">
        <w:rPr>
          <w:rFonts w:cs="Arial"/>
          <w:color w:val="000000" w:themeColor="text1"/>
        </w:rPr>
        <w:t>atribuciones regulatorias previstas en la Ley 142 de 1994</w:t>
      </w:r>
      <w:r w:rsidRPr="006D5DB4">
        <w:rPr>
          <w:rFonts w:cs="Arial"/>
          <w:color w:val="000000" w:themeColor="text1"/>
        </w:rPr>
        <w:t xml:space="preserve"> y la Ley 401 de 1997</w:t>
      </w:r>
      <w:r w:rsidR="00575F93" w:rsidRPr="006D5DB4">
        <w:rPr>
          <w:rFonts w:cs="Arial"/>
          <w:color w:val="000000" w:themeColor="text1"/>
        </w:rPr>
        <w:t xml:space="preserve">, </w:t>
      </w:r>
      <w:r>
        <w:rPr>
          <w:rFonts w:cs="Arial"/>
          <w:color w:val="000000" w:themeColor="text1"/>
        </w:rPr>
        <w:t>mediante</w:t>
      </w:r>
      <w:r w:rsidR="00575F93" w:rsidRPr="006D5DB4">
        <w:rPr>
          <w:rFonts w:cs="Arial"/>
          <w:color w:val="000000" w:themeColor="text1"/>
        </w:rPr>
        <w:t xml:space="preserve"> de </w:t>
      </w:r>
      <w:r w:rsidRPr="006D5DB4">
        <w:rPr>
          <w:rFonts w:cs="Arial"/>
          <w:color w:val="000000" w:themeColor="text1"/>
        </w:rPr>
        <w:t xml:space="preserve">las </w:t>
      </w:r>
      <w:r w:rsidR="00575F93" w:rsidRPr="006D5DB4">
        <w:rPr>
          <w:rFonts w:cs="Arial"/>
          <w:color w:val="000000" w:themeColor="text1"/>
        </w:rPr>
        <w:t>disposiciones que hacen parte del RUT</w:t>
      </w:r>
      <w:r>
        <w:rPr>
          <w:rFonts w:cs="Arial"/>
          <w:color w:val="000000" w:themeColor="text1"/>
        </w:rPr>
        <w:t xml:space="preserve">, Resolución CREG 071 de 1999, modificada, ajustada y adicionada por las resoluciones </w:t>
      </w:r>
      <w:r w:rsidRPr="006D5DB4">
        <w:rPr>
          <w:rFonts w:cs="Arial"/>
          <w:color w:val="000000" w:themeColor="text1"/>
        </w:rPr>
        <w:t xml:space="preserve">CREG 041 de 2008, 169 de 2011, 171 de 2011, </w:t>
      </w:r>
      <w:r w:rsidR="00575F93" w:rsidRPr="006D5DB4">
        <w:rPr>
          <w:rFonts w:cs="Arial"/>
          <w:color w:val="000000" w:themeColor="text1"/>
        </w:rPr>
        <w:t>se reguló el acceso al Sistema Nacional de Transporte - SNT y sus servicios, así como la responsabilidad y propiedad de la conexión y de los puntos de</w:t>
      </w:r>
      <w:r>
        <w:rPr>
          <w:rFonts w:cs="Arial"/>
          <w:color w:val="000000" w:themeColor="text1"/>
        </w:rPr>
        <w:t xml:space="preserve"> entrada y salida</w:t>
      </w:r>
      <w:r w:rsidR="00575F93" w:rsidRPr="007A5CCB">
        <w:rPr>
          <w:rFonts w:cs="Arial"/>
          <w:color w:val="000000" w:themeColor="text1"/>
        </w:rPr>
        <w:t>. De acuerdo con lo establecido en estas disposiciones, en atención a lo dispuesto en la Ley 142 de 1994, dentro de las reglas y condiciones operativas del RUT se consagra el principio y garantía del principio de libre acceso a los sistemas y/o servicios de transporte del SNT, de forma no discriminatoria, siempre que dicho acceso se ajuste a lo dispuesto en el RUT.</w:t>
      </w:r>
    </w:p>
    <w:p w:rsidR="00575F93" w:rsidRPr="007A5CCB" w:rsidRDefault="00575F93" w:rsidP="00575F93">
      <w:pPr>
        <w:rPr>
          <w:rFonts w:cs="Arial"/>
          <w:color w:val="000000" w:themeColor="text1"/>
        </w:rPr>
      </w:pPr>
    </w:p>
    <w:p w:rsidR="00575F93" w:rsidRPr="007A5CCB" w:rsidRDefault="00575F93" w:rsidP="00575F93">
      <w:pPr>
        <w:rPr>
          <w:rFonts w:cs="Arial"/>
          <w:color w:val="000000" w:themeColor="text1"/>
        </w:rPr>
      </w:pPr>
      <w:r w:rsidRPr="007A5CCB">
        <w:rPr>
          <w:rFonts w:cs="Arial"/>
          <w:color w:val="000000" w:themeColor="text1"/>
        </w:rPr>
        <w:t>El artículo 21 del Decreto 2100 de 2011 determina que cuando la CREG lo solicite, el CNOG expedirá los acuerdos y protocolos operativos que se requieran.</w:t>
      </w:r>
    </w:p>
    <w:p w:rsidR="00575F93" w:rsidRPr="007A5CCB" w:rsidRDefault="00575F93" w:rsidP="00575F93">
      <w:pPr>
        <w:rPr>
          <w:rFonts w:cs="Arial"/>
          <w:color w:val="000000" w:themeColor="text1"/>
        </w:rPr>
      </w:pPr>
    </w:p>
    <w:p w:rsidR="00575F93" w:rsidRPr="007A5CCB" w:rsidRDefault="00575F93" w:rsidP="00575F93">
      <w:pPr>
        <w:rPr>
          <w:rFonts w:cs="Arial"/>
          <w:color w:val="000000" w:themeColor="text1"/>
        </w:rPr>
      </w:pPr>
      <w:r w:rsidRPr="007A5CCB">
        <w:rPr>
          <w:rFonts w:cs="Arial"/>
          <w:color w:val="000000" w:themeColor="text1"/>
        </w:rPr>
        <w:t xml:space="preserve">El artículo 1 del Decreto 1710 de 2013 establece que al expedir el reglamento de operación del mercado mayorista de gas natural la CREG podrá “establecer los lineamientos y las condiciones de participación en el mercado mayorista, las modalidades y requisitos mínimos de ofertas y contratos, los procedimientos y los demás aspectos que requieran los mecanismos de comercialización de gas natural y de su transporte en el mercado mayorista” y “señalar la información que será declarada por los participantes del mercado y establecer los mecanismos y procedimientos para obtener, organizar, revisar y divulgar dicha información en forma oportuna para el funcionamiento del mercado mayorista de gas natural”. </w:t>
      </w:r>
    </w:p>
    <w:p w:rsidR="00575F93" w:rsidRPr="007A5CCB" w:rsidRDefault="00575F93" w:rsidP="00575F93">
      <w:pPr>
        <w:rPr>
          <w:rFonts w:cs="Arial"/>
          <w:color w:val="000000" w:themeColor="text1"/>
        </w:rPr>
      </w:pPr>
    </w:p>
    <w:p w:rsidR="00575F93" w:rsidRPr="007A5CCB" w:rsidRDefault="00575F93" w:rsidP="00575F93">
      <w:pPr>
        <w:rPr>
          <w:rFonts w:cs="Arial"/>
          <w:color w:val="000000" w:themeColor="text1"/>
        </w:rPr>
      </w:pPr>
      <w:r w:rsidRPr="007A5CCB">
        <w:rPr>
          <w:rFonts w:cs="Arial"/>
          <w:color w:val="000000" w:themeColor="text1"/>
        </w:rPr>
        <w:t xml:space="preserve">La Resolución CREG </w:t>
      </w:r>
      <w:r w:rsidR="00A30309">
        <w:rPr>
          <w:rFonts w:cs="Arial"/>
          <w:color w:val="000000" w:themeColor="text1"/>
        </w:rPr>
        <w:t>114 de 2017</w:t>
      </w:r>
      <w:r w:rsidRPr="007A5CCB">
        <w:rPr>
          <w:rFonts w:cs="Arial"/>
          <w:color w:val="000000" w:themeColor="text1"/>
        </w:rPr>
        <w:t xml:space="preserve"> regula los aspectos comerciales del mercado mayorista de gas natural, como parte del reglamento de operación de gas natural y allí se incorporan el conjunto de disposiciones aplicables a las negociaciones del suministro y del transporte del gas natural utilizado efectivamente como combustible que se realicen en el mercado primario y en el mercado secundario.</w:t>
      </w:r>
    </w:p>
    <w:p w:rsidR="00575F93" w:rsidRPr="007A5CCB" w:rsidRDefault="00575F93" w:rsidP="00575F93">
      <w:pPr>
        <w:rPr>
          <w:rFonts w:cs="Arial"/>
          <w:color w:val="000000" w:themeColor="text1"/>
        </w:rPr>
      </w:pPr>
    </w:p>
    <w:p w:rsidR="00575F93" w:rsidRPr="007A5CCB" w:rsidRDefault="00575F93" w:rsidP="00575F93">
      <w:pPr>
        <w:rPr>
          <w:rFonts w:cs="Arial"/>
          <w:color w:val="000000" w:themeColor="text1"/>
        </w:rPr>
      </w:pPr>
      <w:r w:rsidRPr="007A5CCB">
        <w:rPr>
          <w:rFonts w:cs="Arial"/>
          <w:color w:val="000000" w:themeColor="text1"/>
        </w:rPr>
        <w:lastRenderedPageBreak/>
        <w:t xml:space="preserve">Los Códigos Civil y de Comercio regulan los elementos de existencia, validez y eficacia de los contratos de suministro, compraventa y transporte en el marco del derecho privado y bajo los principios que rigen los negocios jurídicos y contratos, dentro de los cuales se encuentra el principio de autonomía de la voluntad. En este sentido el artículo 32 de la Ley 142 de 1994 establece que los actos de todas las empresas de servicios públicos, así como los requeridos para la administración y el ejercicio de los derechos de todas las personas que sean socias de ellas, en lo no dispuesto en esta Ley, se regirán exclusivamente por las reglas del derecho privado. </w:t>
      </w:r>
    </w:p>
    <w:p w:rsidR="00575F93" w:rsidRPr="007A5CCB" w:rsidRDefault="00575F93" w:rsidP="00575F93">
      <w:pPr>
        <w:rPr>
          <w:rFonts w:cs="Arial"/>
          <w:color w:val="000000" w:themeColor="text1"/>
        </w:rPr>
      </w:pPr>
    </w:p>
    <w:p w:rsidR="00575F93" w:rsidRPr="007A5CCB" w:rsidRDefault="00575F93" w:rsidP="00575F93">
      <w:pPr>
        <w:rPr>
          <w:rFonts w:cs="Arial"/>
          <w:color w:val="000000" w:themeColor="text1"/>
        </w:rPr>
      </w:pPr>
      <w:r w:rsidRPr="007A5CCB">
        <w:rPr>
          <w:rFonts w:cs="Arial"/>
          <w:color w:val="000000" w:themeColor="text1"/>
        </w:rPr>
        <w:t>Sin perjuicio de lo anterior, los aspectos contractuales regidos por la Ley 142 de 1994 y la regulación expedida por esta Comisión deben interpretarse de acuerdo con los principios que contiene el título preliminar de dicha norma, en la forma que mejor garantice la libre competencia y que mejor impida los abusos de la posición dominante, tal como ordena el artículo 333 de la Constitución Política; y que más favorezca la continuidad y calidad en la prestación de los servicios.</w:t>
      </w:r>
    </w:p>
    <w:p w:rsidR="00575F93" w:rsidRPr="007A5CCB" w:rsidRDefault="00575F93" w:rsidP="00575F93">
      <w:pPr>
        <w:rPr>
          <w:rFonts w:cs="Arial"/>
          <w:color w:val="000000" w:themeColor="text1"/>
        </w:rPr>
      </w:pPr>
    </w:p>
    <w:p w:rsidR="00575F93" w:rsidRPr="007A5CCB" w:rsidRDefault="00575F93" w:rsidP="00575F93">
      <w:pPr>
        <w:rPr>
          <w:rFonts w:cs="Arial"/>
          <w:color w:val="000000" w:themeColor="text1"/>
        </w:rPr>
      </w:pPr>
      <w:r w:rsidRPr="007A5CCB">
        <w:rPr>
          <w:rFonts w:cs="Arial"/>
          <w:color w:val="000000" w:themeColor="text1"/>
        </w:rPr>
        <w:t xml:space="preserve">Mediante la Resolución CREG 047 de 2014 la Comisión puso en conocimiento de las empresas prestadoras del servicio de gas natural, los usuarios y demás interesados las bases sobre las cuales se efectuará el estudio para determinar la metodología y el esquema general de cargos para remunerar la actividad de transporte de gas natural en el siguiente período tarifario. Allí se expuso la necesidad de analizar y revisar la implementación de alternativas desde el punto de vista regulatorio, incluido el mecanismo de </w:t>
      </w:r>
      <w:r w:rsidRPr="007A5CCB">
        <w:rPr>
          <w:rFonts w:cs="Arial"/>
          <w:i/>
          <w:color w:val="000000" w:themeColor="text1"/>
        </w:rPr>
        <w:t xml:space="preserve">Open Season, </w:t>
      </w:r>
      <w:r w:rsidRPr="007A5CCB">
        <w:rPr>
          <w:rFonts w:cs="Arial"/>
          <w:color w:val="000000" w:themeColor="text1"/>
        </w:rPr>
        <w:t xml:space="preserve">para llevar a cabo extensiones y expansiones al sistema de transporte de gas natural. </w:t>
      </w:r>
    </w:p>
    <w:p w:rsidR="00575F93" w:rsidRPr="007A5CCB" w:rsidRDefault="00575F93" w:rsidP="00575F93">
      <w:pPr>
        <w:rPr>
          <w:rFonts w:cs="Arial"/>
          <w:color w:val="000000" w:themeColor="text1"/>
        </w:rPr>
      </w:pPr>
    </w:p>
    <w:p w:rsidR="00575F93" w:rsidRPr="007A5CCB" w:rsidRDefault="00575F93" w:rsidP="00575F93">
      <w:pPr>
        <w:rPr>
          <w:rFonts w:cs="Arial"/>
          <w:color w:val="000000" w:themeColor="text1"/>
          <w:lang w:val="es-CO"/>
        </w:rPr>
      </w:pPr>
      <w:r w:rsidRPr="007A5CCB">
        <w:rPr>
          <w:rFonts w:cs="Arial"/>
          <w:color w:val="000000" w:themeColor="text1"/>
          <w:lang w:val="es-CO"/>
        </w:rPr>
        <w:t xml:space="preserve">Mediante el Decreto 1073 de 2015 se expidió el “Decreto Reglamentario Único Sectorial del Sector Administrativo de Minas y Energía”, el cual en su Título II establece las disposiciones reglamentarias en materia de gas natural y en su Capítulo 3 incorpora disposiciones particulares para la actividad de transporte de gas natural. </w:t>
      </w:r>
    </w:p>
    <w:p w:rsidR="00575F93" w:rsidRPr="007A5CCB" w:rsidRDefault="00575F93" w:rsidP="00575F93">
      <w:pPr>
        <w:rPr>
          <w:rFonts w:cs="Arial"/>
          <w:color w:val="000000" w:themeColor="text1"/>
          <w:lang w:val="es-CO"/>
        </w:rPr>
      </w:pPr>
      <w:r w:rsidRPr="007A5CCB">
        <w:rPr>
          <w:rFonts w:cs="Arial"/>
          <w:color w:val="000000" w:themeColor="text1"/>
          <w:lang w:val="es-CO"/>
        </w:rPr>
        <w:t xml:space="preserve"> </w:t>
      </w:r>
    </w:p>
    <w:p w:rsidR="00575F93" w:rsidRPr="007A5CCB" w:rsidRDefault="00575F93" w:rsidP="00575F93">
      <w:pPr>
        <w:contextualSpacing/>
        <w:rPr>
          <w:lang w:val="es-CO"/>
        </w:rPr>
      </w:pPr>
      <w:r w:rsidRPr="007A5CCB">
        <w:rPr>
          <w:lang w:val="es-CO"/>
        </w:rPr>
        <w:t>Frente a lo anterior, se debe tener en cuenta que la regulación es una actividad continua que comprende el seguimiento de la evolución del sector correspondiente y que implica la adopción de diversos tipos de decisiones y actos adecuados tanto a orientar la dinámica del sector hacia los fines que la justifican en cada caso, como a permitir el flujo de actividad socio-económica respectivo. De esto hace parte igualmente el seguimiento del comportamiento de los agentes, a fin de orientar sus actividades dentro de los fines perseguidos en materia de servicios públicos, de acuerdo con lo previsto en la Ley 142 de 1994</w:t>
      </w:r>
      <w:r w:rsidRPr="007A5CCB">
        <w:rPr>
          <w:rStyle w:val="Refdenotaalpie"/>
          <w:lang w:val="es-CO"/>
        </w:rPr>
        <w:footnoteReference w:id="7"/>
      </w:r>
      <w:r w:rsidRPr="007A5CCB">
        <w:rPr>
          <w:lang w:val="es-CO"/>
        </w:rPr>
        <w:t>.</w:t>
      </w:r>
    </w:p>
    <w:p w:rsidR="00575F93" w:rsidRPr="007A5CCB" w:rsidRDefault="00575F93" w:rsidP="00575F93">
      <w:pPr>
        <w:rPr>
          <w:rFonts w:cs="Arial"/>
          <w:color w:val="000000" w:themeColor="text1"/>
          <w:lang w:val="es-CO"/>
        </w:rPr>
      </w:pPr>
    </w:p>
    <w:p w:rsidR="00BD0A4E" w:rsidRDefault="00A30309" w:rsidP="00575F93">
      <w:pPr>
        <w:rPr>
          <w:rFonts w:cs="Arial"/>
          <w:color w:val="000000" w:themeColor="text1"/>
        </w:rPr>
      </w:pPr>
      <w:r>
        <w:rPr>
          <w:rFonts w:cs="Arial"/>
          <w:color w:val="000000" w:themeColor="text1"/>
        </w:rPr>
        <w:t xml:space="preserve">El Gobierno Nacional expidió el Decreto 2345 de 2015 </w:t>
      </w:r>
      <w:r w:rsidR="00BD0A4E">
        <w:rPr>
          <w:rFonts w:cs="Arial"/>
          <w:color w:val="000000" w:themeColor="text1"/>
        </w:rPr>
        <w:t xml:space="preserve">mediante el cual se adiciona </w:t>
      </w:r>
      <w:r w:rsidR="00BD0A4E" w:rsidRPr="00BD0A4E">
        <w:rPr>
          <w:rFonts w:cs="Arial"/>
          <w:color w:val="000000" w:themeColor="text1"/>
        </w:rPr>
        <w:t xml:space="preserve">el Decreto Único Reglamentario </w:t>
      </w:r>
      <w:r w:rsidR="00BD0A4E">
        <w:rPr>
          <w:rFonts w:cs="Arial"/>
          <w:color w:val="000000" w:themeColor="text1"/>
        </w:rPr>
        <w:t>del Sector Administrativo de Mi</w:t>
      </w:r>
      <w:r w:rsidR="00BD0A4E" w:rsidRPr="00BD0A4E">
        <w:rPr>
          <w:rFonts w:cs="Arial"/>
          <w:color w:val="000000" w:themeColor="text1"/>
        </w:rPr>
        <w:t>nas y Energía, 1073 de 2015, con lineamientos orientados a aumentar la confiabilidad y seguridad de abastecimiento de gas natural</w:t>
      </w:r>
      <w:r w:rsidR="00BD0A4E">
        <w:rPr>
          <w:rFonts w:cs="Arial"/>
          <w:color w:val="000000" w:themeColor="text1"/>
        </w:rPr>
        <w:t>. Dentro del contenido de esta norma se establece lo siguiente:</w:t>
      </w:r>
    </w:p>
    <w:p w:rsidR="00BD0A4E" w:rsidRPr="00F23AE8" w:rsidRDefault="00BD0A4E" w:rsidP="00BD0A4E">
      <w:pPr>
        <w:pStyle w:val="Textoindependiente2"/>
        <w:spacing w:after="0" w:line="240" w:lineRule="auto"/>
        <w:rPr>
          <w:color w:val="000000"/>
          <w:lang w:val="es-ES_tradnl"/>
        </w:rPr>
      </w:pPr>
    </w:p>
    <w:p w:rsidR="00BD0A4E" w:rsidRPr="00F23AE8" w:rsidRDefault="00513E2F" w:rsidP="00BD0A4E">
      <w:pPr>
        <w:pStyle w:val="Textoindependiente2"/>
        <w:numPr>
          <w:ilvl w:val="0"/>
          <w:numId w:val="30"/>
        </w:numPr>
        <w:spacing w:after="0" w:line="240" w:lineRule="auto"/>
        <w:ind w:left="284" w:hanging="284"/>
        <w:rPr>
          <w:color w:val="000000"/>
          <w:lang w:val="es-ES_tradnl"/>
        </w:rPr>
      </w:pPr>
      <w:r>
        <w:rPr>
          <w:color w:val="000000"/>
          <w:lang w:val="es-ES_tradnl"/>
        </w:rPr>
        <w:lastRenderedPageBreak/>
        <w:t>El a</w:t>
      </w:r>
      <w:r w:rsidR="00BD0A4E" w:rsidRPr="00F23AE8">
        <w:rPr>
          <w:color w:val="000000"/>
          <w:lang w:val="es-ES_tradnl"/>
        </w:rPr>
        <w:t>rtículo 2.2.2.1.4 define la confiabilidad como “la capacidad del sistema de producción, transporte, almacenamiento y distribución de gas natural de prestar el servicio sin interrupciones de corta duración ante fallas en la infraestructura” y adicionalmente define la seguridad de abastecimiento como “la capacidad del sistema de producción, transporte, almacenamiento y distribución de gas natural, bajo condiciones normales de operación, para atender la demanda en el mediano y largo plazo”.</w:t>
      </w:r>
    </w:p>
    <w:p w:rsidR="00BD0A4E" w:rsidRPr="00F23AE8" w:rsidRDefault="00BD0A4E" w:rsidP="00BD0A4E">
      <w:pPr>
        <w:pStyle w:val="Textoindependiente2"/>
        <w:spacing w:after="0" w:line="240" w:lineRule="auto"/>
        <w:rPr>
          <w:color w:val="000000"/>
          <w:lang w:val="es-ES_tradnl"/>
        </w:rPr>
      </w:pPr>
    </w:p>
    <w:p w:rsidR="00BD0A4E" w:rsidRPr="00F23AE8" w:rsidRDefault="00513E2F" w:rsidP="00BD0A4E">
      <w:pPr>
        <w:pStyle w:val="Textoindependiente2"/>
        <w:numPr>
          <w:ilvl w:val="0"/>
          <w:numId w:val="30"/>
        </w:numPr>
        <w:spacing w:after="0" w:line="240" w:lineRule="auto"/>
        <w:ind w:left="284" w:hanging="284"/>
        <w:rPr>
          <w:color w:val="000000"/>
          <w:lang w:val="es-ES_tradnl"/>
        </w:rPr>
      </w:pPr>
      <w:r>
        <w:rPr>
          <w:color w:val="000000"/>
          <w:lang w:val="es-ES_tradnl"/>
        </w:rPr>
        <w:t>El a</w:t>
      </w:r>
      <w:r w:rsidR="00BD0A4E" w:rsidRPr="00F23AE8">
        <w:rPr>
          <w:color w:val="000000"/>
          <w:lang w:val="es-ES_tradnl"/>
        </w:rPr>
        <w:t>rtículo 2.2.2.2.28 establece que “Con el objeto de identificar los proyectos necesarios para garantizar la seguridad de abastecimiento y la confiabilidad del servicio de gas natural, el Ministerio de Minas y Energía adoptará un Plan de Abastecimiento de Gas Natural para un período de diez (10) años”.</w:t>
      </w:r>
      <w:r>
        <w:rPr>
          <w:color w:val="000000"/>
          <w:lang w:val="es-ES_tradnl"/>
        </w:rPr>
        <w:t xml:space="preserve"> En este a</w:t>
      </w:r>
      <w:r w:rsidR="00BD0A4E">
        <w:rPr>
          <w:color w:val="000000"/>
          <w:lang w:val="es-ES_tradnl"/>
        </w:rPr>
        <w:t xml:space="preserve">rtículo también se establece que “En el lapso comprendido entre la expedición del presente decreto y la expedición del Plan de Abastecimiento de Gas Natural, el Ministerio de Minas y Energía podrá adoptar un Plan Transitorio de Abastecimiento, en el cual se incluyan los proyectos necesarios para garantizar la seguridad de abastecimiento y la confiabilidad del servicio de gas natural en el corto plazo”.   </w:t>
      </w:r>
      <w:r w:rsidR="00BD0A4E" w:rsidRPr="00F23AE8">
        <w:rPr>
          <w:color w:val="000000"/>
          <w:lang w:val="es-ES_tradnl"/>
        </w:rPr>
        <w:t xml:space="preserve"> </w:t>
      </w:r>
    </w:p>
    <w:p w:rsidR="00BD0A4E" w:rsidRPr="00F23AE8" w:rsidRDefault="00BD0A4E" w:rsidP="00BD0A4E">
      <w:pPr>
        <w:pStyle w:val="Textoindependiente2"/>
        <w:spacing w:after="0" w:line="240" w:lineRule="auto"/>
        <w:rPr>
          <w:color w:val="000000"/>
          <w:lang w:val="es-ES_tradnl"/>
        </w:rPr>
      </w:pPr>
    </w:p>
    <w:p w:rsidR="00BD0A4E" w:rsidRPr="00F23AE8" w:rsidRDefault="00513E2F" w:rsidP="00BD0A4E">
      <w:pPr>
        <w:pStyle w:val="Textoindependiente2"/>
        <w:numPr>
          <w:ilvl w:val="0"/>
          <w:numId w:val="30"/>
        </w:numPr>
        <w:spacing w:after="0" w:line="240" w:lineRule="auto"/>
        <w:ind w:left="284" w:hanging="284"/>
        <w:rPr>
          <w:color w:val="000000"/>
          <w:lang w:val="es-ES_tradnl"/>
        </w:rPr>
      </w:pPr>
      <w:r>
        <w:rPr>
          <w:color w:val="000000"/>
          <w:lang w:val="es-ES_tradnl"/>
        </w:rPr>
        <w:t>El a</w:t>
      </w:r>
      <w:r w:rsidR="00BD0A4E" w:rsidRPr="00F23AE8">
        <w:rPr>
          <w:color w:val="000000"/>
          <w:lang w:val="es-ES_tradnl"/>
        </w:rPr>
        <w:t>rtículo 2.2.2.2.29 establece que la CREG deberá expedir regulación aplicable a los proyectos incluidos en el plan de abastecimiento de gas natural.</w:t>
      </w:r>
      <w:r w:rsidR="00BD0A4E">
        <w:rPr>
          <w:color w:val="000000"/>
          <w:lang w:val="es-ES_tradnl"/>
        </w:rPr>
        <w:t xml:space="preserve"> En particular </w:t>
      </w:r>
      <w:r>
        <w:rPr>
          <w:color w:val="000000"/>
          <w:lang w:val="es-ES_tradnl"/>
        </w:rPr>
        <w:t>en el numeral 1 de este a</w:t>
      </w:r>
      <w:r w:rsidR="00BD0A4E">
        <w:rPr>
          <w:color w:val="000000"/>
          <w:lang w:val="es-ES_tradnl"/>
        </w:rPr>
        <w:t xml:space="preserve">rtículo se establece que la CREG debe adoptar los “Criterios para definir cuáles proyectos del Plan de Abastecimiento de Gas Natural podrán ser desarrollados, en primera instancia, por un agente como complemento de su infraestructura existente y cuáles se realizarán exclusivamente mediante mecanismos abiertos y competitivos”. </w:t>
      </w:r>
    </w:p>
    <w:p w:rsidR="00BD0A4E" w:rsidRPr="00F23AE8" w:rsidRDefault="00BD0A4E" w:rsidP="00BD0A4E">
      <w:pPr>
        <w:pStyle w:val="Textoindependiente2"/>
        <w:spacing w:after="0" w:line="240" w:lineRule="auto"/>
        <w:rPr>
          <w:color w:val="000000"/>
          <w:lang w:val="es-ES_tradnl"/>
        </w:rPr>
      </w:pPr>
    </w:p>
    <w:p w:rsidR="00BD0A4E" w:rsidRPr="00F23AE8" w:rsidRDefault="00513E2F" w:rsidP="00BD0A4E">
      <w:pPr>
        <w:pStyle w:val="Textoindependiente2"/>
        <w:numPr>
          <w:ilvl w:val="0"/>
          <w:numId w:val="30"/>
        </w:numPr>
        <w:spacing w:after="0" w:line="240" w:lineRule="auto"/>
        <w:ind w:left="284" w:hanging="284"/>
        <w:rPr>
          <w:color w:val="000000"/>
          <w:lang w:val="es-ES_tradnl"/>
        </w:rPr>
      </w:pPr>
      <w:r>
        <w:rPr>
          <w:color w:val="000000"/>
          <w:lang w:val="es-ES_tradnl"/>
        </w:rPr>
        <w:t>El a</w:t>
      </w:r>
      <w:r w:rsidR="00BD0A4E" w:rsidRPr="00F23AE8">
        <w:rPr>
          <w:color w:val="000000"/>
          <w:lang w:val="es-ES_tradnl"/>
        </w:rPr>
        <w:t xml:space="preserve">rtículo 2.2.2.2.29 también establece la posibilidad de realizar proyectos del plan de abastecimiento de gas natural a través de mecanismos abiertos y competitivos. </w:t>
      </w:r>
    </w:p>
    <w:p w:rsidR="00BD0A4E" w:rsidRPr="00F23AE8" w:rsidRDefault="00BD0A4E" w:rsidP="00BD0A4E">
      <w:pPr>
        <w:pStyle w:val="Textoindependiente2"/>
        <w:spacing w:after="0" w:line="240" w:lineRule="auto"/>
        <w:rPr>
          <w:color w:val="000000"/>
          <w:lang w:val="es-ES_tradnl"/>
        </w:rPr>
      </w:pPr>
    </w:p>
    <w:p w:rsidR="00BD0A4E" w:rsidRPr="00F23AE8" w:rsidRDefault="00BD0A4E" w:rsidP="00BD0A4E">
      <w:pPr>
        <w:pStyle w:val="Textoindependiente2"/>
        <w:numPr>
          <w:ilvl w:val="0"/>
          <w:numId w:val="30"/>
        </w:numPr>
        <w:spacing w:after="0" w:line="240" w:lineRule="auto"/>
        <w:ind w:left="284" w:hanging="284"/>
        <w:rPr>
          <w:color w:val="000000"/>
          <w:lang w:val="es-ES_tradnl"/>
        </w:rPr>
      </w:pPr>
      <w:r w:rsidRPr="00F23AE8">
        <w:rPr>
          <w:color w:val="000000"/>
          <w:lang w:val="es-ES_tradnl"/>
        </w:rPr>
        <w:t xml:space="preserve">El </w:t>
      </w:r>
      <w:r w:rsidR="00513E2F">
        <w:rPr>
          <w:color w:val="000000"/>
          <w:lang w:val="es-ES_tradnl"/>
        </w:rPr>
        <w:t>parágrafo del a</w:t>
      </w:r>
      <w:r w:rsidRPr="00F23AE8">
        <w:rPr>
          <w:color w:val="000000"/>
          <w:lang w:val="es-ES_tradnl"/>
        </w:rPr>
        <w:t xml:space="preserve">rtículo 2.2.2.2.29 establece que “La UPME será responsable de la aplicación de los mecanismos abiertos y competitivos a los que se refiere este artículo”. </w:t>
      </w:r>
    </w:p>
    <w:p w:rsidR="00BD0A4E" w:rsidRDefault="00BD0A4E" w:rsidP="00BD0A4E">
      <w:pPr>
        <w:pStyle w:val="Textoindependiente2"/>
        <w:spacing w:after="0" w:line="240" w:lineRule="auto"/>
        <w:rPr>
          <w:color w:val="000000"/>
          <w:lang w:val="es-ES_tradnl"/>
        </w:rPr>
      </w:pPr>
    </w:p>
    <w:p w:rsidR="00A30309" w:rsidRPr="00BD0A4E" w:rsidRDefault="00BD0A4E" w:rsidP="00BD0A4E">
      <w:pPr>
        <w:pStyle w:val="Textoindependiente2"/>
        <w:spacing w:after="0" w:line="240" w:lineRule="auto"/>
        <w:rPr>
          <w:color w:val="000000"/>
          <w:lang w:val="es-ES_tradnl"/>
        </w:rPr>
      </w:pPr>
      <w:r>
        <w:rPr>
          <w:color w:val="000000"/>
          <w:lang w:val="es-ES_tradnl"/>
        </w:rPr>
        <w:t xml:space="preserve">Ahora, dentro de esta misma norma, </w:t>
      </w:r>
      <w:r>
        <w:rPr>
          <w:rFonts w:cs="Arial"/>
          <w:color w:val="000000" w:themeColor="text1"/>
        </w:rPr>
        <w:t>el parágrafo 1º del artículo 2.2.2.2.28 en relación con el Plan de Abastecimiento de Gas Natural se establece lo siguiente:</w:t>
      </w:r>
    </w:p>
    <w:p w:rsidR="00BD0A4E" w:rsidRDefault="00BD0A4E" w:rsidP="00575F93">
      <w:pPr>
        <w:rPr>
          <w:rFonts w:cs="Arial"/>
          <w:color w:val="000000" w:themeColor="text1"/>
        </w:rPr>
      </w:pPr>
    </w:p>
    <w:p w:rsidR="00BD0A4E" w:rsidRPr="00513E2F" w:rsidRDefault="00BD0A4E" w:rsidP="00BD0A4E">
      <w:pPr>
        <w:ind w:left="284" w:right="284"/>
        <w:rPr>
          <w:rFonts w:cs="Arial"/>
          <w:color w:val="000000" w:themeColor="text1"/>
        </w:rPr>
      </w:pPr>
      <w:r w:rsidRPr="00513E2F">
        <w:rPr>
          <w:rFonts w:cs="Arial"/>
          <w:color w:val="000000" w:themeColor="text1"/>
        </w:rPr>
        <w:t>“</w:t>
      </w:r>
      <w:r w:rsidRPr="00513E2F">
        <w:rPr>
          <w:rFonts w:cs="Arial"/>
          <w:b/>
          <w:color w:val="000000" w:themeColor="text1"/>
        </w:rPr>
        <w:t>Artículo 2.2.2.2.28. Plan de Abastecimiento de Gas Natural.</w:t>
      </w:r>
      <w:r w:rsidRPr="00513E2F">
        <w:rPr>
          <w:rFonts w:cs="Arial"/>
          <w:color w:val="000000" w:themeColor="text1"/>
        </w:rPr>
        <w:t xml:space="preserve"> (….)</w:t>
      </w:r>
    </w:p>
    <w:p w:rsidR="00BD0A4E" w:rsidRPr="00513E2F" w:rsidRDefault="00BD0A4E" w:rsidP="00BD0A4E">
      <w:pPr>
        <w:ind w:left="284" w:right="284"/>
        <w:rPr>
          <w:rFonts w:cs="Arial"/>
          <w:color w:val="000000" w:themeColor="text1"/>
        </w:rPr>
      </w:pPr>
      <w:r w:rsidRPr="00513E2F">
        <w:rPr>
          <w:rFonts w:cs="Arial"/>
          <w:color w:val="000000" w:themeColor="text1"/>
        </w:rPr>
        <w:t xml:space="preserve"> </w:t>
      </w:r>
    </w:p>
    <w:p w:rsidR="00BD0A4E" w:rsidRPr="00513E2F" w:rsidRDefault="00BD0A4E" w:rsidP="00BD0A4E">
      <w:pPr>
        <w:ind w:left="284" w:right="284"/>
        <w:rPr>
          <w:rFonts w:cs="Arial"/>
          <w:color w:val="000000" w:themeColor="text1"/>
        </w:rPr>
      </w:pPr>
      <w:r w:rsidRPr="00513E2F">
        <w:rPr>
          <w:rFonts w:cs="Arial"/>
          <w:color w:val="000000" w:themeColor="text1"/>
        </w:rPr>
        <w:t xml:space="preserve">Parágrafo 1°. El Plan de Abastecimiento de Gas Natural busca asegurar que las obras requeridas para garantizar la confiabilidad y seguridad de abastecimiento se ejecuten y entren en operación de manera oportuna. </w:t>
      </w:r>
      <w:r w:rsidRPr="00513E2F">
        <w:rPr>
          <w:rFonts w:cs="Arial"/>
          <w:b/>
          <w:color w:val="000000" w:themeColor="text1"/>
          <w:u w:val="single"/>
        </w:rPr>
        <w:t xml:space="preserve">Este Plan no restringe la libertad que tienen los agentes transportadores de realizar ampliaciones o expansiones en el SNT previo cumplimiento de la normatividad vigente.” </w:t>
      </w:r>
      <w:r w:rsidRPr="00513E2F">
        <w:rPr>
          <w:rFonts w:cs="Arial"/>
          <w:color w:val="000000" w:themeColor="text1"/>
        </w:rPr>
        <w:t>(Resaltado fuera de texto)</w:t>
      </w:r>
    </w:p>
    <w:p w:rsidR="00BD0A4E" w:rsidRPr="00BD0A4E" w:rsidRDefault="00BD0A4E" w:rsidP="00BD0A4E">
      <w:pPr>
        <w:ind w:left="284" w:right="284"/>
        <w:rPr>
          <w:rFonts w:cs="Arial"/>
          <w:color w:val="000000" w:themeColor="text1"/>
          <w:sz w:val="22"/>
          <w:szCs w:val="22"/>
        </w:rPr>
      </w:pPr>
    </w:p>
    <w:p w:rsidR="00BD0A4E" w:rsidRDefault="00BD0A4E" w:rsidP="00575F93">
      <w:pPr>
        <w:rPr>
          <w:rFonts w:cs="Arial"/>
          <w:color w:val="000000" w:themeColor="text1"/>
        </w:rPr>
      </w:pPr>
      <w:r>
        <w:rPr>
          <w:rFonts w:cs="Arial"/>
          <w:color w:val="000000" w:themeColor="text1"/>
        </w:rPr>
        <w:t xml:space="preserve">Teniendo en cuenta esta consideración, la Comisión expidió inicialmente la propuesta regulatoria de la Resolución CREG 037 de 2016, </w:t>
      </w:r>
      <w:r w:rsidRPr="00BD0A4E">
        <w:rPr>
          <w:rFonts w:cs="Arial"/>
          <w:color w:val="000000" w:themeColor="text1"/>
        </w:rPr>
        <w:t xml:space="preserve">Por la cual se ordena hacer público un proyecto de resolución “Por la cual se define el proceso de </w:t>
      </w:r>
      <w:r w:rsidRPr="00BD0A4E">
        <w:rPr>
          <w:rFonts w:cs="Arial"/>
          <w:i/>
          <w:color w:val="000000" w:themeColor="text1"/>
        </w:rPr>
        <w:t xml:space="preserve">Open </w:t>
      </w:r>
      <w:r w:rsidRPr="00BD0A4E">
        <w:rPr>
          <w:rFonts w:cs="Arial"/>
          <w:i/>
          <w:color w:val="000000" w:themeColor="text1"/>
        </w:rPr>
        <w:lastRenderedPageBreak/>
        <w:t>Season</w:t>
      </w:r>
      <w:r w:rsidRPr="00BD0A4E">
        <w:rPr>
          <w:rFonts w:cs="Arial"/>
          <w:color w:val="000000" w:themeColor="text1"/>
        </w:rPr>
        <w:t xml:space="preserve"> para, la construcción, de ampliaciones de capacidad y mantenimiento de facilidades de ampliaciones de capacidad de transporte de gas natural y se adoptan otras disposiciones en materia de asignación de capacidad de transporte de gas natural”</w:t>
      </w:r>
      <w:r w:rsidR="00FE3759">
        <w:rPr>
          <w:rStyle w:val="Refdenotaalpie"/>
          <w:rFonts w:cs="Arial"/>
          <w:color w:val="000000" w:themeColor="text1"/>
        </w:rPr>
        <w:footnoteReference w:id="8"/>
      </w:r>
      <w:r>
        <w:rPr>
          <w:rFonts w:cs="Arial"/>
          <w:color w:val="000000" w:themeColor="text1"/>
        </w:rPr>
        <w:t>.</w:t>
      </w:r>
    </w:p>
    <w:p w:rsidR="00A30309" w:rsidRDefault="00A30309" w:rsidP="00575F93">
      <w:pPr>
        <w:rPr>
          <w:rFonts w:cs="Arial"/>
          <w:color w:val="000000" w:themeColor="text1"/>
        </w:rPr>
      </w:pPr>
    </w:p>
    <w:p w:rsidR="002D2772" w:rsidRDefault="00575F93" w:rsidP="00575F93">
      <w:pPr>
        <w:rPr>
          <w:rFonts w:cs="Arial"/>
          <w:color w:val="000000" w:themeColor="text1"/>
        </w:rPr>
      </w:pPr>
      <w:r w:rsidRPr="007A5CCB">
        <w:rPr>
          <w:rFonts w:cs="Arial"/>
          <w:color w:val="000000" w:themeColor="text1"/>
        </w:rPr>
        <w:t xml:space="preserve">En relación con lo anterior, </w:t>
      </w:r>
      <w:r w:rsidR="006D5DB4">
        <w:rPr>
          <w:rFonts w:cs="Arial"/>
          <w:color w:val="000000" w:themeColor="text1"/>
        </w:rPr>
        <w:t>las</w:t>
      </w:r>
      <w:r w:rsidR="002D2772">
        <w:rPr>
          <w:rFonts w:cs="Arial"/>
          <w:color w:val="000000" w:themeColor="text1"/>
        </w:rPr>
        <w:t xml:space="preserve"> propuesta</w:t>
      </w:r>
      <w:r w:rsidR="006D5DB4">
        <w:rPr>
          <w:rFonts w:cs="Arial"/>
          <w:color w:val="000000" w:themeColor="text1"/>
        </w:rPr>
        <w:t>s</w:t>
      </w:r>
      <w:r w:rsidR="002D2772">
        <w:rPr>
          <w:rFonts w:cs="Arial"/>
          <w:color w:val="000000" w:themeColor="text1"/>
        </w:rPr>
        <w:t xml:space="preserve"> </w:t>
      </w:r>
      <w:r w:rsidR="002D2772" w:rsidRPr="00FD41F0">
        <w:rPr>
          <w:rFonts w:cs="Arial"/>
          <w:color w:val="000000" w:themeColor="text1"/>
        </w:rPr>
        <w:t>regulatoria</w:t>
      </w:r>
      <w:r w:rsidR="006D5DB4">
        <w:rPr>
          <w:rFonts w:cs="Arial"/>
          <w:color w:val="000000" w:themeColor="text1"/>
        </w:rPr>
        <w:t>s de las resoluciones CREG 037 y</w:t>
      </w:r>
      <w:r w:rsidR="002D2772" w:rsidRPr="00FD41F0">
        <w:rPr>
          <w:rFonts w:cs="Arial"/>
          <w:color w:val="000000" w:themeColor="text1"/>
        </w:rPr>
        <w:t xml:space="preserve"> CREG 038 de 2017,</w:t>
      </w:r>
      <w:r w:rsidR="00BA72F3" w:rsidRPr="00FD41F0">
        <w:rPr>
          <w:rFonts w:cs="Arial"/>
          <w:color w:val="000000" w:themeColor="text1"/>
        </w:rPr>
        <w:t xml:space="preserve"> </w:t>
      </w:r>
      <w:r w:rsidR="006D5DB4">
        <w:rPr>
          <w:rFonts w:cs="Arial"/>
          <w:color w:val="000000" w:themeColor="text1"/>
        </w:rPr>
        <w:t>está ultima expedida de manera definitiva a través de</w:t>
      </w:r>
      <w:r w:rsidR="00BA72F3" w:rsidRPr="00FD41F0">
        <w:rPr>
          <w:rFonts w:cs="Arial"/>
          <w:color w:val="000000" w:themeColor="text1"/>
        </w:rPr>
        <w:t xml:space="preserve"> la Resolución CREG 107 de 2017 </w:t>
      </w:r>
      <w:r w:rsidR="006D5DB4">
        <w:rPr>
          <w:rFonts w:cs="Arial"/>
          <w:color w:val="000000" w:themeColor="text1"/>
        </w:rPr>
        <w:t xml:space="preserve">y </w:t>
      </w:r>
      <w:r w:rsidR="002D2772" w:rsidRPr="00FD41F0">
        <w:rPr>
          <w:rFonts w:cs="Arial"/>
          <w:color w:val="000000" w:themeColor="text1"/>
        </w:rPr>
        <w:t xml:space="preserve">en atención a lo previsto en el Decreto 2345 de 2015, </w:t>
      </w:r>
      <w:r w:rsidR="00FD41F0" w:rsidRPr="00FD41F0">
        <w:rPr>
          <w:rFonts w:cs="Arial"/>
          <w:color w:val="000000" w:themeColor="text1"/>
        </w:rPr>
        <w:t>están</w:t>
      </w:r>
      <w:r w:rsidR="002D2772" w:rsidRPr="00FD41F0">
        <w:rPr>
          <w:rFonts w:cs="Arial"/>
          <w:color w:val="000000" w:themeColor="text1"/>
        </w:rPr>
        <w:t xml:space="preserve"> enfocadas </w:t>
      </w:r>
      <w:r w:rsidR="006D5DB4">
        <w:rPr>
          <w:rFonts w:cs="Arial"/>
          <w:color w:val="000000" w:themeColor="text1"/>
        </w:rPr>
        <w:t xml:space="preserve">de manera general </w:t>
      </w:r>
      <w:r w:rsidR="002D2772" w:rsidRPr="00FD41F0">
        <w:rPr>
          <w:rFonts w:cs="Arial"/>
          <w:color w:val="000000" w:themeColor="text1"/>
        </w:rPr>
        <w:t>a generar una mayor capacida</w:t>
      </w:r>
      <w:r w:rsidR="006D5DB4">
        <w:rPr>
          <w:rFonts w:cs="Arial"/>
          <w:color w:val="000000" w:themeColor="text1"/>
        </w:rPr>
        <w:t>d de transporte en el SNT, en algunos casos,</w:t>
      </w:r>
      <w:r w:rsidR="002D2772" w:rsidRPr="00FD41F0">
        <w:rPr>
          <w:rFonts w:cs="Arial"/>
          <w:color w:val="000000" w:themeColor="text1"/>
        </w:rPr>
        <w:t xml:space="preserve"> en la </w:t>
      </w:r>
      <w:r w:rsidR="002D2772" w:rsidRPr="006D5DB4">
        <w:rPr>
          <w:rFonts w:cs="Arial"/>
          <w:color w:val="000000" w:themeColor="text1"/>
        </w:rPr>
        <w:t xml:space="preserve">infraestructura existente, así como </w:t>
      </w:r>
      <w:r w:rsidR="006D5DB4" w:rsidRPr="006D5DB4">
        <w:rPr>
          <w:rFonts w:cs="Arial"/>
          <w:color w:val="000000" w:themeColor="text1"/>
        </w:rPr>
        <w:t xml:space="preserve">en otros eventos a fin de generar </w:t>
      </w:r>
      <w:r w:rsidR="002D2772" w:rsidRPr="006D5DB4">
        <w:rPr>
          <w:rFonts w:cs="Arial"/>
          <w:color w:val="000000" w:themeColor="text1"/>
        </w:rPr>
        <w:t>nueva infraestructura</w:t>
      </w:r>
      <w:r w:rsidR="00A77D84">
        <w:rPr>
          <w:rFonts w:cs="Arial"/>
          <w:color w:val="000000" w:themeColor="text1"/>
        </w:rPr>
        <w:t xml:space="preserve"> a través de infraestructura nueva que no se encuentra embebida dentro de la infraestructura existente</w:t>
      </w:r>
      <w:r w:rsidR="002D2772" w:rsidRPr="006D5DB4">
        <w:rPr>
          <w:rFonts w:cs="Arial"/>
          <w:color w:val="000000" w:themeColor="text1"/>
        </w:rPr>
        <w:t xml:space="preserve">. En el </w:t>
      </w:r>
      <w:r w:rsidR="00FE3759" w:rsidRPr="006D5DB4">
        <w:rPr>
          <w:rFonts w:cs="Arial"/>
          <w:color w:val="000000" w:themeColor="text1"/>
        </w:rPr>
        <w:t xml:space="preserve">caso de </w:t>
      </w:r>
      <w:r w:rsidR="006D5DB4" w:rsidRPr="006D5DB4">
        <w:rPr>
          <w:rFonts w:cs="Arial"/>
          <w:color w:val="000000" w:themeColor="text1"/>
        </w:rPr>
        <w:t xml:space="preserve">los </w:t>
      </w:r>
      <w:r w:rsidR="006D5DB4" w:rsidRPr="006D5DB4">
        <w:rPr>
          <w:rFonts w:cs="Arial"/>
          <w:i/>
          <w:color w:val="000000" w:themeColor="text1"/>
        </w:rPr>
        <w:t>Open Seasons</w:t>
      </w:r>
      <w:r w:rsidR="00FE3759" w:rsidRPr="006D5DB4">
        <w:rPr>
          <w:rFonts w:cs="Arial"/>
          <w:color w:val="000000" w:themeColor="text1"/>
        </w:rPr>
        <w:t xml:space="preserve">, el desarrollo de la regulación se sustenta </w:t>
      </w:r>
      <w:r w:rsidR="00A82980" w:rsidRPr="006D5DB4">
        <w:rPr>
          <w:rFonts w:cs="Arial"/>
          <w:color w:val="000000" w:themeColor="text1"/>
        </w:rPr>
        <w:t xml:space="preserve">en </w:t>
      </w:r>
      <w:r w:rsidR="00FE3759" w:rsidRPr="006D5DB4">
        <w:rPr>
          <w:rFonts w:cs="Arial"/>
          <w:color w:val="000000" w:themeColor="text1"/>
        </w:rPr>
        <w:t xml:space="preserve">un mecanismo de mercado que parte de la iniciativa privada, en el cual el interés de la oferta y la demanda confluyen e interactúan, desarrollando procedimientos a fin de generar la construcción de infraestructura de transporte para atender una demanda específica, revelando el interés de dicha demanda para la ejecución de estos proyectos; mientras que en el caso de la </w:t>
      </w:r>
      <w:r w:rsidR="006D5DB4" w:rsidRPr="006D5DB4">
        <w:rPr>
          <w:rFonts w:cs="Arial"/>
          <w:color w:val="000000" w:themeColor="text1"/>
        </w:rPr>
        <w:t>Resolución CREG 107 de 2017</w:t>
      </w:r>
      <w:r w:rsidR="00FE3759" w:rsidRPr="006D5DB4">
        <w:rPr>
          <w:rFonts w:cs="Arial"/>
          <w:color w:val="000000" w:themeColor="text1"/>
        </w:rPr>
        <w:t xml:space="preserve">, dichos mecanismos atienden </w:t>
      </w:r>
      <w:r w:rsidR="002D2772" w:rsidRPr="006D5DB4">
        <w:rPr>
          <w:rFonts w:cs="Arial"/>
          <w:color w:val="000000" w:themeColor="text1"/>
        </w:rPr>
        <w:t>los lineamientos hechos por la pol</w:t>
      </w:r>
      <w:r w:rsidR="00FE3759" w:rsidRPr="006D5DB4">
        <w:rPr>
          <w:rFonts w:cs="Arial"/>
          <w:color w:val="000000" w:themeColor="text1"/>
        </w:rPr>
        <w:t>ítica del Gobierno Nacional</w:t>
      </w:r>
      <w:r w:rsidR="002D2772" w:rsidRPr="006D5DB4">
        <w:rPr>
          <w:rFonts w:cs="Arial"/>
          <w:color w:val="000000" w:themeColor="text1"/>
        </w:rPr>
        <w:t xml:space="preserve"> en</w:t>
      </w:r>
      <w:r w:rsidR="00FE3759" w:rsidRPr="006D5DB4">
        <w:rPr>
          <w:rFonts w:cs="Arial"/>
          <w:color w:val="000000" w:themeColor="text1"/>
        </w:rPr>
        <w:t xml:space="preserve"> materia de abastecimiento y seguridad en el abastecimiento</w:t>
      </w:r>
      <w:r w:rsidR="002D2772" w:rsidRPr="006D5DB4">
        <w:rPr>
          <w:rFonts w:cs="Arial"/>
          <w:color w:val="000000" w:themeColor="text1"/>
        </w:rPr>
        <w:t>.</w:t>
      </w:r>
      <w:r w:rsidR="002D2772">
        <w:rPr>
          <w:rFonts w:cs="Arial"/>
          <w:color w:val="000000" w:themeColor="text1"/>
        </w:rPr>
        <w:t xml:space="preserve"> </w:t>
      </w:r>
    </w:p>
    <w:p w:rsidR="002D2772" w:rsidRDefault="002D2772" w:rsidP="00575F93">
      <w:pPr>
        <w:rPr>
          <w:rFonts w:cs="Arial"/>
          <w:color w:val="000000" w:themeColor="text1"/>
        </w:rPr>
      </w:pPr>
    </w:p>
    <w:p w:rsidR="00575F93" w:rsidRDefault="00373821" w:rsidP="00575F93">
      <w:pPr>
        <w:rPr>
          <w:rFonts w:cs="Arial"/>
          <w:color w:val="000000" w:themeColor="text1"/>
        </w:rPr>
      </w:pPr>
      <w:r>
        <w:rPr>
          <w:rFonts w:cs="Arial"/>
          <w:color w:val="000000" w:themeColor="text1"/>
        </w:rPr>
        <w:t>Así mismo,</w:t>
      </w:r>
      <w:r w:rsidR="00FE3759">
        <w:rPr>
          <w:rFonts w:cs="Arial"/>
          <w:color w:val="000000" w:themeColor="text1"/>
        </w:rPr>
        <w:t xml:space="preserve"> </w:t>
      </w:r>
      <w:r w:rsidR="00FD41F0">
        <w:rPr>
          <w:rFonts w:cs="Arial"/>
          <w:color w:val="000000" w:themeColor="text1"/>
        </w:rPr>
        <w:t xml:space="preserve">los </w:t>
      </w:r>
      <w:r>
        <w:rPr>
          <w:rFonts w:cs="Arial"/>
          <w:color w:val="000000" w:themeColor="text1"/>
        </w:rPr>
        <w:t xml:space="preserve">procesos ligados al </w:t>
      </w:r>
      <w:r w:rsidR="00513E2F">
        <w:rPr>
          <w:rFonts w:cs="Arial"/>
          <w:color w:val="000000" w:themeColor="text1"/>
        </w:rPr>
        <w:t>mecanismo</w:t>
      </w:r>
      <w:r w:rsidR="002D2772">
        <w:rPr>
          <w:rFonts w:cs="Arial"/>
          <w:color w:val="000000" w:themeColor="text1"/>
        </w:rPr>
        <w:t xml:space="preserve"> </w:t>
      </w:r>
      <w:r>
        <w:rPr>
          <w:rFonts w:cs="Arial"/>
          <w:color w:val="000000" w:themeColor="text1"/>
        </w:rPr>
        <w:t xml:space="preserve">de </w:t>
      </w:r>
      <w:r w:rsidRPr="00373821">
        <w:rPr>
          <w:rFonts w:cs="Arial"/>
          <w:i/>
          <w:color w:val="000000" w:themeColor="text1"/>
        </w:rPr>
        <w:t>Open Season</w:t>
      </w:r>
      <w:r>
        <w:rPr>
          <w:rFonts w:cs="Arial"/>
          <w:color w:val="000000" w:themeColor="text1"/>
        </w:rPr>
        <w:t xml:space="preserve"> </w:t>
      </w:r>
      <w:r w:rsidR="002D2772">
        <w:rPr>
          <w:rFonts w:cs="Arial"/>
          <w:color w:val="000000" w:themeColor="text1"/>
        </w:rPr>
        <w:t xml:space="preserve">se venían desarrollando </w:t>
      </w:r>
      <w:r w:rsidR="00575F93" w:rsidRPr="007A5CCB">
        <w:rPr>
          <w:rFonts w:cs="Arial"/>
          <w:color w:val="000000" w:themeColor="text1"/>
        </w:rPr>
        <w:t xml:space="preserve">de </w:t>
      </w:r>
      <w:r w:rsidR="00513E2F">
        <w:rPr>
          <w:rFonts w:cs="Arial"/>
          <w:color w:val="000000" w:themeColor="text1"/>
        </w:rPr>
        <w:t>manera paralela a los instrumentos</w:t>
      </w:r>
      <w:r w:rsidR="00575F93" w:rsidRPr="007A5CCB">
        <w:rPr>
          <w:rFonts w:cs="Arial"/>
          <w:color w:val="000000" w:themeColor="text1"/>
        </w:rPr>
        <w:t xml:space="preserve"> definidos en la regulación entre los agentes transportadores</w:t>
      </w:r>
      <w:r w:rsidR="00575F93" w:rsidRPr="007A5CCB">
        <w:t xml:space="preserve"> y </w:t>
      </w:r>
      <w:r w:rsidR="002D2772">
        <w:rPr>
          <w:rFonts w:cs="Arial"/>
          <w:color w:val="000000" w:themeColor="text1"/>
        </w:rPr>
        <w:t>participantes de la demanda. De acuerdo con esto, el resultado de estos procedimientos</w:t>
      </w:r>
      <w:r w:rsidR="00FD41F0">
        <w:rPr>
          <w:rFonts w:cs="Arial"/>
          <w:color w:val="000000" w:themeColor="text1"/>
        </w:rPr>
        <w:t>, entre otros, con respecto a los contratos de transporte y la puesta en operación comercial de una infraestructura en materia de transporte de gas natural y que haga parte del SNT,</w:t>
      </w:r>
      <w:r w:rsidR="002D2772">
        <w:rPr>
          <w:rFonts w:cs="Arial"/>
          <w:color w:val="000000" w:themeColor="text1"/>
        </w:rPr>
        <w:t xml:space="preserve"> se enmarcan</w:t>
      </w:r>
      <w:r w:rsidR="00575F93" w:rsidRPr="007A5CCB">
        <w:rPr>
          <w:rFonts w:cs="Arial"/>
          <w:color w:val="000000" w:themeColor="text1"/>
        </w:rPr>
        <w:t xml:space="preserve"> y hacen parte de la actividad de transporte como parte de la prestación del servicio público domiciliario</w:t>
      </w:r>
      <w:r w:rsidR="002D2772">
        <w:rPr>
          <w:rFonts w:cs="Arial"/>
          <w:color w:val="000000" w:themeColor="text1"/>
        </w:rPr>
        <w:t xml:space="preserve"> de gas natural</w:t>
      </w:r>
      <w:r w:rsidR="00575F93" w:rsidRPr="007A5CCB">
        <w:rPr>
          <w:rFonts w:cs="Arial"/>
          <w:color w:val="000000" w:themeColor="text1"/>
        </w:rPr>
        <w:t xml:space="preserve">, </w:t>
      </w:r>
      <w:r w:rsidR="002D2772">
        <w:rPr>
          <w:rFonts w:cs="Arial"/>
          <w:color w:val="000000" w:themeColor="text1"/>
        </w:rPr>
        <w:t xml:space="preserve">razón por la cual, </w:t>
      </w:r>
      <w:r w:rsidR="00FE3759">
        <w:rPr>
          <w:rFonts w:cs="Arial"/>
          <w:color w:val="000000" w:themeColor="text1"/>
        </w:rPr>
        <w:t xml:space="preserve">estos se </w:t>
      </w:r>
      <w:r w:rsidR="00575F93" w:rsidRPr="007A5CCB">
        <w:rPr>
          <w:rFonts w:cs="Arial"/>
          <w:color w:val="000000" w:themeColor="text1"/>
        </w:rPr>
        <w:t>deben sujetarse al cumplimiento de los fines y principios que rigen la prestación del servicio público domiciliario de gas natural, así como a la regulación que se expida en materia de transporte de gas natural por parte de esta Comisión, incluyendo el RUT</w:t>
      </w:r>
      <w:r w:rsidR="00FE3759">
        <w:rPr>
          <w:rFonts w:cs="Arial"/>
          <w:color w:val="000000" w:themeColor="text1"/>
        </w:rPr>
        <w:t xml:space="preserve"> en la medida que hagan parte del Sistema Nacional de Transporte - SNT</w:t>
      </w:r>
      <w:r w:rsidR="00575F93" w:rsidRPr="007A5CCB">
        <w:rPr>
          <w:rFonts w:cs="Arial"/>
          <w:color w:val="000000" w:themeColor="text1"/>
        </w:rPr>
        <w:t>.</w:t>
      </w:r>
    </w:p>
    <w:p w:rsidR="004C7109" w:rsidRDefault="004C7109" w:rsidP="00575F93">
      <w:pPr>
        <w:rPr>
          <w:rFonts w:cs="Arial"/>
          <w:color w:val="000000" w:themeColor="text1"/>
        </w:rPr>
      </w:pPr>
    </w:p>
    <w:p w:rsidR="004C7109" w:rsidRPr="004C7109" w:rsidRDefault="004C7109" w:rsidP="004C7109">
      <w:pPr>
        <w:rPr>
          <w:color w:val="000000"/>
          <w:lang w:val="es-ES_tradnl"/>
        </w:rPr>
      </w:pPr>
      <w:r w:rsidRPr="004C7109">
        <w:rPr>
          <w:color w:val="000000"/>
          <w:lang w:val="es-ES_tradnl"/>
        </w:rPr>
        <w:t>Durante el período de consulta, mediante los siguientes radicados se recibieron</w:t>
      </w:r>
      <w:r>
        <w:rPr>
          <w:color w:val="000000"/>
          <w:lang w:val="es-ES_tradnl"/>
        </w:rPr>
        <w:t xml:space="preserve"> comentarios a la R</w:t>
      </w:r>
      <w:r w:rsidRPr="004C7109">
        <w:rPr>
          <w:color w:val="000000"/>
          <w:lang w:val="es-ES_tradnl"/>
        </w:rPr>
        <w:t xml:space="preserve">esolución CREG </w:t>
      </w:r>
      <w:r>
        <w:rPr>
          <w:color w:val="000000"/>
          <w:lang w:val="es-ES_tradnl"/>
        </w:rPr>
        <w:t>037</w:t>
      </w:r>
      <w:r w:rsidRPr="004C7109">
        <w:rPr>
          <w:color w:val="000000"/>
          <w:lang w:val="es-ES_tradnl"/>
        </w:rPr>
        <w:t xml:space="preserve"> de 2016:</w:t>
      </w:r>
    </w:p>
    <w:p w:rsidR="004C7109" w:rsidRDefault="004C7109" w:rsidP="004C7109">
      <w:pPr>
        <w:rPr>
          <w:color w:val="000000"/>
          <w:lang w:val="es-ES_tradnl"/>
        </w:rPr>
      </w:pPr>
    </w:p>
    <w:p w:rsidR="00FD41F0" w:rsidRPr="004C7109" w:rsidRDefault="00FD41F0" w:rsidP="004C7109">
      <w:pPr>
        <w:rPr>
          <w:color w:val="000000"/>
          <w:lang w:val="es-ES_tradnl"/>
        </w:rPr>
      </w:pPr>
    </w:p>
    <w:tbl>
      <w:tblPr>
        <w:tblW w:w="0" w:type="auto"/>
        <w:tblCellMar>
          <w:left w:w="70" w:type="dxa"/>
          <w:right w:w="70" w:type="dxa"/>
        </w:tblCellMar>
        <w:tblLook w:val="04A0" w:firstRow="1" w:lastRow="0" w:firstColumn="1" w:lastColumn="0" w:noHBand="0" w:noVBand="1"/>
      </w:tblPr>
      <w:tblGrid>
        <w:gridCol w:w="1271"/>
        <w:gridCol w:w="146"/>
        <w:gridCol w:w="7432"/>
      </w:tblGrid>
      <w:tr w:rsidR="00FD41F0" w:rsidRPr="0001749E" w:rsidTr="00FD41F0">
        <w:trPr>
          <w:trHeight w:val="255"/>
        </w:trPr>
        <w:tc>
          <w:tcPr>
            <w:tcW w:w="0" w:type="auto"/>
            <w:tcBorders>
              <w:top w:val="nil"/>
              <w:left w:val="nil"/>
              <w:bottom w:val="single" w:sz="4" w:space="0" w:color="9BC2E6"/>
              <w:right w:val="nil"/>
            </w:tcBorders>
            <w:shd w:val="clear" w:color="DDEBF7" w:fill="DDEBF7"/>
            <w:noWrap/>
            <w:vAlign w:val="bottom"/>
            <w:hideMark/>
          </w:tcPr>
          <w:p w:rsidR="00FD41F0" w:rsidRPr="0001749E" w:rsidRDefault="00FD41F0" w:rsidP="0001749E">
            <w:pPr>
              <w:jc w:val="left"/>
              <w:rPr>
                <w:rFonts w:ascii="Arial Narrow" w:hAnsi="Arial Narrow"/>
                <w:bCs/>
                <w:color w:val="000000"/>
                <w:sz w:val="20"/>
                <w:szCs w:val="20"/>
                <w:lang w:val="es-CO" w:eastAsia="es-CO"/>
              </w:rPr>
            </w:pPr>
            <w:r w:rsidRPr="0001749E">
              <w:rPr>
                <w:rFonts w:ascii="Arial Narrow" w:hAnsi="Arial Narrow"/>
                <w:bCs/>
                <w:color w:val="000000"/>
                <w:sz w:val="20"/>
                <w:szCs w:val="20"/>
                <w:lang w:val="es-CO" w:eastAsia="es-CO"/>
              </w:rPr>
              <w:lastRenderedPageBreak/>
              <w:t>RADICADO</w:t>
            </w:r>
          </w:p>
        </w:tc>
        <w:tc>
          <w:tcPr>
            <w:tcW w:w="0" w:type="auto"/>
            <w:tcBorders>
              <w:top w:val="nil"/>
              <w:left w:val="nil"/>
              <w:bottom w:val="single" w:sz="4" w:space="0" w:color="9BC2E6"/>
              <w:right w:val="nil"/>
            </w:tcBorders>
            <w:shd w:val="clear" w:color="DDEBF7" w:fill="DDEBF7"/>
          </w:tcPr>
          <w:p w:rsidR="00FD41F0" w:rsidRPr="0001749E" w:rsidRDefault="00FD41F0" w:rsidP="0001749E">
            <w:pPr>
              <w:jc w:val="left"/>
              <w:rPr>
                <w:rFonts w:ascii="Arial Narrow" w:hAnsi="Arial Narrow"/>
                <w:bCs/>
                <w:color w:val="000000"/>
                <w:sz w:val="20"/>
                <w:szCs w:val="20"/>
                <w:lang w:val="es-CO" w:eastAsia="es-CO"/>
              </w:rPr>
            </w:pPr>
          </w:p>
        </w:tc>
        <w:tc>
          <w:tcPr>
            <w:tcW w:w="0" w:type="auto"/>
            <w:tcBorders>
              <w:top w:val="nil"/>
              <w:left w:val="nil"/>
              <w:bottom w:val="single" w:sz="4" w:space="0" w:color="9BC2E6"/>
              <w:right w:val="nil"/>
            </w:tcBorders>
            <w:shd w:val="clear" w:color="DDEBF7" w:fill="DDEBF7"/>
            <w:noWrap/>
            <w:vAlign w:val="bottom"/>
            <w:hideMark/>
          </w:tcPr>
          <w:p w:rsidR="00FD41F0" w:rsidRPr="0001749E" w:rsidRDefault="00FD41F0" w:rsidP="0001749E">
            <w:pPr>
              <w:jc w:val="left"/>
              <w:rPr>
                <w:rFonts w:ascii="Arial Narrow" w:hAnsi="Arial Narrow"/>
                <w:bCs/>
                <w:color w:val="000000"/>
                <w:sz w:val="20"/>
                <w:szCs w:val="20"/>
                <w:lang w:val="es-CO" w:eastAsia="es-CO"/>
              </w:rPr>
            </w:pPr>
            <w:r w:rsidRPr="0001749E">
              <w:rPr>
                <w:rFonts w:ascii="Arial Narrow" w:hAnsi="Arial Narrow"/>
                <w:bCs/>
                <w:color w:val="000000"/>
                <w:sz w:val="20"/>
                <w:szCs w:val="20"/>
                <w:lang w:val="es-CO" w:eastAsia="es-CO"/>
              </w:rPr>
              <w:t>AUTOR COMENTARIO</w:t>
            </w:r>
          </w:p>
        </w:tc>
      </w:tr>
      <w:tr w:rsidR="00FD41F0" w:rsidRPr="0001749E" w:rsidTr="00FD41F0">
        <w:trPr>
          <w:trHeight w:val="255"/>
        </w:trPr>
        <w:tc>
          <w:tcPr>
            <w:tcW w:w="0" w:type="auto"/>
            <w:tcBorders>
              <w:top w:val="nil"/>
              <w:left w:val="nil"/>
              <w:bottom w:val="single" w:sz="4" w:space="0" w:color="9BC2E6"/>
              <w:right w:val="nil"/>
            </w:tcBorders>
            <w:shd w:val="clear" w:color="auto" w:fill="auto"/>
            <w:noWrap/>
            <w:vAlign w:val="bottom"/>
            <w:hideMark/>
          </w:tcPr>
          <w:p w:rsidR="00FD41F0" w:rsidRPr="0001749E" w:rsidRDefault="00FD41F0" w:rsidP="0001749E">
            <w:pPr>
              <w:jc w:val="left"/>
              <w:rPr>
                <w:rFonts w:ascii="Arial Narrow" w:hAnsi="Arial Narrow"/>
                <w:bCs/>
                <w:color w:val="000000"/>
                <w:sz w:val="20"/>
                <w:szCs w:val="20"/>
                <w:lang w:val="es-CO" w:eastAsia="es-CO"/>
              </w:rPr>
            </w:pPr>
            <w:r w:rsidRPr="0001749E">
              <w:rPr>
                <w:rFonts w:ascii="Arial Narrow" w:hAnsi="Arial Narrow"/>
                <w:bCs/>
                <w:color w:val="000000"/>
                <w:sz w:val="20"/>
                <w:szCs w:val="20"/>
                <w:lang w:val="es-CO" w:eastAsia="es-CO"/>
              </w:rPr>
              <w:t>E-2016-005365</w:t>
            </w:r>
          </w:p>
        </w:tc>
        <w:tc>
          <w:tcPr>
            <w:tcW w:w="0" w:type="auto"/>
            <w:tcBorders>
              <w:top w:val="nil"/>
              <w:left w:val="nil"/>
              <w:bottom w:val="nil"/>
              <w:right w:val="nil"/>
            </w:tcBorders>
          </w:tcPr>
          <w:p w:rsidR="00FD41F0" w:rsidRPr="0001749E" w:rsidRDefault="00FD41F0" w:rsidP="0001749E">
            <w:pPr>
              <w:jc w:val="left"/>
              <w:rPr>
                <w:rFonts w:ascii="Arial Narrow" w:hAnsi="Arial Narrow"/>
                <w:bCs/>
                <w:color w:val="000000"/>
                <w:sz w:val="20"/>
                <w:szCs w:val="20"/>
                <w:lang w:val="es-CO" w:eastAsia="es-CO"/>
              </w:rPr>
            </w:pPr>
          </w:p>
        </w:tc>
        <w:tc>
          <w:tcPr>
            <w:tcW w:w="0" w:type="auto"/>
            <w:tcBorders>
              <w:top w:val="nil"/>
              <w:left w:val="nil"/>
              <w:bottom w:val="nil"/>
              <w:right w:val="nil"/>
            </w:tcBorders>
            <w:shd w:val="clear" w:color="auto" w:fill="auto"/>
            <w:noWrap/>
            <w:vAlign w:val="bottom"/>
            <w:hideMark/>
          </w:tcPr>
          <w:p w:rsidR="00FD41F0" w:rsidRPr="0001749E" w:rsidRDefault="00FD41F0" w:rsidP="0001749E">
            <w:pPr>
              <w:jc w:val="left"/>
              <w:rPr>
                <w:rFonts w:ascii="Arial Narrow" w:hAnsi="Arial Narrow"/>
                <w:bCs/>
                <w:color w:val="000000"/>
                <w:sz w:val="20"/>
                <w:szCs w:val="20"/>
                <w:lang w:val="es-CO" w:eastAsia="es-CO"/>
              </w:rPr>
            </w:pPr>
            <w:r w:rsidRPr="0001749E">
              <w:rPr>
                <w:rFonts w:ascii="Arial Narrow" w:hAnsi="Arial Narrow"/>
                <w:bCs/>
                <w:color w:val="000000"/>
                <w:sz w:val="20"/>
                <w:szCs w:val="20"/>
                <w:lang w:val="es-CO" w:eastAsia="es-CO"/>
              </w:rPr>
              <w:t>ANDEG</w:t>
            </w:r>
          </w:p>
        </w:tc>
      </w:tr>
      <w:tr w:rsidR="00FD41F0" w:rsidRPr="0001749E" w:rsidTr="00FD41F0">
        <w:trPr>
          <w:trHeight w:val="255"/>
        </w:trPr>
        <w:tc>
          <w:tcPr>
            <w:tcW w:w="0" w:type="auto"/>
            <w:tcBorders>
              <w:top w:val="nil"/>
              <w:left w:val="nil"/>
              <w:bottom w:val="single" w:sz="4" w:space="0" w:color="9BC2E6"/>
              <w:right w:val="nil"/>
            </w:tcBorders>
            <w:shd w:val="clear" w:color="auto" w:fill="auto"/>
            <w:noWrap/>
            <w:vAlign w:val="bottom"/>
            <w:hideMark/>
          </w:tcPr>
          <w:p w:rsidR="00FD41F0" w:rsidRPr="0001749E" w:rsidRDefault="00FD41F0" w:rsidP="0001749E">
            <w:pPr>
              <w:jc w:val="left"/>
              <w:rPr>
                <w:rFonts w:ascii="Arial Narrow" w:hAnsi="Arial Narrow"/>
                <w:bCs/>
                <w:color w:val="000000"/>
                <w:sz w:val="20"/>
                <w:szCs w:val="20"/>
                <w:lang w:val="es-CO" w:eastAsia="es-CO"/>
              </w:rPr>
            </w:pPr>
            <w:r w:rsidRPr="0001749E">
              <w:rPr>
                <w:rFonts w:ascii="Arial Narrow" w:hAnsi="Arial Narrow"/>
                <w:bCs/>
                <w:color w:val="000000"/>
                <w:sz w:val="20"/>
                <w:szCs w:val="20"/>
                <w:lang w:val="es-CO" w:eastAsia="es-CO"/>
              </w:rPr>
              <w:t>E-2016-005778</w:t>
            </w:r>
          </w:p>
        </w:tc>
        <w:tc>
          <w:tcPr>
            <w:tcW w:w="0" w:type="auto"/>
            <w:tcBorders>
              <w:top w:val="nil"/>
              <w:left w:val="nil"/>
              <w:bottom w:val="nil"/>
              <w:right w:val="nil"/>
            </w:tcBorders>
          </w:tcPr>
          <w:p w:rsidR="00FD41F0" w:rsidRPr="0001749E" w:rsidRDefault="00FD41F0" w:rsidP="0001749E">
            <w:pPr>
              <w:jc w:val="left"/>
              <w:rPr>
                <w:rFonts w:ascii="Arial Narrow" w:hAnsi="Arial Narrow"/>
                <w:bCs/>
                <w:color w:val="000000"/>
                <w:sz w:val="20"/>
                <w:szCs w:val="20"/>
                <w:lang w:val="es-CO" w:eastAsia="es-CO"/>
              </w:rPr>
            </w:pPr>
          </w:p>
        </w:tc>
        <w:tc>
          <w:tcPr>
            <w:tcW w:w="0" w:type="auto"/>
            <w:tcBorders>
              <w:top w:val="nil"/>
              <w:left w:val="nil"/>
              <w:bottom w:val="nil"/>
              <w:right w:val="nil"/>
            </w:tcBorders>
            <w:shd w:val="clear" w:color="auto" w:fill="auto"/>
            <w:noWrap/>
            <w:vAlign w:val="bottom"/>
            <w:hideMark/>
          </w:tcPr>
          <w:p w:rsidR="00FD41F0" w:rsidRPr="0001749E" w:rsidRDefault="00FD41F0" w:rsidP="0001749E">
            <w:pPr>
              <w:jc w:val="left"/>
              <w:rPr>
                <w:rFonts w:ascii="Arial Narrow" w:hAnsi="Arial Narrow"/>
                <w:bCs/>
                <w:color w:val="000000"/>
                <w:sz w:val="20"/>
                <w:szCs w:val="20"/>
                <w:lang w:val="es-CO" w:eastAsia="es-CO"/>
              </w:rPr>
            </w:pPr>
            <w:r w:rsidRPr="0001749E">
              <w:rPr>
                <w:rFonts w:ascii="Arial Narrow" w:hAnsi="Arial Narrow"/>
                <w:bCs/>
                <w:color w:val="000000"/>
                <w:sz w:val="20"/>
                <w:szCs w:val="20"/>
                <w:lang w:val="es-CO" w:eastAsia="es-CO"/>
              </w:rPr>
              <w:t>TGI GRUPO ENERGIA DE BOGOTÁ</w:t>
            </w:r>
          </w:p>
        </w:tc>
      </w:tr>
      <w:tr w:rsidR="00FD41F0" w:rsidRPr="00AB1E48" w:rsidTr="00FD41F0">
        <w:trPr>
          <w:trHeight w:val="255"/>
        </w:trPr>
        <w:tc>
          <w:tcPr>
            <w:tcW w:w="0" w:type="auto"/>
            <w:tcBorders>
              <w:top w:val="nil"/>
              <w:left w:val="nil"/>
              <w:bottom w:val="single" w:sz="4" w:space="0" w:color="9BC2E6"/>
              <w:right w:val="nil"/>
            </w:tcBorders>
            <w:shd w:val="clear" w:color="auto" w:fill="auto"/>
            <w:noWrap/>
            <w:vAlign w:val="bottom"/>
            <w:hideMark/>
          </w:tcPr>
          <w:p w:rsidR="00FD41F0" w:rsidRPr="0001749E" w:rsidRDefault="00FD41F0" w:rsidP="0001749E">
            <w:pPr>
              <w:jc w:val="left"/>
              <w:rPr>
                <w:rFonts w:ascii="Arial Narrow" w:hAnsi="Arial Narrow"/>
                <w:bCs/>
                <w:color w:val="000000"/>
                <w:sz w:val="20"/>
                <w:szCs w:val="20"/>
                <w:lang w:val="es-CO" w:eastAsia="es-CO"/>
              </w:rPr>
            </w:pPr>
            <w:r w:rsidRPr="0001749E">
              <w:rPr>
                <w:rFonts w:ascii="Arial Narrow" w:hAnsi="Arial Narrow"/>
                <w:bCs/>
                <w:color w:val="000000"/>
                <w:sz w:val="20"/>
                <w:szCs w:val="20"/>
                <w:lang w:val="es-CO" w:eastAsia="es-CO"/>
              </w:rPr>
              <w:t>E-2016-005888</w:t>
            </w:r>
          </w:p>
        </w:tc>
        <w:tc>
          <w:tcPr>
            <w:tcW w:w="0" w:type="auto"/>
            <w:tcBorders>
              <w:top w:val="nil"/>
              <w:left w:val="nil"/>
              <w:bottom w:val="nil"/>
              <w:right w:val="nil"/>
            </w:tcBorders>
          </w:tcPr>
          <w:p w:rsidR="00FD41F0" w:rsidRPr="0001749E" w:rsidRDefault="00FD41F0" w:rsidP="0001749E">
            <w:pPr>
              <w:jc w:val="left"/>
              <w:rPr>
                <w:rFonts w:ascii="Arial Narrow" w:hAnsi="Arial Narrow"/>
                <w:bCs/>
                <w:color w:val="000000"/>
                <w:sz w:val="20"/>
                <w:szCs w:val="20"/>
                <w:lang w:val="en-US" w:eastAsia="es-CO"/>
              </w:rPr>
            </w:pPr>
          </w:p>
        </w:tc>
        <w:tc>
          <w:tcPr>
            <w:tcW w:w="0" w:type="auto"/>
            <w:tcBorders>
              <w:top w:val="nil"/>
              <w:left w:val="nil"/>
              <w:bottom w:val="nil"/>
              <w:right w:val="nil"/>
            </w:tcBorders>
            <w:shd w:val="clear" w:color="auto" w:fill="auto"/>
            <w:noWrap/>
            <w:vAlign w:val="bottom"/>
            <w:hideMark/>
          </w:tcPr>
          <w:p w:rsidR="00FD41F0" w:rsidRPr="0001749E" w:rsidRDefault="00FD41F0" w:rsidP="0001749E">
            <w:pPr>
              <w:jc w:val="left"/>
              <w:rPr>
                <w:rFonts w:ascii="Arial Narrow" w:hAnsi="Arial Narrow"/>
                <w:bCs/>
                <w:color w:val="000000"/>
                <w:sz w:val="20"/>
                <w:szCs w:val="20"/>
                <w:lang w:val="en-US" w:eastAsia="es-CO"/>
              </w:rPr>
            </w:pPr>
            <w:r w:rsidRPr="0001749E">
              <w:rPr>
                <w:rFonts w:ascii="Arial Narrow" w:hAnsi="Arial Narrow"/>
                <w:bCs/>
                <w:color w:val="000000"/>
                <w:sz w:val="20"/>
                <w:szCs w:val="20"/>
                <w:lang w:val="en-US" w:eastAsia="es-CO"/>
              </w:rPr>
              <w:t xml:space="preserve">CNE OIL &amp; GAS S.A.S. y su afiliada GEOPRODUCTION OIL AND GAS COMPANY OF COLOMBIA  </w:t>
            </w:r>
          </w:p>
        </w:tc>
      </w:tr>
      <w:tr w:rsidR="00FD41F0" w:rsidRPr="0001749E" w:rsidTr="00FD41F0">
        <w:trPr>
          <w:trHeight w:val="255"/>
        </w:trPr>
        <w:tc>
          <w:tcPr>
            <w:tcW w:w="0" w:type="auto"/>
            <w:tcBorders>
              <w:top w:val="nil"/>
              <w:left w:val="nil"/>
              <w:bottom w:val="nil"/>
              <w:right w:val="nil"/>
            </w:tcBorders>
            <w:shd w:val="clear" w:color="auto" w:fill="auto"/>
            <w:noWrap/>
            <w:vAlign w:val="bottom"/>
            <w:hideMark/>
          </w:tcPr>
          <w:p w:rsidR="00FD41F0" w:rsidRPr="0001749E" w:rsidRDefault="00FD41F0" w:rsidP="0001749E">
            <w:pPr>
              <w:jc w:val="left"/>
              <w:rPr>
                <w:rFonts w:ascii="Arial Narrow" w:hAnsi="Arial Narrow"/>
                <w:bCs/>
                <w:color w:val="000000"/>
                <w:sz w:val="20"/>
                <w:szCs w:val="20"/>
                <w:lang w:val="es-CO" w:eastAsia="es-CO"/>
              </w:rPr>
            </w:pPr>
            <w:r w:rsidRPr="0001749E">
              <w:rPr>
                <w:rFonts w:ascii="Arial Narrow" w:hAnsi="Arial Narrow"/>
                <w:bCs/>
                <w:color w:val="000000"/>
                <w:sz w:val="20"/>
                <w:szCs w:val="20"/>
                <w:lang w:val="es-CO" w:eastAsia="es-CO"/>
              </w:rPr>
              <w:t>E-2016-006120</w:t>
            </w:r>
          </w:p>
        </w:tc>
        <w:tc>
          <w:tcPr>
            <w:tcW w:w="0" w:type="auto"/>
            <w:tcBorders>
              <w:top w:val="nil"/>
              <w:left w:val="nil"/>
              <w:bottom w:val="nil"/>
              <w:right w:val="nil"/>
            </w:tcBorders>
          </w:tcPr>
          <w:p w:rsidR="00FD41F0" w:rsidRPr="0001749E" w:rsidRDefault="00FD41F0" w:rsidP="0001749E">
            <w:pPr>
              <w:jc w:val="left"/>
              <w:rPr>
                <w:rFonts w:ascii="Arial Narrow" w:hAnsi="Arial Narrow"/>
                <w:bCs/>
                <w:color w:val="000000"/>
                <w:sz w:val="20"/>
                <w:szCs w:val="20"/>
                <w:lang w:val="es-CO" w:eastAsia="es-CO"/>
              </w:rPr>
            </w:pPr>
          </w:p>
        </w:tc>
        <w:tc>
          <w:tcPr>
            <w:tcW w:w="0" w:type="auto"/>
            <w:tcBorders>
              <w:top w:val="nil"/>
              <w:left w:val="nil"/>
              <w:bottom w:val="nil"/>
              <w:right w:val="nil"/>
            </w:tcBorders>
            <w:shd w:val="clear" w:color="auto" w:fill="auto"/>
            <w:noWrap/>
            <w:vAlign w:val="bottom"/>
            <w:hideMark/>
          </w:tcPr>
          <w:p w:rsidR="00FD41F0" w:rsidRPr="0001749E" w:rsidRDefault="00FD41F0" w:rsidP="0001749E">
            <w:pPr>
              <w:jc w:val="left"/>
              <w:rPr>
                <w:rFonts w:ascii="Arial Narrow" w:hAnsi="Arial Narrow"/>
                <w:bCs/>
                <w:color w:val="000000"/>
                <w:sz w:val="20"/>
                <w:szCs w:val="20"/>
                <w:lang w:val="es-CO" w:eastAsia="es-CO"/>
              </w:rPr>
            </w:pPr>
            <w:r w:rsidRPr="0001749E">
              <w:rPr>
                <w:rFonts w:ascii="Arial Narrow" w:hAnsi="Arial Narrow"/>
                <w:bCs/>
                <w:color w:val="000000"/>
                <w:sz w:val="20"/>
                <w:szCs w:val="20"/>
                <w:lang w:val="es-CO" w:eastAsia="es-CO"/>
              </w:rPr>
              <w:t>INVERCOLSA</w:t>
            </w:r>
          </w:p>
        </w:tc>
      </w:tr>
      <w:tr w:rsidR="00FD41F0" w:rsidRPr="0001749E" w:rsidTr="00FD41F0">
        <w:trPr>
          <w:trHeight w:val="255"/>
        </w:trPr>
        <w:tc>
          <w:tcPr>
            <w:tcW w:w="0" w:type="auto"/>
            <w:tcBorders>
              <w:top w:val="nil"/>
              <w:left w:val="nil"/>
              <w:bottom w:val="single" w:sz="4" w:space="0" w:color="9BC2E6"/>
              <w:right w:val="nil"/>
            </w:tcBorders>
            <w:shd w:val="clear" w:color="auto" w:fill="auto"/>
            <w:noWrap/>
            <w:vAlign w:val="bottom"/>
            <w:hideMark/>
          </w:tcPr>
          <w:p w:rsidR="00FD41F0" w:rsidRPr="0001749E" w:rsidRDefault="00FD41F0" w:rsidP="0001749E">
            <w:pPr>
              <w:jc w:val="left"/>
              <w:rPr>
                <w:rFonts w:ascii="Arial Narrow" w:hAnsi="Arial Narrow"/>
                <w:bCs/>
                <w:color w:val="000000"/>
                <w:sz w:val="20"/>
                <w:szCs w:val="20"/>
                <w:lang w:val="es-CO" w:eastAsia="es-CO"/>
              </w:rPr>
            </w:pPr>
          </w:p>
        </w:tc>
        <w:tc>
          <w:tcPr>
            <w:tcW w:w="0" w:type="auto"/>
            <w:tcBorders>
              <w:top w:val="nil"/>
              <w:left w:val="nil"/>
              <w:bottom w:val="nil"/>
              <w:right w:val="nil"/>
            </w:tcBorders>
          </w:tcPr>
          <w:p w:rsidR="00FD41F0" w:rsidRPr="0001749E" w:rsidRDefault="00FD41F0" w:rsidP="0001749E">
            <w:pPr>
              <w:jc w:val="left"/>
              <w:rPr>
                <w:rFonts w:ascii="Arial Narrow" w:hAnsi="Arial Narrow"/>
                <w:bCs/>
                <w:color w:val="000000"/>
                <w:sz w:val="20"/>
                <w:szCs w:val="20"/>
                <w:lang w:val="es-CO" w:eastAsia="es-CO"/>
              </w:rPr>
            </w:pPr>
          </w:p>
        </w:tc>
        <w:tc>
          <w:tcPr>
            <w:tcW w:w="0" w:type="auto"/>
            <w:tcBorders>
              <w:top w:val="nil"/>
              <w:left w:val="nil"/>
              <w:bottom w:val="nil"/>
              <w:right w:val="nil"/>
            </w:tcBorders>
            <w:shd w:val="clear" w:color="auto" w:fill="auto"/>
            <w:noWrap/>
            <w:vAlign w:val="bottom"/>
            <w:hideMark/>
          </w:tcPr>
          <w:p w:rsidR="00FD41F0" w:rsidRPr="0001749E" w:rsidRDefault="00FD41F0" w:rsidP="0001749E">
            <w:pPr>
              <w:jc w:val="left"/>
              <w:rPr>
                <w:rFonts w:ascii="Arial Narrow" w:hAnsi="Arial Narrow"/>
                <w:bCs/>
                <w:color w:val="000000"/>
                <w:sz w:val="20"/>
                <w:szCs w:val="20"/>
                <w:lang w:val="es-CO" w:eastAsia="es-CO"/>
              </w:rPr>
            </w:pPr>
            <w:r w:rsidRPr="0001749E">
              <w:rPr>
                <w:rFonts w:ascii="Arial Narrow" w:hAnsi="Arial Narrow"/>
                <w:bCs/>
                <w:color w:val="000000"/>
                <w:sz w:val="20"/>
                <w:szCs w:val="20"/>
                <w:lang w:val="es-CO" w:eastAsia="es-CO"/>
              </w:rPr>
              <w:t xml:space="preserve">INVERCOLSA </w:t>
            </w:r>
          </w:p>
        </w:tc>
      </w:tr>
      <w:tr w:rsidR="00FD41F0" w:rsidRPr="0001749E" w:rsidTr="00FD41F0">
        <w:trPr>
          <w:trHeight w:val="255"/>
        </w:trPr>
        <w:tc>
          <w:tcPr>
            <w:tcW w:w="0" w:type="auto"/>
            <w:tcBorders>
              <w:top w:val="nil"/>
              <w:left w:val="nil"/>
              <w:bottom w:val="single" w:sz="4" w:space="0" w:color="9BC2E6"/>
              <w:right w:val="nil"/>
            </w:tcBorders>
            <w:shd w:val="clear" w:color="auto" w:fill="auto"/>
            <w:noWrap/>
            <w:vAlign w:val="bottom"/>
            <w:hideMark/>
          </w:tcPr>
          <w:p w:rsidR="00FD41F0" w:rsidRPr="0001749E" w:rsidRDefault="00FD41F0" w:rsidP="0001749E">
            <w:pPr>
              <w:jc w:val="left"/>
              <w:rPr>
                <w:rFonts w:ascii="Arial Narrow" w:hAnsi="Arial Narrow"/>
                <w:bCs/>
                <w:color w:val="000000"/>
                <w:sz w:val="20"/>
                <w:szCs w:val="20"/>
                <w:lang w:val="es-CO" w:eastAsia="es-CO"/>
              </w:rPr>
            </w:pPr>
            <w:r w:rsidRPr="0001749E">
              <w:rPr>
                <w:rFonts w:ascii="Arial Narrow" w:hAnsi="Arial Narrow"/>
                <w:bCs/>
                <w:color w:val="000000"/>
                <w:sz w:val="20"/>
                <w:szCs w:val="20"/>
                <w:lang w:val="es-CO" w:eastAsia="es-CO"/>
              </w:rPr>
              <w:t>E-2016-006189</w:t>
            </w:r>
          </w:p>
        </w:tc>
        <w:tc>
          <w:tcPr>
            <w:tcW w:w="0" w:type="auto"/>
            <w:tcBorders>
              <w:top w:val="nil"/>
              <w:left w:val="nil"/>
              <w:bottom w:val="nil"/>
              <w:right w:val="nil"/>
            </w:tcBorders>
          </w:tcPr>
          <w:p w:rsidR="00FD41F0" w:rsidRPr="0001749E" w:rsidRDefault="00FD41F0" w:rsidP="0001749E">
            <w:pPr>
              <w:jc w:val="left"/>
              <w:rPr>
                <w:rFonts w:ascii="Arial Narrow" w:hAnsi="Arial Narrow"/>
                <w:bCs/>
                <w:color w:val="000000"/>
                <w:sz w:val="20"/>
                <w:szCs w:val="20"/>
                <w:lang w:val="es-CO" w:eastAsia="es-CO"/>
              </w:rPr>
            </w:pPr>
          </w:p>
        </w:tc>
        <w:tc>
          <w:tcPr>
            <w:tcW w:w="0" w:type="auto"/>
            <w:tcBorders>
              <w:top w:val="nil"/>
              <w:left w:val="nil"/>
              <w:bottom w:val="nil"/>
              <w:right w:val="nil"/>
            </w:tcBorders>
            <w:shd w:val="clear" w:color="auto" w:fill="auto"/>
            <w:noWrap/>
            <w:vAlign w:val="bottom"/>
            <w:hideMark/>
          </w:tcPr>
          <w:p w:rsidR="00FD41F0" w:rsidRPr="0001749E" w:rsidRDefault="00FD41F0" w:rsidP="0001749E">
            <w:pPr>
              <w:jc w:val="left"/>
              <w:rPr>
                <w:rFonts w:ascii="Arial Narrow" w:hAnsi="Arial Narrow"/>
                <w:bCs/>
                <w:color w:val="000000"/>
                <w:sz w:val="20"/>
                <w:szCs w:val="20"/>
                <w:lang w:val="es-CO" w:eastAsia="es-CO"/>
              </w:rPr>
            </w:pPr>
            <w:r w:rsidRPr="0001749E">
              <w:rPr>
                <w:rFonts w:ascii="Arial Narrow" w:hAnsi="Arial Narrow"/>
                <w:bCs/>
                <w:color w:val="000000"/>
                <w:sz w:val="20"/>
                <w:szCs w:val="20"/>
                <w:lang w:val="es-CO" w:eastAsia="es-CO"/>
              </w:rPr>
              <w:t>PROMIGAS S.A. E.S.P.</w:t>
            </w:r>
          </w:p>
        </w:tc>
      </w:tr>
      <w:tr w:rsidR="00FD41F0" w:rsidRPr="00AB1E48" w:rsidTr="00FD41F0">
        <w:trPr>
          <w:trHeight w:val="255"/>
        </w:trPr>
        <w:tc>
          <w:tcPr>
            <w:tcW w:w="0" w:type="auto"/>
            <w:tcBorders>
              <w:top w:val="nil"/>
              <w:left w:val="nil"/>
              <w:bottom w:val="single" w:sz="4" w:space="0" w:color="9BC2E6"/>
              <w:right w:val="nil"/>
            </w:tcBorders>
            <w:shd w:val="clear" w:color="auto" w:fill="auto"/>
            <w:noWrap/>
            <w:vAlign w:val="bottom"/>
            <w:hideMark/>
          </w:tcPr>
          <w:p w:rsidR="00FD41F0" w:rsidRPr="0001749E" w:rsidRDefault="00FD41F0" w:rsidP="0001749E">
            <w:pPr>
              <w:jc w:val="left"/>
              <w:rPr>
                <w:rFonts w:ascii="Arial Narrow" w:hAnsi="Arial Narrow"/>
                <w:bCs/>
                <w:color w:val="000000"/>
                <w:sz w:val="20"/>
                <w:szCs w:val="20"/>
                <w:lang w:val="es-CO" w:eastAsia="es-CO"/>
              </w:rPr>
            </w:pPr>
            <w:r w:rsidRPr="0001749E">
              <w:rPr>
                <w:rFonts w:ascii="Arial Narrow" w:hAnsi="Arial Narrow"/>
                <w:bCs/>
                <w:color w:val="000000"/>
                <w:sz w:val="20"/>
                <w:szCs w:val="20"/>
                <w:lang w:val="es-CO" w:eastAsia="es-CO"/>
              </w:rPr>
              <w:t>E-2016-006252</w:t>
            </w:r>
          </w:p>
        </w:tc>
        <w:tc>
          <w:tcPr>
            <w:tcW w:w="0" w:type="auto"/>
            <w:tcBorders>
              <w:top w:val="nil"/>
              <w:left w:val="nil"/>
              <w:bottom w:val="nil"/>
              <w:right w:val="nil"/>
            </w:tcBorders>
          </w:tcPr>
          <w:p w:rsidR="00FD41F0" w:rsidRPr="0001749E" w:rsidRDefault="00FD41F0" w:rsidP="0001749E">
            <w:pPr>
              <w:jc w:val="left"/>
              <w:rPr>
                <w:rFonts w:ascii="Arial Narrow" w:hAnsi="Arial Narrow"/>
                <w:bCs/>
                <w:color w:val="000000"/>
                <w:sz w:val="20"/>
                <w:szCs w:val="20"/>
                <w:lang w:val="en-US" w:eastAsia="es-CO"/>
              </w:rPr>
            </w:pPr>
          </w:p>
        </w:tc>
        <w:tc>
          <w:tcPr>
            <w:tcW w:w="0" w:type="auto"/>
            <w:tcBorders>
              <w:top w:val="nil"/>
              <w:left w:val="nil"/>
              <w:bottom w:val="nil"/>
              <w:right w:val="nil"/>
            </w:tcBorders>
            <w:shd w:val="clear" w:color="auto" w:fill="auto"/>
            <w:noWrap/>
            <w:vAlign w:val="bottom"/>
            <w:hideMark/>
          </w:tcPr>
          <w:p w:rsidR="00FD41F0" w:rsidRPr="0001749E" w:rsidRDefault="00FD41F0" w:rsidP="0001749E">
            <w:pPr>
              <w:jc w:val="left"/>
              <w:rPr>
                <w:rFonts w:ascii="Arial Narrow" w:hAnsi="Arial Narrow"/>
                <w:bCs/>
                <w:color w:val="000000"/>
                <w:sz w:val="20"/>
                <w:szCs w:val="20"/>
                <w:lang w:val="en-US" w:eastAsia="es-CO"/>
              </w:rPr>
            </w:pPr>
            <w:r w:rsidRPr="0001749E">
              <w:rPr>
                <w:rFonts w:ascii="Arial Narrow" w:hAnsi="Arial Narrow"/>
                <w:bCs/>
                <w:color w:val="000000"/>
                <w:sz w:val="20"/>
                <w:szCs w:val="20"/>
                <w:lang w:val="en-US" w:eastAsia="es-CO"/>
              </w:rPr>
              <w:t xml:space="preserve">CNE OIL &amp; GAS S.A.S. y su afiliada GEOPRODUCTION OIL AND GAS COMPANY OF COLOMBIA  </w:t>
            </w:r>
          </w:p>
        </w:tc>
      </w:tr>
      <w:tr w:rsidR="00FD41F0" w:rsidRPr="00AB1E48" w:rsidTr="00FD41F0">
        <w:trPr>
          <w:trHeight w:val="255"/>
        </w:trPr>
        <w:tc>
          <w:tcPr>
            <w:tcW w:w="0" w:type="auto"/>
            <w:tcBorders>
              <w:top w:val="nil"/>
              <w:left w:val="nil"/>
              <w:bottom w:val="single" w:sz="4" w:space="0" w:color="9BC2E6"/>
              <w:right w:val="nil"/>
            </w:tcBorders>
            <w:shd w:val="clear" w:color="auto" w:fill="auto"/>
            <w:noWrap/>
            <w:vAlign w:val="bottom"/>
            <w:hideMark/>
          </w:tcPr>
          <w:p w:rsidR="00FD41F0" w:rsidRPr="0001749E" w:rsidRDefault="00FD41F0" w:rsidP="0001749E">
            <w:pPr>
              <w:jc w:val="left"/>
              <w:rPr>
                <w:rFonts w:ascii="Arial Narrow" w:hAnsi="Arial Narrow"/>
                <w:bCs/>
                <w:color w:val="000000"/>
                <w:sz w:val="20"/>
                <w:szCs w:val="20"/>
                <w:lang w:val="es-CO" w:eastAsia="es-CO"/>
              </w:rPr>
            </w:pPr>
            <w:r w:rsidRPr="0001749E">
              <w:rPr>
                <w:rFonts w:ascii="Arial Narrow" w:hAnsi="Arial Narrow"/>
                <w:bCs/>
                <w:color w:val="000000"/>
                <w:sz w:val="20"/>
                <w:szCs w:val="20"/>
                <w:lang w:val="es-CO" w:eastAsia="es-CO"/>
              </w:rPr>
              <w:t>E-2016-006253</w:t>
            </w:r>
          </w:p>
        </w:tc>
        <w:tc>
          <w:tcPr>
            <w:tcW w:w="0" w:type="auto"/>
            <w:tcBorders>
              <w:top w:val="nil"/>
              <w:left w:val="nil"/>
              <w:bottom w:val="nil"/>
              <w:right w:val="nil"/>
            </w:tcBorders>
          </w:tcPr>
          <w:p w:rsidR="00FD41F0" w:rsidRPr="0001749E" w:rsidRDefault="00FD41F0" w:rsidP="0001749E">
            <w:pPr>
              <w:jc w:val="left"/>
              <w:rPr>
                <w:rFonts w:ascii="Arial Narrow" w:hAnsi="Arial Narrow"/>
                <w:bCs/>
                <w:color w:val="000000"/>
                <w:sz w:val="20"/>
                <w:szCs w:val="20"/>
                <w:lang w:val="en-US" w:eastAsia="es-CO"/>
              </w:rPr>
            </w:pPr>
          </w:p>
        </w:tc>
        <w:tc>
          <w:tcPr>
            <w:tcW w:w="0" w:type="auto"/>
            <w:tcBorders>
              <w:top w:val="nil"/>
              <w:left w:val="nil"/>
              <w:bottom w:val="nil"/>
              <w:right w:val="nil"/>
            </w:tcBorders>
            <w:shd w:val="clear" w:color="auto" w:fill="auto"/>
            <w:noWrap/>
            <w:vAlign w:val="bottom"/>
            <w:hideMark/>
          </w:tcPr>
          <w:p w:rsidR="00FD41F0" w:rsidRPr="0001749E" w:rsidRDefault="00FD41F0" w:rsidP="0001749E">
            <w:pPr>
              <w:jc w:val="left"/>
              <w:rPr>
                <w:rFonts w:ascii="Arial Narrow" w:hAnsi="Arial Narrow"/>
                <w:bCs/>
                <w:color w:val="000000"/>
                <w:sz w:val="20"/>
                <w:szCs w:val="20"/>
                <w:lang w:val="en-US" w:eastAsia="es-CO"/>
              </w:rPr>
            </w:pPr>
            <w:r w:rsidRPr="0001749E">
              <w:rPr>
                <w:rFonts w:ascii="Arial Narrow" w:hAnsi="Arial Narrow"/>
                <w:bCs/>
                <w:color w:val="000000"/>
                <w:sz w:val="20"/>
                <w:szCs w:val="20"/>
                <w:lang w:val="en-US" w:eastAsia="es-CO"/>
              </w:rPr>
              <w:t xml:space="preserve">CNE OIL &amp; GAS S.A.S. y su afiliada GEOPRODUCTION OIL AND GAS COMPANY OF COLOMBIA  </w:t>
            </w:r>
          </w:p>
        </w:tc>
      </w:tr>
      <w:tr w:rsidR="00FD41F0" w:rsidRPr="0001749E" w:rsidTr="00FD41F0">
        <w:trPr>
          <w:trHeight w:val="255"/>
        </w:trPr>
        <w:tc>
          <w:tcPr>
            <w:tcW w:w="0" w:type="auto"/>
            <w:tcBorders>
              <w:top w:val="nil"/>
              <w:left w:val="nil"/>
              <w:bottom w:val="single" w:sz="4" w:space="0" w:color="9BC2E6"/>
              <w:right w:val="nil"/>
            </w:tcBorders>
            <w:shd w:val="clear" w:color="auto" w:fill="auto"/>
            <w:noWrap/>
            <w:vAlign w:val="bottom"/>
            <w:hideMark/>
          </w:tcPr>
          <w:p w:rsidR="00FD41F0" w:rsidRPr="0001749E" w:rsidRDefault="00FD41F0" w:rsidP="0001749E">
            <w:pPr>
              <w:jc w:val="left"/>
              <w:rPr>
                <w:rFonts w:ascii="Arial Narrow" w:hAnsi="Arial Narrow"/>
                <w:bCs/>
                <w:color w:val="000000"/>
                <w:sz w:val="20"/>
                <w:szCs w:val="20"/>
                <w:lang w:val="es-CO" w:eastAsia="es-CO"/>
              </w:rPr>
            </w:pPr>
            <w:r w:rsidRPr="0001749E">
              <w:rPr>
                <w:rFonts w:ascii="Arial Narrow" w:hAnsi="Arial Narrow"/>
                <w:bCs/>
                <w:color w:val="000000"/>
                <w:sz w:val="20"/>
                <w:szCs w:val="20"/>
                <w:lang w:val="es-CO" w:eastAsia="es-CO"/>
              </w:rPr>
              <w:t>E-2016-006256</w:t>
            </w:r>
          </w:p>
        </w:tc>
        <w:tc>
          <w:tcPr>
            <w:tcW w:w="0" w:type="auto"/>
            <w:tcBorders>
              <w:top w:val="nil"/>
              <w:left w:val="nil"/>
              <w:bottom w:val="nil"/>
              <w:right w:val="nil"/>
            </w:tcBorders>
          </w:tcPr>
          <w:p w:rsidR="00FD41F0" w:rsidRPr="0001749E" w:rsidRDefault="00FD41F0" w:rsidP="0001749E">
            <w:pPr>
              <w:jc w:val="left"/>
              <w:rPr>
                <w:rFonts w:ascii="Arial Narrow" w:hAnsi="Arial Narrow"/>
                <w:bCs/>
                <w:color w:val="000000"/>
                <w:sz w:val="20"/>
                <w:szCs w:val="20"/>
                <w:lang w:val="es-CO" w:eastAsia="es-CO"/>
              </w:rPr>
            </w:pPr>
          </w:p>
        </w:tc>
        <w:tc>
          <w:tcPr>
            <w:tcW w:w="0" w:type="auto"/>
            <w:tcBorders>
              <w:top w:val="nil"/>
              <w:left w:val="nil"/>
              <w:bottom w:val="nil"/>
              <w:right w:val="nil"/>
            </w:tcBorders>
            <w:shd w:val="clear" w:color="auto" w:fill="auto"/>
            <w:noWrap/>
            <w:vAlign w:val="bottom"/>
            <w:hideMark/>
          </w:tcPr>
          <w:p w:rsidR="00FD41F0" w:rsidRPr="0001749E" w:rsidRDefault="00FD41F0" w:rsidP="0001749E">
            <w:pPr>
              <w:jc w:val="left"/>
              <w:rPr>
                <w:rFonts w:ascii="Arial Narrow" w:hAnsi="Arial Narrow"/>
                <w:bCs/>
                <w:color w:val="000000"/>
                <w:sz w:val="20"/>
                <w:szCs w:val="20"/>
                <w:lang w:val="es-CO" w:eastAsia="es-CO"/>
              </w:rPr>
            </w:pPr>
            <w:r w:rsidRPr="0001749E">
              <w:rPr>
                <w:rFonts w:ascii="Arial Narrow" w:hAnsi="Arial Narrow"/>
                <w:bCs/>
                <w:color w:val="000000"/>
                <w:sz w:val="20"/>
                <w:szCs w:val="20"/>
                <w:lang w:val="es-CO" w:eastAsia="es-CO"/>
              </w:rPr>
              <w:t>ASOCIACION COLOMBIANA DE GAS NATURAL -NATURGAS-</w:t>
            </w:r>
          </w:p>
        </w:tc>
      </w:tr>
      <w:tr w:rsidR="00FD41F0" w:rsidRPr="0001749E" w:rsidTr="00FD41F0">
        <w:trPr>
          <w:trHeight w:val="255"/>
        </w:trPr>
        <w:tc>
          <w:tcPr>
            <w:tcW w:w="0" w:type="auto"/>
            <w:tcBorders>
              <w:top w:val="nil"/>
              <w:left w:val="nil"/>
              <w:bottom w:val="single" w:sz="4" w:space="0" w:color="9BC2E6"/>
              <w:right w:val="nil"/>
            </w:tcBorders>
            <w:shd w:val="clear" w:color="auto" w:fill="auto"/>
            <w:noWrap/>
            <w:vAlign w:val="bottom"/>
            <w:hideMark/>
          </w:tcPr>
          <w:p w:rsidR="00FD41F0" w:rsidRPr="0001749E" w:rsidRDefault="00FD41F0" w:rsidP="0001749E">
            <w:pPr>
              <w:jc w:val="left"/>
              <w:rPr>
                <w:rFonts w:ascii="Arial Narrow" w:hAnsi="Arial Narrow"/>
                <w:bCs/>
                <w:color w:val="000000"/>
                <w:sz w:val="20"/>
                <w:szCs w:val="20"/>
                <w:lang w:val="es-CO" w:eastAsia="es-CO"/>
              </w:rPr>
            </w:pPr>
            <w:r w:rsidRPr="0001749E">
              <w:rPr>
                <w:rFonts w:ascii="Arial Narrow" w:hAnsi="Arial Narrow"/>
                <w:bCs/>
                <w:color w:val="000000"/>
                <w:sz w:val="20"/>
                <w:szCs w:val="20"/>
                <w:lang w:val="es-CO" w:eastAsia="es-CO"/>
              </w:rPr>
              <w:t>E-2016-006263</w:t>
            </w:r>
          </w:p>
        </w:tc>
        <w:tc>
          <w:tcPr>
            <w:tcW w:w="0" w:type="auto"/>
            <w:tcBorders>
              <w:top w:val="nil"/>
              <w:left w:val="nil"/>
              <w:bottom w:val="nil"/>
              <w:right w:val="nil"/>
            </w:tcBorders>
          </w:tcPr>
          <w:p w:rsidR="00FD41F0" w:rsidRPr="0001749E" w:rsidRDefault="00FD41F0" w:rsidP="0001749E">
            <w:pPr>
              <w:jc w:val="left"/>
              <w:rPr>
                <w:rFonts w:ascii="Arial Narrow" w:hAnsi="Arial Narrow"/>
                <w:bCs/>
                <w:color w:val="000000"/>
                <w:sz w:val="20"/>
                <w:szCs w:val="20"/>
                <w:lang w:val="es-CO" w:eastAsia="es-CO"/>
              </w:rPr>
            </w:pPr>
          </w:p>
        </w:tc>
        <w:tc>
          <w:tcPr>
            <w:tcW w:w="0" w:type="auto"/>
            <w:tcBorders>
              <w:top w:val="nil"/>
              <w:left w:val="nil"/>
              <w:bottom w:val="nil"/>
              <w:right w:val="nil"/>
            </w:tcBorders>
            <w:shd w:val="clear" w:color="auto" w:fill="auto"/>
            <w:noWrap/>
            <w:vAlign w:val="bottom"/>
            <w:hideMark/>
          </w:tcPr>
          <w:p w:rsidR="00FD41F0" w:rsidRPr="0001749E" w:rsidRDefault="00FD41F0" w:rsidP="0001749E">
            <w:pPr>
              <w:jc w:val="left"/>
              <w:rPr>
                <w:rFonts w:ascii="Arial Narrow" w:hAnsi="Arial Narrow"/>
                <w:bCs/>
                <w:color w:val="000000"/>
                <w:sz w:val="20"/>
                <w:szCs w:val="20"/>
                <w:lang w:val="es-CO" w:eastAsia="es-CO"/>
              </w:rPr>
            </w:pPr>
            <w:r w:rsidRPr="0001749E">
              <w:rPr>
                <w:rFonts w:ascii="Arial Narrow" w:hAnsi="Arial Narrow"/>
                <w:bCs/>
                <w:color w:val="000000"/>
                <w:sz w:val="20"/>
                <w:szCs w:val="20"/>
                <w:lang w:val="es-CO" w:eastAsia="es-CO"/>
              </w:rPr>
              <w:t>NATURGAS</w:t>
            </w:r>
          </w:p>
        </w:tc>
      </w:tr>
      <w:tr w:rsidR="00FD41F0" w:rsidRPr="00AB1E48" w:rsidTr="00FD41F0">
        <w:trPr>
          <w:trHeight w:val="255"/>
        </w:trPr>
        <w:tc>
          <w:tcPr>
            <w:tcW w:w="0" w:type="auto"/>
            <w:tcBorders>
              <w:top w:val="nil"/>
              <w:left w:val="nil"/>
              <w:bottom w:val="single" w:sz="4" w:space="0" w:color="9BC2E6"/>
              <w:right w:val="nil"/>
            </w:tcBorders>
            <w:shd w:val="clear" w:color="auto" w:fill="auto"/>
            <w:noWrap/>
            <w:vAlign w:val="bottom"/>
            <w:hideMark/>
          </w:tcPr>
          <w:p w:rsidR="00FD41F0" w:rsidRPr="0001749E" w:rsidRDefault="00FD41F0" w:rsidP="0001749E">
            <w:pPr>
              <w:jc w:val="left"/>
              <w:rPr>
                <w:rFonts w:ascii="Arial Narrow" w:hAnsi="Arial Narrow"/>
                <w:bCs/>
                <w:color w:val="000000"/>
                <w:sz w:val="20"/>
                <w:szCs w:val="20"/>
                <w:lang w:val="es-CO" w:eastAsia="es-CO"/>
              </w:rPr>
            </w:pPr>
            <w:r w:rsidRPr="0001749E">
              <w:rPr>
                <w:rFonts w:ascii="Arial Narrow" w:hAnsi="Arial Narrow"/>
                <w:bCs/>
                <w:color w:val="000000"/>
                <w:sz w:val="20"/>
                <w:szCs w:val="20"/>
                <w:lang w:val="es-CO" w:eastAsia="es-CO"/>
              </w:rPr>
              <w:t>E-2016-006282</w:t>
            </w:r>
          </w:p>
        </w:tc>
        <w:tc>
          <w:tcPr>
            <w:tcW w:w="0" w:type="auto"/>
            <w:tcBorders>
              <w:top w:val="nil"/>
              <w:left w:val="nil"/>
              <w:bottom w:val="nil"/>
              <w:right w:val="nil"/>
            </w:tcBorders>
          </w:tcPr>
          <w:p w:rsidR="00FD41F0" w:rsidRPr="0001749E" w:rsidRDefault="00FD41F0" w:rsidP="0001749E">
            <w:pPr>
              <w:jc w:val="left"/>
              <w:rPr>
                <w:rFonts w:ascii="Arial Narrow" w:hAnsi="Arial Narrow"/>
                <w:bCs/>
                <w:color w:val="000000"/>
                <w:sz w:val="20"/>
                <w:szCs w:val="20"/>
                <w:lang w:val="en-US" w:eastAsia="es-CO"/>
              </w:rPr>
            </w:pPr>
          </w:p>
        </w:tc>
        <w:tc>
          <w:tcPr>
            <w:tcW w:w="0" w:type="auto"/>
            <w:tcBorders>
              <w:top w:val="nil"/>
              <w:left w:val="nil"/>
              <w:bottom w:val="nil"/>
              <w:right w:val="nil"/>
            </w:tcBorders>
            <w:shd w:val="clear" w:color="auto" w:fill="auto"/>
            <w:noWrap/>
            <w:vAlign w:val="bottom"/>
            <w:hideMark/>
          </w:tcPr>
          <w:p w:rsidR="00FD41F0" w:rsidRPr="0001749E" w:rsidRDefault="00FD41F0" w:rsidP="0001749E">
            <w:pPr>
              <w:jc w:val="left"/>
              <w:rPr>
                <w:rFonts w:ascii="Arial Narrow" w:hAnsi="Arial Narrow"/>
                <w:bCs/>
                <w:color w:val="000000"/>
                <w:sz w:val="20"/>
                <w:szCs w:val="20"/>
                <w:lang w:val="en-US" w:eastAsia="es-CO"/>
              </w:rPr>
            </w:pPr>
            <w:r w:rsidRPr="0001749E">
              <w:rPr>
                <w:rFonts w:ascii="Arial Narrow" w:hAnsi="Arial Narrow"/>
                <w:bCs/>
                <w:color w:val="000000"/>
                <w:sz w:val="20"/>
                <w:szCs w:val="20"/>
                <w:lang w:val="en-US" w:eastAsia="es-CO"/>
              </w:rPr>
              <w:t xml:space="preserve">CNE OIL &amp; GAS S.A.S. y su afiliada GEOPRODUCTION OIL AND GAS COMPANY OF COLOMBIA  </w:t>
            </w:r>
          </w:p>
        </w:tc>
      </w:tr>
      <w:tr w:rsidR="00FD41F0" w:rsidRPr="0001749E" w:rsidTr="00FD41F0">
        <w:trPr>
          <w:trHeight w:val="255"/>
        </w:trPr>
        <w:tc>
          <w:tcPr>
            <w:tcW w:w="0" w:type="auto"/>
            <w:tcBorders>
              <w:top w:val="nil"/>
              <w:left w:val="nil"/>
              <w:bottom w:val="single" w:sz="4" w:space="0" w:color="9BC2E6"/>
              <w:right w:val="nil"/>
            </w:tcBorders>
            <w:shd w:val="clear" w:color="auto" w:fill="auto"/>
            <w:noWrap/>
            <w:vAlign w:val="bottom"/>
            <w:hideMark/>
          </w:tcPr>
          <w:p w:rsidR="00FD41F0" w:rsidRPr="0001749E" w:rsidRDefault="00FD41F0" w:rsidP="0001749E">
            <w:pPr>
              <w:jc w:val="left"/>
              <w:rPr>
                <w:rFonts w:ascii="Arial Narrow" w:hAnsi="Arial Narrow"/>
                <w:bCs/>
                <w:color w:val="000000"/>
                <w:sz w:val="20"/>
                <w:szCs w:val="20"/>
                <w:lang w:val="es-CO" w:eastAsia="es-CO"/>
              </w:rPr>
            </w:pPr>
            <w:r w:rsidRPr="0001749E">
              <w:rPr>
                <w:rFonts w:ascii="Arial Narrow" w:hAnsi="Arial Narrow"/>
                <w:bCs/>
                <w:color w:val="000000"/>
                <w:sz w:val="20"/>
                <w:szCs w:val="20"/>
                <w:lang w:val="es-CO" w:eastAsia="es-CO"/>
              </w:rPr>
              <w:t>E-2016-006288</w:t>
            </w:r>
          </w:p>
        </w:tc>
        <w:tc>
          <w:tcPr>
            <w:tcW w:w="0" w:type="auto"/>
            <w:tcBorders>
              <w:top w:val="nil"/>
              <w:left w:val="nil"/>
              <w:bottom w:val="nil"/>
              <w:right w:val="nil"/>
            </w:tcBorders>
          </w:tcPr>
          <w:p w:rsidR="00FD41F0" w:rsidRPr="0001749E" w:rsidRDefault="00FD41F0" w:rsidP="0001749E">
            <w:pPr>
              <w:jc w:val="left"/>
              <w:rPr>
                <w:rFonts w:ascii="Arial Narrow" w:hAnsi="Arial Narrow"/>
                <w:bCs/>
                <w:color w:val="000000"/>
                <w:sz w:val="20"/>
                <w:szCs w:val="20"/>
                <w:lang w:val="es-CO" w:eastAsia="es-CO"/>
              </w:rPr>
            </w:pPr>
          </w:p>
        </w:tc>
        <w:tc>
          <w:tcPr>
            <w:tcW w:w="0" w:type="auto"/>
            <w:tcBorders>
              <w:top w:val="nil"/>
              <w:left w:val="nil"/>
              <w:bottom w:val="nil"/>
              <w:right w:val="nil"/>
            </w:tcBorders>
            <w:shd w:val="clear" w:color="auto" w:fill="auto"/>
            <w:noWrap/>
            <w:vAlign w:val="bottom"/>
            <w:hideMark/>
          </w:tcPr>
          <w:p w:rsidR="00FD41F0" w:rsidRPr="0001749E" w:rsidRDefault="00FD41F0" w:rsidP="0001749E">
            <w:pPr>
              <w:jc w:val="left"/>
              <w:rPr>
                <w:rFonts w:ascii="Arial Narrow" w:hAnsi="Arial Narrow"/>
                <w:bCs/>
                <w:color w:val="000000"/>
                <w:sz w:val="20"/>
                <w:szCs w:val="20"/>
                <w:lang w:val="es-CO" w:eastAsia="es-CO"/>
              </w:rPr>
            </w:pPr>
            <w:r w:rsidRPr="0001749E">
              <w:rPr>
                <w:rFonts w:ascii="Arial Narrow" w:hAnsi="Arial Narrow"/>
                <w:bCs/>
                <w:color w:val="000000"/>
                <w:sz w:val="20"/>
                <w:szCs w:val="20"/>
                <w:lang w:val="es-CO" w:eastAsia="es-CO"/>
              </w:rPr>
              <w:t>EMGESA S.A. ESP</w:t>
            </w:r>
          </w:p>
        </w:tc>
      </w:tr>
      <w:tr w:rsidR="00FD41F0" w:rsidRPr="0001749E" w:rsidTr="00FD41F0">
        <w:trPr>
          <w:trHeight w:val="255"/>
        </w:trPr>
        <w:tc>
          <w:tcPr>
            <w:tcW w:w="0" w:type="auto"/>
            <w:tcBorders>
              <w:top w:val="nil"/>
              <w:left w:val="nil"/>
              <w:bottom w:val="single" w:sz="4" w:space="0" w:color="9BC2E6"/>
              <w:right w:val="nil"/>
            </w:tcBorders>
            <w:shd w:val="clear" w:color="auto" w:fill="auto"/>
            <w:noWrap/>
            <w:vAlign w:val="bottom"/>
            <w:hideMark/>
          </w:tcPr>
          <w:p w:rsidR="00FD41F0" w:rsidRPr="0001749E" w:rsidRDefault="00FD41F0" w:rsidP="0001749E">
            <w:pPr>
              <w:jc w:val="left"/>
              <w:rPr>
                <w:rFonts w:ascii="Arial Narrow" w:hAnsi="Arial Narrow"/>
                <w:bCs/>
                <w:color w:val="000000"/>
                <w:sz w:val="20"/>
                <w:szCs w:val="20"/>
                <w:lang w:val="es-CO" w:eastAsia="es-CO"/>
              </w:rPr>
            </w:pPr>
            <w:r w:rsidRPr="0001749E">
              <w:rPr>
                <w:rFonts w:ascii="Arial Narrow" w:hAnsi="Arial Narrow"/>
                <w:bCs/>
                <w:color w:val="000000"/>
                <w:sz w:val="20"/>
                <w:szCs w:val="20"/>
                <w:lang w:val="es-CO" w:eastAsia="es-CO"/>
              </w:rPr>
              <w:t>E-2016-006290</w:t>
            </w:r>
          </w:p>
        </w:tc>
        <w:tc>
          <w:tcPr>
            <w:tcW w:w="0" w:type="auto"/>
            <w:tcBorders>
              <w:top w:val="nil"/>
              <w:left w:val="nil"/>
              <w:bottom w:val="nil"/>
              <w:right w:val="nil"/>
            </w:tcBorders>
          </w:tcPr>
          <w:p w:rsidR="00FD41F0" w:rsidRPr="0001749E" w:rsidRDefault="00FD41F0" w:rsidP="0001749E">
            <w:pPr>
              <w:jc w:val="left"/>
              <w:rPr>
                <w:rFonts w:ascii="Arial Narrow" w:hAnsi="Arial Narrow"/>
                <w:bCs/>
                <w:color w:val="000000"/>
                <w:sz w:val="20"/>
                <w:szCs w:val="20"/>
                <w:lang w:val="es-CO" w:eastAsia="es-CO"/>
              </w:rPr>
            </w:pPr>
          </w:p>
        </w:tc>
        <w:tc>
          <w:tcPr>
            <w:tcW w:w="0" w:type="auto"/>
            <w:tcBorders>
              <w:top w:val="nil"/>
              <w:left w:val="nil"/>
              <w:bottom w:val="nil"/>
              <w:right w:val="nil"/>
            </w:tcBorders>
            <w:shd w:val="clear" w:color="auto" w:fill="auto"/>
            <w:noWrap/>
            <w:vAlign w:val="bottom"/>
            <w:hideMark/>
          </w:tcPr>
          <w:p w:rsidR="00FD41F0" w:rsidRPr="0001749E" w:rsidRDefault="00FD41F0" w:rsidP="0001749E">
            <w:pPr>
              <w:jc w:val="left"/>
              <w:rPr>
                <w:rFonts w:ascii="Arial Narrow" w:hAnsi="Arial Narrow"/>
                <w:bCs/>
                <w:color w:val="000000"/>
                <w:sz w:val="20"/>
                <w:szCs w:val="20"/>
                <w:lang w:val="es-CO" w:eastAsia="es-CO"/>
              </w:rPr>
            </w:pPr>
            <w:r w:rsidRPr="0001749E">
              <w:rPr>
                <w:rFonts w:ascii="Arial Narrow" w:hAnsi="Arial Narrow"/>
                <w:bCs/>
                <w:color w:val="000000"/>
                <w:sz w:val="20"/>
                <w:szCs w:val="20"/>
                <w:lang w:val="es-CO" w:eastAsia="es-CO"/>
              </w:rPr>
              <w:t>EPM</w:t>
            </w:r>
          </w:p>
        </w:tc>
      </w:tr>
      <w:tr w:rsidR="00FD41F0" w:rsidRPr="0001749E" w:rsidTr="00FD41F0">
        <w:trPr>
          <w:trHeight w:val="255"/>
        </w:trPr>
        <w:tc>
          <w:tcPr>
            <w:tcW w:w="0" w:type="auto"/>
            <w:tcBorders>
              <w:top w:val="nil"/>
              <w:left w:val="nil"/>
              <w:bottom w:val="single" w:sz="4" w:space="0" w:color="9BC2E6"/>
              <w:right w:val="nil"/>
            </w:tcBorders>
            <w:shd w:val="clear" w:color="auto" w:fill="auto"/>
            <w:noWrap/>
            <w:vAlign w:val="bottom"/>
            <w:hideMark/>
          </w:tcPr>
          <w:p w:rsidR="00FD41F0" w:rsidRPr="0001749E" w:rsidRDefault="00FD41F0" w:rsidP="0001749E">
            <w:pPr>
              <w:jc w:val="left"/>
              <w:rPr>
                <w:rFonts w:ascii="Arial Narrow" w:hAnsi="Arial Narrow"/>
                <w:bCs/>
                <w:color w:val="000000"/>
                <w:sz w:val="20"/>
                <w:szCs w:val="20"/>
                <w:lang w:val="es-CO" w:eastAsia="es-CO"/>
              </w:rPr>
            </w:pPr>
            <w:r w:rsidRPr="0001749E">
              <w:rPr>
                <w:rFonts w:ascii="Arial Narrow" w:hAnsi="Arial Narrow"/>
                <w:bCs/>
                <w:color w:val="000000"/>
                <w:sz w:val="20"/>
                <w:szCs w:val="20"/>
                <w:lang w:val="es-CO" w:eastAsia="es-CO"/>
              </w:rPr>
              <w:t>E-2016-006293</w:t>
            </w:r>
          </w:p>
        </w:tc>
        <w:tc>
          <w:tcPr>
            <w:tcW w:w="0" w:type="auto"/>
            <w:tcBorders>
              <w:top w:val="nil"/>
              <w:left w:val="nil"/>
              <w:bottom w:val="nil"/>
              <w:right w:val="nil"/>
            </w:tcBorders>
          </w:tcPr>
          <w:p w:rsidR="00FD41F0" w:rsidRPr="0001749E" w:rsidRDefault="00FD41F0" w:rsidP="0001749E">
            <w:pPr>
              <w:jc w:val="left"/>
              <w:rPr>
                <w:rFonts w:ascii="Arial Narrow" w:hAnsi="Arial Narrow"/>
                <w:bCs/>
                <w:color w:val="000000"/>
                <w:sz w:val="20"/>
                <w:szCs w:val="20"/>
                <w:lang w:val="es-CO" w:eastAsia="es-CO"/>
              </w:rPr>
            </w:pPr>
          </w:p>
        </w:tc>
        <w:tc>
          <w:tcPr>
            <w:tcW w:w="0" w:type="auto"/>
            <w:tcBorders>
              <w:top w:val="nil"/>
              <w:left w:val="nil"/>
              <w:bottom w:val="nil"/>
              <w:right w:val="nil"/>
            </w:tcBorders>
            <w:shd w:val="clear" w:color="auto" w:fill="auto"/>
            <w:noWrap/>
            <w:vAlign w:val="bottom"/>
            <w:hideMark/>
          </w:tcPr>
          <w:p w:rsidR="00FD41F0" w:rsidRPr="0001749E" w:rsidRDefault="00FD41F0" w:rsidP="0001749E">
            <w:pPr>
              <w:jc w:val="left"/>
              <w:rPr>
                <w:rFonts w:ascii="Arial Narrow" w:hAnsi="Arial Narrow"/>
                <w:bCs/>
                <w:color w:val="000000"/>
                <w:sz w:val="20"/>
                <w:szCs w:val="20"/>
                <w:lang w:val="es-CO" w:eastAsia="es-CO"/>
              </w:rPr>
            </w:pPr>
            <w:r w:rsidRPr="0001749E">
              <w:rPr>
                <w:rFonts w:ascii="Arial Narrow" w:hAnsi="Arial Narrow"/>
                <w:bCs/>
                <w:color w:val="000000"/>
                <w:sz w:val="20"/>
                <w:szCs w:val="20"/>
                <w:lang w:val="es-CO" w:eastAsia="es-CO"/>
              </w:rPr>
              <w:t>ECOPETROL</w:t>
            </w:r>
          </w:p>
        </w:tc>
      </w:tr>
      <w:tr w:rsidR="00FD41F0" w:rsidRPr="0001749E" w:rsidTr="00FD41F0">
        <w:trPr>
          <w:trHeight w:val="255"/>
        </w:trPr>
        <w:tc>
          <w:tcPr>
            <w:tcW w:w="0" w:type="auto"/>
            <w:tcBorders>
              <w:top w:val="nil"/>
              <w:left w:val="nil"/>
              <w:bottom w:val="single" w:sz="4" w:space="0" w:color="9BC2E6"/>
              <w:right w:val="nil"/>
            </w:tcBorders>
            <w:shd w:val="clear" w:color="auto" w:fill="auto"/>
            <w:noWrap/>
            <w:vAlign w:val="bottom"/>
            <w:hideMark/>
          </w:tcPr>
          <w:p w:rsidR="00FD41F0" w:rsidRPr="0001749E" w:rsidRDefault="00FD41F0" w:rsidP="0001749E">
            <w:pPr>
              <w:jc w:val="left"/>
              <w:rPr>
                <w:rFonts w:ascii="Arial Narrow" w:hAnsi="Arial Narrow"/>
                <w:bCs/>
                <w:color w:val="000000"/>
                <w:sz w:val="20"/>
                <w:szCs w:val="20"/>
                <w:lang w:val="es-CO" w:eastAsia="es-CO"/>
              </w:rPr>
            </w:pPr>
            <w:r w:rsidRPr="0001749E">
              <w:rPr>
                <w:rFonts w:ascii="Arial Narrow" w:hAnsi="Arial Narrow"/>
                <w:bCs/>
                <w:color w:val="000000"/>
                <w:sz w:val="20"/>
                <w:szCs w:val="20"/>
                <w:lang w:val="es-CO" w:eastAsia="es-CO"/>
              </w:rPr>
              <w:t>E-2016-006295</w:t>
            </w:r>
          </w:p>
        </w:tc>
        <w:tc>
          <w:tcPr>
            <w:tcW w:w="0" w:type="auto"/>
            <w:tcBorders>
              <w:top w:val="nil"/>
              <w:left w:val="nil"/>
              <w:bottom w:val="nil"/>
              <w:right w:val="nil"/>
            </w:tcBorders>
          </w:tcPr>
          <w:p w:rsidR="00FD41F0" w:rsidRPr="0001749E" w:rsidRDefault="00FD41F0" w:rsidP="0001749E">
            <w:pPr>
              <w:jc w:val="left"/>
              <w:rPr>
                <w:rFonts w:ascii="Arial Narrow" w:hAnsi="Arial Narrow"/>
                <w:bCs/>
                <w:color w:val="000000"/>
                <w:sz w:val="20"/>
                <w:szCs w:val="20"/>
                <w:lang w:val="es-CO" w:eastAsia="es-CO"/>
              </w:rPr>
            </w:pPr>
          </w:p>
        </w:tc>
        <w:tc>
          <w:tcPr>
            <w:tcW w:w="0" w:type="auto"/>
            <w:tcBorders>
              <w:top w:val="nil"/>
              <w:left w:val="nil"/>
              <w:bottom w:val="nil"/>
              <w:right w:val="nil"/>
            </w:tcBorders>
            <w:shd w:val="clear" w:color="auto" w:fill="auto"/>
            <w:noWrap/>
            <w:vAlign w:val="bottom"/>
            <w:hideMark/>
          </w:tcPr>
          <w:p w:rsidR="00FD41F0" w:rsidRPr="0001749E" w:rsidRDefault="00FD41F0" w:rsidP="0001749E">
            <w:pPr>
              <w:jc w:val="left"/>
              <w:rPr>
                <w:rFonts w:ascii="Arial Narrow" w:hAnsi="Arial Narrow"/>
                <w:bCs/>
                <w:color w:val="000000"/>
                <w:sz w:val="20"/>
                <w:szCs w:val="20"/>
                <w:lang w:val="es-CO" w:eastAsia="es-CO"/>
              </w:rPr>
            </w:pPr>
            <w:r w:rsidRPr="0001749E">
              <w:rPr>
                <w:rFonts w:ascii="Arial Narrow" w:hAnsi="Arial Narrow"/>
                <w:bCs/>
                <w:color w:val="000000"/>
                <w:sz w:val="20"/>
                <w:szCs w:val="20"/>
                <w:lang w:val="es-CO" w:eastAsia="es-CO"/>
              </w:rPr>
              <w:t>TGI S.A E.S.P.</w:t>
            </w:r>
          </w:p>
        </w:tc>
      </w:tr>
      <w:tr w:rsidR="00FD41F0" w:rsidRPr="0001749E" w:rsidTr="00FD41F0">
        <w:trPr>
          <w:trHeight w:val="255"/>
        </w:trPr>
        <w:tc>
          <w:tcPr>
            <w:tcW w:w="0" w:type="auto"/>
            <w:tcBorders>
              <w:top w:val="nil"/>
              <w:left w:val="nil"/>
              <w:bottom w:val="single" w:sz="4" w:space="0" w:color="9BC2E6"/>
              <w:right w:val="nil"/>
            </w:tcBorders>
            <w:shd w:val="clear" w:color="auto" w:fill="auto"/>
            <w:noWrap/>
            <w:vAlign w:val="bottom"/>
            <w:hideMark/>
          </w:tcPr>
          <w:p w:rsidR="00FD41F0" w:rsidRPr="0001749E" w:rsidRDefault="00FD41F0" w:rsidP="0001749E">
            <w:pPr>
              <w:jc w:val="left"/>
              <w:rPr>
                <w:rFonts w:ascii="Arial Narrow" w:hAnsi="Arial Narrow"/>
                <w:bCs/>
                <w:color w:val="000000"/>
                <w:sz w:val="20"/>
                <w:szCs w:val="20"/>
                <w:lang w:val="es-CO" w:eastAsia="es-CO"/>
              </w:rPr>
            </w:pPr>
            <w:r w:rsidRPr="0001749E">
              <w:rPr>
                <w:rFonts w:ascii="Arial Narrow" w:hAnsi="Arial Narrow"/>
                <w:bCs/>
                <w:color w:val="000000"/>
                <w:sz w:val="20"/>
                <w:szCs w:val="20"/>
                <w:lang w:val="es-CO" w:eastAsia="es-CO"/>
              </w:rPr>
              <w:t>E-2016-006297</w:t>
            </w:r>
          </w:p>
        </w:tc>
        <w:tc>
          <w:tcPr>
            <w:tcW w:w="0" w:type="auto"/>
            <w:tcBorders>
              <w:top w:val="nil"/>
              <w:left w:val="nil"/>
              <w:bottom w:val="nil"/>
              <w:right w:val="nil"/>
            </w:tcBorders>
          </w:tcPr>
          <w:p w:rsidR="00FD41F0" w:rsidRPr="0001749E" w:rsidRDefault="00FD41F0" w:rsidP="0001749E">
            <w:pPr>
              <w:jc w:val="left"/>
              <w:rPr>
                <w:rFonts w:ascii="Arial Narrow" w:hAnsi="Arial Narrow"/>
                <w:bCs/>
                <w:color w:val="000000"/>
                <w:sz w:val="20"/>
                <w:szCs w:val="20"/>
                <w:lang w:val="es-CO" w:eastAsia="es-CO"/>
              </w:rPr>
            </w:pPr>
          </w:p>
        </w:tc>
        <w:tc>
          <w:tcPr>
            <w:tcW w:w="0" w:type="auto"/>
            <w:tcBorders>
              <w:top w:val="nil"/>
              <w:left w:val="nil"/>
              <w:bottom w:val="nil"/>
              <w:right w:val="nil"/>
            </w:tcBorders>
            <w:shd w:val="clear" w:color="auto" w:fill="auto"/>
            <w:noWrap/>
            <w:vAlign w:val="bottom"/>
            <w:hideMark/>
          </w:tcPr>
          <w:p w:rsidR="00FD41F0" w:rsidRPr="0001749E" w:rsidRDefault="00FD41F0" w:rsidP="0001749E">
            <w:pPr>
              <w:jc w:val="left"/>
              <w:rPr>
                <w:rFonts w:ascii="Arial Narrow" w:hAnsi="Arial Narrow"/>
                <w:bCs/>
                <w:color w:val="000000"/>
                <w:sz w:val="20"/>
                <w:szCs w:val="20"/>
                <w:lang w:val="es-CO" w:eastAsia="es-CO"/>
              </w:rPr>
            </w:pPr>
            <w:r w:rsidRPr="0001749E">
              <w:rPr>
                <w:rFonts w:ascii="Arial Narrow" w:hAnsi="Arial Narrow"/>
                <w:bCs/>
                <w:color w:val="000000"/>
                <w:sz w:val="20"/>
                <w:szCs w:val="20"/>
                <w:lang w:val="es-CO" w:eastAsia="es-CO"/>
              </w:rPr>
              <w:t>CELSIA</w:t>
            </w:r>
          </w:p>
        </w:tc>
      </w:tr>
      <w:tr w:rsidR="00FD41F0" w:rsidRPr="0001749E" w:rsidTr="00FD41F0">
        <w:trPr>
          <w:trHeight w:val="255"/>
        </w:trPr>
        <w:tc>
          <w:tcPr>
            <w:tcW w:w="0" w:type="auto"/>
            <w:tcBorders>
              <w:top w:val="nil"/>
              <w:left w:val="nil"/>
              <w:bottom w:val="single" w:sz="4" w:space="0" w:color="9BC2E6"/>
              <w:right w:val="nil"/>
            </w:tcBorders>
            <w:shd w:val="clear" w:color="auto" w:fill="auto"/>
            <w:noWrap/>
            <w:vAlign w:val="bottom"/>
            <w:hideMark/>
          </w:tcPr>
          <w:p w:rsidR="00FD41F0" w:rsidRPr="0001749E" w:rsidRDefault="00FD41F0" w:rsidP="0001749E">
            <w:pPr>
              <w:jc w:val="left"/>
              <w:rPr>
                <w:rFonts w:ascii="Arial Narrow" w:hAnsi="Arial Narrow"/>
                <w:bCs/>
                <w:color w:val="000000"/>
                <w:sz w:val="20"/>
                <w:szCs w:val="20"/>
                <w:lang w:val="es-CO" w:eastAsia="es-CO"/>
              </w:rPr>
            </w:pPr>
            <w:r w:rsidRPr="0001749E">
              <w:rPr>
                <w:rFonts w:ascii="Arial Narrow" w:hAnsi="Arial Narrow"/>
                <w:bCs/>
                <w:color w:val="000000"/>
                <w:sz w:val="20"/>
                <w:szCs w:val="20"/>
                <w:lang w:val="es-CO" w:eastAsia="es-CO"/>
              </w:rPr>
              <w:t>E-2016-006299</w:t>
            </w:r>
          </w:p>
        </w:tc>
        <w:tc>
          <w:tcPr>
            <w:tcW w:w="0" w:type="auto"/>
            <w:tcBorders>
              <w:top w:val="nil"/>
              <w:left w:val="nil"/>
              <w:bottom w:val="nil"/>
              <w:right w:val="nil"/>
            </w:tcBorders>
          </w:tcPr>
          <w:p w:rsidR="00FD41F0" w:rsidRPr="0001749E" w:rsidRDefault="00FD41F0" w:rsidP="0001749E">
            <w:pPr>
              <w:jc w:val="left"/>
              <w:rPr>
                <w:rFonts w:ascii="Arial Narrow" w:hAnsi="Arial Narrow"/>
                <w:bCs/>
                <w:color w:val="000000"/>
                <w:sz w:val="20"/>
                <w:szCs w:val="20"/>
                <w:lang w:val="es-CO" w:eastAsia="es-CO"/>
              </w:rPr>
            </w:pPr>
          </w:p>
        </w:tc>
        <w:tc>
          <w:tcPr>
            <w:tcW w:w="0" w:type="auto"/>
            <w:tcBorders>
              <w:top w:val="nil"/>
              <w:left w:val="nil"/>
              <w:bottom w:val="nil"/>
              <w:right w:val="nil"/>
            </w:tcBorders>
            <w:shd w:val="clear" w:color="auto" w:fill="auto"/>
            <w:noWrap/>
            <w:vAlign w:val="bottom"/>
            <w:hideMark/>
          </w:tcPr>
          <w:p w:rsidR="00FD41F0" w:rsidRPr="0001749E" w:rsidRDefault="00FD41F0" w:rsidP="0001749E">
            <w:pPr>
              <w:jc w:val="left"/>
              <w:rPr>
                <w:rFonts w:ascii="Arial Narrow" w:hAnsi="Arial Narrow"/>
                <w:bCs/>
                <w:color w:val="000000"/>
                <w:sz w:val="20"/>
                <w:szCs w:val="20"/>
                <w:lang w:val="es-CO" w:eastAsia="es-CO"/>
              </w:rPr>
            </w:pPr>
            <w:r w:rsidRPr="0001749E">
              <w:rPr>
                <w:rFonts w:ascii="Arial Narrow" w:hAnsi="Arial Narrow"/>
                <w:bCs/>
                <w:color w:val="000000"/>
                <w:sz w:val="20"/>
                <w:szCs w:val="20"/>
                <w:lang w:val="es-CO" w:eastAsia="es-CO"/>
              </w:rPr>
              <w:t>Gas Natural Fenosa</w:t>
            </w:r>
          </w:p>
        </w:tc>
      </w:tr>
      <w:tr w:rsidR="00FD41F0" w:rsidRPr="0001749E" w:rsidTr="00FD41F0">
        <w:trPr>
          <w:trHeight w:val="255"/>
        </w:trPr>
        <w:tc>
          <w:tcPr>
            <w:tcW w:w="0" w:type="auto"/>
            <w:tcBorders>
              <w:top w:val="nil"/>
              <w:left w:val="nil"/>
              <w:bottom w:val="single" w:sz="4" w:space="0" w:color="9BC2E6"/>
              <w:right w:val="nil"/>
            </w:tcBorders>
            <w:shd w:val="clear" w:color="auto" w:fill="auto"/>
            <w:noWrap/>
            <w:vAlign w:val="bottom"/>
            <w:hideMark/>
          </w:tcPr>
          <w:p w:rsidR="00FD41F0" w:rsidRPr="0001749E" w:rsidRDefault="00FD41F0" w:rsidP="0001749E">
            <w:pPr>
              <w:jc w:val="left"/>
              <w:rPr>
                <w:rFonts w:ascii="Arial Narrow" w:hAnsi="Arial Narrow"/>
                <w:bCs/>
                <w:color w:val="000000"/>
                <w:sz w:val="20"/>
                <w:szCs w:val="20"/>
                <w:lang w:val="es-CO" w:eastAsia="es-CO"/>
              </w:rPr>
            </w:pPr>
            <w:r w:rsidRPr="0001749E">
              <w:rPr>
                <w:rFonts w:ascii="Arial Narrow" w:hAnsi="Arial Narrow"/>
                <w:bCs/>
                <w:color w:val="000000"/>
                <w:sz w:val="20"/>
                <w:szCs w:val="20"/>
                <w:lang w:val="es-CO" w:eastAsia="es-CO"/>
              </w:rPr>
              <w:t>E-2016-006300</w:t>
            </w:r>
          </w:p>
        </w:tc>
        <w:tc>
          <w:tcPr>
            <w:tcW w:w="0" w:type="auto"/>
            <w:tcBorders>
              <w:top w:val="nil"/>
              <w:left w:val="nil"/>
              <w:bottom w:val="nil"/>
              <w:right w:val="nil"/>
            </w:tcBorders>
          </w:tcPr>
          <w:p w:rsidR="00FD41F0" w:rsidRPr="0001749E" w:rsidRDefault="00FD41F0" w:rsidP="0001749E">
            <w:pPr>
              <w:jc w:val="left"/>
              <w:rPr>
                <w:rFonts w:ascii="Arial Narrow" w:hAnsi="Arial Narrow"/>
                <w:bCs/>
                <w:color w:val="000000"/>
                <w:sz w:val="20"/>
                <w:szCs w:val="20"/>
                <w:lang w:val="es-CO" w:eastAsia="es-CO"/>
              </w:rPr>
            </w:pPr>
          </w:p>
        </w:tc>
        <w:tc>
          <w:tcPr>
            <w:tcW w:w="0" w:type="auto"/>
            <w:tcBorders>
              <w:top w:val="nil"/>
              <w:left w:val="nil"/>
              <w:bottom w:val="nil"/>
              <w:right w:val="nil"/>
            </w:tcBorders>
            <w:shd w:val="clear" w:color="auto" w:fill="auto"/>
            <w:noWrap/>
            <w:vAlign w:val="bottom"/>
            <w:hideMark/>
          </w:tcPr>
          <w:p w:rsidR="00FD41F0" w:rsidRPr="0001749E" w:rsidRDefault="00FD41F0" w:rsidP="0001749E">
            <w:pPr>
              <w:jc w:val="left"/>
              <w:rPr>
                <w:rFonts w:ascii="Arial Narrow" w:hAnsi="Arial Narrow"/>
                <w:bCs/>
                <w:color w:val="000000"/>
                <w:sz w:val="20"/>
                <w:szCs w:val="20"/>
                <w:lang w:val="es-CO" w:eastAsia="es-CO"/>
              </w:rPr>
            </w:pPr>
            <w:r w:rsidRPr="0001749E">
              <w:rPr>
                <w:rFonts w:ascii="Arial Narrow" w:hAnsi="Arial Narrow"/>
                <w:bCs/>
                <w:color w:val="000000"/>
                <w:sz w:val="20"/>
                <w:szCs w:val="20"/>
                <w:lang w:val="es-CO" w:eastAsia="es-CO"/>
              </w:rPr>
              <w:t>Andesco</w:t>
            </w:r>
          </w:p>
        </w:tc>
      </w:tr>
      <w:tr w:rsidR="00FD41F0" w:rsidRPr="0001749E" w:rsidTr="00FD41F0">
        <w:trPr>
          <w:trHeight w:val="255"/>
        </w:trPr>
        <w:tc>
          <w:tcPr>
            <w:tcW w:w="0" w:type="auto"/>
            <w:tcBorders>
              <w:top w:val="nil"/>
              <w:left w:val="nil"/>
              <w:bottom w:val="single" w:sz="4" w:space="0" w:color="9BC2E6"/>
              <w:right w:val="nil"/>
            </w:tcBorders>
            <w:shd w:val="clear" w:color="auto" w:fill="auto"/>
            <w:noWrap/>
            <w:vAlign w:val="bottom"/>
            <w:hideMark/>
          </w:tcPr>
          <w:p w:rsidR="00FD41F0" w:rsidRPr="0001749E" w:rsidRDefault="00FD41F0" w:rsidP="0001749E">
            <w:pPr>
              <w:jc w:val="left"/>
              <w:rPr>
                <w:rFonts w:ascii="Arial Narrow" w:hAnsi="Arial Narrow"/>
                <w:bCs/>
                <w:color w:val="000000"/>
                <w:sz w:val="20"/>
                <w:szCs w:val="20"/>
                <w:lang w:val="es-CO" w:eastAsia="es-CO"/>
              </w:rPr>
            </w:pPr>
            <w:r w:rsidRPr="0001749E">
              <w:rPr>
                <w:rFonts w:ascii="Arial Narrow" w:hAnsi="Arial Narrow"/>
                <w:bCs/>
                <w:color w:val="000000"/>
                <w:sz w:val="20"/>
                <w:szCs w:val="20"/>
                <w:lang w:val="es-CO" w:eastAsia="es-CO"/>
              </w:rPr>
              <w:t>E-2016-006302</w:t>
            </w:r>
          </w:p>
        </w:tc>
        <w:tc>
          <w:tcPr>
            <w:tcW w:w="0" w:type="auto"/>
            <w:tcBorders>
              <w:top w:val="nil"/>
              <w:left w:val="nil"/>
              <w:bottom w:val="nil"/>
              <w:right w:val="nil"/>
            </w:tcBorders>
          </w:tcPr>
          <w:p w:rsidR="00FD41F0" w:rsidRPr="0001749E" w:rsidRDefault="00FD41F0" w:rsidP="0001749E">
            <w:pPr>
              <w:jc w:val="left"/>
              <w:rPr>
                <w:rFonts w:ascii="Arial Narrow" w:hAnsi="Arial Narrow"/>
                <w:bCs/>
                <w:color w:val="000000"/>
                <w:sz w:val="20"/>
                <w:szCs w:val="20"/>
                <w:lang w:val="es-CO" w:eastAsia="es-CO"/>
              </w:rPr>
            </w:pPr>
          </w:p>
        </w:tc>
        <w:tc>
          <w:tcPr>
            <w:tcW w:w="0" w:type="auto"/>
            <w:tcBorders>
              <w:top w:val="nil"/>
              <w:left w:val="nil"/>
              <w:bottom w:val="nil"/>
              <w:right w:val="nil"/>
            </w:tcBorders>
            <w:shd w:val="clear" w:color="auto" w:fill="auto"/>
            <w:noWrap/>
            <w:vAlign w:val="bottom"/>
            <w:hideMark/>
          </w:tcPr>
          <w:p w:rsidR="00FD41F0" w:rsidRPr="0001749E" w:rsidRDefault="00FD41F0" w:rsidP="0001749E">
            <w:pPr>
              <w:jc w:val="left"/>
              <w:rPr>
                <w:rFonts w:ascii="Arial Narrow" w:hAnsi="Arial Narrow"/>
                <w:bCs/>
                <w:color w:val="000000"/>
                <w:sz w:val="20"/>
                <w:szCs w:val="20"/>
                <w:lang w:val="es-CO" w:eastAsia="es-CO"/>
              </w:rPr>
            </w:pPr>
            <w:r w:rsidRPr="0001749E">
              <w:rPr>
                <w:rFonts w:ascii="Arial Narrow" w:hAnsi="Arial Narrow"/>
                <w:bCs/>
                <w:color w:val="000000"/>
                <w:sz w:val="20"/>
                <w:szCs w:val="20"/>
                <w:lang w:val="es-CO" w:eastAsia="es-CO"/>
              </w:rPr>
              <w:t>ACP</w:t>
            </w:r>
          </w:p>
        </w:tc>
      </w:tr>
      <w:tr w:rsidR="00FD41F0" w:rsidRPr="0001749E" w:rsidTr="00FD41F0">
        <w:trPr>
          <w:trHeight w:val="255"/>
        </w:trPr>
        <w:tc>
          <w:tcPr>
            <w:tcW w:w="0" w:type="auto"/>
            <w:tcBorders>
              <w:top w:val="nil"/>
              <w:left w:val="nil"/>
              <w:bottom w:val="single" w:sz="4" w:space="0" w:color="9BC2E6"/>
              <w:right w:val="nil"/>
            </w:tcBorders>
            <w:shd w:val="clear" w:color="auto" w:fill="auto"/>
            <w:noWrap/>
            <w:vAlign w:val="bottom"/>
            <w:hideMark/>
          </w:tcPr>
          <w:p w:rsidR="00FD41F0" w:rsidRPr="0001749E" w:rsidRDefault="00FD41F0" w:rsidP="0001749E">
            <w:pPr>
              <w:jc w:val="left"/>
              <w:rPr>
                <w:rFonts w:ascii="Arial Narrow" w:hAnsi="Arial Narrow"/>
                <w:bCs/>
                <w:color w:val="000000"/>
                <w:sz w:val="20"/>
                <w:szCs w:val="20"/>
                <w:lang w:val="es-CO" w:eastAsia="es-CO"/>
              </w:rPr>
            </w:pPr>
            <w:r w:rsidRPr="0001749E">
              <w:rPr>
                <w:rFonts w:ascii="Arial Narrow" w:hAnsi="Arial Narrow"/>
                <w:bCs/>
                <w:color w:val="000000"/>
                <w:sz w:val="20"/>
                <w:szCs w:val="20"/>
                <w:lang w:val="es-CO" w:eastAsia="es-CO"/>
              </w:rPr>
              <w:t>E-2016-006303</w:t>
            </w:r>
          </w:p>
        </w:tc>
        <w:tc>
          <w:tcPr>
            <w:tcW w:w="0" w:type="auto"/>
            <w:tcBorders>
              <w:top w:val="nil"/>
              <w:left w:val="nil"/>
              <w:bottom w:val="nil"/>
              <w:right w:val="nil"/>
            </w:tcBorders>
          </w:tcPr>
          <w:p w:rsidR="00FD41F0" w:rsidRPr="0001749E" w:rsidRDefault="00FD41F0" w:rsidP="0001749E">
            <w:pPr>
              <w:jc w:val="left"/>
              <w:rPr>
                <w:rFonts w:ascii="Arial Narrow" w:hAnsi="Arial Narrow"/>
                <w:bCs/>
                <w:color w:val="000000"/>
                <w:sz w:val="20"/>
                <w:szCs w:val="20"/>
                <w:lang w:val="es-CO" w:eastAsia="es-CO"/>
              </w:rPr>
            </w:pPr>
          </w:p>
        </w:tc>
        <w:tc>
          <w:tcPr>
            <w:tcW w:w="0" w:type="auto"/>
            <w:tcBorders>
              <w:top w:val="nil"/>
              <w:left w:val="nil"/>
              <w:bottom w:val="nil"/>
              <w:right w:val="nil"/>
            </w:tcBorders>
            <w:shd w:val="clear" w:color="auto" w:fill="auto"/>
            <w:noWrap/>
            <w:vAlign w:val="bottom"/>
            <w:hideMark/>
          </w:tcPr>
          <w:p w:rsidR="00FD41F0" w:rsidRPr="0001749E" w:rsidRDefault="00FD41F0" w:rsidP="0001749E">
            <w:pPr>
              <w:jc w:val="left"/>
              <w:rPr>
                <w:rFonts w:ascii="Arial Narrow" w:hAnsi="Arial Narrow"/>
                <w:bCs/>
                <w:color w:val="000000"/>
                <w:sz w:val="20"/>
                <w:szCs w:val="20"/>
                <w:lang w:val="es-CO" w:eastAsia="es-CO"/>
              </w:rPr>
            </w:pPr>
            <w:r w:rsidRPr="0001749E">
              <w:rPr>
                <w:rFonts w:ascii="Arial Narrow" w:hAnsi="Arial Narrow"/>
                <w:bCs/>
                <w:color w:val="000000"/>
                <w:sz w:val="20"/>
                <w:szCs w:val="20"/>
                <w:lang w:val="es-CO" w:eastAsia="es-CO"/>
              </w:rPr>
              <w:t>ACOLGEN</w:t>
            </w:r>
          </w:p>
        </w:tc>
      </w:tr>
      <w:tr w:rsidR="00FD41F0" w:rsidRPr="0001749E" w:rsidTr="00FD41F0">
        <w:trPr>
          <w:trHeight w:val="255"/>
        </w:trPr>
        <w:tc>
          <w:tcPr>
            <w:tcW w:w="0" w:type="auto"/>
            <w:tcBorders>
              <w:top w:val="nil"/>
              <w:left w:val="nil"/>
              <w:bottom w:val="single" w:sz="4" w:space="0" w:color="9BC2E6"/>
              <w:right w:val="nil"/>
            </w:tcBorders>
            <w:shd w:val="clear" w:color="auto" w:fill="auto"/>
            <w:noWrap/>
            <w:vAlign w:val="bottom"/>
            <w:hideMark/>
          </w:tcPr>
          <w:p w:rsidR="00FD41F0" w:rsidRPr="0001749E" w:rsidRDefault="00FD41F0" w:rsidP="0001749E">
            <w:pPr>
              <w:jc w:val="left"/>
              <w:rPr>
                <w:rFonts w:ascii="Arial Narrow" w:hAnsi="Arial Narrow"/>
                <w:bCs/>
                <w:color w:val="000000"/>
                <w:sz w:val="20"/>
                <w:szCs w:val="20"/>
                <w:lang w:val="es-CO" w:eastAsia="es-CO"/>
              </w:rPr>
            </w:pPr>
            <w:r w:rsidRPr="0001749E">
              <w:rPr>
                <w:rFonts w:ascii="Arial Narrow" w:hAnsi="Arial Narrow"/>
                <w:bCs/>
                <w:color w:val="000000"/>
                <w:sz w:val="20"/>
                <w:szCs w:val="20"/>
                <w:lang w:val="es-CO" w:eastAsia="es-CO"/>
              </w:rPr>
              <w:t>E-2016-006304</w:t>
            </w:r>
          </w:p>
        </w:tc>
        <w:tc>
          <w:tcPr>
            <w:tcW w:w="0" w:type="auto"/>
            <w:tcBorders>
              <w:top w:val="nil"/>
              <w:left w:val="nil"/>
              <w:bottom w:val="nil"/>
              <w:right w:val="nil"/>
            </w:tcBorders>
          </w:tcPr>
          <w:p w:rsidR="00FD41F0" w:rsidRPr="0001749E" w:rsidRDefault="00FD41F0" w:rsidP="0001749E">
            <w:pPr>
              <w:jc w:val="left"/>
              <w:rPr>
                <w:rFonts w:ascii="Arial Narrow" w:hAnsi="Arial Narrow"/>
                <w:bCs/>
                <w:color w:val="000000"/>
                <w:sz w:val="20"/>
                <w:szCs w:val="20"/>
                <w:lang w:val="es-CO" w:eastAsia="es-CO"/>
              </w:rPr>
            </w:pPr>
          </w:p>
        </w:tc>
        <w:tc>
          <w:tcPr>
            <w:tcW w:w="0" w:type="auto"/>
            <w:tcBorders>
              <w:top w:val="nil"/>
              <w:left w:val="nil"/>
              <w:bottom w:val="nil"/>
              <w:right w:val="nil"/>
            </w:tcBorders>
            <w:shd w:val="clear" w:color="auto" w:fill="auto"/>
            <w:noWrap/>
            <w:vAlign w:val="bottom"/>
            <w:hideMark/>
          </w:tcPr>
          <w:p w:rsidR="00FD41F0" w:rsidRPr="0001749E" w:rsidRDefault="00FD41F0" w:rsidP="0001749E">
            <w:pPr>
              <w:jc w:val="left"/>
              <w:rPr>
                <w:rFonts w:ascii="Arial Narrow" w:hAnsi="Arial Narrow"/>
                <w:bCs/>
                <w:color w:val="000000"/>
                <w:sz w:val="20"/>
                <w:szCs w:val="20"/>
                <w:lang w:val="es-CO" w:eastAsia="es-CO"/>
              </w:rPr>
            </w:pPr>
            <w:r w:rsidRPr="0001749E">
              <w:rPr>
                <w:rFonts w:ascii="Arial Narrow" w:hAnsi="Arial Narrow"/>
                <w:bCs/>
                <w:color w:val="000000"/>
                <w:sz w:val="20"/>
                <w:szCs w:val="20"/>
                <w:lang w:val="es-CO" w:eastAsia="es-CO"/>
              </w:rPr>
              <w:t>Empresa: Corona Industrial SAS</w:t>
            </w:r>
          </w:p>
        </w:tc>
      </w:tr>
      <w:tr w:rsidR="00FD41F0" w:rsidRPr="0001749E" w:rsidTr="00FD41F0">
        <w:trPr>
          <w:trHeight w:val="255"/>
        </w:trPr>
        <w:tc>
          <w:tcPr>
            <w:tcW w:w="0" w:type="auto"/>
            <w:tcBorders>
              <w:top w:val="nil"/>
              <w:left w:val="nil"/>
              <w:bottom w:val="single" w:sz="4" w:space="0" w:color="9BC2E6"/>
              <w:right w:val="nil"/>
            </w:tcBorders>
            <w:shd w:val="clear" w:color="auto" w:fill="auto"/>
            <w:noWrap/>
            <w:vAlign w:val="bottom"/>
            <w:hideMark/>
          </w:tcPr>
          <w:p w:rsidR="00FD41F0" w:rsidRPr="0001749E" w:rsidRDefault="00FD41F0" w:rsidP="0001749E">
            <w:pPr>
              <w:jc w:val="left"/>
              <w:rPr>
                <w:rFonts w:ascii="Arial Narrow" w:hAnsi="Arial Narrow"/>
                <w:bCs/>
                <w:color w:val="000000"/>
                <w:sz w:val="20"/>
                <w:szCs w:val="20"/>
                <w:lang w:val="es-CO" w:eastAsia="es-CO"/>
              </w:rPr>
            </w:pPr>
            <w:r w:rsidRPr="0001749E">
              <w:rPr>
                <w:rFonts w:ascii="Arial Narrow" w:hAnsi="Arial Narrow"/>
                <w:bCs/>
                <w:color w:val="000000"/>
                <w:sz w:val="20"/>
                <w:szCs w:val="20"/>
                <w:lang w:val="es-CO" w:eastAsia="es-CO"/>
              </w:rPr>
              <w:t>E-2016-006305</w:t>
            </w:r>
          </w:p>
        </w:tc>
        <w:tc>
          <w:tcPr>
            <w:tcW w:w="0" w:type="auto"/>
            <w:tcBorders>
              <w:top w:val="nil"/>
              <w:left w:val="nil"/>
              <w:bottom w:val="nil"/>
              <w:right w:val="nil"/>
            </w:tcBorders>
          </w:tcPr>
          <w:p w:rsidR="00FD41F0" w:rsidRPr="0001749E" w:rsidRDefault="00FD41F0" w:rsidP="0001749E">
            <w:pPr>
              <w:jc w:val="left"/>
              <w:rPr>
                <w:rFonts w:ascii="Arial Narrow" w:hAnsi="Arial Narrow"/>
                <w:bCs/>
                <w:color w:val="000000"/>
                <w:sz w:val="20"/>
                <w:szCs w:val="20"/>
                <w:lang w:val="es-CO" w:eastAsia="es-CO"/>
              </w:rPr>
            </w:pPr>
          </w:p>
        </w:tc>
        <w:tc>
          <w:tcPr>
            <w:tcW w:w="0" w:type="auto"/>
            <w:tcBorders>
              <w:top w:val="nil"/>
              <w:left w:val="nil"/>
              <w:bottom w:val="nil"/>
              <w:right w:val="nil"/>
            </w:tcBorders>
            <w:shd w:val="clear" w:color="auto" w:fill="auto"/>
            <w:noWrap/>
            <w:vAlign w:val="bottom"/>
            <w:hideMark/>
          </w:tcPr>
          <w:p w:rsidR="00FD41F0" w:rsidRPr="0001749E" w:rsidRDefault="00FD41F0" w:rsidP="0001749E">
            <w:pPr>
              <w:jc w:val="left"/>
              <w:rPr>
                <w:rFonts w:ascii="Arial Narrow" w:hAnsi="Arial Narrow"/>
                <w:bCs/>
                <w:color w:val="000000"/>
                <w:sz w:val="20"/>
                <w:szCs w:val="20"/>
                <w:lang w:val="es-CO" w:eastAsia="es-CO"/>
              </w:rPr>
            </w:pPr>
            <w:r w:rsidRPr="0001749E">
              <w:rPr>
                <w:rFonts w:ascii="Arial Narrow" w:hAnsi="Arial Narrow"/>
                <w:bCs/>
                <w:color w:val="000000"/>
                <w:sz w:val="20"/>
                <w:szCs w:val="20"/>
                <w:lang w:val="es-CO" w:eastAsia="es-CO"/>
              </w:rPr>
              <w:t>PROMIGAS</w:t>
            </w:r>
          </w:p>
        </w:tc>
      </w:tr>
      <w:tr w:rsidR="00FD41F0" w:rsidRPr="0001749E" w:rsidTr="00FD41F0">
        <w:trPr>
          <w:trHeight w:val="255"/>
        </w:trPr>
        <w:tc>
          <w:tcPr>
            <w:tcW w:w="0" w:type="auto"/>
            <w:tcBorders>
              <w:top w:val="nil"/>
              <w:left w:val="nil"/>
              <w:bottom w:val="single" w:sz="4" w:space="0" w:color="9BC2E6"/>
              <w:right w:val="nil"/>
            </w:tcBorders>
            <w:shd w:val="clear" w:color="auto" w:fill="auto"/>
            <w:noWrap/>
            <w:vAlign w:val="bottom"/>
            <w:hideMark/>
          </w:tcPr>
          <w:p w:rsidR="00FD41F0" w:rsidRPr="0001749E" w:rsidRDefault="00FD41F0" w:rsidP="0001749E">
            <w:pPr>
              <w:jc w:val="left"/>
              <w:rPr>
                <w:rFonts w:ascii="Arial Narrow" w:hAnsi="Arial Narrow"/>
                <w:bCs/>
                <w:color w:val="000000"/>
                <w:sz w:val="20"/>
                <w:szCs w:val="20"/>
                <w:lang w:val="es-CO" w:eastAsia="es-CO"/>
              </w:rPr>
            </w:pPr>
            <w:r w:rsidRPr="0001749E">
              <w:rPr>
                <w:rFonts w:ascii="Arial Narrow" w:hAnsi="Arial Narrow"/>
                <w:bCs/>
                <w:color w:val="000000"/>
                <w:sz w:val="20"/>
                <w:szCs w:val="20"/>
                <w:lang w:val="es-CO" w:eastAsia="es-CO"/>
              </w:rPr>
              <w:t>E-2016-006306</w:t>
            </w:r>
          </w:p>
        </w:tc>
        <w:tc>
          <w:tcPr>
            <w:tcW w:w="0" w:type="auto"/>
            <w:tcBorders>
              <w:top w:val="nil"/>
              <w:left w:val="nil"/>
              <w:bottom w:val="nil"/>
              <w:right w:val="nil"/>
            </w:tcBorders>
          </w:tcPr>
          <w:p w:rsidR="00FD41F0" w:rsidRPr="0001749E" w:rsidRDefault="00FD41F0" w:rsidP="0001749E">
            <w:pPr>
              <w:jc w:val="left"/>
              <w:rPr>
                <w:rFonts w:ascii="Arial Narrow" w:hAnsi="Arial Narrow"/>
                <w:bCs/>
                <w:color w:val="000000"/>
                <w:sz w:val="20"/>
                <w:szCs w:val="20"/>
                <w:lang w:val="es-CO" w:eastAsia="es-CO"/>
              </w:rPr>
            </w:pPr>
          </w:p>
        </w:tc>
        <w:tc>
          <w:tcPr>
            <w:tcW w:w="0" w:type="auto"/>
            <w:tcBorders>
              <w:top w:val="nil"/>
              <w:left w:val="nil"/>
              <w:bottom w:val="nil"/>
              <w:right w:val="nil"/>
            </w:tcBorders>
            <w:shd w:val="clear" w:color="auto" w:fill="auto"/>
            <w:noWrap/>
            <w:vAlign w:val="bottom"/>
            <w:hideMark/>
          </w:tcPr>
          <w:p w:rsidR="00FD41F0" w:rsidRPr="0001749E" w:rsidRDefault="00FD41F0" w:rsidP="0001749E">
            <w:pPr>
              <w:jc w:val="left"/>
              <w:rPr>
                <w:rFonts w:ascii="Arial Narrow" w:hAnsi="Arial Narrow"/>
                <w:bCs/>
                <w:color w:val="000000"/>
                <w:sz w:val="20"/>
                <w:szCs w:val="20"/>
                <w:lang w:val="es-CO" w:eastAsia="es-CO"/>
              </w:rPr>
            </w:pPr>
            <w:r w:rsidRPr="0001749E">
              <w:rPr>
                <w:rFonts w:ascii="Arial Narrow" w:hAnsi="Arial Narrow"/>
                <w:bCs/>
                <w:color w:val="000000"/>
                <w:sz w:val="20"/>
                <w:szCs w:val="20"/>
                <w:lang w:val="es-CO" w:eastAsia="es-CO"/>
              </w:rPr>
              <w:t>Empresa: Diaco S.A.</w:t>
            </w:r>
          </w:p>
        </w:tc>
      </w:tr>
      <w:tr w:rsidR="00FD41F0" w:rsidRPr="0001749E" w:rsidTr="00FD41F0">
        <w:trPr>
          <w:trHeight w:val="255"/>
        </w:trPr>
        <w:tc>
          <w:tcPr>
            <w:tcW w:w="0" w:type="auto"/>
            <w:tcBorders>
              <w:top w:val="nil"/>
              <w:left w:val="nil"/>
              <w:bottom w:val="single" w:sz="4" w:space="0" w:color="9BC2E6"/>
              <w:right w:val="nil"/>
            </w:tcBorders>
            <w:shd w:val="clear" w:color="auto" w:fill="auto"/>
            <w:noWrap/>
            <w:vAlign w:val="bottom"/>
            <w:hideMark/>
          </w:tcPr>
          <w:p w:rsidR="00FD41F0" w:rsidRPr="0001749E" w:rsidRDefault="00FD41F0" w:rsidP="0001749E">
            <w:pPr>
              <w:jc w:val="left"/>
              <w:rPr>
                <w:rFonts w:ascii="Arial Narrow" w:hAnsi="Arial Narrow"/>
                <w:bCs/>
                <w:color w:val="000000"/>
                <w:sz w:val="20"/>
                <w:szCs w:val="20"/>
                <w:lang w:val="es-CO" w:eastAsia="es-CO"/>
              </w:rPr>
            </w:pPr>
            <w:r w:rsidRPr="0001749E">
              <w:rPr>
                <w:rFonts w:ascii="Arial Narrow" w:hAnsi="Arial Narrow"/>
                <w:bCs/>
                <w:color w:val="000000"/>
                <w:sz w:val="20"/>
                <w:szCs w:val="20"/>
                <w:lang w:val="es-CO" w:eastAsia="es-CO"/>
              </w:rPr>
              <w:t>E-2016-006313</w:t>
            </w:r>
          </w:p>
        </w:tc>
        <w:tc>
          <w:tcPr>
            <w:tcW w:w="0" w:type="auto"/>
            <w:tcBorders>
              <w:top w:val="nil"/>
              <w:left w:val="nil"/>
              <w:bottom w:val="nil"/>
              <w:right w:val="nil"/>
            </w:tcBorders>
          </w:tcPr>
          <w:p w:rsidR="00FD41F0" w:rsidRPr="0001749E" w:rsidRDefault="00FD41F0" w:rsidP="0001749E">
            <w:pPr>
              <w:jc w:val="left"/>
              <w:rPr>
                <w:rFonts w:ascii="Arial Narrow" w:hAnsi="Arial Narrow"/>
                <w:bCs/>
                <w:color w:val="000000"/>
                <w:sz w:val="20"/>
                <w:szCs w:val="20"/>
                <w:lang w:val="es-CO" w:eastAsia="es-CO"/>
              </w:rPr>
            </w:pPr>
          </w:p>
        </w:tc>
        <w:tc>
          <w:tcPr>
            <w:tcW w:w="0" w:type="auto"/>
            <w:tcBorders>
              <w:top w:val="nil"/>
              <w:left w:val="nil"/>
              <w:bottom w:val="nil"/>
              <w:right w:val="nil"/>
            </w:tcBorders>
            <w:shd w:val="clear" w:color="auto" w:fill="auto"/>
            <w:noWrap/>
            <w:vAlign w:val="bottom"/>
            <w:hideMark/>
          </w:tcPr>
          <w:p w:rsidR="00FD41F0" w:rsidRPr="0001749E" w:rsidRDefault="00FD41F0" w:rsidP="0001749E">
            <w:pPr>
              <w:jc w:val="left"/>
              <w:rPr>
                <w:rFonts w:ascii="Arial Narrow" w:hAnsi="Arial Narrow"/>
                <w:bCs/>
                <w:color w:val="000000"/>
                <w:sz w:val="20"/>
                <w:szCs w:val="20"/>
                <w:lang w:val="es-CO" w:eastAsia="es-CO"/>
              </w:rPr>
            </w:pPr>
            <w:r w:rsidRPr="0001749E">
              <w:rPr>
                <w:rFonts w:ascii="Arial Narrow" w:hAnsi="Arial Narrow"/>
                <w:bCs/>
                <w:color w:val="000000"/>
                <w:sz w:val="20"/>
                <w:szCs w:val="20"/>
                <w:lang w:val="es-CO" w:eastAsia="es-CO"/>
              </w:rPr>
              <w:t>Empresa: Alfagres S.A.</w:t>
            </w:r>
          </w:p>
        </w:tc>
      </w:tr>
      <w:tr w:rsidR="00FD41F0" w:rsidRPr="0001749E" w:rsidTr="00FD41F0">
        <w:trPr>
          <w:trHeight w:val="255"/>
        </w:trPr>
        <w:tc>
          <w:tcPr>
            <w:tcW w:w="0" w:type="auto"/>
            <w:tcBorders>
              <w:top w:val="nil"/>
              <w:left w:val="nil"/>
              <w:bottom w:val="single" w:sz="4" w:space="0" w:color="9BC2E6"/>
              <w:right w:val="nil"/>
            </w:tcBorders>
            <w:shd w:val="clear" w:color="auto" w:fill="auto"/>
            <w:noWrap/>
            <w:vAlign w:val="bottom"/>
            <w:hideMark/>
          </w:tcPr>
          <w:p w:rsidR="00FD41F0" w:rsidRPr="0001749E" w:rsidRDefault="00FD41F0" w:rsidP="0001749E">
            <w:pPr>
              <w:jc w:val="left"/>
              <w:rPr>
                <w:rFonts w:ascii="Arial Narrow" w:hAnsi="Arial Narrow"/>
                <w:bCs/>
                <w:color w:val="000000"/>
                <w:sz w:val="20"/>
                <w:szCs w:val="20"/>
                <w:lang w:val="es-CO" w:eastAsia="es-CO"/>
              </w:rPr>
            </w:pPr>
            <w:r w:rsidRPr="0001749E">
              <w:rPr>
                <w:rFonts w:ascii="Arial Narrow" w:hAnsi="Arial Narrow"/>
                <w:bCs/>
                <w:color w:val="000000"/>
                <w:sz w:val="20"/>
                <w:szCs w:val="20"/>
                <w:lang w:val="es-CO" w:eastAsia="es-CO"/>
              </w:rPr>
              <w:t>E-2016-006314</w:t>
            </w:r>
          </w:p>
        </w:tc>
        <w:tc>
          <w:tcPr>
            <w:tcW w:w="0" w:type="auto"/>
            <w:tcBorders>
              <w:top w:val="nil"/>
              <w:left w:val="nil"/>
              <w:bottom w:val="nil"/>
              <w:right w:val="nil"/>
            </w:tcBorders>
          </w:tcPr>
          <w:p w:rsidR="00FD41F0" w:rsidRPr="0001749E" w:rsidRDefault="00FD41F0" w:rsidP="0001749E">
            <w:pPr>
              <w:jc w:val="left"/>
              <w:rPr>
                <w:rFonts w:ascii="Arial Narrow" w:hAnsi="Arial Narrow"/>
                <w:bCs/>
                <w:color w:val="000000"/>
                <w:sz w:val="20"/>
                <w:szCs w:val="20"/>
                <w:lang w:val="es-CO" w:eastAsia="es-CO"/>
              </w:rPr>
            </w:pPr>
          </w:p>
        </w:tc>
        <w:tc>
          <w:tcPr>
            <w:tcW w:w="0" w:type="auto"/>
            <w:tcBorders>
              <w:top w:val="nil"/>
              <w:left w:val="nil"/>
              <w:bottom w:val="nil"/>
              <w:right w:val="nil"/>
            </w:tcBorders>
            <w:shd w:val="clear" w:color="auto" w:fill="auto"/>
            <w:noWrap/>
            <w:vAlign w:val="bottom"/>
            <w:hideMark/>
          </w:tcPr>
          <w:p w:rsidR="00FD41F0" w:rsidRPr="0001749E" w:rsidRDefault="00FD41F0" w:rsidP="0001749E">
            <w:pPr>
              <w:jc w:val="left"/>
              <w:rPr>
                <w:rFonts w:ascii="Arial Narrow" w:hAnsi="Arial Narrow"/>
                <w:bCs/>
                <w:color w:val="000000"/>
                <w:sz w:val="20"/>
                <w:szCs w:val="20"/>
                <w:lang w:val="es-CO" w:eastAsia="es-CO"/>
              </w:rPr>
            </w:pPr>
            <w:r w:rsidRPr="0001749E">
              <w:rPr>
                <w:rFonts w:ascii="Arial Narrow" w:hAnsi="Arial Narrow"/>
                <w:bCs/>
                <w:color w:val="000000"/>
                <w:sz w:val="20"/>
                <w:szCs w:val="20"/>
                <w:lang w:val="es-CO" w:eastAsia="es-CO"/>
              </w:rPr>
              <w:t>Empresa: Cerro Matoso S.A.</w:t>
            </w:r>
          </w:p>
        </w:tc>
      </w:tr>
      <w:tr w:rsidR="00FD41F0" w:rsidRPr="0001749E" w:rsidTr="00FD41F0">
        <w:trPr>
          <w:trHeight w:val="255"/>
        </w:trPr>
        <w:tc>
          <w:tcPr>
            <w:tcW w:w="0" w:type="auto"/>
            <w:tcBorders>
              <w:top w:val="nil"/>
              <w:left w:val="nil"/>
              <w:bottom w:val="single" w:sz="4" w:space="0" w:color="9BC2E6"/>
              <w:right w:val="nil"/>
            </w:tcBorders>
            <w:shd w:val="clear" w:color="auto" w:fill="auto"/>
            <w:noWrap/>
            <w:vAlign w:val="bottom"/>
            <w:hideMark/>
          </w:tcPr>
          <w:p w:rsidR="00FD41F0" w:rsidRPr="0001749E" w:rsidRDefault="00FD41F0" w:rsidP="0001749E">
            <w:pPr>
              <w:jc w:val="left"/>
              <w:rPr>
                <w:rFonts w:ascii="Arial Narrow" w:hAnsi="Arial Narrow"/>
                <w:bCs/>
                <w:color w:val="000000"/>
                <w:sz w:val="20"/>
                <w:szCs w:val="20"/>
                <w:lang w:val="es-CO" w:eastAsia="es-CO"/>
              </w:rPr>
            </w:pPr>
            <w:r w:rsidRPr="0001749E">
              <w:rPr>
                <w:rFonts w:ascii="Arial Narrow" w:hAnsi="Arial Narrow"/>
                <w:bCs/>
                <w:color w:val="000000"/>
                <w:sz w:val="20"/>
                <w:szCs w:val="20"/>
                <w:lang w:val="es-CO" w:eastAsia="es-CO"/>
              </w:rPr>
              <w:t>E-2016-006318</w:t>
            </w:r>
          </w:p>
        </w:tc>
        <w:tc>
          <w:tcPr>
            <w:tcW w:w="0" w:type="auto"/>
            <w:tcBorders>
              <w:top w:val="nil"/>
              <w:left w:val="nil"/>
              <w:bottom w:val="nil"/>
              <w:right w:val="nil"/>
            </w:tcBorders>
          </w:tcPr>
          <w:p w:rsidR="00FD41F0" w:rsidRPr="0001749E" w:rsidRDefault="00FD41F0" w:rsidP="0001749E">
            <w:pPr>
              <w:jc w:val="left"/>
              <w:rPr>
                <w:rFonts w:ascii="Arial Narrow" w:hAnsi="Arial Narrow"/>
                <w:bCs/>
                <w:color w:val="000000"/>
                <w:sz w:val="20"/>
                <w:szCs w:val="20"/>
                <w:lang w:val="es-CO" w:eastAsia="es-CO"/>
              </w:rPr>
            </w:pPr>
          </w:p>
        </w:tc>
        <w:tc>
          <w:tcPr>
            <w:tcW w:w="0" w:type="auto"/>
            <w:tcBorders>
              <w:top w:val="nil"/>
              <w:left w:val="nil"/>
              <w:bottom w:val="nil"/>
              <w:right w:val="nil"/>
            </w:tcBorders>
            <w:shd w:val="clear" w:color="auto" w:fill="auto"/>
            <w:noWrap/>
            <w:vAlign w:val="bottom"/>
            <w:hideMark/>
          </w:tcPr>
          <w:p w:rsidR="00FD41F0" w:rsidRPr="0001749E" w:rsidRDefault="00FD41F0" w:rsidP="0001749E">
            <w:pPr>
              <w:jc w:val="left"/>
              <w:rPr>
                <w:rFonts w:ascii="Arial Narrow" w:hAnsi="Arial Narrow"/>
                <w:bCs/>
                <w:color w:val="000000"/>
                <w:sz w:val="20"/>
                <w:szCs w:val="20"/>
                <w:lang w:val="es-CO" w:eastAsia="es-CO"/>
              </w:rPr>
            </w:pPr>
            <w:r w:rsidRPr="0001749E">
              <w:rPr>
                <w:rFonts w:ascii="Arial Narrow" w:hAnsi="Arial Narrow"/>
                <w:bCs/>
                <w:color w:val="000000"/>
                <w:sz w:val="20"/>
                <w:szCs w:val="20"/>
                <w:lang w:val="es-CO" w:eastAsia="es-CO"/>
              </w:rPr>
              <w:t>Empresa: GROUPE SEB COLOMBIA S.A.</w:t>
            </w:r>
          </w:p>
        </w:tc>
      </w:tr>
      <w:tr w:rsidR="00FD41F0" w:rsidRPr="0001749E" w:rsidTr="00FD41F0">
        <w:trPr>
          <w:trHeight w:val="255"/>
        </w:trPr>
        <w:tc>
          <w:tcPr>
            <w:tcW w:w="0" w:type="auto"/>
            <w:tcBorders>
              <w:top w:val="nil"/>
              <w:left w:val="nil"/>
              <w:bottom w:val="single" w:sz="4" w:space="0" w:color="9BC2E6"/>
              <w:right w:val="nil"/>
            </w:tcBorders>
            <w:shd w:val="clear" w:color="auto" w:fill="auto"/>
            <w:noWrap/>
            <w:vAlign w:val="bottom"/>
            <w:hideMark/>
          </w:tcPr>
          <w:p w:rsidR="00FD41F0" w:rsidRPr="0001749E" w:rsidRDefault="00FD41F0" w:rsidP="0001749E">
            <w:pPr>
              <w:jc w:val="left"/>
              <w:rPr>
                <w:rFonts w:ascii="Arial Narrow" w:hAnsi="Arial Narrow"/>
                <w:bCs/>
                <w:color w:val="000000"/>
                <w:sz w:val="20"/>
                <w:szCs w:val="20"/>
                <w:lang w:val="es-CO" w:eastAsia="es-CO"/>
              </w:rPr>
            </w:pPr>
            <w:r w:rsidRPr="0001749E">
              <w:rPr>
                <w:rFonts w:ascii="Arial Narrow" w:hAnsi="Arial Narrow"/>
                <w:bCs/>
                <w:color w:val="000000"/>
                <w:sz w:val="20"/>
                <w:szCs w:val="20"/>
                <w:lang w:val="es-CO" w:eastAsia="es-CO"/>
              </w:rPr>
              <w:t>E-2016-006321</w:t>
            </w:r>
          </w:p>
        </w:tc>
        <w:tc>
          <w:tcPr>
            <w:tcW w:w="0" w:type="auto"/>
            <w:tcBorders>
              <w:top w:val="nil"/>
              <w:left w:val="nil"/>
              <w:bottom w:val="nil"/>
              <w:right w:val="nil"/>
            </w:tcBorders>
          </w:tcPr>
          <w:p w:rsidR="00FD41F0" w:rsidRPr="0001749E" w:rsidRDefault="00FD41F0" w:rsidP="0001749E">
            <w:pPr>
              <w:jc w:val="left"/>
              <w:rPr>
                <w:rFonts w:ascii="Arial Narrow" w:hAnsi="Arial Narrow"/>
                <w:bCs/>
                <w:color w:val="000000"/>
                <w:sz w:val="20"/>
                <w:szCs w:val="20"/>
                <w:lang w:val="es-CO" w:eastAsia="es-CO"/>
              </w:rPr>
            </w:pPr>
          </w:p>
        </w:tc>
        <w:tc>
          <w:tcPr>
            <w:tcW w:w="0" w:type="auto"/>
            <w:tcBorders>
              <w:top w:val="nil"/>
              <w:left w:val="nil"/>
              <w:bottom w:val="nil"/>
              <w:right w:val="nil"/>
            </w:tcBorders>
            <w:shd w:val="clear" w:color="auto" w:fill="auto"/>
            <w:noWrap/>
            <w:vAlign w:val="bottom"/>
            <w:hideMark/>
          </w:tcPr>
          <w:p w:rsidR="00FD41F0" w:rsidRPr="0001749E" w:rsidRDefault="00FD41F0" w:rsidP="0001749E">
            <w:pPr>
              <w:jc w:val="left"/>
              <w:rPr>
                <w:rFonts w:ascii="Arial Narrow" w:hAnsi="Arial Narrow"/>
                <w:bCs/>
                <w:color w:val="000000"/>
                <w:sz w:val="20"/>
                <w:szCs w:val="20"/>
                <w:lang w:val="es-CO" w:eastAsia="es-CO"/>
              </w:rPr>
            </w:pPr>
            <w:r w:rsidRPr="0001749E">
              <w:rPr>
                <w:rFonts w:ascii="Arial Narrow" w:hAnsi="Arial Narrow"/>
                <w:bCs/>
                <w:color w:val="000000"/>
                <w:sz w:val="20"/>
                <w:szCs w:val="20"/>
                <w:lang w:val="es-CO" w:eastAsia="es-CO"/>
              </w:rPr>
              <w:t>ANDI</w:t>
            </w:r>
          </w:p>
        </w:tc>
      </w:tr>
      <w:tr w:rsidR="00FD41F0" w:rsidRPr="0001749E" w:rsidTr="00FD41F0">
        <w:trPr>
          <w:trHeight w:val="255"/>
        </w:trPr>
        <w:tc>
          <w:tcPr>
            <w:tcW w:w="0" w:type="auto"/>
            <w:tcBorders>
              <w:top w:val="nil"/>
              <w:left w:val="nil"/>
              <w:bottom w:val="single" w:sz="4" w:space="0" w:color="9BC2E6"/>
              <w:right w:val="nil"/>
            </w:tcBorders>
            <w:shd w:val="clear" w:color="auto" w:fill="auto"/>
            <w:noWrap/>
            <w:vAlign w:val="bottom"/>
            <w:hideMark/>
          </w:tcPr>
          <w:p w:rsidR="00FD41F0" w:rsidRPr="0001749E" w:rsidRDefault="00FD41F0" w:rsidP="0001749E">
            <w:pPr>
              <w:jc w:val="left"/>
              <w:rPr>
                <w:rFonts w:ascii="Arial Narrow" w:hAnsi="Arial Narrow"/>
                <w:bCs/>
                <w:color w:val="000000"/>
                <w:sz w:val="20"/>
                <w:szCs w:val="20"/>
                <w:lang w:val="es-CO" w:eastAsia="es-CO"/>
              </w:rPr>
            </w:pPr>
            <w:r w:rsidRPr="0001749E">
              <w:rPr>
                <w:rFonts w:ascii="Arial Narrow" w:hAnsi="Arial Narrow"/>
                <w:bCs/>
                <w:color w:val="000000"/>
                <w:sz w:val="20"/>
                <w:szCs w:val="20"/>
                <w:lang w:val="es-CO" w:eastAsia="es-CO"/>
              </w:rPr>
              <w:t>E-2016-006323</w:t>
            </w:r>
          </w:p>
        </w:tc>
        <w:tc>
          <w:tcPr>
            <w:tcW w:w="0" w:type="auto"/>
            <w:tcBorders>
              <w:top w:val="nil"/>
              <w:left w:val="nil"/>
              <w:bottom w:val="nil"/>
              <w:right w:val="nil"/>
            </w:tcBorders>
          </w:tcPr>
          <w:p w:rsidR="00FD41F0" w:rsidRPr="0001749E" w:rsidRDefault="00FD41F0" w:rsidP="0001749E">
            <w:pPr>
              <w:jc w:val="left"/>
              <w:rPr>
                <w:rFonts w:ascii="Arial Narrow" w:hAnsi="Arial Narrow"/>
                <w:bCs/>
                <w:color w:val="000000"/>
                <w:sz w:val="20"/>
                <w:szCs w:val="20"/>
                <w:lang w:val="es-CO" w:eastAsia="es-CO"/>
              </w:rPr>
            </w:pPr>
          </w:p>
        </w:tc>
        <w:tc>
          <w:tcPr>
            <w:tcW w:w="0" w:type="auto"/>
            <w:tcBorders>
              <w:top w:val="nil"/>
              <w:left w:val="nil"/>
              <w:bottom w:val="nil"/>
              <w:right w:val="nil"/>
            </w:tcBorders>
            <w:shd w:val="clear" w:color="auto" w:fill="auto"/>
            <w:noWrap/>
            <w:vAlign w:val="bottom"/>
            <w:hideMark/>
          </w:tcPr>
          <w:p w:rsidR="00FD41F0" w:rsidRPr="0001749E" w:rsidRDefault="00FD41F0" w:rsidP="0001749E">
            <w:pPr>
              <w:jc w:val="left"/>
              <w:rPr>
                <w:rFonts w:ascii="Arial Narrow" w:hAnsi="Arial Narrow"/>
                <w:bCs/>
                <w:color w:val="000000"/>
                <w:sz w:val="20"/>
                <w:szCs w:val="20"/>
                <w:lang w:val="es-CO" w:eastAsia="es-CO"/>
              </w:rPr>
            </w:pPr>
            <w:r w:rsidRPr="0001749E">
              <w:rPr>
                <w:rFonts w:ascii="Arial Narrow" w:hAnsi="Arial Narrow"/>
                <w:bCs/>
                <w:color w:val="000000"/>
                <w:sz w:val="20"/>
                <w:szCs w:val="20"/>
                <w:lang w:val="es-CO" w:eastAsia="es-CO"/>
              </w:rPr>
              <w:t>Empresa: Yara</w:t>
            </w:r>
          </w:p>
        </w:tc>
      </w:tr>
      <w:tr w:rsidR="00FD41F0" w:rsidRPr="0001749E" w:rsidTr="00FD41F0">
        <w:trPr>
          <w:trHeight w:val="255"/>
        </w:trPr>
        <w:tc>
          <w:tcPr>
            <w:tcW w:w="0" w:type="auto"/>
            <w:tcBorders>
              <w:top w:val="nil"/>
              <w:left w:val="nil"/>
              <w:bottom w:val="single" w:sz="4" w:space="0" w:color="9BC2E6"/>
              <w:right w:val="nil"/>
            </w:tcBorders>
            <w:shd w:val="clear" w:color="auto" w:fill="auto"/>
            <w:noWrap/>
            <w:vAlign w:val="bottom"/>
            <w:hideMark/>
          </w:tcPr>
          <w:p w:rsidR="00FD41F0" w:rsidRPr="0001749E" w:rsidRDefault="00FD41F0" w:rsidP="0001749E">
            <w:pPr>
              <w:jc w:val="left"/>
              <w:rPr>
                <w:rFonts w:ascii="Arial Narrow" w:hAnsi="Arial Narrow"/>
                <w:bCs/>
                <w:color w:val="000000"/>
                <w:sz w:val="20"/>
                <w:szCs w:val="20"/>
                <w:lang w:val="es-CO" w:eastAsia="es-CO"/>
              </w:rPr>
            </w:pPr>
            <w:r w:rsidRPr="0001749E">
              <w:rPr>
                <w:rFonts w:ascii="Arial Narrow" w:hAnsi="Arial Narrow"/>
                <w:bCs/>
                <w:color w:val="000000"/>
                <w:sz w:val="20"/>
                <w:szCs w:val="20"/>
                <w:lang w:val="es-CO" w:eastAsia="es-CO"/>
              </w:rPr>
              <w:t>E-2016-006339</w:t>
            </w:r>
          </w:p>
        </w:tc>
        <w:tc>
          <w:tcPr>
            <w:tcW w:w="0" w:type="auto"/>
            <w:tcBorders>
              <w:top w:val="nil"/>
              <w:left w:val="nil"/>
              <w:bottom w:val="nil"/>
              <w:right w:val="nil"/>
            </w:tcBorders>
          </w:tcPr>
          <w:p w:rsidR="00FD41F0" w:rsidRPr="0001749E" w:rsidRDefault="00FD41F0" w:rsidP="0001749E">
            <w:pPr>
              <w:jc w:val="left"/>
              <w:rPr>
                <w:rFonts w:ascii="Arial Narrow" w:hAnsi="Arial Narrow"/>
                <w:bCs/>
                <w:color w:val="000000"/>
                <w:sz w:val="20"/>
                <w:szCs w:val="20"/>
                <w:lang w:val="es-CO" w:eastAsia="es-CO"/>
              </w:rPr>
            </w:pPr>
          </w:p>
        </w:tc>
        <w:tc>
          <w:tcPr>
            <w:tcW w:w="0" w:type="auto"/>
            <w:tcBorders>
              <w:top w:val="nil"/>
              <w:left w:val="nil"/>
              <w:bottom w:val="nil"/>
              <w:right w:val="nil"/>
            </w:tcBorders>
            <w:shd w:val="clear" w:color="auto" w:fill="auto"/>
            <w:noWrap/>
            <w:vAlign w:val="bottom"/>
            <w:hideMark/>
          </w:tcPr>
          <w:p w:rsidR="00FD41F0" w:rsidRPr="0001749E" w:rsidRDefault="00FD41F0" w:rsidP="0001749E">
            <w:pPr>
              <w:jc w:val="left"/>
              <w:rPr>
                <w:rFonts w:ascii="Arial Narrow" w:hAnsi="Arial Narrow"/>
                <w:bCs/>
                <w:color w:val="000000"/>
                <w:sz w:val="20"/>
                <w:szCs w:val="20"/>
                <w:lang w:val="es-CO" w:eastAsia="es-CO"/>
              </w:rPr>
            </w:pPr>
            <w:r w:rsidRPr="0001749E">
              <w:rPr>
                <w:rFonts w:ascii="Arial Narrow" w:hAnsi="Arial Narrow"/>
                <w:bCs/>
                <w:color w:val="000000"/>
                <w:sz w:val="20"/>
                <w:szCs w:val="20"/>
                <w:lang w:val="es-CO" w:eastAsia="es-CO"/>
              </w:rPr>
              <w:t>Empresa: INGREDION COLOMBIA S.A.</w:t>
            </w:r>
          </w:p>
        </w:tc>
      </w:tr>
      <w:tr w:rsidR="00FD41F0" w:rsidRPr="0001749E" w:rsidTr="00FD41F0">
        <w:trPr>
          <w:trHeight w:val="255"/>
        </w:trPr>
        <w:tc>
          <w:tcPr>
            <w:tcW w:w="0" w:type="auto"/>
            <w:tcBorders>
              <w:top w:val="nil"/>
              <w:left w:val="nil"/>
              <w:bottom w:val="single" w:sz="4" w:space="0" w:color="9BC2E6"/>
              <w:right w:val="nil"/>
            </w:tcBorders>
            <w:shd w:val="clear" w:color="auto" w:fill="auto"/>
            <w:noWrap/>
            <w:vAlign w:val="bottom"/>
            <w:hideMark/>
          </w:tcPr>
          <w:p w:rsidR="00FD41F0" w:rsidRPr="0001749E" w:rsidRDefault="00FD41F0" w:rsidP="0001749E">
            <w:pPr>
              <w:jc w:val="left"/>
              <w:rPr>
                <w:rFonts w:ascii="Arial Narrow" w:hAnsi="Arial Narrow"/>
                <w:bCs/>
                <w:color w:val="000000"/>
                <w:sz w:val="20"/>
                <w:szCs w:val="20"/>
                <w:lang w:val="es-CO" w:eastAsia="es-CO"/>
              </w:rPr>
            </w:pPr>
            <w:r w:rsidRPr="0001749E">
              <w:rPr>
                <w:rFonts w:ascii="Arial Narrow" w:hAnsi="Arial Narrow"/>
                <w:bCs/>
                <w:color w:val="000000"/>
                <w:sz w:val="20"/>
                <w:szCs w:val="20"/>
                <w:lang w:val="es-CO" w:eastAsia="es-CO"/>
              </w:rPr>
              <w:t>E-2016-006341</w:t>
            </w:r>
          </w:p>
        </w:tc>
        <w:tc>
          <w:tcPr>
            <w:tcW w:w="0" w:type="auto"/>
            <w:tcBorders>
              <w:top w:val="nil"/>
              <w:left w:val="nil"/>
              <w:bottom w:val="nil"/>
              <w:right w:val="nil"/>
            </w:tcBorders>
          </w:tcPr>
          <w:p w:rsidR="00FD41F0" w:rsidRPr="0001749E" w:rsidRDefault="00FD41F0" w:rsidP="0001749E">
            <w:pPr>
              <w:jc w:val="left"/>
              <w:rPr>
                <w:rFonts w:ascii="Arial Narrow" w:hAnsi="Arial Narrow"/>
                <w:bCs/>
                <w:color w:val="000000"/>
                <w:sz w:val="20"/>
                <w:szCs w:val="20"/>
                <w:lang w:val="es-CO" w:eastAsia="es-CO"/>
              </w:rPr>
            </w:pPr>
          </w:p>
        </w:tc>
        <w:tc>
          <w:tcPr>
            <w:tcW w:w="0" w:type="auto"/>
            <w:tcBorders>
              <w:top w:val="nil"/>
              <w:left w:val="nil"/>
              <w:bottom w:val="nil"/>
              <w:right w:val="nil"/>
            </w:tcBorders>
            <w:shd w:val="clear" w:color="auto" w:fill="auto"/>
            <w:noWrap/>
            <w:vAlign w:val="bottom"/>
            <w:hideMark/>
          </w:tcPr>
          <w:p w:rsidR="00FD41F0" w:rsidRPr="0001749E" w:rsidRDefault="00FD41F0" w:rsidP="0001749E">
            <w:pPr>
              <w:jc w:val="left"/>
              <w:rPr>
                <w:rFonts w:ascii="Arial Narrow" w:hAnsi="Arial Narrow"/>
                <w:bCs/>
                <w:color w:val="000000"/>
                <w:sz w:val="20"/>
                <w:szCs w:val="20"/>
                <w:lang w:val="es-CO" w:eastAsia="es-CO"/>
              </w:rPr>
            </w:pPr>
            <w:r w:rsidRPr="0001749E">
              <w:rPr>
                <w:rFonts w:ascii="Arial Narrow" w:hAnsi="Arial Narrow"/>
                <w:bCs/>
                <w:color w:val="000000"/>
                <w:sz w:val="20"/>
                <w:szCs w:val="20"/>
                <w:lang w:val="es-CO" w:eastAsia="es-CO"/>
              </w:rPr>
              <w:t>Empresa: SEATECH INT.</w:t>
            </w:r>
          </w:p>
        </w:tc>
      </w:tr>
      <w:tr w:rsidR="00FD41F0" w:rsidRPr="0001749E" w:rsidTr="00FD41F0">
        <w:trPr>
          <w:trHeight w:val="255"/>
        </w:trPr>
        <w:tc>
          <w:tcPr>
            <w:tcW w:w="0" w:type="auto"/>
            <w:tcBorders>
              <w:top w:val="nil"/>
              <w:left w:val="nil"/>
              <w:bottom w:val="single" w:sz="4" w:space="0" w:color="9BC2E6"/>
              <w:right w:val="nil"/>
            </w:tcBorders>
            <w:shd w:val="clear" w:color="auto" w:fill="auto"/>
            <w:noWrap/>
            <w:vAlign w:val="bottom"/>
            <w:hideMark/>
          </w:tcPr>
          <w:p w:rsidR="00FD41F0" w:rsidRPr="0001749E" w:rsidRDefault="00FD41F0" w:rsidP="0001749E">
            <w:pPr>
              <w:jc w:val="left"/>
              <w:rPr>
                <w:rFonts w:ascii="Arial Narrow" w:hAnsi="Arial Narrow"/>
                <w:bCs/>
                <w:color w:val="000000"/>
                <w:sz w:val="20"/>
                <w:szCs w:val="20"/>
                <w:lang w:val="es-CO" w:eastAsia="es-CO"/>
              </w:rPr>
            </w:pPr>
            <w:r w:rsidRPr="0001749E">
              <w:rPr>
                <w:rFonts w:ascii="Arial Narrow" w:hAnsi="Arial Narrow"/>
                <w:bCs/>
                <w:color w:val="000000"/>
                <w:sz w:val="20"/>
                <w:szCs w:val="20"/>
                <w:lang w:val="es-CO" w:eastAsia="es-CO"/>
              </w:rPr>
              <w:t>E-2016-006342</w:t>
            </w:r>
          </w:p>
        </w:tc>
        <w:tc>
          <w:tcPr>
            <w:tcW w:w="0" w:type="auto"/>
            <w:tcBorders>
              <w:top w:val="nil"/>
              <w:left w:val="nil"/>
              <w:bottom w:val="nil"/>
              <w:right w:val="nil"/>
            </w:tcBorders>
          </w:tcPr>
          <w:p w:rsidR="00FD41F0" w:rsidRPr="0001749E" w:rsidRDefault="00FD41F0" w:rsidP="0001749E">
            <w:pPr>
              <w:jc w:val="left"/>
              <w:rPr>
                <w:rFonts w:ascii="Arial Narrow" w:hAnsi="Arial Narrow"/>
                <w:bCs/>
                <w:color w:val="000000"/>
                <w:sz w:val="20"/>
                <w:szCs w:val="20"/>
                <w:lang w:val="es-CO" w:eastAsia="es-CO"/>
              </w:rPr>
            </w:pPr>
          </w:p>
        </w:tc>
        <w:tc>
          <w:tcPr>
            <w:tcW w:w="0" w:type="auto"/>
            <w:tcBorders>
              <w:top w:val="nil"/>
              <w:left w:val="nil"/>
              <w:bottom w:val="nil"/>
              <w:right w:val="nil"/>
            </w:tcBorders>
            <w:shd w:val="clear" w:color="auto" w:fill="auto"/>
            <w:noWrap/>
            <w:vAlign w:val="bottom"/>
            <w:hideMark/>
          </w:tcPr>
          <w:p w:rsidR="00FD41F0" w:rsidRPr="0001749E" w:rsidRDefault="00FD41F0" w:rsidP="0001749E">
            <w:pPr>
              <w:jc w:val="left"/>
              <w:rPr>
                <w:rFonts w:ascii="Arial Narrow" w:hAnsi="Arial Narrow"/>
                <w:bCs/>
                <w:color w:val="000000"/>
                <w:sz w:val="20"/>
                <w:szCs w:val="20"/>
                <w:lang w:val="es-CO" w:eastAsia="es-CO"/>
              </w:rPr>
            </w:pPr>
            <w:r w:rsidRPr="0001749E">
              <w:rPr>
                <w:rFonts w:ascii="Arial Narrow" w:hAnsi="Arial Narrow"/>
                <w:bCs/>
                <w:color w:val="000000"/>
                <w:sz w:val="20"/>
                <w:szCs w:val="20"/>
                <w:lang w:val="es-CO" w:eastAsia="es-CO"/>
              </w:rPr>
              <w:t>Empresa: CRISTALERIA PELDAR SA</w:t>
            </w:r>
          </w:p>
        </w:tc>
      </w:tr>
      <w:tr w:rsidR="00FD41F0" w:rsidRPr="0001749E" w:rsidTr="00FD41F0">
        <w:trPr>
          <w:trHeight w:val="255"/>
        </w:trPr>
        <w:tc>
          <w:tcPr>
            <w:tcW w:w="0" w:type="auto"/>
            <w:tcBorders>
              <w:top w:val="nil"/>
              <w:left w:val="nil"/>
              <w:bottom w:val="single" w:sz="4" w:space="0" w:color="9BC2E6"/>
              <w:right w:val="nil"/>
            </w:tcBorders>
            <w:shd w:val="clear" w:color="auto" w:fill="auto"/>
            <w:noWrap/>
            <w:vAlign w:val="bottom"/>
            <w:hideMark/>
          </w:tcPr>
          <w:p w:rsidR="00FD41F0" w:rsidRPr="0001749E" w:rsidRDefault="00FD41F0" w:rsidP="0001749E">
            <w:pPr>
              <w:jc w:val="left"/>
              <w:rPr>
                <w:rFonts w:ascii="Arial Narrow" w:hAnsi="Arial Narrow"/>
                <w:bCs/>
                <w:color w:val="000000"/>
                <w:sz w:val="20"/>
                <w:szCs w:val="20"/>
                <w:lang w:val="es-CO" w:eastAsia="es-CO"/>
              </w:rPr>
            </w:pPr>
            <w:r w:rsidRPr="0001749E">
              <w:rPr>
                <w:rFonts w:ascii="Arial Narrow" w:hAnsi="Arial Narrow"/>
                <w:bCs/>
                <w:color w:val="000000"/>
                <w:sz w:val="20"/>
                <w:szCs w:val="20"/>
                <w:lang w:val="es-CO" w:eastAsia="es-CO"/>
              </w:rPr>
              <w:t>E-2016-006356</w:t>
            </w:r>
          </w:p>
        </w:tc>
        <w:tc>
          <w:tcPr>
            <w:tcW w:w="0" w:type="auto"/>
            <w:tcBorders>
              <w:top w:val="nil"/>
              <w:left w:val="nil"/>
              <w:bottom w:val="nil"/>
              <w:right w:val="nil"/>
            </w:tcBorders>
          </w:tcPr>
          <w:p w:rsidR="00FD41F0" w:rsidRPr="0001749E" w:rsidRDefault="00FD41F0" w:rsidP="0001749E">
            <w:pPr>
              <w:jc w:val="left"/>
              <w:rPr>
                <w:rFonts w:ascii="Arial Narrow" w:hAnsi="Arial Narrow"/>
                <w:bCs/>
                <w:color w:val="000000"/>
                <w:sz w:val="20"/>
                <w:szCs w:val="20"/>
                <w:lang w:val="es-CO" w:eastAsia="es-CO"/>
              </w:rPr>
            </w:pPr>
          </w:p>
        </w:tc>
        <w:tc>
          <w:tcPr>
            <w:tcW w:w="0" w:type="auto"/>
            <w:tcBorders>
              <w:top w:val="nil"/>
              <w:left w:val="nil"/>
              <w:bottom w:val="nil"/>
              <w:right w:val="nil"/>
            </w:tcBorders>
            <w:shd w:val="clear" w:color="auto" w:fill="auto"/>
            <w:noWrap/>
            <w:vAlign w:val="bottom"/>
            <w:hideMark/>
          </w:tcPr>
          <w:p w:rsidR="00FD41F0" w:rsidRPr="0001749E" w:rsidRDefault="00FD41F0" w:rsidP="0001749E">
            <w:pPr>
              <w:jc w:val="left"/>
              <w:rPr>
                <w:rFonts w:ascii="Arial Narrow" w:hAnsi="Arial Narrow"/>
                <w:bCs/>
                <w:color w:val="000000"/>
                <w:sz w:val="20"/>
                <w:szCs w:val="20"/>
                <w:lang w:val="es-CO" w:eastAsia="es-CO"/>
              </w:rPr>
            </w:pPr>
            <w:r w:rsidRPr="0001749E">
              <w:rPr>
                <w:rFonts w:ascii="Arial Narrow" w:hAnsi="Arial Narrow"/>
                <w:bCs/>
                <w:color w:val="000000"/>
                <w:sz w:val="20"/>
                <w:szCs w:val="20"/>
                <w:lang w:val="es-CO" w:eastAsia="es-CO"/>
              </w:rPr>
              <w:t>TGI S.A E.S.P.</w:t>
            </w:r>
          </w:p>
        </w:tc>
      </w:tr>
      <w:tr w:rsidR="00FD41F0" w:rsidRPr="0001749E" w:rsidTr="00FD41F0">
        <w:trPr>
          <w:trHeight w:val="255"/>
        </w:trPr>
        <w:tc>
          <w:tcPr>
            <w:tcW w:w="0" w:type="auto"/>
            <w:tcBorders>
              <w:top w:val="nil"/>
              <w:left w:val="nil"/>
              <w:bottom w:val="single" w:sz="4" w:space="0" w:color="9BC2E6"/>
              <w:right w:val="nil"/>
            </w:tcBorders>
            <w:shd w:val="clear" w:color="auto" w:fill="auto"/>
            <w:noWrap/>
            <w:vAlign w:val="bottom"/>
            <w:hideMark/>
          </w:tcPr>
          <w:p w:rsidR="00FD41F0" w:rsidRPr="0001749E" w:rsidRDefault="00FD41F0" w:rsidP="0001749E">
            <w:pPr>
              <w:jc w:val="left"/>
              <w:rPr>
                <w:rFonts w:ascii="Arial Narrow" w:hAnsi="Arial Narrow"/>
                <w:bCs/>
                <w:color w:val="000000"/>
                <w:sz w:val="20"/>
                <w:szCs w:val="20"/>
                <w:lang w:val="es-CO" w:eastAsia="es-CO"/>
              </w:rPr>
            </w:pPr>
            <w:r w:rsidRPr="0001749E">
              <w:rPr>
                <w:rFonts w:ascii="Arial Narrow" w:hAnsi="Arial Narrow"/>
                <w:bCs/>
                <w:color w:val="000000"/>
                <w:sz w:val="20"/>
                <w:szCs w:val="20"/>
                <w:lang w:val="es-CO" w:eastAsia="es-CO"/>
              </w:rPr>
              <w:t>E-2016-006365</w:t>
            </w:r>
          </w:p>
        </w:tc>
        <w:tc>
          <w:tcPr>
            <w:tcW w:w="0" w:type="auto"/>
            <w:tcBorders>
              <w:top w:val="nil"/>
              <w:left w:val="nil"/>
              <w:bottom w:val="nil"/>
              <w:right w:val="nil"/>
            </w:tcBorders>
          </w:tcPr>
          <w:p w:rsidR="00FD41F0" w:rsidRPr="0001749E" w:rsidRDefault="00FD41F0" w:rsidP="0001749E">
            <w:pPr>
              <w:jc w:val="left"/>
              <w:rPr>
                <w:rFonts w:ascii="Arial Narrow" w:hAnsi="Arial Narrow"/>
                <w:bCs/>
                <w:color w:val="000000"/>
                <w:sz w:val="20"/>
                <w:szCs w:val="20"/>
                <w:lang w:val="es-CO" w:eastAsia="es-CO"/>
              </w:rPr>
            </w:pPr>
          </w:p>
        </w:tc>
        <w:tc>
          <w:tcPr>
            <w:tcW w:w="0" w:type="auto"/>
            <w:tcBorders>
              <w:top w:val="nil"/>
              <w:left w:val="nil"/>
              <w:bottom w:val="nil"/>
              <w:right w:val="nil"/>
            </w:tcBorders>
            <w:shd w:val="clear" w:color="auto" w:fill="auto"/>
            <w:noWrap/>
            <w:vAlign w:val="bottom"/>
            <w:hideMark/>
          </w:tcPr>
          <w:p w:rsidR="00FD41F0" w:rsidRPr="0001749E" w:rsidRDefault="00FD41F0" w:rsidP="0001749E">
            <w:pPr>
              <w:jc w:val="left"/>
              <w:rPr>
                <w:rFonts w:ascii="Arial Narrow" w:hAnsi="Arial Narrow"/>
                <w:bCs/>
                <w:color w:val="000000"/>
                <w:sz w:val="20"/>
                <w:szCs w:val="20"/>
                <w:lang w:val="es-CO" w:eastAsia="es-CO"/>
              </w:rPr>
            </w:pPr>
            <w:r w:rsidRPr="0001749E">
              <w:rPr>
                <w:rFonts w:ascii="Arial Narrow" w:hAnsi="Arial Narrow"/>
                <w:bCs/>
                <w:color w:val="000000"/>
                <w:sz w:val="20"/>
                <w:szCs w:val="20"/>
                <w:lang w:val="es-CO" w:eastAsia="es-CO"/>
              </w:rPr>
              <w:t>Empresa: ASOENERGÍA</w:t>
            </w:r>
          </w:p>
        </w:tc>
      </w:tr>
      <w:tr w:rsidR="00FD41F0" w:rsidRPr="0001749E" w:rsidTr="00FD41F0">
        <w:trPr>
          <w:trHeight w:val="255"/>
        </w:trPr>
        <w:tc>
          <w:tcPr>
            <w:tcW w:w="0" w:type="auto"/>
            <w:tcBorders>
              <w:top w:val="nil"/>
              <w:left w:val="nil"/>
              <w:bottom w:val="single" w:sz="4" w:space="0" w:color="9BC2E6"/>
              <w:right w:val="nil"/>
            </w:tcBorders>
            <w:shd w:val="clear" w:color="auto" w:fill="auto"/>
            <w:noWrap/>
            <w:vAlign w:val="bottom"/>
            <w:hideMark/>
          </w:tcPr>
          <w:p w:rsidR="00FD41F0" w:rsidRPr="0001749E" w:rsidRDefault="00FD41F0" w:rsidP="0001749E">
            <w:pPr>
              <w:jc w:val="left"/>
              <w:rPr>
                <w:rFonts w:ascii="Arial Narrow" w:hAnsi="Arial Narrow"/>
                <w:bCs/>
                <w:color w:val="000000"/>
                <w:sz w:val="20"/>
                <w:szCs w:val="20"/>
                <w:lang w:val="es-CO" w:eastAsia="es-CO"/>
              </w:rPr>
            </w:pPr>
            <w:r w:rsidRPr="0001749E">
              <w:rPr>
                <w:rFonts w:ascii="Arial Narrow" w:hAnsi="Arial Narrow"/>
                <w:bCs/>
                <w:color w:val="000000"/>
                <w:sz w:val="20"/>
                <w:szCs w:val="20"/>
                <w:lang w:val="es-CO" w:eastAsia="es-CO"/>
              </w:rPr>
              <w:t>E-2016-006366</w:t>
            </w:r>
          </w:p>
        </w:tc>
        <w:tc>
          <w:tcPr>
            <w:tcW w:w="0" w:type="auto"/>
            <w:tcBorders>
              <w:top w:val="nil"/>
              <w:left w:val="nil"/>
              <w:bottom w:val="nil"/>
              <w:right w:val="nil"/>
            </w:tcBorders>
          </w:tcPr>
          <w:p w:rsidR="00FD41F0" w:rsidRPr="0001749E" w:rsidRDefault="00FD41F0" w:rsidP="0001749E">
            <w:pPr>
              <w:jc w:val="left"/>
              <w:rPr>
                <w:rFonts w:ascii="Arial Narrow" w:hAnsi="Arial Narrow"/>
                <w:bCs/>
                <w:color w:val="000000"/>
                <w:sz w:val="20"/>
                <w:szCs w:val="20"/>
                <w:lang w:val="es-CO" w:eastAsia="es-CO"/>
              </w:rPr>
            </w:pPr>
          </w:p>
        </w:tc>
        <w:tc>
          <w:tcPr>
            <w:tcW w:w="0" w:type="auto"/>
            <w:tcBorders>
              <w:top w:val="nil"/>
              <w:left w:val="nil"/>
              <w:bottom w:val="nil"/>
              <w:right w:val="nil"/>
            </w:tcBorders>
            <w:shd w:val="clear" w:color="auto" w:fill="auto"/>
            <w:noWrap/>
            <w:vAlign w:val="bottom"/>
            <w:hideMark/>
          </w:tcPr>
          <w:p w:rsidR="00FD41F0" w:rsidRPr="0001749E" w:rsidRDefault="00FD41F0" w:rsidP="0001749E">
            <w:pPr>
              <w:jc w:val="left"/>
              <w:rPr>
                <w:rFonts w:ascii="Arial Narrow" w:hAnsi="Arial Narrow"/>
                <w:bCs/>
                <w:color w:val="000000"/>
                <w:sz w:val="20"/>
                <w:szCs w:val="20"/>
                <w:lang w:val="es-CO" w:eastAsia="es-CO"/>
              </w:rPr>
            </w:pPr>
            <w:r w:rsidRPr="0001749E">
              <w:rPr>
                <w:rFonts w:ascii="Arial Narrow" w:hAnsi="Arial Narrow"/>
                <w:bCs/>
                <w:color w:val="000000"/>
                <w:sz w:val="20"/>
                <w:szCs w:val="20"/>
                <w:lang w:val="es-CO" w:eastAsia="es-CO"/>
              </w:rPr>
              <w:t>Empresa: GOODYEAR DE COLOMBIA S.A</w:t>
            </w:r>
          </w:p>
        </w:tc>
      </w:tr>
      <w:tr w:rsidR="00FD41F0" w:rsidRPr="0001749E" w:rsidTr="00FD41F0">
        <w:trPr>
          <w:trHeight w:val="255"/>
        </w:trPr>
        <w:tc>
          <w:tcPr>
            <w:tcW w:w="0" w:type="auto"/>
            <w:tcBorders>
              <w:top w:val="nil"/>
              <w:left w:val="nil"/>
              <w:bottom w:val="single" w:sz="4" w:space="0" w:color="9BC2E6"/>
              <w:right w:val="nil"/>
            </w:tcBorders>
            <w:shd w:val="clear" w:color="auto" w:fill="auto"/>
            <w:noWrap/>
            <w:vAlign w:val="bottom"/>
            <w:hideMark/>
          </w:tcPr>
          <w:p w:rsidR="00FD41F0" w:rsidRPr="0001749E" w:rsidRDefault="00FD41F0" w:rsidP="0001749E">
            <w:pPr>
              <w:jc w:val="left"/>
              <w:rPr>
                <w:rFonts w:ascii="Arial Narrow" w:hAnsi="Arial Narrow"/>
                <w:bCs/>
                <w:color w:val="000000"/>
                <w:sz w:val="20"/>
                <w:szCs w:val="20"/>
                <w:lang w:val="es-CO" w:eastAsia="es-CO"/>
              </w:rPr>
            </w:pPr>
            <w:r w:rsidRPr="0001749E">
              <w:rPr>
                <w:rFonts w:ascii="Arial Narrow" w:hAnsi="Arial Narrow"/>
                <w:bCs/>
                <w:color w:val="000000"/>
                <w:sz w:val="20"/>
                <w:szCs w:val="20"/>
                <w:lang w:val="es-CO" w:eastAsia="es-CO"/>
              </w:rPr>
              <w:t>E-2017-000097</w:t>
            </w:r>
          </w:p>
        </w:tc>
        <w:tc>
          <w:tcPr>
            <w:tcW w:w="0" w:type="auto"/>
            <w:tcBorders>
              <w:top w:val="nil"/>
              <w:left w:val="nil"/>
              <w:bottom w:val="nil"/>
              <w:right w:val="nil"/>
            </w:tcBorders>
          </w:tcPr>
          <w:p w:rsidR="00FD41F0" w:rsidRPr="0001749E" w:rsidRDefault="00FD41F0" w:rsidP="0001749E">
            <w:pPr>
              <w:jc w:val="left"/>
              <w:rPr>
                <w:rFonts w:ascii="Arial Narrow" w:hAnsi="Arial Narrow"/>
                <w:bCs/>
                <w:color w:val="000000"/>
                <w:sz w:val="20"/>
                <w:szCs w:val="20"/>
                <w:lang w:val="es-CO" w:eastAsia="es-CO"/>
              </w:rPr>
            </w:pPr>
          </w:p>
        </w:tc>
        <w:tc>
          <w:tcPr>
            <w:tcW w:w="0" w:type="auto"/>
            <w:tcBorders>
              <w:top w:val="nil"/>
              <w:left w:val="nil"/>
              <w:bottom w:val="nil"/>
              <w:right w:val="nil"/>
            </w:tcBorders>
            <w:shd w:val="clear" w:color="auto" w:fill="auto"/>
            <w:noWrap/>
            <w:vAlign w:val="bottom"/>
            <w:hideMark/>
          </w:tcPr>
          <w:p w:rsidR="00FD41F0" w:rsidRPr="0001749E" w:rsidRDefault="00FD41F0" w:rsidP="0001749E">
            <w:pPr>
              <w:jc w:val="left"/>
              <w:rPr>
                <w:rFonts w:ascii="Arial Narrow" w:hAnsi="Arial Narrow"/>
                <w:bCs/>
                <w:color w:val="000000"/>
                <w:sz w:val="20"/>
                <w:szCs w:val="20"/>
                <w:lang w:val="es-CO" w:eastAsia="es-CO"/>
              </w:rPr>
            </w:pPr>
            <w:r w:rsidRPr="0001749E">
              <w:rPr>
                <w:rFonts w:ascii="Arial Narrow" w:hAnsi="Arial Narrow"/>
                <w:bCs/>
                <w:color w:val="000000"/>
                <w:sz w:val="20"/>
                <w:szCs w:val="20"/>
                <w:lang w:val="es-CO" w:eastAsia="es-CO"/>
              </w:rPr>
              <w:t>CNOG</w:t>
            </w:r>
          </w:p>
        </w:tc>
      </w:tr>
    </w:tbl>
    <w:p w:rsidR="00FE3759" w:rsidRDefault="00FE3759" w:rsidP="00575F93">
      <w:pPr>
        <w:rPr>
          <w:rFonts w:cs="Arial"/>
          <w:color w:val="000000" w:themeColor="text1"/>
        </w:rPr>
      </w:pPr>
    </w:p>
    <w:p w:rsidR="00575F93" w:rsidRPr="007A5CCB" w:rsidRDefault="00FE3759" w:rsidP="00575F93">
      <w:pPr>
        <w:rPr>
          <w:rFonts w:cs="Arial"/>
          <w:color w:val="000000" w:themeColor="text1"/>
        </w:rPr>
      </w:pPr>
      <w:r>
        <w:rPr>
          <w:rFonts w:cs="Arial"/>
          <w:color w:val="000000" w:themeColor="text1"/>
        </w:rPr>
        <w:t xml:space="preserve">Ahora bien, en desarrollo </w:t>
      </w:r>
      <w:r w:rsidR="000767C3">
        <w:rPr>
          <w:rFonts w:cs="Arial"/>
          <w:color w:val="000000" w:themeColor="text1"/>
        </w:rPr>
        <w:t xml:space="preserve">de lo manifestado por algunos de los agentes dentro </w:t>
      </w:r>
      <w:r>
        <w:rPr>
          <w:rFonts w:cs="Arial"/>
          <w:color w:val="000000" w:themeColor="text1"/>
        </w:rPr>
        <w:t>del proceso de consulta de la Resolución CREG 037 de 2016</w:t>
      </w:r>
      <w:r w:rsidR="00FD41F0">
        <w:rPr>
          <w:rStyle w:val="Refdenotaalpie"/>
          <w:rFonts w:cs="Arial"/>
          <w:color w:val="000000" w:themeColor="text1"/>
        </w:rPr>
        <w:footnoteReference w:id="9"/>
      </w:r>
      <w:r>
        <w:rPr>
          <w:rFonts w:cs="Arial"/>
          <w:color w:val="000000" w:themeColor="text1"/>
        </w:rPr>
        <w:t>, así como</w:t>
      </w:r>
      <w:r w:rsidR="000767C3">
        <w:rPr>
          <w:rFonts w:cs="Arial"/>
          <w:color w:val="000000" w:themeColor="text1"/>
        </w:rPr>
        <w:t xml:space="preserve"> ateniendo los objetivos, la finalidad y el alcance</w:t>
      </w:r>
      <w:r>
        <w:rPr>
          <w:rFonts w:cs="Arial"/>
          <w:color w:val="000000" w:themeColor="text1"/>
        </w:rPr>
        <w:t xml:space="preserve"> de la expedición de la Resolución CREG 107 de 2014, </w:t>
      </w:r>
      <w:r w:rsidR="000767C3">
        <w:rPr>
          <w:rFonts w:cs="Arial"/>
          <w:color w:val="000000" w:themeColor="text1"/>
        </w:rPr>
        <w:t xml:space="preserve">así como de la propuesta regulatoria de la Resolución CREG </w:t>
      </w:r>
      <w:r w:rsidR="002C58F2">
        <w:rPr>
          <w:rFonts w:cs="Arial"/>
          <w:color w:val="000000" w:themeColor="text1"/>
        </w:rPr>
        <w:t>143 de 2017</w:t>
      </w:r>
      <w:r w:rsidR="002C58F2">
        <w:rPr>
          <w:rStyle w:val="Refdenotaalpie"/>
          <w:rFonts w:cs="Arial"/>
          <w:color w:val="000000" w:themeColor="text1"/>
        </w:rPr>
        <w:footnoteReference w:id="10"/>
      </w:r>
      <w:r w:rsidR="002C58F2">
        <w:rPr>
          <w:rFonts w:cs="Arial"/>
          <w:color w:val="000000" w:themeColor="text1"/>
        </w:rPr>
        <w:t xml:space="preserve">, </w:t>
      </w:r>
      <w:r>
        <w:rPr>
          <w:rFonts w:cs="Arial"/>
          <w:color w:val="000000" w:themeColor="text1"/>
        </w:rPr>
        <w:t xml:space="preserve">esta Comisión considera que estas regulaciones deben efectivamente estar dirigidas </w:t>
      </w:r>
      <w:r w:rsidR="00513E2F">
        <w:rPr>
          <w:rFonts w:cs="Arial"/>
          <w:color w:val="000000" w:themeColor="text1"/>
        </w:rPr>
        <w:t>entre otras, a generar una mayor oferta de g</w:t>
      </w:r>
      <w:r w:rsidR="00FD41F0">
        <w:rPr>
          <w:rFonts w:cs="Arial"/>
          <w:color w:val="000000" w:themeColor="text1"/>
        </w:rPr>
        <w:t>as natural al mercado, así como</w:t>
      </w:r>
      <w:r w:rsidRPr="00FE3759">
        <w:rPr>
          <w:rFonts w:cs="Arial"/>
          <w:color w:val="000000" w:themeColor="text1"/>
        </w:rPr>
        <w:t xml:space="preserve"> generar una mayor cap</w:t>
      </w:r>
      <w:r>
        <w:rPr>
          <w:rFonts w:cs="Arial"/>
          <w:color w:val="000000" w:themeColor="text1"/>
        </w:rPr>
        <w:t xml:space="preserve">acidad de transporte en el SNT, donde para el caso de los </w:t>
      </w:r>
      <w:r w:rsidRPr="000767C3">
        <w:rPr>
          <w:rFonts w:cs="Arial"/>
          <w:i/>
          <w:color w:val="000000" w:themeColor="text1"/>
        </w:rPr>
        <w:t>Open Season</w:t>
      </w:r>
      <w:r>
        <w:rPr>
          <w:rFonts w:cs="Arial"/>
          <w:color w:val="000000" w:themeColor="text1"/>
        </w:rPr>
        <w:t xml:space="preserve"> ésta </w:t>
      </w:r>
      <w:r w:rsidR="00513E2F">
        <w:rPr>
          <w:rFonts w:cs="Arial"/>
          <w:color w:val="000000" w:themeColor="text1"/>
        </w:rPr>
        <w:t xml:space="preserve">alternativa regulatoria ha </w:t>
      </w:r>
      <w:r>
        <w:rPr>
          <w:rFonts w:cs="Arial"/>
          <w:color w:val="000000" w:themeColor="text1"/>
        </w:rPr>
        <w:t>de estar</w:t>
      </w:r>
      <w:r w:rsidR="00575F93" w:rsidRPr="007A5CCB">
        <w:rPr>
          <w:rFonts w:cs="Arial"/>
          <w:color w:val="000000" w:themeColor="text1"/>
        </w:rPr>
        <w:t xml:space="preserve"> </w:t>
      </w:r>
      <w:r>
        <w:rPr>
          <w:rFonts w:cs="Arial"/>
          <w:color w:val="000000" w:themeColor="text1"/>
        </w:rPr>
        <w:t>enfocada</w:t>
      </w:r>
      <w:r w:rsidR="00575F93" w:rsidRPr="007A5CCB">
        <w:rPr>
          <w:rFonts w:cs="Arial"/>
          <w:color w:val="000000" w:themeColor="text1"/>
        </w:rPr>
        <w:t xml:space="preserve"> a llevar a cabo incrementos determinados y específicos de la capacidad de transporte</w:t>
      </w:r>
      <w:r>
        <w:rPr>
          <w:rFonts w:cs="Arial"/>
          <w:color w:val="000000" w:themeColor="text1"/>
        </w:rPr>
        <w:t xml:space="preserve"> en </w:t>
      </w:r>
      <w:r w:rsidR="000767C3" w:rsidRPr="000767C3">
        <w:rPr>
          <w:rFonts w:cs="Arial"/>
          <w:color w:val="000000" w:themeColor="text1"/>
        </w:rPr>
        <w:t>proyectos de infraestructura de transporte de gas</w:t>
      </w:r>
      <w:r w:rsidR="000767C3">
        <w:rPr>
          <w:rFonts w:cs="Arial"/>
          <w:color w:val="000000" w:themeColor="text1"/>
        </w:rPr>
        <w:t xml:space="preserve"> natural</w:t>
      </w:r>
      <w:r w:rsidR="000767C3" w:rsidRPr="000767C3">
        <w:rPr>
          <w:rFonts w:cs="Arial"/>
          <w:color w:val="000000" w:themeColor="text1"/>
        </w:rPr>
        <w:t xml:space="preserve"> asociados con </w:t>
      </w:r>
      <w:r w:rsidR="000767C3" w:rsidRPr="000767C3">
        <w:rPr>
          <w:rFonts w:cs="Arial"/>
          <w:color w:val="000000" w:themeColor="text1"/>
        </w:rPr>
        <w:lastRenderedPageBreak/>
        <w:t>extensiones y otros gasoductos</w:t>
      </w:r>
      <w:r w:rsidR="00106BAE" w:rsidRPr="00106BAE">
        <w:rPr>
          <w:rFonts w:cs="Arial"/>
          <w:color w:val="000000" w:themeColor="text1"/>
        </w:rPr>
        <w:t xml:space="preserve"> </w:t>
      </w:r>
      <w:r w:rsidR="000767C3" w:rsidRPr="000B49F0">
        <w:rPr>
          <w:rFonts w:cs="Arial"/>
          <w:b/>
          <w:color w:val="000000" w:themeColor="text1"/>
          <w:u w:val="single"/>
        </w:rPr>
        <w:t>diferentes</w:t>
      </w:r>
      <w:r w:rsidR="000767C3">
        <w:rPr>
          <w:rStyle w:val="Refdenotaalpie"/>
          <w:rFonts w:cs="Arial"/>
          <w:color w:val="000000" w:themeColor="text1"/>
        </w:rPr>
        <w:footnoteReference w:id="11"/>
      </w:r>
      <w:r w:rsidR="000767C3" w:rsidRPr="000767C3">
        <w:rPr>
          <w:rFonts w:cs="Arial"/>
          <w:color w:val="000000" w:themeColor="text1"/>
        </w:rPr>
        <w:t xml:space="preserve"> a ampliaciones de capacidad, gasoductos dedicados y de conexión</w:t>
      </w:r>
      <w:r w:rsidR="00575F93" w:rsidRPr="007A5CCB">
        <w:rPr>
          <w:rFonts w:cs="Arial"/>
          <w:color w:val="000000" w:themeColor="text1"/>
        </w:rPr>
        <w:t xml:space="preserve">, articulando los intereses y coordinando la forma como interactúan y manifiestan los requerimientos de </w:t>
      </w:r>
      <w:r w:rsidR="00FD41F0">
        <w:rPr>
          <w:rFonts w:cs="Arial"/>
          <w:color w:val="000000" w:themeColor="text1"/>
        </w:rPr>
        <w:t>capacidad</w:t>
      </w:r>
      <w:r w:rsidR="00575F93" w:rsidRPr="007A5CCB">
        <w:rPr>
          <w:rFonts w:cs="Arial"/>
          <w:color w:val="000000" w:themeColor="text1"/>
        </w:rPr>
        <w:t xml:space="preserve"> </w:t>
      </w:r>
      <w:r w:rsidR="00FD41F0">
        <w:rPr>
          <w:rFonts w:cs="Arial"/>
          <w:color w:val="000000" w:themeColor="text1"/>
        </w:rPr>
        <w:t>de</w:t>
      </w:r>
      <w:r w:rsidR="00575F93" w:rsidRPr="007A5CCB">
        <w:rPr>
          <w:rFonts w:cs="Arial"/>
          <w:color w:val="000000" w:themeColor="text1"/>
        </w:rPr>
        <w:t xml:space="preserve"> transpo</w:t>
      </w:r>
      <w:r w:rsidR="000767C3">
        <w:rPr>
          <w:rFonts w:cs="Arial"/>
          <w:color w:val="000000" w:themeColor="text1"/>
        </w:rPr>
        <w:t xml:space="preserve">rte por parte de dichos agentes, </w:t>
      </w:r>
      <w:r w:rsidR="00575F93" w:rsidRPr="007A5CCB">
        <w:rPr>
          <w:rFonts w:cs="Arial"/>
          <w:color w:val="000000" w:themeColor="text1"/>
        </w:rPr>
        <w:t>promoviendo la existencia de nuevos mercados de transporte de gas natural,</w:t>
      </w:r>
      <w:r w:rsidR="00575F93" w:rsidRPr="007A5CCB">
        <w:t xml:space="preserve"> </w:t>
      </w:r>
      <w:r w:rsidR="00575F93" w:rsidRPr="007A5CCB">
        <w:rPr>
          <w:rFonts w:cs="Arial"/>
          <w:color w:val="000000" w:themeColor="text1"/>
        </w:rPr>
        <w:t xml:space="preserve">en relación con el acceso a los usuarios, así como la gestión y obtención de los recursos para asegurar la prestación de dichos servicios. </w:t>
      </w:r>
    </w:p>
    <w:p w:rsidR="00575F93" w:rsidRPr="007A5CCB" w:rsidRDefault="00575F93" w:rsidP="00575F93">
      <w:pPr>
        <w:rPr>
          <w:rFonts w:cs="Arial"/>
          <w:color w:val="000000" w:themeColor="text1"/>
        </w:rPr>
      </w:pPr>
    </w:p>
    <w:p w:rsidR="00575F93" w:rsidRPr="007A5CCB" w:rsidRDefault="00575F93" w:rsidP="00575F93">
      <w:pPr>
        <w:rPr>
          <w:rFonts w:cs="Arial"/>
          <w:color w:val="000000" w:themeColor="text1"/>
        </w:rPr>
      </w:pPr>
      <w:r w:rsidRPr="007A5CCB">
        <w:rPr>
          <w:rFonts w:cs="Arial"/>
          <w:color w:val="000000" w:themeColor="text1"/>
        </w:rPr>
        <w:t>En relación con lo anterior, se advierte que las me</w:t>
      </w:r>
      <w:r w:rsidR="00FD41F0">
        <w:rPr>
          <w:rFonts w:cs="Arial"/>
          <w:color w:val="000000" w:themeColor="text1"/>
        </w:rPr>
        <w:t>didas regulatorias que se expide</w:t>
      </w:r>
      <w:r w:rsidRPr="007A5CCB">
        <w:rPr>
          <w:rFonts w:cs="Arial"/>
          <w:color w:val="000000" w:themeColor="text1"/>
        </w:rPr>
        <w:t xml:space="preserve">n deben permitir el cumplimiento de los fines y objetivos perseguidos por la Ley y la regulación en materia de servicios públicos domiciliarios, así como armonizarlas con la participación de los agentes tanto a nivel de oferta y demanda, dentro del marco del principio de la autonomía de la voluntad negocial. En este caso, se considera que regular el procedimiento como se lleva a cabo los </w:t>
      </w:r>
      <w:r w:rsidRPr="007A5CCB">
        <w:rPr>
          <w:rFonts w:cs="Arial"/>
          <w:i/>
          <w:color w:val="000000" w:themeColor="text1"/>
        </w:rPr>
        <w:t>Open Season</w:t>
      </w:r>
      <w:r w:rsidRPr="007A5CCB">
        <w:rPr>
          <w:rStyle w:val="Refdenotaalpie"/>
          <w:rFonts w:cs="Arial"/>
          <w:i/>
          <w:color w:val="000000" w:themeColor="text1"/>
        </w:rPr>
        <w:footnoteReference w:id="12"/>
      </w:r>
      <w:r w:rsidRPr="007A5CCB">
        <w:rPr>
          <w:rFonts w:cs="Arial"/>
          <w:color w:val="000000" w:themeColor="text1"/>
        </w:rPr>
        <w:t xml:space="preserve"> es un mecanismo </w:t>
      </w:r>
      <w:r w:rsidR="00FD41F0">
        <w:rPr>
          <w:rFonts w:cs="Arial"/>
          <w:color w:val="000000" w:themeColor="text1"/>
        </w:rPr>
        <w:t xml:space="preserve">abierto, </w:t>
      </w:r>
      <w:r w:rsidRPr="007A5CCB">
        <w:rPr>
          <w:rFonts w:cs="Arial"/>
          <w:color w:val="000000" w:themeColor="text1"/>
        </w:rPr>
        <w:t>razonable, aplicable y competitivo dentro de las medidas regulatorias que se adopten, toda vez que a través de este mecanismo de mercado se revelan los costo</w:t>
      </w:r>
      <w:r w:rsidR="002C58F2">
        <w:rPr>
          <w:rFonts w:cs="Arial"/>
          <w:color w:val="000000" w:themeColor="text1"/>
        </w:rPr>
        <w:t>s eficientes de las inversiones</w:t>
      </w:r>
      <w:r w:rsidRPr="007A5CCB">
        <w:rPr>
          <w:rFonts w:cs="Arial"/>
          <w:color w:val="000000" w:themeColor="text1"/>
        </w:rPr>
        <w:t>.</w:t>
      </w:r>
    </w:p>
    <w:p w:rsidR="00575F93" w:rsidRPr="007A5CCB" w:rsidRDefault="00575F93" w:rsidP="00575F93">
      <w:pPr>
        <w:rPr>
          <w:rFonts w:cs="Arial"/>
          <w:color w:val="000000" w:themeColor="text1"/>
        </w:rPr>
      </w:pPr>
    </w:p>
    <w:p w:rsidR="00513E2F" w:rsidRDefault="00021163" w:rsidP="00575F93">
      <w:pPr>
        <w:rPr>
          <w:rFonts w:cs="Arial"/>
          <w:color w:val="000000" w:themeColor="text1"/>
        </w:rPr>
      </w:pPr>
      <w:r>
        <w:rPr>
          <w:rFonts w:cs="Arial"/>
          <w:color w:val="000000" w:themeColor="text1"/>
        </w:rPr>
        <w:t>Es así que, la</w:t>
      </w:r>
      <w:r w:rsidR="00575F93" w:rsidRPr="007A5CCB">
        <w:rPr>
          <w:rFonts w:cs="Arial"/>
          <w:color w:val="000000" w:themeColor="text1"/>
        </w:rPr>
        <w:t xml:space="preserve"> medida de intervención que se propone se considera como </w:t>
      </w:r>
      <w:r w:rsidR="002C58F2">
        <w:rPr>
          <w:rFonts w:cs="Arial"/>
          <w:color w:val="000000" w:themeColor="text1"/>
        </w:rPr>
        <w:t xml:space="preserve">una </w:t>
      </w:r>
      <w:r w:rsidR="00575F93" w:rsidRPr="007A5CCB">
        <w:rPr>
          <w:rFonts w:cs="Arial"/>
          <w:color w:val="000000" w:themeColor="text1"/>
        </w:rPr>
        <w:t>alternativa viable, toda vez que</w:t>
      </w:r>
      <w:r w:rsidR="002C58F2">
        <w:rPr>
          <w:rFonts w:cs="Arial"/>
          <w:color w:val="000000" w:themeColor="text1"/>
        </w:rPr>
        <w:t xml:space="preserve"> permite dar cumplimiento a los </w:t>
      </w:r>
      <w:r w:rsidR="00575F93" w:rsidRPr="007A5CCB">
        <w:rPr>
          <w:rFonts w:cs="Arial"/>
          <w:color w:val="000000" w:themeColor="text1"/>
        </w:rPr>
        <w:t>objetivos propuestos en el marco del cumplimiento de los fines y principios a los que se rige la prestación de los servicios públicos domiciliarios y en particular para la actividad de transporte de gas desde el punto de vista regulatorio, contribuye</w:t>
      </w:r>
      <w:r w:rsidR="002C58F2">
        <w:rPr>
          <w:rFonts w:cs="Arial"/>
          <w:color w:val="000000" w:themeColor="text1"/>
        </w:rPr>
        <w:t>ndo</w:t>
      </w:r>
      <w:r w:rsidR="00575F93" w:rsidRPr="007A5CCB">
        <w:rPr>
          <w:rFonts w:cs="Arial"/>
          <w:color w:val="000000" w:themeColor="text1"/>
        </w:rPr>
        <w:t xml:space="preserve"> a</w:t>
      </w:r>
      <w:r w:rsidR="002C58F2">
        <w:rPr>
          <w:rFonts w:cs="Arial"/>
          <w:color w:val="000000" w:themeColor="text1"/>
        </w:rPr>
        <w:t xml:space="preserve"> contar con alternativas flexibles que permitan generar una mayor y nueva capacidad de transporte</w:t>
      </w:r>
      <w:r>
        <w:rPr>
          <w:rFonts w:cs="Arial"/>
          <w:color w:val="000000" w:themeColor="text1"/>
        </w:rPr>
        <w:t xml:space="preserve">. </w:t>
      </w:r>
    </w:p>
    <w:p w:rsidR="00513E2F" w:rsidRDefault="00513E2F" w:rsidP="00575F93">
      <w:pPr>
        <w:rPr>
          <w:rFonts w:cs="Arial"/>
          <w:color w:val="000000" w:themeColor="text1"/>
        </w:rPr>
      </w:pPr>
    </w:p>
    <w:p w:rsidR="00575F93" w:rsidRDefault="00021163" w:rsidP="00575F93">
      <w:pPr>
        <w:rPr>
          <w:rFonts w:cs="Arial"/>
          <w:color w:val="000000" w:themeColor="text1"/>
        </w:rPr>
      </w:pPr>
      <w:r>
        <w:rPr>
          <w:rFonts w:cs="Arial"/>
          <w:color w:val="000000" w:themeColor="text1"/>
        </w:rPr>
        <w:t xml:space="preserve">Así mismo, </w:t>
      </w:r>
      <w:r w:rsidR="00575F93" w:rsidRPr="007A5CCB">
        <w:rPr>
          <w:rFonts w:cs="Arial"/>
          <w:color w:val="000000" w:themeColor="text1"/>
        </w:rPr>
        <w:t xml:space="preserve">los costos de implementación e impacto por parte de la demanda han de considerarse eficientes, toda vez que están relacionados con la disponibilidad a pagar por parte de la demanda </w:t>
      </w:r>
      <w:r>
        <w:rPr>
          <w:rFonts w:cs="Arial"/>
          <w:color w:val="000000" w:themeColor="text1"/>
        </w:rPr>
        <w:t>no regulada, proponiendo una referencia eficiente para la demanda regulada</w:t>
      </w:r>
      <w:r w:rsidR="00575F93" w:rsidRPr="007A5CCB">
        <w:rPr>
          <w:rFonts w:cs="Arial"/>
          <w:color w:val="000000" w:themeColor="text1"/>
        </w:rPr>
        <w:t xml:space="preserve">, así como </w:t>
      </w:r>
      <w:r>
        <w:rPr>
          <w:rFonts w:cs="Arial"/>
          <w:color w:val="000000" w:themeColor="text1"/>
        </w:rPr>
        <w:t xml:space="preserve">buscar establecer lineamientos para realizar un trato </w:t>
      </w:r>
      <w:r w:rsidR="00575F93" w:rsidRPr="007A5CCB">
        <w:rPr>
          <w:rFonts w:cs="Arial"/>
          <w:color w:val="000000" w:themeColor="text1"/>
        </w:rPr>
        <w:t xml:space="preserve">neutral y </w:t>
      </w:r>
      <w:r>
        <w:rPr>
          <w:rFonts w:cs="Arial"/>
          <w:color w:val="000000" w:themeColor="text1"/>
        </w:rPr>
        <w:t>objetivo</w:t>
      </w:r>
      <w:r w:rsidR="00575F93" w:rsidRPr="007A5CCB">
        <w:rPr>
          <w:rFonts w:cs="Arial"/>
          <w:color w:val="000000" w:themeColor="text1"/>
        </w:rPr>
        <w:t xml:space="preserve"> en relación con </w:t>
      </w:r>
      <w:r>
        <w:rPr>
          <w:rFonts w:cs="Arial"/>
          <w:color w:val="000000" w:themeColor="text1"/>
        </w:rPr>
        <w:t xml:space="preserve">los participantes del </w:t>
      </w:r>
      <w:r w:rsidRPr="00021163">
        <w:rPr>
          <w:rFonts w:cs="Arial"/>
          <w:i/>
          <w:color w:val="000000" w:themeColor="text1"/>
        </w:rPr>
        <w:t>Open Season</w:t>
      </w:r>
      <w:r w:rsidR="00575F93" w:rsidRPr="007A5CCB">
        <w:rPr>
          <w:rFonts w:cs="Arial"/>
          <w:color w:val="000000" w:themeColor="text1"/>
        </w:rPr>
        <w:t xml:space="preserve">. En este caso los incrementos en la capacidad de transporte por nueva infraestructura </w:t>
      </w:r>
      <w:r w:rsidR="00A82980">
        <w:rPr>
          <w:rFonts w:cs="Arial"/>
          <w:color w:val="000000" w:themeColor="text1"/>
        </w:rPr>
        <w:t>están sujetos al</w:t>
      </w:r>
      <w:r w:rsidR="00A82980" w:rsidRPr="007A5CCB" w:rsidDel="00A82980">
        <w:rPr>
          <w:rFonts w:cs="Arial"/>
          <w:color w:val="000000" w:themeColor="text1"/>
        </w:rPr>
        <w:t xml:space="preserve"> </w:t>
      </w:r>
      <w:r w:rsidR="00575F93" w:rsidRPr="007A5CCB">
        <w:rPr>
          <w:rFonts w:cs="Arial"/>
          <w:color w:val="000000" w:themeColor="text1"/>
        </w:rPr>
        <w:t>interés de la demanda desde el punto de vista económico que concrete la suficiencia y justifique la ejecución del proyecto.</w:t>
      </w:r>
    </w:p>
    <w:p w:rsidR="003C6175" w:rsidRDefault="003C6175" w:rsidP="00575F93">
      <w:pPr>
        <w:rPr>
          <w:rFonts w:cs="Arial"/>
          <w:color w:val="000000" w:themeColor="text1"/>
        </w:rPr>
      </w:pPr>
    </w:p>
    <w:p w:rsidR="003C6175" w:rsidRDefault="003C6175" w:rsidP="003C6175">
      <w:pPr>
        <w:contextualSpacing/>
      </w:pPr>
      <w:r w:rsidRPr="003C6175">
        <w:t>Teniendo en cuenta lo anterior esta Comisión considera procedente, pertinente y razonable expedir medid</w:t>
      </w:r>
      <w:r>
        <w:t xml:space="preserve">as regulatorias en relación con </w:t>
      </w:r>
      <w:r w:rsidRPr="003C6175">
        <w:t xml:space="preserve">la regulación asociada al </w:t>
      </w:r>
      <w:r w:rsidRPr="003C6175">
        <w:rPr>
          <w:i/>
        </w:rPr>
        <w:t>Open Season</w:t>
      </w:r>
      <w:r w:rsidRPr="003C6175">
        <w:t xml:space="preserve"> como mecanismo de mercado para el desarrollo de proyectos de infraestructura de transporte de gas asociados con extensiones y otros </w:t>
      </w:r>
      <w:r w:rsidRPr="003C6175">
        <w:lastRenderedPageBreak/>
        <w:t>gasoductos diferentes a ampliaciones de capacidad, gasoductos dedicados y de conexión</w:t>
      </w:r>
      <w:r>
        <w:t>.</w:t>
      </w:r>
    </w:p>
    <w:p w:rsidR="00FD41F0" w:rsidRDefault="00FD41F0" w:rsidP="003C6175"/>
    <w:p w:rsidR="003C6175" w:rsidRDefault="003C6175" w:rsidP="003C6175">
      <w:pPr>
        <w:rPr>
          <w:lang w:val="es-ES_tradnl"/>
        </w:rPr>
      </w:pPr>
      <w:r w:rsidRPr="003C6175">
        <w:rPr>
          <w:lang w:val="es-ES_tradnl"/>
        </w:rPr>
        <w:t>Con base en lo establecido en el artículo 4 del Decreto 2897 de 2010</w:t>
      </w:r>
      <w:r w:rsidRPr="003C6175">
        <w:rPr>
          <w:vertAlign w:val="superscript"/>
          <w:lang w:val="es-ES_tradnl"/>
        </w:rPr>
        <w:footnoteReference w:id="13"/>
      </w:r>
      <w:r w:rsidRPr="003C6175">
        <w:rPr>
          <w:lang w:val="es-ES_tradnl"/>
        </w:rPr>
        <w:t xml:space="preserve">, reglamentario de la Ley 1340 de 2009, se respondió el cuestionario establecido por la Superintendencia de Industria y Comercio para efectos de evaluar la incidencia sobre la libre competencia de los mercados, donde aplicando las reglas allí previstas, la respuesta al conjunto de preguntas fue negativa, en la medida en que no plantea ninguna restricción indebida a la libre competencia. </w:t>
      </w:r>
    </w:p>
    <w:p w:rsidR="00B93EE8" w:rsidRDefault="00B93EE8" w:rsidP="003C6175">
      <w:pPr>
        <w:rPr>
          <w:lang w:val="es-ES_tradnl"/>
        </w:rPr>
      </w:pPr>
    </w:p>
    <w:p w:rsidR="003C6175" w:rsidRPr="003C6175" w:rsidRDefault="003C6175" w:rsidP="003C6175">
      <w:pPr>
        <w:rPr>
          <w:lang w:val="es-ES_tradnl"/>
        </w:rPr>
      </w:pPr>
      <w:r w:rsidRPr="003C6175">
        <w:rPr>
          <w:lang w:val="es-ES_tradnl"/>
        </w:rPr>
        <w:t xml:space="preserve">En el Documento CREG </w:t>
      </w:r>
      <w:r w:rsidR="00FF17B2">
        <w:rPr>
          <w:lang w:val="es-ES_tradnl"/>
        </w:rPr>
        <w:t>087</w:t>
      </w:r>
      <w:r w:rsidRPr="003C6175">
        <w:rPr>
          <w:lang w:val="es-ES_tradnl"/>
        </w:rPr>
        <w:t xml:space="preserve"> de octubre </w:t>
      </w:r>
      <w:r w:rsidR="00373821">
        <w:rPr>
          <w:lang w:val="es-ES_tradnl"/>
        </w:rPr>
        <w:t>27</w:t>
      </w:r>
      <w:r w:rsidRPr="003C6175">
        <w:rPr>
          <w:lang w:val="es-ES_tradnl"/>
        </w:rPr>
        <w:t xml:space="preserve"> de 2017 se transcribe el cuestionario y se da respuesta a los comentarios recibidos en materia de </w:t>
      </w:r>
      <w:r w:rsidRPr="00FD41F0">
        <w:rPr>
          <w:i/>
          <w:lang w:val="es-ES_tradnl"/>
        </w:rPr>
        <w:t>Open Season</w:t>
      </w:r>
      <w:r w:rsidRPr="003C6175">
        <w:rPr>
          <w:lang w:val="es-ES_tradnl"/>
        </w:rPr>
        <w:t>, así como se precisan los ajustes realizados a la versión propuesta</w:t>
      </w:r>
      <w:r>
        <w:rPr>
          <w:lang w:val="es-ES_tradnl"/>
        </w:rPr>
        <w:t xml:space="preserve"> en la Resolución CREG 037 de 2016</w:t>
      </w:r>
      <w:r w:rsidRPr="003C6175">
        <w:rPr>
          <w:lang w:val="es-ES_tradnl"/>
        </w:rPr>
        <w:t>.</w:t>
      </w:r>
    </w:p>
    <w:p w:rsidR="003C6175" w:rsidRPr="003C6175" w:rsidRDefault="003C6175" w:rsidP="00575F93">
      <w:pPr>
        <w:rPr>
          <w:rFonts w:cs="Arial"/>
          <w:color w:val="000000" w:themeColor="text1"/>
          <w:lang w:val="es-ES_tradnl"/>
        </w:rPr>
      </w:pPr>
    </w:p>
    <w:p w:rsidR="003C6175" w:rsidRDefault="003C6175" w:rsidP="00575F93">
      <w:pPr>
        <w:rPr>
          <w:rFonts w:cs="Arial"/>
          <w:color w:val="000000" w:themeColor="text1"/>
        </w:rPr>
      </w:pPr>
      <w:r w:rsidRPr="003C6175">
        <w:rPr>
          <w:rFonts w:cs="Arial"/>
          <w:color w:val="000000" w:themeColor="text1"/>
        </w:rPr>
        <w:t xml:space="preserve">La Comisión de Regulación de Energía y Gas aprobó el presente acto administrativo en la sesión No. </w:t>
      </w:r>
      <w:r w:rsidR="00373821">
        <w:rPr>
          <w:rFonts w:cs="Arial"/>
          <w:color w:val="000000" w:themeColor="text1"/>
        </w:rPr>
        <w:t>810</w:t>
      </w:r>
      <w:r w:rsidRPr="003C6175">
        <w:rPr>
          <w:rFonts w:cs="Arial"/>
          <w:color w:val="000000" w:themeColor="text1"/>
        </w:rPr>
        <w:t xml:space="preserve"> del </w:t>
      </w:r>
      <w:r w:rsidR="00373821">
        <w:rPr>
          <w:rFonts w:cs="Arial"/>
          <w:color w:val="000000" w:themeColor="text1"/>
        </w:rPr>
        <w:t>27</w:t>
      </w:r>
      <w:r w:rsidRPr="003C6175">
        <w:rPr>
          <w:rFonts w:cs="Arial"/>
          <w:color w:val="000000" w:themeColor="text1"/>
        </w:rPr>
        <w:t xml:space="preserve"> de octubre de 2017.</w:t>
      </w:r>
    </w:p>
    <w:p w:rsidR="003C6175" w:rsidRDefault="003C6175" w:rsidP="00575F93">
      <w:pPr>
        <w:rPr>
          <w:rFonts w:cs="Arial"/>
          <w:color w:val="000000" w:themeColor="text1"/>
        </w:rPr>
      </w:pPr>
    </w:p>
    <w:p w:rsidR="00B93EE8" w:rsidRPr="007A5CCB" w:rsidRDefault="00B93EE8" w:rsidP="00575F93">
      <w:pPr>
        <w:rPr>
          <w:rFonts w:cs="Arial"/>
          <w:color w:val="000000" w:themeColor="text1"/>
        </w:rPr>
      </w:pPr>
    </w:p>
    <w:p w:rsidR="00575F93" w:rsidRPr="007A5CCB" w:rsidRDefault="00575F93" w:rsidP="00575F93">
      <w:pPr>
        <w:jc w:val="center"/>
        <w:rPr>
          <w:rFonts w:cs="Arial"/>
          <w:b/>
          <w:color w:val="000000" w:themeColor="text1"/>
        </w:rPr>
      </w:pPr>
      <w:r w:rsidRPr="007A5CCB">
        <w:rPr>
          <w:rFonts w:cs="Arial"/>
          <w:b/>
          <w:color w:val="000000" w:themeColor="text1"/>
        </w:rPr>
        <w:t>R E S U E L V E:</w:t>
      </w:r>
    </w:p>
    <w:p w:rsidR="00B93EE8" w:rsidRPr="003C6175" w:rsidRDefault="00B93EE8" w:rsidP="003C6175">
      <w:pPr>
        <w:rPr>
          <w:rFonts w:cs="Arial"/>
          <w:b/>
          <w:color w:val="000000" w:themeColor="text1"/>
        </w:rPr>
      </w:pPr>
    </w:p>
    <w:p w:rsidR="003C6175" w:rsidRPr="003C6175" w:rsidRDefault="003C6175" w:rsidP="003C6175">
      <w:pPr>
        <w:keepNext/>
        <w:widowControl w:val="0"/>
        <w:adjustRightInd w:val="0"/>
        <w:jc w:val="center"/>
        <w:textAlignment w:val="baseline"/>
        <w:outlineLvl w:val="0"/>
        <w:rPr>
          <w:b/>
          <w:bCs/>
          <w:lang w:val="x-none" w:eastAsia="x-none"/>
        </w:rPr>
      </w:pPr>
      <w:r w:rsidRPr="003C6175">
        <w:rPr>
          <w:b/>
          <w:bCs/>
          <w:lang w:val="es-CO" w:eastAsia="x-none"/>
        </w:rPr>
        <w:t>Capítulo 1</w:t>
      </w:r>
      <w:r>
        <w:rPr>
          <w:b/>
          <w:bCs/>
          <w:lang w:val="es-CO" w:eastAsia="x-none"/>
        </w:rPr>
        <w:t>.</w:t>
      </w:r>
      <w:r w:rsidRPr="003C6175">
        <w:rPr>
          <w:b/>
          <w:bCs/>
          <w:lang w:val="es-CO" w:eastAsia="x-none"/>
        </w:rPr>
        <w:t xml:space="preserve"> D</w:t>
      </w:r>
      <w:r w:rsidRPr="003C6175">
        <w:rPr>
          <w:b/>
          <w:bCs/>
          <w:lang w:val="x-none" w:eastAsia="x-none"/>
        </w:rPr>
        <w:t>isposiciones generales</w:t>
      </w:r>
    </w:p>
    <w:p w:rsidR="003C6175" w:rsidRPr="003C6175" w:rsidRDefault="003C6175" w:rsidP="003C6175"/>
    <w:p w:rsidR="003C6175" w:rsidRPr="007F50D3" w:rsidRDefault="003C6175" w:rsidP="007F50D3">
      <w:pPr>
        <w:pStyle w:val="ARTICULO1"/>
        <w:rPr>
          <w:b w:val="0"/>
        </w:rPr>
      </w:pPr>
      <w:bookmarkStart w:id="1" w:name="_Ref253670052"/>
      <w:bookmarkStart w:id="2" w:name="_Ref454463461"/>
      <w:r w:rsidRPr="006418F8">
        <w:t xml:space="preserve">Objeto. </w:t>
      </w:r>
      <w:r w:rsidRPr="007F50D3">
        <w:rPr>
          <w:b w:val="0"/>
        </w:rPr>
        <w:t xml:space="preserve">Definir la regulación asociada al </w:t>
      </w:r>
      <w:r w:rsidRPr="007F50D3">
        <w:rPr>
          <w:b w:val="0"/>
          <w:i/>
        </w:rPr>
        <w:t>Open Season</w:t>
      </w:r>
      <w:r w:rsidRPr="007F50D3">
        <w:rPr>
          <w:b w:val="0"/>
        </w:rPr>
        <w:t xml:space="preserve"> como mecanismo de mercado para el desarrollo de proyectos de infraestructura de transporte de gas asociados con extensiones y otros gasoductos</w:t>
      </w:r>
      <w:r w:rsidR="00E47A7C" w:rsidRPr="007F50D3">
        <w:rPr>
          <w:b w:val="0"/>
        </w:rPr>
        <w:t xml:space="preserve"> </w:t>
      </w:r>
      <w:r w:rsidRPr="007F50D3">
        <w:rPr>
          <w:b w:val="0"/>
        </w:rPr>
        <w:t>diferentes a ampliaciones de capacidad</w:t>
      </w:r>
      <w:r w:rsidR="00AC4CF6" w:rsidRPr="007F50D3">
        <w:rPr>
          <w:rStyle w:val="Refdenotaalpie"/>
          <w:b w:val="0"/>
        </w:rPr>
        <w:footnoteReference w:id="14"/>
      </w:r>
      <w:r w:rsidRPr="007F50D3">
        <w:rPr>
          <w:b w:val="0"/>
        </w:rPr>
        <w:t>, gasoductos dedicados y de conexión.</w:t>
      </w:r>
    </w:p>
    <w:p w:rsidR="0024138C" w:rsidRPr="00F8511D" w:rsidRDefault="0024138C" w:rsidP="003E6C80">
      <w:pPr>
        <w:rPr>
          <w:lang w:val="x-none"/>
        </w:rPr>
      </w:pPr>
    </w:p>
    <w:p w:rsidR="0024138C" w:rsidRPr="000B49F0" w:rsidRDefault="0024138C" w:rsidP="007F50D3">
      <w:pPr>
        <w:rPr>
          <w:lang w:val="es-CO"/>
        </w:rPr>
      </w:pPr>
      <w:r w:rsidRPr="00373821">
        <w:t>Se entiende</w:t>
      </w:r>
      <w:r w:rsidRPr="00373821">
        <w:rPr>
          <w:lang w:val="es-CO"/>
        </w:rPr>
        <w:t>n</w:t>
      </w:r>
      <w:r w:rsidRPr="00373821">
        <w:t xml:space="preserve"> </w:t>
      </w:r>
      <w:r w:rsidRPr="00373821">
        <w:rPr>
          <w:lang w:val="es-CO"/>
        </w:rPr>
        <w:t>como otros</w:t>
      </w:r>
      <w:r w:rsidRPr="00373821">
        <w:t xml:space="preserve"> gasoductos</w:t>
      </w:r>
      <w:r w:rsidRPr="00373821">
        <w:rPr>
          <w:lang w:val="es-CO"/>
        </w:rPr>
        <w:t>,</w:t>
      </w:r>
      <w:r w:rsidRPr="00373821">
        <w:t xml:space="preserve"> </w:t>
      </w:r>
      <w:r w:rsidRPr="00373821">
        <w:rPr>
          <w:lang w:val="es-CO"/>
        </w:rPr>
        <w:t>aquellos</w:t>
      </w:r>
      <w:r w:rsidR="0083735D" w:rsidRPr="00373821">
        <w:t xml:space="preserve"> </w:t>
      </w:r>
      <w:r w:rsidR="00FF05F6" w:rsidRPr="00373821">
        <w:rPr>
          <w:lang w:val="es-CO"/>
        </w:rPr>
        <w:t xml:space="preserve">eventos </w:t>
      </w:r>
      <w:r w:rsidR="0083735D" w:rsidRPr="00373821">
        <w:t>que no est</w:t>
      </w:r>
      <w:r w:rsidR="0083735D" w:rsidRPr="00373821">
        <w:rPr>
          <w:lang w:val="es-CO"/>
        </w:rPr>
        <w:t>é</w:t>
      </w:r>
      <w:r w:rsidRPr="00373821">
        <w:t xml:space="preserve">n listados en los artículos 21 y 22 de la Resolución CREG 126 de 2010, que </w:t>
      </w:r>
      <w:r w:rsidR="0067789B" w:rsidRPr="00373821">
        <w:t xml:space="preserve">corresponden a </w:t>
      </w:r>
      <w:r w:rsidRPr="00373821">
        <w:t>sistemas independientes</w:t>
      </w:r>
      <w:r w:rsidR="0067789B" w:rsidRPr="00373821">
        <w:t>,</w:t>
      </w:r>
      <w:r w:rsidRPr="00373821">
        <w:t xml:space="preserve"> como proyectos nuevos que no están embebidos en la red </w:t>
      </w:r>
      <w:r w:rsidR="00373821" w:rsidRPr="00373821">
        <w:t xml:space="preserve">de un transportador con infraestructura </w:t>
      </w:r>
      <w:r w:rsidRPr="00373821">
        <w:t>existente, diferentes a ampliaciones de capacidad</w:t>
      </w:r>
      <w:r w:rsidRPr="00373821">
        <w:rPr>
          <w:lang w:val="es-CO"/>
        </w:rPr>
        <w:t>,</w:t>
      </w:r>
      <w:r w:rsidRPr="00373821">
        <w:t xml:space="preserve"> gasoductos dedicados y de conexión</w:t>
      </w:r>
      <w:r w:rsidRPr="00373821">
        <w:rPr>
          <w:lang w:val="es-CO"/>
        </w:rPr>
        <w:t>.</w:t>
      </w:r>
      <w:r>
        <w:rPr>
          <w:lang w:val="es-CO"/>
        </w:rPr>
        <w:t xml:space="preserve"> </w:t>
      </w:r>
    </w:p>
    <w:bookmarkEnd w:id="1"/>
    <w:bookmarkEnd w:id="2"/>
    <w:p w:rsidR="003C6175" w:rsidRPr="003C6175" w:rsidRDefault="003C6175" w:rsidP="003C6175"/>
    <w:p w:rsidR="003C6175" w:rsidRPr="008F3596" w:rsidRDefault="003C6175" w:rsidP="007F50D3">
      <w:pPr>
        <w:pStyle w:val="ARTICULO1"/>
      </w:pPr>
      <w:r w:rsidRPr="003C6175">
        <w:t xml:space="preserve">Alcance. </w:t>
      </w:r>
      <w:r w:rsidRPr="007F50D3">
        <w:rPr>
          <w:b w:val="0"/>
        </w:rPr>
        <w:t xml:space="preserve">El alcance de la presente resolución está dirigido a establecer mecanismos competitivos de mercado para fomentar el desarrollo de infraestructura de transporte de gas asociados con extensiones y otros gasoductos </w:t>
      </w:r>
      <w:r w:rsidR="00106BAE" w:rsidRPr="007F50D3">
        <w:rPr>
          <w:b w:val="0"/>
        </w:rPr>
        <w:t xml:space="preserve">diferentes a </w:t>
      </w:r>
      <w:r w:rsidR="0067789B">
        <w:rPr>
          <w:b w:val="0"/>
        </w:rPr>
        <w:t xml:space="preserve">ampliaciones de capacidad, </w:t>
      </w:r>
      <w:r w:rsidRPr="007F50D3">
        <w:rPr>
          <w:b w:val="0"/>
        </w:rPr>
        <w:t>gasoductos dedicados y de conexión. Las medidas expedidas mediante la presente resolución se sujetan al cumplimiento de los siguientes principios:</w:t>
      </w:r>
    </w:p>
    <w:p w:rsidR="003C6175" w:rsidRPr="003C6175" w:rsidRDefault="003C6175" w:rsidP="003C6175">
      <w:pPr>
        <w:rPr>
          <w:rFonts w:cs="Arial"/>
          <w:color w:val="000000" w:themeColor="text1"/>
        </w:rPr>
      </w:pPr>
    </w:p>
    <w:p w:rsidR="003C6175" w:rsidRPr="003C6175" w:rsidRDefault="003C6175" w:rsidP="004400B3">
      <w:pPr>
        <w:rPr>
          <w:lang w:val="es-CO" w:eastAsia="es-CO"/>
        </w:rPr>
      </w:pPr>
      <w:r w:rsidRPr="000B49F0">
        <w:rPr>
          <w:b/>
          <w:lang w:val="es-CO" w:eastAsia="es-CO"/>
        </w:rPr>
        <w:t>a. Eficiencia económica:</w:t>
      </w:r>
      <w:r w:rsidRPr="003C6175">
        <w:rPr>
          <w:lang w:val="es-CO" w:eastAsia="es-CO"/>
        </w:rPr>
        <w:t xml:space="preserve"> Los mecanismos de mercado y procedimientos que se definan </w:t>
      </w:r>
      <w:r w:rsidR="00287258">
        <w:rPr>
          <w:lang w:val="es-CO" w:eastAsia="es-CO"/>
        </w:rPr>
        <w:t xml:space="preserve">de la aplicación de un </w:t>
      </w:r>
      <w:r w:rsidR="00287258" w:rsidRPr="000B49F0">
        <w:rPr>
          <w:i/>
          <w:lang w:val="es-CO" w:eastAsia="es-CO"/>
        </w:rPr>
        <w:t>Open Season</w:t>
      </w:r>
      <w:r w:rsidR="00287258">
        <w:rPr>
          <w:lang w:val="es-CO" w:eastAsia="es-CO"/>
        </w:rPr>
        <w:t xml:space="preserve"> </w:t>
      </w:r>
      <w:r w:rsidRPr="003C6175">
        <w:rPr>
          <w:lang w:val="es-CO" w:eastAsia="es-CO"/>
        </w:rPr>
        <w:t xml:space="preserve">deben reflejar el interés de la demanda desde el punto de vista económico en cuanto a su disponibilidad a pagar, que concrete la suficiencia y justifique la ejecución de un proyecto que permita </w:t>
      </w:r>
      <w:r w:rsidR="008F3596">
        <w:rPr>
          <w:lang w:val="es-CO" w:eastAsia="es-CO"/>
        </w:rPr>
        <w:t xml:space="preserve">una mayor capacidad </w:t>
      </w:r>
      <w:r w:rsidRPr="003C6175">
        <w:rPr>
          <w:lang w:val="es-CO" w:eastAsia="es-CO"/>
        </w:rPr>
        <w:t xml:space="preserve">de transporte, dentro de un marco de </w:t>
      </w:r>
      <w:r w:rsidRPr="003C6175">
        <w:rPr>
          <w:lang w:val="es-CO" w:eastAsia="es-CO"/>
        </w:rPr>
        <w:lastRenderedPageBreak/>
        <w:t>sostenibilidad en el largo plazo. En el caso de la demanda regulada dicha disponibilidad está sujeta a los cargos regulados expedidos por parte de esta Comisión.</w:t>
      </w:r>
    </w:p>
    <w:p w:rsidR="008F3596" w:rsidRDefault="008F3596" w:rsidP="000B49F0">
      <w:pPr>
        <w:rPr>
          <w:lang w:val="es-CO" w:eastAsia="es-CO"/>
        </w:rPr>
      </w:pPr>
    </w:p>
    <w:p w:rsidR="003C6175" w:rsidRDefault="00D32393" w:rsidP="004400B3">
      <w:pPr>
        <w:rPr>
          <w:lang w:val="es-CO" w:eastAsia="es-CO"/>
        </w:rPr>
      </w:pPr>
      <w:r w:rsidRPr="000B49F0">
        <w:rPr>
          <w:b/>
          <w:lang w:val="es-CO" w:eastAsia="es-CO"/>
        </w:rPr>
        <w:t>b.</w:t>
      </w:r>
      <w:r>
        <w:rPr>
          <w:lang w:val="es-CO" w:eastAsia="es-CO"/>
        </w:rPr>
        <w:t xml:space="preserve"> </w:t>
      </w:r>
      <w:r w:rsidR="003C6175" w:rsidRPr="000B49F0">
        <w:rPr>
          <w:b/>
          <w:lang w:val="es-CO" w:eastAsia="es-CO"/>
        </w:rPr>
        <w:t>Eficiencia en la asignación:</w:t>
      </w:r>
      <w:r w:rsidR="003C6175" w:rsidRPr="003C6175">
        <w:rPr>
          <w:lang w:val="es-CO" w:eastAsia="es-CO"/>
        </w:rPr>
        <w:t xml:space="preserve"> Los mecanismos y procedimientos que se definan deberán llevar a los agentes a incurrir en menores costos posibles, buscando optimizar y obtener el mayor grado de beneficio o rendimiento a los usuarios en relación con la capacidad de transporte</w:t>
      </w:r>
      <w:r>
        <w:rPr>
          <w:lang w:val="es-CO" w:eastAsia="es-CO"/>
        </w:rPr>
        <w:t xml:space="preserve"> que se asigne</w:t>
      </w:r>
      <w:r w:rsidR="003C6175" w:rsidRPr="003C6175">
        <w:rPr>
          <w:lang w:val="es-CO" w:eastAsia="es-CO"/>
        </w:rPr>
        <w:t>.</w:t>
      </w:r>
    </w:p>
    <w:p w:rsidR="00D32393" w:rsidRPr="003C6175" w:rsidRDefault="00D32393" w:rsidP="000B49F0">
      <w:pPr>
        <w:rPr>
          <w:lang w:val="es-CO" w:eastAsia="es-CO"/>
        </w:rPr>
      </w:pPr>
    </w:p>
    <w:p w:rsidR="008F3596" w:rsidRPr="003C6175" w:rsidRDefault="00D32393" w:rsidP="004400B3">
      <w:pPr>
        <w:rPr>
          <w:lang w:val="es-CO" w:eastAsia="es-CO"/>
        </w:rPr>
      </w:pPr>
      <w:r w:rsidRPr="000B49F0">
        <w:rPr>
          <w:b/>
          <w:lang w:val="es-CO" w:eastAsia="es-CO"/>
        </w:rPr>
        <w:t>c</w:t>
      </w:r>
      <w:r w:rsidR="008F3596" w:rsidRPr="000B49F0">
        <w:rPr>
          <w:b/>
          <w:lang w:val="es-CO" w:eastAsia="es-CO"/>
        </w:rPr>
        <w:t>.</w:t>
      </w:r>
      <w:r w:rsidR="008F3596" w:rsidRPr="008F3596">
        <w:rPr>
          <w:lang w:val="es-CO" w:eastAsia="es-CO"/>
        </w:rPr>
        <w:t xml:space="preserve"> </w:t>
      </w:r>
      <w:r w:rsidR="003C6175" w:rsidRPr="000B49F0">
        <w:rPr>
          <w:b/>
          <w:lang w:val="es-CO" w:eastAsia="es-CO"/>
        </w:rPr>
        <w:t>Transparencia y publicidad:</w:t>
      </w:r>
      <w:r w:rsidR="003C6175" w:rsidRPr="003C6175">
        <w:rPr>
          <w:lang w:val="es-CO" w:eastAsia="es-CO"/>
        </w:rPr>
        <w:t xml:space="preserve"> Corresponde a la posibilidad </w:t>
      </w:r>
      <w:r>
        <w:rPr>
          <w:lang w:val="es-CO" w:eastAsia="es-CO"/>
        </w:rPr>
        <w:t xml:space="preserve">que tiene la demanda </w:t>
      </w:r>
      <w:r w:rsidR="003C6175" w:rsidRPr="003C6175">
        <w:rPr>
          <w:lang w:val="es-CO" w:eastAsia="es-CO"/>
        </w:rPr>
        <w:t xml:space="preserve">de contar con la información necesaria </w:t>
      </w:r>
      <w:r>
        <w:rPr>
          <w:lang w:val="es-CO" w:eastAsia="es-CO"/>
        </w:rPr>
        <w:t>a efectos de</w:t>
      </w:r>
      <w:r w:rsidR="003C6175" w:rsidRPr="003C6175">
        <w:rPr>
          <w:lang w:val="es-CO" w:eastAsia="es-CO"/>
        </w:rPr>
        <w:t xml:space="preserve"> participar </w:t>
      </w:r>
      <w:r>
        <w:rPr>
          <w:lang w:val="es-CO" w:eastAsia="es-CO"/>
        </w:rPr>
        <w:t>y conocer la forma en que se llevar</w:t>
      </w:r>
      <w:r w:rsidR="00A82980">
        <w:rPr>
          <w:lang w:val="es-CO" w:eastAsia="es-CO"/>
        </w:rPr>
        <w:t>á</w:t>
      </w:r>
      <w:r>
        <w:rPr>
          <w:lang w:val="es-CO" w:eastAsia="es-CO"/>
        </w:rPr>
        <w:t xml:space="preserve">n a cabo </w:t>
      </w:r>
      <w:r w:rsidR="003C6175" w:rsidRPr="003C6175">
        <w:rPr>
          <w:lang w:val="es-CO" w:eastAsia="es-CO"/>
        </w:rPr>
        <w:t>los mecanismos y procedimientos que se definan en la presente resolución.</w:t>
      </w:r>
    </w:p>
    <w:p w:rsidR="008F3596" w:rsidRPr="003C6175" w:rsidRDefault="008F3596" w:rsidP="000B49F0">
      <w:pPr>
        <w:rPr>
          <w:lang w:val="es-CO" w:eastAsia="es-CO"/>
        </w:rPr>
      </w:pPr>
    </w:p>
    <w:p w:rsidR="003C6175" w:rsidRPr="003C6175" w:rsidRDefault="00287258" w:rsidP="004400B3">
      <w:pPr>
        <w:rPr>
          <w:lang w:val="es-CO" w:eastAsia="es-CO"/>
        </w:rPr>
      </w:pPr>
      <w:r w:rsidRPr="000B49F0">
        <w:rPr>
          <w:b/>
          <w:lang w:val="es-CO" w:eastAsia="es-CO"/>
        </w:rPr>
        <w:t>d</w:t>
      </w:r>
      <w:r w:rsidR="008F3596" w:rsidRPr="000B49F0">
        <w:rPr>
          <w:b/>
          <w:lang w:val="es-CO" w:eastAsia="es-CO"/>
        </w:rPr>
        <w:t>.</w:t>
      </w:r>
      <w:r w:rsidR="008F3596" w:rsidRPr="00D32393">
        <w:rPr>
          <w:lang w:val="es-CO" w:eastAsia="es-CO"/>
        </w:rPr>
        <w:t xml:space="preserve"> </w:t>
      </w:r>
      <w:r w:rsidR="003C6175" w:rsidRPr="000B49F0">
        <w:rPr>
          <w:b/>
          <w:lang w:val="es-CO" w:eastAsia="es-CO"/>
        </w:rPr>
        <w:t>Libre participación, No discriminación y neutralidad en el tratamiento a los agentes e interesados:</w:t>
      </w:r>
      <w:r w:rsidR="003C6175" w:rsidRPr="003C6175">
        <w:rPr>
          <w:lang w:val="es-CO" w:eastAsia="es-CO"/>
        </w:rPr>
        <w:t xml:space="preserve"> Los agentes interesados</w:t>
      </w:r>
      <w:r w:rsidR="00AF3140">
        <w:rPr>
          <w:lang w:val="es-CO" w:eastAsia="es-CO"/>
        </w:rPr>
        <w:t xml:space="preserve"> </w:t>
      </w:r>
      <w:r w:rsidR="003C6175" w:rsidRPr="003C6175">
        <w:rPr>
          <w:lang w:val="es-CO" w:eastAsia="es-CO"/>
        </w:rPr>
        <w:t xml:space="preserve">podrán participar en igualdad de condiciones dentro de los mecanismos y procedimientos que se definan en la presente resolución. Los </w:t>
      </w:r>
      <w:r w:rsidR="00AF3140">
        <w:rPr>
          <w:lang w:val="es-CO" w:eastAsia="es-CO"/>
        </w:rPr>
        <w:t>promotores</w:t>
      </w:r>
      <w:r w:rsidR="00AF3140" w:rsidRPr="003C6175">
        <w:rPr>
          <w:lang w:val="es-CO" w:eastAsia="es-CO"/>
        </w:rPr>
        <w:t xml:space="preserve"> </w:t>
      </w:r>
      <w:r w:rsidR="003C6175" w:rsidRPr="003C6175">
        <w:rPr>
          <w:lang w:val="es-CO" w:eastAsia="es-CO"/>
        </w:rPr>
        <w:t xml:space="preserve">que lleven a cabo el procedimiento de </w:t>
      </w:r>
      <w:r w:rsidR="003C6175" w:rsidRPr="00D32393">
        <w:rPr>
          <w:i/>
          <w:lang w:val="es-CO" w:eastAsia="es-CO"/>
        </w:rPr>
        <w:t>Open Season</w:t>
      </w:r>
      <w:r w:rsidR="003C6175" w:rsidRPr="003C6175">
        <w:rPr>
          <w:lang w:val="es-CO" w:eastAsia="es-CO"/>
        </w:rPr>
        <w:t xml:space="preserve"> deben garantizar un tratamiento igualitario a los participantes en el proceso</w:t>
      </w:r>
      <w:r>
        <w:rPr>
          <w:lang w:val="es-CO" w:eastAsia="es-CO"/>
        </w:rPr>
        <w:t xml:space="preserve"> siempre que estos tengan las mismas características</w:t>
      </w:r>
      <w:r w:rsidR="003C6175" w:rsidRPr="003C6175">
        <w:rPr>
          <w:lang w:val="es-CO" w:eastAsia="es-CO"/>
        </w:rPr>
        <w:t>, entre otros</w:t>
      </w:r>
      <w:r w:rsidR="00FF17B2">
        <w:rPr>
          <w:lang w:val="es-CO" w:eastAsia="es-CO"/>
        </w:rPr>
        <w:t>,</w:t>
      </w:r>
      <w:r w:rsidR="003C6175" w:rsidRPr="003C6175">
        <w:rPr>
          <w:lang w:val="es-CO" w:eastAsia="es-CO"/>
        </w:rPr>
        <w:t xml:space="preserve"> en relación con </w:t>
      </w:r>
      <w:r>
        <w:rPr>
          <w:lang w:val="es-CO" w:eastAsia="es-CO"/>
        </w:rPr>
        <w:t>la publicidad de</w:t>
      </w:r>
      <w:r w:rsidR="003C6175" w:rsidRPr="003C6175">
        <w:rPr>
          <w:lang w:val="es-CO" w:eastAsia="es-CO"/>
        </w:rPr>
        <w:t xml:space="preserve"> la información.</w:t>
      </w:r>
    </w:p>
    <w:p w:rsidR="008F3596" w:rsidRDefault="008F3596" w:rsidP="000B49F0">
      <w:pPr>
        <w:rPr>
          <w:lang w:val="es-CO" w:eastAsia="es-CO"/>
        </w:rPr>
      </w:pPr>
    </w:p>
    <w:p w:rsidR="003C6175" w:rsidRPr="00D32393" w:rsidRDefault="008F3596" w:rsidP="004400B3">
      <w:pPr>
        <w:rPr>
          <w:lang w:val="es-CO" w:eastAsia="es-CO"/>
        </w:rPr>
      </w:pPr>
      <w:r w:rsidRPr="000B49F0">
        <w:rPr>
          <w:b/>
          <w:lang w:val="es-CO" w:eastAsia="es-CO"/>
        </w:rPr>
        <w:t xml:space="preserve">e. </w:t>
      </w:r>
      <w:r w:rsidR="003C6175" w:rsidRPr="000B49F0">
        <w:rPr>
          <w:b/>
          <w:lang w:val="es-CO" w:eastAsia="es-CO"/>
        </w:rPr>
        <w:t>Libre acceso a la infraestructura de transporte de gas natural:</w:t>
      </w:r>
      <w:r w:rsidR="003C6175" w:rsidRPr="003C6175">
        <w:rPr>
          <w:lang w:val="es-CO" w:eastAsia="es-CO"/>
        </w:rPr>
        <w:t xml:space="preserve"> Carácter de interés público que adquiere la infraestructura de transporte de gas utilizada para el servicio público domiciliario de gas natural de acuerdo con lo previsto en la Ley 142 de 1994</w:t>
      </w:r>
      <w:r w:rsidR="00FF17B2">
        <w:rPr>
          <w:lang w:val="es-CO" w:eastAsia="es-CO"/>
        </w:rPr>
        <w:t>, el Decreto 1073 de 2015</w:t>
      </w:r>
      <w:r w:rsidR="003C6175" w:rsidRPr="003C6175">
        <w:rPr>
          <w:lang w:val="es-CO" w:eastAsia="es-CO"/>
        </w:rPr>
        <w:t xml:space="preserve"> y el desarrollo hecho por la regulación de la CREG. </w:t>
      </w:r>
    </w:p>
    <w:p w:rsidR="003C6175" w:rsidRPr="003C6175" w:rsidRDefault="003C6175" w:rsidP="003C6175">
      <w:pPr>
        <w:rPr>
          <w:rFonts w:cs="Arial"/>
          <w:color w:val="000000" w:themeColor="text1"/>
        </w:rPr>
      </w:pPr>
    </w:p>
    <w:p w:rsidR="003C6175" w:rsidRPr="00097B57" w:rsidRDefault="003C6175" w:rsidP="00097B57">
      <w:pPr>
        <w:pStyle w:val="ARTICULO1"/>
        <w:rPr>
          <w:b w:val="0"/>
        </w:rPr>
      </w:pPr>
      <w:r w:rsidRPr="003C6175">
        <w:t xml:space="preserve">Ámbito de aplicación. </w:t>
      </w:r>
      <w:r w:rsidRPr="00097B57">
        <w:rPr>
          <w:b w:val="0"/>
        </w:rPr>
        <w:t>La presente resolución aplica a todos los participantes del mercado de gas natural.</w:t>
      </w:r>
    </w:p>
    <w:p w:rsidR="003C6175" w:rsidRPr="003C6175" w:rsidRDefault="003C6175" w:rsidP="003C6175">
      <w:pPr>
        <w:rPr>
          <w:rFonts w:cs="Arial"/>
          <w:color w:val="000000" w:themeColor="text1"/>
        </w:rPr>
      </w:pPr>
    </w:p>
    <w:p w:rsidR="003C6175" w:rsidRPr="00097B57" w:rsidRDefault="003C6175" w:rsidP="00097B57">
      <w:pPr>
        <w:pStyle w:val="ARTICULO1"/>
        <w:rPr>
          <w:b w:val="0"/>
        </w:rPr>
      </w:pPr>
      <w:r w:rsidRPr="003C6175">
        <w:t xml:space="preserve">Definiciones. </w:t>
      </w:r>
      <w:r w:rsidRPr="00097B57">
        <w:rPr>
          <w:b w:val="0"/>
        </w:rPr>
        <w:t>Para la interpretación y aplicación de esta resolución se tendrán en cuenta las siguientes definiciones, además de las contenidas en la Ley 142 de 1994, los decretos del Gobierno Nacional y las resoluciones expedidas por parte de esta Comisión:</w:t>
      </w:r>
    </w:p>
    <w:p w:rsidR="003C6175" w:rsidRPr="003C6175" w:rsidRDefault="003C6175" w:rsidP="003C6175">
      <w:pPr>
        <w:rPr>
          <w:rFonts w:cs="Arial"/>
          <w:color w:val="000000" w:themeColor="text1"/>
        </w:rPr>
      </w:pPr>
    </w:p>
    <w:p w:rsidR="003C6175" w:rsidRPr="000B49F0" w:rsidRDefault="003C6175" w:rsidP="004400B3">
      <w:pPr>
        <w:rPr>
          <w:lang w:val="es-CO"/>
        </w:rPr>
      </w:pPr>
      <w:r w:rsidRPr="0067789B">
        <w:rPr>
          <w:b/>
        </w:rPr>
        <w:t>Agente proveedor de construcción:</w:t>
      </w:r>
      <w:r w:rsidRPr="0067789B">
        <w:t xml:space="preserve"> El agente proveedor de construcción </w:t>
      </w:r>
      <w:r w:rsidR="00CC1D42" w:rsidRPr="0067789B">
        <w:rPr>
          <w:lang w:val="es-CO"/>
        </w:rPr>
        <w:t>será el encargado de</w:t>
      </w:r>
      <w:r w:rsidRPr="0067789B">
        <w:t xml:space="preserve"> la procura, instalación y mantenimiento de obras de transporte de gas natural</w:t>
      </w:r>
      <w:r w:rsidR="006B73C1" w:rsidRPr="0067789B">
        <w:rPr>
          <w:lang w:val="es-CO"/>
        </w:rPr>
        <w:t xml:space="preserve"> producto del </w:t>
      </w:r>
      <w:r w:rsidR="0067789B" w:rsidRPr="0067789B">
        <w:rPr>
          <w:i/>
          <w:lang w:val="es-CO"/>
        </w:rPr>
        <w:t>Open S</w:t>
      </w:r>
      <w:r w:rsidR="006B73C1" w:rsidRPr="0067789B">
        <w:rPr>
          <w:i/>
          <w:lang w:val="es-CO"/>
        </w:rPr>
        <w:t>eason</w:t>
      </w:r>
      <w:r w:rsidRPr="0067789B">
        <w:t>.</w:t>
      </w:r>
      <w:r w:rsidR="003F7029" w:rsidRPr="003F7029">
        <w:t xml:space="preserve"> </w:t>
      </w:r>
    </w:p>
    <w:p w:rsidR="003C6175" w:rsidRPr="003C6175" w:rsidRDefault="003C6175" w:rsidP="003C6175">
      <w:pPr>
        <w:rPr>
          <w:rFonts w:cs="Arial"/>
          <w:color w:val="000000" w:themeColor="text1"/>
        </w:rPr>
      </w:pPr>
    </w:p>
    <w:p w:rsidR="003C6175" w:rsidRPr="003C6175" w:rsidRDefault="003C6175" w:rsidP="004400B3">
      <w:pPr>
        <w:rPr>
          <w:b/>
          <w:bCs/>
          <w:color w:val="000000"/>
        </w:rPr>
      </w:pPr>
      <w:r w:rsidRPr="003C6175">
        <w:rPr>
          <w:b/>
        </w:rPr>
        <w:t>Curva S:</w:t>
      </w:r>
      <w:r w:rsidRPr="003C6175">
        <w:t xml:space="preserve"> En el contexto de la presente resolución, gráfico que muestra en la ordenada el porcentaje estimado de avance de un proyecto durante el tiempo de ejecución y en la abscisa el tiempo trascurrido. Este gráfico debe mostrar como mínimo la curva de avance programado y la curva de avance ejecutado</w:t>
      </w:r>
      <w:r w:rsidRPr="003C6175">
        <w:rPr>
          <w:bCs/>
          <w:color w:val="000000"/>
        </w:rPr>
        <w:t xml:space="preserve">. </w:t>
      </w:r>
    </w:p>
    <w:p w:rsidR="003C6175" w:rsidRPr="003C6175" w:rsidRDefault="003C6175" w:rsidP="003C6175"/>
    <w:p w:rsidR="003F7029" w:rsidRDefault="003C6175" w:rsidP="004400B3">
      <w:pPr>
        <w:rPr>
          <w:lang w:val="es-CO"/>
        </w:rPr>
      </w:pPr>
      <w:r w:rsidRPr="003C6175">
        <w:rPr>
          <w:b/>
        </w:rPr>
        <w:t>Extensiones:</w:t>
      </w:r>
      <w:r w:rsidRPr="003C6175">
        <w:t xml:space="preserve"> </w:t>
      </w:r>
      <w:r w:rsidR="003F7029">
        <w:rPr>
          <w:lang w:val="es-CO"/>
        </w:rPr>
        <w:t>I</w:t>
      </w:r>
      <w:r w:rsidR="003F7029" w:rsidRPr="003F7029">
        <w:t xml:space="preserve">nfraestructura </w:t>
      </w:r>
      <w:r w:rsidR="003F7029">
        <w:rPr>
          <w:lang w:val="es-CO"/>
        </w:rPr>
        <w:t xml:space="preserve">de transporte de gas </w:t>
      </w:r>
      <w:r w:rsidR="003F7029">
        <w:t>que no est</w:t>
      </w:r>
      <w:r w:rsidR="003F7029">
        <w:rPr>
          <w:lang w:val="es-CO"/>
        </w:rPr>
        <w:t>á</w:t>
      </w:r>
      <w:r w:rsidR="003F7029" w:rsidRPr="003F7029">
        <w:t xml:space="preserve"> embebida en los sistemas de transporte en operación</w:t>
      </w:r>
      <w:r w:rsidR="00287258">
        <w:rPr>
          <w:lang w:val="es-CO"/>
        </w:rPr>
        <w:t xml:space="preserve"> de un transportador existente</w:t>
      </w:r>
      <w:r w:rsidR="003F7029">
        <w:rPr>
          <w:lang w:val="es-CO"/>
        </w:rPr>
        <w:t xml:space="preserve">. Corresponden a los gasoductos definidos en los artículos 21 y 22 de la Resolución CREG 126 de 2010 o aquellas que </w:t>
      </w:r>
      <w:r w:rsidR="00287258">
        <w:rPr>
          <w:lang w:val="es-CO"/>
        </w:rPr>
        <w:t>la</w:t>
      </w:r>
      <w:r w:rsidR="003F7029">
        <w:rPr>
          <w:lang w:val="es-CO"/>
        </w:rPr>
        <w:t xml:space="preserve"> modifiquen o sustituyan.</w:t>
      </w:r>
    </w:p>
    <w:p w:rsidR="00FB14C2" w:rsidRDefault="00FB14C2" w:rsidP="000B49F0"/>
    <w:p w:rsidR="00FB14C2" w:rsidRPr="000B49F0" w:rsidRDefault="00FB14C2" w:rsidP="004400B3">
      <w:pPr>
        <w:rPr>
          <w:lang w:val="es-CO"/>
        </w:rPr>
      </w:pPr>
      <w:r>
        <w:rPr>
          <w:b/>
          <w:lang w:val="es-CO"/>
        </w:rPr>
        <w:lastRenderedPageBreak/>
        <w:t>P</w:t>
      </w:r>
      <w:r w:rsidRPr="000B49F0">
        <w:rPr>
          <w:b/>
        </w:rPr>
        <w:t xml:space="preserve">uesta en operación </w:t>
      </w:r>
      <w:r w:rsidRPr="0067789B">
        <w:rPr>
          <w:b/>
        </w:rPr>
        <w:t>comercial, PO</w:t>
      </w:r>
      <w:r w:rsidR="00EE586B" w:rsidRPr="0067789B">
        <w:rPr>
          <w:b/>
          <w:lang w:val="es-CO"/>
        </w:rPr>
        <w:t>C</w:t>
      </w:r>
      <w:r w:rsidRPr="0067789B">
        <w:t>. Fecha</w:t>
      </w:r>
      <w:r w:rsidRPr="00FB14C2">
        <w:t xml:space="preserve"> en la cual se prevé la puesta en operación de un proyecto</w:t>
      </w:r>
      <w:r>
        <w:rPr>
          <w:lang w:val="es-CO"/>
        </w:rPr>
        <w:t xml:space="preserve"> resultado de un </w:t>
      </w:r>
      <w:r w:rsidRPr="000B49F0">
        <w:rPr>
          <w:i/>
          <w:lang w:val="es-CO"/>
        </w:rPr>
        <w:t>Open Season</w:t>
      </w:r>
      <w:r w:rsidRPr="00FB14C2">
        <w:t xml:space="preserve">. </w:t>
      </w:r>
      <w:r>
        <w:rPr>
          <w:lang w:val="es-CO"/>
        </w:rPr>
        <w:t xml:space="preserve">A partir de dicha fecha el transportador definido en las bases del </w:t>
      </w:r>
      <w:r w:rsidRPr="000B49F0">
        <w:rPr>
          <w:i/>
          <w:lang w:val="es-CO"/>
        </w:rPr>
        <w:t>Open Season</w:t>
      </w:r>
      <w:r>
        <w:rPr>
          <w:lang w:val="es-CO"/>
        </w:rPr>
        <w:t xml:space="preserve"> será el responsable de la</w:t>
      </w:r>
      <w:r w:rsidR="00A84C75">
        <w:rPr>
          <w:lang w:val="es-CO"/>
        </w:rPr>
        <w:t xml:space="preserve"> prestación del servicio,</w:t>
      </w:r>
      <w:r>
        <w:rPr>
          <w:lang w:val="es-CO"/>
        </w:rPr>
        <w:t xml:space="preserve"> administración, operación y mantenimiento de la infraestructura de transporte. </w:t>
      </w:r>
    </w:p>
    <w:p w:rsidR="003C6175" w:rsidRPr="003C6175" w:rsidRDefault="003F7029" w:rsidP="000B49F0">
      <w:r w:rsidRPr="003F7029" w:rsidDel="003F7029">
        <w:rPr>
          <w:lang w:val="x-none" w:eastAsia="x-none"/>
        </w:rPr>
        <w:t xml:space="preserve"> </w:t>
      </w:r>
    </w:p>
    <w:p w:rsidR="003F7029" w:rsidRDefault="003F7029" w:rsidP="004400B3">
      <w:r w:rsidRPr="003C6175">
        <w:rPr>
          <w:b/>
          <w:i/>
        </w:rPr>
        <w:t>Open Season</w:t>
      </w:r>
      <w:r w:rsidRPr="003C6175">
        <w:t xml:space="preserve">: Proceso </w:t>
      </w:r>
      <w:r w:rsidR="00287258">
        <w:rPr>
          <w:lang w:val="es-CO"/>
        </w:rPr>
        <w:t>en el cual</w:t>
      </w:r>
      <w:r w:rsidRPr="003C6175">
        <w:t xml:space="preserve"> el promotor de un proyecto </w:t>
      </w:r>
      <w:r>
        <w:rPr>
          <w:lang w:val="es-CO"/>
        </w:rPr>
        <w:t xml:space="preserve">de infraestructura de transporte correspondiente a </w:t>
      </w:r>
      <w:r w:rsidRPr="003F7029">
        <w:t>extensiones y otros gasoductos diferentes a ampliaciones de capacidad, gasoductos dedicados y de conexión</w:t>
      </w:r>
      <w:r w:rsidRPr="003C6175">
        <w:t>: i)</w:t>
      </w:r>
      <w:r>
        <w:rPr>
          <w:lang w:val="es-CO"/>
        </w:rPr>
        <w:t xml:space="preserve"> </w:t>
      </w:r>
      <w:r w:rsidRPr="003C6175">
        <w:t xml:space="preserve">identifica los requerimientos de nueva capacidad de transporte; ii) lleva a cabo los procedimientos y etapas de acuerdo con lo establecido en la presente resolución; iii) propone términos básicos y parámetros de diseño </w:t>
      </w:r>
      <w:r w:rsidR="00A84C75">
        <w:rPr>
          <w:lang w:val="es-CO"/>
        </w:rPr>
        <w:t xml:space="preserve">y ejecución </w:t>
      </w:r>
      <w:r w:rsidRPr="003C6175">
        <w:t>de nueva infraestructura de transporte</w:t>
      </w:r>
      <w:r w:rsidR="00A47990">
        <w:rPr>
          <w:lang w:val="es-CO"/>
        </w:rPr>
        <w:t>.</w:t>
      </w:r>
      <w:r w:rsidR="00837659">
        <w:rPr>
          <w:lang w:val="es-CO"/>
        </w:rPr>
        <w:t xml:space="preserve"> </w:t>
      </w:r>
    </w:p>
    <w:p w:rsidR="00AD24BC" w:rsidRDefault="00AD24BC" w:rsidP="000B49F0"/>
    <w:p w:rsidR="00AD24BC" w:rsidRPr="000B49F0" w:rsidRDefault="00AD24BC" w:rsidP="004400B3">
      <w:pPr>
        <w:rPr>
          <w:lang w:val="es-CO"/>
        </w:rPr>
      </w:pPr>
      <w:r w:rsidRPr="000B49F0">
        <w:rPr>
          <w:b/>
          <w:lang w:val="es-CO"/>
        </w:rPr>
        <w:t xml:space="preserve">Participantes en el </w:t>
      </w:r>
      <w:r w:rsidRPr="000B49F0">
        <w:rPr>
          <w:b/>
          <w:i/>
          <w:lang w:val="es-CO"/>
        </w:rPr>
        <w:t>Open Season</w:t>
      </w:r>
      <w:r w:rsidRPr="000B49F0">
        <w:rPr>
          <w:b/>
          <w:lang w:val="es-CO"/>
        </w:rPr>
        <w:t xml:space="preserve">: </w:t>
      </w:r>
      <w:r>
        <w:rPr>
          <w:lang w:val="es-CO"/>
        </w:rPr>
        <w:t>Atendiendo los procedimientos y etapas definidas en la presente resolución, corresponderán a los interesados en contratar capacidad</w:t>
      </w:r>
      <w:r w:rsidR="00FF17B2">
        <w:rPr>
          <w:lang w:val="es-CO"/>
        </w:rPr>
        <w:t xml:space="preserve"> de transporte</w:t>
      </w:r>
      <w:r w:rsidR="00FF17B2" w:rsidRPr="009C17FF">
        <w:rPr>
          <w:lang w:val="es-CO"/>
        </w:rPr>
        <w:t>,</w:t>
      </w:r>
      <w:r w:rsidRPr="009C17FF">
        <w:rPr>
          <w:lang w:val="es-CO"/>
        </w:rPr>
        <w:t xml:space="preserve"> inscritos de</w:t>
      </w:r>
      <w:r>
        <w:rPr>
          <w:lang w:val="es-CO"/>
        </w:rPr>
        <w:t xml:space="preserve"> acuerdo con lo dispuesto en las bases de participación en el </w:t>
      </w:r>
      <w:r w:rsidRPr="000B49F0">
        <w:rPr>
          <w:i/>
          <w:lang w:val="es-CO"/>
        </w:rPr>
        <w:t>Open Season</w:t>
      </w:r>
      <w:r>
        <w:rPr>
          <w:lang w:val="es-CO"/>
        </w:rPr>
        <w:t xml:space="preserve">. </w:t>
      </w:r>
    </w:p>
    <w:p w:rsidR="003F7029" w:rsidRPr="003C6175" w:rsidRDefault="003F7029" w:rsidP="000B49F0"/>
    <w:p w:rsidR="003C6175" w:rsidRPr="000B49F0" w:rsidRDefault="003C6175" w:rsidP="004400B3">
      <w:r w:rsidRPr="003C6175">
        <w:rPr>
          <w:b/>
        </w:rPr>
        <w:t>Promotor:</w:t>
      </w:r>
      <w:r w:rsidRPr="003C6175">
        <w:t xml:space="preserve"> Agente interesado en desarrollar una obra de infraestructura de transporte de gas natural. El promotor puede ser, un agente proveedor de construcción, un agente transportador, agentes contratados o conformados por productores, la industria o la demanda de gas natural en general.</w:t>
      </w:r>
      <w:r w:rsidR="003F7029" w:rsidRPr="003F7029">
        <w:t xml:space="preserve"> </w:t>
      </w:r>
    </w:p>
    <w:p w:rsidR="003C6175" w:rsidRPr="003C6175" w:rsidRDefault="003C6175" w:rsidP="003C6175">
      <w:pPr>
        <w:rPr>
          <w:rFonts w:cs="Arial"/>
          <w:color w:val="000000" w:themeColor="text1"/>
          <w:sz w:val="28"/>
        </w:rPr>
      </w:pPr>
    </w:p>
    <w:p w:rsidR="003C6175" w:rsidRPr="000B49F0" w:rsidRDefault="003C6175" w:rsidP="004400B3">
      <w:pPr>
        <w:rPr>
          <w:lang w:val="es-CO"/>
        </w:rPr>
      </w:pPr>
      <w:r w:rsidRPr="003C6175">
        <w:rPr>
          <w:b/>
        </w:rPr>
        <w:t>Transportador con infraestructura existente:</w:t>
      </w:r>
      <w:r w:rsidRPr="003C6175">
        <w:rPr>
          <w:b/>
          <w:i/>
        </w:rPr>
        <w:t xml:space="preserve"> </w:t>
      </w:r>
      <w:r w:rsidRPr="003C6175">
        <w:t xml:space="preserve">En el contexto de la presente resolución, corresponde a un transportador que es propietario y/u opera un sistema de transporte que tiene cargos aprobados por la CREG, respecto de la cual se pretende llevar a cabo </w:t>
      </w:r>
      <w:r w:rsidR="00287258">
        <w:rPr>
          <w:lang w:val="es-CO"/>
        </w:rPr>
        <w:t xml:space="preserve">una </w:t>
      </w:r>
      <w:r w:rsidRPr="003C6175">
        <w:t xml:space="preserve">extensión </w:t>
      </w:r>
      <w:r w:rsidR="00287258">
        <w:rPr>
          <w:lang w:val="es-CO"/>
        </w:rPr>
        <w:t>u</w:t>
      </w:r>
      <w:r w:rsidR="00287258" w:rsidRPr="00287258">
        <w:rPr>
          <w:lang w:val="es-CO"/>
        </w:rPr>
        <w:t xml:space="preserve"> otros gasoductos diferentes a ampliaciones de capacidad, gasoductos dedicados y de conexión</w:t>
      </w:r>
      <w:r w:rsidR="00287258">
        <w:rPr>
          <w:lang w:val="es-CO"/>
        </w:rPr>
        <w:t xml:space="preserve"> </w:t>
      </w:r>
      <w:r w:rsidRPr="003C6175">
        <w:t xml:space="preserve">mediante el proceso de </w:t>
      </w:r>
      <w:r w:rsidRPr="000B49F0">
        <w:rPr>
          <w:i/>
        </w:rPr>
        <w:t>Open Season</w:t>
      </w:r>
      <w:r w:rsidRPr="003C6175">
        <w:t>.</w:t>
      </w:r>
    </w:p>
    <w:p w:rsidR="003C6175" w:rsidRPr="003C6175" w:rsidRDefault="003C6175" w:rsidP="003C6175"/>
    <w:p w:rsidR="003C6175" w:rsidRPr="00097B57" w:rsidRDefault="003C6175" w:rsidP="00097B57">
      <w:pPr>
        <w:pStyle w:val="ARTICULO1"/>
        <w:rPr>
          <w:b w:val="0"/>
          <w:lang w:val="es-ES_tradnl"/>
        </w:rPr>
      </w:pPr>
      <w:r w:rsidRPr="003C6175">
        <w:rPr>
          <w:lang w:val="es-ES_tradnl"/>
        </w:rPr>
        <w:t xml:space="preserve">Siglas. </w:t>
      </w:r>
      <w:r w:rsidRPr="00097B57">
        <w:rPr>
          <w:b w:val="0"/>
        </w:rPr>
        <w:t>Para efectos de la presente Resolución se tendrán en cuenta las siguientes siglas</w:t>
      </w:r>
      <w:r w:rsidRPr="00097B57">
        <w:rPr>
          <w:b w:val="0"/>
          <w:lang w:val="es-ES_tradnl"/>
        </w:rPr>
        <w:t xml:space="preserve">: </w:t>
      </w:r>
    </w:p>
    <w:p w:rsidR="003C6175" w:rsidRPr="003C6175" w:rsidRDefault="003C6175" w:rsidP="003C6175"/>
    <w:p w:rsidR="003C6175" w:rsidRPr="003C6175" w:rsidRDefault="003C6175" w:rsidP="001C2DAA">
      <w:pPr>
        <w:rPr>
          <w:b/>
        </w:rPr>
      </w:pPr>
      <w:r w:rsidRPr="003C6175">
        <w:rPr>
          <w:b/>
        </w:rPr>
        <w:t>AOM:</w:t>
      </w:r>
      <w:r w:rsidRPr="003C6175">
        <w:t xml:space="preserve"> </w:t>
      </w:r>
      <w:r w:rsidRPr="003C6175">
        <w:tab/>
        <w:t>Administración, operación y mantenimiento</w:t>
      </w:r>
    </w:p>
    <w:p w:rsidR="003C6175" w:rsidRPr="003C6175" w:rsidRDefault="003C6175" w:rsidP="001C2DAA">
      <w:pPr>
        <w:rPr>
          <w:b/>
          <w:lang w:val="es-CO"/>
        </w:rPr>
      </w:pPr>
      <w:r w:rsidRPr="003C6175">
        <w:rPr>
          <w:b/>
        </w:rPr>
        <w:t>CNOG:</w:t>
      </w:r>
      <w:r w:rsidRPr="003C6175">
        <w:rPr>
          <w:b/>
        </w:rPr>
        <w:tab/>
      </w:r>
      <w:r w:rsidRPr="003C6175">
        <w:rPr>
          <w:lang w:val="x-none"/>
        </w:rPr>
        <w:t>Consejo Nacional de Operación de Gas Natural</w:t>
      </w:r>
    </w:p>
    <w:p w:rsidR="003C6175" w:rsidRPr="003C6175" w:rsidRDefault="003C6175" w:rsidP="001C2DAA">
      <w:pPr>
        <w:rPr>
          <w:b/>
        </w:rPr>
      </w:pPr>
      <w:r w:rsidRPr="003C6175">
        <w:rPr>
          <w:b/>
        </w:rPr>
        <w:t>CREG:</w:t>
      </w:r>
      <w:r w:rsidRPr="003C6175">
        <w:t xml:space="preserve"> </w:t>
      </w:r>
      <w:r w:rsidRPr="003C6175">
        <w:tab/>
        <w:t>Comisión de Regulación de Energía y Gas</w:t>
      </w:r>
    </w:p>
    <w:p w:rsidR="003C6175" w:rsidRPr="003C6175" w:rsidRDefault="003C6175" w:rsidP="001C2DAA">
      <w:r w:rsidRPr="003C6175">
        <w:rPr>
          <w:b/>
        </w:rPr>
        <w:t>MME:</w:t>
      </w:r>
      <w:r w:rsidRPr="003C6175">
        <w:rPr>
          <w:b/>
        </w:rPr>
        <w:tab/>
      </w:r>
      <w:r w:rsidRPr="003C6175">
        <w:rPr>
          <w:b/>
        </w:rPr>
        <w:tab/>
      </w:r>
      <w:r w:rsidRPr="003C6175">
        <w:t>Ministerio de Minas y Energía</w:t>
      </w:r>
    </w:p>
    <w:p w:rsidR="003C6175" w:rsidRPr="003C6175" w:rsidRDefault="003C6175" w:rsidP="001C2DAA">
      <w:r w:rsidRPr="003C6175">
        <w:rPr>
          <w:b/>
        </w:rPr>
        <w:t>POC:</w:t>
      </w:r>
      <w:r w:rsidRPr="003C6175">
        <w:rPr>
          <w:b/>
        </w:rPr>
        <w:tab/>
      </w:r>
      <w:r w:rsidR="001C2DAA">
        <w:rPr>
          <w:b/>
        </w:rPr>
        <w:tab/>
      </w:r>
      <w:r w:rsidRPr="003C6175">
        <w:t xml:space="preserve">Puesta en operación comercial </w:t>
      </w:r>
    </w:p>
    <w:p w:rsidR="003C6175" w:rsidRPr="003C6175" w:rsidRDefault="003C6175" w:rsidP="001C2DAA">
      <w:r w:rsidRPr="003C6175">
        <w:rPr>
          <w:b/>
        </w:rPr>
        <w:t>RUT:</w:t>
      </w:r>
      <w:r w:rsidRPr="003C6175">
        <w:t xml:space="preserve"> </w:t>
      </w:r>
      <w:r w:rsidRPr="003C6175">
        <w:tab/>
      </w:r>
      <w:r w:rsidRPr="003C6175">
        <w:tab/>
        <w:t>Reglamento único de transporte de gas natural</w:t>
      </w:r>
    </w:p>
    <w:p w:rsidR="003C6175" w:rsidRPr="003C6175" w:rsidRDefault="003C6175" w:rsidP="001C2DAA">
      <w:r w:rsidRPr="003C6175">
        <w:rPr>
          <w:b/>
        </w:rPr>
        <w:t>SNT:</w:t>
      </w:r>
      <w:r w:rsidRPr="003C6175">
        <w:t xml:space="preserve"> </w:t>
      </w:r>
      <w:r w:rsidRPr="003C6175">
        <w:tab/>
      </w:r>
      <w:r w:rsidRPr="003C6175">
        <w:tab/>
        <w:t>Sistema nacional de transporte de gas natural</w:t>
      </w:r>
    </w:p>
    <w:p w:rsidR="003C6175" w:rsidRPr="003C6175" w:rsidRDefault="003C6175" w:rsidP="001C2DAA">
      <w:r w:rsidRPr="003C6175">
        <w:rPr>
          <w:b/>
        </w:rPr>
        <w:t>SSPD:</w:t>
      </w:r>
      <w:r w:rsidRPr="003C6175">
        <w:rPr>
          <w:b/>
        </w:rPr>
        <w:tab/>
      </w:r>
      <w:r w:rsidRPr="003C6175">
        <w:t xml:space="preserve">Superintendencia de Servicios Públicos Domiciliarios </w:t>
      </w:r>
    </w:p>
    <w:p w:rsidR="003C6175" w:rsidRPr="003C6175" w:rsidRDefault="003C6175" w:rsidP="001C2DAA">
      <w:r w:rsidRPr="003C6175">
        <w:rPr>
          <w:b/>
        </w:rPr>
        <w:t>UPME:</w:t>
      </w:r>
      <w:r w:rsidRPr="003C6175">
        <w:t xml:space="preserve"> </w:t>
      </w:r>
      <w:r w:rsidRPr="003C6175">
        <w:tab/>
        <w:t>Unidad de Planeación Minero Energética</w:t>
      </w:r>
    </w:p>
    <w:p w:rsidR="003C6175" w:rsidRPr="003C6175" w:rsidRDefault="003C6175" w:rsidP="003C6175">
      <w:pPr>
        <w:rPr>
          <w:rFonts w:cs="Arial"/>
          <w:i/>
          <w:color w:val="000000" w:themeColor="text1"/>
        </w:rPr>
      </w:pPr>
    </w:p>
    <w:p w:rsidR="003C6175" w:rsidRPr="00097B57" w:rsidRDefault="003C6175" w:rsidP="00097B57">
      <w:pPr>
        <w:pStyle w:val="ARTICULO1"/>
        <w:rPr>
          <w:b w:val="0"/>
        </w:rPr>
      </w:pPr>
      <w:r w:rsidRPr="003C6175">
        <w:t xml:space="preserve">Requerimientos mínimos del Promotor. </w:t>
      </w:r>
      <w:r w:rsidRPr="00097B57">
        <w:rPr>
          <w:b w:val="0"/>
        </w:rPr>
        <w:t xml:space="preserve">En general, cualquier interesado puede constituirse o actuar como promotor, incluyendo agentes contratados por productores, industria, transportadores o la demanda en general. Los siguientes son los requerimientos mínimos y las condiciones </w:t>
      </w:r>
      <w:r w:rsidRPr="00097B57">
        <w:rPr>
          <w:b w:val="0"/>
        </w:rPr>
        <w:lastRenderedPageBreak/>
        <w:t>señaladas para actuar en calidad de promotor para efectos de la presente resolución:</w:t>
      </w:r>
    </w:p>
    <w:p w:rsidR="003C6175" w:rsidRPr="003C6175" w:rsidRDefault="003C6175" w:rsidP="00171F2A">
      <w:pPr>
        <w:tabs>
          <w:tab w:val="left" w:pos="0"/>
        </w:tabs>
        <w:rPr>
          <w:rFonts w:cs="Arial"/>
          <w:color w:val="000000" w:themeColor="text1"/>
        </w:rPr>
      </w:pPr>
    </w:p>
    <w:p w:rsidR="00171F2A" w:rsidRDefault="00171F2A" w:rsidP="000B49F0">
      <w:pPr>
        <w:ind w:right="284"/>
        <w:rPr>
          <w:rFonts w:cs="Calibri"/>
          <w:iCs/>
          <w:szCs w:val="22"/>
          <w:lang w:val="es-CO" w:eastAsia="es-CO"/>
        </w:rPr>
      </w:pPr>
      <w:r w:rsidRPr="00FF17B2">
        <w:rPr>
          <w:rFonts w:cs="Calibri"/>
          <w:iCs/>
          <w:szCs w:val="22"/>
          <w:lang w:val="es-CO" w:eastAsia="es-CO"/>
        </w:rPr>
        <w:t xml:space="preserve">a. Corresponder a </w:t>
      </w:r>
      <w:r w:rsidR="003C6175" w:rsidRPr="00FF17B2">
        <w:rPr>
          <w:rFonts w:cs="Calibri"/>
          <w:iCs/>
          <w:szCs w:val="22"/>
          <w:lang w:val="es-CO" w:eastAsia="es-CO"/>
        </w:rPr>
        <w:t xml:space="preserve">una sociedad comercial legalmente constituida, la cual dentro de su objeto social </w:t>
      </w:r>
      <w:r w:rsidR="00FF17B2" w:rsidRPr="00FF17B2">
        <w:rPr>
          <w:rFonts w:cs="Calibri"/>
          <w:iCs/>
          <w:szCs w:val="22"/>
          <w:lang w:val="es-CO" w:eastAsia="es-CO"/>
        </w:rPr>
        <w:t xml:space="preserve">cuente </w:t>
      </w:r>
      <w:r w:rsidR="003C6175" w:rsidRPr="00FF17B2">
        <w:rPr>
          <w:rFonts w:cs="Calibri"/>
          <w:iCs/>
          <w:szCs w:val="22"/>
          <w:lang w:val="es-CO" w:eastAsia="es-CO"/>
        </w:rPr>
        <w:t>con actividades relativas a la gestión de proyectos de infraestructura en materia de hidrocarburos.</w:t>
      </w:r>
    </w:p>
    <w:p w:rsidR="00171F2A" w:rsidRPr="003C6175" w:rsidRDefault="00171F2A" w:rsidP="000B49F0">
      <w:pPr>
        <w:ind w:right="284"/>
        <w:rPr>
          <w:rFonts w:cs="Calibri"/>
          <w:iCs/>
          <w:szCs w:val="22"/>
          <w:lang w:val="es-CO" w:eastAsia="es-CO"/>
        </w:rPr>
      </w:pPr>
    </w:p>
    <w:p w:rsidR="00171F2A" w:rsidRDefault="00171F2A" w:rsidP="000B49F0">
      <w:pPr>
        <w:ind w:right="284"/>
        <w:rPr>
          <w:rFonts w:cs="Calibri"/>
          <w:iCs/>
          <w:szCs w:val="22"/>
          <w:lang w:val="es-CO" w:eastAsia="es-CO"/>
        </w:rPr>
      </w:pPr>
      <w:r>
        <w:rPr>
          <w:rFonts w:cs="Calibri"/>
          <w:iCs/>
          <w:szCs w:val="22"/>
          <w:lang w:val="es-CO" w:eastAsia="es-CO"/>
        </w:rPr>
        <w:t xml:space="preserve">b. </w:t>
      </w:r>
      <w:r w:rsidR="003C6175" w:rsidRPr="003C6175">
        <w:rPr>
          <w:rFonts w:cs="Calibri"/>
          <w:iCs/>
          <w:szCs w:val="22"/>
          <w:lang w:val="es-CO" w:eastAsia="es-CO"/>
        </w:rPr>
        <w:t xml:space="preserve">Para el caso en el que el </w:t>
      </w:r>
      <w:r w:rsidR="003C6175" w:rsidRPr="0067789B">
        <w:rPr>
          <w:rFonts w:cs="Calibri"/>
          <w:iCs/>
          <w:szCs w:val="22"/>
          <w:lang w:val="es-CO" w:eastAsia="es-CO"/>
        </w:rPr>
        <w:t>promotor est</w:t>
      </w:r>
      <w:r w:rsidR="00A82980">
        <w:rPr>
          <w:rFonts w:cs="Calibri"/>
          <w:iCs/>
          <w:szCs w:val="22"/>
          <w:lang w:val="es-CO" w:eastAsia="es-CO"/>
        </w:rPr>
        <w:t>é</w:t>
      </w:r>
      <w:r w:rsidR="003C6175" w:rsidRPr="0067789B">
        <w:rPr>
          <w:rFonts w:cs="Calibri"/>
          <w:iCs/>
          <w:szCs w:val="22"/>
          <w:lang w:val="es-CO" w:eastAsia="es-CO"/>
        </w:rPr>
        <w:t xml:space="preserve"> compuesto por uno o varios productores, deberán contar con reservas</w:t>
      </w:r>
      <w:r w:rsidR="00BA2B94" w:rsidRPr="0067789B">
        <w:rPr>
          <w:rFonts w:cs="Calibri"/>
          <w:iCs/>
          <w:szCs w:val="22"/>
          <w:lang w:val="es-CO" w:eastAsia="es-CO"/>
        </w:rPr>
        <w:t xml:space="preserve"> o recursos contingentes</w:t>
      </w:r>
      <w:r w:rsidR="003C6175" w:rsidRPr="0067789B">
        <w:rPr>
          <w:rFonts w:cs="Calibri"/>
          <w:iCs/>
          <w:szCs w:val="22"/>
          <w:lang w:val="es-CO" w:eastAsia="es-CO"/>
        </w:rPr>
        <w:t xml:space="preserve"> que respalden el proyecto a desarrollar mediante el proceso del </w:t>
      </w:r>
      <w:r w:rsidR="003C6175" w:rsidRPr="0067789B">
        <w:rPr>
          <w:rFonts w:cs="Calibri"/>
          <w:i/>
          <w:iCs/>
          <w:szCs w:val="22"/>
          <w:lang w:val="es-CO" w:eastAsia="es-CO"/>
        </w:rPr>
        <w:t xml:space="preserve">Open </w:t>
      </w:r>
      <w:r w:rsidRPr="0067789B">
        <w:rPr>
          <w:rFonts w:cs="Calibri"/>
          <w:i/>
          <w:iCs/>
          <w:szCs w:val="22"/>
          <w:lang w:val="es-CO" w:eastAsia="es-CO"/>
        </w:rPr>
        <w:t>S</w:t>
      </w:r>
      <w:r w:rsidR="003C6175" w:rsidRPr="0067789B">
        <w:rPr>
          <w:rFonts w:cs="Calibri"/>
          <w:i/>
          <w:iCs/>
          <w:szCs w:val="22"/>
          <w:lang w:val="es-CO" w:eastAsia="es-CO"/>
        </w:rPr>
        <w:t>eason</w:t>
      </w:r>
      <w:r w:rsidR="003C6175" w:rsidRPr="0067789B">
        <w:rPr>
          <w:rFonts w:cs="Calibri"/>
          <w:iCs/>
          <w:szCs w:val="22"/>
          <w:lang w:val="es-CO" w:eastAsia="es-CO"/>
        </w:rPr>
        <w:t>, debidamente certificadas por la Agencia Nacional de Hidrocarburos - ANH.</w:t>
      </w:r>
    </w:p>
    <w:p w:rsidR="00171F2A" w:rsidRPr="003C6175" w:rsidRDefault="00171F2A" w:rsidP="000B49F0">
      <w:pPr>
        <w:ind w:right="284"/>
        <w:rPr>
          <w:rFonts w:cs="Calibri"/>
          <w:iCs/>
          <w:szCs w:val="22"/>
          <w:lang w:val="es-CO" w:eastAsia="es-CO"/>
        </w:rPr>
      </w:pPr>
    </w:p>
    <w:p w:rsidR="00171F2A" w:rsidRPr="0067789B" w:rsidRDefault="00171F2A" w:rsidP="000B49F0">
      <w:pPr>
        <w:ind w:right="284"/>
        <w:rPr>
          <w:rFonts w:cs="Calibri"/>
          <w:iCs/>
          <w:szCs w:val="22"/>
          <w:lang w:val="es-CO" w:eastAsia="es-CO"/>
        </w:rPr>
      </w:pPr>
      <w:r>
        <w:rPr>
          <w:rFonts w:cs="Calibri"/>
          <w:iCs/>
          <w:szCs w:val="22"/>
          <w:lang w:val="es-CO" w:eastAsia="es-CO"/>
        </w:rPr>
        <w:t xml:space="preserve">c. </w:t>
      </w:r>
      <w:r w:rsidR="003C6175" w:rsidRPr="003C6175">
        <w:rPr>
          <w:rFonts w:cs="Calibri"/>
          <w:iCs/>
          <w:szCs w:val="22"/>
          <w:lang w:val="es-CO" w:eastAsia="es-CO"/>
        </w:rPr>
        <w:t>Para el caso de otros agentes interesados</w:t>
      </w:r>
      <w:r>
        <w:rPr>
          <w:rFonts w:cs="Calibri"/>
          <w:iCs/>
          <w:szCs w:val="22"/>
          <w:lang w:val="es-CO" w:eastAsia="es-CO"/>
        </w:rPr>
        <w:t>,</w:t>
      </w:r>
      <w:r w:rsidR="003C6175" w:rsidRPr="003C6175">
        <w:rPr>
          <w:rFonts w:cs="Calibri"/>
          <w:iCs/>
          <w:szCs w:val="22"/>
          <w:lang w:val="es-CO" w:eastAsia="es-CO"/>
        </w:rPr>
        <w:t xml:space="preserve"> tales como agentes que representen demanda de </w:t>
      </w:r>
      <w:r w:rsidR="003C6175" w:rsidRPr="0067789B">
        <w:rPr>
          <w:rFonts w:cs="Calibri"/>
          <w:iCs/>
          <w:szCs w:val="22"/>
          <w:lang w:val="es-CO" w:eastAsia="es-CO"/>
        </w:rPr>
        <w:t>gas natural, dichos agentes deberán acreditar y representar el interés de usuarios regulados y/o no regulados, cuya intensión sea el adquirir compromisos mediante la suscripción de contratos de transporte como mínimo de 5</w:t>
      </w:r>
      <w:r w:rsidRPr="0067789B">
        <w:rPr>
          <w:rFonts w:cs="Calibri"/>
          <w:iCs/>
          <w:szCs w:val="22"/>
          <w:lang w:val="es-CO" w:eastAsia="es-CO"/>
        </w:rPr>
        <w:t xml:space="preserve"> </w:t>
      </w:r>
      <w:r w:rsidR="003C6175" w:rsidRPr="0067789B">
        <w:rPr>
          <w:rFonts w:cs="Calibri"/>
          <w:iCs/>
          <w:szCs w:val="22"/>
          <w:lang w:val="es-CO" w:eastAsia="es-CO"/>
        </w:rPr>
        <w:t>M</w:t>
      </w:r>
      <w:r w:rsidR="00EE586B" w:rsidRPr="0067789B">
        <w:rPr>
          <w:rFonts w:cs="Calibri"/>
          <w:iCs/>
          <w:szCs w:val="22"/>
          <w:lang w:val="es-CO" w:eastAsia="es-CO"/>
        </w:rPr>
        <w:t>M</w:t>
      </w:r>
      <w:r w:rsidR="003C6175" w:rsidRPr="0067789B">
        <w:rPr>
          <w:rFonts w:cs="Calibri"/>
          <w:iCs/>
          <w:szCs w:val="22"/>
          <w:lang w:val="es-CO" w:eastAsia="es-CO"/>
        </w:rPr>
        <w:t>PCD.</w:t>
      </w:r>
    </w:p>
    <w:p w:rsidR="00171F2A" w:rsidRPr="0067789B" w:rsidRDefault="00171F2A" w:rsidP="000B49F0">
      <w:pPr>
        <w:ind w:right="284"/>
        <w:rPr>
          <w:rFonts w:cs="Calibri"/>
          <w:iCs/>
          <w:szCs w:val="22"/>
          <w:lang w:val="es-CO" w:eastAsia="es-CO"/>
        </w:rPr>
      </w:pPr>
    </w:p>
    <w:p w:rsidR="003C6175" w:rsidRPr="003C6175" w:rsidRDefault="00171F2A" w:rsidP="000B49F0">
      <w:pPr>
        <w:ind w:right="284"/>
        <w:rPr>
          <w:rFonts w:cs="Calibri"/>
          <w:iCs/>
          <w:szCs w:val="22"/>
          <w:lang w:val="es-CO" w:eastAsia="es-CO"/>
        </w:rPr>
      </w:pPr>
      <w:r w:rsidRPr="0067789B">
        <w:rPr>
          <w:rFonts w:cs="Calibri"/>
          <w:iCs/>
          <w:szCs w:val="22"/>
          <w:lang w:val="es-CO" w:eastAsia="es-CO"/>
        </w:rPr>
        <w:t xml:space="preserve">d. </w:t>
      </w:r>
      <w:r w:rsidR="003C6175" w:rsidRPr="0067789B">
        <w:rPr>
          <w:rFonts w:cs="Calibri"/>
          <w:iCs/>
          <w:szCs w:val="22"/>
          <w:lang w:val="es-CO" w:eastAsia="es-CO"/>
        </w:rPr>
        <w:t>En caso de que el promotor sea agente</w:t>
      </w:r>
      <w:r w:rsidR="003C6175" w:rsidRPr="003C6175">
        <w:rPr>
          <w:rFonts w:cs="Calibri"/>
          <w:iCs/>
          <w:szCs w:val="22"/>
          <w:lang w:val="es-CO" w:eastAsia="es-CO"/>
        </w:rPr>
        <w:t xml:space="preserve"> transportador deberá estar </w:t>
      </w:r>
      <w:r>
        <w:rPr>
          <w:rFonts w:cs="Calibri"/>
          <w:iCs/>
          <w:szCs w:val="22"/>
          <w:lang w:val="es-CO" w:eastAsia="es-CO"/>
        </w:rPr>
        <w:t>inscrito en el RUPS de</w:t>
      </w:r>
      <w:r w:rsidRPr="003C6175">
        <w:rPr>
          <w:rFonts w:cs="Calibri"/>
          <w:iCs/>
          <w:szCs w:val="22"/>
          <w:lang w:val="es-CO" w:eastAsia="es-CO"/>
        </w:rPr>
        <w:t xml:space="preserve"> </w:t>
      </w:r>
      <w:r w:rsidR="003C6175" w:rsidRPr="003C6175">
        <w:rPr>
          <w:rFonts w:cs="Calibri"/>
          <w:iCs/>
          <w:szCs w:val="22"/>
          <w:lang w:val="es-CO" w:eastAsia="es-CO"/>
        </w:rPr>
        <w:t xml:space="preserve">la </w:t>
      </w:r>
      <w:r w:rsidR="00694AB0">
        <w:rPr>
          <w:rFonts w:cs="Calibri"/>
          <w:iCs/>
          <w:szCs w:val="22"/>
          <w:lang w:val="es-CO" w:eastAsia="es-CO"/>
        </w:rPr>
        <w:t>SSPD</w:t>
      </w:r>
      <w:r w:rsidR="003C6175" w:rsidRPr="003C6175">
        <w:rPr>
          <w:rFonts w:cs="Calibri"/>
          <w:iCs/>
          <w:szCs w:val="22"/>
          <w:lang w:val="es-CO" w:eastAsia="es-CO"/>
        </w:rPr>
        <w:t>.</w:t>
      </w:r>
    </w:p>
    <w:p w:rsidR="00171F2A" w:rsidRDefault="00171F2A" w:rsidP="003C6175">
      <w:pPr>
        <w:rPr>
          <w:b/>
        </w:rPr>
      </w:pPr>
    </w:p>
    <w:p w:rsidR="00FF4768" w:rsidRDefault="003C6175" w:rsidP="003C6175">
      <w:r w:rsidRPr="003C6175">
        <w:rPr>
          <w:b/>
        </w:rPr>
        <w:t>Parágrafo.</w:t>
      </w:r>
      <w:r w:rsidRPr="003C6175">
        <w:t xml:space="preserve"> En el evento en el que un promotor no corresponda a un</w:t>
      </w:r>
      <w:r w:rsidR="00171F2A">
        <w:t>a</w:t>
      </w:r>
      <w:r w:rsidRPr="003C6175">
        <w:t xml:space="preserve"> empresa prestadora de servicios públicos E.S.P.</w:t>
      </w:r>
      <w:r w:rsidR="00171F2A">
        <w:t xml:space="preserve"> que cuente con la actividad de transporte de gas natural</w:t>
      </w:r>
      <w:r w:rsidRPr="003C6175">
        <w:t xml:space="preserve">, </w:t>
      </w:r>
      <w:r w:rsidR="00171F2A">
        <w:t xml:space="preserve">dicho agente </w:t>
      </w:r>
      <w:r w:rsidRPr="003C6175">
        <w:t xml:space="preserve">deberá constituirse como tal en los términos de la </w:t>
      </w:r>
      <w:r w:rsidR="00171F2A">
        <w:t>L</w:t>
      </w:r>
      <w:r w:rsidRPr="003C6175">
        <w:t xml:space="preserve">ey 142 de 1994 </w:t>
      </w:r>
      <w:r w:rsidR="00171F2A">
        <w:t xml:space="preserve">y la regulación expedida por </w:t>
      </w:r>
      <w:r w:rsidR="002F4AE8">
        <w:t>la</w:t>
      </w:r>
      <w:r w:rsidR="00171F2A">
        <w:t xml:space="preserve"> </w:t>
      </w:r>
      <w:r w:rsidR="003E6C80">
        <w:t xml:space="preserve">CREG </w:t>
      </w:r>
      <w:r w:rsidR="00171F2A">
        <w:t>a efectos</w:t>
      </w:r>
      <w:r w:rsidRPr="003C6175">
        <w:t xml:space="preserve"> de </w:t>
      </w:r>
      <w:r w:rsidR="00FF4768">
        <w:t xml:space="preserve">celebrar y </w:t>
      </w:r>
      <w:r w:rsidRPr="003C6175">
        <w:t>suscribir los contratos de transporte</w:t>
      </w:r>
      <w:r w:rsidR="003B3131">
        <w:t xml:space="preserve"> que se deriven del proceso de </w:t>
      </w:r>
      <w:r w:rsidR="003B3131" w:rsidRPr="00075D22">
        <w:rPr>
          <w:i/>
        </w:rPr>
        <w:t>Open Season</w:t>
      </w:r>
      <w:r w:rsidR="00547655">
        <w:t>,</w:t>
      </w:r>
      <w:r w:rsidR="002F4AE8">
        <w:t xml:space="preserve"> así como para llevar a cabo la puesta en operación comercial – POC </w:t>
      </w:r>
      <w:r w:rsidR="00536285">
        <w:t>de</w:t>
      </w:r>
      <w:r w:rsidR="002F4AE8">
        <w:t xml:space="preserve"> la infraestructura de transporte,</w:t>
      </w:r>
      <w:r w:rsidR="00547655">
        <w:t xml:space="preserve"> </w:t>
      </w:r>
      <w:r w:rsidR="00FF4768">
        <w:t>para lo cual</w:t>
      </w:r>
      <w:r w:rsidR="002F4AE8">
        <w:t>,</w:t>
      </w:r>
      <w:r w:rsidRPr="003C6175">
        <w:t xml:space="preserve"> deberá </w:t>
      </w:r>
      <w:r w:rsidR="002F4AE8">
        <w:t xml:space="preserve">atender las disposiciones </w:t>
      </w:r>
      <w:r w:rsidR="002F4AE8" w:rsidRPr="001558F8">
        <w:t xml:space="preserve">vigentes sobre separación de actividades e interés económico aplicables </w:t>
      </w:r>
      <w:r w:rsidR="002F4AE8">
        <w:t xml:space="preserve">previstas en la Resolución CREG 057 de 1996 o aquellas que la modifiquen o sustituyan, así como </w:t>
      </w:r>
      <w:r w:rsidRPr="003C6175">
        <w:t xml:space="preserve">dar cumplimiento a las obligaciones y responsabilidades </w:t>
      </w:r>
      <w:r w:rsidR="003B3131">
        <w:t xml:space="preserve">derivadas de la prestación del servicio de transporte </w:t>
      </w:r>
      <w:r w:rsidRPr="003C6175">
        <w:t xml:space="preserve">que para el efecto establece la ley y la regulación. </w:t>
      </w:r>
    </w:p>
    <w:p w:rsidR="0067789B" w:rsidRDefault="0067789B" w:rsidP="001558F8"/>
    <w:p w:rsidR="003C6175" w:rsidRPr="003C6175" w:rsidRDefault="003C6175" w:rsidP="001558F8">
      <w:r w:rsidRPr="003C6175">
        <w:t>En este sentido</w:t>
      </w:r>
      <w:r w:rsidR="00FF4768">
        <w:t>,</w:t>
      </w:r>
      <w:r w:rsidR="003B3131">
        <w:t xml:space="preserve"> los contratos de transporte der</w:t>
      </w:r>
      <w:r w:rsidR="00FF4768">
        <w:t>ivados de un</w:t>
      </w:r>
      <w:r w:rsidR="003B3131">
        <w:t xml:space="preserve"> </w:t>
      </w:r>
      <w:r w:rsidR="003B3131" w:rsidRPr="000B49F0">
        <w:rPr>
          <w:i/>
        </w:rPr>
        <w:t>Open Season</w:t>
      </w:r>
      <w:r w:rsidR="003B3131">
        <w:t xml:space="preserve"> solo podrán ser </w:t>
      </w:r>
      <w:r w:rsidR="00FF4768">
        <w:t xml:space="preserve">celebrados y </w:t>
      </w:r>
      <w:r w:rsidR="003B3131">
        <w:t xml:space="preserve">suscritos por un agente </w:t>
      </w:r>
      <w:r w:rsidR="00FF4768">
        <w:t xml:space="preserve">que tenga la calidad de </w:t>
      </w:r>
      <w:r w:rsidR="003B3131">
        <w:t>transportador</w:t>
      </w:r>
      <w:r w:rsidR="00FF4768">
        <w:t xml:space="preserve"> de gas natural,</w:t>
      </w:r>
      <w:r w:rsidR="003B3131">
        <w:t xml:space="preserve"> </w:t>
      </w:r>
      <w:r w:rsidR="00FF4768">
        <w:t>sujeto a la ley y la regulac</w:t>
      </w:r>
      <w:r w:rsidR="001558F8">
        <w:t xml:space="preserve">ión expedida por </w:t>
      </w:r>
      <w:r w:rsidR="003E6C80">
        <w:t>la CREG</w:t>
      </w:r>
      <w:r w:rsidR="00C2478F">
        <w:t>.</w:t>
      </w:r>
      <w:r w:rsidR="002F4AE8">
        <w:t xml:space="preserve"> </w:t>
      </w:r>
    </w:p>
    <w:p w:rsidR="003C6175" w:rsidRPr="003C6175" w:rsidRDefault="003C6175" w:rsidP="003C6175"/>
    <w:p w:rsidR="003C6175" w:rsidRPr="005A1D01" w:rsidRDefault="003C6175" w:rsidP="005A1D01">
      <w:pPr>
        <w:pStyle w:val="ARTICULO1"/>
        <w:rPr>
          <w:b w:val="0"/>
        </w:rPr>
      </w:pPr>
      <w:r w:rsidRPr="003C6175">
        <w:t>Responsabilidades y obligaciones del promotor</w:t>
      </w:r>
      <w:r w:rsidRPr="003E6C80">
        <w:t xml:space="preserve">. </w:t>
      </w:r>
      <w:r w:rsidRPr="005A1D01">
        <w:rPr>
          <w:b w:val="0"/>
        </w:rPr>
        <w:t>Aquella persona o agente que act</w:t>
      </w:r>
      <w:r w:rsidR="00A82980">
        <w:rPr>
          <w:b w:val="0"/>
        </w:rPr>
        <w:t>úe</w:t>
      </w:r>
      <w:r w:rsidRPr="005A1D01">
        <w:rPr>
          <w:b w:val="0"/>
        </w:rPr>
        <w:t xml:space="preserve"> en calidad de promotor debe dar cumplimiento a las siguientes responsabilidades y obligaciones a efectos de desarrollar el proceso de </w:t>
      </w:r>
      <w:r w:rsidRPr="005A1D01">
        <w:rPr>
          <w:b w:val="0"/>
          <w:i/>
        </w:rPr>
        <w:t>Open Season</w:t>
      </w:r>
      <w:r w:rsidRPr="005A1D01">
        <w:rPr>
          <w:b w:val="0"/>
        </w:rPr>
        <w:t>, para lo cual debe adelantar como mínimo los siguientes análisis y gestiones:</w:t>
      </w:r>
    </w:p>
    <w:p w:rsidR="00267958" w:rsidRPr="003C6175" w:rsidRDefault="00267958" w:rsidP="000B49F0"/>
    <w:p w:rsidR="001B3241" w:rsidRDefault="00267958" w:rsidP="001C2DAA">
      <w:pPr>
        <w:rPr>
          <w:lang w:val="es-CO" w:eastAsia="es-CO"/>
        </w:rPr>
      </w:pPr>
      <w:r>
        <w:rPr>
          <w:lang w:val="es-CO" w:eastAsia="es-CO"/>
        </w:rPr>
        <w:t xml:space="preserve">1. </w:t>
      </w:r>
      <w:r w:rsidR="003C6175" w:rsidRPr="003C6175">
        <w:rPr>
          <w:lang w:val="es-CO" w:eastAsia="es-CO"/>
        </w:rPr>
        <w:t>Estructura</w:t>
      </w:r>
      <w:r w:rsidR="001B3241">
        <w:rPr>
          <w:lang w:val="es-CO" w:eastAsia="es-CO"/>
        </w:rPr>
        <w:t>ción</w:t>
      </w:r>
      <w:r w:rsidR="003C6175" w:rsidRPr="003C6175">
        <w:rPr>
          <w:lang w:val="es-CO" w:eastAsia="es-CO"/>
        </w:rPr>
        <w:t xml:space="preserve"> </w:t>
      </w:r>
      <w:r w:rsidR="001B3241">
        <w:rPr>
          <w:lang w:val="es-CO" w:eastAsia="es-CO"/>
        </w:rPr>
        <w:t>d</w:t>
      </w:r>
      <w:r w:rsidR="003C6175" w:rsidRPr="003C6175">
        <w:rPr>
          <w:lang w:val="es-CO" w:eastAsia="es-CO"/>
        </w:rPr>
        <w:t>el proyecto</w:t>
      </w:r>
      <w:r w:rsidR="001B3241">
        <w:rPr>
          <w:lang w:val="es-CO" w:eastAsia="es-CO"/>
        </w:rPr>
        <w:t xml:space="preserve">: Esto incluye las labores desde la recopilación de la información de la demanda potencial del proyecto hasta la </w:t>
      </w:r>
      <w:r w:rsidR="00FB14C2">
        <w:rPr>
          <w:lang w:val="es-CO" w:eastAsia="es-CO"/>
        </w:rPr>
        <w:t>POC.</w:t>
      </w:r>
    </w:p>
    <w:p w:rsidR="00FB14C2" w:rsidRDefault="00FB14C2" w:rsidP="000B49F0">
      <w:pPr>
        <w:rPr>
          <w:lang w:val="es-CO" w:eastAsia="es-CO"/>
        </w:rPr>
      </w:pPr>
    </w:p>
    <w:p w:rsidR="00FB14C2" w:rsidRDefault="00FB14C2" w:rsidP="000B49F0">
      <w:pPr>
        <w:rPr>
          <w:lang w:val="es-CO" w:eastAsia="es-CO"/>
        </w:rPr>
      </w:pPr>
      <w:r>
        <w:rPr>
          <w:rFonts w:cs="Arial"/>
          <w:iCs/>
          <w:color w:val="000000" w:themeColor="text1"/>
          <w:szCs w:val="20"/>
          <w:lang w:val="es-CO" w:eastAsia="es-CO"/>
        </w:rPr>
        <w:t xml:space="preserve">2. </w:t>
      </w:r>
      <w:r w:rsidR="003C6175" w:rsidRPr="003C6175">
        <w:rPr>
          <w:rFonts w:cs="Calibri"/>
          <w:iCs/>
          <w:szCs w:val="22"/>
          <w:lang w:val="es-CO" w:eastAsia="es-CO"/>
        </w:rPr>
        <w:t xml:space="preserve">Establecer </w:t>
      </w:r>
      <w:r>
        <w:rPr>
          <w:rFonts w:cs="Calibri"/>
          <w:iCs/>
          <w:szCs w:val="22"/>
          <w:lang w:val="es-CO" w:eastAsia="es-CO"/>
        </w:rPr>
        <w:t>las</w:t>
      </w:r>
      <w:r w:rsidR="003C6175" w:rsidRPr="003C6175">
        <w:rPr>
          <w:rFonts w:cs="Calibri"/>
          <w:iCs/>
          <w:szCs w:val="22"/>
          <w:lang w:val="es-CO" w:eastAsia="es-CO"/>
        </w:rPr>
        <w:t xml:space="preserve"> </w:t>
      </w:r>
      <w:r w:rsidR="003C6175" w:rsidRPr="000B49F0">
        <w:rPr>
          <w:rFonts w:cs="Arial"/>
          <w:iCs/>
          <w:color w:val="000000" w:themeColor="text1"/>
          <w:szCs w:val="20"/>
          <w:lang w:val="es-CO" w:eastAsia="es-CO"/>
        </w:rPr>
        <w:t>bases</w:t>
      </w:r>
      <w:r w:rsidR="003C6175" w:rsidRPr="003C6175">
        <w:rPr>
          <w:rFonts w:cs="Calibri"/>
          <w:iCs/>
          <w:szCs w:val="22"/>
          <w:lang w:val="es-CO" w:eastAsia="es-CO"/>
        </w:rPr>
        <w:t xml:space="preserve"> de participación en el </w:t>
      </w:r>
      <w:r w:rsidRPr="000B49F0">
        <w:rPr>
          <w:rFonts w:cs="Calibri"/>
          <w:i/>
          <w:iCs/>
          <w:szCs w:val="22"/>
          <w:lang w:val="es-CO" w:eastAsia="es-CO"/>
        </w:rPr>
        <w:t>O</w:t>
      </w:r>
      <w:r w:rsidR="003C6175" w:rsidRPr="000B49F0">
        <w:rPr>
          <w:rFonts w:cs="Calibri"/>
          <w:i/>
          <w:iCs/>
          <w:szCs w:val="22"/>
          <w:lang w:val="es-CO" w:eastAsia="es-CO"/>
        </w:rPr>
        <w:t xml:space="preserve">pen </w:t>
      </w:r>
      <w:r w:rsidRPr="000B49F0">
        <w:rPr>
          <w:rFonts w:cs="Calibri"/>
          <w:i/>
          <w:iCs/>
          <w:szCs w:val="22"/>
          <w:lang w:val="es-CO" w:eastAsia="es-CO"/>
        </w:rPr>
        <w:t>S</w:t>
      </w:r>
      <w:r w:rsidR="003C6175" w:rsidRPr="000B49F0">
        <w:rPr>
          <w:rFonts w:cs="Calibri"/>
          <w:i/>
          <w:iCs/>
          <w:szCs w:val="22"/>
          <w:lang w:val="es-CO" w:eastAsia="es-CO"/>
        </w:rPr>
        <w:t>eason</w:t>
      </w:r>
      <w:r w:rsidR="003C6175" w:rsidRPr="003C6175">
        <w:rPr>
          <w:rFonts w:cs="Calibri"/>
          <w:iCs/>
          <w:szCs w:val="22"/>
          <w:lang w:val="es-CO" w:eastAsia="es-CO"/>
        </w:rPr>
        <w:t xml:space="preserve"> para interesados en contratar la capacidad.</w:t>
      </w:r>
    </w:p>
    <w:p w:rsidR="00FB14C2" w:rsidRPr="003C6175" w:rsidRDefault="00FB14C2" w:rsidP="000B49F0">
      <w:pPr>
        <w:rPr>
          <w:lang w:val="es-CO" w:eastAsia="es-CO"/>
        </w:rPr>
      </w:pPr>
    </w:p>
    <w:p w:rsidR="00FB14C2" w:rsidRDefault="00FB14C2" w:rsidP="000B49F0">
      <w:pPr>
        <w:rPr>
          <w:lang w:val="es-CO" w:eastAsia="es-CO"/>
        </w:rPr>
      </w:pPr>
      <w:r>
        <w:rPr>
          <w:rFonts w:cs="Calibri"/>
          <w:iCs/>
          <w:szCs w:val="22"/>
          <w:lang w:val="es-CO" w:eastAsia="es-CO"/>
        </w:rPr>
        <w:t xml:space="preserve">3. </w:t>
      </w:r>
      <w:r w:rsidR="003C6175" w:rsidRPr="003C6175">
        <w:rPr>
          <w:rFonts w:cs="Calibri"/>
          <w:iCs/>
          <w:szCs w:val="22"/>
          <w:lang w:val="es-CO" w:eastAsia="es-CO"/>
        </w:rPr>
        <w:t xml:space="preserve">Realizar un análisis de la demanda interesada en la capacidad de transporte </w:t>
      </w:r>
      <w:r w:rsidR="00C2478F">
        <w:rPr>
          <w:rFonts w:cs="Calibri"/>
          <w:iCs/>
          <w:szCs w:val="22"/>
          <w:lang w:val="es-CO" w:eastAsia="es-CO"/>
        </w:rPr>
        <w:t xml:space="preserve">a efectos de </w:t>
      </w:r>
      <w:r w:rsidR="003C6175" w:rsidRPr="003C6175">
        <w:rPr>
          <w:rFonts w:cs="Calibri"/>
          <w:iCs/>
          <w:szCs w:val="22"/>
          <w:lang w:val="es-CO" w:eastAsia="es-CO"/>
        </w:rPr>
        <w:t>determina</w:t>
      </w:r>
      <w:r w:rsidR="00C2478F">
        <w:rPr>
          <w:rFonts w:cs="Calibri"/>
          <w:iCs/>
          <w:szCs w:val="22"/>
          <w:lang w:val="es-CO" w:eastAsia="es-CO"/>
        </w:rPr>
        <w:t>r</w:t>
      </w:r>
      <w:r w:rsidR="003C6175" w:rsidRPr="003C6175">
        <w:rPr>
          <w:rFonts w:cs="Calibri"/>
          <w:iCs/>
          <w:szCs w:val="22"/>
          <w:lang w:val="es-CO" w:eastAsia="es-CO"/>
        </w:rPr>
        <w:t xml:space="preserve"> </w:t>
      </w:r>
      <w:r w:rsidR="00C2478F">
        <w:rPr>
          <w:rFonts w:cs="Calibri"/>
          <w:iCs/>
          <w:szCs w:val="22"/>
          <w:lang w:val="es-CO" w:eastAsia="es-CO"/>
        </w:rPr>
        <w:t>los</w:t>
      </w:r>
      <w:r w:rsidR="003C6175" w:rsidRPr="003C6175">
        <w:rPr>
          <w:rFonts w:cs="Calibri"/>
          <w:iCs/>
          <w:szCs w:val="22"/>
          <w:lang w:val="es-CO" w:eastAsia="es-CO"/>
        </w:rPr>
        <w:t xml:space="preserve"> requerimientos de </w:t>
      </w:r>
      <w:r w:rsidR="00C2478F">
        <w:rPr>
          <w:rFonts w:cs="Calibri"/>
          <w:iCs/>
          <w:szCs w:val="22"/>
          <w:lang w:val="es-CO" w:eastAsia="es-CO"/>
        </w:rPr>
        <w:t>capacidad la infraestructura de transporte</w:t>
      </w:r>
      <w:r w:rsidR="003C6175" w:rsidRPr="003C6175">
        <w:rPr>
          <w:rFonts w:cs="Calibri"/>
          <w:iCs/>
          <w:szCs w:val="22"/>
          <w:lang w:val="es-CO" w:eastAsia="es-CO"/>
        </w:rPr>
        <w:t>.</w:t>
      </w:r>
    </w:p>
    <w:p w:rsidR="00FB14C2" w:rsidRPr="003C6175" w:rsidRDefault="00FB14C2" w:rsidP="000B49F0">
      <w:pPr>
        <w:rPr>
          <w:lang w:val="es-CO" w:eastAsia="es-CO"/>
        </w:rPr>
      </w:pPr>
    </w:p>
    <w:p w:rsidR="003C6175" w:rsidRDefault="00C2478F" w:rsidP="001C2DAA">
      <w:pPr>
        <w:rPr>
          <w:lang w:val="es-CO" w:eastAsia="es-CO"/>
        </w:rPr>
      </w:pPr>
      <w:r>
        <w:rPr>
          <w:lang w:val="es-CO" w:eastAsia="es-CO"/>
        </w:rPr>
        <w:t xml:space="preserve">4. </w:t>
      </w:r>
      <w:r w:rsidR="003C6175" w:rsidRPr="003C6175">
        <w:rPr>
          <w:lang w:val="es-CO" w:eastAsia="es-CO"/>
        </w:rPr>
        <w:t>Informar a la Unidad de Planeación Minero Energética - UPME sobre las características del proyecto.</w:t>
      </w:r>
    </w:p>
    <w:p w:rsidR="00C2478F" w:rsidRPr="003C6175" w:rsidRDefault="00C2478F" w:rsidP="000B49F0">
      <w:pPr>
        <w:rPr>
          <w:lang w:val="es-CO" w:eastAsia="es-CO"/>
        </w:rPr>
      </w:pPr>
    </w:p>
    <w:p w:rsidR="00A4135C" w:rsidRDefault="00C2478F" w:rsidP="00FF17B2">
      <w:pPr>
        <w:rPr>
          <w:rFonts w:cs="Calibri"/>
          <w:iCs/>
          <w:szCs w:val="22"/>
          <w:lang w:val="es-CO" w:eastAsia="es-CO"/>
        </w:rPr>
      </w:pPr>
      <w:r>
        <w:rPr>
          <w:rFonts w:cs="Calibri"/>
          <w:iCs/>
          <w:szCs w:val="22"/>
          <w:lang w:val="es-CO" w:eastAsia="es-CO"/>
        </w:rPr>
        <w:t xml:space="preserve">5. </w:t>
      </w:r>
      <w:r w:rsidR="003C6175" w:rsidRPr="003C6175">
        <w:rPr>
          <w:rFonts w:cs="Calibri"/>
          <w:iCs/>
          <w:szCs w:val="22"/>
          <w:lang w:val="es-CO" w:eastAsia="es-CO"/>
        </w:rPr>
        <w:t xml:space="preserve">Solicitar la factibilidad de la conexión al transportador con infraestructura existente cuando la infraestructura se </w:t>
      </w:r>
      <w:r w:rsidR="003C6175" w:rsidRPr="00FF17B2">
        <w:rPr>
          <w:lang w:val="es-CO" w:eastAsia="es-CO"/>
        </w:rPr>
        <w:t>conecte</w:t>
      </w:r>
      <w:r w:rsidR="003C6175" w:rsidRPr="003C6175">
        <w:rPr>
          <w:rFonts w:cs="Calibri"/>
          <w:iCs/>
          <w:szCs w:val="22"/>
          <w:lang w:val="es-CO" w:eastAsia="es-CO"/>
        </w:rPr>
        <w:t xml:space="preserve"> a un gasoducto existente</w:t>
      </w:r>
      <w:r w:rsidR="00A4135C">
        <w:rPr>
          <w:rFonts w:cs="Calibri"/>
          <w:iCs/>
          <w:szCs w:val="22"/>
          <w:lang w:val="es-CO" w:eastAsia="es-CO"/>
        </w:rPr>
        <w:t xml:space="preserve"> atendiendo las disposiciones del RUT</w:t>
      </w:r>
      <w:r w:rsidR="0045288E">
        <w:rPr>
          <w:rFonts w:cs="Calibri"/>
          <w:iCs/>
          <w:szCs w:val="22"/>
          <w:lang w:val="es-CO" w:eastAsia="es-CO"/>
        </w:rPr>
        <w:t xml:space="preserve"> incorporadas en</w:t>
      </w:r>
      <w:r w:rsidR="007F1132">
        <w:rPr>
          <w:rFonts w:cs="Calibri"/>
          <w:iCs/>
          <w:szCs w:val="22"/>
          <w:lang w:val="es-CO" w:eastAsia="es-CO"/>
        </w:rPr>
        <w:t xml:space="preserve"> la Resolución CREG 169 de 2011 o aquellas que la modifiquen, deroguen o sustituyan</w:t>
      </w:r>
      <w:r w:rsidR="003C6175" w:rsidRPr="003C6175">
        <w:rPr>
          <w:rFonts w:cs="Calibri"/>
          <w:iCs/>
          <w:szCs w:val="22"/>
          <w:lang w:val="es-CO" w:eastAsia="es-CO"/>
        </w:rPr>
        <w:t xml:space="preserve">. </w:t>
      </w:r>
    </w:p>
    <w:p w:rsidR="00C2478F" w:rsidRPr="003C6175" w:rsidRDefault="00C2478F" w:rsidP="000B49F0">
      <w:pPr>
        <w:rPr>
          <w:lang w:val="es-CO" w:eastAsia="es-CO"/>
        </w:rPr>
      </w:pPr>
    </w:p>
    <w:p w:rsidR="006210B6" w:rsidRDefault="00A4135C" w:rsidP="000B49F0">
      <w:pPr>
        <w:rPr>
          <w:lang w:val="es-CO" w:eastAsia="es-CO"/>
        </w:rPr>
      </w:pPr>
      <w:r>
        <w:rPr>
          <w:rFonts w:cs="Calibri"/>
          <w:iCs/>
          <w:szCs w:val="22"/>
          <w:lang w:val="es-CO" w:eastAsia="es-CO"/>
        </w:rPr>
        <w:t xml:space="preserve">6. </w:t>
      </w:r>
      <w:r w:rsidR="003C6175" w:rsidRPr="003C6175">
        <w:rPr>
          <w:rFonts w:cs="Calibri"/>
          <w:iCs/>
          <w:szCs w:val="22"/>
          <w:lang w:val="es-CO" w:eastAsia="es-CO"/>
        </w:rPr>
        <w:t>Análisis técnico- económico preliminar de opciones de expansión, el cual incluya como mínimo: i) proyección de demanda; ii) capacidad asignada; iii) trazado del proyecto, y, iv) punto de conexión en el SNT.</w:t>
      </w:r>
    </w:p>
    <w:p w:rsidR="006210B6" w:rsidRPr="003C6175" w:rsidRDefault="006210B6" w:rsidP="000B49F0">
      <w:pPr>
        <w:rPr>
          <w:lang w:val="es-CO" w:eastAsia="es-CO"/>
        </w:rPr>
      </w:pPr>
    </w:p>
    <w:p w:rsidR="006210B6" w:rsidRDefault="006210B6" w:rsidP="000B49F0">
      <w:pPr>
        <w:rPr>
          <w:lang w:val="es-CO" w:eastAsia="es-CO"/>
        </w:rPr>
      </w:pPr>
      <w:r>
        <w:rPr>
          <w:rFonts w:cs="Calibri"/>
          <w:iCs/>
          <w:szCs w:val="22"/>
          <w:lang w:val="es-CO" w:eastAsia="es-CO"/>
        </w:rPr>
        <w:t xml:space="preserve">7. </w:t>
      </w:r>
      <w:r w:rsidR="003C6175" w:rsidRPr="003C6175">
        <w:rPr>
          <w:rFonts w:cs="Calibri"/>
          <w:iCs/>
          <w:szCs w:val="22"/>
          <w:lang w:val="es-CO" w:eastAsia="es-CO"/>
        </w:rPr>
        <w:t xml:space="preserve">Divulgación del proyecto a </w:t>
      </w:r>
      <w:r w:rsidR="00AD24BC">
        <w:rPr>
          <w:rFonts w:cs="Calibri"/>
          <w:iCs/>
          <w:szCs w:val="22"/>
          <w:lang w:val="es-CO" w:eastAsia="es-CO"/>
        </w:rPr>
        <w:t xml:space="preserve">los participantes y </w:t>
      </w:r>
      <w:r w:rsidR="003C6175" w:rsidRPr="003C6175">
        <w:rPr>
          <w:rFonts w:cs="Calibri"/>
          <w:iCs/>
          <w:szCs w:val="22"/>
          <w:lang w:val="es-CO" w:eastAsia="es-CO"/>
        </w:rPr>
        <w:t xml:space="preserve">posibles interesados en </w:t>
      </w:r>
      <w:r w:rsidR="00AD24BC">
        <w:rPr>
          <w:rFonts w:cs="Calibri"/>
          <w:iCs/>
          <w:szCs w:val="22"/>
          <w:lang w:val="es-CO" w:eastAsia="es-CO"/>
        </w:rPr>
        <w:t>contratar capacidad de transporte</w:t>
      </w:r>
      <w:r w:rsidR="003C6175" w:rsidRPr="003C6175">
        <w:rPr>
          <w:rFonts w:cs="Calibri"/>
          <w:iCs/>
          <w:szCs w:val="22"/>
          <w:lang w:val="es-CO" w:eastAsia="es-CO"/>
        </w:rPr>
        <w:t xml:space="preserve"> a través de mecanismos transparentes y de acceso público.</w:t>
      </w:r>
    </w:p>
    <w:p w:rsidR="003C6175" w:rsidRPr="003C6175" w:rsidRDefault="003C6175" w:rsidP="003C6175">
      <w:pPr>
        <w:tabs>
          <w:tab w:val="left" w:pos="0"/>
        </w:tabs>
        <w:rPr>
          <w:rFonts w:cs="Arial"/>
          <w:color w:val="000000" w:themeColor="text1"/>
        </w:rPr>
      </w:pPr>
    </w:p>
    <w:p w:rsidR="006418F8" w:rsidRDefault="001C28F0" w:rsidP="000B49F0">
      <w:pPr>
        <w:tabs>
          <w:tab w:val="left" w:pos="0"/>
        </w:tabs>
        <w:rPr>
          <w:rFonts w:cs="Arial"/>
          <w:color w:val="000000" w:themeColor="text1"/>
        </w:rPr>
      </w:pPr>
      <w:r>
        <w:rPr>
          <w:rFonts w:cs="Arial"/>
          <w:color w:val="000000" w:themeColor="text1"/>
        </w:rPr>
        <w:t xml:space="preserve">8. </w:t>
      </w:r>
      <w:r w:rsidR="003C6175" w:rsidRPr="003C6175">
        <w:rPr>
          <w:rFonts w:cs="Arial"/>
          <w:color w:val="000000" w:themeColor="text1"/>
        </w:rPr>
        <w:t xml:space="preserve">Toda la información de los numerales anteriores deberá ser compilada y publicada en el sitio web del promotor para ser de público conocimiento por parte de los agentes y demás interesados en el mercado de transporte de gas natural. </w:t>
      </w:r>
    </w:p>
    <w:p w:rsidR="006418F8" w:rsidRDefault="006418F8" w:rsidP="000B49F0">
      <w:pPr>
        <w:tabs>
          <w:tab w:val="left" w:pos="0"/>
        </w:tabs>
        <w:rPr>
          <w:rFonts w:cs="Arial"/>
          <w:color w:val="000000" w:themeColor="text1"/>
        </w:rPr>
      </w:pPr>
    </w:p>
    <w:p w:rsidR="003C6175" w:rsidRPr="006418F8" w:rsidRDefault="003C6175" w:rsidP="005A1D01">
      <w:pPr>
        <w:pStyle w:val="ARTICULO1"/>
      </w:pPr>
      <w:r w:rsidRPr="006418F8">
        <w:t>Remuneración del promotor.</w:t>
      </w:r>
      <w:r w:rsidRPr="000B49F0">
        <w:t xml:space="preserve"> </w:t>
      </w:r>
      <w:r w:rsidRPr="005A1D01">
        <w:rPr>
          <w:b w:val="0"/>
        </w:rPr>
        <w:t>Los ingresos del promotor serán definidos en las bases de participación</w:t>
      </w:r>
      <w:r w:rsidR="001C28F0" w:rsidRPr="005A1D01">
        <w:rPr>
          <w:b w:val="0"/>
        </w:rPr>
        <w:t xml:space="preserve"> los cuales incluirán el monto, duración y demás condiciones del pago</w:t>
      </w:r>
      <w:r w:rsidRPr="005A1D01">
        <w:rPr>
          <w:b w:val="0"/>
        </w:rPr>
        <w:t xml:space="preserve"> y podrán ser ajustados acorde a la libre negociación entre el promotor y los interesados</w:t>
      </w:r>
      <w:r w:rsidR="001C28F0" w:rsidRPr="003E6C80">
        <w:t>.</w:t>
      </w:r>
      <w:r w:rsidRPr="006418F8">
        <w:t xml:space="preserve"> </w:t>
      </w:r>
    </w:p>
    <w:p w:rsidR="003C6175" w:rsidRPr="000B49F0" w:rsidRDefault="003C6175" w:rsidP="003C6175"/>
    <w:p w:rsidR="001C28F0" w:rsidRPr="00C8477F" w:rsidRDefault="001C28F0" w:rsidP="00C8477F">
      <w:pPr>
        <w:pStyle w:val="ARTICULO1"/>
        <w:rPr>
          <w:b w:val="0"/>
        </w:rPr>
      </w:pPr>
      <w:r w:rsidRPr="000B49F0">
        <w:t xml:space="preserve">Auditoría. </w:t>
      </w:r>
      <w:r w:rsidRPr="00C8477F">
        <w:rPr>
          <w:b w:val="0"/>
        </w:rPr>
        <w:t xml:space="preserve">Todos los proyectos que se ejecuten bajo procesos de </w:t>
      </w:r>
      <w:r w:rsidRPr="00C8477F">
        <w:rPr>
          <w:b w:val="0"/>
          <w:i/>
        </w:rPr>
        <w:t>Open Season</w:t>
      </w:r>
      <w:r w:rsidRPr="00C8477F">
        <w:rPr>
          <w:b w:val="0"/>
        </w:rPr>
        <w:t xml:space="preserve"> acorde al alcance de la presente resolución deberán contar con una firma auditora, la cual deberá ser seleccionada a partir de los requisitos definidos por el por el CNOG en el artículo 1</w:t>
      </w:r>
      <w:r w:rsidR="000B49F0" w:rsidRPr="00C8477F">
        <w:rPr>
          <w:b w:val="0"/>
        </w:rPr>
        <w:t>0</w:t>
      </w:r>
      <w:r w:rsidRPr="00C8477F">
        <w:rPr>
          <w:b w:val="0"/>
        </w:rPr>
        <w:t xml:space="preserve">. </w:t>
      </w:r>
    </w:p>
    <w:p w:rsidR="00966CFA" w:rsidRDefault="00966CFA" w:rsidP="000B49F0">
      <w:pPr>
        <w:tabs>
          <w:tab w:val="left" w:pos="0"/>
        </w:tabs>
        <w:rPr>
          <w:bCs/>
        </w:rPr>
      </w:pPr>
    </w:p>
    <w:p w:rsidR="00966CFA" w:rsidRPr="00291289" w:rsidRDefault="00966CFA" w:rsidP="000B49F0">
      <w:pPr>
        <w:tabs>
          <w:tab w:val="left" w:pos="0"/>
        </w:tabs>
      </w:pPr>
      <w:r>
        <w:rPr>
          <w:bCs/>
        </w:rPr>
        <w:t xml:space="preserve">El auditor </w:t>
      </w:r>
      <w:bookmarkStart w:id="3" w:name="_Ref310110869"/>
      <w:r w:rsidRPr="00F23AE8">
        <w:t>seleccionado para el proyecto</w:t>
      </w:r>
      <w:bookmarkEnd w:id="3"/>
      <w:r w:rsidRPr="00F23AE8">
        <w:t xml:space="preserve"> deberá </w:t>
      </w:r>
      <w:r w:rsidR="000A441B">
        <w:t xml:space="preserve">comunicar </w:t>
      </w:r>
      <w:r>
        <w:t xml:space="preserve">a </w:t>
      </w:r>
      <w:r w:rsidR="00902039">
        <w:t xml:space="preserve">los </w:t>
      </w:r>
      <w:r w:rsidR="001558F8">
        <w:t>participantes</w:t>
      </w:r>
      <w:r w:rsidR="00902039">
        <w:t xml:space="preserve"> d</w:t>
      </w:r>
      <w:r>
        <w:t xml:space="preserve">el </w:t>
      </w:r>
      <w:r w:rsidRPr="000B49F0">
        <w:rPr>
          <w:i/>
        </w:rPr>
        <w:t>Open Season</w:t>
      </w:r>
      <w:r w:rsidRPr="00F23AE8">
        <w:t>, informe</w:t>
      </w:r>
      <w:r>
        <w:t>s</w:t>
      </w:r>
      <w:r w:rsidRPr="00F23AE8">
        <w:t xml:space="preserve"> sin ambigüedades con mínimo la siguiente información:</w:t>
      </w:r>
    </w:p>
    <w:p w:rsidR="00966CFA" w:rsidRPr="000A441B" w:rsidRDefault="00902039" w:rsidP="000B49F0">
      <w:pPr>
        <w:numPr>
          <w:ilvl w:val="0"/>
          <w:numId w:val="41"/>
        </w:numPr>
        <w:spacing w:before="120"/>
        <w:ind w:left="425" w:hanging="425"/>
        <w:rPr>
          <w:rFonts w:cs="Arial"/>
        </w:rPr>
      </w:pPr>
      <w:r>
        <w:t xml:space="preserve">Reporte de estado de avance del proyecto: </w:t>
      </w:r>
      <w:bookmarkStart w:id="4" w:name="_Ref461097164"/>
      <w:r>
        <w:t>El auditor deberá presentar u</w:t>
      </w:r>
      <w:r w:rsidR="00966CFA">
        <w:rPr>
          <w:rFonts w:cs="Arial"/>
        </w:rPr>
        <w:t xml:space="preserve">n </w:t>
      </w:r>
      <w:r w:rsidR="00966CFA" w:rsidRPr="00F23AE8">
        <w:rPr>
          <w:rFonts w:cs="Arial"/>
        </w:rPr>
        <w:t xml:space="preserve">informe </w:t>
      </w:r>
      <w:r w:rsidR="00966CFA">
        <w:rPr>
          <w:rFonts w:cs="Arial"/>
        </w:rPr>
        <w:t xml:space="preserve">de acuerdo con los plazos establecidos en las bases del </w:t>
      </w:r>
      <w:r w:rsidR="00966CFA" w:rsidRPr="000B49F0">
        <w:rPr>
          <w:rFonts w:cs="Arial"/>
          <w:i/>
        </w:rPr>
        <w:t>Open Season</w:t>
      </w:r>
      <w:r w:rsidR="00966CFA" w:rsidRPr="000A441B">
        <w:rPr>
          <w:rFonts w:cs="Arial"/>
        </w:rPr>
        <w:t>, donde se presente el resultado de verificación del cumplimiento del cronograma</w:t>
      </w:r>
      <w:r w:rsidRPr="00902039">
        <w:t xml:space="preserve"> </w:t>
      </w:r>
      <w:r w:rsidRPr="00902039">
        <w:rPr>
          <w:rFonts w:cs="Arial"/>
        </w:rPr>
        <w:t>de construcción y puesta en operación del proyecto</w:t>
      </w:r>
      <w:r w:rsidR="00966CFA" w:rsidRPr="000A441B">
        <w:rPr>
          <w:rFonts w:cs="Arial"/>
        </w:rPr>
        <w:t xml:space="preserve">, de la curva S y de las características técnicas establecidos para el proyecto. El informe deberá explícitamente indicar el </w:t>
      </w:r>
      <w:r w:rsidR="000A441B">
        <w:rPr>
          <w:rFonts w:cs="Arial"/>
        </w:rPr>
        <w:t xml:space="preserve">tiempo </w:t>
      </w:r>
      <w:r w:rsidR="00966CFA" w:rsidRPr="000A441B">
        <w:rPr>
          <w:rFonts w:cs="Arial"/>
        </w:rPr>
        <w:t>de atraso en números enteros según el cronograma y la curva S</w:t>
      </w:r>
      <w:r w:rsidR="00291289">
        <w:rPr>
          <w:rFonts w:cs="Arial"/>
        </w:rPr>
        <w:t>,</w:t>
      </w:r>
      <w:r w:rsidR="000A441B">
        <w:rPr>
          <w:rFonts w:cs="Arial"/>
        </w:rPr>
        <w:t xml:space="preserve"> atendiendo el cronograma de construcción y puesta en operación de la infraestructura de transporte derivada del </w:t>
      </w:r>
      <w:r w:rsidR="000A441B" w:rsidRPr="000B49F0">
        <w:rPr>
          <w:rFonts w:cs="Arial"/>
          <w:i/>
        </w:rPr>
        <w:t>Open Season</w:t>
      </w:r>
      <w:r w:rsidR="00966CFA" w:rsidRPr="000A441B">
        <w:rPr>
          <w:rFonts w:cs="Arial"/>
        </w:rPr>
        <w:t xml:space="preserve">. </w:t>
      </w:r>
    </w:p>
    <w:p w:rsidR="00A7353D" w:rsidRDefault="00966CFA" w:rsidP="00A7353D">
      <w:pPr>
        <w:spacing w:before="120"/>
        <w:ind w:left="425"/>
        <w:rPr>
          <w:rFonts w:cs="Arial"/>
        </w:rPr>
      </w:pPr>
      <w:r>
        <w:rPr>
          <w:rFonts w:cs="Arial"/>
        </w:rPr>
        <w:lastRenderedPageBreak/>
        <w:t>En caso de incumplimiento de requisitos técnicos del proyecto el informe deberá indicar las desviaciones en los requisitos respecto de las normas y estándares aplicables según el proyecto</w:t>
      </w:r>
      <w:r w:rsidRPr="00F23AE8">
        <w:rPr>
          <w:rFonts w:cs="Arial"/>
        </w:rPr>
        <w:t>.</w:t>
      </w:r>
      <w:bookmarkEnd w:id="4"/>
      <w:r w:rsidRPr="00F23AE8">
        <w:rPr>
          <w:rFonts w:cs="Arial"/>
        </w:rPr>
        <w:t xml:space="preserve"> </w:t>
      </w:r>
    </w:p>
    <w:p w:rsidR="00A7353D" w:rsidRPr="00F23AE8" w:rsidRDefault="00A7353D" w:rsidP="00966CFA">
      <w:pPr>
        <w:spacing w:before="120"/>
        <w:ind w:left="425"/>
        <w:rPr>
          <w:rFonts w:cs="Arial"/>
        </w:rPr>
      </w:pPr>
      <w:r>
        <w:rPr>
          <w:rFonts w:cs="Arial"/>
        </w:rPr>
        <w:t>Los</w:t>
      </w:r>
      <w:r w:rsidRPr="00A7353D">
        <w:rPr>
          <w:rFonts w:cs="Arial"/>
        </w:rPr>
        <w:t xml:space="preserve"> </w:t>
      </w:r>
      <w:r>
        <w:rPr>
          <w:rFonts w:cs="Arial"/>
        </w:rPr>
        <w:t>reportes</w:t>
      </w:r>
      <w:r w:rsidRPr="00A7353D">
        <w:rPr>
          <w:rFonts w:cs="Arial"/>
        </w:rPr>
        <w:t xml:space="preserve"> de </w:t>
      </w:r>
      <w:r>
        <w:rPr>
          <w:rFonts w:cs="Arial"/>
        </w:rPr>
        <w:t xml:space="preserve">estado de </w:t>
      </w:r>
      <w:r w:rsidRPr="00A7353D">
        <w:rPr>
          <w:rFonts w:cs="Arial"/>
        </w:rPr>
        <w:t xml:space="preserve">avance incluyendo la curva S deberán informase formalmente a los </w:t>
      </w:r>
      <w:r>
        <w:rPr>
          <w:rFonts w:cs="Arial"/>
        </w:rPr>
        <w:t xml:space="preserve">adjudicatarios de la capacidad del </w:t>
      </w:r>
      <w:r w:rsidRPr="000B49F0">
        <w:rPr>
          <w:rFonts w:cs="Arial"/>
          <w:i/>
        </w:rPr>
        <w:t>Open Season</w:t>
      </w:r>
      <w:r w:rsidRPr="00A7353D">
        <w:rPr>
          <w:rFonts w:cs="Arial"/>
        </w:rPr>
        <w:t>. En todo caso al Auditor deberá aclarar las inquietudes de avance del proyecto que les soliciten los agentes antes mencionados.</w:t>
      </w:r>
    </w:p>
    <w:p w:rsidR="00966CFA" w:rsidRPr="000B49F0" w:rsidRDefault="00966CFA" w:rsidP="005B43A5">
      <w:pPr>
        <w:numPr>
          <w:ilvl w:val="0"/>
          <w:numId w:val="41"/>
        </w:numPr>
        <w:spacing w:before="120"/>
        <w:ind w:left="425" w:hanging="425"/>
        <w:rPr>
          <w:rFonts w:cs="Arial"/>
        </w:rPr>
      </w:pPr>
      <w:bookmarkStart w:id="5" w:name="_Ref476902157"/>
      <w:r w:rsidRPr="00952514">
        <w:rPr>
          <w:rFonts w:cs="Arial"/>
        </w:rPr>
        <w:t>Un informe final en donde certifique que el proyecto se ajusta a los r</w:t>
      </w:r>
      <w:r w:rsidR="005B43A5">
        <w:rPr>
          <w:rFonts w:cs="Arial"/>
        </w:rPr>
        <w:t xml:space="preserve">equerimientos establecidos en el </w:t>
      </w:r>
      <w:r w:rsidR="005B43A5" w:rsidRPr="000B49F0">
        <w:rPr>
          <w:rFonts w:cs="Arial"/>
        </w:rPr>
        <w:t xml:space="preserve">artículo </w:t>
      </w:r>
      <w:r w:rsidR="000B49F0" w:rsidRPr="000B49F0">
        <w:rPr>
          <w:rFonts w:cs="Arial"/>
        </w:rPr>
        <w:t>19</w:t>
      </w:r>
      <w:r w:rsidRPr="000B49F0">
        <w:rPr>
          <w:rFonts w:cs="Arial"/>
        </w:rPr>
        <w:t>, así como que el proyecto se encuentra listo para su entrada en operación.</w:t>
      </w:r>
      <w:bookmarkEnd w:id="5"/>
    </w:p>
    <w:p w:rsidR="00966CFA" w:rsidRPr="006F25E9" w:rsidRDefault="00966CFA" w:rsidP="00966CFA">
      <w:pPr>
        <w:numPr>
          <w:ilvl w:val="0"/>
          <w:numId w:val="41"/>
        </w:numPr>
        <w:spacing w:before="120"/>
        <w:ind w:left="425" w:hanging="425"/>
        <w:rPr>
          <w:rFonts w:cs="Arial"/>
        </w:rPr>
      </w:pPr>
      <w:r>
        <w:rPr>
          <w:rFonts w:cs="Arial"/>
        </w:rPr>
        <w:t xml:space="preserve">Cuando </w:t>
      </w:r>
      <w:r w:rsidRPr="00F23AE8">
        <w:rPr>
          <w:rFonts w:cs="Arial"/>
        </w:rPr>
        <w:t xml:space="preserve">se configure un incumplimiento insalvable </w:t>
      </w:r>
      <w:r w:rsidR="00291289">
        <w:rPr>
          <w:rFonts w:cs="Arial"/>
        </w:rPr>
        <w:t xml:space="preserve">de acuerdo con lo establecido entre los </w:t>
      </w:r>
      <w:r w:rsidR="001558F8">
        <w:rPr>
          <w:rFonts w:cs="Arial"/>
        </w:rPr>
        <w:t>participantes</w:t>
      </w:r>
      <w:r w:rsidR="00291289">
        <w:rPr>
          <w:rFonts w:cs="Arial"/>
        </w:rPr>
        <w:t xml:space="preserve"> del </w:t>
      </w:r>
      <w:r w:rsidR="00291289" w:rsidRPr="000B49F0">
        <w:rPr>
          <w:rFonts w:cs="Arial"/>
          <w:i/>
        </w:rPr>
        <w:t>Open Season</w:t>
      </w:r>
      <w:r w:rsidR="00291289">
        <w:rPr>
          <w:rFonts w:cs="Arial"/>
        </w:rPr>
        <w:t xml:space="preserve"> y el promotor</w:t>
      </w:r>
      <w:r>
        <w:rPr>
          <w:rFonts w:cs="Arial"/>
        </w:rPr>
        <w:t xml:space="preserve">, </w:t>
      </w:r>
      <w:r w:rsidR="0023690D">
        <w:rPr>
          <w:rFonts w:cs="Arial"/>
        </w:rPr>
        <w:t xml:space="preserve">deberá presentar </w:t>
      </w:r>
      <w:r w:rsidRPr="00F23AE8">
        <w:rPr>
          <w:rFonts w:cs="Arial"/>
        </w:rPr>
        <w:t>un informe de manera inmediata en donde se ponga en conocimiento tal situación. E</w:t>
      </w:r>
      <w:r>
        <w:rPr>
          <w:rFonts w:cs="Arial"/>
        </w:rPr>
        <w:t xml:space="preserve">ste </w:t>
      </w:r>
      <w:r w:rsidRPr="00F23AE8">
        <w:rPr>
          <w:rFonts w:cs="Arial"/>
        </w:rPr>
        <w:t>informe deberá a</w:t>
      </w:r>
      <w:r w:rsidR="000B49F0">
        <w:rPr>
          <w:rFonts w:cs="Arial"/>
        </w:rPr>
        <w:t>compañarse de un</w:t>
      </w:r>
      <w:r w:rsidRPr="00F23AE8">
        <w:rPr>
          <w:rFonts w:cs="Arial"/>
        </w:rPr>
        <w:t xml:space="preserve"> inventario de las obras ejecutadas e indicar el avance </w:t>
      </w:r>
      <w:r w:rsidRPr="006F25E9">
        <w:rPr>
          <w:rFonts w:cs="Arial"/>
        </w:rPr>
        <w:t xml:space="preserve">porcentual de cada una. </w:t>
      </w:r>
    </w:p>
    <w:p w:rsidR="00966CFA" w:rsidRPr="006F25E9" w:rsidRDefault="00966CFA" w:rsidP="000B49F0">
      <w:pPr>
        <w:numPr>
          <w:ilvl w:val="0"/>
          <w:numId w:val="41"/>
        </w:numPr>
        <w:spacing w:before="120"/>
        <w:ind w:left="425" w:hanging="425"/>
        <w:rPr>
          <w:rFonts w:cs="Arial"/>
        </w:rPr>
      </w:pPr>
      <w:r w:rsidRPr="006F25E9">
        <w:rPr>
          <w:rFonts w:cs="Arial"/>
        </w:rPr>
        <w:t>Los demás informes que sobre temas específicos</w:t>
      </w:r>
      <w:r w:rsidR="00291289" w:rsidRPr="006F25E9">
        <w:rPr>
          <w:rFonts w:cs="Arial"/>
        </w:rPr>
        <w:t xml:space="preserve"> acuerden </w:t>
      </w:r>
      <w:r w:rsidR="00A82980" w:rsidRPr="006F25E9">
        <w:rPr>
          <w:rFonts w:cs="Arial"/>
        </w:rPr>
        <w:t>l</w:t>
      </w:r>
      <w:r w:rsidR="00291289" w:rsidRPr="006F25E9">
        <w:rPr>
          <w:rFonts w:cs="Arial"/>
        </w:rPr>
        <w:t xml:space="preserve">os adjudicatarios de la capacidad de transporte del </w:t>
      </w:r>
      <w:r w:rsidR="00291289" w:rsidRPr="006F25E9">
        <w:rPr>
          <w:rFonts w:cs="Arial"/>
          <w:i/>
        </w:rPr>
        <w:t>Open Season</w:t>
      </w:r>
      <w:r w:rsidR="00291289" w:rsidRPr="006F25E9">
        <w:rPr>
          <w:rFonts w:cs="Arial"/>
        </w:rPr>
        <w:t>.</w:t>
      </w:r>
    </w:p>
    <w:p w:rsidR="00966CFA" w:rsidRDefault="00966CFA" w:rsidP="00966CFA"/>
    <w:p w:rsidR="00966CFA" w:rsidRPr="006418F8" w:rsidRDefault="00966CFA" w:rsidP="000B49F0">
      <w:r w:rsidRPr="00BD7B00">
        <w:rPr>
          <w:b/>
        </w:rPr>
        <w:t>Parágrafo.</w:t>
      </w:r>
      <w:r w:rsidRPr="00BD7B00">
        <w:t xml:space="preserve"> El</w:t>
      </w:r>
      <w:r w:rsidR="00A7353D">
        <w:rPr>
          <w:iCs/>
        </w:rPr>
        <w:t xml:space="preserve"> promotor deberá</w:t>
      </w:r>
      <w:r w:rsidRPr="00BD7B00">
        <w:rPr>
          <w:iCs/>
        </w:rPr>
        <w:t xml:space="preserve"> entregar al auditor toda la información que este requiera para el c</w:t>
      </w:r>
      <w:r w:rsidR="00A7353D">
        <w:rPr>
          <w:iCs/>
        </w:rPr>
        <w:t>umplimiento de sus obligaciones, incluyendo aquellos eventos en que el promotor sea distinto al agente proveedor de construcción.</w:t>
      </w:r>
    </w:p>
    <w:p w:rsidR="006418F8" w:rsidRPr="003C6175" w:rsidRDefault="006418F8" w:rsidP="001C28F0"/>
    <w:p w:rsidR="003C6175" w:rsidRPr="00C8477F" w:rsidRDefault="003C6175" w:rsidP="00C8477F">
      <w:pPr>
        <w:pStyle w:val="ARTICULO1"/>
        <w:rPr>
          <w:rFonts w:cs="Arial"/>
          <w:b w:val="0"/>
          <w:color w:val="000000" w:themeColor="text1"/>
        </w:rPr>
      </w:pPr>
      <w:r w:rsidRPr="003C6175">
        <w:t xml:space="preserve">Requisitos técnicos del Auditor. </w:t>
      </w:r>
      <w:r w:rsidRPr="00C8477F">
        <w:rPr>
          <w:b w:val="0"/>
        </w:rPr>
        <w:t>El CNO</w:t>
      </w:r>
      <w:r w:rsidR="006418F8" w:rsidRPr="00C8477F">
        <w:rPr>
          <w:b w:val="0"/>
        </w:rPr>
        <w:t>G</w:t>
      </w:r>
      <w:r w:rsidRPr="00C8477F">
        <w:rPr>
          <w:b w:val="0"/>
        </w:rPr>
        <w:t xml:space="preserve"> en un plazo n</w:t>
      </w:r>
      <w:r w:rsidR="006418F8" w:rsidRPr="00C8477F">
        <w:rPr>
          <w:b w:val="0"/>
        </w:rPr>
        <w:t xml:space="preserve">o </w:t>
      </w:r>
      <w:r w:rsidRPr="00C8477F">
        <w:rPr>
          <w:b w:val="0"/>
        </w:rPr>
        <w:t xml:space="preserve">mayor a 4 meses contados a partir de la publicación de la presente resolución definirá un listado de los requisitos técnicos que deben tener y dar cumplimiento los agentes auditores para los </w:t>
      </w:r>
      <w:r w:rsidRPr="00C8477F">
        <w:rPr>
          <w:rFonts w:cs="Arial"/>
          <w:b w:val="0"/>
          <w:color w:val="000000" w:themeColor="text1"/>
        </w:rPr>
        <w:t>tipos de proyectos a desarrollar acorde con la presente resolución</w:t>
      </w:r>
      <w:r w:rsidRPr="00C8477F">
        <w:rPr>
          <w:b w:val="0"/>
        </w:rPr>
        <w:t xml:space="preserve"> que se </w:t>
      </w:r>
      <w:r w:rsidR="00A7353D" w:rsidRPr="00C8477F">
        <w:rPr>
          <w:b w:val="0"/>
        </w:rPr>
        <w:t xml:space="preserve">lleven a cabo </w:t>
      </w:r>
      <w:r w:rsidRPr="00C8477F">
        <w:rPr>
          <w:b w:val="0"/>
        </w:rPr>
        <w:t xml:space="preserve">como </w:t>
      </w:r>
      <w:r w:rsidR="00A7353D" w:rsidRPr="00C8477F">
        <w:rPr>
          <w:b w:val="0"/>
        </w:rPr>
        <w:t xml:space="preserve">resultado </w:t>
      </w:r>
      <w:r w:rsidRPr="00C8477F">
        <w:rPr>
          <w:b w:val="0"/>
        </w:rPr>
        <w:t xml:space="preserve">de los </w:t>
      </w:r>
      <w:r w:rsidRPr="00C8477F">
        <w:rPr>
          <w:b w:val="0"/>
          <w:i/>
        </w:rPr>
        <w:t>Open Season</w:t>
      </w:r>
      <w:r w:rsidRPr="00C8477F">
        <w:rPr>
          <w:b w:val="0"/>
        </w:rPr>
        <w:t xml:space="preserve">. Para ser seleccionado como auditor </w:t>
      </w:r>
      <w:r w:rsidRPr="00C8477F">
        <w:rPr>
          <w:rFonts w:cs="Arial"/>
          <w:b w:val="0"/>
          <w:color w:val="000000" w:themeColor="text1"/>
        </w:rPr>
        <w:t>además de los requerimientos técnicos definidos al interior del CNO</w:t>
      </w:r>
      <w:r w:rsidR="00A7353D" w:rsidRPr="00C8477F">
        <w:rPr>
          <w:rFonts w:cs="Arial"/>
          <w:b w:val="0"/>
          <w:color w:val="000000" w:themeColor="text1"/>
        </w:rPr>
        <w:t>G</w:t>
      </w:r>
      <w:r w:rsidRPr="00C8477F">
        <w:rPr>
          <w:rFonts w:cs="Arial"/>
          <w:b w:val="0"/>
          <w:color w:val="000000" w:themeColor="text1"/>
        </w:rPr>
        <w:t xml:space="preserve">, </w:t>
      </w:r>
      <w:r w:rsidR="00787B91" w:rsidRPr="00C8477F">
        <w:rPr>
          <w:rFonts w:cs="Arial"/>
          <w:b w:val="0"/>
          <w:color w:val="000000" w:themeColor="text1"/>
        </w:rPr>
        <w:t>n</w:t>
      </w:r>
      <w:r w:rsidRPr="00C8477F">
        <w:rPr>
          <w:rFonts w:cs="Arial"/>
          <w:b w:val="0"/>
          <w:color w:val="000000" w:themeColor="text1"/>
        </w:rPr>
        <w:t>o podrá tener ningún tipo de vinculación económica con el promotor y en caso de que el promotor sea compuesto por varias firmas, tampoco podrá tener vinculación con ninguna de dichas firmas.</w:t>
      </w:r>
    </w:p>
    <w:p w:rsidR="00787B91" w:rsidRDefault="00787B91" w:rsidP="000B49F0"/>
    <w:p w:rsidR="006418F8" w:rsidRDefault="003C6175" w:rsidP="000B49F0">
      <w:pPr>
        <w:rPr>
          <w:lang w:val="es-CO"/>
        </w:rPr>
      </w:pPr>
      <w:r w:rsidRPr="000B49F0">
        <w:rPr>
          <w:rFonts w:cs="Arial"/>
          <w:bCs/>
          <w:color w:val="000000" w:themeColor="text1"/>
          <w:lang w:val="x-none" w:eastAsia="x-none"/>
        </w:rPr>
        <w:t>E</w:t>
      </w:r>
      <w:r w:rsidR="000F28BE">
        <w:rPr>
          <w:rFonts w:cs="Arial"/>
          <w:bCs/>
          <w:color w:val="000000" w:themeColor="text1"/>
          <w:lang w:val="es-CO" w:eastAsia="x-none"/>
        </w:rPr>
        <w:t xml:space="preserve">l plazo previsto en el presente artículo </w:t>
      </w:r>
      <w:r w:rsidR="006418F8">
        <w:rPr>
          <w:rFonts w:cs="Arial"/>
          <w:bCs/>
          <w:color w:val="000000" w:themeColor="text1"/>
          <w:lang w:val="es-CO" w:eastAsia="x-none"/>
        </w:rPr>
        <w:t xml:space="preserve">no será prorrogable e </w:t>
      </w:r>
      <w:r w:rsidR="000F28BE">
        <w:rPr>
          <w:rFonts w:cs="Arial"/>
          <w:bCs/>
          <w:color w:val="000000" w:themeColor="text1"/>
          <w:lang w:val="es-CO" w:eastAsia="x-none"/>
        </w:rPr>
        <w:t xml:space="preserve">incluye </w:t>
      </w:r>
      <w:r w:rsidR="006418F8">
        <w:rPr>
          <w:rFonts w:cs="Arial"/>
          <w:bCs/>
          <w:color w:val="000000" w:themeColor="text1"/>
          <w:lang w:val="es-CO" w:eastAsia="x-none"/>
        </w:rPr>
        <w:t xml:space="preserve">que el CNOG realice </w:t>
      </w:r>
      <w:r w:rsidR="000F28BE">
        <w:rPr>
          <w:rFonts w:cs="Arial"/>
          <w:bCs/>
          <w:color w:val="000000" w:themeColor="text1"/>
          <w:lang w:val="es-CO" w:eastAsia="x-none"/>
        </w:rPr>
        <w:t xml:space="preserve">la divulgación y presentación pública del listado de requisitos técnicos que deben cumplir los auditores. </w:t>
      </w:r>
    </w:p>
    <w:p w:rsidR="006418F8" w:rsidRPr="007C29C8" w:rsidRDefault="006418F8" w:rsidP="000B49F0"/>
    <w:p w:rsidR="003C6175" w:rsidRPr="00C8477F" w:rsidRDefault="003C6175" w:rsidP="00C8477F">
      <w:pPr>
        <w:pStyle w:val="ARTICULO1"/>
        <w:rPr>
          <w:b w:val="0"/>
        </w:rPr>
      </w:pPr>
      <w:r w:rsidRPr="003C6175">
        <w:t xml:space="preserve">Remuneración del auditor. </w:t>
      </w:r>
      <w:r w:rsidRPr="00C8477F">
        <w:rPr>
          <w:b w:val="0"/>
        </w:rPr>
        <w:t xml:space="preserve">El promotor definirá en las bases del </w:t>
      </w:r>
      <w:r w:rsidRPr="00C8477F">
        <w:rPr>
          <w:b w:val="0"/>
          <w:i/>
        </w:rPr>
        <w:t>Open Season</w:t>
      </w:r>
      <w:r w:rsidRPr="00C8477F">
        <w:rPr>
          <w:b w:val="0"/>
        </w:rPr>
        <w:t xml:space="preserve"> </w:t>
      </w:r>
      <w:r w:rsidR="006418F8" w:rsidRPr="00C8477F">
        <w:rPr>
          <w:b w:val="0"/>
        </w:rPr>
        <w:t>la forma en que se llevará a cabo</w:t>
      </w:r>
      <w:r w:rsidRPr="00C8477F">
        <w:rPr>
          <w:b w:val="0"/>
        </w:rPr>
        <w:t xml:space="preserve"> la remuneración del auditor.</w:t>
      </w:r>
      <w:r w:rsidR="006418F8" w:rsidRPr="00C8477F">
        <w:rPr>
          <w:b w:val="0"/>
        </w:rPr>
        <w:t xml:space="preserve"> La remuneración</w:t>
      </w:r>
      <w:r w:rsidRPr="00C8477F">
        <w:rPr>
          <w:b w:val="0"/>
        </w:rPr>
        <w:t xml:space="preserve"> se </w:t>
      </w:r>
      <w:r w:rsidRPr="00C8477F">
        <w:rPr>
          <w:rFonts w:cs="Arial"/>
          <w:b w:val="0"/>
          <w:color w:val="000000" w:themeColor="text1"/>
        </w:rPr>
        <w:t>podrá</w:t>
      </w:r>
      <w:r w:rsidRPr="00C8477F">
        <w:rPr>
          <w:b w:val="0"/>
        </w:rPr>
        <w:t xml:space="preserve"> ajustar acorde a los requerimientos de los interesados de la capacidad.</w:t>
      </w:r>
    </w:p>
    <w:p w:rsidR="003C6175" w:rsidRDefault="003C6175" w:rsidP="00C95BA1"/>
    <w:p w:rsidR="00C8477F" w:rsidRDefault="00C8477F" w:rsidP="00C8477F">
      <w:pPr>
        <w:pStyle w:val="ARTICULO1"/>
      </w:pPr>
      <w:r>
        <w:t xml:space="preserve">Disponibilidad a pagar en los procesos de Open Season por parte de la demanda regulada. </w:t>
      </w:r>
      <w:r w:rsidRPr="00C8477F">
        <w:rPr>
          <w:b w:val="0"/>
        </w:rPr>
        <w:t xml:space="preserve">Para los casos en que la demanda regulada esté interesada en participar en un proceso de </w:t>
      </w:r>
      <w:r w:rsidRPr="006F25E9">
        <w:rPr>
          <w:b w:val="0"/>
          <w:i/>
        </w:rPr>
        <w:t>Open Season</w:t>
      </w:r>
      <w:r w:rsidRPr="00C8477F">
        <w:rPr>
          <w:b w:val="0"/>
        </w:rPr>
        <w:t>, la disponibilidad a pagar estará sujeta a los cargos regulados de transporte aplicables vigentes expedidos por parte de la CREG.</w:t>
      </w:r>
    </w:p>
    <w:p w:rsidR="00C8477F" w:rsidRDefault="00C8477F" w:rsidP="00C8477F"/>
    <w:p w:rsidR="00C8477F" w:rsidRDefault="00C8477F" w:rsidP="00C8477F">
      <w:r>
        <w:lastRenderedPageBreak/>
        <w:t xml:space="preserve">Para demanda regulada que no disponga del servicio de gas natural al momento de presentar las ofertas, acorde al cronograma de las bases de participación en el </w:t>
      </w:r>
      <w:r w:rsidRPr="006F25E9">
        <w:rPr>
          <w:i/>
        </w:rPr>
        <w:t>Open Season</w:t>
      </w:r>
      <w:r>
        <w:t xml:space="preserve"> por parte del promotor, tendrá como máxima disponibilidad a pagar el equivalente a la componente de transporte del costo unitario de prestación del servicio. Para determinar este costo unitario, el interesado deberá utilizar los criterios establecidos en la Resolución CREG 141 de 2011, o aquella que la modifique, aclare o sustituya.</w:t>
      </w:r>
    </w:p>
    <w:p w:rsidR="00C8477F" w:rsidRDefault="00C8477F" w:rsidP="00C8477F"/>
    <w:p w:rsidR="00C8477F" w:rsidRPr="003C6175" w:rsidRDefault="00C8477F" w:rsidP="00C8477F">
      <w:r>
        <w:t>El costo unitario de prestación del servicio debe incluir el suministro, transporte distribución, más la financiación de instalación interna.</w:t>
      </w:r>
    </w:p>
    <w:p w:rsidR="000C090E" w:rsidRDefault="000C090E" w:rsidP="003C6175">
      <w:pPr>
        <w:rPr>
          <w:lang w:val="es-CO"/>
        </w:rPr>
      </w:pPr>
    </w:p>
    <w:p w:rsidR="003C6175" w:rsidRPr="00C8477F" w:rsidRDefault="003C6175" w:rsidP="00C8477F">
      <w:pPr>
        <w:pStyle w:val="ARTICULO1"/>
        <w:rPr>
          <w:b w:val="0"/>
        </w:rPr>
      </w:pPr>
      <w:r w:rsidRPr="000D199B">
        <w:t>Solución de controversias en</w:t>
      </w:r>
      <w:r w:rsidR="00AD24BC" w:rsidRPr="000D199B">
        <w:t xml:space="preserve"> el</w:t>
      </w:r>
      <w:r w:rsidRPr="000D199B">
        <w:t xml:space="preserve"> </w:t>
      </w:r>
      <w:r w:rsidRPr="000D199B">
        <w:rPr>
          <w:i/>
        </w:rPr>
        <w:t>Open Season</w:t>
      </w:r>
      <w:r w:rsidRPr="000D199B">
        <w:t>.</w:t>
      </w:r>
      <w:r w:rsidRPr="003C6175">
        <w:t xml:space="preserve"> </w:t>
      </w:r>
      <w:r w:rsidRPr="00C8477F">
        <w:rPr>
          <w:b w:val="0"/>
        </w:rPr>
        <w:t xml:space="preserve">En el proceso de </w:t>
      </w:r>
      <w:r w:rsidRPr="00C8477F">
        <w:rPr>
          <w:b w:val="0"/>
          <w:i/>
        </w:rPr>
        <w:t>Open Season</w:t>
      </w:r>
      <w:r w:rsidRPr="00C8477F">
        <w:rPr>
          <w:b w:val="0"/>
        </w:rPr>
        <w:t xml:space="preserve"> el promotor incluirá </w:t>
      </w:r>
      <w:r w:rsidR="00F32822" w:rsidRPr="00C8477F">
        <w:rPr>
          <w:b w:val="0"/>
        </w:rPr>
        <w:t xml:space="preserve">en las bases de participación </w:t>
      </w:r>
      <w:r w:rsidRPr="00C8477F">
        <w:rPr>
          <w:b w:val="0"/>
        </w:rPr>
        <w:t xml:space="preserve">los mecanismos para la solución de </w:t>
      </w:r>
      <w:r w:rsidR="00F32822" w:rsidRPr="00C8477F">
        <w:rPr>
          <w:b w:val="0"/>
        </w:rPr>
        <w:t xml:space="preserve">las </w:t>
      </w:r>
      <w:r w:rsidRPr="00C8477F">
        <w:rPr>
          <w:b w:val="0"/>
        </w:rPr>
        <w:t>controversias</w:t>
      </w:r>
      <w:r w:rsidR="00F32822" w:rsidRPr="00C8477F">
        <w:rPr>
          <w:b w:val="0"/>
        </w:rPr>
        <w:t xml:space="preserve"> que se generen </w:t>
      </w:r>
      <w:r w:rsidR="00AD24BC" w:rsidRPr="00C8477F">
        <w:rPr>
          <w:b w:val="0"/>
        </w:rPr>
        <w:t>ent</w:t>
      </w:r>
      <w:r w:rsidR="001558F8" w:rsidRPr="00C8477F">
        <w:rPr>
          <w:b w:val="0"/>
        </w:rPr>
        <w:t>re el promotor y los participantes</w:t>
      </w:r>
      <w:r w:rsidR="00AD24BC" w:rsidRPr="00C8477F">
        <w:rPr>
          <w:b w:val="0"/>
        </w:rPr>
        <w:t xml:space="preserve"> en el </w:t>
      </w:r>
      <w:r w:rsidR="00AD24BC" w:rsidRPr="00C8477F">
        <w:rPr>
          <w:b w:val="0"/>
          <w:i/>
        </w:rPr>
        <w:t>Open Season</w:t>
      </w:r>
      <w:r w:rsidR="00AD24BC" w:rsidRPr="00C8477F">
        <w:rPr>
          <w:b w:val="0"/>
        </w:rPr>
        <w:t xml:space="preserve">, </w:t>
      </w:r>
      <w:r w:rsidR="00F32822" w:rsidRPr="00C8477F">
        <w:rPr>
          <w:b w:val="0"/>
        </w:rPr>
        <w:t>por cualquier evento desde la apertura hasta la POC,</w:t>
      </w:r>
      <w:r w:rsidR="00AD24BC" w:rsidRPr="00C8477F">
        <w:rPr>
          <w:b w:val="0"/>
        </w:rPr>
        <w:t xml:space="preserve"> </w:t>
      </w:r>
      <w:r w:rsidRPr="00C8477F">
        <w:rPr>
          <w:b w:val="0"/>
        </w:rPr>
        <w:t>estableciendo mecanismos específicos y definidos</w:t>
      </w:r>
      <w:r w:rsidR="001558F8" w:rsidRPr="00C8477F">
        <w:rPr>
          <w:b w:val="0"/>
        </w:rPr>
        <w:t>, como mínimo</w:t>
      </w:r>
      <w:r w:rsidRPr="00C8477F">
        <w:rPr>
          <w:b w:val="0"/>
        </w:rPr>
        <w:t xml:space="preserve"> para los siguientes casos:</w:t>
      </w:r>
    </w:p>
    <w:p w:rsidR="003C6175" w:rsidRPr="003C6175" w:rsidRDefault="003C6175" w:rsidP="000B49F0">
      <w:pPr>
        <w:pStyle w:val="numeral"/>
        <w:numPr>
          <w:ilvl w:val="0"/>
          <w:numId w:val="0"/>
        </w:numPr>
      </w:pPr>
    </w:p>
    <w:p w:rsidR="003C6175" w:rsidRPr="003C6175" w:rsidRDefault="00B10277" w:rsidP="000B49F0">
      <w:pPr>
        <w:pStyle w:val="numeral"/>
      </w:pPr>
      <w:r>
        <w:rPr>
          <w:rFonts w:cs="Arial"/>
          <w:color w:val="000000" w:themeColor="text1"/>
        </w:rPr>
        <w:t>D</w:t>
      </w:r>
      <w:r w:rsidR="003C6175" w:rsidRPr="003C6175">
        <w:rPr>
          <w:rFonts w:cs="Arial"/>
          <w:color w:val="000000" w:themeColor="text1"/>
        </w:rPr>
        <w:t>iscrepancias en</w:t>
      </w:r>
      <w:r w:rsidR="003C6175" w:rsidRPr="003C6175">
        <w:t xml:space="preserve"> </w:t>
      </w:r>
      <w:r>
        <w:t>los resultados de las asignaciones de capacidad</w:t>
      </w:r>
      <w:r w:rsidR="003C6175" w:rsidRPr="003C6175">
        <w:t>.</w:t>
      </w:r>
    </w:p>
    <w:p w:rsidR="003C6175" w:rsidRPr="003C6175" w:rsidRDefault="003C6175" w:rsidP="000B49F0">
      <w:pPr>
        <w:pStyle w:val="numeral"/>
        <w:numPr>
          <w:ilvl w:val="0"/>
          <w:numId w:val="0"/>
        </w:numPr>
        <w:rPr>
          <w:rFonts w:cs="Arial"/>
          <w:color w:val="000000" w:themeColor="text1"/>
        </w:rPr>
      </w:pPr>
    </w:p>
    <w:p w:rsidR="00B10277" w:rsidRDefault="003C6175" w:rsidP="000B49F0">
      <w:pPr>
        <w:pStyle w:val="numeral"/>
      </w:pPr>
      <w:r w:rsidRPr="003C6175">
        <w:t xml:space="preserve">Incumplimientos </w:t>
      </w:r>
      <w:r w:rsidR="00B10277">
        <w:t xml:space="preserve">en la ejecución de la obra de infraestructura derivada del </w:t>
      </w:r>
      <w:r w:rsidR="00B10277" w:rsidRPr="000B49F0">
        <w:rPr>
          <w:i/>
        </w:rPr>
        <w:t>Open Season</w:t>
      </w:r>
      <w:r w:rsidR="00B10277">
        <w:t>.</w:t>
      </w:r>
    </w:p>
    <w:p w:rsidR="003C6175" w:rsidRPr="003C6175" w:rsidRDefault="003C6175" w:rsidP="003C6175"/>
    <w:p w:rsidR="003C6175" w:rsidRPr="007251BC" w:rsidRDefault="00F32822" w:rsidP="006F25E9">
      <w:pPr>
        <w:contextualSpacing/>
        <w:rPr>
          <w:rFonts w:cs="Arial"/>
          <w:iCs/>
          <w:color w:val="000000" w:themeColor="text1"/>
          <w:szCs w:val="22"/>
          <w:lang w:val="es-CO" w:eastAsia="es-CO"/>
        </w:rPr>
      </w:pPr>
      <w:r>
        <w:rPr>
          <w:rFonts w:cs="Arial"/>
          <w:b/>
          <w:iCs/>
          <w:color w:val="000000" w:themeColor="text1"/>
          <w:szCs w:val="22"/>
          <w:lang w:val="es-CO" w:eastAsia="es-CO"/>
        </w:rPr>
        <w:t xml:space="preserve">Parágrafo. </w:t>
      </w:r>
      <w:r w:rsidR="007251BC">
        <w:rPr>
          <w:rFonts w:cs="Arial"/>
          <w:iCs/>
          <w:color w:val="000000" w:themeColor="text1"/>
          <w:szCs w:val="22"/>
          <w:lang w:val="es-CO" w:eastAsia="es-CO"/>
        </w:rPr>
        <w:t>L</w:t>
      </w:r>
      <w:r>
        <w:rPr>
          <w:rFonts w:cs="Arial"/>
          <w:iCs/>
          <w:color w:val="000000" w:themeColor="text1"/>
          <w:szCs w:val="22"/>
          <w:lang w:val="es-CO" w:eastAsia="es-CO"/>
        </w:rPr>
        <w:t xml:space="preserve">a actividad de transporte de gas natural de la cual hacen parte en el contexto de la presente resolución, los contratos de transporte resultantes del proceso de </w:t>
      </w:r>
      <w:r w:rsidRPr="000B49F0">
        <w:rPr>
          <w:rFonts w:cs="Arial"/>
          <w:i/>
          <w:iCs/>
          <w:color w:val="000000" w:themeColor="text1"/>
          <w:szCs w:val="22"/>
          <w:lang w:val="es-CO" w:eastAsia="es-CO"/>
        </w:rPr>
        <w:t>Open Season</w:t>
      </w:r>
      <w:r>
        <w:rPr>
          <w:rFonts w:cs="Arial"/>
          <w:iCs/>
          <w:color w:val="000000" w:themeColor="text1"/>
          <w:szCs w:val="22"/>
          <w:lang w:val="es-CO" w:eastAsia="es-CO"/>
        </w:rPr>
        <w:t>, así como la responsabilidad en</w:t>
      </w:r>
      <w:r w:rsidRPr="00F32822">
        <w:rPr>
          <w:rFonts w:cs="Arial"/>
          <w:iCs/>
          <w:color w:val="000000" w:themeColor="text1"/>
          <w:szCs w:val="22"/>
          <w:lang w:val="es-CO" w:eastAsia="es-CO"/>
        </w:rPr>
        <w:t xml:space="preserve"> la prestación del servicio, </w:t>
      </w:r>
      <w:r w:rsidR="00516242">
        <w:rPr>
          <w:rFonts w:cs="Arial"/>
          <w:iCs/>
          <w:color w:val="000000" w:themeColor="text1"/>
          <w:szCs w:val="22"/>
          <w:lang w:val="es-CO" w:eastAsia="es-CO"/>
        </w:rPr>
        <w:t>AOM</w:t>
      </w:r>
      <w:r w:rsidRPr="00F32822">
        <w:rPr>
          <w:rFonts w:cs="Arial"/>
          <w:iCs/>
          <w:color w:val="000000" w:themeColor="text1"/>
          <w:szCs w:val="22"/>
          <w:lang w:val="es-CO" w:eastAsia="es-CO"/>
        </w:rPr>
        <w:t xml:space="preserve"> de la infraestructura de transpor</w:t>
      </w:r>
      <w:r>
        <w:rPr>
          <w:rFonts w:cs="Arial"/>
          <w:iCs/>
          <w:color w:val="000000" w:themeColor="text1"/>
          <w:szCs w:val="22"/>
          <w:lang w:val="es-CO" w:eastAsia="es-CO"/>
        </w:rPr>
        <w:t>te una vez se haya hecho la</w:t>
      </w:r>
      <w:r w:rsidRPr="00F32822">
        <w:rPr>
          <w:rFonts w:cs="Arial"/>
          <w:iCs/>
          <w:color w:val="000000" w:themeColor="text1"/>
          <w:szCs w:val="22"/>
          <w:lang w:val="es-CO" w:eastAsia="es-CO"/>
        </w:rPr>
        <w:t xml:space="preserve"> </w:t>
      </w:r>
      <w:r w:rsidR="00516242">
        <w:rPr>
          <w:rFonts w:cs="Arial"/>
          <w:iCs/>
          <w:color w:val="000000" w:themeColor="text1"/>
          <w:szCs w:val="22"/>
          <w:lang w:val="es-CO" w:eastAsia="es-CO"/>
        </w:rPr>
        <w:t>POC</w:t>
      </w:r>
      <w:r w:rsidRPr="00F32822">
        <w:rPr>
          <w:rFonts w:cs="Arial"/>
          <w:iCs/>
          <w:color w:val="000000" w:themeColor="text1"/>
          <w:szCs w:val="22"/>
          <w:lang w:val="es-CO" w:eastAsia="es-CO"/>
        </w:rPr>
        <w:t xml:space="preserve"> de</w:t>
      </w:r>
      <w:r>
        <w:rPr>
          <w:rFonts w:cs="Arial"/>
          <w:iCs/>
          <w:color w:val="000000" w:themeColor="text1"/>
          <w:szCs w:val="22"/>
          <w:lang w:val="es-CO" w:eastAsia="es-CO"/>
        </w:rPr>
        <w:t xml:space="preserve">l proyecto, </w:t>
      </w:r>
      <w:r w:rsidR="007251BC">
        <w:rPr>
          <w:rFonts w:cs="Arial"/>
          <w:iCs/>
          <w:color w:val="000000" w:themeColor="text1"/>
          <w:szCs w:val="22"/>
          <w:lang w:val="es-CO" w:eastAsia="es-CO"/>
        </w:rPr>
        <w:t>e</w:t>
      </w:r>
      <w:r w:rsidR="007251BC" w:rsidRPr="007251BC">
        <w:rPr>
          <w:rFonts w:cs="Arial"/>
          <w:iCs/>
          <w:color w:val="000000" w:themeColor="text1"/>
          <w:szCs w:val="22"/>
          <w:lang w:val="es-CO" w:eastAsia="es-CO"/>
        </w:rPr>
        <w:t xml:space="preserve">n el marco de la Ley 142 de 1994 y la regulación expedida por </w:t>
      </w:r>
      <w:r w:rsidR="003E6C80">
        <w:rPr>
          <w:rFonts w:cs="Arial"/>
          <w:iCs/>
          <w:color w:val="000000" w:themeColor="text1"/>
          <w:szCs w:val="22"/>
          <w:lang w:val="es-CO" w:eastAsia="es-CO"/>
        </w:rPr>
        <w:t>la</w:t>
      </w:r>
      <w:r w:rsidR="003E6C80" w:rsidRPr="007251BC">
        <w:rPr>
          <w:rFonts w:cs="Arial"/>
          <w:iCs/>
          <w:color w:val="000000" w:themeColor="text1"/>
          <w:szCs w:val="22"/>
          <w:lang w:val="es-CO" w:eastAsia="es-CO"/>
        </w:rPr>
        <w:t xml:space="preserve"> </w:t>
      </w:r>
      <w:r w:rsidR="003E6C80">
        <w:t>CREG</w:t>
      </w:r>
      <w:r w:rsidR="007251BC" w:rsidRPr="007251BC">
        <w:rPr>
          <w:rFonts w:cs="Arial"/>
          <w:iCs/>
          <w:color w:val="000000" w:themeColor="text1"/>
          <w:szCs w:val="22"/>
          <w:lang w:val="es-CO" w:eastAsia="es-CO"/>
        </w:rPr>
        <w:t>,</w:t>
      </w:r>
      <w:r w:rsidR="007251BC">
        <w:rPr>
          <w:rFonts w:cs="Arial"/>
          <w:iCs/>
          <w:color w:val="000000" w:themeColor="text1"/>
          <w:szCs w:val="22"/>
          <w:lang w:val="es-CO" w:eastAsia="es-CO"/>
        </w:rPr>
        <w:t xml:space="preserve"> </w:t>
      </w:r>
      <w:r w:rsidR="00B627A6">
        <w:rPr>
          <w:rFonts w:cs="Arial"/>
          <w:iCs/>
          <w:color w:val="000000" w:themeColor="text1"/>
          <w:szCs w:val="22"/>
          <w:lang w:val="es-CO" w:eastAsia="es-CO"/>
        </w:rPr>
        <w:t>son</w:t>
      </w:r>
      <w:r w:rsidR="007251BC">
        <w:rPr>
          <w:rFonts w:cs="Arial"/>
          <w:iCs/>
          <w:color w:val="000000" w:themeColor="text1"/>
          <w:szCs w:val="22"/>
          <w:lang w:val="es-CO" w:eastAsia="es-CO"/>
        </w:rPr>
        <w:t xml:space="preserve"> eventos </w:t>
      </w:r>
      <w:r w:rsidR="00B627A6">
        <w:rPr>
          <w:rFonts w:cs="Arial"/>
          <w:iCs/>
          <w:color w:val="000000" w:themeColor="text1"/>
          <w:szCs w:val="22"/>
          <w:lang w:val="es-CO" w:eastAsia="es-CO"/>
        </w:rPr>
        <w:t xml:space="preserve">que </w:t>
      </w:r>
      <w:r w:rsidR="007251BC">
        <w:rPr>
          <w:rFonts w:cs="Arial"/>
          <w:iCs/>
          <w:color w:val="000000" w:themeColor="text1"/>
          <w:szCs w:val="22"/>
          <w:lang w:val="es-CO" w:eastAsia="es-CO"/>
        </w:rPr>
        <w:t xml:space="preserve">se encuentran sujetos a la inspección, vigilancia y control de la </w:t>
      </w:r>
      <w:r w:rsidR="00694AB0">
        <w:rPr>
          <w:rFonts w:cs="Arial"/>
          <w:iCs/>
          <w:color w:val="000000" w:themeColor="text1"/>
          <w:szCs w:val="22"/>
          <w:lang w:val="es-CO" w:eastAsia="es-CO"/>
        </w:rPr>
        <w:t>SSPD</w:t>
      </w:r>
      <w:r w:rsidR="007251BC">
        <w:rPr>
          <w:rFonts w:cs="Arial"/>
          <w:iCs/>
          <w:color w:val="000000" w:themeColor="text1"/>
          <w:szCs w:val="22"/>
          <w:lang w:val="es-CO" w:eastAsia="es-CO"/>
        </w:rPr>
        <w:t>.</w:t>
      </w:r>
    </w:p>
    <w:p w:rsidR="003C6175" w:rsidRPr="003C6175" w:rsidRDefault="003C6175" w:rsidP="003C6175">
      <w:pPr>
        <w:rPr>
          <w:rFonts w:cs="Arial"/>
          <w:color w:val="000000" w:themeColor="text1"/>
        </w:rPr>
      </w:pPr>
    </w:p>
    <w:p w:rsidR="003C6175" w:rsidRPr="004400B3" w:rsidRDefault="001558F8" w:rsidP="006F25E9">
      <w:pPr>
        <w:pStyle w:val="ARTICULO1"/>
      </w:pPr>
      <w:r>
        <w:t>I</w:t>
      </w:r>
      <w:r w:rsidRPr="003C6175">
        <w:t>ntegración</w:t>
      </w:r>
      <w:r w:rsidR="003C6175" w:rsidRPr="003C6175">
        <w:t xml:space="preserve"> vertical. </w:t>
      </w:r>
      <w:r w:rsidR="002F4AE8" w:rsidRPr="006F25E9">
        <w:rPr>
          <w:b w:val="0"/>
        </w:rPr>
        <w:t xml:space="preserve">El agente </w:t>
      </w:r>
      <w:r w:rsidR="003C6175" w:rsidRPr="006F25E9">
        <w:rPr>
          <w:b w:val="0"/>
        </w:rPr>
        <w:t xml:space="preserve">que </w:t>
      </w:r>
      <w:r w:rsidRPr="006F25E9">
        <w:rPr>
          <w:b w:val="0"/>
        </w:rPr>
        <w:t xml:space="preserve">celebre y suscriba </w:t>
      </w:r>
      <w:r w:rsidR="003C6175" w:rsidRPr="006F25E9">
        <w:rPr>
          <w:b w:val="0"/>
        </w:rPr>
        <w:t xml:space="preserve">los contratos </w:t>
      </w:r>
      <w:r w:rsidR="00DE5983" w:rsidRPr="006F25E9">
        <w:rPr>
          <w:b w:val="0"/>
        </w:rPr>
        <w:t xml:space="preserve">de transporte resultantes de un </w:t>
      </w:r>
      <w:r w:rsidR="00DE5983" w:rsidRPr="006F25E9">
        <w:rPr>
          <w:b w:val="0"/>
          <w:i/>
        </w:rPr>
        <w:t>Open Season</w:t>
      </w:r>
      <w:r w:rsidR="006F25E9" w:rsidRPr="006F25E9">
        <w:rPr>
          <w:b w:val="0"/>
          <w:i/>
        </w:rPr>
        <w:t xml:space="preserve">, </w:t>
      </w:r>
      <w:r w:rsidR="006F25E9" w:rsidRPr="006F25E9">
        <w:rPr>
          <w:b w:val="0"/>
        </w:rPr>
        <w:t>así como lleve a cabo la puesta en operación comercial POC</w:t>
      </w:r>
      <w:r w:rsidR="006F25E9" w:rsidRPr="006F25E9">
        <w:t xml:space="preserve"> </w:t>
      </w:r>
      <w:r w:rsidR="006F25E9">
        <w:rPr>
          <w:b w:val="0"/>
        </w:rPr>
        <w:t>como</w:t>
      </w:r>
      <w:r w:rsidR="006F25E9" w:rsidRPr="006F25E9">
        <w:rPr>
          <w:b w:val="0"/>
        </w:rPr>
        <w:t xml:space="preserve"> responsable de la prestación del servicio, administración, operación y mantenimiento de la infraestructura de transporte</w:t>
      </w:r>
      <w:r w:rsidR="006F25E9">
        <w:rPr>
          <w:b w:val="0"/>
        </w:rPr>
        <w:t xml:space="preserve">, </w:t>
      </w:r>
      <w:r w:rsidR="002F4AE8" w:rsidRPr="006F25E9">
        <w:rPr>
          <w:b w:val="0"/>
        </w:rPr>
        <w:t>deberá tener la calidad de transportador</w:t>
      </w:r>
      <w:r w:rsidR="0067789B" w:rsidRPr="006F25E9">
        <w:rPr>
          <w:b w:val="0"/>
          <w:i/>
        </w:rPr>
        <w:t xml:space="preserve">, </w:t>
      </w:r>
      <w:r w:rsidR="002F4AE8" w:rsidRPr="006F25E9">
        <w:rPr>
          <w:b w:val="0"/>
        </w:rPr>
        <w:t>para lo cual deberá observar</w:t>
      </w:r>
      <w:r w:rsidR="00C155A1" w:rsidRPr="006F25E9">
        <w:rPr>
          <w:b w:val="0"/>
        </w:rPr>
        <w:t xml:space="preserve"> </w:t>
      </w:r>
      <w:r w:rsidR="00DE5983" w:rsidRPr="006F25E9">
        <w:rPr>
          <w:b w:val="0"/>
        </w:rPr>
        <w:t>las disposiciones vigentes sobre separación de actividades e interés económico aplicables previstas en la Resolución CREG 057 de 1996 o aquellas que la modifiquen o sustituyan.</w:t>
      </w:r>
    </w:p>
    <w:p w:rsidR="003C6175" w:rsidRDefault="003C6175" w:rsidP="003C6175">
      <w:pPr>
        <w:tabs>
          <w:tab w:val="left" w:pos="0"/>
        </w:tabs>
        <w:rPr>
          <w:rFonts w:cs="Arial"/>
          <w:color w:val="000000" w:themeColor="text1"/>
          <w:lang w:val="es-CO"/>
        </w:rPr>
      </w:pPr>
    </w:p>
    <w:p w:rsidR="00B93EE8" w:rsidRPr="003C6175" w:rsidRDefault="00B93EE8" w:rsidP="003C6175">
      <w:pPr>
        <w:tabs>
          <w:tab w:val="left" w:pos="0"/>
        </w:tabs>
        <w:rPr>
          <w:rFonts w:cs="Arial"/>
          <w:color w:val="000000" w:themeColor="text1"/>
          <w:lang w:val="es-CO"/>
        </w:rPr>
      </w:pPr>
    </w:p>
    <w:p w:rsidR="003C6175" w:rsidRPr="003C6175" w:rsidRDefault="003C6175" w:rsidP="003C6175">
      <w:pPr>
        <w:keepNext/>
        <w:widowControl w:val="0"/>
        <w:adjustRightInd w:val="0"/>
        <w:jc w:val="center"/>
        <w:textAlignment w:val="baseline"/>
        <w:outlineLvl w:val="0"/>
        <w:rPr>
          <w:b/>
          <w:bCs/>
          <w:lang w:val="x-none" w:eastAsia="x-none"/>
        </w:rPr>
      </w:pPr>
      <w:r w:rsidRPr="003C6175">
        <w:rPr>
          <w:b/>
          <w:bCs/>
          <w:lang w:val="es-CO" w:eastAsia="x-none"/>
        </w:rPr>
        <w:t>Capítulo 2</w:t>
      </w:r>
      <w:r w:rsidR="00C155A1">
        <w:rPr>
          <w:b/>
          <w:bCs/>
          <w:lang w:val="es-CO" w:eastAsia="x-none"/>
        </w:rPr>
        <w:t>.</w:t>
      </w:r>
      <w:r w:rsidRPr="003C6175">
        <w:rPr>
          <w:b/>
          <w:bCs/>
          <w:lang w:val="es-CO" w:eastAsia="x-none"/>
        </w:rPr>
        <w:t xml:space="preserve"> Inicio</w:t>
      </w:r>
      <w:r w:rsidR="00C155A1">
        <w:rPr>
          <w:b/>
          <w:bCs/>
          <w:lang w:val="es-CO" w:eastAsia="x-none"/>
        </w:rPr>
        <w:t xml:space="preserve"> del</w:t>
      </w:r>
      <w:r w:rsidRPr="003C6175">
        <w:rPr>
          <w:b/>
          <w:bCs/>
          <w:lang w:val="es-CO" w:eastAsia="x-none"/>
        </w:rPr>
        <w:t xml:space="preserve"> </w:t>
      </w:r>
      <w:r w:rsidRPr="000B49F0">
        <w:rPr>
          <w:b/>
          <w:bCs/>
          <w:i/>
          <w:lang w:val="es-CO" w:eastAsia="x-none"/>
        </w:rPr>
        <w:t>Open Season</w:t>
      </w:r>
    </w:p>
    <w:p w:rsidR="003C6175" w:rsidRPr="003C6175" w:rsidRDefault="003C6175" w:rsidP="003C6175">
      <w:pPr>
        <w:tabs>
          <w:tab w:val="left" w:pos="0"/>
        </w:tabs>
        <w:rPr>
          <w:rFonts w:cs="Arial"/>
          <w:color w:val="000000" w:themeColor="text1"/>
        </w:rPr>
      </w:pPr>
    </w:p>
    <w:p w:rsidR="00C155A1" w:rsidRPr="000B49F0" w:rsidRDefault="003C6175" w:rsidP="00FA7D19">
      <w:pPr>
        <w:pStyle w:val="ARTICULO1"/>
      </w:pPr>
      <w:r w:rsidRPr="00C155A1">
        <w:t xml:space="preserve">Eventos que inician un proceso de Open Season. </w:t>
      </w:r>
      <w:r w:rsidR="00C155A1" w:rsidRPr="00FA7D19">
        <w:rPr>
          <w:b w:val="0"/>
        </w:rPr>
        <w:t xml:space="preserve">La apertura de un </w:t>
      </w:r>
      <w:r w:rsidR="00C155A1" w:rsidRPr="00FA7D19">
        <w:rPr>
          <w:b w:val="0"/>
          <w:i/>
        </w:rPr>
        <w:t>Open Season</w:t>
      </w:r>
      <w:r w:rsidR="00C155A1" w:rsidRPr="00FA7D19">
        <w:rPr>
          <w:b w:val="0"/>
        </w:rPr>
        <w:t xml:space="preserve"> se dará a través de la publicación de las bases de participación a que hace referencia el artículo 16 de la presente resolución.</w:t>
      </w:r>
      <w:r w:rsidR="00C155A1" w:rsidRPr="00C155A1">
        <w:t xml:space="preserve">  </w:t>
      </w:r>
    </w:p>
    <w:p w:rsidR="003C6175" w:rsidRPr="00C155A1" w:rsidRDefault="003C6175" w:rsidP="000B49F0"/>
    <w:p w:rsidR="00C155A1" w:rsidRPr="00FA7D19" w:rsidRDefault="003C6175" w:rsidP="00FA7D19">
      <w:pPr>
        <w:pStyle w:val="ARTICULO1"/>
        <w:rPr>
          <w:b w:val="0"/>
        </w:rPr>
      </w:pPr>
      <w:r w:rsidRPr="003C6175">
        <w:t xml:space="preserve">Bases de participación en el </w:t>
      </w:r>
      <w:r w:rsidRPr="000B49F0">
        <w:rPr>
          <w:i/>
        </w:rPr>
        <w:t xml:space="preserve">Open </w:t>
      </w:r>
      <w:r w:rsidR="00FA529E" w:rsidRPr="000B49F0">
        <w:rPr>
          <w:i/>
        </w:rPr>
        <w:t>S</w:t>
      </w:r>
      <w:r w:rsidRPr="000B49F0">
        <w:rPr>
          <w:i/>
        </w:rPr>
        <w:t>eason</w:t>
      </w:r>
      <w:r w:rsidRPr="003C6175">
        <w:t xml:space="preserve">. </w:t>
      </w:r>
      <w:r w:rsidRPr="00FA7D19">
        <w:rPr>
          <w:b w:val="0"/>
        </w:rPr>
        <w:t xml:space="preserve">El promotor </w:t>
      </w:r>
      <w:r w:rsidR="00C155A1" w:rsidRPr="00FA7D19">
        <w:rPr>
          <w:b w:val="0"/>
        </w:rPr>
        <w:t xml:space="preserve">consignará </w:t>
      </w:r>
      <w:r w:rsidRPr="00FA7D19">
        <w:rPr>
          <w:b w:val="0"/>
        </w:rPr>
        <w:t>en las bases</w:t>
      </w:r>
      <w:r w:rsidR="00C155A1" w:rsidRPr="00FA7D19">
        <w:rPr>
          <w:b w:val="0"/>
        </w:rPr>
        <w:t xml:space="preserve"> de participación, como mínimo, la siguiente información </w:t>
      </w:r>
      <w:r w:rsidR="00C155A1" w:rsidRPr="00FA7D19">
        <w:rPr>
          <w:b w:val="0"/>
        </w:rPr>
        <w:lastRenderedPageBreak/>
        <w:t xml:space="preserve">con el fin de que los interesados conozcan las condiciones de participación que estos tendrán dentro del proyecto: </w:t>
      </w:r>
      <w:r w:rsidRPr="00FA7D19">
        <w:rPr>
          <w:b w:val="0"/>
        </w:rPr>
        <w:t xml:space="preserve"> </w:t>
      </w:r>
    </w:p>
    <w:p w:rsidR="003C6175" w:rsidRPr="003C6175" w:rsidRDefault="003C6175" w:rsidP="003C6175"/>
    <w:p w:rsidR="003C6175" w:rsidRDefault="003C6175" w:rsidP="000B49F0">
      <w:pPr>
        <w:pStyle w:val="numeral"/>
        <w:numPr>
          <w:ilvl w:val="0"/>
          <w:numId w:val="43"/>
        </w:numPr>
        <w:ind w:left="284" w:hanging="284"/>
      </w:pPr>
      <w:r w:rsidRPr="006D6528">
        <w:t xml:space="preserve">Información </w:t>
      </w:r>
      <w:r w:rsidR="00C155A1">
        <w:t xml:space="preserve">que permita la identificación </w:t>
      </w:r>
      <w:r w:rsidRPr="006D6528">
        <w:t>de</w:t>
      </w:r>
      <w:r w:rsidR="00C155A1">
        <w:t>l</w:t>
      </w:r>
      <w:r w:rsidRPr="006D6528">
        <w:t xml:space="preserve"> promotor</w:t>
      </w:r>
      <w:r w:rsidR="00C155A1">
        <w:t xml:space="preserve"> (</w:t>
      </w:r>
      <w:r w:rsidR="00FB4C3F">
        <w:t xml:space="preserve">i.e. nombre, </w:t>
      </w:r>
      <w:r w:rsidR="00FA529E">
        <w:t xml:space="preserve">representante legal, </w:t>
      </w:r>
      <w:r w:rsidR="00FB4C3F">
        <w:t>NIT, domicilio</w:t>
      </w:r>
      <w:r w:rsidR="00FA529E">
        <w:t xml:space="preserve"> y dirección</w:t>
      </w:r>
      <w:r w:rsidR="00FB4C3F">
        <w:t>,</w:t>
      </w:r>
      <w:r w:rsidRPr="006D6528">
        <w:t xml:space="preserve"> información de contacto</w:t>
      </w:r>
      <w:r w:rsidR="00FB4C3F">
        <w:t>)</w:t>
      </w:r>
      <w:r w:rsidRPr="006D6528">
        <w:t>.</w:t>
      </w:r>
    </w:p>
    <w:p w:rsidR="006D6528" w:rsidRPr="000B49F0" w:rsidRDefault="006D6528" w:rsidP="000B49F0">
      <w:pPr>
        <w:pStyle w:val="numeral"/>
        <w:numPr>
          <w:ilvl w:val="0"/>
          <w:numId w:val="0"/>
        </w:numPr>
        <w:ind w:left="284" w:hanging="284"/>
      </w:pPr>
    </w:p>
    <w:p w:rsidR="006D6528" w:rsidRDefault="003C6175" w:rsidP="000B49F0">
      <w:pPr>
        <w:pStyle w:val="numeral"/>
        <w:numPr>
          <w:ilvl w:val="0"/>
          <w:numId w:val="43"/>
        </w:numPr>
        <w:ind w:left="284" w:hanging="284"/>
      </w:pPr>
      <w:r w:rsidRPr="006D6528">
        <w:t>Descripción del proyecto, donde incluya como mínimo</w:t>
      </w:r>
      <w:r w:rsidR="00FA529E">
        <w:t xml:space="preserve"> información aproximada de</w:t>
      </w:r>
      <w:r w:rsidRPr="006D6528">
        <w:t xml:space="preserve">: </w:t>
      </w:r>
      <w:r w:rsidR="00FB4C3F">
        <w:t xml:space="preserve">i) </w:t>
      </w:r>
      <w:r w:rsidRPr="006D6528">
        <w:t>capacidad a transportar</w:t>
      </w:r>
      <w:r w:rsidR="00FB4C3F">
        <w:t>;</w:t>
      </w:r>
      <w:r w:rsidRPr="006D6528">
        <w:t xml:space="preserve"> </w:t>
      </w:r>
      <w:r w:rsidR="00FB4C3F">
        <w:t xml:space="preserve">ii) </w:t>
      </w:r>
      <w:r w:rsidRPr="006D6528">
        <w:t>punto</w:t>
      </w:r>
      <w:r w:rsidR="00FB4C3F">
        <w:t>s</w:t>
      </w:r>
      <w:r w:rsidRPr="006D6528">
        <w:t xml:space="preserve"> de entrada y salida</w:t>
      </w:r>
      <w:r w:rsidR="00FB4C3F">
        <w:t>;</w:t>
      </w:r>
      <w:r w:rsidRPr="006D6528">
        <w:t xml:space="preserve"> </w:t>
      </w:r>
      <w:r w:rsidR="00FB4C3F">
        <w:t xml:space="preserve">iii) </w:t>
      </w:r>
      <w:r w:rsidRPr="006D6528">
        <w:t>presiones de recibo y entrega</w:t>
      </w:r>
      <w:r w:rsidR="00FB4C3F">
        <w:t>; iv)</w:t>
      </w:r>
      <w:r w:rsidRPr="006D6528">
        <w:t xml:space="preserve"> estimación de valor de la capacidad. </w:t>
      </w:r>
    </w:p>
    <w:p w:rsidR="00FB4C3F" w:rsidRPr="000B49F0" w:rsidRDefault="00FB4C3F" w:rsidP="000B49F0">
      <w:pPr>
        <w:pStyle w:val="numeral"/>
        <w:numPr>
          <w:ilvl w:val="0"/>
          <w:numId w:val="0"/>
        </w:numPr>
        <w:ind w:left="284" w:hanging="284"/>
      </w:pPr>
    </w:p>
    <w:p w:rsidR="003C6175" w:rsidRDefault="003C6175" w:rsidP="000B49F0">
      <w:pPr>
        <w:pStyle w:val="numeral"/>
        <w:numPr>
          <w:ilvl w:val="0"/>
          <w:numId w:val="43"/>
        </w:numPr>
        <w:ind w:left="284" w:hanging="284"/>
      </w:pPr>
      <w:r w:rsidRPr="006D6528">
        <w:t>Cronograma de</w:t>
      </w:r>
      <w:r w:rsidR="00FA529E">
        <w:t>l proceso de asignación de capacidad</w:t>
      </w:r>
      <w:r w:rsidRPr="006D6528">
        <w:t xml:space="preserve"> </w:t>
      </w:r>
      <w:r w:rsidRPr="000B49F0">
        <w:rPr>
          <w:i/>
        </w:rPr>
        <w:t>Open Season</w:t>
      </w:r>
      <w:r w:rsidR="00FA529E">
        <w:t>.</w:t>
      </w:r>
      <w:r w:rsidRPr="006D6528">
        <w:t xml:space="preserve"> </w:t>
      </w:r>
    </w:p>
    <w:p w:rsidR="006D6528" w:rsidRPr="000B49F0" w:rsidRDefault="006D6528" w:rsidP="000B49F0">
      <w:pPr>
        <w:pStyle w:val="numeral"/>
        <w:numPr>
          <w:ilvl w:val="0"/>
          <w:numId w:val="0"/>
        </w:numPr>
        <w:ind w:left="284" w:hanging="284"/>
      </w:pPr>
    </w:p>
    <w:p w:rsidR="006D6528" w:rsidRDefault="003C6175" w:rsidP="000B49F0">
      <w:pPr>
        <w:pStyle w:val="numeral"/>
        <w:numPr>
          <w:ilvl w:val="0"/>
          <w:numId w:val="43"/>
        </w:numPr>
        <w:ind w:left="284" w:hanging="284"/>
      </w:pPr>
      <w:r w:rsidRPr="006D6528">
        <w:t xml:space="preserve">Cronograma </w:t>
      </w:r>
      <w:r w:rsidR="00FA529E" w:rsidRPr="00FA529E">
        <w:t>de construcción y puesta en operación de la infraestructura</w:t>
      </w:r>
      <w:r w:rsidR="000B49F0">
        <w:t>.</w:t>
      </w:r>
    </w:p>
    <w:p w:rsidR="003C6175" w:rsidRPr="000B49F0" w:rsidRDefault="003C6175" w:rsidP="000B49F0">
      <w:pPr>
        <w:pStyle w:val="numeral"/>
        <w:numPr>
          <w:ilvl w:val="0"/>
          <w:numId w:val="0"/>
        </w:numPr>
        <w:ind w:left="284" w:hanging="284"/>
      </w:pPr>
    </w:p>
    <w:p w:rsidR="003C6175" w:rsidRDefault="00023B07" w:rsidP="000B49F0">
      <w:pPr>
        <w:pStyle w:val="numeral"/>
        <w:numPr>
          <w:ilvl w:val="0"/>
          <w:numId w:val="43"/>
        </w:numPr>
        <w:ind w:left="284" w:hanging="284"/>
      </w:pPr>
      <w:r>
        <w:t xml:space="preserve">Modalidades o tipos de contratación ofrecidos para la capacidad del servicio transporte resultante del proceso de asignación. Para cada modalidad o tipo de contrato se deberá adjuntar el texto base del contrato a suscribir.  </w:t>
      </w:r>
    </w:p>
    <w:p w:rsidR="00FA529E" w:rsidRPr="006D6528" w:rsidRDefault="00FA529E" w:rsidP="000B49F0">
      <w:pPr>
        <w:pStyle w:val="numeral"/>
        <w:numPr>
          <w:ilvl w:val="0"/>
          <w:numId w:val="0"/>
        </w:numPr>
        <w:ind w:left="284" w:hanging="284"/>
      </w:pPr>
    </w:p>
    <w:p w:rsidR="003C6175" w:rsidRPr="000B49F0" w:rsidRDefault="003C6175" w:rsidP="000B49F0">
      <w:pPr>
        <w:pStyle w:val="numeral"/>
        <w:numPr>
          <w:ilvl w:val="0"/>
          <w:numId w:val="43"/>
        </w:numPr>
        <w:ind w:left="284" w:hanging="284"/>
      </w:pPr>
      <w:r w:rsidRPr="00023B07">
        <w:t xml:space="preserve">Garantías mínimas para participar en el </w:t>
      </w:r>
      <w:r w:rsidRPr="000B49F0">
        <w:rPr>
          <w:i/>
        </w:rPr>
        <w:t>Open Season</w:t>
      </w:r>
      <w:r w:rsidRPr="00023B07">
        <w:t xml:space="preserve">. </w:t>
      </w:r>
    </w:p>
    <w:p w:rsidR="00023B07" w:rsidRPr="00AB4617" w:rsidRDefault="00023B07" w:rsidP="000B49F0">
      <w:pPr>
        <w:pStyle w:val="numeral"/>
        <w:numPr>
          <w:ilvl w:val="0"/>
          <w:numId w:val="0"/>
        </w:numPr>
        <w:ind w:left="284" w:hanging="284"/>
      </w:pPr>
    </w:p>
    <w:p w:rsidR="003C6175" w:rsidRPr="000B49F0" w:rsidRDefault="003C6175" w:rsidP="000B49F0">
      <w:pPr>
        <w:pStyle w:val="numeral"/>
        <w:numPr>
          <w:ilvl w:val="0"/>
          <w:numId w:val="43"/>
        </w:numPr>
        <w:ind w:left="284" w:hanging="284"/>
      </w:pPr>
      <w:r w:rsidRPr="00AB4617">
        <w:t xml:space="preserve">Garantías que entregará el promotor a los remitentes. </w:t>
      </w:r>
    </w:p>
    <w:p w:rsidR="00AB4617" w:rsidRPr="00AB4617" w:rsidRDefault="00AB4617" w:rsidP="000B49F0">
      <w:pPr>
        <w:pStyle w:val="numeral"/>
        <w:numPr>
          <w:ilvl w:val="0"/>
          <w:numId w:val="0"/>
        </w:numPr>
        <w:ind w:left="284" w:hanging="284"/>
      </w:pPr>
    </w:p>
    <w:p w:rsidR="005B43A5" w:rsidRPr="000B49F0" w:rsidRDefault="005B43A5" w:rsidP="000B49F0">
      <w:pPr>
        <w:pStyle w:val="numeral"/>
        <w:numPr>
          <w:ilvl w:val="0"/>
          <w:numId w:val="43"/>
        </w:numPr>
        <w:ind w:left="284" w:hanging="284"/>
      </w:pPr>
      <w:r w:rsidRPr="00AB4617">
        <w:t xml:space="preserve">Garantías que entregarán los participantes del </w:t>
      </w:r>
      <w:r w:rsidRPr="000B49F0">
        <w:rPr>
          <w:i/>
        </w:rPr>
        <w:t>Open Season</w:t>
      </w:r>
      <w:r w:rsidRPr="00AB4617">
        <w:t xml:space="preserve"> que respalden el contrato de transporte.</w:t>
      </w:r>
    </w:p>
    <w:p w:rsidR="00AB4617" w:rsidRPr="000B49F0" w:rsidRDefault="00AB4617" w:rsidP="000B49F0">
      <w:pPr>
        <w:pStyle w:val="numeral"/>
        <w:numPr>
          <w:ilvl w:val="0"/>
          <w:numId w:val="0"/>
        </w:numPr>
        <w:ind w:left="284" w:hanging="284"/>
        <w:rPr>
          <w:color w:val="FF0000"/>
        </w:rPr>
      </w:pPr>
    </w:p>
    <w:p w:rsidR="00AB4617" w:rsidRPr="00AB4617" w:rsidRDefault="007C29C8" w:rsidP="000B49F0">
      <w:pPr>
        <w:pStyle w:val="numeral"/>
        <w:ind w:left="284" w:hanging="284"/>
      </w:pPr>
      <w:r>
        <w:t xml:space="preserve">Información para inscripción en el proceso y ser participante del </w:t>
      </w:r>
      <w:r w:rsidRPr="000B49F0">
        <w:rPr>
          <w:i/>
        </w:rPr>
        <w:t>Open Seaso</w:t>
      </w:r>
      <w:r>
        <w:rPr>
          <w:i/>
        </w:rPr>
        <w:t xml:space="preserve">n, </w:t>
      </w:r>
      <w:r w:rsidRPr="000B49F0">
        <w:t>incluida la</w:t>
      </w:r>
      <w:r>
        <w:rPr>
          <w:i/>
        </w:rPr>
        <w:t xml:space="preserve"> </w:t>
      </w:r>
      <w:r w:rsidR="00CD0563">
        <w:t>descripción</w:t>
      </w:r>
      <w:r w:rsidR="003C6175" w:rsidRPr="00AB4617">
        <w:t xml:space="preserve"> detallada de</w:t>
      </w:r>
      <w:r w:rsidR="00A156BE">
        <w:t xml:space="preserve"> la</w:t>
      </w:r>
      <w:r w:rsidR="003C6175" w:rsidRPr="00AB4617">
        <w:t xml:space="preserve"> información para presentar las solicitudes de capacidad </w:t>
      </w:r>
      <w:r w:rsidR="00CD0563">
        <w:t>tales como</w:t>
      </w:r>
      <w:r w:rsidR="00CD0563" w:rsidRPr="00AB4617">
        <w:t xml:space="preserve"> </w:t>
      </w:r>
      <w:r w:rsidR="003C6175" w:rsidRPr="00AB4617">
        <w:t>formatos y soportes requeridos.</w:t>
      </w:r>
    </w:p>
    <w:p w:rsidR="00AB4617" w:rsidRPr="00AB4617" w:rsidRDefault="00AB4617" w:rsidP="000B49F0">
      <w:pPr>
        <w:pStyle w:val="numeral"/>
        <w:numPr>
          <w:ilvl w:val="0"/>
          <w:numId w:val="0"/>
        </w:numPr>
        <w:ind w:left="284" w:hanging="284"/>
      </w:pPr>
    </w:p>
    <w:p w:rsidR="003C6175" w:rsidRDefault="003C6175" w:rsidP="000B49F0">
      <w:pPr>
        <w:pStyle w:val="numeral"/>
        <w:ind w:left="426" w:hanging="426"/>
      </w:pPr>
      <w:r w:rsidRPr="00AB4617">
        <w:t xml:space="preserve">Proceso de asignación de capacidad. </w:t>
      </w:r>
    </w:p>
    <w:p w:rsidR="00AB4617" w:rsidRPr="00AB4617" w:rsidRDefault="00AB4617" w:rsidP="000B49F0">
      <w:pPr>
        <w:pStyle w:val="numeral"/>
        <w:numPr>
          <w:ilvl w:val="0"/>
          <w:numId w:val="0"/>
        </w:numPr>
        <w:ind w:left="284" w:hanging="284"/>
      </w:pPr>
    </w:p>
    <w:p w:rsidR="006D6528" w:rsidRDefault="006D6528" w:rsidP="00BA2B94">
      <w:pPr>
        <w:pStyle w:val="numeral"/>
        <w:numPr>
          <w:ilvl w:val="0"/>
          <w:numId w:val="43"/>
        </w:numPr>
      </w:pPr>
      <w:r w:rsidRPr="006D6528">
        <w:t xml:space="preserve">Definición del transportador que llevará a cabo la celebración y suscripción de los contratos de transporte, quien será el responsable de la prestación del servicio, </w:t>
      </w:r>
      <w:r w:rsidR="00516242">
        <w:t>AOM</w:t>
      </w:r>
      <w:r w:rsidRPr="006D6528">
        <w:t xml:space="preserve"> de la infraestructura de transporte</w:t>
      </w:r>
      <w:r w:rsidR="00E0696C">
        <w:t xml:space="preserve"> una vez </w:t>
      </w:r>
      <w:r w:rsidR="00A156BE">
        <w:t xml:space="preserve">se presente la </w:t>
      </w:r>
      <w:r w:rsidR="00516242">
        <w:t>POC</w:t>
      </w:r>
      <w:r w:rsidRPr="006D6528">
        <w:t>.</w:t>
      </w:r>
      <w:r w:rsidR="00BA2B94">
        <w:t xml:space="preserve"> </w:t>
      </w:r>
      <w:r w:rsidR="00BA2B94" w:rsidRPr="00BA2B94">
        <w:t>Para el caso en el que el promotor no</w:t>
      </w:r>
      <w:r w:rsidR="00BA2B94">
        <w:t xml:space="preserve"> se constituya como un transportador en los términos del artículo 6 dichos contratos deberán </w:t>
      </w:r>
      <w:r w:rsidR="00BA2B94" w:rsidRPr="00BA2B94">
        <w:t>se</w:t>
      </w:r>
      <w:r w:rsidR="00BA2B94">
        <w:t>r celebrados y suscritos con</w:t>
      </w:r>
      <w:r w:rsidR="00BA2B94" w:rsidRPr="00BA2B94">
        <w:t xml:space="preserve"> una empresa prestadora de servicios públicos E.S.P. que cuente con la actividad de transporte de gas natural</w:t>
      </w:r>
      <w:r w:rsidR="00BA2B94">
        <w:t>.</w:t>
      </w:r>
    </w:p>
    <w:p w:rsidR="00E0696C" w:rsidRPr="006D6528" w:rsidRDefault="00E0696C" w:rsidP="000B49F0">
      <w:pPr>
        <w:pStyle w:val="numeral"/>
        <w:numPr>
          <w:ilvl w:val="0"/>
          <w:numId w:val="0"/>
        </w:numPr>
        <w:ind w:left="426" w:hanging="426"/>
      </w:pPr>
    </w:p>
    <w:p w:rsidR="003C6175" w:rsidRDefault="003C6175" w:rsidP="000B49F0">
      <w:pPr>
        <w:pStyle w:val="numeral"/>
        <w:numPr>
          <w:ilvl w:val="0"/>
          <w:numId w:val="43"/>
        </w:numPr>
        <w:ind w:left="426" w:hanging="426"/>
      </w:pPr>
      <w:r w:rsidRPr="006D6528">
        <w:t>Método de remuneración del promotor</w:t>
      </w:r>
      <w:r w:rsidR="00E0696C">
        <w:t>.</w:t>
      </w:r>
    </w:p>
    <w:p w:rsidR="00E0696C" w:rsidRPr="006D6528" w:rsidRDefault="00E0696C" w:rsidP="000B49F0">
      <w:pPr>
        <w:pStyle w:val="numeral"/>
        <w:numPr>
          <w:ilvl w:val="0"/>
          <w:numId w:val="0"/>
        </w:numPr>
        <w:ind w:left="426" w:hanging="426"/>
      </w:pPr>
    </w:p>
    <w:p w:rsidR="00966CFA" w:rsidRPr="00E0696C" w:rsidRDefault="00966CFA" w:rsidP="000B49F0">
      <w:pPr>
        <w:pStyle w:val="numeral"/>
        <w:numPr>
          <w:ilvl w:val="0"/>
          <w:numId w:val="43"/>
        </w:numPr>
        <w:ind w:left="426" w:hanging="426"/>
      </w:pPr>
      <w:r w:rsidRPr="00E0696C">
        <w:t>Procedimiento de reporte de</w:t>
      </w:r>
      <w:r w:rsidR="00E0696C">
        <w:t>l estado de avance de la construcción y puesta en operación del proyecto</w:t>
      </w:r>
      <w:r w:rsidRPr="00E0696C">
        <w:t xml:space="preserve"> y presentación de informes por parte del Auditor a los </w:t>
      </w:r>
      <w:r w:rsidR="00E0696C">
        <w:t>participantes</w:t>
      </w:r>
      <w:r w:rsidRPr="00E0696C">
        <w:t xml:space="preserve"> del </w:t>
      </w:r>
      <w:r w:rsidRPr="000B49F0">
        <w:rPr>
          <w:i/>
        </w:rPr>
        <w:t>Open Season</w:t>
      </w:r>
      <w:r w:rsidR="00E0696C">
        <w:rPr>
          <w:i/>
        </w:rPr>
        <w:t>.</w:t>
      </w:r>
    </w:p>
    <w:p w:rsidR="00E0696C" w:rsidRPr="006D6528" w:rsidRDefault="00E0696C" w:rsidP="000B49F0">
      <w:pPr>
        <w:pStyle w:val="numeral"/>
        <w:numPr>
          <w:ilvl w:val="0"/>
          <w:numId w:val="0"/>
        </w:numPr>
        <w:ind w:left="284" w:hanging="284"/>
      </w:pPr>
    </w:p>
    <w:p w:rsidR="003C6175" w:rsidRDefault="003C6175" w:rsidP="000B49F0">
      <w:pPr>
        <w:pStyle w:val="numeral"/>
        <w:numPr>
          <w:ilvl w:val="0"/>
          <w:numId w:val="43"/>
        </w:numPr>
        <w:ind w:left="426" w:hanging="426"/>
      </w:pPr>
      <w:r w:rsidRPr="006D6528">
        <w:t>Método de remuneración del auditor.</w:t>
      </w:r>
    </w:p>
    <w:p w:rsidR="00E0696C" w:rsidRPr="006D6528" w:rsidRDefault="00E0696C" w:rsidP="000B49F0">
      <w:pPr>
        <w:pStyle w:val="numeral"/>
        <w:numPr>
          <w:ilvl w:val="0"/>
          <w:numId w:val="0"/>
        </w:numPr>
        <w:ind w:left="426" w:hanging="426"/>
      </w:pPr>
    </w:p>
    <w:p w:rsidR="00B10277" w:rsidRPr="006D6528" w:rsidRDefault="003C6175" w:rsidP="000B49F0">
      <w:pPr>
        <w:pStyle w:val="numeral"/>
        <w:numPr>
          <w:ilvl w:val="0"/>
          <w:numId w:val="43"/>
        </w:numPr>
        <w:ind w:left="426" w:hanging="426"/>
      </w:pPr>
      <w:r w:rsidRPr="006D6528">
        <w:t>Mecanismos de solución de controversias</w:t>
      </w:r>
      <w:r w:rsidR="00E0696C">
        <w:t>.</w:t>
      </w:r>
    </w:p>
    <w:p w:rsidR="006D6528" w:rsidRPr="003C6175" w:rsidRDefault="006D6528" w:rsidP="003C6175">
      <w:pPr>
        <w:ind w:left="709" w:right="284" w:hanging="709"/>
        <w:contextualSpacing/>
        <w:rPr>
          <w:rFonts w:cs="Calibri"/>
          <w:iCs/>
          <w:szCs w:val="22"/>
          <w:lang w:val="es-CO" w:eastAsia="es-CO"/>
        </w:rPr>
      </w:pPr>
    </w:p>
    <w:p w:rsidR="00FD5138" w:rsidRDefault="007C29C8" w:rsidP="000B49F0">
      <w:pPr>
        <w:rPr>
          <w:rFonts w:cs="Calibri"/>
          <w:iCs/>
          <w:szCs w:val="22"/>
          <w:lang w:val="es-CO" w:eastAsia="es-CO"/>
        </w:rPr>
      </w:pPr>
      <w:r>
        <w:rPr>
          <w:rFonts w:cs="Calibri"/>
          <w:b/>
          <w:iCs/>
          <w:szCs w:val="22"/>
          <w:lang w:val="es-CO" w:eastAsia="es-CO"/>
        </w:rPr>
        <w:lastRenderedPageBreak/>
        <w:t>Parágrafo 1</w:t>
      </w:r>
      <w:r w:rsidRPr="003C6175">
        <w:rPr>
          <w:rFonts w:cs="Calibri"/>
          <w:b/>
          <w:iCs/>
          <w:szCs w:val="22"/>
          <w:lang w:val="es-CO" w:eastAsia="es-CO"/>
        </w:rPr>
        <w:t>°</w:t>
      </w:r>
      <w:r>
        <w:rPr>
          <w:rFonts w:cs="Calibri"/>
          <w:b/>
          <w:iCs/>
          <w:szCs w:val="22"/>
          <w:lang w:val="es-CO" w:eastAsia="es-CO"/>
        </w:rPr>
        <w:t xml:space="preserve"> </w:t>
      </w:r>
      <w:r w:rsidRPr="000B49F0">
        <w:rPr>
          <w:rFonts w:cs="Calibri"/>
          <w:iCs/>
          <w:szCs w:val="22"/>
          <w:lang w:val="es-CO" w:eastAsia="es-CO"/>
        </w:rPr>
        <w:t>El promotor deber</w:t>
      </w:r>
      <w:r>
        <w:rPr>
          <w:rFonts w:cs="Calibri"/>
          <w:iCs/>
          <w:szCs w:val="22"/>
          <w:lang w:val="es-CO" w:eastAsia="es-CO"/>
        </w:rPr>
        <w:t>á</w:t>
      </w:r>
      <w:r w:rsidRPr="000B49F0">
        <w:rPr>
          <w:rFonts w:cs="Calibri"/>
          <w:iCs/>
          <w:szCs w:val="22"/>
          <w:lang w:val="es-CO" w:eastAsia="es-CO"/>
        </w:rPr>
        <w:t xml:space="preserve"> mantener una lista actualizada de los participantes en el </w:t>
      </w:r>
      <w:r w:rsidRPr="000B49F0">
        <w:rPr>
          <w:rFonts w:cs="Calibri"/>
          <w:i/>
          <w:iCs/>
          <w:szCs w:val="22"/>
          <w:lang w:val="es-CO" w:eastAsia="es-CO"/>
        </w:rPr>
        <w:t>Open Season</w:t>
      </w:r>
      <w:r>
        <w:rPr>
          <w:rFonts w:cs="Calibri"/>
          <w:i/>
          <w:iCs/>
          <w:szCs w:val="22"/>
          <w:lang w:val="es-CO" w:eastAsia="es-CO"/>
        </w:rPr>
        <w:t xml:space="preserve">, </w:t>
      </w:r>
      <w:r w:rsidRPr="000B49F0">
        <w:rPr>
          <w:rFonts w:cs="Calibri"/>
          <w:iCs/>
          <w:szCs w:val="22"/>
          <w:lang w:val="es-CO" w:eastAsia="es-CO"/>
        </w:rPr>
        <w:t>que se encuentren activos</w:t>
      </w:r>
      <w:r>
        <w:rPr>
          <w:rFonts w:cs="Calibri"/>
          <w:iCs/>
          <w:szCs w:val="22"/>
          <w:lang w:val="es-CO" w:eastAsia="es-CO"/>
        </w:rPr>
        <w:t xml:space="preserve"> dentro del proceso de asignación y firma de los contratos de capacidad</w:t>
      </w:r>
      <w:r w:rsidRPr="000B49F0">
        <w:rPr>
          <w:rFonts w:cs="Calibri"/>
          <w:iCs/>
          <w:szCs w:val="22"/>
          <w:lang w:val="es-CO" w:eastAsia="es-CO"/>
        </w:rPr>
        <w:t>.</w:t>
      </w:r>
    </w:p>
    <w:p w:rsidR="00A72335" w:rsidRDefault="00A72335" w:rsidP="000B49F0">
      <w:pPr>
        <w:rPr>
          <w:rFonts w:cs="Calibri"/>
          <w:b/>
          <w:iCs/>
          <w:szCs w:val="22"/>
          <w:lang w:val="es-CO" w:eastAsia="es-CO"/>
        </w:rPr>
      </w:pPr>
    </w:p>
    <w:p w:rsidR="003C6175" w:rsidRPr="003C6175" w:rsidRDefault="003C6175" w:rsidP="000B49F0">
      <w:pPr>
        <w:rPr>
          <w:rFonts w:cs="Calibri"/>
          <w:iCs/>
          <w:szCs w:val="22"/>
          <w:lang w:val="es-CO" w:eastAsia="es-CO"/>
        </w:rPr>
      </w:pPr>
      <w:r w:rsidRPr="003C6175">
        <w:rPr>
          <w:rFonts w:cs="Calibri"/>
          <w:b/>
          <w:iCs/>
          <w:szCs w:val="22"/>
          <w:lang w:val="es-CO" w:eastAsia="es-CO"/>
        </w:rPr>
        <w:t xml:space="preserve">Parágrafo 2° </w:t>
      </w:r>
      <w:r w:rsidRPr="003C6175">
        <w:rPr>
          <w:rFonts w:cs="Calibri"/>
          <w:iCs/>
          <w:szCs w:val="22"/>
          <w:lang w:val="es-CO" w:eastAsia="es-CO"/>
        </w:rPr>
        <w:t xml:space="preserve">El promotor podrá ajustar </w:t>
      </w:r>
      <w:r w:rsidR="00E0696C">
        <w:rPr>
          <w:rFonts w:cs="Calibri"/>
          <w:iCs/>
          <w:szCs w:val="22"/>
          <w:lang w:val="es-CO" w:eastAsia="es-CO"/>
        </w:rPr>
        <w:t xml:space="preserve">las bases </w:t>
      </w:r>
      <w:r w:rsidR="00A82980">
        <w:rPr>
          <w:rFonts w:cs="Calibri"/>
          <w:iCs/>
          <w:szCs w:val="22"/>
          <w:lang w:val="es-CO" w:eastAsia="es-CO"/>
        </w:rPr>
        <w:t>mencionadas</w:t>
      </w:r>
      <w:r w:rsidR="00A82980" w:rsidRPr="003C6175">
        <w:rPr>
          <w:rFonts w:cs="Calibri"/>
          <w:iCs/>
          <w:szCs w:val="22"/>
          <w:lang w:val="es-CO" w:eastAsia="es-CO"/>
        </w:rPr>
        <w:t xml:space="preserve"> </w:t>
      </w:r>
      <w:r w:rsidRPr="003C6175">
        <w:rPr>
          <w:rFonts w:cs="Calibri"/>
          <w:iCs/>
          <w:szCs w:val="22"/>
          <w:lang w:val="es-CO" w:eastAsia="es-CO"/>
        </w:rPr>
        <w:t xml:space="preserve">en el presente artículo, informando a los </w:t>
      </w:r>
      <w:r w:rsidR="00E0696C">
        <w:rPr>
          <w:rFonts w:cs="Calibri"/>
          <w:iCs/>
          <w:szCs w:val="22"/>
          <w:lang w:val="es-CO" w:eastAsia="es-CO"/>
        </w:rPr>
        <w:t>participantes</w:t>
      </w:r>
      <w:r w:rsidRPr="003C6175">
        <w:rPr>
          <w:rFonts w:cs="Calibri"/>
          <w:iCs/>
          <w:szCs w:val="22"/>
          <w:lang w:val="es-CO" w:eastAsia="es-CO"/>
        </w:rPr>
        <w:t>.</w:t>
      </w:r>
    </w:p>
    <w:p w:rsidR="000B49F0" w:rsidRDefault="000B49F0" w:rsidP="000B49F0">
      <w:pPr>
        <w:rPr>
          <w:rFonts w:cs="Calibri"/>
          <w:b/>
          <w:iCs/>
          <w:szCs w:val="22"/>
          <w:lang w:val="es-CO" w:eastAsia="es-CO"/>
        </w:rPr>
      </w:pPr>
    </w:p>
    <w:p w:rsidR="003C6175" w:rsidRPr="003C6175" w:rsidRDefault="003C6175" w:rsidP="000B49F0">
      <w:pPr>
        <w:rPr>
          <w:rFonts w:cs="Calibri"/>
          <w:iCs/>
          <w:szCs w:val="22"/>
          <w:lang w:val="es-CO" w:eastAsia="es-CO"/>
        </w:rPr>
      </w:pPr>
      <w:r w:rsidRPr="003C6175">
        <w:rPr>
          <w:rFonts w:cs="Calibri"/>
          <w:b/>
          <w:iCs/>
          <w:szCs w:val="22"/>
          <w:lang w:val="es-CO" w:eastAsia="es-CO"/>
        </w:rPr>
        <w:t>Parágrafo 3°</w:t>
      </w:r>
      <w:r w:rsidRPr="003C6175">
        <w:rPr>
          <w:rFonts w:cs="Calibri"/>
          <w:iCs/>
          <w:szCs w:val="22"/>
          <w:lang w:val="es-CO" w:eastAsia="es-CO"/>
        </w:rPr>
        <w:t xml:space="preserve"> El promotor y los interesados en la </w:t>
      </w:r>
      <w:r w:rsidR="00A82980">
        <w:rPr>
          <w:rFonts w:cs="Calibri"/>
          <w:iCs/>
          <w:szCs w:val="22"/>
          <w:lang w:val="es-CO" w:eastAsia="es-CO"/>
        </w:rPr>
        <w:t xml:space="preserve">asignación de </w:t>
      </w:r>
      <w:r w:rsidRPr="003C6175">
        <w:rPr>
          <w:rFonts w:cs="Calibri"/>
          <w:iCs/>
          <w:szCs w:val="22"/>
          <w:lang w:val="es-CO" w:eastAsia="es-CO"/>
        </w:rPr>
        <w:t xml:space="preserve">capacidad podrán ajustar los términos de las bases libremente, divulgando los cambios a los interesados. </w:t>
      </w:r>
    </w:p>
    <w:p w:rsidR="000B49F0" w:rsidRDefault="000B49F0" w:rsidP="000B49F0">
      <w:pPr>
        <w:rPr>
          <w:b/>
          <w:lang w:val="es-CO"/>
        </w:rPr>
      </w:pPr>
    </w:p>
    <w:p w:rsidR="003C6175" w:rsidRPr="002F4AE8" w:rsidRDefault="003C6175" w:rsidP="000B49F0">
      <w:r w:rsidRPr="003C6175">
        <w:rPr>
          <w:b/>
        </w:rPr>
        <w:t xml:space="preserve">Parágrafo </w:t>
      </w:r>
      <w:r w:rsidR="00B93EE8">
        <w:rPr>
          <w:b/>
        </w:rPr>
        <w:t>4</w:t>
      </w:r>
      <w:r w:rsidRPr="003C6175">
        <w:rPr>
          <w:b/>
        </w:rPr>
        <w:t>°</w:t>
      </w:r>
      <w:r w:rsidRPr="003C6175">
        <w:t xml:space="preserve"> En los formatos y soportes requeridos se debe incluir en el caso de interesados de la demanda regulada la información </w:t>
      </w:r>
      <w:r w:rsidRPr="002F4AE8">
        <w:t xml:space="preserve">necesaria para evaluar lo requerido en el artículo </w:t>
      </w:r>
      <w:r w:rsidR="000B0A3F" w:rsidRPr="002F4AE8">
        <w:t>1</w:t>
      </w:r>
      <w:r w:rsidR="0023690D" w:rsidRPr="002F4AE8">
        <w:t>2</w:t>
      </w:r>
      <w:r w:rsidRPr="002F4AE8">
        <w:t>.</w:t>
      </w:r>
    </w:p>
    <w:p w:rsidR="001717D3" w:rsidRPr="002F4AE8" w:rsidRDefault="001717D3" w:rsidP="000B49F0"/>
    <w:p w:rsidR="001717D3" w:rsidRDefault="001717D3" w:rsidP="000B49F0">
      <w:r w:rsidRPr="002F4AE8">
        <w:rPr>
          <w:b/>
        </w:rPr>
        <w:t>Parágrafo 5°</w:t>
      </w:r>
      <w:r w:rsidRPr="002F4AE8">
        <w:t xml:space="preserve"> El promotor deberá informar a la UPME la apertura del Open Season adjuntando una copia de las bases de participación.</w:t>
      </w:r>
    </w:p>
    <w:p w:rsidR="00A4135C" w:rsidRDefault="00A4135C" w:rsidP="003C6175"/>
    <w:p w:rsidR="00C0269F" w:rsidRPr="009123CD" w:rsidRDefault="00C0269F" w:rsidP="009123CD">
      <w:pPr>
        <w:pStyle w:val="ARTICULO1"/>
        <w:rPr>
          <w:b w:val="0"/>
        </w:rPr>
      </w:pPr>
      <w:r w:rsidRPr="000B49F0">
        <w:t>Divulgación del proyecto.</w:t>
      </w:r>
      <w:r w:rsidR="00A4135C" w:rsidRPr="00E0696C">
        <w:t xml:space="preserve"> </w:t>
      </w:r>
      <w:r w:rsidR="00E0696C" w:rsidRPr="000B49F0">
        <w:t xml:space="preserve"> </w:t>
      </w:r>
      <w:r w:rsidR="00FD5138" w:rsidRPr="009123CD">
        <w:rPr>
          <w:b w:val="0"/>
        </w:rPr>
        <w:t>Desde</w:t>
      </w:r>
      <w:r w:rsidR="00E0696C" w:rsidRPr="009123CD">
        <w:rPr>
          <w:b w:val="0"/>
        </w:rPr>
        <w:t xml:space="preserve"> la apertura del </w:t>
      </w:r>
      <w:r w:rsidR="00E0696C" w:rsidRPr="009123CD">
        <w:rPr>
          <w:b w:val="0"/>
          <w:i/>
        </w:rPr>
        <w:t>Open Season</w:t>
      </w:r>
      <w:r w:rsidR="00E0696C" w:rsidRPr="009123CD">
        <w:rPr>
          <w:b w:val="0"/>
        </w:rPr>
        <w:t xml:space="preserve"> hasta su </w:t>
      </w:r>
      <w:r w:rsidR="00516242" w:rsidRPr="009123CD">
        <w:rPr>
          <w:b w:val="0"/>
        </w:rPr>
        <w:t>POC</w:t>
      </w:r>
      <w:r w:rsidR="00E0696C" w:rsidRPr="009123CD">
        <w:rPr>
          <w:b w:val="0"/>
        </w:rPr>
        <w:t xml:space="preserve">, el promotor </w:t>
      </w:r>
      <w:r w:rsidR="00FD5138" w:rsidRPr="009123CD">
        <w:rPr>
          <w:b w:val="0"/>
        </w:rPr>
        <w:t>será el encargado de hacer la divulgación del proyecto, considerando como mínimo</w:t>
      </w:r>
      <w:r w:rsidRPr="009123CD">
        <w:rPr>
          <w:b w:val="0"/>
        </w:rPr>
        <w:t>:</w:t>
      </w:r>
    </w:p>
    <w:p w:rsidR="00C0269F" w:rsidRDefault="00C0269F" w:rsidP="001C2DAA"/>
    <w:p w:rsidR="00C0269F" w:rsidRDefault="00FD5138" w:rsidP="001C2DAA">
      <w:pPr>
        <w:pStyle w:val="numeral"/>
        <w:numPr>
          <w:ilvl w:val="0"/>
          <w:numId w:val="45"/>
        </w:numPr>
        <w:ind w:left="284" w:hanging="284"/>
      </w:pPr>
      <w:r>
        <w:t>L</w:t>
      </w:r>
      <w:r w:rsidR="00C0269F">
        <w:t xml:space="preserve">as características generales del proyecto, lo cual incluya un trazado aproximado del proyecto, los diámetros de los gasoductos y capacidades de transporte. </w:t>
      </w:r>
    </w:p>
    <w:p w:rsidR="00C0269F" w:rsidRDefault="00C0269F" w:rsidP="001C2DAA">
      <w:pPr>
        <w:pStyle w:val="numeral"/>
        <w:numPr>
          <w:ilvl w:val="0"/>
          <w:numId w:val="0"/>
        </w:numPr>
        <w:ind w:left="284" w:hanging="284"/>
      </w:pPr>
    </w:p>
    <w:p w:rsidR="00C0269F" w:rsidRDefault="00C0269F" w:rsidP="001C2DAA">
      <w:pPr>
        <w:pStyle w:val="numeral"/>
        <w:ind w:left="284" w:hanging="284"/>
      </w:pPr>
      <w:r>
        <w:t xml:space="preserve">La publicación de esta información debe realizarse en la página web que para el efecto defina el promotor </w:t>
      </w:r>
      <w:r w:rsidR="006210B6">
        <w:t xml:space="preserve">de acuerdo con el plazo definido en el cronograma </w:t>
      </w:r>
      <w:r w:rsidR="00AF3140" w:rsidRPr="00AF3140">
        <w:t>del proceso de asignación de capacidad</w:t>
      </w:r>
      <w:r w:rsidR="006210B6">
        <w:t xml:space="preserve">, el cual no deberá ser inferior a 10 días calendario.  </w:t>
      </w:r>
      <w:r>
        <w:t xml:space="preserve"> </w:t>
      </w:r>
    </w:p>
    <w:p w:rsidR="006210B6" w:rsidRDefault="006210B6" w:rsidP="001C2DAA">
      <w:pPr>
        <w:pStyle w:val="numeral"/>
        <w:numPr>
          <w:ilvl w:val="0"/>
          <w:numId w:val="0"/>
        </w:numPr>
        <w:ind w:left="284" w:hanging="284"/>
      </w:pPr>
    </w:p>
    <w:p w:rsidR="006210B6" w:rsidRDefault="006210B6" w:rsidP="001C2DAA">
      <w:pPr>
        <w:pStyle w:val="numeral"/>
        <w:ind w:left="284" w:hanging="284"/>
      </w:pPr>
      <w:r>
        <w:t xml:space="preserve">El promotor podrá organizar reuniones de divulgación del proyecto en las cuales presentará las características del proyecto y aclarará las inquietudes de los interesados en contratar capacidad. </w:t>
      </w:r>
    </w:p>
    <w:p w:rsidR="006210B6" w:rsidRDefault="006210B6" w:rsidP="001C2DAA">
      <w:pPr>
        <w:pStyle w:val="numeral"/>
        <w:numPr>
          <w:ilvl w:val="0"/>
          <w:numId w:val="0"/>
        </w:numPr>
        <w:ind w:left="284" w:hanging="284"/>
      </w:pPr>
    </w:p>
    <w:p w:rsidR="006210B6" w:rsidRDefault="006210B6" w:rsidP="001C2DAA">
      <w:pPr>
        <w:pStyle w:val="numeral"/>
        <w:ind w:left="284" w:hanging="284"/>
      </w:pPr>
      <w:r>
        <w:t xml:space="preserve">Toda la información dentro del proceso de </w:t>
      </w:r>
      <w:r w:rsidRPr="000B49F0">
        <w:rPr>
          <w:i/>
        </w:rPr>
        <w:t>Open Season</w:t>
      </w:r>
      <w:r>
        <w:t xml:space="preserve"> deberá ser objeto de consulta pública por parte de cualquier </w:t>
      </w:r>
      <w:r w:rsidR="00AF3140">
        <w:t>participante activo en el proceso</w:t>
      </w:r>
      <w:r w:rsidR="004451C7">
        <w:t xml:space="preserve"> en cualquier momento desde la apertura del </w:t>
      </w:r>
      <w:r w:rsidR="004451C7" w:rsidRPr="000B49F0">
        <w:rPr>
          <w:i/>
        </w:rPr>
        <w:t>Open Season</w:t>
      </w:r>
      <w:r w:rsidR="004451C7">
        <w:t xml:space="preserve"> hasta la </w:t>
      </w:r>
      <w:r w:rsidR="00516242">
        <w:t>POC</w:t>
      </w:r>
      <w:r w:rsidR="004451C7">
        <w:t>.</w:t>
      </w:r>
      <w:r>
        <w:t>, para lo cual esta deberá permanecer en la página web definida po</w:t>
      </w:r>
      <w:r w:rsidR="004451C7">
        <w:t>r el promotor.</w:t>
      </w:r>
    </w:p>
    <w:p w:rsidR="003C6175" w:rsidRPr="003C6175" w:rsidRDefault="003C6175" w:rsidP="003C6175"/>
    <w:p w:rsidR="003C6175" w:rsidRPr="003C6175" w:rsidRDefault="003C6175" w:rsidP="003C6175">
      <w:pPr>
        <w:rPr>
          <w:lang w:val="es-CO"/>
        </w:rPr>
      </w:pPr>
    </w:p>
    <w:p w:rsidR="003C6175" w:rsidRPr="003C6175" w:rsidRDefault="003C6175" w:rsidP="003C6175">
      <w:pPr>
        <w:keepNext/>
        <w:widowControl w:val="0"/>
        <w:adjustRightInd w:val="0"/>
        <w:jc w:val="center"/>
        <w:textAlignment w:val="baseline"/>
        <w:outlineLvl w:val="0"/>
        <w:rPr>
          <w:b/>
          <w:bCs/>
          <w:lang w:val="x-none" w:eastAsia="x-none"/>
        </w:rPr>
      </w:pPr>
      <w:r w:rsidRPr="003C6175">
        <w:rPr>
          <w:b/>
          <w:bCs/>
          <w:lang w:val="es-CO" w:eastAsia="x-none"/>
        </w:rPr>
        <w:t>Capítulo 3</w:t>
      </w:r>
      <w:r w:rsidR="00AF3140">
        <w:rPr>
          <w:b/>
          <w:bCs/>
          <w:lang w:val="es-CO" w:eastAsia="x-none"/>
        </w:rPr>
        <w:t>.</w:t>
      </w:r>
      <w:r w:rsidRPr="003C6175">
        <w:rPr>
          <w:b/>
          <w:bCs/>
          <w:lang w:val="es-CO" w:eastAsia="x-none"/>
        </w:rPr>
        <w:t xml:space="preserve"> Adjudicación de capacidad de transporte</w:t>
      </w:r>
    </w:p>
    <w:p w:rsidR="003C6175" w:rsidRPr="003C6175" w:rsidRDefault="003C6175" w:rsidP="003C6175">
      <w:pPr>
        <w:rPr>
          <w:lang w:val="es-CO"/>
        </w:rPr>
      </w:pPr>
    </w:p>
    <w:p w:rsidR="001C2DAA" w:rsidRPr="00FA7D19" w:rsidRDefault="003C6175" w:rsidP="00FA7D19">
      <w:pPr>
        <w:pStyle w:val="ARTICULO1"/>
        <w:rPr>
          <w:b w:val="0"/>
        </w:rPr>
      </w:pPr>
      <w:r w:rsidRPr="003C6175">
        <w:t xml:space="preserve">Proceso de asignación de capacidad. </w:t>
      </w:r>
      <w:r w:rsidRPr="00FA7D19">
        <w:rPr>
          <w:b w:val="0"/>
        </w:rPr>
        <w:t>El proceso de asignación de capacidad deberá ser diseñado por el promotor</w:t>
      </w:r>
      <w:r w:rsidR="00AF3140" w:rsidRPr="00FA7D19">
        <w:rPr>
          <w:b w:val="0"/>
        </w:rPr>
        <w:t xml:space="preserve"> con base en los principios de eficiencia económica, eficiencia e</w:t>
      </w:r>
      <w:r w:rsidR="006F25E9">
        <w:rPr>
          <w:b w:val="0"/>
        </w:rPr>
        <w:t>n la asignación,</w:t>
      </w:r>
      <w:r w:rsidR="00AF3140" w:rsidRPr="00FA7D19">
        <w:rPr>
          <w:b w:val="0"/>
        </w:rPr>
        <w:t xml:space="preserve"> </w:t>
      </w:r>
      <w:r w:rsidR="000619BA" w:rsidRPr="00FA7D19">
        <w:rPr>
          <w:b w:val="0"/>
        </w:rPr>
        <w:t>transparencia</w:t>
      </w:r>
      <w:r w:rsidR="00AF3140" w:rsidRPr="00FA7D19">
        <w:rPr>
          <w:b w:val="0"/>
        </w:rPr>
        <w:t xml:space="preserve"> y publicidad</w:t>
      </w:r>
      <w:r w:rsidR="001C2DAA" w:rsidRPr="00FA7D19">
        <w:rPr>
          <w:b w:val="0"/>
        </w:rPr>
        <w:t xml:space="preserve">, así como de </w:t>
      </w:r>
      <w:r w:rsidR="00AF3140" w:rsidRPr="00FA7D19">
        <w:rPr>
          <w:b w:val="0"/>
        </w:rPr>
        <w:t xml:space="preserve">libre participación, </w:t>
      </w:r>
      <w:r w:rsidR="00A82980">
        <w:rPr>
          <w:b w:val="0"/>
        </w:rPr>
        <w:t>n</w:t>
      </w:r>
      <w:r w:rsidR="00A82980" w:rsidRPr="00FA7D19">
        <w:rPr>
          <w:b w:val="0"/>
        </w:rPr>
        <w:t xml:space="preserve">o </w:t>
      </w:r>
      <w:r w:rsidR="00AF3140" w:rsidRPr="00FA7D19">
        <w:rPr>
          <w:b w:val="0"/>
        </w:rPr>
        <w:t>discriminación y neutralidad a que hacen referencia el artículo 2 de la pre</w:t>
      </w:r>
      <w:r w:rsidR="00AE6CC6" w:rsidRPr="00FA7D19">
        <w:rPr>
          <w:b w:val="0"/>
        </w:rPr>
        <w:t>s</w:t>
      </w:r>
      <w:r w:rsidR="00AF3140" w:rsidRPr="00FA7D19">
        <w:rPr>
          <w:b w:val="0"/>
        </w:rPr>
        <w:t>ente resolución.</w:t>
      </w:r>
    </w:p>
    <w:p w:rsidR="001C2DAA" w:rsidRPr="002F4AE8" w:rsidRDefault="001C2DAA" w:rsidP="001C2DAA">
      <w:pPr>
        <w:rPr>
          <w:lang w:val="es-CO"/>
        </w:rPr>
      </w:pPr>
    </w:p>
    <w:p w:rsidR="002F4AE8" w:rsidRDefault="002F4AE8" w:rsidP="001C2DAA">
      <w:pPr>
        <w:rPr>
          <w:lang w:val="es-CO"/>
        </w:rPr>
      </w:pPr>
      <w:r>
        <w:rPr>
          <w:lang w:val="es-CO"/>
        </w:rPr>
        <w:lastRenderedPageBreak/>
        <w:t>El proceso determinará la</w:t>
      </w:r>
      <w:r w:rsidR="00A47990" w:rsidRPr="002F4AE8">
        <w:rPr>
          <w:lang w:val="es-CO"/>
        </w:rPr>
        <w:t xml:space="preserve">s </w:t>
      </w:r>
      <w:r>
        <w:rPr>
          <w:lang w:val="es-CO"/>
        </w:rPr>
        <w:t>capacidades</w:t>
      </w:r>
      <w:r w:rsidRPr="002F4AE8">
        <w:rPr>
          <w:lang w:val="es-CO"/>
        </w:rPr>
        <w:t xml:space="preserve"> de transporte a contratar por los participantes</w:t>
      </w:r>
      <w:r>
        <w:rPr>
          <w:lang w:val="es-CO"/>
        </w:rPr>
        <w:t xml:space="preserve"> y los precios resultantes.</w:t>
      </w:r>
    </w:p>
    <w:p w:rsidR="00AF3140" w:rsidRPr="000B49F0" w:rsidRDefault="00AF3140" w:rsidP="00FE046E"/>
    <w:p w:rsidR="003C6175" w:rsidRPr="00FA7D19" w:rsidRDefault="00AF3140" w:rsidP="00FA7D19">
      <w:pPr>
        <w:pStyle w:val="ARTICULO1"/>
        <w:rPr>
          <w:b w:val="0"/>
        </w:rPr>
      </w:pPr>
      <w:r>
        <w:t>Suscripción</w:t>
      </w:r>
      <w:r w:rsidRPr="003C6175">
        <w:t xml:space="preserve"> </w:t>
      </w:r>
      <w:r w:rsidR="003C6175" w:rsidRPr="003C6175">
        <w:t>de contratos de transporte</w:t>
      </w:r>
      <w:r w:rsidR="003C6175" w:rsidRPr="00FA7D19">
        <w:rPr>
          <w:b w:val="0"/>
        </w:rPr>
        <w:t xml:space="preserve">.  Una vez se lleve a cabo el proceso de asignación de capacidad descrito en las bases de </w:t>
      </w:r>
      <w:r w:rsidRPr="00FA7D19">
        <w:rPr>
          <w:b w:val="0"/>
          <w:i/>
        </w:rPr>
        <w:t>Open Season</w:t>
      </w:r>
      <w:r w:rsidRPr="00FA7D19">
        <w:rPr>
          <w:b w:val="0"/>
        </w:rPr>
        <w:t xml:space="preserve"> se suscribirán</w:t>
      </w:r>
      <w:r w:rsidR="003C6175" w:rsidRPr="00FA7D19">
        <w:rPr>
          <w:b w:val="0"/>
        </w:rPr>
        <w:t xml:space="preserve"> </w:t>
      </w:r>
      <w:r w:rsidRPr="00FA7D19">
        <w:rPr>
          <w:b w:val="0"/>
        </w:rPr>
        <w:t>los</w:t>
      </w:r>
      <w:r w:rsidR="003C6175" w:rsidRPr="00FA7D19">
        <w:rPr>
          <w:b w:val="0"/>
        </w:rPr>
        <w:t xml:space="preserve"> contratos de transporte </w:t>
      </w:r>
      <w:r w:rsidRPr="00FA7D19">
        <w:rPr>
          <w:b w:val="0"/>
        </w:rPr>
        <w:t xml:space="preserve">y se </w:t>
      </w:r>
      <w:r w:rsidR="003C6175" w:rsidRPr="00FA7D19">
        <w:rPr>
          <w:b w:val="0"/>
        </w:rPr>
        <w:t>registrará</w:t>
      </w:r>
      <w:r w:rsidRPr="00FA7D19">
        <w:rPr>
          <w:b w:val="0"/>
        </w:rPr>
        <w:t>n</w:t>
      </w:r>
      <w:r w:rsidR="003C6175" w:rsidRPr="00FA7D19">
        <w:rPr>
          <w:b w:val="0"/>
        </w:rPr>
        <w:t xml:space="preserve"> en el gestor del mercado</w:t>
      </w:r>
      <w:r w:rsidRPr="00FA7D19">
        <w:rPr>
          <w:b w:val="0"/>
        </w:rPr>
        <w:t xml:space="preserve"> atendiendo las reglas previstas en la regulación para tal efecto</w:t>
      </w:r>
      <w:r w:rsidR="003C6175" w:rsidRPr="00FA7D19">
        <w:rPr>
          <w:b w:val="0"/>
        </w:rPr>
        <w:t>.</w:t>
      </w:r>
    </w:p>
    <w:p w:rsidR="003C6175" w:rsidRPr="003B090F" w:rsidRDefault="003C6175" w:rsidP="003C6175">
      <w:pPr>
        <w:rPr>
          <w:lang w:val="es-CO"/>
        </w:rPr>
      </w:pPr>
    </w:p>
    <w:p w:rsidR="00C2478F" w:rsidRPr="003B090F" w:rsidRDefault="00C2478F" w:rsidP="003C6175">
      <w:pPr>
        <w:rPr>
          <w:lang w:val="es-CO"/>
        </w:rPr>
      </w:pPr>
      <w:r w:rsidRPr="000B49F0">
        <w:rPr>
          <w:b/>
          <w:lang w:val="es-CO"/>
        </w:rPr>
        <w:t>Parágrafo</w:t>
      </w:r>
      <w:r w:rsidR="000A441B" w:rsidRPr="000B49F0">
        <w:rPr>
          <w:b/>
          <w:lang w:val="es-CO"/>
        </w:rPr>
        <w:t xml:space="preserve"> 1o</w:t>
      </w:r>
      <w:r w:rsidRPr="003B090F">
        <w:rPr>
          <w:lang w:val="es-CO"/>
        </w:rPr>
        <w:t xml:space="preserve">. Una vez el promotor asigne la </w:t>
      </w:r>
      <w:r w:rsidRPr="002F4AE8">
        <w:rPr>
          <w:lang w:val="es-CO"/>
        </w:rPr>
        <w:t>capacidad informar</w:t>
      </w:r>
      <w:r w:rsidR="008B125C" w:rsidRPr="002F4AE8">
        <w:rPr>
          <w:lang w:val="es-CO"/>
        </w:rPr>
        <w:t>á</w:t>
      </w:r>
      <w:r w:rsidRPr="002F4AE8">
        <w:rPr>
          <w:lang w:val="es-CO"/>
        </w:rPr>
        <w:t xml:space="preserve"> a la UPME los resultados de la asignación de la capacidad</w:t>
      </w:r>
      <w:r w:rsidR="008B125C" w:rsidRPr="002F4AE8">
        <w:rPr>
          <w:lang w:val="es-CO"/>
        </w:rPr>
        <w:t xml:space="preserve"> en un plazo máximo de 15 días hábiles</w:t>
      </w:r>
      <w:r w:rsidRPr="002F4AE8">
        <w:rPr>
          <w:lang w:val="es-CO"/>
        </w:rPr>
        <w:t>.</w:t>
      </w:r>
    </w:p>
    <w:p w:rsidR="000A441B" w:rsidRPr="003B090F" w:rsidRDefault="000A441B" w:rsidP="003C6175">
      <w:pPr>
        <w:rPr>
          <w:lang w:val="es-CO"/>
        </w:rPr>
      </w:pPr>
    </w:p>
    <w:p w:rsidR="000A441B" w:rsidRPr="003B090F" w:rsidRDefault="000A441B" w:rsidP="003C6175">
      <w:pPr>
        <w:rPr>
          <w:lang w:val="es-CO"/>
        </w:rPr>
      </w:pPr>
      <w:r w:rsidRPr="000B49F0">
        <w:rPr>
          <w:b/>
          <w:lang w:val="es-CO"/>
        </w:rPr>
        <w:t>Parágrafo 2º.</w:t>
      </w:r>
      <w:r w:rsidRPr="003B090F">
        <w:rPr>
          <w:lang w:val="es-CO"/>
        </w:rPr>
        <w:t xml:space="preserve"> </w:t>
      </w:r>
      <w:r w:rsidR="00F541CF" w:rsidRPr="003B090F">
        <w:rPr>
          <w:lang w:val="es-CO"/>
        </w:rPr>
        <w:t xml:space="preserve">Una vez adjudicada la capacidad de transporte, el promotor deberá comunicar a los </w:t>
      </w:r>
      <w:r w:rsidR="00B350D1" w:rsidRPr="003B090F">
        <w:rPr>
          <w:lang w:val="es-CO"/>
        </w:rPr>
        <w:t>adjudicatarios de dicha capacidad la información referente a:</w:t>
      </w:r>
    </w:p>
    <w:p w:rsidR="00B350D1" w:rsidRPr="003B090F" w:rsidRDefault="00B350D1" w:rsidP="003C6175">
      <w:pPr>
        <w:rPr>
          <w:lang w:val="es-CO"/>
        </w:rPr>
      </w:pPr>
    </w:p>
    <w:p w:rsidR="00B350D1" w:rsidRPr="003B090F" w:rsidRDefault="00B350D1" w:rsidP="003C6175">
      <w:pPr>
        <w:rPr>
          <w:lang w:val="es-CO"/>
        </w:rPr>
      </w:pPr>
      <w:r w:rsidRPr="003B090F">
        <w:rPr>
          <w:lang w:val="es-CO"/>
        </w:rPr>
        <w:t xml:space="preserve">a. Cronograma de construcción y puesta en operación del proyecto. </w:t>
      </w:r>
    </w:p>
    <w:p w:rsidR="00B350D1" w:rsidRPr="003B090F" w:rsidRDefault="00B350D1" w:rsidP="003C6175">
      <w:pPr>
        <w:rPr>
          <w:lang w:val="es-CO"/>
        </w:rPr>
      </w:pPr>
    </w:p>
    <w:p w:rsidR="00B350D1" w:rsidRDefault="00B350D1" w:rsidP="003C6175">
      <w:pPr>
        <w:rPr>
          <w:lang w:val="es-CO"/>
        </w:rPr>
      </w:pPr>
      <w:r w:rsidRPr="003B090F">
        <w:rPr>
          <w:lang w:val="es-CO"/>
        </w:rPr>
        <w:t xml:space="preserve">b. Dimensionamiento del proyecto donde se incluirá la </w:t>
      </w:r>
      <w:r w:rsidRPr="002F4AE8">
        <w:rPr>
          <w:lang w:val="es-CO"/>
        </w:rPr>
        <w:t xml:space="preserve">capacidad de transporte </w:t>
      </w:r>
      <w:r w:rsidR="000B3CCD" w:rsidRPr="002F4AE8">
        <w:rPr>
          <w:lang w:val="es-CO"/>
        </w:rPr>
        <w:t xml:space="preserve">Capacidad Máxima de Mediano Plazo – </w:t>
      </w:r>
      <w:r w:rsidRPr="002F4AE8">
        <w:rPr>
          <w:lang w:val="es-CO"/>
        </w:rPr>
        <w:t>CMMP</w:t>
      </w:r>
      <w:r w:rsidR="000B3CCD" w:rsidRPr="002F4AE8">
        <w:rPr>
          <w:lang w:val="es-CO"/>
        </w:rPr>
        <w:t xml:space="preserve"> definida acorde a la resolución CREG 126 de 2010 </w:t>
      </w:r>
      <w:r w:rsidR="000B3CCD" w:rsidRPr="002F4AE8">
        <w:rPr>
          <w:lang w:val="es-CO" w:eastAsia="x-none"/>
        </w:rPr>
        <w:t>o aquellas que la modifiquen o sustituyan</w:t>
      </w:r>
      <w:r w:rsidRPr="002F4AE8">
        <w:rPr>
          <w:lang w:val="es-CO"/>
        </w:rPr>
        <w:t>, trazado y demás información que acuerden el promotor y los adjudicatarios de la capacidad</w:t>
      </w:r>
      <w:r w:rsidRPr="003B090F">
        <w:rPr>
          <w:lang w:val="es-CO"/>
        </w:rPr>
        <w:t>.</w:t>
      </w:r>
      <w:r>
        <w:rPr>
          <w:lang w:val="es-CO"/>
        </w:rPr>
        <w:t xml:space="preserve">  </w:t>
      </w:r>
    </w:p>
    <w:p w:rsidR="005B43A5" w:rsidRDefault="005B43A5" w:rsidP="003C6175">
      <w:pPr>
        <w:rPr>
          <w:lang w:val="es-CO"/>
        </w:rPr>
      </w:pPr>
    </w:p>
    <w:p w:rsidR="00902039" w:rsidRPr="00FA7D19" w:rsidRDefault="005B43A5" w:rsidP="00FA7D19">
      <w:pPr>
        <w:pStyle w:val="ARTICULO1"/>
        <w:rPr>
          <w:b w:val="0"/>
        </w:rPr>
      </w:pPr>
      <w:bookmarkStart w:id="6" w:name="_Ref439268208"/>
      <w:r w:rsidRPr="000B49F0">
        <w:rPr>
          <w:spacing w:val="-4"/>
        </w:rPr>
        <w:t>Incumplimiento insalvable.</w:t>
      </w:r>
      <w:r w:rsidRPr="003B090F">
        <w:t xml:space="preserve"> </w:t>
      </w:r>
      <w:bookmarkStart w:id="7" w:name="_Ref349866454"/>
      <w:r w:rsidRPr="002F4AE8">
        <w:rPr>
          <w:b w:val="0"/>
        </w:rPr>
        <w:t xml:space="preserve">Una vez informado lo dispuesto en el parágrafo 2º del artículo </w:t>
      </w:r>
      <w:r w:rsidR="000B49F0" w:rsidRPr="002F4AE8">
        <w:rPr>
          <w:b w:val="0"/>
        </w:rPr>
        <w:t>19 de la pres</w:t>
      </w:r>
      <w:r w:rsidR="0023690D" w:rsidRPr="002F4AE8">
        <w:rPr>
          <w:b w:val="0"/>
        </w:rPr>
        <w:t>e</w:t>
      </w:r>
      <w:r w:rsidR="000B49F0" w:rsidRPr="002F4AE8">
        <w:rPr>
          <w:b w:val="0"/>
        </w:rPr>
        <w:t>nt</w:t>
      </w:r>
      <w:r w:rsidR="0023690D" w:rsidRPr="002F4AE8">
        <w:rPr>
          <w:b w:val="0"/>
        </w:rPr>
        <w:t>e</w:t>
      </w:r>
      <w:r w:rsidR="000B49F0" w:rsidRPr="002F4AE8">
        <w:rPr>
          <w:b w:val="0"/>
        </w:rPr>
        <w:t xml:space="preserve"> resolución</w:t>
      </w:r>
      <w:r w:rsidRPr="002F4AE8">
        <w:rPr>
          <w:b w:val="0"/>
        </w:rPr>
        <w:t>, los adjudicatarios de la capacidad de transporte y el promotor definirán</w:t>
      </w:r>
      <w:r w:rsidRPr="00FA7D19">
        <w:rPr>
          <w:b w:val="0"/>
        </w:rPr>
        <w:t xml:space="preserve"> las situaciones que constituyen un </w:t>
      </w:r>
      <w:r w:rsidRPr="00FA7D19">
        <w:rPr>
          <w:b w:val="0"/>
          <w:bCs/>
          <w:lang w:eastAsia="x-none"/>
        </w:rPr>
        <w:t>incumplimiento</w:t>
      </w:r>
      <w:r w:rsidRPr="00FA7D19">
        <w:rPr>
          <w:b w:val="0"/>
        </w:rPr>
        <w:t xml:space="preserve"> insalvable y que obligan al auditor a informar respecto de la ocurrencia de ésta situación</w:t>
      </w:r>
      <w:r w:rsidR="00291289" w:rsidRPr="00FA7D19">
        <w:rPr>
          <w:b w:val="0"/>
        </w:rPr>
        <w:t xml:space="preserve"> de acue</w:t>
      </w:r>
      <w:r w:rsidR="003B090F" w:rsidRPr="00FA7D19">
        <w:rPr>
          <w:b w:val="0"/>
        </w:rPr>
        <w:t>r</w:t>
      </w:r>
      <w:r w:rsidR="00291289" w:rsidRPr="00FA7D19">
        <w:rPr>
          <w:b w:val="0"/>
        </w:rPr>
        <w:t xml:space="preserve">do con el literal c del artículo </w:t>
      </w:r>
      <w:r w:rsidR="003B090F" w:rsidRPr="00FA7D19">
        <w:rPr>
          <w:b w:val="0"/>
        </w:rPr>
        <w:t>9</w:t>
      </w:r>
      <w:r w:rsidRPr="00FA7D19">
        <w:rPr>
          <w:b w:val="0"/>
        </w:rPr>
        <w:t xml:space="preserve">, así como los efectos y consecuencias que se generan por estas situaciones.  </w:t>
      </w:r>
      <w:bookmarkEnd w:id="6"/>
      <w:bookmarkEnd w:id="7"/>
    </w:p>
    <w:p w:rsidR="00C2478F" w:rsidRPr="000B49F0" w:rsidRDefault="00C2478F" w:rsidP="000B49F0">
      <w:pPr>
        <w:ind w:left="567"/>
        <w:rPr>
          <w:lang w:val="es-CO"/>
        </w:rPr>
      </w:pPr>
    </w:p>
    <w:p w:rsidR="003C6175" w:rsidRPr="00FA7D19" w:rsidRDefault="003C6175" w:rsidP="00FA7D19">
      <w:pPr>
        <w:pStyle w:val="ARTICULO1"/>
        <w:rPr>
          <w:b w:val="0"/>
        </w:rPr>
      </w:pPr>
      <w:r w:rsidRPr="003C6175">
        <w:t xml:space="preserve">Alternativas en caso de que no se lleve a cabo el cierre de un </w:t>
      </w:r>
      <w:r w:rsidRPr="003C6175">
        <w:rPr>
          <w:i/>
        </w:rPr>
        <w:t>Open Season</w:t>
      </w:r>
      <w:r w:rsidRPr="003C6175">
        <w:t xml:space="preserve">. </w:t>
      </w:r>
      <w:r w:rsidRPr="00FA7D19">
        <w:rPr>
          <w:b w:val="0"/>
        </w:rPr>
        <w:t xml:space="preserve">Ante los posibles eventos en los cuales </w:t>
      </w:r>
      <w:r w:rsidR="003B090F" w:rsidRPr="00FA7D19">
        <w:rPr>
          <w:b w:val="0"/>
        </w:rPr>
        <w:t xml:space="preserve">en </w:t>
      </w:r>
      <w:r w:rsidRPr="00FA7D19">
        <w:rPr>
          <w:b w:val="0"/>
        </w:rPr>
        <w:t xml:space="preserve">el proceso de </w:t>
      </w:r>
      <w:r w:rsidRPr="00FA7D19">
        <w:rPr>
          <w:b w:val="0"/>
          <w:i/>
        </w:rPr>
        <w:t>Open Season</w:t>
      </w:r>
      <w:r w:rsidR="003B090F" w:rsidRPr="00FA7D19">
        <w:rPr>
          <w:b w:val="0"/>
          <w:i/>
        </w:rPr>
        <w:t xml:space="preserve"> </w:t>
      </w:r>
      <w:r w:rsidR="003B090F" w:rsidRPr="00FA7D19">
        <w:rPr>
          <w:b w:val="0"/>
        </w:rPr>
        <w:t>no se lleve a cabo la suscripción de los contratos de transporte que imposibiliten la ejecución y puesta en operación del proyecto,</w:t>
      </w:r>
      <w:r w:rsidRPr="00FA7D19">
        <w:rPr>
          <w:b w:val="0"/>
        </w:rPr>
        <w:t xml:space="preserve"> con el fin de </w:t>
      </w:r>
      <w:r w:rsidR="00013DC0" w:rsidRPr="00FA7D19">
        <w:rPr>
          <w:b w:val="0"/>
        </w:rPr>
        <w:t xml:space="preserve">atender los requerimientos de capacidad de transporte con contratos suscritos, se podrá redimensionar el proyecto o adelantar un nuevo </w:t>
      </w:r>
      <w:r w:rsidR="00013DC0" w:rsidRPr="00D939D6">
        <w:rPr>
          <w:b w:val="0"/>
          <w:i/>
        </w:rPr>
        <w:t>Open Season</w:t>
      </w:r>
      <w:r w:rsidR="00013DC0" w:rsidRPr="00FA7D19">
        <w:rPr>
          <w:b w:val="0"/>
        </w:rPr>
        <w:t xml:space="preserve"> con la información con la que se cuente en este punto</w:t>
      </w:r>
      <w:r w:rsidRPr="00FA7D19">
        <w:rPr>
          <w:b w:val="0"/>
        </w:rPr>
        <w:t xml:space="preserve">. </w:t>
      </w:r>
    </w:p>
    <w:p w:rsidR="006210B6" w:rsidRPr="00FA7D19" w:rsidRDefault="006210B6" w:rsidP="00013DC0"/>
    <w:p w:rsidR="003C6175" w:rsidRPr="006210B6" w:rsidRDefault="003C6175" w:rsidP="001C2DAA">
      <w:pPr>
        <w:rPr>
          <w:lang w:val="es-CO"/>
        </w:rPr>
      </w:pPr>
    </w:p>
    <w:p w:rsidR="003C6175" w:rsidRPr="000B49F0" w:rsidRDefault="003C6175" w:rsidP="003C6175">
      <w:pPr>
        <w:keepNext/>
        <w:widowControl w:val="0"/>
        <w:adjustRightInd w:val="0"/>
        <w:jc w:val="center"/>
        <w:textAlignment w:val="baseline"/>
        <w:outlineLvl w:val="0"/>
        <w:rPr>
          <w:b/>
          <w:bCs/>
          <w:i/>
          <w:lang w:val="x-none" w:eastAsia="x-none"/>
        </w:rPr>
      </w:pPr>
      <w:r w:rsidRPr="003C6175">
        <w:rPr>
          <w:b/>
          <w:bCs/>
          <w:lang w:val="es-CO" w:eastAsia="x-none"/>
        </w:rPr>
        <w:t>Capítulo 3</w:t>
      </w:r>
      <w:r w:rsidR="00013DC0">
        <w:rPr>
          <w:b/>
          <w:bCs/>
          <w:lang w:val="es-CO" w:eastAsia="x-none"/>
        </w:rPr>
        <w:t>.</w:t>
      </w:r>
      <w:r w:rsidRPr="003C6175">
        <w:rPr>
          <w:b/>
          <w:bCs/>
          <w:lang w:val="es-CO" w:eastAsia="x-none"/>
        </w:rPr>
        <w:t xml:space="preserve"> Construcción y POC obra de infraestructura a partir de </w:t>
      </w:r>
      <w:r w:rsidRPr="000B49F0">
        <w:rPr>
          <w:b/>
          <w:bCs/>
          <w:i/>
          <w:lang w:val="es-CO" w:eastAsia="x-none"/>
        </w:rPr>
        <w:t>Open Season</w:t>
      </w:r>
    </w:p>
    <w:p w:rsidR="003C6175" w:rsidRPr="003C6175" w:rsidRDefault="003C6175" w:rsidP="003C6175">
      <w:pPr>
        <w:rPr>
          <w:b/>
          <w:lang w:val="es-CO"/>
        </w:rPr>
      </w:pPr>
    </w:p>
    <w:p w:rsidR="003C6175" w:rsidRPr="002F4AE8" w:rsidRDefault="003C6175" w:rsidP="00FA7D19">
      <w:pPr>
        <w:pStyle w:val="ARTICULO1"/>
        <w:rPr>
          <w:b w:val="0"/>
        </w:rPr>
      </w:pPr>
      <w:r w:rsidRPr="003C6175">
        <w:t>Contratos para construcción de la</w:t>
      </w:r>
      <w:r w:rsidR="00013DC0">
        <w:t>s</w:t>
      </w:r>
      <w:r w:rsidRPr="003C6175">
        <w:t xml:space="preserve"> obras de infraestructura. </w:t>
      </w:r>
      <w:r w:rsidRPr="00FA7D19">
        <w:rPr>
          <w:b w:val="0"/>
        </w:rPr>
        <w:t xml:space="preserve">El promotor en caso de no </w:t>
      </w:r>
      <w:r w:rsidR="00013DC0" w:rsidRPr="00FA7D19">
        <w:rPr>
          <w:b w:val="0"/>
        </w:rPr>
        <w:t xml:space="preserve">llevar acabo de forma directa la construcción y puesta en operación de la </w:t>
      </w:r>
      <w:r w:rsidR="00013DC0" w:rsidRPr="002F4AE8">
        <w:rPr>
          <w:b w:val="0"/>
        </w:rPr>
        <w:t>infraestructura de transporte</w:t>
      </w:r>
      <w:r w:rsidRPr="002F4AE8">
        <w:rPr>
          <w:b w:val="0"/>
        </w:rPr>
        <w:t xml:space="preserve">, deberá </w:t>
      </w:r>
      <w:r w:rsidR="00013DC0" w:rsidRPr="002F4AE8">
        <w:rPr>
          <w:b w:val="0"/>
        </w:rPr>
        <w:t xml:space="preserve">suscribir los </w:t>
      </w:r>
      <w:r w:rsidRPr="002F4AE8">
        <w:rPr>
          <w:b w:val="0"/>
        </w:rPr>
        <w:t>contratos</w:t>
      </w:r>
      <w:r w:rsidR="00013DC0" w:rsidRPr="002F4AE8">
        <w:rPr>
          <w:b w:val="0"/>
        </w:rPr>
        <w:t xml:space="preserve"> que se requieran</w:t>
      </w:r>
      <w:r w:rsidRPr="002F4AE8">
        <w:rPr>
          <w:b w:val="0"/>
        </w:rPr>
        <w:t xml:space="preserve"> con sus respectivas garantías para honrar los compromisos de dichas obras</w:t>
      </w:r>
      <w:r w:rsidR="00013DC0" w:rsidRPr="002F4AE8">
        <w:rPr>
          <w:b w:val="0"/>
        </w:rPr>
        <w:t xml:space="preserve"> con un agente proveedor de construcción</w:t>
      </w:r>
      <w:r w:rsidR="00E74F73" w:rsidRPr="002F4AE8">
        <w:rPr>
          <w:b w:val="0"/>
        </w:rPr>
        <w:t xml:space="preserve">, </w:t>
      </w:r>
      <w:r w:rsidR="006B73C1" w:rsidRPr="002F4AE8">
        <w:rPr>
          <w:b w:val="0"/>
        </w:rPr>
        <w:t>el promotor</w:t>
      </w:r>
      <w:r w:rsidR="00E74F73" w:rsidRPr="002F4AE8">
        <w:rPr>
          <w:b w:val="0"/>
        </w:rPr>
        <w:t xml:space="preserve"> deberá informar a los </w:t>
      </w:r>
      <w:r w:rsidR="00C72DD1" w:rsidRPr="002F4AE8">
        <w:rPr>
          <w:b w:val="0"/>
        </w:rPr>
        <w:t>participantes</w:t>
      </w:r>
      <w:r w:rsidR="006B73C1" w:rsidRPr="002F4AE8">
        <w:rPr>
          <w:b w:val="0"/>
        </w:rPr>
        <w:t xml:space="preserve"> la información del proceso de selección y requisitos mínimos</w:t>
      </w:r>
      <w:r w:rsidRPr="002F4AE8">
        <w:rPr>
          <w:b w:val="0"/>
        </w:rPr>
        <w:t>.</w:t>
      </w:r>
    </w:p>
    <w:p w:rsidR="003C6175" w:rsidRPr="00FA7D19" w:rsidRDefault="003C6175" w:rsidP="003C6175"/>
    <w:p w:rsidR="003C6175" w:rsidRPr="003C6175" w:rsidRDefault="003C6175" w:rsidP="003C6175">
      <w:r w:rsidRPr="003C6175">
        <w:lastRenderedPageBreak/>
        <w:t xml:space="preserve">La información </w:t>
      </w:r>
      <w:r w:rsidRPr="002F4AE8">
        <w:t>contractual y de garantías para la construcción de la obra de infraestructura</w:t>
      </w:r>
      <w:r w:rsidR="00CC1D42" w:rsidRPr="002F4AE8">
        <w:t>, así como demás información acordada con el promotor</w:t>
      </w:r>
      <w:r w:rsidRPr="002F4AE8">
        <w:t xml:space="preserve"> podrá ser exigible por parte de los agentes</w:t>
      </w:r>
      <w:r w:rsidRPr="003C6175">
        <w:t xml:space="preserve"> participantes en la adquisición de la capacidad de transporte de gas en cualquier etapa de desarrollo del </w:t>
      </w:r>
      <w:r w:rsidR="00013DC0" w:rsidRPr="000B49F0">
        <w:rPr>
          <w:i/>
        </w:rPr>
        <w:t>Open Season</w:t>
      </w:r>
      <w:r w:rsidR="00013DC0" w:rsidRPr="003C6175">
        <w:t xml:space="preserve"> </w:t>
      </w:r>
      <w:r w:rsidRPr="003C6175">
        <w:t>y del proyecto.</w:t>
      </w:r>
    </w:p>
    <w:p w:rsidR="003C6175" w:rsidRPr="003C6175" w:rsidRDefault="003C6175" w:rsidP="003C6175"/>
    <w:p w:rsidR="00524AFB" w:rsidRPr="00524AFB" w:rsidRDefault="003C6175" w:rsidP="008B7807">
      <w:pPr>
        <w:pStyle w:val="ARTICULO1"/>
      </w:pPr>
      <w:r w:rsidRPr="003C6175">
        <w:t>Puesta en operación comercial</w:t>
      </w:r>
      <w:r w:rsidR="00516242">
        <w:t xml:space="preserve"> - POC</w:t>
      </w:r>
      <w:r w:rsidRPr="003C6175">
        <w:t xml:space="preserve"> de las obras de infraestructura de </w:t>
      </w:r>
      <w:r w:rsidRPr="000B49F0">
        <w:rPr>
          <w:i/>
        </w:rPr>
        <w:t xml:space="preserve">Open </w:t>
      </w:r>
      <w:r w:rsidR="003A1746" w:rsidRPr="000B49F0">
        <w:rPr>
          <w:i/>
        </w:rPr>
        <w:t>S</w:t>
      </w:r>
      <w:r w:rsidRPr="000B49F0">
        <w:rPr>
          <w:i/>
        </w:rPr>
        <w:t>eason.</w:t>
      </w:r>
      <w:r w:rsidRPr="003C6175">
        <w:t xml:space="preserve"> </w:t>
      </w:r>
      <w:r w:rsidR="00524AFB" w:rsidRPr="008B7807">
        <w:rPr>
          <w:b w:val="0"/>
        </w:rPr>
        <w:t xml:space="preserve">La información técnica del proceso constructivo y las pruebas que se hacen previamente a la puesta en operación comercial, deberá ser entregada formalmente por el promotor al transportador responsable de la prestación del servicio, </w:t>
      </w:r>
      <w:r w:rsidR="00516242" w:rsidRPr="008B7807">
        <w:rPr>
          <w:b w:val="0"/>
        </w:rPr>
        <w:t>AOM</w:t>
      </w:r>
      <w:r w:rsidR="00524AFB" w:rsidRPr="008B7807">
        <w:rPr>
          <w:b w:val="0"/>
        </w:rPr>
        <w:t xml:space="preserve"> de la infraestructura de transporte.</w:t>
      </w:r>
    </w:p>
    <w:p w:rsidR="00144B08" w:rsidRDefault="00144B08" w:rsidP="00FE046E">
      <w:pPr>
        <w:rPr>
          <w:lang w:val="es-CO"/>
        </w:rPr>
      </w:pPr>
    </w:p>
    <w:p w:rsidR="00144B08" w:rsidRPr="003C6175" w:rsidRDefault="00144B08" w:rsidP="00FE046E">
      <w:r w:rsidRPr="003C6175">
        <w:rPr>
          <w:lang w:val="es-CO"/>
        </w:rPr>
        <w:t xml:space="preserve">El transportador existente y el transportador que opere la infraestructura producto del </w:t>
      </w:r>
      <w:r w:rsidRPr="000B49F0">
        <w:rPr>
          <w:i/>
          <w:lang w:val="es-CO"/>
        </w:rPr>
        <w:t>Open Season</w:t>
      </w:r>
      <w:r>
        <w:rPr>
          <w:lang w:val="es-CO"/>
        </w:rPr>
        <w:t xml:space="preserve">, </w:t>
      </w:r>
      <w:r w:rsidRPr="003C6175">
        <w:rPr>
          <w:lang w:val="es-CO"/>
        </w:rPr>
        <w:t xml:space="preserve">acordarán un protocolo operativo para la operación del sistema que se conecte al SNT acorde a las directrices </w:t>
      </w:r>
      <w:r w:rsidR="00714AD0">
        <w:rPr>
          <w:lang w:val="es-CO"/>
        </w:rPr>
        <w:t>que define el Reglamento Único d</w:t>
      </w:r>
      <w:r w:rsidRPr="003C6175">
        <w:rPr>
          <w:lang w:val="es-CO"/>
        </w:rPr>
        <w:t>e Transporte.</w:t>
      </w:r>
    </w:p>
    <w:p w:rsidR="003C6175" w:rsidRPr="000B49F0" w:rsidRDefault="003C6175" w:rsidP="003C6175">
      <w:pPr>
        <w:rPr>
          <w:rFonts w:cs="Arial"/>
          <w:color w:val="000000" w:themeColor="text1"/>
          <w:lang w:val="x-none"/>
        </w:rPr>
      </w:pPr>
    </w:p>
    <w:p w:rsidR="003C6175" w:rsidRPr="003C6175" w:rsidRDefault="003C6175" w:rsidP="008B7807">
      <w:pPr>
        <w:pStyle w:val="ARTICULO1"/>
      </w:pPr>
      <w:r w:rsidRPr="003C6175">
        <w:t xml:space="preserve">Cumplimiento del Reglamento Único de Transporte - RUT. </w:t>
      </w:r>
      <w:r w:rsidRPr="008B7807">
        <w:rPr>
          <w:b w:val="0"/>
        </w:rPr>
        <w:t>La infraestructura de transporte que entre en operación como resultado de la aplicación de los procedimientos previstos en esta operación deberá dar cumplimiento a las condiciones operativas previstas en el – RUT.</w:t>
      </w:r>
    </w:p>
    <w:p w:rsidR="003C6175" w:rsidRDefault="003C6175" w:rsidP="003C6175">
      <w:pPr>
        <w:contextualSpacing/>
        <w:rPr>
          <w:b/>
        </w:rPr>
      </w:pPr>
    </w:p>
    <w:p w:rsidR="00B93EE8" w:rsidRPr="003C6175" w:rsidRDefault="00B93EE8" w:rsidP="003C6175">
      <w:pPr>
        <w:contextualSpacing/>
        <w:rPr>
          <w:b/>
        </w:rPr>
      </w:pPr>
    </w:p>
    <w:p w:rsidR="003C6175" w:rsidRPr="003C6175" w:rsidRDefault="003C6175" w:rsidP="003C6175">
      <w:pPr>
        <w:keepNext/>
        <w:widowControl w:val="0"/>
        <w:adjustRightInd w:val="0"/>
        <w:jc w:val="center"/>
        <w:textAlignment w:val="baseline"/>
        <w:outlineLvl w:val="0"/>
        <w:rPr>
          <w:b/>
          <w:bCs/>
          <w:lang w:val="x-none" w:eastAsia="x-none"/>
        </w:rPr>
      </w:pPr>
      <w:r w:rsidRPr="003C6175">
        <w:rPr>
          <w:b/>
          <w:bCs/>
          <w:lang w:val="es-CO" w:eastAsia="x-none"/>
        </w:rPr>
        <w:t>Capítulo 4</w:t>
      </w:r>
      <w:r w:rsidR="00524AFB">
        <w:rPr>
          <w:b/>
          <w:bCs/>
          <w:lang w:val="es-CO" w:eastAsia="x-none"/>
        </w:rPr>
        <w:t>.</w:t>
      </w:r>
      <w:r w:rsidRPr="003C6175">
        <w:rPr>
          <w:b/>
          <w:bCs/>
          <w:lang w:val="es-CO" w:eastAsia="x-none"/>
        </w:rPr>
        <w:t xml:space="preserve"> Actividades posteriores a la puesta en operación comercial</w:t>
      </w:r>
      <w:r w:rsidR="00516242">
        <w:rPr>
          <w:b/>
          <w:bCs/>
          <w:lang w:val="es-CO" w:eastAsia="x-none"/>
        </w:rPr>
        <w:t xml:space="preserve"> - POC</w:t>
      </w:r>
    </w:p>
    <w:p w:rsidR="003C6175" w:rsidRPr="003C6175" w:rsidRDefault="003C6175" w:rsidP="003C6175">
      <w:pPr>
        <w:contextualSpacing/>
        <w:rPr>
          <w:b/>
        </w:rPr>
      </w:pPr>
    </w:p>
    <w:p w:rsidR="00144B08" w:rsidRPr="000B49F0" w:rsidRDefault="00144B08" w:rsidP="008B7807">
      <w:pPr>
        <w:pStyle w:val="ARTICULO1"/>
      </w:pPr>
      <w:r>
        <w:t xml:space="preserve">Inversión y </w:t>
      </w:r>
      <w:r w:rsidR="003C6175" w:rsidRPr="00524AFB">
        <w:t xml:space="preserve">AOM de la infraestructura producto del </w:t>
      </w:r>
      <w:r w:rsidR="003C6175" w:rsidRPr="000B49F0">
        <w:rPr>
          <w:i/>
        </w:rPr>
        <w:t xml:space="preserve">Open </w:t>
      </w:r>
      <w:r w:rsidR="00524AFB" w:rsidRPr="000B49F0">
        <w:rPr>
          <w:i/>
        </w:rPr>
        <w:t>S</w:t>
      </w:r>
      <w:r w:rsidR="003C6175" w:rsidRPr="000B49F0">
        <w:rPr>
          <w:i/>
        </w:rPr>
        <w:t>eason</w:t>
      </w:r>
      <w:r w:rsidR="003C6175" w:rsidRPr="00524AFB">
        <w:t xml:space="preserve">. </w:t>
      </w:r>
      <w:r w:rsidR="00714AD0" w:rsidRPr="008B7807">
        <w:rPr>
          <w:b w:val="0"/>
        </w:rPr>
        <w:t>La remuneración de la infraestructura de transporte a nivel de inversión, como de gastos en AOM, se realizará a través del pago definido en los contratos de transporte.</w:t>
      </w:r>
      <w:r w:rsidR="00714AD0">
        <w:t xml:space="preserve"> </w:t>
      </w:r>
    </w:p>
    <w:p w:rsidR="003C6175" w:rsidRPr="003C6175" w:rsidRDefault="003C6175" w:rsidP="00FE046E"/>
    <w:p w:rsidR="003C6175" w:rsidRPr="003C6175" w:rsidRDefault="003C6175" w:rsidP="008B7807">
      <w:pPr>
        <w:pStyle w:val="ARTICULO1"/>
      </w:pPr>
      <w:r w:rsidRPr="003C6175">
        <w:t xml:space="preserve">Facturación y pago de la capacidad asignada en el </w:t>
      </w:r>
      <w:r w:rsidRPr="000B49F0">
        <w:rPr>
          <w:i/>
        </w:rPr>
        <w:t>Open Season</w:t>
      </w:r>
      <w:r w:rsidR="00714AD0">
        <w:t>.</w:t>
      </w:r>
      <w:r w:rsidRPr="003C6175">
        <w:t xml:space="preserve"> </w:t>
      </w:r>
      <w:r w:rsidRPr="008B7807">
        <w:rPr>
          <w:b w:val="0"/>
        </w:rPr>
        <w:t xml:space="preserve">La facturación de la capacidad asignada en el </w:t>
      </w:r>
      <w:r w:rsidR="00714AD0" w:rsidRPr="008B7807">
        <w:rPr>
          <w:b w:val="0"/>
          <w:i/>
        </w:rPr>
        <w:t>Open Season</w:t>
      </w:r>
      <w:r w:rsidR="00714AD0" w:rsidRPr="008B7807">
        <w:rPr>
          <w:b w:val="0"/>
        </w:rPr>
        <w:t xml:space="preserve"> </w:t>
      </w:r>
      <w:r w:rsidRPr="008B7807">
        <w:rPr>
          <w:b w:val="0"/>
        </w:rPr>
        <w:t xml:space="preserve">la realizará el transportador </w:t>
      </w:r>
      <w:r w:rsidR="00714AD0" w:rsidRPr="008B7807">
        <w:rPr>
          <w:b w:val="0"/>
        </w:rPr>
        <w:t>responsable de la prestación del servicio.</w:t>
      </w:r>
      <w:r w:rsidR="00714AD0" w:rsidRPr="003C6175">
        <w:t xml:space="preserve"> </w:t>
      </w:r>
    </w:p>
    <w:p w:rsidR="003C6175" w:rsidRPr="003C6175" w:rsidRDefault="003C6175" w:rsidP="003C6175"/>
    <w:p w:rsidR="003C6175" w:rsidRPr="003C6175" w:rsidRDefault="000B49F0" w:rsidP="003C6175">
      <w:r>
        <w:rPr>
          <w:b/>
        </w:rPr>
        <w:t>Parágrafo</w:t>
      </w:r>
      <w:r w:rsidR="00714AD0">
        <w:t>.</w:t>
      </w:r>
      <w:r w:rsidR="003C6175" w:rsidRPr="003C6175">
        <w:t xml:space="preserve"> La remuneración de las obras de infraestructura producto de </w:t>
      </w:r>
      <w:r w:rsidR="00714AD0" w:rsidRPr="000B49F0">
        <w:rPr>
          <w:i/>
        </w:rPr>
        <w:t>Open Season</w:t>
      </w:r>
      <w:r w:rsidR="00714AD0" w:rsidRPr="003C6175">
        <w:t xml:space="preserve"> </w:t>
      </w:r>
      <w:r w:rsidR="003C6175" w:rsidRPr="003C6175">
        <w:t xml:space="preserve">no deberá considerar ningún tipo de estampilla al SNT. </w:t>
      </w:r>
    </w:p>
    <w:p w:rsidR="003C6175" w:rsidRPr="003C6175" w:rsidRDefault="003C6175" w:rsidP="003C6175">
      <w:pPr>
        <w:ind w:left="709" w:right="284"/>
        <w:contextualSpacing/>
        <w:rPr>
          <w:rFonts w:cs="Arial"/>
          <w:iCs/>
          <w:color w:val="000000" w:themeColor="text1"/>
          <w:szCs w:val="22"/>
          <w:lang w:val="es-CO" w:eastAsia="es-CO"/>
        </w:rPr>
      </w:pPr>
    </w:p>
    <w:p w:rsidR="003C6175" w:rsidRPr="003C6175" w:rsidRDefault="003C6175" w:rsidP="00FA5327">
      <w:pPr>
        <w:pStyle w:val="ARTICULO1"/>
      </w:pPr>
      <w:r w:rsidRPr="003C6175">
        <w:t xml:space="preserve">Información técnica del proyecto. </w:t>
      </w:r>
      <w:r w:rsidRPr="00FA5327">
        <w:rPr>
          <w:b w:val="0"/>
        </w:rPr>
        <w:t xml:space="preserve">El transportador que firme los contratos de </w:t>
      </w:r>
      <w:r w:rsidR="00714AD0" w:rsidRPr="00FA5327">
        <w:rPr>
          <w:b w:val="0"/>
        </w:rPr>
        <w:t xml:space="preserve">transporte derivados del proceso de </w:t>
      </w:r>
      <w:r w:rsidR="00714AD0" w:rsidRPr="00FA5327">
        <w:rPr>
          <w:b w:val="0"/>
          <w:i/>
        </w:rPr>
        <w:t>Open Season</w:t>
      </w:r>
      <w:r w:rsidRPr="00FA5327">
        <w:rPr>
          <w:b w:val="0"/>
        </w:rPr>
        <w:t xml:space="preserve"> será el responsable de proveer la información técnica y comercial que requiera la CREG, la UPME y la SSPD así como los demás órganos de control.</w:t>
      </w:r>
      <w:r w:rsidRPr="003C6175">
        <w:t xml:space="preserve"> </w:t>
      </w:r>
    </w:p>
    <w:p w:rsidR="003C6175" w:rsidRPr="003C6175" w:rsidRDefault="003C6175" w:rsidP="003C6175">
      <w:pPr>
        <w:rPr>
          <w:rFonts w:cs="Arial"/>
          <w:color w:val="000000" w:themeColor="text1"/>
        </w:rPr>
      </w:pPr>
    </w:p>
    <w:p w:rsidR="00AE6CC6" w:rsidRPr="000B49F0" w:rsidRDefault="003C6175" w:rsidP="00FA5327">
      <w:pPr>
        <w:pStyle w:val="ARTICULO1"/>
      </w:pPr>
      <w:r w:rsidRPr="003C6175">
        <w:t xml:space="preserve">Capacidades disponibles con posterioridad al periodo contratado mediante </w:t>
      </w:r>
      <w:r w:rsidRPr="003C6175">
        <w:rPr>
          <w:i/>
        </w:rPr>
        <w:t>Open Season</w:t>
      </w:r>
      <w:r w:rsidRPr="003C6175">
        <w:t xml:space="preserve">. </w:t>
      </w:r>
      <w:r w:rsidR="00AE6CC6" w:rsidRPr="00FA5327">
        <w:rPr>
          <w:b w:val="0"/>
        </w:rPr>
        <w:t xml:space="preserve">Una vez atendidos la totalidad de los compromisos contractuales derivados del </w:t>
      </w:r>
      <w:r w:rsidR="00AE6CC6" w:rsidRPr="00D939D6">
        <w:rPr>
          <w:b w:val="0"/>
          <w:i/>
        </w:rPr>
        <w:t>Open Season</w:t>
      </w:r>
      <w:r w:rsidR="00AE6CC6" w:rsidRPr="00FA5327">
        <w:rPr>
          <w:b w:val="0"/>
        </w:rPr>
        <w:t>, el transportador responsable de la prestación del servicio podrá llevar a</w:t>
      </w:r>
      <w:r w:rsidR="00D939D6">
        <w:rPr>
          <w:b w:val="0"/>
        </w:rPr>
        <w:t xml:space="preserve"> </w:t>
      </w:r>
      <w:r w:rsidR="00AE6CC6" w:rsidRPr="00FA5327">
        <w:rPr>
          <w:b w:val="0"/>
        </w:rPr>
        <w:t>cabo un proceso de</w:t>
      </w:r>
      <w:r w:rsidR="00AE6CC6" w:rsidRPr="000B49F0">
        <w:t xml:space="preserve"> </w:t>
      </w:r>
      <w:r w:rsidR="00AE6CC6" w:rsidRPr="00FA5327">
        <w:rPr>
          <w:b w:val="0"/>
        </w:rPr>
        <w:lastRenderedPageBreak/>
        <w:t xml:space="preserve">asignación de capacidad atendiendo lo dispuesto en el artículo </w:t>
      </w:r>
      <w:r w:rsidR="004C61C6">
        <w:rPr>
          <w:b w:val="0"/>
        </w:rPr>
        <w:t>18</w:t>
      </w:r>
      <w:r w:rsidR="004C61C6" w:rsidRPr="00FA5327">
        <w:rPr>
          <w:b w:val="0"/>
        </w:rPr>
        <w:t xml:space="preserve"> </w:t>
      </w:r>
      <w:r w:rsidR="00AE6CC6" w:rsidRPr="00FA5327">
        <w:rPr>
          <w:b w:val="0"/>
        </w:rPr>
        <w:t>de la presente Resolución.</w:t>
      </w:r>
      <w:r w:rsidR="00AE6CC6">
        <w:t xml:space="preserve"> </w:t>
      </w:r>
    </w:p>
    <w:p w:rsidR="00AE6CC6" w:rsidRDefault="00AE6CC6" w:rsidP="000B49F0">
      <w:pPr>
        <w:pStyle w:val="Prrafodelista"/>
        <w:rPr>
          <w:bCs/>
          <w:lang w:eastAsia="x-none"/>
        </w:rPr>
      </w:pPr>
    </w:p>
    <w:p w:rsidR="00AE6CC6" w:rsidRDefault="00AE6CC6" w:rsidP="00FE046E">
      <w:pPr>
        <w:rPr>
          <w:lang w:val="es-CO"/>
        </w:rPr>
      </w:pPr>
      <w:r>
        <w:rPr>
          <w:lang w:val="es-CO"/>
        </w:rPr>
        <w:t>De lo contrario, el transportador podrá llevar a cabo una solicitud de cargos para remunerar la actividad de transporte de gas natural, evento en el cual la asignación</w:t>
      </w:r>
      <w:r w:rsidR="00B93EE8">
        <w:rPr>
          <w:lang w:val="es-CO"/>
        </w:rPr>
        <w:t xml:space="preserve"> </w:t>
      </w:r>
      <w:r>
        <w:rPr>
          <w:lang w:val="es-CO"/>
        </w:rPr>
        <w:t>de capacidad y la prestación del servicio, incluida su remuneración</w:t>
      </w:r>
      <w:r w:rsidR="00B93EE8">
        <w:rPr>
          <w:lang w:val="es-CO"/>
        </w:rPr>
        <w:t xml:space="preserve"> y comercialización</w:t>
      </w:r>
      <w:r>
        <w:rPr>
          <w:lang w:val="es-CO"/>
        </w:rPr>
        <w:t xml:space="preserve"> atenderá lo dispuesto en la regulación</w:t>
      </w:r>
      <w:r w:rsidR="00B93EE8">
        <w:rPr>
          <w:lang w:val="es-CO"/>
        </w:rPr>
        <w:t xml:space="preserve"> vigente</w:t>
      </w:r>
      <w:r>
        <w:rPr>
          <w:lang w:val="es-CO"/>
        </w:rPr>
        <w:t xml:space="preserve"> expedida por </w:t>
      </w:r>
      <w:r w:rsidR="003E6C80">
        <w:rPr>
          <w:lang w:val="es-CO"/>
        </w:rPr>
        <w:t xml:space="preserve">la </w:t>
      </w:r>
      <w:r w:rsidR="003E6C80">
        <w:t>CREG</w:t>
      </w:r>
      <w:r>
        <w:rPr>
          <w:lang w:val="es-CO"/>
        </w:rPr>
        <w:t xml:space="preserve">.  </w:t>
      </w:r>
    </w:p>
    <w:p w:rsidR="00B93EE8" w:rsidRPr="003C6175" w:rsidRDefault="00B93EE8" w:rsidP="003C6175"/>
    <w:p w:rsidR="00B93EE8" w:rsidRPr="00A17FB6" w:rsidRDefault="003C6175" w:rsidP="00A17FB6">
      <w:pPr>
        <w:pStyle w:val="ARTICULO1"/>
        <w:rPr>
          <w:b w:val="0"/>
        </w:rPr>
      </w:pPr>
      <w:r w:rsidRPr="003C6175">
        <w:t xml:space="preserve">Solicitud tarifaria. </w:t>
      </w:r>
      <w:r w:rsidR="00B93EE8" w:rsidRPr="00A17FB6">
        <w:rPr>
          <w:b w:val="0"/>
        </w:rPr>
        <w:t xml:space="preserve">Transcurridos 20 años desde la </w:t>
      </w:r>
      <w:r w:rsidR="00516242" w:rsidRPr="00A17FB6">
        <w:rPr>
          <w:b w:val="0"/>
        </w:rPr>
        <w:t>POC</w:t>
      </w:r>
      <w:r w:rsidR="00B93EE8" w:rsidRPr="00A17FB6">
        <w:rPr>
          <w:b w:val="0"/>
        </w:rPr>
        <w:t xml:space="preserve"> el transportador responsable de la prestación del servicio y </w:t>
      </w:r>
      <w:r w:rsidR="00516242" w:rsidRPr="00A17FB6">
        <w:rPr>
          <w:b w:val="0"/>
        </w:rPr>
        <w:t>AOM</w:t>
      </w:r>
      <w:r w:rsidR="00B93EE8" w:rsidRPr="00A17FB6">
        <w:rPr>
          <w:b w:val="0"/>
        </w:rPr>
        <w:t xml:space="preserve"> </w:t>
      </w:r>
      <w:r w:rsidRPr="00A17FB6">
        <w:rPr>
          <w:b w:val="0"/>
        </w:rPr>
        <w:t xml:space="preserve">deberá solicitar tarifa a la CREG para </w:t>
      </w:r>
      <w:r w:rsidR="00B93EE8" w:rsidRPr="00A17FB6">
        <w:rPr>
          <w:b w:val="0"/>
        </w:rPr>
        <w:t xml:space="preserve">la </w:t>
      </w:r>
      <w:r w:rsidRPr="00A17FB6">
        <w:rPr>
          <w:b w:val="0"/>
        </w:rPr>
        <w:t>infraestructura</w:t>
      </w:r>
      <w:r w:rsidR="00B93EE8" w:rsidRPr="00A17FB6">
        <w:rPr>
          <w:b w:val="0"/>
        </w:rPr>
        <w:t xml:space="preserve"> derivada del proceso de </w:t>
      </w:r>
      <w:r w:rsidR="00B93EE8" w:rsidRPr="00D939D6">
        <w:rPr>
          <w:b w:val="0"/>
          <w:i/>
        </w:rPr>
        <w:t>Open Season</w:t>
      </w:r>
      <w:r w:rsidRPr="00A17FB6">
        <w:rPr>
          <w:b w:val="0"/>
        </w:rPr>
        <w:t xml:space="preserve">, acorde </w:t>
      </w:r>
      <w:r w:rsidR="00AB1E48">
        <w:rPr>
          <w:b w:val="0"/>
        </w:rPr>
        <w:t xml:space="preserve">a </w:t>
      </w:r>
      <w:r w:rsidRPr="00A17FB6">
        <w:rPr>
          <w:b w:val="0"/>
        </w:rPr>
        <w:t xml:space="preserve">la metodología vigente. </w:t>
      </w:r>
    </w:p>
    <w:p w:rsidR="00B93EE8" w:rsidRPr="003C6175" w:rsidRDefault="00B93EE8" w:rsidP="001C2DAA"/>
    <w:p w:rsidR="00B93EE8" w:rsidRPr="00A17FB6" w:rsidRDefault="00B93EE8" w:rsidP="00A17FB6">
      <w:pPr>
        <w:pStyle w:val="ARTICULO1"/>
        <w:rPr>
          <w:b w:val="0"/>
        </w:rPr>
      </w:pPr>
      <w:r w:rsidRPr="00B93EE8">
        <w:t xml:space="preserve">Vigencia. </w:t>
      </w:r>
      <w:r w:rsidRPr="00A17FB6">
        <w:rPr>
          <w:b w:val="0"/>
        </w:rPr>
        <w:t xml:space="preserve">La presente resolución rige a partir de su publicación en el </w:t>
      </w:r>
      <w:r w:rsidRPr="00A17FB6">
        <w:rPr>
          <w:b w:val="0"/>
          <w:i/>
        </w:rPr>
        <w:t>Diario Oficial</w:t>
      </w:r>
      <w:r w:rsidRPr="00A17FB6">
        <w:rPr>
          <w:b w:val="0"/>
        </w:rPr>
        <w:t xml:space="preserve">. </w:t>
      </w:r>
    </w:p>
    <w:p w:rsidR="00B93EE8" w:rsidRPr="00B93EE8" w:rsidRDefault="00B93EE8" w:rsidP="00B93EE8">
      <w:pPr>
        <w:widowControl w:val="0"/>
        <w:suppressAutoHyphens/>
        <w:overflowPunct w:val="0"/>
        <w:autoSpaceDE w:val="0"/>
        <w:textAlignment w:val="baseline"/>
        <w:rPr>
          <w:rFonts w:cs="Arial"/>
          <w:b/>
          <w:color w:val="000000"/>
          <w:lang w:eastAsia="ar-SA"/>
        </w:rPr>
      </w:pPr>
    </w:p>
    <w:p w:rsidR="00B93EE8" w:rsidRPr="00B93EE8" w:rsidRDefault="00B93EE8" w:rsidP="00B93EE8">
      <w:pPr>
        <w:widowControl w:val="0"/>
        <w:jc w:val="center"/>
        <w:rPr>
          <w:rFonts w:cs="Arial"/>
          <w:b/>
          <w:color w:val="000000"/>
          <w:lang w:val="es-ES_tradnl" w:eastAsia="es-CO"/>
        </w:rPr>
      </w:pPr>
    </w:p>
    <w:p w:rsidR="00B93EE8" w:rsidRPr="00B93EE8" w:rsidRDefault="00B93EE8" w:rsidP="00B93EE8">
      <w:pPr>
        <w:widowControl w:val="0"/>
        <w:jc w:val="center"/>
        <w:rPr>
          <w:rFonts w:cs="Arial"/>
          <w:b/>
          <w:color w:val="000000"/>
          <w:lang w:val="es-ES_tradnl" w:eastAsia="es-CO"/>
        </w:rPr>
      </w:pPr>
      <w:r w:rsidRPr="00B93EE8">
        <w:rPr>
          <w:rFonts w:cs="Arial"/>
          <w:b/>
          <w:color w:val="000000"/>
          <w:lang w:val="es-ES_tradnl" w:eastAsia="es-CO"/>
        </w:rPr>
        <w:t>PUBLÍQUESE Y CÚMPLASE</w:t>
      </w:r>
    </w:p>
    <w:p w:rsidR="00B93EE8" w:rsidRPr="00B93EE8" w:rsidRDefault="00B93EE8" w:rsidP="00B93EE8">
      <w:pPr>
        <w:ind w:left="567"/>
        <w:jc w:val="center"/>
        <w:rPr>
          <w:rFonts w:cs="Arial"/>
          <w:b/>
          <w:bCs/>
          <w:color w:val="000000"/>
        </w:rPr>
      </w:pPr>
    </w:p>
    <w:p w:rsidR="00B93EE8" w:rsidRPr="00B93EE8" w:rsidRDefault="00B93EE8" w:rsidP="00B93EE8">
      <w:pPr>
        <w:widowControl w:val="0"/>
        <w:rPr>
          <w:rFonts w:cs="Arial"/>
          <w:color w:val="000000"/>
          <w:lang w:val="es-ES_tradnl" w:eastAsia="es-CO"/>
        </w:rPr>
      </w:pPr>
      <w:r w:rsidRPr="00B93EE8">
        <w:rPr>
          <w:rFonts w:cs="Arial"/>
          <w:color w:val="000000"/>
          <w:lang w:val="es-ES_tradnl" w:eastAsia="es-CO"/>
        </w:rPr>
        <w:t xml:space="preserve">Dada en Bogotá D.C. a </w:t>
      </w:r>
    </w:p>
    <w:p w:rsidR="00B93EE8" w:rsidRPr="00B93EE8" w:rsidRDefault="00B93EE8" w:rsidP="00B93EE8">
      <w:pPr>
        <w:ind w:left="567"/>
        <w:jc w:val="center"/>
        <w:rPr>
          <w:rFonts w:cs="Arial"/>
          <w:b/>
          <w:bCs/>
          <w:color w:val="000000"/>
        </w:rPr>
      </w:pPr>
    </w:p>
    <w:tbl>
      <w:tblPr>
        <w:tblW w:w="9498" w:type="dxa"/>
        <w:jc w:val="center"/>
        <w:tblCellSpacing w:w="0" w:type="dxa"/>
        <w:tblCellMar>
          <w:left w:w="0" w:type="dxa"/>
          <w:right w:w="0" w:type="dxa"/>
        </w:tblCellMar>
        <w:tblLook w:val="04A0" w:firstRow="1" w:lastRow="0" w:firstColumn="1" w:lastColumn="0" w:noHBand="0" w:noVBand="1"/>
      </w:tblPr>
      <w:tblGrid>
        <w:gridCol w:w="5529"/>
        <w:gridCol w:w="3969"/>
      </w:tblGrid>
      <w:tr w:rsidR="002F4AE8" w:rsidRPr="002F4AE8" w:rsidTr="00FF17B2">
        <w:trPr>
          <w:tblCellSpacing w:w="0" w:type="dxa"/>
          <w:jc w:val="center"/>
        </w:trPr>
        <w:tc>
          <w:tcPr>
            <w:tcW w:w="5529" w:type="dxa"/>
            <w:hideMark/>
          </w:tcPr>
          <w:p w:rsidR="002F4AE8" w:rsidRPr="002F4AE8" w:rsidRDefault="002F4AE8" w:rsidP="002F4AE8">
            <w:pPr>
              <w:ind w:left="66"/>
              <w:jc w:val="center"/>
              <w:rPr>
                <w:rFonts w:cs="Arial"/>
                <w:b/>
                <w:spacing w:val="-3"/>
              </w:rPr>
            </w:pPr>
          </w:p>
          <w:p w:rsidR="002F4AE8" w:rsidRPr="002F4AE8" w:rsidRDefault="002F4AE8" w:rsidP="002F4AE8">
            <w:pPr>
              <w:ind w:left="66"/>
              <w:jc w:val="center"/>
              <w:rPr>
                <w:rFonts w:cs="Arial"/>
                <w:b/>
                <w:spacing w:val="-3"/>
              </w:rPr>
            </w:pPr>
          </w:p>
          <w:p w:rsidR="002F4AE8" w:rsidRPr="002F4AE8" w:rsidRDefault="002F4AE8" w:rsidP="002F4AE8">
            <w:pPr>
              <w:ind w:left="66"/>
              <w:jc w:val="center"/>
              <w:rPr>
                <w:rFonts w:cs="Arial"/>
                <w:b/>
                <w:spacing w:val="-3"/>
              </w:rPr>
            </w:pPr>
          </w:p>
          <w:p w:rsidR="002F4AE8" w:rsidRPr="002F4AE8" w:rsidRDefault="002F4AE8" w:rsidP="002F4AE8">
            <w:pPr>
              <w:ind w:left="66"/>
              <w:jc w:val="center"/>
              <w:rPr>
                <w:rFonts w:cs="Arial"/>
                <w:b/>
                <w:spacing w:val="-3"/>
              </w:rPr>
            </w:pPr>
          </w:p>
          <w:p w:rsidR="002F4AE8" w:rsidRPr="002F4AE8" w:rsidRDefault="002F4AE8" w:rsidP="002F4AE8">
            <w:pPr>
              <w:ind w:left="66"/>
              <w:jc w:val="center"/>
              <w:rPr>
                <w:rFonts w:cs="Arial"/>
                <w:b/>
                <w:spacing w:val="-3"/>
              </w:rPr>
            </w:pPr>
            <w:r w:rsidRPr="002F4AE8">
              <w:rPr>
                <w:rFonts w:cs="Arial"/>
                <w:b/>
                <w:spacing w:val="-3"/>
              </w:rPr>
              <w:t>RUTTY PAOLA ORTIZ JARA</w:t>
            </w:r>
          </w:p>
        </w:tc>
        <w:tc>
          <w:tcPr>
            <w:tcW w:w="3969" w:type="dxa"/>
            <w:hideMark/>
          </w:tcPr>
          <w:p w:rsidR="002F4AE8" w:rsidRPr="002F4AE8" w:rsidRDefault="002F4AE8" w:rsidP="002F4AE8">
            <w:pPr>
              <w:ind w:left="89"/>
              <w:jc w:val="center"/>
              <w:rPr>
                <w:rFonts w:cs="Arial"/>
                <w:b/>
                <w:spacing w:val="-3"/>
              </w:rPr>
            </w:pPr>
          </w:p>
          <w:p w:rsidR="002F4AE8" w:rsidRPr="002F4AE8" w:rsidRDefault="002F4AE8" w:rsidP="002F4AE8">
            <w:pPr>
              <w:ind w:left="89"/>
              <w:jc w:val="center"/>
              <w:rPr>
                <w:rFonts w:cs="Arial"/>
                <w:b/>
                <w:spacing w:val="-3"/>
              </w:rPr>
            </w:pPr>
          </w:p>
          <w:p w:rsidR="002F4AE8" w:rsidRPr="002F4AE8" w:rsidRDefault="002F4AE8" w:rsidP="002F4AE8">
            <w:pPr>
              <w:ind w:left="89"/>
              <w:jc w:val="center"/>
              <w:rPr>
                <w:rFonts w:cs="Arial"/>
                <w:b/>
                <w:spacing w:val="-3"/>
              </w:rPr>
            </w:pPr>
          </w:p>
          <w:p w:rsidR="002F4AE8" w:rsidRPr="002F4AE8" w:rsidRDefault="002F4AE8" w:rsidP="002F4AE8">
            <w:pPr>
              <w:ind w:left="89"/>
              <w:jc w:val="center"/>
              <w:rPr>
                <w:rFonts w:cs="Arial"/>
                <w:b/>
                <w:spacing w:val="-3"/>
              </w:rPr>
            </w:pPr>
          </w:p>
          <w:p w:rsidR="002F4AE8" w:rsidRPr="002F4AE8" w:rsidRDefault="002F4AE8" w:rsidP="002F4AE8">
            <w:pPr>
              <w:ind w:left="89"/>
              <w:jc w:val="center"/>
              <w:rPr>
                <w:rFonts w:cs="Arial"/>
                <w:b/>
                <w:spacing w:val="-3"/>
              </w:rPr>
            </w:pPr>
            <w:r w:rsidRPr="002F4AE8">
              <w:rPr>
                <w:rFonts w:cs="Arial"/>
                <w:b/>
                <w:spacing w:val="-3"/>
              </w:rPr>
              <w:t>GERMÁN CASTRO FERREIRA</w:t>
            </w:r>
          </w:p>
        </w:tc>
      </w:tr>
      <w:tr w:rsidR="002F4AE8" w:rsidRPr="002F4AE8" w:rsidTr="00FF17B2">
        <w:trPr>
          <w:tblCellSpacing w:w="0" w:type="dxa"/>
          <w:jc w:val="center"/>
        </w:trPr>
        <w:tc>
          <w:tcPr>
            <w:tcW w:w="5529" w:type="dxa"/>
            <w:hideMark/>
          </w:tcPr>
          <w:p w:rsidR="002F4AE8" w:rsidRPr="002F4AE8" w:rsidRDefault="002F4AE8" w:rsidP="002F4AE8">
            <w:pPr>
              <w:ind w:left="66"/>
              <w:jc w:val="center"/>
              <w:rPr>
                <w:rFonts w:cs="Arial"/>
                <w:spacing w:val="-3"/>
              </w:rPr>
            </w:pPr>
            <w:r w:rsidRPr="002F4AE8">
              <w:rPr>
                <w:rFonts w:cs="Arial"/>
                <w:spacing w:val="-3"/>
              </w:rPr>
              <w:t>Viceministra de Energía</w:t>
            </w:r>
          </w:p>
          <w:p w:rsidR="002F4AE8" w:rsidRPr="002F4AE8" w:rsidRDefault="002F4AE8" w:rsidP="002F4AE8">
            <w:pPr>
              <w:ind w:left="66"/>
              <w:jc w:val="center"/>
              <w:rPr>
                <w:rFonts w:eastAsia="Arial Unicode MS" w:cs="Arial"/>
                <w:color w:val="000000"/>
              </w:rPr>
            </w:pPr>
            <w:r w:rsidRPr="002F4AE8">
              <w:rPr>
                <w:rFonts w:cs="Arial"/>
                <w:spacing w:val="-3"/>
              </w:rPr>
              <w:t xml:space="preserve">Delegada del Ministro de Minas y Energía </w:t>
            </w:r>
          </w:p>
        </w:tc>
        <w:tc>
          <w:tcPr>
            <w:tcW w:w="3969" w:type="dxa"/>
            <w:hideMark/>
          </w:tcPr>
          <w:p w:rsidR="002F4AE8" w:rsidRPr="002F4AE8" w:rsidRDefault="002F4AE8" w:rsidP="002F4AE8">
            <w:pPr>
              <w:jc w:val="center"/>
              <w:rPr>
                <w:rFonts w:eastAsia="Arial Unicode MS" w:cs="Arial"/>
                <w:color w:val="000000"/>
              </w:rPr>
            </w:pPr>
            <w:r w:rsidRPr="002F4AE8">
              <w:rPr>
                <w:rFonts w:cs="Arial"/>
                <w:spacing w:val="-3"/>
              </w:rPr>
              <w:t>Director Ejecutivo</w:t>
            </w:r>
          </w:p>
        </w:tc>
      </w:tr>
      <w:tr w:rsidR="002F4AE8" w:rsidRPr="002F4AE8" w:rsidTr="00FF17B2">
        <w:trPr>
          <w:tblCellSpacing w:w="0" w:type="dxa"/>
          <w:jc w:val="center"/>
        </w:trPr>
        <w:tc>
          <w:tcPr>
            <w:tcW w:w="5529" w:type="dxa"/>
            <w:hideMark/>
          </w:tcPr>
          <w:p w:rsidR="002F4AE8" w:rsidRPr="002F4AE8" w:rsidRDefault="002F4AE8" w:rsidP="002F4AE8">
            <w:pPr>
              <w:ind w:left="66"/>
              <w:jc w:val="center"/>
              <w:rPr>
                <w:rFonts w:eastAsia="Arial Unicode MS" w:cs="Arial"/>
                <w:color w:val="000000"/>
              </w:rPr>
            </w:pPr>
            <w:r w:rsidRPr="002F4AE8">
              <w:rPr>
                <w:rFonts w:cs="Arial"/>
                <w:spacing w:val="-3"/>
              </w:rPr>
              <w:t>Presidente</w:t>
            </w:r>
          </w:p>
        </w:tc>
        <w:tc>
          <w:tcPr>
            <w:tcW w:w="3969" w:type="dxa"/>
          </w:tcPr>
          <w:p w:rsidR="002F4AE8" w:rsidRPr="002F4AE8" w:rsidRDefault="002F4AE8" w:rsidP="002F4AE8">
            <w:pPr>
              <w:jc w:val="center"/>
              <w:rPr>
                <w:rFonts w:eastAsia="Arial Unicode MS" w:cs="Arial"/>
                <w:color w:val="000000"/>
              </w:rPr>
            </w:pPr>
          </w:p>
        </w:tc>
      </w:tr>
    </w:tbl>
    <w:p w:rsidR="00B93EE8" w:rsidRPr="000B49F0" w:rsidRDefault="00B93EE8" w:rsidP="00575F93">
      <w:pPr>
        <w:rPr>
          <w:rFonts w:cs="Arial"/>
          <w:b/>
          <w:color w:val="000000" w:themeColor="text1"/>
        </w:rPr>
      </w:pPr>
    </w:p>
    <w:sectPr w:rsidR="00B93EE8" w:rsidRPr="000B49F0" w:rsidSect="005A59EF">
      <w:headerReference w:type="default" r:id="rId11"/>
      <w:headerReference w:type="first" r:id="rId12"/>
      <w:type w:val="continuous"/>
      <w:pgSz w:w="12242" w:h="18722" w:code="123"/>
      <w:pgMar w:top="2341" w:right="1185" w:bottom="1758" w:left="1701"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169A2" w:rsidRDefault="000169A2">
      <w:r>
        <w:separator/>
      </w:r>
    </w:p>
  </w:endnote>
  <w:endnote w:type="continuationSeparator" w:id="0">
    <w:p w:rsidR="000169A2" w:rsidRDefault="000169A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1" w:usb2="00000009" w:usb3="00000000" w:csb0="000001FF" w:csb1="00000000"/>
  </w:font>
  <w:font w:name="Bookman Old Style">
    <w:panose1 w:val="02050604050505020204"/>
    <w:charset w:val="00"/>
    <w:family w:val="roman"/>
    <w:pitch w:val="variable"/>
    <w:sig w:usb0="00000287" w:usb1="00000000" w:usb2="00000000" w:usb3="00000000" w:csb0="000000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G Times">
    <w:altName w:val="Times New Roman"/>
    <w:panose1 w:val="00000000000000000000"/>
    <w:charset w:val="00"/>
    <w:family w:val="roman"/>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omic Sans MS">
    <w:panose1 w:val="030F0702030302020204"/>
    <w:charset w:val="00"/>
    <w:family w:val="script"/>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Century Gothic">
    <w:panose1 w:val="020B0502020202020204"/>
    <w:charset w:val="00"/>
    <w:family w:val="swiss"/>
    <w:pitch w:val="variable"/>
    <w:sig w:usb0="00000287" w:usb1="00000000" w:usb2="00000000" w:usb3="00000000" w:csb0="0000009F" w:csb1="00000000"/>
  </w:font>
  <w:font w:name="Arial Narrow">
    <w:panose1 w:val="020B0606020202030204"/>
    <w:charset w:val="00"/>
    <w:family w:val="swiss"/>
    <w:pitch w:val="variable"/>
    <w:sig w:usb0="00000287" w:usb1="000008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169A2" w:rsidRDefault="000169A2">
      <w:r>
        <w:separator/>
      </w:r>
    </w:p>
  </w:footnote>
  <w:footnote w:type="continuationSeparator" w:id="0">
    <w:p w:rsidR="000169A2" w:rsidRDefault="000169A2">
      <w:r>
        <w:continuationSeparator/>
      </w:r>
    </w:p>
  </w:footnote>
  <w:footnote w:id="1">
    <w:p w:rsidR="00FF17B2" w:rsidRPr="00A30309" w:rsidRDefault="00FF17B2" w:rsidP="00575F93">
      <w:pPr>
        <w:pStyle w:val="Textonotapie"/>
        <w:rPr>
          <w:sz w:val="16"/>
          <w:szCs w:val="16"/>
        </w:rPr>
      </w:pPr>
      <w:r w:rsidRPr="00A30309">
        <w:rPr>
          <w:rFonts w:cs="Arial"/>
          <w:sz w:val="16"/>
          <w:szCs w:val="16"/>
        </w:rPr>
        <w:footnoteRef/>
      </w:r>
      <w:r w:rsidRPr="00A30309">
        <w:rPr>
          <w:rFonts w:cs="Arial"/>
          <w:sz w:val="16"/>
          <w:szCs w:val="16"/>
        </w:rPr>
        <w:t xml:space="preserve"> Corte Constitucional, Sentencia C- 075 de 2006.</w:t>
      </w:r>
    </w:p>
  </w:footnote>
  <w:footnote w:id="2">
    <w:p w:rsidR="00FF17B2" w:rsidRPr="00A30309" w:rsidRDefault="00FF17B2" w:rsidP="00575F93">
      <w:pPr>
        <w:pStyle w:val="Textonotapie"/>
        <w:rPr>
          <w:sz w:val="16"/>
          <w:szCs w:val="16"/>
        </w:rPr>
      </w:pPr>
      <w:r w:rsidRPr="00A30309">
        <w:rPr>
          <w:rStyle w:val="Refdenotaalpie"/>
          <w:sz w:val="16"/>
          <w:szCs w:val="16"/>
          <w:vertAlign w:val="baseline"/>
        </w:rPr>
        <w:footnoteRef/>
      </w:r>
      <w:r w:rsidRPr="00A30309">
        <w:rPr>
          <w:sz w:val="16"/>
          <w:szCs w:val="16"/>
        </w:rPr>
        <w:t xml:space="preserve"> Corte Constitucional, Sentencia C-353 de 2006.</w:t>
      </w:r>
    </w:p>
  </w:footnote>
  <w:footnote w:id="3">
    <w:p w:rsidR="00FF17B2" w:rsidRPr="00A30309" w:rsidRDefault="00FF17B2" w:rsidP="00575F93">
      <w:pPr>
        <w:pStyle w:val="Textonotapie"/>
        <w:rPr>
          <w:sz w:val="16"/>
          <w:szCs w:val="16"/>
        </w:rPr>
      </w:pPr>
      <w:r w:rsidRPr="00A30309">
        <w:rPr>
          <w:rStyle w:val="Refdenotaalpie"/>
          <w:sz w:val="16"/>
          <w:szCs w:val="16"/>
          <w:vertAlign w:val="baseline"/>
        </w:rPr>
        <w:footnoteRef/>
      </w:r>
      <w:r w:rsidRPr="00A30309">
        <w:rPr>
          <w:sz w:val="16"/>
          <w:szCs w:val="16"/>
        </w:rPr>
        <w:t xml:space="preserve"> Corte Constitucional, Sentencia C-150 de 2003.</w:t>
      </w:r>
    </w:p>
  </w:footnote>
  <w:footnote w:id="4">
    <w:p w:rsidR="00FF17B2" w:rsidRPr="00A30309" w:rsidRDefault="00FF17B2" w:rsidP="00575F93">
      <w:pPr>
        <w:pStyle w:val="Textonotapie"/>
        <w:rPr>
          <w:rFonts w:cs="Arial"/>
          <w:sz w:val="16"/>
          <w:szCs w:val="16"/>
        </w:rPr>
      </w:pPr>
      <w:r w:rsidRPr="00A30309">
        <w:rPr>
          <w:rFonts w:cs="Arial"/>
          <w:sz w:val="16"/>
          <w:szCs w:val="16"/>
        </w:rPr>
        <w:footnoteRef/>
      </w:r>
      <w:r w:rsidRPr="00A30309">
        <w:rPr>
          <w:rFonts w:cs="Arial"/>
          <w:sz w:val="16"/>
          <w:szCs w:val="16"/>
        </w:rPr>
        <w:t xml:space="preserve"> Ver entre otras las sentencias de la H. Corte Constitucional C-150 de 2003, C-1162 de 2000, C-186 de 2011.</w:t>
      </w:r>
    </w:p>
  </w:footnote>
  <w:footnote w:id="5">
    <w:p w:rsidR="00FF17B2" w:rsidRPr="00A30309" w:rsidRDefault="00FF17B2" w:rsidP="00575F93">
      <w:pPr>
        <w:pStyle w:val="Textonotapie"/>
        <w:rPr>
          <w:rFonts w:cs="Arial"/>
          <w:sz w:val="16"/>
          <w:szCs w:val="16"/>
        </w:rPr>
      </w:pPr>
      <w:r w:rsidRPr="00A30309">
        <w:rPr>
          <w:rFonts w:cs="Arial"/>
          <w:sz w:val="16"/>
          <w:szCs w:val="16"/>
        </w:rPr>
        <w:footnoteRef/>
      </w:r>
      <w:r w:rsidRPr="00A30309">
        <w:rPr>
          <w:rFonts w:cs="Arial"/>
          <w:sz w:val="16"/>
          <w:szCs w:val="16"/>
        </w:rPr>
        <w:t xml:space="preserve"> Corte Constitucional, Sentencia C-075 de 2006.</w:t>
      </w:r>
    </w:p>
  </w:footnote>
  <w:footnote w:id="6">
    <w:p w:rsidR="00FF17B2" w:rsidRPr="00A51EFB" w:rsidRDefault="00FF17B2" w:rsidP="00575F93">
      <w:pPr>
        <w:pStyle w:val="Textonotapie"/>
        <w:rPr>
          <w:rFonts w:cs="Arial"/>
          <w:sz w:val="16"/>
          <w:szCs w:val="16"/>
        </w:rPr>
      </w:pPr>
      <w:r w:rsidRPr="00A30309">
        <w:rPr>
          <w:rFonts w:cs="Arial"/>
          <w:sz w:val="16"/>
          <w:szCs w:val="16"/>
        </w:rPr>
        <w:footnoteRef/>
      </w:r>
      <w:r w:rsidRPr="00A30309">
        <w:rPr>
          <w:rFonts w:cs="Arial"/>
          <w:sz w:val="16"/>
          <w:szCs w:val="16"/>
        </w:rPr>
        <w:t xml:space="preserve"> Corte Constitucional, Sentencia C-150 de 2003, C-1120-05 Consejo de Estado, Sala de lo contencioso administrativo, Sección primera, Consejero ponente: doctor: Rafael E. Ostau de Lafont Pianeta, Bogotá, D.C., treinta (30) de abril de dos mil nueve (2009), Núm. Rad.: 11001 032400020040012301.</w:t>
      </w:r>
    </w:p>
  </w:footnote>
  <w:footnote w:id="7">
    <w:p w:rsidR="00FF17B2" w:rsidRPr="00BD0A4E" w:rsidRDefault="00FF17B2" w:rsidP="00575F93">
      <w:pPr>
        <w:pStyle w:val="Textonotapie"/>
        <w:rPr>
          <w:rFonts w:cs="Arial"/>
          <w:sz w:val="16"/>
          <w:szCs w:val="16"/>
        </w:rPr>
      </w:pPr>
      <w:r w:rsidRPr="00BD0A4E">
        <w:rPr>
          <w:rFonts w:cs="Arial"/>
          <w:sz w:val="16"/>
          <w:szCs w:val="16"/>
        </w:rPr>
        <w:footnoteRef/>
      </w:r>
      <w:r w:rsidRPr="00BD0A4E">
        <w:rPr>
          <w:rFonts w:cs="Arial"/>
          <w:sz w:val="16"/>
          <w:szCs w:val="16"/>
        </w:rPr>
        <w:t xml:space="preserve"> Corte Constitucional, Sentencia C-150 de 2003.</w:t>
      </w:r>
    </w:p>
  </w:footnote>
  <w:footnote w:id="8">
    <w:p w:rsidR="00FF17B2" w:rsidRPr="00FE3759" w:rsidRDefault="00FF17B2" w:rsidP="00FE3759">
      <w:pPr>
        <w:pStyle w:val="Textonotapie"/>
        <w:rPr>
          <w:rFonts w:cs="Arial"/>
          <w:sz w:val="16"/>
          <w:szCs w:val="16"/>
        </w:rPr>
      </w:pPr>
      <w:r w:rsidRPr="00FE3759">
        <w:rPr>
          <w:rFonts w:cs="Arial"/>
          <w:sz w:val="16"/>
          <w:szCs w:val="16"/>
        </w:rPr>
        <w:footnoteRef/>
      </w:r>
      <w:r w:rsidRPr="00FE3759">
        <w:rPr>
          <w:rFonts w:cs="Arial"/>
          <w:sz w:val="16"/>
          <w:szCs w:val="16"/>
        </w:rPr>
        <w:t xml:space="preserve"> Se expuso por parte de la Comisión en dicho acto administrativo: </w:t>
      </w:r>
      <w:r>
        <w:rPr>
          <w:rFonts w:cs="Arial"/>
          <w:sz w:val="16"/>
          <w:szCs w:val="16"/>
        </w:rPr>
        <w:t>“</w:t>
      </w:r>
      <w:r w:rsidRPr="00FE3759">
        <w:rPr>
          <w:rFonts w:cs="Arial"/>
          <w:sz w:val="16"/>
          <w:szCs w:val="16"/>
        </w:rPr>
        <w:t>De acuerdo con lo anterior, la Comisión establece que cuenta con la competencia de acuerdo con las atribuciones previstas en la Ley 142 de 1994 y el artículo 11 de la Ley 401 de 1997 de expedir medidas regulatorias que establezcan alternativas regulatorias compatibles a las que actualmente existen dentro de la metodología de la Resolución CREG 126 de 2010, las cuales hacen referencia a llevar a cabo expansiones en la capacidad en el sistema de transporte mediante Loops y compresores a través del esquema de incentivos y transportador por contrato, así como de los cargos regulados; donde dichas alternativas estén enfocadas a llevar a cabo incrementos determinados y específicos de la capacidad de transporte, así como asignaciones transparentes de la capacidad existente, de acuerdo con el interés de los agentes que participan en el mercado de transporte de gas natural, regulando de manera clara los parámetros y procedimientos que se vayan a llevar a cabo por parte de los agentes y la demanda, articulando los intereses y coordinando la forma como interactúan y manifiestan los requerimientos de expansión en transporte por parte de dichos agentes, así como garantizando el acceso y participación de los agentes en igualdad de condiciones.</w:t>
      </w:r>
      <w:r>
        <w:rPr>
          <w:rFonts w:cs="Arial"/>
          <w:sz w:val="16"/>
          <w:szCs w:val="16"/>
        </w:rPr>
        <w:t>”</w:t>
      </w:r>
    </w:p>
    <w:p w:rsidR="00FF17B2" w:rsidRPr="00FE3759" w:rsidRDefault="00FF17B2">
      <w:pPr>
        <w:pStyle w:val="Textonotapie"/>
      </w:pPr>
    </w:p>
  </w:footnote>
  <w:footnote w:id="9">
    <w:p w:rsidR="00FF17B2" w:rsidRPr="00FD41F0" w:rsidRDefault="00FF17B2">
      <w:pPr>
        <w:pStyle w:val="Textonotapie"/>
        <w:rPr>
          <w:sz w:val="16"/>
          <w:szCs w:val="16"/>
        </w:rPr>
      </w:pPr>
      <w:r w:rsidRPr="00FD41F0">
        <w:rPr>
          <w:sz w:val="16"/>
          <w:szCs w:val="16"/>
        </w:rPr>
        <w:footnoteRef/>
      </w:r>
      <w:r w:rsidRPr="00FD41F0">
        <w:rPr>
          <w:sz w:val="16"/>
          <w:szCs w:val="16"/>
        </w:rPr>
        <w:t xml:space="preserve"> Ver comentarios con radicados CREG E-2016-006313, e-2016-006314, E-2016-006365, E-2016-006342, E-2016-006318, E-2016-006339, E-2016-006323, E-2016-006304, E-2016-006306, E-2016-006641, E-2016-006366.</w:t>
      </w:r>
    </w:p>
  </w:footnote>
  <w:footnote w:id="10">
    <w:p w:rsidR="00FF17B2" w:rsidRPr="002C58F2" w:rsidRDefault="00FF17B2" w:rsidP="002C58F2">
      <w:pPr>
        <w:pStyle w:val="Textonotapie"/>
      </w:pPr>
      <w:r w:rsidRPr="002C58F2">
        <w:rPr>
          <w:sz w:val="16"/>
          <w:szCs w:val="16"/>
        </w:rPr>
        <w:footnoteRef/>
      </w:r>
      <w:r w:rsidRPr="002C58F2">
        <w:rPr>
          <w:sz w:val="16"/>
          <w:szCs w:val="16"/>
        </w:rPr>
        <w:t xml:space="preserve"> Por la cual se establecen medidas regulatorias en relación con la definición y aplicación del gasoducto de conexión en materia de transporte de gas natural</w:t>
      </w:r>
      <w:r>
        <w:rPr>
          <w:sz w:val="16"/>
          <w:szCs w:val="16"/>
        </w:rPr>
        <w:t>.</w:t>
      </w:r>
    </w:p>
  </w:footnote>
  <w:footnote w:id="11">
    <w:p w:rsidR="00FF17B2" w:rsidRPr="000B49F0" w:rsidRDefault="00FF17B2" w:rsidP="000767C3">
      <w:pPr>
        <w:pStyle w:val="Textonotapie"/>
        <w:rPr>
          <w:sz w:val="16"/>
          <w:szCs w:val="16"/>
        </w:rPr>
      </w:pPr>
      <w:r w:rsidRPr="000767C3">
        <w:rPr>
          <w:sz w:val="16"/>
          <w:szCs w:val="16"/>
        </w:rPr>
        <w:footnoteRef/>
      </w:r>
      <w:r w:rsidRPr="000767C3">
        <w:rPr>
          <w:sz w:val="16"/>
          <w:szCs w:val="16"/>
        </w:rPr>
        <w:t xml:space="preserve"> Se entiende que </w:t>
      </w:r>
      <w:r>
        <w:rPr>
          <w:sz w:val="16"/>
          <w:szCs w:val="16"/>
        </w:rPr>
        <w:t>estos</w:t>
      </w:r>
      <w:r w:rsidRPr="000767C3">
        <w:rPr>
          <w:sz w:val="16"/>
          <w:szCs w:val="16"/>
        </w:rPr>
        <w:t xml:space="preserve"> corresponden a gasoductos </w:t>
      </w:r>
      <w:r>
        <w:rPr>
          <w:sz w:val="16"/>
          <w:szCs w:val="16"/>
        </w:rPr>
        <w:t>que no están listados en los artículos 21 y 22 de la Resolución CREG 126 de 2010, pero que hacen parte de sistemas independientes como proyectos nuevos que no están embebidos en la red existente, diferentes a los</w:t>
      </w:r>
      <w:r w:rsidRPr="000767C3">
        <w:rPr>
          <w:sz w:val="16"/>
          <w:szCs w:val="16"/>
        </w:rPr>
        <w:t xml:space="preserve"> gasoductos troncales </w:t>
      </w:r>
      <w:r>
        <w:rPr>
          <w:sz w:val="16"/>
          <w:szCs w:val="16"/>
        </w:rPr>
        <w:t xml:space="preserve">y ramales </w:t>
      </w:r>
      <w:r w:rsidRPr="000767C3">
        <w:rPr>
          <w:sz w:val="16"/>
          <w:szCs w:val="16"/>
        </w:rPr>
        <w:t>de un transportador existente</w:t>
      </w:r>
      <w:r>
        <w:rPr>
          <w:sz w:val="16"/>
          <w:szCs w:val="16"/>
        </w:rPr>
        <w:t xml:space="preserve"> que cuenta con cargos regulados</w:t>
      </w:r>
      <w:r w:rsidRPr="000767C3">
        <w:rPr>
          <w:sz w:val="16"/>
          <w:szCs w:val="16"/>
        </w:rPr>
        <w:t>, ampliaciones de capacidad de transporte, gasoductos dedicados y de conexión</w:t>
      </w:r>
      <w:r>
        <w:rPr>
          <w:sz w:val="16"/>
          <w:szCs w:val="16"/>
        </w:rPr>
        <w:t>, pero que los mismos no estarían prohibidos o restringidos frente a una posible solicitud de cargos en el marco de la Resolución CREG 126 de 2010, en la medida que estos han de considerarse eficientes y están destinados a la prestación del servicio público domiciliario.</w:t>
      </w:r>
      <w:r>
        <w:t xml:space="preserve"> </w:t>
      </w:r>
    </w:p>
  </w:footnote>
  <w:footnote w:id="12">
    <w:p w:rsidR="00FF17B2" w:rsidRPr="000767C3" w:rsidRDefault="00FF17B2" w:rsidP="00575F93">
      <w:pPr>
        <w:pStyle w:val="Textonotapie"/>
        <w:rPr>
          <w:sz w:val="16"/>
          <w:szCs w:val="16"/>
        </w:rPr>
      </w:pPr>
      <w:r w:rsidRPr="000767C3">
        <w:rPr>
          <w:rStyle w:val="Refdenotaalpie"/>
          <w:sz w:val="16"/>
          <w:szCs w:val="16"/>
        </w:rPr>
        <w:footnoteRef/>
      </w:r>
      <w:r w:rsidRPr="000767C3">
        <w:rPr>
          <w:sz w:val="16"/>
          <w:szCs w:val="16"/>
        </w:rPr>
        <w:t xml:space="preserve"> El </w:t>
      </w:r>
      <w:r w:rsidRPr="000767C3">
        <w:rPr>
          <w:i/>
          <w:sz w:val="16"/>
          <w:szCs w:val="16"/>
        </w:rPr>
        <w:t>open season es</w:t>
      </w:r>
      <w:r w:rsidRPr="000767C3">
        <w:rPr>
          <w:sz w:val="16"/>
          <w:szCs w:val="16"/>
        </w:rPr>
        <w:t xml:space="preserve"> un proceso en el que el interesado en desarrollar un proyecto establece términos y parámetros técnicos del proyecto e invita a los potenciales usuarios a que presenten sus propuestas para contratar capacidad de transporte de ese proyecto. El propósito de este proceso es asegurar que todos los interesados conocen los términos del nuevo proyecto y determinar que hay suficiente interés por parte de la demanda de tal manera que se pueda continuar con el proyecto</w:t>
      </w:r>
      <w:r>
        <w:rPr>
          <w:sz w:val="16"/>
          <w:szCs w:val="16"/>
        </w:rPr>
        <w:t xml:space="preserve">, de acuerdo a literatura especializada. </w:t>
      </w:r>
    </w:p>
  </w:footnote>
  <w:footnote w:id="13">
    <w:p w:rsidR="00FF17B2" w:rsidRPr="009E6423" w:rsidRDefault="00FF17B2" w:rsidP="000B49F0">
      <w:pPr>
        <w:pStyle w:val="Textonotapie"/>
        <w:rPr>
          <w:rFonts w:cs="Arial"/>
          <w:sz w:val="16"/>
          <w:szCs w:val="16"/>
          <w:lang w:val="es-CO"/>
        </w:rPr>
      </w:pPr>
      <w:r w:rsidRPr="006418F8">
        <w:rPr>
          <w:sz w:val="16"/>
          <w:szCs w:val="16"/>
        </w:rPr>
        <w:footnoteRef/>
      </w:r>
      <w:r w:rsidRPr="000B49F0">
        <w:rPr>
          <w:sz w:val="16"/>
          <w:szCs w:val="16"/>
        </w:rPr>
        <w:t xml:space="preserve"> Se debe precisar que estas disposiciones se encuentran recogidas actualmente en los numerales 2.2.2.30 y siguientes del Decreto 1074 de 2015.</w:t>
      </w:r>
    </w:p>
  </w:footnote>
  <w:footnote w:id="14">
    <w:p w:rsidR="00FF17B2" w:rsidRPr="00FE046E" w:rsidRDefault="00FF17B2">
      <w:pPr>
        <w:pStyle w:val="Textonotapie"/>
        <w:rPr>
          <w:lang w:val="es-CO"/>
        </w:rPr>
      </w:pPr>
      <w:r w:rsidRPr="00FE046E">
        <w:rPr>
          <w:rStyle w:val="Refdenotaalpie"/>
          <w:sz w:val="16"/>
        </w:rPr>
        <w:footnoteRef/>
      </w:r>
      <w:r w:rsidRPr="00FE046E">
        <w:rPr>
          <w:sz w:val="16"/>
        </w:rPr>
        <w:t xml:space="preserve"> </w:t>
      </w:r>
      <w:r w:rsidRPr="00FE046E">
        <w:rPr>
          <w:sz w:val="16"/>
          <w:lang w:val="es-CO"/>
        </w:rPr>
        <w:t xml:space="preserve">Ampliaciones de </w:t>
      </w:r>
      <w:r w:rsidRPr="0067789B">
        <w:rPr>
          <w:sz w:val="16"/>
          <w:lang w:val="es-CO"/>
        </w:rPr>
        <w:t xml:space="preserve">capacidad: se considerarán ampliaciones de capacidad a </w:t>
      </w:r>
      <w:r w:rsidRPr="0067789B">
        <w:rPr>
          <w:i/>
          <w:sz w:val="16"/>
          <w:lang w:val="es-CO"/>
        </w:rPr>
        <w:t>Loops</w:t>
      </w:r>
      <w:r w:rsidRPr="0067789B">
        <w:rPr>
          <w:sz w:val="16"/>
          <w:lang w:val="es-CO"/>
        </w:rPr>
        <w:t xml:space="preserve"> y Estaciones de compresión sobre una infraestructura existente o cuando la construcción de infraestructura nueva vaya a estar inmersa o embebida en el sistema de un transportador existente.</w:t>
      </w:r>
      <w:r w:rsidRPr="00FE046E">
        <w:rPr>
          <w:sz w:val="16"/>
          <w:lang w:val="es-CO"/>
        </w:rPr>
        <w:t xml:space="preserve"> </w:t>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F17B2" w:rsidRDefault="00FF17B2" w:rsidP="00951F79">
    <w:pPr>
      <w:pStyle w:val="Ttulo1"/>
      <w:ind w:right="6"/>
      <w:jc w:val="left"/>
      <w:rPr>
        <w:rFonts w:ascii="Bookman Old Style" w:hAnsi="Bookman Old Style" w:cs="Arial"/>
        <w:b w:val="0"/>
        <w:sz w:val="22"/>
        <w:szCs w:val="22"/>
      </w:rPr>
    </w:pPr>
  </w:p>
  <w:p w:rsidR="00FF17B2" w:rsidRPr="00951F79" w:rsidRDefault="00FF17B2" w:rsidP="009F4BEC">
    <w:pPr>
      <w:pStyle w:val="Ttulo1"/>
      <w:ind w:right="6"/>
      <w:jc w:val="left"/>
      <w:rPr>
        <w:rFonts w:ascii="Bookman Old Style" w:hAnsi="Bookman Old Style" w:cs="Arial"/>
        <w:b w:val="0"/>
        <w:sz w:val="22"/>
        <w:szCs w:val="22"/>
      </w:rPr>
    </w:pPr>
    <w:r w:rsidRPr="00654384">
      <w:rPr>
        <w:rFonts w:ascii="Bookman Old Style" w:hAnsi="Bookman Old Style" w:cs="Arial"/>
        <w:b w:val="0"/>
        <w:sz w:val="22"/>
        <w:szCs w:val="22"/>
      </w:rPr>
      <w:t>RESOLUCIÓN No.</w:t>
    </w:r>
    <w:r>
      <w:rPr>
        <w:rFonts w:ascii="Bookman Old Style" w:hAnsi="Bookman Old Style" w:cs="Arial"/>
        <w:b w:val="0"/>
        <w:sz w:val="22"/>
        <w:szCs w:val="22"/>
      </w:rPr>
      <w:t xml:space="preserve">  ________________</w:t>
    </w:r>
    <w:r w:rsidRPr="00654384">
      <w:rPr>
        <w:rFonts w:ascii="Bookman Old Style" w:hAnsi="Bookman Old Style" w:cs="Arial"/>
        <w:b w:val="0"/>
        <w:sz w:val="22"/>
        <w:szCs w:val="22"/>
      </w:rPr>
      <w:tab/>
    </w:r>
    <w:r>
      <w:rPr>
        <w:rFonts w:ascii="Bookman Old Style" w:hAnsi="Bookman Old Style" w:cs="Arial"/>
        <w:b w:val="0"/>
        <w:sz w:val="22"/>
        <w:szCs w:val="22"/>
      </w:rPr>
      <w:t>DE ________________</w:t>
    </w:r>
    <w:r>
      <w:rPr>
        <w:rFonts w:ascii="Bookman Old Style" w:hAnsi="Bookman Old Style" w:cs="Arial"/>
        <w:b w:val="0"/>
        <w:sz w:val="22"/>
        <w:szCs w:val="22"/>
      </w:rPr>
      <w:tab/>
    </w:r>
    <w:r w:rsidRPr="00654384">
      <w:rPr>
        <w:rFonts w:ascii="Bookman Old Style" w:hAnsi="Bookman Old Style" w:cs="Arial"/>
        <w:b w:val="0"/>
        <w:sz w:val="22"/>
        <w:szCs w:val="22"/>
      </w:rPr>
      <w:t xml:space="preserve">HOJA No. </w:t>
    </w:r>
    <w:r w:rsidRPr="00654384">
      <w:rPr>
        <w:rFonts w:ascii="Bookman Old Style" w:hAnsi="Bookman Old Style" w:cs="Arial"/>
        <w:b w:val="0"/>
        <w:sz w:val="22"/>
        <w:szCs w:val="22"/>
      </w:rPr>
      <w:fldChar w:fldCharType="begin"/>
    </w:r>
    <w:r w:rsidRPr="00654384">
      <w:rPr>
        <w:rFonts w:ascii="Bookman Old Style" w:hAnsi="Bookman Old Style" w:cs="Arial"/>
        <w:b w:val="0"/>
        <w:sz w:val="22"/>
        <w:szCs w:val="22"/>
      </w:rPr>
      <w:instrText xml:space="preserve"> PAGE   \* MERGEFORMAT </w:instrText>
    </w:r>
    <w:r w:rsidRPr="00654384">
      <w:rPr>
        <w:rFonts w:ascii="Bookman Old Style" w:hAnsi="Bookman Old Style" w:cs="Arial"/>
        <w:b w:val="0"/>
        <w:sz w:val="22"/>
        <w:szCs w:val="22"/>
      </w:rPr>
      <w:fldChar w:fldCharType="separate"/>
    </w:r>
    <w:r w:rsidR="00DE4BB6">
      <w:rPr>
        <w:rFonts w:ascii="Bookman Old Style" w:hAnsi="Bookman Old Style" w:cs="Arial"/>
        <w:b w:val="0"/>
        <w:noProof/>
        <w:sz w:val="22"/>
        <w:szCs w:val="22"/>
      </w:rPr>
      <w:t>4</w:t>
    </w:r>
    <w:r w:rsidRPr="00654384">
      <w:rPr>
        <w:rFonts w:ascii="Bookman Old Style" w:hAnsi="Bookman Old Style" w:cs="Arial"/>
        <w:b w:val="0"/>
        <w:sz w:val="22"/>
        <w:szCs w:val="22"/>
      </w:rPr>
      <w:fldChar w:fldCharType="end"/>
    </w:r>
    <w:r w:rsidRPr="00654384">
      <w:rPr>
        <w:rFonts w:ascii="Bookman Old Style" w:hAnsi="Bookman Old Style" w:cs="Arial"/>
        <w:b w:val="0"/>
        <w:sz w:val="22"/>
        <w:szCs w:val="22"/>
      </w:rPr>
      <w:t>/</w:t>
    </w:r>
    <w:r w:rsidR="00DE4BB6">
      <w:fldChar w:fldCharType="begin"/>
    </w:r>
    <w:r w:rsidR="00DE4BB6">
      <w:instrText xml:space="preserve"> NUMPAGES  \* MERGEFORMAT </w:instrText>
    </w:r>
    <w:r w:rsidR="00DE4BB6">
      <w:fldChar w:fldCharType="separate"/>
    </w:r>
    <w:r w:rsidR="00DE4BB6" w:rsidRPr="00DE4BB6">
      <w:rPr>
        <w:rFonts w:ascii="Bookman Old Style" w:hAnsi="Bookman Old Style" w:cs="Arial"/>
        <w:b w:val="0"/>
        <w:noProof/>
        <w:sz w:val="22"/>
        <w:szCs w:val="22"/>
      </w:rPr>
      <w:t>22</w:t>
    </w:r>
    <w:r w:rsidR="00DE4BB6">
      <w:rPr>
        <w:rFonts w:ascii="Bookman Old Style" w:hAnsi="Bookman Old Style" w:cs="Arial"/>
        <w:b w:val="0"/>
        <w:noProof/>
        <w:sz w:val="22"/>
        <w:szCs w:val="22"/>
      </w:rPr>
      <w:fldChar w:fldCharType="end"/>
    </w:r>
  </w:p>
  <w:p w:rsidR="00FF17B2" w:rsidRDefault="00FF17B2" w:rsidP="00837ECA">
    <w:pPr>
      <w:ind w:left="142" w:right="148"/>
      <w:rPr>
        <w:sz w:val="22"/>
        <w:szCs w:val="22"/>
        <w:lang w:val="es-CO"/>
      </w:rPr>
    </w:pPr>
    <w:r>
      <w:rPr>
        <w:noProof/>
        <w:lang w:val="es-CO" w:eastAsia="es-CO"/>
      </w:rPr>
      <mc:AlternateContent>
        <mc:Choice Requires="wps">
          <w:drawing>
            <wp:anchor distT="0" distB="0" distL="114300" distR="114300" simplePos="0" relativeHeight="251657216" behindDoc="0" locked="0" layoutInCell="1" allowOverlap="1" wp14:anchorId="48B2AC46" wp14:editId="0987C915">
              <wp:simplePos x="0" y="0"/>
              <wp:positionH relativeFrom="column">
                <wp:posOffset>-175260</wp:posOffset>
              </wp:positionH>
              <wp:positionV relativeFrom="paragraph">
                <wp:posOffset>139065</wp:posOffset>
              </wp:positionV>
              <wp:extent cx="6267450" cy="9900920"/>
              <wp:effectExtent l="15240" t="15240" r="13335" b="18415"/>
              <wp:wrapNone/>
              <wp:docPr id="2"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67450" cy="9900920"/>
                      </a:xfrm>
                      <a:prstGeom prst="rect">
                        <a:avLst/>
                      </a:prstGeom>
                      <a:noFill/>
                      <a:ln w="19050">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EE30742" id="Rectangle 1" o:spid="_x0000_s1026" style="position:absolute;margin-left:-13.8pt;margin-top:10.95pt;width:493.5pt;height:779.6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" filled="f" strokeweight="1.5pt"/>
          </w:pict>
        </mc:Fallback>
      </mc:AlternateContent>
    </w:r>
  </w:p>
  <w:p w:rsidR="00FF17B2" w:rsidRDefault="009C17FF" w:rsidP="009C17FF">
    <w:pPr>
      <w:rPr>
        <w:rFonts w:cs="Arial"/>
        <w:color w:val="000000"/>
        <w:sz w:val="22"/>
        <w:szCs w:val="22"/>
      </w:rPr>
    </w:pPr>
    <w:r>
      <w:rPr>
        <w:rFonts w:cs="Arial"/>
        <w:color w:val="000000"/>
        <w:sz w:val="22"/>
        <w:szCs w:val="22"/>
      </w:rPr>
      <w:t xml:space="preserve"> </w:t>
    </w:r>
    <w:r w:rsidRPr="009C17FF">
      <w:rPr>
        <w:rFonts w:cs="Arial"/>
        <w:color w:val="000000"/>
        <w:sz w:val="22"/>
        <w:szCs w:val="22"/>
      </w:rPr>
      <w:t xml:space="preserve">Por la cual se define la regulación asociada al </w:t>
    </w:r>
    <w:r w:rsidRPr="009C17FF">
      <w:rPr>
        <w:rFonts w:cs="Arial"/>
        <w:i/>
        <w:color w:val="000000"/>
        <w:sz w:val="22"/>
        <w:szCs w:val="22"/>
      </w:rPr>
      <w:t>Open Season</w:t>
    </w:r>
    <w:r w:rsidRPr="009C17FF">
      <w:rPr>
        <w:rFonts w:cs="Arial"/>
        <w:color w:val="000000"/>
        <w:sz w:val="22"/>
        <w:szCs w:val="22"/>
      </w:rPr>
      <w:t xml:space="preserve"> como mecanismo de mercado para el desarrollo de proyectos de infraestructura de transporte de gas asociados con extensiones y otros gasoductos diferentes a ampliaciones de capacidad, gasoductos dedicados y de conexión, y se adoptan otras disposiciones</w:t>
    </w:r>
  </w:p>
  <w:p w:rsidR="009C17FF" w:rsidRPr="009C17FF" w:rsidRDefault="009C17FF" w:rsidP="009C17FF">
    <w:pPr>
      <w:rPr>
        <w:sz w:val="22"/>
        <w:szCs w:val="22"/>
      </w:rPr>
    </w:pPr>
    <w:r>
      <w:rPr>
        <w:rFonts w:cs="Arial"/>
        <w:color w:val="000000"/>
        <w:sz w:val="22"/>
        <w:szCs w:val="22"/>
      </w:rPr>
      <w:t>___________________________________________________________________________________</w:t>
    </w: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F17B2" w:rsidRPr="00A958DD" w:rsidRDefault="00FF17B2" w:rsidP="00A958DD">
    <w:pPr>
      <w:pStyle w:val="Encabezado"/>
      <w:jc w:val="center"/>
      <w:rPr>
        <w:rFonts w:ascii="Arial" w:hAnsi="Arial" w:cs="Arial"/>
        <w:b/>
        <w:spacing w:val="20"/>
        <w:sz w:val="20"/>
      </w:rPr>
    </w:pPr>
    <w:r w:rsidRPr="00A958DD">
      <w:rPr>
        <w:rFonts w:ascii="Arial" w:hAnsi="Arial" w:cs="Arial"/>
        <w:b/>
        <w:spacing w:val="20"/>
        <w:sz w:val="20"/>
      </w:rPr>
      <w:t>República de Colombia</w:t>
    </w:r>
  </w:p>
  <w:p w:rsidR="00FF17B2" w:rsidRDefault="00FF17B2">
    <w:pPr>
      <w:pStyle w:val="Encabezado"/>
      <w:jc w:val="center"/>
      <w:rPr>
        <w:rFonts w:ascii="Arial" w:hAnsi="Arial" w:cs="Arial"/>
        <w:spacing w:val="20"/>
        <w:sz w:val="20"/>
      </w:rPr>
    </w:pPr>
  </w:p>
  <w:p w:rsidR="00FF17B2" w:rsidRDefault="00FF17B2" w:rsidP="00CA77FB">
    <w:pPr>
      <w:pStyle w:val="Encabezado"/>
      <w:jc w:val="center"/>
    </w:pPr>
    <w:r>
      <w:rPr>
        <w:rFonts w:ascii="Arial" w:hAnsi="Arial" w:cs="Arial"/>
        <w:noProof/>
        <w:spacing w:val="20"/>
        <w:sz w:val="20"/>
        <w:lang w:eastAsia="es-CO"/>
      </w:rPr>
      <mc:AlternateContent>
        <mc:Choice Requires="wps">
          <w:drawing>
            <wp:anchor distT="0" distB="0" distL="114300" distR="114300" simplePos="0" relativeHeight="251658240" behindDoc="0" locked="0" layoutInCell="1" allowOverlap="1" wp14:anchorId="3939E154" wp14:editId="7C861DEB">
              <wp:simplePos x="0" y="0"/>
              <wp:positionH relativeFrom="column">
                <wp:posOffset>-213360</wp:posOffset>
              </wp:positionH>
              <wp:positionV relativeFrom="paragraph">
                <wp:posOffset>377190</wp:posOffset>
              </wp:positionV>
              <wp:extent cx="6343650" cy="9839325"/>
              <wp:effectExtent l="15240" t="15240" r="13335" b="13335"/>
              <wp:wrapNone/>
              <wp:docPr id="1"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343650" cy="9839325"/>
                      </a:xfrm>
                      <a:prstGeom prst="rect">
                        <a:avLst/>
                      </a:prstGeom>
                      <a:noFill/>
                      <a:ln w="19050">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68BE41A" id="Rectangle 2" o:spid="_x0000_s1026" style="position:absolute;margin-left:-16.8pt;margin-top:29.7pt;width:499.5pt;height:774.7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" filled="f" strokeweight="1.5pt"/>
          </w:pict>
        </mc:Fallback>
      </mc:AlternateContent>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F"/>
    <w:multiLevelType w:val="singleLevel"/>
    <w:tmpl w:val="0000000F"/>
    <w:name w:val="WW8Num21"/>
    <w:lvl w:ilvl="0">
      <w:numFmt w:val="bullet"/>
      <w:lvlText w:val="-"/>
      <w:lvlJc w:val="left"/>
      <w:pPr>
        <w:tabs>
          <w:tab w:val="num" w:pos="720"/>
        </w:tabs>
      </w:pPr>
      <w:rPr>
        <w:rFonts w:ascii="Times New Roman" w:hAnsi="Times New Roman" w:cs="Times New Roman"/>
      </w:rPr>
    </w:lvl>
  </w:abstractNum>
  <w:abstractNum w:abstractNumId="1" w15:restartNumberingAfterBreak="0">
    <w:nsid w:val="0000001F"/>
    <w:multiLevelType w:val="multilevel"/>
    <w:tmpl w:val="0000001F"/>
    <w:name w:val="WW8StyleNum"/>
    <w:lvl w:ilvl="0">
      <w:start w:val="1"/>
      <w:numFmt w:val="lowerLetter"/>
      <w:pStyle w:val="Vietaletra"/>
      <w:lvlText w:val="%1)"/>
      <w:lvlJc w:val="left"/>
      <w:pPr>
        <w:tabs>
          <w:tab w:val="num" w:pos="360"/>
        </w:tabs>
      </w:pPr>
    </w:lvl>
    <w:lvl w:ilvl="1">
      <w:start w:val="1"/>
      <w:numFmt w:val="decimal"/>
      <w:lvlText w:val="%2."/>
      <w:lvlJc w:val="left"/>
      <w:pPr>
        <w:tabs>
          <w:tab w:val="num" w:pos="1080"/>
        </w:tabs>
      </w:pPr>
    </w:lvl>
    <w:lvl w:ilvl="2">
      <w:start w:val="1"/>
      <w:numFmt w:val="decimal"/>
      <w:lvlText w:val="%3."/>
      <w:lvlJc w:val="left"/>
      <w:pPr>
        <w:tabs>
          <w:tab w:val="num" w:pos="1440"/>
        </w:tabs>
      </w:pPr>
    </w:lvl>
    <w:lvl w:ilvl="3">
      <w:start w:val="1"/>
      <w:numFmt w:val="decimal"/>
      <w:lvlText w:val="%4."/>
      <w:lvlJc w:val="left"/>
      <w:pPr>
        <w:tabs>
          <w:tab w:val="num" w:pos="1800"/>
        </w:tabs>
      </w:pPr>
    </w:lvl>
    <w:lvl w:ilvl="4">
      <w:start w:val="1"/>
      <w:numFmt w:val="decimal"/>
      <w:lvlText w:val="%5."/>
      <w:lvlJc w:val="left"/>
      <w:pPr>
        <w:tabs>
          <w:tab w:val="num" w:pos="2160"/>
        </w:tabs>
      </w:pPr>
    </w:lvl>
    <w:lvl w:ilvl="5">
      <w:start w:val="1"/>
      <w:numFmt w:val="decimal"/>
      <w:lvlText w:val="%6."/>
      <w:lvlJc w:val="left"/>
      <w:pPr>
        <w:tabs>
          <w:tab w:val="num" w:pos="2520"/>
        </w:tabs>
      </w:pPr>
    </w:lvl>
    <w:lvl w:ilvl="6">
      <w:start w:val="1"/>
      <w:numFmt w:val="decimal"/>
      <w:lvlText w:val="%7."/>
      <w:lvlJc w:val="left"/>
      <w:pPr>
        <w:tabs>
          <w:tab w:val="num" w:pos="2880"/>
        </w:tabs>
      </w:pPr>
    </w:lvl>
    <w:lvl w:ilvl="7">
      <w:start w:val="1"/>
      <w:numFmt w:val="decimal"/>
      <w:lvlText w:val="%8."/>
      <w:lvlJc w:val="left"/>
      <w:pPr>
        <w:tabs>
          <w:tab w:val="num" w:pos="3240"/>
        </w:tabs>
      </w:pPr>
    </w:lvl>
    <w:lvl w:ilvl="8">
      <w:start w:val="1"/>
      <w:numFmt w:val="decimal"/>
      <w:lvlText w:val="%9."/>
      <w:lvlJc w:val="left"/>
      <w:pPr>
        <w:tabs>
          <w:tab w:val="num" w:pos="3600"/>
        </w:tabs>
      </w:pPr>
    </w:lvl>
  </w:abstractNum>
  <w:abstractNum w:abstractNumId="2" w15:restartNumberingAfterBreak="0">
    <w:nsid w:val="00EA3779"/>
    <w:multiLevelType w:val="hybridMultilevel"/>
    <w:tmpl w:val="D68E9794"/>
    <w:lvl w:ilvl="0" w:tplc="C2B8B2C4">
      <w:start w:val="1"/>
      <w:numFmt w:val="bullet"/>
      <w:lvlText w:val="-"/>
      <w:lvlJc w:val="left"/>
      <w:pPr>
        <w:ind w:left="720" w:hanging="360"/>
      </w:pPr>
      <w:rPr>
        <w:rFonts w:ascii="Bookman Old Style" w:eastAsia="Times New Roman" w:hAnsi="Bookman Old Style" w:cs="Times New Roman"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 w15:restartNumberingAfterBreak="0">
    <w:nsid w:val="011F2055"/>
    <w:multiLevelType w:val="hybridMultilevel"/>
    <w:tmpl w:val="37FADB66"/>
    <w:lvl w:ilvl="0" w:tplc="D8CEF304">
      <w:start w:val="1"/>
      <w:numFmt w:val="lowerLetter"/>
      <w:lvlText w:val="%1)"/>
      <w:lvlJc w:val="left"/>
      <w:pPr>
        <w:ind w:left="720" w:hanging="360"/>
      </w:pPr>
      <w:rPr>
        <w:sz w:val="24"/>
        <w:szCs w:val="24"/>
      </w:rPr>
    </w:lvl>
    <w:lvl w:ilvl="1" w:tplc="240A0001">
      <w:start w:val="1"/>
      <w:numFmt w:val="bullet"/>
      <w:lvlText w:val=""/>
      <w:lvlJc w:val="left"/>
      <w:pPr>
        <w:ind w:left="1440" w:hanging="360"/>
      </w:pPr>
      <w:rPr>
        <w:rFonts w:ascii="Symbol" w:hAnsi="Symbol" w:hint="default"/>
      </w:r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4" w15:restartNumberingAfterBreak="0">
    <w:nsid w:val="013759BB"/>
    <w:multiLevelType w:val="hybridMultilevel"/>
    <w:tmpl w:val="6B68F794"/>
    <w:lvl w:ilvl="0" w:tplc="240A0017">
      <w:start w:val="1"/>
      <w:numFmt w:val="lowerLetter"/>
      <w:lvlText w:val="%1)"/>
      <w:lvlJc w:val="left"/>
      <w:pPr>
        <w:ind w:left="720" w:hanging="360"/>
      </w:pPr>
    </w:lvl>
    <w:lvl w:ilvl="1" w:tplc="240A0019">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5" w15:restartNumberingAfterBreak="0">
    <w:nsid w:val="0AEA6155"/>
    <w:multiLevelType w:val="hybridMultilevel"/>
    <w:tmpl w:val="AC5021A6"/>
    <w:lvl w:ilvl="0" w:tplc="240A0017">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6" w15:restartNumberingAfterBreak="0">
    <w:nsid w:val="1A4E5D7F"/>
    <w:multiLevelType w:val="hybridMultilevel"/>
    <w:tmpl w:val="4484FEA8"/>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7" w15:restartNumberingAfterBreak="0">
    <w:nsid w:val="1BA4267A"/>
    <w:multiLevelType w:val="hybridMultilevel"/>
    <w:tmpl w:val="D200D52A"/>
    <w:lvl w:ilvl="0" w:tplc="240A0017">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8" w15:restartNumberingAfterBreak="0">
    <w:nsid w:val="259D375B"/>
    <w:multiLevelType w:val="hybridMultilevel"/>
    <w:tmpl w:val="AB8EDC78"/>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9" w15:restartNumberingAfterBreak="0">
    <w:nsid w:val="27592ADD"/>
    <w:multiLevelType w:val="hybridMultilevel"/>
    <w:tmpl w:val="289E8652"/>
    <w:lvl w:ilvl="0" w:tplc="240A001B">
      <w:start w:val="1"/>
      <w:numFmt w:val="lowerRoman"/>
      <w:lvlText w:val="%1."/>
      <w:lvlJc w:val="right"/>
      <w:pPr>
        <w:ind w:left="1287" w:hanging="360"/>
      </w:pPr>
    </w:lvl>
    <w:lvl w:ilvl="1" w:tplc="240A0019" w:tentative="1">
      <w:start w:val="1"/>
      <w:numFmt w:val="lowerLetter"/>
      <w:lvlText w:val="%2."/>
      <w:lvlJc w:val="left"/>
      <w:pPr>
        <w:ind w:left="2007" w:hanging="360"/>
      </w:pPr>
    </w:lvl>
    <w:lvl w:ilvl="2" w:tplc="240A001B" w:tentative="1">
      <w:start w:val="1"/>
      <w:numFmt w:val="lowerRoman"/>
      <w:lvlText w:val="%3."/>
      <w:lvlJc w:val="right"/>
      <w:pPr>
        <w:ind w:left="2727" w:hanging="180"/>
      </w:pPr>
    </w:lvl>
    <w:lvl w:ilvl="3" w:tplc="240A000F" w:tentative="1">
      <w:start w:val="1"/>
      <w:numFmt w:val="decimal"/>
      <w:lvlText w:val="%4."/>
      <w:lvlJc w:val="left"/>
      <w:pPr>
        <w:ind w:left="3447" w:hanging="360"/>
      </w:pPr>
    </w:lvl>
    <w:lvl w:ilvl="4" w:tplc="240A0019" w:tentative="1">
      <w:start w:val="1"/>
      <w:numFmt w:val="lowerLetter"/>
      <w:lvlText w:val="%5."/>
      <w:lvlJc w:val="left"/>
      <w:pPr>
        <w:ind w:left="4167" w:hanging="360"/>
      </w:pPr>
    </w:lvl>
    <w:lvl w:ilvl="5" w:tplc="240A001B" w:tentative="1">
      <w:start w:val="1"/>
      <w:numFmt w:val="lowerRoman"/>
      <w:lvlText w:val="%6."/>
      <w:lvlJc w:val="right"/>
      <w:pPr>
        <w:ind w:left="4887" w:hanging="180"/>
      </w:pPr>
    </w:lvl>
    <w:lvl w:ilvl="6" w:tplc="240A000F" w:tentative="1">
      <w:start w:val="1"/>
      <w:numFmt w:val="decimal"/>
      <w:lvlText w:val="%7."/>
      <w:lvlJc w:val="left"/>
      <w:pPr>
        <w:ind w:left="5607" w:hanging="360"/>
      </w:pPr>
    </w:lvl>
    <w:lvl w:ilvl="7" w:tplc="240A0019" w:tentative="1">
      <w:start w:val="1"/>
      <w:numFmt w:val="lowerLetter"/>
      <w:lvlText w:val="%8."/>
      <w:lvlJc w:val="left"/>
      <w:pPr>
        <w:ind w:left="6327" w:hanging="360"/>
      </w:pPr>
    </w:lvl>
    <w:lvl w:ilvl="8" w:tplc="240A001B" w:tentative="1">
      <w:start w:val="1"/>
      <w:numFmt w:val="lowerRoman"/>
      <w:lvlText w:val="%9."/>
      <w:lvlJc w:val="right"/>
      <w:pPr>
        <w:ind w:left="7047" w:hanging="180"/>
      </w:pPr>
    </w:lvl>
  </w:abstractNum>
  <w:abstractNum w:abstractNumId="10" w15:restartNumberingAfterBreak="0">
    <w:nsid w:val="2C5E543E"/>
    <w:multiLevelType w:val="hybridMultilevel"/>
    <w:tmpl w:val="0EA4E588"/>
    <w:lvl w:ilvl="0" w:tplc="240A0017">
      <w:start w:val="1"/>
      <w:numFmt w:val="lowerLetter"/>
      <w:lvlText w:val="%1)"/>
      <w:lvlJc w:val="left"/>
      <w:pPr>
        <w:ind w:left="1287" w:hanging="360"/>
      </w:pPr>
    </w:lvl>
    <w:lvl w:ilvl="1" w:tplc="240A0019" w:tentative="1">
      <w:start w:val="1"/>
      <w:numFmt w:val="lowerLetter"/>
      <w:lvlText w:val="%2."/>
      <w:lvlJc w:val="left"/>
      <w:pPr>
        <w:ind w:left="2007" w:hanging="360"/>
      </w:pPr>
    </w:lvl>
    <w:lvl w:ilvl="2" w:tplc="240A001B" w:tentative="1">
      <w:start w:val="1"/>
      <w:numFmt w:val="lowerRoman"/>
      <w:lvlText w:val="%3."/>
      <w:lvlJc w:val="right"/>
      <w:pPr>
        <w:ind w:left="2727" w:hanging="180"/>
      </w:pPr>
    </w:lvl>
    <w:lvl w:ilvl="3" w:tplc="240A000F" w:tentative="1">
      <w:start w:val="1"/>
      <w:numFmt w:val="decimal"/>
      <w:lvlText w:val="%4."/>
      <w:lvlJc w:val="left"/>
      <w:pPr>
        <w:ind w:left="3447" w:hanging="360"/>
      </w:pPr>
    </w:lvl>
    <w:lvl w:ilvl="4" w:tplc="240A0019" w:tentative="1">
      <w:start w:val="1"/>
      <w:numFmt w:val="lowerLetter"/>
      <w:lvlText w:val="%5."/>
      <w:lvlJc w:val="left"/>
      <w:pPr>
        <w:ind w:left="4167" w:hanging="360"/>
      </w:pPr>
    </w:lvl>
    <w:lvl w:ilvl="5" w:tplc="240A001B" w:tentative="1">
      <w:start w:val="1"/>
      <w:numFmt w:val="lowerRoman"/>
      <w:lvlText w:val="%6."/>
      <w:lvlJc w:val="right"/>
      <w:pPr>
        <w:ind w:left="4887" w:hanging="180"/>
      </w:pPr>
    </w:lvl>
    <w:lvl w:ilvl="6" w:tplc="240A000F" w:tentative="1">
      <w:start w:val="1"/>
      <w:numFmt w:val="decimal"/>
      <w:lvlText w:val="%7."/>
      <w:lvlJc w:val="left"/>
      <w:pPr>
        <w:ind w:left="5607" w:hanging="360"/>
      </w:pPr>
    </w:lvl>
    <w:lvl w:ilvl="7" w:tplc="240A0019" w:tentative="1">
      <w:start w:val="1"/>
      <w:numFmt w:val="lowerLetter"/>
      <w:lvlText w:val="%8."/>
      <w:lvlJc w:val="left"/>
      <w:pPr>
        <w:ind w:left="6327" w:hanging="360"/>
      </w:pPr>
    </w:lvl>
    <w:lvl w:ilvl="8" w:tplc="240A001B" w:tentative="1">
      <w:start w:val="1"/>
      <w:numFmt w:val="lowerRoman"/>
      <w:lvlText w:val="%9."/>
      <w:lvlJc w:val="right"/>
      <w:pPr>
        <w:ind w:left="7047" w:hanging="180"/>
      </w:pPr>
    </w:lvl>
  </w:abstractNum>
  <w:abstractNum w:abstractNumId="11" w15:restartNumberingAfterBreak="0">
    <w:nsid w:val="32FF1CFA"/>
    <w:multiLevelType w:val="hybridMultilevel"/>
    <w:tmpl w:val="CD5A92F8"/>
    <w:lvl w:ilvl="0" w:tplc="240A0017">
      <w:start w:val="1"/>
      <w:numFmt w:val="lowerLetter"/>
      <w:lvlText w:val="%1)"/>
      <w:lvlJc w:val="left"/>
      <w:pPr>
        <w:ind w:left="1287" w:hanging="360"/>
      </w:pPr>
    </w:lvl>
    <w:lvl w:ilvl="1" w:tplc="240A0019" w:tentative="1">
      <w:start w:val="1"/>
      <w:numFmt w:val="lowerLetter"/>
      <w:lvlText w:val="%2."/>
      <w:lvlJc w:val="left"/>
      <w:pPr>
        <w:ind w:left="2007" w:hanging="360"/>
      </w:pPr>
    </w:lvl>
    <w:lvl w:ilvl="2" w:tplc="240A001B" w:tentative="1">
      <w:start w:val="1"/>
      <w:numFmt w:val="lowerRoman"/>
      <w:lvlText w:val="%3."/>
      <w:lvlJc w:val="right"/>
      <w:pPr>
        <w:ind w:left="2727" w:hanging="180"/>
      </w:pPr>
    </w:lvl>
    <w:lvl w:ilvl="3" w:tplc="240A000F" w:tentative="1">
      <w:start w:val="1"/>
      <w:numFmt w:val="decimal"/>
      <w:lvlText w:val="%4."/>
      <w:lvlJc w:val="left"/>
      <w:pPr>
        <w:ind w:left="3447" w:hanging="360"/>
      </w:pPr>
    </w:lvl>
    <w:lvl w:ilvl="4" w:tplc="240A0019" w:tentative="1">
      <w:start w:val="1"/>
      <w:numFmt w:val="lowerLetter"/>
      <w:lvlText w:val="%5."/>
      <w:lvlJc w:val="left"/>
      <w:pPr>
        <w:ind w:left="4167" w:hanging="360"/>
      </w:pPr>
    </w:lvl>
    <w:lvl w:ilvl="5" w:tplc="240A001B" w:tentative="1">
      <w:start w:val="1"/>
      <w:numFmt w:val="lowerRoman"/>
      <w:lvlText w:val="%6."/>
      <w:lvlJc w:val="right"/>
      <w:pPr>
        <w:ind w:left="4887" w:hanging="180"/>
      </w:pPr>
    </w:lvl>
    <w:lvl w:ilvl="6" w:tplc="240A000F" w:tentative="1">
      <w:start w:val="1"/>
      <w:numFmt w:val="decimal"/>
      <w:lvlText w:val="%7."/>
      <w:lvlJc w:val="left"/>
      <w:pPr>
        <w:ind w:left="5607" w:hanging="360"/>
      </w:pPr>
    </w:lvl>
    <w:lvl w:ilvl="7" w:tplc="240A0019" w:tentative="1">
      <w:start w:val="1"/>
      <w:numFmt w:val="lowerLetter"/>
      <w:lvlText w:val="%8."/>
      <w:lvlJc w:val="left"/>
      <w:pPr>
        <w:ind w:left="6327" w:hanging="360"/>
      </w:pPr>
    </w:lvl>
    <w:lvl w:ilvl="8" w:tplc="240A001B" w:tentative="1">
      <w:start w:val="1"/>
      <w:numFmt w:val="lowerRoman"/>
      <w:lvlText w:val="%9."/>
      <w:lvlJc w:val="right"/>
      <w:pPr>
        <w:ind w:left="7047" w:hanging="180"/>
      </w:pPr>
    </w:lvl>
  </w:abstractNum>
  <w:abstractNum w:abstractNumId="12" w15:restartNumberingAfterBreak="0">
    <w:nsid w:val="348F13D4"/>
    <w:multiLevelType w:val="multilevel"/>
    <w:tmpl w:val="C1AA0D6C"/>
    <w:lvl w:ilvl="0">
      <w:start w:val="2"/>
      <w:numFmt w:val="decimal"/>
      <w:lvlText w:val="Artículo %1."/>
      <w:lvlJc w:val="left"/>
      <w:pPr>
        <w:ind w:left="0" w:firstLine="0"/>
      </w:pPr>
      <w:rPr>
        <w:rFonts w:ascii="Bookman Old Style" w:hAnsi="Bookman Old Style" w:hint="default"/>
        <w:b/>
        <w:i w:val="0"/>
        <w:sz w:val="24"/>
      </w:rPr>
    </w:lvl>
    <w:lvl w:ilvl="1">
      <w:start w:val="1"/>
      <w:numFmt w:val="decimal"/>
      <w:lvlText w:val="%1.%2."/>
      <w:lvlJc w:val="left"/>
      <w:pPr>
        <w:ind w:left="0" w:firstLine="0"/>
      </w:pPr>
      <w:rPr>
        <w:rFonts w:ascii="Bookman Old Style" w:hAnsi="Bookman Old Style" w:hint="default"/>
        <w:b/>
        <w:i w:val="0"/>
        <w:sz w:val="24"/>
        <w:szCs w:val="24"/>
      </w:rPr>
    </w:lvl>
    <w:lvl w:ilvl="2">
      <w:start w:val="1"/>
      <w:numFmt w:val="decimal"/>
      <w:suff w:val="nothing"/>
      <w:lvlText w:val="%1.%2.%3. "/>
      <w:lvlJc w:val="left"/>
      <w:pPr>
        <w:ind w:left="0" w:firstLine="0"/>
      </w:pPr>
      <w:rPr>
        <w:rFonts w:ascii="Bookman Old Style" w:hAnsi="Bookman Old Style" w:hint="default"/>
        <w:b/>
        <w:i w:val="0"/>
        <w:sz w:val="24"/>
      </w:rPr>
    </w:lvl>
    <w:lvl w:ilvl="3">
      <w:start w:val="1"/>
      <w:numFmt w:val="lowerRoman"/>
      <w:lvlText w:val="(%4)"/>
      <w:lvlJc w:val="right"/>
      <w:pPr>
        <w:ind w:left="-1135" w:firstLine="0"/>
      </w:pPr>
      <w:rPr>
        <w:rFonts w:hint="default"/>
      </w:rPr>
    </w:lvl>
    <w:lvl w:ilvl="4">
      <w:start w:val="1"/>
      <w:numFmt w:val="decimal"/>
      <w:lvlText w:val="%5)"/>
      <w:lvlJc w:val="left"/>
      <w:pPr>
        <w:ind w:left="-1135" w:firstLine="0"/>
      </w:pPr>
      <w:rPr>
        <w:rFonts w:hint="default"/>
      </w:rPr>
    </w:lvl>
    <w:lvl w:ilvl="5">
      <w:start w:val="1"/>
      <w:numFmt w:val="lowerLetter"/>
      <w:lvlText w:val="%6)"/>
      <w:lvlJc w:val="left"/>
      <w:pPr>
        <w:ind w:left="-1135" w:firstLine="0"/>
      </w:pPr>
      <w:rPr>
        <w:rFonts w:hint="default"/>
      </w:rPr>
    </w:lvl>
    <w:lvl w:ilvl="6">
      <w:start w:val="1"/>
      <w:numFmt w:val="lowerRoman"/>
      <w:lvlText w:val="%7)"/>
      <w:lvlJc w:val="right"/>
      <w:pPr>
        <w:ind w:left="-1135" w:firstLine="0"/>
      </w:pPr>
      <w:rPr>
        <w:rFonts w:hint="default"/>
      </w:rPr>
    </w:lvl>
    <w:lvl w:ilvl="7">
      <w:start w:val="1"/>
      <w:numFmt w:val="lowerLetter"/>
      <w:lvlText w:val="%8."/>
      <w:lvlJc w:val="left"/>
      <w:pPr>
        <w:ind w:left="-1135" w:firstLine="0"/>
      </w:pPr>
      <w:rPr>
        <w:rFonts w:hint="default"/>
      </w:rPr>
    </w:lvl>
    <w:lvl w:ilvl="8">
      <w:start w:val="1"/>
      <w:numFmt w:val="lowerRoman"/>
      <w:lvlText w:val="%9."/>
      <w:lvlJc w:val="right"/>
      <w:pPr>
        <w:ind w:left="-1135" w:firstLine="0"/>
      </w:pPr>
      <w:rPr>
        <w:rFonts w:hint="default"/>
      </w:rPr>
    </w:lvl>
  </w:abstractNum>
  <w:abstractNum w:abstractNumId="13" w15:restartNumberingAfterBreak="0">
    <w:nsid w:val="3AB60E50"/>
    <w:multiLevelType w:val="hybridMultilevel"/>
    <w:tmpl w:val="A2869EC0"/>
    <w:lvl w:ilvl="0" w:tplc="240A0013">
      <w:start w:val="1"/>
      <w:numFmt w:val="upperRoman"/>
      <w:lvlText w:val="%1."/>
      <w:lvlJc w:val="right"/>
      <w:pPr>
        <w:ind w:left="1287" w:hanging="360"/>
      </w:pPr>
    </w:lvl>
    <w:lvl w:ilvl="1" w:tplc="240A0019" w:tentative="1">
      <w:start w:val="1"/>
      <w:numFmt w:val="lowerLetter"/>
      <w:lvlText w:val="%2."/>
      <w:lvlJc w:val="left"/>
      <w:pPr>
        <w:ind w:left="2007" w:hanging="360"/>
      </w:pPr>
    </w:lvl>
    <w:lvl w:ilvl="2" w:tplc="240A001B" w:tentative="1">
      <w:start w:val="1"/>
      <w:numFmt w:val="lowerRoman"/>
      <w:lvlText w:val="%3."/>
      <w:lvlJc w:val="right"/>
      <w:pPr>
        <w:ind w:left="2727" w:hanging="180"/>
      </w:pPr>
    </w:lvl>
    <w:lvl w:ilvl="3" w:tplc="240A000F" w:tentative="1">
      <w:start w:val="1"/>
      <w:numFmt w:val="decimal"/>
      <w:lvlText w:val="%4."/>
      <w:lvlJc w:val="left"/>
      <w:pPr>
        <w:ind w:left="3447" w:hanging="360"/>
      </w:pPr>
    </w:lvl>
    <w:lvl w:ilvl="4" w:tplc="240A0019" w:tentative="1">
      <w:start w:val="1"/>
      <w:numFmt w:val="lowerLetter"/>
      <w:lvlText w:val="%5."/>
      <w:lvlJc w:val="left"/>
      <w:pPr>
        <w:ind w:left="4167" w:hanging="360"/>
      </w:pPr>
    </w:lvl>
    <w:lvl w:ilvl="5" w:tplc="240A001B" w:tentative="1">
      <w:start w:val="1"/>
      <w:numFmt w:val="lowerRoman"/>
      <w:lvlText w:val="%6."/>
      <w:lvlJc w:val="right"/>
      <w:pPr>
        <w:ind w:left="4887" w:hanging="180"/>
      </w:pPr>
    </w:lvl>
    <w:lvl w:ilvl="6" w:tplc="240A000F" w:tentative="1">
      <w:start w:val="1"/>
      <w:numFmt w:val="decimal"/>
      <w:lvlText w:val="%7."/>
      <w:lvlJc w:val="left"/>
      <w:pPr>
        <w:ind w:left="5607" w:hanging="360"/>
      </w:pPr>
    </w:lvl>
    <w:lvl w:ilvl="7" w:tplc="240A0019" w:tentative="1">
      <w:start w:val="1"/>
      <w:numFmt w:val="lowerLetter"/>
      <w:lvlText w:val="%8."/>
      <w:lvlJc w:val="left"/>
      <w:pPr>
        <w:ind w:left="6327" w:hanging="360"/>
      </w:pPr>
    </w:lvl>
    <w:lvl w:ilvl="8" w:tplc="240A001B" w:tentative="1">
      <w:start w:val="1"/>
      <w:numFmt w:val="lowerRoman"/>
      <w:lvlText w:val="%9."/>
      <w:lvlJc w:val="right"/>
      <w:pPr>
        <w:ind w:left="7047" w:hanging="180"/>
      </w:pPr>
    </w:lvl>
  </w:abstractNum>
  <w:abstractNum w:abstractNumId="14" w15:restartNumberingAfterBreak="0">
    <w:nsid w:val="3B765EEB"/>
    <w:multiLevelType w:val="hybridMultilevel"/>
    <w:tmpl w:val="6A188C7C"/>
    <w:lvl w:ilvl="0" w:tplc="240A0017">
      <w:start w:val="1"/>
      <w:numFmt w:val="lowerLetter"/>
      <w:lvlText w:val="%1)"/>
      <w:lvlJc w:val="left"/>
      <w:pPr>
        <w:ind w:left="1287" w:hanging="360"/>
      </w:pPr>
    </w:lvl>
    <w:lvl w:ilvl="1" w:tplc="240A0019" w:tentative="1">
      <w:start w:val="1"/>
      <w:numFmt w:val="lowerLetter"/>
      <w:lvlText w:val="%2."/>
      <w:lvlJc w:val="left"/>
      <w:pPr>
        <w:ind w:left="2007" w:hanging="360"/>
      </w:pPr>
    </w:lvl>
    <w:lvl w:ilvl="2" w:tplc="240A001B" w:tentative="1">
      <w:start w:val="1"/>
      <w:numFmt w:val="lowerRoman"/>
      <w:lvlText w:val="%3."/>
      <w:lvlJc w:val="right"/>
      <w:pPr>
        <w:ind w:left="2727" w:hanging="180"/>
      </w:pPr>
    </w:lvl>
    <w:lvl w:ilvl="3" w:tplc="240A000F" w:tentative="1">
      <w:start w:val="1"/>
      <w:numFmt w:val="decimal"/>
      <w:lvlText w:val="%4."/>
      <w:lvlJc w:val="left"/>
      <w:pPr>
        <w:ind w:left="3447" w:hanging="360"/>
      </w:pPr>
    </w:lvl>
    <w:lvl w:ilvl="4" w:tplc="240A0019" w:tentative="1">
      <w:start w:val="1"/>
      <w:numFmt w:val="lowerLetter"/>
      <w:lvlText w:val="%5."/>
      <w:lvlJc w:val="left"/>
      <w:pPr>
        <w:ind w:left="4167" w:hanging="360"/>
      </w:pPr>
    </w:lvl>
    <w:lvl w:ilvl="5" w:tplc="240A001B" w:tentative="1">
      <w:start w:val="1"/>
      <w:numFmt w:val="lowerRoman"/>
      <w:lvlText w:val="%6."/>
      <w:lvlJc w:val="right"/>
      <w:pPr>
        <w:ind w:left="4887" w:hanging="180"/>
      </w:pPr>
    </w:lvl>
    <w:lvl w:ilvl="6" w:tplc="240A000F" w:tentative="1">
      <w:start w:val="1"/>
      <w:numFmt w:val="decimal"/>
      <w:lvlText w:val="%7."/>
      <w:lvlJc w:val="left"/>
      <w:pPr>
        <w:ind w:left="5607" w:hanging="360"/>
      </w:pPr>
    </w:lvl>
    <w:lvl w:ilvl="7" w:tplc="240A0019" w:tentative="1">
      <w:start w:val="1"/>
      <w:numFmt w:val="lowerLetter"/>
      <w:lvlText w:val="%8."/>
      <w:lvlJc w:val="left"/>
      <w:pPr>
        <w:ind w:left="6327" w:hanging="360"/>
      </w:pPr>
    </w:lvl>
    <w:lvl w:ilvl="8" w:tplc="240A001B" w:tentative="1">
      <w:start w:val="1"/>
      <w:numFmt w:val="lowerRoman"/>
      <w:lvlText w:val="%9."/>
      <w:lvlJc w:val="right"/>
      <w:pPr>
        <w:ind w:left="7047" w:hanging="180"/>
      </w:pPr>
    </w:lvl>
  </w:abstractNum>
  <w:abstractNum w:abstractNumId="15" w15:restartNumberingAfterBreak="0">
    <w:nsid w:val="3BDF07F4"/>
    <w:multiLevelType w:val="hybridMultilevel"/>
    <w:tmpl w:val="AC6C1D48"/>
    <w:lvl w:ilvl="0" w:tplc="240A0017">
      <w:start w:val="1"/>
      <w:numFmt w:val="lowerLetter"/>
      <w:lvlText w:val="%1)"/>
      <w:lvlJc w:val="left"/>
      <w:pPr>
        <w:ind w:left="1287" w:hanging="360"/>
      </w:pPr>
    </w:lvl>
    <w:lvl w:ilvl="1" w:tplc="240A0019" w:tentative="1">
      <w:start w:val="1"/>
      <w:numFmt w:val="lowerLetter"/>
      <w:lvlText w:val="%2."/>
      <w:lvlJc w:val="left"/>
      <w:pPr>
        <w:ind w:left="2007" w:hanging="360"/>
      </w:pPr>
    </w:lvl>
    <w:lvl w:ilvl="2" w:tplc="240A001B" w:tentative="1">
      <w:start w:val="1"/>
      <w:numFmt w:val="lowerRoman"/>
      <w:lvlText w:val="%3."/>
      <w:lvlJc w:val="right"/>
      <w:pPr>
        <w:ind w:left="2727" w:hanging="180"/>
      </w:pPr>
    </w:lvl>
    <w:lvl w:ilvl="3" w:tplc="240A000F">
      <w:start w:val="1"/>
      <w:numFmt w:val="decimal"/>
      <w:lvlText w:val="%4."/>
      <w:lvlJc w:val="left"/>
      <w:pPr>
        <w:ind w:left="3447" w:hanging="360"/>
      </w:pPr>
    </w:lvl>
    <w:lvl w:ilvl="4" w:tplc="240A0019" w:tentative="1">
      <w:start w:val="1"/>
      <w:numFmt w:val="lowerLetter"/>
      <w:lvlText w:val="%5."/>
      <w:lvlJc w:val="left"/>
      <w:pPr>
        <w:ind w:left="4167" w:hanging="360"/>
      </w:pPr>
    </w:lvl>
    <w:lvl w:ilvl="5" w:tplc="240A001B" w:tentative="1">
      <w:start w:val="1"/>
      <w:numFmt w:val="lowerRoman"/>
      <w:lvlText w:val="%6."/>
      <w:lvlJc w:val="right"/>
      <w:pPr>
        <w:ind w:left="4887" w:hanging="180"/>
      </w:pPr>
    </w:lvl>
    <w:lvl w:ilvl="6" w:tplc="240A000F" w:tentative="1">
      <w:start w:val="1"/>
      <w:numFmt w:val="decimal"/>
      <w:lvlText w:val="%7."/>
      <w:lvlJc w:val="left"/>
      <w:pPr>
        <w:ind w:left="5607" w:hanging="360"/>
      </w:pPr>
    </w:lvl>
    <w:lvl w:ilvl="7" w:tplc="240A0019" w:tentative="1">
      <w:start w:val="1"/>
      <w:numFmt w:val="lowerLetter"/>
      <w:lvlText w:val="%8."/>
      <w:lvlJc w:val="left"/>
      <w:pPr>
        <w:ind w:left="6327" w:hanging="360"/>
      </w:pPr>
    </w:lvl>
    <w:lvl w:ilvl="8" w:tplc="240A001B" w:tentative="1">
      <w:start w:val="1"/>
      <w:numFmt w:val="lowerRoman"/>
      <w:lvlText w:val="%9."/>
      <w:lvlJc w:val="right"/>
      <w:pPr>
        <w:ind w:left="7047" w:hanging="180"/>
      </w:pPr>
    </w:lvl>
  </w:abstractNum>
  <w:abstractNum w:abstractNumId="16" w15:restartNumberingAfterBreak="0">
    <w:nsid w:val="41BA47B5"/>
    <w:multiLevelType w:val="hybridMultilevel"/>
    <w:tmpl w:val="C7E29F86"/>
    <w:lvl w:ilvl="0" w:tplc="240A0019">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7" w15:restartNumberingAfterBreak="0">
    <w:nsid w:val="4E2D527A"/>
    <w:multiLevelType w:val="hybridMultilevel"/>
    <w:tmpl w:val="0D7A70EC"/>
    <w:lvl w:ilvl="0" w:tplc="240A0017">
      <w:start w:val="1"/>
      <w:numFmt w:val="lowerLetter"/>
      <w:lvlText w:val="%1)"/>
      <w:lvlJc w:val="left"/>
      <w:pPr>
        <w:ind w:left="720" w:hanging="360"/>
      </w:pPr>
      <w:rPr>
        <w:rFonts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8" w15:restartNumberingAfterBreak="0">
    <w:nsid w:val="4EFF4891"/>
    <w:multiLevelType w:val="hybridMultilevel"/>
    <w:tmpl w:val="2BE68B98"/>
    <w:lvl w:ilvl="0" w:tplc="240A0017">
      <w:start w:val="1"/>
      <w:numFmt w:val="lowerLetter"/>
      <w:lvlText w:val="%1)"/>
      <w:lvlJc w:val="left"/>
      <w:pPr>
        <w:ind w:left="1287" w:hanging="360"/>
      </w:pPr>
    </w:lvl>
    <w:lvl w:ilvl="1" w:tplc="240A0019" w:tentative="1">
      <w:start w:val="1"/>
      <w:numFmt w:val="lowerLetter"/>
      <w:lvlText w:val="%2."/>
      <w:lvlJc w:val="left"/>
      <w:pPr>
        <w:ind w:left="2007" w:hanging="360"/>
      </w:pPr>
    </w:lvl>
    <w:lvl w:ilvl="2" w:tplc="240A001B" w:tentative="1">
      <w:start w:val="1"/>
      <w:numFmt w:val="lowerRoman"/>
      <w:lvlText w:val="%3."/>
      <w:lvlJc w:val="right"/>
      <w:pPr>
        <w:ind w:left="2727" w:hanging="180"/>
      </w:pPr>
    </w:lvl>
    <w:lvl w:ilvl="3" w:tplc="240A000F" w:tentative="1">
      <w:start w:val="1"/>
      <w:numFmt w:val="decimal"/>
      <w:lvlText w:val="%4."/>
      <w:lvlJc w:val="left"/>
      <w:pPr>
        <w:ind w:left="3447" w:hanging="360"/>
      </w:pPr>
    </w:lvl>
    <w:lvl w:ilvl="4" w:tplc="240A0019" w:tentative="1">
      <w:start w:val="1"/>
      <w:numFmt w:val="lowerLetter"/>
      <w:lvlText w:val="%5."/>
      <w:lvlJc w:val="left"/>
      <w:pPr>
        <w:ind w:left="4167" w:hanging="360"/>
      </w:pPr>
    </w:lvl>
    <w:lvl w:ilvl="5" w:tplc="240A001B" w:tentative="1">
      <w:start w:val="1"/>
      <w:numFmt w:val="lowerRoman"/>
      <w:lvlText w:val="%6."/>
      <w:lvlJc w:val="right"/>
      <w:pPr>
        <w:ind w:left="4887" w:hanging="180"/>
      </w:pPr>
    </w:lvl>
    <w:lvl w:ilvl="6" w:tplc="240A000F" w:tentative="1">
      <w:start w:val="1"/>
      <w:numFmt w:val="decimal"/>
      <w:lvlText w:val="%7."/>
      <w:lvlJc w:val="left"/>
      <w:pPr>
        <w:ind w:left="5607" w:hanging="360"/>
      </w:pPr>
    </w:lvl>
    <w:lvl w:ilvl="7" w:tplc="240A0019" w:tentative="1">
      <w:start w:val="1"/>
      <w:numFmt w:val="lowerLetter"/>
      <w:lvlText w:val="%8."/>
      <w:lvlJc w:val="left"/>
      <w:pPr>
        <w:ind w:left="6327" w:hanging="360"/>
      </w:pPr>
    </w:lvl>
    <w:lvl w:ilvl="8" w:tplc="240A001B" w:tentative="1">
      <w:start w:val="1"/>
      <w:numFmt w:val="lowerRoman"/>
      <w:lvlText w:val="%9."/>
      <w:lvlJc w:val="right"/>
      <w:pPr>
        <w:ind w:left="7047" w:hanging="180"/>
      </w:pPr>
    </w:lvl>
  </w:abstractNum>
  <w:abstractNum w:abstractNumId="19" w15:restartNumberingAfterBreak="0">
    <w:nsid w:val="4FCD21AC"/>
    <w:multiLevelType w:val="hybridMultilevel"/>
    <w:tmpl w:val="F250734A"/>
    <w:lvl w:ilvl="0" w:tplc="240A0017">
      <w:start w:val="1"/>
      <w:numFmt w:val="lowerLetter"/>
      <w:lvlText w:val="%1)"/>
      <w:lvlJc w:val="left"/>
      <w:pPr>
        <w:ind w:left="721" w:hanging="360"/>
      </w:pPr>
    </w:lvl>
    <w:lvl w:ilvl="1" w:tplc="240A0019" w:tentative="1">
      <w:start w:val="1"/>
      <w:numFmt w:val="lowerLetter"/>
      <w:lvlText w:val="%2."/>
      <w:lvlJc w:val="left"/>
      <w:pPr>
        <w:ind w:left="1441" w:hanging="360"/>
      </w:pPr>
    </w:lvl>
    <w:lvl w:ilvl="2" w:tplc="240A001B" w:tentative="1">
      <w:start w:val="1"/>
      <w:numFmt w:val="lowerRoman"/>
      <w:lvlText w:val="%3."/>
      <w:lvlJc w:val="right"/>
      <w:pPr>
        <w:ind w:left="2161" w:hanging="180"/>
      </w:pPr>
    </w:lvl>
    <w:lvl w:ilvl="3" w:tplc="240A000F" w:tentative="1">
      <w:start w:val="1"/>
      <w:numFmt w:val="decimal"/>
      <w:lvlText w:val="%4."/>
      <w:lvlJc w:val="left"/>
      <w:pPr>
        <w:ind w:left="2881" w:hanging="360"/>
      </w:pPr>
    </w:lvl>
    <w:lvl w:ilvl="4" w:tplc="240A0019" w:tentative="1">
      <w:start w:val="1"/>
      <w:numFmt w:val="lowerLetter"/>
      <w:lvlText w:val="%5."/>
      <w:lvlJc w:val="left"/>
      <w:pPr>
        <w:ind w:left="3601" w:hanging="360"/>
      </w:pPr>
    </w:lvl>
    <w:lvl w:ilvl="5" w:tplc="240A001B" w:tentative="1">
      <w:start w:val="1"/>
      <w:numFmt w:val="lowerRoman"/>
      <w:lvlText w:val="%6."/>
      <w:lvlJc w:val="right"/>
      <w:pPr>
        <w:ind w:left="4321" w:hanging="180"/>
      </w:pPr>
    </w:lvl>
    <w:lvl w:ilvl="6" w:tplc="240A000F" w:tentative="1">
      <w:start w:val="1"/>
      <w:numFmt w:val="decimal"/>
      <w:lvlText w:val="%7."/>
      <w:lvlJc w:val="left"/>
      <w:pPr>
        <w:ind w:left="5041" w:hanging="360"/>
      </w:pPr>
    </w:lvl>
    <w:lvl w:ilvl="7" w:tplc="240A0019" w:tentative="1">
      <w:start w:val="1"/>
      <w:numFmt w:val="lowerLetter"/>
      <w:lvlText w:val="%8."/>
      <w:lvlJc w:val="left"/>
      <w:pPr>
        <w:ind w:left="5761" w:hanging="360"/>
      </w:pPr>
    </w:lvl>
    <w:lvl w:ilvl="8" w:tplc="240A001B" w:tentative="1">
      <w:start w:val="1"/>
      <w:numFmt w:val="lowerRoman"/>
      <w:lvlText w:val="%9."/>
      <w:lvlJc w:val="right"/>
      <w:pPr>
        <w:ind w:left="6481" w:hanging="180"/>
      </w:pPr>
    </w:lvl>
  </w:abstractNum>
  <w:abstractNum w:abstractNumId="20" w15:restartNumberingAfterBreak="0">
    <w:nsid w:val="510A3E19"/>
    <w:multiLevelType w:val="hybridMultilevel"/>
    <w:tmpl w:val="F29A89A2"/>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1" w15:restartNumberingAfterBreak="0">
    <w:nsid w:val="510E3D25"/>
    <w:multiLevelType w:val="hybridMultilevel"/>
    <w:tmpl w:val="DB68E086"/>
    <w:lvl w:ilvl="0" w:tplc="240A000F">
      <w:start w:val="1"/>
      <w:numFmt w:val="decimal"/>
      <w:lvlText w:val="%1."/>
      <w:lvlJc w:val="left"/>
      <w:pPr>
        <w:ind w:left="720" w:hanging="360"/>
      </w:pPr>
      <w:rPr>
        <w:rFonts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2" w15:restartNumberingAfterBreak="0">
    <w:nsid w:val="528F75F2"/>
    <w:multiLevelType w:val="hybridMultilevel"/>
    <w:tmpl w:val="2B687988"/>
    <w:lvl w:ilvl="0" w:tplc="240A001B">
      <w:start w:val="1"/>
      <w:numFmt w:val="lowerRoman"/>
      <w:lvlText w:val="%1."/>
      <w:lvlJc w:val="righ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3" w15:restartNumberingAfterBreak="0">
    <w:nsid w:val="53547EF6"/>
    <w:multiLevelType w:val="hybridMultilevel"/>
    <w:tmpl w:val="C130BF9C"/>
    <w:lvl w:ilvl="0" w:tplc="C2B8B2C4">
      <w:start w:val="1"/>
      <w:numFmt w:val="bullet"/>
      <w:lvlText w:val="-"/>
      <w:lvlJc w:val="left"/>
      <w:pPr>
        <w:ind w:left="1080" w:hanging="360"/>
      </w:pPr>
      <w:rPr>
        <w:rFonts w:ascii="Bookman Old Style" w:eastAsia="Times New Roman" w:hAnsi="Bookman Old Style" w:cs="Times New Roman" w:hint="default"/>
      </w:rPr>
    </w:lvl>
    <w:lvl w:ilvl="1" w:tplc="240A0003" w:tentative="1">
      <w:start w:val="1"/>
      <w:numFmt w:val="bullet"/>
      <w:lvlText w:val="o"/>
      <w:lvlJc w:val="left"/>
      <w:pPr>
        <w:ind w:left="1800" w:hanging="360"/>
      </w:pPr>
      <w:rPr>
        <w:rFonts w:ascii="Courier New" w:hAnsi="Courier New" w:cs="Courier New" w:hint="default"/>
      </w:rPr>
    </w:lvl>
    <w:lvl w:ilvl="2" w:tplc="240A0005" w:tentative="1">
      <w:start w:val="1"/>
      <w:numFmt w:val="bullet"/>
      <w:lvlText w:val=""/>
      <w:lvlJc w:val="left"/>
      <w:pPr>
        <w:ind w:left="2520" w:hanging="360"/>
      </w:pPr>
      <w:rPr>
        <w:rFonts w:ascii="Wingdings" w:hAnsi="Wingdings" w:hint="default"/>
      </w:rPr>
    </w:lvl>
    <w:lvl w:ilvl="3" w:tplc="240A0001" w:tentative="1">
      <w:start w:val="1"/>
      <w:numFmt w:val="bullet"/>
      <w:lvlText w:val=""/>
      <w:lvlJc w:val="left"/>
      <w:pPr>
        <w:ind w:left="3240" w:hanging="360"/>
      </w:pPr>
      <w:rPr>
        <w:rFonts w:ascii="Symbol" w:hAnsi="Symbol" w:hint="default"/>
      </w:rPr>
    </w:lvl>
    <w:lvl w:ilvl="4" w:tplc="240A0003" w:tentative="1">
      <w:start w:val="1"/>
      <w:numFmt w:val="bullet"/>
      <w:lvlText w:val="o"/>
      <w:lvlJc w:val="left"/>
      <w:pPr>
        <w:ind w:left="3960" w:hanging="360"/>
      </w:pPr>
      <w:rPr>
        <w:rFonts w:ascii="Courier New" w:hAnsi="Courier New" w:cs="Courier New" w:hint="default"/>
      </w:rPr>
    </w:lvl>
    <w:lvl w:ilvl="5" w:tplc="240A0005" w:tentative="1">
      <w:start w:val="1"/>
      <w:numFmt w:val="bullet"/>
      <w:lvlText w:val=""/>
      <w:lvlJc w:val="left"/>
      <w:pPr>
        <w:ind w:left="4680" w:hanging="360"/>
      </w:pPr>
      <w:rPr>
        <w:rFonts w:ascii="Wingdings" w:hAnsi="Wingdings" w:hint="default"/>
      </w:rPr>
    </w:lvl>
    <w:lvl w:ilvl="6" w:tplc="240A0001" w:tentative="1">
      <w:start w:val="1"/>
      <w:numFmt w:val="bullet"/>
      <w:lvlText w:val=""/>
      <w:lvlJc w:val="left"/>
      <w:pPr>
        <w:ind w:left="5400" w:hanging="360"/>
      </w:pPr>
      <w:rPr>
        <w:rFonts w:ascii="Symbol" w:hAnsi="Symbol" w:hint="default"/>
      </w:rPr>
    </w:lvl>
    <w:lvl w:ilvl="7" w:tplc="240A0003" w:tentative="1">
      <w:start w:val="1"/>
      <w:numFmt w:val="bullet"/>
      <w:lvlText w:val="o"/>
      <w:lvlJc w:val="left"/>
      <w:pPr>
        <w:ind w:left="6120" w:hanging="360"/>
      </w:pPr>
      <w:rPr>
        <w:rFonts w:ascii="Courier New" w:hAnsi="Courier New" w:cs="Courier New" w:hint="default"/>
      </w:rPr>
    </w:lvl>
    <w:lvl w:ilvl="8" w:tplc="240A0005" w:tentative="1">
      <w:start w:val="1"/>
      <w:numFmt w:val="bullet"/>
      <w:lvlText w:val=""/>
      <w:lvlJc w:val="left"/>
      <w:pPr>
        <w:ind w:left="6840" w:hanging="360"/>
      </w:pPr>
      <w:rPr>
        <w:rFonts w:ascii="Wingdings" w:hAnsi="Wingdings" w:hint="default"/>
      </w:rPr>
    </w:lvl>
  </w:abstractNum>
  <w:abstractNum w:abstractNumId="24" w15:restartNumberingAfterBreak="0">
    <w:nsid w:val="562815AD"/>
    <w:multiLevelType w:val="hybridMultilevel"/>
    <w:tmpl w:val="A43E54CE"/>
    <w:lvl w:ilvl="0" w:tplc="DD14DE16">
      <w:start w:val="1"/>
      <w:numFmt w:val="decimal"/>
      <w:lvlText w:val="%1."/>
      <w:lvlJc w:val="left"/>
      <w:pPr>
        <w:ind w:left="1004" w:hanging="360"/>
      </w:pPr>
    </w:lvl>
    <w:lvl w:ilvl="1" w:tplc="240A0019" w:tentative="1">
      <w:start w:val="1"/>
      <w:numFmt w:val="lowerLetter"/>
      <w:lvlText w:val="%2."/>
      <w:lvlJc w:val="left"/>
      <w:pPr>
        <w:ind w:left="1724" w:hanging="360"/>
      </w:pPr>
    </w:lvl>
    <w:lvl w:ilvl="2" w:tplc="240A001B" w:tentative="1">
      <w:start w:val="1"/>
      <w:numFmt w:val="lowerRoman"/>
      <w:lvlText w:val="%3."/>
      <w:lvlJc w:val="right"/>
      <w:pPr>
        <w:ind w:left="2444" w:hanging="180"/>
      </w:pPr>
    </w:lvl>
    <w:lvl w:ilvl="3" w:tplc="240A000F" w:tentative="1">
      <w:start w:val="1"/>
      <w:numFmt w:val="decimal"/>
      <w:lvlText w:val="%4."/>
      <w:lvlJc w:val="left"/>
      <w:pPr>
        <w:ind w:left="3164" w:hanging="360"/>
      </w:pPr>
    </w:lvl>
    <w:lvl w:ilvl="4" w:tplc="240A0019" w:tentative="1">
      <w:start w:val="1"/>
      <w:numFmt w:val="lowerLetter"/>
      <w:lvlText w:val="%5."/>
      <w:lvlJc w:val="left"/>
      <w:pPr>
        <w:ind w:left="3884" w:hanging="360"/>
      </w:pPr>
    </w:lvl>
    <w:lvl w:ilvl="5" w:tplc="240A001B" w:tentative="1">
      <w:start w:val="1"/>
      <w:numFmt w:val="lowerRoman"/>
      <w:lvlText w:val="%6."/>
      <w:lvlJc w:val="right"/>
      <w:pPr>
        <w:ind w:left="4604" w:hanging="180"/>
      </w:pPr>
    </w:lvl>
    <w:lvl w:ilvl="6" w:tplc="240A000F" w:tentative="1">
      <w:start w:val="1"/>
      <w:numFmt w:val="decimal"/>
      <w:lvlText w:val="%7."/>
      <w:lvlJc w:val="left"/>
      <w:pPr>
        <w:ind w:left="5324" w:hanging="360"/>
      </w:pPr>
    </w:lvl>
    <w:lvl w:ilvl="7" w:tplc="240A0019" w:tentative="1">
      <w:start w:val="1"/>
      <w:numFmt w:val="lowerLetter"/>
      <w:lvlText w:val="%8."/>
      <w:lvlJc w:val="left"/>
      <w:pPr>
        <w:ind w:left="6044" w:hanging="360"/>
      </w:pPr>
    </w:lvl>
    <w:lvl w:ilvl="8" w:tplc="240A001B" w:tentative="1">
      <w:start w:val="1"/>
      <w:numFmt w:val="lowerRoman"/>
      <w:lvlText w:val="%9."/>
      <w:lvlJc w:val="right"/>
      <w:pPr>
        <w:ind w:left="6764" w:hanging="180"/>
      </w:pPr>
    </w:lvl>
  </w:abstractNum>
  <w:abstractNum w:abstractNumId="25" w15:restartNumberingAfterBreak="0">
    <w:nsid w:val="5ACC0F48"/>
    <w:multiLevelType w:val="hybridMultilevel"/>
    <w:tmpl w:val="BEBCABDA"/>
    <w:lvl w:ilvl="0" w:tplc="240A0017">
      <w:start w:val="1"/>
      <w:numFmt w:val="lowerLetter"/>
      <w:lvlText w:val="%1)"/>
      <w:lvlJc w:val="left"/>
      <w:pPr>
        <w:ind w:left="1287" w:hanging="360"/>
      </w:pPr>
    </w:lvl>
    <w:lvl w:ilvl="1" w:tplc="240A0019" w:tentative="1">
      <w:start w:val="1"/>
      <w:numFmt w:val="lowerLetter"/>
      <w:lvlText w:val="%2."/>
      <w:lvlJc w:val="left"/>
      <w:pPr>
        <w:ind w:left="2007" w:hanging="360"/>
      </w:pPr>
    </w:lvl>
    <w:lvl w:ilvl="2" w:tplc="240A001B" w:tentative="1">
      <w:start w:val="1"/>
      <w:numFmt w:val="lowerRoman"/>
      <w:lvlText w:val="%3."/>
      <w:lvlJc w:val="right"/>
      <w:pPr>
        <w:ind w:left="2727" w:hanging="180"/>
      </w:pPr>
    </w:lvl>
    <w:lvl w:ilvl="3" w:tplc="240A000F" w:tentative="1">
      <w:start w:val="1"/>
      <w:numFmt w:val="decimal"/>
      <w:lvlText w:val="%4."/>
      <w:lvlJc w:val="left"/>
      <w:pPr>
        <w:ind w:left="3447" w:hanging="360"/>
      </w:pPr>
    </w:lvl>
    <w:lvl w:ilvl="4" w:tplc="240A0019" w:tentative="1">
      <w:start w:val="1"/>
      <w:numFmt w:val="lowerLetter"/>
      <w:lvlText w:val="%5."/>
      <w:lvlJc w:val="left"/>
      <w:pPr>
        <w:ind w:left="4167" w:hanging="360"/>
      </w:pPr>
    </w:lvl>
    <w:lvl w:ilvl="5" w:tplc="240A001B" w:tentative="1">
      <w:start w:val="1"/>
      <w:numFmt w:val="lowerRoman"/>
      <w:lvlText w:val="%6."/>
      <w:lvlJc w:val="right"/>
      <w:pPr>
        <w:ind w:left="4887" w:hanging="180"/>
      </w:pPr>
    </w:lvl>
    <w:lvl w:ilvl="6" w:tplc="240A000F" w:tentative="1">
      <w:start w:val="1"/>
      <w:numFmt w:val="decimal"/>
      <w:lvlText w:val="%7."/>
      <w:lvlJc w:val="left"/>
      <w:pPr>
        <w:ind w:left="5607" w:hanging="360"/>
      </w:pPr>
    </w:lvl>
    <w:lvl w:ilvl="7" w:tplc="240A0019" w:tentative="1">
      <w:start w:val="1"/>
      <w:numFmt w:val="lowerLetter"/>
      <w:lvlText w:val="%8."/>
      <w:lvlJc w:val="left"/>
      <w:pPr>
        <w:ind w:left="6327" w:hanging="360"/>
      </w:pPr>
    </w:lvl>
    <w:lvl w:ilvl="8" w:tplc="240A001B" w:tentative="1">
      <w:start w:val="1"/>
      <w:numFmt w:val="lowerRoman"/>
      <w:lvlText w:val="%9."/>
      <w:lvlJc w:val="right"/>
      <w:pPr>
        <w:ind w:left="7047" w:hanging="180"/>
      </w:pPr>
    </w:lvl>
  </w:abstractNum>
  <w:abstractNum w:abstractNumId="26" w15:restartNumberingAfterBreak="0">
    <w:nsid w:val="5C6E4242"/>
    <w:multiLevelType w:val="hybridMultilevel"/>
    <w:tmpl w:val="216C8EFE"/>
    <w:lvl w:ilvl="0" w:tplc="240A0017">
      <w:start w:val="1"/>
      <w:numFmt w:val="lowerLetter"/>
      <w:lvlText w:val="%1)"/>
      <w:lvlJc w:val="left"/>
      <w:pPr>
        <w:ind w:left="1287" w:hanging="360"/>
      </w:pPr>
    </w:lvl>
    <w:lvl w:ilvl="1" w:tplc="240A0019" w:tentative="1">
      <w:start w:val="1"/>
      <w:numFmt w:val="lowerLetter"/>
      <w:lvlText w:val="%2."/>
      <w:lvlJc w:val="left"/>
      <w:pPr>
        <w:ind w:left="2007" w:hanging="360"/>
      </w:pPr>
    </w:lvl>
    <w:lvl w:ilvl="2" w:tplc="240A001B" w:tentative="1">
      <w:start w:val="1"/>
      <w:numFmt w:val="lowerRoman"/>
      <w:lvlText w:val="%3."/>
      <w:lvlJc w:val="right"/>
      <w:pPr>
        <w:ind w:left="2727" w:hanging="180"/>
      </w:pPr>
    </w:lvl>
    <w:lvl w:ilvl="3" w:tplc="240A000F" w:tentative="1">
      <w:start w:val="1"/>
      <w:numFmt w:val="decimal"/>
      <w:lvlText w:val="%4."/>
      <w:lvlJc w:val="left"/>
      <w:pPr>
        <w:ind w:left="3447" w:hanging="360"/>
      </w:pPr>
    </w:lvl>
    <w:lvl w:ilvl="4" w:tplc="240A0019" w:tentative="1">
      <w:start w:val="1"/>
      <w:numFmt w:val="lowerLetter"/>
      <w:lvlText w:val="%5."/>
      <w:lvlJc w:val="left"/>
      <w:pPr>
        <w:ind w:left="4167" w:hanging="360"/>
      </w:pPr>
    </w:lvl>
    <w:lvl w:ilvl="5" w:tplc="240A001B" w:tentative="1">
      <w:start w:val="1"/>
      <w:numFmt w:val="lowerRoman"/>
      <w:lvlText w:val="%6."/>
      <w:lvlJc w:val="right"/>
      <w:pPr>
        <w:ind w:left="4887" w:hanging="180"/>
      </w:pPr>
    </w:lvl>
    <w:lvl w:ilvl="6" w:tplc="240A000F" w:tentative="1">
      <w:start w:val="1"/>
      <w:numFmt w:val="decimal"/>
      <w:lvlText w:val="%7."/>
      <w:lvlJc w:val="left"/>
      <w:pPr>
        <w:ind w:left="5607" w:hanging="360"/>
      </w:pPr>
    </w:lvl>
    <w:lvl w:ilvl="7" w:tplc="240A0019" w:tentative="1">
      <w:start w:val="1"/>
      <w:numFmt w:val="lowerLetter"/>
      <w:lvlText w:val="%8."/>
      <w:lvlJc w:val="left"/>
      <w:pPr>
        <w:ind w:left="6327" w:hanging="360"/>
      </w:pPr>
    </w:lvl>
    <w:lvl w:ilvl="8" w:tplc="240A001B" w:tentative="1">
      <w:start w:val="1"/>
      <w:numFmt w:val="lowerRoman"/>
      <w:lvlText w:val="%9."/>
      <w:lvlJc w:val="right"/>
      <w:pPr>
        <w:ind w:left="7047" w:hanging="180"/>
      </w:pPr>
    </w:lvl>
  </w:abstractNum>
  <w:abstractNum w:abstractNumId="27" w15:restartNumberingAfterBreak="0">
    <w:nsid w:val="60F3236C"/>
    <w:multiLevelType w:val="hybridMultilevel"/>
    <w:tmpl w:val="28F0C4E0"/>
    <w:lvl w:ilvl="0" w:tplc="240A0017">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8" w15:restartNumberingAfterBreak="0">
    <w:nsid w:val="678D57CE"/>
    <w:multiLevelType w:val="hybridMultilevel"/>
    <w:tmpl w:val="958E0BCE"/>
    <w:lvl w:ilvl="0" w:tplc="240A0017">
      <w:start w:val="1"/>
      <w:numFmt w:val="lowerLetter"/>
      <w:lvlText w:val="%1)"/>
      <w:lvlJc w:val="left"/>
      <w:pPr>
        <w:ind w:left="1287" w:hanging="360"/>
      </w:pPr>
    </w:lvl>
    <w:lvl w:ilvl="1" w:tplc="240A0019" w:tentative="1">
      <w:start w:val="1"/>
      <w:numFmt w:val="lowerLetter"/>
      <w:lvlText w:val="%2."/>
      <w:lvlJc w:val="left"/>
      <w:pPr>
        <w:ind w:left="2007" w:hanging="360"/>
      </w:pPr>
    </w:lvl>
    <w:lvl w:ilvl="2" w:tplc="240A001B" w:tentative="1">
      <w:start w:val="1"/>
      <w:numFmt w:val="lowerRoman"/>
      <w:lvlText w:val="%3."/>
      <w:lvlJc w:val="right"/>
      <w:pPr>
        <w:ind w:left="2727" w:hanging="180"/>
      </w:pPr>
    </w:lvl>
    <w:lvl w:ilvl="3" w:tplc="240A000F" w:tentative="1">
      <w:start w:val="1"/>
      <w:numFmt w:val="decimal"/>
      <w:lvlText w:val="%4."/>
      <w:lvlJc w:val="left"/>
      <w:pPr>
        <w:ind w:left="3447" w:hanging="360"/>
      </w:pPr>
    </w:lvl>
    <w:lvl w:ilvl="4" w:tplc="240A0019" w:tentative="1">
      <w:start w:val="1"/>
      <w:numFmt w:val="lowerLetter"/>
      <w:lvlText w:val="%5."/>
      <w:lvlJc w:val="left"/>
      <w:pPr>
        <w:ind w:left="4167" w:hanging="360"/>
      </w:pPr>
    </w:lvl>
    <w:lvl w:ilvl="5" w:tplc="240A001B" w:tentative="1">
      <w:start w:val="1"/>
      <w:numFmt w:val="lowerRoman"/>
      <w:lvlText w:val="%6."/>
      <w:lvlJc w:val="right"/>
      <w:pPr>
        <w:ind w:left="4887" w:hanging="180"/>
      </w:pPr>
    </w:lvl>
    <w:lvl w:ilvl="6" w:tplc="240A000F" w:tentative="1">
      <w:start w:val="1"/>
      <w:numFmt w:val="decimal"/>
      <w:lvlText w:val="%7."/>
      <w:lvlJc w:val="left"/>
      <w:pPr>
        <w:ind w:left="5607" w:hanging="360"/>
      </w:pPr>
    </w:lvl>
    <w:lvl w:ilvl="7" w:tplc="240A0019" w:tentative="1">
      <w:start w:val="1"/>
      <w:numFmt w:val="lowerLetter"/>
      <w:lvlText w:val="%8."/>
      <w:lvlJc w:val="left"/>
      <w:pPr>
        <w:ind w:left="6327" w:hanging="360"/>
      </w:pPr>
    </w:lvl>
    <w:lvl w:ilvl="8" w:tplc="240A001B" w:tentative="1">
      <w:start w:val="1"/>
      <w:numFmt w:val="lowerRoman"/>
      <w:lvlText w:val="%9."/>
      <w:lvlJc w:val="right"/>
      <w:pPr>
        <w:ind w:left="7047" w:hanging="180"/>
      </w:pPr>
    </w:lvl>
  </w:abstractNum>
  <w:abstractNum w:abstractNumId="29" w15:restartNumberingAfterBreak="0">
    <w:nsid w:val="67CB28B1"/>
    <w:multiLevelType w:val="hybridMultilevel"/>
    <w:tmpl w:val="992A6BF0"/>
    <w:lvl w:ilvl="0" w:tplc="240A0017">
      <w:start w:val="1"/>
      <w:numFmt w:val="lowerLetter"/>
      <w:lvlText w:val="%1)"/>
      <w:lvlJc w:val="left"/>
      <w:pPr>
        <w:ind w:left="720" w:hanging="360"/>
      </w:pPr>
    </w:lvl>
    <w:lvl w:ilvl="1" w:tplc="240A0019">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0" w15:restartNumberingAfterBreak="0">
    <w:nsid w:val="680D101A"/>
    <w:multiLevelType w:val="hybridMultilevel"/>
    <w:tmpl w:val="A22C1F46"/>
    <w:lvl w:ilvl="0" w:tplc="211E0142">
      <w:start w:val="1"/>
      <w:numFmt w:val="lowerLetter"/>
      <w:pStyle w:val="Estilo5"/>
      <w:lvlText w:val="%1)"/>
      <w:lvlJc w:val="left"/>
      <w:pPr>
        <w:tabs>
          <w:tab w:val="num" w:pos="360"/>
        </w:tabs>
        <w:ind w:left="360" w:hanging="360"/>
      </w:pPr>
      <w:rPr>
        <w:rFonts w:hint="default"/>
      </w:rPr>
    </w:lvl>
    <w:lvl w:ilvl="1" w:tplc="240A0019" w:tentative="1">
      <w:start w:val="1"/>
      <w:numFmt w:val="lowerLetter"/>
      <w:lvlText w:val="%2."/>
      <w:lvlJc w:val="left"/>
      <w:pPr>
        <w:tabs>
          <w:tab w:val="num" w:pos="1080"/>
        </w:tabs>
        <w:ind w:left="1080" w:hanging="360"/>
      </w:pPr>
    </w:lvl>
    <w:lvl w:ilvl="2" w:tplc="240A001B" w:tentative="1">
      <w:start w:val="1"/>
      <w:numFmt w:val="lowerRoman"/>
      <w:lvlText w:val="%3."/>
      <w:lvlJc w:val="right"/>
      <w:pPr>
        <w:tabs>
          <w:tab w:val="num" w:pos="1800"/>
        </w:tabs>
        <w:ind w:left="1800" w:hanging="180"/>
      </w:pPr>
    </w:lvl>
    <w:lvl w:ilvl="3" w:tplc="240A000F" w:tentative="1">
      <w:start w:val="1"/>
      <w:numFmt w:val="decimal"/>
      <w:lvlText w:val="%4."/>
      <w:lvlJc w:val="left"/>
      <w:pPr>
        <w:tabs>
          <w:tab w:val="num" w:pos="2520"/>
        </w:tabs>
        <w:ind w:left="2520" w:hanging="360"/>
      </w:pPr>
    </w:lvl>
    <w:lvl w:ilvl="4" w:tplc="240A0019" w:tentative="1">
      <w:start w:val="1"/>
      <w:numFmt w:val="lowerLetter"/>
      <w:lvlText w:val="%5."/>
      <w:lvlJc w:val="left"/>
      <w:pPr>
        <w:tabs>
          <w:tab w:val="num" w:pos="3240"/>
        </w:tabs>
        <w:ind w:left="3240" w:hanging="360"/>
      </w:pPr>
    </w:lvl>
    <w:lvl w:ilvl="5" w:tplc="240A001B" w:tentative="1">
      <w:start w:val="1"/>
      <w:numFmt w:val="lowerRoman"/>
      <w:lvlText w:val="%6."/>
      <w:lvlJc w:val="right"/>
      <w:pPr>
        <w:tabs>
          <w:tab w:val="num" w:pos="3960"/>
        </w:tabs>
        <w:ind w:left="3960" w:hanging="180"/>
      </w:pPr>
    </w:lvl>
    <w:lvl w:ilvl="6" w:tplc="240A000F" w:tentative="1">
      <w:start w:val="1"/>
      <w:numFmt w:val="decimal"/>
      <w:lvlText w:val="%7."/>
      <w:lvlJc w:val="left"/>
      <w:pPr>
        <w:tabs>
          <w:tab w:val="num" w:pos="4680"/>
        </w:tabs>
        <w:ind w:left="4680" w:hanging="360"/>
      </w:pPr>
    </w:lvl>
    <w:lvl w:ilvl="7" w:tplc="240A0019" w:tentative="1">
      <w:start w:val="1"/>
      <w:numFmt w:val="lowerLetter"/>
      <w:lvlText w:val="%8."/>
      <w:lvlJc w:val="left"/>
      <w:pPr>
        <w:tabs>
          <w:tab w:val="num" w:pos="5400"/>
        </w:tabs>
        <w:ind w:left="5400" w:hanging="360"/>
      </w:pPr>
    </w:lvl>
    <w:lvl w:ilvl="8" w:tplc="240A001B" w:tentative="1">
      <w:start w:val="1"/>
      <w:numFmt w:val="lowerRoman"/>
      <w:lvlText w:val="%9."/>
      <w:lvlJc w:val="right"/>
      <w:pPr>
        <w:tabs>
          <w:tab w:val="num" w:pos="6120"/>
        </w:tabs>
        <w:ind w:left="6120" w:hanging="180"/>
      </w:pPr>
    </w:lvl>
  </w:abstractNum>
  <w:abstractNum w:abstractNumId="31" w15:restartNumberingAfterBreak="0">
    <w:nsid w:val="697F7651"/>
    <w:multiLevelType w:val="hybridMultilevel"/>
    <w:tmpl w:val="AA061484"/>
    <w:lvl w:ilvl="0" w:tplc="0742A7E0">
      <w:start w:val="1"/>
      <w:numFmt w:val="decimal"/>
      <w:pStyle w:val="ARTICULO1"/>
      <w:lvlText w:val="Artículo %1."/>
      <w:lvlJc w:val="left"/>
      <w:pPr>
        <w:ind w:left="360" w:hanging="360"/>
      </w:pPr>
      <w:rPr>
        <w:rFonts w:hint="default"/>
        <w:b/>
      </w:rPr>
    </w:lvl>
    <w:lvl w:ilvl="1" w:tplc="240A0019">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2" w15:restartNumberingAfterBreak="0">
    <w:nsid w:val="6CA7061D"/>
    <w:multiLevelType w:val="hybridMultilevel"/>
    <w:tmpl w:val="911A092E"/>
    <w:lvl w:ilvl="0" w:tplc="240A0017">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3" w15:restartNumberingAfterBreak="0">
    <w:nsid w:val="71BA3330"/>
    <w:multiLevelType w:val="hybridMultilevel"/>
    <w:tmpl w:val="3C340550"/>
    <w:lvl w:ilvl="0" w:tplc="EBD01202">
      <w:start w:val="1"/>
      <w:numFmt w:val="decimal"/>
      <w:pStyle w:val="numeral"/>
      <w:lvlText w:val="%1."/>
      <w:lvlJc w:val="left"/>
      <w:pPr>
        <w:ind w:left="36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4" w15:restartNumberingAfterBreak="0">
    <w:nsid w:val="73432BD8"/>
    <w:multiLevelType w:val="hybridMultilevel"/>
    <w:tmpl w:val="C2E8C544"/>
    <w:lvl w:ilvl="0" w:tplc="0472E57E">
      <w:start w:val="1"/>
      <w:numFmt w:val="decimal"/>
      <w:pStyle w:val="ARTICULOS"/>
      <w:lvlText w:val="Artículo %1"/>
      <w:lvlJc w:val="left"/>
      <w:pPr>
        <w:ind w:left="360" w:hanging="360"/>
      </w:pPr>
      <w:rPr>
        <w:rFonts w:ascii="Times New Roman" w:hAnsi="Times New Roman" w:cs="Times New Roman" w:hint="default"/>
        <w:b/>
        <w:bCs w:val="0"/>
        <w:i w:val="0"/>
        <w:iCs w:val="0"/>
        <w:caps w:val="0"/>
        <w:smallCaps w:val="0"/>
        <w:strike w:val="0"/>
        <w:dstrike w:val="0"/>
        <w:outline w:val="0"/>
        <w:shadow w:val="0"/>
        <w:emboss w:val="0"/>
        <w:imprint w:val="0"/>
        <w:noProof w:val="0"/>
        <w:snapToGrid w:val="0"/>
        <w:vanish w:val="0"/>
        <w:color w:val="000000"/>
        <w:spacing w:val="0"/>
        <w:w w:val="0"/>
        <w:kern w:val="0"/>
        <w:position w:val="0"/>
        <w:sz w:val="0"/>
        <w:szCs w:val="0"/>
        <w:u w:val="none" w:color="000000"/>
        <w:effect w:val="none"/>
        <w:bdr w:val="none" w:sz="0" w:space="0" w:color="000000"/>
        <w:shd w:val="clear" w:color="000000" w:fill="000000"/>
        <w:vertAlign w:val="baseline"/>
        <w:em w:val="none"/>
        <w:lang w:val="x-none" w:eastAsia="x-none" w:bidi="x-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240A0019">
      <w:start w:val="1"/>
      <w:numFmt w:val="lowerLetter"/>
      <w:lvlText w:val="%2."/>
      <w:lvlJc w:val="left"/>
      <w:pPr>
        <w:ind w:left="-338" w:hanging="360"/>
      </w:pPr>
    </w:lvl>
    <w:lvl w:ilvl="2" w:tplc="240A000F">
      <w:start w:val="1"/>
      <w:numFmt w:val="decimal"/>
      <w:lvlText w:val="%3."/>
      <w:lvlJc w:val="left"/>
      <w:pPr>
        <w:ind w:left="382" w:hanging="180"/>
      </w:pPr>
    </w:lvl>
    <w:lvl w:ilvl="3" w:tplc="240A000F" w:tentative="1">
      <w:start w:val="1"/>
      <w:numFmt w:val="decimal"/>
      <w:lvlText w:val="%4."/>
      <w:lvlJc w:val="left"/>
      <w:pPr>
        <w:ind w:left="1102" w:hanging="360"/>
      </w:pPr>
    </w:lvl>
    <w:lvl w:ilvl="4" w:tplc="240A0019" w:tentative="1">
      <w:start w:val="1"/>
      <w:numFmt w:val="lowerLetter"/>
      <w:lvlText w:val="%5."/>
      <w:lvlJc w:val="left"/>
      <w:pPr>
        <w:ind w:left="1822" w:hanging="360"/>
      </w:pPr>
    </w:lvl>
    <w:lvl w:ilvl="5" w:tplc="240A001B" w:tentative="1">
      <w:start w:val="1"/>
      <w:numFmt w:val="lowerRoman"/>
      <w:lvlText w:val="%6."/>
      <w:lvlJc w:val="right"/>
      <w:pPr>
        <w:ind w:left="2542" w:hanging="180"/>
      </w:pPr>
    </w:lvl>
    <w:lvl w:ilvl="6" w:tplc="240A000F" w:tentative="1">
      <w:start w:val="1"/>
      <w:numFmt w:val="decimal"/>
      <w:lvlText w:val="%7."/>
      <w:lvlJc w:val="left"/>
      <w:pPr>
        <w:ind w:left="3262" w:hanging="360"/>
      </w:pPr>
    </w:lvl>
    <w:lvl w:ilvl="7" w:tplc="240A0019" w:tentative="1">
      <w:start w:val="1"/>
      <w:numFmt w:val="lowerLetter"/>
      <w:lvlText w:val="%8."/>
      <w:lvlJc w:val="left"/>
      <w:pPr>
        <w:ind w:left="3982" w:hanging="360"/>
      </w:pPr>
    </w:lvl>
    <w:lvl w:ilvl="8" w:tplc="240A001B" w:tentative="1">
      <w:start w:val="1"/>
      <w:numFmt w:val="lowerRoman"/>
      <w:lvlText w:val="%9."/>
      <w:lvlJc w:val="right"/>
      <w:pPr>
        <w:ind w:left="4702" w:hanging="180"/>
      </w:pPr>
    </w:lvl>
  </w:abstractNum>
  <w:abstractNum w:abstractNumId="35" w15:restartNumberingAfterBreak="0">
    <w:nsid w:val="76A02DED"/>
    <w:multiLevelType w:val="hybridMultilevel"/>
    <w:tmpl w:val="52FAB42A"/>
    <w:lvl w:ilvl="0" w:tplc="240A0017">
      <w:start w:val="1"/>
      <w:numFmt w:val="lowerLetter"/>
      <w:lvlText w:val="%1)"/>
      <w:lvlJc w:val="left"/>
      <w:pPr>
        <w:ind w:left="1287" w:hanging="360"/>
      </w:pPr>
    </w:lvl>
    <w:lvl w:ilvl="1" w:tplc="240A0019" w:tentative="1">
      <w:start w:val="1"/>
      <w:numFmt w:val="lowerLetter"/>
      <w:lvlText w:val="%2."/>
      <w:lvlJc w:val="left"/>
      <w:pPr>
        <w:ind w:left="2007" w:hanging="360"/>
      </w:pPr>
    </w:lvl>
    <w:lvl w:ilvl="2" w:tplc="240A001B" w:tentative="1">
      <w:start w:val="1"/>
      <w:numFmt w:val="lowerRoman"/>
      <w:lvlText w:val="%3."/>
      <w:lvlJc w:val="right"/>
      <w:pPr>
        <w:ind w:left="2727" w:hanging="180"/>
      </w:pPr>
    </w:lvl>
    <w:lvl w:ilvl="3" w:tplc="240A000F" w:tentative="1">
      <w:start w:val="1"/>
      <w:numFmt w:val="decimal"/>
      <w:lvlText w:val="%4."/>
      <w:lvlJc w:val="left"/>
      <w:pPr>
        <w:ind w:left="3447" w:hanging="360"/>
      </w:pPr>
    </w:lvl>
    <w:lvl w:ilvl="4" w:tplc="240A0019" w:tentative="1">
      <w:start w:val="1"/>
      <w:numFmt w:val="lowerLetter"/>
      <w:lvlText w:val="%5."/>
      <w:lvlJc w:val="left"/>
      <w:pPr>
        <w:ind w:left="4167" w:hanging="360"/>
      </w:pPr>
    </w:lvl>
    <w:lvl w:ilvl="5" w:tplc="240A001B" w:tentative="1">
      <w:start w:val="1"/>
      <w:numFmt w:val="lowerRoman"/>
      <w:lvlText w:val="%6."/>
      <w:lvlJc w:val="right"/>
      <w:pPr>
        <w:ind w:left="4887" w:hanging="180"/>
      </w:pPr>
    </w:lvl>
    <w:lvl w:ilvl="6" w:tplc="240A000F" w:tentative="1">
      <w:start w:val="1"/>
      <w:numFmt w:val="decimal"/>
      <w:lvlText w:val="%7."/>
      <w:lvlJc w:val="left"/>
      <w:pPr>
        <w:ind w:left="5607" w:hanging="360"/>
      </w:pPr>
    </w:lvl>
    <w:lvl w:ilvl="7" w:tplc="240A0019" w:tentative="1">
      <w:start w:val="1"/>
      <w:numFmt w:val="lowerLetter"/>
      <w:lvlText w:val="%8."/>
      <w:lvlJc w:val="left"/>
      <w:pPr>
        <w:ind w:left="6327" w:hanging="360"/>
      </w:pPr>
    </w:lvl>
    <w:lvl w:ilvl="8" w:tplc="240A001B" w:tentative="1">
      <w:start w:val="1"/>
      <w:numFmt w:val="lowerRoman"/>
      <w:lvlText w:val="%9."/>
      <w:lvlJc w:val="right"/>
      <w:pPr>
        <w:ind w:left="7047" w:hanging="180"/>
      </w:pPr>
    </w:lvl>
  </w:abstractNum>
  <w:abstractNum w:abstractNumId="36" w15:restartNumberingAfterBreak="0">
    <w:nsid w:val="79F56F33"/>
    <w:multiLevelType w:val="hybridMultilevel"/>
    <w:tmpl w:val="4888FA8E"/>
    <w:lvl w:ilvl="0" w:tplc="D8CEF304">
      <w:start w:val="1"/>
      <w:numFmt w:val="lowerLetter"/>
      <w:lvlText w:val="%1)"/>
      <w:lvlJc w:val="left"/>
      <w:pPr>
        <w:ind w:left="720" w:hanging="360"/>
      </w:pPr>
      <w:rPr>
        <w:sz w:val="24"/>
        <w:szCs w:val="24"/>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num w:numId="1">
    <w:abstractNumId w:val="1"/>
  </w:num>
  <w:num w:numId="2">
    <w:abstractNumId w:val="34"/>
  </w:num>
  <w:num w:numId="3">
    <w:abstractNumId w:val="16"/>
  </w:num>
  <w:num w:numId="4">
    <w:abstractNumId w:val="36"/>
  </w:num>
  <w:num w:numId="5">
    <w:abstractNumId w:val="29"/>
  </w:num>
  <w:num w:numId="6">
    <w:abstractNumId w:val="32"/>
  </w:num>
  <w:num w:numId="7">
    <w:abstractNumId w:val="34"/>
    <w:lvlOverride w:ilvl="0">
      <w:startOverride w:val="1"/>
    </w:lvlOverride>
  </w:num>
  <w:num w:numId="8">
    <w:abstractNumId w:val="25"/>
  </w:num>
  <w:num w:numId="9">
    <w:abstractNumId w:val="5"/>
  </w:num>
  <w:num w:numId="10">
    <w:abstractNumId w:val="15"/>
  </w:num>
  <w:num w:numId="11">
    <w:abstractNumId w:val="27"/>
  </w:num>
  <w:num w:numId="12">
    <w:abstractNumId w:val="18"/>
  </w:num>
  <w:num w:numId="13">
    <w:abstractNumId w:val="9"/>
  </w:num>
  <w:num w:numId="14">
    <w:abstractNumId w:val="10"/>
  </w:num>
  <w:num w:numId="15">
    <w:abstractNumId w:val="3"/>
  </w:num>
  <w:num w:numId="16">
    <w:abstractNumId w:val="13"/>
  </w:num>
  <w:num w:numId="17">
    <w:abstractNumId w:val="14"/>
  </w:num>
  <w:num w:numId="18">
    <w:abstractNumId w:val="4"/>
  </w:num>
  <w:num w:numId="19">
    <w:abstractNumId w:val="6"/>
  </w:num>
  <w:num w:numId="20">
    <w:abstractNumId w:val="22"/>
  </w:num>
  <w:num w:numId="21">
    <w:abstractNumId w:val="26"/>
  </w:num>
  <w:num w:numId="22">
    <w:abstractNumId w:val="11"/>
  </w:num>
  <w:num w:numId="23">
    <w:abstractNumId w:val="19"/>
  </w:num>
  <w:num w:numId="24">
    <w:abstractNumId w:val="35"/>
  </w:num>
  <w:num w:numId="25">
    <w:abstractNumId w:val="28"/>
  </w:num>
  <w:num w:numId="26">
    <w:abstractNumId w:val="20"/>
  </w:num>
  <w:num w:numId="27">
    <w:abstractNumId w:val="21"/>
  </w:num>
  <w:num w:numId="28">
    <w:abstractNumId w:val="8"/>
  </w:num>
  <w:num w:numId="29">
    <w:abstractNumId w:val="23"/>
  </w:num>
  <w:num w:numId="30">
    <w:abstractNumId w:val="2"/>
  </w:num>
  <w:num w:numId="31">
    <w:abstractNumId w:val="33"/>
  </w:num>
  <w:num w:numId="32">
    <w:abstractNumId w:val="33"/>
    <w:lvlOverride w:ilvl="0">
      <w:startOverride w:val="1"/>
    </w:lvlOverride>
  </w:num>
  <w:num w:numId="33">
    <w:abstractNumId w:val="33"/>
    <w:lvlOverride w:ilvl="0">
      <w:startOverride w:val="1"/>
    </w:lvlOverride>
  </w:num>
  <w:num w:numId="34">
    <w:abstractNumId w:val="12"/>
  </w:num>
  <w:num w:numId="35">
    <w:abstractNumId w:val="33"/>
    <w:lvlOverride w:ilvl="0">
      <w:startOverride w:val="1"/>
    </w:lvlOverride>
  </w:num>
  <w:num w:numId="36">
    <w:abstractNumId w:val="24"/>
  </w:num>
  <w:num w:numId="37">
    <w:abstractNumId w:val="24"/>
    <w:lvlOverride w:ilvl="0">
      <w:startOverride w:val="1"/>
    </w:lvlOverride>
  </w:num>
  <w:num w:numId="38">
    <w:abstractNumId w:val="33"/>
    <w:lvlOverride w:ilvl="0">
      <w:startOverride w:val="1"/>
    </w:lvlOverride>
  </w:num>
  <w:num w:numId="39">
    <w:abstractNumId w:val="33"/>
    <w:lvlOverride w:ilvl="0">
      <w:startOverride w:val="1"/>
    </w:lvlOverride>
  </w:num>
  <w:num w:numId="40">
    <w:abstractNumId w:val="30"/>
  </w:num>
  <w:num w:numId="41">
    <w:abstractNumId w:val="7"/>
  </w:num>
  <w:num w:numId="42">
    <w:abstractNumId w:val="17"/>
  </w:num>
  <w:num w:numId="43">
    <w:abstractNumId w:val="33"/>
    <w:lvlOverride w:ilvl="0">
      <w:startOverride w:val="1"/>
    </w:lvlOverride>
  </w:num>
  <w:num w:numId="44">
    <w:abstractNumId w:val="33"/>
    <w:lvlOverride w:ilvl="0">
      <w:startOverride w:val="1"/>
    </w:lvlOverride>
  </w:num>
  <w:num w:numId="45">
    <w:abstractNumId w:val="33"/>
    <w:lvlOverride w:ilvl="0">
      <w:startOverride w:val="1"/>
    </w:lvlOverride>
  </w:num>
  <w:num w:numId="46">
    <w:abstractNumId w:val="31"/>
  </w:num>
  <w:numIdMacAtCleanup w:val="2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0"/>
  <w:attachedTemplate r:id="rId1"/>
  <w:defaultTabStop w:val="708"/>
  <w:hyphenationZone w:val="425"/>
  <w:drawingGridHorizontalSpacing w:val="120"/>
  <w:displayHorizontalDrawingGridEvery w:val="2"/>
  <w:noPunctuationKerning/>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E7340"/>
    <w:rsid w:val="0000503E"/>
    <w:rsid w:val="00006AE2"/>
    <w:rsid w:val="000071F6"/>
    <w:rsid w:val="000076A1"/>
    <w:rsid w:val="00012259"/>
    <w:rsid w:val="00013272"/>
    <w:rsid w:val="00013DC0"/>
    <w:rsid w:val="000160AD"/>
    <w:rsid w:val="000169A2"/>
    <w:rsid w:val="0001749E"/>
    <w:rsid w:val="00021163"/>
    <w:rsid w:val="000212FD"/>
    <w:rsid w:val="000231D5"/>
    <w:rsid w:val="00023B07"/>
    <w:rsid w:val="00025383"/>
    <w:rsid w:val="000264C8"/>
    <w:rsid w:val="0003070A"/>
    <w:rsid w:val="0003738D"/>
    <w:rsid w:val="00040F7D"/>
    <w:rsid w:val="00042D02"/>
    <w:rsid w:val="00045D3D"/>
    <w:rsid w:val="00060B0C"/>
    <w:rsid w:val="000619BA"/>
    <w:rsid w:val="00062C6F"/>
    <w:rsid w:val="00063657"/>
    <w:rsid w:val="000643E9"/>
    <w:rsid w:val="00070155"/>
    <w:rsid w:val="00070799"/>
    <w:rsid w:val="000711E4"/>
    <w:rsid w:val="000716FC"/>
    <w:rsid w:val="000721AB"/>
    <w:rsid w:val="00075D22"/>
    <w:rsid w:val="00076680"/>
    <w:rsid w:val="000767C3"/>
    <w:rsid w:val="00076A1D"/>
    <w:rsid w:val="0008073E"/>
    <w:rsid w:val="00081739"/>
    <w:rsid w:val="000831E9"/>
    <w:rsid w:val="00083BD1"/>
    <w:rsid w:val="00087996"/>
    <w:rsid w:val="00091CDB"/>
    <w:rsid w:val="0009364F"/>
    <w:rsid w:val="00097B57"/>
    <w:rsid w:val="000A190C"/>
    <w:rsid w:val="000A19AC"/>
    <w:rsid w:val="000A441B"/>
    <w:rsid w:val="000A5655"/>
    <w:rsid w:val="000A780F"/>
    <w:rsid w:val="000A789B"/>
    <w:rsid w:val="000B0A3F"/>
    <w:rsid w:val="000B1F9B"/>
    <w:rsid w:val="000B2EC9"/>
    <w:rsid w:val="000B3CCD"/>
    <w:rsid w:val="000B49F0"/>
    <w:rsid w:val="000B5BB2"/>
    <w:rsid w:val="000C090E"/>
    <w:rsid w:val="000C137E"/>
    <w:rsid w:val="000C5161"/>
    <w:rsid w:val="000C5738"/>
    <w:rsid w:val="000C7728"/>
    <w:rsid w:val="000D199B"/>
    <w:rsid w:val="000D26F8"/>
    <w:rsid w:val="000D2D08"/>
    <w:rsid w:val="000E0E85"/>
    <w:rsid w:val="000F165C"/>
    <w:rsid w:val="000F28BE"/>
    <w:rsid w:val="000F2A29"/>
    <w:rsid w:val="000F4917"/>
    <w:rsid w:val="000F4B08"/>
    <w:rsid w:val="000F5513"/>
    <w:rsid w:val="000F6FE2"/>
    <w:rsid w:val="001055AF"/>
    <w:rsid w:val="00106654"/>
    <w:rsid w:val="00106BAE"/>
    <w:rsid w:val="001151E1"/>
    <w:rsid w:val="00115313"/>
    <w:rsid w:val="00117256"/>
    <w:rsid w:val="00126DD6"/>
    <w:rsid w:val="001271AE"/>
    <w:rsid w:val="00127757"/>
    <w:rsid w:val="0013465A"/>
    <w:rsid w:val="0013521E"/>
    <w:rsid w:val="0013526C"/>
    <w:rsid w:val="001405C6"/>
    <w:rsid w:val="00141013"/>
    <w:rsid w:val="00141CB4"/>
    <w:rsid w:val="00144B08"/>
    <w:rsid w:val="00145423"/>
    <w:rsid w:val="0014662A"/>
    <w:rsid w:val="00147DF1"/>
    <w:rsid w:val="0015508D"/>
    <w:rsid w:val="001553D6"/>
    <w:rsid w:val="001558F8"/>
    <w:rsid w:val="00155A7B"/>
    <w:rsid w:val="00155DF3"/>
    <w:rsid w:val="00160123"/>
    <w:rsid w:val="001651AE"/>
    <w:rsid w:val="00170282"/>
    <w:rsid w:val="001717D3"/>
    <w:rsid w:val="00171F2A"/>
    <w:rsid w:val="001737C5"/>
    <w:rsid w:val="0017438C"/>
    <w:rsid w:val="00177D9F"/>
    <w:rsid w:val="00180CBC"/>
    <w:rsid w:val="00181911"/>
    <w:rsid w:val="00181A77"/>
    <w:rsid w:val="00181B6F"/>
    <w:rsid w:val="001828E3"/>
    <w:rsid w:val="001829CA"/>
    <w:rsid w:val="0018400C"/>
    <w:rsid w:val="00190ECF"/>
    <w:rsid w:val="00192CBF"/>
    <w:rsid w:val="00192FF1"/>
    <w:rsid w:val="0019374F"/>
    <w:rsid w:val="00194870"/>
    <w:rsid w:val="00197336"/>
    <w:rsid w:val="001A17C2"/>
    <w:rsid w:val="001A18F4"/>
    <w:rsid w:val="001A5F1B"/>
    <w:rsid w:val="001A5F99"/>
    <w:rsid w:val="001B14BA"/>
    <w:rsid w:val="001B1C22"/>
    <w:rsid w:val="001B1C5C"/>
    <w:rsid w:val="001B316E"/>
    <w:rsid w:val="001B3241"/>
    <w:rsid w:val="001B34C6"/>
    <w:rsid w:val="001B4A40"/>
    <w:rsid w:val="001B6907"/>
    <w:rsid w:val="001C0C2E"/>
    <w:rsid w:val="001C28F0"/>
    <w:rsid w:val="001C2DAA"/>
    <w:rsid w:val="001C5645"/>
    <w:rsid w:val="001D2935"/>
    <w:rsid w:val="001D631B"/>
    <w:rsid w:val="001D645A"/>
    <w:rsid w:val="001D7832"/>
    <w:rsid w:val="001E0A71"/>
    <w:rsid w:val="001E0ADC"/>
    <w:rsid w:val="001E1616"/>
    <w:rsid w:val="001E1D2D"/>
    <w:rsid w:val="001E25FF"/>
    <w:rsid w:val="001E3A15"/>
    <w:rsid w:val="001E4411"/>
    <w:rsid w:val="001F01DF"/>
    <w:rsid w:val="001F04EC"/>
    <w:rsid w:val="001F26B6"/>
    <w:rsid w:val="001F336C"/>
    <w:rsid w:val="001F3F66"/>
    <w:rsid w:val="001F6046"/>
    <w:rsid w:val="00203510"/>
    <w:rsid w:val="002049E4"/>
    <w:rsid w:val="00207679"/>
    <w:rsid w:val="00210DC1"/>
    <w:rsid w:val="00211D34"/>
    <w:rsid w:val="002122DA"/>
    <w:rsid w:val="00214F04"/>
    <w:rsid w:val="00215ECB"/>
    <w:rsid w:val="002173E6"/>
    <w:rsid w:val="00220BAE"/>
    <w:rsid w:val="002255C7"/>
    <w:rsid w:val="00225C74"/>
    <w:rsid w:val="002278DB"/>
    <w:rsid w:val="0023102B"/>
    <w:rsid w:val="002331A2"/>
    <w:rsid w:val="002352B9"/>
    <w:rsid w:val="0023690D"/>
    <w:rsid w:val="0024138C"/>
    <w:rsid w:val="00242028"/>
    <w:rsid w:val="00246A85"/>
    <w:rsid w:val="00251EB7"/>
    <w:rsid w:val="00257023"/>
    <w:rsid w:val="002607F2"/>
    <w:rsid w:val="002608D2"/>
    <w:rsid w:val="00266CD6"/>
    <w:rsid w:val="002673AC"/>
    <w:rsid w:val="00267860"/>
    <w:rsid w:val="00267958"/>
    <w:rsid w:val="002704CB"/>
    <w:rsid w:val="00272F8D"/>
    <w:rsid w:val="00273E8C"/>
    <w:rsid w:val="00275DAB"/>
    <w:rsid w:val="0028701A"/>
    <w:rsid w:val="00287258"/>
    <w:rsid w:val="002903C0"/>
    <w:rsid w:val="00291289"/>
    <w:rsid w:val="002926ED"/>
    <w:rsid w:val="002927E2"/>
    <w:rsid w:val="00292C93"/>
    <w:rsid w:val="002A23E6"/>
    <w:rsid w:val="002A2733"/>
    <w:rsid w:val="002A511E"/>
    <w:rsid w:val="002A5B32"/>
    <w:rsid w:val="002A782A"/>
    <w:rsid w:val="002A7E18"/>
    <w:rsid w:val="002B11E2"/>
    <w:rsid w:val="002B1F56"/>
    <w:rsid w:val="002B24B8"/>
    <w:rsid w:val="002C1B57"/>
    <w:rsid w:val="002C432C"/>
    <w:rsid w:val="002C58F2"/>
    <w:rsid w:val="002C68F7"/>
    <w:rsid w:val="002C7D29"/>
    <w:rsid w:val="002D02AF"/>
    <w:rsid w:val="002D17C0"/>
    <w:rsid w:val="002D2772"/>
    <w:rsid w:val="002D3AE9"/>
    <w:rsid w:val="002D4510"/>
    <w:rsid w:val="002D616A"/>
    <w:rsid w:val="002E71B2"/>
    <w:rsid w:val="002E74F2"/>
    <w:rsid w:val="002F0734"/>
    <w:rsid w:val="002F1442"/>
    <w:rsid w:val="002F3B58"/>
    <w:rsid w:val="002F46E7"/>
    <w:rsid w:val="002F4AE8"/>
    <w:rsid w:val="00300CDE"/>
    <w:rsid w:val="00301D74"/>
    <w:rsid w:val="00304AE0"/>
    <w:rsid w:val="00305D7A"/>
    <w:rsid w:val="00306BD0"/>
    <w:rsid w:val="00307432"/>
    <w:rsid w:val="00307B41"/>
    <w:rsid w:val="00307EFB"/>
    <w:rsid w:val="003101DA"/>
    <w:rsid w:val="003111C3"/>
    <w:rsid w:val="003142BA"/>
    <w:rsid w:val="00314757"/>
    <w:rsid w:val="00314DB7"/>
    <w:rsid w:val="003157DF"/>
    <w:rsid w:val="00315BA7"/>
    <w:rsid w:val="003163BC"/>
    <w:rsid w:val="003208F5"/>
    <w:rsid w:val="003211CE"/>
    <w:rsid w:val="00323F4B"/>
    <w:rsid w:val="00334C69"/>
    <w:rsid w:val="00335684"/>
    <w:rsid w:val="00340973"/>
    <w:rsid w:val="00341C12"/>
    <w:rsid w:val="00342313"/>
    <w:rsid w:val="00352CBF"/>
    <w:rsid w:val="0035403A"/>
    <w:rsid w:val="0035423F"/>
    <w:rsid w:val="00355AD7"/>
    <w:rsid w:val="00356C05"/>
    <w:rsid w:val="00357EB2"/>
    <w:rsid w:val="00361694"/>
    <w:rsid w:val="0036394B"/>
    <w:rsid w:val="0036397A"/>
    <w:rsid w:val="00363C55"/>
    <w:rsid w:val="00366DB6"/>
    <w:rsid w:val="0036796E"/>
    <w:rsid w:val="003709B5"/>
    <w:rsid w:val="00373821"/>
    <w:rsid w:val="003759C2"/>
    <w:rsid w:val="0037684D"/>
    <w:rsid w:val="00381CAD"/>
    <w:rsid w:val="003824EC"/>
    <w:rsid w:val="003827B0"/>
    <w:rsid w:val="0038316E"/>
    <w:rsid w:val="00383D3D"/>
    <w:rsid w:val="0038583C"/>
    <w:rsid w:val="00385A60"/>
    <w:rsid w:val="0038728B"/>
    <w:rsid w:val="00392A86"/>
    <w:rsid w:val="00397365"/>
    <w:rsid w:val="003A1746"/>
    <w:rsid w:val="003A31F6"/>
    <w:rsid w:val="003A3457"/>
    <w:rsid w:val="003A65C9"/>
    <w:rsid w:val="003B090F"/>
    <w:rsid w:val="003B1CCF"/>
    <w:rsid w:val="003B3131"/>
    <w:rsid w:val="003B7AB1"/>
    <w:rsid w:val="003B7EA4"/>
    <w:rsid w:val="003C2401"/>
    <w:rsid w:val="003C3447"/>
    <w:rsid w:val="003C6175"/>
    <w:rsid w:val="003D076C"/>
    <w:rsid w:val="003D48F2"/>
    <w:rsid w:val="003E156B"/>
    <w:rsid w:val="003E6C80"/>
    <w:rsid w:val="003E78B5"/>
    <w:rsid w:val="003F5F1C"/>
    <w:rsid w:val="003F6B65"/>
    <w:rsid w:val="003F7029"/>
    <w:rsid w:val="00403BC2"/>
    <w:rsid w:val="00411398"/>
    <w:rsid w:val="004119F6"/>
    <w:rsid w:val="00415BAB"/>
    <w:rsid w:val="00415ED2"/>
    <w:rsid w:val="0042068C"/>
    <w:rsid w:val="00421700"/>
    <w:rsid w:val="0042263B"/>
    <w:rsid w:val="004315A9"/>
    <w:rsid w:val="004315AA"/>
    <w:rsid w:val="00433A8A"/>
    <w:rsid w:val="004400B3"/>
    <w:rsid w:val="00440E69"/>
    <w:rsid w:val="00442316"/>
    <w:rsid w:val="00442C06"/>
    <w:rsid w:val="0044318E"/>
    <w:rsid w:val="00443B35"/>
    <w:rsid w:val="00443D6A"/>
    <w:rsid w:val="004451C7"/>
    <w:rsid w:val="004458F6"/>
    <w:rsid w:val="00445CC5"/>
    <w:rsid w:val="00445E36"/>
    <w:rsid w:val="0045288E"/>
    <w:rsid w:val="004544AE"/>
    <w:rsid w:val="004566A3"/>
    <w:rsid w:val="004571A4"/>
    <w:rsid w:val="00460ADC"/>
    <w:rsid w:val="0046596C"/>
    <w:rsid w:val="0047122B"/>
    <w:rsid w:val="00472A4C"/>
    <w:rsid w:val="00473B7A"/>
    <w:rsid w:val="00473F39"/>
    <w:rsid w:val="00483FB7"/>
    <w:rsid w:val="004857B2"/>
    <w:rsid w:val="00490832"/>
    <w:rsid w:val="004960E9"/>
    <w:rsid w:val="004A2E88"/>
    <w:rsid w:val="004A5182"/>
    <w:rsid w:val="004A52FE"/>
    <w:rsid w:val="004A5305"/>
    <w:rsid w:val="004C0288"/>
    <w:rsid w:val="004C4C34"/>
    <w:rsid w:val="004C5BE0"/>
    <w:rsid w:val="004C61C6"/>
    <w:rsid w:val="004C7109"/>
    <w:rsid w:val="004D7634"/>
    <w:rsid w:val="004D7696"/>
    <w:rsid w:val="004E0D42"/>
    <w:rsid w:val="004E37B4"/>
    <w:rsid w:val="004E410D"/>
    <w:rsid w:val="004E4F4A"/>
    <w:rsid w:val="004E611A"/>
    <w:rsid w:val="004F0204"/>
    <w:rsid w:val="004F1EB2"/>
    <w:rsid w:val="004F6460"/>
    <w:rsid w:val="00503764"/>
    <w:rsid w:val="00505692"/>
    <w:rsid w:val="00513775"/>
    <w:rsid w:val="00513E2F"/>
    <w:rsid w:val="00516242"/>
    <w:rsid w:val="0052180D"/>
    <w:rsid w:val="00523D2F"/>
    <w:rsid w:val="00524AFB"/>
    <w:rsid w:val="00524E78"/>
    <w:rsid w:val="005300D3"/>
    <w:rsid w:val="00531A78"/>
    <w:rsid w:val="005354E4"/>
    <w:rsid w:val="00536285"/>
    <w:rsid w:val="0053673F"/>
    <w:rsid w:val="00542351"/>
    <w:rsid w:val="00542A10"/>
    <w:rsid w:val="00544F70"/>
    <w:rsid w:val="00544F82"/>
    <w:rsid w:val="00544FC1"/>
    <w:rsid w:val="005459C9"/>
    <w:rsid w:val="00546660"/>
    <w:rsid w:val="00547655"/>
    <w:rsid w:val="00547D77"/>
    <w:rsid w:val="005509D2"/>
    <w:rsid w:val="00553952"/>
    <w:rsid w:val="00555D4B"/>
    <w:rsid w:val="00561ECE"/>
    <w:rsid w:val="00564259"/>
    <w:rsid w:val="00565A32"/>
    <w:rsid w:val="005705E3"/>
    <w:rsid w:val="00574A3A"/>
    <w:rsid w:val="00575F93"/>
    <w:rsid w:val="00581DC0"/>
    <w:rsid w:val="00583700"/>
    <w:rsid w:val="0058608B"/>
    <w:rsid w:val="005919D2"/>
    <w:rsid w:val="00593C4F"/>
    <w:rsid w:val="005946A8"/>
    <w:rsid w:val="005A03B9"/>
    <w:rsid w:val="005A0CE2"/>
    <w:rsid w:val="005A16D9"/>
    <w:rsid w:val="005A1D01"/>
    <w:rsid w:val="005A4407"/>
    <w:rsid w:val="005A59EF"/>
    <w:rsid w:val="005A70AD"/>
    <w:rsid w:val="005B1AED"/>
    <w:rsid w:val="005B1C7E"/>
    <w:rsid w:val="005B390F"/>
    <w:rsid w:val="005B43A5"/>
    <w:rsid w:val="005B4C18"/>
    <w:rsid w:val="005C1712"/>
    <w:rsid w:val="005C553B"/>
    <w:rsid w:val="005C6976"/>
    <w:rsid w:val="005C6C19"/>
    <w:rsid w:val="005C6E73"/>
    <w:rsid w:val="005D08A3"/>
    <w:rsid w:val="005D12FD"/>
    <w:rsid w:val="005D200B"/>
    <w:rsid w:val="005E0CFA"/>
    <w:rsid w:val="005E46BF"/>
    <w:rsid w:val="005F08C5"/>
    <w:rsid w:val="005F14D0"/>
    <w:rsid w:val="005F524D"/>
    <w:rsid w:val="005F5558"/>
    <w:rsid w:val="005F6E30"/>
    <w:rsid w:val="005F6F41"/>
    <w:rsid w:val="00601D99"/>
    <w:rsid w:val="0060563F"/>
    <w:rsid w:val="00607820"/>
    <w:rsid w:val="0061052C"/>
    <w:rsid w:val="006106FA"/>
    <w:rsid w:val="006210B6"/>
    <w:rsid w:val="006257AA"/>
    <w:rsid w:val="00625912"/>
    <w:rsid w:val="00625DC6"/>
    <w:rsid w:val="00627B63"/>
    <w:rsid w:val="00630022"/>
    <w:rsid w:val="006301B1"/>
    <w:rsid w:val="00634116"/>
    <w:rsid w:val="006418F8"/>
    <w:rsid w:val="0064273A"/>
    <w:rsid w:val="0064273C"/>
    <w:rsid w:val="006428D2"/>
    <w:rsid w:val="0064391D"/>
    <w:rsid w:val="0064719D"/>
    <w:rsid w:val="00651821"/>
    <w:rsid w:val="006522CA"/>
    <w:rsid w:val="006525B3"/>
    <w:rsid w:val="00654384"/>
    <w:rsid w:val="00660673"/>
    <w:rsid w:val="00660DB0"/>
    <w:rsid w:val="0066143A"/>
    <w:rsid w:val="00661DF3"/>
    <w:rsid w:val="006650AB"/>
    <w:rsid w:val="006675CD"/>
    <w:rsid w:val="00674BA8"/>
    <w:rsid w:val="00676E8D"/>
    <w:rsid w:val="0067789B"/>
    <w:rsid w:val="006818AB"/>
    <w:rsid w:val="006822BE"/>
    <w:rsid w:val="00683C2A"/>
    <w:rsid w:val="00683F16"/>
    <w:rsid w:val="00684D9B"/>
    <w:rsid w:val="0068510A"/>
    <w:rsid w:val="006875B4"/>
    <w:rsid w:val="0069112D"/>
    <w:rsid w:val="006922D2"/>
    <w:rsid w:val="006926D9"/>
    <w:rsid w:val="0069281E"/>
    <w:rsid w:val="00693B71"/>
    <w:rsid w:val="00694AB0"/>
    <w:rsid w:val="006972FD"/>
    <w:rsid w:val="00697556"/>
    <w:rsid w:val="006A1FC0"/>
    <w:rsid w:val="006A2790"/>
    <w:rsid w:val="006A55F6"/>
    <w:rsid w:val="006A5709"/>
    <w:rsid w:val="006B0E5F"/>
    <w:rsid w:val="006B0FF2"/>
    <w:rsid w:val="006B12FB"/>
    <w:rsid w:val="006B3D69"/>
    <w:rsid w:val="006B4114"/>
    <w:rsid w:val="006B4647"/>
    <w:rsid w:val="006B4C2B"/>
    <w:rsid w:val="006B4DC0"/>
    <w:rsid w:val="006B5833"/>
    <w:rsid w:val="006B6194"/>
    <w:rsid w:val="006B6D47"/>
    <w:rsid w:val="006B73C1"/>
    <w:rsid w:val="006C548A"/>
    <w:rsid w:val="006C5AFE"/>
    <w:rsid w:val="006D5B22"/>
    <w:rsid w:val="006D5DB4"/>
    <w:rsid w:val="006D6528"/>
    <w:rsid w:val="006D6A12"/>
    <w:rsid w:val="006D7530"/>
    <w:rsid w:val="006E07A6"/>
    <w:rsid w:val="006E2B3C"/>
    <w:rsid w:val="006E4C67"/>
    <w:rsid w:val="006E6CE7"/>
    <w:rsid w:val="006F0143"/>
    <w:rsid w:val="006F25E9"/>
    <w:rsid w:val="006F2EC8"/>
    <w:rsid w:val="006F4527"/>
    <w:rsid w:val="006F4941"/>
    <w:rsid w:val="006F55FD"/>
    <w:rsid w:val="006F5E4C"/>
    <w:rsid w:val="006F669D"/>
    <w:rsid w:val="006F6D95"/>
    <w:rsid w:val="006F6F53"/>
    <w:rsid w:val="007009F8"/>
    <w:rsid w:val="00706F13"/>
    <w:rsid w:val="007072E8"/>
    <w:rsid w:val="00710C91"/>
    <w:rsid w:val="00714AD0"/>
    <w:rsid w:val="0071618D"/>
    <w:rsid w:val="00720721"/>
    <w:rsid w:val="0072291F"/>
    <w:rsid w:val="00722B20"/>
    <w:rsid w:val="00724002"/>
    <w:rsid w:val="0072440E"/>
    <w:rsid w:val="007251BC"/>
    <w:rsid w:val="00725FA4"/>
    <w:rsid w:val="00727227"/>
    <w:rsid w:val="00730F03"/>
    <w:rsid w:val="00731266"/>
    <w:rsid w:val="00733FA4"/>
    <w:rsid w:val="0073688E"/>
    <w:rsid w:val="00740446"/>
    <w:rsid w:val="0074256A"/>
    <w:rsid w:val="00742A96"/>
    <w:rsid w:val="007438A9"/>
    <w:rsid w:val="00744840"/>
    <w:rsid w:val="0074491E"/>
    <w:rsid w:val="00745568"/>
    <w:rsid w:val="007510D0"/>
    <w:rsid w:val="00756C28"/>
    <w:rsid w:val="00760CBC"/>
    <w:rsid w:val="00760FFF"/>
    <w:rsid w:val="0076247A"/>
    <w:rsid w:val="00766064"/>
    <w:rsid w:val="00766843"/>
    <w:rsid w:val="00772139"/>
    <w:rsid w:val="00775964"/>
    <w:rsid w:val="007765FE"/>
    <w:rsid w:val="00780826"/>
    <w:rsid w:val="00783769"/>
    <w:rsid w:val="00784EF6"/>
    <w:rsid w:val="00785B74"/>
    <w:rsid w:val="00787674"/>
    <w:rsid w:val="00787B91"/>
    <w:rsid w:val="0079005B"/>
    <w:rsid w:val="0079020F"/>
    <w:rsid w:val="00793B84"/>
    <w:rsid w:val="00794BEE"/>
    <w:rsid w:val="00794E2E"/>
    <w:rsid w:val="00795BFB"/>
    <w:rsid w:val="007A0C27"/>
    <w:rsid w:val="007A19A9"/>
    <w:rsid w:val="007B09AC"/>
    <w:rsid w:val="007B24E1"/>
    <w:rsid w:val="007B2760"/>
    <w:rsid w:val="007B5018"/>
    <w:rsid w:val="007B5838"/>
    <w:rsid w:val="007C26C7"/>
    <w:rsid w:val="007C29C8"/>
    <w:rsid w:val="007C7343"/>
    <w:rsid w:val="007D60EF"/>
    <w:rsid w:val="007E572C"/>
    <w:rsid w:val="007F0040"/>
    <w:rsid w:val="007F1069"/>
    <w:rsid w:val="007F1132"/>
    <w:rsid w:val="007F2B2C"/>
    <w:rsid w:val="007F428A"/>
    <w:rsid w:val="007F4FC4"/>
    <w:rsid w:val="007F50D3"/>
    <w:rsid w:val="00806713"/>
    <w:rsid w:val="00806C01"/>
    <w:rsid w:val="00810436"/>
    <w:rsid w:val="00810B35"/>
    <w:rsid w:val="008148CC"/>
    <w:rsid w:val="0081672D"/>
    <w:rsid w:val="00820408"/>
    <w:rsid w:val="008211A4"/>
    <w:rsid w:val="008238A7"/>
    <w:rsid w:val="00827041"/>
    <w:rsid w:val="0083410E"/>
    <w:rsid w:val="00836D44"/>
    <w:rsid w:val="0083735D"/>
    <w:rsid w:val="00837659"/>
    <w:rsid w:val="00837ECA"/>
    <w:rsid w:val="00843B8C"/>
    <w:rsid w:val="00844822"/>
    <w:rsid w:val="0084693A"/>
    <w:rsid w:val="00846C96"/>
    <w:rsid w:val="00847A32"/>
    <w:rsid w:val="00851E26"/>
    <w:rsid w:val="00856940"/>
    <w:rsid w:val="00856CF9"/>
    <w:rsid w:val="008602FF"/>
    <w:rsid w:val="00860FB7"/>
    <w:rsid w:val="00860FD3"/>
    <w:rsid w:val="00863E90"/>
    <w:rsid w:val="00867338"/>
    <w:rsid w:val="008706CA"/>
    <w:rsid w:val="00873150"/>
    <w:rsid w:val="0087657D"/>
    <w:rsid w:val="008807D5"/>
    <w:rsid w:val="00880832"/>
    <w:rsid w:val="008822F5"/>
    <w:rsid w:val="008823D8"/>
    <w:rsid w:val="00886EE1"/>
    <w:rsid w:val="0088727D"/>
    <w:rsid w:val="008874A7"/>
    <w:rsid w:val="008875B6"/>
    <w:rsid w:val="00890088"/>
    <w:rsid w:val="00893CAD"/>
    <w:rsid w:val="00897A7E"/>
    <w:rsid w:val="00897C75"/>
    <w:rsid w:val="008B125C"/>
    <w:rsid w:val="008B7183"/>
    <w:rsid w:val="008B7807"/>
    <w:rsid w:val="008C0C6E"/>
    <w:rsid w:val="008C1130"/>
    <w:rsid w:val="008C2771"/>
    <w:rsid w:val="008C2854"/>
    <w:rsid w:val="008C2E13"/>
    <w:rsid w:val="008C7C1F"/>
    <w:rsid w:val="008C7FA8"/>
    <w:rsid w:val="008D18E6"/>
    <w:rsid w:val="008D18ED"/>
    <w:rsid w:val="008D3D83"/>
    <w:rsid w:val="008D6334"/>
    <w:rsid w:val="008D7A9B"/>
    <w:rsid w:val="008E0060"/>
    <w:rsid w:val="008E0D5D"/>
    <w:rsid w:val="008E69D3"/>
    <w:rsid w:val="008E7091"/>
    <w:rsid w:val="008E76AC"/>
    <w:rsid w:val="008F1B97"/>
    <w:rsid w:val="008F21F6"/>
    <w:rsid w:val="008F3596"/>
    <w:rsid w:val="008F50C4"/>
    <w:rsid w:val="008F6963"/>
    <w:rsid w:val="0090179B"/>
    <w:rsid w:val="00901B09"/>
    <w:rsid w:val="00902039"/>
    <w:rsid w:val="00904686"/>
    <w:rsid w:val="00906083"/>
    <w:rsid w:val="0091022A"/>
    <w:rsid w:val="00911563"/>
    <w:rsid w:val="009123CD"/>
    <w:rsid w:val="00912847"/>
    <w:rsid w:val="009140FD"/>
    <w:rsid w:val="009242CC"/>
    <w:rsid w:val="0092558F"/>
    <w:rsid w:val="009267D7"/>
    <w:rsid w:val="00931C8A"/>
    <w:rsid w:val="00932DB9"/>
    <w:rsid w:val="009351FA"/>
    <w:rsid w:val="009417DF"/>
    <w:rsid w:val="00947F40"/>
    <w:rsid w:val="00951F79"/>
    <w:rsid w:val="009538AC"/>
    <w:rsid w:val="00954306"/>
    <w:rsid w:val="00955B3F"/>
    <w:rsid w:val="00957328"/>
    <w:rsid w:val="00963AA9"/>
    <w:rsid w:val="0096661F"/>
    <w:rsid w:val="00966CFA"/>
    <w:rsid w:val="009728CD"/>
    <w:rsid w:val="00972BB7"/>
    <w:rsid w:val="00974AB5"/>
    <w:rsid w:val="0098706D"/>
    <w:rsid w:val="00991C5E"/>
    <w:rsid w:val="0099331D"/>
    <w:rsid w:val="009935FB"/>
    <w:rsid w:val="00994B98"/>
    <w:rsid w:val="00996123"/>
    <w:rsid w:val="009A07A3"/>
    <w:rsid w:val="009A0826"/>
    <w:rsid w:val="009A2320"/>
    <w:rsid w:val="009A6006"/>
    <w:rsid w:val="009A7527"/>
    <w:rsid w:val="009B5CC5"/>
    <w:rsid w:val="009B5D0B"/>
    <w:rsid w:val="009B5DAE"/>
    <w:rsid w:val="009C122B"/>
    <w:rsid w:val="009C17FF"/>
    <w:rsid w:val="009C4E55"/>
    <w:rsid w:val="009C75DC"/>
    <w:rsid w:val="009C7DCB"/>
    <w:rsid w:val="009D03C0"/>
    <w:rsid w:val="009D1053"/>
    <w:rsid w:val="009D5680"/>
    <w:rsid w:val="009D6790"/>
    <w:rsid w:val="009E78F8"/>
    <w:rsid w:val="009E7C74"/>
    <w:rsid w:val="009F20A9"/>
    <w:rsid w:val="009F4A54"/>
    <w:rsid w:val="009F4BEC"/>
    <w:rsid w:val="009F5874"/>
    <w:rsid w:val="009F5938"/>
    <w:rsid w:val="009F6992"/>
    <w:rsid w:val="009F7B20"/>
    <w:rsid w:val="00A00D24"/>
    <w:rsid w:val="00A03159"/>
    <w:rsid w:val="00A103DB"/>
    <w:rsid w:val="00A1378A"/>
    <w:rsid w:val="00A156BE"/>
    <w:rsid w:val="00A156F8"/>
    <w:rsid w:val="00A17DBC"/>
    <w:rsid w:val="00A17FB6"/>
    <w:rsid w:val="00A21E76"/>
    <w:rsid w:val="00A22D41"/>
    <w:rsid w:val="00A25FD7"/>
    <w:rsid w:val="00A30309"/>
    <w:rsid w:val="00A33668"/>
    <w:rsid w:val="00A4135C"/>
    <w:rsid w:val="00A42277"/>
    <w:rsid w:val="00A4318A"/>
    <w:rsid w:val="00A431B1"/>
    <w:rsid w:val="00A43AFF"/>
    <w:rsid w:val="00A44651"/>
    <w:rsid w:val="00A47990"/>
    <w:rsid w:val="00A47F3E"/>
    <w:rsid w:val="00A47F61"/>
    <w:rsid w:val="00A51EFB"/>
    <w:rsid w:val="00A541FE"/>
    <w:rsid w:val="00A5465E"/>
    <w:rsid w:val="00A546C6"/>
    <w:rsid w:val="00A548BC"/>
    <w:rsid w:val="00A54C10"/>
    <w:rsid w:val="00A55E22"/>
    <w:rsid w:val="00A57AC1"/>
    <w:rsid w:val="00A60D6B"/>
    <w:rsid w:val="00A61C6B"/>
    <w:rsid w:val="00A62293"/>
    <w:rsid w:val="00A640EA"/>
    <w:rsid w:val="00A71269"/>
    <w:rsid w:val="00A72335"/>
    <w:rsid w:val="00A7353D"/>
    <w:rsid w:val="00A7793A"/>
    <w:rsid w:val="00A77D84"/>
    <w:rsid w:val="00A82980"/>
    <w:rsid w:val="00A84C75"/>
    <w:rsid w:val="00A9361D"/>
    <w:rsid w:val="00A958DD"/>
    <w:rsid w:val="00A96879"/>
    <w:rsid w:val="00AA044C"/>
    <w:rsid w:val="00AA4CC7"/>
    <w:rsid w:val="00AA5E8E"/>
    <w:rsid w:val="00AA6605"/>
    <w:rsid w:val="00AB1E48"/>
    <w:rsid w:val="00AB29CB"/>
    <w:rsid w:val="00AB2BAD"/>
    <w:rsid w:val="00AB32B3"/>
    <w:rsid w:val="00AB38BB"/>
    <w:rsid w:val="00AB454B"/>
    <w:rsid w:val="00AB4617"/>
    <w:rsid w:val="00AB5828"/>
    <w:rsid w:val="00AB620C"/>
    <w:rsid w:val="00AB6CA7"/>
    <w:rsid w:val="00AB757C"/>
    <w:rsid w:val="00AC0149"/>
    <w:rsid w:val="00AC18A8"/>
    <w:rsid w:val="00AC47A9"/>
    <w:rsid w:val="00AC4CF6"/>
    <w:rsid w:val="00AC78CC"/>
    <w:rsid w:val="00AD01E4"/>
    <w:rsid w:val="00AD0858"/>
    <w:rsid w:val="00AD24BC"/>
    <w:rsid w:val="00AD39D5"/>
    <w:rsid w:val="00AD45EB"/>
    <w:rsid w:val="00AE02E3"/>
    <w:rsid w:val="00AE08B3"/>
    <w:rsid w:val="00AE0E9D"/>
    <w:rsid w:val="00AE54B4"/>
    <w:rsid w:val="00AE6CC6"/>
    <w:rsid w:val="00AE7340"/>
    <w:rsid w:val="00AE7CA0"/>
    <w:rsid w:val="00AF1BBD"/>
    <w:rsid w:val="00AF1D2B"/>
    <w:rsid w:val="00AF3140"/>
    <w:rsid w:val="00AF3448"/>
    <w:rsid w:val="00AF46A1"/>
    <w:rsid w:val="00AF66B3"/>
    <w:rsid w:val="00AF765E"/>
    <w:rsid w:val="00AF7A4A"/>
    <w:rsid w:val="00B0044D"/>
    <w:rsid w:val="00B004FA"/>
    <w:rsid w:val="00B00A68"/>
    <w:rsid w:val="00B10207"/>
    <w:rsid w:val="00B10277"/>
    <w:rsid w:val="00B141E7"/>
    <w:rsid w:val="00B350D1"/>
    <w:rsid w:val="00B351B4"/>
    <w:rsid w:val="00B37316"/>
    <w:rsid w:val="00B40C76"/>
    <w:rsid w:val="00B41391"/>
    <w:rsid w:val="00B42663"/>
    <w:rsid w:val="00B426AE"/>
    <w:rsid w:val="00B46BCA"/>
    <w:rsid w:val="00B478AA"/>
    <w:rsid w:val="00B5168F"/>
    <w:rsid w:val="00B53899"/>
    <w:rsid w:val="00B540A2"/>
    <w:rsid w:val="00B555CC"/>
    <w:rsid w:val="00B576AE"/>
    <w:rsid w:val="00B613A9"/>
    <w:rsid w:val="00B627A6"/>
    <w:rsid w:val="00B62FDD"/>
    <w:rsid w:val="00B64016"/>
    <w:rsid w:val="00B65278"/>
    <w:rsid w:val="00B67A6F"/>
    <w:rsid w:val="00B75412"/>
    <w:rsid w:val="00B8124D"/>
    <w:rsid w:val="00B81932"/>
    <w:rsid w:val="00B8286D"/>
    <w:rsid w:val="00B83562"/>
    <w:rsid w:val="00B87806"/>
    <w:rsid w:val="00B87EC9"/>
    <w:rsid w:val="00B91747"/>
    <w:rsid w:val="00B93EE8"/>
    <w:rsid w:val="00B955CC"/>
    <w:rsid w:val="00BA0475"/>
    <w:rsid w:val="00BA0C70"/>
    <w:rsid w:val="00BA18AB"/>
    <w:rsid w:val="00BA223D"/>
    <w:rsid w:val="00BA2B94"/>
    <w:rsid w:val="00BA72F3"/>
    <w:rsid w:val="00BB1136"/>
    <w:rsid w:val="00BB131F"/>
    <w:rsid w:val="00BB73A6"/>
    <w:rsid w:val="00BC21D3"/>
    <w:rsid w:val="00BC38FD"/>
    <w:rsid w:val="00BC6EB9"/>
    <w:rsid w:val="00BD0A4E"/>
    <w:rsid w:val="00BD3985"/>
    <w:rsid w:val="00BD7733"/>
    <w:rsid w:val="00BE1AC3"/>
    <w:rsid w:val="00BE3D35"/>
    <w:rsid w:val="00BE3E32"/>
    <w:rsid w:val="00BE61A1"/>
    <w:rsid w:val="00BF202C"/>
    <w:rsid w:val="00BF2393"/>
    <w:rsid w:val="00BF29B2"/>
    <w:rsid w:val="00BF34AA"/>
    <w:rsid w:val="00C00C5C"/>
    <w:rsid w:val="00C01069"/>
    <w:rsid w:val="00C0269F"/>
    <w:rsid w:val="00C030DB"/>
    <w:rsid w:val="00C034CB"/>
    <w:rsid w:val="00C051A8"/>
    <w:rsid w:val="00C054BC"/>
    <w:rsid w:val="00C06E2A"/>
    <w:rsid w:val="00C07899"/>
    <w:rsid w:val="00C155A1"/>
    <w:rsid w:val="00C167D6"/>
    <w:rsid w:val="00C17897"/>
    <w:rsid w:val="00C20CD0"/>
    <w:rsid w:val="00C2478F"/>
    <w:rsid w:val="00C27D36"/>
    <w:rsid w:val="00C313C6"/>
    <w:rsid w:val="00C33A53"/>
    <w:rsid w:val="00C3464F"/>
    <w:rsid w:val="00C35D2A"/>
    <w:rsid w:val="00C36124"/>
    <w:rsid w:val="00C409D5"/>
    <w:rsid w:val="00C41343"/>
    <w:rsid w:val="00C42D39"/>
    <w:rsid w:val="00C43597"/>
    <w:rsid w:val="00C435C3"/>
    <w:rsid w:val="00C44E5F"/>
    <w:rsid w:val="00C51B7C"/>
    <w:rsid w:val="00C55F46"/>
    <w:rsid w:val="00C566A6"/>
    <w:rsid w:val="00C6234B"/>
    <w:rsid w:val="00C63EAE"/>
    <w:rsid w:val="00C64A32"/>
    <w:rsid w:val="00C723C8"/>
    <w:rsid w:val="00C72DD1"/>
    <w:rsid w:val="00C73260"/>
    <w:rsid w:val="00C74602"/>
    <w:rsid w:val="00C75AB4"/>
    <w:rsid w:val="00C761B5"/>
    <w:rsid w:val="00C7629F"/>
    <w:rsid w:val="00C8169A"/>
    <w:rsid w:val="00C842F6"/>
    <w:rsid w:val="00C84430"/>
    <w:rsid w:val="00C8477F"/>
    <w:rsid w:val="00C8661B"/>
    <w:rsid w:val="00C878FA"/>
    <w:rsid w:val="00C91BC0"/>
    <w:rsid w:val="00C9317C"/>
    <w:rsid w:val="00C931EF"/>
    <w:rsid w:val="00C95BA1"/>
    <w:rsid w:val="00C97D73"/>
    <w:rsid w:val="00CA03C8"/>
    <w:rsid w:val="00CA11D5"/>
    <w:rsid w:val="00CA139A"/>
    <w:rsid w:val="00CA2899"/>
    <w:rsid w:val="00CA2D04"/>
    <w:rsid w:val="00CA3A3D"/>
    <w:rsid w:val="00CA3AA6"/>
    <w:rsid w:val="00CA63FA"/>
    <w:rsid w:val="00CA77FB"/>
    <w:rsid w:val="00CB0582"/>
    <w:rsid w:val="00CB379B"/>
    <w:rsid w:val="00CB4B28"/>
    <w:rsid w:val="00CB5402"/>
    <w:rsid w:val="00CB5DD0"/>
    <w:rsid w:val="00CB768E"/>
    <w:rsid w:val="00CB7711"/>
    <w:rsid w:val="00CC05BF"/>
    <w:rsid w:val="00CC1D42"/>
    <w:rsid w:val="00CC51D4"/>
    <w:rsid w:val="00CC65DA"/>
    <w:rsid w:val="00CD0563"/>
    <w:rsid w:val="00CD0DE2"/>
    <w:rsid w:val="00CD5428"/>
    <w:rsid w:val="00CE1FFF"/>
    <w:rsid w:val="00CE23A1"/>
    <w:rsid w:val="00CE7B91"/>
    <w:rsid w:val="00CF1894"/>
    <w:rsid w:val="00CF21B9"/>
    <w:rsid w:val="00CF339C"/>
    <w:rsid w:val="00CF4152"/>
    <w:rsid w:val="00CF6BF9"/>
    <w:rsid w:val="00D03800"/>
    <w:rsid w:val="00D065D3"/>
    <w:rsid w:val="00D11513"/>
    <w:rsid w:val="00D14B7D"/>
    <w:rsid w:val="00D14C94"/>
    <w:rsid w:val="00D1589E"/>
    <w:rsid w:val="00D2123D"/>
    <w:rsid w:val="00D261A2"/>
    <w:rsid w:val="00D26339"/>
    <w:rsid w:val="00D27586"/>
    <w:rsid w:val="00D31DCF"/>
    <w:rsid w:val="00D32393"/>
    <w:rsid w:val="00D3390C"/>
    <w:rsid w:val="00D342A6"/>
    <w:rsid w:val="00D359AE"/>
    <w:rsid w:val="00D4012E"/>
    <w:rsid w:val="00D45CA6"/>
    <w:rsid w:val="00D464BF"/>
    <w:rsid w:val="00D50441"/>
    <w:rsid w:val="00D507DC"/>
    <w:rsid w:val="00D51CE2"/>
    <w:rsid w:val="00D53E26"/>
    <w:rsid w:val="00D54E02"/>
    <w:rsid w:val="00D62D50"/>
    <w:rsid w:val="00D66628"/>
    <w:rsid w:val="00D712C3"/>
    <w:rsid w:val="00D74F26"/>
    <w:rsid w:val="00D875B7"/>
    <w:rsid w:val="00D8771B"/>
    <w:rsid w:val="00D87FB0"/>
    <w:rsid w:val="00D928CE"/>
    <w:rsid w:val="00D939D6"/>
    <w:rsid w:val="00D979FB"/>
    <w:rsid w:val="00DA64E7"/>
    <w:rsid w:val="00DA69BD"/>
    <w:rsid w:val="00DB1524"/>
    <w:rsid w:val="00DB182C"/>
    <w:rsid w:val="00DC2BA8"/>
    <w:rsid w:val="00DC2D7A"/>
    <w:rsid w:val="00DC3454"/>
    <w:rsid w:val="00DC47AC"/>
    <w:rsid w:val="00DC4CBF"/>
    <w:rsid w:val="00DD198D"/>
    <w:rsid w:val="00DD3999"/>
    <w:rsid w:val="00DD4F0E"/>
    <w:rsid w:val="00DD4FB1"/>
    <w:rsid w:val="00DE2D6C"/>
    <w:rsid w:val="00DE4BB6"/>
    <w:rsid w:val="00DE5983"/>
    <w:rsid w:val="00DE77C7"/>
    <w:rsid w:val="00DF0BF0"/>
    <w:rsid w:val="00DF3CA2"/>
    <w:rsid w:val="00DF5572"/>
    <w:rsid w:val="00DF62F6"/>
    <w:rsid w:val="00DF7094"/>
    <w:rsid w:val="00DF753C"/>
    <w:rsid w:val="00DF75E8"/>
    <w:rsid w:val="00E01463"/>
    <w:rsid w:val="00E033F2"/>
    <w:rsid w:val="00E036D8"/>
    <w:rsid w:val="00E05E0A"/>
    <w:rsid w:val="00E060BE"/>
    <w:rsid w:val="00E0696C"/>
    <w:rsid w:val="00E070DF"/>
    <w:rsid w:val="00E106CE"/>
    <w:rsid w:val="00E10B3E"/>
    <w:rsid w:val="00E12DB1"/>
    <w:rsid w:val="00E136C8"/>
    <w:rsid w:val="00E22660"/>
    <w:rsid w:val="00E22FB3"/>
    <w:rsid w:val="00E24DDF"/>
    <w:rsid w:val="00E25771"/>
    <w:rsid w:val="00E2694A"/>
    <w:rsid w:val="00E27469"/>
    <w:rsid w:val="00E27D16"/>
    <w:rsid w:val="00E3059A"/>
    <w:rsid w:val="00E31912"/>
    <w:rsid w:val="00E36A4B"/>
    <w:rsid w:val="00E41A4A"/>
    <w:rsid w:val="00E41B40"/>
    <w:rsid w:val="00E4553D"/>
    <w:rsid w:val="00E455D7"/>
    <w:rsid w:val="00E47A7C"/>
    <w:rsid w:val="00E50A35"/>
    <w:rsid w:val="00E51342"/>
    <w:rsid w:val="00E534CF"/>
    <w:rsid w:val="00E53AB4"/>
    <w:rsid w:val="00E54677"/>
    <w:rsid w:val="00E551A5"/>
    <w:rsid w:val="00E562A9"/>
    <w:rsid w:val="00E56772"/>
    <w:rsid w:val="00E62E87"/>
    <w:rsid w:val="00E71FA9"/>
    <w:rsid w:val="00E72CA9"/>
    <w:rsid w:val="00E74F73"/>
    <w:rsid w:val="00E80648"/>
    <w:rsid w:val="00E81CB4"/>
    <w:rsid w:val="00E8585B"/>
    <w:rsid w:val="00E87E3A"/>
    <w:rsid w:val="00E87F41"/>
    <w:rsid w:val="00E91AD6"/>
    <w:rsid w:val="00E91FD9"/>
    <w:rsid w:val="00E920E0"/>
    <w:rsid w:val="00EA0237"/>
    <w:rsid w:val="00EA34DD"/>
    <w:rsid w:val="00EA3F15"/>
    <w:rsid w:val="00EA6CD0"/>
    <w:rsid w:val="00EA7847"/>
    <w:rsid w:val="00EB29EB"/>
    <w:rsid w:val="00EB36EA"/>
    <w:rsid w:val="00EB4C2F"/>
    <w:rsid w:val="00EB6027"/>
    <w:rsid w:val="00EC12D6"/>
    <w:rsid w:val="00EC13BC"/>
    <w:rsid w:val="00EC185B"/>
    <w:rsid w:val="00EC3F9F"/>
    <w:rsid w:val="00ED4CAB"/>
    <w:rsid w:val="00ED55CE"/>
    <w:rsid w:val="00ED72E3"/>
    <w:rsid w:val="00EE2CB5"/>
    <w:rsid w:val="00EE2E6E"/>
    <w:rsid w:val="00EE586B"/>
    <w:rsid w:val="00EE6A92"/>
    <w:rsid w:val="00EE75F0"/>
    <w:rsid w:val="00EF1DFF"/>
    <w:rsid w:val="00EF3D0A"/>
    <w:rsid w:val="00EF4206"/>
    <w:rsid w:val="00F00C07"/>
    <w:rsid w:val="00F034D3"/>
    <w:rsid w:val="00F0367E"/>
    <w:rsid w:val="00F0759E"/>
    <w:rsid w:val="00F10044"/>
    <w:rsid w:val="00F151D9"/>
    <w:rsid w:val="00F16A43"/>
    <w:rsid w:val="00F16E2B"/>
    <w:rsid w:val="00F2495F"/>
    <w:rsid w:val="00F26A68"/>
    <w:rsid w:val="00F3003F"/>
    <w:rsid w:val="00F32822"/>
    <w:rsid w:val="00F357C8"/>
    <w:rsid w:val="00F36D4A"/>
    <w:rsid w:val="00F426C2"/>
    <w:rsid w:val="00F43FC4"/>
    <w:rsid w:val="00F46780"/>
    <w:rsid w:val="00F526B2"/>
    <w:rsid w:val="00F5275B"/>
    <w:rsid w:val="00F529AA"/>
    <w:rsid w:val="00F541CF"/>
    <w:rsid w:val="00F61411"/>
    <w:rsid w:val="00F72D53"/>
    <w:rsid w:val="00F73B93"/>
    <w:rsid w:val="00F7538B"/>
    <w:rsid w:val="00F769CD"/>
    <w:rsid w:val="00F77159"/>
    <w:rsid w:val="00F77D2D"/>
    <w:rsid w:val="00F808B0"/>
    <w:rsid w:val="00F81605"/>
    <w:rsid w:val="00F821A3"/>
    <w:rsid w:val="00F83849"/>
    <w:rsid w:val="00F8511D"/>
    <w:rsid w:val="00F871A0"/>
    <w:rsid w:val="00F8760A"/>
    <w:rsid w:val="00F92031"/>
    <w:rsid w:val="00F92F07"/>
    <w:rsid w:val="00F92FBA"/>
    <w:rsid w:val="00F9314A"/>
    <w:rsid w:val="00F940AC"/>
    <w:rsid w:val="00F940B2"/>
    <w:rsid w:val="00F958F4"/>
    <w:rsid w:val="00FA529E"/>
    <w:rsid w:val="00FA5327"/>
    <w:rsid w:val="00FA61B6"/>
    <w:rsid w:val="00FA7D19"/>
    <w:rsid w:val="00FB14C2"/>
    <w:rsid w:val="00FB4C3F"/>
    <w:rsid w:val="00FB58B9"/>
    <w:rsid w:val="00FC2B9B"/>
    <w:rsid w:val="00FC58EF"/>
    <w:rsid w:val="00FC5EBC"/>
    <w:rsid w:val="00FC6EE1"/>
    <w:rsid w:val="00FD231B"/>
    <w:rsid w:val="00FD33DF"/>
    <w:rsid w:val="00FD41F0"/>
    <w:rsid w:val="00FD4E0E"/>
    <w:rsid w:val="00FD5138"/>
    <w:rsid w:val="00FD554F"/>
    <w:rsid w:val="00FE046E"/>
    <w:rsid w:val="00FE062D"/>
    <w:rsid w:val="00FE0B42"/>
    <w:rsid w:val="00FE3759"/>
    <w:rsid w:val="00FE39D7"/>
    <w:rsid w:val="00FF05F6"/>
    <w:rsid w:val="00FF17B2"/>
    <w:rsid w:val="00FF3FA1"/>
    <w:rsid w:val="00FF40DA"/>
    <w:rsid w:val="00FF4768"/>
    <w:rsid w:val="00FF640C"/>
  </w:rsids>
  <m:mathPr>
    <m:mathFont m:val="Cambria Math"/>
    <m:brkBin m:val="before"/>
    <m:brkBinSub m:val="--"/>
    <m:smallFrac m:val="0"/>
    <m:dispDef/>
    <m:lMargin m:val="0"/>
    <m:rMargin m:val="0"/>
    <m:defJc m:val="centerGroup"/>
    <m:wrapIndent m:val="1440"/>
    <m:intLim m:val="subSup"/>
    <m:naryLim m:val="undOvr"/>
  </m:mathPr>
  <w:themeFontLang w:val="es-CO"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4097"/>
    <o:shapelayout v:ext="edit">
      <o:idmap v:ext="edit" data="1"/>
    </o:shapelayout>
  </w:shapeDefaults>
  <w:decimalSymbol w:val=","/>
  <w:listSeparator w:val=","/>
  <w15:docId w15:val="{89222EEE-7E28-4B92-BDD8-C3CC419822A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s-CO" w:eastAsia="es-CO"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uiPriority="0" w:qFormat="1"/>
    <w:lsdException w:name="heading 4" w:uiPriority="0" w:qFormat="1"/>
    <w:lsdException w:name="heading 5" w:uiPriority="0"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nhideWhenUsed="1"/>
    <w:lsdException w:name="Body Text Indent 3" w:semiHidden="1"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D6A12"/>
    <w:pPr>
      <w:jc w:val="both"/>
    </w:pPr>
    <w:rPr>
      <w:rFonts w:ascii="Bookman Old Style" w:hAnsi="Bookman Old Style"/>
      <w:sz w:val="24"/>
      <w:szCs w:val="24"/>
      <w:lang w:val="es-ES" w:eastAsia="es-ES"/>
    </w:rPr>
  </w:style>
  <w:style w:type="paragraph" w:styleId="Ttulo1">
    <w:name w:val="heading 1"/>
    <w:basedOn w:val="Normal"/>
    <w:next w:val="Normal"/>
    <w:qFormat/>
    <w:rsid w:val="003101DA"/>
    <w:pPr>
      <w:keepNext/>
      <w:jc w:val="center"/>
      <w:outlineLvl w:val="0"/>
    </w:pPr>
    <w:rPr>
      <w:rFonts w:ascii="CG Times" w:hAnsi="CG Times"/>
      <w:b/>
      <w:szCs w:val="20"/>
      <w:lang w:val="es-CO"/>
    </w:rPr>
  </w:style>
  <w:style w:type="paragraph" w:styleId="Ttulo3">
    <w:name w:val="heading 3"/>
    <w:basedOn w:val="Normal"/>
    <w:next w:val="Normal"/>
    <w:link w:val="Ttulo3Car"/>
    <w:qFormat/>
    <w:rsid w:val="003101DA"/>
    <w:pPr>
      <w:keepNext/>
      <w:jc w:val="center"/>
      <w:outlineLvl w:val="2"/>
    </w:pPr>
    <w:rPr>
      <w:rFonts w:ascii="CG Times" w:hAnsi="CG Times"/>
      <w:b/>
      <w:snapToGrid w:val="0"/>
      <w:color w:val="000000"/>
      <w:szCs w:val="20"/>
      <w:lang w:val="es-ES_tradnl"/>
    </w:rPr>
  </w:style>
  <w:style w:type="paragraph" w:styleId="Ttulo4">
    <w:name w:val="heading 4"/>
    <w:basedOn w:val="Normal"/>
    <w:next w:val="Normal"/>
    <w:link w:val="Ttulo4Car"/>
    <w:qFormat/>
    <w:rsid w:val="003101DA"/>
    <w:pPr>
      <w:keepNext/>
      <w:jc w:val="center"/>
      <w:outlineLvl w:val="3"/>
    </w:pPr>
    <w:rPr>
      <w:rFonts w:ascii="Arial" w:hAnsi="Arial" w:cs="Arial"/>
      <w:b/>
      <w:snapToGrid w:val="0"/>
      <w:color w:val="000000"/>
      <w:spacing w:val="20"/>
      <w:sz w:val="20"/>
      <w:szCs w:val="20"/>
      <w:lang w:val="es-ES_tradnl"/>
    </w:rPr>
  </w:style>
  <w:style w:type="paragraph" w:styleId="Ttulo5">
    <w:name w:val="heading 5"/>
    <w:basedOn w:val="Normal"/>
    <w:next w:val="Normal"/>
    <w:link w:val="Ttulo5Car"/>
    <w:qFormat/>
    <w:rsid w:val="003101DA"/>
    <w:pPr>
      <w:keepNext/>
      <w:jc w:val="center"/>
      <w:outlineLvl w:val="4"/>
    </w:pPr>
    <w:rPr>
      <w:rFonts w:ascii="Arial" w:hAnsi="Arial" w:cs="Arial"/>
      <w:b/>
      <w:snapToGrid w:val="0"/>
      <w:color w:val="000000"/>
      <w:spacing w:val="20"/>
      <w:sz w:val="28"/>
      <w:szCs w:val="20"/>
      <w:lang w:val="es-ES_tradnl"/>
    </w:rPr>
  </w:style>
  <w:style w:type="paragraph" w:styleId="Ttulo6">
    <w:name w:val="heading 6"/>
    <w:basedOn w:val="Normal"/>
    <w:next w:val="Normal"/>
    <w:link w:val="Ttulo6Car"/>
    <w:unhideWhenUsed/>
    <w:qFormat/>
    <w:rsid w:val="00795BFB"/>
    <w:pPr>
      <w:spacing w:before="240" w:after="60"/>
      <w:outlineLvl w:val="5"/>
    </w:pPr>
    <w:rPr>
      <w:rFonts w:ascii="Calibri" w:hAnsi="Calibri"/>
      <w:b/>
      <w:bCs/>
      <w:sz w:val="22"/>
      <w:szCs w:val="22"/>
    </w:rPr>
  </w:style>
  <w:style w:type="paragraph" w:styleId="Ttulo7">
    <w:name w:val="heading 7"/>
    <w:basedOn w:val="Normal"/>
    <w:next w:val="Normal"/>
    <w:link w:val="Ttulo7Car"/>
    <w:uiPriority w:val="9"/>
    <w:semiHidden/>
    <w:unhideWhenUsed/>
    <w:qFormat/>
    <w:rsid w:val="006B4647"/>
    <w:pPr>
      <w:spacing w:before="240" w:after="60"/>
      <w:outlineLvl w:val="6"/>
    </w:pPr>
    <w:rPr>
      <w:rFonts w:ascii="Calibri" w:hAnsi="Calibri"/>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rsid w:val="003101DA"/>
    <w:pPr>
      <w:tabs>
        <w:tab w:val="center" w:pos="4252"/>
        <w:tab w:val="right" w:pos="8504"/>
      </w:tabs>
    </w:pPr>
    <w:rPr>
      <w:rFonts w:ascii="CG Times" w:hAnsi="CG Times"/>
      <w:szCs w:val="20"/>
      <w:lang w:val="es-CO"/>
    </w:rPr>
  </w:style>
  <w:style w:type="paragraph" w:styleId="Piedepgina">
    <w:name w:val="footer"/>
    <w:basedOn w:val="Normal"/>
    <w:semiHidden/>
    <w:rsid w:val="003101DA"/>
    <w:pPr>
      <w:tabs>
        <w:tab w:val="center" w:pos="4252"/>
        <w:tab w:val="right" w:pos="8504"/>
      </w:tabs>
    </w:pPr>
  </w:style>
  <w:style w:type="paragraph" w:customStyle="1" w:styleId="Estilo1">
    <w:name w:val="Estilo1"/>
    <w:basedOn w:val="Normal"/>
    <w:rsid w:val="003101DA"/>
    <w:pPr>
      <w:shd w:val="clear" w:color="auto" w:fill="C0C0C0"/>
      <w:jc w:val="center"/>
    </w:pPr>
    <w:rPr>
      <w:rFonts w:ascii="Comic Sans MS" w:hAnsi="Comic Sans MS"/>
      <w:color w:val="0000FF"/>
      <w:sz w:val="36"/>
      <w:szCs w:val="20"/>
      <w:lang w:val="es-CO"/>
      <w14:shadow w14:blurRad="0" w14:dist="25400" w14:dir="13500000" w14:sx="0" w14:sy="0" w14:kx="0" w14:ky="0" w14:algn="none">
        <w14:srgbClr w14:val="000000">
          <w14:alpha w14:val="50000"/>
        </w14:srgbClr>
      </w14:shadow>
      <w14:textOutline w14:w="9525" w14:cap="flat" w14:cmpd="sng" w14:algn="ctr">
        <w14:solidFill>
          <w14:schemeClr w14:val="bg1">
            <w14:alpha w14:val="50000"/>
            <w14:lumMod w14:val="75000"/>
          </w14:schemeClr>
        </w14:solidFill>
        <w14:prstDash w14:val="solid"/>
        <w14:round/>
      </w14:textOutline>
    </w:rPr>
  </w:style>
  <w:style w:type="character" w:styleId="Nmerodepgina">
    <w:name w:val="page number"/>
    <w:basedOn w:val="Fuentedeprrafopredeter"/>
    <w:semiHidden/>
    <w:rsid w:val="003101DA"/>
  </w:style>
  <w:style w:type="paragraph" w:styleId="Textoindependiente">
    <w:name w:val="Body Text"/>
    <w:basedOn w:val="Normal"/>
    <w:link w:val="TextoindependienteCar"/>
    <w:semiHidden/>
    <w:rsid w:val="003101DA"/>
    <w:pPr>
      <w:jc w:val="center"/>
    </w:pPr>
    <w:rPr>
      <w:rFonts w:ascii="Arial" w:hAnsi="Arial" w:cs="Arial"/>
      <w:b/>
      <w:bCs/>
    </w:rPr>
  </w:style>
  <w:style w:type="paragraph" w:styleId="Textoindependiente3">
    <w:name w:val="Body Text 3"/>
    <w:basedOn w:val="Normal"/>
    <w:link w:val="Textoindependiente3Car"/>
    <w:semiHidden/>
    <w:rsid w:val="003101DA"/>
    <w:pPr>
      <w:jc w:val="center"/>
      <w:outlineLvl w:val="0"/>
    </w:pPr>
    <w:rPr>
      <w:rFonts w:ascii="Arial" w:hAnsi="Arial" w:cs="Arial"/>
      <w:b/>
      <w:bCs/>
      <w:spacing w:val="-3"/>
    </w:rPr>
  </w:style>
  <w:style w:type="paragraph" w:styleId="Textodeglobo">
    <w:name w:val="Balloon Text"/>
    <w:basedOn w:val="Normal"/>
    <w:link w:val="TextodegloboCar"/>
    <w:uiPriority w:val="99"/>
    <w:semiHidden/>
    <w:unhideWhenUsed/>
    <w:rsid w:val="00725FA4"/>
    <w:rPr>
      <w:rFonts w:ascii="Tahoma" w:hAnsi="Tahoma" w:cs="Tahoma"/>
      <w:sz w:val="16"/>
      <w:szCs w:val="16"/>
    </w:rPr>
  </w:style>
  <w:style w:type="character" w:customStyle="1" w:styleId="TextodegloboCar">
    <w:name w:val="Texto de globo Car"/>
    <w:link w:val="Textodeglobo"/>
    <w:uiPriority w:val="99"/>
    <w:semiHidden/>
    <w:rsid w:val="00725FA4"/>
    <w:rPr>
      <w:rFonts w:ascii="Tahoma" w:hAnsi="Tahoma" w:cs="Tahoma"/>
      <w:sz w:val="16"/>
      <w:szCs w:val="16"/>
    </w:rPr>
  </w:style>
  <w:style w:type="character" w:customStyle="1" w:styleId="EncabezadoCar">
    <w:name w:val="Encabezado Car"/>
    <w:link w:val="Encabezado"/>
    <w:rsid w:val="00593C4F"/>
    <w:rPr>
      <w:rFonts w:ascii="CG Times" w:hAnsi="CG Times"/>
      <w:sz w:val="24"/>
      <w:lang w:val="es-CO"/>
    </w:rPr>
  </w:style>
  <w:style w:type="character" w:customStyle="1" w:styleId="Ttulo3Car">
    <w:name w:val="Título 3 Car"/>
    <w:link w:val="Ttulo3"/>
    <w:rsid w:val="00141013"/>
    <w:rPr>
      <w:rFonts w:ascii="CG Times" w:hAnsi="CG Times"/>
      <w:b/>
      <w:snapToGrid w:val="0"/>
      <w:color w:val="000000"/>
      <w:sz w:val="24"/>
      <w:lang w:val="es-ES_tradnl"/>
    </w:rPr>
  </w:style>
  <w:style w:type="character" w:customStyle="1" w:styleId="Ttulo4Car">
    <w:name w:val="Título 4 Car"/>
    <w:link w:val="Ttulo4"/>
    <w:rsid w:val="00141013"/>
    <w:rPr>
      <w:rFonts w:ascii="Arial" w:hAnsi="Arial" w:cs="Arial"/>
      <w:b/>
      <w:snapToGrid w:val="0"/>
      <w:color w:val="000000"/>
      <w:spacing w:val="20"/>
      <w:lang w:val="es-ES_tradnl"/>
    </w:rPr>
  </w:style>
  <w:style w:type="character" w:customStyle="1" w:styleId="Ttulo5Car">
    <w:name w:val="Título 5 Car"/>
    <w:link w:val="Ttulo5"/>
    <w:rsid w:val="00141013"/>
    <w:rPr>
      <w:rFonts w:ascii="Arial" w:hAnsi="Arial" w:cs="Arial"/>
      <w:b/>
      <w:snapToGrid w:val="0"/>
      <w:color w:val="000000"/>
      <w:spacing w:val="20"/>
      <w:sz w:val="28"/>
      <w:lang w:val="es-ES_tradnl"/>
    </w:rPr>
  </w:style>
  <w:style w:type="character" w:customStyle="1" w:styleId="TextoindependienteCar">
    <w:name w:val="Texto independiente Car"/>
    <w:link w:val="Textoindependiente"/>
    <w:semiHidden/>
    <w:rsid w:val="00141013"/>
    <w:rPr>
      <w:rFonts w:ascii="Arial" w:hAnsi="Arial" w:cs="Arial"/>
      <w:b/>
      <w:bCs/>
      <w:sz w:val="24"/>
      <w:szCs w:val="24"/>
    </w:rPr>
  </w:style>
  <w:style w:type="character" w:customStyle="1" w:styleId="Textoindependiente3Car">
    <w:name w:val="Texto independiente 3 Car"/>
    <w:link w:val="Textoindependiente3"/>
    <w:semiHidden/>
    <w:rsid w:val="00141013"/>
    <w:rPr>
      <w:rFonts w:ascii="Arial" w:hAnsi="Arial" w:cs="Arial"/>
      <w:b/>
      <w:bCs/>
      <w:spacing w:val="-3"/>
      <w:sz w:val="24"/>
      <w:szCs w:val="24"/>
    </w:rPr>
  </w:style>
  <w:style w:type="table" w:styleId="Tablaconcuadrcula">
    <w:name w:val="Table Grid"/>
    <w:basedOn w:val="Tablanormal"/>
    <w:uiPriority w:val="59"/>
    <w:rsid w:val="00141013"/>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Ttulo6Car">
    <w:name w:val="Título 6 Car"/>
    <w:link w:val="Ttulo6"/>
    <w:rsid w:val="00795BFB"/>
    <w:rPr>
      <w:rFonts w:ascii="Calibri" w:eastAsia="Times New Roman" w:hAnsi="Calibri" w:cs="Times New Roman"/>
      <w:b/>
      <w:bCs/>
      <w:sz w:val="22"/>
      <w:szCs w:val="22"/>
    </w:rPr>
  </w:style>
  <w:style w:type="paragraph" w:styleId="Ttulo">
    <w:name w:val="Title"/>
    <w:basedOn w:val="Normal"/>
    <w:link w:val="TtuloCar"/>
    <w:qFormat/>
    <w:rsid w:val="00795BFB"/>
    <w:pPr>
      <w:widowControl w:val="0"/>
      <w:adjustRightInd w:val="0"/>
      <w:spacing w:line="360" w:lineRule="atLeast"/>
      <w:jc w:val="center"/>
      <w:textAlignment w:val="baseline"/>
    </w:pPr>
    <w:rPr>
      <w:rFonts w:ascii="Arial" w:hAnsi="Arial" w:cs="Arial"/>
      <w:b/>
      <w:bCs/>
    </w:rPr>
  </w:style>
  <w:style w:type="character" w:customStyle="1" w:styleId="TtuloCar">
    <w:name w:val="Título Car"/>
    <w:link w:val="Ttulo"/>
    <w:rsid w:val="00795BFB"/>
    <w:rPr>
      <w:rFonts w:ascii="Arial" w:hAnsi="Arial" w:cs="Arial"/>
      <w:b/>
      <w:bCs/>
      <w:sz w:val="24"/>
      <w:szCs w:val="24"/>
    </w:rPr>
  </w:style>
  <w:style w:type="paragraph" w:styleId="Prrafodelista">
    <w:name w:val="List Paragraph"/>
    <w:basedOn w:val="Normal"/>
    <w:link w:val="PrrafodelistaCar"/>
    <w:uiPriority w:val="34"/>
    <w:qFormat/>
    <w:rsid w:val="005354E4"/>
    <w:pPr>
      <w:ind w:left="708"/>
    </w:pPr>
    <w:rPr>
      <w:szCs w:val="20"/>
      <w:lang w:val="es-CO"/>
    </w:rPr>
  </w:style>
  <w:style w:type="character" w:customStyle="1" w:styleId="PrrafodelistaCar">
    <w:name w:val="Párrafo de lista Car"/>
    <w:link w:val="Prrafodelista"/>
    <w:uiPriority w:val="34"/>
    <w:rsid w:val="005354E4"/>
    <w:rPr>
      <w:rFonts w:ascii="Bookman Old Style" w:hAnsi="Bookman Old Style"/>
      <w:sz w:val="24"/>
      <w:lang w:eastAsia="es-ES"/>
    </w:rPr>
  </w:style>
  <w:style w:type="paragraph" w:styleId="TDC1">
    <w:name w:val="toc 1"/>
    <w:basedOn w:val="Normal"/>
    <w:next w:val="Normal"/>
    <w:autoRedefine/>
    <w:semiHidden/>
    <w:rsid w:val="00D03800"/>
    <w:pPr>
      <w:tabs>
        <w:tab w:val="left" w:pos="480"/>
        <w:tab w:val="right" w:leader="dot" w:pos="8828"/>
      </w:tabs>
      <w:spacing w:before="120"/>
    </w:pPr>
    <w:rPr>
      <w:rFonts w:ascii="Arial" w:hAnsi="Arial"/>
      <w:noProof/>
    </w:rPr>
  </w:style>
  <w:style w:type="paragraph" w:styleId="Textodebloque">
    <w:name w:val="Block Text"/>
    <w:basedOn w:val="Normal"/>
    <w:rsid w:val="00D03800"/>
    <w:pPr>
      <w:suppressAutoHyphens/>
      <w:spacing w:after="240"/>
      <w:ind w:right="788"/>
    </w:pPr>
    <w:rPr>
      <w:rFonts w:ascii="Arial" w:hAnsi="Arial"/>
      <w:spacing w:val="-3"/>
      <w:szCs w:val="20"/>
      <w:lang w:val="es-ES_tradnl"/>
    </w:rPr>
  </w:style>
  <w:style w:type="paragraph" w:styleId="Textoindependiente2">
    <w:name w:val="Body Text 2"/>
    <w:basedOn w:val="Normal"/>
    <w:link w:val="Textoindependiente2Car"/>
    <w:unhideWhenUsed/>
    <w:rsid w:val="00006AE2"/>
    <w:pPr>
      <w:spacing w:after="120" w:line="480" w:lineRule="auto"/>
    </w:pPr>
  </w:style>
  <w:style w:type="character" w:customStyle="1" w:styleId="Textoindependiente2Car">
    <w:name w:val="Texto independiente 2 Car"/>
    <w:link w:val="Textoindependiente2"/>
    <w:rsid w:val="00006AE2"/>
    <w:rPr>
      <w:sz w:val="24"/>
      <w:szCs w:val="24"/>
    </w:rPr>
  </w:style>
  <w:style w:type="paragraph" w:styleId="Descripcin">
    <w:name w:val="caption"/>
    <w:basedOn w:val="Normal"/>
    <w:next w:val="Normal"/>
    <w:uiPriority w:val="35"/>
    <w:qFormat/>
    <w:rsid w:val="003A31F6"/>
    <w:pPr>
      <w:widowControl w:val="0"/>
      <w:adjustRightInd w:val="0"/>
      <w:spacing w:before="120" w:after="120" w:line="360" w:lineRule="atLeast"/>
      <w:jc w:val="center"/>
      <w:textAlignment w:val="baseline"/>
    </w:pPr>
    <w:rPr>
      <w:rFonts w:ascii="Arial" w:hAnsi="Arial"/>
      <w:sz w:val="20"/>
      <w:szCs w:val="20"/>
    </w:rPr>
  </w:style>
  <w:style w:type="paragraph" w:styleId="Sinespaciado">
    <w:name w:val="No Spacing"/>
    <w:uiPriority w:val="1"/>
    <w:qFormat/>
    <w:rsid w:val="003A31F6"/>
    <w:rPr>
      <w:rFonts w:ascii="Calibri" w:hAnsi="Calibri" w:cs="Calibri"/>
      <w:sz w:val="22"/>
      <w:szCs w:val="22"/>
      <w:lang w:val="es-ES" w:eastAsia="en-US"/>
    </w:rPr>
  </w:style>
  <w:style w:type="character" w:customStyle="1" w:styleId="apple-style-span">
    <w:name w:val="apple-style-span"/>
    <w:rsid w:val="003A31F6"/>
    <w:rPr>
      <w:rFonts w:ascii="Times New Roman" w:hAnsi="Times New Roman" w:cs="Times New Roman"/>
    </w:rPr>
  </w:style>
  <w:style w:type="paragraph" w:styleId="Subttulo">
    <w:name w:val="Subtitle"/>
    <w:basedOn w:val="Normal"/>
    <w:link w:val="SubttuloCar"/>
    <w:qFormat/>
    <w:rsid w:val="003A31F6"/>
    <w:rPr>
      <w:rFonts w:ascii="Century Gothic" w:hAnsi="Century Gothic"/>
      <w:b/>
      <w:bCs/>
    </w:rPr>
  </w:style>
  <w:style w:type="character" w:customStyle="1" w:styleId="SubttuloCar">
    <w:name w:val="Subtítulo Car"/>
    <w:link w:val="Subttulo"/>
    <w:rsid w:val="003A31F6"/>
    <w:rPr>
      <w:rFonts w:ascii="Century Gothic" w:hAnsi="Century Gothic"/>
      <w:b/>
      <w:bCs/>
      <w:sz w:val="24"/>
      <w:szCs w:val="24"/>
    </w:rPr>
  </w:style>
  <w:style w:type="character" w:customStyle="1" w:styleId="apple-converted-space">
    <w:name w:val="apple-converted-space"/>
    <w:basedOn w:val="Fuentedeprrafopredeter"/>
    <w:rsid w:val="003A31F6"/>
  </w:style>
  <w:style w:type="paragraph" w:customStyle="1" w:styleId="BodyText21">
    <w:name w:val="Body Text 21"/>
    <w:basedOn w:val="Normal"/>
    <w:uiPriority w:val="99"/>
    <w:rsid w:val="00C034CB"/>
    <w:pPr>
      <w:widowControl w:val="0"/>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640"/>
      </w:tabs>
      <w:suppressAutoHyphens/>
      <w:adjustRightInd w:val="0"/>
      <w:spacing w:before="120" w:after="120" w:line="240" w:lineRule="exact"/>
      <w:textAlignment w:val="baseline"/>
    </w:pPr>
    <w:rPr>
      <w:rFonts w:ascii="Arial" w:hAnsi="Arial"/>
      <w:sz w:val="22"/>
      <w:szCs w:val="20"/>
    </w:rPr>
  </w:style>
  <w:style w:type="character" w:customStyle="1" w:styleId="Ttulo7Car">
    <w:name w:val="Título 7 Car"/>
    <w:link w:val="Ttulo7"/>
    <w:uiPriority w:val="9"/>
    <w:semiHidden/>
    <w:rsid w:val="006B4647"/>
    <w:rPr>
      <w:rFonts w:ascii="Calibri" w:eastAsia="Times New Roman" w:hAnsi="Calibri" w:cs="Times New Roman"/>
      <w:sz w:val="24"/>
      <w:szCs w:val="24"/>
      <w:lang w:val="es-ES" w:eastAsia="es-ES"/>
    </w:rPr>
  </w:style>
  <w:style w:type="paragraph" w:styleId="Sangradetextonormal">
    <w:name w:val="Body Text Indent"/>
    <w:basedOn w:val="Normal"/>
    <w:link w:val="SangradetextonormalCar"/>
    <w:uiPriority w:val="99"/>
    <w:semiHidden/>
    <w:unhideWhenUsed/>
    <w:rsid w:val="00E01463"/>
    <w:pPr>
      <w:spacing w:after="120"/>
      <w:ind w:left="283"/>
    </w:pPr>
  </w:style>
  <w:style w:type="character" w:customStyle="1" w:styleId="SangradetextonormalCar">
    <w:name w:val="Sangría de texto normal Car"/>
    <w:link w:val="Sangradetextonormal"/>
    <w:uiPriority w:val="99"/>
    <w:semiHidden/>
    <w:rsid w:val="00E01463"/>
    <w:rPr>
      <w:sz w:val="24"/>
      <w:szCs w:val="24"/>
      <w:lang w:val="es-ES" w:eastAsia="es-ES"/>
    </w:rPr>
  </w:style>
  <w:style w:type="paragraph" w:customStyle="1" w:styleId="Vietaletra">
    <w:name w:val="Viñeta letra"/>
    <w:basedOn w:val="Normal"/>
    <w:next w:val="Normal"/>
    <w:rsid w:val="00E01463"/>
    <w:pPr>
      <w:numPr>
        <w:numId w:val="1"/>
      </w:numPr>
      <w:suppressAutoHyphens/>
      <w:overflowPunct w:val="0"/>
      <w:autoSpaceDE w:val="0"/>
      <w:textAlignment w:val="baseline"/>
    </w:pPr>
    <w:rPr>
      <w:rFonts w:ascii="Arial" w:hAnsi="Arial"/>
      <w:szCs w:val="20"/>
      <w:lang w:val="es-ES_tradnl" w:eastAsia="ar-SA"/>
    </w:rPr>
  </w:style>
  <w:style w:type="paragraph" w:customStyle="1" w:styleId="TableHeading">
    <w:name w:val="Table Heading"/>
    <w:basedOn w:val="Normal"/>
    <w:rsid w:val="00E01463"/>
    <w:pPr>
      <w:suppressLineNumbers/>
      <w:suppressAutoHyphens/>
      <w:jc w:val="center"/>
    </w:pPr>
    <w:rPr>
      <w:rFonts w:ascii="Arial" w:hAnsi="Arial"/>
      <w:b/>
      <w:bCs/>
      <w:sz w:val="22"/>
      <w:lang w:eastAsia="ar-SA"/>
    </w:rPr>
  </w:style>
  <w:style w:type="paragraph" w:styleId="Sangra2detindependiente">
    <w:name w:val="Body Text Indent 2"/>
    <w:basedOn w:val="Normal"/>
    <w:link w:val="Sangra2detindependienteCar"/>
    <w:uiPriority w:val="99"/>
    <w:semiHidden/>
    <w:unhideWhenUsed/>
    <w:rsid w:val="00E060BE"/>
    <w:pPr>
      <w:spacing w:after="120" w:line="480" w:lineRule="auto"/>
      <w:ind w:left="283"/>
    </w:pPr>
  </w:style>
  <w:style w:type="character" w:customStyle="1" w:styleId="Sangra2detindependienteCar">
    <w:name w:val="Sangría 2 de t. independiente Car"/>
    <w:link w:val="Sangra2detindependiente"/>
    <w:uiPriority w:val="99"/>
    <w:semiHidden/>
    <w:rsid w:val="00E060BE"/>
    <w:rPr>
      <w:sz w:val="24"/>
      <w:szCs w:val="24"/>
      <w:lang w:val="es-ES" w:eastAsia="es-ES"/>
    </w:rPr>
  </w:style>
  <w:style w:type="paragraph" w:customStyle="1" w:styleId="ARTICULOS">
    <w:name w:val="ARTICULOS"/>
    <w:basedOn w:val="Normal"/>
    <w:next w:val="Normal"/>
    <w:link w:val="ARTICULOSCar"/>
    <w:rsid w:val="00F8511D"/>
    <w:pPr>
      <w:keepNext/>
      <w:widowControl w:val="0"/>
      <w:numPr>
        <w:numId w:val="2"/>
      </w:numPr>
      <w:adjustRightInd w:val="0"/>
      <w:textAlignment w:val="baseline"/>
      <w:outlineLvl w:val="0"/>
    </w:pPr>
    <w:rPr>
      <w:b/>
      <w:color w:val="000000"/>
    </w:rPr>
  </w:style>
  <w:style w:type="character" w:customStyle="1" w:styleId="ARTICULOSCar">
    <w:name w:val="ARTICULOS Car"/>
    <w:link w:val="ARTICULOS"/>
    <w:rsid w:val="003E6C80"/>
    <w:rPr>
      <w:rFonts w:ascii="Bookman Old Style" w:hAnsi="Bookman Old Style"/>
      <w:b/>
      <w:color w:val="000000"/>
      <w:sz w:val="24"/>
      <w:szCs w:val="24"/>
      <w:lang w:val="es-ES" w:eastAsia="es-ES"/>
    </w:rPr>
  </w:style>
  <w:style w:type="character" w:styleId="Textodelmarcadordeposicin">
    <w:name w:val="Placeholder Text"/>
    <w:basedOn w:val="Fuentedeprrafopredeter"/>
    <w:uiPriority w:val="99"/>
    <w:semiHidden/>
    <w:rsid w:val="007F4FC4"/>
    <w:rPr>
      <w:color w:val="808080"/>
    </w:rPr>
  </w:style>
  <w:style w:type="paragraph" w:styleId="Textonotapie">
    <w:name w:val="footnote text"/>
    <w:aliases w:val="Footnote Text Char Char Char Char Char,Footnote Text Char Char Char Char,Footnote reference,FA Fu,Footnote Text Cha,Footnote Text Char Char Char,FA Fußnotentext,FA Fuﬂnotentext,Footnote Text Char Char,texto de nota al p,FA Fu Car Car Car"/>
    <w:basedOn w:val="Normal"/>
    <w:link w:val="TextonotapieCar"/>
    <w:unhideWhenUsed/>
    <w:rsid w:val="00DC2D7A"/>
    <w:rPr>
      <w:sz w:val="20"/>
      <w:szCs w:val="20"/>
    </w:rPr>
  </w:style>
  <w:style w:type="character" w:customStyle="1" w:styleId="TextonotapieCar">
    <w:name w:val="Texto nota pie Car"/>
    <w:aliases w:val="Footnote Text Char Char Char Char Char Car,Footnote Text Char Char Char Char Car,Footnote reference Car,FA Fu Car,Footnote Text Cha Car,Footnote Text Char Char Char Car,FA Fußnotentext Car,FA Fuﬂnotentext Car,texto de nota al p Car"/>
    <w:basedOn w:val="Fuentedeprrafopredeter"/>
    <w:link w:val="Textonotapie"/>
    <w:rsid w:val="00DC2D7A"/>
    <w:rPr>
      <w:lang w:val="es-ES" w:eastAsia="es-ES"/>
    </w:rPr>
  </w:style>
  <w:style w:type="character" w:styleId="Refdenotaalpie">
    <w:name w:val="footnote reference"/>
    <w:aliases w:val="Ref. de nota al pie 2,Texto de nota al pie,Pie de Página,FC,Appel note de bas de page,Footnotes refss,Footnote number,referencia nota al pie,BVI fnr,f,4_G,16 Point,Superscript 6 Point,Texto nota al pie,Texto de nota al pi"/>
    <w:uiPriority w:val="99"/>
    <w:unhideWhenUsed/>
    <w:rsid w:val="00DC2D7A"/>
    <w:rPr>
      <w:vertAlign w:val="superscript"/>
    </w:rPr>
  </w:style>
  <w:style w:type="character" w:styleId="Refdecomentario">
    <w:name w:val="annotation reference"/>
    <w:basedOn w:val="Fuentedeprrafopredeter"/>
    <w:uiPriority w:val="99"/>
    <w:semiHidden/>
    <w:unhideWhenUsed/>
    <w:rsid w:val="00F92F07"/>
    <w:rPr>
      <w:sz w:val="16"/>
      <w:szCs w:val="16"/>
    </w:rPr>
  </w:style>
  <w:style w:type="paragraph" w:styleId="Textocomentario">
    <w:name w:val="annotation text"/>
    <w:basedOn w:val="Normal"/>
    <w:link w:val="TextocomentarioCar"/>
    <w:uiPriority w:val="99"/>
    <w:semiHidden/>
    <w:unhideWhenUsed/>
    <w:rsid w:val="00F92F07"/>
    <w:rPr>
      <w:sz w:val="20"/>
      <w:szCs w:val="20"/>
    </w:rPr>
  </w:style>
  <w:style w:type="character" w:customStyle="1" w:styleId="TextocomentarioCar">
    <w:name w:val="Texto comentario Car"/>
    <w:basedOn w:val="Fuentedeprrafopredeter"/>
    <w:link w:val="Textocomentario"/>
    <w:uiPriority w:val="99"/>
    <w:semiHidden/>
    <w:rsid w:val="00F92F07"/>
    <w:rPr>
      <w:lang w:val="es-ES" w:eastAsia="es-ES"/>
    </w:rPr>
  </w:style>
  <w:style w:type="paragraph" w:styleId="Asuntodelcomentario">
    <w:name w:val="annotation subject"/>
    <w:basedOn w:val="Textocomentario"/>
    <w:next w:val="Textocomentario"/>
    <w:link w:val="AsuntodelcomentarioCar"/>
    <w:uiPriority w:val="99"/>
    <w:semiHidden/>
    <w:unhideWhenUsed/>
    <w:rsid w:val="00F92F07"/>
    <w:rPr>
      <w:b/>
      <w:bCs/>
    </w:rPr>
  </w:style>
  <w:style w:type="character" w:customStyle="1" w:styleId="AsuntodelcomentarioCar">
    <w:name w:val="Asunto del comentario Car"/>
    <w:basedOn w:val="TextocomentarioCar"/>
    <w:link w:val="Asuntodelcomentario"/>
    <w:uiPriority w:val="99"/>
    <w:semiHidden/>
    <w:rsid w:val="00F92F07"/>
    <w:rPr>
      <w:b/>
      <w:bCs/>
      <w:lang w:val="es-ES" w:eastAsia="es-ES"/>
    </w:rPr>
  </w:style>
  <w:style w:type="paragraph" w:styleId="Revisin">
    <w:name w:val="Revision"/>
    <w:hidden/>
    <w:uiPriority w:val="99"/>
    <w:semiHidden/>
    <w:rsid w:val="00F92F07"/>
    <w:rPr>
      <w:sz w:val="24"/>
      <w:szCs w:val="24"/>
      <w:lang w:val="es-ES" w:eastAsia="es-ES"/>
    </w:rPr>
  </w:style>
  <w:style w:type="character" w:styleId="Hipervnculo">
    <w:name w:val="Hyperlink"/>
    <w:basedOn w:val="Fuentedeprrafopredeter"/>
    <w:uiPriority w:val="99"/>
    <w:unhideWhenUsed/>
    <w:rsid w:val="0090179B"/>
    <w:rPr>
      <w:color w:val="0000FF" w:themeColor="hyperlink"/>
      <w:u w:val="single"/>
    </w:rPr>
  </w:style>
  <w:style w:type="character" w:styleId="Hipervnculovisitado">
    <w:name w:val="FollowedHyperlink"/>
    <w:basedOn w:val="Fuentedeprrafopredeter"/>
    <w:uiPriority w:val="99"/>
    <w:semiHidden/>
    <w:unhideWhenUsed/>
    <w:rsid w:val="00856CF9"/>
    <w:rPr>
      <w:color w:val="800080" w:themeColor="followedHyperlink"/>
      <w:u w:val="single"/>
    </w:rPr>
  </w:style>
  <w:style w:type="paragraph" w:customStyle="1" w:styleId="Estilo3">
    <w:name w:val="Estilo3"/>
    <w:basedOn w:val="Ttulo"/>
    <w:qFormat/>
    <w:rsid w:val="00F00C07"/>
    <w:pPr>
      <w:widowControl/>
      <w:adjustRightInd/>
      <w:spacing w:line="240" w:lineRule="auto"/>
      <w:jc w:val="left"/>
      <w:textAlignment w:val="auto"/>
    </w:pPr>
    <w:rPr>
      <w:rFonts w:cs="Times New Roman"/>
      <w:b w:val="0"/>
      <w:bCs w:val="0"/>
      <w:sz w:val="22"/>
      <w:szCs w:val="20"/>
      <w:lang w:val="es-ES_tradnl" w:eastAsia="es-CO"/>
    </w:rPr>
  </w:style>
  <w:style w:type="paragraph" w:customStyle="1" w:styleId="numeral">
    <w:name w:val="numeral"/>
    <w:basedOn w:val="Prrafodelista"/>
    <w:qFormat/>
    <w:rsid w:val="006D6528"/>
    <w:pPr>
      <w:numPr>
        <w:numId w:val="31"/>
      </w:numPr>
      <w:ind w:left="0" w:right="284" w:firstLine="0"/>
    </w:pPr>
    <w:rPr>
      <w:rFonts w:cs="Calibri"/>
      <w:iCs/>
      <w:szCs w:val="22"/>
      <w:lang w:eastAsia="es-CO"/>
    </w:rPr>
  </w:style>
  <w:style w:type="paragraph" w:customStyle="1" w:styleId="Estilo5">
    <w:name w:val="Estilo5"/>
    <w:basedOn w:val="Estilo1"/>
    <w:qFormat/>
    <w:rsid w:val="00966CFA"/>
    <w:pPr>
      <w:keepNext/>
      <w:numPr>
        <w:numId w:val="40"/>
      </w:numPr>
      <w:shd w:val="clear" w:color="auto" w:fill="auto"/>
      <w:spacing w:before="240" w:after="60"/>
      <w:jc w:val="both"/>
      <w:outlineLvl w:val="0"/>
    </w:pPr>
    <w:rPr>
      <w:rFonts w:ascii="Arial" w:hAnsi="Arial"/>
      <w:b/>
      <w:color w:val="auto"/>
      <w:kern w:val="28"/>
      <w:sz w:val="22"/>
      <w:szCs w:val="22"/>
      <w:lang w:val="es-ES_tradnl" w:eastAsia="es-CO"/>
      <w14:shadow w14:blurRad="0" w14:dist="0" w14:dir="0" w14:sx="0" w14:sy="0" w14:kx="0" w14:ky="0" w14:algn="none">
        <w14:srgbClr w14:val="000000"/>
      </w14:shadow>
      <w14:textOutline w14:w="0" w14:cap="rnd" w14:cmpd="sng" w14:algn="ctr">
        <w14:noFill/>
        <w14:prstDash w14:val="solid"/>
        <w14:bevel/>
      </w14:textOutline>
    </w:rPr>
  </w:style>
  <w:style w:type="paragraph" w:customStyle="1" w:styleId="ARTICULO1">
    <w:name w:val="ARTICULO_1"/>
    <w:basedOn w:val="Ttulo1"/>
    <w:next w:val="Normal"/>
    <w:link w:val="ARTICULO1Car"/>
    <w:qFormat/>
    <w:rsid w:val="00FA7D19"/>
    <w:pPr>
      <w:numPr>
        <w:numId w:val="46"/>
      </w:numPr>
      <w:ind w:left="0" w:firstLine="0"/>
      <w:jc w:val="both"/>
    </w:pPr>
    <w:rPr>
      <w:rFonts w:ascii="Bookman Old Style" w:hAnsi="Bookman Old Style"/>
    </w:rPr>
  </w:style>
  <w:style w:type="character" w:customStyle="1" w:styleId="ARTICULO1Car">
    <w:name w:val="ARTICULO_1 Car"/>
    <w:basedOn w:val="Fuentedeprrafopredeter"/>
    <w:link w:val="ARTICULO1"/>
    <w:rsid w:val="00FA7D19"/>
    <w:rPr>
      <w:rFonts w:ascii="Bookman Old Style" w:hAnsi="Bookman Old Style"/>
      <w:b/>
      <w:sz w:val="24"/>
      <w:lang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70496487">
      <w:bodyDiv w:val="1"/>
      <w:marLeft w:val="0"/>
      <w:marRight w:val="0"/>
      <w:marTop w:val="0"/>
      <w:marBottom w:val="0"/>
      <w:divBdr>
        <w:top w:val="none" w:sz="0" w:space="0" w:color="auto"/>
        <w:left w:val="none" w:sz="0" w:space="0" w:color="auto"/>
        <w:bottom w:val="none" w:sz="0" w:space="0" w:color="auto"/>
        <w:right w:val="none" w:sz="0" w:space="0" w:color="auto"/>
      </w:divBdr>
      <w:divsChild>
        <w:div w:id="1280650917">
          <w:marLeft w:val="547"/>
          <w:marRight w:val="0"/>
          <w:marTop w:val="0"/>
          <w:marBottom w:val="0"/>
          <w:divBdr>
            <w:top w:val="none" w:sz="0" w:space="0" w:color="auto"/>
            <w:left w:val="none" w:sz="0" w:space="0" w:color="auto"/>
            <w:bottom w:val="none" w:sz="0" w:space="0" w:color="auto"/>
            <w:right w:val="none" w:sz="0" w:space="0" w:color="auto"/>
          </w:divBdr>
        </w:div>
      </w:divsChild>
    </w:div>
    <w:div w:id="397827732">
      <w:bodyDiv w:val="1"/>
      <w:marLeft w:val="0"/>
      <w:marRight w:val="0"/>
      <w:marTop w:val="0"/>
      <w:marBottom w:val="0"/>
      <w:divBdr>
        <w:top w:val="none" w:sz="0" w:space="0" w:color="auto"/>
        <w:left w:val="none" w:sz="0" w:space="0" w:color="auto"/>
        <w:bottom w:val="none" w:sz="0" w:space="0" w:color="auto"/>
        <w:right w:val="none" w:sz="0" w:space="0" w:color="auto"/>
      </w:divBdr>
    </w:div>
    <w:div w:id="1254513776">
      <w:bodyDiv w:val="1"/>
      <w:marLeft w:val="0"/>
      <w:marRight w:val="0"/>
      <w:marTop w:val="0"/>
      <w:marBottom w:val="0"/>
      <w:divBdr>
        <w:top w:val="none" w:sz="0" w:space="0" w:color="auto"/>
        <w:left w:val="none" w:sz="0" w:space="0" w:color="auto"/>
        <w:bottom w:val="none" w:sz="0" w:space="0" w:color="auto"/>
        <w:right w:val="none" w:sz="0" w:space="0" w:color="auto"/>
      </w:divBdr>
    </w:div>
    <w:div w:id="1832986876">
      <w:bodyDiv w:val="1"/>
      <w:marLeft w:val="0"/>
      <w:marRight w:val="0"/>
      <w:marTop w:val="0"/>
      <w:marBottom w:val="0"/>
      <w:divBdr>
        <w:top w:val="none" w:sz="0" w:space="0" w:color="auto"/>
        <w:left w:val="none" w:sz="0" w:space="0" w:color="auto"/>
        <w:bottom w:val="none" w:sz="0" w:space="0" w:color="auto"/>
        <w:right w:val="none" w:sz="0" w:space="0" w:color="auto"/>
      </w:divBdr>
    </w:div>
    <w:div w:id="1987318399">
      <w:bodyDiv w:val="1"/>
      <w:marLeft w:val="0"/>
      <w:marRight w:val="0"/>
      <w:marTop w:val="0"/>
      <w:marBottom w:val="0"/>
      <w:divBdr>
        <w:top w:val="none" w:sz="0" w:space="0" w:color="auto"/>
        <w:left w:val="none" w:sz="0" w:space="0" w:color="auto"/>
        <w:bottom w:val="none" w:sz="0" w:space="0" w:color="auto"/>
        <w:right w:val="none" w:sz="0" w:space="0" w:color="auto"/>
      </w:divBdr>
      <w:divsChild>
        <w:div w:id="920069490">
          <w:marLeft w:val="446"/>
          <w:marRight w:val="0"/>
          <w:marTop w:val="0"/>
          <w:marBottom w:val="0"/>
          <w:divBdr>
            <w:top w:val="none" w:sz="0" w:space="0" w:color="auto"/>
            <w:left w:val="none" w:sz="0" w:space="0" w:color="auto"/>
            <w:bottom w:val="none" w:sz="0" w:space="0" w:color="auto"/>
            <w:right w:val="none" w:sz="0" w:space="0" w:color="auto"/>
          </w:divBdr>
        </w:div>
        <w:div w:id="934901837">
          <w:marLeft w:val="446"/>
          <w:marRight w:val="0"/>
          <w:marTop w:val="0"/>
          <w:marBottom w:val="0"/>
          <w:divBdr>
            <w:top w:val="none" w:sz="0" w:space="0" w:color="auto"/>
            <w:left w:val="none" w:sz="0" w:space="0" w:color="auto"/>
            <w:bottom w:val="none" w:sz="0" w:space="0" w:color="auto"/>
            <w:right w:val="none" w:sz="0" w:space="0" w:color="auto"/>
          </w:divBdr>
        </w:div>
        <w:div w:id="1038552438">
          <w:marLeft w:val="446"/>
          <w:marRight w:val="0"/>
          <w:marTop w:val="0"/>
          <w:marBottom w:val="0"/>
          <w:divBdr>
            <w:top w:val="none" w:sz="0" w:space="0" w:color="auto"/>
            <w:left w:val="none" w:sz="0" w:space="0" w:color="auto"/>
            <w:bottom w:val="none" w:sz="0" w:space="0" w:color="auto"/>
            <w:right w:val="none" w:sz="0" w:space="0" w:color="auto"/>
          </w:divBdr>
        </w:div>
        <w:div w:id="1320380481">
          <w:marLeft w:val="446"/>
          <w:marRight w:val="0"/>
          <w:marTop w:val="0"/>
          <w:marBottom w:val="0"/>
          <w:divBdr>
            <w:top w:val="none" w:sz="0" w:space="0" w:color="auto"/>
            <w:left w:val="none" w:sz="0" w:space="0" w:color="auto"/>
            <w:bottom w:val="none" w:sz="0" w:space="0" w:color="auto"/>
            <w:right w:val="none" w:sz="0" w:space="0" w:color="auto"/>
          </w:divBdr>
        </w:div>
        <w:div w:id="2075546161">
          <w:marLeft w:val="446"/>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hyperlink" Target="file:///z:\CREG\docs\Nueva%20carpeta\LEY\ley_0142_1994.htm" TargetMode="External"/><Relationship Id="rId4" Type="http://schemas.openxmlformats.org/officeDocument/2006/relationships/settings" Target="settings.xml"/><Relationship Id="rId9" Type="http://schemas.openxmlformats.org/officeDocument/2006/relationships/oleObject" Target="embeddings/oleObject1.bin"/><Relationship Id="rId14"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D:\Stella%20Rojas\Nueva%20carpeta\PLANTILLA1.dotx"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273892D-FB71-4DAC-8328-CC4846F79F6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PLANTILLA1.dotx</Template>
  <TotalTime>0</TotalTime>
  <Pages>22</Pages>
  <Words>8981</Words>
  <Characters>47762</Characters>
  <Application>Microsoft Office Word</Application>
  <DocSecurity>0</DocSecurity>
  <Lines>398</Lines>
  <Paragraphs>113</Paragraphs>
  <ScaleCrop>false</ScaleCrop>
  <HeadingPairs>
    <vt:vector size="2" baseType="variant">
      <vt:variant>
        <vt:lpstr>Título</vt:lpstr>
      </vt:variant>
      <vt:variant>
        <vt:i4>1</vt:i4>
      </vt:variant>
    </vt:vector>
  </HeadingPairs>
  <TitlesOfParts>
    <vt:vector size="1" baseType="lpstr">
      <vt:lpstr/>
    </vt:vector>
  </TitlesOfParts>
  <Company>CREG</Company>
  <LinksUpToDate>false</LinksUpToDate>
  <CharactersWithSpaces>56630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Mónica Plaza</dc:creator>
  <cp:keywords/>
  <dc:description/>
  <cp:lastModifiedBy>Luz Stella Rojas Macias</cp:lastModifiedBy>
  <cp:revision>2</cp:revision>
  <cp:lastPrinted>2016-04-21T16:39:00Z</cp:lastPrinted>
  <dcterms:created xsi:type="dcterms:W3CDTF">2017-11-01T19:32:00Z</dcterms:created>
  <dcterms:modified xsi:type="dcterms:W3CDTF">2017-11-01T19:32:00Z</dcterms:modified>
</cp:coreProperties>
</file>