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BFD" w:rsidRPr="003C6DF5" w:rsidRDefault="00F7494A" w:rsidP="00321BFD">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9264" fillcolor="#0c9">
            <v:imagedata r:id="rId7" o:title=""/>
          </v:shape>
          <o:OLEObject Type="Embed" ProgID="PBrush" ShapeID="_x0000_s1026" DrawAspect="Content" ObjectID="_1545803046" r:id="rId8"/>
        </w:object>
      </w:r>
    </w:p>
    <w:p w:rsidR="00321BFD" w:rsidRPr="003C6DF5" w:rsidRDefault="00321BFD" w:rsidP="00321BFD">
      <w:pPr>
        <w:pStyle w:val="Ttulo4"/>
        <w:tabs>
          <w:tab w:val="left" w:pos="0"/>
          <w:tab w:val="right" w:pos="9356"/>
        </w:tabs>
        <w:ind w:left="0"/>
        <w:rPr>
          <w:rFonts w:ascii="Bookman Old Style" w:hAnsi="Bookman Old Style"/>
          <w:b w:val="0"/>
          <w:bCs/>
          <w:sz w:val="24"/>
          <w:szCs w:val="24"/>
        </w:rPr>
      </w:pPr>
    </w:p>
    <w:p w:rsidR="00321BFD" w:rsidRPr="003C6DF5" w:rsidRDefault="00321BFD" w:rsidP="00321BFD">
      <w:pPr>
        <w:pStyle w:val="Ttulo4"/>
        <w:tabs>
          <w:tab w:val="left" w:pos="0"/>
          <w:tab w:val="right" w:pos="9356"/>
        </w:tabs>
        <w:ind w:left="0"/>
        <w:rPr>
          <w:rFonts w:ascii="Bookman Old Style" w:hAnsi="Bookman Old Style"/>
          <w:b w:val="0"/>
          <w:bCs/>
          <w:noProof/>
          <w:sz w:val="24"/>
          <w:szCs w:val="24"/>
          <w:lang w:val="es-ES"/>
        </w:rPr>
      </w:pPr>
      <w:r w:rsidRPr="003C6DF5">
        <w:rPr>
          <w:rFonts w:ascii="Bookman Old Style" w:hAnsi="Bookman Old Style"/>
          <w:b w:val="0"/>
          <w:bCs/>
          <w:sz w:val="24"/>
          <w:szCs w:val="24"/>
        </w:rPr>
        <w:t>Ministerio de Minas y Energía</w:t>
      </w:r>
    </w:p>
    <w:p w:rsidR="00321BFD" w:rsidRPr="003C6DF5" w:rsidRDefault="00321BFD" w:rsidP="00321BFD">
      <w:pPr>
        <w:pStyle w:val="Ttulo4"/>
        <w:tabs>
          <w:tab w:val="left" w:pos="0"/>
          <w:tab w:val="right" w:pos="9356"/>
        </w:tabs>
        <w:ind w:left="0"/>
        <w:rPr>
          <w:rFonts w:ascii="Bookman Old Style" w:hAnsi="Bookman Old Style"/>
          <w:b w:val="0"/>
          <w:bCs/>
          <w:sz w:val="24"/>
          <w:szCs w:val="24"/>
        </w:rPr>
      </w:pPr>
    </w:p>
    <w:p w:rsidR="00321BFD" w:rsidRPr="003C6DF5" w:rsidRDefault="00321BFD" w:rsidP="00321BFD">
      <w:pPr>
        <w:pStyle w:val="Ttulo3"/>
        <w:tabs>
          <w:tab w:val="left" w:pos="0"/>
          <w:tab w:val="right" w:pos="9356"/>
        </w:tabs>
        <w:ind w:left="0"/>
        <w:rPr>
          <w:rFonts w:ascii="Bookman Old Style" w:hAnsi="Bookman Old Style" w:cs="Arial"/>
          <w:spacing w:val="20"/>
          <w:szCs w:val="24"/>
        </w:rPr>
      </w:pPr>
      <w:r w:rsidRPr="003C6DF5">
        <w:rPr>
          <w:rFonts w:ascii="Bookman Old Style" w:hAnsi="Bookman Old Style" w:cs="Arial"/>
          <w:spacing w:val="20"/>
          <w:szCs w:val="24"/>
        </w:rPr>
        <w:t>COMISIÓN DE REGULACIÓN DE ENERGÍA Y GAS -CREG-</w:t>
      </w:r>
    </w:p>
    <w:p w:rsidR="00321BFD" w:rsidRPr="003C6DF5" w:rsidRDefault="00321BFD" w:rsidP="00321BFD">
      <w:pPr>
        <w:pStyle w:val="Ttulo5"/>
        <w:tabs>
          <w:tab w:val="left" w:pos="0"/>
          <w:tab w:val="right" w:pos="9356"/>
        </w:tabs>
        <w:ind w:left="0"/>
        <w:rPr>
          <w:rFonts w:ascii="Bookman Old Style" w:hAnsi="Bookman Old Style"/>
          <w:sz w:val="24"/>
          <w:szCs w:val="24"/>
        </w:rPr>
      </w:pPr>
    </w:p>
    <w:p w:rsidR="00321BFD" w:rsidRPr="003C6DF5" w:rsidRDefault="00321BFD" w:rsidP="00321BFD">
      <w:pPr>
        <w:pStyle w:val="Ttulo5"/>
        <w:tabs>
          <w:tab w:val="left" w:pos="0"/>
          <w:tab w:val="right" w:pos="9356"/>
        </w:tabs>
        <w:ind w:left="0"/>
        <w:rPr>
          <w:rFonts w:ascii="Bookman Old Style" w:hAnsi="Bookman Old Style"/>
          <w:sz w:val="24"/>
          <w:szCs w:val="24"/>
        </w:rPr>
      </w:pPr>
      <w:r w:rsidRPr="003C6DF5">
        <w:rPr>
          <w:rFonts w:ascii="Bookman Old Style" w:hAnsi="Bookman Old Style"/>
          <w:sz w:val="24"/>
          <w:szCs w:val="24"/>
        </w:rPr>
        <w:t>RESOLUCIÓN No.          DE 201</w:t>
      </w:r>
      <w:r w:rsidR="00B072B2" w:rsidRPr="003C6DF5">
        <w:rPr>
          <w:rFonts w:ascii="Bookman Old Style" w:hAnsi="Bookman Old Style"/>
          <w:sz w:val="24"/>
          <w:szCs w:val="24"/>
        </w:rPr>
        <w:t>6</w:t>
      </w:r>
    </w:p>
    <w:p w:rsidR="00321BFD" w:rsidRPr="003C6DF5" w:rsidRDefault="00321BFD" w:rsidP="00321BFD">
      <w:pPr>
        <w:tabs>
          <w:tab w:val="left" w:pos="0"/>
          <w:tab w:val="right" w:pos="9356"/>
        </w:tabs>
        <w:ind w:left="0"/>
        <w:jc w:val="center"/>
        <w:rPr>
          <w:rFonts w:ascii="Bookman Old Style" w:hAnsi="Bookman Old Style" w:cs="Arial"/>
          <w:b/>
          <w:snapToGrid w:val="0"/>
          <w:color w:val="000000"/>
          <w:lang w:val="es-ES_tradnl"/>
        </w:rPr>
      </w:pPr>
    </w:p>
    <w:p w:rsidR="00321BFD" w:rsidRPr="003C6DF5" w:rsidRDefault="00321BFD" w:rsidP="00321BFD">
      <w:pPr>
        <w:pStyle w:val="Ttulo3"/>
        <w:tabs>
          <w:tab w:val="left" w:pos="0"/>
          <w:tab w:val="right" w:pos="9356"/>
        </w:tabs>
        <w:ind w:left="0"/>
        <w:rPr>
          <w:rFonts w:ascii="Bookman Old Style" w:hAnsi="Bookman Old Style"/>
          <w:b w:val="0"/>
          <w:szCs w:val="24"/>
        </w:rPr>
      </w:pPr>
      <w:r w:rsidRPr="003C6DF5">
        <w:rPr>
          <w:rFonts w:ascii="Bookman Old Style" w:hAnsi="Bookman Old Style"/>
          <w:b w:val="0"/>
          <w:szCs w:val="24"/>
        </w:rPr>
        <w:t>(                 )</w:t>
      </w:r>
    </w:p>
    <w:p w:rsidR="00321BFD" w:rsidRPr="003C6DF5" w:rsidRDefault="00321BFD" w:rsidP="00321BFD">
      <w:pPr>
        <w:tabs>
          <w:tab w:val="left" w:pos="0"/>
          <w:tab w:val="right" w:pos="9356"/>
        </w:tabs>
        <w:ind w:left="0"/>
        <w:jc w:val="center"/>
        <w:rPr>
          <w:rFonts w:ascii="Bookman Old Style" w:hAnsi="Bookman Old Style"/>
          <w:lang w:val="es-ES_tradnl"/>
        </w:rPr>
      </w:pPr>
    </w:p>
    <w:p w:rsidR="00321BFD" w:rsidRPr="003C6DF5" w:rsidRDefault="00321BFD" w:rsidP="00321BFD">
      <w:pPr>
        <w:ind w:left="0"/>
        <w:rPr>
          <w:rFonts w:ascii="Bookman Old Style" w:hAnsi="Bookman Old Style"/>
          <w:bCs/>
          <w:lang w:val="es-ES_tradnl"/>
        </w:rPr>
      </w:pPr>
    </w:p>
    <w:p w:rsidR="00321BFD" w:rsidRPr="003C6DF5" w:rsidRDefault="00321BFD" w:rsidP="00321BFD">
      <w:pPr>
        <w:ind w:left="227" w:right="-737"/>
        <w:jc w:val="center"/>
        <w:rPr>
          <w:rFonts w:ascii="Bookman Old Style" w:hAnsi="Bookman Old Style"/>
        </w:rPr>
      </w:pPr>
      <w:r w:rsidRPr="003C6DF5">
        <w:rPr>
          <w:rFonts w:ascii="Bookman Old Style" w:hAnsi="Bookman Old Style"/>
        </w:rPr>
        <w:t>Por medio de la cual se resuelve un recurso de reposición en contra de la</w:t>
      </w:r>
      <w:r w:rsidR="00C65E4F" w:rsidRPr="003C6DF5">
        <w:rPr>
          <w:rFonts w:ascii="Bookman Old Style" w:hAnsi="Bookman Old Style"/>
        </w:rPr>
        <w:t xml:space="preserve"> Resolución CREG 188</w:t>
      </w:r>
      <w:r w:rsidRPr="003C6DF5">
        <w:rPr>
          <w:rFonts w:ascii="Bookman Old Style" w:hAnsi="Bookman Old Style"/>
        </w:rPr>
        <w:t xml:space="preserve"> de 201</w:t>
      </w:r>
      <w:r w:rsidR="00C65E4F" w:rsidRPr="003C6DF5">
        <w:rPr>
          <w:rFonts w:ascii="Bookman Old Style" w:hAnsi="Bookman Old Style"/>
        </w:rPr>
        <w:t>6</w:t>
      </w:r>
    </w:p>
    <w:p w:rsidR="00321BFD" w:rsidRPr="003C6DF5" w:rsidRDefault="00321BFD" w:rsidP="00321BFD">
      <w:pPr>
        <w:ind w:left="170" w:right="-454"/>
        <w:jc w:val="both"/>
        <w:rPr>
          <w:rFonts w:ascii="Bookman Old Style" w:hAnsi="Bookman Old Style"/>
        </w:rPr>
      </w:pPr>
    </w:p>
    <w:p w:rsidR="00321BFD" w:rsidRPr="003C6DF5" w:rsidRDefault="00321BFD" w:rsidP="00321BFD">
      <w:pPr>
        <w:ind w:left="170" w:right="-454"/>
        <w:jc w:val="center"/>
        <w:rPr>
          <w:rFonts w:ascii="Bookman Old Style" w:hAnsi="Bookman Old Style"/>
          <w:b/>
        </w:rPr>
      </w:pPr>
      <w:r w:rsidRPr="003C6DF5">
        <w:rPr>
          <w:rFonts w:ascii="Bookman Old Style" w:hAnsi="Bookman Old Style"/>
          <w:b/>
        </w:rPr>
        <w:t>LA COMISIÓN DE REGULACIÓN DE ENERGÍA Y GAS -CREG-</w:t>
      </w:r>
    </w:p>
    <w:p w:rsidR="00321BFD" w:rsidRPr="003C6DF5" w:rsidRDefault="00321BFD" w:rsidP="00321BFD">
      <w:pPr>
        <w:ind w:left="170" w:right="-454"/>
        <w:jc w:val="both"/>
        <w:rPr>
          <w:rFonts w:ascii="Bookman Old Style" w:hAnsi="Bookman Old Style"/>
        </w:rPr>
      </w:pPr>
    </w:p>
    <w:p w:rsidR="00321BFD" w:rsidRPr="003C6DF5" w:rsidRDefault="00321BFD" w:rsidP="00321BFD">
      <w:pPr>
        <w:ind w:left="170"/>
        <w:jc w:val="both"/>
        <w:rPr>
          <w:rFonts w:ascii="Bookman Old Style" w:hAnsi="Bookman Old Style"/>
        </w:rPr>
      </w:pPr>
      <w:r w:rsidRPr="003C6DF5">
        <w:rPr>
          <w:rFonts w:ascii="Bookman Old Style" w:hAnsi="Bookman Old Style"/>
        </w:rPr>
        <w:t xml:space="preserve">En uso de sus facultades legales, en especial las conferidas por las Leyes 142 de 1994 y 143 de 1994, y en desarrollo de los decretos 1524 y 2253 de 1994, </w:t>
      </w:r>
    </w:p>
    <w:p w:rsidR="00321BFD" w:rsidRPr="003C6DF5" w:rsidRDefault="00321BFD" w:rsidP="00321BFD">
      <w:pPr>
        <w:ind w:left="0" w:right="-454"/>
        <w:jc w:val="both"/>
        <w:rPr>
          <w:rFonts w:ascii="Bookman Old Style" w:hAnsi="Bookman Old Style"/>
        </w:rPr>
      </w:pPr>
    </w:p>
    <w:p w:rsidR="00321BFD" w:rsidRPr="003C6DF5" w:rsidRDefault="00321BFD" w:rsidP="00321BFD">
      <w:pPr>
        <w:tabs>
          <w:tab w:val="center" w:pos="4512"/>
        </w:tabs>
        <w:suppressAutoHyphens/>
        <w:ind w:left="170" w:right="-454"/>
        <w:jc w:val="center"/>
        <w:rPr>
          <w:rFonts w:ascii="Bookman Old Style" w:hAnsi="Bookman Old Style"/>
          <w:b/>
          <w:spacing w:val="-3"/>
        </w:rPr>
      </w:pPr>
      <w:r w:rsidRPr="003C6DF5">
        <w:rPr>
          <w:rFonts w:ascii="Bookman Old Style" w:hAnsi="Bookman Old Style"/>
          <w:b/>
          <w:spacing w:val="-3"/>
        </w:rPr>
        <w:t>C O N S I D E R A N D O:</w:t>
      </w:r>
    </w:p>
    <w:p w:rsidR="00321BFD" w:rsidRPr="003C6DF5" w:rsidRDefault="00321BFD" w:rsidP="00321BFD">
      <w:pPr>
        <w:ind w:left="0"/>
        <w:jc w:val="both"/>
        <w:rPr>
          <w:rFonts w:ascii="Bookman Old Style" w:hAnsi="Bookman Old Style"/>
        </w:rPr>
      </w:pPr>
    </w:p>
    <w:p w:rsidR="00321BFD" w:rsidRPr="003C6DF5" w:rsidRDefault="00321BFD" w:rsidP="00321BFD">
      <w:pPr>
        <w:ind w:left="0"/>
        <w:jc w:val="both"/>
        <w:rPr>
          <w:rFonts w:ascii="Bookman Old Style" w:hAnsi="Bookman Old Style" w:cs="Arial"/>
        </w:rPr>
      </w:pPr>
      <w:r w:rsidRPr="003C6DF5">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321BFD" w:rsidRPr="003C6DF5" w:rsidRDefault="00321BFD" w:rsidP="00321BFD">
      <w:pPr>
        <w:ind w:left="0"/>
        <w:jc w:val="both"/>
        <w:rPr>
          <w:rFonts w:ascii="Bookman Old Style" w:hAnsi="Bookman Old Style" w:cs="Arial"/>
        </w:rPr>
      </w:pPr>
    </w:p>
    <w:p w:rsidR="00321BFD" w:rsidRPr="003C6DF5" w:rsidRDefault="00321BFD" w:rsidP="00321BFD">
      <w:pPr>
        <w:ind w:left="0"/>
        <w:jc w:val="both"/>
        <w:rPr>
          <w:rFonts w:ascii="Bookman Old Style" w:hAnsi="Bookman Old Style" w:cs="Arial"/>
        </w:rPr>
      </w:pPr>
      <w:r w:rsidRPr="003C6DF5">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321BFD" w:rsidRPr="003C6DF5" w:rsidRDefault="00321BFD" w:rsidP="00321BFD">
      <w:pPr>
        <w:pStyle w:val="Prrafodelista"/>
        <w:ind w:left="720"/>
        <w:jc w:val="both"/>
        <w:rPr>
          <w:rFonts w:ascii="Bookman Old Style" w:hAnsi="Bookman Old Style" w:cs="Arial"/>
          <w:sz w:val="24"/>
          <w:szCs w:val="24"/>
        </w:rPr>
      </w:pPr>
    </w:p>
    <w:p w:rsidR="00321BFD" w:rsidRPr="003C6DF5" w:rsidRDefault="00321BFD" w:rsidP="00321BFD">
      <w:pPr>
        <w:ind w:left="0"/>
        <w:jc w:val="both"/>
        <w:rPr>
          <w:rFonts w:ascii="Bookman Old Style" w:hAnsi="Bookman Old Style" w:cs="Arial"/>
        </w:rPr>
      </w:pPr>
      <w:r w:rsidRPr="003C6DF5">
        <w:rPr>
          <w:rFonts w:ascii="Bookman Old Style" w:hAnsi="Bookman Old Style" w:cs="Arial"/>
        </w:rPr>
        <w:t>Que mediante resolución CREG-1</w:t>
      </w:r>
      <w:r w:rsidR="00762CAB" w:rsidRPr="003C6DF5">
        <w:rPr>
          <w:rFonts w:ascii="Bookman Old Style" w:hAnsi="Bookman Old Style" w:cs="Arial"/>
        </w:rPr>
        <w:t>88</w:t>
      </w:r>
      <w:r w:rsidRPr="003C6DF5">
        <w:rPr>
          <w:rFonts w:ascii="Bookman Old Style" w:hAnsi="Bookman Old Style" w:cs="Arial"/>
        </w:rPr>
        <w:t xml:space="preserve"> DE 201</w:t>
      </w:r>
      <w:r w:rsidR="00762CAB" w:rsidRPr="003C6DF5">
        <w:rPr>
          <w:rFonts w:ascii="Bookman Old Style" w:hAnsi="Bookman Old Style" w:cs="Arial"/>
        </w:rPr>
        <w:t>6</w:t>
      </w:r>
      <w:r w:rsidRPr="003C6DF5">
        <w:rPr>
          <w:rFonts w:ascii="Bookman Old Style" w:hAnsi="Bookman Old Style" w:cs="Arial"/>
        </w:rPr>
        <w:t xml:space="preserve"> se señala la contribución que debe pagar a la Comisión de Regulación de Energía y Gas –CREG- cada una de las entidades reguladas por el año 201</w:t>
      </w:r>
      <w:r w:rsidR="00B072B2" w:rsidRPr="003C6DF5">
        <w:rPr>
          <w:rFonts w:ascii="Bookman Old Style" w:hAnsi="Bookman Old Style" w:cs="Arial"/>
        </w:rPr>
        <w:t>6</w:t>
      </w:r>
      <w:r w:rsidRPr="003C6DF5">
        <w:rPr>
          <w:rFonts w:ascii="Bookman Old Style" w:hAnsi="Bookman Old Style" w:cs="Arial"/>
        </w:rPr>
        <w:t>.</w:t>
      </w:r>
    </w:p>
    <w:p w:rsidR="00321BFD" w:rsidRPr="003C6DF5" w:rsidRDefault="00321BFD" w:rsidP="00321BFD">
      <w:pPr>
        <w:ind w:left="0"/>
        <w:jc w:val="both"/>
        <w:rPr>
          <w:rFonts w:ascii="Bookman Old Style" w:hAnsi="Bookman Old Style" w:cs="Arial"/>
        </w:rPr>
      </w:pPr>
      <w:r w:rsidRPr="003C6DF5">
        <w:rPr>
          <w:rFonts w:ascii="Bookman Old Style" w:hAnsi="Bookman Old Style" w:cs="Arial"/>
        </w:rPr>
        <w:t xml:space="preserve"> </w:t>
      </w:r>
    </w:p>
    <w:p w:rsidR="00321BFD" w:rsidRPr="003C6DF5" w:rsidRDefault="00321BFD" w:rsidP="00321BFD">
      <w:pPr>
        <w:ind w:left="0"/>
        <w:jc w:val="both"/>
        <w:rPr>
          <w:rFonts w:ascii="Bookman Old Style" w:hAnsi="Bookman Old Style" w:cs="Arial"/>
        </w:rPr>
      </w:pPr>
      <w:r w:rsidRPr="003C6DF5">
        <w:rPr>
          <w:rFonts w:ascii="Bookman Old Style" w:hAnsi="Bookman Old Style" w:cs="Arial"/>
        </w:rPr>
        <w:t xml:space="preserve">Que la empresa </w:t>
      </w:r>
      <w:r w:rsidR="008C14FF" w:rsidRPr="003C6DF5">
        <w:rPr>
          <w:rFonts w:ascii="Bookman Old Style" w:hAnsi="Bookman Old Style" w:cs="Arial"/>
        </w:rPr>
        <w:t>CENTRALES ELECTRICAS DEL NORTE DE SANTANDER</w:t>
      </w:r>
      <w:r w:rsidR="00762CAB" w:rsidRPr="003C6DF5">
        <w:rPr>
          <w:rFonts w:ascii="Bookman Old Style" w:hAnsi="Bookman Old Style" w:cs="Arial"/>
        </w:rPr>
        <w:t xml:space="preserve"> E.S.P. S.A. </w:t>
      </w:r>
      <w:r w:rsidRPr="003C6DF5">
        <w:rPr>
          <w:rFonts w:ascii="Bookman Old Style" w:hAnsi="Bookman Old Style" w:cs="Arial"/>
        </w:rPr>
        <w:t xml:space="preserve">fue notificada de manera oportuna del contenido </w:t>
      </w:r>
      <w:r w:rsidR="00762CAB" w:rsidRPr="003C6DF5">
        <w:rPr>
          <w:rFonts w:ascii="Bookman Old Style" w:hAnsi="Bookman Old Style" w:cs="Arial"/>
        </w:rPr>
        <w:t>de la resolución CREG-18</w:t>
      </w:r>
      <w:r w:rsidRPr="003C6DF5">
        <w:rPr>
          <w:rFonts w:ascii="Bookman Old Style" w:hAnsi="Bookman Old Style" w:cs="Arial"/>
        </w:rPr>
        <w:t>8 de 201</w:t>
      </w:r>
      <w:r w:rsidR="00762CAB" w:rsidRPr="003C6DF5">
        <w:rPr>
          <w:rFonts w:ascii="Bookman Old Style" w:hAnsi="Bookman Old Style" w:cs="Arial"/>
        </w:rPr>
        <w:t>6</w:t>
      </w:r>
      <w:r w:rsidRPr="003C6DF5">
        <w:rPr>
          <w:rFonts w:ascii="Bookman Old Style" w:hAnsi="Bookman Old Style" w:cs="Arial"/>
        </w:rPr>
        <w:t xml:space="preserve">. </w:t>
      </w:r>
    </w:p>
    <w:p w:rsidR="00321BFD" w:rsidRPr="003C6DF5" w:rsidRDefault="00321BFD" w:rsidP="00321BFD">
      <w:pPr>
        <w:pStyle w:val="Prrafodelista"/>
        <w:rPr>
          <w:rFonts w:ascii="Bookman Old Style" w:hAnsi="Bookman Old Style" w:cs="Arial"/>
          <w:sz w:val="24"/>
          <w:szCs w:val="24"/>
        </w:rPr>
      </w:pPr>
    </w:p>
    <w:p w:rsidR="00321BFD" w:rsidRPr="003C6DF5" w:rsidRDefault="00321BFD" w:rsidP="00321BFD">
      <w:pPr>
        <w:ind w:left="0"/>
        <w:jc w:val="both"/>
        <w:rPr>
          <w:rFonts w:ascii="Bookman Old Style" w:hAnsi="Bookman Old Style" w:cs="Arial"/>
        </w:rPr>
      </w:pPr>
      <w:r w:rsidRPr="003C6DF5">
        <w:rPr>
          <w:rFonts w:ascii="Bookman Old Style" w:hAnsi="Bookman Old Style" w:cs="Arial"/>
        </w:rPr>
        <w:t>Que encontrándose dentro del término legal, mediante escrito presentado en la Comisión de Regulación de Energía y Gas -CREG- bajo radicado número E-201</w:t>
      </w:r>
      <w:r w:rsidR="008C14FF" w:rsidRPr="003C6DF5">
        <w:rPr>
          <w:rFonts w:ascii="Bookman Old Style" w:hAnsi="Bookman Old Style" w:cs="Arial"/>
        </w:rPr>
        <w:t>6</w:t>
      </w:r>
      <w:r w:rsidRPr="003C6DF5">
        <w:rPr>
          <w:rFonts w:ascii="Bookman Old Style" w:hAnsi="Bookman Old Style" w:cs="Arial"/>
        </w:rPr>
        <w:t>-01</w:t>
      </w:r>
      <w:r w:rsidR="008C14FF" w:rsidRPr="003C6DF5">
        <w:rPr>
          <w:rFonts w:ascii="Bookman Old Style" w:hAnsi="Bookman Old Style" w:cs="Arial"/>
        </w:rPr>
        <w:t>3769 y E-2016-013772 del quince (15) de diciembre de 2016.</w:t>
      </w:r>
      <w:r w:rsidRPr="003C6DF5">
        <w:rPr>
          <w:rFonts w:ascii="Bookman Old Style" w:hAnsi="Bookman Old Style" w:cs="Arial"/>
        </w:rPr>
        <w:t xml:space="preserve">, el </w:t>
      </w:r>
      <w:r w:rsidR="008C14FF" w:rsidRPr="003C6DF5">
        <w:rPr>
          <w:rFonts w:ascii="Bookman Old Style" w:hAnsi="Bookman Old Style" w:cs="Arial"/>
        </w:rPr>
        <w:t xml:space="preserve">Apoderado General </w:t>
      </w:r>
      <w:r w:rsidRPr="003C6DF5">
        <w:rPr>
          <w:rFonts w:ascii="Bookman Old Style" w:hAnsi="Bookman Old Style" w:cs="Arial"/>
        </w:rPr>
        <w:t xml:space="preserve">de la empresa </w:t>
      </w:r>
      <w:r w:rsidR="008C14FF" w:rsidRPr="003C6DF5">
        <w:rPr>
          <w:rFonts w:ascii="Bookman Old Style" w:hAnsi="Bookman Old Style" w:cs="Arial"/>
        </w:rPr>
        <w:t xml:space="preserve">CENTRALES ELECTRICAS DEL NORTE DE SANTANDER E.S.P. S.A </w:t>
      </w:r>
      <w:r w:rsidR="00762CAB" w:rsidRPr="003C6DF5">
        <w:rPr>
          <w:rFonts w:ascii="Bookman Old Style" w:hAnsi="Bookman Old Style" w:cs="Arial"/>
        </w:rPr>
        <w:t xml:space="preserve"> </w:t>
      </w:r>
      <w:r w:rsidRPr="003C6DF5">
        <w:rPr>
          <w:rFonts w:ascii="Bookman Old Style" w:hAnsi="Bookman Old Style" w:cs="Arial"/>
        </w:rPr>
        <w:t>presentó recurso de reposición contra la resolución CREG-</w:t>
      </w:r>
      <w:r w:rsidR="00B072B2" w:rsidRPr="003C6DF5">
        <w:rPr>
          <w:rFonts w:ascii="Bookman Old Style" w:hAnsi="Bookman Old Style" w:cs="Arial"/>
        </w:rPr>
        <w:t xml:space="preserve">188 de </w:t>
      </w:r>
      <w:r w:rsidR="00762CAB" w:rsidRPr="003C6DF5">
        <w:rPr>
          <w:rFonts w:ascii="Bookman Old Style" w:hAnsi="Bookman Old Style" w:cs="Arial"/>
        </w:rPr>
        <w:t>2016</w:t>
      </w:r>
      <w:r w:rsidRPr="003C6DF5">
        <w:rPr>
          <w:rFonts w:ascii="Bookman Old Style" w:hAnsi="Bookman Old Style" w:cs="Arial"/>
        </w:rPr>
        <w:t>;</w:t>
      </w:r>
    </w:p>
    <w:p w:rsidR="00321BFD" w:rsidRPr="003C6DF5" w:rsidRDefault="00321BFD" w:rsidP="00321BFD">
      <w:pPr>
        <w:ind w:left="0"/>
        <w:jc w:val="both"/>
        <w:rPr>
          <w:rFonts w:ascii="Bookman Old Style" w:hAnsi="Bookman Old Style" w:cs="Arial"/>
        </w:rPr>
      </w:pPr>
    </w:p>
    <w:p w:rsidR="00321BFD" w:rsidRPr="003C6DF5" w:rsidRDefault="00321BFD" w:rsidP="00321BFD">
      <w:pPr>
        <w:ind w:left="0"/>
        <w:jc w:val="both"/>
        <w:rPr>
          <w:rFonts w:ascii="Bookman Old Style" w:hAnsi="Bookman Old Style" w:cs="Arial"/>
        </w:rPr>
      </w:pPr>
      <w:r w:rsidRPr="003C6DF5">
        <w:rPr>
          <w:rFonts w:ascii="Bookman Old Style" w:hAnsi="Bookman Old Style" w:cs="Arial"/>
        </w:rPr>
        <w:lastRenderedPageBreak/>
        <w:t xml:space="preserve">Que mediante la presente resolución, </w:t>
      </w:r>
      <w:r w:rsidR="008C14FF" w:rsidRPr="003C6DF5">
        <w:rPr>
          <w:rFonts w:ascii="Bookman Old Style" w:hAnsi="Bookman Old Style" w:cs="Arial"/>
        </w:rPr>
        <w:t xml:space="preserve">se </w:t>
      </w:r>
      <w:r w:rsidRPr="003C6DF5">
        <w:rPr>
          <w:rFonts w:ascii="Bookman Old Style" w:hAnsi="Bookman Old Style" w:cs="Arial"/>
        </w:rPr>
        <w:t xml:space="preserve">procede a resolver este recurso en contra de la Resolución CREG </w:t>
      </w:r>
      <w:r w:rsidR="00762CAB" w:rsidRPr="003C6DF5">
        <w:rPr>
          <w:rFonts w:ascii="Bookman Old Style" w:hAnsi="Bookman Old Style" w:cs="Arial"/>
        </w:rPr>
        <w:t>188 de 2016</w:t>
      </w:r>
      <w:r w:rsidRPr="003C6DF5">
        <w:rPr>
          <w:rFonts w:ascii="Bookman Old Style" w:hAnsi="Bookman Old Style" w:cs="Arial"/>
        </w:rPr>
        <w:t>, con base en las siguientes consideraciones;</w:t>
      </w:r>
    </w:p>
    <w:p w:rsidR="00321BFD" w:rsidRPr="003C6DF5" w:rsidRDefault="00321BFD" w:rsidP="00321BFD">
      <w:pPr>
        <w:ind w:left="0"/>
        <w:jc w:val="both"/>
        <w:rPr>
          <w:rFonts w:ascii="Bookman Old Style" w:hAnsi="Bookman Old Style" w:cs="Arial"/>
        </w:rPr>
      </w:pPr>
    </w:p>
    <w:p w:rsidR="00321BFD" w:rsidRPr="003C6DF5" w:rsidRDefault="00321BFD" w:rsidP="00321BFD">
      <w:pPr>
        <w:pStyle w:val="Prrafodelista"/>
        <w:numPr>
          <w:ilvl w:val="0"/>
          <w:numId w:val="3"/>
        </w:numPr>
        <w:jc w:val="both"/>
        <w:rPr>
          <w:rFonts w:ascii="Bookman Old Style" w:hAnsi="Bookman Old Style" w:cs="Arial"/>
          <w:b/>
          <w:sz w:val="24"/>
          <w:szCs w:val="24"/>
        </w:rPr>
      </w:pPr>
      <w:r w:rsidRPr="003C6DF5">
        <w:rPr>
          <w:rFonts w:ascii="Bookman Old Style" w:hAnsi="Bookman Old Style" w:cs="Arial"/>
          <w:b/>
          <w:sz w:val="24"/>
          <w:szCs w:val="24"/>
        </w:rPr>
        <w:t>EL RECURSO DE REPOSICIÓN</w:t>
      </w:r>
    </w:p>
    <w:p w:rsidR="00321BFD" w:rsidRPr="003C6DF5" w:rsidRDefault="00321BFD" w:rsidP="00321BFD">
      <w:pPr>
        <w:ind w:left="0"/>
        <w:jc w:val="both"/>
        <w:rPr>
          <w:rFonts w:ascii="Bookman Old Style" w:hAnsi="Bookman Old Style" w:cs="Arial"/>
        </w:rPr>
      </w:pPr>
    </w:p>
    <w:p w:rsidR="00321BFD" w:rsidRPr="003C6DF5" w:rsidRDefault="00321BFD" w:rsidP="00321BFD">
      <w:pPr>
        <w:pStyle w:val="Prrafodelista"/>
        <w:numPr>
          <w:ilvl w:val="0"/>
          <w:numId w:val="1"/>
        </w:numPr>
        <w:rPr>
          <w:rFonts w:ascii="Bookman Old Style" w:hAnsi="Bookman Old Style" w:cs="Arial"/>
          <w:b/>
          <w:sz w:val="24"/>
          <w:szCs w:val="24"/>
        </w:rPr>
      </w:pPr>
      <w:r w:rsidRPr="003C6DF5">
        <w:rPr>
          <w:rFonts w:ascii="Bookman Old Style" w:hAnsi="Bookman Old Style" w:cs="Arial"/>
          <w:b/>
          <w:sz w:val="24"/>
          <w:szCs w:val="24"/>
        </w:rPr>
        <w:t>PROCEDENCIA DEL RECURSO</w:t>
      </w:r>
    </w:p>
    <w:p w:rsidR="00321BFD" w:rsidRPr="003C6DF5" w:rsidRDefault="00321BFD" w:rsidP="00321BFD">
      <w:pPr>
        <w:pStyle w:val="Prrafodelista"/>
        <w:ind w:left="720"/>
        <w:rPr>
          <w:rFonts w:ascii="Bookman Old Style" w:hAnsi="Bookman Old Style" w:cs="Arial"/>
          <w:b/>
          <w:sz w:val="24"/>
          <w:szCs w:val="24"/>
        </w:rPr>
      </w:pPr>
    </w:p>
    <w:p w:rsidR="00321BFD" w:rsidRPr="003C6DF5" w:rsidRDefault="00321BFD" w:rsidP="00321BFD">
      <w:pPr>
        <w:ind w:left="0"/>
        <w:jc w:val="both"/>
        <w:rPr>
          <w:rFonts w:ascii="Bookman Old Style" w:hAnsi="Bookman Old Style" w:cs="Arial"/>
        </w:rPr>
      </w:pPr>
      <w:r w:rsidRPr="003C6DF5">
        <w:rPr>
          <w:rFonts w:ascii="Bookman Old Style" w:hAnsi="Bookman Old Style" w:cs="Arial"/>
        </w:rPr>
        <w:t>El recurrente presentó el recurso de reposición contra el artículo 1 de la resolución CREG-</w:t>
      </w:r>
      <w:r w:rsidR="00762CAB" w:rsidRPr="003C6DF5">
        <w:rPr>
          <w:rFonts w:ascii="Bookman Old Style" w:hAnsi="Bookman Old Style" w:cs="Arial"/>
        </w:rPr>
        <w:t>188 de  2016</w:t>
      </w:r>
      <w:r w:rsidRPr="003C6DF5">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entidades reguladas por el año 201</w:t>
      </w:r>
      <w:r w:rsidR="008C14FF" w:rsidRPr="003C6DF5">
        <w:rPr>
          <w:rFonts w:ascii="Bookman Old Style" w:hAnsi="Bookman Old Style" w:cs="Arial"/>
        </w:rPr>
        <w:t>6</w:t>
      </w:r>
      <w:r w:rsidRPr="003C6DF5">
        <w:rPr>
          <w:rFonts w:ascii="Bookman Old Style" w:hAnsi="Bookman Old Style" w:cs="Arial"/>
        </w:rPr>
        <w:t>.</w:t>
      </w:r>
    </w:p>
    <w:p w:rsidR="00321BFD" w:rsidRPr="003C6DF5" w:rsidRDefault="00321BFD" w:rsidP="00321BFD">
      <w:pPr>
        <w:pStyle w:val="Prrafodelista"/>
        <w:ind w:left="0"/>
        <w:jc w:val="both"/>
        <w:rPr>
          <w:rFonts w:ascii="Bookman Old Style" w:hAnsi="Bookman Old Style" w:cs="Arial"/>
          <w:sz w:val="24"/>
          <w:szCs w:val="24"/>
        </w:rPr>
      </w:pPr>
    </w:p>
    <w:p w:rsidR="00321BFD" w:rsidRPr="003C6DF5" w:rsidRDefault="00321BFD" w:rsidP="00321BFD">
      <w:pPr>
        <w:pStyle w:val="Prrafodelista"/>
        <w:ind w:left="0"/>
        <w:jc w:val="both"/>
        <w:rPr>
          <w:rFonts w:ascii="Bookman Old Style" w:hAnsi="Bookman Old Style" w:cs="Arial"/>
          <w:sz w:val="24"/>
          <w:szCs w:val="24"/>
        </w:rPr>
      </w:pPr>
      <w:r w:rsidRPr="003C6DF5">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321BFD" w:rsidRPr="003C6DF5" w:rsidRDefault="00321BFD" w:rsidP="00321BFD">
      <w:pPr>
        <w:pStyle w:val="Prrafodelista"/>
        <w:ind w:left="0"/>
        <w:jc w:val="both"/>
        <w:rPr>
          <w:rFonts w:ascii="Bookman Old Style" w:hAnsi="Bookman Old Style" w:cs="Arial"/>
          <w:sz w:val="24"/>
          <w:szCs w:val="24"/>
        </w:rPr>
      </w:pPr>
    </w:p>
    <w:p w:rsidR="00321BFD" w:rsidRPr="003C6DF5" w:rsidRDefault="00321BFD" w:rsidP="00321BFD">
      <w:pPr>
        <w:pStyle w:val="Prrafodelista"/>
        <w:ind w:left="0"/>
        <w:jc w:val="both"/>
        <w:rPr>
          <w:rFonts w:ascii="Bookman Old Style" w:hAnsi="Bookman Old Style" w:cs="Arial"/>
          <w:sz w:val="24"/>
          <w:szCs w:val="24"/>
        </w:rPr>
      </w:pPr>
      <w:r w:rsidRPr="003C6DF5">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321BFD" w:rsidRPr="003C6DF5" w:rsidRDefault="00321BFD" w:rsidP="00321BFD">
      <w:pPr>
        <w:pStyle w:val="Prrafodelista"/>
        <w:ind w:left="0"/>
        <w:jc w:val="both"/>
        <w:rPr>
          <w:rFonts w:ascii="Bookman Old Style" w:hAnsi="Bookman Old Style" w:cs="Arial"/>
          <w:sz w:val="24"/>
          <w:szCs w:val="24"/>
        </w:rPr>
      </w:pPr>
    </w:p>
    <w:p w:rsidR="00321BFD" w:rsidRPr="003C6DF5" w:rsidRDefault="00321BFD" w:rsidP="00321BFD">
      <w:pPr>
        <w:pStyle w:val="Prrafodelista"/>
        <w:numPr>
          <w:ilvl w:val="0"/>
          <w:numId w:val="1"/>
        </w:numPr>
        <w:rPr>
          <w:rFonts w:ascii="Bookman Old Style" w:hAnsi="Bookman Old Style" w:cs="Arial"/>
          <w:b/>
          <w:sz w:val="24"/>
          <w:szCs w:val="24"/>
        </w:rPr>
      </w:pPr>
      <w:r w:rsidRPr="003C6DF5">
        <w:rPr>
          <w:rFonts w:ascii="Bookman Old Style" w:hAnsi="Bookman Old Style" w:cs="Arial"/>
          <w:b/>
          <w:sz w:val="24"/>
          <w:szCs w:val="24"/>
        </w:rPr>
        <w:t>RAZONES Y FUNDAMENTOS DEL RECURSO DE REPOSICIÓN</w:t>
      </w:r>
    </w:p>
    <w:p w:rsidR="00321BFD" w:rsidRPr="003C6DF5" w:rsidRDefault="00321BFD" w:rsidP="00321BFD">
      <w:pPr>
        <w:ind w:left="0"/>
        <w:jc w:val="both"/>
        <w:rPr>
          <w:rFonts w:ascii="Bookman Old Style" w:hAnsi="Bookman Old Style"/>
        </w:rPr>
      </w:pPr>
    </w:p>
    <w:p w:rsidR="00321BFD" w:rsidRPr="003C6DF5" w:rsidRDefault="00321BFD" w:rsidP="00321BFD">
      <w:pPr>
        <w:ind w:left="0"/>
        <w:jc w:val="both"/>
        <w:rPr>
          <w:rFonts w:ascii="Bookman Old Style" w:hAnsi="Bookman Old Style"/>
        </w:rPr>
      </w:pPr>
      <w:r w:rsidRPr="003C6DF5">
        <w:rPr>
          <w:rFonts w:ascii="Bookman Old Style" w:hAnsi="Bookman Old Style"/>
        </w:rPr>
        <w:t>Los fundamentos del recurrente se exponen a continuación:</w:t>
      </w:r>
    </w:p>
    <w:p w:rsidR="00321BFD" w:rsidRPr="003C6DF5" w:rsidRDefault="00321BFD" w:rsidP="00321BFD">
      <w:pPr>
        <w:ind w:left="170"/>
        <w:jc w:val="both"/>
        <w:rPr>
          <w:rFonts w:ascii="Bookman Old Style" w:hAnsi="Bookman Old Style"/>
        </w:rPr>
      </w:pPr>
    </w:p>
    <w:p w:rsidR="00321BFD" w:rsidRPr="003C6DF5" w:rsidRDefault="00321BFD" w:rsidP="00321BFD">
      <w:pPr>
        <w:ind w:left="170"/>
        <w:jc w:val="both"/>
        <w:rPr>
          <w:rFonts w:ascii="Bookman Old Style" w:hAnsi="Bookman Old Style"/>
        </w:rPr>
      </w:pPr>
      <w:r w:rsidRPr="003C6DF5">
        <w:rPr>
          <w:rFonts w:ascii="Bookman Old Style" w:hAnsi="Bookman Old Style"/>
        </w:rPr>
        <w:t>Argumenta el recurrente que:</w:t>
      </w:r>
    </w:p>
    <w:p w:rsidR="00321BFD" w:rsidRPr="003C6DF5" w:rsidRDefault="00321BFD" w:rsidP="00321BFD">
      <w:pPr>
        <w:ind w:left="0"/>
        <w:jc w:val="both"/>
        <w:rPr>
          <w:rFonts w:ascii="Bookman Old Style" w:hAnsi="Bookman Old Style"/>
        </w:rPr>
      </w:pPr>
    </w:p>
    <w:p w:rsidR="00F8092D" w:rsidRPr="003C6DF5" w:rsidRDefault="00F8092D" w:rsidP="00F8092D">
      <w:pPr>
        <w:pStyle w:val="Style9"/>
        <w:shd w:val="clear" w:color="auto" w:fill="auto"/>
        <w:spacing w:before="0" w:after="132" w:line="240" w:lineRule="exact"/>
        <w:ind w:left="120" w:right="20"/>
        <w:jc w:val="both"/>
        <w:rPr>
          <w:rFonts w:ascii="Bookman Old Style" w:hAnsi="Bookman Old Style"/>
          <w:i/>
        </w:rPr>
      </w:pPr>
      <w:r w:rsidRPr="003C6DF5">
        <w:rPr>
          <w:rStyle w:val="CharStyle10"/>
          <w:rFonts w:ascii="Bookman Old Style" w:hAnsi="Bookman Old Style"/>
          <w:color w:val="000000"/>
          <w:lang w:eastAsia="es-ES_tradnl"/>
        </w:rPr>
        <w:t>“…</w:t>
      </w:r>
      <w:r w:rsidRPr="003C6DF5">
        <w:rPr>
          <w:rStyle w:val="CharStyle10"/>
          <w:rFonts w:ascii="Bookman Old Style" w:hAnsi="Bookman Old Style"/>
          <w:i/>
          <w:color w:val="000000"/>
          <w:lang w:eastAsia="es-ES_tradnl"/>
        </w:rPr>
        <w:t>Conforme a lo anterior resulta claro que la CREG no puede incluir la siguiente cuenta al determinar la base gravable de la contribución:</w:t>
      </w:r>
    </w:p>
    <w:tbl>
      <w:tblPr>
        <w:tblW w:w="0" w:type="auto"/>
        <w:jc w:val="center"/>
        <w:tblLayout w:type="fixed"/>
        <w:tblCellMar>
          <w:left w:w="0" w:type="dxa"/>
          <w:right w:w="0" w:type="dxa"/>
        </w:tblCellMar>
        <w:tblLook w:val="0000" w:firstRow="0" w:lastRow="0" w:firstColumn="0" w:lastColumn="0" w:noHBand="0" w:noVBand="0"/>
      </w:tblPr>
      <w:tblGrid>
        <w:gridCol w:w="965"/>
        <w:gridCol w:w="3821"/>
        <w:gridCol w:w="1613"/>
        <w:gridCol w:w="2136"/>
      </w:tblGrid>
      <w:tr w:rsidR="00F8092D" w:rsidRPr="003C6DF5" w:rsidTr="00180166">
        <w:trPr>
          <w:trHeight w:hRule="exact" w:val="514"/>
          <w:jc w:val="center"/>
        </w:trPr>
        <w:tc>
          <w:tcPr>
            <w:tcW w:w="965" w:type="dxa"/>
            <w:tcBorders>
              <w:top w:val="single" w:sz="4" w:space="0" w:color="auto"/>
              <w:left w:val="single" w:sz="4" w:space="0" w:color="auto"/>
              <w:bottom w:val="nil"/>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80" w:lineRule="exact"/>
              <w:jc w:val="center"/>
              <w:rPr>
                <w:rFonts w:ascii="Bookman Old Style" w:hAnsi="Bookman Old Style"/>
              </w:rPr>
            </w:pPr>
            <w:r w:rsidRPr="003C6DF5">
              <w:rPr>
                <w:rStyle w:val="CharStyle81"/>
                <w:rFonts w:ascii="Bookman Old Style" w:hAnsi="Bookman Old Style"/>
                <w:color w:val="000000"/>
                <w:lang w:eastAsia="es-ES_tradnl"/>
              </w:rPr>
              <w:t>Cuenta</w:t>
            </w:r>
          </w:p>
        </w:tc>
        <w:tc>
          <w:tcPr>
            <w:tcW w:w="3821" w:type="dxa"/>
            <w:tcBorders>
              <w:top w:val="single" w:sz="4" w:space="0" w:color="auto"/>
              <w:left w:val="single" w:sz="4" w:space="0" w:color="auto"/>
              <w:bottom w:val="nil"/>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80" w:lineRule="exact"/>
              <w:jc w:val="center"/>
              <w:rPr>
                <w:rFonts w:ascii="Bookman Old Style" w:hAnsi="Bookman Old Style"/>
              </w:rPr>
            </w:pPr>
            <w:r w:rsidRPr="003C6DF5">
              <w:rPr>
                <w:rStyle w:val="CharStyle81"/>
                <w:rFonts w:ascii="Bookman Old Style" w:hAnsi="Bookman Old Style"/>
                <w:color w:val="000000"/>
                <w:lang w:eastAsia="es-ES_tradnl"/>
              </w:rPr>
              <w:t>Nombre de la cuenta</w:t>
            </w:r>
          </w:p>
        </w:tc>
        <w:tc>
          <w:tcPr>
            <w:tcW w:w="3749" w:type="dxa"/>
            <w:gridSpan w:val="2"/>
            <w:tcBorders>
              <w:top w:val="single" w:sz="4" w:space="0" w:color="auto"/>
              <w:left w:val="single" w:sz="4" w:space="0" w:color="auto"/>
              <w:bottom w:val="nil"/>
              <w:right w:val="single" w:sz="4" w:space="0" w:color="auto"/>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70" w:lineRule="exact"/>
              <w:jc w:val="center"/>
              <w:rPr>
                <w:rFonts w:ascii="Bookman Old Style" w:hAnsi="Bookman Old Style"/>
              </w:rPr>
            </w:pPr>
            <w:r w:rsidRPr="003C6DF5">
              <w:rPr>
                <w:rStyle w:val="CharStyle82"/>
                <w:rFonts w:ascii="Bookman Old Style" w:hAnsi="Bookman Old Style"/>
                <w:color w:val="000000"/>
                <w:lang w:eastAsia="es-ES_tradnl"/>
              </w:rPr>
              <w:t>Valor (Miles de pesos)</w:t>
            </w:r>
          </w:p>
        </w:tc>
      </w:tr>
      <w:tr w:rsidR="00F8092D" w:rsidRPr="003C6DF5" w:rsidTr="00180166">
        <w:trPr>
          <w:trHeight w:hRule="exact" w:val="504"/>
          <w:jc w:val="center"/>
        </w:trPr>
        <w:tc>
          <w:tcPr>
            <w:tcW w:w="965" w:type="dxa"/>
            <w:tcBorders>
              <w:top w:val="single" w:sz="4" w:space="0" w:color="auto"/>
              <w:left w:val="single" w:sz="4" w:space="0" w:color="auto"/>
              <w:bottom w:val="nil"/>
              <w:right w:val="nil"/>
            </w:tcBorders>
            <w:shd w:val="clear" w:color="auto" w:fill="FFFFFF"/>
          </w:tcPr>
          <w:p w:rsidR="00F8092D" w:rsidRPr="003C6DF5" w:rsidRDefault="00F8092D" w:rsidP="00180166">
            <w:pPr>
              <w:framePr w:w="8534" w:wrap="notBeside" w:vAnchor="text" w:hAnchor="text" w:xAlign="center" w:y="1"/>
              <w:rPr>
                <w:rFonts w:ascii="Bookman Old Style" w:hAnsi="Bookman Old Style"/>
                <w:i/>
                <w:sz w:val="10"/>
                <w:szCs w:val="10"/>
                <w:lang w:eastAsia="es-CO"/>
              </w:rPr>
            </w:pPr>
          </w:p>
        </w:tc>
        <w:tc>
          <w:tcPr>
            <w:tcW w:w="5434" w:type="dxa"/>
            <w:gridSpan w:val="2"/>
            <w:tcBorders>
              <w:top w:val="single" w:sz="4" w:space="0" w:color="auto"/>
              <w:left w:val="single" w:sz="4" w:space="0" w:color="auto"/>
              <w:bottom w:val="nil"/>
              <w:right w:val="nil"/>
            </w:tcBorders>
            <w:shd w:val="clear" w:color="auto" w:fill="FFFFFF"/>
          </w:tcPr>
          <w:p w:rsidR="00F8092D" w:rsidRPr="003C6DF5" w:rsidRDefault="00F8092D" w:rsidP="008B2873">
            <w:pPr>
              <w:pStyle w:val="Style40"/>
              <w:framePr w:w="8534" w:wrap="notBeside" w:vAnchor="text" w:hAnchor="text" w:xAlign="center" w:y="1"/>
              <w:shd w:val="clear" w:color="auto" w:fill="auto"/>
              <w:spacing w:before="0" w:after="0" w:line="170" w:lineRule="exact"/>
              <w:jc w:val="left"/>
              <w:rPr>
                <w:rFonts w:ascii="Bookman Old Style" w:hAnsi="Bookman Old Style"/>
              </w:rPr>
            </w:pPr>
            <w:r w:rsidRPr="003C6DF5">
              <w:rPr>
                <w:rStyle w:val="CharStyle83"/>
                <w:rFonts w:ascii="Bookman Old Style" w:hAnsi="Bookman Old Style"/>
                <w:color w:val="000000"/>
                <w:lang w:eastAsia="es-ES_tradnl"/>
              </w:rPr>
              <w:t>Provisiones, amortizaciones y depreciaciones</w:t>
            </w:r>
          </w:p>
        </w:tc>
        <w:tc>
          <w:tcPr>
            <w:tcW w:w="2136" w:type="dxa"/>
            <w:tcBorders>
              <w:top w:val="single" w:sz="4" w:space="0" w:color="auto"/>
              <w:left w:val="single" w:sz="4" w:space="0" w:color="auto"/>
              <w:bottom w:val="nil"/>
              <w:right w:val="single" w:sz="4" w:space="0" w:color="auto"/>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70" w:lineRule="exact"/>
              <w:ind w:right="120"/>
              <w:jc w:val="right"/>
              <w:rPr>
                <w:rFonts w:ascii="Bookman Old Style" w:hAnsi="Bookman Old Style"/>
              </w:rPr>
            </w:pPr>
            <w:r w:rsidRPr="003C6DF5">
              <w:rPr>
                <w:rStyle w:val="CharStyle82"/>
                <w:rFonts w:ascii="Bookman Old Style" w:hAnsi="Bookman Old Style"/>
                <w:color w:val="000000"/>
                <w:lang w:eastAsia="es-ES_tradnl"/>
              </w:rPr>
              <w:t>12,925,223</w:t>
            </w:r>
          </w:p>
        </w:tc>
      </w:tr>
      <w:tr w:rsidR="00F8092D" w:rsidRPr="003C6DF5" w:rsidTr="00180166">
        <w:trPr>
          <w:trHeight w:hRule="exact" w:val="499"/>
          <w:jc w:val="center"/>
        </w:trPr>
        <w:tc>
          <w:tcPr>
            <w:tcW w:w="965" w:type="dxa"/>
            <w:tcBorders>
              <w:top w:val="nil"/>
              <w:left w:val="single" w:sz="4" w:space="0" w:color="auto"/>
              <w:bottom w:val="nil"/>
              <w:right w:val="nil"/>
            </w:tcBorders>
            <w:shd w:val="clear" w:color="auto" w:fill="FFFFFF"/>
          </w:tcPr>
          <w:p w:rsidR="00F8092D" w:rsidRPr="003C6DF5" w:rsidRDefault="00F8092D" w:rsidP="00180166">
            <w:pPr>
              <w:framePr w:w="8534" w:wrap="notBeside" w:vAnchor="text" w:hAnchor="text" w:xAlign="center" w:y="1"/>
              <w:rPr>
                <w:rFonts w:ascii="Bookman Old Style" w:hAnsi="Bookman Old Style"/>
                <w:i/>
                <w:sz w:val="10"/>
                <w:szCs w:val="10"/>
                <w:lang w:eastAsia="es-CO"/>
              </w:rPr>
            </w:pPr>
          </w:p>
        </w:tc>
        <w:tc>
          <w:tcPr>
            <w:tcW w:w="3821" w:type="dxa"/>
            <w:tcBorders>
              <w:top w:val="single" w:sz="4" w:space="0" w:color="auto"/>
              <w:left w:val="single" w:sz="4" w:space="0" w:color="auto"/>
              <w:bottom w:val="nil"/>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70" w:lineRule="exact"/>
              <w:rPr>
                <w:rFonts w:ascii="Bookman Old Style" w:hAnsi="Bookman Old Style"/>
              </w:rPr>
            </w:pPr>
            <w:r w:rsidRPr="003C6DF5">
              <w:rPr>
                <w:rStyle w:val="CharStyle83"/>
                <w:rFonts w:ascii="Bookman Old Style" w:hAnsi="Bookman Old Style"/>
                <w:color w:val="000000"/>
                <w:lang w:eastAsia="es-ES_tradnl"/>
              </w:rPr>
              <w:t>Deterioro de cuentas por cobrar</w:t>
            </w:r>
          </w:p>
        </w:tc>
        <w:tc>
          <w:tcPr>
            <w:tcW w:w="1613" w:type="dxa"/>
            <w:tcBorders>
              <w:top w:val="single" w:sz="4" w:space="0" w:color="auto"/>
              <w:left w:val="single" w:sz="4" w:space="0" w:color="auto"/>
              <w:bottom w:val="nil"/>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80" w:lineRule="exact"/>
              <w:ind w:right="120"/>
              <w:jc w:val="right"/>
              <w:rPr>
                <w:rFonts w:ascii="Bookman Old Style" w:hAnsi="Bookman Old Style"/>
                <w:sz w:val="18"/>
                <w:szCs w:val="18"/>
              </w:rPr>
            </w:pPr>
            <w:r w:rsidRPr="003C6DF5">
              <w:rPr>
                <w:rStyle w:val="CharStyle81"/>
                <w:rFonts w:ascii="Bookman Old Style" w:hAnsi="Bookman Old Style"/>
                <w:color w:val="000000"/>
                <w:lang w:eastAsia="es-ES_tradnl"/>
              </w:rPr>
              <w:t>1,961,363</w:t>
            </w:r>
          </w:p>
        </w:tc>
        <w:tc>
          <w:tcPr>
            <w:tcW w:w="2136" w:type="dxa"/>
            <w:tcBorders>
              <w:top w:val="single" w:sz="4" w:space="0" w:color="auto"/>
              <w:left w:val="single" w:sz="4" w:space="0" w:color="auto"/>
              <w:bottom w:val="nil"/>
              <w:right w:val="single" w:sz="4" w:space="0" w:color="auto"/>
            </w:tcBorders>
            <w:shd w:val="clear" w:color="auto" w:fill="FFFFFF"/>
          </w:tcPr>
          <w:p w:rsidR="00F8092D" w:rsidRPr="003C6DF5" w:rsidRDefault="00F8092D" w:rsidP="00180166">
            <w:pPr>
              <w:framePr w:w="8534" w:wrap="notBeside" w:vAnchor="text" w:hAnchor="text" w:xAlign="center" w:y="1"/>
              <w:rPr>
                <w:rFonts w:ascii="Bookman Old Style" w:hAnsi="Bookman Old Style"/>
                <w:i/>
                <w:sz w:val="10"/>
                <w:szCs w:val="10"/>
                <w:lang w:eastAsia="es-CO"/>
              </w:rPr>
            </w:pPr>
          </w:p>
        </w:tc>
      </w:tr>
      <w:tr w:rsidR="008B2873" w:rsidRPr="003C6DF5" w:rsidTr="00180166">
        <w:trPr>
          <w:trHeight w:hRule="exact" w:val="499"/>
          <w:jc w:val="center"/>
        </w:trPr>
        <w:tc>
          <w:tcPr>
            <w:tcW w:w="965" w:type="dxa"/>
            <w:tcBorders>
              <w:top w:val="nil"/>
              <w:left w:val="single" w:sz="4" w:space="0" w:color="auto"/>
              <w:bottom w:val="nil"/>
              <w:right w:val="nil"/>
            </w:tcBorders>
            <w:shd w:val="clear" w:color="auto" w:fill="FFFFFF"/>
          </w:tcPr>
          <w:p w:rsidR="008B2873" w:rsidRPr="003C6DF5" w:rsidRDefault="008B2873" w:rsidP="00180166">
            <w:pPr>
              <w:framePr w:w="8534" w:wrap="notBeside" w:vAnchor="text" w:hAnchor="text" w:xAlign="center" w:y="1"/>
              <w:rPr>
                <w:rFonts w:ascii="Bookman Old Style" w:hAnsi="Bookman Old Style"/>
                <w:i/>
                <w:sz w:val="10"/>
                <w:szCs w:val="10"/>
                <w:lang w:eastAsia="es-CO"/>
              </w:rPr>
            </w:pPr>
          </w:p>
        </w:tc>
        <w:tc>
          <w:tcPr>
            <w:tcW w:w="3821" w:type="dxa"/>
            <w:tcBorders>
              <w:top w:val="single" w:sz="4" w:space="0" w:color="auto"/>
              <w:left w:val="single" w:sz="4" w:space="0" w:color="auto"/>
              <w:bottom w:val="nil"/>
              <w:right w:val="nil"/>
            </w:tcBorders>
            <w:shd w:val="clear" w:color="auto" w:fill="FFFFFF"/>
          </w:tcPr>
          <w:p w:rsidR="008B2873" w:rsidRPr="003C6DF5" w:rsidRDefault="008B2873" w:rsidP="00180166">
            <w:pPr>
              <w:pStyle w:val="Style40"/>
              <w:framePr w:w="8534" w:wrap="notBeside" w:vAnchor="text" w:hAnchor="text" w:xAlign="center" w:y="1"/>
              <w:shd w:val="clear" w:color="auto" w:fill="auto"/>
              <w:spacing w:before="0" w:after="0" w:line="170" w:lineRule="exact"/>
              <w:rPr>
                <w:rStyle w:val="CharStyle83"/>
                <w:rFonts w:ascii="Bookman Old Style" w:hAnsi="Bookman Old Style"/>
                <w:color w:val="000000"/>
                <w:lang w:eastAsia="es-ES_tradnl"/>
              </w:rPr>
            </w:pPr>
          </w:p>
        </w:tc>
        <w:tc>
          <w:tcPr>
            <w:tcW w:w="1613" w:type="dxa"/>
            <w:tcBorders>
              <w:top w:val="single" w:sz="4" w:space="0" w:color="auto"/>
              <w:left w:val="single" w:sz="4" w:space="0" w:color="auto"/>
              <w:bottom w:val="nil"/>
              <w:right w:val="nil"/>
            </w:tcBorders>
            <w:shd w:val="clear" w:color="auto" w:fill="FFFFFF"/>
          </w:tcPr>
          <w:p w:rsidR="008B2873" w:rsidRPr="003C6DF5" w:rsidRDefault="008B2873" w:rsidP="00180166">
            <w:pPr>
              <w:pStyle w:val="Style40"/>
              <w:framePr w:w="8534" w:wrap="notBeside" w:vAnchor="text" w:hAnchor="text" w:xAlign="center" w:y="1"/>
              <w:shd w:val="clear" w:color="auto" w:fill="auto"/>
              <w:spacing w:before="0" w:after="0" w:line="180" w:lineRule="exact"/>
              <w:ind w:right="120"/>
              <w:jc w:val="right"/>
              <w:rPr>
                <w:rStyle w:val="CharStyle81"/>
                <w:rFonts w:ascii="Bookman Old Style" w:hAnsi="Bookman Old Style"/>
                <w:color w:val="000000"/>
                <w:lang w:eastAsia="es-ES_tradnl"/>
              </w:rPr>
            </w:pPr>
          </w:p>
        </w:tc>
        <w:tc>
          <w:tcPr>
            <w:tcW w:w="2136" w:type="dxa"/>
            <w:tcBorders>
              <w:top w:val="single" w:sz="4" w:space="0" w:color="auto"/>
              <w:left w:val="single" w:sz="4" w:space="0" w:color="auto"/>
              <w:bottom w:val="nil"/>
              <w:right w:val="single" w:sz="4" w:space="0" w:color="auto"/>
            </w:tcBorders>
            <w:shd w:val="clear" w:color="auto" w:fill="FFFFFF"/>
          </w:tcPr>
          <w:p w:rsidR="008B2873" w:rsidRPr="003C6DF5" w:rsidRDefault="008B2873" w:rsidP="00180166">
            <w:pPr>
              <w:framePr w:w="8534" w:wrap="notBeside" w:vAnchor="text" w:hAnchor="text" w:xAlign="center" w:y="1"/>
              <w:rPr>
                <w:rFonts w:ascii="Bookman Old Style" w:hAnsi="Bookman Old Style"/>
                <w:i/>
                <w:sz w:val="10"/>
                <w:szCs w:val="10"/>
                <w:lang w:eastAsia="es-CO"/>
              </w:rPr>
            </w:pPr>
          </w:p>
        </w:tc>
      </w:tr>
      <w:tr w:rsidR="00F8092D" w:rsidRPr="003C6DF5" w:rsidTr="00180166">
        <w:trPr>
          <w:trHeight w:hRule="exact" w:val="504"/>
          <w:jc w:val="center"/>
        </w:trPr>
        <w:tc>
          <w:tcPr>
            <w:tcW w:w="965" w:type="dxa"/>
            <w:tcBorders>
              <w:top w:val="nil"/>
              <w:left w:val="single" w:sz="4" w:space="0" w:color="auto"/>
              <w:bottom w:val="nil"/>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80" w:lineRule="exact"/>
              <w:jc w:val="center"/>
              <w:rPr>
                <w:rFonts w:ascii="Bookman Old Style" w:hAnsi="Bookman Old Style"/>
              </w:rPr>
            </w:pPr>
            <w:r w:rsidRPr="003C6DF5">
              <w:rPr>
                <w:rStyle w:val="CharStyle81"/>
                <w:rFonts w:ascii="Bookman Old Style" w:hAnsi="Bookman Old Style"/>
                <w:color w:val="000000"/>
                <w:lang w:eastAsia="es-ES_tradnl"/>
              </w:rPr>
              <w:t>53</w:t>
            </w:r>
          </w:p>
        </w:tc>
        <w:tc>
          <w:tcPr>
            <w:tcW w:w="3821" w:type="dxa"/>
            <w:tcBorders>
              <w:top w:val="single" w:sz="4" w:space="0" w:color="auto"/>
              <w:left w:val="single" w:sz="4" w:space="0" w:color="auto"/>
              <w:bottom w:val="nil"/>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70" w:lineRule="exact"/>
              <w:rPr>
                <w:rFonts w:ascii="Bookman Old Style" w:hAnsi="Bookman Old Style"/>
              </w:rPr>
            </w:pPr>
            <w:r w:rsidRPr="003C6DF5">
              <w:rPr>
                <w:rStyle w:val="CharStyle83"/>
                <w:rFonts w:ascii="Bookman Old Style" w:hAnsi="Bookman Old Style"/>
                <w:color w:val="000000"/>
                <w:lang w:eastAsia="es-ES_tradnl"/>
              </w:rPr>
              <w:t>Provisión para contingencias</w:t>
            </w:r>
          </w:p>
        </w:tc>
        <w:tc>
          <w:tcPr>
            <w:tcW w:w="1613" w:type="dxa"/>
            <w:tcBorders>
              <w:top w:val="single" w:sz="4" w:space="0" w:color="auto"/>
              <w:left w:val="single" w:sz="4" w:space="0" w:color="auto"/>
              <w:bottom w:val="nil"/>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80" w:lineRule="exact"/>
              <w:ind w:right="120"/>
              <w:jc w:val="right"/>
              <w:rPr>
                <w:rFonts w:ascii="Bookman Old Style" w:hAnsi="Bookman Old Style"/>
                <w:sz w:val="18"/>
                <w:szCs w:val="18"/>
              </w:rPr>
            </w:pPr>
            <w:r w:rsidRPr="003C6DF5">
              <w:rPr>
                <w:rStyle w:val="CharStyle81"/>
                <w:rFonts w:ascii="Bookman Old Style" w:hAnsi="Bookman Old Style"/>
                <w:color w:val="000000"/>
                <w:lang w:eastAsia="es-ES_tradnl"/>
              </w:rPr>
              <w:t>7,931,374</w:t>
            </w:r>
          </w:p>
        </w:tc>
        <w:tc>
          <w:tcPr>
            <w:tcW w:w="2136" w:type="dxa"/>
            <w:tcBorders>
              <w:top w:val="single" w:sz="4" w:space="0" w:color="auto"/>
              <w:left w:val="single" w:sz="4" w:space="0" w:color="auto"/>
              <w:bottom w:val="nil"/>
              <w:right w:val="single" w:sz="4" w:space="0" w:color="auto"/>
            </w:tcBorders>
            <w:shd w:val="clear" w:color="auto" w:fill="FFFFFF"/>
          </w:tcPr>
          <w:p w:rsidR="00F8092D" w:rsidRPr="003C6DF5" w:rsidRDefault="00F8092D" w:rsidP="00180166">
            <w:pPr>
              <w:framePr w:w="8534" w:wrap="notBeside" w:vAnchor="text" w:hAnchor="text" w:xAlign="center" w:y="1"/>
              <w:rPr>
                <w:rFonts w:ascii="Bookman Old Style" w:hAnsi="Bookman Old Style"/>
                <w:i/>
                <w:sz w:val="10"/>
                <w:szCs w:val="10"/>
                <w:lang w:eastAsia="es-CO"/>
              </w:rPr>
            </w:pPr>
          </w:p>
        </w:tc>
      </w:tr>
      <w:tr w:rsidR="00F8092D" w:rsidRPr="003C6DF5" w:rsidTr="00180166">
        <w:trPr>
          <w:trHeight w:hRule="exact" w:val="494"/>
          <w:jc w:val="center"/>
        </w:trPr>
        <w:tc>
          <w:tcPr>
            <w:tcW w:w="965" w:type="dxa"/>
            <w:tcBorders>
              <w:top w:val="nil"/>
              <w:left w:val="single" w:sz="4" w:space="0" w:color="auto"/>
              <w:bottom w:val="nil"/>
              <w:right w:val="nil"/>
            </w:tcBorders>
            <w:shd w:val="clear" w:color="auto" w:fill="FFFFFF"/>
          </w:tcPr>
          <w:p w:rsidR="00F8092D" w:rsidRPr="003C6DF5" w:rsidRDefault="00F8092D" w:rsidP="00180166">
            <w:pPr>
              <w:framePr w:w="8534" w:wrap="notBeside" w:vAnchor="text" w:hAnchor="text" w:xAlign="center" w:y="1"/>
              <w:rPr>
                <w:rFonts w:ascii="Bookman Old Style" w:hAnsi="Bookman Old Style"/>
                <w:i/>
                <w:sz w:val="10"/>
                <w:szCs w:val="10"/>
                <w:lang w:eastAsia="es-CO"/>
              </w:rPr>
            </w:pPr>
          </w:p>
        </w:tc>
        <w:tc>
          <w:tcPr>
            <w:tcW w:w="3821" w:type="dxa"/>
            <w:tcBorders>
              <w:top w:val="single" w:sz="4" w:space="0" w:color="auto"/>
              <w:left w:val="single" w:sz="4" w:space="0" w:color="auto"/>
              <w:bottom w:val="nil"/>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70" w:lineRule="exact"/>
              <w:rPr>
                <w:rFonts w:ascii="Bookman Old Style" w:hAnsi="Bookman Old Style"/>
              </w:rPr>
            </w:pPr>
            <w:r w:rsidRPr="003C6DF5">
              <w:rPr>
                <w:rStyle w:val="CharStyle83"/>
                <w:rFonts w:ascii="Bookman Old Style" w:hAnsi="Bookman Old Style"/>
                <w:color w:val="000000"/>
                <w:lang w:eastAsia="es-ES_tradnl"/>
              </w:rPr>
              <w:t>Contratos de Aprendizaje</w:t>
            </w:r>
          </w:p>
        </w:tc>
        <w:tc>
          <w:tcPr>
            <w:tcW w:w="1613" w:type="dxa"/>
            <w:tcBorders>
              <w:top w:val="single" w:sz="4" w:space="0" w:color="auto"/>
              <w:left w:val="single" w:sz="4" w:space="0" w:color="auto"/>
              <w:bottom w:val="nil"/>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70" w:lineRule="exact"/>
              <w:ind w:right="120"/>
              <w:jc w:val="right"/>
              <w:rPr>
                <w:rFonts w:ascii="Bookman Old Style" w:hAnsi="Bookman Old Style"/>
                <w:b/>
                <w:sz w:val="18"/>
                <w:szCs w:val="18"/>
              </w:rPr>
            </w:pPr>
            <w:r w:rsidRPr="003C6DF5">
              <w:rPr>
                <w:rStyle w:val="CharStyle82"/>
                <w:rFonts w:ascii="Bookman Old Style" w:hAnsi="Bookman Old Style"/>
                <w:b w:val="0"/>
                <w:color w:val="000000"/>
                <w:sz w:val="18"/>
                <w:szCs w:val="18"/>
                <w:lang w:eastAsia="es-ES_tradnl"/>
              </w:rPr>
              <w:t>821,893</w:t>
            </w:r>
          </w:p>
        </w:tc>
        <w:tc>
          <w:tcPr>
            <w:tcW w:w="2136" w:type="dxa"/>
            <w:tcBorders>
              <w:top w:val="single" w:sz="4" w:space="0" w:color="auto"/>
              <w:left w:val="single" w:sz="4" w:space="0" w:color="auto"/>
              <w:bottom w:val="nil"/>
              <w:right w:val="single" w:sz="4" w:space="0" w:color="auto"/>
            </w:tcBorders>
            <w:shd w:val="clear" w:color="auto" w:fill="FFFFFF"/>
          </w:tcPr>
          <w:p w:rsidR="00F8092D" w:rsidRPr="003C6DF5" w:rsidRDefault="00F8092D" w:rsidP="00180166">
            <w:pPr>
              <w:framePr w:w="8534" w:wrap="notBeside" w:vAnchor="text" w:hAnchor="text" w:xAlign="center" w:y="1"/>
              <w:rPr>
                <w:rFonts w:ascii="Bookman Old Style" w:hAnsi="Bookman Old Style"/>
                <w:i/>
                <w:sz w:val="10"/>
                <w:szCs w:val="10"/>
                <w:lang w:eastAsia="es-CO"/>
              </w:rPr>
            </w:pPr>
          </w:p>
        </w:tc>
      </w:tr>
      <w:tr w:rsidR="00F8092D" w:rsidRPr="003C6DF5" w:rsidTr="00180166">
        <w:trPr>
          <w:trHeight w:hRule="exact" w:val="758"/>
          <w:jc w:val="center"/>
        </w:trPr>
        <w:tc>
          <w:tcPr>
            <w:tcW w:w="965" w:type="dxa"/>
            <w:tcBorders>
              <w:top w:val="nil"/>
              <w:left w:val="single" w:sz="4" w:space="0" w:color="auto"/>
              <w:bottom w:val="nil"/>
              <w:right w:val="nil"/>
            </w:tcBorders>
            <w:shd w:val="clear" w:color="auto" w:fill="FFFFFF"/>
          </w:tcPr>
          <w:p w:rsidR="00F8092D" w:rsidRPr="003C6DF5" w:rsidRDefault="00F8092D" w:rsidP="00180166">
            <w:pPr>
              <w:framePr w:w="8534" w:wrap="notBeside" w:vAnchor="text" w:hAnchor="text" w:xAlign="center" w:y="1"/>
              <w:rPr>
                <w:rFonts w:ascii="Bookman Old Style" w:hAnsi="Bookman Old Style"/>
                <w:i/>
                <w:sz w:val="10"/>
                <w:szCs w:val="10"/>
                <w:lang w:eastAsia="es-CO"/>
              </w:rPr>
            </w:pPr>
          </w:p>
        </w:tc>
        <w:tc>
          <w:tcPr>
            <w:tcW w:w="3821" w:type="dxa"/>
            <w:tcBorders>
              <w:top w:val="single" w:sz="4" w:space="0" w:color="auto"/>
              <w:left w:val="single" w:sz="4" w:space="0" w:color="auto"/>
              <w:bottom w:val="nil"/>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259" w:lineRule="exact"/>
              <w:rPr>
                <w:rFonts w:ascii="Bookman Old Style" w:hAnsi="Bookman Old Style"/>
              </w:rPr>
            </w:pPr>
            <w:r w:rsidRPr="003C6DF5">
              <w:rPr>
                <w:rStyle w:val="CharStyle83"/>
                <w:rFonts w:ascii="Bookman Old Style" w:hAnsi="Bookman Old Style"/>
                <w:color w:val="000000"/>
                <w:lang w:eastAsia="es-ES_tradnl"/>
              </w:rPr>
              <w:t>Depreciación de propiedades, planta y equipo</w:t>
            </w:r>
          </w:p>
        </w:tc>
        <w:tc>
          <w:tcPr>
            <w:tcW w:w="1613" w:type="dxa"/>
            <w:tcBorders>
              <w:top w:val="single" w:sz="4" w:space="0" w:color="auto"/>
              <w:left w:val="single" w:sz="4" w:space="0" w:color="auto"/>
              <w:bottom w:val="nil"/>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80" w:lineRule="exact"/>
              <w:ind w:right="120"/>
              <w:jc w:val="right"/>
              <w:rPr>
                <w:rFonts w:ascii="Bookman Old Style" w:hAnsi="Bookman Old Style"/>
                <w:sz w:val="18"/>
                <w:szCs w:val="18"/>
              </w:rPr>
            </w:pPr>
            <w:r w:rsidRPr="003C6DF5">
              <w:rPr>
                <w:rStyle w:val="CharStyle81"/>
                <w:rFonts w:ascii="Bookman Old Style" w:hAnsi="Bookman Old Style"/>
                <w:color w:val="000000"/>
                <w:lang w:eastAsia="es-ES_tradnl"/>
              </w:rPr>
              <w:t>2,010,747</w:t>
            </w:r>
          </w:p>
        </w:tc>
        <w:tc>
          <w:tcPr>
            <w:tcW w:w="2136" w:type="dxa"/>
            <w:tcBorders>
              <w:top w:val="single" w:sz="4" w:space="0" w:color="auto"/>
              <w:left w:val="single" w:sz="4" w:space="0" w:color="auto"/>
              <w:bottom w:val="nil"/>
              <w:right w:val="single" w:sz="4" w:space="0" w:color="auto"/>
            </w:tcBorders>
            <w:shd w:val="clear" w:color="auto" w:fill="FFFFFF"/>
          </w:tcPr>
          <w:p w:rsidR="00F8092D" w:rsidRPr="003C6DF5" w:rsidRDefault="00F8092D" w:rsidP="00180166">
            <w:pPr>
              <w:framePr w:w="8534" w:wrap="notBeside" w:vAnchor="text" w:hAnchor="text" w:xAlign="center" w:y="1"/>
              <w:rPr>
                <w:rFonts w:ascii="Bookman Old Style" w:hAnsi="Bookman Old Style"/>
                <w:i/>
                <w:sz w:val="10"/>
                <w:szCs w:val="10"/>
                <w:lang w:eastAsia="es-CO"/>
              </w:rPr>
            </w:pPr>
          </w:p>
        </w:tc>
      </w:tr>
      <w:tr w:rsidR="00F8092D" w:rsidRPr="003C6DF5" w:rsidTr="00180166">
        <w:trPr>
          <w:trHeight w:hRule="exact" w:val="523"/>
          <w:jc w:val="center"/>
        </w:trPr>
        <w:tc>
          <w:tcPr>
            <w:tcW w:w="965" w:type="dxa"/>
            <w:tcBorders>
              <w:top w:val="nil"/>
              <w:left w:val="single" w:sz="4" w:space="0" w:color="auto"/>
              <w:bottom w:val="single" w:sz="4" w:space="0" w:color="auto"/>
              <w:right w:val="nil"/>
            </w:tcBorders>
            <w:shd w:val="clear" w:color="auto" w:fill="FFFFFF"/>
          </w:tcPr>
          <w:p w:rsidR="00F8092D" w:rsidRPr="003C6DF5" w:rsidRDefault="00F8092D" w:rsidP="00180166">
            <w:pPr>
              <w:framePr w:w="8534" w:wrap="notBeside" w:vAnchor="text" w:hAnchor="text" w:xAlign="center" w:y="1"/>
              <w:rPr>
                <w:rFonts w:ascii="Bookman Old Style" w:hAnsi="Bookman Old Style"/>
                <w:i/>
                <w:sz w:val="10"/>
                <w:szCs w:val="10"/>
                <w:lang w:eastAsia="es-CO"/>
              </w:rPr>
            </w:pPr>
          </w:p>
        </w:tc>
        <w:tc>
          <w:tcPr>
            <w:tcW w:w="3821" w:type="dxa"/>
            <w:tcBorders>
              <w:top w:val="single" w:sz="4" w:space="0" w:color="auto"/>
              <w:left w:val="single" w:sz="4" w:space="0" w:color="auto"/>
              <w:bottom w:val="single" w:sz="4" w:space="0" w:color="auto"/>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70" w:lineRule="exact"/>
              <w:rPr>
                <w:rFonts w:ascii="Bookman Old Style" w:hAnsi="Bookman Old Style"/>
              </w:rPr>
            </w:pPr>
            <w:r w:rsidRPr="003C6DF5">
              <w:rPr>
                <w:rStyle w:val="CharStyle83"/>
                <w:rFonts w:ascii="Bookman Old Style" w:hAnsi="Bookman Old Style"/>
                <w:color w:val="000000"/>
                <w:lang w:eastAsia="es-ES_tradnl"/>
              </w:rPr>
              <w:t>Amortización de Intangibles</w:t>
            </w:r>
          </w:p>
        </w:tc>
        <w:tc>
          <w:tcPr>
            <w:tcW w:w="1613" w:type="dxa"/>
            <w:tcBorders>
              <w:top w:val="single" w:sz="4" w:space="0" w:color="auto"/>
              <w:left w:val="single" w:sz="4" w:space="0" w:color="auto"/>
              <w:bottom w:val="single" w:sz="4" w:space="0" w:color="auto"/>
              <w:right w:val="nil"/>
            </w:tcBorders>
            <w:shd w:val="clear" w:color="auto" w:fill="FFFFFF"/>
          </w:tcPr>
          <w:p w:rsidR="00F8092D" w:rsidRPr="003C6DF5" w:rsidRDefault="00F8092D" w:rsidP="00180166">
            <w:pPr>
              <w:pStyle w:val="Style40"/>
              <w:framePr w:w="8534" w:wrap="notBeside" w:vAnchor="text" w:hAnchor="text" w:xAlign="center" w:y="1"/>
              <w:shd w:val="clear" w:color="auto" w:fill="auto"/>
              <w:spacing w:before="0" w:after="0" w:line="170" w:lineRule="exact"/>
              <w:ind w:right="120"/>
              <w:jc w:val="right"/>
              <w:rPr>
                <w:rFonts w:ascii="Bookman Old Style" w:hAnsi="Bookman Old Style"/>
                <w:b/>
                <w:sz w:val="18"/>
                <w:szCs w:val="18"/>
              </w:rPr>
            </w:pPr>
            <w:r w:rsidRPr="003C6DF5">
              <w:rPr>
                <w:rStyle w:val="CharStyle82"/>
                <w:rFonts w:ascii="Bookman Old Style" w:hAnsi="Bookman Old Style"/>
                <w:b w:val="0"/>
                <w:color w:val="000000"/>
                <w:sz w:val="18"/>
                <w:szCs w:val="18"/>
                <w:lang w:eastAsia="es-ES_tradnl"/>
              </w:rPr>
              <w:t>199,846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F8092D" w:rsidRPr="003C6DF5" w:rsidRDefault="00F8092D" w:rsidP="00180166">
            <w:pPr>
              <w:framePr w:w="8534" w:wrap="notBeside" w:vAnchor="text" w:hAnchor="text" w:xAlign="center" w:y="1"/>
              <w:rPr>
                <w:rFonts w:ascii="Bookman Old Style" w:hAnsi="Bookman Old Style"/>
                <w:i/>
                <w:sz w:val="10"/>
                <w:szCs w:val="10"/>
                <w:lang w:eastAsia="es-CO"/>
              </w:rPr>
            </w:pPr>
          </w:p>
        </w:tc>
      </w:tr>
    </w:tbl>
    <w:p w:rsidR="00F8092D" w:rsidRPr="003C6DF5" w:rsidRDefault="00F8092D" w:rsidP="00F8092D">
      <w:pPr>
        <w:rPr>
          <w:rFonts w:ascii="Bookman Old Style" w:hAnsi="Bookman Old Style"/>
          <w:i/>
          <w:sz w:val="2"/>
          <w:szCs w:val="2"/>
          <w:lang w:eastAsia="es-CO"/>
        </w:rPr>
      </w:pPr>
    </w:p>
    <w:p w:rsidR="00F8092D" w:rsidRPr="003C6DF5" w:rsidRDefault="00F8092D" w:rsidP="00F8092D">
      <w:pPr>
        <w:pStyle w:val="Style15"/>
        <w:shd w:val="clear" w:color="auto" w:fill="auto"/>
        <w:spacing w:before="276" w:after="56" w:line="240" w:lineRule="exact"/>
        <w:ind w:left="120" w:right="20"/>
        <w:jc w:val="both"/>
        <w:rPr>
          <w:rFonts w:ascii="Bookman Old Style" w:hAnsi="Bookman Old Style"/>
          <w:i/>
        </w:rPr>
      </w:pPr>
      <w:r w:rsidRPr="003C6DF5">
        <w:rPr>
          <w:rStyle w:val="CharStyle16"/>
          <w:rFonts w:ascii="Bookman Old Style" w:hAnsi="Bookman Old Style"/>
          <w:b/>
          <w:bCs/>
          <w:i/>
          <w:color w:val="000000"/>
          <w:lang w:eastAsia="es-ES_tradnl"/>
        </w:rPr>
        <w:t xml:space="preserve">Se anexa nota </w:t>
      </w:r>
      <w:r w:rsidRPr="003C6DF5">
        <w:rPr>
          <w:rStyle w:val="CharStyle84"/>
          <w:rFonts w:ascii="Bookman Old Style" w:hAnsi="Bookman Old Style"/>
          <w:bCs w:val="0"/>
          <w:i/>
          <w:color w:val="000000"/>
          <w:lang w:eastAsia="es-ES_tradnl"/>
        </w:rPr>
        <w:t>23</w:t>
      </w:r>
      <w:r w:rsidRPr="003C6DF5">
        <w:rPr>
          <w:rStyle w:val="CharStyle84"/>
          <w:rFonts w:ascii="Bookman Old Style" w:hAnsi="Bookman Old Style"/>
          <w:b w:val="0"/>
          <w:bCs w:val="0"/>
          <w:i/>
          <w:color w:val="000000"/>
          <w:lang w:eastAsia="es-ES_tradnl"/>
        </w:rPr>
        <w:t xml:space="preserve"> </w:t>
      </w:r>
      <w:r w:rsidRPr="003C6DF5">
        <w:rPr>
          <w:rStyle w:val="CharStyle16"/>
          <w:rFonts w:ascii="Bookman Old Style" w:hAnsi="Bookman Old Style"/>
          <w:b/>
          <w:bCs/>
          <w:i/>
          <w:color w:val="000000"/>
          <w:lang w:eastAsia="es-ES_tradnl"/>
        </w:rPr>
        <w:t xml:space="preserve">de revelaciones a los estados financieros periodo </w:t>
      </w:r>
      <w:r w:rsidRPr="003C6DF5">
        <w:rPr>
          <w:rStyle w:val="CharStyle84"/>
          <w:rFonts w:ascii="Bookman Old Style" w:hAnsi="Bookman Old Style"/>
          <w:bCs w:val="0"/>
          <w:i/>
          <w:color w:val="000000"/>
          <w:lang w:eastAsia="es-ES_tradnl"/>
        </w:rPr>
        <w:t xml:space="preserve">2015 </w:t>
      </w:r>
      <w:r w:rsidRPr="003C6DF5">
        <w:rPr>
          <w:rStyle w:val="CharStyle16"/>
          <w:rFonts w:ascii="Bookman Old Style" w:hAnsi="Bookman Old Style"/>
          <w:b/>
          <w:bCs/>
          <w:i/>
          <w:color w:val="000000"/>
          <w:lang w:eastAsia="es-ES_tradnl"/>
        </w:rPr>
        <w:t>en donde se detalla los gastos correspondientes al grupo 53.</w:t>
      </w:r>
    </w:p>
    <w:p w:rsidR="00F8092D" w:rsidRPr="003C6DF5" w:rsidRDefault="00F8092D" w:rsidP="00F8092D">
      <w:pPr>
        <w:pStyle w:val="Style9"/>
        <w:shd w:val="clear" w:color="auto" w:fill="auto"/>
        <w:spacing w:before="0" w:after="56" w:line="240" w:lineRule="exact"/>
        <w:ind w:left="40" w:right="20"/>
        <w:jc w:val="both"/>
        <w:rPr>
          <w:rFonts w:ascii="Bookman Old Style" w:hAnsi="Bookman Old Style"/>
          <w:i/>
        </w:rPr>
      </w:pPr>
      <w:r w:rsidRPr="003C6DF5">
        <w:rPr>
          <w:rStyle w:val="CharStyle10"/>
          <w:rFonts w:ascii="Bookman Old Style" w:hAnsi="Bookman Old Style"/>
          <w:i/>
          <w:color w:val="000000"/>
          <w:lang w:eastAsia="es-ES_tradnl"/>
        </w:rPr>
        <w:lastRenderedPageBreak/>
        <w:t>Se concluye que al desconocer la CREG el alcance de la línea jurisprudencial del Consejo de Estado, se está aumentando la base gravable para la determinación de la contribución en $12.925.222.895 y como consecuencia de ello se liquidó un mayor valor de la contribución de $107.195.336 diferencia ésta que ahora se recurre, siempre que el porcentaje aplicado por la CREG para la liquidación de la contribución vigencia 2016 para CENS corresponda al 0.82935%.</w:t>
      </w:r>
    </w:p>
    <w:p w:rsidR="00F8092D" w:rsidRPr="003C6DF5" w:rsidRDefault="00F8092D" w:rsidP="00F8092D">
      <w:pPr>
        <w:pStyle w:val="Style9"/>
        <w:shd w:val="clear" w:color="auto" w:fill="auto"/>
        <w:spacing w:before="0" w:after="431" w:line="245" w:lineRule="exact"/>
        <w:ind w:left="40" w:right="20"/>
        <w:jc w:val="both"/>
        <w:rPr>
          <w:rFonts w:ascii="Bookman Old Style" w:hAnsi="Bookman Old Style"/>
          <w:i/>
        </w:rPr>
      </w:pPr>
      <w:r w:rsidRPr="003C6DF5">
        <w:rPr>
          <w:rStyle w:val="CharStyle10"/>
          <w:rFonts w:ascii="Bookman Old Style" w:hAnsi="Bookman Old Style"/>
          <w:i/>
          <w:color w:val="000000"/>
          <w:lang w:eastAsia="es-ES_tradnl"/>
        </w:rPr>
        <w:t>A continuación, se ilustra la diferencia planteada en el presente recurso, determinándose la base gravable y la contribución liquidada por la CREG y la base gravable y la contribución que se debieron liquidar, para indicar la diferencia que debe excluirse:</w:t>
      </w:r>
    </w:p>
    <w:tbl>
      <w:tblPr>
        <w:tblW w:w="0" w:type="auto"/>
        <w:jc w:val="center"/>
        <w:tblLayout w:type="fixed"/>
        <w:tblCellMar>
          <w:left w:w="0" w:type="dxa"/>
          <w:right w:w="0" w:type="dxa"/>
        </w:tblCellMar>
        <w:tblLook w:val="0000" w:firstRow="0" w:lastRow="0" w:firstColumn="0" w:lastColumn="0" w:noHBand="0" w:noVBand="0"/>
      </w:tblPr>
      <w:tblGrid>
        <w:gridCol w:w="3322"/>
        <w:gridCol w:w="1776"/>
        <w:gridCol w:w="1954"/>
      </w:tblGrid>
      <w:tr w:rsidR="00F8092D" w:rsidRPr="003C6DF5" w:rsidTr="00180166">
        <w:trPr>
          <w:trHeight w:hRule="exact" w:val="629"/>
          <w:jc w:val="center"/>
        </w:trPr>
        <w:tc>
          <w:tcPr>
            <w:tcW w:w="3322" w:type="dxa"/>
            <w:tcBorders>
              <w:top w:val="nil"/>
              <w:left w:val="nil"/>
              <w:bottom w:val="nil"/>
              <w:right w:val="nil"/>
            </w:tcBorders>
            <w:shd w:val="clear" w:color="auto" w:fill="FFFFFF"/>
          </w:tcPr>
          <w:p w:rsidR="00F8092D" w:rsidRPr="003C6DF5" w:rsidRDefault="00F8092D" w:rsidP="00180166">
            <w:pPr>
              <w:framePr w:w="7051" w:wrap="notBeside" w:vAnchor="text" w:hAnchor="text" w:xAlign="center" w:y="1"/>
              <w:rPr>
                <w:rFonts w:ascii="Bookman Old Style" w:hAnsi="Bookman Old Style"/>
                <w:i/>
                <w:sz w:val="10"/>
                <w:szCs w:val="10"/>
                <w:lang w:eastAsia="es-CO"/>
              </w:rPr>
            </w:pPr>
          </w:p>
        </w:tc>
        <w:tc>
          <w:tcPr>
            <w:tcW w:w="3730" w:type="dxa"/>
            <w:gridSpan w:val="2"/>
            <w:tcBorders>
              <w:top w:val="single" w:sz="4" w:space="0" w:color="auto"/>
              <w:left w:val="single" w:sz="4" w:space="0" w:color="auto"/>
              <w:bottom w:val="nil"/>
              <w:right w:val="single" w:sz="4" w:space="0" w:color="auto"/>
            </w:tcBorders>
            <w:shd w:val="clear" w:color="auto" w:fill="FFFFFF"/>
            <w:vAlign w:val="bottom"/>
          </w:tcPr>
          <w:p w:rsidR="00F8092D" w:rsidRPr="003C6DF5" w:rsidRDefault="00F8092D" w:rsidP="00180166">
            <w:pPr>
              <w:pStyle w:val="Style40"/>
              <w:framePr w:w="7051" w:wrap="notBeside" w:vAnchor="text" w:hAnchor="text" w:xAlign="center" w:y="1"/>
              <w:shd w:val="clear" w:color="auto" w:fill="auto"/>
              <w:spacing w:before="0" w:after="0" w:line="170" w:lineRule="exact"/>
              <w:jc w:val="center"/>
              <w:rPr>
                <w:rFonts w:ascii="Bookman Old Style" w:hAnsi="Bookman Old Style"/>
              </w:rPr>
            </w:pPr>
            <w:r w:rsidRPr="003C6DF5">
              <w:rPr>
                <w:rStyle w:val="CharStyle82"/>
                <w:rFonts w:ascii="Bookman Old Style" w:hAnsi="Bookman Old Style"/>
                <w:color w:val="000000"/>
                <w:lang w:eastAsia="es-ES_tradnl"/>
              </w:rPr>
              <w:t>ENERGIA</w:t>
            </w:r>
          </w:p>
        </w:tc>
      </w:tr>
      <w:tr w:rsidR="00F8092D" w:rsidRPr="003C6DF5" w:rsidTr="00180166">
        <w:trPr>
          <w:trHeight w:hRule="exact" w:val="312"/>
          <w:jc w:val="center"/>
        </w:trPr>
        <w:tc>
          <w:tcPr>
            <w:tcW w:w="3322" w:type="dxa"/>
            <w:tcBorders>
              <w:top w:val="single" w:sz="4" w:space="0" w:color="auto"/>
              <w:left w:val="single" w:sz="4" w:space="0" w:color="auto"/>
              <w:bottom w:val="nil"/>
              <w:right w:val="nil"/>
            </w:tcBorders>
            <w:shd w:val="clear" w:color="auto" w:fill="FFFFFF"/>
            <w:vAlign w:val="bottom"/>
          </w:tcPr>
          <w:p w:rsidR="00F8092D" w:rsidRPr="003C6DF5" w:rsidRDefault="00F8092D" w:rsidP="00180166">
            <w:pPr>
              <w:pStyle w:val="Style40"/>
              <w:framePr w:w="7051" w:wrap="notBeside" w:vAnchor="text" w:hAnchor="text" w:xAlign="center" w:y="1"/>
              <w:shd w:val="clear" w:color="auto" w:fill="auto"/>
              <w:spacing w:before="0" w:after="0" w:line="170" w:lineRule="exact"/>
              <w:rPr>
                <w:rFonts w:ascii="Bookman Old Style" w:hAnsi="Bookman Old Style"/>
              </w:rPr>
            </w:pPr>
            <w:r w:rsidRPr="003C6DF5">
              <w:rPr>
                <w:rStyle w:val="CharStyle82"/>
                <w:rFonts w:ascii="Bookman Old Style" w:hAnsi="Bookman Old Style"/>
                <w:color w:val="000000"/>
                <w:lang w:eastAsia="es-ES_tradnl"/>
              </w:rPr>
              <w:t>LIQUIDACION</w:t>
            </w:r>
          </w:p>
        </w:tc>
        <w:tc>
          <w:tcPr>
            <w:tcW w:w="1776" w:type="dxa"/>
            <w:tcBorders>
              <w:top w:val="single" w:sz="4" w:space="0" w:color="auto"/>
              <w:left w:val="single" w:sz="4" w:space="0" w:color="auto"/>
              <w:bottom w:val="nil"/>
              <w:right w:val="nil"/>
            </w:tcBorders>
            <w:shd w:val="clear" w:color="auto" w:fill="FFFFFF"/>
            <w:vAlign w:val="bottom"/>
          </w:tcPr>
          <w:p w:rsidR="00F8092D" w:rsidRPr="003C6DF5" w:rsidRDefault="00F8092D" w:rsidP="00180166">
            <w:pPr>
              <w:pStyle w:val="Style40"/>
              <w:framePr w:w="7051" w:wrap="notBeside" w:vAnchor="text" w:hAnchor="text" w:xAlign="center" w:y="1"/>
              <w:shd w:val="clear" w:color="auto" w:fill="auto"/>
              <w:spacing w:before="0" w:after="0" w:line="170" w:lineRule="exact"/>
              <w:jc w:val="center"/>
              <w:rPr>
                <w:rFonts w:ascii="Bookman Old Style" w:hAnsi="Bookman Old Style"/>
              </w:rPr>
            </w:pPr>
            <w:r w:rsidRPr="003C6DF5">
              <w:rPr>
                <w:rStyle w:val="CharStyle82"/>
                <w:rFonts w:ascii="Bookman Old Style" w:hAnsi="Bookman Old Style"/>
                <w:color w:val="000000"/>
                <w:lang w:val="en-US"/>
              </w:rPr>
              <w:t>BASE</w:t>
            </w:r>
          </w:p>
        </w:tc>
        <w:tc>
          <w:tcPr>
            <w:tcW w:w="1954" w:type="dxa"/>
            <w:tcBorders>
              <w:top w:val="single" w:sz="4" w:space="0" w:color="auto"/>
              <w:left w:val="single" w:sz="4" w:space="0" w:color="auto"/>
              <w:bottom w:val="nil"/>
              <w:right w:val="single" w:sz="4" w:space="0" w:color="auto"/>
            </w:tcBorders>
            <w:shd w:val="clear" w:color="auto" w:fill="FFFFFF"/>
            <w:vAlign w:val="bottom"/>
          </w:tcPr>
          <w:p w:rsidR="00F8092D" w:rsidRPr="003C6DF5" w:rsidRDefault="00F8092D" w:rsidP="00180166">
            <w:pPr>
              <w:pStyle w:val="Style40"/>
              <w:framePr w:w="7051" w:wrap="notBeside" w:vAnchor="text" w:hAnchor="text" w:xAlign="center" w:y="1"/>
              <w:shd w:val="clear" w:color="auto" w:fill="auto"/>
              <w:spacing w:before="0" w:after="0" w:line="170" w:lineRule="exact"/>
              <w:ind w:left="300"/>
              <w:jc w:val="left"/>
              <w:rPr>
                <w:rFonts w:ascii="Bookman Old Style" w:hAnsi="Bookman Old Style"/>
              </w:rPr>
            </w:pPr>
            <w:r w:rsidRPr="003C6DF5">
              <w:rPr>
                <w:rStyle w:val="CharStyle82"/>
                <w:rFonts w:ascii="Bookman Old Style" w:hAnsi="Bookman Old Style"/>
                <w:color w:val="000000"/>
                <w:lang w:eastAsia="es-ES_tradnl"/>
              </w:rPr>
              <w:t>CONTRIBUCIÓN</w:t>
            </w:r>
          </w:p>
        </w:tc>
      </w:tr>
      <w:tr w:rsidR="00F8092D" w:rsidRPr="003C6DF5" w:rsidTr="00180166">
        <w:trPr>
          <w:trHeight w:hRule="exact" w:val="312"/>
          <w:jc w:val="center"/>
        </w:trPr>
        <w:tc>
          <w:tcPr>
            <w:tcW w:w="3322" w:type="dxa"/>
            <w:tcBorders>
              <w:top w:val="single" w:sz="4" w:space="0" w:color="auto"/>
              <w:left w:val="single" w:sz="4" w:space="0" w:color="auto"/>
              <w:bottom w:val="nil"/>
              <w:right w:val="nil"/>
            </w:tcBorders>
            <w:shd w:val="clear" w:color="auto" w:fill="FFFFFF"/>
            <w:vAlign w:val="bottom"/>
          </w:tcPr>
          <w:p w:rsidR="00F8092D" w:rsidRPr="003C6DF5" w:rsidRDefault="00F8092D" w:rsidP="00180166">
            <w:pPr>
              <w:pStyle w:val="Style40"/>
              <w:framePr w:w="7051" w:wrap="notBeside" w:vAnchor="text" w:hAnchor="text" w:xAlign="center" w:y="1"/>
              <w:shd w:val="clear" w:color="auto" w:fill="auto"/>
              <w:spacing w:before="0" w:after="0" w:line="180" w:lineRule="exact"/>
              <w:rPr>
                <w:rFonts w:ascii="Bookman Old Style" w:hAnsi="Bookman Old Style"/>
              </w:rPr>
            </w:pPr>
            <w:r w:rsidRPr="003C6DF5">
              <w:rPr>
                <w:rStyle w:val="CharStyle81"/>
                <w:rFonts w:ascii="Bookman Old Style" w:hAnsi="Bookman Old Style"/>
                <w:color w:val="000000"/>
                <w:lang w:eastAsia="es-ES_tradnl"/>
              </w:rPr>
              <w:t>SEGÚN CREG</w:t>
            </w:r>
          </w:p>
        </w:tc>
        <w:tc>
          <w:tcPr>
            <w:tcW w:w="1776" w:type="dxa"/>
            <w:tcBorders>
              <w:top w:val="single" w:sz="4" w:space="0" w:color="auto"/>
              <w:left w:val="single" w:sz="4" w:space="0" w:color="auto"/>
              <w:bottom w:val="nil"/>
              <w:right w:val="nil"/>
            </w:tcBorders>
            <w:shd w:val="clear" w:color="auto" w:fill="FFFFFF"/>
            <w:vAlign w:val="bottom"/>
          </w:tcPr>
          <w:p w:rsidR="00F8092D" w:rsidRPr="003C6DF5" w:rsidRDefault="00F8092D" w:rsidP="00180166">
            <w:pPr>
              <w:pStyle w:val="Style40"/>
              <w:framePr w:w="7051" w:wrap="notBeside" w:vAnchor="text" w:hAnchor="text" w:xAlign="center" w:y="1"/>
              <w:shd w:val="clear" w:color="auto" w:fill="auto"/>
              <w:spacing w:before="0" w:after="0" w:line="180" w:lineRule="exact"/>
              <w:ind w:right="80"/>
              <w:jc w:val="right"/>
              <w:rPr>
                <w:rFonts w:ascii="Bookman Old Style" w:hAnsi="Bookman Old Style"/>
              </w:rPr>
            </w:pPr>
            <w:r w:rsidRPr="003C6DF5">
              <w:rPr>
                <w:rStyle w:val="CharStyle81"/>
                <w:rFonts w:ascii="Bookman Old Style" w:hAnsi="Bookman Old Style"/>
                <w:color w:val="000000"/>
                <w:lang w:eastAsia="es-ES_tradnl"/>
              </w:rPr>
              <w:t>67.457.671.000</w:t>
            </w:r>
          </w:p>
        </w:tc>
        <w:tc>
          <w:tcPr>
            <w:tcW w:w="1954" w:type="dxa"/>
            <w:tcBorders>
              <w:top w:val="single" w:sz="4" w:space="0" w:color="auto"/>
              <w:left w:val="single" w:sz="4" w:space="0" w:color="auto"/>
              <w:bottom w:val="nil"/>
              <w:right w:val="single" w:sz="4" w:space="0" w:color="auto"/>
            </w:tcBorders>
            <w:shd w:val="clear" w:color="auto" w:fill="FFFFFF"/>
            <w:vAlign w:val="bottom"/>
          </w:tcPr>
          <w:p w:rsidR="00F8092D" w:rsidRPr="003C6DF5" w:rsidRDefault="00F8092D" w:rsidP="00180166">
            <w:pPr>
              <w:pStyle w:val="Style40"/>
              <w:framePr w:w="7051" w:wrap="notBeside" w:vAnchor="text" w:hAnchor="text" w:xAlign="center" w:y="1"/>
              <w:shd w:val="clear" w:color="auto" w:fill="auto"/>
              <w:spacing w:before="0" w:after="0" w:line="180" w:lineRule="exact"/>
              <w:ind w:right="80"/>
              <w:jc w:val="right"/>
              <w:rPr>
                <w:rFonts w:ascii="Bookman Old Style" w:hAnsi="Bookman Old Style"/>
              </w:rPr>
            </w:pPr>
            <w:r w:rsidRPr="003C6DF5">
              <w:rPr>
                <w:rStyle w:val="CharStyle81"/>
                <w:rFonts w:ascii="Bookman Old Style" w:hAnsi="Bookman Old Style"/>
                <w:color w:val="000000"/>
                <w:lang w:eastAsia="es-ES_tradnl"/>
              </w:rPr>
              <w:t>559.460.194</w:t>
            </w:r>
          </w:p>
        </w:tc>
      </w:tr>
      <w:tr w:rsidR="00F8092D" w:rsidRPr="003C6DF5" w:rsidTr="00180166">
        <w:trPr>
          <w:trHeight w:hRule="exact" w:val="533"/>
          <w:jc w:val="center"/>
        </w:trPr>
        <w:tc>
          <w:tcPr>
            <w:tcW w:w="3322" w:type="dxa"/>
            <w:tcBorders>
              <w:top w:val="single" w:sz="4" w:space="0" w:color="auto"/>
              <w:left w:val="single" w:sz="4" w:space="0" w:color="auto"/>
              <w:bottom w:val="nil"/>
              <w:right w:val="nil"/>
            </w:tcBorders>
            <w:shd w:val="clear" w:color="auto" w:fill="FFFFFF"/>
          </w:tcPr>
          <w:p w:rsidR="00F8092D" w:rsidRPr="003C6DF5" w:rsidRDefault="00F8092D" w:rsidP="00180166">
            <w:pPr>
              <w:pStyle w:val="Style40"/>
              <w:framePr w:w="7051" w:wrap="notBeside" w:vAnchor="text" w:hAnchor="text" w:xAlign="center" w:y="1"/>
              <w:shd w:val="clear" w:color="auto" w:fill="auto"/>
              <w:spacing w:before="0" w:after="0" w:line="259" w:lineRule="exact"/>
              <w:rPr>
                <w:rFonts w:ascii="Bookman Old Style" w:hAnsi="Bookman Old Style"/>
              </w:rPr>
            </w:pPr>
            <w:r w:rsidRPr="003C6DF5">
              <w:rPr>
                <w:rStyle w:val="CharStyle81"/>
                <w:rFonts w:ascii="Bookman Old Style" w:hAnsi="Bookman Old Style"/>
                <w:color w:val="000000"/>
                <w:lang w:eastAsia="es-ES_tradnl"/>
              </w:rPr>
              <w:t xml:space="preserve">SEGÚN JURISPRUDENCIA C. DE E. Y PAR. 2° </w:t>
            </w:r>
            <w:r w:rsidRPr="008B2873">
              <w:rPr>
                <w:rStyle w:val="CharStyle81"/>
                <w:rFonts w:ascii="Bookman Old Style" w:hAnsi="Bookman Old Style"/>
                <w:color w:val="000000"/>
              </w:rPr>
              <w:t xml:space="preserve">ART. </w:t>
            </w:r>
            <w:r w:rsidRPr="003C6DF5">
              <w:rPr>
                <w:rStyle w:val="CharStyle81"/>
                <w:rFonts w:ascii="Bookman Old Style" w:hAnsi="Bookman Old Style"/>
                <w:color w:val="000000"/>
                <w:lang w:eastAsia="es-ES_tradnl"/>
              </w:rPr>
              <w:t>85 LEY 142/1994</w:t>
            </w:r>
          </w:p>
        </w:tc>
        <w:tc>
          <w:tcPr>
            <w:tcW w:w="1776" w:type="dxa"/>
            <w:tcBorders>
              <w:top w:val="single" w:sz="4" w:space="0" w:color="auto"/>
              <w:left w:val="single" w:sz="4" w:space="0" w:color="auto"/>
              <w:bottom w:val="nil"/>
              <w:right w:val="nil"/>
            </w:tcBorders>
            <w:shd w:val="clear" w:color="auto" w:fill="FFFFFF"/>
            <w:vAlign w:val="bottom"/>
          </w:tcPr>
          <w:p w:rsidR="00F8092D" w:rsidRPr="003C6DF5" w:rsidRDefault="00F8092D" w:rsidP="00180166">
            <w:pPr>
              <w:pStyle w:val="Style40"/>
              <w:framePr w:w="7051" w:wrap="notBeside" w:vAnchor="text" w:hAnchor="text" w:xAlign="center" w:y="1"/>
              <w:shd w:val="clear" w:color="auto" w:fill="auto"/>
              <w:spacing w:before="0" w:after="0" w:line="180" w:lineRule="exact"/>
              <w:ind w:right="80"/>
              <w:jc w:val="right"/>
              <w:rPr>
                <w:rFonts w:ascii="Bookman Old Style" w:hAnsi="Bookman Old Style"/>
              </w:rPr>
            </w:pPr>
            <w:r w:rsidRPr="003C6DF5">
              <w:rPr>
                <w:rStyle w:val="CharStyle81"/>
                <w:rFonts w:ascii="Bookman Old Style" w:hAnsi="Bookman Old Style"/>
                <w:color w:val="000000"/>
                <w:lang w:eastAsia="es-ES_tradnl"/>
              </w:rPr>
              <w:t>54.532.448.105</w:t>
            </w:r>
          </w:p>
        </w:tc>
        <w:tc>
          <w:tcPr>
            <w:tcW w:w="1954" w:type="dxa"/>
            <w:tcBorders>
              <w:top w:val="single" w:sz="4" w:space="0" w:color="auto"/>
              <w:left w:val="single" w:sz="4" w:space="0" w:color="auto"/>
              <w:bottom w:val="nil"/>
              <w:right w:val="single" w:sz="4" w:space="0" w:color="auto"/>
            </w:tcBorders>
            <w:shd w:val="clear" w:color="auto" w:fill="FFFFFF"/>
            <w:vAlign w:val="bottom"/>
          </w:tcPr>
          <w:p w:rsidR="00F8092D" w:rsidRPr="003C6DF5" w:rsidRDefault="00F8092D" w:rsidP="00180166">
            <w:pPr>
              <w:pStyle w:val="Style40"/>
              <w:framePr w:w="7051" w:wrap="notBeside" w:vAnchor="text" w:hAnchor="text" w:xAlign="center" w:y="1"/>
              <w:shd w:val="clear" w:color="auto" w:fill="auto"/>
              <w:spacing w:before="0" w:after="0" w:line="180" w:lineRule="exact"/>
              <w:ind w:right="80"/>
              <w:jc w:val="right"/>
              <w:rPr>
                <w:rFonts w:ascii="Bookman Old Style" w:hAnsi="Bookman Old Style"/>
              </w:rPr>
            </w:pPr>
            <w:r w:rsidRPr="003C6DF5">
              <w:rPr>
                <w:rStyle w:val="CharStyle81"/>
                <w:rFonts w:ascii="Bookman Old Style" w:hAnsi="Bookman Old Style"/>
                <w:color w:val="000000"/>
                <w:lang w:eastAsia="es-ES_tradnl"/>
              </w:rPr>
              <w:t>**452.264.858</w:t>
            </w:r>
          </w:p>
        </w:tc>
      </w:tr>
      <w:tr w:rsidR="00F8092D" w:rsidRPr="003C6DF5" w:rsidTr="00180166">
        <w:trPr>
          <w:trHeight w:hRule="exact" w:val="341"/>
          <w:jc w:val="center"/>
        </w:trPr>
        <w:tc>
          <w:tcPr>
            <w:tcW w:w="3322" w:type="dxa"/>
            <w:tcBorders>
              <w:top w:val="single" w:sz="4" w:space="0" w:color="auto"/>
              <w:left w:val="single" w:sz="4" w:space="0" w:color="auto"/>
              <w:bottom w:val="single" w:sz="4" w:space="0" w:color="auto"/>
              <w:right w:val="nil"/>
            </w:tcBorders>
            <w:shd w:val="clear" w:color="auto" w:fill="FFFFFF"/>
            <w:vAlign w:val="bottom"/>
          </w:tcPr>
          <w:p w:rsidR="00F8092D" w:rsidRPr="003C6DF5" w:rsidRDefault="00F8092D" w:rsidP="00180166">
            <w:pPr>
              <w:pStyle w:val="Style40"/>
              <w:framePr w:w="7051" w:wrap="notBeside" w:vAnchor="text" w:hAnchor="text" w:xAlign="center" w:y="1"/>
              <w:shd w:val="clear" w:color="auto" w:fill="auto"/>
              <w:spacing w:before="0" w:after="0" w:line="170" w:lineRule="exact"/>
              <w:rPr>
                <w:rFonts w:ascii="Bookman Old Style" w:hAnsi="Bookman Old Style"/>
              </w:rPr>
            </w:pPr>
            <w:r w:rsidRPr="003C6DF5">
              <w:rPr>
                <w:rStyle w:val="CharStyle82"/>
                <w:rFonts w:ascii="Bookman Old Style" w:hAnsi="Bookman Old Style"/>
                <w:color w:val="000000"/>
                <w:lang w:eastAsia="es-ES_tradnl"/>
              </w:rPr>
              <w:t>DIFERENCIA A EXCLUIR</w:t>
            </w:r>
          </w:p>
        </w:tc>
        <w:tc>
          <w:tcPr>
            <w:tcW w:w="1776" w:type="dxa"/>
            <w:tcBorders>
              <w:top w:val="single" w:sz="4" w:space="0" w:color="auto"/>
              <w:left w:val="single" w:sz="4" w:space="0" w:color="auto"/>
              <w:bottom w:val="single" w:sz="4" w:space="0" w:color="auto"/>
              <w:right w:val="nil"/>
            </w:tcBorders>
            <w:shd w:val="clear" w:color="auto" w:fill="FFFFFF"/>
            <w:vAlign w:val="bottom"/>
          </w:tcPr>
          <w:p w:rsidR="00F8092D" w:rsidRPr="003C6DF5" w:rsidRDefault="00F8092D" w:rsidP="00180166">
            <w:pPr>
              <w:pStyle w:val="Style40"/>
              <w:framePr w:w="7051" w:wrap="notBeside" w:vAnchor="text" w:hAnchor="text" w:xAlign="center" w:y="1"/>
              <w:shd w:val="clear" w:color="auto" w:fill="auto"/>
              <w:spacing w:before="0" w:after="0" w:line="170" w:lineRule="exact"/>
              <w:ind w:right="80"/>
              <w:jc w:val="right"/>
              <w:rPr>
                <w:rFonts w:ascii="Bookman Old Style" w:hAnsi="Bookman Old Style"/>
              </w:rPr>
            </w:pPr>
            <w:r w:rsidRPr="003C6DF5">
              <w:rPr>
                <w:rStyle w:val="CharStyle82"/>
                <w:rFonts w:ascii="Bookman Old Style" w:hAnsi="Bookman Old Style"/>
                <w:color w:val="000000"/>
                <w:lang w:eastAsia="es-ES_tradnl"/>
              </w:rPr>
              <w:t>12.925.222.895</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bottom"/>
          </w:tcPr>
          <w:p w:rsidR="00F8092D" w:rsidRPr="003C6DF5" w:rsidRDefault="00F8092D" w:rsidP="00180166">
            <w:pPr>
              <w:pStyle w:val="Style40"/>
              <w:framePr w:w="7051" w:wrap="notBeside" w:vAnchor="text" w:hAnchor="text" w:xAlign="center" w:y="1"/>
              <w:shd w:val="clear" w:color="auto" w:fill="auto"/>
              <w:spacing w:before="0" w:after="0" w:line="170" w:lineRule="exact"/>
              <w:ind w:right="80"/>
              <w:jc w:val="right"/>
              <w:rPr>
                <w:rFonts w:ascii="Bookman Old Style" w:hAnsi="Bookman Old Style"/>
              </w:rPr>
            </w:pPr>
            <w:r w:rsidRPr="003C6DF5">
              <w:rPr>
                <w:rStyle w:val="CharStyle82"/>
                <w:rFonts w:ascii="Bookman Old Style" w:hAnsi="Bookman Old Style"/>
                <w:color w:val="000000"/>
                <w:lang w:eastAsia="es-ES_tradnl"/>
              </w:rPr>
              <w:t>**107.195.336</w:t>
            </w:r>
          </w:p>
        </w:tc>
      </w:tr>
    </w:tbl>
    <w:p w:rsidR="00F8092D" w:rsidRPr="003C6DF5" w:rsidRDefault="00F8092D" w:rsidP="00F8092D">
      <w:pPr>
        <w:pStyle w:val="Style86"/>
        <w:framePr w:w="7051" w:wrap="notBeside" w:vAnchor="text" w:hAnchor="text" w:xAlign="center" w:y="1"/>
        <w:shd w:val="clear" w:color="auto" w:fill="auto"/>
        <w:spacing w:line="190" w:lineRule="exact"/>
        <w:rPr>
          <w:rFonts w:ascii="Bookman Old Style" w:hAnsi="Bookman Old Style"/>
          <w:i/>
        </w:rPr>
      </w:pPr>
      <w:r w:rsidRPr="003C6DF5">
        <w:rPr>
          <w:rStyle w:val="CharStyle87"/>
          <w:rFonts w:ascii="Bookman Old Style" w:hAnsi="Bookman Old Style"/>
          <w:i/>
          <w:color w:val="000000"/>
          <w:lang w:eastAsia="es-ES_tradnl"/>
        </w:rPr>
        <w:t>Liquidado por CENS teniendo como base el 0.82935%</w:t>
      </w:r>
    </w:p>
    <w:p w:rsidR="00F8092D" w:rsidRPr="003C6DF5" w:rsidRDefault="00F8092D" w:rsidP="00F8092D">
      <w:pPr>
        <w:rPr>
          <w:rFonts w:ascii="Bookman Old Style" w:hAnsi="Bookman Old Style"/>
          <w:i/>
          <w:sz w:val="2"/>
          <w:szCs w:val="2"/>
          <w:lang w:eastAsia="es-CO"/>
        </w:rPr>
      </w:pPr>
    </w:p>
    <w:p w:rsidR="00F8092D" w:rsidRPr="003C6DF5" w:rsidRDefault="00F8092D" w:rsidP="00F8092D">
      <w:pPr>
        <w:pStyle w:val="Style9"/>
        <w:shd w:val="clear" w:color="auto" w:fill="auto"/>
        <w:spacing w:before="146" w:after="180" w:line="240" w:lineRule="exact"/>
        <w:ind w:left="40" w:right="20"/>
        <w:jc w:val="both"/>
        <w:rPr>
          <w:rFonts w:ascii="Bookman Old Style" w:hAnsi="Bookman Old Style"/>
          <w:i/>
        </w:rPr>
      </w:pPr>
      <w:r w:rsidRPr="003C6DF5">
        <w:rPr>
          <w:rStyle w:val="CharStyle10"/>
          <w:rFonts w:ascii="Bookman Old Style" w:hAnsi="Bookman Old Style"/>
          <w:i/>
          <w:color w:val="000000"/>
          <w:lang w:eastAsia="es-ES_tradnl"/>
        </w:rPr>
        <w:t xml:space="preserve">Para soportar aún más nuestros argumentos, la Superintendencia de Servicios Públicos Domiciliarios mediante Resolución </w:t>
      </w:r>
      <w:r w:rsidRPr="008B2873">
        <w:rPr>
          <w:rStyle w:val="CharStyle10"/>
          <w:rFonts w:ascii="Bookman Old Style" w:hAnsi="Bookman Old Style"/>
          <w:i/>
          <w:color w:val="000000"/>
        </w:rPr>
        <w:t xml:space="preserve">No. </w:t>
      </w:r>
      <w:r w:rsidRPr="003C6DF5">
        <w:rPr>
          <w:rStyle w:val="CharStyle10"/>
          <w:rFonts w:ascii="Bookman Old Style" w:hAnsi="Bookman Old Style"/>
          <w:i/>
          <w:color w:val="000000"/>
          <w:lang w:eastAsia="es-ES_tradnl"/>
        </w:rPr>
        <w:t xml:space="preserve">SSPD 20165300061545 del 2 de noviembre de 2015, de la Dirección Financiera resolvió el recurso de reposición presentado por CENS contra la liquidación Oficial SSPD 20165340035136 de fecha 9 de septiembre de 2016, correspondiente a la contribución especial año 2016, modificándola parcialmente en el sentido de excluir del cálculo las cuentas que hacen referencia a Provisiones, Amortizaciones y Depreciaciones. </w:t>
      </w:r>
      <w:r w:rsidRPr="003C6DF5">
        <w:rPr>
          <w:rStyle w:val="CharStyle88"/>
          <w:rFonts w:ascii="Bookman Old Style" w:hAnsi="Bookman Old Style"/>
          <w:i/>
          <w:color w:val="000000"/>
          <w:lang w:eastAsia="es-ES_tradnl"/>
        </w:rPr>
        <w:t xml:space="preserve">Se anexa Resolución </w:t>
      </w:r>
      <w:r w:rsidRPr="008B2873">
        <w:rPr>
          <w:rStyle w:val="CharStyle88"/>
          <w:rFonts w:ascii="Bookman Old Style" w:hAnsi="Bookman Old Style"/>
          <w:i/>
          <w:color w:val="000000"/>
        </w:rPr>
        <w:t>No. SSPD 20165000062855</w:t>
      </w:r>
      <w:r w:rsidRPr="003C6DF5">
        <w:rPr>
          <w:rStyle w:val="CharStyle88"/>
          <w:rFonts w:ascii="Bookman Old Style" w:hAnsi="Bookman Old Style"/>
          <w:i/>
          <w:color w:val="000000"/>
          <w:lang w:eastAsia="es-ES_tradnl"/>
        </w:rPr>
        <w:t xml:space="preserve"> del 15 de noviembre de 2018, por medio de la cual se resuelve </w:t>
      </w:r>
      <w:r w:rsidR="00D41165" w:rsidRPr="003C6DF5">
        <w:rPr>
          <w:rStyle w:val="CharStyle88"/>
          <w:rFonts w:ascii="Bookman Old Style" w:hAnsi="Bookman Old Style"/>
          <w:i/>
          <w:color w:val="000000"/>
          <w:lang w:eastAsia="es-ES_tradnl"/>
        </w:rPr>
        <w:t>un</w:t>
      </w:r>
      <w:r w:rsidRPr="003C6DF5">
        <w:rPr>
          <w:rStyle w:val="CharStyle88"/>
          <w:rFonts w:ascii="Bookman Old Style" w:hAnsi="Bookman Old Style"/>
          <w:i/>
          <w:color w:val="000000"/>
          <w:lang w:eastAsia="es-ES_tradnl"/>
        </w:rPr>
        <w:t xml:space="preserve"> recurso de apelación.</w:t>
      </w:r>
    </w:p>
    <w:p w:rsidR="00F8092D" w:rsidRPr="003C6DF5" w:rsidRDefault="00F8092D" w:rsidP="00F8092D">
      <w:pPr>
        <w:pStyle w:val="Style9"/>
        <w:shd w:val="clear" w:color="auto" w:fill="auto"/>
        <w:spacing w:before="0" w:after="176" w:line="240" w:lineRule="exact"/>
        <w:ind w:left="40" w:right="20"/>
        <w:jc w:val="both"/>
        <w:rPr>
          <w:rFonts w:ascii="Bookman Old Style" w:hAnsi="Bookman Old Style"/>
          <w:i/>
        </w:rPr>
      </w:pPr>
      <w:r w:rsidRPr="003C6DF5">
        <w:rPr>
          <w:rStyle w:val="CharStyle10"/>
          <w:rFonts w:ascii="Bookman Old Style" w:hAnsi="Bookman Old Style"/>
          <w:i/>
          <w:color w:val="000000"/>
          <w:lang w:eastAsia="es-ES_tradnl"/>
        </w:rPr>
        <w:t>De otra parte, en los c</w:t>
      </w:r>
      <w:r w:rsidR="00D41165" w:rsidRPr="003C6DF5">
        <w:rPr>
          <w:rStyle w:val="CharStyle10"/>
          <w:rFonts w:ascii="Bookman Old Style" w:hAnsi="Bookman Old Style"/>
          <w:i/>
          <w:color w:val="000000"/>
          <w:lang w:eastAsia="es-ES_tradnl"/>
        </w:rPr>
        <w:t xml:space="preserve">onsiderandos de la Resolución 188 </w:t>
      </w:r>
      <w:r w:rsidRPr="003C6DF5">
        <w:rPr>
          <w:rStyle w:val="CharStyle10"/>
          <w:rFonts w:ascii="Bookman Old Style" w:hAnsi="Bookman Old Style"/>
          <w:i/>
          <w:color w:val="000000"/>
          <w:lang w:eastAsia="es-ES_tradnl"/>
        </w:rPr>
        <w:t>de</w:t>
      </w:r>
      <w:r w:rsidR="00D41165" w:rsidRPr="003C6DF5">
        <w:rPr>
          <w:rStyle w:val="CharStyle10"/>
          <w:rFonts w:ascii="Bookman Old Style" w:hAnsi="Bookman Old Style"/>
          <w:i/>
          <w:color w:val="000000"/>
          <w:lang w:eastAsia="es-ES_tradnl"/>
        </w:rPr>
        <w:t xml:space="preserve"> </w:t>
      </w:r>
      <w:r w:rsidRPr="003C6DF5">
        <w:rPr>
          <w:rStyle w:val="CharStyle10"/>
          <w:rFonts w:ascii="Bookman Old Style" w:hAnsi="Bookman Old Style"/>
          <w:i/>
          <w:color w:val="000000"/>
          <w:lang w:eastAsia="es-ES_tradnl"/>
        </w:rPr>
        <w:t>201</w:t>
      </w:r>
      <w:r w:rsidR="00D41165" w:rsidRPr="003C6DF5">
        <w:rPr>
          <w:rStyle w:val="CharStyle10"/>
          <w:rFonts w:ascii="Bookman Old Style" w:hAnsi="Bookman Old Style"/>
          <w:i/>
          <w:color w:val="000000"/>
          <w:lang w:eastAsia="es-ES_tradnl"/>
        </w:rPr>
        <w:t>6</w:t>
      </w:r>
      <w:r w:rsidRPr="003C6DF5">
        <w:rPr>
          <w:rStyle w:val="CharStyle10"/>
          <w:rFonts w:ascii="Bookman Old Style" w:hAnsi="Bookman Old Style"/>
          <w:i/>
          <w:color w:val="000000"/>
          <w:lang w:eastAsia="es-ES_tradnl"/>
        </w:rPr>
        <w:t xml:space="preserve"> se señala que la liquidación del monto de la contribución se aplicó con sujeción a las disposiciones legales contenidas en los artículos </w:t>
      </w:r>
      <w:r w:rsidR="00D41165" w:rsidRPr="003C6DF5">
        <w:rPr>
          <w:rStyle w:val="CharStyle10"/>
          <w:rFonts w:ascii="Bookman Old Style" w:hAnsi="Bookman Old Style"/>
          <w:i/>
          <w:color w:val="000000"/>
          <w:lang w:eastAsia="es-ES_tradnl"/>
        </w:rPr>
        <w:t>85</w:t>
      </w:r>
      <w:r w:rsidRPr="003C6DF5">
        <w:rPr>
          <w:rStyle w:val="CharStyle10"/>
          <w:rFonts w:ascii="Bookman Old Style" w:hAnsi="Bookman Old Style"/>
          <w:i/>
          <w:color w:val="000000"/>
          <w:lang w:eastAsia="es-ES_tradnl"/>
        </w:rPr>
        <w:t xml:space="preserve"> de la Ley 142 de1994</w:t>
      </w:r>
      <w:r w:rsidR="00D41165" w:rsidRPr="003C6DF5">
        <w:rPr>
          <w:rStyle w:val="CharStyle10"/>
          <w:rFonts w:ascii="Bookman Old Style" w:hAnsi="Bookman Old Style"/>
          <w:i/>
          <w:color w:val="000000"/>
          <w:lang w:eastAsia="es-ES_tradnl"/>
        </w:rPr>
        <w:t xml:space="preserve"> </w:t>
      </w:r>
      <w:r w:rsidRPr="003C6DF5">
        <w:rPr>
          <w:rStyle w:val="CharStyle10"/>
          <w:rFonts w:ascii="Bookman Old Style" w:hAnsi="Bookman Old Style"/>
          <w:i/>
          <w:color w:val="000000"/>
          <w:lang w:eastAsia="es-ES_tradnl"/>
        </w:rPr>
        <w:t>y</w:t>
      </w:r>
      <w:r w:rsidR="00D41165" w:rsidRPr="003C6DF5">
        <w:rPr>
          <w:rStyle w:val="CharStyle10"/>
          <w:rFonts w:ascii="Bookman Old Style" w:hAnsi="Bookman Old Style"/>
          <w:i/>
          <w:color w:val="000000"/>
          <w:lang w:eastAsia="es-ES_tradnl"/>
        </w:rPr>
        <w:t xml:space="preserve"> </w:t>
      </w:r>
      <w:r w:rsidRPr="003C6DF5">
        <w:rPr>
          <w:rStyle w:val="CharStyle10"/>
          <w:rFonts w:ascii="Bookman Old Style" w:hAnsi="Bookman Old Style"/>
          <w:i/>
          <w:color w:val="000000"/>
          <w:lang w:eastAsia="es-ES_tradnl"/>
        </w:rPr>
        <w:t>22 de la Ley 143 de1994 así como los artículos</w:t>
      </w:r>
      <w:r w:rsidR="00D41165" w:rsidRPr="003C6DF5">
        <w:rPr>
          <w:rStyle w:val="CharStyle10"/>
          <w:rFonts w:ascii="Bookman Old Style" w:hAnsi="Bookman Old Style"/>
          <w:i/>
          <w:color w:val="000000"/>
          <w:lang w:eastAsia="es-ES_tradnl"/>
        </w:rPr>
        <w:t xml:space="preserve"> 21</w:t>
      </w:r>
      <w:r w:rsidRPr="003C6DF5">
        <w:rPr>
          <w:rStyle w:val="CharStyle10"/>
          <w:rFonts w:ascii="Bookman Old Style" w:hAnsi="Bookman Old Style"/>
          <w:i/>
          <w:color w:val="000000"/>
          <w:lang w:eastAsia="es-ES_tradnl"/>
        </w:rPr>
        <w:t xml:space="preserve"> </w:t>
      </w:r>
      <w:r w:rsidRPr="003C6DF5">
        <w:rPr>
          <w:rStyle w:val="CharStyle89"/>
          <w:rFonts w:ascii="Bookman Old Style" w:hAnsi="Bookman Old Style"/>
          <w:i/>
          <w:color w:val="000000"/>
          <w:lang w:eastAsia="es-ES_tradnl"/>
        </w:rPr>
        <w:t>y</w:t>
      </w:r>
      <w:r w:rsidR="00D41165" w:rsidRPr="003C6DF5">
        <w:rPr>
          <w:rStyle w:val="CharStyle10"/>
          <w:rFonts w:ascii="Bookman Old Style" w:hAnsi="Bookman Old Style"/>
        </w:rPr>
        <w:t xml:space="preserve">22 </w:t>
      </w:r>
      <w:r w:rsidRPr="003C6DF5">
        <w:rPr>
          <w:rStyle w:val="CharStyle10"/>
          <w:rFonts w:ascii="Bookman Old Style" w:hAnsi="Bookman Old Style"/>
          <w:i/>
          <w:color w:val="000000"/>
          <w:lang w:eastAsia="es-ES_tradnl"/>
        </w:rPr>
        <w:t xml:space="preserve">de la Resolución </w:t>
      </w:r>
      <w:r w:rsidR="00D41165" w:rsidRPr="003C6DF5">
        <w:rPr>
          <w:rStyle w:val="CharStyle10"/>
          <w:rFonts w:ascii="Bookman Old Style" w:hAnsi="Bookman Old Style"/>
          <w:i/>
          <w:color w:val="000000"/>
          <w:lang w:eastAsia="es-ES_tradnl"/>
        </w:rPr>
        <w:t>CREG</w:t>
      </w:r>
      <w:r w:rsidRPr="003C6DF5">
        <w:rPr>
          <w:rStyle w:val="CharStyle10"/>
          <w:rFonts w:ascii="Bookman Old Style" w:hAnsi="Bookman Old Style"/>
          <w:i/>
          <w:color w:val="000000"/>
          <w:lang w:eastAsia="es-ES_tradnl"/>
        </w:rPr>
        <w:t xml:space="preserve"> No.072 de 2014,</w:t>
      </w:r>
      <w:r w:rsidR="00D41165" w:rsidRPr="003C6DF5">
        <w:rPr>
          <w:rStyle w:val="CharStyle10"/>
          <w:rFonts w:ascii="Bookman Old Style" w:hAnsi="Bookman Old Style"/>
          <w:i/>
          <w:color w:val="000000"/>
          <w:lang w:eastAsia="es-ES_tradnl"/>
        </w:rPr>
        <w:t xml:space="preserve"> </w:t>
      </w:r>
      <w:r w:rsidRPr="003C6DF5">
        <w:rPr>
          <w:rStyle w:val="CharStyle10"/>
          <w:rFonts w:ascii="Bookman Old Style" w:hAnsi="Bookman Old Style"/>
          <w:i/>
          <w:color w:val="000000"/>
          <w:lang w:eastAsia="es-ES_tradnl"/>
        </w:rPr>
        <w:t xml:space="preserve">sin embargo, en el artículo primero de dicha resolución, se relaciona el monto de la contribución que deberá pagar </w:t>
      </w:r>
      <w:r w:rsidR="00D41165" w:rsidRPr="003C6DF5">
        <w:rPr>
          <w:rStyle w:val="CharStyle10"/>
          <w:rFonts w:ascii="Bookman Old Style" w:hAnsi="Bookman Old Style"/>
          <w:i/>
          <w:color w:val="000000"/>
          <w:lang w:eastAsia="es-ES_tradnl"/>
        </w:rPr>
        <w:t>CENS en el año 2016</w:t>
      </w:r>
      <w:r w:rsidRPr="003C6DF5">
        <w:rPr>
          <w:rStyle w:val="CharStyle10"/>
          <w:rFonts w:ascii="Bookman Old Style" w:hAnsi="Bookman Old Style"/>
          <w:i/>
          <w:color w:val="000000"/>
          <w:lang w:eastAsia="es-ES_tradnl"/>
        </w:rPr>
        <w:t>, liquidación que se calculó teniendo en cuenta una base gravable cuyos valores incluye cuentas del grupo 51 “Gastos de Administración” y del grupo 53  “Provisiones, amortizaciones y depreciaciones”.</w:t>
      </w:r>
    </w:p>
    <w:p w:rsidR="00F8092D" w:rsidRPr="003C6DF5" w:rsidRDefault="00F8092D" w:rsidP="00F8092D">
      <w:pPr>
        <w:pStyle w:val="Style9"/>
        <w:shd w:val="clear" w:color="auto" w:fill="auto"/>
        <w:spacing w:before="0" w:after="180" w:line="245" w:lineRule="exact"/>
        <w:ind w:left="40" w:right="20"/>
        <w:jc w:val="both"/>
        <w:rPr>
          <w:rFonts w:ascii="Bookman Old Style" w:hAnsi="Bookman Old Style"/>
          <w:i/>
        </w:rPr>
      </w:pPr>
      <w:r w:rsidRPr="003C6DF5">
        <w:rPr>
          <w:rStyle w:val="CharStyle10"/>
          <w:rFonts w:ascii="Bookman Old Style" w:hAnsi="Bookman Old Style"/>
          <w:i/>
          <w:color w:val="000000"/>
          <w:lang w:eastAsia="es-ES_tradnl"/>
        </w:rPr>
        <w:t xml:space="preserve">Nótese entonces que el acto administrativo proferido por la </w:t>
      </w:r>
      <w:r w:rsidR="00D41165" w:rsidRPr="003C6DF5">
        <w:rPr>
          <w:rStyle w:val="CharStyle10"/>
          <w:rFonts w:ascii="Bookman Old Style" w:hAnsi="Bookman Old Style"/>
          <w:i/>
          <w:color w:val="000000"/>
          <w:lang w:eastAsia="es-ES_tradnl"/>
        </w:rPr>
        <w:t>CREG</w:t>
      </w:r>
      <w:r w:rsidRPr="003C6DF5">
        <w:rPr>
          <w:rStyle w:val="CharStyle10"/>
          <w:rFonts w:ascii="Bookman Old Style" w:hAnsi="Bookman Old Style"/>
          <w:i/>
          <w:color w:val="000000"/>
          <w:lang w:eastAsia="es-ES_tradnl"/>
        </w:rPr>
        <w:t xml:space="preserve"> no guarda congruencia entre lo señalado en la parte considerativa y lo decidido en la parte resolutiva, en cuanto en la primera enuncia las disposiciones legales que se deben tener en cuenta para la liquidación de la contribución especial, pero en la segunda se incluyen valores de cuentas que no conforman la base en la liquidación de la contribución especial.</w:t>
      </w:r>
    </w:p>
    <w:p w:rsidR="00F8092D" w:rsidRPr="003C6DF5" w:rsidRDefault="00F8092D" w:rsidP="00F8092D">
      <w:pPr>
        <w:ind w:left="0"/>
        <w:jc w:val="both"/>
        <w:rPr>
          <w:rStyle w:val="CharStyle10"/>
          <w:rFonts w:ascii="Bookman Old Style" w:hAnsi="Bookman Old Style"/>
          <w:i/>
          <w:color w:val="000000"/>
          <w:lang w:eastAsia="es-ES_tradnl"/>
        </w:rPr>
      </w:pPr>
      <w:r w:rsidRPr="003C6DF5">
        <w:rPr>
          <w:rStyle w:val="CharStyle10"/>
          <w:rFonts w:ascii="Bookman Old Style" w:hAnsi="Bookman Old Style"/>
          <w:i/>
          <w:color w:val="000000"/>
          <w:lang w:eastAsia="es-ES_tradnl"/>
        </w:rPr>
        <w:t>Este vicio de la falta de congruencia conduce necesariamente a la violación de los principios del derecho de defensa y del debido proceso, pilares de la Constitución  Política”.</w:t>
      </w:r>
    </w:p>
    <w:p w:rsidR="00F8092D" w:rsidRPr="003C6DF5" w:rsidRDefault="00F8092D" w:rsidP="00F8092D">
      <w:pPr>
        <w:ind w:left="0"/>
        <w:jc w:val="both"/>
        <w:rPr>
          <w:rStyle w:val="CharStyle10"/>
          <w:rFonts w:ascii="Bookman Old Style" w:hAnsi="Bookman Old Style"/>
          <w:i/>
          <w:color w:val="000000"/>
          <w:lang w:eastAsia="es-ES_tradnl"/>
        </w:rPr>
      </w:pPr>
    </w:p>
    <w:p w:rsidR="00F8092D" w:rsidRPr="003C6DF5" w:rsidRDefault="00F8092D" w:rsidP="00F8092D">
      <w:pPr>
        <w:ind w:left="0"/>
        <w:jc w:val="both"/>
        <w:rPr>
          <w:rFonts w:ascii="Bookman Old Style" w:hAnsi="Bookman Old Style"/>
        </w:rPr>
      </w:pPr>
    </w:p>
    <w:p w:rsidR="00321BFD" w:rsidRPr="003C6DF5" w:rsidRDefault="00321BFD" w:rsidP="00321BFD">
      <w:pPr>
        <w:pStyle w:val="Prrafodelista"/>
        <w:numPr>
          <w:ilvl w:val="0"/>
          <w:numId w:val="3"/>
        </w:numPr>
        <w:jc w:val="both"/>
        <w:rPr>
          <w:rFonts w:ascii="Bookman Old Style" w:hAnsi="Bookman Old Style"/>
          <w:b/>
          <w:sz w:val="24"/>
          <w:szCs w:val="24"/>
        </w:rPr>
      </w:pPr>
      <w:r w:rsidRPr="003C6DF5">
        <w:rPr>
          <w:rFonts w:ascii="Bookman Old Style" w:hAnsi="Bookman Old Style"/>
          <w:b/>
          <w:sz w:val="24"/>
          <w:szCs w:val="24"/>
        </w:rPr>
        <w:t>CONSIDERACIONES DE LA CREG</w:t>
      </w:r>
    </w:p>
    <w:p w:rsidR="00321BFD" w:rsidRPr="003C6DF5" w:rsidRDefault="00321BFD" w:rsidP="00321BFD">
      <w:pPr>
        <w:ind w:left="0"/>
        <w:jc w:val="both"/>
        <w:rPr>
          <w:rFonts w:ascii="Bookman Old Style" w:hAnsi="Bookman Old Style"/>
        </w:rPr>
      </w:pPr>
    </w:p>
    <w:p w:rsidR="00321BFD" w:rsidRPr="003C6DF5" w:rsidRDefault="00321BFD" w:rsidP="00321BFD">
      <w:pPr>
        <w:ind w:left="0"/>
        <w:jc w:val="both"/>
        <w:rPr>
          <w:rFonts w:ascii="Bookman Old Style" w:hAnsi="Bookman Old Style"/>
        </w:rPr>
      </w:pPr>
      <w:r w:rsidRPr="003C6DF5">
        <w:rPr>
          <w:rFonts w:ascii="Bookman Old Style" w:hAnsi="Bookman Old Style"/>
        </w:rPr>
        <w:t>De acuerdo con los argumentos del recurrente, estos se circunscriben a un aspecto fundamental:</w:t>
      </w:r>
    </w:p>
    <w:p w:rsidR="00321BFD" w:rsidRPr="003C6DF5" w:rsidRDefault="00321BFD" w:rsidP="00321BFD">
      <w:pPr>
        <w:ind w:left="0"/>
        <w:jc w:val="both"/>
        <w:rPr>
          <w:rFonts w:ascii="Bookman Old Style" w:hAnsi="Bookman Old Style"/>
        </w:rPr>
      </w:pPr>
    </w:p>
    <w:p w:rsidR="00321BFD" w:rsidRPr="003C6DF5" w:rsidRDefault="00F8092D" w:rsidP="00321BFD">
      <w:pPr>
        <w:pStyle w:val="Prrafodelista"/>
        <w:ind w:left="720"/>
        <w:jc w:val="both"/>
        <w:rPr>
          <w:rFonts w:ascii="Bookman Old Style" w:hAnsi="Bookman Old Style"/>
          <w:sz w:val="24"/>
          <w:szCs w:val="24"/>
        </w:rPr>
      </w:pPr>
      <w:r w:rsidRPr="003C6DF5">
        <w:rPr>
          <w:rFonts w:ascii="Bookman Old Style" w:hAnsi="Bookman Old Style"/>
          <w:i/>
          <w:sz w:val="24"/>
          <w:szCs w:val="24"/>
          <w:lang w:val="es-ES"/>
        </w:rPr>
        <w:t>Sean excluidas las cuentas del Grupo 53 “Provisiones, Amortizaciones y Depreciaciones” Por lo tanto, deberá excluirse de la base gravable la suma de $12.925.222.895 y en consecuencia se determine un menor valor a pagar por la Contribución Especial de $107.195.336, siempre que el porcentaje aplicado por la CREG para la liquidación de la contribución vigencia 2016 para CENS corresponda al 0.82935</w:t>
      </w:r>
      <w:r w:rsidRPr="003C6DF5">
        <w:rPr>
          <w:rFonts w:ascii="Bookman Old Style" w:hAnsi="Bookman Old Style"/>
          <w:sz w:val="24"/>
          <w:szCs w:val="24"/>
          <w:lang w:val="es-ES"/>
        </w:rPr>
        <w:t>%</w:t>
      </w:r>
    </w:p>
    <w:p w:rsidR="00321BFD" w:rsidRPr="003C6DF5" w:rsidRDefault="00321BFD" w:rsidP="00321BFD">
      <w:pPr>
        <w:ind w:left="0"/>
        <w:jc w:val="both"/>
        <w:rPr>
          <w:rFonts w:ascii="Bookman Old Style" w:hAnsi="Bookman Old Style"/>
        </w:rPr>
      </w:pPr>
    </w:p>
    <w:p w:rsidR="00321BFD" w:rsidRPr="003C6DF5" w:rsidRDefault="00321BFD" w:rsidP="00321BFD">
      <w:pPr>
        <w:ind w:left="0"/>
        <w:jc w:val="both"/>
        <w:rPr>
          <w:rFonts w:ascii="Bookman Old Style" w:hAnsi="Bookman Old Style"/>
        </w:rPr>
      </w:pPr>
      <w:r w:rsidRPr="003C6DF5">
        <w:rPr>
          <w:rFonts w:ascii="Bookman Old Style" w:hAnsi="Bookman Old Style"/>
        </w:rPr>
        <w:lastRenderedPageBreak/>
        <w:t>Para dilucidar el planteamiento del recurso de reposición, la Comisión de Regulación de Energía y Gas –CREG efectuará un análisis acerca de los requisitos de la contribución.</w:t>
      </w:r>
    </w:p>
    <w:p w:rsidR="00321BFD" w:rsidRPr="003C6DF5" w:rsidRDefault="00321BFD" w:rsidP="00321BFD">
      <w:pPr>
        <w:ind w:left="0"/>
        <w:jc w:val="both"/>
        <w:rPr>
          <w:rFonts w:ascii="Bookman Old Style" w:hAnsi="Bookman Old Style"/>
        </w:rPr>
      </w:pPr>
    </w:p>
    <w:p w:rsidR="00321BFD" w:rsidRPr="003C6DF5" w:rsidRDefault="00321BFD" w:rsidP="00321BFD">
      <w:pPr>
        <w:ind w:left="0"/>
        <w:jc w:val="both"/>
        <w:rPr>
          <w:rFonts w:ascii="Bookman Old Style" w:hAnsi="Bookman Old Style"/>
        </w:rPr>
      </w:pPr>
      <w:r w:rsidRPr="003C6DF5">
        <w:rPr>
          <w:rFonts w:ascii="Bookman Old Style" w:hAnsi="Bookman Old Style"/>
        </w:rPr>
        <w:t>La contribución que se liquidó en el acto administrativo recurrido, fue establecida por la Ley 142 de 1992 “</w:t>
      </w:r>
      <w:r w:rsidRPr="003C6DF5">
        <w:rPr>
          <w:rFonts w:ascii="Bookman Old Style" w:hAnsi="Bookman Old Style"/>
          <w:i/>
        </w:rPr>
        <w:t>Ley de servicios públicos domiciliarios</w:t>
      </w:r>
      <w:r w:rsidRPr="003C6DF5">
        <w:rPr>
          <w:rFonts w:ascii="Bookman Old Style" w:hAnsi="Bookman Old Style"/>
        </w:rPr>
        <w:t xml:space="preserve">” artículo 85, de acuerdo con los criterios del numeral 2 y parágrafo 2 de esta disposición, a favor de la Comisión de Regulación de Energía y Gas –CREG- y a cargo de las entidades sometidas a su regulación, con el fin de recuperar los costos de los servicios de regulación que presta la Entidad. </w:t>
      </w:r>
    </w:p>
    <w:p w:rsidR="00321BFD" w:rsidRPr="003C6DF5" w:rsidRDefault="00321BFD" w:rsidP="00321BFD">
      <w:pPr>
        <w:ind w:left="0"/>
        <w:jc w:val="both"/>
        <w:rPr>
          <w:rFonts w:ascii="Bookman Old Style" w:hAnsi="Bookman Old Style"/>
        </w:rPr>
      </w:pPr>
    </w:p>
    <w:p w:rsidR="00321BFD" w:rsidRPr="003C6DF5" w:rsidRDefault="00B072B2" w:rsidP="00321BFD">
      <w:pPr>
        <w:ind w:left="0"/>
        <w:jc w:val="both"/>
        <w:rPr>
          <w:rFonts w:ascii="Bookman Old Style" w:hAnsi="Bookman Old Style"/>
        </w:rPr>
      </w:pPr>
      <w:r w:rsidRPr="003C6DF5">
        <w:rPr>
          <w:rFonts w:ascii="Bookman Old Style" w:hAnsi="Bookman Old Style"/>
        </w:rPr>
        <w:t>La c</w:t>
      </w:r>
      <w:r w:rsidR="00321BFD" w:rsidRPr="003C6DF5">
        <w:rPr>
          <w:rFonts w:ascii="Bookman Old Style" w:hAnsi="Bookman Old Style"/>
        </w:rPr>
        <w:t>ontribución a favor de la Comisión de Regulación de Energía y Gas CREG-, constituye un tributo que como tal, es obligatorio para todas las sociedades sometidas a regulación. Esta obligación fiscal a cargo de las entidades reguladas tiene prevista una sanción moratoria en caso de retardo en su cancelación lo que denota su carácter coercitivo. Como se puede apreciar la contribución va dirigida a un sector específico, como lo son las entidades reguladas por la CREG y su recaudo tiene como destinación cubrir sus gastos de funcionamiento.</w:t>
      </w:r>
    </w:p>
    <w:p w:rsidR="00321BFD" w:rsidRPr="003C6DF5" w:rsidRDefault="00321BFD" w:rsidP="00321BFD">
      <w:pPr>
        <w:ind w:left="0"/>
        <w:jc w:val="both"/>
        <w:rPr>
          <w:rFonts w:ascii="Bookman Old Style" w:hAnsi="Bookman Old Style"/>
        </w:rPr>
      </w:pPr>
    </w:p>
    <w:p w:rsidR="00321BFD" w:rsidRPr="003C6DF5" w:rsidRDefault="00321BFD" w:rsidP="00321BFD">
      <w:pPr>
        <w:ind w:left="0"/>
        <w:jc w:val="both"/>
        <w:rPr>
          <w:rFonts w:ascii="Bookman Old Style" w:hAnsi="Bookman Old Style"/>
        </w:rPr>
      </w:pPr>
      <w:r w:rsidRPr="003C6DF5">
        <w:rPr>
          <w:rFonts w:ascii="Bookman Old Style" w:hAnsi="Bookman Old Style"/>
        </w:rPr>
        <w:t>En este orden de ideas son sujetos pasivos de la contribución a favor de la CREG las entidades sometidas a su regulación control y vigilancia</w:t>
      </w:r>
      <w:r w:rsidRPr="003C6DF5">
        <w:rPr>
          <w:rStyle w:val="Refdenotaalpie"/>
          <w:rFonts w:ascii="Bookman Old Style" w:hAnsi="Bookman Old Style"/>
        </w:rPr>
        <w:footnoteReference w:id="1"/>
      </w:r>
      <w:r w:rsidRPr="003C6DF5">
        <w:rPr>
          <w:rFonts w:ascii="Bookman Old Style" w:hAnsi="Bookman Old Style"/>
        </w:rPr>
        <w:t xml:space="preserve">, </w:t>
      </w:r>
    </w:p>
    <w:p w:rsidR="00321BFD" w:rsidRPr="003C6DF5" w:rsidRDefault="00321BFD" w:rsidP="00321BFD">
      <w:pPr>
        <w:ind w:left="0"/>
        <w:jc w:val="both"/>
        <w:rPr>
          <w:rFonts w:ascii="Bookman Old Style" w:hAnsi="Bookman Old Style"/>
        </w:rPr>
      </w:pPr>
    </w:p>
    <w:p w:rsidR="00321BFD" w:rsidRPr="003C6DF5" w:rsidRDefault="00321BFD" w:rsidP="00321BFD">
      <w:pPr>
        <w:ind w:left="0"/>
        <w:jc w:val="both"/>
        <w:rPr>
          <w:rFonts w:ascii="Bookman Old Style" w:hAnsi="Bookman Old Style" w:cs="Arial"/>
          <w:bCs/>
        </w:rPr>
      </w:pPr>
      <w:r w:rsidRPr="003C6DF5">
        <w:rPr>
          <w:rFonts w:ascii="Bookman Old Style" w:hAnsi="Bookman Old Style" w:cs="Arial"/>
          <w:bCs/>
        </w:rPr>
        <w:t>La Comisión de Regulación de Energía y Gas- CREG-, para llevar a cabo la contribución especial se fundamentó en la información del Registro Único de Prestadores de Servicios Públicos –RUPS, encontrando que la empresa</w:t>
      </w:r>
      <w:r w:rsidR="00B072B2" w:rsidRPr="003C6DF5">
        <w:rPr>
          <w:rFonts w:ascii="Bookman Old Style" w:hAnsi="Bookman Old Style"/>
          <w:bCs/>
        </w:rPr>
        <w:t xml:space="preserve"> </w:t>
      </w:r>
      <w:r w:rsidR="008C14FF" w:rsidRPr="003C6DF5">
        <w:rPr>
          <w:rFonts w:ascii="Bookman Old Style" w:hAnsi="Bookman Old Style"/>
          <w:bCs/>
        </w:rPr>
        <w:t>CENTRALES ELECTRICAS DE</w:t>
      </w:r>
      <w:r w:rsidR="00F8092D" w:rsidRPr="003C6DF5">
        <w:rPr>
          <w:rFonts w:ascii="Bookman Old Style" w:hAnsi="Bookman Old Style"/>
          <w:bCs/>
        </w:rPr>
        <w:t>L NORTE DE SANTANDER E.S.P. S.A.</w:t>
      </w:r>
      <w:r w:rsidRPr="003C6DF5">
        <w:rPr>
          <w:rFonts w:ascii="Bookman Old Style" w:hAnsi="Bookman Old Style"/>
          <w:bCs/>
        </w:rPr>
        <w:t>, desarrolla actividades objeto de regulación.</w:t>
      </w:r>
    </w:p>
    <w:p w:rsidR="00321BFD" w:rsidRPr="003C6DF5" w:rsidRDefault="00321BFD" w:rsidP="00321BFD">
      <w:pPr>
        <w:pStyle w:val="NormalWeb"/>
        <w:spacing w:before="0" w:beforeAutospacing="0" w:after="0" w:afterAutospacing="0"/>
        <w:jc w:val="both"/>
        <w:rPr>
          <w:rFonts w:ascii="Bookman Old Style" w:hAnsi="Bookman Old Style" w:cs="Arial"/>
          <w:bCs/>
          <w:lang w:val="es-MX"/>
        </w:rPr>
      </w:pPr>
    </w:p>
    <w:p w:rsidR="00321BFD" w:rsidRPr="003C6DF5" w:rsidRDefault="00321BFD" w:rsidP="00321BFD">
      <w:pPr>
        <w:pStyle w:val="Prrafodelista"/>
        <w:ind w:left="0"/>
        <w:jc w:val="both"/>
        <w:rPr>
          <w:rFonts w:ascii="Bookman Old Style" w:hAnsi="Bookman Old Style"/>
          <w:sz w:val="24"/>
          <w:szCs w:val="24"/>
        </w:rPr>
      </w:pPr>
      <w:r w:rsidRPr="003C6DF5">
        <w:rPr>
          <w:rFonts w:ascii="Bookman Old Style" w:hAnsi="Bookman Old Style"/>
          <w:sz w:val="24"/>
          <w:szCs w:val="24"/>
        </w:rPr>
        <w:t>De la misma forma, el artículo 21 de la Ley 143 de 1994 establece la forma como debe realizarse la liquidación de la contribución especial de las empresas reguladas por la Comisión de Regulación de Energía y Gas –CREG-</w:t>
      </w:r>
    </w:p>
    <w:p w:rsidR="00321BFD" w:rsidRPr="003C6DF5" w:rsidRDefault="00321BFD" w:rsidP="00321BFD">
      <w:pPr>
        <w:pStyle w:val="Prrafodelista"/>
        <w:ind w:left="0"/>
        <w:jc w:val="both"/>
        <w:rPr>
          <w:rFonts w:ascii="Bookman Old Style" w:hAnsi="Bookman Old Style"/>
          <w:sz w:val="24"/>
          <w:szCs w:val="24"/>
        </w:rPr>
      </w:pPr>
    </w:p>
    <w:p w:rsidR="00321BFD" w:rsidRPr="003C6DF5" w:rsidRDefault="00321BFD" w:rsidP="00321BFD">
      <w:pPr>
        <w:pStyle w:val="Prrafodelista"/>
        <w:ind w:left="0"/>
        <w:jc w:val="both"/>
        <w:rPr>
          <w:rFonts w:ascii="Bookman Old Style" w:hAnsi="Bookman Old Style"/>
          <w:sz w:val="24"/>
          <w:szCs w:val="24"/>
        </w:rPr>
      </w:pPr>
      <w:r w:rsidRPr="003C6DF5">
        <w:rPr>
          <w:rFonts w:ascii="Bookman Old Style" w:hAnsi="Bookman Old Style"/>
          <w:sz w:val="24"/>
          <w:szCs w:val="24"/>
        </w:rPr>
        <w:t>Igualmente es importante señalar lo siguiente:</w:t>
      </w:r>
    </w:p>
    <w:p w:rsidR="00321BFD" w:rsidRPr="003C6DF5" w:rsidRDefault="00321BFD" w:rsidP="00321BFD">
      <w:pPr>
        <w:pStyle w:val="Prrafodelista"/>
        <w:ind w:left="0"/>
        <w:jc w:val="both"/>
        <w:rPr>
          <w:rFonts w:ascii="Bookman Old Style" w:hAnsi="Bookman Old Style"/>
          <w:sz w:val="24"/>
          <w:szCs w:val="24"/>
        </w:rPr>
      </w:pPr>
    </w:p>
    <w:p w:rsidR="00321BFD" w:rsidRPr="003C6DF5" w:rsidRDefault="00321BFD" w:rsidP="00321BFD">
      <w:pPr>
        <w:pStyle w:val="Prrafodelista"/>
        <w:ind w:left="0"/>
        <w:jc w:val="both"/>
        <w:rPr>
          <w:rFonts w:ascii="Bookman Old Style" w:hAnsi="Bookman Old Style"/>
          <w:sz w:val="24"/>
          <w:szCs w:val="24"/>
        </w:rPr>
      </w:pPr>
      <w:r w:rsidRPr="003C6DF5">
        <w:rPr>
          <w:rFonts w:ascii="Bookman Old Style" w:hAnsi="Bookman Old Style"/>
          <w:sz w:val="24"/>
          <w:szCs w:val="24"/>
        </w:rPr>
        <w:t>Los tributos se clasifican en impuestos, tasas y contribuciones y se pueden definir de la siguiente forma, de acuerdo con la Sentencia C-545 de 1994 con ponencia del Magistrado Fabio Morón Díaz:</w:t>
      </w:r>
    </w:p>
    <w:p w:rsidR="00321BFD" w:rsidRPr="003C6DF5" w:rsidRDefault="00321BFD" w:rsidP="00321BFD">
      <w:pPr>
        <w:pStyle w:val="NormalWeb"/>
        <w:jc w:val="both"/>
        <w:rPr>
          <w:rFonts w:ascii="Bookman Old Style" w:hAnsi="Bookman Old Style" w:cs="Arial"/>
          <w:iCs/>
        </w:rPr>
      </w:pPr>
      <w:r w:rsidRPr="003C6DF5">
        <w:rPr>
          <w:rFonts w:ascii="Bookman Old Style" w:hAnsi="Bookman Old Style"/>
        </w:rPr>
        <w:t>IMPUESTOS: R</w:t>
      </w:r>
      <w:r w:rsidRPr="003C6DF5">
        <w:rPr>
          <w:rFonts w:ascii="Bookman Old Style" w:hAnsi="Bookman Old Style" w:cs="Arial"/>
          <w:iCs/>
        </w:rPr>
        <w:t>epresentan la obligación para el contribuyente de hacer un pago, sin que exista una retribución particular por parte del Estado.</w:t>
      </w:r>
    </w:p>
    <w:p w:rsidR="00321BFD" w:rsidRPr="003C6DF5" w:rsidRDefault="00321BFD" w:rsidP="00321BFD">
      <w:pPr>
        <w:pStyle w:val="Prrafodelista"/>
        <w:ind w:left="0"/>
        <w:jc w:val="both"/>
        <w:rPr>
          <w:rFonts w:ascii="Bookman Old Style" w:hAnsi="Bookman Old Style"/>
          <w:sz w:val="24"/>
          <w:szCs w:val="24"/>
        </w:rPr>
      </w:pPr>
      <w:r w:rsidRPr="003C6DF5">
        <w:rPr>
          <w:rFonts w:ascii="Bookman Old Style" w:hAnsi="Bookman Old Style"/>
          <w:sz w:val="24"/>
          <w:szCs w:val="24"/>
        </w:rPr>
        <w:t xml:space="preserve">TASAS: </w:t>
      </w:r>
      <w:r w:rsidRPr="003C6DF5">
        <w:rPr>
          <w:rFonts w:ascii="Bookman Old Style" w:hAnsi="Bookman Old Style" w:cs="Arial"/>
          <w:iCs/>
          <w:sz w:val="24"/>
          <w:szCs w:val="24"/>
        </w:rPr>
        <w:t>Tributo cuya obligación tiene como hecho generador la prestación efectiva y potencial de un servicio público individualizado en el contribuyente. Su producto no debe tener un destino ajeno al servicio que contribuye al presupuesto de la obligación."</w:t>
      </w:r>
    </w:p>
    <w:p w:rsidR="00321BFD" w:rsidRPr="003C6DF5" w:rsidRDefault="00321BFD" w:rsidP="00321BFD">
      <w:pPr>
        <w:pStyle w:val="Prrafodelista"/>
        <w:ind w:left="0"/>
        <w:jc w:val="both"/>
        <w:rPr>
          <w:rFonts w:ascii="Bookman Old Style" w:hAnsi="Bookman Old Style"/>
          <w:sz w:val="24"/>
          <w:szCs w:val="24"/>
        </w:rPr>
      </w:pPr>
    </w:p>
    <w:p w:rsidR="00321BFD" w:rsidRPr="003C6DF5" w:rsidRDefault="00321BFD" w:rsidP="00321BFD">
      <w:pPr>
        <w:pStyle w:val="Prrafodelista"/>
        <w:ind w:left="0"/>
        <w:jc w:val="both"/>
        <w:rPr>
          <w:rFonts w:ascii="Bookman Old Style" w:hAnsi="Bookman Old Style" w:cs="Arial"/>
          <w:iCs/>
          <w:sz w:val="24"/>
          <w:szCs w:val="24"/>
        </w:rPr>
      </w:pPr>
      <w:r w:rsidRPr="003C6DF5">
        <w:rPr>
          <w:rFonts w:ascii="Bookman Old Style" w:hAnsi="Bookman Old Style"/>
          <w:sz w:val="24"/>
          <w:szCs w:val="24"/>
        </w:rPr>
        <w:t>CONTRIBUCIONES:</w:t>
      </w:r>
      <w:r w:rsidRPr="003C6DF5">
        <w:rPr>
          <w:rFonts w:ascii="Bookman Old Style" w:hAnsi="Bookman Old Style" w:cs="Arial"/>
          <w:iCs/>
          <w:sz w:val="24"/>
          <w:szCs w:val="24"/>
        </w:rPr>
        <w:t xml:space="preserve"> Todas las cargas fiscales al patrimonio particular, sustentadas en la potestad tributaria del Estado.</w:t>
      </w:r>
    </w:p>
    <w:p w:rsidR="00321BFD" w:rsidRPr="003C6DF5" w:rsidRDefault="00321BFD" w:rsidP="00321BFD">
      <w:pPr>
        <w:pStyle w:val="Prrafodelista"/>
        <w:ind w:left="0"/>
        <w:jc w:val="both"/>
        <w:rPr>
          <w:rFonts w:ascii="Bookman Old Style" w:hAnsi="Bookman Old Style"/>
          <w:sz w:val="24"/>
          <w:szCs w:val="24"/>
        </w:rPr>
      </w:pPr>
    </w:p>
    <w:p w:rsidR="00321BFD" w:rsidRPr="003C6DF5" w:rsidRDefault="00321BFD" w:rsidP="00321BFD">
      <w:pPr>
        <w:pStyle w:val="Prrafodelista"/>
        <w:ind w:left="0"/>
        <w:jc w:val="both"/>
        <w:rPr>
          <w:rFonts w:ascii="Bookman Old Style" w:hAnsi="Bookman Old Style"/>
          <w:sz w:val="24"/>
          <w:szCs w:val="24"/>
        </w:rPr>
      </w:pPr>
      <w:r w:rsidRPr="003C6DF5">
        <w:rPr>
          <w:rFonts w:ascii="Bookman Old Style" w:hAnsi="Bookman Old Style"/>
          <w:sz w:val="24"/>
          <w:szCs w:val="24"/>
        </w:rPr>
        <w:lastRenderedPageBreak/>
        <w:t xml:space="preserve">CONTRIBUCIONES ESPECIALES: </w:t>
      </w:r>
      <w:r w:rsidRPr="003C6DF5">
        <w:rPr>
          <w:rFonts w:ascii="Bookman Old Style" w:hAnsi="Bookman Old Style" w:cs="Arial"/>
          <w:iCs/>
          <w:sz w:val="24"/>
          <w:szCs w:val="24"/>
        </w:rPr>
        <w:t>Es un pago por una inversión que beneficia a un grupo de personas.</w:t>
      </w:r>
    </w:p>
    <w:p w:rsidR="00321BFD" w:rsidRPr="003C6DF5" w:rsidRDefault="00321BFD" w:rsidP="00321BFD">
      <w:pPr>
        <w:pStyle w:val="Prrafodelista"/>
        <w:ind w:left="0"/>
        <w:jc w:val="both"/>
        <w:rPr>
          <w:rFonts w:ascii="Bookman Old Style" w:hAnsi="Bookman Old Style"/>
          <w:sz w:val="24"/>
          <w:szCs w:val="24"/>
        </w:rPr>
      </w:pPr>
    </w:p>
    <w:p w:rsidR="00321BFD" w:rsidRPr="003C6DF5" w:rsidRDefault="00321BFD" w:rsidP="00321BFD">
      <w:pPr>
        <w:pStyle w:val="Prrafodelista"/>
        <w:ind w:left="0"/>
        <w:jc w:val="both"/>
        <w:rPr>
          <w:rFonts w:ascii="Bookman Old Style" w:hAnsi="Bookman Old Style"/>
          <w:sz w:val="24"/>
          <w:szCs w:val="24"/>
        </w:rPr>
      </w:pPr>
      <w:r w:rsidRPr="003C6DF5">
        <w:rPr>
          <w:rFonts w:ascii="Bookman Old Style" w:hAnsi="Bookman Old Style"/>
          <w:sz w:val="24"/>
          <w:szCs w:val="24"/>
        </w:rPr>
        <w:t>De acuerdo esta clasificación, las normas procedimentales del Estatuto Tributario Nacional son aplicables a los impuestos del orden nacional y a los impuestos de orden territorial, en virtud de lo dispuesto en el artículo 66 de la Ley 383 de 1997 para éste último. Es por esto, que el tributo a que hace referencia el artículo 85.2 de la Ley 142 de 1994, no se clasifica como un impuesto del orden nacional y territorial, sino como una contribución especial, la cual, escapa a la aplicación de las normas procedimentales del Estatuto Tributario Nacional.</w:t>
      </w:r>
    </w:p>
    <w:p w:rsidR="00321BFD" w:rsidRPr="003C6DF5" w:rsidRDefault="00321BFD" w:rsidP="00321BFD">
      <w:pPr>
        <w:pStyle w:val="Prrafodelista"/>
        <w:ind w:left="0"/>
        <w:jc w:val="both"/>
        <w:rPr>
          <w:rFonts w:ascii="Bookman Old Style" w:hAnsi="Bookman Old Style"/>
          <w:sz w:val="24"/>
          <w:szCs w:val="24"/>
        </w:rPr>
      </w:pPr>
    </w:p>
    <w:p w:rsidR="00321BFD" w:rsidRPr="003C6DF5" w:rsidRDefault="00321BFD" w:rsidP="00321BFD">
      <w:pPr>
        <w:ind w:left="0"/>
        <w:jc w:val="both"/>
        <w:rPr>
          <w:rFonts w:ascii="Bookman Old Style" w:hAnsi="Bookman Old Style" w:cs="Arial"/>
          <w:lang w:eastAsia="es-CO"/>
        </w:rPr>
      </w:pPr>
      <w:r w:rsidRPr="003C6DF5">
        <w:rPr>
          <w:rFonts w:ascii="Bookman Old Style" w:hAnsi="Bookman Old Style" w:cs="Arial"/>
          <w:bCs/>
          <w:lang w:val="es-CO" w:eastAsia="es-CO"/>
        </w:rPr>
        <w:t>De acuerdo con la Teoría General del</w:t>
      </w:r>
      <w:r w:rsidRPr="003C6DF5">
        <w:rPr>
          <w:rFonts w:ascii="Bookman Old Style" w:hAnsi="Bookman Old Style" w:cs="Arial"/>
          <w:bCs/>
          <w:lang w:eastAsia="es-CO"/>
        </w:rPr>
        <w:t xml:space="preserve"> Acto Administrativo, e</w:t>
      </w:r>
      <w:r w:rsidRPr="003C6DF5">
        <w:rPr>
          <w:rFonts w:ascii="Bookman Old Style" w:hAnsi="Bookman Old Style" w:cs="Arial"/>
          <w:lang w:eastAsia="es-CO"/>
        </w:rPr>
        <w:t>ste es la declaración de voluntad de una autoridad administrativa, proferida en la forma determinada por la ley o el reglamento, que estatuya sobre relaciones de derecho público, en consideración a determinados motivos, con el fin de producir efectos jurídicos para la satisfacción de un interés administrativo y que contenga por objeto crear, modificar o extinguir una situación jurídica subjetiva.</w:t>
      </w:r>
    </w:p>
    <w:p w:rsidR="00321BFD" w:rsidRPr="003C6DF5" w:rsidRDefault="00321BFD" w:rsidP="00321BFD">
      <w:pPr>
        <w:ind w:left="0"/>
        <w:jc w:val="both"/>
        <w:rPr>
          <w:rFonts w:ascii="Bookman Old Style" w:hAnsi="Bookman Old Style" w:cs="Arial"/>
          <w:lang w:eastAsia="es-CO"/>
        </w:rPr>
      </w:pPr>
    </w:p>
    <w:p w:rsidR="00321BFD" w:rsidRPr="003C6DF5" w:rsidRDefault="00321BFD" w:rsidP="00321BFD">
      <w:pPr>
        <w:ind w:left="0"/>
        <w:jc w:val="both"/>
        <w:rPr>
          <w:rFonts w:ascii="Bookman Old Style" w:hAnsi="Bookman Old Style" w:cs="Arial"/>
          <w:lang w:eastAsia="es-CO"/>
        </w:rPr>
      </w:pPr>
      <w:r w:rsidRPr="003C6DF5">
        <w:rPr>
          <w:rFonts w:ascii="Bookman Old Style" w:hAnsi="Bookman Old Style" w:cs="Arial"/>
          <w:lang w:eastAsia="es-CO"/>
        </w:rPr>
        <w:t>Dentro de la clasificación de los actos administrativos pueden ser de carácter general o de carácter particular y concreto así:</w:t>
      </w:r>
    </w:p>
    <w:p w:rsidR="00321BFD" w:rsidRPr="003C6DF5" w:rsidRDefault="00321BFD" w:rsidP="00321BFD">
      <w:pPr>
        <w:spacing w:before="120" w:after="120"/>
        <w:ind w:left="0"/>
        <w:jc w:val="both"/>
        <w:rPr>
          <w:rFonts w:ascii="Bookman Old Style" w:hAnsi="Bookman Old Style" w:cs="Arial"/>
          <w:lang w:eastAsia="es-CO"/>
        </w:rPr>
      </w:pPr>
      <w:r w:rsidRPr="003C6DF5">
        <w:rPr>
          <w:rFonts w:ascii="Bookman Old Style" w:hAnsi="Bookman Old Style" w:cs="Arial"/>
          <w:iCs/>
          <w:lang w:eastAsia="es-CO"/>
        </w:rPr>
        <w:t>Son actos administrativos de carácter general</w:t>
      </w:r>
      <w:r w:rsidRPr="003C6DF5">
        <w:rPr>
          <w:rFonts w:ascii="Bookman Old Style" w:hAnsi="Bookman Old Style" w:cs="Arial"/>
          <w:lang w:eastAsia="es-CO"/>
        </w:rPr>
        <w:t xml:space="preserve"> los que recaen sobre un grupo general o indeterminado de personas, o cuando el texto del Acto Administrativo no especifica a quien va dirigido. </w:t>
      </w:r>
    </w:p>
    <w:p w:rsidR="00321BFD" w:rsidRPr="003C6DF5" w:rsidRDefault="00321BFD" w:rsidP="00321BFD">
      <w:pPr>
        <w:pStyle w:val="Prrafodelista"/>
        <w:ind w:left="0"/>
        <w:jc w:val="both"/>
        <w:rPr>
          <w:rFonts w:ascii="Bookman Old Style" w:hAnsi="Bookman Old Style"/>
          <w:sz w:val="24"/>
          <w:szCs w:val="24"/>
        </w:rPr>
      </w:pPr>
      <w:r w:rsidRPr="003C6DF5">
        <w:rPr>
          <w:rFonts w:ascii="Bookman Old Style" w:hAnsi="Bookman Old Style" w:cs="Arial"/>
          <w:bCs/>
          <w:sz w:val="24"/>
          <w:szCs w:val="24"/>
          <w:lang w:eastAsia="es-CO"/>
        </w:rPr>
        <w:t>Son Actos Administrativos de carácter particular y concreto los que recaen sobre un sujeto</w:t>
      </w:r>
      <w:r w:rsidRPr="003C6DF5">
        <w:rPr>
          <w:rFonts w:ascii="Bookman Old Style" w:hAnsi="Bookman Old Style" w:cs="Arial"/>
          <w:b/>
          <w:bCs/>
          <w:sz w:val="24"/>
          <w:szCs w:val="24"/>
          <w:lang w:eastAsia="es-CO"/>
        </w:rPr>
        <w:t xml:space="preserve"> </w:t>
      </w:r>
      <w:r w:rsidRPr="003C6DF5">
        <w:rPr>
          <w:rFonts w:ascii="Bookman Old Style" w:hAnsi="Bookman Old Style" w:cs="Arial"/>
          <w:sz w:val="24"/>
          <w:szCs w:val="24"/>
          <w:lang w:eastAsia="es-CO"/>
        </w:rPr>
        <w:t xml:space="preserve">pasivo determinable, lo cual no significa que la administración únicamente deba hacer alusión a un solo individuo o persona, ya que puede recaer sobre 1 </w:t>
      </w:r>
      <w:r w:rsidR="00F8092D" w:rsidRPr="003C6DF5">
        <w:rPr>
          <w:rFonts w:ascii="Bookman Old Style" w:hAnsi="Bookman Old Style" w:cs="Arial"/>
          <w:sz w:val="24"/>
          <w:szCs w:val="24"/>
          <w:lang w:eastAsia="es-CO"/>
        </w:rPr>
        <w:t>o</w:t>
      </w:r>
      <w:r w:rsidRPr="003C6DF5">
        <w:rPr>
          <w:rFonts w:ascii="Bookman Old Style" w:hAnsi="Bookman Old Style" w:cs="Arial"/>
          <w:sz w:val="24"/>
          <w:szCs w:val="24"/>
          <w:lang w:eastAsia="es-CO"/>
        </w:rPr>
        <w:t xml:space="preserve"> más personas y conservar las características de un acto administrativo particular, </w:t>
      </w:r>
      <w:r w:rsidRPr="003C6DF5">
        <w:rPr>
          <w:rFonts w:ascii="Bookman Old Style" w:hAnsi="Bookman Old Style" w:cs="Arial"/>
          <w:bCs/>
          <w:sz w:val="24"/>
          <w:szCs w:val="24"/>
          <w:lang w:eastAsia="es-CO"/>
        </w:rPr>
        <w:t>por citar un ejemplo, esto puede suceder c</w:t>
      </w:r>
      <w:r w:rsidRPr="003C6DF5">
        <w:rPr>
          <w:rFonts w:ascii="Bookman Old Style" w:hAnsi="Bookman Old Style" w:cs="Arial"/>
          <w:sz w:val="24"/>
          <w:szCs w:val="24"/>
          <w:lang w:eastAsia="es-CO"/>
        </w:rPr>
        <w:t>uando se otorga una pensión a una persona, o cuando se les da a más de una persona.</w:t>
      </w:r>
    </w:p>
    <w:p w:rsidR="00321BFD" w:rsidRPr="003C6DF5" w:rsidRDefault="00321BFD" w:rsidP="00321BFD">
      <w:pPr>
        <w:pStyle w:val="Prrafodelista"/>
        <w:ind w:left="0"/>
        <w:jc w:val="both"/>
        <w:rPr>
          <w:rFonts w:ascii="Bookman Old Style" w:hAnsi="Bookman Old Style"/>
          <w:sz w:val="24"/>
          <w:szCs w:val="24"/>
        </w:rPr>
      </w:pPr>
    </w:p>
    <w:p w:rsidR="00321BFD" w:rsidRPr="003C6DF5" w:rsidRDefault="00321BFD" w:rsidP="00321BFD">
      <w:pPr>
        <w:pStyle w:val="Prrafodelista"/>
        <w:ind w:left="0"/>
        <w:jc w:val="both"/>
        <w:rPr>
          <w:rFonts w:ascii="Bookman Old Style" w:hAnsi="Bookman Old Style"/>
          <w:sz w:val="24"/>
          <w:szCs w:val="24"/>
        </w:rPr>
      </w:pPr>
      <w:r w:rsidRPr="003C6DF5">
        <w:rPr>
          <w:rFonts w:ascii="Bookman Old Style" w:hAnsi="Bookman Old Style"/>
          <w:sz w:val="24"/>
          <w:szCs w:val="24"/>
        </w:rPr>
        <w:t>Por lo tanto, siempre que los afectados por el acto estén nominalmente identificados, individualizados, el acto es particular independientemente del número de personas afectadas. Sobre éste punto el Honorable Consejo de Estado ha expuesto:</w:t>
      </w:r>
    </w:p>
    <w:p w:rsidR="00321BFD" w:rsidRPr="003C6DF5" w:rsidRDefault="00321BFD" w:rsidP="00321BFD">
      <w:pPr>
        <w:pStyle w:val="Prrafodelista"/>
        <w:ind w:left="0"/>
        <w:jc w:val="both"/>
        <w:rPr>
          <w:rFonts w:ascii="Bookman Old Style" w:hAnsi="Bookman Old Style"/>
          <w:sz w:val="24"/>
          <w:szCs w:val="24"/>
        </w:rPr>
      </w:pPr>
    </w:p>
    <w:p w:rsidR="00321BFD" w:rsidRPr="003C6DF5" w:rsidRDefault="00321BFD" w:rsidP="00321BFD">
      <w:pPr>
        <w:pStyle w:val="Prrafodelista"/>
        <w:jc w:val="both"/>
        <w:rPr>
          <w:rFonts w:ascii="Bookman Old Style" w:hAnsi="Bookman Old Style"/>
          <w:i/>
          <w:sz w:val="24"/>
          <w:szCs w:val="24"/>
        </w:rPr>
      </w:pPr>
      <w:r w:rsidRPr="003C6DF5">
        <w:rPr>
          <w:rFonts w:ascii="Bookman Old Style" w:hAnsi="Bookman Old Style"/>
          <w:i/>
          <w:sz w:val="24"/>
          <w:szCs w:val="24"/>
        </w:rPr>
        <w:t xml:space="preserve">La diferencia entre los actos de contenido particular y general depende del grado de indeterminación que tengan los sujetos destinatarios del mismo, como lo ha precisado esta Sala: ‘Para diferenciar un acto administrativo general de uno particular es necesario tener presente los siguientes aspectos: El acto administrativo se entiende, entre otras perspectivas, como una decisión adoptada o expedida en función administrativa a través de la cual la autoridad crea, modifica o extingue una posición de una persona o conjunto de personas determinadas o indeterminadas frente a una norma de derecho (situación jurídica). El acto singular o particular no necesariamente tiene un destinatario único, por cuanto puede ir dirigido tanto a una persona como a un grupo determinado de personas; en tanto que el acto general se expide siempre para un grupo indeterminado de </w:t>
      </w:r>
      <w:r w:rsidRPr="003C6DF5">
        <w:rPr>
          <w:rFonts w:ascii="Bookman Old Style" w:hAnsi="Bookman Old Style"/>
          <w:i/>
          <w:sz w:val="24"/>
          <w:szCs w:val="24"/>
        </w:rPr>
        <w:lastRenderedPageBreak/>
        <w:t>personas a quienes se les crea, modifica o extingue una situación jurídica, dependiendo de las conductas o roles que ellas mismas asuman’.</w:t>
      </w:r>
      <w:r w:rsidRPr="003C6DF5">
        <w:rPr>
          <w:rStyle w:val="Refdenotaalpie"/>
          <w:rFonts w:ascii="Bookman Old Style" w:hAnsi="Bookman Old Style"/>
          <w:i/>
          <w:sz w:val="24"/>
          <w:szCs w:val="24"/>
        </w:rPr>
        <w:footnoteReference w:id="2"/>
      </w:r>
    </w:p>
    <w:p w:rsidR="00321BFD" w:rsidRPr="003C6DF5" w:rsidRDefault="00321BFD" w:rsidP="00321BFD">
      <w:pPr>
        <w:pStyle w:val="Prrafodelista"/>
        <w:ind w:left="0"/>
        <w:jc w:val="both"/>
        <w:rPr>
          <w:rFonts w:ascii="Bookman Old Style" w:hAnsi="Bookman Old Style"/>
          <w:sz w:val="24"/>
          <w:szCs w:val="24"/>
        </w:rPr>
      </w:pPr>
    </w:p>
    <w:p w:rsidR="00321BFD" w:rsidRPr="003C6DF5" w:rsidRDefault="00321BFD" w:rsidP="00321BFD">
      <w:pPr>
        <w:pStyle w:val="Prrafodelista"/>
        <w:ind w:left="0"/>
        <w:jc w:val="both"/>
        <w:rPr>
          <w:rFonts w:ascii="Bookman Old Style" w:hAnsi="Bookman Old Style"/>
          <w:sz w:val="24"/>
          <w:szCs w:val="24"/>
        </w:rPr>
      </w:pPr>
      <w:r w:rsidRPr="003C6DF5">
        <w:rPr>
          <w:rFonts w:ascii="Bookman Old Style" w:hAnsi="Bookman Old Style"/>
          <w:sz w:val="24"/>
          <w:szCs w:val="24"/>
        </w:rPr>
        <w:t xml:space="preserve">El hecho de no expedir una resolución para cada una de las empresas, señalando el factor que se aplica y el valor de la contribución que deben pagar, no vicia de nulidad el acto administrativo, pues se trata de un acto administrativo expedido dentro de una misma actuación administrativa para todas las Entidades reguladas. Igualmente, este argumento no se </w:t>
      </w:r>
      <w:proofErr w:type="spellStart"/>
      <w:r w:rsidRPr="003C6DF5">
        <w:rPr>
          <w:rFonts w:ascii="Bookman Old Style" w:hAnsi="Bookman Old Style"/>
          <w:sz w:val="24"/>
          <w:szCs w:val="24"/>
        </w:rPr>
        <w:t>encausa</w:t>
      </w:r>
      <w:proofErr w:type="spellEnd"/>
      <w:r w:rsidRPr="003C6DF5">
        <w:rPr>
          <w:rFonts w:ascii="Bookman Old Style" w:hAnsi="Bookman Old Style"/>
          <w:sz w:val="24"/>
          <w:szCs w:val="24"/>
        </w:rPr>
        <w:t xml:space="preserve"> en la falsa motivación, ya que como se ha hecho referencia, no realiza un análisis de la realidad fáctica y jurídica del acto, con miras a establecer su veracidad, sino que se plantea un problema de valoración del cuerpo del acto, como de las formalidades para su expedición.</w:t>
      </w:r>
    </w:p>
    <w:p w:rsidR="00762CAB" w:rsidRPr="003C6DF5" w:rsidRDefault="00762CAB" w:rsidP="00321BFD">
      <w:pPr>
        <w:pStyle w:val="Prrafodelista"/>
        <w:ind w:left="0"/>
        <w:jc w:val="both"/>
        <w:rPr>
          <w:rFonts w:ascii="Bookman Old Style" w:hAnsi="Bookman Old Style"/>
          <w:sz w:val="24"/>
          <w:szCs w:val="24"/>
        </w:rPr>
      </w:pPr>
    </w:p>
    <w:p w:rsidR="00762CAB" w:rsidRPr="003C6DF5" w:rsidRDefault="00762CAB" w:rsidP="00762CAB">
      <w:pPr>
        <w:pStyle w:val="Prrafodelista"/>
        <w:ind w:left="0"/>
        <w:jc w:val="both"/>
        <w:rPr>
          <w:rFonts w:ascii="Bookman Old Style" w:hAnsi="Bookman Old Style"/>
          <w:i/>
          <w:sz w:val="24"/>
          <w:szCs w:val="24"/>
        </w:rPr>
      </w:pPr>
      <w:r w:rsidRPr="003C6DF5">
        <w:rPr>
          <w:rFonts w:ascii="Bookman Old Style" w:hAnsi="Bookman Old Style"/>
          <w:i/>
          <w:sz w:val="24"/>
          <w:szCs w:val="24"/>
        </w:rPr>
        <w:t xml:space="preserve">Por lo anterior, la </w:t>
      </w:r>
      <w:r w:rsidR="00B072B2" w:rsidRPr="003C6DF5">
        <w:rPr>
          <w:rFonts w:ascii="Bookman Old Style" w:hAnsi="Bookman Old Style"/>
          <w:i/>
          <w:sz w:val="24"/>
          <w:szCs w:val="24"/>
        </w:rPr>
        <w:t>CREG</w:t>
      </w:r>
      <w:r w:rsidRPr="003C6DF5">
        <w:rPr>
          <w:rFonts w:ascii="Bookman Old Style" w:hAnsi="Bookman Old Style"/>
          <w:i/>
          <w:sz w:val="24"/>
          <w:szCs w:val="24"/>
        </w:rPr>
        <w:t xml:space="preserve"> procedió a efectuar la liquidación de las contribuciones, teniendo en cuenta los siguientes fallos proferidos por el Consejo de Estado, que al respecto señalan:</w:t>
      </w:r>
    </w:p>
    <w:p w:rsidR="00762CAB" w:rsidRPr="003C6DF5" w:rsidRDefault="00762CAB" w:rsidP="00762CAB">
      <w:pPr>
        <w:pStyle w:val="Prrafodelista"/>
        <w:ind w:left="0"/>
        <w:jc w:val="both"/>
        <w:rPr>
          <w:rFonts w:ascii="Bookman Old Style" w:hAnsi="Bookman Old Style"/>
          <w:i/>
          <w:sz w:val="24"/>
          <w:szCs w:val="24"/>
        </w:rPr>
      </w:pPr>
    </w:p>
    <w:p w:rsidR="00762CAB" w:rsidRPr="003C6DF5" w:rsidRDefault="00762CAB" w:rsidP="00762CAB">
      <w:pPr>
        <w:pStyle w:val="Prrafodelista"/>
        <w:ind w:left="0"/>
        <w:jc w:val="both"/>
        <w:rPr>
          <w:rFonts w:ascii="Bookman Old Style" w:hAnsi="Bookman Old Style"/>
          <w:i/>
          <w:sz w:val="24"/>
          <w:szCs w:val="24"/>
        </w:rPr>
      </w:pPr>
      <w:r w:rsidRPr="003C6DF5">
        <w:rPr>
          <w:rFonts w:ascii="Bookman Old Style" w:hAnsi="Bookman Old Style"/>
          <w:i/>
          <w:sz w:val="24"/>
          <w:szCs w:val="24"/>
        </w:rPr>
        <w:t>•</w:t>
      </w:r>
      <w:r w:rsidRPr="003C6DF5">
        <w:rPr>
          <w:rFonts w:ascii="Bookman Old Style" w:hAnsi="Bookman Old Style"/>
          <w:i/>
          <w:sz w:val="24"/>
          <w:szCs w:val="24"/>
        </w:rPr>
        <w:tab/>
        <w:t xml:space="preserve"> Sentencia del 23 de septiembre de 2010, dictada por la Sala de lo Contencioso Administrativo - Sección Cuarta, radicación número 11001-03-27-000-2007-00049-00 (16874), C.P. doctora Martha Teresa Briceño de Valencia, a través de la cual se adoptó una definición jurisprudencial de lo que debe entenderse por gastos de funcionamiento, señalando que son aquellos que “...tienen que ver con la salida de recursos que de manera directa o indirecta se utilizan para ejecutar o cumplir las funciones propias de la actividad, que son equivalentes a los gastos operacionales u ordinarios, es decir los normalmente ejecutados dentro del objeto social principal del ente económico o, lo que es lo mismo, los gastos asociados al servicio sometido a regulación, de manera que deberán excluirse aquellas erogaciones que no estén relacionadas con la prestación del servicio público domiciliario".</w:t>
      </w:r>
    </w:p>
    <w:p w:rsidR="00B072B2" w:rsidRPr="003C6DF5" w:rsidRDefault="00B072B2" w:rsidP="00762CAB">
      <w:pPr>
        <w:pStyle w:val="Prrafodelista"/>
        <w:ind w:left="0"/>
        <w:jc w:val="both"/>
        <w:rPr>
          <w:rFonts w:ascii="Bookman Old Style" w:hAnsi="Bookman Old Style"/>
          <w:i/>
          <w:sz w:val="24"/>
          <w:szCs w:val="24"/>
        </w:rPr>
      </w:pPr>
    </w:p>
    <w:p w:rsidR="00762CAB" w:rsidRPr="003C6DF5" w:rsidRDefault="00762CAB" w:rsidP="00762CAB">
      <w:pPr>
        <w:pStyle w:val="Prrafodelista"/>
        <w:ind w:left="0"/>
        <w:jc w:val="both"/>
        <w:rPr>
          <w:rFonts w:ascii="Bookman Old Style" w:hAnsi="Bookman Old Style"/>
          <w:i/>
          <w:sz w:val="24"/>
          <w:szCs w:val="24"/>
        </w:rPr>
      </w:pPr>
      <w:r w:rsidRPr="003C6DF5">
        <w:rPr>
          <w:rFonts w:ascii="Bookman Old Style" w:hAnsi="Bookman Old Style"/>
          <w:i/>
          <w:sz w:val="24"/>
          <w:szCs w:val="24"/>
        </w:rPr>
        <w:t>• Sentencia del 17 de septiembre de 2014, Sección Cuarta, radicación número 25000-23- 27-000-2012-00362-01 (20253), C.P. doctora Martha Teresa Briceño de Valencia, que señaló entre otros aspectos, lo siguiente: “...no son gastos de funcionamiento asociados al servicio sometido a regulación, los descritos en las cuentas del grupo 75 - costos de producción (...) En ese orden de ideas, la inclusión de los costos de producción (grupo 75 del Plan de Contabilidad para Entes Prestadores de Servicios), dentro de los gastos de funcionamiento asociados a la prestación del servicio regulado que hizo la Resolución SSPD 2011300008735 de 2011 es contraria al artículo 85 [85.2j de la Ley 142 de 1994, dado que amplía la base gravable del tributo con erogaciones que (no) hacen parte de los gastos de funcionamiento de las entidades vigiladas".</w:t>
      </w:r>
    </w:p>
    <w:p w:rsidR="00321BFD" w:rsidRPr="003C6DF5" w:rsidRDefault="00321BFD" w:rsidP="00321BFD">
      <w:pPr>
        <w:pStyle w:val="Prrafodelista"/>
        <w:ind w:left="0"/>
        <w:jc w:val="both"/>
        <w:rPr>
          <w:rFonts w:ascii="Bookman Old Style" w:hAnsi="Bookman Old Style"/>
          <w:i/>
          <w:sz w:val="24"/>
          <w:szCs w:val="24"/>
        </w:rPr>
      </w:pPr>
    </w:p>
    <w:p w:rsidR="00762CAB" w:rsidRPr="003C6DF5" w:rsidRDefault="00B072B2" w:rsidP="00762CAB">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3C6DF5">
        <w:rPr>
          <w:rFonts w:ascii="Bookman Old Style" w:eastAsia="Times New Roman" w:hAnsi="Bookman Old Style" w:cs="Times New Roman"/>
          <w:sz w:val="24"/>
          <w:szCs w:val="24"/>
          <w:lang w:eastAsia="es-ES"/>
        </w:rPr>
        <w:t>Igualmente l</w:t>
      </w:r>
      <w:r w:rsidR="00762CAB" w:rsidRPr="003C6DF5">
        <w:rPr>
          <w:rFonts w:ascii="Bookman Old Style" w:eastAsia="Times New Roman" w:hAnsi="Bookman Old Style" w:cs="Times New Roman"/>
          <w:sz w:val="24"/>
          <w:szCs w:val="24"/>
          <w:lang w:eastAsia="es-ES"/>
        </w:rPr>
        <w:t xml:space="preserve">a Ley 142 de 1994 en su artículo 85 establece que para efectos de la contribución especial se tomarán los estados financieros, con corte a 31 de diciembre del año anterior, </w:t>
      </w:r>
      <w:r w:rsidR="006E3781" w:rsidRPr="003C6DF5">
        <w:rPr>
          <w:rFonts w:ascii="Bookman Old Style" w:eastAsia="Times New Roman" w:hAnsi="Bookman Old Style" w:cs="Times New Roman"/>
          <w:sz w:val="24"/>
          <w:szCs w:val="24"/>
          <w:lang w:eastAsia="es-ES"/>
        </w:rPr>
        <w:t>reportados oportunamente al SUI</w:t>
      </w:r>
      <w:r w:rsidR="00762CAB" w:rsidRPr="003C6DF5">
        <w:rPr>
          <w:rFonts w:ascii="Bookman Old Style" w:eastAsia="Times New Roman" w:hAnsi="Bookman Old Style" w:cs="Times New Roman"/>
          <w:sz w:val="24"/>
          <w:szCs w:val="24"/>
          <w:lang w:eastAsia="es-ES"/>
        </w:rPr>
        <w:t>.</w:t>
      </w:r>
    </w:p>
    <w:p w:rsidR="00762CAB" w:rsidRPr="003C6DF5" w:rsidRDefault="00762CAB" w:rsidP="00762CAB">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3C6DF5">
        <w:rPr>
          <w:rFonts w:ascii="Bookman Old Style" w:eastAsia="Times New Roman" w:hAnsi="Bookman Old Style" w:cs="Times New Roman"/>
          <w:sz w:val="24"/>
          <w:szCs w:val="24"/>
          <w:lang w:eastAsia="es-ES"/>
        </w:rPr>
        <w:t xml:space="preserve">La Ley 1314 de 2009, establece el proceso de convergencia a normas internacionales de información financiera, que fue reglamentado para el Grupo 1 mediante el Decreto 2784 de 2012, estableciendo los requisitos para </w:t>
      </w:r>
      <w:r w:rsidRPr="003C6DF5">
        <w:rPr>
          <w:rFonts w:ascii="Bookman Old Style" w:eastAsia="Times New Roman" w:hAnsi="Bookman Old Style" w:cs="Times New Roman"/>
          <w:sz w:val="24"/>
          <w:szCs w:val="24"/>
          <w:lang w:eastAsia="es-ES"/>
        </w:rPr>
        <w:lastRenderedPageBreak/>
        <w:t xml:space="preserve">pertenecer a este grupo, así como el cronograma de aplicación de marco normativo internacional (NIIF PLENAS), el cual estableció como período de aplicación el año 2015, por lo tanto, los primeros estados financieros de la empresas clasificados en este grupo son con corte a 31 de diciembre de 2015, como es el caso de </w:t>
      </w:r>
      <w:r w:rsidR="00F8092D" w:rsidRPr="003C6DF5">
        <w:rPr>
          <w:rFonts w:ascii="Bookman Old Style" w:eastAsia="Times New Roman" w:hAnsi="Bookman Old Style" w:cs="Times New Roman"/>
          <w:sz w:val="24"/>
          <w:szCs w:val="24"/>
          <w:lang w:eastAsia="es-ES"/>
        </w:rPr>
        <w:t>CENTRALES ELECTRICAS DEL NORTE DE SANTANDER E.S.P. S.A.</w:t>
      </w:r>
    </w:p>
    <w:p w:rsidR="00762CAB" w:rsidRPr="003C6DF5" w:rsidRDefault="00762CAB" w:rsidP="00762CAB">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3C6DF5">
        <w:rPr>
          <w:rFonts w:ascii="Bookman Old Style" w:eastAsia="Times New Roman" w:hAnsi="Bookman Old Style" w:cs="Times New Roman"/>
          <w:sz w:val="24"/>
          <w:szCs w:val="24"/>
          <w:lang w:eastAsia="es-ES"/>
        </w:rPr>
        <w:t>El Decreto 2784 de 2012 y 3024 de 2014, para el caso de Grupo 1 quedaron compilados en el Decreto 2420 de 2015. Por lo tanto, el carácter normativo y legal para calcular la contribución bajo el marco normativo internacional, lo establece la normativa anteriormente mencionada para estos fines, la cual también quedó sustentada en los actos administrativos expedidos por la Superintendencia.</w:t>
      </w:r>
    </w:p>
    <w:p w:rsidR="00762CAB" w:rsidRPr="003C6DF5" w:rsidRDefault="00762CAB" w:rsidP="00762CAB">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3C6DF5">
        <w:rPr>
          <w:rFonts w:ascii="Bookman Old Style" w:eastAsia="Times New Roman" w:hAnsi="Bookman Old Style" w:cs="Times New Roman"/>
          <w:sz w:val="24"/>
          <w:szCs w:val="24"/>
          <w:lang w:eastAsia="es-ES"/>
        </w:rPr>
        <w:t>Adicionalmente, es importante aclarar que la Ley 142 de 1994, no establece que la contribución especial este sujeto a un régimen financiero o contable, sino a los estados financieros vigentes.</w:t>
      </w:r>
    </w:p>
    <w:p w:rsidR="00762CAB" w:rsidRPr="003C6DF5" w:rsidRDefault="006E3781" w:rsidP="00762CAB">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3C6DF5">
        <w:rPr>
          <w:rFonts w:ascii="Bookman Old Style" w:eastAsia="Times New Roman" w:hAnsi="Bookman Old Style" w:cs="Times New Roman"/>
          <w:sz w:val="24"/>
          <w:szCs w:val="24"/>
          <w:lang w:eastAsia="es-ES"/>
        </w:rPr>
        <w:t>Es así como revisadas las pruebas aportadas</w:t>
      </w:r>
      <w:r w:rsidR="00762CAB" w:rsidRPr="003C6DF5">
        <w:rPr>
          <w:rFonts w:ascii="Bookman Old Style" w:eastAsia="Times New Roman" w:hAnsi="Bookman Old Style" w:cs="Times New Roman"/>
          <w:sz w:val="24"/>
          <w:szCs w:val="24"/>
          <w:lang w:eastAsia="es-ES"/>
        </w:rPr>
        <w:t xml:space="preserve"> por el recurrente </w:t>
      </w:r>
      <w:r w:rsidRPr="003C6DF5">
        <w:rPr>
          <w:rFonts w:ascii="Bookman Old Style" w:eastAsia="Times New Roman" w:hAnsi="Bookman Old Style" w:cs="Times New Roman"/>
          <w:sz w:val="24"/>
          <w:szCs w:val="24"/>
          <w:lang w:eastAsia="es-ES"/>
        </w:rPr>
        <w:t xml:space="preserve">se observa que el reporte se realizó </w:t>
      </w:r>
      <w:r w:rsidR="00762CAB" w:rsidRPr="003C6DF5">
        <w:rPr>
          <w:rFonts w:ascii="Bookman Old Style" w:eastAsia="Times New Roman" w:hAnsi="Bookman Old Style" w:cs="Times New Roman"/>
          <w:sz w:val="24"/>
          <w:szCs w:val="24"/>
          <w:lang w:eastAsia="es-ES"/>
        </w:rPr>
        <w:t xml:space="preserve">con los estados financieros NIIF y que por esto se gestaron diferencias sustanciales en la base de la contribución de 2016, frente a los años precedentes, puesto que cuando en años anteriores la </w:t>
      </w:r>
      <w:r w:rsidRPr="003C6DF5">
        <w:rPr>
          <w:rFonts w:ascii="Bookman Old Style" w:eastAsia="Times New Roman" w:hAnsi="Bookman Old Style" w:cs="Times New Roman"/>
          <w:sz w:val="24"/>
          <w:szCs w:val="24"/>
          <w:lang w:eastAsia="es-ES"/>
        </w:rPr>
        <w:t>CREG</w:t>
      </w:r>
      <w:r w:rsidR="00762CAB" w:rsidRPr="003C6DF5">
        <w:rPr>
          <w:rFonts w:ascii="Bookman Old Style" w:eastAsia="Times New Roman" w:hAnsi="Bookman Old Style" w:cs="Times New Roman"/>
          <w:sz w:val="24"/>
          <w:szCs w:val="24"/>
          <w:lang w:eastAsia="es-ES"/>
        </w:rPr>
        <w:t xml:space="preserve"> tomaba como base para liquidar la contribución los gastos de administración, acudía únicamente a las cuentas del Grupo 51, pero en este período, en dichas cuentas se agruparon de un lado las cuentas del Grupo 53 (Provisiones, amortizaciones y depreciaciones) y de otro, la cuenta activos sociales (511167) procedió esta Superintendencia a verificar las notas de los estados financieros del prestador, encontrando que efectivamente</w:t>
      </w:r>
      <w:r w:rsidRPr="003C6DF5">
        <w:rPr>
          <w:rFonts w:ascii="Bookman Old Style" w:eastAsia="Times New Roman" w:hAnsi="Bookman Old Style" w:cs="Times New Roman"/>
          <w:sz w:val="24"/>
          <w:szCs w:val="24"/>
          <w:lang w:eastAsia="es-ES"/>
        </w:rPr>
        <w:t xml:space="preserve"> se</w:t>
      </w:r>
      <w:r w:rsidR="00762CAB" w:rsidRPr="003C6DF5">
        <w:rPr>
          <w:rFonts w:ascii="Bookman Old Style" w:eastAsia="Times New Roman" w:hAnsi="Bookman Old Style" w:cs="Times New Roman"/>
          <w:sz w:val="24"/>
          <w:szCs w:val="24"/>
          <w:lang w:eastAsia="es-ES"/>
        </w:rPr>
        <w:t>, reporto en el rubro "GASTOS DE ADMINISTRACIÓN" el concepto "PROVISIONES, AMORTIZACIONES Y DEPRECIACIONES”.</w:t>
      </w:r>
    </w:p>
    <w:p w:rsidR="00762CAB" w:rsidRPr="003C6DF5" w:rsidRDefault="00762CAB" w:rsidP="00762CAB">
      <w:pPr>
        <w:pStyle w:val="Style24"/>
        <w:shd w:val="clear" w:color="auto" w:fill="auto"/>
        <w:spacing w:before="0" w:after="175"/>
        <w:ind w:left="60" w:right="40" w:firstLine="0"/>
        <w:jc w:val="both"/>
        <w:rPr>
          <w:rFonts w:ascii="Bookman Old Style" w:eastAsia="Times New Roman" w:hAnsi="Bookman Old Style" w:cs="Times New Roman"/>
          <w:sz w:val="24"/>
          <w:szCs w:val="24"/>
          <w:lang w:eastAsia="es-ES"/>
        </w:rPr>
      </w:pPr>
      <w:r w:rsidRPr="003C6DF5">
        <w:rPr>
          <w:rFonts w:ascii="Bookman Old Style" w:eastAsia="Times New Roman" w:hAnsi="Bookman Old Style" w:cs="Times New Roman"/>
          <w:sz w:val="24"/>
          <w:szCs w:val="24"/>
          <w:lang w:eastAsia="es-ES"/>
        </w:rPr>
        <w:t>En este sentido, en atención a que el Consejo de Estado en la sentencia 16874 del 23 de septiembre del año 2010, señaló que “</w:t>
      </w:r>
      <w:r w:rsidRPr="003C6DF5">
        <w:rPr>
          <w:rFonts w:ascii="Bookman Old Style" w:eastAsia="Times New Roman" w:hAnsi="Bookman Old Style" w:cs="Times New Roman"/>
          <w:i/>
          <w:sz w:val="24"/>
          <w:szCs w:val="24"/>
          <w:lang w:eastAsia="es-ES"/>
        </w:rPr>
        <w:t xml:space="preserve">Para </w:t>
      </w:r>
      <w:r w:rsidRPr="003C6DF5">
        <w:rPr>
          <w:rFonts w:ascii="Bookman Old Style" w:eastAsia="Times New Roman" w:hAnsi="Bookman Old Style" w:cs="Times New Roman"/>
          <w:i/>
          <w:iCs/>
          <w:sz w:val="24"/>
          <w:szCs w:val="24"/>
          <w:lang w:eastAsia="es-ES"/>
        </w:rPr>
        <w:t xml:space="preserve">la Sala es evidente que no corresponden a la definición que la jurisprudencia de esta Sección ha desarrollado de gastos de funcionamiento, las erogaciones incluidas en el Grupo 53 referidas a provisiones, agotamiento, depreciaciones y amortizaciones, porque no representan salidas de recursos para lograr el funcionamiento de la </w:t>
      </w:r>
      <w:r w:rsidRPr="003C6DF5">
        <w:rPr>
          <w:rFonts w:ascii="Bookman Old Style" w:eastAsia="Times New Roman" w:hAnsi="Bookman Old Style" w:cs="Times New Roman"/>
          <w:i/>
          <w:sz w:val="24"/>
          <w:szCs w:val="24"/>
          <w:lang w:eastAsia="es-ES"/>
        </w:rPr>
        <w:t>ent</w:t>
      </w:r>
      <w:r w:rsidR="00B072B2" w:rsidRPr="003C6DF5">
        <w:rPr>
          <w:rFonts w:ascii="Bookman Old Style" w:eastAsia="Times New Roman" w:hAnsi="Bookman Old Style" w:cs="Times New Roman"/>
          <w:i/>
          <w:sz w:val="24"/>
          <w:szCs w:val="24"/>
          <w:lang w:eastAsia="es-ES"/>
        </w:rPr>
        <w:t>id</w:t>
      </w:r>
      <w:r w:rsidRPr="003C6DF5">
        <w:rPr>
          <w:rFonts w:ascii="Bookman Old Style" w:eastAsia="Times New Roman" w:hAnsi="Bookman Old Style" w:cs="Times New Roman"/>
          <w:i/>
          <w:sz w:val="24"/>
          <w:szCs w:val="24"/>
          <w:lang w:eastAsia="es-ES"/>
        </w:rPr>
        <w:t>a</w:t>
      </w:r>
      <w:r w:rsidR="00B072B2" w:rsidRPr="003C6DF5">
        <w:rPr>
          <w:rFonts w:ascii="Bookman Old Style" w:eastAsia="Times New Roman" w:hAnsi="Bookman Old Style" w:cs="Times New Roman"/>
          <w:i/>
          <w:sz w:val="24"/>
          <w:szCs w:val="24"/>
          <w:lang w:eastAsia="es-ES"/>
        </w:rPr>
        <w:t>d”</w:t>
      </w:r>
      <w:r w:rsidRPr="003C6DF5">
        <w:rPr>
          <w:rFonts w:ascii="Bookman Old Style" w:eastAsia="Times New Roman" w:hAnsi="Bookman Old Style" w:cs="Times New Roman"/>
          <w:sz w:val="24"/>
          <w:szCs w:val="24"/>
          <w:lang w:eastAsia="es-ES"/>
        </w:rPr>
        <w:t xml:space="preserve">, procederá </w:t>
      </w:r>
      <w:r w:rsidR="00B072B2" w:rsidRPr="003C6DF5">
        <w:rPr>
          <w:rFonts w:ascii="Bookman Old Style" w:eastAsia="Times New Roman" w:hAnsi="Bookman Old Style" w:cs="Times New Roman"/>
          <w:sz w:val="24"/>
          <w:szCs w:val="24"/>
          <w:lang w:eastAsia="es-ES"/>
        </w:rPr>
        <w:t xml:space="preserve">la CREG </w:t>
      </w:r>
      <w:r w:rsidRPr="003C6DF5">
        <w:rPr>
          <w:rFonts w:ascii="Bookman Old Style" w:eastAsia="Times New Roman" w:hAnsi="Bookman Old Style" w:cs="Times New Roman"/>
          <w:sz w:val="24"/>
          <w:szCs w:val="24"/>
          <w:lang w:eastAsia="es-ES"/>
        </w:rPr>
        <w:t xml:space="preserve">a </w:t>
      </w:r>
      <w:r w:rsidR="00B072B2" w:rsidRPr="003C6DF5">
        <w:rPr>
          <w:rFonts w:ascii="Bookman Old Style" w:eastAsia="Times New Roman" w:hAnsi="Bookman Old Style" w:cs="Times New Roman"/>
          <w:sz w:val="24"/>
          <w:szCs w:val="24"/>
          <w:lang w:eastAsia="es-ES"/>
        </w:rPr>
        <w:t>excluir de la base gravable establecida en la Resolución 188 de 2016</w:t>
      </w:r>
      <w:r w:rsidRPr="003C6DF5">
        <w:rPr>
          <w:rFonts w:ascii="Bookman Old Style" w:eastAsia="Times New Roman" w:hAnsi="Bookman Old Style" w:cs="Times New Roman"/>
          <w:sz w:val="24"/>
          <w:szCs w:val="24"/>
          <w:lang w:eastAsia="es-ES"/>
        </w:rPr>
        <w:t xml:space="preserve">, correspondiente a la contribución especial año 2016, a cargo de </w:t>
      </w:r>
      <w:r w:rsidR="006E3781" w:rsidRPr="003C6DF5">
        <w:rPr>
          <w:rFonts w:ascii="Bookman Old Style" w:eastAsia="Times New Roman" w:hAnsi="Bookman Old Style" w:cs="Times New Roman"/>
          <w:sz w:val="24"/>
          <w:szCs w:val="24"/>
          <w:lang w:eastAsia="es-ES"/>
        </w:rPr>
        <w:t xml:space="preserve">la empresa CENTRALES ELECTRICAS DEL NORTE DE SANTANDER E.S.P. S.A., </w:t>
      </w:r>
      <w:r w:rsidRPr="003C6DF5">
        <w:rPr>
          <w:rFonts w:ascii="Bookman Old Style" w:eastAsia="Times New Roman" w:hAnsi="Bookman Old Style" w:cs="Times New Roman"/>
          <w:sz w:val="24"/>
          <w:szCs w:val="24"/>
          <w:lang w:eastAsia="es-ES"/>
        </w:rPr>
        <w:t xml:space="preserve">por el servicio público de </w:t>
      </w:r>
      <w:r w:rsidR="00EE0C0C" w:rsidRPr="003C6DF5">
        <w:rPr>
          <w:rFonts w:ascii="Bookman Old Style" w:eastAsia="Times New Roman" w:hAnsi="Bookman Old Style" w:cs="Times New Roman"/>
          <w:sz w:val="24"/>
          <w:szCs w:val="24"/>
          <w:lang w:eastAsia="es-ES"/>
        </w:rPr>
        <w:t>energía</w:t>
      </w:r>
      <w:r w:rsidRPr="003C6DF5">
        <w:rPr>
          <w:rFonts w:ascii="Bookman Old Style" w:eastAsia="Times New Roman" w:hAnsi="Bookman Old Style" w:cs="Times New Roman"/>
          <w:sz w:val="24"/>
          <w:szCs w:val="24"/>
          <w:lang w:eastAsia="es-ES"/>
        </w:rPr>
        <w:t>, el valor correspondiente a “PROVISIONES, AMORTIZACIONES Y DEPRECIACIONES".</w:t>
      </w:r>
    </w:p>
    <w:p w:rsidR="00C24A4F" w:rsidRPr="003C6DF5" w:rsidRDefault="00C24A4F" w:rsidP="00762CAB">
      <w:pPr>
        <w:pStyle w:val="Style24"/>
        <w:shd w:val="clear" w:color="auto" w:fill="auto"/>
        <w:spacing w:before="0" w:after="175"/>
        <w:ind w:left="60" w:right="40" w:firstLine="0"/>
        <w:jc w:val="both"/>
        <w:rPr>
          <w:rFonts w:ascii="Bookman Old Style" w:eastAsia="Times New Roman" w:hAnsi="Bookman Old Style" w:cs="Times New Roman"/>
          <w:sz w:val="24"/>
          <w:szCs w:val="24"/>
          <w:lang w:eastAsia="es-ES"/>
        </w:rPr>
      </w:pPr>
    </w:p>
    <w:p w:rsidR="00C24A4F" w:rsidRPr="003C6DF5" w:rsidRDefault="00C24A4F" w:rsidP="00762CAB">
      <w:pPr>
        <w:pStyle w:val="Style24"/>
        <w:shd w:val="clear" w:color="auto" w:fill="auto"/>
        <w:spacing w:before="0" w:after="175"/>
        <w:ind w:left="60" w:right="40" w:firstLine="0"/>
        <w:jc w:val="both"/>
        <w:rPr>
          <w:rFonts w:ascii="Bookman Old Style" w:eastAsia="Times New Roman" w:hAnsi="Bookman Old Style" w:cs="Times New Roman"/>
          <w:sz w:val="24"/>
          <w:szCs w:val="24"/>
          <w:lang w:eastAsia="es-ES"/>
        </w:rPr>
      </w:pPr>
      <w:r w:rsidRPr="003C6DF5">
        <w:rPr>
          <w:rFonts w:ascii="Bookman Old Style" w:eastAsia="Times New Roman" w:hAnsi="Bookman Old Style" w:cs="Times New Roman"/>
          <w:sz w:val="24"/>
          <w:szCs w:val="24"/>
          <w:lang w:eastAsia="es-ES"/>
        </w:rPr>
        <w:t xml:space="preserve">En este orden de ideas, una vez efectuada la exclusión solicitada la base gravable de contribución para CENTRALES ELECTRICAS DEL NORTE DE SANTANDER E.S.P. S.A., corresponde al valor de CINCUENTA Y CUATRO MIL QUINIENTOS TREINTA Y DOS MILLONES CUATROCIENTOS CUARENTA Y OCHO MIL CIENTO CINCO PESOS ($54.532.448.105.oo) </w:t>
      </w:r>
      <w:r w:rsidR="00965B58">
        <w:rPr>
          <w:rFonts w:ascii="Bookman Old Style" w:eastAsia="Times New Roman" w:hAnsi="Bookman Old Style" w:cs="Times New Roman"/>
          <w:sz w:val="24"/>
          <w:szCs w:val="24"/>
          <w:lang w:eastAsia="es-ES"/>
        </w:rPr>
        <w:t>M/</w:t>
      </w:r>
      <w:proofErr w:type="spellStart"/>
      <w:r w:rsidR="00965B58">
        <w:rPr>
          <w:rFonts w:ascii="Bookman Old Style" w:eastAsia="Times New Roman" w:hAnsi="Bookman Old Style" w:cs="Times New Roman"/>
          <w:sz w:val="24"/>
          <w:szCs w:val="24"/>
          <w:lang w:eastAsia="es-ES"/>
        </w:rPr>
        <w:t>cte</w:t>
      </w:r>
      <w:proofErr w:type="spellEnd"/>
      <w:r w:rsidR="00965B58">
        <w:rPr>
          <w:rFonts w:ascii="Bookman Old Style" w:eastAsia="Times New Roman" w:hAnsi="Bookman Old Style" w:cs="Times New Roman"/>
          <w:sz w:val="24"/>
          <w:szCs w:val="24"/>
          <w:lang w:eastAsia="es-ES"/>
        </w:rPr>
        <w:t xml:space="preserve"> </w:t>
      </w:r>
      <w:r w:rsidRPr="003C6DF5">
        <w:rPr>
          <w:rFonts w:ascii="Bookman Old Style" w:eastAsia="Times New Roman" w:hAnsi="Bookman Old Style" w:cs="Times New Roman"/>
          <w:sz w:val="24"/>
          <w:szCs w:val="24"/>
          <w:lang w:eastAsia="es-ES"/>
        </w:rPr>
        <w:t xml:space="preserve">y el valor correspondiente a pagar por concepto de contribución asciende a la suma de </w:t>
      </w:r>
      <w:r w:rsidR="00C04A2C" w:rsidRPr="003C6DF5">
        <w:rPr>
          <w:rFonts w:ascii="Bookman Old Style" w:eastAsia="Times New Roman" w:hAnsi="Bookman Old Style" w:cs="Times New Roman"/>
          <w:sz w:val="24"/>
          <w:szCs w:val="24"/>
          <w:lang w:eastAsia="es-ES"/>
        </w:rPr>
        <w:t>CUATROCIENTOS CINCUENTA Y DOS MILLONES DOSCIENTOS SESENTA Y CUATRO MIL OCHOCIENTOS CINCUENTA Y OCHO PESOS ($452,264,858.oo) M/cte.</w:t>
      </w:r>
    </w:p>
    <w:p w:rsidR="00965B58" w:rsidRDefault="00F7494A" w:rsidP="00965B58">
      <w:pPr>
        <w:pStyle w:val="Style24"/>
        <w:shd w:val="clear" w:color="auto" w:fill="auto"/>
        <w:spacing w:before="0" w:after="175"/>
        <w:ind w:left="60" w:right="40" w:firstLine="0"/>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La Comisión de Regulación de Energía y Gas, en su sesión 754 del 26 de diciembre de 2016, aprobó expedir la presente resolución.</w:t>
      </w:r>
    </w:p>
    <w:p w:rsidR="00321BFD" w:rsidRPr="003C6DF5" w:rsidRDefault="00321BFD" w:rsidP="00321BFD">
      <w:pPr>
        <w:ind w:left="0"/>
        <w:jc w:val="both"/>
        <w:rPr>
          <w:rFonts w:ascii="Bookman Old Style" w:hAnsi="Bookman Old Style" w:cs="Arial"/>
          <w:i/>
          <w:lang w:eastAsia="es-CO"/>
        </w:rPr>
      </w:pPr>
    </w:p>
    <w:p w:rsidR="00321BFD" w:rsidRPr="003C6DF5" w:rsidRDefault="00321BFD" w:rsidP="00321BFD">
      <w:pPr>
        <w:tabs>
          <w:tab w:val="center" w:pos="4512"/>
        </w:tabs>
        <w:suppressAutoHyphens/>
        <w:ind w:left="170"/>
        <w:jc w:val="center"/>
        <w:rPr>
          <w:rFonts w:ascii="Bookman Old Style" w:hAnsi="Bookman Old Style"/>
          <w:b/>
          <w:spacing w:val="-3"/>
        </w:rPr>
      </w:pPr>
      <w:bookmarkStart w:id="0" w:name="_GoBack"/>
      <w:bookmarkEnd w:id="0"/>
      <w:r w:rsidRPr="003C6DF5">
        <w:rPr>
          <w:rFonts w:ascii="Bookman Old Style" w:hAnsi="Bookman Old Style"/>
          <w:b/>
          <w:spacing w:val="-3"/>
        </w:rPr>
        <w:t>R E S U E L V E:</w:t>
      </w:r>
    </w:p>
    <w:p w:rsidR="00321BFD" w:rsidRPr="003C6DF5" w:rsidRDefault="00321BFD" w:rsidP="00321BFD">
      <w:pPr>
        <w:ind w:left="0"/>
        <w:jc w:val="both"/>
        <w:rPr>
          <w:rFonts w:ascii="Bookman Old Style" w:hAnsi="Bookman Old Style"/>
          <w:b/>
        </w:rPr>
      </w:pPr>
    </w:p>
    <w:p w:rsidR="00321BFD" w:rsidRPr="003C6DF5" w:rsidRDefault="00321BFD" w:rsidP="00321BFD">
      <w:pPr>
        <w:ind w:left="0"/>
        <w:jc w:val="both"/>
        <w:rPr>
          <w:rFonts w:ascii="Bookman Old Style" w:hAnsi="Bookman Old Style"/>
        </w:rPr>
      </w:pPr>
      <w:r w:rsidRPr="003C6DF5">
        <w:rPr>
          <w:rFonts w:ascii="Bookman Old Style" w:hAnsi="Bookman Old Style"/>
          <w:b/>
        </w:rPr>
        <w:t>ARTÍCULO 1.</w:t>
      </w:r>
      <w:r w:rsidRPr="003C6DF5">
        <w:rPr>
          <w:rFonts w:ascii="Bookman Old Style" w:hAnsi="Bookman Old Style"/>
        </w:rPr>
        <w:t xml:space="preserve"> </w:t>
      </w:r>
      <w:r w:rsidRPr="003C6DF5">
        <w:rPr>
          <w:rFonts w:ascii="Bookman Old Style" w:hAnsi="Bookman Old Style"/>
          <w:b/>
        </w:rPr>
        <w:t xml:space="preserve">MODIFICAR, </w:t>
      </w:r>
      <w:r w:rsidRPr="003C6DF5">
        <w:rPr>
          <w:rFonts w:ascii="Bookman Old Style" w:hAnsi="Bookman Old Style"/>
        </w:rPr>
        <w:t xml:space="preserve"> El artículo primero de la resolución CREG-</w:t>
      </w:r>
      <w:r w:rsidR="00762CAB" w:rsidRPr="003C6DF5">
        <w:rPr>
          <w:rFonts w:ascii="Bookman Old Style" w:hAnsi="Bookman Old Style"/>
        </w:rPr>
        <w:t>188 de  2016</w:t>
      </w:r>
      <w:r w:rsidRPr="003C6DF5">
        <w:rPr>
          <w:rFonts w:ascii="Bookman Old Style" w:hAnsi="Bookman Old Style"/>
        </w:rPr>
        <w:t xml:space="preserve">, </w:t>
      </w:r>
      <w:r w:rsidR="003D2800" w:rsidRPr="003C6DF5">
        <w:rPr>
          <w:rFonts w:ascii="Bookman Old Style" w:hAnsi="Bookman Old Style"/>
        </w:rPr>
        <w:t>en la cual</w:t>
      </w:r>
      <w:r w:rsidR="00C24A4F" w:rsidRPr="003C6DF5">
        <w:rPr>
          <w:rFonts w:ascii="Bookman Old Style" w:hAnsi="Bookman Old Style"/>
        </w:rPr>
        <w:t xml:space="preserve"> se señala la base gravable y el valor a pagar por</w:t>
      </w:r>
      <w:r w:rsidR="003D2800" w:rsidRPr="003C6DF5">
        <w:rPr>
          <w:rFonts w:ascii="Bookman Old Style" w:hAnsi="Bookman Old Style"/>
        </w:rPr>
        <w:t xml:space="preserve"> la empresa </w:t>
      </w:r>
      <w:r w:rsidR="00F8092D" w:rsidRPr="003C6DF5">
        <w:rPr>
          <w:rFonts w:ascii="Bookman Old Style" w:hAnsi="Bookman Old Style"/>
          <w:bCs/>
        </w:rPr>
        <w:t>CENTRALES ELECTRICAS DEL NORTE DE SANTANDER E.S.P. S.A.,</w:t>
      </w:r>
      <w:r w:rsidR="003D2800" w:rsidRPr="003C6DF5">
        <w:rPr>
          <w:rFonts w:ascii="Bookman Old Style" w:hAnsi="Bookman Old Style"/>
        </w:rPr>
        <w:t xml:space="preserve"> </w:t>
      </w:r>
      <w:r w:rsidRPr="003C6DF5">
        <w:rPr>
          <w:rFonts w:ascii="Bookman Old Style" w:hAnsi="Bookman Old Style"/>
        </w:rPr>
        <w:t>con fundamento en las razones expuestas en la parte motiva de este proveído.</w:t>
      </w:r>
    </w:p>
    <w:p w:rsidR="00321BFD" w:rsidRPr="003C6DF5" w:rsidRDefault="00321BFD" w:rsidP="00321BFD">
      <w:pPr>
        <w:ind w:left="0"/>
        <w:jc w:val="both"/>
        <w:rPr>
          <w:rFonts w:ascii="Bookman Old Style" w:hAnsi="Bookman Old Style"/>
          <w:b/>
        </w:rPr>
      </w:pPr>
    </w:p>
    <w:p w:rsidR="00C24A4F" w:rsidRPr="003C6DF5" w:rsidRDefault="00C24A4F" w:rsidP="00321BFD">
      <w:pPr>
        <w:ind w:left="0"/>
        <w:jc w:val="both"/>
        <w:rPr>
          <w:rFonts w:ascii="Bookman Old Style" w:hAnsi="Bookman Old Style"/>
        </w:rPr>
      </w:pPr>
      <w:r w:rsidRPr="003C6DF5">
        <w:rPr>
          <w:rFonts w:ascii="Bookman Old Style" w:hAnsi="Bookman Old Style"/>
          <w:b/>
        </w:rPr>
        <w:lastRenderedPageBreak/>
        <w:t>Parágrafo:</w:t>
      </w:r>
      <w:r w:rsidRPr="003C6DF5">
        <w:rPr>
          <w:rFonts w:ascii="Bookman Old Style" w:hAnsi="Bookman Old Style"/>
        </w:rPr>
        <w:t xml:space="preserve"> En consecuencia de lo anterior, el valor a pagar por parte de </w:t>
      </w:r>
      <w:r w:rsidRPr="003C6DF5">
        <w:rPr>
          <w:rFonts w:ascii="Bookman Old Style" w:hAnsi="Bookman Old Style"/>
          <w:bCs/>
        </w:rPr>
        <w:t xml:space="preserve">CENTRALES ELECTRICAS DEL NORTE DE SANTANDER E.S.P. S.A., corresponde a la suma de </w:t>
      </w:r>
      <w:r w:rsidR="00C04A2C" w:rsidRPr="003C6DF5">
        <w:rPr>
          <w:rFonts w:ascii="Bookman Old Style" w:hAnsi="Bookman Old Style"/>
        </w:rPr>
        <w:t>CUATROCIENTOS CINCUENTA Y DOS MILLONES DOSCIENTOS SESENTA Y CUATRO MIL OCHOCIENTOS CINCUENTA Y OCHO PESOS ($452,264,858.oo) M/cte.</w:t>
      </w:r>
    </w:p>
    <w:p w:rsidR="00C24A4F" w:rsidRPr="003C6DF5" w:rsidRDefault="00C24A4F" w:rsidP="00321BFD">
      <w:pPr>
        <w:ind w:left="0"/>
        <w:jc w:val="both"/>
        <w:rPr>
          <w:rFonts w:ascii="Bookman Old Style" w:hAnsi="Bookman Old Style"/>
        </w:rPr>
      </w:pPr>
    </w:p>
    <w:p w:rsidR="00321BFD" w:rsidRPr="003C6DF5" w:rsidRDefault="00321BFD" w:rsidP="00321BFD">
      <w:pPr>
        <w:ind w:left="0"/>
        <w:jc w:val="both"/>
        <w:rPr>
          <w:rFonts w:ascii="Bookman Old Style" w:hAnsi="Bookman Old Style"/>
        </w:rPr>
      </w:pPr>
      <w:r w:rsidRPr="003C6DF5">
        <w:rPr>
          <w:rFonts w:ascii="Bookman Old Style" w:hAnsi="Bookman Old Style"/>
          <w:b/>
        </w:rPr>
        <w:t>ARTÍCULO 2.</w:t>
      </w:r>
      <w:r w:rsidR="006F2333">
        <w:rPr>
          <w:rFonts w:ascii="Bookman Old Style" w:hAnsi="Bookman Old Style"/>
        </w:rPr>
        <w:t xml:space="preserve"> </w:t>
      </w:r>
      <w:r w:rsidRPr="003C6DF5">
        <w:rPr>
          <w:rFonts w:ascii="Bookman Old Style" w:hAnsi="Bookman Old Style"/>
          <w:b/>
        </w:rPr>
        <w:t xml:space="preserve">INFORMAR, </w:t>
      </w:r>
      <w:r w:rsidRPr="003C6DF5">
        <w:rPr>
          <w:rFonts w:ascii="Bookman Old Style" w:hAnsi="Bookman Old Style"/>
        </w:rPr>
        <w:t xml:space="preserve">a quien corresponda el contenido de la presente resolución para que efectué los ajustes contables necesarios y se emita el respectivo paz y salvo de la resolución </w:t>
      </w:r>
      <w:r w:rsidR="00762CAB" w:rsidRPr="003C6DF5">
        <w:rPr>
          <w:rFonts w:ascii="Bookman Old Style" w:hAnsi="Bookman Old Style"/>
        </w:rPr>
        <w:t>188 de  2016</w:t>
      </w:r>
      <w:r w:rsidRPr="003C6DF5">
        <w:rPr>
          <w:rFonts w:ascii="Bookman Old Style" w:hAnsi="Bookman Old Style"/>
        </w:rPr>
        <w:t xml:space="preserve"> con destino al recurrente.</w:t>
      </w:r>
    </w:p>
    <w:p w:rsidR="00321BFD" w:rsidRPr="003C6DF5" w:rsidRDefault="00321BFD" w:rsidP="00321BFD">
      <w:pPr>
        <w:ind w:left="0"/>
        <w:jc w:val="both"/>
        <w:rPr>
          <w:rFonts w:ascii="Bookman Old Style" w:hAnsi="Bookman Old Style" w:cs="Arial"/>
          <w:color w:val="000000"/>
        </w:rPr>
      </w:pPr>
    </w:p>
    <w:p w:rsidR="00321BFD" w:rsidRPr="003C6DF5" w:rsidRDefault="00321BFD" w:rsidP="00321BFD">
      <w:pPr>
        <w:ind w:left="0"/>
        <w:jc w:val="both"/>
        <w:rPr>
          <w:rFonts w:ascii="Bookman Old Style" w:hAnsi="Bookman Old Style" w:cs="Arial"/>
        </w:rPr>
      </w:pPr>
      <w:r w:rsidRPr="003C6DF5">
        <w:rPr>
          <w:rFonts w:ascii="Bookman Old Style" w:hAnsi="Bookman Old Style"/>
          <w:b/>
        </w:rPr>
        <w:t xml:space="preserve">ARTÍCULO 3. NOTIFICAR </w:t>
      </w:r>
      <w:r w:rsidRPr="003C6DF5">
        <w:rPr>
          <w:rFonts w:ascii="Bookman Old Style" w:hAnsi="Bookman Old Style"/>
        </w:rPr>
        <w:t xml:space="preserve">al representante legal de la empresa </w:t>
      </w:r>
      <w:r w:rsidR="00F8092D" w:rsidRPr="003C6DF5">
        <w:rPr>
          <w:rFonts w:ascii="Bookman Old Style" w:hAnsi="Bookman Old Style"/>
          <w:bCs/>
        </w:rPr>
        <w:t xml:space="preserve">CENTRALES ELECTRICAS DEL NORTE DE SANTANDER E.S.P. S.A., </w:t>
      </w:r>
      <w:r w:rsidRPr="003C6DF5">
        <w:rPr>
          <w:rFonts w:ascii="Bookman Old Style" w:hAnsi="Bookman Old Style" w:cs="Arial"/>
        </w:rPr>
        <w:t xml:space="preserve">el contenido de la presente resolución, conforme con lo establecido en los artículos 67 y </w:t>
      </w:r>
      <w:proofErr w:type="spellStart"/>
      <w:r w:rsidRPr="003C6DF5">
        <w:rPr>
          <w:rFonts w:ascii="Bookman Old Style" w:hAnsi="Bookman Old Style" w:cs="Arial"/>
        </w:rPr>
        <w:t>ss</w:t>
      </w:r>
      <w:proofErr w:type="spellEnd"/>
      <w:r w:rsidRPr="003C6DF5">
        <w:rPr>
          <w:rFonts w:ascii="Bookman Old Style" w:hAnsi="Bookman Old Style" w:cs="Arial"/>
        </w:rPr>
        <w:t xml:space="preserve"> del Código de Procedimiento Administrativo y de lo Contencioso Administrativo. </w:t>
      </w:r>
    </w:p>
    <w:p w:rsidR="00321BFD" w:rsidRPr="003C6DF5" w:rsidRDefault="00321BFD" w:rsidP="00321BFD">
      <w:pPr>
        <w:ind w:left="170"/>
        <w:jc w:val="both"/>
        <w:rPr>
          <w:rFonts w:ascii="Bookman Old Style" w:hAnsi="Bookman Old Style" w:cs="Arial"/>
        </w:rPr>
      </w:pPr>
    </w:p>
    <w:p w:rsidR="00321BFD" w:rsidRPr="003C6DF5" w:rsidRDefault="00321BFD" w:rsidP="00321BFD">
      <w:pPr>
        <w:ind w:left="0"/>
        <w:jc w:val="both"/>
        <w:rPr>
          <w:rFonts w:ascii="Bookman Old Style" w:hAnsi="Bookman Old Style"/>
        </w:rPr>
      </w:pPr>
      <w:r w:rsidRPr="003C6DF5">
        <w:rPr>
          <w:rFonts w:ascii="Bookman Old Style" w:hAnsi="Bookman Old Style"/>
          <w:b/>
        </w:rPr>
        <w:t xml:space="preserve">ARTÍCULO 4. </w:t>
      </w:r>
      <w:r w:rsidRPr="003C6DF5">
        <w:rPr>
          <w:rFonts w:ascii="Bookman Old Style" w:hAnsi="Bookman Old Style"/>
        </w:rPr>
        <w:t>Contra la presente resolución no procede recurso alguno, quedando por lo tanto agotada la vía gubernativa.</w:t>
      </w:r>
    </w:p>
    <w:p w:rsidR="00321BFD" w:rsidRPr="003C6DF5" w:rsidRDefault="00321BFD" w:rsidP="00321BFD">
      <w:pPr>
        <w:ind w:left="0"/>
        <w:jc w:val="both"/>
        <w:rPr>
          <w:rFonts w:ascii="Bookman Old Style" w:hAnsi="Bookman Old Style" w:cs="Arial"/>
        </w:rPr>
      </w:pPr>
    </w:p>
    <w:p w:rsidR="00321BFD" w:rsidRPr="003C6DF5" w:rsidRDefault="00321BFD" w:rsidP="00321BFD">
      <w:pPr>
        <w:ind w:left="0"/>
        <w:jc w:val="both"/>
        <w:rPr>
          <w:rFonts w:ascii="Bookman Old Style" w:hAnsi="Bookman Old Style" w:cs="Arial"/>
        </w:rPr>
      </w:pPr>
    </w:p>
    <w:p w:rsidR="00321BFD" w:rsidRPr="003C6DF5" w:rsidRDefault="00321BFD" w:rsidP="00321BFD">
      <w:pPr>
        <w:ind w:left="0"/>
        <w:jc w:val="center"/>
        <w:rPr>
          <w:rFonts w:ascii="Bookman Old Style" w:hAnsi="Bookman Old Style" w:cs="Arial"/>
          <w:b/>
        </w:rPr>
      </w:pPr>
      <w:r w:rsidRPr="003C6DF5">
        <w:rPr>
          <w:rFonts w:ascii="Bookman Old Style" w:hAnsi="Bookman Old Style" w:cs="Arial"/>
          <w:b/>
        </w:rPr>
        <w:t>NOTIFÍQUESE Y CÚMPLASE</w:t>
      </w:r>
    </w:p>
    <w:p w:rsidR="00321BFD" w:rsidRPr="003C6DF5" w:rsidRDefault="00321BFD" w:rsidP="00321BFD">
      <w:pPr>
        <w:ind w:left="0"/>
        <w:jc w:val="center"/>
        <w:rPr>
          <w:rFonts w:ascii="Bookman Old Style" w:hAnsi="Bookman Old Style" w:cs="Arial"/>
          <w:b/>
        </w:rPr>
      </w:pPr>
    </w:p>
    <w:p w:rsidR="00321BFD" w:rsidRPr="003C6DF5" w:rsidRDefault="00321BFD" w:rsidP="00321BFD">
      <w:pPr>
        <w:ind w:left="0"/>
        <w:rPr>
          <w:rFonts w:ascii="Bookman Old Style" w:hAnsi="Bookman Old Style" w:cs="Arial"/>
        </w:rPr>
      </w:pPr>
    </w:p>
    <w:p w:rsidR="00321BFD" w:rsidRPr="003C6DF5" w:rsidRDefault="00321BFD" w:rsidP="00321BFD">
      <w:pPr>
        <w:ind w:left="0"/>
        <w:rPr>
          <w:rFonts w:ascii="Bookman Old Style" w:hAnsi="Bookman Old Style" w:cs="Arial"/>
        </w:rPr>
      </w:pPr>
      <w:r w:rsidRPr="003C6DF5">
        <w:rPr>
          <w:rFonts w:ascii="Bookman Old Style" w:hAnsi="Bookman Old Style" w:cs="Arial"/>
        </w:rPr>
        <w:t>Dada en Bogotá D.C, a los</w:t>
      </w:r>
    </w:p>
    <w:p w:rsidR="00321BFD" w:rsidRPr="003C6DF5" w:rsidRDefault="00321BFD" w:rsidP="00321BFD">
      <w:pPr>
        <w:ind w:left="0"/>
        <w:jc w:val="both"/>
        <w:rPr>
          <w:rFonts w:ascii="Bookman Old Style" w:hAnsi="Bookman Old Style" w:cs="Arial"/>
          <w:b/>
        </w:rPr>
      </w:pPr>
    </w:p>
    <w:p w:rsidR="00F8092D" w:rsidRPr="003C6DF5" w:rsidRDefault="00F8092D" w:rsidP="00F8092D">
      <w:pPr>
        <w:rPr>
          <w:rFonts w:ascii="Bookman Old Style" w:hAnsi="Bookman Old Style" w:cs="Arial"/>
          <w:szCs w:val="20"/>
        </w:rPr>
      </w:pPr>
    </w:p>
    <w:p w:rsidR="00F8092D" w:rsidRPr="003C6DF5" w:rsidRDefault="00F8092D" w:rsidP="00F8092D">
      <w:pPr>
        <w:rPr>
          <w:rFonts w:ascii="Bookman Old Style" w:hAnsi="Bookman Old Style" w:cs="Arial"/>
          <w:szCs w:val="20"/>
        </w:rPr>
      </w:pPr>
    </w:p>
    <w:tbl>
      <w:tblPr>
        <w:tblW w:w="8982" w:type="dxa"/>
        <w:jc w:val="center"/>
        <w:tblLayout w:type="fixed"/>
        <w:tblCellMar>
          <w:left w:w="70" w:type="dxa"/>
          <w:right w:w="70" w:type="dxa"/>
        </w:tblCellMar>
        <w:tblLook w:val="0000" w:firstRow="0" w:lastRow="0" w:firstColumn="0" w:lastColumn="0" w:noHBand="0" w:noVBand="0"/>
      </w:tblPr>
      <w:tblGrid>
        <w:gridCol w:w="4491"/>
        <w:gridCol w:w="4491"/>
      </w:tblGrid>
      <w:tr w:rsidR="00F8092D" w:rsidRPr="003C6DF5" w:rsidTr="00180166">
        <w:trPr>
          <w:trHeight w:val="391"/>
          <w:jc w:val="center"/>
        </w:trPr>
        <w:tc>
          <w:tcPr>
            <w:tcW w:w="4491" w:type="dxa"/>
          </w:tcPr>
          <w:p w:rsidR="00F8092D" w:rsidRPr="003C6DF5" w:rsidRDefault="00F8092D" w:rsidP="00180166">
            <w:pPr>
              <w:snapToGrid w:val="0"/>
              <w:ind w:left="0" w:firstLine="27"/>
              <w:jc w:val="center"/>
              <w:rPr>
                <w:rFonts w:ascii="Bookman Old Style" w:hAnsi="Bookman Old Style" w:cs="Arial"/>
                <w:b/>
                <w:spacing w:val="-3"/>
                <w:sz w:val="22"/>
                <w:szCs w:val="22"/>
              </w:rPr>
            </w:pPr>
            <w:r w:rsidRPr="003C6DF5">
              <w:rPr>
                <w:rFonts w:ascii="Bookman Old Style" w:hAnsi="Bookman Old Style" w:cs="Arial"/>
                <w:b/>
                <w:spacing w:val="-3"/>
              </w:rPr>
              <w:t>RUTTY PAOLA ORTÍZ JARA</w:t>
            </w:r>
          </w:p>
        </w:tc>
        <w:tc>
          <w:tcPr>
            <w:tcW w:w="4491" w:type="dxa"/>
            <w:vAlign w:val="center"/>
          </w:tcPr>
          <w:p w:rsidR="00F8092D" w:rsidRPr="003C6DF5" w:rsidRDefault="00F8092D" w:rsidP="00180166">
            <w:pPr>
              <w:snapToGrid w:val="0"/>
              <w:ind w:left="72"/>
              <w:jc w:val="center"/>
              <w:rPr>
                <w:rFonts w:ascii="Bookman Old Style" w:hAnsi="Bookman Old Style" w:cs="Arial"/>
                <w:b/>
                <w:spacing w:val="-3"/>
                <w:sz w:val="22"/>
                <w:szCs w:val="22"/>
              </w:rPr>
            </w:pPr>
            <w:r w:rsidRPr="003C6DF5">
              <w:rPr>
                <w:rFonts w:ascii="Bookman Old Style" w:hAnsi="Bookman Old Style" w:cs="Arial"/>
                <w:b/>
                <w:spacing w:val="-3"/>
                <w:sz w:val="22"/>
                <w:szCs w:val="22"/>
              </w:rPr>
              <w:t>GERMAN CASTRO FERREIRA</w:t>
            </w:r>
          </w:p>
        </w:tc>
      </w:tr>
      <w:tr w:rsidR="00F8092D" w:rsidRPr="003C6DF5" w:rsidTr="00180166">
        <w:trPr>
          <w:trHeight w:val="349"/>
          <w:jc w:val="center"/>
        </w:trPr>
        <w:tc>
          <w:tcPr>
            <w:tcW w:w="4491" w:type="dxa"/>
          </w:tcPr>
          <w:p w:rsidR="00F8092D" w:rsidRPr="003C6DF5" w:rsidRDefault="00F8092D" w:rsidP="00180166">
            <w:pPr>
              <w:ind w:left="0"/>
              <w:jc w:val="center"/>
              <w:rPr>
                <w:rFonts w:ascii="Bookman Old Style" w:hAnsi="Bookman Old Style" w:cs="Arial"/>
                <w:spacing w:val="-3"/>
                <w:sz w:val="20"/>
                <w:szCs w:val="20"/>
                <w:lang w:val="es-ES_tradnl"/>
              </w:rPr>
            </w:pPr>
            <w:r w:rsidRPr="003C6DF5">
              <w:rPr>
                <w:rFonts w:ascii="Bookman Old Style" w:hAnsi="Bookman Old Style" w:cs="Arial"/>
                <w:spacing w:val="-3"/>
                <w:sz w:val="20"/>
                <w:szCs w:val="20"/>
                <w:lang w:val="es-ES_tradnl"/>
              </w:rPr>
              <w:t xml:space="preserve">Delegada del Ministro de Minas Energía </w:t>
            </w:r>
          </w:p>
          <w:p w:rsidR="00F8092D" w:rsidRPr="003C6DF5" w:rsidRDefault="00F8092D" w:rsidP="00180166">
            <w:pPr>
              <w:ind w:left="0"/>
              <w:jc w:val="center"/>
              <w:rPr>
                <w:rFonts w:ascii="Bookman Old Style" w:hAnsi="Bookman Old Style" w:cs="Arial"/>
                <w:spacing w:val="-3"/>
                <w:sz w:val="20"/>
                <w:szCs w:val="20"/>
                <w:lang w:val="es-ES_tradnl"/>
              </w:rPr>
            </w:pPr>
            <w:r w:rsidRPr="003C6DF5">
              <w:rPr>
                <w:rFonts w:ascii="Bookman Old Style" w:hAnsi="Bookman Old Style" w:cs="Arial"/>
                <w:spacing w:val="-3"/>
                <w:sz w:val="20"/>
                <w:szCs w:val="20"/>
                <w:lang w:val="es-ES_tradnl"/>
              </w:rPr>
              <w:t>Viceministra de Energía</w:t>
            </w:r>
          </w:p>
          <w:p w:rsidR="00F8092D" w:rsidRPr="003C6DF5" w:rsidRDefault="00F8092D" w:rsidP="00180166">
            <w:pPr>
              <w:snapToGrid w:val="0"/>
              <w:ind w:left="0" w:firstLine="27"/>
              <w:jc w:val="center"/>
              <w:rPr>
                <w:rFonts w:ascii="Bookman Old Style" w:hAnsi="Bookman Old Style" w:cs="Arial"/>
                <w:spacing w:val="-3"/>
                <w:sz w:val="20"/>
                <w:szCs w:val="20"/>
              </w:rPr>
            </w:pPr>
            <w:r w:rsidRPr="003C6DF5">
              <w:rPr>
                <w:rFonts w:ascii="Bookman Old Style" w:hAnsi="Bookman Old Style" w:cs="Arial"/>
                <w:spacing w:val="-3"/>
                <w:sz w:val="20"/>
                <w:szCs w:val="20"/>
              </w:rPr>
              <w:t>Presidente</w:t>
            </w:r>
            <w:r w:rsidRPr="003C6DF5" w:rsidDel="00F9100C">
              <w:rPr>
                <w:rFonts w:ascii="Bookman Old Style" w:hAnsi="Bookman Old Style" w:cs="Arial"/>
                <w:spacing w:val="-3"/>
                <w:sz w:val="20"/>
                <w:szCs w:val="20"/>
                <w:lang w:val="es-ES_tradnl"/>
              </w:rPr>
              <w:t xml:space="preserve"> </w:t>
            </w:r>
          </w:p>
        </w:tc>
        <w:tc>
          <w:tcPr>
            <w:tcW w:w="4491" w:type="dxa"/>
          </w:tcPr>
          <w:p w:rsidR="00F8092D" w:rsidRPr="003C6DF5" w:rsidRDefault="00F8092D" w:rsidP="00180166">
            <w:pPr>
              <w:tabs>
                <w:tab w:val="left" w:pos="-720"/>
              </w:tabs>
              <w:snapToGrid w:val="0"/>
              <w:jc w:val="center"/>
              <w:rPr>
                <w:rFonts w:ascii="Bookman Old Style" w:hAnsi="Bookman Old Style" w:cs="Arial"/>
                <w:spacing w:val="-3"/>
                <w:sz w:val="20"/>
                <w:szCs w:val="20"/>
              </w:rPr>
            </w:pPr>
            <w:r w:rsidRPr="003C6DF5">
              <w:rPr>
                <w:rFonts w:ascii="Bookman Old Style" w:hAnsi="Bookman Old Style" w:cs="Arial"/>
                <w:spacing w:val="-3"/>
                <w:sz w:val="20"/>
                <w:szCs w:val="20"/>
              </w:rPr>
              <w:t>Director Ejecutivo</w:t>
            </w:r>
          </w:p>
        </w:tc>
      </w:tr>
    </w:tbl>
    <w:p w:rsidR="00321BFD" w:rsidRPr="003C6DF5" w:rsidRDefault="00321BFD" w:rsidP="00321BFD">
      <w:pPr>
        <w:rPr>
          <w:rFonts w:ascii="Bookman Old Style" w:hAnsi="Bookman Old Style"/>
        </w:rPr>
      </w:pPr>
    </w:p>
    <w:p w:rsidR="003C6F78" w:rsidRPr="003C6DF5" w:rsidRDefault="003C6F78">
      <w:pPr>
        <w:rPr>
          <w:rFonts w:ascii="Bookman Old Style" w:hAnsi="Bookman Old Style"/>
        </w:rPr>
      </w:pPr>
    </w:p>
    <w:sectPr w:rsidR="003C6F78" w:rsidRPr="003C6DF5" w:rsidSect="00337231">
      <w:headerReference w:type="even" r:id="rId9"/>
      <w:headerReference w:type="default" r:id="rId10"/>
      <w:footerReference w:type="even" r:id="rId11"/>
      <w:footerReference w:type="default" r:id="rId12"/>
      <w:headerReference w:type="first" r:id="rId13"/>
      <w:foot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7F2" w:rsidRDefault="00CB57F2" w:rsidP="00321BFD">
      <w:r>
        <w:separator/>
      </w:r>
    </w:p>
  </w:endnote>
  <w:endnote w:type="continuationSeparator" w:id="0">
    <w:p w:rsidR="00CB57F2" w:rsidRDefault="00CB57F2" w:rsidP="0032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FC4" w:rsidRDefault="001D0F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FC4" w:rsidRDefault="001D0F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FC4" w:rsidRDefault="001D0F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7F2" w:rsidRDefault="00CB57F2" w:rsidP="00321BFD">
      <w:r>
        <w:separator/>
      </w:r>
    </w:p>
  </w:footnote>
  <w:footnote w:type="continuationSeparator" w:id="0">
    <w:p w:rsidR="00CB57F2" w:rsidRDefault="00CB57F2" w:rsidP="00321BFD">
      <w:r>
        <w:continuationSeparator/>
      </w:r>
    </w:p>
  </w:footnote>
  <w:footnote w:id="1">
    <w:p w:rsidR="00321BFD" w:rsidRPr="000C6060" w:rsidRDefault="00321BFD" w:rsidP="00321BFD">
      <w:pPr>
        <w:pStyle w:val="Textonotapie"/>
      </w:pPr>
      <w:r>
        <w:rPr>
          <w:rStyle w:val="Refdenotaalpie"/>
        </w:rPr>
        <w:footnoteRef/>
      </w:r>
      <w:r>
        <w:t xml:space="preserve"> Artículo 85 Ley 142 de 1994</w:t>
      </w:r>
    </w:p>
  </w:footnote>
  <w:footnote w:id="2">
    <w:p w:rsidR="00321BFD" w:rsidRPr="003D5A97" w:rsidRDefault="00321BFD" w:rsidP="00321BFD">
      <w:pPr>
        <w:pStyle w:val="Textonotapie"/>
        <w:rPr>
          <w:b/>
        </w:rPr>
      </w:pPr>
      <w:r>
        <w:rPr>
          <w:rStyle w:val="Refdenotaalpie"/>
        </w:rPr>
        <w:footnoteRef/>
      </w:r>
      <w:r>
        <w:t xml:space="preserve"> </w:t>
      </w:r>
    </w:p>
    <w:p w:rsidR="00321BFD" w:rsidRPr="003D5A97" w:rsidRDefault="00321BFD" w:rsidP="00321BFD">
      <w:pPr>
        <w:pStyle w:val="Textonotapie"/>
      </w:pPr>
      <w:r w:rsidRPr="003D5A97">
        <w:t>Consejo de estado</w:t>
      </w:r>
      <w:r>
        <w:t xml:space="preserve">, </w:t>
      </w:r>
      <w:r w:rsidRPr="003D5A97">
        <w:t>Sala de lo contencioso administrativo</w:t>
      </w:r>
      <w:r>
        <w:t xml:space="preserve">, </w:t>
      </w:r>
      <w:r w:rsidRPr="003D5A97">
        <w:t>Sección segunda</w:t>
      </w:r>
      <w:r>
        <w:t xml:space="preserve">, </w:t>
      </w:r>
      <w:r w:rsidRPr="003D5A97">
        <w:t>Subsección "</w:t>
      </w:r>
      <w:r>
        <w:t>A</w:t>
      </w:r>
      <w:r w:rsidRPr="003D5A97">
        <w:t>"</w:t>
      </w:r>
      <w:r>
        <w:t xml:space="preserve">, </w:t>
      </w:r>
      <w:r w:rsidRPr="003D5A97">
        <w:t>Consejero ponente: Alfonso Vargas Rincón</w:t>
      </w:r>
      <w:r>
        <w:t xml:space="preserve"> Bogotá, D.C</w:t>
      </w:r>
      <w:r w:rsidRPr="003D5A97">
        <w:t xml:space="preserve">, </w:t>
      </w:r>
      <w:r w:rsidRPr="003D5A97">
        <w:rPr>
          <w:lang w:val="es-MX"/>
        </w:rPr>
        <w:t>cuatro (4) de marzo de dos mil diez (2010)</w:t>
      </w:r>
      <w:r>
        <w:t xml:space="preserve"> </w:t>
      </w:r>
      <w:r w:rsidRPr="003D5A97">
        <w:t>Radicación número: 11001-03-25-000-2003-00360-01(3875-03)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FC4" w:rsidRDefault="001D0F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6" w:rsidRDefault="00F7494A" w:rsidP="00951F79">
    <w:pPr>
      <w:pStyle w:val="Ttulo1"/>
      <w:ind w:right="6"/>
      <w:jc w:val="left"/>
      <w:rPr>
        <w:rFonts w:ascii="Bookman Old Style" w:hAnsi="Bookman Old Style" w:cs="Arial"/>
        <w:b w:val="0"/>
        <w:sz w:val="22"/>
        <w:szCs w:val="22"/>
      </w:rPr>
    </w:pPr>
  </w:p>
  <w:p w:rsidR="00227116" w:rsidRPr="00951F79" w:rsidRDefault="001B1ED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7494A">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7494A" w:rsidRPr="00F7494A">
        <w:rPr>
          <w:rFonts w:ascii="Bookman Old Style" w:hAnsi="Bookman Old Style" w:cs="Arial"/>
          <w:b w:val="0"/>
          <w:noProof/>
          <w:sz w:val="22"/>
          <w:szCs w:val="22"/>
        </w:rPr>
        <w:t>8</w:t>
      </w:r>
    </w:fldSimple>
  </w:p>
  <w:p w:rsidR="00227116" w:rsidRDefault="001B1ED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7CB002F7" wp14:editId="076EAEBA">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68B42"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7116" w:rsidRPr="00617704" w:rsidRDefault="001B1ED7" w:rsidP="00617704">
    <w:pPr>
      <w:ind w:left="0"/>
      <w:jc w:val="both"/>
      <w:rPr>
        <w:rFonts w:ascii="Bookman Old Style" w:hAnsi="Bookman Old Style" w:cs="Arial"/>
        <w:sz w:val="22"/>
        <w:szCs w:val="22"/>
      </w:rPr>
    </w:pPr>
    <w:r w:rsidRPr="00617704">
      <w:rPr>
        <w:rFonts w:ascii="Bookman Old Style" w:hAnsi="Bookman Old Style" w:cs="Arial"/>
        <w:sz w:val="22"/>
        <w:szCs w:val="22"/>
      </w:rPr>
      <w:t>Por medio de la cual se resuelve un recurso de reposición en contra de la Resolución CREG 1</w:t>
    </w:r>
    <w:r w:rsidR="001D0FC4">
      <w:rPr>
        <w:rFonts w:ascii="Bookman Old Style" w:hAnsi="Bookman Old Style" w:cs="Arial"/>
        <w:sz w:val="22"/>
        <w:szCs w:val="22"/>
      </w:rPr>
      <w:t>88</w:t>
    </w:r>
    <w:r w:rsidRPr="00617704">
      <w:rPr>
        <w:rFonts w:ascii="Bookman Old Style" w:hAnsi="Bookman Old Style" w:cs="Arial"/>
        <w:sz w:val="22"/>
        <w:szCs w:val="22"/>
      </w:rPr>
      <w:t xml:space="preserve"> de 201</w:t>
    </w:r>
    <w:r w:rsidR="001D0FC4">
      <w:rPr>
        <w:rFonts w:ascii="Bookman Old Style" w:hAnsi="Bookman Old Style" w:cs="Arial"/>
        <w:sz w:val="22"/>
        <w:szCs w:val="22"/>
      </w:rPr>
      <w:t>6</w:t>
    </w:r>
  </w:p>
  <w:p w:rsidR="00227116" w:rsidRPr="00CB5DD0" w:rsidRDefault="00F7494A" w:rsidP="00AD01E4">
    <w:pPr>
      <w:pBdr>
        <w:bottom w:val="single" w:sz="4" w:space="1" w:color="auto"/>
      </w:pBdr>
      <w:ind w:left="142" w:right="14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6" w:rsidRDefault="001B1ED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F7494A">
    <w:pPr>
      <w:pStyle w:val="Encabezado"/>
      <w:jc w:val="center"/>
      <w:rPr>
        <w:rFonts w:ascii="Arial" w:hAnsi="Arial" w:cs="Arial"/>
        <w:spacing w:val="20"/>
        <w:sz w:val="20"/>
      </w:rPr>
    </w:pPr>
  </w:p>
  <w:p w:rsidR="00227116" w:rsidRDefault="001B1ED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C31C5C0" wp14:editId="5C7C28B8">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ACDEA"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4517F22"/>
    <w:multiLevelType w:val="hybridMultilevel"/>
    <w:tmpl w:val="0CA21862"/>
    <w:lvl w:ilvl="0" w:tplc="0C0A0017">
      <w:start w:val="1"/>
      <w:numFmt w:val="lowerLetter"/>
      <w:lvlText w:val="%1)"/>
      <w:lvlJc w:val="left"/>
      <w:pPr>
        <w:ind w:left="530" w:hanging="360"/>
      </w:pPr>
      <w:rPr>
        <w:rFonts w:hint="default"/>
        <w:color w:val="auto"/>
      </w:rPr>
    </w:lvl>
    <w:lvl w:ilvl="1" w:tplc="240A0019" w:tentative="1">
      <w:start w:val="1"/>
      <w:numFmt w:val="lowerLetter"/>
      <w:lvlText w:val="%2."/>
      <w:lvlJc w:val="left"/>
      <w:pPr>
        <w:ind w:left="1250" w:hanging="360"/>
      </w:pPr>
    </w:lvl>
    <w:lvl w:ilvl="2" w:tplc="240A001B" w:tentative="1">
      <w:start w:val="1"/>
      <w:numFmt w:val="lowerRoman"/>
      <w:lvlText w:val="%3."/>
      <w:lvlJc w:val="right"/>
      <w:pPr>
        <w:ind w:left="1970" w:hanging="180"/>
      </w:pPr>
    </w:lvl>
    <w:lvl w:ilvl="3" w:tplc="240A000F" w:tentative="1">
      <w:start w:val="1"/>
      <w:numFmt w:val="decimal"/>
      <w:lvlText w:val="%4."/>
      <w:lvlJc w:val="left"/>
      <w:pPr>
        <w:ind w:left="2690" w:hanging="360"/>
      </w:pPr>
    </w:lvl>
    <w:lvl w:ilvl="4" w:tplc="240A0019" w:tentative="1">
      <w:start w:val="1"/>
      <w:numFmt w:val="lowerLetter"/>
      <w:lvlText w:val="%5."/>
      <w:lvlJc w:val="left"/>
      <w:pPr>
        <w:ind w:left="3410" w:hanging="360"/>
      </w:pPr>
    </w:lvl>
    <w:lvl w:ilvl="5" w:tplc="240A001B" w:tentative="1">
      <w:start w:val="1"/>
      <w:numFmt w:val="lowerRoman"/>
      <w:lvlText w:val="%6."/>
      <w:lvlJc w:val="right"/>
      <w:pPr>
        <w:ind w:left="4130" w:hanging="180"/>
      </w:pPr>
    </w:lvl>
    <w:lvl w:ilvl="6" w:tplc="240A000F" w:tentative="1">
      <w:start w:val="1"/>
      <w:numFmt w:val="decimal"/>
      <w:lvlText w:val="%7."/>
      <w:lvlJc w:val="left"/>
      <w:pPr>
        <w:ind w:left="4850" w:hanging="360"/>
      </w:pPr>
    </w:lvl>
    <w:lvl w:ilvl="7" w:tplc="240A0019" w:tentative="1">
      <w:start w:val="1"/>
      <w:numFmt w:val="lowerLetter"/>
      <w:lvlText w:val="%8."/>
      <w:lvlJc w:val="left"/>
      <w:pPr>
        <w:ind w:left="5570" w:hanging="360"/>
      </w:pPr>
    </w:lvl>
    <w:lvl w:ilvl="8" w:tplc="240A001B" w:tentative="1">
      <w:start w:val="1"/>
      <w:numFmt w:val="lowerRoman"/>
      <w:lvlText w:val="%9."/>
      <w:lvlJc w:val="right"/>
      <w:pPr>
        <w:ind w:left="6290" w:hanging="180"/>
      </w:pPr>
    </w:lvl>
  </w:abstractNum>
  <w:abstractNum w:abstractNumId="3" w15:restartNumberingAfterBreak="0">
    <w:nsid w:val="6365781C"/>
    <w:multiLevelType w:val="hybridMultilevel"/>
    <w:tmpl w:val="D40A26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BFD"/>
    <w:rsid w:val="0001566D"/>
    <w:rsid w:val="001405B5"/>
    <w:rsid w:val="001B1ED7"/>
    <w:rsid w:val="001B7B4F"/>
    <w:rsid w:val="001D0FC4"/>
    <w:rsid w:val="00321BFD"/>
    <w:rsid w:val="003C6DF5"/>
    <w:rsid w:val="003C6F78"/>
    <w:rsid w:val="003D2800"/>
    <w:rsid w:val="005669DA"/>
    <w:rsid w:val="00632862"/>
    <w:rsid w:val="006C7278"/>
    <w:rsid w:val="006E3781"/>
    <w:rsid w:val="006F2333"/>
    <w:rsid w:val="006F6C81"/>
    <w:rsid w:val="00762CAB"/>
    <w:rsid w:val="008B2873"/>
    <w:rsid w:val="008C14FF"/>
    <w:rsid w:val="009110AE"/>
    <w:rsid w:val="00965B58"/>
    <w:rsid w:val="00A40852"/>
    <w:rsid w:val="00A67639"/>
    <w:rsid w:val="00B072B2"/>
    <w:rsid w:val="00C04A2C"/>
    <w:rsid w:val="00C24A4F"/>
    <w:rsid w:val="00C528D4"/>
    <w:rsid w:val="00C65E4F"/>
    <w:rsid w:val="00C81AA9"/>
    <w:rsid w:val="00CA6945"/>
    <w:rsid w:val="00CB57F2"/>
    <w:rsid w:val="00D41165"/>
    <w:rsid w:val="00E44A58"/>
    <w:rsid w:val="00EC2187"/>
    <w:rsid w:val="00EE0C0C"/>
    <w:rsid w:val="00F7494A"/>
    <w:rsid w:val="00F809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4A6CF64-190A-406D-B8A0-8CDE18DA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BFD"/>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21BFD"/>
    <w:pPr>
      <w:keepNext/>
      <w:jc w:val="center"/>
      <w:outlineLvl w:val="0"/>
    </w:pPr>
    <w:rPr>
      <w:rFonts w:ascii="CG Times" w:hAnsi="CG Times"/>
      <w:b/>
      <w:szCs w:val="20"/>
      <w:lang w:val="es-CO"/>
    </w:rPr>
  </w:style>
  <w:style w:type="paragraph" w:styleId="Ttulo3">
    <w:name w:val="heading 3"/>
    <w:basedOn w:val="Normal"/>
    <w:next w:val="Normal"/>
    <w:link w:val="Ttulo3Car"/>
    <w:qFormat/>
    <w:rsid w:val="00321BFD"/>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21BFD"/>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21BFD"/>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1BFD"/>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321BFD"/>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321BFD"/>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321BFD"/>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321BFD"/>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321BFD"/>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321BFD"/>
    <w:pPr>
      <w:ind w:left="708"/>
    </w:pPr>
    <w:rPr>
      <w:sz w:val="20"/>
      <w:szCs w:val="20"/>
      <w:lang w:val="es-CO"/>
    </w:rPr>
  </w:style>
  <w:style w:type="character" w:customStyle="1" w:styleId="PrrafodelistaCar">
    <w:name w:val="Párrafo de lista Car"/>
    <w:basedOn w:val="Fuentedeprrafopredeter"/>
    <w:link w:val="Prrafodelista"/>
    <w:uiPriority w:val="34"/>
    <w:rsid w:val="00321BFD"/>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321BFD"/>
    <w:pPr>
      <w:spacing w:before="100" w:beforeAutospacing="1" w:after="100" w:afterAutospacing="1"/>
      <w:ind w:left="0"/>
    </w:pPr>
    <w:rPr>
      <w:lang w:val="es-CO" w:eastAsia="es-CO"/>
    </w:rPr>
  </w:style>
  <w:style w:type="paragraph" w:styleId="Textonotapie">
    <w:name w:val="footnote text"/>
    <w:basedOn w:val="Normal"/>
    <w:link w:val="TextonotapieCar"/>
    <w:uiPriority w:val="99"/>
    <w:semiHidden/>
    <w:unhideWhenUsed/>
    <w:rsid w:val="00321BFD"/>
    <w:rPr>
      <w:sz w:val="20"/>
      <w:szCs w:val="20"/>
    </w:rPr>
  </w:style>
  <w:style w:type="character" w:customStyle="1" w:styleId="TextonotapieCar">
    <w:name w:val="Texto nota pie Car"/>
    <w:basedOn w:val="Fuentedeprrafopredeter"/>
    <w:link w:val="Textonotapie"/>
    <w:uiPriority w:val="99"/>
    <w:semiHidden/>
    <w:rsid w:val="00321BF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21BFD"/>
    <w:rPr>
      <w:vertAlign w:val="superscript"/>
    </w:rPr>
  </w:style>
  <w:style w:type="character" w:customStyle="1" w:styleId="CharStyle11">
    <w:name w:val="Char Style 11"/>
    <w:basedOn w:val="Fuentedeprrafopredeter"/>
    <w:link w:val="Style10"/>
    <w:uiPriority w:val="99"/>
    <w:rsid w:val="00321BFD"/>
    <w:rPr>
      <w:rFonts w:ascii="Arial" w:hAnsi="Arial" w:cs="Arial"/>
      <w:sz w:val="17"/>
      <w:szCs w:val="17"/>
      <w:shd w:val="clear" w:color="auto" w:fill="FFFFFF"/>
    </w:rPr>
  </w:style>
  <w:style w:type="paragraph" w:customStyle="1" w:styleId="Style10">
    <w:name w:val="Style 10"/>
    <w:basedOn w:val="Normal"/>
    <w:link w:val="CharStyle11"/>
    <w:uiPriority w:val="99"/>
    <w:rsid w:val="00321BFD"/>
    <w:pPr>
      <w:widowControl w:val="0"/>
      <w:shd w:val="clear" w:color="auto" w:fill="FFFFFF"/>
      <w:spacing w:after="180" w:line="240" w:lineRule="atLeast"/>
      <w:ind w:left="0" w:hanging="700"/>
      <w:jc w:val="right"/>
    </w:pPr>
    <w:rPr>
      <w:rFonts w:ascii="Arial" w:eastAsiaTheme="minorHAnsi" w:hAnsi="Arial" w:cs="Arial"/>
      <w:sz w:val="17"/>
      <w:szCs w:val="17"/>
      <w:lang w:val="es-CO" w:eastAsia="en-US"/>
    </w:rPr>
  </w:style>
  <w:style w:type="character" w:customStyle="1" w:styleId="CharStyle25">
    <w:name w:val="Char Style 25"/>
    <w:basedOn w:val="Fuentedeprrafopredeter"/>
    <w:link w:val="Style24"/>
    <w:uiPriority w:val="99"/>
    <w:rsid w:val="00762CAB"/>
    <w:rPr>
      <w:rFonts w:ascii="Arial" w:hAnsi="Arial" w:cs="Arial"/>
      <w:sz w:val="17"/>
      <w:szCs w:val="17"/>
      <w:shd w:val="clear" w:color="auto" w:fill="FFFFFF"/>
    </w:rPr>
  </w:style>
  <w:style w:type="paragraph" w:customStyle="1" w:styleId="Style24">
    <w:name w:val="Style 24"/>
    <w:basedOn w:val="Normal"/>
    <w:link w:val="CharStyle25"/>
    <w:uiPriority w:val="99"/>
    <w:rsid w:val="00762CAB"/>
    <w:pPr>
      <w:widowControl w:val="0"/>
      <w:shd w:val="clear" w:color="auto" w:fill="FFFFFF"/>
      <w:spacing w:before="360" w:after="180" w:line="214" w:lineRule="exact"/>
      <w:ind w:left="0" w:hanging="320"/>
      <w:jc w:val="center"/>
    </w:pPr>
    <w:rPr>
      <w:rFonts w:ascii="Arial" w:eastAsiaTheme="minorHAnsi" w:hAnsi="Arial" w:cs="Arial"/>
      <w:sz w:val="17"/>
      <w:szCs w:val="17"/>
      <w:lang w:val="es-CO" w:eastAsia="en-US"/>
    </w:rPr>
  </w:style>
  <w:style w:type="character" w:customStyle="1" w:styleId="CharStyle41">
    <w:name w:val="Char Style 41"/>
    <w:basedOn w:val="CharStyle25"/>
    <w:link w:val="Style40"/>
    <w:uiPriority w:val="99"/>
    <w:rsid w:val="00762CAB"/>
    <w:rPr>
      <w:rFonts w:ascii="Arial" w:hAnsi="Arial" w:cs="Arial"/>
      <w:i/>
      <w:iCs/>
      <w:sz w:val="17"/>
      <w:szCs w:val="17"/>
      <w:u w:val="none"/>
      <w:shd w:val="clear" w:color="auto" w:fill="FFFFFF"/>
    </w:rPr>
  </w:style>
  <w:style w:type="character" w:customStyle="1" w:styleId="CharStyle10">
    <w:name w:val="Char Style 10"/>
    <w:basedOn w:val="Fuentedeprrafopredeter"/>
    <w:link w:val="Style9"/>
    <w:uiPriority w:val="99"/>
    <w:rsid w:val="00F8092D"/>
    <w:rPr>
      <w:rFonts w:ascii="Arial" w:hAnsi="Arial" w:cs="Arial"/>
      <w:sz w:val="19"/>
      <w:szCs w:val="19"/>
      <w:shd w:val="clear" w:color="auto" w:fill="FFFFFF"/>
    </w:rPr>
  </w:style>
  <w:style w:type="character" w:customStyle="1" w:styleId="CharStyle16">
    <w:name w:val="Char Style 16"/>
    <w:basedOn w:val="Fuentedeprrafopredeter"/>
    <w:link w:val="Style15"/>
    <w:uiPriority w:val="99"/>
    <w:rsid w:val="00F8092D"/>
    <w:rPr>
      <w:rFonts w:ascii="Arial" w:hAnsi="Arial" w:cs="Arial"/>
      <w:b/>
      <w:bCs/>
      <w:sz w:val="19"/>
      <w:szCs w:val="19"/>
      <w:shd w:val="clear" w:color="auto" w:fill="FFFFFF"/>
    </w:rPr>
  </w:style>
  <w:style w:type="character" w:customStyle="1" w:styleId="CharStyle81">
    <w:name w:val="Char Style 81"/>
    <w:basedOn w:val="CharStyle41"/>
    <w:uiPriority w:val="99"/>
    <w:rsid w:val="00F8092D"/>
    <w:rPr>
      <w:rFonts w:ascii="Arial" w:hAnsi="Arial" w:cs="Arial"/>
      <w:i/>
      <w:iCs/>
      <w:sz w:val="18"/>
      <w:szCs w:val="18"/>
      <w:u w:val="none"/>
      <w:shd w:val="clear" w:color="auto" w:fill="FFFFFF"/>
    </w:rPr>
  </w:style>
  <w:style w:type="character" w:customStyle="1" w:styleId="CharStyle82">
    <w:name w:val="Char Style 82"/>
    <w:basedOn w:val="CharStyle41"/>
    <w:uiPriority w:val="99"/>
    <w:rsid w:val="00F8092D"/>
    <w:rPr>
      <w:rFonts w:ascii="Arial" w:hAnsi="Arial" w:cs="Arial"/>
      <w:b/>
      <w:bCs/>
      <w:i/>
      <w:iCs/>
      <w:sz w:val="17"/>
      <w:szCs w:val="17"/>
      <w:u w:val="none"/>
      <w:shd w:val="clear" w:color="auto" w:fill="FFFFFF"/>
    </w:rPr>
  </w:style>
  <w:style w:type="character" w:customStyle="1" w:styleId="CharStyle83">
    <w:name w:val="Char Style 83"/>
    <w:basedOn w:val="CharStyle41"/>
    <w:uiPriority w:val="99"/>
    <w:rsid w:val="00F8092D"/>
    <w:rPr>
      <w:rFonts w:ascii="Arial" w:hAnsi="Arial" w:cs="Arial"/>
      <w:i/>
      <w:iCs/>
      <w:sz w:val="17"/>
      <w:szCs w:val="17"/>
      <w:u w:val="none"/>
      <w:shd w:val="clear" w:color="auto" w:fill="FFFFFF"/>
    </w:rPr>
  </w:style>
  <w:style w:type="character" w:customStyle="1" w:styleId="CharStyle84">
    <w:name w:val="Char Style 84"/>
    <w:basedOn w:val="CharStyle16"/>
    <w:uiPriority w:val="99"/>
    <w:rsid w:val="00F8092D"/>
    <w:rPr>
      <w:rFonts w:ascii="Arial" w:hAnsi="Arial" w:cs="Arial"/>
      <w:b w:val="0"/>
      <w:bCs w:val="0"/>
      <w:sz w:val="19"/>
      <w:szCs w:val="19"/>
      <w:shd w:val="clear" w:color="auto" w:fill="FFFFFF"/>
    </w:rPr>
  </w:style>
  <w:style w:type="paragraph" w:customStyle="1" w:styleId="Style9">
    <w:name w:val="Style 9"/>
    <w:basedOn w:val="Normal"/>
    <w:link w:val="CharStyle10"/>
    <w:uiPriority w:val="99"/>
    <w:rsid w:val="00F8092D"/>
    <w:pPr>
      <w:widowControl w:val="0"/>
      <w:shd w:val="clear" w:color="auto" w:fill="FFFFFF"/>
      <w:spacing w:before="720" w:line="240" w:lineRule="atLeast"/>
      <w:ind w:left="0"/>
    </w:pPr>
    <w:rPr>
      <w:rFonts w:ascii="Arial" w:eastAsiaTheme="minorHAnsi" w:hAnsi="Arial" w:cs="Arial"/>
      <w:sz w:val="19"/>
      <w:szCs w:val="19"/>
      <w:lang w:val="es-CO" w:eastAsia="en-US"/>
    </w:rPr>
  </w:style>
  <w:style w:type="paragraph" w:customStyle="1" w:styleId="Style15">
    <w:name w:val="Style 15"/>
    <w:basedOn w:val="Normal"/>
    <w:link w:val="CharStyle16"/>
    <w:uiPriority w:val="99"/>
    <w:rsid w:val="00F8092D"/>
    <w:pPr>
      <w:widowControl w:val="0"/>
      <w:shd w:val="clear" w:color="auto" w:fill="FFFFFF"/>
      <w:spacing w:before="180" w:after="300" w:line="240" w:lineRule="atLeast"/>
      <w:ind w:left="0"/>
      <w:jc w:val="right"/>
    </w:pPr>
    <w:rPr>
      <w:rFonts w:ascii="Arial" w:eastAsiaTheme="minorHAnsi" w:hAnsi="Arial" w:cs="Arial"/>
      <w:b/>
      <w:bCs/>
      <w:sz w:val="19"/>
      <w:szCs w:val="19"/>
      <w:lang w:val="es-CO" w:eastAsia="en-US"/>
    </w:rPr>
  </w:style>
  <w:style w:type="paragraph" w:customStyle="1" w:styleId="Style40">
    <w:name w:val="Style 40"/>
    <w:basedOn w:val="Normal"/>
    <w:link w:val="CharStyle41"/>
    <w:uiPriority w:val="99"/>
    <w:rsid w:val="00F8092D"/>
    <w:pPr>
      <w:widowControl w:val="0"/>
      <w:shd w:val="clear" w:color="auto" w:fill="FFFFFF"/>
      <w:spacing w:before="180" w:after="180" w:line="240" w:lineRule="exact"/>
      <w:ind w:left="0"/>
      <w:jc w:val="both"/>
    </w:pPr>
    <w:rPr>
      <w:rFonts w:ascii="Arial" w:eastAsiaTheme="minorHAnsi" w:hAnsi="Arial" w:cs="Arial"/>
      <w:i/>
      <w:iCs/>
      <w:sz w:val="17"/>
      <w:szCs w:val="17"/>
      <w:lang w:val="es-CO" w:eastAsia="en-US"/>
    </w:rPr>
  </w:style>
  <w:style w:type="character" w:customStyle="1" w:styleId="CharStyle87">
    <w:name w:val="Char Style 87"/>
    <w:basedOn w:val="Fuentedeprrafopredeter"/>
    <w:link w:val="Style86"/>
    <w:uiPriority w:val="99"/>
    <w:rsid w:val="00F8092D"/>
    <w:rPr>
      <w:rFonts w:ascii="Arial" w:hAnsi="Arial" w:cs="Arial"/>
      <w:sz w:val="19"/>
      <w:szCs w:val="19"/>
      <w:shd w:val="clear" w:color="auto" w:fill="FFFFFF"/>
    </w:rPr>
  </w:style>
  <w:style w:type="character" w:customStyle="1" w:styleId="CharStyle88">
    <w:name w:val="Char Style 88"/>
    <w:basedOn w:val="CharStyle10"/>
    <w:uiPriority w:val="99"/>
    <w:rsid w:val="00F8092D"/>
    <w:rPr>
      <w:rFonts w:ascii="Arial" w:hAnsi="Arial" w:cs="Arial"/>
      <w:b/>
      <w:bCs/>
      <w:sz w:val="19"/>
      <w:szCs w:val="19"/>
      <w:u w:val="none"/>
      <w:shd w:val="clear" w:color="auto" w:fill="FFFFFF"/>
    </w:rPr>
  </w:style>
  <w:style w:type="character" w:customStyle="1" w:styleId="CharStyle89">
    <w:name w:val="Char Style 89"/>
    <w:basedOn w:val="CharStyle10"/>
    <w:uiPriority w:val="99"/>
    <w:rsid w:val="00F8092D"/>
    <w:rPr>
      <w:rFonts w:ascii="Arial" w:hAnsi="Arial" w:cs="Arial"/>
      <w:spacing w:val="50"/>
      <w:sz w:val="19"/>
      <w:szCs w:val="19"/>
      <w:u w:val="none"/>
      <w:shd w:val="clear" w:color="auto" w:fill="FFFFFF"/>
    </w:rPr>
  </w:style>
  <w:style w:type="paragraph" w:customStyle="1" w:styleId="Style86">
    <w:name w:val="Style 86"/>
    <w:basedOn w:val="Normal"/>
    <w:link w:val="CharStyle87"/>
    <w:uiPriority w:val="99"/>
    <w:rsid w:val="00F8092D"/>
    <w:pPr>
      <w:widowControl w:val="0"/>
      <w:shd w:val="clear" w:color="auto" w:fill="FFFFFF"/>
      <w:spacing w:line="240" w:lineRule="atLeast"/>
      <w:ind w:left="0"/>
    </w:pPr>
    <w:rPr>
      <w:rFonts w:ascii="Arial" w:eastAsiaTheme="minorHAnsi" w:hAnsi="Arial" w:cs="Arial"/>
      <w:sz w:val="19"/>
      <w:szCs w:val="19"/>
      <w:lang w:val="es-CO" w:eastAsia="en-US"/>
    </w:rPr>
  </w:style>
  <w:style w:type="paragraph" w:styleId="Textodeglobo">
    <w:name w:val="Balloon Text"/>
    <w:basedOn w:val="Normal"/>
    <w:link w:val="TextodegloboCar"/>
    <w:uiPriority w:val="99"/>
    <w:semiHidden/>
    <w:unhideWhenUsed/>
    <w:rsid w:val="00C81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1AA9"/>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1D0FC4"/>
    <w:pPr>
      <w:tabs>
        <w:tab w:val="center" w:pos="4419"/>
        <w:tab w:val="right" w:pos="8838"/>
      </w:tabs>
    </w:pPr>
  </w:style>
  <w:style w:type="character" w:customStyle="1" w:styleId="PiedepginaCar">
    <w:name w:val="Pie de página Car"/>
    <w:basedOn w:val="Fuentedeprrafopredeter"/>
    <w:link w:val="Piedepgina"/>
    <w:uiPriority w:val="99"/>
    <w:rsid w:val="001D0FC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0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3219</Words>
  <Characters>17706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3</cp:revision>
  <cp:lastPrinted>2016-12-26T16:18:00Z</cp:lastPrinted>
  <dcterms:created xsi:type="dcterms:W3CDTF">2016-12-26T22:25:00Z</dcterms:created>
  <dcterms:modified xsi:type="dcterms:W3CDTF">2017-01-13T13:58:00Z</dcterms:modified>
</cp:coreProperties>
</file>