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E0B181" w14:textId="77777777" w:rsidR="00F5024B" w:rsidRPr="00B26B9E" w:rsidRDefault="00F5024B" w:rsidP="00F5024B">
      <w:pPr>
        <w:pStyle w:val="Encabezado"/>
        <w:tabs>
          <w:tab w:val="clear" w:pos="4252"/>
          <w:tab w:val="clear" w:pos="8504"/>
        </w:tabs>
        <w:spacing w:before="0" w:after="0"/>
        <w:ind w:left="0" w:firstLine="0"/>
        <w:jc w:val="center"/>
        <w:rPr>
          <w:color w:val="auto"/>
        </w:rPr>
      </w:pPr>
      <w:r>
        <w:object w:dxaOrig="3435" w:dyaOrig="3210" w14:anchorId="707B7FB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1.75pt;height:44.25pt" o:ole="" fillcolor="#0c9">
            <v:imagedata r:id="rId11" o:title=""/>
          </v:shape>
          <o:OLEObject Type="Embed" ProgID="PBrush" ShapeID="_x0000_i1025" DrawAspect="Content" ObjectID="_1714459460" r:id="rId12"/>
        </w:object>
      </w:r>
    </w:p>
    <w:p w14:paraId="63068A16" w14:textId="77777777" w:rsidR="00F5024B" w:rsidRPr="00B26B9E" w:rsidRDefault="00F5024B" w:rsidP="00F5024B">
      <w:pPr>
        <w:spacing w:before="0" w:after="0"/>
        <w:jc w:val="center"/>
        <w:rPr>
          <w:i w:val="0"/>
          <w:iCs w:val="0"/>
          <w:color w:val="auto"/>
        </w:rPr>
      </w:pPr>
      <w:r w:rsidRPr="00B26B9E">
        <w:rPr>
          <w:i w:val="0"/>
          <w:iCs w:val="0"/>
          <w:color w:val="auto"/>
        </w:rPr>
        <w:t>Ministerio de Minas y Energía</w:t>
      </w:r>
    </w:p>
    <w:p w14:paraId="0CEC613C" w14:textId="77777777" w:rsidR="00F5024B" w:rsidRPr="00B26B9E" w:rsidRDefault="00F5024B" w:rsidP="00F5024B">
      <w:pPr>
        <w:spacing w:before="0" w:after="0"/>
        <w:rPr>
          <w:color w:val="auto"/>
        </w:rPr>
      </w:pPr>
    </w:p>
    <w:p w14:paraId="635AFC35" w14:textId="77777777" w:rsidR="00F5024B" w:rsidRPr="00B26B9E" w:rsidRDefault="00F5024B" w:rsidP="00F5024B">
      <w:pPr>
        <w:pStyle w:val="Ttulo3"/>
        <w:spacing w:before="0" w:after="0"/>
        <w:rPr>
          <w:rFonts w:ascii="Bookman Old Style" w:hAnsi="Bookman Old Style"/>
          <w:i w:val="0"/>
          <w:iCs w:val="0"/>
          <w:color w:val="auto"/>
        </w:rPr>
      </w:pPr>
      <w:r w:rsidRPr="00B26B9E">
        <w:rPr>
          <w:rFonts w:ascii="Bookman Old Style" w:hAnsi="Bookman Old Style"/>
          <w:i w:val="0"/>
          <w:iCs w:val="0"/>
          <w:color w:val="auto"/>
        </w:rPr>
        <w:t>COMISIÓN DE REGULACIÓN DE ENERGÍA Y GAS</w:t>
      </w:r>
    </w:p>
    <w:p w14:paraId="348A6D0C" w14:textId="77777777" w:rsidR="00F5024B" w:rsidRPr="00B26B9E" w:rsidRDefault="00F5024B" w:rsidP="00F5024B">
      <w:pPr>
        <w:spacing w:before="0" w:after="0"/>
        <w:jc w:val="center"/>
        <w:rPr>
          <w:snapToGrid w:val="0"/>
          <w:color w:val="auto"/>
        </w:rPr>
      </w:pPr>
    </w:p>
    <w:p w14:paraId="3D863F80" w14:textId="77777777" w:rsidR="00F5024B" w:rsidRDefault="00F5024B" w:rsidP="00F5024B">
      <w:pPr>
        <w:spacing w:before="0" w:after="0"/>
        <w:jc w:val="center"/>
        <w:rPr>
          <w:b/>
          <w:bCs/>
          <w:i w:val="0"/>
          <w:iCs w:val="0"/>
          <w:snapToGrid w:val="0"/>
          <w:color w:val="auto"/>
        </w:rPr>
      </w:pPr>
      <w:r w:rsidRPr="00AD25F4">
        <w:rPr>
          <w:b/>
          <w:bCs/>
          <w:i w:val="0"/>
          <w:iCs w:val="0"/>
          <w:snapToGrid w:val="0"/>
          <w:color w:val="auto"/>
        </w:rPr>
        <w:t>RESOLUCIÓN No</w:t>
      </w:r>
      <w:r w:rsidRPr="00800778">
        <w:rPr>
          <w:b/>
          <w:bCs/>
          <w:i w:val="0"/>
          <w:iCs w:val="0"/>
          <w:snapToGrid w:val="0"/>
          <w:color w:val="auto"/>
        </w:rPr>
        <w:t xml:space="preserve">. </w:t>
      </w:r>
      <w:r w:rsidRPr="00800778">
        <w:rPr>
          <w:b/>
          <w:bCs/>
          <w:i w:val="0"/>
          <w:iCs w:val="0"/>
          <w:snapToGrid w:val="0"/>
          <w:color w:val="auto"/>
          <w:sz w:val="32"/>
          <w:szCs w:val="32"/>
        </w:rPr>
        <w:t>101</w:t>
      </w:r>
      <w:r>
        <w:rPr>
          <w:b/>
          <w:bCs/>
          <w:i w:val="0"/>
          <w:iCs w:val="0"/>
          <w:snapToGrid w:val="0"/>
          <w:color w:val="auto"/>
          <w:sz w:val="32"/>
          <w:szCs w:val="32"/>
        </w:rPr>
        <w:t xml:space="preserve"> 013</w:t>
      </w:r>
      <w:r w:rsidRPr="00C06912">
        <w:rPr>
          <w:b/>
          <w:bCs/>
          <w:i w:val="0"/>
          <w:iCs w:val="0"/>
          <w:snapToGrid w:val="0"/>
          <w:color w:val="auto"/>
          <w:sz w:val="32"/>
          <w:szCs w:val="32"/>
        </w:rPr>
        <w:t xml:space="preserve">  </w:t>
      </w:r>
      <w:r w:rsidRPr="00AD25F4">
        <w:rPr>
          <w:b/>
          <w:bCs/>
          <w:i w:val="0"/>
          <w:iCs w:val="0"/>
          <w:snapToGrid w:val="0"/>
          <w:color w:val="auto"/>
        </w:rPr>
        <w:t xml:space="preserve">   DE 202</w:t>
      </w:r>
      <w:r>
        <w:rPr>
          <w:b/>
          <w:bCs/>
          <w:i w:val="0"/>
          <w:iCs w:val="0"/>
          <w:snapToGrid w:val="0"/>
          <w:color w:val="auto"/>
        </w:rPr>
        <w:t>2</w:t>
      </w:r>
    </w:p>
    <w:p w14:paraId="623ED8AE" w14:textId="77777777" w:rsidR="00F5024B" w:rsidRPr="00AD25F4" w:rsidRDefault="00F5024B" w:rsidP="00F5024B">
      <w:pPr>
        <w:spacing w:before="0" w:after="0"/>
        <w:jc w:val="center"/>
        <w:rPr>
          <w:b/>
          <w:bCs/>
          <w:i w:val="0"/>
          <w:iCs w:val="0"/>
          <w:snapToGrid w:val="0"/>
          <w:color w:val="auto"/>
        </w:rPr>
      </w:pPr>
    </w:p>
    <w:p w14:paraId="200B7A7B" w14:textId="77777777" w:rsidR="00F5024B" w:rsidRPr="00AD25F4" w:rsidRDefault="00F5024B" w:rsidP="00F5024B">
      <w:pPr>
        <w:spacing w:before="0" w:after="0"/>
        <w:ind w:left="142" w:hanging="142"/>
        <w:jc w:val="center"/>
        <w:rPr>
          <w:i w:val="0"/>
          <w:iCs w:val="0"/>
          <w:color w:val="auto"/>
        </w:rPr>
      </w:pPr>
      <w:proofErr w:type="gramStart"/>
      <w:r>
        <w:rPr>
          <w:i w:val="0"/>
          <w:iCs w:val="0"/>
          <w:color w:val="auto"/>
        </w:rPr>
        <w:t>(</w:t>
      </w:r>
      <w:r w:rsidRPr="00AD25F4">
        <w:rPr>
          <w:i w:val="0"/>
          <w:iCs w:val="0"/>
          <w:color w:val="auto"/>
        </w:rPr>
        <w:t xml:space="preserve">  </w:t>
      </w:r>
      <w:r>
        <w:rPr>
          <w:b/>
          <w:bCs/>
          <w:i w:val="0"/>
          <w:iCs w:val="0"/>
          <w:color w:val="auto"/>
          <w:sz w:val="32"/>
          <w:szCs w:val="32"/>
        </w:rPr>
        <w:t>29</w:t>
      </w:r>
      <w:proofErr w:type="gramEnd"/>
      <w:r>
        <w:rPr>
          <w:b/>
          <w:bCs/>
          <w:i w:val="0"/>
          <w:iCs w:val="0"/>
          <w:color w:val="auto"/>
          <w:sz w:val="32"/>
          <w:szCs w:val="32"/>
        </w:rPr>
        <w:t xml:space="preserve"> ABR</w:t>
      </w:r>
      <w:r w:rsidRPr="00C06912">
        <w:rPr>
          <w:b/>
          <w:bCs/>
          <w:i w:val="0"/>
          <w:iCs w:val="0"/>
          <w:color w:val="auto"/>
          <w:sz w:val="32"/>
          <w:szCs w:val="32"/>
        </w:rPr>
        <w:t>. 202</w:t>
      </w:r>
      <w:r>
        <w:rPr>
          <w:b/>
          <w:bCs/>
          <w:i w:val="0"/>
          <w:iCs w:val="0"/>
          <w:color w:val="auto"/>
          <w:sz w:val="32"/>
          <w:szCs w:val="32"/>
        </w:rPr>
        <w:t>2</w:t>
      </w:r>
      <w:r w:rsidRPr="00AD25F4">
        <w:rPr>
          <w:i w:val="0"/>
          <w:iCs w:val="0"/>
          <w:color w:val="auto"/>
        </w:rPr>
        <w:t xml:space="preserve">   )</w:t>
      </w:r>
    </w:p>
    <w:p w14:paraId="73669068" w14:textId="77777777" w:rsidR="00F5024B" w:rsidRPr="00AD25F4" w:rsidRDefault="00F5024B" w:rsidP="00F5024B">
      <w:pPr>
        <w:pStyle w:val="Textodebloque"/>
        <w:spacing w:before="0" w:after="0"/>
        <w:ind w:right="142"/>
        <w:rPr>
          <w:i w:val="0"/>
          <w:iCs w:val="0"/>
          <w:color w:val="auto"/>
        </w:rPr>
      </w:pPr>
    </w:p>
    <w:p w14:paraId="40BEC9D0" w14:textId="77777777" w:rsidR="00F5024B" w:rsidRPr="009B4E30" w:rsidRDefault="00F5024B" w:rsidP="00F5024B">
      <w:pPr>
        <w:spacing w:before="0" w:after="0"/>
        <w:rPr>
          <w:i w:val="0"/>
          <w:iCs w:val="0"/>
          <w:color w:val="auto"/>
          <w:lang w:val="es-CO"/>
        </w:rPr>
      </w:pPr>
    </w:p>
    <w:p w14:paraId="7250F6EB" w14:textId="77777777" w:rsidR="00F5024B" w:rsidRPr="009B4E30" w:rsidRDefault="00F5024B" w:rsidP="00F5024B">
      <w:pPr>
        <w:spacing w:before="0" w:after="0"/>
        <w:ind w:left="0" w:firstLine="0"/>
        <w:jc w:val="center"/>
        <w:rPr>
          <w:i w:val="0"/>
          <w:iCs w:val="0"/>
          <w:color w:val="auto"/>
        </w:rPr>
      </w:pPr>
      <w:r w:rsidRPr="009B4E30">
        <w:rPr>
          <w:i w:val="0"/>
          <w:iCs w:val="0"/>
          <w:color w:val="auto"/>
        </w:rPr>
        <w:t>Por la cual se establece la metodología para la determinación de costos máximos por la prestación del servicio de alumbrado público.</w:t>
      </w:r>
    </w:p>
    <w:p w14:paraId="271D84B7" w14:textId="77777777" w:rsidR="00F5024B" w:rsidRPr="009B4E30" w:rsidRDefault="00F5024B" w:rsidP="00F5024B">
      <w:pPr>
        <w:spacing w:before="0" w:after="0"/>
        <w:ind w:left="0" w:firstLine="0"/>
        <w:jc w:val="center"/>
        <w:rPr>
          <w:i w:val="0"/>
          <w:iCs w:val="0"/>
          <w:color w:val="auto"/>
        </w:rPr>
      </w:pPr>
    </w:p>
    <w:p w14:paraId="32793753" w14:textId="77777777" w:rsidR="00F5024B" w:rsidRPr="009B4E30" w:rsidRDefault="00F5024B" w:rsidP="00F5024B">
      <w:pPr>
        <w:spacing w:before="0" w:after="0"/>
        <w:ind w:left="0" w:firstLine="0"/>
        <w:rPr>
          <w:i w:val="0"/>
          <w:iCs w:val="0"/>
          <w:color w:val="auto"/>
        </w:rPr>
      </w:pPr>
    </w:p>
    <w:p w14:paraId="6F4C32A2" w14:textId="77777777" w:rsidR="00F5024B" w:rsidRPr="009B4E30" w:rsidRDefault="00F5024B" w:rsidP="00F5024B">
      <w:pPr>
        <w:spacing w:before="0" w:after="0"/>
        <w:ind w:left="0" w:firstLine="0"/>
        <w:jc w:val="center"/>
        <w:rPr>
          <w:b/>
          <w:bCs/>
          <w:i w:val="0"/>
          <w:iCs w:val="0"/>
          <w:color w:val="auto"/>
        </w:rPr>
      </w:pPr>
      <w:r w:rsidRPr="009B4E30">
        <w:rPr>
          <w:b/>
          <w:bCs/>
          <w:i w:val="0"/>
          <w:iCs w:val="0"/>
          <w:color w:val="auto"/>
        </w:rPr>
        <w:t>LA COMISIÓN DE REGULACIÓN DE ENERGÍA Y GAS</w:t>
      </w:r>
    </w:p>
    <w:p w14:paraId="593F55A1" w14:textId="77777777" w:rsidR="00F5024B" w:rsidRPr="009B4E30" w:rsidRDefault="00F5024B" w:rsidP="00F5024B">
      <w:pPr>
        <w:spacing w:before="0" w:after="0"/>
        <w:ind w:left="0" w:firstLine="0"/>
        <w:rPr>
          <w:i w:val="0"/>
          <w:iCs w:val="0"/>
          <w:color w:val="auto"/>
        </w:rPr>
      </w:pPr>
    </w:p>
    <w:p w14:paraId="6DC4E72A" w14:textId="77777777" w:rsidR="00F5024B" w:rsidRPr="009B4E30" w:rsidRDefault="00F5024B" w:rsidP="00F5024B">
      <w:pPr>
        <w:spacing w:before="0" w:after="0"/>
        <w:ind w:left="0" w:firstLine="0"/>
        <w:rPr>
          <w:i w:val="0"/>
          <w:iCs w:val="0"/>
          <w:color w:val="auto"/>
        </w:rPr>
      </w:pPr>
    </w:p>
    <w:p w14:paraId="35E522C1" w14:textId="77777777" w:rsidR="00F5024B" w:rsidRPr="009B4E30" w:rsidRDefault="00F5024B" w:rsidP="00F5024B">
      <w:pPr>
        <w:spacing w:before="0" w:after="0"/>
        <w:ind w:left="0" w:firstLine="0"/>
        <w:jc w:val="center"/>
        <w:rPr>
          <w:b/>
          <w:i w:val="0"/>
          <w:iCs w:val="0"/>
          <w:color w:val="auto"/>
        </w:rPr>
      </w:pPr>
      <w:r w:rsidRPr="009B4E30">
        <w:rPr>
          <w:i w:val="0"/>
          <w:iCs w:val="0"/>
          <w:color w:val="auto"/>
        </w:rPr>
        <w:t>En ejercicio de sus atribuciones constitucionales y legales, en especial las conferidas por las Leyes 142 y 143 de 1994, y en desarrollo de los Decretos 1524, 2253 de 1994 y 1260 de 2013, Decreto 1073 de 2015</w:t>
      </w:r>
      <w:r>
        <w:rPr>
          <w:i w:val="0"/>
          <w:iCs w:val="0"/>
          <w:color w:val="auto"/>
        </w:rPr>
        <w:t>,</w:t>
      </w:r>
      <w:r w:rsidRPr="009B4E30">
        <w:rPr>
          <w:i w:val="0"/>
          <w:iCs w:val="0"/>
          <w:color w:val="auto"/>
        </w:rPr>
        <w:t xml:space="preserve"> y </w:t>
      </w:r>
      <w:r>
        <w:rPr>
          <w:i w:val="0"/>
          <w:iCs w:val="0"/>
          <w:color w:val="auto"/>
        </w:rPr>
        <w:t xml:space="preserve">la </w:t>
      </w:r>
      <w:r w:rsidRPr="009B4E30">
        <w:rPr>
          <w:i w:val="0"/>
          <w:iCs w:val="0"/>
          <w:color w:val="auto"/>
        </w:rPr>
        <w:t>Resolución 41066 de 2018.</w:t>
      </w:r>
    </w:p>
    <w:p w14:paraId="3273208E" w14:textId="77777777" w:rsidR="00F5024B" w:rsidRPr="009B4E30" w:rsidRDefault="00F5024B" w:rsidP="00F5024B">
      <w:pPr>
        <w:spacing w:before="0" w:after="0"/>
        <w:rPr>
          <w:i w:val="0"/>
          <w:iCs w:val="0"/>
          <w:color w:val="auto"/>
        </w:rPr>
      </w:pPr>
    </w:p>
    <w:p w14:paraId="05B4A448" w14:textId="77777777" w:rsidR="00F5024B" w:rsidRPr="009B4E30" w:rsidRDefault="00F5024B" w:rsidP="00F5024B">
      <w:pPr>
        <w:spacing w:before="0" w:after="0"/>
        <w:ind w:left="0" w:firstLine="0"/>
        <w:rPr>
          <w:i w:val="0"/>
          <w:iCs w:val="0"/>
          <w:color w:val="auto"/>
        </w:rPr>
      </w:pPr>
    </w:p>
    <w:p w14:paraId="7E0F1693" w14:textId="77777777" w:rsidR="00F5024B" w:rsidRPr="00D8151D" w:rsidRDefault="00F5024B" w:rsidP="00F5024B">
      <w:pPr>
        <w:pStyle w:val="TableHeading"/>
        <w:spacing w:before="0" w:after="0"/>
        <w:ind w:firstLine="0"/>
        <w:rPr>
          <w:rFonts w:ascii="Bookman Old Style" w:hAnsi="Bookman Old Style"/>
          <w:i w:val="0"/>
          <w:iCs w:val="0"/>
          <w:color w:val="auto"/>
          <w:spacing w:val="80"/>
          <w:lang w:val="pt-BR"/>
        </w:rPr>
      </w:pPr>
      <w:r w:rsidRPr="00D8151D">
        <w:rPr>
          <w:rFonts w:ascii="Bookman Old Style" w:hAnsi="Bookman Old Style"/>
          <w:i w:val="0"/>
          <w:iCs w:val="0"/>
          <w:color w:val="auto"/>
          <w:spacing w:val="80"/>
          <w:lang w:val="pt-BR"/>
        </w:rPr>
        <w:t>CONSIDERANDO QUE:</w:t>
      </w:r>
    </w:p>
    <w:p w14:paraId="23E1FCFD" w14:textId="77777777" w:rsidR="00F5024B" w:rsidRPr="009B4E30" w:rsidRDefault="00F5024B" w:rsidP="00F5024B">
      <w:pPr>
        <w:spacing w:before="0" w:after="0"/>
        <w:ind w:left="0" w:firstLine="0"/>
        <w:rPr>
          <w:i w:val="0"/>
          <w:iCs w:val="0"/>
          <w:color w:val="auto"/>
          <w:lang w:val="pt-BR"/>
        </w:rPr>
      </w:pPr>
    </w:p>
    <w:p w14:paraId="2FB34BDB" w14:textId="77777777" w:rsidR="00F5024B" w:rsidRPr="009B4E30" w:rsidRDefault="00F5024B" w:rsidP="00F5024B">
      <w:pPr>
        <w:spacing w:before="0"/>
        <w:ind w:left="0" w:firstLine="0"/>
        <w:rPr>
          <w:i w:val="0"/>
          <w:iCs w:val="0"/>
          <w:color w:val="auto"/>
        </w:rPr>
      </w:pPr>
      <w:r w:rsidRPr="009B4E30">
        <w:rPr>
          <w:i w:val="0"/>
          <w:iCs w:val="0"/>
          <w:color w:val="auto"/>
        </w:rPr>
        <w:t>El artículo 365 de la Constitución de la Constitución Política de Colombia señala que los servicios públicos son inherentes a la finalidad del Estado</w:t>
      </w:r>
      <w:r>
        <w:rPr>
          <w:i w:val="0"/>
          <w:iCs w:val="0"/>
          <w:color w:val="auto"/>
        </w:rPr>
        <w:t>,</w:t>
      </w:r>
      <w:r w:rsidRPr="009B4E30">
        <w:rPr>
          <w:i w:val="0"/>
          <w:iCs w:val="0"/>
          <w:color w:val="auto"/>
        </w:rPr>
        <w:t xml:space="preserve"> y es su deber asegurar su prestación eficiente a todos los habitantes del territorio nacional.</w:t>
      </w:r>
    </w:p>
    <w:p w14:paraId="0C71D126" w14:textId="77777777" w:rsidR="00F5024B" w:rsidRPr="009B4E30" w:rsidRDefault="00F5024B" w:rsidP="00F5024B">
      <w:pPr>
        <w:spacing w:before="0"/>
        <w:ind w:left="0" w:firstLine="0"/>
        <w:rPr>
          <w:i w:val="0"/>
          <w:color w:val="auto"/>
        </w:rPr>
      </w:pPr>
      <w:r w:rsidRPr="009B4E30">
        <w:rPr>
          <w:i w:val="0"/>
          <w:iCs w:val="0"/>
          <w:color w:val="auto"/>
        </w:rPr>
        <w:t>A través del Decreto 2424 de 2006 expedido por el Ministerio de Minas y Energía, se estableció que los municipios o distritos son los responsables de la prestación del servicio de alumbrado público</w:t>
      </w:r>
      <w:r>
        <w:rPr>
          <w:i w:val="0"/>
          <w:iCs w:val="0"/>
          <w:color w:val="auto"/>
        </w:rPr>
        <w:t>,</w:t>
      </w:r>
      <w:r w:rsidRPr="009B4E30">
        <w:rPr>
          <w:i w:val="0"/>
          <w:iCs w:val="0"/>
          <w:color w:val="auto"/>
        </w:rPr>
        <w:t xml:space="preserve"> y se asignó a la CREG la función de establecer una metodología para la determinación de los costos máximos que deben aplicar los municipios o distritos, con fundamento en lo cual la Comisión de Regulación de Energía y Gas expidió la Resolución CREG 123 de 2011.</w:t>
      </w:r>
    </w:p>
    <w:p w14:paraId="05716850" w14:textId="77777777" w:rsidR="00F5024B" w:rsidRPr="009B4E30" w:rsidRDefault="00F5024B" w:rsidP="00F5024B">
      <w:pPr>
        <w:spacing w:before="0"/>
        <w:ind w:left="0" w:firstLine="0"/>
        <w:rPr>
          <w:i w:val="0"/>
          <w:iCs w:val="0"/>
          <w:color w:val="auto"/>
        </w:rPr>
      </w:pPr>
      <w:r w:rsidRPr="009B4E30">
        <w:rPr>
          <w:i w:val="0"/>
          <w:iCs w:val="0"/>
          <w:color w:val="auto"/>
        </w:rPr>
        <w:t>El Gobierno Nacional</w:t>
      </w:r>
      <w:r>
        <w:rPr>
          <w:i w:val="0"/>
          <w:iCs w:val="0"/>
          <w:color w:val="auto"/>
        </w:rPr>
        <w:t>,</w:t>
      </w:r>
      <w:r w:rsidRPr="009B4E30">
        <w:rPr>
          <w:i w:val="0"/>
          <w:iCs w:val="0"/>
          <w:color w:val="auto"/>
        </w:rPr>
        <w:t xml:space="preserve"> en ejercicio de sus atribuciones constitucionales y legales</w:t>
      </w:r>
      <w:r>
        <w:rPr>
          <w:i w:val="0"/>
          <w:iCs w:val="0"/>
          <w:color w:val="auto"/>
        </w:rPr>
        <w:t>,</w:t>
      </w:r>
      <w:r w:rsidRPr="009B4E30">
        <w:rPr>
          <w:i w:val="0"/>
          <w:iCs w:val="0"/>
          <w:color w:val="auto"/>
        </w:rPr>
        <w:t xml:space="preserve"> expidió la Ley 1819 de 2016, Capítulo IV, mediante la cual establece principios y elementos de la obligación tributaria para la prestación del servicio de alumbrado público por parte de los municipios y distritos del país.</w:t>
      </w:r>
    </w:p>
    <w:p w14:paraId="6ABB7FCE" w14:textId="77777777" w:rsidR="00F5024B" w:rsidRPr="009B4E30" w:rsidRDefault="00F5024B" w:rsidP="00F5024B">
      <w:pPr>
        <w:spacing w:before="0"/>
        <w:ind w:left="0" w:firstLine="0"/>
        <w:rPr>
          <w:i w:val="0"/>
          <w:iCs w:val="0"/>
          <w:color w:val="auto"/>
        </w:rPr>
      </w:pPr>
      <w:r w:rsidRPr="009B4E30">
        <w:rPr>
          <w:i w:val="0"/>
          <w:iCs w:val="0"/>
          <w:color w:val="auto"/>
        </w:rPr>
        <w:t>El artículo 351 de la Ley 1819 de 2016</w:t>
      </w:r>
      <w:r>
        <w:rPr>
          <w:i w:val="0"/>
          <w:iCs w:val="0"/>
          <w:color w:val="auto"/>
        </w:rPr>
        <w:t xml:space="preserve"> </w:t>
      </w:r>
      <w:r w:rsidRPr="009B4E30">
        <w:rPr>
          <w:i w:val="0"/>
          <w:iCs w:val="0"/>
          <w:color w:val="auto"/>
        </w:rPr>
        <w:t xml:space="preserve">dispuso </w:t>
      </w:r>
      <w:r>
        <w:rPr>
          <w:i w:val="0"/>
          <w:iCs w:val="0"/>
          <w:color w:val="auto"/>
        </w:rPr>
        <w:t>que, para</w:t>
      </w:r>
      <w:r w:rsidRPr="009B4E30">
        <w:rPr>
          <w:i w:val="0"/>
          <w:iCs w:val="0"/>
          <w:color w:val="auto"/>
        </w:rPr>
        <w:t xml:space="preserve"> la determinación del valor del impuesto a recaudar, los municipios y distritos deberán considerar como criterio de referencia el valor total de los costos estimados de prestación en cada componente de servicio, para lo cual deberán realizar un estudio técnico de</w:t>
      </w:r>
      <w:r>
        <w:rPr>
          <w:i w:val="0"/>
          <w:iCs w:val="0"/>
          <w:color w:val="auto"/>
        </w:rPr>
        <w:t xml:space="preserve"> </w:t>
      </w:r>
      <w:r w:rsidRPr="009B4E30">
        <w:rPr>
          <w:i w:val="0"/>
          <w:iCs w:val="0"/>
          <w:color w:val="auto"/>
        </w:rPr>
        <w:t>referencia de determinación de costos de la prestación del servicio de alumbrado público, de conformidad con la metodología para la determinación de costos establecida por el Ministerio de Minas y Energía o la entidad que delegue.</w:t>
      </w:r>
    </w:p>
    <w:p w14:paraId="3622EB43" w14:textId="77777777" w:rsidR="00F5024B" w:rsidRPr="009B4E30" w:rsidRDefault="00F5024B" w:rsidP="00F5024B">
      <w:pPr>
        <w:spacing w:before="0"/>
        <w:ind w:left="0" w:firstLine="0"/>
        <w:rPr>
          <w:color w:val="auto"/>
        </w:rPr>
      </w:pPr>
      <w:r w:rsidRPr="009B4E30">
        <w:rPr>
          <w:i w:val="0"/>
          <w:iCs w:val="0"/>
          <w:color w:val="auto"/>
        </w:rPr>
        <w:t>Mediante el Decreto 943 de 2018, el Ministerio de Minas y Energía modifica y adiciona la Sección 1, Capítulo 6 del Título III del Libro 2 del Decreto Único Reglamentario del Sector Administrativo de Minas y Energía, 1073 de 2015, relacionado con la prestación del servicio de alumbrado público</w:t>
      </w:r>
      <w:r>
        <w:rPr>
          <w:i w:val="0"/>
          <w:iCs w:val="0"/>
          <w:color w:val="auto"/>
        </w:rPr>
        <w:t>,</w:t>
      </w:r>
      <w:r w:rsidRPr="009B4E30">
        <w:rPr>
          <w:i w:val="0"/>
          <w:iCs w:val="0"/>
          <w:color w:val="auto"/>
        </w:rPr>
        <w:t xml:space="preserve"> y lo define </w:t>
      </w:r>
      <w:r w:rsidRPr="009B4E30">
        <w:rPr>
          <w:color w:val="auto"/>
        </w:rPr>
        <w:t xml:space="preserve">como </w:t>
      </w:r>
      <w:r w:rsidRPr="009B4E30">
        <w:rPr>
          <w:color w:val="auto"/>
        </w:rPr>
        <w:lastRenderedPageBreak/>
        <w:t>un servicio público no domiciliario de iluminación, inherente al servicio de energía eléctrica, que se presta con el fin de dar visibilidad al espacio público y demás espacios de libre circulación, con tránsito vehicular o peatonal, dentro del perímetro urbano y rural de un municipio o distrito, para el normal desarrollo de las actividades. (…)</w:t>
      </w:r>
    </w:p>
    <w:p w14:paraId="74A8329E" w14:textId="77777777" w:rsidR="00F5024B" w:rsidRDefault="00F5024B" w:rsidP="00F5024B">
      <w:pPr>
        <w:spacing w:before="0"/>
        <w:ind w:left="0" w:firstLine="0"/>
        <w:rPr>
          <w:i w:val="0"/>
          <w:iCs w:val="0"/>
          <w:color w:val="auto"/>
        </w:rPr>
      </w:pPr>
      <w:r w:rsidRPr="009B4E30">
        <w:rPr>
          <w:i w:val="0"/>
          <w:iCs w:val="0"/>
          <w:color w:val="auto"/>
        </w:rPr>
        <w:t>El Decreto 943 de 2018, en consonancia con lo dispuesto en el artículo 351 de la Ley 1819 de 2016</w:t>
      </w:r>
      <w:r>
        <w:rPr>
          <w:i w:val="0"/>
          <w:iCs w:val="0"/>
          <w:color w:val="auto"/>
        </w:rPr>
        <w:t>,</w:t>
      </w:r>
      <w:r w:rsidRPr="009B4E30">
        <w:rPr>
          <w:i w:val="0"/>
          <w:iCs w:val="0"/>
          <w:color w:val="auto"/>
        </w:rPr>
        <w:t xml:space="preserve"> señala como criterio de referencia para la determinación del impuesto de alumbrado público, el valor total de los costos estimados de prestación en cada componente del servicio para la elaboración del Estudio Técnico de Referencia que deben </w:t>
      </w:r>
      <w:r>
        <w:rPr>
          <w:i w:val="0"/>
          <w:iCs w:val="0"/>
          <w:color w:val="auto"/>
        </w:rPr>
        <w:t>desarrollar</w:t>
      </w:r>
      <w:r w:rsidRPr="009B4E30">
        <w:rPr>
          <w:i w:val="0"/>
          <w:iCs w:val="0"/>
          <w:color w:val="auto"/>
        </w:rPr>
        <w:t xml:space="preserve"> los municipios o distritos</w:t>
      </w:r>
      <w:r>
        <w:rPr>
          <w:i w:val="0"/>
          <w:iCs w:val="0"/>
          <w:color w:val="auto"/>
        </w:rPr>
        <w:t>,</w:t>
      </w:r>
      <w:r w:rsidRPr="009B4E30">
        <w:rPr>
          <w:i w:val="0"/>
          <w:iCs w:val="0"/>
          <w:color w:val="auto"/>
        </w:rPr>
        <w:t xml:space="preserve"> y enuncia los criterios mínimos </w:t>
      </w:r>
      <w:proofErr w:type="gramStart"/>
      <w:r>
        <w:rPr>
          <w:i w:val="0"/>
          <w:iCs w:val="0"/>
          <w:color w:val="auto"/>
        </w:rPr>
        <w:t>a</w:t>
      </w:r>
      <w:proofErr w:type="gramEnd"/>
      <w:r w:rsidRPr="009B4E30">
        <w:rPr>
          <w:i w:val="0"/>
          <w:iCs w:val="0"/>
          <w:color w:val="auto"/>
        </w:rPr>
        <w:t xml:space="preserve"> tener en cuenta.</w:t>
      </w:r>
    </w:p>
    <w:p w14:paraId="73AAC9F6" w14:textId="77777777" w:rsidR="00F5024B" w:rsidRPr="009B4E30" w:rsidRDefault="00F5024B" w:rsidP="00F5024B">
      <w:pPr>
        <w:spacing w:before="0"/>
        <w:ind w:left="0" w:firstLine="0"/>
        <w:rPr>
          <w:i w:val="0"/>
          <w:iCs w:val="0"/>
          <w:color w:val="auto"/>
        </w:rPr>
      </w:pPr>
      <w:r>
        <w:rPr>
          <w:i w:val="0"/>
          <w:iCs w:val="0"/>
          <w:color w:val="auto"/>
        </w:rPr>
        <w:t xml:space="preserve">De igual forma, el parágrafo 1 del artículo 4 del citado decreto, señala que </w:t>
      </w:r>
      <w:r w:rsidRPr="00BF3D78">
        <w:rPr>
          <w:color w:val="auto"/>
        </w:rPr>
        <w:t>la modernización, expansión y reposición del sistema de alumbrado público debe buscar la optimización de los costos anuales de inversión, suministro de energía y los gastos de administración, operación, mantenimiento e interventoría, así como la incorporación de desarrollos tecnológicos. Las mayores eficiencias logradas en la prestación del servicio que se generen por la reposición, mejora, o modernización del sistema, deberán reflejarse en el estudio técnico de referencia</w:t>
      </w:r>
      <w:r w:rsidRPr="00D8376D">
        <w:rPr>
          <w:i w:val="0"/>
          <w:iCs w:val="0"/>
          <w:color w:val="auto"/>
        </w:rPr>
        <w:t>.</w:t>
      </w:r>
    </w:p>
    <w:p w14:paraId="7A12D83A" w14:textId="7B85C72B" w:rsidR="00F5024B" w:rsidRPr="009B4E30" w:rsidRDefault="00F5024B" w:rsidP="00F5024B">
      <w:pPr>
        <w:spacing w:before="0"/>
        <w:ind w:left="0" w:firstLine="0"/>
        <w:rPr>
          <w:i w:val="0"/>
          <w:iCs w:val="0"/>
          <w:color w:val="auto"/>
        </w:rPr>
      </w:pPr>
      <w:r w:rsidRPr="009B4E30">
        <w:rPr>
          <w:i w:val="0"/>
          <w:iCs w:val="0"/>
          <w:color w:val="auto"/>
        </w:rPr>
        <w:t xml:space="preserve">El artículo 2.2.3.6.1.3. del </w:t>
      </w:r>
      <w:r>
        <w:rPr>
          <w:i w:val="0"/>
          <w:iCs w:val="0"/>
          <w:color w:val="auto"/>
        </w:rPr>
        <w:t>D</w:t>
      </w:r>
      <w:r w:rsidRPr="009B4E30">
        <w:rPr>
          <w:i w:val="0"/>
          <w:iCs w:val="0"/>
          <w:color w:val="auto"/>
        </w:rPr>
        <w:t>ecreto</w:t>
      </w:r>
      <w:r>
        <w:rPr>
          <w:i w:val="0"/>
          <w:iCs w:val="0"/>
          <w:color w:val="auto"/>
        </w:rPr>
        <w:t xml:space="preserve"> 1073 de 2015</w:t>
      </w:r>
      <w:r w:rsidRPr="009B4E30">
        <w:rPr>
          <w:i w:val="0"/>
          <w:iCs w:val="0"/>
          <w:color w:val="auto"/>
        </w:rPr>
        <w:t>, dispone además que</w:t>
      </w:r>
      <w:r>
        <w:rPr>
          <w:i w:val="0"/>
          <w:iCs w:val="0"/>
          <w:color w:val="auto"/>
        </w:rPr>
        <w:t xml:space="preserve">, </w:t>
      </w:r>
      <w:r w:rsidRPr="009B4E30">
        <w:rPr>
          <w:i w:val="0"/>
          <w:iCs w:val="0"/>
          <w:color w:val="auto"/>
        </w:rPr>
        <w:t xml:space="preserve">de conformidad con lo dispuesto en el artículo 351 de la Ley 1819 de 2016, los municipios o distritos en la elaboración del Estudio Técnico de Referencia, deberán tener en cuenta, entre otros aspectos, la definición de las expansiones del servicio, armonizadas con el Plan de Ordenamiento Territorial y con los planes de expansión de otros servicios públicos, cumpliendo con </w:t>
      </w:r>
      <w:r>
        <w:rPr>
          <w:i w:val="0"/>
          <w:iCs w:val="0"/>
          <w:color w:val="auto"/>
        </w:rPr>
        <w:t>los requisitos</w:t>
      </w:r>
      <w:r w:rsidRPr="009B4E30">
        <w:rPr>
          <w:i w:val="0"/>
          <w:iCs w:val="0"/>
          <w:color w:val="auto"/>
        </w:rPr>
        <w:t xml:space="preserve"> del Reglamento Técnico de Instalaciones Eléctricas</w:t>
      </w:r>
      <w:r>
        <w:rPr>
          <w:i w:val="0"/>
          <w:iCs w:val="0"/>
          <w:color w:val="auto"/>
        </w:rPr>
        <w:t>,</w:t>
      </w:r>
      <w:r w:rsidRPr="009B4E30">
        <w:rPr>
          <w:i w:val="0"/>
          <w:iCs w:val="0"/>
          <w:color w:val="auto"/>
        </w:rPr>
        <w:t xml:space="preserve"> RETIE, así como del Reglamento Técnico de Iluminación y Alumbrado Público</w:t>
      </w:r>
      <w:r>
        <w:rPr>
          <w:i w:val="0"/>
          <w:iCs w:val="0"/>
          <w:color w:val="auto"/>
        </w:rPr>
        <w:t>,</w:t>
      </w:r>
      <w:r w:rsidRPr="009B4E30">
        <w:rPr>
          <w:i w:val="0"/>
          <w:iCs w:val="0"/>
          <w:color w:val="auto"/>
        </w:rPr>
        <w:t xml:space="preserve"> </w:t>
      </w:r>
      <w:r>
        <w:rPr>
          <w:i w:val="0"/>
          <w:iCs w:val="0"/>
          <w:color w:val="auto"/>
        </w:rPr>
        <w:t>RETILAP,</w:t>
      </w:r>
      <w:r w:rsidRPr="009B4E30">
        <w:rPr>
          <w:i w:val="0"/>
          <w:iCs w:val="0"/>
          <w:color w:val="auto"/>
        </w:rPr>
        <w:t xml:space="preserve"> y demás disposiciones técnicas que expida el Ministerio de Minas y Energía sobre la materia.</w:t>
      </w:r>
    </w:p>
    <w:p w14:paraId="3FFE1EA2" w14:textId="77777777" w:rsidR="00F5024B" w:rsidRPr="009B4E30" w:rsidRDefault="00F5024B" w:rsidP="00F5024B">
      <w:pPr>
        <w:spacing w:before="0"/>
        <w:ind w:left="0" w:firstLine="0"/>
        <w:rPr>
          <w:i w:val="0"/>
          <w:iCs w:val="0"/>
          <w:color w:val="auto"/>
          <w:lang w:val="es-CO" w:eastAsia="es-CO"/>
        </w:rPr>
      </w:pPr>
      <w:r w:rsidRPr="009B4E30">
        <w:rPr>
          <w:i w:val="0"/>
          <w:iCs w:val="0"/>
          <w:color w:val="auto"/>
        </w:rPr>
        <w:t xml:space="preserve">Mediante la Resolución 4 1066 de 2018, el Ministerio de Minas y Energía, MME, delega en la </w:t>
      </w:r>
      <w:r w:rsidRPr="009B4E30">
        <w:rPr>
          <w:i w:val="0"/>
          <w:iCs w:val="0"/>
          <w:color w:val="auto"/>
          <w:lang w:val="es-CO" w:eastAsia="es-CO"/>
        </w:rPr>
        <w:t>Comisión de Regulación de Energía y Gas, CREG, el</w:t>
      </w:r>
      <w:r w:rsidRPr="009B4E30">
        <w:rPr>
          <w:color w:val="auto"/>
          <w:lang w:val="es-CO" w:eastAsia="es-CO"/>
        </w:rPr>
        <w:t xml:space="preserve"> </w:t>
      </w:r>
      <w:r w:rsidRPr="009B4E30">
        <w:rPr>
          <w:i w:val="0"/>
          <w:iCs w:val="0"/>
          <w:color w:val="auto"/>
          <w:lang w:val="es-CO" w:eastAsia="es-CO"/>
        </w:rPr>
        <w:t>establecimiento de la Metodología para la determinación de los costos máximos por la prestación del servicio de alumbrado público.</w:t>
      </w:r>
    </w:p>
    <w:p w14:paraId="12EA068B" w14:textId="77777777" w:rsidR="00F5024B" w:rsidRPr="007D0851" w:rsidRDefault="00F5024B" w:rsidP="00F5024B">
      <w:pPr>
        <w:ind w:left="66" w:firstLine="0"/>
        <w:rPr>
          <w:bCs/>
          <w:i w:val="0"/>
          <w:iCs w:val="0"/>
          <w:color w:val="auto"/>
        </w:rPr>
      </w:pPr>
      <w:r w:rsidRPr="009B4E30">
        <w:rPr>
          <w:i w:val="0"/>
          <w:iCs w:val="0"/>
          <w:color w:val="auto"/>
          <w:szCs w:val="20"/>
          <w:lang w:val="es-CO"/>
        </w:rPr>
        <w:t>El Gobierno Nacional expidió la Ley 697 de 2001, mediante la cual se fomenta el uso racional y eficiente de la energía, se promueve la utilización de energías alternativas y se dictan otras disposiciones. El Ministerio de Minas y Energía</w:t>
      </w:r>
      <w:r>
        <w:rPr>
          <w:i w:val="0"/>
          <w:iCs w:val="0"/>
          <w:color w:val="auto"/>
          <w:szCs w:val="20"/>
          <w:lang w:val="es-CO"/>
        </w:rPr>
        <w:t>,</w:t>
      </w:r>
      <w:r w:rsidRPr="009B4E30">
        <w:rPr>
          <w:i w:val="0"/>
          <w:iCs w:val="0"/>
          <w:color w:val="auto"/>
          <w:szCs w:val="20"/>
          <w:lang w:val="es-CO"/>
        </w:rPr>
        <w:t xml:space="preserve"> como responsable de promover, organizar, asegurar el desarrollo y el seguimiento de los programas de uso racional y eficiente de la energía, incluyó dentro del Reglamento Técnico de Iluminación y Alumbrado Público</w:t>
      </w:r>
      <w:r>
        <w:rPr>
          <w:i w:val="0"/>
          <w:iCs w:val="0"/>
          <w:color w:val="auto"/>
          <w:szCs w:val="20"/>
          <w:lang w:val="es-CO"/>
        </w:rPr>
        <w:t>,</w:t>
      </w:r>
      <w:r w:rsidRPr="009B4E30">
        <w:rPr>
          <w:i w:val="0"/>
          <w:iCs w:val="0"/>
          <w:color w:val="auto"/>
          <w:szCs w:val="20"/>
          <w:lang w:val="es-CO"/>
        </w:rPr>
        <w:t xml:space="preserve"> </w:t>
      </w:r>
      <w:r>
        <w:rPr>
          <w:i w:val="0"/>
          <w:iCs w:val="0"/>
          <w:color w:val="auto"/>
          <w:szCs w:val="20"/>
          <w:lang w:val="es-CO"/>
        </w:rPr>
        <w:t>RETILAP</w:t>
      </w:r>
      <w:r w:rsidRPr="009B4E30">
        <w:rPr>
          <w:i w:val="0"/>
          <w:iCs w:val="0"/>
          <w:color w:val="auto"/>
          <w:szCs w:val="20"/>
          <w:lang w:val="es-CO"/>
        </w:rPr>
        <w:t xml:space="preserve">, los requisitos de eficacia mínima y vida útil de las fuentes lumínicas que deben cumplir los “sistemas de iluminación” de alumbrado público </w:t>
      </w:r>
      <w:r w:rsidRPr="00094C8C">
        <w:rPr>
          <w:bCs/>
          <w:i w:val="0"/>
          <w:iCs w:val="0"/>
          <w:color w:val="auto"/>
        </w:rPr>
        <w:t>tendientes a garantizar los niveles y calidad de la energía lumínica requerida en la actividad visual, la protección al consumidor, el uso racional y eficiente de la energía, la protección de la vida y salud humana, la preservación del medio ambiente, así como la prevención de prácticas que puedan inducir a error al usuario.</w:t>
      </w:r>
    </w:p>
    <w:p w14:paraId="3709C63B" w14:textId="77777777" w:rsidR="00F5024B" w:rsidRPr="009B4E30" w:rsidRDefault="00F5024B" w:rsidP="00F5024B">
      <w:pPr>
        <w:spacing w:before="0"/>
        <w:ind w:left="0" w:firstLine="0"/>
        <w:rPr>
          <w:i w:val="0"/>
          <w:iCs w:val="0"/>
          <w:color w:val="auto"/>
          <w:szCs w:val="20"/>
          <w:lang w:val="es-CO"/>
        </w:rPr>
      </w:pPr>
    </w:p>
    <w:p w14:paraId="0D06A712" w14:textId="77777777" w:rsidR="00F5024B" w:rsidRDefault="00F5024B" w:rsidP="00F5024B">
      <w:pPr>
        <w:spacing w:before="0"/>
        <w:ind w:left="0" w:firstLine="0"/>
        <w:rPr>
          <w:i w:val="0"/>
          <w:iCs w:val="0"/>
          <w:color w:val="auto"/>
          <w:lang w:val="es-CO" w:eastAsia="es-CO"/>
        </w:rPr>
      </w:pPr>
      <w:r w:rsidRPr="009B4E30">
        <w:rPr>
          <w:i w:val="0"/>
          <w:iCs w:val="0"/>
          <w:color w:val="auto"/>
          <w:lang w:val="es-CO" w:eastAsia="es-CO"/>
        </w:rPr>
        <w:lastRenderedPageBreak/>
        <w:t>Conforme lo expuesto, se encuentra necesario realizar la actualización a la metodología de determinación de costos para la prestación del servicio de alumbrado público.</w:t>
      </w:r>
      <w:r w:rsidRPr="00DB2095">
        <w:rPr>
          <w:i w:val="0"/>
          <w:iCs w:val="0"/>
          <w:color w:val="auto"/>
          <w:lang w:val="es-CO" w:eastAsia="es-CO"/>
        </w:rPr>
        <w:t xml:space="preserve"> </w:t>
      </w:r>
    </w:p>
    <w:p w14:paraId="534404A7" w14:textId="77777777" w:rsidR="00F5024B" w:rsidRPr="006C4871" w:rsidRDefault="00F5024B" w:rsidP="00F5024B">
      <w:pPr>
        <w:spacing w:before="0"/>
        <w:ind w:left="0" w:firstLine="0"/>
        <w:rPr>
          <w:i w:val="0"/>
          <w:iCs w:val="0"/>
          <w:color w:val="auto"/>
          <w:lang w:val="es-CO" w:eastAsia="es-CO"/>
        </w:rPr>
      </w:pPr>
      <w:r w:rsidRPr="006C4871">
        <w:rPr>
          <w:i w:val="0"/>
          <w:iCs w:val="0"/>
          <w:color w:val="auto"/>
          <w:lang w:val="es-CO" w:eastAsia="es-CO"/>
        </w:rPr>
        <w:t xml:space="preserve">Mediante la Resolución CREG 037 de 2021 se ordenó </w:t>
      </w:r>
      <w:r w:rsidRPr="006C4871">
        <w:rPr>
          <w:i w:val="0"/>
          <w:iCs w:val="0"/>
          <w:color w:val="auto"/>
        </w:rPr>
        <w:t>hacer público un proyecto de resolución “</w:t>
      </w:r>
      <w:r w:rsidRPr="006C4871">
        <w:rPr>
          <w:color w:val="auto"/>
        </w:rPr>
        <w:t xml:space="preserve">Por la cual se establece </w:t>
      </w:r>
      <w:r w:rsidRPr="006C4871">
        <w:rPr>
          <w:color w:val="auto"/>
          <w:lang w:val="es-ES"/>
        </w:rPr>
        <w:t xml:space="preserve">la metodología para la determinación de los costos máximos por la prestación del servicio de alumbrado público”. </w:t>
      </w:r>
      <w:r w:rsidRPr="00B572C1">
        <w:rPr>
          <w:i w:val="0"/>
          <w:iCs w:val="0"/>
          <w:color w:val="auto"/>
          <w:lang w:val="es-ES"/>
        </w:rPr>
        <w:t>Sobre est</w:t>
      </w:r>
      <w:r w:rsidRPr="006C4871">
        <w:rPr>
          <w:i w:val="0"/>
          <w:iCs w:val="0"/>
          <w:color w:val="auto"/>
          <w:lang w:val="es-ES"/>
        </w:rPr>
        <w:t>a</w:t>
      </w:r>
      <w:r w:rsidRPr="00B572C1">
        <w:rPr>
          <w:i w:val="0"/>
          <w:iCs w:val="0"/>
          <w:color w:val="auto"/>
          <w:lang w:val="es-ES"/>
        </w:rPr>
        <w:t xml:space="preserve"> </w:t>
      </w:r>
      <w:r w:rsidRPr="006C4871">
        <w:rPr>
          <w:i w:val="0"/>
          <w:iCs w:val="0"/>
          <w:color w:val="auto"/>
          <w:lang w:val="es-ES"/>
        </w:rPr>
        <w:t xml:space="preserve">publicación </w:t>
      </w:r>
      <w:r w:rsidRPr="00B572C1">
        <w:rPr>
          <w:i w:val="0"/>
          <w:iCs w:val="0"/>
          <w:color w:val="auto"/>
          <w:lang w:val="es-ES"/>
        </w:rPr>
        <w:t xml:space="preserve">se </w:t>
      </w:r>
      <w:r w:rsidRPr="006C4871">
        <w:rPr>
          <w:i w:val="0"/>
          <w:iCs w:val="0"/>
          <w:color w:val="auto"/>
          <w:lang w:val="es-ES"/>
        </w:rPr>
        <w:t xml:space="preserve">recibieron comentarios en las siguientes comunicaciones: </w:t>
      </w:r>
      <w:r w:rsidRPr="00B572C1">
        <w:rPr>
          <w:rFonts w:eastAsia="Times New Roman" w:cs="Times New Roman"/>
          <w:i w:val="0"/>
          <w:iCs w:val="0"/>
          <w:color w:val="000000"/>
          <w:lang w:val="es-CO" w:eastAsia="es-CO"/>
        </w:rPr>
        <w:t>Jorge Venencia Villate con radicado CREG E-2021-006150</w:t>
      </w:r>
      <w:r>
        <w:rPr>
          <w:rFonts w:eastAsia="Times New Roman" w:cs="Times New Roman"/>
          <w:i w:val="0"/>
          <w:iCs w:val="0"/>
          <w:color w:val="000000"/>
          <w:lang w:val="es-CO" w:eastAsia="es-CO"/>
        </w:rPr>
        <w:t>;</w:t>
      </w:r>
      <w:r w:rsidRPr="00B572C1">
        <w:rPr>
          <w:rFonts w:eastAsia="Times New Roman" w:cs="Times New Roman"/>
          <w:i w:val="0"/>
          <w:iCs w:val="0"/>
          <w:color w:val="000000"/>
          <w:lang w:val="es-CO" w:eastAsia="es-CO"/>
        </w:rPr>
        <w:t xml:space="preserve"> </w:t>
      </w:r>
      <w:r w:rsidRPr="006C4871">
        <w:rPr>
          <w:rFonts w:eastAsia="Times New Roman" w:cs="Times New Roman"/>
          <w:i w:val="0"/>
          <w:iCs w:val="0"/>
          <w:color w:val="000000"/>
          <w:lang w:val="es-CO" w:eastAsia="es-CO"/>
        </w:rPr>
        <w:t>Edwin Ancizar Pérez Rueda</w:t>
      </w:r>
      <w:r w:rsidRPr="00B572C1">
        <w:rPr>
          <w:rFonts w:eastAsia="Times New Roman" w:cs="Times New Roman"/>
          <w:i w:val="0"/>
          <w:iCs w:val="0"/>
          <w:color w:val="000000"/>
          <w:lang w:val="es-CO" w:eastAsia="es-CO"/>
        </w:rPr>
        <w:t xml:space="preserve">, E-2021-006402; </w:t>
      </w:r>
      <w:r w:rsidRPr="006C4871">
        <w:rPr>
          <w:rFonts w:eastAsia="Times New Roman" w:cs="Times New Roman"/>
          <w:i w:val="0"/>
          <w:iCs w:val="0"/>
          <w:color w:val="000000"/>
          <w:lang w:val="es-CO" w:eastAsia="es-CO"/>
        </w:rPr>
        <w:t>Oscar Fernando Moncayo Burgos, Alcaldía Municipal Pasto,</w:t>
      </w:r>
      <w:r w:rsidRPr="00B572C1">
        <w:rPr>
          <w:rFonts w:eastAsia="Times New Roman" w:cs="Times New Roman"/>
          <w:i w:val="0"/>
          <w:iCs w:val="0"/>
          <w:color w:val="000000"/>
          <w:lang w:val="es-CO" w:eastAsia="es-CO"/>
        </w:rPr>
        <w:t xml:space="preserve"> E</w:t>
      </w:r>
      <w:r>
        <w:rPr>
          <w:rFonts w:eastAsia="Times New Roman" w:cs="Times New Roman"/>
          <w:i w:val="0"/>
          <w:iCs w:val="0"/>
          <w:color w:val="000000"/>
          <w:lang w:val="es-CO" w:eastAsia="es-CO"/>
        </w:rPr>
        <w:noBreakHyphen/>
      </w:r>
      <w:r w:rsidRPr="00B572C1">
        <w:rPr>
          <w:rFonts w:eastAsia="Times New Roman" w:cs="Times New Roman"/>
          <w:i w:val="0"/>
          <w:iCs w:val="0"/>
          <w:color w:val="000000"/>
          <w:lang w:val="es-CO" w:eastAsia="es-CO"/>
        </w:rPr>
        <w:t xml:space="preserve">2021-006337; Edison Ariel Perilla Lopez Alcaldía de Medellín,E-2021-006482; </w:t>
      </w:r>
      <w:r w:rsidRPr="006C4871">
        <w:rPr>
          <w:rFonts w:eastAsia="Times New Roman" w:cs="Times New Roman"/>
          <w:i w:val="0"/>
          <w:iCs w:val="0"/>
          <w:color w:val="000000"/>
          <w:lang w:val="es-CO" w:eastAsia="es-CO"/>
        </w:rPr>
        <w:t>Roberto Mauricio Córdoba Fajardo</w:t>
      </w:r>
      <w:r w:rsidRPr="00B572C1">
        <w:rPr>
          <w:rFonts w:eastAsia="Times New Roman" w:cs="Times New Roman"/>
          <w:i w:val="0"/>
          <w:iCs w:val="0"/>
          <w:color w:val="000000"/>
          <w:lang w:val="es-CO" w:eastAsia="es-CO"/>
        </w:rPr>
        <w:t xml:space="preserve">, E-2021-006803; Jesús Alonso Arbeláez Arcila Empresa de Energía de Pereira, E-2021-006839; Jorge William González Tamayo, E-2021-006931; Diego Jiménez, E-2021-006942; </w:t>
      </w:r>
      <w:proofErr w:type="spellStart"/>
      <w:r>
        <w:rPr>
          <w:rFonts w:eastAsia="Times New Roman" w:cs="Times New Roman"/>
          <w:i w:val="0"/>
          <w:iCs w:val="0"/>
          <w:color w:val="000000"/>
          <w:lang w:val="es-CO" w:eastAsia="es-CO"/>
        </w:rPr>
        <w:t>Emc</w:t>
      </w:r>
      <w:r w:rsidRPr="00B572C1">
        <w:rPr>
          <w:rFonts w:eastAsia="Times New Roman" w:cs="Times New Roman"/>
          <w:i w:val="0"/>
          <w:iCs w:val="0"/>
          <w:color w:val="000000"/>
          <w:lang w:val="es-CO" w:eastAsia="es-CO"/>
        </w:rPr>
        <w:t>ali</w:t>
      </w:r>
      <w:proofErr w:type="spellEnd"/>
      <w:r>
        <w:rPr>
          <w:rFonts w:eastAsia="Times New Roman" w:cs="Times New Roman"/>
          <w:i w:val="0"/>
          <w:iCs w:val="0"/>
          <w:color w:val="000000"/>
          <w:lang w:val="es-CO" w:eastAsia="es-CO"/>
        </w:rPr>
        <w:t xml:space="preserve"> </w:t>
      </w:r>
      <w:r w:rsidRPr="00B572C1">
        <w:rPr>
          <w:rFonts w:eastAsia="Times New Roman" w:cs="Times New Roman"/>
          <w:i w:val="0"/>
          <w:iCs w:val="0"/>
          <w:color w:val="000000"/>
          <w:lang w:val="es-CO" w:eastAsia="es-CO"/>
        </w:rPr>
        <w:t>EICE E.S.P., E</w:t>
      </w:r>
      <w:r>
        <w:rPr>
          <w:rFonts w:eastAsia="Times New Roman" w:cs="Times New Roman"/>
          <w:i w:val="0"/>
          <w:iCs w:val="0"/>
          <w:color w:val="000000"/>
          <w:lang w:val="es-CO" w:eastAsia="es-CO"/>
        </w:rPr>
        <w:noBreakHyphen/>
      </w:r>
      <w:r w:rsidRPr="00B572C1">
        <w:rPr>
          <w:rFonts w:eastAsia="Times New Roman" w:cs="Times New Roman"/>
          <w:i w:val="0"/>
          <w:iCs w:val="0"/>
          <w:color w:val="000000"/>
          <w:lang w:val="es-CO" w:eastAsia="es-CO"/>
        </w:rPr>
        <w:t>2021</w:t>
      </w:r>
      <w:r>
        <w:rPr>
          <w:rFonts w:eastAsia="Times New Roman" w:cs="Times New Roman"/>
          <w:i w:val="0"/>
          <w:iCs w:val="0"/>
          <w:color w:val="000000"/>
          <w:lang w:val="es-CO" w:eastAsia="es-CO"/>
        </w:rPr>
        <w:noBreakHyphen/>
      </w:r>
      <w:r w:rsidRPr="00B572C1">
        <w:rPr>
          <w:rFonts w:eastAsia="Times New Roman" w:cs="Times New Roman"/>
          <w:i w:val="0"/>
          <w:iCs w:val="0"/>
          <w:color w:val="000000"/>
          <w:lang w:val="es-CO" w:eastAsia="es-CO"/>
        </w:rPr>
        <w:t xml:space="preserve">006990; </w:t>
      </w:r>
      <w:r w:rsidRPr="004904ED">
        <w:rPr>
          <w:rFonts w:eastAsia="Times New Roman" w:cs="Times New Roman"/>
          <w:i w:val="0"/>
          <w:iCs w:val="0"/>
          <w:color w:val="000000"/>
          <w:lang w:val="es-CO" w:eastAsia="es-CO"/>
        </w:rPr>
        <w:t xml:space="preserve">Pablo </w:t>
      </w:r>
      <w:proofErr w:type="spellStart"/>
      <w:r w:rsidRPr="004904ED">
        <w:rPr>
          <w:rFonts w:eastAsia="Times New Roman" w:cs="Times New Roman"/>
          <w:i w:val="0"/>
          <w:iCs w:val="0"/>
          <w:color w:val="000000"/>
          <w:lang w:val="es-CO" w:eastAsia="es-CO"/>
        </w:rPr>
        <w:t>Einnar</w:t>
      </w:r>
      <w:proofErr w:type="spellEnd"/>
      <w:r w:rsidRPr="004904ED">
        <w:rPr>
          <w:rFonts w:eastAsia="Times New Roman" w:cs="Times New Roman"/>
          <w:i w:val="0"/>
          <w:iCs w:val="0"/>
          <w:color w:val="000000"/>
          <w:lang w:val="es-CO" w:eastAsia="es-CO"/>
        </w:rPr>
        <w:t xml:space="preserve"> Ortega Bautista</w:t>
      </w:r>
      <w:r w:rsidRPr="00B572C1">
        <w:rPr>
          <w:rFonts w:eastAsia="Times New Roman" w:cs="Times New Roman"/>
          <w:i w:val="0"/>
          <w:iCs w:val="0"/>
          <w:color w:val="000000"/>
          <w:lang w:val="es-CO" w:eastAsia="es-CO"/>
        </w:rPr>
        <w:t xml:space="preserve">, E-2021-006991 y </w:t>
      </w:r>
      <w:r w:rsidRPr="00152236">
        <w:rPr>
          <w:rFonts w:eastAsia="Times New Roman" w:cs="Times New Roman"/>
          <w:i w:val="0"/>
          <w:iCs w:val="0"/>
          <w:color w:val="000000"/>
          <w:lang w:val="es-CO" w:eastAsia="es-CO"/>
        </w:rPr>
        <w:t>E</w:t>
      </w:r>
      <w:r>
        <w:rPr>
          <w:rFonts w:eastAsia="Times New Roman" w:cs="Times New Roman"/>
          <w:i w:val="0"/>
          <w:iCs w:val="0"/>
          <w:color w:val="000000"/>
          <w:lang w:val="es-CO" w:eastAsia="es-CO"/>
        </w:rPr>
        <w:noBreakHyphen/>
      </w:r>
      <w:r w:rsidRPr="00152236">
        <w:rPr>
          <w:rFonts w:eastAsia="Times New Roman" w:cs="Times New Roman"/>
          <w:i w:val="0"/>
          <w:iCs w:val="0"/>
          <w:color w:val="000000"/>
          <w:lang w:val="es-CO" w:eastAsia="es-CO"/>
        </w:rPr>
        <w:t>2021</w:t>
      </w:r>
      <w:r>
        <w:rPr>
          <w:rFonts w:eastAsia="Times New Roman" w:cs="Times New Roman"/>
          <w:i w:val="0"/>
          <w:iCs w:val="0"/>
          <w:color w:val="000000"/>
          <w:lang w:val="es-CO" w:eastAsia="es-CO"/>
        </w:rPr>
        <w:noBreakHyphen/>
      </w:r>
      <w:r w:rsidRPr="00152236">
        <w:rPr>
          <w:rFonts w:eastAsia="Times New Roman" w:cs="Times New Roman"/>
          <w:i w:val="0"/>
          <w:iCs w:val="0"/>
          <w:color w:val="000000"/>
          <w:lang w:val="es-CO" w:eastAsia="es-CO"/>
        </w:rPr>
        <w:t>0069</w:t>
      </w:r>
      <w:r w:rsidRPr="00B572C1">
        <w:rPr>
          <w:rFonts w:eastAsia="Times New Roman" w:cs="Times New Roman"/>
          <w:i w:val="0"/>
          <w:iCs w:val="0"/>
          <w:color w:val="000000"/>
          <w:lang w:val="es-CO" w:eastAsia="es-CO"/>
        </w:rPr>
        <w:t xml:space="preserve">92; ANAP, E-2021-006916 y </w:t>
      </w:r>
      <w:r>
        <w:rPr>
          <w:rFonts w:eastAsia="Times New Roman" w:cs="Times New Roman"/>
          <w:i w:val="0"/>
          <w:iCs w:val="0"/>
          <w:color w:val="000000"/>
          <w:lang w:val="es-CO" w:eastAsia="es-CO"/>
        </w:rPr>
        <w:t>E-2021-</w:t>
      </w:r>
      <w:r w:rsidRPr="00B572C1">
        <w:rPr>
          <w:rFonts w:eastAsia="Times New Roman" w:cs="Times New Roman"/>
          <w:i w:val="0"/>
          <w:iCs w:val="0"/>
          <w:color w:val="000000"/>
          <w:lang w:val="es-CO" w:eastAsia="es-CO"/>
        </w:rPr>
        <w:t xml:space="preserve">006993, Ahorro y Eficiencia Energética S.A.S, E-2021-006999; Asociación Nacional de Empresarios - Cámara de Grandes Consumidores de Energía y Gas , E-2021-007063; </w:t>
      </w:r>
      <w:r w:rsidRPr="004904ED">
        <w:rPr>
          <w:rFonts w:eastAsia="Times New Roman" w:cs="Times New Roman"/>
          <w:i w:val="0"/>
          <w:iCs w:val="0"/>
          <w:color w:val="000000"/>
          <w:lang w:val="es-CO" w:eastAsia="es-CO"/>
        </w:rPr>
        <w:t>Interventoría Alumbrado Público de Bogotá -Universidad Nacional de Colombia</w:t>
      </w:r>
      <w:r w:rsidRPr="00B572C1">
        <w:rPr>
          <w:rFonts w:eastAsia="Times New Roman" w:cs="Times New Roman"/>
          <w:i w:val="0"/>
          <w:iCs w:val="0"/>
          <w:color w:val="000000"/>
          <w:lang w:val="es-CO" w:eastAsia="es-CO"/>
        </w:rPr>
        <w:t>, E</w:t>
      </w:r>
      <w:r>
        <w:rPr>
          <w:rFonts w:eastAsia="Times New Roman" w:cs="Times New Roman"/>
          <w:i w:val="0"/>
          <w:iCs w:val="0"/>
          <w:color w:val="000000"/>
          <w:lang w:val="es-CO" w:eastAsia="es-CO"/>
        </w:rPr>
        <w:noBreakHyphen/>
      </w:r>
      <w:r w:rsidRPr="00B572C1">
        <w:rPr>
          <w:rFonts w:eastAsia="Times New Roman" w:cs="Times New Roman"/>
          <w:i w:val="0"/>
          <w:iCs w:val="0"/>
          <w:color w:val="000000"/>
          <w:lang w:val="es-CO" w:eastAsia="es-CO"/>
        </w:rPr>
        <w:t>2021</w:t>
      </w:r>
      <w:r>
        <w:rPr>
          <w:rFonts w:eastAsia="Times New Roman" w:cs="Times New Roman"/>
          <w:i w:val="0"/>
          <w:iCs w:val="0"/>
          <w:color w:val="000000"/>
          <w:lang w:val="es-CO" w:eastAsia="es-CO"/>
        </w:rPr>
        <w:noBreakHyphen/>
      </w:r>
      <w:r w:rsidRPr="00B572C1">
        <w:rPr>
          <w:rFonts w:eastAsia="Times New Roman" w:cs="Times New Roman"/>
          <w:i w:val="0"/>
          <w:iCs w:val="0"/>
          <w:color w:val="000000"/>
          <w:lang w:val="es-CO" w:eastAsia="es-CO"/>
        </w:rPr>
        <w:t>007062; EPM- Carlos Mario Palacios Builes,</w:t>
      </w:r>
      <w:r>
        <w:rPr>
          <w:rFonts w:eastAsia="Times New Roman" w:cs="Times New Roman"/>
          <w:i w:val="0"/>
          <w:iCs w:val="0"/>
          <w:color w:val="000000"/>
          <w:lang w:val="es-CO" w:eastAsia="es-CO"/>
        </w:rPr>
        <w:t xml:space="preserve"> </w:t>
      </w:r>
      <w:r w:rsidRPr="00B572C1">
        <w:rPr>
          <w:rFonts w:eastAsia="Times New Roman" w:cs="Times New Roman"/>
          <w:i w:val="0"/>
          <w:iCs w:val="0"/>
          <w:color w:val="000000"/>
          <w:lang w:val="es-CO" w:eastAsia="es-CO"/>
        </w:rPr>
        <w:t xml:space="preserve">E-2021-007061; </w:t>
      </w:r>
      <w:proofErr w:type="spellStart"/>
      <w:r w:rsidRPr="00B572C1">
        <w:rPr>
          <w:rFonts w:eastAsia="Times New Roman" w:cs="Times New Roman"/>
          <w:i w:val="0"/>
          <w:iCs w:val="0"/>
          <w:color w:val="000000"/>
          <w:lang w:val="es-CO" w:eastAsia="es-CO"/>
        </w:rPr>
        <w:t>Beandra</w:t>
      </w:r>
      <w:proofErr w:type="spellEnd"/>
      <w:r w:rsidRPr="00B572C1">
        <w:rPr>
          <w:rFonts w:eastAsia="Times New Roman" w:cs="Times New Roman"/>
          <w:i w:val="0"/>
          <w:iCs w:val="0"/>
          <w:color w:val="000000"/>
          <w:lang w:val="es-CO" w:eastAsia="es-CO"/>
        </w:rPr>
        <w:t xml:space="preserve"> Mogollón Petro, E-2021-007005; Maritza Rosero Narváez, E-2021-007007; </w:t>
      </w:r>
      <w:proofErr w:type="spellStart"/>
      <w:r w:rsidRPr="00B572C1">
        <w:rPr>
          <w:rFonts w:eastAsia="Times New Roman" w:cs="Times New Roman"/>
          <w:i w:val="0"/>
          <w:iCs w:val="0"/>
          <w:color w:val="000000"/>
          <w:lang w:val="es-CO" w:eastAsia="es-CO"/>
        </w:rPr>
        <w:t>Emcali</w:t>
      </w:r>
      <w:proofErr w:type="spellEnd"/>
      <w:r w:rsidRPr="00B572C1">
        <w:rPr>
          <w:rFonts w:eastAsia="Times New Roman" w:cs="Times New Roman"/>
          <w:i w:val="0"/>
          <w:iCs w:val="0"/>
          <w:color w:val="000000"/>
          <w:lang w:val="es-CO" w:eastAsia="es-CO"/>
        </w:rPr>
        <w:t xml:space="preserve"> EICE E.S.P., E-2021-007018</w:t>
      </w:r>
      <w:r>
        <w:rPr>
          <w:rFonts w:eastAsia="Times New Roman" w:cs="Times New Roman"/>
          <w:i w:val="0"/>
          <w:iCs w:val="0"/>
          <w:color w:val="000000"/>
          <w:lang w:val="es-CO" w:eastAsia="es-CO"/>
        </w:rPr>
        <w:t xml:space="preserve"> y </w:t>
      </w:r>
      <w:r w:rsidRPr="00B572C1">
        <w:rPr>
          <w:rFonts w:eastAsia="Times New Roman" w:cs="Times New Roman"/>
          <w:i w:val="0"/>
          <w:iCs w:val="0"/>
          <w:color w:val="000000"/>
          <w:lang w:val="es-CO" w:eastAsia="es-CO"/>
        </w:rPr>
        <w:t>E</w:t>
      </w:r>
      <w:r>
        <w:rPr>
          <w:rFonts w:eastAsia="Times New Roman" w:cs="Times New Roman"/>
          <w:i w:val="0"/>
          <w:iCs w:val="0"/>
          <w:color w:val="000000"/>
          <w:lang w:val="es-CO" w:eastAsia="es-CO"/>
        </w:rPr>
        <w:noBreakHyphen/>
      </w:r>
      <w:r w:rsidRPr="00B572C1">
        <w:rPr>
          <w:rFonts w:eastAsia="Times New Roman" w:cs="Times New Roman"/>
          <w:i w:val="0"/>
          <w:iCs w:val="0"/>
          <w:color w:val="000000"/>
          <w:lang w:val="es-CO" w:eastAsia="es-CO"/>
        </w:rPr>
        <w:t xml:space="preserve">2021-007023; Dolmen, E-2021-007021; ASOCODIS, E-2021-007030; </w:t>
      </w:r>
      <w:r w:rsidRPr="004904ED">
        <w:rPr>
          <w:rFonts w:eastAsia="Times New Roman" w:cs="Times New Roman"/>
          <w:i w:val="0"/>
          <w:iCs w:val="0"/>
          <w:color w:val="000000"/>
          <w:lang w:val="es-CO" w:eastAsia="es-CO"/>
        </w:rPr>
        <w:t>Unión Temporal Alumbrado Público</w:t>
      </w:r>
      <w:r w:rsidRPr="00B572C1">
        <w:rPr>
          <w:rFonts w:eastAsia="Times New Roman" w:cs="Times New Roman"/>
          <w:i w:val="0"/>
          <w:iCs w:val="0"/>
          <w:color w:val="000000"/>
          <w:lang w:val="es-CO" w:eastAsia="es-CO"/>
        </w:rPr>
        <w:t>, E</w:t>
      </w:r>
      <w:r>
        <w:rPr>
          <w:rFonts w:eastAsia="Times New Roman" w:cs="Times New Roman"/>
          <w:i w:val="0"/>
          <w:iCs w:val="0"/>
          <w:color w:val="000000"/>
          <w:lang w:val="es-CO" w:eastAsia="es-CO"/>
        </w:rPr>
        <w:noBreakHyphen/>
      </w:r>
      <w:r w:rsidRPr="00B572C1">
        <w:rPr>
          <w:rFonts w:eastAsia="Times New Roman" w:cs="Times New Roman"/>
          <w:i w:val="0"/>
          <w:iCs w:val="0"/>
          <w:color w:val="000000"/>
          <w:lang w:val="es-CO" w:eastAsia="es-CO"/>
        </w:rPr>
        <w:t>2021</w:t>
      </w:r>
      <w:r>
        <w:rPr>
          <w:rFonts w:eastAsia="Times New Roman" w:cs="Times New Roman"/>
          <w:i w:val="0"/>
          <w:iCs w:val="0"/>
          <w:color w:val="000000"/>
          <w:lang w:val="es-CO" w:eastAsia="es-CO"/>
        </w:rPr>
        <w:noBreakHyphen/>
      </w:r>
      <w:r w:rsidRPr="00B572C1">
        <w:rPr>
          <w:rFonts w:eastAsia="Times New Roman" w:cs="Times New Roman"/>
          <w:i w:val="0"/>
          <w:iCs w:val="0"/>
          <w:color w:val="000000"/>
          <w:lang w:val="es-CO" w:eastAsia="es-CO"/>
        </w:rPr>
        <w:t>007033; CEDENAR, E-2021-007037; CODENSA, E</w:t>
      </w:r>
      <w:r>
        <w:rPr>
          <w:rFonts w:eastAsia="Times New Roman" w:cs="Times New Roman"/>
          <w:i w:val="0"/>
          <w:iCs w:val="0"/>
          <w:color w:val="000000"/>
          <w:lang w:val="es-CO" w:eastAsia="es-CO"/>
        </w:rPr>
        <w:noBreakHyphen/>
      </w:r>
      <w:r w:rsidRPr="00B572C1">
        <w:rPr>
          <w:rFonts w:eastAsia="Times New Roman" w:cs="Times New Roman"/>
          <w:i w:val="0"/>
          <w:iCs w:val="0"/>
          <w:color w:val="000000"/>
          <w:lang w:val="es-CO" w:eastAsia="es-CO"/>
        </w:rPr>
        <w:t>2021-007045; Diego Jiménez, E-2021-007047; Alcaldía de Santiago de Cali, E</w:t>
      </w:r>
      <w:r>
        <w:rPr>
          <w:rFonts w:eastAsia="Times New Roman" w:cs="Times New Roman"/>
          <w:i w:val="0"/>
          <w:iCs w:val="0"/>
          <w:color w:val="000000"/>
          <w:lang w:val="es-CO" w:eastAsia="es-CO"/>
        </w:rPr>
        <w:noBreakHyphen/>
      </w:r>
      <w:r w:rsidRPr="00B572C1">
        <w:rPr>
          <w:rFonts w:eastAsia="Times New Roman" w:cs="Times New Roman"/>
          <w:i w:val="0"/>
          <w:iCs w:val="0"/>
          <w:color w:val="000000"/>
          <w:lang w:val="es-CO" w:eastAsia="es-CO"/>
        </w:rPr>
        <w:t>2021-007048; Fernando Medina Higuera E-2021-007053; SAYOP, E</w:t>
      </w:r>
      <w:r>
        <w:rPr>
          <w:rFonts w:eastAsia="Times New Roman" w:cs="Times New Roman"/>
          <w:i w:val="0"/>
          <w:iCs w:val="0"/>
          <w:color w:val="000000"/>
          <w:lang w:val="es-CO" w:eastAsia="es-CO"/>
        </w:rPr>
        <w:noBreakHyphen/>
      </w:r>
      <w:r w:rsidRPr="00B572C1">
        <w:rPr>
          <w:rFonts w:eastAsia="Times New Roman" w:cs="Times New Roman"/>
          <w:i w:val="0"/>
          <w:iCs w:val="0"/>
          <w:color w:val="000000"/>
          <w:lang w:val="es-CO" w:eastAsia="es-CO"/>
        </w:rPr>
        <w:t>2021</w:t>
      </w:r>
      <w:r>
        <w:rPr>
          <w:rFonts w:eastAsia="Times New Roman" w:cs="Times New Roman"/>
          <w:i w:val="0"/>
          <w:iCs w:val="0"/>
          <w:color w:val="000000"/>
          <w:lang w:val="es-CO" w:eastAsia="es-CO"/>
        </w:rPr>
        <w:noBreakHyphen/>
      </w:r>
      <w:r w:rsidRPr="00B572C1">
        <w:rPr>
          <w:rFonts w:eastAsia="Times New Roman" w:cs="Times New Roman"/>
          <w:i w:val="0"/>
          <w:iCs w:val="0"/>
          <w:color w:val="000000"/>
          <w:lang w:val="es-CO" w:eastAsia="es-CO"/>
        </w:rPr>
        <w:t>007064; Universidad Nacional de Colombia, E-2021-007065; UAESP, E</w:t>
      </w:r>
      <w:r>
        <w:rPr>
          <w:rFonts w:eastAsia="Times New Roman" w:cs="Times New Roman"/>
          <w:i w:val="0"/>
          <w:iCs w:val="0"/>
          <w:color w:val="000000"/>
          <w:lang w:val="es-CO" w:eastAsia="es-CO"/>
        </w:rPr>
        <w:noBreakHyphen/>
      </w:r>
      <w:r w:rsidRPr="00B572C1">
        <w:rPr>
          <w:rFonts w:eastAsia="Times New Roman" w:cs="Times New Roman"/>
          <w:i w:val="0"/>
          <w:iCs w:val="0"/>
          <w:color w:val="000000"/>
          <w:lang w:val="es-CO" w:eastAsia="es-CO"/>
        </w:rPr>
        <w:t>2021-007067; Pablo Einar Ortega Bautista, E-2021-007068; AIR-e, E</w:t>
      </w:r>
      <w:r>
        <w:rPr>
          <w:rFonts w:eastAsia="Times New Roman" w:cs="Times New Roman"/>
          <w:i w:val="0"/>
          <w:iCs w:val="0"/>
          <w:color w:val="000000"/>
          <w:lang w:val="es-CO" w:eastAsia="es-CO"/>
        </w:rPr>
        <w:noBreakHyphen/>
      </w:r>
      <w:r w:rsidRPr="00B572C1">
        <w:rPr>
          <w:rFonts w:eastAsia="Times New Roman" w:cs="Times New Roman"/>
          <w:i w:val="0"/>
          <w:iCs w:val="0"/>
          <w:color w:val="000000"/>
          <w:lang w:val="es-CO" w:eastAsia="es-CO"/>
        </w:rPr>
        <w:t>2021</w:t>
      </w:r>
      <w:r>
        <w:rPr>
          <w:rFonts w:eastAsia="Times New Roman" w:cs="Times New Roman"/>
          <w:i w:val="0"/>
          <w:iCs w:val="0"/>
          <w:color w:val="000000"/>
          <w:lang w:val="es-CO" w:eastAsia="es-CO"/>
        </w:rPr>
        <w:noBreakHyphen/>
      </w:r>
      <w:r w:rsidRPr="00B572C1">
        <w:rPr>
          <w:rFonts w:eastAsia="Times New Roman" w:cs="Times New Roman"/>
          <w:i w:val="0"/>
          <w:iCs w:val="0"/>
          <w:color w:val="000000"/>
          <w:lang w:val="es-CO" w:eastAsia="es-CO"/>
        </w:rPr>
        <w:t>007069; ANAP, E-2021-007071; ANAP, E-2021-007072; Bolsa Mercantil de Colombia, E-2021-007073; Armando Gutiérrez Castro, E-2021-007086; ANAP, E-2021-007087; CEO, E-2021-007106; Asociación Nacional de Empresas de Servicio</w:t>
      </w:r>
      <w:r>
        <w:rPr>
          <w:rFonts w:eastAsia="Times New Roman" w:cs="Times New Roman"/>
          <w:i w:val="0"/>
          <w:iCs w:val="0"/>
          <w:color w:val="000000"/>
          <w:lang w:val="es-CO" w:eastAsia="es-CO"/>
        </w:rPr>
        <w:t>s</w:t>
      </w:r>
      <w:r w:rsidRPr="00B572C1">
        <w:rPr>
          <w:rFonts w:eastAsia="Times New Roman" w:cs="Times New Roman"/>
          <w:i w:val="0"/>
          <w:iCs w:val="0"/>
          <w:color w:val="000000"/>
          <w:lang w:val="es-CO" w:eastAsia="es-CO"/>
        </w:rPr>
        <w:t xml:space="preserve"> Públicos y Comunicaciones ANDESCO, E-2021-007175</w:t>
      </w:r>
      <w:r>
        <w:rPr>
          <w:rFonts w:eastAsia="Times New Roman" w:cs="Times New Roman"/>
          <w:i w:val="0"/>
          <w:iCs w:val="0"/>
          <w:color w:val="000000"/>
          <w:lang w:val="es-CO" w:eastAsia="es-CO"/>
        </w:rPr>
        <w:t>.</w:t>
      </w:r>
    </w:p>
    <w:p w14:paraId="73734D76" w14:textId="77777777" w:rsidR="00F5024B" w:rsidRDefault="00F5024B" w:rsidP="00F5024B">
      <w:pPr>
        <w:shd w:val="clear" w:color="auto" w:fill="FFFFFF" w:themeFill="background1"/>
        <w:spacing w:before="0"/>
        <w:ind w:left="0" w:firstLine="0"/>
        <w:rPr>
          <w:i w:val="0"/>
          <w:iCs w:val="0"/>
          <w:color w:val="auto"/>
          <w:lang w:val="es-CO" w:eastAsia="es-CO"/>
        </w:rPr>
      </w:pPr>
      <w:r>
        <w:rPr>
          <w:i w:val="0"/>
          <w:iCs w:val="0"/>
          <w:color w:val="auto"/>
          <w:lang w:val="es-CO" w:eastAsia="es-CO"/>
        </w:rPr>
        <w:t xml:space="preserve">El análisis de las observaciones y sugerencias recibidas en la consulta realizada a través de la Resolución CREG 037 de 2021 se encuentran en el documento </w:t>
      </w:r>
      <w:r w:rsidRPr="00800778">
        <w:rPr>
          <w:i w:val="0"/>
          <w:iCs w:val="0"/>
          <w:color w:val="auto"/>
          <w:lang w:val="es-CO" w:eastAsia="es-CO"/>
        </w:rPr>
        <w:t>soporte CREG 101 013 de 2022.</w:t>
      </w:r>
    </w:p>
    <w:p w14:paraId="296F9D0F" w14:textId="77777777" w:rsidR="00F5024B" w:rsidRPr="00FB6E44" w:rsidRDefault="00F5024B" w:rsidP="00F5024B">
      <w:pPr>
        <w:shd w:val="clear" w:color="auto" w:fill="FFFFFF" w:themeFill="background1"/>
        <w:spacing w:before="0"/>
        <w:ind w:left="0" w:firstLine="0"/>
        <w:rPr>
          <w:i w:val="0"/>
          <w:iCs w:val="0"/>
          <w:color w:val="auto"/>
          <w:lang w:val="es-CO" w:eastAsia="es-CO"/>
        </w:rPr>
      </w:pPr>
      <w:r w:rsidRPr="00FB6E44">
        <w:rPr>
          <w:i w:val="0"/>
          <w:iCs w:val="0"/>
          <w:color w:val="auto"/>
          <w:lang w:val="es-CO" w:eastAsia="es-CO"/>
        </w:rPr>
        <w:t>Diligenciado el cuestionario de que trata el artículo 2.2.2.30.4 del Decreto 1074 de 2015, se encontró que la regulación propuesta no tiene incidencia sobre la libre competencia, por lo cual no fue informado a la Superintendencia de Industria y Comercio, SIC.</w:t>
      </w:r>
    </w:p>
    <w:p w14:paraId="39E8FF39" w14:textId="77777777" w:rsidR="00F5024B" w:rsidRPr="009B4E30" w:rsidRDefault="00F5024B" w:rsidP="00F5024B">
      <w:pPr>
        <w:spacing w:before="0"/>
        <w:ind w:left="0" w:firstLine="0"/>
        <w:rPr>
          <w:i w:val="0"/>
          <w:iCs w:val="0"/>
          <w:color w:val="auto"/>
          <w:lang w:val="es-CO" w:eastAsia="es-CO"/>
        </w:rPr>
      </w:pPr>
      <w:r w:rsidRPr="00FB6E44">
        <w:rPr>
          <w:i w:val="0"/>
          <w:iCs w:val="0"/>
          <w:color w:val="auto"/>
          <w:lang w:val="es-CO" w:eastAsia="es-CO"/>
        </w:rPr>
        <w:t xml:space="preserve">La Comisión, en la Sesión </w:t>
      </w:r>
      <w:r>
        <w:rPr>
          <w:i w:val="0"/>
          <w:iCs w:val="0"/>
          <w:color w:val="auto"/>
          <w:lang w:val="es-CO" w:eastAsia="es-CO"/>
        </w:rPr>
        <w:t>1165</w:t>
      </w:r>
      <w:r w:rsidRPr="00FB6E44">
        <w:rPr>
          <w:i w:val="0"/>
          <w:iCs w:val="0"/>
          <w:color w:val="auto"/>
          <w:lang w:val="es-CO" w:eastAsia="es-CO"/>
        </w:rPr>
        <w:t xml:space="preserve"> del </w:t>
      </w:r>
      <w:r w:rsidRPr="00800778">
        <w:rPr>
          <w:i w:val="0"/>
          <w:iCs w:val="0"/>
          <w:color w:val="auto"/>
          <w:lang w:val="es-CO" w:eastAsia="es-CO"/>
        </w:rPr>
        <w:t>29 de abril de 2022, aprobó</w:t>
      </w:r>
      <w:r w:rsidRPr="00FB6E44">
        <w:rPr>
          <w:i w:val="0"/>
          <w:iCs w:val="0"/>
          <w:color w:val="auto"/>
          <w:lang w:val="es-CO" w:eastAsia="es-CO"/>
        </w:rPr>
        <w:t xml:space="preserve"> expedir la presente resolución.</w:t>
      </w:r>
    </w:p>
    <w:p w14:paraId="3A93FF14" w14:textId="77777777" w:rsidR="00F5024B" w:rsidRPr="00397125" w:rsidRDefault="00F5024B" w:rsidP="00F5024B">
      <w:pPr>
        <w:spacing w:before="0" w:after="0"/>
        <w:rPr>
          <w:color w:val="auto"/>
        </w:rPr>
      </w:pPr>
    </w:p>
    <w:p w14:paraId="5AAD8625" w14:textId="77777777" w:rsidR="00F5024B" w:rsidRPr="002223E8" w:rsidRDefault="00F5024B" w:rsidP="00F5024B">
      <w:pPr>
        <w:spacing w:before="0" w:after="0"/>
        <w:jc w:val="center"/>
        <w:rPr>
          <w:b/>
          <w:bCs/>
          <w:i w:val="0"/>
          <w:iCs w:val="0"/>
          <w:color w:val="auto"/>
          <w:spacing w:val="80"/>
          <w:lang w:val="pt-BR"/>
        </w:rPr>
      </w:pPr>
      <w:r w:rsidRPr="002223E8">
        <w:rPr>
          <w:b/>
          <w:bCs/>
          <w:i w:val="0"/>
          <w:iCs w:val="0"/>
          <w:color w:val="auto"/>
          <w:spacing w:val="80"/>
          <w:lang w:val="pt-BR"/>
        </w:rPr>
        <w:t>RESUELVE:</w:t>
      </w:r>
    </w:p>
    <w:p w14:paraId="4E001826" w14:textId="77777777" w:rsidR="00F5024B" w:rsidRDefault="00F5024B" w:rsidP="00F5024B">
      <w:pPr>
        <w:spacing w:before="0" w:after="0"/>
        <w:jc w:val="center"/>
        <w:rPr>
          <w:i w:val="0"/>
          <w:iCs w:val="0"/>
          <w:color w:val="auto"/>
          <w:spacing w:val="80"/>
          <w:lang w:val="pt-BR"/>
        </w:rPr>
      </w:pPr>
    </w:p>
    <w:p w14:paraId="74AB5A6B" w14:textId="77777777" w:rsidR="00F5024B" w:rsidRPr="006862E8" w:rsidRDefault="00F5024B" w:rsidP="00F5024B">
      <w:pPr>
        <w:pStyle w:val="Artculo1"/>
        <w:spacing w:before="0" w:after="0"/>
        <w:ind w:left="0" w:firstLine="0"/>
        <w:rPr>
          <w:b w:val="0"/>
          <w:bCs w:val="0"/>
          <w:i w:val="0"/>
          <w:iCs w:val="0"/>
          <w:color w:val="000000" w:themeColor="text1"/>
        </w:rPr>
      </w:pPr>
      <w:r w:rsidRPr="006862E8">
        <w:rPr>
          <w:i w:val="0"/>
          <w:iCs w:val="0"/>
          <w:color w:val="000000" w:themeColor="text1"/>
        </w:rPr>
        <w:t xml:space="preserve">Objeto. </w:t>
      </w:r>
      <w:r w:rsidRPr="006862E8">
        <w:rPr>
          <w:b w:val="0"/>
          <w:bCs w:val="0"/>
          <w:i w:val="0"/>
          <w:iCs w:val="0"/>
          <w:color w:val="000000" w:themeColor="text1"/>
        </w:rPr>
        <w:t>Mediante</w:t>
      </w:r>
      <w:r w:rsidRPr="006862E8">
        <w:rPr>
          <w:i w:val="0"/>
          <w:iCs w:val="0"/>
          <w:color w:val="000000" w:themeColor="text1"/>
        </w:rPr>
        <w:t xml:space="preserve"> </w:t>
      </w:r>
      <w:r w:rsidRPr="006862E8">
        <w:rPr>
          <w:b w:val="0"/>
          <w:bCs w:val="0"/>
          <w:i w:val="0"/>
          <w:iCs w:val="0"/>
          <w:color w:val="000000" w:themeColor="text1"/>
        </w:rPr>
        <w:t xml:space="preserve">la presente resolución se establece la metodología para la determinación de </w:t>
      </w:r>
      <w:r>
        <w:rPr>
          <w:b w:val="0"/>
          <w:bCs w:val="0"/>
          <w:i w:val="0"/>
          <w:iCs w:val="0"/>
          <w:color w:val="000000" w:themeColor="text1"/>
        </w:rPr>
        <w:t>costos máximos por</w:t>
      </w:r>
      <w:r w:rsidRPr="006862E8">
        <w:rPr>
          <w:b w:val="0"/>
          <w:bCs w:val="0"/>
          <w:i w:val="0"/>
          <w:iCs w:val="0"/>
          <w:color w:val="000000" w:themeColor="text1"/>
        </w:rPr>
        <w:t xml:space="preserve"> la prestación del servicio de alumbrado público</w:t>
      </w:r>
      <w:r>
        <w:rPr>
          <w:b w:val="0"/>
          <w:bCs w:val="0"/>
          <w:i w:val="0"/>
          <w:iCs w:val="0"/>
          <w:color w:val="000000" w:themeColor="text1"/>
        </w:rPr>
        <w:t>.</w:t>
      </w:r>
    </w:p>
    <w:p w14:paraId="6CB8BB4C" w14:textId="77777777" w:rsidR="00F5024B" w:rsidRDefault="00F5024B" w:rsidP="00F5024B">
      <w:pPr>
        <w:spacing w:before="0" w:after="0"/>
        <w:ind w:left="0" w:firstLine="0"/>
        <w:jc w:val="center"/>
        <w:rPr>
          <w:b/>
          <w:bCs/>
          <w:i w:val="0"/>
          <w:iCs w:val="0"/>
          <w:color w:val="auto"/>
          <w:lang w:val="es-CO"/>
        </w:rPr>
      </w:pPr>
    </w:p>
    <w:p w14:paraId="05F63957" w14:textId="77777777" w:rsidR="00F5024B" w:rsidRPr="00B748C5" w:rsidRDefault="00F5024B" w:rsidP="00F5024B">
      <w:pPr>
        <w:spacing w:before="0" w:after="0"/>
        <w:ind w:left="0" w:firstLine="0"/>
        <w:jc w:val="center"/>
        <w:rPr>
          <w:b/>
          <w:bCs/>
          <w:i w:val="0"/>
          <w:iCs w:val="0"/>
          <w:color w:val="auto"/>
        </w:rPr>
      </w:pPr>
      <w:r w:rsidRPr="00B748C5">
        <w:rPr>
          <w:b/>
          <w:bCs/>
          <w:i w:val="0"/>
          <w:iCs w:val="0"/>
          <w:color w:val="auto"/>
        </w:rPr>
        <w:lastRenderedPageBreak/>
        <w:t>CAPÍTULO I</w:t>
      </w:r>
    </w:p>
    <w:p w14:paraId="52027347" w14:textId="77777777" w:rsidR="00F5024B" w:rsidRPr="00B748C5" w:rsidRDefault="00F5024B" w:rsidP="00F5024B">
      <w:pPr>
        <w:spacing w:before="0" w:after="0"/>
        <w:ind w:left="0" w:firstLine="0"/>
        <w:jc w:val="center"/>
        <w:rPr>
          <w:b/>
          <w:bCs/>
          <w:i w:val="0"/>
          <w:iCs w:val="0"/>
          <w:color w:val="auto"/>
        </w:rPr>
      </w:pPr>
    </w:p>
    <w:p w14:paraId="430D5F3B" w14:textId="77777777" w:rsidR="00F5024B" w:rsidRPr="00B748C5" w:rsidRDefault="00F5024B" w:rsidP="00F5024B">
      <w:pPr>
        <w:spacing w:before="0" w:after="0"/>
        <w:ind w:left="0" w:firstLine="0"/>
        <w:jc w:val="center"/>
        <w:rPr>
          <w:b/>
          <w:bCs/>
          <w:i w:val="0"/>
          <w:iCs w:val="0"/>
          <w:color w:val="auto"/>
        </w:rPr>
      </w:pPr>
      <w:r>
        <w:rPr>
          <w:b/>
          <w:bCs/>
          <w:i w:val="0"/>
          <w:iCs w:val="0"/>
          <w:color w:val="auto"/>
        </w:rPr>
        <w:t xml:space="preserve">AMBITO, </w:t>
      </w:r>
      <w:r w:rsidRPr="00B748C5">
        <w:rPr>
          <w:b/>
          <w:bCs/>
          <w:i w:val="0"/>
          <w:iCs w:val="0"/>
          <w:color w:val="auto"/>
        </w:rPr>
        <w:t>DEFINICIONES Y CRITERIOS GENERALES</w:t>
      </w:r>
    </w:p>
    <w:p w14:paraId="730B3E9C" w14:textId="77777777" w:rsidR="00F5024B" w:rsidRPr="00513D9D" w:rsidRDefault="00F5024B" w:rsidP="00F5024B">
      <w:pPr>
        <w:spacing w:before="0" w:after="0"/>
        <w:ind w:left="0" w:firstLine="0"/>
        <w:jc w:val="center"/>
        <w:rPr>
          <w:b/>
          <w:bCs/>
          <w:i w:val="0"/>
          <w:iCs w:val="0"/>
          <w:color w:val="000000" w:themeColor="text1"/>
        </w:rPr>
      </w:pPr>
    </w:p>
    <w:p w14:paraId="116DE142" w14:textId="77777777" w:rsidR="00F5024B" w:rsidRPr="00513D9D" w:rsidRDefault="00F5024B" w:rsidP="00F5024B">
      <w:pPr>
        <w:pStyle w:val="Artculo1"/>
        <w:spacing w:before="0"/>
        <w:ind w:left="0" w:firstLine="0"/>
        <w:rPr>
          <w:b w:val="0"/>
          <w:bCs w:val="0"/>
          <w:i w:val="0"/>
          <w:iCs w:val="0"/>
          <w:color w:val="000000" w:themeColor="text1"/>
        </w:rPr>
      </w:pPr>
      <w:r w:rsidRPr="00513D9D">
        <w:rPr>
          <w:i w:val="0"/>
          <w:iCs w:val="0"/>
          <w:color w:val="000000" w:themeColor="text1"/>
        </w:rPr>
        <w:t xml:space="preserve">Ámbito de Aplicación. </w:t>
      </w:r>
      <w:r w:rsidRPr="00513D9D">
        <w:rPr>
          <w:b w:val="0"/>
          <w:bCs w:val="0"/>
          <w:i w:val="0"/>
          <w:iCs w:val="0"/>
          <w:color w:val="000000" w:themeColor="text1"/>
        </w:rPr>
        <w:t xml:space="preserve">Esta Resolución aplica a </w:t>
      </w:r>
      <w:r>
        <w:rPr>
          <w:b w:val="0"/>
          <w:bCs w:val="0"/>
          <w:i w:val="0"/>
          <w:iCs w:val="0"/>
          <w:color w:val="000000" w:themeColor="text1"/>
        </w:rPr>
        <w:t>los</w:t>
      </w:r>
      <w:r w:rsidRPr="00513D9D">
        <w:rPr>
          <w:b w:val="0"/>
          <w:bCs w:val="0"/>
          <w:i w:val="0"/>
          <w:iCs w:val="0"/>
          <w:color w:val="000000" w:themeColor="text1"/>
        </w:rPr>
        <w:t xml:space="preserve"> responsables de la prestación del Servicio de Alumbrado Público </w:t>
      </w:r>
      <w:r>
        <w:rPr>
          <w:b w:val="0"/>
          <w:bCs w:val="0"/>
          <w:i w:val="0"/>
          <w:iCs w:val="0"/>
          <w:color w:val="000000" w:themeColor="text1"/>
        </w:rPr>
        <w:t>señalados en el</w:t>
      </w:r>
      <w:r w:rsidRPr="00513D9D">
        <w:rPr>
          <w:b w:val="0"/>
          <w:bCs w:val="0"/>
          <w:i w:val="0"/>
          <w:iCs w:val="0"/>
          <w:color w:val="000000" w:themeColor="text1"/>
        </w:rPr>
        <w:t xml:space="preserve"> artículo 2.2.3.6.1.2 del Decreto 1073 de 2015, Único Reglamentario del sector Administrativo de Minas y Energía.</w:t>
      </w:r>
    </w:p>
    <w:p w14:paraId="3F675ABF" w14:textId="77777777" w:rsidR="00F5024B" w:rsidRPr="00247791" w:rsidRDefault="00F5024B" w:rsidP="00F5024B">
      <w:pPr>
        <w:pStyle w:val="Artculo1"/>
        <w:spacing w:before="0"/>
        <w:ind w:left="0" w:firstLine="0"/>
        <w:rPr>
          <w:b w:val="0"/>
          <w:bCs w:val="0"/>
          <w:i w:val="0"/>
          <w:iCs w:val="0"/>
          <w:color w:val="000000" w:themeColor="text1"/>
        </w:rPr>
      </w:pPr>
      <w:r w:rsidRPr="00247791">
        <w:rPr>
          <w:i w:val="0"/>
          <w:iCs w:val="0"/>
          <w:color w:val="000000" w:themeColor="text1"/>
        </w:rPr>
        <w:t>Definiciones.</w:t>
      </w:r>
      <w:r w:rsidRPr="00247791">
        <w:rPr>
          <w:b w:val="0"/>
          <w:bCs w:val="0"/>
          <w:i w:val="0"/>
          <w:iCs w:val="0"/>
          <w:color w:val="000000" w:themeColor="text1"/>
        </w:rPr>
        <w:t xml:space="preserve"> Para la interpretación y aplicación de la presente resolución se tendrán en cuenta, además de las definiciones establecidas en las Leyes 142 y 143 de 1994, el Decreto 1073 de 2015, el Reglamento Técnico de Instalaciones Eléctricas, RETIE, el Reglamento Técnico de Iluminación y Alumbrado Público, </w:t>
      </w:r>
      <w:r>
        <w:rPr>
          <w:b w:val="0"/>
          <w:bCs w:val="0"/>
          <w:i w:val="0"/>
          <w:iCs w:val="0"/>
          <w:color w:val="000000" w:themeColor="text1"/>
        </w:rPr>
        <w:t>RETILAP</w:t>
      </w:r>
      <w:r w:rsidRPr="00247791">
        <w:rPr>
          <w:b w:val="0"/>
          <w:bCs w:val="0"/>
          <w:i w:val="0"/>
          <w:iCs w:val="0"/>
          <w:color w:val="000000" w:themeColor="text1"/>
        </w:rPr>
        <w:t xml:space="preserve">, la Resolución CREG 015 de 2018 </w:t>
      </w:r>
      <w:r>
        <w:rPr>
          <w:b w:val="0"/>
          <w:bCs w:val="0"/>
          <w:i w:val="0"/>
          <w:iCs w:val="0"/>
          <w:color w:val="000000" w:themeColor="text1"/>
        </w:rPr>
        <w:t>y</w:t>
      </w:r>
      <w:r w:rsidRPr="00247791">
        <w:rPr>
          <w:b w:val="0"/>
          <w:bCs w:val="0"/>
          <w:i w:val="0"/>
          <w:iCs w:val="0"/>
          <w:color w:val="000000" w:themeColor="text1"/>
        </w:rPr>
        <w:t xml:space="preserve"> aquellas que las modifiquen, adicionen o complementen, las siguientes definiciones:</w:t>
      </w:r>
    </w:p>
    <w:p w14:paraId="7B112CF2" w14:textId="77777777" w:rsidR="00F5024B" w:rsidRDefault="00F5024B" w:rsidP="00F5024B">
      <w:pPr>
        <w:spacing w:before="0"/>
        <w:ind w:left="0" w:firstLine="0"/>
        <w:rPr>
          <w:i w:val="0"/>
          <w:iCs w:val="0"/>
          <w:color w:val="auto"/>
        </w:rPr>
      </w:pPr>
      <w:r w:rsidRPr="00EB197C">
        <w:rPr>
          <w:b/>
          <w:i w:val="0"/>
          <w:iCs w:val="0"/>
          <w:color w:val="auto"/>
        </w:rPr>
        <w:t xml:space="preserve">Actividades del Servicio de Alumbrado Público: </w:t>
      </w:r>
      <w:r w:rsidRPr="00BF3D78">
        <w:rPr>
          <w:bCs/>
          <w:i w:val="0"/>
          <w:iCs w:val="0"/>
          <w:color w:val="auto"/>
        </w:rPr>
        <w:t xml:space="preserve">Conforme con lo dispuesto en el inciso segundo de la definición de servicio de alumbrado público contenida en el </w:t>
      </w:r>
      <w:r>
        <w:rPr>
          <w:bCs/>
          <w:i w:val="0"/>
          <w:iCs w:val="0"/>
          <w:color w:val="auto"/>
        </w:rPr>
        <w:t xml:space="preserve">artículo 2.2.3.1.2 del </w:t>
      </w:r>
      <w:r w:rsidRPr="00BF3D78">
        <w:rPr>
          <w:bCs/>
          <w:i w:val="0"/>
          <w:iCs w:val="0"/>
          <w:color w:val="auto"/>
        </w:rPr>
        <w:t xml:space="preserve">Decreto </w:t>
      </w:r>
      <w:r>
        <w:rPr>
          <w:bCs/>
          <w:i w:val="0"/>
          <w:iCs w:val="0"/>
          <w:color w:val="auto"/>
        </w:rPr>
        <w:t>1073</w:t>
      </w:r>
      <w:r w:rsidRPr="00BF3D78">
        <w:rPr>
          <w:bCs/>
          <w:i w:val="0"/>
          <w:iCs w:val="0"/>
          <w:color w:val="auto"/>
        </w:rPr>
        <w:t xml:space="preserve"> de 201</w:t>
      </w:r>
      <w:r>
        <w:rPr>
          <w:bCs/>
          <w:i w:val="0"/>
          <w:iCs w:val="0"/>
          <w:color w:val="auto"/>
        </w:rPr>
        <w:t>5, las actividades del servicio de alumbrado público</w:t>
      </w:r>
      <w:r>
        <w:rPr>
          <w:b/>
          <w:i w:val="0"/>
          <w:iCs w:val="0"/>
          <w:color w:val="auto"/>
        </w:rPr>
        <w:t xml:space="preserve"> </w:t>
      </w:r>
      <w:r w:rsidRPr="00BF3D78">
        <w:rPr>
          <w:i w:val="0"/>
          <w:iCs w:val="0"/>
          <w:color w:val="auto"/>
        </w:rPr>
        <w:t>c</w:t>
      </w:r>
      <w:r w:rsidRPr="000629DF">
        <w:rPr>
          <w:i w:val="0"/>
          <w:color w:val="auto"/>
        </w:rPr>
        <w:t>omprende</w:t>
      </w:r>
      <w:r>
        <w:rPr>
          <w:i w:val="0"/>
          <w:color w:val="auto"/>
        </w:rPr>
        <w:t>n</w:t>
      </w:r>
      <w:r w:rsidRPr="000629DF">
        <w:rPr>
          <w:i w:val="0"/>
          <w:color w:val="auto"/>
        </w:rPr>
        <w:t xml:space="preserve"> </w:t>
      </w:r>
      <w:r w:rsidRPr="00DB5387">
        <w:rPr>
          <w:i w:val="0"/>
          <w:color w:val="auto"/>
        </w:rPr>
        <w:t>las actividades de suministro de energía eléctrica al sistema de alumbrado público, la administración, operación, mantenimiento, modernización, reposición y expansión de dicho sistema, el desarrollo tecnológico asociado a él, y la interventoría en los casos que aplique.</w:t>
      </w:r>
    </w:p>
    <w:p w14:paraId="5CF63EC4" w14:textId="77777777" w:rsidR="00F5024B" w:rsidRPr="00EB197C" w:rsidRDefault="00F5024B" w:rsidP="00F5024B">
      <w:pPr>
        <w:spacing w:before="0"/>
        <w:ind w:left="0" w:firstLine="0"/>
        <w:rPr>
          <w:b/>
          <w:i w:val="0"/>
          <w:iCs w:val="0"/>
          <w:color w:val="auto"/>
        </w:rPr>
      </w:pPr>
      <w:r w:rsidRPr="00EB197C">
        <w:rPr>
          <w:b/>
          <w:i w:val="0"/>
          <w:iCs w:val="0"/>
          <w:color w:val="auto"/>
        </w:rPr>
        <w:t>Activo</w:t>
      </w:r>
      <w:r>
        <w:rPr>
          <w:b/>
          <w:i w:val="0"/>
          <w:iCs w:val="0"/>
          <w:color w:val="auto"/>
        </w:rPr>
        <w:t>s</w:t>
      </w:r>
      <w:r w:rsidRPr="00EB197C">
        <w:rPr>
          <w:b/>
          <w:i w:val="0"/>
          <w:iCs w:val="0"/>
          <w:color w:val="auto"/>
        </w:rPr>
        <w:t xml:space="preserve"> del Sistema de Alumbrado Público</w:t>
      </w:r>
      <w:r w:rsidRPr="00EB197C">
        <w:rPr>
          <w:i w:val="0"/>
          <w:iCs w:val="0"/>
          <w:color w:val="auto"/>
        </w:rPr>
        <w:t>: Es el conjunto de Unidades Constructivas de Alumbrado Público conectado</w:t>
      </w:r>
      <w:r>
        <w:rPr>
          <w:i w:val="0"/>
          <w:iCs w:val="0"/>
          <w:color w:val="auto"/>
        </w:rPr>
        <w:t>s</w:t>
      </w:r>
      <w:r w:rsidRPr="00EB197C">
        <w:rPr>
          <w:i w:val="0"/>
          <w:iCs w:val="0"/>
          <w:color w:val="auto"/>
        </w:rPr>
        <w:t xml:space="preserve"> a un sistema de distribución de energía eléctrica, cuya finalidad es la iluminación de un determinado espacio público, con una extensión geográfica definida, que se encuentra en operación y están debidamente registrados como tales en el Sistema de Información de Alumbrado Público</w:t>
      </w:r>
      <w:r>
        <w:rPr>
          <w:i w:val="0"/>
          <w:iCs w:val="0"/>
          <w:color w:val="auto"/>
        </w:rPr>
        <w:t xml:space="preserve">, </w:t>
      </w:r>
      <w:r w:rsidRPr="00EB197C">
        <w:rPr>
          <w:i w:val="0"/>
          <w:iCs w:val="0"/>
          <w:color w:val="auto"/>
        </w:rPr>
        <w:t>SIAP</w:t>
      </w:r>
      <w:r>
        <w:rPr>
          <w:i w:val="0"/>
          <w:iCs w:val="0"/>
          <w:color w:val="auto"/>
        </w:rPr>
        <w:t>,</w:t>
      </w:r>
      <w:r w:rsidRPr="00EB197C">
        <w:rPr>
          <w:i w:val="0"/>
          <w:iCs w:val="0"/>
          <w:color w:val="auto"/>
        </w:rPr>
        <w:t xml:space="preserve"> de un municipio y/o distrito.</w:t>
      </w:r>
      <w:r>
        <w:rPr>
          <w:i w:val="0"/>
          <w:iCs w:val="0"/>
          <w:color w:val="auto"/>
        </w:rPr>
        <w:t xml:space="preserve"> Estos activos podrán estar aislados eléctricamente de las redes de distribución de energía.</w:t>
      </w:r>
    </w:p>
    <w:p w14:paraId="6DD2D2F8" w14:textId="77777777" w:rsidR="00F5024B" w:rsidRPr="00EB197C" w:rsidRDefault="00F5024B" w:rsidP="00F5024B">
      <w:pPr>
        <w:spacing w:before="0"/>
        <w:ind w:left="0" w:firstLine="0"/>
        <w:rPr>
          <w:i w:val="0"/>
          <w:iCs w:val="0"/>
          <w:color w:val="auto"/>
        </w:rPr>
      </w:pPr>
      <w:r w:rsidRPr="00EB197C">
        <w:rPr>
          <w:b/>
          <w:i w:val="0"/>
          <w:iCs w:val="0"/>
          <w:color w:val="auto"/>
        </w:rPr>
        <w:t>Activos Vinculados al Servicio de Alumbrado Público</w:t>
      </w:r>
      <w:r w:rsidRPr="00EB197C">
        <w:rPr>
          <w:i w:val="0"/>
          <w:iCs w:val="0"/>
          <w:color w:val="auto"/>
        </w:rPr>
        <w:t>: Son los bienes que se requieren para que un prestador del Servicio de Alumbrado Público opere el sistema de alumbrado público.</w:t>
      </w:r>
    </w:p>
    <w:p w14:paraId="4BF47844" w14:textId="77777777" w:rsidR="00F5024B" w:rsidRDefault="00F5024B" w:rsidP="00F5024B">
      <w:pPr>
        <w:spacing w:before="0"/>
        <w:ind w:left="0" w:firstLine="0"/>
        <w:rPr>
          <w:i w:val="0"/>
          <w:iCs w:val="0"/>
          <w:color w:val="auto"/>
        </w:rPr>
      </w:pPr>
      <w:r w:rsidRPr="00BC3F1B">
        <w:rPr>
          <w:b/>
          <w:i w:val="0"/>
          <w:iCs w:val="0"/>
          <w:color w:val="auto"/>
        </w:rPr>
        <w:t xml:space="preserve">Administración, Operación y Mantenimiento, AOM: </w:t>
      </w:r>
      <w:r w:rsidRPr="00BC3F1B">
        <w:rPr>
          <w:i w:val="0"/>
          <w:iCs w:val="0"/>
          <w:color w:val="auto"/>
        </w:rPr>
        <w:t>Valor de los gastos de administración, operación y mantenimiento correspondientes a los activos del sistema de alumbrado público.</w:t>
      </w:r>
    </w:p>
    <w:p w14:paraId="7CB6B26C" w14:textId="77777777" w:rsidR="00F5024B" w:rsidRPr="00BF3D78" w:rsidRDefault="00F5024B" w:rsidP="00F5024B">
      <w:pPr>
        <w:spacing w:before="0"/>
        <w:ind w:left="0" w:firstLine="0"/>
        <w:rPr>
          <w:color w:val="auto"/>
        </w:rPr>
      </w:pPr>
      <w:r w:rsidRPr="424DE6E4">
        <w:rPr>
          <w:b/>
          <w:bCs/>
          <w:i w:val="0"/>
          <w:iCs w:val="0"/>
          <w:color w:val="auto"/>
        </w:rPr>
        <w:t>Autogeneración.</w:t>
      </w:r>
      <w:r>
        <w:rPr>
          <w:i w:val="0"/>
          <w:iCs w:val="0"/>
          <w:color w:val="auto"/>
        </w:rPr>
        <w:t xml:space="preserve"> Conforme lo dispuesto en la Resolución CREG 174 de 2021 o aquellas que la modifiquen, adicionen o sustituyan, la autogeneración es </w:t>
      </w:r>
      <w:r w:rsidRPr="00BF3D78">
        <w:rPr>
          <w:color w:val="auto"/>
        </w:rPr>
        <w:t xml:space="preserve">la actividad realizada por usuarios, sean estos personas naturales o jurídicas, que producen energía eléctrica, principalmente para atender sus propias necesidades. Cuando se atienda la propia demanda o necesidad se realizará sin utilizar activos de uso de distribución y/o transmisión. Se podrán utilizar activos de uso de distribución y/o transmisión para entregar los excedentes de energía y para el uso de respaldo de red. </w:t>
      </w:r>
    </w:p>
    <w:p w14:paraId="07E7E4C1" w14:textId="77777777" w:rsidR="00F5024B" w:rsidRPr="00BF3D78" w:rsidRDefault="00F5024B" w:rsidP="00F5024B">
      <w:pPr>
        <w:spacing w:before="0"/>
        <w:ind w:left="0" w:firstLine="0"/>
        <w:rPr>
          <w:color w:val="auto"/>
        </w:rPr>
      </w:pPr>
      <w:proofErr w:type="spellStart"/>
      <w:r w:rsidRPr="00A64DE6">
        <w:rPr>
          <w:b/>
          <w:bCs/>
          <w:i w:val="0"/>
          <w:iCs w:val="0"/>
          <w:color w:val="auto"/>
        </w:rPr>
        <w:t>Autogenerador</w:t>
      </w:r>
      <w:proofErr w:type="spellEnd"/>
      <w:r w:rsidRPr="00A64DE6">
        <w:rPr>
          <w:i w:val="0"/>
          <w:iCs w:val="0"/>
          <w:color w:val="auto"/>
        </w:rPr>
        <w:t xml:space="preserve">. </w:t>
      </w:r>
      <w:r>
        <w:rPr>
          <w:i w:val="0"/>
          <w:iCs w:val="0"/>
          <w:color w:val="auto"/>
        </w:rPr>
        <w:t xml:space="preserve">Conforme lo dispuesto en la Resolución CREG 174 de 2021 o aquellas que la modifiquen, adicionen o sustituyan, el </w:t>
      </w:r>
      <w:proofErr w:type="spellStart"/>
      <w:r>
        <w:rPr>
          <w:i w:val="0"/>
          <w:iCs w:val="0"/>
          <w:color w:val="auto"/>
        </w:rPr>
        <w:t>autogenerador</w:t>
      </w:r>
      <w:proofErr w:type="spellEnd"/>
      <w:r>
        <w:rPr>
          <w:i w:val="0"/>
          <w:iCs w:val="0"/>
          <w:color w:val="auto"/>
        </w:rPr>
        <w:t xml:space="preserve"> es el </w:t>
      </w:r>
      <w:r w:rsidRPr="00BF3D78">
        <w:rPr>
          <w:color w:val="auto"/>
        </w:rPr>
        <w:t>usuario que realiza la actividad de autogeneración. El usuario puede ser o no ser propietario de los activos de autogeneración.</w:t>
      </w:r>
    </w:p>
    <w:p w14:paraId="663F7BFB" w14:textId="77777777" w:rsidR="00F5024B" w:rsidRPr="00670841" w:rsidDel="006F0C35" w:rsidRDefault="00F5024B" w:rsidP="00F5024B">
      <w:pPr>
        <w:spacing w:before="0"/>
        <w:ind w:left="0" w:firstLine="0"/>
        <w:rPr>
          <w:i w:val="0"/>
          <w:iCs w:val="0"/>
          <w:color w:val="000000" w:themeColor="text1"/>
        </w:rPr>
      </w:pPr>
      <w:r w:rsidRPr="00670841">
        <w:rPr>
          <w:b/>
          <w:i w:val="0"/>
          <w:iCs w:val="0"/>
          <w:color w:val="000000" w:themeColor="text1"/>
        </w:rPr>
        <w:lastRenderedPageBreak/>
        <w:t xml:space="preserve">Ciberseguridad: </w:t>
      </w:r>
      <w:r w:rsidRPr="00BF3D78">
        <w:rPr>
          <w:bCs/>
          <w:i w:val="0"/>
          <w:iCs w:val="0"/>
          <w:color w:val="000000" w:themeColor="text1"/>
        </w:rPr>
        <w:t>Conforme lo dispuesto en la Resolución MME 4 0072 de 2018 o aquella</w:t>
      </w:r>
      <w:r>
        <w:rPr>
          <w:bCs/>
          <w:i w:val="0"/>
          <w:iCs w:val="0"/>
          <w:color w:val="000000" w:themeColor="text1"/>
        </w:rPr>
        <w:t>s</w:t>
      </w:r>
      <w:r w:rsidRPr="00BF3D78">
        <w:rPr>
          <w:bCs/>
          <w:i w:val="0"/>
          <w:iCs w:val="0"/>
          <w:color w:val="000000" w:themeColor="text1"/>
        </w:rPr>
        <w:t xml:space="preserve"> que la modifique</w:t>
      </w:r>
      <w:r>
        <w:rPr>
          <w:bCs/>
          <w:i w:val="0"/>
          <w:iCs w:val="0"/>
          <w:color w:val="000000" w:themeColor="text1"/>
        </w:rPr>
        <w:t>n</w:t>
      </w:r>
      <w:r w:rsidRPr="00BF3D78">
        <w:rPr>
          <w:bCs/>
          <w:i w:val="0"/>
          <w:iCs w:val="0"/>
          <w:color w:val="000000" w:themeColor="text1"/>
        </w:rPr>
        <w:t>, adicione</w:t>
      </w:r>
      <w:r>
        <w:rPr>
          <w:bCs/>
          <w:i w:val="0"/>
          <w:iCs w:val="0"/>
          <w:color w:val="000000" w:themeColor="text1"/>
        </w:rPr>
        <w:t>n</w:t>
      </w:r>
      <w:r w:rsidRPr="00BF3D78">
        <w:rPr>
          <w:bCs/>
          <w:i w:val="0"/>
          <w:iCs w:val="0"/>
          <w:color w:val="000000" w:themeColor="text1"/>
        </w:rPr>
        <w:t xml:space="preserve"> o sustituya</w:t>
      </w:r>
      <w:r>
        <w:rPr>
          <w:bCs/>
          <w:i w:val="0"/>
          <w:iCs w:val="0"/>
          <w:color w:val="000000" w:themeColor="text1"/>
        </w:rPr>
        <w:t>n</w:t>
      </w:r>
      <w:r w:rsidRPr="00BF3D78">
        <w:rPr>
          <w:bCs/>
          <w:i w:val="0"/>
          <w:iCs w:val="0"/>
          <w:color w:val="000000" w:themeColor="text1"/>
        </w:rPr>
        <w:t xml:space="preserve">, ciberseguridad es el conjunto de </w:t>
      </w:r>
      <w:r w:rsidRPr="00BF3D78">
        <w:rPr>
          <w:bCs/>
          <w:color w:val="000000" w:themeColor="text1"/>
        </w:rPr>
        <w:t>e</w:t>
      </w:r>
      <w:r w:rsidRPr="00BF3D78">
        <w:rPr>
          <w:color w:val="000000" w:themeColor="text1"/>
        </w:rPr>
        <w:t>strategias y acciones para proteger la privacidad de los datos con el sistema de distribución de energía eléctrica, el sistema de medida, y la seguridad de las redes informáticas y de comunicaciones</w:t>
      </w:r>
      <w:r>
        <w:rPr>
          <w:i w:val="0"/>
          <w:iCs w:val="0"/>
          <w:color w:val="000000" w:themeColor="text1"/>
        </w:rPr>
        <w:t>.</w:t>
      </w:r>
    </w:p>
    <w:p w14:paraId="2C842B0B" w14:textId="77777777" w:rsidR="00F5024B" w:rsidRPr="00BC3F1B" w:rsidRDefault="00F5024B" w:rsidP="00F5024B">
      <w:pPr>
        <w:spacing w:before="0"/>
        <w:ind w:left="0" w:firstLine="0"/>
        <w:rPr>
          <w:i w:val="0"/>
          <w:iCs w:val="0"/>
          <w:color w:val="auto"/>
        </w:rPr>
      </w:pPr>
      <w:r w:rsidRPr="00BC3F1B">
        <w:rPr>
          <w:b/>
          <w:i w:val="0"/>
          <w:iCs w:val="0"/>
          <w:color w:val="auto"/>
        </w:rPr>
        <w:t xml:space="preserve">Contrato de Suministro de Energía </w:t>
      </w:r>
      <w:r w:rsidRPr="00BC3F1B">
        <w:rPr>
          <w:b/>
          <w:i w:val="0"/>
          <w:iCs w:val="0"/>
          <w:color w:val="auto"/>
          <w:spacing w:val="-3"/>
        </w:rPr>
        <w:t>para el Alumbrado Público</w:t>
      </w:r>
      <w:r w:rsidRPr="00BC3F1B">
        <w:rPr>
          <w:b/>
          <w:i w:val="0"/>
          <w:iCs w:val="0"/>
          <w:color w:val="auto"/>
        </w:rPr>
        <w:t xml:space="preserve">: </w:t>
      </w:r>
      <w:r w:rsidRPr="00BC3F1B">
        <w:rPr>
          <w:i w:val="0"/>
          <w:iCs w:val="0"/>
          <w:color w:val="auto"/>
        </w:rPr>
        <w:t>Corresponde al contrato bilateral suscrito entre el municipio o distrito con las empresas comercializadoras de energía eléctrica</w:t>
      </w:r>
      <w:r>
        <w:rPr>
          <w:i w:val="0"/>
          <w:iCs w:val="0"/>
          <w:color w:val="auto"/>
        </w:rPr>
        <w:t>, el cual se rige por lo dispuesto en las leyes 142 y 143 de 1994</w:t>
      </w:r>
      <w:r w:rsidRPr="00BC3F1B">
        <w:rPr>
          <w:i w:val="0"/>
          <w:iCs w:val="0"/>
          <w:color w:val="auto"/>
        </w:rPr>
        <w:t>.</w:t>
      </w:r>
    </w:p>
    <w:p w14:paraId="65741D2F" w14:textId="77777777" w:rsidR="00F5024B" w:rsidRPr="009B6C9B" w:rsidRDefault="00F5024B" w:rsidP="00F5024B">
      <w:pPr>
        <w:spacing w:before="0"/>
        <w:ind w:left="0" w:firstLine="0"/>
        <w:rPr>
          <w:i w:val="0"/>
          <w:iCs w:val="0"/>
          <w:color w:val="000000" w:themeColor="text1"/>
        </w:rPr>
      </w:pPr>
      <w:r w:rsidRPr="009B6C9B">
        <w:rPr>
          <w:b/>
          <w:i w:val="0"/>
          <w:iCs w:val="0"/>
          <w:color w:val="000000" w:themeColor="text1"/>
        </w:rPr>
        <w:t xml:space="preserve">Desarrollos tecnológicos asociados al servicio de alumbrado público: </w:t>
      </w:r>
      <w:r w:rsidRPr="009B6C9B">
        <w:rPr>
          <w:i w:val="0"/>
          <w:iCs w:val="0"/>
          <w:color w:val="000000" w:themeColor="text1"/>
        </w:rPr>
        <w:t>Se entienden como aquellas nuevas tecnologías, desarrollos y avances tecnológicos para el sistema de alumbrado público, como luminarias, nuevas fuentes de alimentación eléctrica, tecnologías de la información</w:t>
      </w:r>
      <w:r>
        <w:rPr>
          <w:i w:val="0"/>
          <w:iCs w:val="0"/>
          <w:color w:val="000000" w:themeColor="text1"/>
        </w:rPr>
        <w:t>,</w:t>
      </w:r>
      <w:r w:rsidRPr="009B6C9B">
        <w:rPr>
          <w:i w:val="0"/>
          <w:iCs w:val="0"/>
          <w:color w:val="000000" w:themeColor="text1"/>
        </w:rPr>
        <w:t xml:space="preserve"> las comunicaciones</w:t>
      </w:r>
      <w:r>
        <w:rPr>
          <w:i w:val="0"/>
          <w:iCs w:val="0"/>
          <w:color w:val="000000" w:themeColor="text1"/>
        </w:rPr>
        <w:t>, entre otras.</w:t>
      </w:r>
    </w:p>
    <w:p w14:paraId="32908C43" w14:textId="77777777" w:rsidR="00F5024B" w:rsidRPr="00BF3D78" w:rsidRDefault="00F5024B" w:rsidP="00F5024B">
      <w:pPr>
        <w:spacing w:before="0"/>
        <w:ind w:left="0" w:firstLine="0"/>
        <w:rPr>
          <w:color w:val="auto"/>
        </w:rPr>
      </w:pPr>
      <w:r w:rsidRPr="00D02AD6">
        <w:rPr>
          <w:b/>
          <w:i w:val="0"/>
          <w:iCs w:val="0"/>
          <w:color w:val="auto"/>
        </w:rPr>
        <w:t xml:space="preserve">Disposición final. </w:t>
      </w:r>
      <w:r w:rsidRPr="00BF3D78">
        <w:rPr>
          <w:bCs/>
          <w:i w:val="0"/>
          <w:iCs w:val="0"/>
          <w:color w:val="auto"/>
        </w:rPr>
        <w:t>Conforme lo dispuesto en la Ley 1672 de 2013 o aquella</w:t>
      </w:r>
      <w:r>
        <w:rPr>
          <w:bCs/>
          <w:i w:val="0"/>
          <w:iCs w:val="0"/>
          <w:color w:val="auto"/>
        </w:rPr>
        <w:t>s</w:t>
      </w:r>
      <w:r w:rsidRPr="00BF3D78">
        <w:rPr>
          <w:bCs/>
          <w:i w:val="0"/>
          <w:iCs w:val="0"/>
          <w:color w:val="auto"/>
        </w:rPr>
        <w:t xml:space="preserve"> que la modifique</w:t>
      </w:r>
      <w:r>
        <w:rPr>
          <w:bCs/>
          <w:i w:val="0"/>
          <w:iCs w:val="0"/>
          <w:color w:val="auto"/>
        </w:rPr>
        <w:t>n</w:t>
      </w:r>
      <w:r w:rsidRPr="00BF3D78">
        <w:rPr>
          <w:bCs/>
          <w:i w:val="0"/>
          <w:iCs w:val="0"/>
          <w:color w:val="auto"/>
        </w:rPr>
        <w:t>, adicione</w:t>
      </w:r>
      <w:r>
        <w:rPr>
          <w:bCs/>
          <w:i w:val="0"/>
          <w:iCs w:val="0"/>
          <w:color w:val="auto"/>
        </w:rPr>
        <w:t>n</w:t>
      </w:r>
      <w:r w:rsidRPr="00BF3D78">
        <w:rPr>
          <w:bCs/>
          <w:i w:val="0"/>
          <w:iCs w:val="0"/>
          <w:color w:val="auto"/>
        </w:rPr>
        <w:t xml:space="preserve"> o sustituya</w:t>
      </w:r>
      <w:r>
        <w:rPr>
          <w:bCs/>
          <w:i w:val="0"/>
          <w:iCs w:val="0"/>
          <w:color w:val="auto"/>
        </w:rPr>
        <w:t>n</w:t>
      </w:r>
      <w:r w:rsidRPr="00BF3D78">
        <w:rPr>
          <w:bCs/>
          <w:i w:val="0"/>
          <w:iCs w:val="0"/>
          <w:color w:val="auto"/>
        </w:rPr>
        <w:t>,</w:t>
      </w:r>
      <w:r>
        <w:rPr>
          <w:b/>
          <w:i w:val="0"/>
          <w:iCs w:val="0"/>
          <w:color w:val="auto"/>
        </w:rPr>
        <w:t xml:space="preserve"> </w:t>
      </w:r>
      <w:r w:rsidRPr="00BF3D78">
        <w:rPr>
          <w:bCs/>
          <w:i w:val="0"/>
          <w:iCs w:val="0"/>
          <w:color w:val="auto"/>
        </w:rPr>
        <w:t>la disposición final</w:t>
      </w:r>
      <w:r>
        <w:rPr>
          <w:b/>
          <w:i w:val="0"/>
          <w:iCs w:val="0"/>
          <w:color w:val="auto"/>
        </w:rPr>
        <w:t xml:space="preserve"> </w:t>
      </w:r>
      <w:r w:rsidRPr="00BF3D78">
        <w:rPr>
          <w:bCs/>
          <w:i w:val="0"/>
          <w:iCs w:val="0"/>
          <w:color w:val="auto"/>
        </w:rPr>
        <w:t>e</w:t>
      </w:r>
      <w:r w:rsidRPr="00063073">
        <w:rPr>
          <w:bCs/>
          <w:i w:val="0"/>
          <w:iCs w:val="0"/>
          <w:color w:val="auto"/>
        </w:rPr>
        <w:t>s</w:t>
      </w:r>
      <w:r w:rsidRPr="00D02AD6">
        <w:rPr>
          <w:i w:val="0"/>
          <w:iCs w:val="0"/>
          <w:color w:val="auto"/>
        </w:rPr>
        <w:t xml:space="preserve"> el </w:t>
      </w:r>
      <w:r w:rsidRPr="00BF3D78">
        <w:rPr>
          <w:color w:val="auto"/>
        </w:rPr>
        <w:t xml:space="preserve">proceso de aislar y confinar los residuos de aparatos eléctricos y electrónicos, RAEE, en especial los no aprovechables, en forma definitiva, en lugares especialmente seleccionados y diseñados para evitar la contaminación y los daños o riesgos a la salud humana y al ambiente. En todo caso, quedará prohibida la disposición de residuos de aparatos eléctricos y electrónicos (RAEE) en rellenos sanitarios. </w:t>
      </w:r>
    </w:p>
    <w:p w14:paraId="6E61A74D" w14:textId="77777777" w:rsidR="00F5024B" w:rsidRPr="00D02AD6" w:rsidRDefault="00F5024B" w:rsidP="00F5024B">
      <w:pPr>
        <w:spacing w:before="0"/>
        <w:ind w:left="0" w:firstLine="0"/>
        <w:rPr>
          <w:color w:val="auto"/>
        </w:rPr>
      </w:pPr>
      <w:r w:rsidRPr="00D02AD6">
        <w:rPr>
          <w:b/>
          <w:i w:val="0"/>
          <w:iCs w:val="0"/>
          <w:color w:val="auto"/>
        </w:rPr>
        <w:t xml:space="preserve">Eficiencia Energética: </w:t>
      </w:r>
      <w:r w:rsidRPr="00D02AD6">
        <w:rPr>
          <w:bCs/>
          <w:i w:val="0"/>
          <w:iCs w:val="0"/>
          <w:color w:val="auto"/>
        </w:rPr>
        <w:t>Es la relación entre la energía aprovechada y la total utilizada en cualquier proceso de la cadena energética, dentro del marco del desarrollo sostenible y respetando la normatividad vigente sobre medio ambiente y los recursos naturales renovables.</w:t>
      </w:r>
      <w:r>
        <w:rPr>
          <w:bCs/>
          <w:i w:val="0"/>
          <w:iCs w:val="0"/>
          <w:color w:val="auto"/>
        </w:rPr>
        <w:t xml:space="preserve"> </w:t>
      </w:r>
    </w:p>
    <w:p w14:paraId="335C2152" w14:textId="77777777" w:rsidR="00F5024B" w:rsidRPr="00C06912" w:rsidRDefault="00F5024B" w:rsidP="00F5024B">
      <w:pPr>
        <w:spacing w:before="0"/>
        <w:ind w:left="0" w:firstLine="0"/>
        <w:rPr>
          <w:b/>
          <w:color w:val="auto"/>
        </w:rPr>
      </w:pPr>
      <w:r w:rsidRPr="00A95338">
        <w:rPr>
          <w:b/>
          <w:i w:val="0"/>
          <w:iCs w:val="0"/>
          <w:color w:val="auto"/>
        </w:rPr>
        <w:t>Excedentes de energía</w:t>
      </w:r>
      <w:r w:rsidRPr="00A95338">
        <w:rPr>
          <w:bCs/>
          <w:i w:val="0"/>
          <w:iCs w:val="0"/>
          <w:color w:val="auto"/>
        </w:rPr>
        <w:t xml:space="preserve">. </w:t>
      </w:r>
      <w:r w:rsidRPr="00C06912">
        <w:rPr>
          <w:bCs/>
          <w:i w:val="0"/>
          <w:iCs w:val="0"/>
          <w:color w:val="auto"/>
        </w:rPr>
        <w:t xml:space="preserve">Se entenderá por excedentes de energía, conforme a lo dispuesto en la Resolución CREG </w:t>
      </w:r>
      <w:r>
        <w:rPr>
          <w:bCs/>
          <w:i w:val="0"/>
          <w:iCs w:val="0"/>
          <w:color w:val="auto"/>
        </w:rPr>
        <w:t>174</w:t>
      </w:r>
      <w:r w:rsidRPr="00C06912">
        <w:rPr>
          <w:bCs/>
          <w:i w:val="0"/>
          <w:iCs w:val="0"/>
          <w:color w:val="auto"/>
        </w:rPr>
        <w:t xml:space="preserve"> de 20</w:t>
      </w:r>
      <w:r>
        <w:rPr>
          <w:bCs/>
          <w:i w:val="0"/>
          <w:iCs w:val="0"/>
          <w:color w:val="auto"/>
        </w:rPr>
        <w:t>21</w:t>
      </w:r>
      <w:r w:rsidRPr="00C06912">
        <w:rPr>
          <w:bCs/>
          <w:i w:val="0"/>
          <w:iCs w:val="0"/>
          <w:color w:val="auto"/>
        </w:rPr>
        <w:t xml:space="preserve">, o aquellas que la modifiquen, adicionen o sustituyan, </w:t>
      </w:r>
      <w:r w:rsidRPr="00BF3D78">
        <w:rPr>
          <w:bCs/>
          <w:color w:val="auto"/>
        </w:rPr>
        <w:t>“</w:t>
      </w:r>
      <w:r w:rsidRPr="00186816">
        <w:rPr>
          <w:bCs/>
          <w:color w:val="auto"/>
        </w:rPr>
        <w:t xml:space="preserve">Toda exportación de energía eléctrica realizada por un </w:t>
      </w:r>
      <w:proofErr w:type="spellStart"/>
      <w:r w:rsidRPr="00186816">
        <w:rPr>
          <w:bCs/>
          <w:color w:val="auto"/>
        </w:rPr>
        <w:t>autogenerador</w:t>
      </w:r>
      <w:proofErr w:type="spellEnd"/>
      <w:r w:rsidRPr="00186816">
        <w:rPr>
          <w:bCs/>
          <w:color w:val="auto"/>
        </w:rPr>
        <w:t>”</w:t>
      </w:r>
      <w:r w:rsidRPr="00C06912">
        <w:rPr>
          <w:bCs/>
          <w:color w:val="auto"/>
        </w:rPr>
        <w:t>.</w:t>
      </w:r>
    </w:p>
    <w:p w14:paraId="70771370" w14:textId="77777777" w:rsidR="00F5024B" w:rsidRDefault="00F5024B" w:rsidP="00F5024B">
      <w:pPr>
        <w:spacing w:before="0"/>
        <w:ind w:left="0" w:firstLine="0"/>
        <w:rPr>
          <w:bCs/>
          <w:i w:val="0"/>
          <w:iCs w:val="0"/>
          <w:color w:val="auto"/>
        </w:rPr>
      </w:pPr>
      <w:r w:rsidRPr="00A64DE6">
        <w:rPr>
          <w:b/>
          <w:i w:val="0"/>
          <w:iCs w:val="0"/>
          <w:color w:val="auto"/>
        </w:rPr>
        <w:t>Expansión</w:t>
      </w:r>
      <w:r w:rsidRPr="00A64DE6">
        <w:rPr>
          <w:bCs/>
          <w:i w:val="0"/>
          <w:iCs w:val="0"/>
          <w:color w:val="auto"/>
        </w:rPr>
        <w:t xml:space="preserve">: Es la </w:t>
      </w:r>
      <w:r>
        <w:rPr>
          <w:bCs/>
          <w:i w:val="0"/>
          <w:iCs w:val="0"/>
          <w:color w:val="auto"/>
        </w:rPr>
        <w:t xml:space="preserve">instalación de </w:t>
      </w:r>
      <w:r w:rsidRPr="006A4E05">
        <w:rPr>
          <w:bCs/>
          <w:i w:val="0"/>
          <w:iCs w:val="0"/>
          <w:color w:val="auto"/>
        </w:rPr>
        <w:t>nuevos activos de alumbrado público por el desarrollo vial o urbanístico del municipio o distrito</w:t>
      </w:r>
      <w:r>
        <w:rPr>
          <w:bCs/>
          <w:i w:val="0"/>
          <w:iCs w:val="0"/>
          <w:color w:val="auto"/>
        </w:rPr>
        <w:t>,</w:t>
      </w:r>
      <w:r w:rsidRPr="006A4E05">
        <w:rPr>
          <w:bCs/>
          <w:i w:val="0"/>
          <w:iCs w:val="0"/>
          <w:color w:val="auto"/>
        </w:rPr>
        <w:t xml:space="preserve"> o por el redimensionamiento del sistema existente.</w:t>
      </w:r>
    </w:p>
    <w:p w14:paraId="2331A8EC" w14:textId="77777777" w:rsidR="00F5024B" w:rsidRPr="00860E77" w:rsidRDefault="00F5024B" w:rsidP="00F5024B">
      <w:pPr>
        <w:spacing w:before="0"/>
        <w:ind w:left="0" w:firstLine="0"/>
        <w:rPr>
          <w:bCs/>
          <w:i w:val="0"/>
          <w:iCs w:val="0"/>
          <w:color w:val="auto"/>
        </w:rPr>
      </w:pPr>
      <w:r>
        <w:rPr>
          <w:b/>
          <w:i w:val="0"/>
          <w:iCs w:val="0"/>
          <w:color w:val="auto"/>
        </w:rPr>
        <w:t xml:space="preserve">Fecha de referencia. </w:t>
      </w:r>
      <w:r>
        <w:rPr>
          <w:bCs/>
          <w:i w:val="0"/>
          <w:iCs w:val="0"/>
          <w:color w:val="auto"/>
        </w:rPr>
        <w:t>Corresponde al 31 de diciembre del año inmediatamente anterior al año de realización del Estudio Técnico de referencia, ETR.</w:t>
      </w:r>
    </w:p>
    <w:p w14:paraId="432A3BAD" w14:textId="77777777" w:rsidR="00F5024B" w:rsidRPr="00B31D28" w:rsidRDefault="00F5024B" w:rsidP="00F5024B">
      <w:pPr>
        <w:spacing w:before="0"/>
        <w:ind w:left="0" w:firstLine="0"/>
        <w:rPr>
          <w:bCs/>
          <w:i w:val="0"/>
          <w:iCs w:val="0"/>
          <w:color w:val="auto"/>
        </w:rPr>
      </w:pPr>
      <w:r w:rsidRPr="00B31D28">
        <w:rPr>
          <w:b/>
          <w:i w:val="0"/>
          <w:iCs w:val="0"/>
          <w:color w:val="auto"/>
        </w:rPr>
        <w:t>Índice de disponibilidad</w:t>
      </w:r>
      <w:r w:rsidRPr="00B31D28">
        <w:rPr>
          <w:bCs/>
          <w:i w:val="0"/>
          <w:iCs w:val="0"/>
          <w:color w:val="auto"/>
        </w:rPr>
        <w:t>: Indicador calculado en un periodo de tiempo dado, durante el cual un activo del Sistema de Alumbrado Público está disponible para su uso y operatividad para el servicio.</w:t>
      </w:r>
    </w:p>
    <w:p w14:paraId="464042CD" w14:textId="77777777" w:rsidR="00F5024B" w:rsidRPr="00B31D28" w:rsidRDefault="00F5024B" w:rsidP="00F5024B">
      <w:pPr>
        <w:spacing w:before="0"/>
        <w:ind w:left="0" w:firstLine="0"/>
        <w:rPr>
          <w:bCs/>
          <w:i w:val="0"/>
          <w:iCs w:val="0"/>
          <w:color w:val="auto"/>
          <w:spacing w:val="-3"/>
        </w:rPr>
      </w:pPr>
      <w:r w:rsidRPr="00B31D28">
        <w:rPr>
          <w:b/>
          <w:i w:val="0"/>
          <w:iCs w:val="0"/>
          <w:color w:val="auto"/>
        </w:rPr>
        <w:t>Índice de Indisponibilidad:</w:t>
      </w:r>
      <w:r w:rsidRPr="00B31D28">
        <w:rPr>
          <w:bCs/>
          <w:i w:val="0"/>
          <w:iCs w:val="0"/>
          <w:color w:val="auto"/>
        </w:rPr>
        <w:t xml:space="preserve"> Indicador calculado en un periodo de tiempo dado, durante el cual un activo del Sistema de Alumbrado Público está indisponible para su uso y operatividad para el servicio</w:t>
      </w:r>
      <w:r>
        <w:rPr>
          <w:bCs/>
          <w:i w:val="0"/>
          <w:iCs w:val="0"/>
          <w:color w:val="auto"/>
        </w:rPr>
        <w:t>,</w:t>
      </w:r>
      <w:r w:rsidRPr="00B31D28">
        <w:rPr>
          <w:bCs/>
          <w:i w:val="0"/>
          <w:iCs w:val="0"/>
          <w:color w:val="auto"/>
        </w:rPr>
        <w:t xml:space="preserve"> o funciona deficientemente.</w:t>
      </w:r>
    </w:p>
    <w:p w14:paraId="2A4F7BFB" w14:textId="77777777" w:rsidR="00F5024B" w:rsidRPr="00F83400" w:rsidRDefault="00F5024B" w:rsidP="00F5024B">
      <w:pPr>
        <w:spacing w:before="0"/>
        <w:ind w:left="0" w:firstLine="0"/>
        <w:rPr>
          <w:bCs/>
          <w:i w:val="0"/>
          <w:iCs w:val="0"/>
          <w:color w:val="auto"/>
        </w:rPr>
      </w:pPr>
      <w:r w:rsidRPr="00F83400">
        <w:rPr>
          <w:b/>
          <w:i w:val="0"/>
          <w:iCs w:val="0"/>
          <w:color w:val="auto"/>
        </w:rPr>
        <w:t>Infraestructura Compartida del Servicio de Alumbrado Público:</w:t>
      </w:r>
      <w:r w:rsidRPr="00F83400">
        <w:rPr>
          <w:bCs/>
          <w:i w:val="0"/>
          <w:iCs w:val="0"/>
          <w:color w:val="auto"/>
        </w:rPr>
        <w:t xml:space="preserve"> Es el conjunto de bienes compuesto por los activos necesarios para la prestación del Servicio de Alumbrado Público, que forman parte de un sistema de distribución de energía eléctrica de un Operador de red</w:t>
      </w:r>
      <w:r>
        <w:rPr>
          <w:bCs/>
          <w:i w:val="0"/>
          <w:iCs w:val="0"/>
          <w:color w:val="auto"/>
        </w:rPr>
        <w:t>,</w:t>
      </w:r>
      <w:r w:rsidRPr="00F83400">
        <w:rPr>
          <w:bCs/>
          <w:i w:val="0"/>
          <w:iCs w:val="0"/>
          <w:color w:val="auto"/>
        </w:rPr>
        <w:t xml:space="preserve"> y que son utilizadas por el prestador del Servicio de Alumbrado Público.</w:t>
      </w:r>
    </w:p>
    <w:p w14:paraId="465406ED" w14:textId="77777777" w:rsidR="00F5024B" w:rsidRPr="00F83400" w:rsidRDefault="00F5024B" w:rsidP="00F5024B">
      <w:pPr>
        <w:spacing w:before="0"/>
        <w:ind w:left="0" w:firstLine="0"/>
        <w:rPr>
          <w:bCs/>
          <w:i w:val="0"/>
          <w:iCs w:val="0"/>
          <w:color w:val="auto"/>
        </w:rPr>
      </w:pPr>
      <w:r w:rsidRPr="00F83400">
        <w:rPr>
          <w:b/>
          <w:i w:val="0"/>
          <w:iCs w:val="0"/>
          <w:color w:val="auto"/>
        </w:rPr>
        <w:lastRenderedPageBreak/>
        <w:t>Infraestructura Propia del Servicio de Alumbrado Público</w:t>
      </w:r>
      <w:r w:rsidRPr="00F83400">
        <w:rPr>
          <w:bCs/>
          <w:i w:val="0"/>
          <w:iCs w:val="0"/>
          <w:color w:val="auto"/>
        </w:rPr>
        <w:t xml:space="preserve">: Es el conjunto de bienes compuesto por </w:t>
      </w:r>
      <w:r>
        <w:rPr>
          <w:bCs/>
          <w:i w:val="0"/>
          <w:iCs w:val="0"/>
          <w:color w:val="auto"/>
        </w:rPr>
        <w:t xml:space="preserve">luminarias y elementos de alumbrado, al igual que </w:t>
      </w:r>
      <w:r w:rsidRPr="00F83400">
        <w:rPr>
          <w:bCs/>
          <w:i w:val="0"/>
          <w:iCs w:val="0"/>
          <w:color w:val="auto"/>
        </w:rPr>
        <w:t xml:space="preserve">los activos de redes </w:t>
      </w:r>
      <w:r>
        <w:rPr>
          <w:bCs/>
          <w:i w:val="0"/>
          <w:iCs w:val="0"/>
          <w:color w:val="auto"/>
        </w:rPr>
        <w:t xml:space="preserve">eléctricas </w:t>
      </w:r>
      <w:r w:rsidRPr="00F83400">
        <w:rPr>
          <w:bCs/>
          <w:i w:val="0"/>
          <w:iCs w:val="0"/>
          <w:color w:val="auto"/>
        </w:rPr>
        <w:t>exclusivas necesarios para la prestación del Servicio de Alumbrado Público, que no forman parte de un sistema de distribución de energía eléctrica de un Operador de red.</w:t>
      </w:r>
    </w:p>
    <w:p w14:paraId="209A9B86" w14:textId="77777777" w:rsidR="00F5024B" w:rsidRPr="00F83400" w:rsidRDefault="00F5024B" w:rsidP="00F5024B">
      <w:pPr>
        <w:spacing w:before="0"/>
        <w:ind w:left="0" w:firstLine="0"/>
        <w:rPr>
          <w:bCs/>
          <w:i w:val="0"/>
          <w:iCs w:val="0"/>
          <w:color w:val="auto"/>
        </w:rPr>
      </w:pPr>
      <w:r w:rsidRPr="0047484B">
        <w:rPr>
          <w:b/>
          <w:i w:val="0"/>
          <w:iCs w:val="0"/>
          <w:color w:val="000000" w:themeColor="text1"/>
        </w:rPr>
        <w:t>Interoperabilidad:</w:t>
      </w:r>
      <w:r w:rsidRPr="0047484B">
        <w:rPr>
          <w:bCs/>
          <w:i w:val="0"/>
          <w:iCs w:val="0"/>
          <w:color w:val="000000" w:themeColor="text1"/>
        </w:rPr>
        <w:t xml:space="preserve"> La capacidad de dos o más redes, sistemas, aplicaciones, dispositivos o componentes de </w:t>
      </w:r>
      <w:proofErr w:type="gramStart"/>
      <w:r w:rsidRPr="0047484B">
        <w:rPr>
          <w:bCs/>
          <w:i w:val="0"/>
          <w:iCs w:val="0"/>
          <w:color w:val="000000" w:themeColor="text1"/>
        </w:rPr>
        <w:t>los mismos</w:t>
      </w:r>
      <w:proofErr w:type="gramEnd"/>
      <w:r w:rsidRPr="0047484B">
        <w:rPr>
          <w:bCs/>
          <w:i w:val="0"/>
          <w:iCs w:val="0"/>
          <w:color w:val="000000" w:themeColor="text1"/>
        </w:rPr>
        <w:t xml:space="preserve"> o diferentes fabricantes, de intercambiar información</w:t>
      </w:r>
      <w:r>
        <w:rPr>
          <w:bCs/>
          <w:i w:val="0"/>
          <w:iCs w:val="0"/>
          <w:color w:val="000000" w:themeColor="text1"/>
        </w:rPr>
        <w:t>,</w:t>
      </w:r>
      <w:r w:rsidRPr="0047484B">
        <w:rPr>
          <w:bCs/>
          <w:i w:val="0"/>
          <w:iCs w:val="0"/>
          <w:color w:val="000000" w:themeColor="text1"/>
        </w:rPr>
        <w:t xml:space="preserve"> y posteriormente utilizarla con el fin de realizar las funciones requeridas.</w:t>
      </w:r>
    </w:p>
    <w:p w14:paraId="664D2CF5" w14:textId="77777777" w:rsidR="00F5024B" w:rsidRDefault="00F5024B" w:rsidP="00F5024B">
      <w:pPr>
        <w:pStyle w:val="Default"/>
        <w:jc w:val="both"/>
        <w:rPr>
          <w:rFonts w:ascii="Bookman Old Style" w:eastAsia="Times New Roman" w:hAnsi="Bookman Old Style" w:cs="Aldhabi"/>
          <w:i/>
          <w:iCs/>
          <w:lang w:eastAsia="es-CO"/>
        </w:rPr>
      </w:pPr>
      <w:r w:rsidRPr="004C3045">
        <w:rPr>
          <w:rFonts w:ascii="Bookman Old Style" w:hAnsi="Bookman Old Style" w:cs="Aldhabi"/>
          <w:b/>
          <w:color w:val="auto"/>
        </w:rPr>
        <w:t>Luminaria:</w:t>
      </w:r>
      <w:r w:rsidRPr="004C3045">
        <w:rPr>
          <w:rFonts w:ascii="Bookman Old Style" w:hAnsi="Bookman Old Style" w:cs="Aldhabi"/>
          <w:bCs/>
          <w:color w:val="auto"/>
        </w:rPr>
        <w:t xml:space="preserve"> </w:t>
      </w:r>
      <w:r>
        <w:rPr>
          <w:rFonts w:ascii="Bookman Old Style" w:hAnsi="Bookman Old Style" w:cs="Aldhabi"/>
          <w:bCs/>
          <w:color w:val="auto"/>
        </w:rPr>
        <w:t xml:space="preserve">De conformidad con lo dispuesto en el RETILAP o aquellas normas que la modifiquen, adicionen o sustituyan, luminaria es el </w:t>
      </w:r>
      <w:r w:rsidRPr="00BF3D78">
        <w:rPr>
          <w:rFonts w:ascii="Bookman Old Style" w:hAnsi="Bookman Old Style" w:cs="Aldhabi"/>
          <w:i/>
          <w:iCs/>
          <w:color w:val="auto"/>
        </w:rPr>
        <w:t>a</w:t>
      </w:r>
      <w:r w:rsidRPr="00BF3D78">
        <w:rPr>
          <w:rFonts w:ascii="Bookman Old Style" w:eastAsia="Times New Roman" w:hAnsi="Bookman Old Style" w:cs="Aldhabi"/>
          <w:i/>
          <w:iCs/>
          <w:lang w:eastAsia="es-CO"/>
        </w:rPr>
        <w:t>parato de iluminación que distribuye, filtra o transforma la luz emitida por una o más lámparas o bombillas (fuentes luminosas) y que incluye todas las partes necesarias para soporte, fijación y protección de las bombillas, pero no las fuentes luminosas mismas y, donde sea necesario, los circuitos auxiliares con los medios para conectarlos a la fuente de alimentación eléctrica. La luminaria dispone entonces de un conjunto óptico y un conjunto eléctricos.</w:t>
      </w:r>
    </w:p>
    <w:p w14:paraId="39C2A592" w14:textId="77777777" w:rsidR="00F5024B" w:rsidRPr="003A1297" w:rsidRDefault="00F5024B" w:rsidP="00F5024B">
      <w:pPr>
        <w:pStyle w:val="Default"/>
        <w:jc w:val="both"/>
        <w:rPr>
          <w:rFonts w:ascii="Bookman Old Style" w:eastAsia="Times New Roman" w:hAnsi="Bookman Old Style" w:cs="Aldhabi"/>
          <w:i/>
          <w:iCs/>
          <w:lang w:eastAsia="es-CO"/>
        </w:rPr>
      </w:pPr>
    </w:p>
    <w:p w14:paraId="7B56A176" w14:textId="77777777" w:rsidR="00F5024B" w:rsidRPr="00D02AD6" w:rsidRDefault="00F5024B" w:rsidP="00F5024B">
      <w:pPr>
        <w:spacing w:before="0"/>
        <w:ind w:left="0" w:firstLine="0"/>
        <w:rPr>
          <w:i w:val="0"/>
          <w:iCs w:val="0"/>
          <w:color w:val="auto"/>
        </w:rPr>
      </w:pPr>
      <w:r w:rsidRPr="00D02AD6">
        <w:rPr>
          <w:b/>
          <w:bCs/>
          <w:i w:val="0"/>
          <w:iCs w:val="0"/>
          <w:color w:val="auto"/>
        </w:rPr>
        <w:t>Modelo Financiero:</w:t>
      </w:r>
      <w:r w:rsidRPr="00D02AD6">
        <w:rPr>
          <w:i w:val="0"/>
          <w:iCs w:val="0"/>
          <w:color w:val="auto"/>
        </w:rPr>
        <w:t xml:space="preserve"> </w:t>
      </w:r>
      <w:r>
        <w:rPr>
          <w:i w:val="0"/>
          <w:iCs w:val="0"/>
          <w:color w:val="auto"/>
        </w:rPr>
        <w:t>F</w:t>
      </w:r>
      <w:r w:rsidRPr="00D02AD6">
        <w:rPr>
          <w:i w:val="0"/>
          <w:iCs w:val="0"/>
          <w:color w:val="auto"/>
        </w:rPr>
        <w:t xml:space="preserve">lujo de caja del proyecto con las inversiones de la infraestructura para su modernización, expansión, reposición, incorporación </w:t>
      </w:r>
      <w:r>
        <w:rPr>
          <w:i w:val="0"/>
          <w:iCs w:val="0"/>
          <w:color w:val="auto"/>
        </w:rPr>
        <w:t xml:space="preserve">de </w:t>
      </w:r>
      <w:r w:rsidRPr="00D02AD6">
        <w:rPr>
          <w:i w:val="0"/>
          <w:iCs w:val="0"/>
          <w:color w:val="auto"/>
        </w:rPr>
        <w:t xml:space="preserve">desarrollos tecnológicos, los costos de administración, Operación y mantenimiento, AOM, costos de interventoría, inspectorías técnicas reglamentarias, medioambientales e impuestos y pólizas, entre </w:t>
      </w:r>
      <w:r>
        <w:rPr>
          <w:i w:val="0"/>
          <w:iCs w:val="0"/>
          <w:color w:val="auto"/>
        </w:rPr>
        <w:t>otros</w:t>
      </w:r>
      <w:r w:rsidRPr="00D02AD6">
        <w:rPr>
          <w:i w:val="0"/>
          <w:iCs w:val="0"/>
          <w:color w:val="auto"/>
        </w:rPr>
        <w:t xml:space="preserve">. </w:t>
      </w:r>
    </w:p>
    <w:p w14:paraId="457D1A63" w14:textId="77777777" w:rsidR="00F5024B" w:rsidRDefault="00F5024B" w:rsidP="00F5024B">
      <w:pPr>
        <w:spacing w:before="0"/>
        <w:ind w:left="0" w:firstLine="0"/>
        <w:rPr>
          <w:i w:val="0"/>
          <w:iCs w:val="0"/>
          <w:color w:val="auto"/>
        </w:rPr>
      </w:pPr>
      <w:r w:rsidRPr="000D7D76">
        <w:rPr>
          <w:b/>
          <w:i w:val="0"/>
          <w:iCs w:val="0"/>
          <w:color w:val="auto"/>
        </w:rPr>
        <w:t>Modernización o repotenciación del SALP</w:t>
      </w:r>
      <w:r w:rsidRPr="000D7D76">
        <w:rPr>
          <w:i w:val="0"/>
          <w:iCs w:val="0"/>
          <w:color w:val="auto"/>
        </w:rPr>
        <w:t xml:space="preserve">: </w:t>
      </w:r>
      <w:r w:rsidRPr="007C612A">
        <w:rPr>
          <w:i w:val="0"/>
          <w:iCs w:val="0"/>
          <w:color w:val="auto"/>
        </w:rPr>
        <w:t xml:space="preserve">La modernización </w:t>
      </w:r>
      <w:r>
        <w:rPr>
          <w:i w:val="0"/>
          <w:iCs w:val="0"/>
          <w:color w:val="auto"/>
        </w:rPr>
        <w:t xml:space="preserve">o repotenciación </w:t>
      </w:r>
      <w:r w:rsidRPr="007C612A">
        <w:rPr>
          <w:i w:val="0"/>
          <w:iCs w:val="0"/>
          <w:color w:val="auto"/>
        </w:rPr>
        <w:t xml:space="preserve">es el reemplazo de uno o más de los activos del Sistema de Alumbrado Público en </w:t>
      </w:r>
      <w:r>
        <w:rPr>
          <w:i w:val="0"/>
          <w:iCs w:val="0"/>
          <w:color w:val="auto"/>
        </w:rPr>
        <w:t>razón</w:t>
      </w:r>
      <w:r w:rsidRPr="007C612A">
        <w:rPr>
          <w:i w:val="0"/>
          <w:iCs w:val="0"/>
          <w:color w:val="auto"/>
        </w:rPr>
        <w:t xml:space="preserve"> a los desarrollos tecnológicos</w:t>
      </w:r>
      <w:r>
        <w:rPr>
          <w:i w:val="0"/>
          <w:iCs w:val="0"/>
          <w:color w:val="auto"/>
        </w:rPr>
        <w:t>.</w:t>
      </w:r>
    </w:p>
    <w:p w14:paraId="6B6A1ECE" w14:textId="77777777" w:rsidR="00F5024B" w:rsidRDefault="00F5024B" w:rsidP="00F5024B">
      <w:pPr>
        <w:spacing w:before="0"/>
        <w:ind w:left="0" w:firstLine="0"/>
        <w:rPr>
          <w:i w:val="0"/>
          <w:iCs w:val="0"/>
          <w:color w:val="auto"/>
        </w:rPr>
      </w:pPr>
      <w:r w:rsidRPr="00F34259">
        <w:rPr>
          <w:b/>
          <w:i w:val="0"/>
          <w:iCs w:val="0"/>
          <w:color w:val="auto"/>
        </w:rPr>
        <w:t>Operación del Sistema de Alumbrado Público:</w:t>
      </w:r>
      <w:r w:rsidRPr="00F34259">
        <w:rPr>
          <w:i w:val="0"/>
          <w:iCs w:val="0"/>
          <w:color w:val="auto"/>
        </w:rPr>
        <w:t xml:space="preserve"> Comprende la expansión de la infraestructura propia del sistema, la modernización por efectos de la Ley 697 de 2001 o aquellas que la modifiquen, adicionen o sustituyan, la reposición de activos y la instalación de los equipos de medición de energía eléctrica con sus respectivos accesorios. </w:t>
      </w:r>
    </w:p>
    <w:p w14:paraId="612CB2AE" w14:textId="77777777" w:rsidR="00F5024B" w:rsidRPr="000D7D76" w:rsidRDefault="00F5024B" w:rsidP="00F5024B">
      <w:pPr>
        <w:spacing w:before="0"/>
        <w:ind w:left="0" w:firstLine="0"/>
        <w:rPr>
          <w:i w:val="0"/>
          <w:iCs w:val="0"/>
          <w:color w:val="auto"/>
        </w:rPr>
      </w:pPr>
      <w:r w:rsidRPr="000D7D76">
        <w:rPr>
          <w:b/>
          <w:i w:val="0"/>
          <w:iCs w:val="0"/>
          <w:color w:val="auto"/>
        </w:rPr>
        <w:t xml:space="preserve">Operador de Red - OR: </w:t>
      </w:r>
      <w:r>
        <w:rPr>
          <w:bCs/>
          <w:i w:val="0"/>
          <w:iCs w:val="0"/>
          <w:color w:val="auto"/>
        </w:rPr>
        <w:t xml:space="preserve">Conforme lo dispuesto en la Resolución CREG 015 de 2018 o aquellas que la modifiquen, adicionen o sustituyan, Operador de Red es la </w:t>
      </w:r>
      <w:r w:rsidRPr="00063073">
        <w:rPr>
          <w:bCs/>
          <w:color w:val="auto"/>
        </w:rPr>
        <w:t>p</w:t>
      </w:r>
      <w:r w:rsidRPr="00210BF0">
        <w:rPr>
          <w:color w:val="auto"/>
        </w:rPr>
        <w:t>e</w:t>
      </w:r>
      <w:r w:rsidRPr="00C06912">
        <w:rPr>
          <w:color w:val="auto"/>
        </w:rPr>
        <w:t>rsona encargada de la planeación de la expansión, las inversiones, la operación y el mantenimiento de todo o parte de un Sistema de Transmisión Regional, STR o Sistema de Distribución Local, SDL, incluidas sus conexiones al Sistema de Transmisión Nacional, STN. Los activos pueden ser de su propiedad o de terceros. Para todos los propósitos son las empresas que tienen Cargos por Uso de los STR o SDL aprobados por la CREG. El OR siempre debe ser una Empresa de Servicios Públicos Domiciliarios. La unidad mínima de un SDL para que un OR solicite Cargos de Uso corresponde a un municipio</w:t>
      </w:r>
      <w:r w:rsidRPr="000D7D76">
        <w:rPr>
          <w:i w:val="0"/>
          <w:iCs w:val="0"/>
          <w:color w:val="auto"/>
        </w:rPr>
        <w:t>.</w:t>
      </w:r>
    </w:p>
    <w:p w14:paraId="0ACFA225" w14:textId="77777777" w:rsidR="00F5024B" w:rsidRPr="00835FD7" w:rsidRDefault="00F5024B" w:rsidP="00F5024B">
      <w:pPr>
        <w:spacing w:before="0"/>
        <w:ind w:left="0" w:firstLine="0"/>
        <w:rPr>
          <w:i w:val="0"/>
          <w:iCs w:val="0"/>
          <w:color w:val="auto"/>
        </w:rPr>
      </w:pPr>
      <w:r w:rsidRPr="00835FD7">
        <w:rPr>
          <w:b/>
          <w:i w:val="0"/>
          <w:iCs w:val="0"/>
          <w:color w:val="auto"/>
        </w:rPr>
        <w:t xml:space="preserve">Redes exclusivas del Sistema de Alumbrado Público: </w:t>
      </w:r>
      <w:r w:rsidRPr="00835FD7">
        <w:rPr>
          <w:i w:val="0"/>
          <w:iCs w:val="0"/>
          <w:color w:val="auto"/>
        </w:rPr>
        <w:t>Son las Unidades Constructivas</w:t>
      </w:r>
      <w:r>
        <w:rPr>
          <w:i w:val="0"/>
          <w:iCs w:val="0"/>
          <w:color w:val="auto"/>
        </w:rPr>
        <w:t xml:space="preserve"> de redes eléctricas,</w:t>
      </w:r>
      <w:r w:rsidRPr="00835FD7">
        <w:rPr>
          <w:i w:val="0"/>
          <w:iCs w:val="0"/>
          <w:color w:val="auto"/>
        </w:rPr>
        <w:t xml:space="preserve"> dedicadas únicamente a la prestación del Servicio de Alumbrado Público, que cuente con más de </w:t>
      </w:r>
      <w:r>
        <w:rPr>
          <w:i w:val="0"/>
          <w:iCs w:val="0"/>
          <w:color w:val="auto"/>
        </w:rPr>
        <w:t xml:space="preserve">dos </w:t>
      </w:r>
      <w:r w:rsidRPr="00835FD7">
        <w:rPr>
          <w:i w:val="0"/>
          <w:iCs w:val="0"/>
          <w:color w:val="auto"/>
        </w:rPr>
        <w:t>(2) luminarias.</w:t>
      </w:r>
    </w:p>
    <w:p w14:paraId="5A8C0C41" w14:textId="77777777" w:rsidR="00F5024B" w:rsidRPr="00835FD7" w:rsidRDefault="00F5024B" w:rsidP="00F5024B">
      <w:pPr>
        <w:spacing w:before="0"/>
        <w:ind w:left="0" w:firstLine="0"/>
        <w:rPr>
          <w:i w:val="0"/>
          <w:iCs w:val="0"/>
          <w:color w:val="auto"/>
        </w:rPr>
      </w:pPr>
      <w:r w:rsidRPr="006F2C43">
        <w:rPr>
          <w:b/>
          <w:i w:val="0"/>
          <w:iCs w:val="0"/>
          <w:color w:val="auto"/>
        </w:rPr>
        <w:t xml:space="preserve">Reposición de activos: </w:t>
      </w:r>
      <w:r w:rsidRPr="006F2C43">
        <w:rPr>
          <w:bCs/>
          <w:i w:val="0"/>
          <w:iCs w:val="0"/>
          <w:color w:val="auto"/>
        </w:rPr>
        <w:t>consiste en la actividad de remplazar los activos del SALP por activos iguales o de similares características.</w:t>
      </w:r>
      <w:r w:rsidRPr="006F2C43">
        <w:rPr>
          <w:b/>
          <w:i w:val="0"/>
          <w:iCs w:val="0"/>
          <w:color w:val="auto"/>
        </w:rPr>
        <w:t xml:space="preserve"> </w:t>
      </w:r>
    </w:p>
    <w:p w14:paraId="49BEF6E6" w14:textId="77777777" w:rsidR="00F5024B" w:rsidRDefault="00F5024B" w:rsidP="00F5024B">
      <w:pPr>
        <w:spacing w:before="0"/>
        <w:ind w:left="0" w:firstLine="0"/>
        <w:rPr>
          <w:i w:val="0"/>
          <w:iCs w:val="0"/>
          <w:color w:val="auto"/>
        </w:rPr>
      </w:pPr>
      <w:r w:rsidRPr="006257E2">
        <w:rPr>
          <w:b/>
          <w:i w:val="0"/>
          <w:iCs w:val="0"/>
          <w:color w:val="auto"/>
        </w:rPr>
        <w:lastRenderedPageBreak/>
        <w:t xml:space="preserve">RETIE: </w:t>
      </w:r>
      <w:r w:rsidRPr="006257E2">
        <w:rPr>
          <w:i w:val="0"/>
          <w:iCs w:val="0"/>
          <w:color w:val="auto"/>
        </w:rPr>
        <w:t>Reglamento Técnico de Instalaciones Eléctricas expedido por</w:t>
      </w:r>
      <w:r w:rsidRPr="006257E2">
        <w:rPr>
          <w:b/>
          <w:i w:val="0"/>
          <w:iCs w:val="0"/>
          <w:color w:val="auto"/>
        </w:rPr>
        <w:t xml:space="preserve"> </w:t>
      </w:r>
      <w:r w:rsidRPr="006257E2">
        <w:rPr>
          <w:i w:val="0"/>
          <w:iCs w:val="0"/>
          <w:color w:val="auto"/>
        </w:rPr>
        <w:t>el Ministerio de Minas y Energía, en la Resolución No</w:t>
      </w:r>
      <w:r>
        <w:rPr>
          <w:i w:val="0"/>
          <w:iCs w:val="0"/>
          <w:color w:val="auto"/>
        </w:rPr>
        <w:t>.</w:t>
      </w:r>
      <w:r w:rsidRPr="006257E2">
        <w:rPr>
          <w:i w:val="0"/>
          <w:iCs w:val="0"/>
          <w:color w:val="auto"/>
        </w:rPr>
        <w:t xml:space="preserve"> 181294 de 2008 y modificada mediante</w:t>
      </w:r>
      <w:r w:rsidRPr="006257E2">
        <w:rPr>
          <w:color w:val="auto"/>
        </w:rPr>
        <w:t xml:space="preserve"> </w:t>
      </w:r>
      <w:r w:rsidRPr="003A5D0A">
        <w:rPr>
          <w:i w:val="0"/>
          <w:iCs w:val="0"/>
          <w:color w:val="auto"/>
        </w:rPr>
        <w:t>las resoluciones Nos. 180195 de 2009, 90708 y 90907de 2013 y 90795 de 2014 o aquellas que la modifiquen, adicionen o complementen.</w:t>
      </w:r>
    </w:p>
    <w:p w14:paraId="6EB15DEC" w14:textId="77777777" w:rsidR="00F5024B" w:rsidRPr="003A5D0A" w:rsidRDefault="00F5024B" w:rsidP="00F5024B">
      <w:pPr>
        <w:spacing w:before="0"/>
        <w:ind w:left="0" w:firstLine="0"/>
        <w:rPr>
          <w:i w:val="0"/>
          <w:iCs w:val="0"/>
          <w:color w:val="auto"/>
        </w:rPr>
      </w:pPr>
      <w:r>
        <w:rPr>
          <w:b/>
          <w:i w:val="0"/>
          <w:iCs w:val="0"/>
          <w:color w:val="auto"/>
        </w:rPr>
        <w:t>RETILAP</w:t>
      </w:r>
      <w:r w:rsidRPr="003A5D0A">
        <w:rPr>
          <w:i w:val="0"/>
          <w:iCs w:val="0"/>
          <w:color w:val="auto"/>
        </w:rPr>
        <w:t>: Reglamento Técnico de Iluminación y Alumbrado Público expedido por el Ministerio de Minas y Energía, mediante Resolución No. 181331 de 2009 y modificada por las resoluciones No</w:t>
      </w:r>
      <w:r>
        <w:rPr>
          <w:i w:val="0"/>
          <w:iCs w:val="0"/>
          <w:color w:val="auto"/>
        </w:rPr>
        <w:t>s</w:t>
      </w:r>
      <w:r w:rsidRPr="003A5D0A">
        <w:rPr>
          <w:i w:val="0"/>
          <w:iCs w:val="0"/>
          <w:color w:val="auto"/>
        </w:rPr>
        <w:t>. 180265, 180540 y 181568 de 2010, o aquellas que la modifiquen, adicionen o complementen.</w:t>
      </w:r>
    </w:p>
    <w:p w14:paraId="256D0632" w14:textId="77777777" w:rsidR="00F5024B" w:rsidRPr="00BF3D78" w:rsidRDefault="00F5024B" w:rsidP="00F5024B">
      <w:pPr>
        <w:spacing w:before="0"/>
        <w:ind w:left="0" w:firstLine="0"/>
        <w:rPr>
          <w:color w:val="000000" w:themeColor="text1"/>
        </w:rPr>
      </w:pPr>
      <w:r w:rsidRPr="0045012E">
        <w:rPr>
          <w:b/>
          <w:i w:val="0"/>
          <w:iCs w:val="0"/>
          <w:color w:val="000000" w:themeColor="text1"/>
        </w:rPr>
        <w:t xml:space="preserve">Servicio de alumbrado público: </w:t>
      </w:r>
      <w:r w:rsidRPr="00BF3D78">
        <w:rPr>
          <w:i w:val="0"/>
          <w:iCs w:val="0"/>
          <w:color w:val="000000" w:themeColor="text1"/>
        </w:rPr>
        <w:t>Conforme lo dispuesto en el Decreto 943 de 2018 contenido en el Decreto 1073 de 2015 o aquellas normas que lo modifiquen, adicionen o sustituyan</w:t>
      </w:r>
      <w:r w:rsidRPr="00BF3D78">
        <w:rPr>
          <w:bCs/>
          <w:i w:val="0"/>
          <w:iCs w:val="0"/>
          <w:color w:val="000000" w:themeColor="text1"/>
        </w:rPr>
        <w:t>, es el</w:t>
      </w:r>
      <w:r>
        <w:rPr>
          <w:b/>
          <w:i w:val="0"/>
          <w:iCs w:val="0"/>
          <w:color w:val="000000" w:themeColor="text1"/>
        </w:rPr>
        <w:t xml:space="preserve"> </w:t>
      </w:r>
      <w:r w:rsidRPr="00BF3D78">
        <w:rPr>
          <w:bCs/>
          <w:color w:val="000000" w:themeColor="text1"/>
        </w:rPr>
        <w:t>s</w:t>
      </w:r>
      <w:r w:rsidRPr="00BF3D78">
        <w:rPr>
          <w:color w:val="000000" w:themeColor="text1"/>
        </w:rPr>
        <w:t>ervicio público no domiciliario de iluminación, inherente al servicio de energía eléctrica, que se presta con el fin de dar visibilidad al espacio público, bienes de uso público y demás espacios de libre circulación, con tránsito vehicular o peatonal, dentro del perímetro urbano y rural de un municipio o distrito, para el normal desarrollo de las actividades.</w:t>
      </w:r>
    </w:p>
    <w:p w14:paraId="62936F86" w14:textId="77777777" w:rsidR="00F5024B" w:rsidRDefault="00F5024B" w:rsidP="00F5024B">
      <w:pPr>
        <w:spacing w:before="0"/>
        <w:ind w:left="0" w:firstLine="0"/>
        <w:rPr>
          <w:i w:val="0"/>
          <w:iCs w:val="0"/>
          <w:color w:val="000000" w:themeColor="text1"/>
        </w:rPr>
      </w:pPr>
      <w:r w:rsidRPr="002256EA">
        <w:rPr>
          <w:b/>
          <w:i w:val="0"/>
          <w:iCs w:val="0"/>
          <w:color w:val="000000" w:themeColor="text1"/>
        </w:rPr>
        <w:t>Sistema de Alumbrado Público</w:t>
      </w:r>
      <w:r>
        <w:rPr>
          <w:b/>
          <w:i w:val="0"/>
          <w:iCs w:val="0"/>
          <w:color w:val="000000" w:themeColor="text1"/>
        </w:rPr>
        <w:t>, SALP</w:t>
      </w:r>
      <w:r w:rsidRPr="002256EA">
        <w:rPr>
          <w:b/>
          <w:i w:val="0"/>
          <w:iCs w:val="0"/>
          <w:color w:val="000000" w:themeColor="text1"/>
        </w:rPr>
        <w:t xml:space="preserve">: </w:t>
      </w:r>
      <w:r w:rsidRPr="00BF3D78">
        <w:rPr>
          <w:i w:val="0"/>
          <w:iCs w:val="0"/>
          <w:color w:val="000000" w:themeColor="text1"/>
        </w:rPr>
        <w:t>Conforme lo dispuesto en el Decreto 943 de 2018 contenido en el Decreto 1073 de 2015 o aquellas normas que lo modifiquen, adicionen o sustituyan</w:t>
      </w:r>
      <w:r w:rsidRPr="0041095C">
        <w:rPr>
          <w:i w:val="0"/>
          <w:iCs w:val="0"/>
          <w:color w:val="000000" w:themeColor="text1"/>
        </w:rPr>
        <w:t>,</w:t>
      </w:r>
      <w:r>
        <w:rPr>
          <w:bCs/>
          <w:i w:val="0"/>
          <w:iCs w:val="0"/>
          <w:color w:val="000000" w:themeColor="text1"/>
        </w:rPr>
        <w:t xml:space="preserve"> el sistema de alumbrado público </w:t>
      </w:r>
      <w:r w:rsidRPr="00BF3D78">
        <w:rPr>
          <w:bCs/>
          <w:color w:val="000000" w:themeColor="text1"/>
        </w:rPr>
        <w:t>c</w:t>
      </w:r>
      <w:r w:rsidRPr="00BF3D78">
        <w:rPr>
          <w:color w:val="000000" w:themeColor="text1"/>
        </w:rPr>
        <w:t>omprende el conjunto de luminarias, redes eléctricas, transformadores y postes de uso exclusivo, los desarrollos tecnológicos asociados al servicio de alumbrado público y todos los equipos necesarios para la prestación del servicio de alumbrado público que no forman parte del sistema de distribución de energía eléctrica.</w:t>
      </w:r>
      <w:r>
        <w:rPr>
          <w:i w:val="0"/>
          <w:iCs w:val="0"/>
          <w:color w:val="000000" w:themeColor="text1"/>
        </w:rPr>
        <w:t xml:space="preserve"> </w:t>
      </w:r>
    </w:p>
    <w:p w14:paraId="4D2A4CD5" w14:textId="77777777" w:rsidR="00F5024B" w:rsidRPr="002256EA" w:rsidRDefault="00F5024B" w:rsidP="00F5024B">
      <w:pPr>
        <w:spacing w:before="0"/>
        <w:ind w:left="0" w:firstLine="0"/>
        <w:rPr>
          <w:i w:val="0"/>
          <w:iCs w:val="0"/>
          <w:color w:val="auto"/>
        </w:rPr>
      </w:pPr>
      <w:r w:rsidRPr="002256EA">
        <w:rPr>
          <w:b/>
          <w:i w:val="0"/>
          <w:iCs w:val="0"/>
          <w:color w:val="auto"/>
        </w:rPr>
        <w:t>Sistema de Información de Alumbrado Público</w:t>
      </w:r>
      <w:r>
        <w:rPr>
          <w:b/>
          <w:i w:val="0"/>
          <w:iCs w:val="0"/>
          <w:color w:val="auto"/>
        </w:rPr>
        <w:t>,</w:t>
      </w:r>
      <w:r w:rsidRPr="002256EA">
        <w:rPr>
          <w:b/>
          <w:i w:val="0"/>
          <w:iCs w:val="0"/>
          <w:color w:val="auto"/>
        </w:rPr>
        <w:t xml:space="preserve"> SIAP</w:t>
      </w:r>
      <w:r w:rsidRPr="002256EA">
        <w:rPr>
          <w:i w:val="0"/>
          <w:iCs w:val="0"/>
          <w:color w:val="auto"/>
        </w:rPr>
        <w:t xml:space="preserve">: Es el sistema de </w:t>
      </w:r>
      <w:r w:rsidRPr="008D4DE3">
        <w:rPr>
          <w:i w:val="0"/>
          <w:iCs w:val="0"/>
          <w:color w:val="auto"/>
        </w:rPr>
        <w:t xml:space="preserve">información a que hace referencia la Sección No. 580.1 del </w:t>
      </w:r>
      <w:r>
        <w:rPr>
          <w:i w:val="0"/>
          <w:iCs w:val="0"/>
          <w:color w:val="auto"/>
        </w:rPr>
        <w:t>RETILAP</w:t>
      </w:r>
      <w:r w:rsidRPr="008D4DE3">
        <w:rPr>
          <w:i w:val="0"/>
          <w:iCs w:val="0"/>
          <w:color w:val="auto"/>
        </w:rPr>
        <w:t xml:space="preserve">, </w:t>
      </w:r>
      <w:r w:rsidRPr="00B31D28">
        <w:rPr>
          <w:i w:val="0"/>
          <w:iCs w:val="0"/>
          <w:color w:val="auto"/>
        </w:rPr>
        <w:t xml:space="preserve">y aquellas que lo modifiquen, </w:t>
      </w:r>
      <w:r>
        <w:rPr>
          <w:i w:val="0"/>
          <w:iCs w:val="0"/>
          <w:color w:val="auto"/>
        </w:rPr>
        <w:t>adicionen</w:t>
      </w:r>
      <w:r w:rsidRPr="00B31D28">
        <w:rPr>
          <w:i w:val="0"/>
          <w:iCs w:val="0"/>
          <w:color w:val="auto"/>
        </w:rPr>
        <w:t xml:space="preserve"> o sustituyan,</w:t>
      </w:r>
      <w:r w:rsidRPr="008D4DE3">
        <w:rPr>
          <w:i w:val="0"/>
          <w:iCs w:val="0"/>
          <w:color w:val="auto"/>
        </w:rPr>
        <w:t xml:space="preserve"> que incluye el registro de atención de quejas, reclamos y solicitudes de alumbrado público, el inventario georreferenciado de los componentes de la infraestructura; los consumos, la facturación y los pagos de energía eléctrica; los recaudos del Servicio de Alumbrado Público y los recursos recibidos para la financiación de la expansión del sistema, indicando la fuente.</w:t>
      </w:r>
    </w:p>
    <w:p w14:paraId="6AD26975" w14:textId="77777777" w:rsidR="00F5024B" w:rsidRDefault="00F5024B" w:rsidP="00F5024B">
      <w:pPr>
        <w:spacing w:before="0"/>
        <w:ind w:left="0" w:firstLine="0"/>
        <w:rPr>
          <w:i w:val="0"/>
          <w:iCs w:val="0"/>
          <w:color w:val="auto"/>
          <w:spacing w:val="-3"/>
        </w:rPr>
      </w:pPr>
      <w:r w:rsidRPr="00F34259">
        <w:rPr>
          <w:b/>
          <w:i w:val="0"/>
          <w:iCs w:val="0"/>
          <w:color w:val="auto"/>
          <w:spacing w:val="-3"/>
        </w:rPr>
        <w:t>Suministro de Energía Eléctrica para el Sistema de Alumbrado Público:</w:t>
      </w:r>
      <w:r w:rsidRPr="00F34259">
        <w:rPr>
          <w:i w:val="0"/>
          <w:iCs w:val="0"/>
          <w:color w:val="auto"/>
          <w:spacing w:val="-3"/>
        </w:rPr>
        <w:t xml:space="preserve"> Es el suministro de energía eléctrica destinado a la prestación del Servicio de Alumbrado Público que el municipio y/o distrito contrata con una empresa comercializadora de energía mediante un contrato bilateral.</w:t>
      </w:r>
    </w:p>
    <w:p w14:paraId="2524A4CB" w14:textId="77777777" w:rsidR="00F5024B" w:rsidRPr="002256EA" w:rsidRDefault="00F5024B" w:rsidP="00F5024B">
      <w:pPr>
        <w:spacing w:before="0"/>
        <w:ind w:left="0" w:firstLine="0"/>
        <w:rPr>
          <w:i w:val="0"/>
          <w:iCs w:val="0"/>
          <w:color w:val="auto"/>
        </w:rPr>
      </w:pPr>
      <w:r w:rsidRPr="002256EA">
        <w:rPr>
          <w:b/>
          <w:i w:val="0"/>
          <w:iCs w:val="0"/>
          <w:color w:val="auto"/>
        </w:rPr>
        <w:t>Unidad Constructiva de Alumbrado Público</w:t>
      </w:r>
      <w:r>
        <w:rPr>
          <w:b/>
          <w:i w:val="0"/>
          <w:iCs w:val="0"/>
          <w:color w:val="auto"/>
        </w:rPr>
        <w:t>,</w:t>
      </w:r>
      <w:r w:rsidRPr="002256EA">
        <w:rPr>
          <w:b/>
          <w:i w:val="0"/>
          <w:iCs w:val="0"/>
          <w:color w:val="auto"/>
        </w:rPr>
        <w:t xml:space="preserve"> UCAP:</w:t>
      </w:r>
      <w:r w:rsidRPr="002256EA">
        <w:rPr>
          <w:i w:val="0"/>
          <w:iCs w:val="0"/>
          <w:color w:val="auto"/>
        </w:rPr>
        <w:t xml:space="preserve"> Conjunto de elementos que conforman una unidad típica de un Sistema de Alumbrado Público.</w:t>
      </w:r>
    </w:p>
    <w:p w14:paraId="09D2B9D2" w14:textId="77777777" w:rsidR="00F5024B" w:rsidRPr="00BF3D78" w:rsidRDefault="00F5024B" w:rsidP="00F5024B">
      <w:pPr>
        <w:spacing w:before="0"/>
        <w:ind w:left="0" w:firstLine="0"/>
        <w:rPr>
          <w:color w:val="000000" w:themeColor="text1"/>
        </w:rPr>
      </w:pPr>
      <w:r w:rsidRPr="00174180">
        <w:rPr>
          <w:b/>
          <w:i w:val="0"/>
          <w:iCs w:val="0"/>
          <w:color w:val="000000" w:themeColor="text1"/>
        </w:rPr>
        <w:t>Uso Racional de Energía</w:t>
      </w:r>
      <w:r>
        <w:rPr>
          <w:b/>
          <w:i w:val="0"/>
          <w:iCs w:val="0"/>
          <w:color w:val="000000" w:themeColor="text1"/>
        </w:rPr>
        <w:t>,</w:t>
      </w:r>
      <w:r w:rsidRPr="00174180">
        <w:rPr>
          <w:b/>
          <w:i w:val="0"/>
          <w:iCs w:val="0"/>
          <w:color w:val="000000" w:themeColor="text1"/>
        </w:rPr>
        <w:t xml:space="preserve"> URE: </w:t>
      </w:r>
      <w:r w:rsidRPr="00BF3D78">
        <w:rPr>
          <w:bCs/>
          <w:i w:val="0"/>
          <w:iCs w:val="0"/>
          <w:color w:val="000000" w:themeColor="text1"/>
        </w:rPr>
        <w:t>Conforme lo dispuesto en la Ley 697 de 2001</w:t>
      </w:r>
      <w:r>
        <w:rPr>
          <w:bCs/>
          <w:i w:val="0"/>
          <w:iCs w:val="0"/>
          <w:color w:val="000000" w:themeColor="text1"/>
        </w:rPr>
        <w:t xml:space="preserve"> o aquellas que la modifiquen, adicionen o sustituyan</w:t>
      </w:r>
      <w:r w:rsidRPr="00BF3D78">
        <w:rPr>
          <w:bCs/>
          <w:i w:val="0"/>
          <w:iCs w:val="0"/>
          <w:color w:val="000000" w:themeColor="text1"/>
        </w:rPr>
        <w:t>, e</w:t>
      </w:r>
      <w:r w:rsidRPr="00174180">
        <w:rPr>
          <w:i w:val="0"/>
          <w:iCs w:val="0"/>
          <w:color w:val="000000" w:themeColor="text1"/>
        </w:rPr>
        <w:t xml:space="preserve">s el </w:t>
      </w:r>
      <w:r w:rsidRPr="00BF3D78">
        <w:rPr>
          <w:color w:val="000000" w:themeColor="text1"/>
        </w:rPr>
        <w:t>aprovechamiento óptimo de la energía en todas y cada una de las cadenas energéticas, desde la selección de la fuente energética, su producción, transformación, transporte, distribución, y consumo incluyendo su reutilización cuando sea posible, buscando en todas y cada una de las actividades de la cadena el desarrollo sostenible</w:t>
      </w:r>
      <w:r w:rsidRPr="00174180">
        <w:rPr>
          <w:i w:val="0"/>
          <w:iCs w:val="0"/>
          <w:color w:val="000000" w:themeColor="text1"/>
        </w:rPr>
        <w:t>.</w:t>
      </w:r>
      <w:r>
        <w:rPr>
          <w:i w:val="0"/>
          <w:iCs w:val="0"/>
          <w:color w:val="000000" w:themeColor="text1"/>
        </w:rPr>
        <w:t xml:space="preserve"> </w:t>
      </w:r>
    </w:p>
    <w:p w14:paraId="742F57FF" w14:textId="77777777" w:rsidR="00F5024B" w:rsidRPr="00204CC9" w:rsidRDefault="00F5024B" w:rsidP="00F5024B">
      <w:pPr>
        <w:spacing w:before="0"/>
        <w:ind w:left="0" w:firstLine="0"/>
        <w:rPr>
          <w:i w:val="0"/>
          <w:iCs w:val="0"/>
          <w:color w:val="auto"/>
        </w:rPr>
      </w:pPr>
      <w:r w:rsidRPr="00204CC9">
        <w:rPr>
          <w:b/>
          <w:i w:val="0"/>
          <w:iCs w:val="0"/>
          <w:color w:val="auto"/>
          <w:spacing w:val="-3"/>
        </w:rPr>
        <w:t xml:space="preserve">Vida útil de un activo de alumbrado público: </w:t>
      </w:r>
      <w:r w:rsidRPr="00204CC9">
        <w:rPr>
          <w:i w:val="0"/>
          <w:iCs w:val="0"/>
          <w:color w:val="auto"/>
        </w:rPr>
        <w:t>La vida útil de un activo de alumbrado público</w:t>
      </w:r>
      <w:r>
        <w:rPr>
          <w:i w:val="0"/>
          <w:iCs w:val="0"/>
          <w:color w:val="auto"/>
        </w:rPr>
        <w:t xml:space="preserve"> es el </w:t>
      </w:r>
      <w:r w:rsidRPr="00020540">
        <w:rPr>
          <w:i w:val="0"/>
          <w:iCs w:val="0"/>
          <w:color w:val="auto"/>
        </w:rPr>
        <w:t xml:space="preserve">periodo de tiempo que se espera </w:t>
      </w:r>
      <w:r>
        <w:rPr>
          <w:i w:val="0"/>
          <w:iCs w:val="0"/>
          <w:color w:val="auto"/>
        </w:rPr>
        <w:t>tener en servicio el activo en condiciones garantizadas por el fabricante o proveedor.</w:t>
      </w:r>
      <w:r w:rsidRPr="00204CC9">
        <w:rPr>
          <w:i w:val="0"/>
          <w:iCs w:val="0"/>
          <w:color w:val="auto"/>
        </w:rPr>
        <w:t xml:space="preserve"> </w:t>
      </w:r>
      <w:r>
        <w:rPr>
          <w:i w:val="0"/>
          <w:iCs w:val="0"/>
          <w:color w:val="auto"/>
        </w:rPr>
        <w:t xml:space="preserve">Para estos efectos, se </w:t>
      </w:r>
      <w:r>
        <w:rPr>
          <w:i w:val="0"/>
          <w:iCs w:val="0"/>
          <w:color w:val="auto"/>
        </w:rPr>
        <w:lastRenderedPageBreak/>
        <w:t>deberá tener en cuenta lo establecido en el RETILAP y será elemento fundamental para la remuneración de dicho activo.</w:t>
      </w:r>
    </w:p>
    <w:p w14:paraId="574FC001" w14:textId="77777777" w:rsidR="00F5024B" w:rsidRPr="00352E04" w:rsidRDefault="00F5024B" w:rsidP="00F5024B">
      <w:pPr>
        <w:pStyle w:val="Artculo1"/>
        <w:keepNext w:val="0"/>
        <w:spacing w:before="0"/>
        <w:ind w:left="0" w:firstLine="0"/>
        <w:rPr>
          <w:b w:val="0"/>
          <w:bCs w:val="0"/>
          <w:i w:val="0"/>
          <w:iCs w:val="0"/>
          <w:color w:val="000000" w:themeColor="text1"/>
        </w:rPr>
      </w:pPr>
      <w:r w:rsidRPr="00352E04">
        <w:rPr>
          <w:i w:val="0"/>
          <w:iCs w:val="0"/>
          <w:color w:val="000000" w:themeColor="text1"/>
        </w:rPr>
        <w:t>Responsabilidad de la Prestación del Servicio de Alumbrado Público</w:t>
      </w:r>
      <w:r w:rsidRPr="00352E04">
        <w:rPr>
          <w:b w:val="0"/>
          <w:bCs w:val="0"/>
          <w:i w:val="0"/>
          <w:iCs w:val="0"/>
          <w:color w:val="000000" w:themeColor="text1"/>
        </w:rPr>
        <w:t xml:space="preserve">. Conforme lo dispuesto en el Decreto 943 de 2018 contenido en el Decreto 1073 de 2015 o aquellas normas que lo modifiquen, adicionen o sustituyan, los municipios o distritos son los responsables de la prestación del servicio de alumbrado público, el cual podrán prestar de manera directa o a través de empresas de servicios públicos domiciliarios u otros prestadores del servicio de alumbrado público que demuestren idoneidad en la prestación </w:t>
      </w:r>
      <w:proofErr w:type="gramStart"/>
      <w:r w:rsidRPr="00352E04">
        <w:rPr>
          <w:b w:val="0"/>
          <w:bCs w:val="0"/>
          <w:i w:val="0"/>
          <w:iCs w:val="0"/>
          <w:color w:val="000000" w:themeColor="text1"/>
        </w:rPr>
        <w:t>del mismo</w:t>
      </w:r>
      <w:proofErr w:type="gramEnd"/>
      <w:r w:rsidRPr="00352E04">
        <w:rPr>
          <w:b w:val="0"/>
          <w:bCs w:val="0"/>
          <w:i w:val="0"/>
          <w:iCs w:val="0"/>
          <w:color w:val="000000" w:themeColor="text1"/>
        </w:rPr>
        <w:t xml:space="preserve">. </w:t>
      </w:r>
    </w:p>
    <w:p w14:paraId="2985D5A2" w14:textId="77777777" w:rsidR="00F5024B" w:rsidRPr="005749CF" w:rsidRDefault="00F5024B" w:rsidP="00F5024B">
      <w:pPr>
        <w:pStyle w:val="Artculo1"/>
        <w:keepNext w:val="0"/>
        <w:spacing w:before="0"/>
        <w:ind w:left="0" w:firstLine="0"/>
        <w:rPr>
          <w:b w:val="0"/>
          <w:bCs w:val="0"/>
          <w:i w:val="0"/>
          <w:iCs w:val="0"/>
          <w:color w:val="auto"/>
        </w:rPr>
      </w:pPr>
      <w:r w:rsidRPr="00572B19">
        <w:rPr>
          <w:i w:val="0"/>
          <w:iCs w:val="0"/>
          <w:color w:val="auto"/>
        </w:rPr>
        <w:t xml:space="preserve">Criterios generales. </w:t>
      </w:r>
      <w:r w:rsidRPr="005749CF">
        <w:rPr>
          <w:b w:val="0"/>
          <w:bCs w:val="0"/>
          <w:i w:val="0"/>
          <w:iCs w:val="0"/>
          <w:color w:val="auto"/>
        </w:rPr>
        <w:t xml:space="preserve">La metodología para la determinación de los costos que deberán aplicar los municipios o distritos para remunerar a los prestadores del Servicio de Alumbrado </w:t>
      </w:r>
      <w:proofErr w:type="gramStart"/>
      <w:r w:rsidRPr="005749CF">
        <w:rPr>
          <w:b w:val="0"/>
          <w:bCs w:val="0"/>
          <w:i w:val="0"/>
          <w:iCs w:val="0"/>
          <w:color w:val="auto"/>
        </w:rPr>
        <w:t>Público</w:t>
      </w:r>
      <w:r>
        <w:rPr>
          <w:b w:val="0"/>
          <w:bCs w:val="0"/>
          <w:i w:val="0"/>
          <w:iCs w:val="0"/>
          <w:color w:val="auto"/>
        </w:rPr>
        <w:t>,</w:t>
      </w:r>
      <w:proofErr w:type="gramEnd"/>
      <w:r w:rsidRPr="005749CF">
        <w:rPr>
          <w:b w:val="0"/>
          <w:bCs w:val="0"/>
          <w:i w:val="0"/>
          <w:iCs w:val="0"/>
          <w:color w:val="auto"/>
        </w:rPr>
        <w:t xml:space="preserve"> tendrá en cuenta los criterios establecidos en el artículo 44 de la Ley 143 de 1994 en cumplimiento de lo dispuesto en el artículo 2.2.3.6.1.9 del decreto 1073 de 2015 y</w:t>
      </w:r>
      <w:r>
        <w:rPr>
          <w:b w:val="0"/>
          <w:bCs w:val="0"/>
          <w:i w:val="0"/>
          <w:iCs w:val="0"/>
          <w:color w:val="auto"/>
        </w:rPr>
        <w:t>,</w:t>
      </w:r>
      <w:r w:rsidRPr="005749CF">
        <w:rPr>
          <w:b w:val="0"/>
          <w:bCs w:val="0"/>
          <w:i w:val="0"/>
          <w:iCs w:val="0"/>
          <w:color w:val="auto"/>
        </w:rPr>
        <w:t xml:space="preserve"> adicionalmente los siguientes:</w:t>
      </w:r>
    </w:p>
    <w:p w14:paraId="0E617794" w14:textId="77777777" w:rsidR="00F5024B" w:rsidRDefault="00F5024B" w:rsidP="00F5024B">
      <w:pPr>
        <w:pStyle w:val="Prrafodelista"/>
        <w:numPr>
          <w:ilvl w:val="0"/>
          <w:numId w:val="82"/>
        </w:numPr>
        <w:spacing w:before="120" w:after="0"/>
        <w:rPr>
          <w:i w:val="0"/>
          <w:color w:val="auto"/>
          <w:sz w:val="24"/>
          <w:szCs w:val="24"/>
        </w:rPr>
      </w:pPr>
      <w:r>
        <w:rPr>
          <w:i w:val="0"/>
          <w:color w:val="auto"/>
          <w:sz w:val="24"/>
          <w:szCs w:val="24"/>
        </w:rPr>
        <w:t xml:space="preserve">En la determinación de los costos por la prestación del servicio de alumbrado público se deben considerar, entre otros, los siguientes aspectos: i) costos totales de inversión, modernización, expansión y reposición del sistema de alumbrado público. </w:t>
      </w:r>
      <w:proofErr w:type="spellStart"/>
      <w:r>
        <w:rPr>
          <w:i w:val="0"/>
          <w:color w:val="auto"/>
          <w:sz w:val="24"/>
          <w:szCs w:val="24"/>
        </w:rPr>
        <w:t>ii</w:t>
      </w:r>
      <w:proofErr w:type="spellEnd"/>
      <w:r>
        <w:rPr>
          <w:i w:val="0"/>
          <w:color w:val="auto"/>
          <w:sz w:val="24"/>
          <w:szCs w:val="24"/>
        </w:rPr>
        <w:t xml:space="preserve">) costos de administración, operación, mantenimiento y desarrollo tecnológico del sistema de alumbrado público. </w:t>
      </w:r>
      <w:proofErr w:type="spellStart"/>
      <w:r>
        <w:rPr>
          <w:i w:val="0"/>
          <w:color w:val="auto"/>
          <w:sz w:val="24"/>
          <w:szCs w:val="24"/>
        </w:rPr>
        <w:t>iii</w:t>
      </w:r>
      <w:proofErr w:type="spellEnd"/>
      <w:r>
        <w:rPr>
          <w:i w:val="0"/>
          <w:color w:val="auto"/>
          <w:sz w:val="24"/>
          <w:szCs w:val="24"/>
        </w:rPr>
        <w:t xml:space="preserve">) costos de interventoría, </w:t>
      </w:r>
      <w:proofErr w:type="spellStart"/>
      <w:r>
        <w:rPr>
          <w:i w:val="0"/>
          <w:color w:val="auto"/>
          <w:sz w:val="24"/>
          <w:szCs w:val="24"/>
        </w:rPr>
        <w:t>iv</w:t>
      </w:r>
      <w:proofErr w:type="spellEnd"/>
      <w:r>
        <w:rPr>
          <w:i w:val="0"/>
          <w:color w:val="auto"/>
          <w:sz w:val="24"/>
          <w:szCs w:val="24"/>
        </w:rPr>
        <w:t>) costos de suministro de energía, v) costos de gestión ambiental de los residuos de alumbrado público.</w:t>
      </w:r>
    </w:p>
    <w:p w14:paraId="4C35266E" w14:textId="77777777" w:rsidR="00F5024B" w:rsidRPr="0041095C" w:rsidRDefault="00F5024B" w:rsidP="00F5024B">
      <w:pPr>
        <w:pStyle w:val="Prrafodelista"/>
        <w:numPr>
          <w:ilvl w:val="0"/>
          <w:numId w:val="82"/>
        </w:numPr>
        <w:spacing w:before="120" w:after="0"/>
        <w:rPr>
          <w:i w:val="0"/>
          <w:color w:val="auto"/>
        </w:rPr>
      </w:pPr>
      <w:r w:rsidRPr="00B10F0E">
        <w:rPr>
          <w:i w:val="0"/>
          <w:color w:val="auto"/>
          <w:sz w:val="24"/>
          <w:szCs w:val="24"/>
        </w:rPr>
        <w:t>Para el suministro de energía con destino al alumbrado público se aplicará el régimen de libertad de precios de acuerdo con las reglas previstas en las Leyes 142 y 143 de 1994, según lo previsto en el artículo 2.2.3.6.1.5 del Decreto 1073 de 2015, el artículo 29 de la Ley 1150 de 2007 y las resoluciones CREG 156 y 157 de 2011 y demás normas que las modifiquen, adicionen o sustituyan.</w:t>
      </w:r>
    </w:p>
    <w:p w14:paraId="2E10369C" w14:textId="77777777" w:rsidR="00F5024B" w:rsidRPr="00352E04" w:rsidRDefault="00F5024B" w:rsidP="00F5024B">
      <w:pPr>
        <w:pStyle w:val="Prrafodelista"/>
        <w:numPr>
          <w:ilvl w:val="0"/>
          <w:numId w:val="82"/>
        </w:numPr>
        <w:rPr>
          <w:i w:val="0"/>
          <w:color w:val="auto"/>
          <w:sz w:val="24"/>
          <w:szCs w:val="24"/>
        </w:rPr>
      </w:pPr>
      <w:r w:rsidRPr="00352E04">
        <w:rPr>
          <w:i w:val="0"/>
          <w:color w:val="auto"/>
          <w:sz w:val="24"/>
          <w:szCs w:val="24"/>
        </w:rPr>
        <w:t>Tanto las características técnicas de los equipos</w:t>
      </w:r>
      <w:r>
        <w:rPr>
          <w:i w:val="0"/>
          <w:color w:val="auto"/>
          <w:sz w:val="24"/>
          <w:szCs w:val="24"/>
        </w:rPr>
        <w:t>,</w:t>
      </w:r>
      <w:r w:rsidRPr="00352E04">
        <w:rPr>
          <w:i w:val="0"/>
          <w:color w:val="auto"/>
          <w:sz w:val="24"/>
          <w:szCs w:val="24"/>
        </w:rPr>
        <w:t xml:space="preserve"> como la modernización del Sistema de Alumbrado Público</w:t>
      </w:r>
      <w:r>
        <w:rPr>
          <w:i w:val="0"/>
          <w:color w:val="auto"/>
          <w:sz w:val="24"/>
          <w:szCs w:val="24"/>
        </w:rPr>
        <w:t>,</w:t>
      </w:r>
      <w:r w:rsidRPr="00352E04">
        <w:rPr>
          <w:i w:val="0"/>
          <w:color w:val="auto"/>
          <w:sz w:val="24"/>
          <w:szCs w:val="24"/>
        </w:rPr>
        <w:t xml:space="preserve"> deben tener en cuenta los conceptos de uso racional y eficiente de energía establecidos en el numeral 210.3.3 del RETILAP</w:t>
      </w:r>
      <w:r>
        <w:rPr>
          <w:i w:val="0"/>
          <w:color w:val="auto"/>
          <w:sz w:val="24"/>
          <w:szCs w:val="24"/>
        </w:rPr>
        <w:t>,</w:t>
      </w:r>
      <w:r w:rsidRPr="00352E04">
        <w:rPr>
          <w:i w:val="0"/>
          <w:color w:val="auto"/>
          <w:sz w:val="24"/>
          <w:szCs w:val="24"/>
        </w:rPr>
        <w:t xml:space="preserve"> y aquellos contenidos en la Ley 697 de 2001 o aquellas que las modifiquen, adicionen o sustituyan.</w:t>
      </w:r>
    </w:p>
    <w:p w14:paraId="3F0BC0AF" w14:textId="77777777" w:rsidR="00F5024B" w:rsidRPr="0004015B" w:rsidRDefault="00F5024B" w:rsidP="00F5024B">
      <w:pPr>
        <w:pStyle w:val="Prrafodelista"/>
        <w:numPr>
          <w:ilvl w:val="0"/>
          <w:numId w:val="82"/>
        </w:numPr>
        <w:spacing w:before="120" w:after="0"/>
        <w:ind w:left="714" w:hanging="288"/>
        <w:rPr>
          <w:bCs/>
          <w:i w:val="0"/>
          <w:color w:val="auto"/>
          <w:sz w:val="24"/>
          <w:szCs w:val="24"/>
        </w:rPr>
      </w:pPr>
      <w:r w:rsidRPr="0004015B">
        <w:rPr>
          <w:bCs/>
          <w:i w:val="0"/>
          <w:color w:val="auto"/>
          <w:sz w:val="24"/>
          <w:szCs w:val="24"/>
        </w:rPr>
        <w:t xml:space="preserve">Para la determinación del consumo de energía eléctrica, los activos de alumbrado público de los municipios o distritos deberán contar con sistemas de medición </w:t>
      </w:r>
      <w:r w:rsidRPr="0004015B">
        <w:rPr>
          <w:i w:val="0"/>
          <w:color w:val="auto"/>
          <w:sz w:val="24"/>
          <w:szCs w:val="24"/>
        </w:rPr>
        <w:t>o de aforo,</w:t>
      </w:r>
      <w:r w:rsidRPr="0004015B">
        <w:rPr>
          <w:bCs/>
          <w:i w:val="0"/>
          <w:color w:val="auto"/>
          <w:sz w:val="24"/>
          <w:szCs w:val="24"/>
        </w:rPr>
        <w:t xml:space="preserve"> de acuerdo con las condiciones exigidas en la presente Resolución.</w:t>
      </w:r>
    </w:p>
    <w:p w14:paraId="40EBD463" w14:textId="77777777" w:rsidR="00F5024B" w:rsidRPr="00A06F0B" w:rsidRDefault="00F5024B" w:rsidP="00F5024B">
      <w:pPr>
        <w:pStyle w:val="Prrafodelista"/>
        <w:numPr>
          <w:ilvl w:val="0"/>
          <w:numId w:val="82"/>
        </w:numPr>
        <w:spacing w:before="120" w:after="0"/>
        <w:ind w:left="717" w:hanging="288"/>
        <w:rPr>
          <w:bCs/>
          <w:i w:val="0"/>
          <w:color w:val="000000" w:themeColor="text1"/>
          <w:sz w:val="24"/>
          <w:szCs w:val="24"/>
        </w:rPr>
      </w:pPr>
      <w:r w:rsidRPr="00A06F0B">
        <w:rPr>
          <w:bCs/>
          <w:i w:val="0"/>
          <w:color w:val="000000" w:themeColor="text1"/>
          <w:sz w:val="24"/>
          <w:szCs w:val="24"/>
        </w:rPr>
        <w:t>Los costos de administración, operación y mantenimiento del Sistema de Alumbrado Público incluyen la reposición de activos, cuando esta actividad no aumente significativamente el valor del activo y/o la vida útil del mismo.</w:t>
      </w:r>
    </w:p>
    <w:p w14:paraId="323FB980" w14:textId="77777777" w:rsidR="00F5024B" w:rsidRPr="00352E04" w:rsidRDefault="00F5024B" w:rsidP="00F5024B">
      <w:pPr>
        <w:pStyle w:val="Prrafodelista"/>
        <w:numPr>
          <w:ilvl w:val="0"/>
          <w:numId w:val="82"/>
        </w:numPr>
        <w:spacing w:before="120" w:after="0"/>
        <w:ind w:left="714" w:hanging="288"/>
        <w:rPr>
          <w:bCs/>
          <w:i w:val="0"/>
          <w:color w:val="000000" w:themeColor="text1"/>
          <w:sz w:val="24"/>
          <w:szCs w:val="24"/>
        </w:rPr>
      </w:pPr>
      <w:r w:rsidRPr="00352E04">
        <w:rPr>
          <w:bCs/>
          <w:i w:val="0"/>
          <w:color w:val="000000" w:themeColor="text1"/>
          <w:sz w:val="24"/>
          <w:szCs w:val="24"/>
        </w:rPr>
        <w:t>En el evento en que la actividad mencionada produzca un aumento significativo del valor y/o la vida útil del activo, se considera inversión. En todo caso, el municipio o distrito tendrá que definir previamente en que eventos se dará un aumento significativo del valor y/o la vida útil de un activo de alumbrado público</w:t>
      </w:r>
      <w:r w:rsidRPr="00352E04">
        <w:rPr>
          <w:bCs/>
          <w:i w:val="0"/>
          <w:color w:val="000000" w:themeColor="text1"/>
        </w:rPr>
        <w:t xml:space="preserve">, </w:t>
      </w:r>
      <w:r w:rsidRPr="00352E04">
        <w:rPr>
          <w:bCs/>
          <w:i w:val="0"/>
          <w:color w:val="000000" w:themeColor="text1"/>
          <w:sz w:val="24"/>
          <w:szCs w:val="24"/>
        </w:rPr>
        <w:t>de conformidad con los principios de contabilidad generalmente aceptados en Colombia.</w:t>
      </w:r>
    </w:p>
    <w:p w14:paraId="51BC2DAE" w14:textId="77777777" w:rsidR="00F5024B" w:rsidRPr="002C77F7" w:rsidRDefault="00F5024B" w:rsidP="00F5024B">
      <w:pPr>
        <w:pStyle w:val="NormalWeb"/>
        <w:numPr>
          <w:ilvl w:val="0"/>
          <w:numId w:val="82"/>
        </w:numPr>
        <w:spacing w:before="120" w:beforeAutospacing="0" w:after="0" w:afterAutospacing="0"/>
        <w:ind w:left="714" w:hanging="288"/>
        <w:rPr>
          <w:rFonts w:ascii="Bookman Old Style" w:hAnsi="Bookman Old Style"/>
          <w:i w:val="0"/>
          <w:iCs w:val="0"/>
          <w:color w:val="auto"/>
          <w:lang w:val="es-CO"/>
        </w:rPr>
      </w:pPr>
      <w:r w:rsidRPr="00D44D43">
        <w:rPr>
          <w:rFonts w:ascii="Bookman Old Style" w:hAnsi="Bookman Old Style"/>
          <w:bCs/>
          <w:i w:val="0"/>
          <w:color w:val="auto"/>
          <w:lang w:val="es-CO"/>
        </w:rPr>
        <w:lastRenderedPageBreak/>
        <w:t xml:space="preserve">Los sistemas de alumbrado público deberán observar los lineamientos de política para adoptar e implementar modelos de gestión de riesgos de seguridad digital a nivel nacional, establecidos por el </w:t>
      </w:r>
      <w:proofErr w:type="spellStart"/>
      <w:r w:rsidRPr="00D44D43">
        <w:rPr>
          <w:rFonts w:ascii="Bookman Old Style" w:hAnsi="Bookman Old Style"/>
          <w:bCs/>
          <w:i w:val="0"/>
          <w:color w:val="auto"/>
          <w:lang w:val="es-CO"/>
        </w:rPr>
        <w:t>colCERT</w:t>
      </w:r>
      <w:proofErr w:type="spellEnd"/>
      <w:r w:rsidRPr="00D44D43">
        <w:rPr>
          <w:rFonts w:ascii="Bookman Old Style" w:hAnsi="Bookman Old Style"/>
          <w:bCs/>
          <w:i w:val="0"/>
          <w:color w:val="auto"/>
          <w:lang w:val="es-CO"/>
        </w:rPr>
        <w:t xml:space="preserve"> (</w:t>
      </w:r>
      <w:proofErr w:type="spellStart"/>
      <w:r w:rsidRPr="00D44D43">
        <w:rPr>
          <w:rFonts w:ascii="Bookman Old Style" w:hAnsi="Bookman Old Style"/>
          <w:bCs/>
          <w:i w:val="0"/>
          <w:color w:val="auto"/>
          <w:lang w:val="es-CO"/>
        </w:rPr>
        <w:t>Computer</w:t>
      </w:r>
      <w:proofErr w:type="spellEnd"/>
      <w:r w:rsidRPr="00D44D43">
        <w:rPr>
          <w:rFonts w:ascii="Bookman Old Style" w:hAnsi="Bookman Old Style"/>
          <w:bCs/>
          <w:i w:val="0"/>
          <w:color w:val="auto"/>
          <w:lang w:val="es-CO"/>
        </w:rPr>
        <w:t xml:space="preserve"> </w:t>
      </w:r>
      <w:proofErr w:type="spellStart"/>
      <w:r w:rsidRPr="00D44D43">
        <w:rPr>
          <w:rFonts w:ascii="Bookman Old Style" w:hAnsi="Bookman Old Style"/>
          <w:bCs/>
          <w:i w:val="0"/>
          <w:color w:val="auto"/>
          <w:lang w:val="es-CO"/>
        </w:rPr>
        <w:t>Emergency</w:t>
      </w:r>
      <w:proofErr w:type="spellEnd"/>
      <w:r w:rsidRPr="00D44D43">
        <w:rPr>
          <w:rFonts w:ascii="Bookman Old Style" w:hAnsi="Bookman Old Style"/>
          <w:bCs/>
          <w:i w:val="0"/>
          <w:color w:val="auto"/>
          <w:lang w:val="es-CO"/>
        </w:rPr>
        <w:t xml:space="preserve"> Response </w:t>
      </w:r>
      <w:proofErr w:type="spellStart"/>
      <w:r w:rsidRPr="00D44D43">
        <w:rPr>
          <w:rFonts w:ascii="Bookman Old Style" w:hAnsi="Bookman Old Style"/>
          <w:bCs/>
          <w:i w:val="0"/>
          <w:color w:val="auto"/>
          <w:lang w:val="es-CO"/>
        </w:rPr>
        <w:t>Team</w:t>
      </w:r>
      <w:proofErr w:type="spellEnd"/>
      <w:r w:rsidRPr="00D44D43">
        <w:rPr>
          <w:rFonts w:ascii="Bookman Old Style" w:hAnsi="Bookman Old Style"/>
          <w:bCs/>
          <w:i w:val="0"/>
          <w:color w:val="auto"/>
          <w:lang w:val="es-CO"/>
        </w:rPr>
        <w:t>) o Grupo de Respuesta a Emergencias Cibernéticas de Colombia, de acuerdo con los criterios que se fijen al respecto por parte del Ministerio de Minas y Energía y la CREG en temas de ciberseguridad, ciberdefensa, interoperabilidad y gobernanza de datos.</w:t>
      </w:r>
    </w:p>
    <w:p w14:paraId="3B313F4F" w14:textId="77777777" w:rsidR="00F5024B" w:rsidRDefault="00F5024B" w:rsidP="00F5024B">
      <w:pPr>
        <w:pStyle w:val="NormalWeb"/>
        <w:spacing w:before="120" w:beforeAutospacing="0" w:after="240" w:afterAutospacing="0"/>
        <w:ind w:firstLine="0"/>
        <w:rPr>
          <w:rFonts w:ascii="Bookman Old Style" w:hAnsi="Bookman Old Style"/>
          <w:bCs/>
          <w:i w:val="0"/>
          <w:color w:val="auto"/>
          <w:lang w:val="es-CO"/>
        </w:rPr>
      </w:pPr>
      <w:r w:rsidRPr="00EE68FD">
        <w:rPr>
          <w:rFonts w:ascii="Bookman Old Style" w:hAnsi="Bookman Old Style"/>
          <w:bCs/>
          <w:i w:val="0"/>
          <w:color w:val="auto"/>
          <w:lang w:val="es-CO"/>
        </w:rPr>
        <w:t>Teniendo en cuenta que el artículo 349 de la Ley 1819 de 2016 establece que el hecho generador del impuesto de alumbrado público es el beneficio por la prestación del servicio de alumbrado público</w:t>
      </w:r>
      <w:r>
        <w:rPr>
          <w:rFonts w:ascii="Bookman Old Style" w:hAnsi="Bookman Old Style"/>
          <w:bCs/>
          <w:i w:val="0"/>
          <w:color w:val="auto"/>
          <w:lang w:val="es-CO"/>
        </w:rPr>
        <w:t>, n</w:t>
      </w:r>
      <w:r w:rsidRPr="0045050D">
        <w:rPr>
          <w:rFonts w:ascii="Bookman Old Style" w:hAnsi="Bookman Old Style"/>
          <w:bCs/>
          <w:i w:val="0"/>
          <w:color w:val="auto"/>
          <w:lang w:val="es-CO"/>
        </w:rPr>
        <w:t xml:space="preserve">ingún costo diferente a los relacionados con </w:t>
      </w:r>
      <w:r>
        <w:rPr>
          <w:rFonts w:ascii="Bookman Old Style" w:hAnsi="Bookman Old Style"/>
          <w:bCs/>
          <w:i w:val="0"/>
          <w:color w:val="auto"/>
          <w:lang w:val="es-CO"/>
        </w:rPr>
        <w:t>dicho</w:t>
      </w:r>
      <w:r w:rsidRPr="0045050D">
        <w:rPr>
          <w:rFonts w:ascii="Bookman Old Style" w:hAnsi="Bookman Old Style"/>
          <w:bCs/>
          <w:i w:val="0"/>
          <w:color w:val="auto"/>
          <w:lang w:val="es-CO"/>
        </w:rPr>
        <w:t xml:space="preserve"> </w:t>
      </w:r>
      <w:proofErr w:type="gramStart"/>
      <w:r w:rsidRPr="0045050D">
        <w:rPr>
          <w:rFonts w:ascii="Bookman Old Style" w:hAnsi="Bookman Old Style"/>
          <w:bCs/>
          <w:i w:val="0"/>
          <w:color w:val="auto"/>
          <w:lang w:val="es-CO"/>
        </w:rPr>
        <w:t>servicio</w:t>
      </w:r>
      <w:r>
        <w:rPr>
          <w:rFonts w:ascii="Bookman Old Style" w:hAnsi="Bookman Old Style"/>
          <w:bCs/>
          <w:i w:val="0"/>
          <w:color w:val="auto"/>
          <w:lang w:val="es-CO"/>
        </w:rPr>
        <w:t>,</w:t>
      </w:r>
      <w:proofErr w:type="gramEnd"/>
      <w:r w:rsidRPr="0045050D">
        <w:rPr>
          <w:rFonts w:ascii="Bookman Old Style" w:hAnsi="Bookman Old Style"/>
          <w:bCs/>
          <w:i w:val="0"/>
          <w:color w:val="auto"/>
          <w:lang w:val="es-CO"/>
        </w:rPr>
        <w:t xml:space="preserve"> así comparta o emplee la misma infraestructura, podrá ser incluido en los costos de la prestación de </w:t>
      </w:r>
      <w:r>
        <w:rPr>
          <w:rFonts w:ascii="Bookman Old Style" w:hAnsi="Bookman Old Style"/>
          <w:bCs/>
          <w:i w:val="0"/>
          <w:color w:val="auto"/>
          <w:lang w:val="es-CO"/>
        </w:rPr>
        <w:t>este</w:t>
      </w:r>
      <w:r w:rsidRPr="0045050D">
        <w:rPr>
          <w:rFonts w:ascii="Bookman Old Style" w:hAnsi="Bookman Old Style"/>
          <w:bCs/>
          <w:i w:val="0"/>
          <w:color w:val="auto"/>
          <w:lang w:val="es-CO"/>
        </w:rPr>
        <w:t xml:space="preserve"> servicio</w:t>
      </w:r>
      <w:r>
        <w:rPr>
          <w:rFonts w:ascii="Bookman Old Style" w:hAnsi="Bookman Old Style"/>
          <w:bCs/>
          <w:i w:val="0"/>
          <w:color w:val="auto"/>
          <w:lang w:val="es-CO"/>
        </w:rPr>
        <w:t>.</w:t>
      </w:r>
    </w:p>
    <w:p w14:paraId="6B567E08" w14:textId="77777777" w:rsidR="00F5024B" w:rsidRPr="004A52FD" w:rsidRDefault="00F5024B" w:rsidP="00F5024B">
      <w:pPr>
        <w:pStyle w:val="Artculo1"/>
        <w:keepNext w:val="0"/>
        <w:spacing w:before="0" w:after="0"/>
        <w:ind w:left="0" w:firstLine="0"/>
        <w:rPr>
          <w:i w:val="0"/>
          <w:iCs w:val="0"/>
          <w:color w:val="auto"/>
        </w:rPr>
      </w:pPr>
      <w:r w:rsidRPr="00EE68FD">
        <w:rPr>
          <w:i w:val="0"/>
          <w:color w:val="auto"/>
        </w:rPr>
        <w:t xml:space="preserve"> </w:t>
      </w:r>
      <w:r w:rsidRPr="004A52FD">
        <w:rPr>
          <w:i w:val="0"/>
          <w:iCs w:val="0"/>
          <w:color w:val="auto"/>
        </w:rPr>
        <w:t>Estudio Técnico de Referencia, ETR</w:t>
      </w:r>
      <w:r w:rsidRPr="004A52FD">
        <w:rPr>
          <w:i w:val="0"/>
          <w:color w:val="auto"/>
          <w:szCs w:val="24"/>
        </w:rPr>
        <w:t>.</w:t>
      </w:r>
      <w:r w:rsidRPr="004A52FD">
        <w:rPr>
          <w:i w:val="0"/>
          <w:iCs w:val="0"/>
          <w:color w:val="auto"/>
        </w:rPr>
        <w:t xml:space="preserve"> </w:t>
      </w:r>
      <w:r w:rsidRPr="004A52FD">
        <w:rPr>
          <w:b w:val="0"/>
          <w:bCs w:val="0"/>
          <w:i w:val="0"/>
          <w:iCs w:val="0"/>
          <w:color w:val="auto"/>
        </w:rPr>
        <w:t>De conformidad con lo dispuesto y detallado en el artículo 2.2.3.6.1.3. del decreto 1073 de 2015, los muni</w:t>
      </w:r>
      <w:r w:rsidRPr="004A52FD">
        <w:rPr>
          <w:b w:val="0"/>
          <w:i w:val="0"/>
          <w:color w:val="auto"/>
        </w:rPr>
        <w:t>cipios o distritos deben realizar un Estudio Técnico de Referencia</w:t>
      </w:r>
      <w:r w:rsidRPr="004A52FD">
        <w:rPr>
          <w:b w:val="0"/>
          <w:bCs w:val="0"/>
          <w:i w:val="0"/>
          <w:iCs w:val="0"/>
          <w:color w:val="auto"/>
        </w:rPr>
        <w:t xml:space="preserve"> y publicarlo en su página web</w:t>
      </w:r>
      <w:r>
        <w:rPr>
          <w:b w:val="0"/>
          <w:bCs w:val="0"/>
          <w:i w:val="0"/>
          <w:iCs w:val="0"/>
          <w:color w:val="auto"/>
        </w:rPr>
        <w:t>,</w:t>
      </w:r>
      <w:r w:rsidRPr="004A52FD">
        <w:rPr>
          <w:b w:val="0"/>
          <w:bCs w:val="0"/>
          <w:i w:val="0"/>
          <w:iCs w:val="0"/>
          <w:color w:val="auto"/>
        </w:rPr>
        <w:t xml:space="preserve"> el cual incluirá </w:t>
      </w:r>
      <w:r w:rsidRPr="004A52FD">
        <w:rPr>
          <w:b w:val="0"/>
          <w:i w:val="0"/>
          <w:color w:val="auto"/>
        </w:rPr>
        <w:t>como mínimo:</w:t>
      </w:r>
    </w:p>
    <w:p w14:paraId="702DEBEB" w14:textId="77777777" w:rsidR="00F5024B" w:rsidRPr="004A52FD" w:rsidRDefault="00F5024B" w:rsidP="00F5024B">
      <w:pPr>
        <w:pStyle w:val="Prrafodelista"/>
        <w:numPr>
          <w:ilvl w:val="0"/>
          <w:numId w:val="24"/>
        </w:numPr>
        <w:ind w:left="426" w:hanging="426"/>
        <w:rPr>
          <w:i w:val="0"/>
          <w:iCs w:val="0"/>
          <w:color w:val="auto"/>
          <w:sz w:val="24"/>
          <w:szCs w:val="24"/>
        </w:rPr>
      </w:pPr>
      <w:r w:rsidRPr="004A52FD">
        <w:rPr>
          <w:i w:val="0"/>
          <w:iCs w:val="0"/>
          <w:color w:val="auto"/>
          <w:sz w:val="24"/>
          <w:szCs w:val="24"/>
        </w:rPr>
        <w:t>Estado actual de la prestación del servicio en materia de infraestructura, cobertura, calidad y eficiencia energética. El diagnóstico debe contener, una descripción del estado de la prestación del servicio de alumbrado</w:t>
      </w:r>
      <w:r>
        <w:rPr>
          <w:i w:val="0"/>
          <w:iCs w:val="0"/>
          <w:color w:val="auto"/>
          <w:sz w:val="24"/>
          <w:szCs w:val="24"/>
        </w:rPr>
        <w:t>,</w:t>
      </w:r>
      <w:r w:rsidRPr="004A52FD">
        <w:rPr>
          <w:i w:val="0"/>
          <w:iCs w:val="0"/>
          <w:color w:val="auto"/>
          <w:sz w:val="24"/>
          <w:szCs w:val="24"/>
        </w:rPr>
        <w:t xml:space="preserve"> y debe incluir como mínimo los siguientes aspectos:</w:t>
      </w:r>
    </w:p>
    <w:p w14:paraId="2CC08FAE" w14:textId="77777777" w:rsidR="00F5024B" w:rsidRDefault="00F5024B" w:rsidP="00F5024B">
      <w:pPr>
        <w:pStyle w:val="Prrafodelista"/>
        <w:numPr>
          <w:ilvl w:val="2"/>
          <w:numId w:val="24"/>
        </w:numPr>
        <w:ind w:left="851" w:hanging="437"/>
        <w:rPr>
          <w:i w:val="0"/>
          <w:iCs w:val="0"/>
          <w:color w:val="auto"/>
          <w:sz w:val="24"/>
          <w:szCs w:val="24"/>
        </w:rPr>
      </w:pPr>
      <w:r w:rsidRPr="004A52FD">
        <w:rPr>
          <w:i w:val="0"/>
          <w:iCs w:val="0"/>
          <w:color w:val="auto"/>
          <w:sz w:val="24"/>
          <w:szCs w:val="24"/>
        </w:rPr>
        <w:t xml:space="preserve">Inventario de la infraestructura: El inventario de luminarias y demás componentes de la infraestructura del SALP deben estar debidamente registrados y actualizados en el Sistema de Información de Alumbrado Público, SIAP, de acuerdo con los criterios establecidos en la sección 580.1 del </w:t>
      </w:r>
      <w:r>
        <w:rPr>
          <w:i w:val="0"/>
          <w:iCs w:val="0"/>
          <w:color w:val="auto"/>
          <w:sz w:val="24"/>
          <w:szCs w:val="24"/>
        </w:rPr>
        <w:t>RETILAP</w:t>
      </w:r>
      <w:r>
        <w:rPr>
          <w:rFonts w:asciiTheme="minorHAnsi" w:eastAsia="Times New Roman" w:hAnsiTheme="minorHAnsi"/>
          <w:b/>
          <w:i w:val="0"/>
          <w:iCs w:val="0"/>
          <w:color w:val="0070C0"/>
          <w:sz w:val="24"/>
          <w:szCs w:val="24"/>
          <w:lang w:eastAsia="es-ES"/>
        </w:rPr>
        <w:t xml:space="preserve"> </w:t>
      </w:r>
      <w:r w:rsidRPr="00094C8C">
        <w:rPr>
          <w:i w:val="0"/>
          <w:iCs w:val="0"/>
          <w:color w:val="auto"/>
          <w:sz w:val="24"/>
          <w:szCs w:val="24"/>
          <w:lang w:val="es-ES_tradnl"/>
        </w:rPr>
        <w:t>o aquellos que la modifiquen, adicionen, sustituyan o complementen.</w:t>
      </w:r>
      <w:r w:rsidRPr="004A52FD">
        <w:rPr>
          <w:i w:val="0"/>
          <w:iCs w:val="0"/>
          <w:color w:val="auto"/>
          <w:sz w:val="24"/>
          <w:szCs w:val="24"/>
        </w:rPr>
        <w:t xml:space="preserve"> El inventario debe incluir la fecha de entrada en operación y el nivel de riesgo de cada activo de no prestar el servicio para el cual se encuentra en funcionamiento de acuerdo con su obsolescencia tecnológica.</w:t>
      </w:r>
    </w:p>
    <w:p w14:paraId="7254E30B" w14:textId="77777777" w:rsidR="00F5024B" w:rsidRPr="004A52FD" w:rsidRDefault="00F5024B" w:rsidP="00F5024B">
      <w:pPr>
        <w:pStyle w:val="Prrafodelista"/>
        <w:numPr>
          <w:ilvl w:val="2"/>
          <w:numId w:val="24"/>
        </w:numPr>
        <w:ind w:left="851" w:hanging="437"/>
        <w:rPr>
          <w:i w:val="0"/>
          <w:iCs w:val="0"/>
          <w:color w:val="auto"/>
          <w:sz w:val="24"/>
          <w:szCs w:val="24"/>
        </w:rPr>
      </w:pPr>
      <w:r w:rsidRPr="004A52FD">
        <w:rPr>
          <w:i w:val="0"/>
          <w:iCs w:val="0"/>
          <w:color w:val="auto"/>
          <w:sz w:val="24"/>
          <w:szCs w:val="24"/>
        </w:rPr>
        <w:t>Inventario de los espacios públicos de libre circulación peatonal o vehicular considerados en la definición de espacios objeto del alumbrado público, clasificando estos espacios según su destinación, determinando el área o longitud en el caso de caminos o vías vehiculares o peatonales.</w:t>
      </w:r>
    </w:p>
    <w:p w14:paraId="3D971F39" w14:textId="77777777" w:rsidR="00F5024B" w:rsidRPr="004A52FD" w:rsidRDefault="00F5024B" w:rsidP="00F5024B">
      <w:pPr>
        <w:pStyle w:val="Prrafodelista"/>
        <w:numPr>
          <w:ilvl w:val="2"/>
          <w:numId w:val="24"/>
        </w:numPr>
        <w:ind w:left="851" w:hanging="437"/>
        <w:rPr>
          <w:i w:val="0"/>
          <w:iCs w:val="0"/>
          <w:color w:val="auto"/>
          <w:sz w:val="24"/>
          <w:szCs w:val="24"/>
        </w:rPr>
      </w:pPr>
      <w:r>
        <w:rPr>
          <w:i w:val="0"/>
          <w:iCs w:val="0"/>
          <w:color w:val="auto"/>
          <w:sz w:val="24"/>
          <w:szCs w:val="24"/>
        </w:rPr>
        <w:t>Descripción de la p</w:t>
      </w:r>
      <w:r w:rsidRPr="004A52FD">
        <w:rPr>
          <w:i w:val="0"/>
          <w:iCs w:val="0"/>
          <w:color w:val="auto"/>
          <w:sz w:val="24"/>
          <w:szCs w:val="24"/>
        </w:rPr>
        <w:t>oblación: se debe presentar según la información oficial del municipio</w:t>
      </w:r>
      <w:r>
        <w:rPr>
          <w:i w:val="0"/>
          <w:iCs w:val="0"/>
          <w:color w:val="auto"/>
          <w:sz w:val="24"/>
          <w:szCs w:val="24"/>
        </w:rPr>
        <w:t xml:space="preserve"> o distrito</w:t>
      </w:r>
      <w:r w:rsidRPr="004A52FD">
        <w:rPr>
          <w:i w:val="0"/>
          <w:iCs w:val="0"/>
          <w:color w:val="auto"/>
          <w:sz w:val="24"/>
          <w:szCs w:val="24"/>
        </w:rPr>
        <w:t>, el número de habitantes totales y por vereda, las actividades económicas desarrolladas, el área del municipio expresada en kilómetros cuadrados, km</w:t>
      </w:r>
      <w:r w:rsidRPr="004A52FD">
        <w:rPr>
          <w:i w:val="0"/>
          <w:iCs w:val="0"/>
          <w:color w:val="auto"/>
          <w:sz w:val="24"/>
          <w:szCs w:val="24"/>
          <w:vertAlign w:val="superscript"/>
        </w:rPr>
        <w:t>2</w:t>
      </w:r>
      <w:r w:rsidRPr="004A52FD">
        <w:rPr>
          <w:i w:val="0"/>
          <w:iCs w:val="0"/>
          <w:color w:val="auto"/>
          <w:sz w:val="24"/>
          <w:szCs w:val="24"/>
        </w:rPr>
        <w:t xml:space="preserve">, discriminada en área urbana y área rural. </w:t>
      </w:r>
    </w:p>
    <w:p w14:paraId="69959BDB" w14:textId="77777777" w:rsidR="00F5024B" w:rsidRPr="00767470" w:rsidRDefault="00F5024B" w:rsidP="00F5024B">
      <w:pPr>
        <w:pStyle w:val="Prrafodelista"/>
        <w:numPr>
          <w:ilvl w:val="2"/>
          <w:numId w:val="24"/>
        </w:numPr>
        <w:ind w:left="851" w:hanging="437"/>
        <w:rPr>
          <w:i w:val="0"/>
          <w:iCs w:val="0"/>
          <w:color w:val="auto"/>
          <w:sz w:val="24"/>
          <w:szCs w:val="24"/>
        </w:rPr>
      </w:pPr>
      <w:r w:rsidRPr="00767470">
        <w:rPr>
          <w:i w:val="0"/>
          <w:iCs w:val="0"/>
          <w:color w:val="auto"/>
          <w:sz w:val="24"/>
          <w:szCs w:val="24"/>
        </w:rPr>
        <w:t>Cobertura de</w:t>
      </w:r>
      <w:r w:rsidRPr="00F73738">
        <w:rPr>
          <w:i w:val="0"/>
          <w:iCs w:val="0"/>
          <w:color w:val="auto"/>
          <w:sz w:val="24"/>
          <w:szCs w:val="24"/>
        </w:rPr>
        <w:t>l servicio</w:t>
      </w:r>
      <w:r w:rsidRPr="006E3F3F">
        <w:rPr>
          <w:i w:val="0"/>
          <w:iCs w:val="0"/>
          <w:color w:val="auto"/>
          <w:sz w:val="24"/>
          <w:szCs w:val="24"/>
        </w:rPr>
        <w:t xml:space="preserve"> de energía eléctrica: se debe indicar la cobertura del servicio de energía eléctrica</w:t>
      </w:r>
      <w:r w:rsidRPr="00767470">
        <w:rPr>
          <w:i w:val="0"/>
          <w:iCs w:val="0"/>
          <w:color w:val="auto"/>
          <w:sz w:val="24"/>
          <w:szCs w:val="24"/>
        </w:rPr>
        <w:t xml:space="preserve"> e</w:t>
      </w:r>
      <w:r w:rsidRPr="00F73738">
        <w:rPr>
          <w:i w:val="0"/>
          <w:iCs w:val="0"/>
          <w:color w:val="auto"/>
          <w:sz w:val="24"/>
          <w:szCs w:val="24"/>
        </w:rPr>
        <w:t xml:space="preserve">n el municipio, tanto en el área urbana como rural, para lo cual se </w:t>
      </w:r>
      <w:r w:rsidRPr="00D55C46">
        <w:rPr>
          <w:i w:val="0"/>
          <w:iCs w:val="0"/>
          <w:color w:val="auto"/>
          <w:sz w:val="24"/>
          <w:szCs w:val="24"/>
        </w:rPr>
        <w:t>debe presentar el número de usuarios</w:t>
      </w:r>
      <w:r w:rsidRPr="00D8376D">
        <w:rPr>
          <w:i w:val="0"/>
          <w:iCs w:val="0"/>
          <w:color w:val="auto"/>
          <w:sz w:val="24"/>
          <w:szCs w:val="24"/>
        </w:rPr>
        <w:t xml:space="preserve"> que cuentan y que no cuentan</w:t>
      </w:r>
      <w:r w:rsidRPr="00767470">
        <w:rPr>
          <w:i w:val="0"/>
          <w:iCs w:val="0"/>
          <w:color w:val="auto"/>
          <w:sz w:val="24"/>
          <w:szCs w:val="24"/>
        </w:rPr>
        <w:t xml:space="preserve"> con el mismo, el tipo de usuarios según actividad económica y para los usuarios residenciales la clasificación según el nivel socio económico (estratos) con sus consumos promedio.</w:t>
      </w:r>
    </w:p>
    <w:p w14:paraId="2B890BB5" w14:textId="77777777" w:rsidR="00F5024B" w:rsidRPr="004A52FD" w:rsidRDefault="00F5024B" w:rsidP="00F5024B">
      <w:pPr>
        <w:pStyle w:val="Prrafodelista"/>
        <w:numPr>
          <w:ilvl w:val="2"/>
          <w:numId w:val="24"/>
        </w:numPr>
        <w:ind w:left="851" w:hanging="437"/>
        <w:rPr>
          <w:i w:val="0"/>
          <w:iCs w:val="0"/>
          <w:color w:val="auto"/>
          <w:sz w:val="24"/>
          <w:szCs w:val="24"/>
        </w:rPr>
      </w:pPr>
      <w:r w:rsidRPr="004A52FD">
        <w:rPr>
          <w:i w:val="0"/>
          <w:iCs w:val="0"/>
          <w:color w:val="auto"/>
          <w:sz w:val="24"/>
          <w:szCs w:val="24"/>
        </w:rPr>
        <w:t xml:space="preserve">El ETR en su diagnóstico debe incluir el índice de cobertura </w:t>
      </w:r>
      <w:r>
        <w:rPr>
          <w:i w:val="0"/>
          <w:iCs w:val="0"/>
          <w:color w:val="auto"/>
          <w:sz w:val="24"/>
          <w:szCs w:val="24"/>
        </w:rPr>
        <w:t xml:space="preserve">del servicio de alumbrado público </w:t>
      </w:r>
      <w:r w:rsidRPr="004A52FD">
        <w:rPr>
          <w:i w:val="0"/>
          <w:iCs w:val="0"/>
          <w:color w:val="auto"/>
          <w:sz w:val="24"/>
          <w:szCs w:val="24"/>
        </w:rPr>
        <w:t>que se medirá a través de, como mínimo, los indicadores siguientes:</w:t>
      </w:r>
    </w:p>
    <w:p w14:paraId="4392EEDA" w14:textId="77777777" w:rsidR="00F5024B" w:rsidRPr="004A52FD" w:rsidRDefault="00F5024B" w:rsidP="00F5024B">
      <w:pPr>
        <w:pStyle w:val="Prrafodelista"/>
        <w:numPr>
          <w:ilvl w:val="0"/>
          <w:numId w:val="55"/>
        </w:numPr>
        <w:ind w:left="1276"/>
        <w:rPr>
          <w:i w:val="0"/>
          <w:iCs w:val="0"/>
          <w:color w:val="auto"/>
          <w:sz w:val="24"/>
          <w:szCs w:val="24"/>
        </w:rPr>
      </w:pPr>
      <w:r w:rsidRPr="004A52FD">
        <w:rPr>
          <w:i w:val="0"/>
          <w:iCs w:val="0"/>
          <w:color w:val="auto"/>
          <w:sz w:val="24"/>
          <w:szCs w:val="24"/>
        </w:rPr>
        <w:lastRenderedPageBreak/>
        <w:t xml:space="preserve">La relación de los kilómetros de vías peatonales </w:t>
      </w:r>
      <w:r>
        <w:rPr>
          <w:i w:val="0"/>
          <w:iCs w:val="0"/>
          <w:color w:val="auto"/>
          <w:sz w:val="24"/>
          <w:szCs w:val="24"/>
        </w:rPr>
        <w:t>y</w:t>
      </w:r>
      <w:r w:rsidRPr="004A52FD">
        <w:rPr>
          <w:i w:val="0"/>
          <w:iCs w:val="0"/>
          <w:color w:val="auto"/>
          <w:sz w:val="24"/>
          <w:szCs w:val="24"/>
        </w:rPr>
        <w:t xml:space="preserve"> vehiculares que hacen parte del municipio con servicio de alumbrado público</w:t>
      </w:r>
      <w:r>
        <w:rPr>
          <w:i w:val="0"/>
          <w:iCs w:val="0"/>
          <w:color w:val="auto"/>
          <w:sz w:val="24"/>
          <w:szCs w:val="24"/>
        </w:rPr>
        <w:t xml:space="preserve"> con respecto al total de</w:t>
      </w:r>
      <w:r w:rsidRPr="004A52FD">
        <w:rPr>
          <w:i w:val="0"/>
          <w:iCs w:val="0"/>
          <w:color w:val="auto"/>
          <w:sz w:val="24"/>
          <w:szCs w:val="24"/>
        </w:rPr>
        <w:t xml:space="preserve"> los kilómetros de vías peatonales </w:t>
      </w:r>
      <w:r>
        <w:rPr>
          <w:i w:val="0"/>
          <w:iCs w:val="0"/>
          <w:color w:val="auto"/>
          <w:sz w:val="24"/>
          <w:szCs w:val="24"/>
        </w:rPr>
        <w:t>y</w:t>
      </w:r>
      <w:r w:rsidRPr="004A52FD">
        <w:rPr>
          <w:i w:val="0"/>
          <w:iCs w:val="0"/>
          <w:color w:val="auto"/>
          <w:sz w:val="24"/>
          <w:szCs w:val="24"/>
        </w:rPr>
        <w:t xml:space="preserve"> vehiculares del municipio o distrito </w:t>
      </w:r>
      <w:r>
        <w:rPr>
          <w:i w:val="0"/>
          <w:iCs w:val="0"/>
          <w:color w:val="auto"/>
          <w:sz w:val="24"/>
          <w:szCs w:val="24"/>
        </w:rPr>
        <w:t>definidos en el</w:t>
      </w:r>
      <w:r w:rsidRPr="004A52FD">
        <w:rPr>
          <w:i w:val="0"/>
          <w:iCs w:val="0"/>
          <w:color w:val="auto"/>
          <w:sz w:val="24"/>
          <w:szCs w:val="24"/>
        </w:rPr>
        <w:t xml:space="preserve"> Decreto 943 de 2018 o la norma que lo modifique o </w:t>
      </w:r>
      <w:r>
        <w:rPr>
          <w:i w:val="0"/>
          <w:iCs w:val="0"/>
          <w:color w:val="auto"/>
          <w:sz w:val="24"/>
          <w:szCs w:val="24"/>
        </w:rPr>
        <w:t>sustituya, de conformidad con los requerimientos del RETILAP.</w:t>
      </w:r>
    </w:p>
    <w:p w14:paraId="76E201B3" w14:textId="77777777" w:rsidR="00F5024B" w:rsidRPr="004A52FD" w:rsidRDefault="00F5024B" w:rsidP="00F5024B">
      <w:pPr>
        <w:pStyle w:val="Prrafodelista"/>
        <w:numPr>
          <w:ilvl w:val="0"/>
          <w:numId w:val="55"/>
        </w:numPr>
        <w:ind w:left="1276"/>
        <w:rPr>
          <w:i w:val="0"/>
          <w:iCs w:val="0"/>
          <w:color w:val="auto"/>
          <w:sz w:val="24"/>
          <w:szCs w:val="24"/>
        </w:rPr>
      </w:pPr>
      <w:r w:rsidRPr="004A52FD">
        <w:rPr>
          <w:i w:val="0"/>
          <w:iCs w:val="0"/>
          <w:color w:val="auto"/>
          <w:sz w:val="24"/>
          <w:szCs w:val="24"/>
        </w:rPr>
        <w:t>La relación del número de bienes de uso público con servicio de alumbrado público y el número total de bienes de uso público acorde con la definición establecida en el Decreto 943 de 2018 o la norma que lo modifique</w:t>
      </w:r>
      <w:r>
        <w:rPr>
          <w:i w:val="0"/>
          <w:iCs w:val="0"/>
          <w:color w:val="auto"/>
          <w:sz w:val="24"/>
          <w:szCs w:val="24"/>
        </w:rPr>
        <w:t>, adicione</w:t>
      </w:r>
      <w:r w:rsidRPr="004A52FD">
        <w:rPr>
          <w:i w:val="0"/>
          <w:iCs w:val="0"/>
          <w:color w:val="auto"/>
          <w:sz w:val="24"/>
          <w:szCs w:val="24"/>
        </w:rPr>
        <w:t xml:space="preserve"> o </w:t>
      </w:r>
      <w:r>
        <w:rPr>
          <w:i w:val="0"/>
          <w:iCs w:val="0"/>
          <w:color w:val="auto"/>
          <w:sz w:val="24"/>
          <w:szCs w:val="24"/>
        </w:rPr>
        <w:t>sustituya, conforme con los requerimientos del RETILAP</w:t>
      </w:r>
      <w:r w:rsidRPr="004A52FD">
        <w:rPr>
          <w:i w:val="0"/>
          <w:iCs w:val="0"/>
          <w:color w:val="auto"/>
          <w:sz w:val="24"/>
          <w:szCs w:val="24"/>
        </w:rPr>
        <w:t xml:space="preserve">. </w:t>
      </w:r>
    </w:p>
    <w:p w14:paraId="57682E6E" w14:textId="77777777" w:rsidR="00F5024B" w:rsidRPr="004A52FD" w:rsidRDefault="00F5024B" w:rsidP="00F5024B">
      <w:pPr>
        <w:pStyle w:val="Prrafodelista"/>
        <w:numPr>
          <w:ilvl w:val="2"/>
          <w:numId w:val="24"/>
        </w:numPr>
        <w:ind w:left="851" w:hanging="437"/>
        <w:rPr>
          <w:i w:val="0"/>
          <w:iCs w:val="0"/>
          <w:color w:val="auto"/>
          <w:sz w:val="24"/>
          <w:szCs w:val="24"/>
        </w:rPr>
      </w:pPr>
      <w:r w:rsidRPr="004A52FD">
        <w:rPr>
          <w:i w:val="0"/>
          <w:iCs w:val="0"/>
          <w:color w:val="auto"/>
          <w:sz w:val="24"/>
          <w:szCs w:val="24"/>
        </w:rPr>
        <w:t>Desempeño de la calidad del servicio considerando:</w:t>
      </w:r>
    </w:p>
    <w:p w14:paraId="52CA1C49" w14:textId="77777777" w:rsidR="00F5024B" w:rsidRDefault="00F5024B" w:rsidP="00F5024B">
      <w:pPr>
        <w:pStyle w:val="Prrafodelista"/>
        <w:numPr>
          <w:ilvl w:val="0"/>
          <w:numId w:val="74"/>
        </w:numPr>
        <w:ind w:left="1276" w:hanging="425"/>
        <w:rPr>
          <w:i w:val="0"/>
          <w:iCs w:val="0"/>
          <w:color w:val="auto"/>
          <w:sz w:val="24"/>
          <w:szCs w:val="24"/>
        </w:rPr>
      </w:pPr>
      <w:r w:rsidRPr="004A52FD">
        <w:rPr>
          <w:i w:val="0"/>
          <w:iCs w:val="0"/>
          <w:color w:val="auto"/>
          <w:sz w:val="24"/>
          <w:szCs w:val="24"/>
        </w:rPr>
        <w:t xml:space="preserve">Los niveles de disponibilidad del servicio, </w:t>
      </w:r>
      <w:r>
        <w:rPr>
          <w:i w:val="0"/>
          <w:iCs w:val="0"/>
          <w:color w:val="auto"/>
          <w:sz w:val="24"/>
          <w:szCs w:val="24"/>
        </w:rPr>
        <w:t xml:space="preserve">calculados </w:t>
      </w:r>
      <w:r w:rsidRPr="004A52FD">
        <w:rPr>
          <w:i w:val="0"/>
          <w:iCs w:val="0"/>
          <w:color w:val="auto"/>
          <w:sz w:val="24"/>
          <w:szCs w:val="24"/>
        </w:rPr>
        <w:t xml:space="preserve">según el artículo </w:t>
      </w:r>
      <w:r>
        <w:rPr>
          <w:i w:val="0"/>
          <w:iCs w:val="0"/>
          <w:color w:val="auto"/>
          <w:sz w:val="24"/>
          <w:szCs w:val="24"/>
        </w:rPr>
        <w:t>28</w:t>
      </w:r>
      <w:r w:rsidRPr="004A52FD">
        <w:rPr>
          <w:i w:val="0"/>
          <w:iCs w:val="0"/>
          <w:color w:val="auto"/>
          <w:sz w:val="24"/>
          <w:szCs w:val="24"/>
        </w:rPr>
        <w:t xml:space="preserve"> de la presente resolución.</w:t>
      </w:r>
    </w:p>
    <w:p w14:paraId="2EABECB2" w14:textId="77777777" w:rsidR="00F5024B" w:rsidRDefault="00F5024B" w:rsidP="00F5024B">
      <w:pPr>
        <w:pStyle w:val="Prrafodelista"/>
        <w:numPr>
          <w:ilvl w:val="0"/>
          <w:numId w:val="74"/>
        </w:numPr>
        <w:ind w:left="1276" w:hanging="425"/>
        <w:rPr>
          <w:i w:val="0"/>
          <w:iCs w:val="0"/>
          <w:color w:val="auto"/>
          <w:sz w:val="24"/>
          <w:szCs w:val="24"/>
        </w:rPr>
      </w:pPr>
      <w:r>
        <w:rPr>
          <w:i w:val="0"/>
          <w:iCs w:val="0"/>
          <w:color w:val="auto"/>
          <w:sz w:val="24"/>
          <w:szCs w:val="24"/>
        </w:rPr>
        <w:t>Los indicadores de los tiempos de respuesta a las peticiones, quejas y recursos, PQR, de los usuarios de alumbrado público.</w:t>
      </w:r>
    </w:p>
    <w:p w14:paraId="14A429C8" w14:textId="77777777" w:rsidR="00F5024B" w:rsidRDefault="00F5024B" w:rsidP="00F5024B">
      <w:pPr>
        <w:pStyle w:val="Prrafodelista"/>
        <w:numPr>
          <w:ilvl w:val="0"/>
          <w:numId w:val="74"/>
        </w:numPr>
        <w:ind w:left="1276" w:hanging="425"/>
        <w:rPr>
          <w:i w:val="0"/>
          <w:iCs w:val="0"/>
          <w:color w:val="auto"/>
          <w:sz w:val="24"/>
          <w:szCs w:val="24"/>
        </w:rPr>
      </w:pPr>
      <w:r>
        <w:rPr>
          <w:i w:val="0"/>
          <w:iCs w:val="0"/>
          <w:color w:val="auto"/>
          <w:sz w:val="24"/>
          <w:szCs w:val="24"/>
        </w:rPr>
        <w:t>Percepción de la calidad del servicio por parte de los usuarios de alumbrado público.</w:t>
      </w:r>
    </w:p>
    <w:p w14:paraId="78E38B36" w14:textId="77777777" w:rsidR="00F5024B" w:rsidRDefault="00F5024B" w:rsidP="00F5024B">
      <w:pPr>
        <w:pStyle w:val="Prrafodelista"/>
        <w:numPr>
          <w:ilvl w:val="0"/>
          <w:numId w:val="74"/>
        </w:numPr>
        <w:ind w:left="1276" w:hanging="425"/>
        <w:rPr>
          <w:i w:val="0"/>
          <w:iCs w:val="0"/>
          <w:color w:val="auto"/>
          <w:sz w:val="24"/>
          <w:szCs w:val="24"/>
        </w:rPr>
      </w:pPr>
      <w:r>
        <w:rPr>
          <w:i w:val="0"/>
          <w:iCs w:val="0"/>
          <w:color w:val="auto"/>
          <w:sz w:val="24"/>
          <w:szCs w:val="24"/>
        </w:rPr>
        <w:t>Cumplimiento de las disposiciones contenidas en el RETILAP sobre calidad del servicio.</w:t>
      </w:r>
    </w:p>
    <w:p w14:paraId="4C60813D" w14:textId="77777777" w:rsidR="00F5024B" w:rsidRPr="00E31718" w:rsidRDefault="00F5024B" w:rsidP="00F5024B">
      <w:pPr>
        <w:pStyle w:val="Prrafodelista"/>
        <w:numPr>
          <w:ilvl w:val="0"/>
          <w:numId w:val="24"/>
        </w:numPr>
        <w:ind w:left="426" w:hanging="426"/>
        <w:rPr>
          <w:i w:val="0"/>
          <w:iCs w:val="0"/>
          <w:color w:val="auto"/>
          <w:sz w:val="24"/>
          <w:szCs w:val="24"/>
        </w:rPr>
      </w:pPr>
      <w:r w:rsidRPr="004A52FD">
        <w:rPr>
          <w:i w:val="0"/>
          <w:iCs w:val="0"/>
          <w:color w:val="auto"/>
          <w:sz w:val="24"/>
          <w:szCs w:val="24"/>
        </w:rPr>
        <w:t>La definición de las expansiones del servicio, armonizadas con el Plan de Ordenamiento Territorial, POT, y con los planes de expansión de otros servicios públicos</w:t>
      </w:r>
      <w:r>
        <w:rPr>
          <w:i w:val="0"/>
          <w:iCs w:val="0"/>
          <w:color w:val="auto"/>
          <w:sz w:val="24"/>
          <w:szCs w:val="24"/>
        </w:rPr>
        <w:t>,</w:t>
      </w:r>
      <w:r w:rsidRPr="004A52FD">
        <w:rPr>
          <w:i w:val="0"/>
          <w:iCs w:val="0"/>
          <w:color w:val="auto"/>
          <w:sz w:val="24"/>
          <w:szCs w:val="24"/>
        </w:rPr>
        <w:t xml:space="preserve"> cumpliendo </w:t>
      </w:r>
      <w:r w:rsidRPr="00094C8C">
        <w:rPr>
          <w:bCs/>
          <w:i w:val="0"/>
          <w:iCs w:val="0"/>
          <w:color w:val="auto"/>
          <w:sz w:val="24"/>
          <w:szCs w:val="24"/>
          <w:lang w:val="es-ES_tradnl"/>
        </w:rPr>
        <w:t>con los requisitos establecidos</w:t>
      </w:r>
      <w:r w:rsidRPr="007D0851">
        <w:rPr>
          <w:bCs/>
          <w:i w:val="0"/>
          <w:iCs w:val="0"/>
          <w:color w:val="auto"/>
          <w:sz w:val="24"/>
          <w:szCs w:val="24"/>
          <w:lang w:val="es-ES_tradnl"/>
        </w:rPr>
        <w:t xml:space="preserve"> </w:t>
      </w:r>
      <w:r w:rsidRPr="004A52FD">
        <w:rPr>
          <w:i w:val="0"/>
          <w:iCs w:val="0"/>
          <w:color w:val="auto"/>
          <w:sz w:val="24"/>
          <w:szCs w:val="24"/>
        </w:rPr>
        <w:t xml:space="preserve">en el RETIE y el </w:t>
      </w:r>
      <w:r>
        <w:rPr>
          <w:i w:val="0"/>
          <w:iCs w:val="0"/>
          <w:color w:val="auto"/>
          <w:sz w:val="24"/>
          <w:szCs w:val="24"/>
        </w:rPr>
        <w:t>RETILAP</w:t>
      </w:r>
      <w:r w:rsidRPr="004A52FD">
        <w:rPr>
          <w:i w:val="0"/>
          <w:iCs w:val="0"/>
          <w:color w:val="auto"/>
          <w:sz w:val="24"/>
          <w:szCs w:val="24"/>
        </w:rPr>
        <w:t>, al igual que todas aquellas disposiciones técnicas que expida sobre la materia el Ministerio de Minas y Energía.</w:t>
      </w:r>
    </w:p>
    <w:p w14:paraId="2D4AED48" w14:textId="77777777" w:rsidR="00F5024B" w:rsidRPr="004A52FD" w:rsidRDefault="00F5024B" w:rsidP="00F5024B">
      <w:pPr>
        <w:pStyle w:val="Prrafodelista"/>
        <w:numPr>
          <w:ilvl w:val="0"/>
          <w:numId w:val="24"/>
        </w:numPr>
        <w:ind w:left="426" w:hanging="426"/>
        <w:rPr>
          <w:i w:val="0"/>
          <w:iCs w:val="0"/>
          <w:color w:val="auto"/>
          <w:sz w:val="24"/>
          <w:szCs w:val="24"/>
        </w:rPr>
      </w:pPr>
      <w:r w:rsidRPr="004A52FD">
        <w:rPr>
          <w:i w:val="0"/>
          <w:iCs w:val="0"/>
          <w:color w:val="auto"/>
          <w:sz w:val="24"/>
          <w:szCs w:val="24"/>
        </w:rPr>
        <w:t>Los costos desagregados de prestación para las diferentes actividades del servicio de alumbrado público:</w:t>
      </w:r>
    </w:p>
    <w:p w14:paraId="2E7DC11E" w14:textId="77777777" w:rsidR="00F5024B" w:rsidRPr="004A52FD" w:rsidRDefault="00F5024B" w:rsidP="00F5024B">
      <w:pPr>
        <w:pStyle w:val="Prrafodelista"/>
        <w:numPr>
          <w:ilvl w:val="2"/>
          <w:numId w:val="24"/>
        </w:numPr>
        <w:ind w:left="851" w:hanging="437"/>
        <w:rPr>
          <w:i w:val="0"/>
          <w:iCs w:val="0"/>
          <w:color w:val="auto"/>
          <w:sz w:val="24"/>
          <w:szCs w:val="24"/>
        </w:rPr>
      </w:pPr>
      <w:r w:rsidRPr="004A52FD">
        <w:rPr>
          <w:i w:val="0"/>
          <w:iCs w:val="0"/>
          <w:color w:val="auto"/>
          <w:sz w:val="24"/>
          <w:szCs w:val="24"/>
        </w:rPr>
        <w:t xml:space="preserve">Costo del suministro de la energía, presentando las tarifas empleadas para el cálculo, </w:t>
      </w:r>
      <w:r>
        <w:rPr>
          <w:i w:val="0"/>
          <w:iCs w:val="0"/>
          <w:color w:val="auto"/>
          <w:sz w:val="24"/>
          <w:szCs w:val="24"/>
        </w:rPr>
        <w:t xml:space="preserve">las cantidades medidas en los medidores disponibles, </w:t>
      </w:r>
      <w:r w:rsidRPr="004A52FD">
        <w:rPr>
          <w:i w:val="0"/>
          <w:iCs w:val="0"/>
          <w:color w:val="auto"/>
          <w:sz w:val="24"/>
          <w:szCs w:val="24"/>
        </w:rPr>
        <w:t xml:space="preserve">el aforo, la liquidación y los descuentos por indisponibilidad. </w:t>
      </w:r>
    </w:p>
    <w:p w14:paraId="29666D33" w14:textId="77777777" w:rsidR="00F5024B" w:rsidRPr="004A52FD" w:rsidRDefault="00F5024B" w:rsidP="00F5024B">
      <w:pPr>
        <w:pStyle w:val="Prrafodelista"/>
        <w:numPr>
          <w:ilvl w:val="2"/>
          <w:numId w:val="24"/>
        </w:numPr>
        <w:ind w:left="851" w:hanging="437"/>
        <w:rPr>
          <w:i w:val="0"/>
          <w:iCs w:val="0"/>
          <w:color w:val="auto"/>
          <w:sz w:val="24"/>
          <w:szCs w:val="24"/>
        </w:rPr>
      </w:pPr>
      <w:r w:rsidRPr="004A52FD">
        <w:rPr>
          <w:i w:val="0"/>
          <w:iCs w:val="0"/>
          <w:color w:val="auto"/>
          <w:sz w:val="24"/>
          <w:szCs w:val="24"/>
        </w:rPr>
        <w:t xml:space="preserve">Costo de la inversión, incluyendo la disminución por compensaciones por mala calidad de la prestación del servicio. </w:t>
      </w:r>
    </w:p>
    <w:p w14:paraId="5977F413" w14:textId="77777777" w:rsidR="00F5024B" w:rsidRPr="004A52FD" w:rsidRDefault="00F5024B" w:rsidP="00F5024B">
      <w:pPr>
        <w:pStyle w:val="Prrafodelista"/>
        <w:numPr>
          <w:ilvl w:val="2"/>
          <w:numId w:val="24"/>
        </w:numPr>
        <w:ind w:left="851" w:hanging="437"/>
        <w:rPr>
          <w:i w:val="0"/>
          <w:iCs w:val="0"/>
          <w:color w:val="auto"/>
          <w:sz w:val="24"/>
          <w:szCs w:val="24"/>
        </w:rPr>
      </w:pPr>
      <w:r w:rsidRPr="004A52FD">
        <w:rPr>
          <w:i w:val="0"/>
          <w:iCs w:val="0"/>
          <w:color w:val="auto"/>
          <w:sz w:val="24"/>
          <w:szCs w:val="24"/>
        </w:rPr>
        <w:t>Los costos de administración</w:t>
      </w:r>
      <w:r>
        <w:rPr>
          <w:i w:val="0"/>
          <w:iCs w:val="0"/>
          <w:color w:val="auto"/>
          <w:sz w:val="24"/>
          <w:szCs w:val="24"/>
        </w:rPr>
        <w:t>,</w:t>
      </w:r>
      <w:r w:rsidRPr="004A52FD">
        <w:rPr>
          <w:i w:val="0"/>
          <w:iCs w:val="0"/>
          <w:color w:val="auto"/>
          <w:sz w:val="24"/>
          <w:szCs w:val="24"/>
        </w:rPr>
        <w:t xml:space="preserve"> operación y mantenimiento de los activos del servicio de alumbrado público, </w:t>
      </w:r>
      <w:r w:rsidRPr="006F2C43">
        <w:rPr>
          <w:i w:val="0"/>
          <w:iCs w:val="0"/>
          <w:color w:val="auto"/>
          <w:sz w:val="24"/>
          <w:szCs w:val="24"/>
        </w:rPr>
        <w:t>incluyendo las compensaciones por indisponibilidad y por mala calidad del servicio.</w:t>
      </w:r>
      <w:r w:rsidRPr="004A52FD">
        <w:rPr>
          <w:i w:val="0"/>
          <w:iCs w:val="0"/>
          <w:color w:val="auto"/>
          <w:sz w:val="24"/>
          <w:szCs w:val="24"/>
        </w:rPr>
        <w:t xml:space="preserve"> </w:t>
      </w:r>
    </w:p>
    <w:p w14:paraId="69DB5FBB" w14:textId="77777777" w:rsidR="00F5024B" w:rsidRPr="004A52FD" w:rsidRDefault="00F5024B" w:rsidP="00F5024B">
      <w:pPr>
        <w:pStyle w:val="Prrafodelista"/>
        <w:numPr>
          <w:ilvl w:val="2"/>
          <w:numId w:val="24"/>
        </w:numPr>
        <w:ind w:left="851" w:hanging="437"/>
        <w:rPr>
          <w:i w:val="0"/>
          <w:iCs w:val="0"/>
          <w:color w:val="auto"/>
          <w:sz w:val="24"/>
          <w:szCs w:val="24"/>
        </w:rPr>
      </w:pPr>
      <w:r w:rsidRPr="004A52FD">
        <w:rPr>
          <w:i w:val="0"/>
          <w:iCs w:val="0"/>
          <w:color w:val="auto"/>
          <w:sz w:val="24"/>
          <w:szCs w:val="24"/>
        </w:rPr>
        <w:t>Costo del plan de manejo ambiental</w:t>
      </w:r>
    </w:p>
    <w:p w14:paraId="1FF4792E" w14:textId="77777777" w:rsidR="00F5024B" w:rsidRDefault="00F5024B" w:rsidP="00F5024B">
      <w:pPr>
        <w:pStyle w:val="Prrafodelista"/>
        <w:numPr>
          <w:ilvl w:val="2"/>
          <w:numId w:val="24"/>
        </w:numPr>
        <w:ind w:left="851" w:hanging="437"/>
        <w:rPr>
          <w:i w:val="0"/>
          <w:iCs w:val="0"/>
          <w:color w:val="auto"/>
          <w:sz w:val="24"/>
          <w:szCs w:val="24"/>
        </w:rPr>
      </w:pPr>
      <w:r w:rsidRPr="004A52FD">
        <w:rPr>
          <w:i w:val="0"/>
          <w:iCs w:val="0"/>
          <w:color w:val="auto"/>
          <w:sz w:val="24"/>
          <w:szCs w:val="24"/>
        </w:rPr>
        <w:t>Costo de la interventoría.</w:t>
      </w:r>
    </w:p>
    <w:p w14:paraId="00D990F0" w14:textId="77777777" w:rsidR="00F5024B" w:rsidRPr="004A52FD" w:rsidRDefault="00F5024B" w:rsidP="00F5024B">
      <w:pPr>
        <w:pStyle w:val="Prrafodelista"/>
        <w:numPr>
          <w:ilvl w:val="2"/>
          <w:numId w:val="24"/>
        </w:numPr>
        <w:ind w:left="851" w:hanging="437"/>
        <w:rPr>
          <w:i w:val="0"/>
          <w:iCs w:val="0"/>
          <w:color w:val="auto"/>
          <w:sz w:val="24"/>
          <w:szCs w:val="24"/>
        </w:rPr>
      </w:pPr>
      <w:r>
        <w:rPr>
          <w:i w:val="0"/>
          <w:iCs w:val="0"/>
          <w:color w:val="auto"/>
          <w:sz w:val="24"/>
          <w:szCs w:val="24"/>
        </w:rPr>
        <w:t>Pago del uso de activos de terceros.</w:t>
      </w:r>
    </w:p>
    <w:p w14:paraId="3599F5A5" w14:textId="77777777" w:rsidR="00F5024B" w:rsidRPr="004A52FD" w:rsidRDefault="00F5024B" w:rsidP="00F5024B">
      <w:pPr>
        <w:pStyle w:val="Prrafodelista"/>
        <w:numPr>
          <w:ilvl w:val="2"/>
          <w:numId w:val="24"/>
        </w:numPr>
        <w:ind w:left="851" w:hanging="437"/>
        <w:rPr>
          <w:i w:val="0"/>
          <w:color w:val="auto"/>
          <w:sz w:val="24"/>
          <w:szCs w:val="24"/>
        </w:rPr>
      </w:pPr>
      <w:r w:rsidRPr="004A52FD">
        <w:rPr>
          <w:i w:val="0"/>
          <w:color w:val="auto"/>
          <w:sz w:val="24"/>
          <w:szCs w:val="24"/>
        </w:rPr>
        <w:t>Otros costos que deben asumir los municipios o distritos.</w:t>
      </w:r>
    </w:p>
    <w:p w14:paraId="6E718618" w14:textId="77777777" w:rsidR="00F5024B" w:rsidRPr="004A52FD" w:rsidRDefault="00F5024B" w:rsidP="00F5024B">
      <w:pPr>
        <w:pStyle w:val="Prrafodelista"/>
        <w:numPr>
          <w:ilvl w:val="0"/>
          <w:numId w:val="24"/>
        </w:numPr>
        <w:ind w:left="426" w:hanging="426"/>
        <w:rPr>
          <w:i w:val="0"/>
          <w:iCs w:val="0"/>
          <w:color w:val="auto"/>
          <w:sz w:val="24"/>
          <w:szCs w:val="24"/>
        </w:rPr>
      </w:pPr>
      <w:r w:rsidRPr="004A52FD">
        <w:rPr>
          <w:i w:val="0"/>
          <w:iCs w:val="0"/>
          <w:color w:val="auto"/>
          <w:sz w:val="24"/>
          <w:szCs w:val="24"/>
        </w:rPr>
        <w:lastRenderedPageBreak/>
        <w:t>Revisión y actualización del Estudio Técnico de Referencia, ETR, sin que este periodo supere cuatro (4) años. Los lineamientos para la realización del ajuste, modificación o sustitución del ETR son los siguientes:</w:t>
      </w:r>
    </w:p>
    <w:p w14:paraId="14323325" w14:textId="77777777" w:rsidR="00F5024B" w:rsidRPr="004A52FD" w:rsidRDefault="00F5024B" w:rsidP="00F5024B">
      <w:pPr>
        <w:pStyle w:val="Prrafodelista"/>
        <w:numPr>
          <w:ilvl w:val="2"/>
          <w:numId w:val="24"/>
        </w:numPr>
        <w:ind w:left="851" w:hanging="437"/>
        <w:rPr>
          <w:i w:val="0"/>
          <w:iCs w:val="0"/>
          <w:color w:val="auto"/>
          <w:sz w:val="24"/>
          <w:szCs w:val="24"/>
        </w:rPr>
      </w:pPr>
      <w:r w:rsidRPr="004A52FD">
        <w:rPr>
          <w:i w:val="0"/>
          <w:iCs w:val="0"/>
          <w:color w:val="auto"/>
          <w:sz w:val="24"/>
          <w:szCs w:val="24"/>
        </w:rPr>
        <w:t>Revisión de los parámetros técnico-económicos establecidos en el plan del año inmediatamente anterior para cumplir con los objetivos definidos en el plan de calidad y cobertura del servicio.</w:t>
      </w:r>
    </w:p>
    <w:p w14:paraId="64E0BF9F" w14:textId="77777777" w:rsidR="00F5024B" w:rsidRPr="004A52FD" w:rsidRDefault="00F5024B" w:rsidP="00F5024B">
      <w:pPr>
        <w:pStyle w:val="Prrafodelista"/>
        <w:numPr>
          <w:ilvl w:val="2"/>
          <w:numId w:val="24"/>
        </w:numPr>
        <w:ind w:left="851" w:hanging="437"/>
        <w:rPr>
          <w:i w:val="0"/>
          <w:iCs w:val="0"/>
          <w:color w:val="auto"/>
          <w:sz w:val="24"/>
          <w:szCs w:val="24"/>
        </w:rPr>
      </w:pPr>
      <w:r w:rsidRPr="004A52FD">
        <w:rPr>
          <w:i w:val="0"/>
          <w:iCs w:val="0"/>
          <w:color w:val="auto"/>
          <w:sz w:val="24"/>
          <w:szCs w:val="24"/>
        </w:rPr>
        <w:t>Cambio o ajuste de los parámetros técnico-económicos establecidos en el plan del año inmediatamente anterior para cumplir con los objetivos definidos en el plan de calidad y cobertura del servicio.</w:t>
      </w:r>
    </w:p>
    <w:p w14:paraId="1D2424E9" w14:textId="77777777" w:rsidR="00F5024B" w:rsidRPr="004A52FD" w:rsidRDefault="00F5024B" w:rsidP="00F5024B">
      <w:pPr>
        <w:pStyle w:val="Prrafodelista"/>
        <w:numPr>
          <w:ilvl w:val="2"/>
          <w:numId w:val="24"/>
        </w:numPr>
        <w:ind w:left="851" w:hanging="437"/>
        <w:rPr>
          <w:i w:val="0"/>
          <w:iCs w:val="0"/>
          <w:color w:val="auto"/>
          <w:sz w:val="24"/>
          <w:szCs w:val="24"/>
        </w:rPr>
      </w:pPr>
      <w:r w:rsidRPr="004A52FD">
        <w:rPr>
          <w:i w:val="0"/>
          <w:iCs w:val="0"/>
          <w:color w:val="auto"/>
          <w:sz w:val="24"/>
          <w:szCs w:val="24"/>
        </w:rPr>
        <w:t>Revisión y cambio de los parámetros técnico-económicos establecidos en el plan del último cuatr</w:t>
      </w:r>
      <w:r>
        <w:rPr>
          <w:i w:val="0"/>
          <w:iCs w:val="0"/>
          <w:color w:val="auto"/>
          <w:sz w:val="24"/>
          <w:szCs w:val="24"/>
        </w:rPr>
        <w:t>i</w:t>
      </w:r>
      <w:r w:rsidRPr="004A52FD">
        <w:rPr>
          <w:i w:val="0"/>
          <w:iCs w:val="0"/>
          <w:color w:val="auto"/>
          <w:sz w:val="24"/>
          <w:szCs w:val="24"/>
        </w:rPr>
        <w:t>enio o cuando se presente cambio de la administración municipal o distrital.</w:t>
      </w:r>
    </w:p>
    <w:p w14:paraId="0EA8B293" w14:textId="77777777" w:rsidR="00F5024B" w:rsidRPr="00667D5D" w:rsidRDefault="00F5024B" w:rsidP="00F5024B">
      <w:pPr>
        <w:spacing w:before="0" w:after="0"/>
        <w:rPr>
          <w:b/>
          <w:bCs/>
          <w:i w:val="0"/>
          <w:iCs w:val="0"/>
          <w:color w:val="auto"/>
        </w:rPr>
      </w:pPr>
    </w:p>
    <w:p w14:paraId="78D76028" w14:textId="77777777" w:rsidR="00F5024B" w:rsidRPr="00667D5D" w:rsidRDefault="00F5024B" w:rsidP="00F5024B">
      <w:pPr>
        <w:spacing w:before="0" w:after="0"/>
        <w:jc w:val="center"/>
        <w:rPr>
          <w:b/>
          <w:bCs/>
          <w:i w:val="0"/>
          <w:iCs w:val="0"/>
          <w:color w:val="auto"/>
        </w:rPr>
      </w:pPr>
      <w:r w:rsidRPr="00667D5D">
        <w:rPr>
          <w:b/>
          <w:bCs/>
          <w:i w:val="0"/>
          <w:iCs w:val="0"/>
          <w:color w:val="auto"/>
        </w:rPr>
        <w:t>CAPITULO II</w:t>
      </w:r>
    </w:p>
    <w:p w14:paraId="7990C58E" w14:textId="77777777" w:rsidR="00F5024B" w:rsidRPr="00667D5D" w:rsidRDefault="00F5024B" w:rsidP="00F5024B">
      <w:pPr>
        <w:spacing w:before="0" w:after="0"/>
        <w:jc w:val="center"/>
        <w:rPr>
          <w:b/>
          <w:bCs/>
          <w:i w:val="0"/>
          <w:iCs w:val="0"/>
          <w:color w:val="auto"/>
        </w:rPr>
      </w:pPr>
    </w:p>
    <w:p w14:paraId="41F7CF7F" w14:textId="77777777" w:rsidR="00F5024B" w:rsidRPr="00667D5D" w:rsidRDefault="00F5024B" w:rsidP="00F5024B">
      <w:pPr>
        <w:spacing w:before="0" w:after="0"/>
        <w:ind w:left="0" w:firstLine="0"/>
        <w:jc w:val="center"/>
        <w:rPr>
          <w:b/>
          <w:bCs/>
          <w:i w:val="0"/>
          <w:iCs w:val="0"/>
          <w:color w:val="auto"/>
        </w:rPr>
      </w:pPr>
      <w:r w:rsidRPr="00667D5D">
        <w:rPr>
          <w:b/>
          <w:bCs/>
          <w:i w:val="0"/>
          <w:iCs w:val="0"/>
          <w:color w:val="auto"/>
        </w:rPr>
        <w:t>FÓRMULA GENERAL DE COSTOS PARA</w:t>
      </w:r>
      <w:r w:rsidRPr="00667D5D">
        <w:rPr>
          <w:i w:val="0"/>
          <w:iCs w:val="0"/>
          <w:color w:val="auto"/>
        </w:rPr>
        <w:t xml:space="preserve"> </w:t>
      </w:r>
      <w:r w:rsidRPr="00667D5D">
        <w:rPr>
          <w:b/>
          <w:bCs/>
          <w:i w:val="0"/>
          <w:iCs w:val="0"/>
          <w:color w:val="auto"/>
        </w:rPr>
        <w:t>LA PRESTACIÓN DEL SERVICIO</w:t>
      </w:r>
      <w:r w:rsidRPr="00667D5D">
        <w:rPr>
          <w:i w:val="0"/>
          <w:iCs w:val="0"/>
          <w:color w:val="auto"/>
        </w:rPr>
        <w:t xml:space="preserve"> </w:t>
      </w:r>
      <w:r w:rsidRPr="00667D5D">
        <w:rPr>
          <w:b/>
          <w:bCs/>
          <w:i w:val="0"/>
          <w:iCs w:val="0"/>
          <w:color w:val="auto"/>
        </w:rPr>
        <w:t>Y EL USO DE LOS ACTIVOS VINCULADOS AL SERVICIO DE ALUMBRADO PÚBLICO</w:t>
      </w:r>
    </w:p>
    <w:p w14:paraId="5AE01F2A" w14:textId="77777777" w:rsidR="00F5024B" w:rsidRPr="00667D5D" w:rsidRDefault="00F5024B" w:rsidP="00F5024B">
      <w:pPr>
        <w:spacing w:before="0" w:after="0"/>
        <w:rPr>
          <w:i w:val="0"/>
          <w:iCs w:val="0"/>
          <w:color w:val="auto"/>
        </w:rPr>
      </w:pPr>
    </w:p>
    <w:p w14:paraId="63187AE7" w14:textId="77777777" w:rsidR="00F5024B" w:rsidRPr="00667D5D" w:rsidRDefault="00F5024B" w:rsidP="00F5024B">
      <w:pPr>
        <w:pStyle w:val="Artculo1"/>
        <w:keepNext w:val="0"/>
        <w:spacing w:before="0" w:after="0"/>
        <w:ind w:left="0" w:firstLine="0"/>
        <w:rPr>
          <w:b w:val="0"/>
          <w:bCs w:val="0"/>
          <w:i w:val="0"/>
          <w:iCs w:val="0"/>
          <w:color w:val="auto"/>
        </w:rPr>
      </w:pPr>
      <w:r w:rsidRPr="00667D5D">
        <w:rPr>
          <w:i w:val="0"/>
          <w:iCs w:val="0"/>
          <w:color w:val="auto"/>
        </w:rPr>
        <w:t xml:space="preserve">Metodología </w:t>
      </w:r>
      <w:r w:rsidRPr="00667D5D">
        <w:rPr>
          <w:i w:val="0"/>
          <w:color w:val="auto"/>
          <w:lang w:val="es-ES"/>
        </w:rPr>
        <w:t>para la determinación de los costos totales y por actividades del servicio de Alumbrado Público</w:t>
      </w:r>
      <w:r w:rsidRPr="00667D5D">
        <w:rPr>
          <w:b w:val="0"/>
          <w:i w:val="0"/>
          <w:color w:val="auto"/>
          <w:lang w:val="es-ES"/>
        </w:rPr>
        <w:t xml:space="preserve">. </w:t>
      </w:r>
      <w:r w:rsidRPr="00667D5D">
        <w:rPr>
          <w:b w:val="0"/>
          <w:bCs w:val="0"/>
          <w:i w:val="0"/>
          <w:iCs w:val="0"/>
          <w:color w:val="auto"/>
        </w:rPr>
        <w:t>Los municipios y distritos aplicarán la metodología de costos para la prestación del servicio y el uso de los activos vinculados al Sistema de Alumbrado Público de la siguiente forma:</w:t>
      </w:r>
    </w:p>
    <w:p w14:paraId="3D2FD84B" w14:textId="77777777" w:rsidR="00F5024B" w:rsidRPr="00667D5D" w:rsidRDefault="00F5024B" w:rsidP="00F5024B">
      <w:pPr>
        <w:spacing w:before="0" w:after="0"/>
        <w:rPr>
          <w:i w:val="0"/>
          <w:iCs w:val="0"/>
          <w:color w:val="auto"/>
        </w:rPr>
      </w:pPr>
    </w:p>
    <w:p w14:paraId="6F89900E" w14:textId="77777777" w:rsidR="00F5024B" w:rsidRPr="00667D5D" w:rsidRDefault="00F5024B" w:rsidP="00F5024B">
      <w:pPr>
        <w:spacing w:before="0" w:after="0"/>
        <w:ind w:left="0" w:firstLine="0"/>
        <w:rPr>
          <w:color w:val="auto"/>
        </w:rPr>
      </w:pPr>
      <m:oMathPara>
        <m:oMath>
          <m:r>
            <w:rPr>
              <w:rFonts w:ascii="Cambria Math" w:hAnsi="Cambria Math"/>
              <w:color w:val="auto"/>
            </w:rPr>
            <m:t>CAP=CSEE+CINV+CAOM+COTR</m:t>
          </m:r>
        </m:oMath>
      </m:oMathPara>
    </w:p>
    <w:p w14:paraId="0B686EFD" w14:textId="77777777" w:rsidR="00F5024B" w:rsidRPr="00667D5D" w:rsidRDefault="00F5024B" w:rsidP="00F5024B">
      <w:pPr>
        <w:spacing w:before="0" w:after="0"/>
        <w:rPr>
          <w:color w:val="auto"/>
          <w:lang w:val="es-CO"/>
        </w:rPr>
      </w:pPr>
    </w:p>
    <w:p w14:paraId="407683CD" w14:textId="77777777" w:rsidR="00F5024B" w:rsidRPr="00667D5D" w:rsidRDefault="00F5024B" w:rsidP="00F5024B">
      <w:pPr>
        <w:spacing w:before="0" w:after="0"/>
        <w:rPr>
          <w:color w:val="auto"/>
        </w:rPr>
      </w:pPr>
      <w:r w:rsidRPr="00667D5D">
        <w:rPr>
          <w:color w:val="auto"/>
        </w:rPr>
        <w:t>Donde:</w:t>
      </w:r>
    </w:p>
    <w:p w14:paraId="1DAB298A" w14:textId="77777777" w:rsidR="00F5024B" w:rsidRPr="00667D5D" w:rsidRDefault="00F5024B" w:rsidP="00F5024B">
      <w:pPr>
        <w:spacing w:before="0" w:after="0"/>
        <w:rPr>
          <w:color w:val="auto"/>
        </w:rPr>
      </w:pPr>
    </w:p>
    <w:p w14:paraId="4A655359" w14:textId="77777777" w:rsidR="00F5024B" w:rsidRDefault="00F5024B" w:rsidP="00F5024B">
      <w:pPr>
        <w:spacing w:before="0" w:after="0"/>
        <w:rPr>
          <w:color w:val="auto"/>
        </w:rPr>
      </w:pPr>
      <w:r w:rsidRPr="00AE1BAD">
        <w:rPr>
          <w:color w:val="auto"/>
        </w:rPr>
        <w:t>CAP:</w:t>
      </w:r>
      <w:r w:rsidRPr="00AE1BAD">
        <w:rPr>
          <w:color w:val="auto"/>
        </w:rPr>
        <w:tab/>
      </w:r>
      <w:r w:rsidRPr="00882FCC">
        <w:rPr>
          <w:i w:val="0"/>
          <w:iCs w:val="0"/>
          <w:color w:val="auto"/>
        </w:rPr>
        <w:t xml:space="preserve">Costos máximos por la prestación del Servicio de Alumbrado Público en pesos </w:t>
      </w:r>
      <w:r>
        <w:rPr>
          <w:i w:val="0"/>
          <w:iCs w:val="0"/>
          <w:color w:val="auto"/>
        </w:rPr>
        <w:t>correspondientes a la fecha de referencia.</w:t>
      </w:r>
    </w:p>
    <w:p w14:paraId="2C3B4A5C" w14:textId="77777777" w:rsidR="00F5024B" w:rsidRPr="00AE1BAD" w:rsidRDefault="00F5024B" w:rsidP="00F5024B">
      <w:pPr>
        <w:spacing w:before="0" w:after="0"/>
        <w:rPr>
          <w:color w:val="auto"/>
        </w:rPr>
      </w:pPr>
    </w:p>
    <w:p w14:paraId="79A07AC5" w14:textId="77777777" w:rsidR="00F5024B" w:rsidRPr="00882FCC" w:rsidRDefault="00F5024B" w:rsidP="00F5024B">
      <w:pPr>
        <w:spacing w:before="0" w:after="0"/>
        <w:rPr>
          <w:i w:val="0"/>
          <w:iCs w:val="0"/>
          <w:color w:val="auto"/>
        </w:rPr>
      </w:pPr>
      <w:r w:rsidRPr="00AE1BAD">
        <w:rPr>
          <w:color w:val="auto"/>
        </w:rPr>
        <w:t>CSEE:</w:t>
      </w:r>
      <w:r w:rsidRPr="00AE1BAD">
        <w:rPr>
          <w:color w:val="auto"/>
        </w:rPr>
        <w:tab/>
      </w:r>
      <w:r w:rsidRPr="00882FCC">
        <w:rPr>
          <w:i w:val="0"/>
          <w:iCs w:val="0"/>
          <w:color w:val="auto"/>
        </w:rPr>
        <w:t>Costo del suministro de energía eléctrica para el Sistema de Alumbrado Público en pesos</w:t>
      </w:r>
      <w:r>
        <w:rPr>
          <w:i w:val="0"/>
          <w:iCs w:val="0"/>
          <w:color w:val="auto"/>
        </w:rPr>
        <w:t xml:space="preserve"> </w:t>
      </w:r>
      <w:r w:rsidRPr="00882FCC">
        <w:rPr>
          <w:i w:val="0"/>
          <w:iCs w:val="0"/>
          <w:color w:val="auto"/>
        </w:rPr>
        <w:t>correspondientes a la fecha de referencia.</w:t>
      </w:r>
    </w:p>
    <w:p w14:paraId="1C92BF1F" w14:textId="77777777" w:rsidR="00F5024B" w:rsidRPr="00AE1BAD" w:rsidRDefault="00F5024B" w:rsidP="00F5024B">
      <w:pPr>
        <w:spacing w:before="120" w:after="120"/>
        <w:rPr>
          <w:color w:val="auto"/>
        </w:rPr>
      </w:pPr>
      <w:r w:rsidRPr="00882FCC">
        <w:rPr>
          <w:color w:val="auto"/>
        </w:rPr>
        <w:t>CI</w:t>
      </w:r>
      <w:r w:rsidRPr="00AE1BAD">
        <w:rPr>
          <w:color w:val="auto"/>
        </w:rPr>
        <w:t>NV:</w:t>
      </w:r>
      <w:r w:rsidRPr="00AE1BAD">
        <w:rPr>
          <w:color w:val="auto"/>
        </w:rPr>
        <w:tab/>
      </w:r>
      <w:r w:rsidRPr="00882FCC">
        <w:rPr>
          <w:i w:val="0"/>
          <w:iCs w:val="0"/>
          <w:color w:val="auto"/>
        </w:rPr>
        <w:t>Costo de la Inversión del Sistema de Alumbrado Público en pesos correspondientes a la fecha de referencia.</w:t>
      </w:r>
    </w:p>
    <w:p w14:paraId="44BABCF0" w14:textId="77777777" w:rsidR="00F5024B" w:rsidRPr="00AE1BAD" w:rsidRDefault="00F5024B" w:rsidP="00F5024B">
      <w:pPr>
        <w:spacing w:before="0" w:after="0"/>
        <w:rPr>
          <w:color w:val="auto"/>
        </w:rPr>
      </w:pPr>
      <w:r w:rsidRPr="00AE1BAD">
        <w:rPr>
          <w:color w:val="auto"/>
        </w:rPr>
        <w:t>CAOM:</w:t>
      </w:r>
      <w:r w:rsidRPr="00AE1BAD">
        <w:rPr>
          <w:color w:val="auto"/>
        </w:rPr>
        <w:tab/>
      </w:r>
      <w:r w:rsidRPr="00882FCC">
        <w:rPr>
          <w:i w:val="0"/>
          <w:iCs w:val="0"/>
          <w:color w:val="auto"/>
        </w:rPr>
        <w:t>Costo de la actividad de AOM del Sistema de Alumbrado Público en pesos correspondientes a la fecha de referencia</w:t>
      </w:r>
      <w:r w:rsidRPr="00AE1BAD">
        <w:rPr>
          <w:color w:val="auto"/>
        </w:rPr>
        <w:t>.</w:t>
      </w:r>
    </w:p>
    <w:p w14:paraId="4AEF1143" w14:textId="77777777" w:rsidR="00F5024B" w:rsidRPr="00AE1BAD" w:rsidRDefault="00F5024B" w:rsidP="00F5024B">
      <w:pPr>
        <w:spacing w:before="0" w:after="0"/>
        <w:rPr>
          <w:color w:val="auto"/>
        </w:rPr>
      </w:pPr>
    </w:p>
    <w:p w14:paraId="50761B85" w14:textId="77777777" w:rsidR="00F5024B" w:rsidRPr="00AE1BAD" w:rsidRDefault="00F5024B" w:rsidP="00F5024B">
      <w:pPr>
        <w:spacing w:before="0" w:after="0"/>
        <w:rPr>
          <w:color w:val="auto"/>
        </w:rPr>
      </w:pPr>
      <w:r w:rsidRPr="00AE1BAD">
        <w:rPr>
          <w:color w:val="auto"/>
        </w:rPr>
        <w:t>COTR:</w:t>
      </w:r>
      <w:r w:rsidRPr="00AE1BAD">
        <w:rPr>
          <w:color w:val="auto"/>
        </w:rPr>
        <w:tab/>
      </w:r>
      <w:r w:rsidRPr="00882FCC">
        <w:rPr>
          <w:bCs/>
          <w:i w:val="0"/>
          <w:iCs w:val="0"/>
          <w:color w:val="auto"/>
        </w:rPr>
        <w:t xml:space="preserve">Costos asociados a otros costos de la prestación del servicio y el Sistema de Alumbrado Público, cuando estos se causen, en pesos </w:t>
      </w:r>
      <w:r>
        <w:rPr>
          <w:bCs/>
          <w:i w:val="0"/>
          <w:iCs w:val="0"/>
          <w:color w:val="auto"/>
        </w:rPr>
        <w:t>correspondientes a la fecha de referencia</w:t>
      </w:r>
      <w:r w:rsidRPr="00882FCC">
        <w:rPr>
          <w:bCs/>
          <w:i w:val="0"/>
          <w:iCs w:val="0"/>
          <w:color w:val="auto"/>
        </w:rPr>
        <w:t>.</w:t>
      </w:r>
    </w:p>
    <w:p w14:paraId="5E0A9189" w14:textId="77777777" w:rsidR="00F5024B" w:rsidRPr="004F6FE0" w:rsidRDefault="00F5024B" w:rsidP="00F5024B">
      <w:pPr>
        <w:spacing w:before="0" w:after="0"/>
        <w:rPr>
          <w:color w:val="auto"/>
        </w:rPr>
      </w:pPr>
    </w:p>
    <w:p w14:paraId="567E14E7" w14:textId="77777777" w:rsidR="00F5024B" w:rsidRPr="00A841C9" w:rsidRDefault="00F5024B" w:rsidP="00F5024B">
      <w:pPr>
        <w:spacing w:before="0" w:after="0"/>
        <w:jc w:val="center"/>
        <w:rPr>
          <w:b/>
          <w:bCs/>
          <w:i w:val="0"/>
          <w:iCs w:val="0"/>
          <w:color w:val="auto"/>
        </w:rPr>
      </w:pPr>
      <w:r w:rsidRPr="00A841C9">
        <w:rPr>
          <w:b/>
          <w:bCs/>
          <w:i w:val="0"/>
          <w:iCs w:val="0"/>
          <w:color w:val="auto"/>
        </w:rPr>
        <w:t>CAPITULO III</w:t>
      </w:r>
    </w:p>
    <w:p w14:paraId="3DF4BD7B" w14:textId="77777777" w:rsidR="00F5024B" w:rsidRPr="00A841C9" w:rsidRDefault="00F5024B" w:rsidP="00F5024B">
      <w:pPr>
        <w:spacing w:before="0" w:after="0"/>
        <w:jc w:val="center"/>
        <w:rPr>
          <w:b/>
          <w:bCs/>
          <w:i w:val="0"/>
          <w:iCs w:val="0"/>
          <w:color w:val="auto"/>
        </w:rPr>
      </w:pPr>
    </w:p>
    <w:p w14:paraId="7115F02C" w14:textId="77777777" w:rsidR="00F5024B" w:rsidRPr="00A841C9" w:rsidRDefault="00F5024B" w:rsidP="00F5024B">
      <w:pPr>
        <w:spacing w:before="0" w:after="0"/>
        <w:jc w:val="center"/>
        <w:rPr>
          <w:b/>
          <w:bCs/>
          <w:i w:val="0"/>
          <w:iCs w:val="0"/>
          <w:color w:val="auto"/>
        </w:rPr>
      </w:pPr>
      <w:r w:rsidRPr="00A841C9">
        <w:rPr>
          <w:b/>
          <w:bCs/>
          <w:i w:val="0"/>
          <w:iCs w:val="0"/>
          <w:color w:val="auto"/>
        </w:rPr>
        <w:t>COSTO POR EL SUMINISTRO DE ENERGÍA ELÉCTRICA DESTINADA AL SERVICIO DE ALUMBRADO PÚBLICO</w:t>
      </w:r>
    </w:p>
    <w:p w14:paraId="6365AB0D" w14:textId="77777777" w:rsidR="00F5024B" w:rsidRPr="00986966" w:rsidRDefault="00F5024B" w:rsidP="00F5024B">
      <w:pPr>
        <w:pStyle w:val="Artculo1"/>
        <w:keepNext w:val="0"/>
        <w:spacing w:before="0" w:after="0"/>
        <w:ind w:left="0" w:firstLine="0"/>
        <w:rPr>
          <w:b w:val="0"/>
          <w:bCs w:val="0"/>
          <w:i w:val="0"/>
          <w:iCs w:val="0"/>
          <w:color w:val="auto"/>
        </w:rPr>
      </w:pPr>
      <w:r w:rsidRPr="00986966">
        <w:rPr>
          <w:color w:val="auto"/>
        </w:rPr>
        <w:lastRenderedPageBreak/>
        <w:t xml:space="preserve"> </w:t>
      </w:r>
      <w:r w:rsidRPr="00986966">
        <w:rPr>
          <w:i w:val="0"/>
          <w:iCs w:val="0"/>
          <w:color w:val="auto"/>
        </w:rPr>
        <w:t>Costo</w:t>
      </w:r>
      <w:r w:rsidRPr="00986966">
        <w:rPr>
          <w:i w:val="0"/>
          <w:color w:val="auto"/>
          <w:lang w:val="es-ES"/>
        </w:rPr>
        <w:t xml:space="preserve"> del suministro de energía eléctrica para el Servicio de Alumbrado Público. </w:t>
      </w:r>
      <w:r w:rsidRPr="00986966">
        <w:rPr>
          <w:b w:val="0"/>
          <w:bCs w:val="0"/>
          <w:i w:val="0"/>
          <w:iCs w:val="0"/>
          <w:color w:val="auto"/>
        </w:rPr>
        <w:t>El costo máximo de suministro de energía eléctrica para el Servicio de Alumbrado Público se determinará de la siguiente forma:</w:t>
      </w:r>
    </w:p>
    <w:p w14:paraId="4E5FFFA4" w14:textId="77777777" w:rsidR="00F5024B" w:rsidRPr="004F6FE0" w:rsidRDefault="00F5024B" w:rsidP="00F5024B">
      <w:pPr>
        <w:spacing w:before="0" w:after="0"/>
        <w:rPr>
          <w:color w:val="auto"/>
        </w:rPr>
      </w:pPr>
    </w:p>
    <w:p w14:paraId="53DF2253" w14:textId="77777777" w:rsidR="00F5024B" w:rsidRPr="00137CB7" w:rsidRDefault="00F5024B" w:rsidP="00F5024B">
      <w:pPr>
        <w:spacing w:before="0" w:after="0"/>
        <w:ind w:left="0" w:firstLine="0"/>
        <w:rPr>
          <w:color w:val="auto"/>
        </w:rPr>
      </w:pPr>
      <m:oMathPara>
        <m:oMath>
          <m:r>
            <w:rPr>
              <w:rFonts w:ascii="Cambria Math" w:hAnsi="Cambria Math"/>
              <w:color w:val="auto"/>
            </w:rPr>
            <m:t xml:space="preserve">CSEE= </m:t>
          </m:r>
          <m:nary>
            <m:naryPr>
              <m:chr m:val="∑"/>
              <m:limLoc m:val="undOvr"/>
              <m:ctrlPr>
                <w:rPr>
                  <w:rFonts w:ascii="Cambria Math" w:hAnsi="Cambria Math"/>
                  <w:i w:val="0"/>
                  <w:color w:val="auto"/>
                </w:rPr>
              </m:ctrlPr>
            </m:naryPr>
            <m:sub>
              <m:r>
                <w:rPr>
                  <w:rFonts w:ascii="Cambria Math" w:hAnsi="Cambria Math"/>
                  <w:color w:val="auto"/>
                </w:rPr>
                <m:t>n=1</m:t>
              </m:r>
            </m:sub>
            <m:sup>
              <m:r>
                <w:rPr>
                  <w:rFonts w:ascii="Cambria Math" w:hAnsi="Cambria Math"/>
                  <w:color w:val="auto"/>
                </w:rPr>
                <m:t>2</m:t>
              </m:r>
            </m:sup>
            <m:e>
              <m:r>
                <w:rPr>
                  <w:rFonts w:ascii="Cambria Math" w:hAnsi="Cambria Math"/>
                  <w:color w:val="auto"/>
                </w:rPr>
                <m:t>(TEEn*CEEn)</m:t>
              </m:r>
            </m:e>
          </m:nary>
        </m:oMath>
      </m:oMathPara>
    </w:p>
    <w:p w14:paraId="3234ABA3" w14:textId="77777777" w:rsidR="00F5024B" w:rsidRDefault="00F5024B" w:rsidP="00F5024B">
      <w:pPr>
        <w:spacing w:before="0" w:after="0"/>
        <w:rPr>
          <w:color w:val="auto"/>
        </w:rPr>
      </w:pPr>
    </w:p>
    <w:p w14:paraId="29A94BC1" w14:textId="77777777" w:rsidR="00F5024B" w:rsidRPr="009D461C" w:rsidRDefault="00F5024B" w:rsidP="00F5024B">
      <w:pPr>
        <w:spacing w:before="0" w:after="0"/>
        <w:rPr>
          <w:color w:val="auto"/>
        </w:rPr>
      </w:pPr>
      <w:r w:rsidRPr="009D461C">
        <w:rPr>
          <w:color w:val="auto"/>
        </w:rPr>
        <w:t>Donde:</w:t>
      </w:r>
    </w:p>
    <w:p w14:paraId="5ECC0626" w14:textId="77777777" w:rsidR="00F5024B" w:rsidRPr="009D461C" w:rsidRDefault="00F5024B" w:rsidP="00F5024B">
      <w:pPr>
        <w:spacing w:before="0" w:after="0"/>
        <w:rPr>
          <w:color w:val="auto"/>
        </w:rPr>
      </w:pPr>
    </w:p>
    <w:p w14:paraId="5414D43E" w14:textId="77777777" w:rsidR="00F5024B" w:rsidRPr="00AE1BAD" w:rsidRDefault="00F5024B" w:rsidP="00F5024B">
      <w:pPr>
        <w:spacing w:before="0" w:after="0"/>
        <w:rPr>
          <w:color w:val="auto"/>
        </w:rPr>
      </w:pPr>
      <w:r w:rsidRPr="00AE1BAD">
        <w:rPr>
          <w:color w:val="auto"/>
        </w:rPr>
        <w:t>CSEE:</w:t>
      </w:r>
      <w:r w:rsidRPr="00AE1BAD">
        <w:rPr>
          <w:color w:val="auto"/>
        </w:rPr>
        <w:tab/>
      </w:r>
      <w:r w:rsidRPr="00882FCC">
        <w:rPr>
          <w:i w:val="0"/>
          <w:iCs w:val="0"/>
          <w:color w:val="auto"/>
        </w:rPr>
        <w:t>Valor costo del suministro de energía eléctrica para el Servicio de Alumbrado Público</w:t>
      </w:r>
      <w:r>
        <w:rPr>
          <w:i w:val="0"/>
          <w:iCs w:val="0"/>
          <w:color w:val="auto"/>
        </w:rPr>
        <w:t xml:space="preserve"> en pesos correspondientes a la fecha de referencia</w:t>
      </w:r>
      <w:r>
        <w:rPr>
          <w:color w:val="auto"/>
        </w:rPr>
        <w:t>.</w:t>
      </w:r>
    </w:p>
    <w:p w14:paraId="3E1F32B4" w14:textId="77777777" w:rsidR="00F5024B" w:rsidRPr="00AE1BAD" w:rsidRDefault="00F5024B" w:rsidP="00F5024B">
      <w:pPr>
        <w:spacing w:before="0" w:after="0"/>
        <w:rPr>
          <w:color w:val="auto"/>
        </w:rPr>
      </w:pPr>
    </w:p>
    <w:p w14:paraId="4DE8F79C" w14:textId="77777777" w:rsidR="00F5024B" w:rsidRPr="00AE1BAD" w:rsidRDefault="00F5024B" w:rsidP="00F5024B">
      <w:pPr>
        <w:spacing w:before="0" w:after="0"/>
        <w:rPr>
          <w:color w:val="auto"/>
        </w:rPr>
      </w:pPr>
      <w:proofErr w:type="spellStart"/>
      <w:r w:rsidRPr="00AE1BAD">
        <w:rPr>
          <w:color w:val="auto"/>
        </w:rPr>
        <w:t>TEEn</w:t>
      </w:r>
      <w:proofErr w:type="spellEnd"/>
      <w:r w:rsidRPr="00AE1BAD">
        <w:rPr>
          <w:color w:val="auto"/>
        </w:rPr>
        <w:t>:</w:t>
      </w:r>
      <w:r w:rsidRPr="00AE1BAD">
        <w:rPr>
          <w:color w:val="auto"/>
        </w:rPr>
        <w:tab/>
      </w:r>
      <w:r w:rsidRPr="00882FCC">
        <w:rPr>
          <w:i w:val="0"/>
          <w:iCs w:val="0"/>
          <w:color w:val="auto"/>
        </w:rPr>
        <w:t>Tarifa del suministro de energía eléctrica para el Servicio de Alumbrado Público en el nivel de tensión n en $/kWh.</w:t>
      </w:r>
      <w:r w:rsidRPr="00AE1BAD">
        <w:rPr>
          <w:color w:val="auto"/>
        </w:rPr>
        <w:t xml:space="preserve"> </w:t>
      </w:r>
    </w:p>
    <w:p w14:paraId="7D6FFBCD" w14:textId="77777777" w:rsidR="00F5024B" w:rsidRPr="00AE1BAD" w:rsidRDefault="00F5024B" w:rsidP="00F5024B">
      <w:pPr>
        <w:spacing w:before="0" w:after="0"/>
        <w:rPr>
          <w:color w:val="auto"/>
        </w:rPr>
      </w:pPr>
    </w:p>
    <w:p w14:paraId="4C1BE966" w14:textId="77777777" w:rsidR="00F5024B" w:rsidRPr="00AE1BAD" w:rsidRDefault="00F5024B" w:rsidP="00F5024B">
      <w:pPr>
        <w:spacing w:before="0" w:after="0"/>
        <w:rPr>
          <w:color w:val="auto"/>
        </w:rPr>
      </w:pPr>
      <w:proofErr w:type="spellStart"/>
      <w:r w:rsidRPr="00AE1BAD">
        <w:rPr>
          <w:color w:val="auto"/>
        </w:rPr>
        <w:t>CEEn</w:t>
      </w:r>
      <w:proofErr w:type="spellEnd"/>
      <w:r w:rsidRPr="00AE1BAD">
        <w:rPr>
          <w:color w:val="auto"/>
        </w:rPr>
        <w:t>:</w:t>
      </w:r>
      <w:r w:rsidRPr="00AE1BAD">
        <w:rPr>
          <w:color w:val="auto"/>
        </w:rPr>
        <w:tab/>
      </w:r>
      <w:r w:rsidRPr="00882FCC">
        <w:rPr>
          <w:i w:val="0"/>
          <w:iCs w:val="0"/>
          <w:color w:val="auto"/>
        </w:rPr>
        <w:t>Consumo de energía eléctrica del Servicio de Alumbrado Público en el nivel de tensión n en kWh.</w:t>
      </w:r>
    </w:p>
    <w:p w14:paraId="65D5C6B1" w14:textId="77777777" w:rsidR="00F5024B" w:rsidRPr="00AE1BAD" w:rsidRDefault="00F5024B" w:rsidP="00F5024B">
      <w:pPr>
        <w:spacing w:before="0" w:after="0"/>
        <w:rPr>
          <w:color w:val="auto"/>
        </w:rPr>
      </w:pPr>
    </w:p>
    <w:p w14:paraId="55346FEE" w14:textId="77777777" w:rsidR="00F5024B" w:rsidRPr="00AE1BAD" w:rsidRDefault="00F5024B" w:rsidP="00F5024B">
      <w:pPr>
        <w:spacing w:before="0" w:after="0"/>
        <w:rPr>
          <w:color w:val="auto"/>
        </w:rPr>
      </w:pPr>
      <w:r w:rsidRPr="00AE1BAD">
        <w:rPr>
          <w:color w:val="auto"/>
        </w:rPr>
        <w:t>n:</w:t>
      </w:r>
      <w:r w:rsidRPr="00AE1BAD">
        <w:rPr>
          <w:color w:val="auto"/>
        </w:rPr>
        <w:tab/>
      </w:r>
      <w:r w:rsidRPr="00882FCC">
        <w:rPr>
          <w:i w:val="0"/>
          <w:iCs w:val="0"/>
          <w:color w:val="auto"/>
        </w:rPr>
        <w:t>Nivel de tensión 1 o 2, según la Resolución CREG 015 de 2018 o aquellas que la modifiquen, adicionen o sustituyan</w:t>
      </w:r>
      <w:r w:rsidRPr="00AE1BAD">
        <w:rPr>
          <w:color w:val="auto"/>
        </w:rPr>
        <w:t>.</w:t>
      </w:r>
    </w:p>
    <w:p w14:paraId="57B6F26C" w14:textId="77777777" w:rsidR="00F5024B" w:rsidRPr="009D461C" w:rsidRDefault="00F5024B" w:rsidP="00F5024B">
      <w:pPr>
        <w:spacing w:before="0" w:after="0"/>
        <w:rPr>
          <w:color w:val="auto"/>
        </w:rPr>
      </w:pPr>
    </w:p>
    <w:p w14:paraId="207F07D5" w14:textId="77777777" w:rsidR="00F5024B" w:rsidRPr="00EA4058" w:rsidRDefault="00F5024B" w:rsidP="00F5024B">
      <w:pPr>
        <w:pStyle w:val="Artculo1"/>
        <w:keepNext w:val="0"/>
        <w:ind w:left="0" w:firstLine="0"/>
        <w:rPr>
          <w:i w:val="0"/>
          <w:color w:val="auto"/>
        </w:rPr>
      </w:pPr>
      <w:r w:rsidRPr="009D461C">
        <w:rPr>
          <w:i w:val="0"/>
          <w:iCs w:val="0"/>
          <w:color w:val="auto"/>
        </w:rPr>
        <w:t xml:space="preserve">Tarifa </w:t>
      </w:r>
      <w:r w:rsidRPr="009D461C">
        <w:rPr>
          <w:i w:val="0"/>
          <w:iCs w:val="0"/>
          <w:color w:val="auto"/>
          <w:lang w:val="es-ES_tradnl"/>
        </w:rPr>
        <w:t>de Suministro de energía eléctrica destinado al Servicio de Alumbrado Público</w:t>
      </w:r>
      <w:r w:rsidRPr="009D461C">
        <w:rPr>
          <w:i w:val="0"/>
          <w:iCs w:val="0"/>
          <w:color w:val="auto"/>
        </w:rPr>
        <w:t>.</w:t>
      </w:r>
      <w:r w:rsidRPr="009D461C">
        <w:rPr>
          <w:b w:val="0"/>
          <w:bCs w:val="0"/>
          <w:i w:val="0"/>
          <w:iCs w:val="0"/>
          <w:color w:val="auto"/>
        </w:rPr>
        <w:t xml:space="preserve"> </w:t>
      </w:r>
      <w:r w:rsidRPr="002F7DDE">
        <w:rPr>
          <w:b w:val="0"/>
          <w:bCs w:val="0"/>
          <w:i w:val="0"/>
          <w:iCs w:val="0"/>
          <w:color w:val="auto"/>
        </w:rPr>
        <w:t>La tarifa de suministro de energía eléctrica para el Servicio de Alumbrado Público está sometida a un régimen de tarifas de libre negociación entre las empresas comercializadoras de energía eléctrica</w:t>
      </w:r>
      <w:r>
        <w:rPr>
          <w:b w:val="0"/>
          <w:bCs w:val="0"/>
          <w:i w:val="0"/>
          <w:iCs w:val="0"/>
          <w:color w:val="auto"/>
        </w:rPr>
        <w:t xml:space="preserve"> y</w:t>
      </w:r>
      <w:r w:rsidRPr="002F7DDE">
        <w:rPr>
          <w:b w:val="0"/>
          <w:bCs w:val="0"/>
          <w:i w:val="0"/>
          <w:iCs w:val="0"/>
          <w:color w:val="auto"/>
        </w:rPr>
        <w:t xml:space="preserve"> los municipios o </w:t>
      </w:r>
      <w:r w:rsidRPr="002F7DDE">
        <w:rPr>
          <w:b w:val="0"/>
          <w:i w:val="0"/>
          <w:color w:val="auto"/>
        </w:rPr>
        <w:t>distritos que adquieran energía eléctrica con destino al alumbrado público.</w:t>
      </w:r>
    </w:p>
    <w:p w14:paraId="445C2DC0" w14:textId="77777777" w:rsidR="00F5024B" w:rsidRDefault="00F5024B" w:rsidP="00F5024B">
      <w:pPr>
        <w:ind w:left="0" w:firstLine="0"/>
        <w:rPr>
          <w:i w:val="0"/>
          <w:color w:val="auto"/>
        </w:rPr>
      </w:pPr>
      <w:r w:rsidRPr="00BC5B3D">
        <w:rPr>
          <w:i w:val="0"/>
          <w:iCs w:val="0"/>
          <w:color w:val="auto"/>
        </w:rPr>
        <w:t>De conformidad con lo establecido en el artículo 29 de</w:t>
      </w:r>
      <w:r w:rsidRPr="00BC5B3D">
        <w:rPr>
          <w:i w:val="0"/>
          <w:color w:val="auto"/>
        </w:rPr>
        <w:t xml:space="preserve"> la Ley 1150 de 200</w:t>
      </w:r>
      <w:r w:rsidRPr="00942F2C">
        <w:rPr>
          <w:i w:val="0"/>
          <w:color w:val="auto"/>
        </w:rPr>
        <w:t>7 y en el artículo 7 del decreto 943 de 2018</w:t>
      </w:r>
      <w:r>
        <w:rPr>
          <w:i w:val="0"/>
          <w:color w:val="auto"/>
        </w:rPr>
        <w:t>,</w:t>
      </w:r>
      <w:r w:rsidRPr="00942F2C">
        <w:rPr>
          <w:i w:val="0"/>
          <w:color w:val="auto"/>
        </w:rPr>
        <w:t xml:space="preserve"> que modifica el artículo 2</w:t>
      </w:r>
      <w:r w:rsidRPr="00BC5B3D">
        <w:rPr>
          <w:i w:val="0"/>
          <w:color w:val="auto"/>
        </w:rPr>
        <w:t>.2.3.6.1.5. del decreto 107</w:t>
      </w:r>
      <w:r>
        <w:rPr>
          <w:i w:val="0"/>
          <w:color w:val="auto"/>
        </w:rPr>
        <w:t>3</w:t>
      </w:r>
      <w:r w:rsidRPr="00BC5B3D">
        <w:rPr>
          <w:i w:val="0"/>
          <w:color w:val="auto"/>
        </w:rPr>
        <w:t xml:space="preserve"> de 2015</w:t>
      </w:r>
      <w:r>
        <w:rPr>
          <w:i w:val="0"/>
          <w:color w:val="auto"/>
        </w:rPr>
        <w:t>,</w:t>
      </w:r>
      <w:r w:rsidRPr="00BC5B3D">
        <w:rPr>
          <w:i w:val="0"/>
          <w:color w:val="auto"/>
        </w:rPr>
        <w:t xml:space="preserve"> los municipios y distritos deberán celebrar contratos de suministro de energía con destino al alumbrado público</w:t>
      </w:r>
      <w:r>
        <w:rPr>
          <w:i w:val="0"/>
          <w:color w:val="auto"/>
        </w:rPr>
        <w:t>,</w:t>
      </w:r>
      <w:r w:rsidRPr="00BC5B3D">
        <w:rPr>
          <w:i w:val="0"/>
          <w:color w:val="auto"/>
        </w:rPr>
        <w:t xml:space="preserve"> los cuales se regirán por las leyes 142 y 143 y la regulación expedida por la CREG.</w:t>
      </w:r>
    </w:p>
    <w:p w14:paraId="1F540182" w14:textId="77777777" w:rsidR="00F5024B" w:rsidRPr="003F060A" w:rsidRDefault="00F5024B" w:rsidP="00F5024B">
      <w:pPr>
        <w:spacing w:before="0"/>
        <w:ind w:left="0" w:firstLine="0"/>
        <w:rPr>
          <w:bCs/>
          <w:i w:val="0"/>
          <w:iCs w:val="0"/>
          <w:color w:val="auto"/>
        </w:rPr>
      </w:pPr>
      <w:r w:rsidRPr="003F060A">
        <w:rPr>
          <w:b/>
          <w:i w:val="0"/>
          <w:iCs w:val="0"/>
          <w:color w:val="auto"/>
        </w:rPr>
        <w:t xml:space="preserve">Parágrafo. </w:t>
      </w:r>
      <w:r>
        <w:rPr>
          <w:bCs/>
          <w:i w:val="0"/>
          <w:iCs w:val="0"/>
          <w:color w:val="auto"/>
        </w:rPr>
        <w:t>La tarifa</w:t>
      </w:r>
      <w:r w:rsidRPr="003F060A">
        <w:rPr>
          <w:bCs/>
          <w:i w:val="0"/>
          <w:iCs w:val="0"/>
          <w:color w:val="auto"/>
        </w:rPr>
        <w:t xml:space="preserve"> correspondiente a las componentes de generación y </w:t>
      </w:r>
      <w:r w:rsidRPr="004736A3">
        <w:rPr>
          <w:bCs/>
          <w:i w:val="0"/>
          <w:iCs w:val="0"/>
          <w:color w:val="auto"/>
        </w:rPr>
        <w:t>comercialización de energía estarán sometidos a un régimen de libre negociación entre las empresas comercializadoras de energía eléctrica y los municipios y/o distritos que adquieran energía eléctrica con destino al alumbrado público.</w:t>
      </w:r>
    </w:p>
    <w:p w14:paraId="74CA9B22" w14:textId="77777777" w:rsidR="00F5024B" w:rsidRPr="00BF3D78" w:rsidRDefault="00F5024B" w:rsidP="00F5024B">
      <w:pPr>
        <w:pStyle w:val="Artculo1"/>
        <w:keepNext w:val="0"/>
        <w:ind w:left="0" w:firstLine="0"/>
        <w:rPr>
          <w:i w:val="0"/>
          <w:iCs w:val="0"/>
          <w:color w:val="auto"/>
        </w:rPr>
      </w:pPr>
      <w:r w:rsidRPr="00576E7E">
        <w:rPr>
          <w:i w:val="0"/>
          <w:iCs w:val="0"/>
          <w:color w:val="auto"/>
        </w:rPr>
        <w:t>Tarifa de transmisión para el sistema de Alumbrado público.</w:t>
      </w:r>
      <w:r w:rsidRPr="00576E7E">
        <w:rPr>
          <w:b w:val="0"/>
          <w:bCs w:val="0"/>
          <w:i w:val="0"/>
          <w:iCs w:val="0"/>
          <w:color w:val="auto"/>
        </w:rPr>
        <w:t xml:space="preserve"> Todos los usuarios del </w:t>
      </w:r>
      <w:r>
        <w:rPr>
          <w:b w:val="0"/>
          <w:bCs w:val="0"/>
          <w:i w:val="0"/>
          <w:iCs w:val="0"/>
          <w:color w:val="auto"/>
        </w:rPr>
        <w:t>S</w:t>
      </w:r>
      <w:r w:rsidRPr="00576E7E">
        <w:rPr>
          <w:b w:val="0"/>
          <w:bCs w:val="0"/>
          <w:i w:val="0"/>
          <w:iCs w:val="0"/>
          <w:color w:val="auto"/>
        </w:rPr>
        <w:t xml:space="preserve">istema </w:t>
      </w:r>
      <w:r>
        <w:rPr>
          <w:b w:val="0"/>
          <w:bCs w:val="0"/>
          <w:i w:val="0"/>
          <w:iCs w:val="0"/>
          <w:color w:val="auto"/>
        </w:rPr>
        <w:t>I</w:t>
      </w:r>
      <w:r w:rsidRPr="00576E7E">
        <w:rPr>
          <w:b w:val="0"/>
          <w:bCs w:val="0"/>
          <w:i w:val="0"/>
          <w:iCs w:val="0"/>
          <w:color w:val="auto"/>
        </w:rPr>
        <w:t xml:space="preserve">nterconectado </w:t>
      </w:r>
      <w:r>
        <w:rPr>
          <w:b w:val="0"/>
          <w:bCs w:val="0"/>
          <w:i w:val="0"/>
          <w:iCs w:val="0"/>
          <w:color w:val="auto"/>
        </w:rPr>
        <w:t>N</w:t>
      </w:r>
      <w:r w:rsidRPr="00576E7E">
        <w:rPr>
          <w:b w:val="0"/>
          <w:bCs w:val="0"/>
          <w:i w:val="0"/>
          <w:iCs w:val="0"/>
          <w:color w:val="auto"/>
        </w:rPr>
        <w:t>acional, SIN, incluyendo los municipios y distritos</w:t>
      </w:r>
      <w:r>
        <w:rPr>
          <w:b w:val="0"/>
          <w:bCs w:val="0"/>
          <w:i w:val="0"/>
          <w:iCs w:val="0"/>
          <w:color w:val="auto"/>
        </w:rPr>
        <w:t>,</w:t>
      </w:r>
      <w:r w:rsidRPr="00576E7E">
        <w:rPr>
          <w:b w:val="0"/>
          <w:bCs w:val="0"/>
          <w:i w:val="0"/>
          <w:iCs w:val="0"/>
          <w:color w:val="auto"/>
        </w:rPr>
        <w:t xml:space="preserve"> deben pagar la tarifa correspondiente a transmisión nacional y transmisión regional.</w:t>
      </w:r>
    </w:p>
    <w:p w14:paraId="1BAE6F6D" w14:textId="77777777" w:rsidR="00F5024B" w:rsidRPr="009431E3" w:rsidRDefault="00F5024B" w:rsidP="00F5024B">
      <w:pPr>
        <w:pStyle w:val="Artculo1"/>
        <w:keepNext w:val="0"/>
        <w:ind w:left="0" w:firstLine="0"/>
        <w:rPr>
          <w:b w:val="0"/>
          <w:bCs w:val="0"/>
          <w:i w:val="0"/>
          <w:iCs w:val="0"/>
          <w:color w:val="auto"/>
        </w:rPr>
      </w:pPr>
      <w:r w:rsidRPr="00783007">
        <w:rPr>
          <w:i w:val="0"/>
          <w:iCs w:val="0"/>
          <w:color w:val="auto"/>
        </w:rPr>
        <w:t>Tarifa de distribución para el servicio de Alumbrado Público</w:t>
      </w:r>
      <w:r w:rsidRPr="009431E3">
        <w:rPr>
          <w:i w:val="0"/>
          <w:iCs w:val="0"/>
          <w:color w:val="auto"/>
        </w:rPr>
        <w:t xml:space="preserve">. </w:t>
      </w:r>
      <w:r w:rsidRPr="009431E3">
        <w:rPr>
          <w:b w:val="0"/>
          <w:bCs w:val="0"/>
          <w:i w:val="0"/>
          <w:iCs w:val="0"/>
          <w:color w:val="auto"/>
        </w:rPr>
        <w:t>La tarifa de distribución para el servicio de alumbrado público se cobrará así:</w:t>
      </w:r>
    </w:p>
    <w:p w14:paraId="0DF556AF" w14:textId="77777777" w:rsidR="00F5024B" w:rsidRPr="003F060A" w:rsidRDefault="00F5024B" w:rsidP="00F5024B">
      <w:pPr>
        <w:pStyle w:val="Prrafodelista"/>
        <w:numPr>
          <w:ilvl w:val="0"/>
          <w:numId w:val="60"/>
        </w:numPr>
        <w:spacing w:before="0"/>
        <w:ind w:left="426" w:hanging="283"/>
        <w:rPr>
          <w:i w:val="0"/>
          <w:iCs w:val="0"/>
          <w:color w:val="auto"/>
          <w:sz w:val="24"/>
          <w:szCs w:val="24"/>
        </w:rPr>
      </w:pPr>
      <w:r w:rsidRPr="003F060A">
        <w:rPr>
          <w:i w:val="0"/>
          <w:iCs w:val="0"/>
          <w:color w:val="auto"/>
          <w:sz w:val="24"/>
          <w:szCs w:val="24"/>
        </w:rPr>
        <w:t xml:space="preserve">Cuando existan </w:t>
      </w:r>
      <w:r w:rsidRPr="003F060A">
        <w:rPr>
          <w:bCs/>
          <w:i w:val="0"/>
          <w:iCs w:val="0"/>
          <w:color w:val="auto"/>
          <w:sz w:val="24"/>
          <w:szCs w:val="24"/>
          <w:lang w:val="es-ES_tradnl"/>
        </w:rPr>
        <w:t>redes exclusivas para el servicio con</w:t>
      </w:r>
      <w:r w:rsidRPr="003F060A">
        <w:rPr>
          <w:i w:val="0"/>
          <w:iCs w:val="0"/>
          <w:color w:val="auto"/>
          <w:sz w:val="24"/>
          <w:szCs w:val="24"/>
        </w:rPr>
        <w:t xml:space="preserve"> medición </w:t>
      </w:r>
      <w:r w:rsidRPr="003F060A">
        <w:rPr>
          <w:bCs/>
          <w:i w:val="0"/>
          <w:iCs w:val="0"/>
          <w:color w:val="auto"/>
          <w:sz w:val="24"/>
          <w:szCs w:val="24"/>
          <w:lang w:val="es-ES_tradnl"/>
        </w:rPr>
        <w:t>grupal o individual de las luminarias</w:t>
      </w:r>
      <w:r w:rsidRPr="003F060A">
        <w:rPr>
          <w:i w:val="0"/>
          <w:iCs w:val="0"/>
          <w:color w:val="auto"/>
          <w:sz w:val="24"/>
          <w:szCs w:val="24"/>
        </w:rPr>
        <w:t xml:space="preserve">, la tarifa será la correspondiente al usuario </w:t>
      </w:r>
      <w:r w:rsidRPr="003F060A">
        <w:rPr>
          <w:i w:val="0"/>
          <w:iCs w:val="0"/>
          <w:color w:val="auto"/>
          <w:sz w:val="24"/>
          <w:szCs w:val="24"/>
        </w:rPr>
        <w:lastRenderedPageBreak/>
        <w:t xml:space="preserve">regulado del sector oficial en el nivel de tensión en el cual se encuentre </w:t>
      </w:r>
      <w:r w:rsidRPr="003F060A">
        <w:rPr>
          <w:bCs/>
          <w:i w:val="0"/>
          <w:iCs w:val="0"/>
          <w:color w:val="auto"/>
          <w:sz w:val="24"/>
          <w:szCs w:val="24"/>
          <w:lang w:val="es-ES_tradnl"/>
        </w:rPr>
        <w:t>la medida.</w:t>
      </w:r>
    </w:p>
    <w:p w14:paraId="180B1FE3" w14:textId="77777777" w:rsidR="00F5024B" w:rsidRDefault="00F5024B" w:rsidP="00F5024B">
      <w:pPr>
        <w:pStyle w:val="Prrafodelista"/>
        <w:numPr>
          <w:ilvl w:val="0"/>
          <w:numId w:val="60"/>
        </w:numPr>
        <w:spacing w:before="0"/>
        <w:ind w:left="426" w:hanging="283"/>
        <w:rPr>
          <w:bCs/>
          <w:i w:val="0"/>
          <w:iCs w:val="0"/>
          <w:color w:val="auto"/>
          <w:sz w:val="24"/>
          <w:szCs w:val="24"/>
          <w:lang w:val="es-ES_tradnl"/>
        </w:rPr>
      </w:pPr>
      <w:r w:rsidRPr="003F060A">
        <w:rPr>
          <w:bCs/>
          <w:i w:val="0"/>
          <w:iCs w:val="0"/>
          <w:color w:val="auto"/>
          <w:sz w:val="24"/>
          <w:szCs w:val="24"/>
          <w:lang w:val="es-ES_tradnl"/>
        </w:rPr>
        <w:t>Cuando no existan redes exclusivas para el servicio con medición o sin medición, grupal o individual de las luminarias, la tarifa será la correspondiente al usuario regulado del sector oficial en el nivel de tensión 2.</w:t>
      </w:r>
    </w:p>
    <w:p w14:paraId="7DD316A9" w14:textId="77777777" w:rsidR="00F5024B" w:rsidRPr="003F060A" w:rsidRDefault="00F5024B" w:rsidP="00F5024B">
      <w:pPr>
        <w:pStyle w:val="Prrafodelista"/>
        <w:numPr>
          <w:ilvl w:val="0"/>
          <w:numId w:val="60"/>
        </w:numPr>
        <w:spacing w:before="0"/>
        <w:ind w:left="426" w:hanging="283"/>
        <w:rPr>
          <w:bCs/>
          <w:i w:val="0"/>
          <w:iCs w:val="0"/>
          <w:color w:val="auto"/>
          <w:sz w:val="24"/>
          <w:szCs w:val="24"/>
          <w:lang w:val="es-ES_tradnl"/>
        </w:rPr>
      </w:pPr>
      <w:r>
        <w:rPr>
          <w:bCs/>
          <w:i w:val="0"/>
          <w:iCs w:val="0"/>
          <w:color w:val="auto"/>
          <w:sz w:val="24"/>
          <w:szCs w:val="24"/>
          <w:lang w:val="es-ES_tradnl"/>
        </w:rPr>
        <w:t>Las inversiones del sistema de alumbrado público que no forman parte del sistema de distribución serán remuneradas conforme lo establecido en el anexo de la presente resolución.</w:t>
      </w:r>
    </w:p>
    <w:p w14:paraId="26195160" w14:textId="77777777" w:rsidR="00F5024B" w:rsidRDefault="00F5024B" w:rsidP="00F5024B">
      <w:pPr>
        <w:spacing w:before="0"/>
        <w:ind w:left="0" w:firstLine="0"/>
        <w:rPr>
          <w:bCs/>
          <w:i w:val="0"/>
          <w:iCs w:val="0"/>
          <w:color w:val="auto"/>
        </w:rPr>
      </w:pPr>
      <w:r w:rsidRPr="003F060A">
        <w:rPr>
          <w:b/>
          <w:i w:val="0"/>
          <w:iCs w:val="0"/>
          <w:color w:val="auto"/>
        </w:rPr>
        <w:t xml:space="preserve">Parágrafo 1. </w:t>
      </w:r>
      <w:r w:rsidRPr="003F060A">
        <w:rPr>
          <w:bCs/>
          <w:i w:val="0"/>
          <w:iCs w:val="0"/>
          <w:color w:val="auto"/>
        </w:rPr>
        <w:t>La componente correspondiente a los cargos de distribución de energía eléctrica se regirá conforme a lo dispuesto en el literal v) del artículo 4 de la Resolución CREG 015 de 2018 o aquellas que la modifiquen, adicionen o sustituyan.</w:t>
      </w:r>
    </w:p>
    <w:p w14:paraId="34538CA5" w14:textId="77777777" w:rsidR="00F5024B" w:rsidRPr="003F060A" w:rsidRDefault="00F5024B" w:rsidP="00F5024B">
      <w:pPr>
        <w:spacing w:before="0"/>
        <w:ind w:left="0" w:firstLine="0"/>
        <w:rPr>
          <w:bCs/>
          <w:i w:val="0"/>
          <w:iCs w:val="0"/>
          <w:color w:val="auto"/>
        </w:rPr>
      </w:pPr>
      <w:r w:rsidRPr="00942F2C">
        <w:rPr>
          <w:b/>
          <w:i w:val="0"/>
          <w:iCs w:val="0"/>
          <w:color w:val="auto"/>
        </w:rPr>
        <w:t>Parágrafo 2</w:t>
      </w:r>
      <w:r>
        <w:rPr>
          <w:bCs/>
          <w:i w:val="0"/>
          <w:iCs w:val="0"/>
          <w:color w:val="auto"/>
        </w:rPr>
        <w:t xml:space="preserve">. </w:t>
      </w:r>
      <w:r w:rsidRPr="00576E7E">
        <w:rPr>
          <w:i w:val="0"/>
          <w:iCs w:val="0"/>
          <w:color w:val="auto"/>
        </w:rPr>
        <w:t xml:space="preserve">Para el caso de los sistemas de alumbrado público ubicados en las Zonas No Interconectadas, ZNI, los municipios y distritos deberán pagar la tarifa de distribución del nivel de tensión al cual estén conectados los equipos de </w:t>
      </w:r>
      <w:r w:rsidRPr="00783007">
        <w:rPr>
          <w:i w:val="0"/>
          <w:iCs w:val="0"/>
          <w:color w:val="auto"/>
        </w:rPr>
        <w:t>alumbrado público.</w:t>
      </w:r>
    </w:p>
    <w:p w14:paraId="04475556" w14:textId="77777777" w:rsidR="00F5024B" w:rsidRPr="00312C84" w:rsidRDefault="00F5024B" w:rsidP="00F5024B">
      <w:pPr>
        <w:pStyle w:val="Artculo1"/>
        <w:keepNext w:val="0"/>
        <w:ind w:left="0" w:firstLine="0"/>
        <w:rPr>
          <w:i w:val="0"/>
          <w:iCs w:val="0"/>
          <w:color w:val="auto"/>
        </w:rPr>
      </w:pPr>
      <w:r w:rsidRPr="00E15781">
        <w:rPr>
          <w:i w:val="0"/>
          <w:color w:val="auto"/>
        </w:rPr>
        <w:t xml:space="preserve">Determinación del consumo de energía eléctrica para el Servicio de </w:t>
      </w:r>
      <w:r w:rsidRPr="32A1DCDF" w:rsidDel="004D6EC2">
        <w:rPr>
          <w:i w:val="0"/>
          <w:color w:val="auto"/>
          <w:lang w:val="es-ES"/>
        </w:rPr>
        <w:t>Alumbrado</w:t>
      </w:r>
      <w:r w:rsidRPr="00E15781">
        <w:rPr>
          <w:i w:val="0"/>
          <w:color w:val="auto"/>
          <w:lang w:val="es-ES"/>
        </w:rPr>
        <w:t xml:space="preserve"> Público</w:t>
      </w:r>
      <w:r w:rsidRPr="00E15781">
        <w:rPr>
          <w:i w:val="0"/>
          <w:color w:val="auto"/>
        </w:rPr>
        <w:t xml:space="preserve">. </w:t>
      </w:r>
      <w:r w:rsidRPr="00FA7F69">
        <w:rPr>
          <w:b w:val="0"/>
          <w:bCs w:val="0"/>
          <w:i w:val="0"/>
          <w:iCs w:val="0"/>
          <w:color w:val="auto"/>
        </w:rPr>
        <w:t>La determinación del consumo con base en la carga instalada en el municipio o distrito para el servicio de alumbrado público se determina con base en la energía registrada en el medidor, cuando exista</w:t>
      </w:r>
      <w:r>
        <w:rPr>
          <w:b w:val="0"/>
          <w:bCs w:val="0"/>
          <w:i w:val="0"/>
          <w:iCs w:val="0"/>
          <w:color w:val="auto"/>
        </w:rPr>
        <w:t>(n)</w:t>
      </w:r>
      <w:r w:rsidRPr="00FA7F69">
        <w:rPr>
          <w:b w:val="0"/>
          <w:bCs w:val="0"/>
          <w:i w:val="0"/>
          <w:iCs w:val="0"/>
          <w:color w:val="auto"/>
        </w:rPr>
        <w:t xml:space="preserve"> medidor(es)</w:t>
      </w:r>
      <w:r>
        <w:rPr>
          <w:b w:val="0"/>
          <w:bCs w:val="0"/>
          <w:i w:val="0"/>
          <w:iCs w:val="0"/>
          <w:color w:val="auto"/>
        </w:rPr>
        <w:t>,</w:t>
      </w:r>
      <w:r w:rsidRPr="00FA7F69">
        <w:rPr>
          <w:b w:val="0"/>
          <w:bCs w:val="0"/>
          <w:i w:val="0"/>
          <w:iCs w:val="0"/>
          <w:color w:val="auto"/>
        </w:rPr>
        <w:t xml:space="preserve"> o con base en el aforo de las luminarias cuando no exista medidor de energía.</w:t>
      </w:r>
    </w:p>
    <w:p w14:paraId="3FA16AFB" w14:textId="77777777" w:rsidR="00F5024B" w:rsidRPr="00312C84" w:rsidRDefault="00F5024B" w:rsidP="00F5024B">
      <w:pPr>
        <w:rPr>
          <w:i w:val="0"/>
          <w:iCs w:val="0"/>
          <w:color w:val="auto"/>
        </w:rPr>
      </w:pPr>
      <w:r w:rsidRPr="00312C84">
        <w:rPr>
          <w:i w:val="0"/>
          <w:iCs w:val="0"/>
          <w:color w:val="auto"/>
        </w:rPr>
        <w:t>Para cada caso el municipio o distrito debe considerar:</w:t>
      </w:r>
    </w:p>
    <w:p w14:paraId="2E91F581" w14:textId="77777777" w:rsidR="00F5024B" w:rsidRPr="00A5235D" w:rsidRDefault="00F5024B" w:rsidP="00F5024B">
      <w:pPr>
        <w:pStyle w:val="Prrafodelista"/>
        <w:numPr>
          <w:ilvl w:val="0"/>
          <w:numId w:val="44"/>
        </w:numPr>
        <w:spacing w:before="120" w:after="120"/>
        <w:ind w:left="708" w:hanging="708"/>
        <w:rPr>
          <w:i w:val="0"/>
          <w:color w:val="auto"/>
          <w:sz w:val="24"/>
          <w:szCs w:val="24"/>
        </w:rPr>
      </w:pPr>
      <w:r w:rsidRPr="00DF2ACE">
        <w:rPr>
          <w:i w:val="0"/>
          <w:iCs w:val="0"/>
          <w:color w:val="auto"/>
          <w:sz w:val="24"/>
          <w:szCs w:val="24"/>
        </w:rPr>
        <w:t>Cuando el consumo de energía eléctrica para el servicio de alumbrado público sea medido, se cobrará el consumo registrado por el respectivo sistema de medida, de acuerdo con lo establecido en la Resolución CREG 038 de 2014 o aquellas que la modifiquen, adicionen o sustituyan.</w:t>
      </w:r>
    </w:p>
    <w:p w14:paraId="308412EE" w14:textId="77777777" w:rsidR="00F5024B" w:rsidRPr="00A5235D" w:rsidRDefault="00F5024B" w:rsidP="00F5024B">
      <w:pPr>
        <w:pStyle w:val="Prrafodelista"/>
        <w:numPr>
          <w:ilvl w:val="0"/>
          <w:numId w:val="44"/>
        </w:numPr>
        <w:spacing w:before="120" w:after="120"/>
        <w:ind w:left="708" w:hanging="708"/>
        <w:rPr>
          <w:i w:val="0"/>
          <w:color w:val="auto"/>
        </w:rPr>
      </w:pPr>
      <w:r w:rsidRPr="00456881">
        <w:rPr>
          <w:i w:val="0"/>
          <w:color w:val="auto"/>
          <w:sz w:val="24"/>
          <w:szCs w:val="24"/>
        </w:rPr>
        <w:t>Cuando el consumo de energía eléctrica para el servicio de alumbrado público debe determinarse mediante</w:t>
      </w:r>
      <w:r w:rsidRPr="00456881">
        <w:rPr>
          <w:i w:val="0"/>
          <w:iCs w:val="0"/>
          <w:color w:val="auto"/>
          <w:sz w:val="24"/>
          <w:szCs w:val="24"/>
        </w:rPr>
        <w:t xml:space="preserve"> aforo de carga de las luminarias, se deben considerar solamente las luminarias </w:t>
      </w:r>
      <w:r w:rsidRPr="00456881">
        <w:rPr>
          <w:i w:val="0"/>
          <w:color w:val="auto"/>
          <w:sz w:val="24"/>
          <w:szCs w:val="24"/>
        </w:rPr>
        <w:t>que se encuentren en funcionamiento, dentro del horario permitido, en el respectivo municipio o distrito, multiplicada por un factor de utilización expresado en horas/día y por el número de días del período de facturación utilizado para el cobro, aplicando la siguiente fórmula para cada nivel de tensión n:</w:t>
      </w:r>
    </w:p>
    <w:p w14:paraId="55D70FB9" w14:textId="77777777" w:rsidR="00F5024B" w:rsidRPr="0043624E" w:rsidRDefault="00F5024B" w:rsidP="00F5024B">
      <w:pPr>
        <w:spacing w:before="0" w:after="0"/>
        <w:ind w:left="0" w:firstLine="0"/>
        <w:rPr>
          <w:i w:val="0"/>
          <w:color w:val="auto"/>
        </w:rPr>
      </w:pPr>
    </w:p>
    <w:p w14:paraId="36830F30" w14:textId="77777777" w:rsidR="00F5024B" w:rsidRPr="0043624E" w:rsidRDefault="00F5024B" w:rsidP="00F5024B">
      <w:pPr>
        <w:spacing w:before="0" w:after="0"/>
        <w:ind w:left="0" w:firstLine="0"/>
        <w:rPr>
          <w:b/>
          <w:color w:val="auto"/>
          <w:lang w:val="es-CO"/>
        </w:rPr>
      </w:pPr>
      <m:oMathPara>
        <m:oMath>
          <m:r>
            <w:rPr>
              <w:rFonts w:ascii="Cambria Math" w:hAnsi="Cambria Math"/>
              <w:color w:val="auto"/>
            </w:rPr>
            <m:t>C</m:t>
          </m:r>
          <m:sSub>
            <m:sSubPr>
              <m:ctrlPr>
                <w:rPr>
                  <w:rFonts w:ascii="Cambria Math" w:hAnsi="Cambria Math"/>
                  <w:color w:val="auto"/>
                </w:rPr>
              </m:ctrlPr>
            </m:sSubPr>
            <m:e>
              <m:r>
                <w:rPr>
                  <w:rFonts w:ascii="Cambria Math" w:hAnsi="Cambria Math"/>
                  <w:color w:val="auto"/>
                </w:rPr>
                <m:t>EE</m:t>
              </m:r>
            </m:e>
            <m:sub>
              <m:r>
                <w:rPr>
                  <w:rFonts w:ascii="Cambria Math" w:eastAsia="Cambria Math" w:hAnsi="Cambria Math"/>
                  <w:color w:val="auto"/>
                </w:rPr>
                <m:t>n</m:t>
              </m:r>
            </m:sub>
          </m:sSub>
          <m:r>
            <w:rPr>
              <w:rFonts w:ascii="Cambria Math" w:hAnsi="Cambria Math"/>
              <w:color w:val="auto"/>
            </w:rPr>
            <m:t>=</m:t>
          </m:r>
          <m:nary>
            <m:naryPr>
              <m:chr m:val="∑"/>
              <m:grow m:val="1"/>
              <m:ctrlPr>
                <w:rPr>
                  <w:rFonts w:ascii="Cambria Math" w:hAnsi="Cambria Math"/>
                  <w:color w:val="auto"/>
                </w:rPr>
              </m:ctrlPr>
            </m:naryPr>
            <m:sub>
              <m:r>
                <w:rPr>
                  <w:rFonts w:ascii="Cambria Math" w:hAnsi="Cambria Math"/>
                  <w:color w:val="auto"/>
                </w:rPr>
                <m:t>i=1</m:t>
              </m:r>
            </m:sub>
            <m:sup>
              <m:r>
                <w:rPr>
                  <w:rFonts w:ascii="Cambria Math" w:hAnsi="Cambria Math"/>
                  <w:color w:val="auto"/>
                </w:rPr>
                <m:t>3</m:t>
              </m:r>
            </m:sup>
            <m:e>
              <m:d>
                <m:dPr>
                  <m:ctrlPr>
                    <w:rPr>
                      <w:rFonts w:ascii="Cambria Math" w:hAnsi="Cambria Math"/>
                      <w:color w:val="auto"/>
                    </w:rPr>
                  </m:ctrlPr>
                </m:dPr>
                <m:e>
                  <m:sSub>
                    <m:sSubPr>
                      <m:ctrlPr>
                        <w:rPr>
                          <w:rFonts w:ascii="Cambria Math" w:hAnsi="Cambria Math"/>
                          <w:color w:val="auto"/>
                        </w:rPr>
                      </m:ctrlPr>
                    </m:sSubPr>
                    <m:e>
                      <m:r>
                        <w:rPr>
                          <w:rFonts w:ascii="Cambria Math" w:eastAsia="Cambria Math" w:hAnsi="Cambria Math"/>
                          <w:color w:val="auto"/>
                        </w:rPr>
                        <m:t xml:space="preserve">Q </m:t>
                      </m:r>
                    </m:e>
                    <m:sub>
                      <m:r>
                        <w:rPr>
                          <w:rFonts w:ascii="Cambria Math" w:eastAsia="Cambria Math" w:hAnsi="Cambria Math"/>
                          <w:color w:val="auto"/>
                        </w:rPr>
                        <m:t>n,i</m:t>
                      </m:r>
                    </m:sub>
                  </m:sSub>
                  <m:r>
                    <w:rPr>
                      <w:rFonts w:ascii="Cambria Math" w:eastAsia="Cambria Math" w:hAnsi="Cambria Math"/>
                      <w:color w:val="auto"/>
                    </w:rPr>
                    <m:t>*</m:t>
                  </m:r>
                  <m:sSub>
                    <m:sSubPr>
                      <m:ctrlPr>
                        <w:rPr>
                          <w:rFonts w:ascii="Cambria Math" w:hAnsi="Cambria Math"/>
                          <w:color w:val="auto"/>
                        </w:rPr>
                      </m:ctrlPr>
                    </m:sSubPr>
                    <m:e>
                      <m:r>
                        <w:rPr>
                          <w:rFonts w:ascii="Cambria Math" w:eastAsia="Cambria Math" w:hAnsi="Cambria Math"/>
                          <w:color w:val="auto"/>
                        </w:rPr>
                        <m:t>T</m:t>
                      </m:r>
                    </m:e>
                    <m:sub>
                      <m:r>
                        <w:rPr>
                          <w:rFonts w:ascii="Cambria Math" w:eastAsia="Cambria Math" w:hAnsi="Cambria Math"/>
                          <w:color w:val="auto"/>
                        </w:rPr>
                        <m:t>n,i</m:t>
                      </m:r>
                    </m:sub>
                  </m:sSub>
                  <m:r>
                    <w:rPr>
                      <w:rFonts w:ascii="Cambria Math" w:hAnsi="Cambria Math"/>
                      <w:color w:val="auto"/>
                    </w:rPr>
                    <m:t xml:space="preserve">* </m:t>
                  </m:r>
                  <m:sSub>
                    <m:sSubPr>
                      <m:ctrlPr>
                        <w:rPr>
                          <w:rFonts w:ascii="Cambria Math" w:hAnsi="Cambria Math"/>
                          <w:color w:val="auto"/>
                        </w:rPr>
                      </m:ctrlPr>
                    </m:sSubPr>
                    <m:e>
                      <m:r>
                        <w:rPr>
                          <w:rFonts w:ascii="Cambria Math" w:eastAsia="Cambria Math" w:hAnsi="Cambria Math"/>
                          <w:color w:val="auto"/>
                        </w:rPr>
                        <m:t>DPF</m:t>
                      </m:r>
                    </m:e>
                    <m:sub>
                      <m:r>
                        <w:rPr>
                          <w:rFonts w:ascii="Cambria Math" w:eastAsia="Cambria Math" w:hAnsi="Cambria Math"/>
                          <w:color w:val="auto"/>
                        </w:rPr>
                        <m:t>n</m:t>
                      </m:r>
                    </m:sub>
                  </m:sSub>
                </m:e>
              </m:d>
            </m:e>
          </m:nary>
        </m:oMath>
      </m:oMathPara>
    </w:p>
    <w:p w14:paraId="5CEA7C41" w14:textId="77777777" w:rsidR="00F5024B" w:rsidRPr="0043624E" w:rsidRDefault="00F5024B" w:rsidP="00F5024B">
      <w:pPr>
        <w:spacing w:before="0" w:after="0"/>
        <w:rPr>
          <w:color w:val="auto"/>
          <w:lang w:val="es-CO"/>
        </w:rPr>
      </w:pPr>
    </w:p>
    <w:p w14:paraId="2AAD9EF5" w14:textId="77777777" w:rsidR="00F5024B" w:rsidRPr="0043624E" w:rsidRDefault="00F5024B" w:rsidP="00F5024B">
      <w:pPr>
        <w:spacing w:before="0" w:after="0"/>
        <w:rPr>
          <w:i w:val="0"/>
          <w:color w:val="auto"/>
        </w:rPr>
      </w:pPr>
      <w:r w:rsidRPr="0043624E">
        <w:rPr>
          <w:i w:val="0"/>
          <w:color w:val="auto"/>
        </w:rPr>
        <w:t>Donde:</w:t>
      </w:r>
    </w:p>
    <w:p w14:paraId="61B7F292" w14:textId="77777777" w:rsidR="00F5024B" w:rsidRPr="0043624E" w:rsidRDefault="00F5024B" w:rsidP="00F5024B">
      <w:pPr>
        <w:spacing w:before="0" w:after="0"/>
        <w:rPr>
          <w:i w:val="0"/>
          <w:color w:val="auto"/>
        </w:rPr>
      </w:pPr>
    </w:p>
    <w:p w14:paraId="68E1B583" w14:textId="77777777" w:rsidR="00F5024B" w:rsidRPr="00882FCC" w:rsidRDefault="00F5024B" w:rsidP="00F5024B">
      <w:pPr>
        <w:spacing w:before="0"/>
        <w:rPr>
          <w:i w:val="0"/>
          <w:iCs w:val="0"/>
          <w:color w:val="auto"/>
        </w:rPr>
      </w:pPr>
      <w:proofErr w:type="spellStart"/>
      <w:r w:rsidRPr="00AE1BAD">
        <w:rPr>
          <w:color w:val="auto"/>
        </w:rPr>
        <w:t>CEE</w:t>
      </w:r>
      <w:r w:rsidRPr="00B22979">
        <w:rPr>
          <w:color w:val="auto"/>
          <w:vertAlign w:val="subscript"/>
        </w:rPr>
        <w:t>n</w:t>
      </w:r>
      <w:proofErr w:type="spellEnd"/>
      <w:r w:rsidRPr="00AE1BAD">
        <w:rPr>
          <w:color w:val="auto"/>
        </w:rPr>
        <w:t>:</w:t>
      </w:r>
      <w:r w:rsidRPr="00AE1BAD">
        <w:rPr>
          <w:color w:val="auto"/>
        </w:rPr>
        <w:tab/>
      </w:r>
      <w:r w:rsidRPr="00882FCC">
        <w:rPr>
          <w:i w:val="0"/>
          <w:iCs w:val="0"/>
          <w:color w:val="auto"/>
        </w:rPr>
        <w:t>Consumo de energía eléctrica para el Sistema de Alumbrado Público, en el nivel de tensión n en kWh.</w:t>
      </w:r>
    </w:p>
    <w:p w14:paraId="35FD40B3" w14:textId="77777777" w:rsidR="00F5024B" w:rsidRPr="00882FCC" w:rsidRDefault="00F5024B" w:rsidP="00F5024B">
      <w:pPr>
        <w:spacing w:before="0"/>
        <w:rPr>
          <w:i w:val="0"/>
          <w:iCs w:val="0"/>
          <w:color w:val="auto"/>
        </w:rPr>
      </w:pPr>
      <w:r w:rsidRPr="00AE1BAD">
        <w:rPr>
          <w:color w:val="auto"/>
        </w:rPr>
        <w:t>n:</w:t>
      </w:r>
      <w:r w:rsidRPr="00AE1BAD">
        <w:rPr>
          <w:color w:val="auto"/>
        </w:rPr>
        <w:tab/>
      </w:r>
      <w:r w:rsidRPr="00882FCC">
        <w:rPr>
          <w:i w:val="0"/>
          <w:iCs w:val="0"/>
          <w:color w:val="auto"/>
        </w:rPr>
        <w:t>Nivel de tensión 1 o 2.</w:t>
      </w:r>
    </w:p>
    <w:p w14:paraId="4FA7F243" w14:textId="77777777" w:rsidR="00F5024B" w:rsidRPr="00AE1BAD" w:rsidRDefault="00F5024B" w:rsidP="00F5024B">
      <w:pPr>
        <w:spacing w:before="0" w:after="0"/>
        <w:rPr>
          <w:color w:val="auto"/>
        </w:rPr>
      </w:pPr>
      <w:r w:rsidRPr="00AE1BAD">
        <w:rPr>
          <w:color w:val="auto"/>
        </w:rPr>
        <w:lastRenderedPageBreak/>
        <w:t>i:</w:t>
      </w:r>
      <w:r w:rsidRPr="00AE1BAD">
        <w:rPr>
          <w:color w:val="auto"/>
        </w:rPr>
        <w:tab/>
      </w:r>
      <w:r w:rsidRPr="00882FCC">
        <w:rPr>
          <w:i w:val="0"/>
          <w:iCs w:val="0"/>
          <w:color w:val="auto"/>
        </w:rPr>
        <w:t>Clase de iluminación del Sistema de Alumbrado Público: 1 vías vehiculares; 2 vías para tráfico peatonal y ciclistas; 3 otras áreas de espacio público.</w:t>
      </w:r>
    </w:p>
    <w:p w14:paraId="7905C901" w14:textId="77777777" w:rsidR="00F5024B" w:rsidRPr="00AE1BAD" w:rsidRDefault="00F5024B" w:rsidP="00F5024B">
      <w:pPr>
        <w:spacing w:before="0" w:after="0"/>
        <w:rPr>
          <w:color w:val="auto"/>
        </w:rPr>
      </w:pPr>
      <w:proofErr w:type="spellStart"/>
      <w:r w:rsidRPr="00AE1BAD">
        <w:rPr>
          <w:color w:val="auto"/>
        </w:rPr>
        <w:t>Q</w:t>
      </w:r>
      <w:r w:rsidRPr="00AE1BAD">
        <w:rPr>
          <w:color w:val="auto"/>
          <w:sz w:val="36"/>
          <w:vertAlign w:val="subscript"/>
        </w:rPr>
        <w:t>n,i</w:t>
      </w:r>
      <w:proofErr w:type="spellEnd"/>
      <w:r w:rsidRPr="00AE1BAD">
        <w:rPr>
          <w:color w:val="auto"/>
        </w:rPr>
        <w:t>:</w:t>
      </w:r>
      <w:r w:rsidRPr="00AE1BAD">
        <w:rPr>
          <w:color w:val="auto"/>
        </w:rPr>
        <w:tab/>
      </w:r>
      <w:r w:rsidRPr="00882FCC">
        <w:rPr>
          <w:i w:val="0"/>
          <w:iCs w:val="0"/>
          <w:color w:val="auto"/>
        </w:rPr>
        <w:t>Carga instalada, corresponde a la carga en kW de las luminarias (incluye la de la bombilla o fuente luminosa y de los demás elementos internos para su funcionamiento), de los activos del Sistema de Alumbrado Público puestos en funcionamiento en el nivel de tensión n, de la clase de iluminación del Sistema de Alumbrado Público i. Qn,1 Carga de las luminarias de la iluminación de vías vehiculares; Qn,2 Carga de las luminarias de la iluminación de vías para tráfico peatonal y ciclistas y Qn,3 Carga de luminarias de otras áreas del espacio público.</w:t>
      </w:r>
      <w:r w:rsidRPr="00AE1BAD">
        <w:rPr>
          <w:color w:val="auto"/>
        </w:rPr>
        <w:t xml:space="preserve"> </w:t>
      </w:r>
    </w:p>
    <w:p w14:paraId="6DFD354E" w14:textId="77777777" w:rsidR="00F5024B" w:rsidRPr="00882FCC" w:rsidRDefault="00F5024B" w:rsidP="00F5024B">
      <w:pPr>
        <w:spacing w:before="0" w:after="0"/>
        <w:rPr>
          <w:i w:val="0"/>
          <w:iCs w:val="0"/>
          <w:color w:val="auto"/>
        </w:rPr>
      </w:pPr>
      <w:proofErr w:type="spellStart"/>
      <w:proofErr w:type="gramStart"/>
      <w:r w:rsidRPr="00AE1BAD">
        <w:rPr>
          <w:color w:val="auto"/>
        </w:rPr>
        <w:t>T</w:t>
      </w:r>
      <w:r w:rsidRPr="00AE1BAD">
        <w:rPr>
          <w:color w:val="auto"/>
          <w:sz w:val="36"/>
          <w:vertAlign w:val="subscript"/>
        </w:rPr>
        <w:t>n,i</w:t>
      </w:r>
      <w:proofErr w:type="spellEnd"/>
      <w:proofErr w:type="gramEnd"/>
      <w:r w:rsidRPr="00AE1BAD">
        <w:rPr>
          <w:color w:val="auto"/>
        </w:rPr>
        <w:t xml:space="preserve">: </w:t>
      </w:r>
      <w:r w:rsidRPr="00AE1BAD">
        <w:rPr>
          <w:color w:val="auto"/>
        </w:rPr>
        <w:tab/>
      </w:r>
      <w:r w:rsidRPr="00882FCC">
        <w:rPr>
          <w:i w:val="0"/>
          <w:iCs w:val="0"/>
          <w:color w:val="auto"/>
        </w:rPr>
        <w:t>Número de horas del período de facturación de las luminarias en el nivel de tensión n de la clase de iluminación i. De acuerdo con las condiciones generales de operación de los sistemas de iluminación de las vías vehiculares y de las vías para tráfico peatonal y ciclistas, las horas de prestación del servicio se establecen entre las 6 p.m. y las 6 a.m. El número de horas es entonces igual a doce (12) horas/día.</w:t>
      </w:r>
    </w:p>
    <w:p w14:paraId="25F2DA9D" w14:textId="77777777" w:rsidR="00F5024B" w:rsidRPr="00AE1BAD" w:rsidRDefault="00F5024B" w:rsidP="00F5024B">
      <w:pPr>
        <w:spacing w:before="0" w:after="0"/>
        <w:rPr>
          <w:color w:val="auto"/>
        </w:rPr>
      </w:pPr>
    </w:p>
    <w:p w14:paraId="70B97473" w14:textId="77777777" w:rsidR="00F5024B" w:rsidRPr="00882FCC" w:rsidRDefault="00F5024B" w:rsidP="00F5024B">
      <w:pPr>
        <w:spacing w:before="0" w:after="0"/>
        <w:rPr>
          <w:i w:val="0"/>
          <w:iCs w:val="0"/>
          <w:color w:val="auto"/>
        </w:rPr>
      </w:pPr>
      <w:r w:rsidRPr="00AE1BAD">
        <w:rPr>
          <w:color w:val="auto"/>
        </w:rPr>
        <w:tab/>
      </w:r>
      <w:r w:rsidRPr="00882FCC">
        <w:rPr>
          <w:i w:val="0"/>
          <w:iCs w:val="0"/>
          <w:color w:val="auto"/>
        </w:rPr>
        <w:t>Para la iluminación de otras áreas del espacio público a cargo del municipio, cuyas condiciones generales de operación son diferentes a las doce (12) horas/día, el municipio y/o distrito podrá pactar con la empresa comercializadora que suministre la energía eléctrica el número de horas/día correspondiente.</w:t>
      </w:r>
    </w:p>
    <w:p w14:paraId="15B5618E" w14:textId="77777777" w:rsidR="00F5024B" w:rsidRPr="004D6562" w:rsidRDefault="00F5024B" w:rsidP="00F5024B">
      <w:pPr>
        <w:spacing w:before="0" w:after="0"/>
        <w:rPr>
          <w:color w:val="auto"/>
          <w:sz w:val="18"/>
          <w:szCs w:val="18"/>
        </w:rPr>
      </w:pPr>
    </w:p>
    <w:p w14:paraId="6A6C4F23" w14:textId="77777777" w:rsidR="00F5024B" w:rsidRPr="00882FCC" w:rsidRDefault="00F5024B" w:rsidP="00F5024B">
      <w:pPr>
        <w:spacing w:before="0" w:after="0"/>
        <w:rPr>
          <w:i w:val="0"/>
          <w:iCs w:val="0"/>
          <w:color w:val="auto"/>
        </w:rPr>
      </w:pPr>
      <w:r w:rsidRPr="00AE1BAD">
        <w:rPr>
          <w:color w:val="auto"/>
        </w:rPr>
        <w:tab/>
      </w:r>
      <w:r w:rsidRPr="00882FCC">
        <w:rPr>
          <w:i w:val="0"/>
          <w:iCs w:val="0"/>
          <w:color w:val="auto"/>
        </w:rPr>
        <w:t>Del número total de horas de funcionamiento de un período de facturación, se debe descontar el número de horas en los cuales las diferentes clases de iluminación del Sistema de Alumbrado Público estuvieron fuera de servicio por ausencia de fluido eléctrico.</w:t>
      </w:r>
    </w:p>
    <w:p w14:paraId="5824E7A7" w14:textId="77777777" w:rsidR="00F5024B" w:rsidRPr="00882FCC" w:rsidRDefault="00F5024B" w:rsidP="00F5024B">
      <w:pPr>
        <w:spacing w:before="0"/>
        <w:rPr>
          <w:i w:val="0"/>
          <w:iCs w:val="0"/>
          <w:color w:val="auto"/>
        </w:rPr>
      </w:pPr>
      <w:proofErr w:type="spellStart"/>
      <w:r w:rsidRPr="00AE1BAD">
        <w:rPr>
          <w:color w:val="auto"/>
        </w:rPr>
        <w:t>DPF</w:t>
      </w:r>
      <w:r w:rsidRPr="00AE1BAD">
        <w:rPr>
          <w:color w:val="auto"/>
          <w:sz w:val="36"/>
          <w:vertAlign w:val="subscript"/>
        </w:rPr>
        <w:t>n</w:t>
      </w:r>
      <w:proofErr w:type="spellEnd"/>
      <w:r w:rsidRPr="00AE1BAD">
        <w:rPr>
          <w:color w:val="auto"/>
        </w:rPr>
        <w:t>:</w:t>
      </w:r>
      <w:r w:rsidRPr="00AE1BAD">
        <w:rPr>
          <w:color w:val="auto"/>
        </w:rPr>
        <w:tab/>
      </w:r>
      <w:r w:rsidRPr="00882FCC">
        <w:rPr>
          <w:i w:val="0"/>
          <w:iCs w:val="0"/>
          <w:color w:val="auto"/>
        </w:rPr>
        <w:t>Número de días del período de facturación acordado entre el municipio y/o distrito y la empresa comercializadora que suministra la energía eléctrica para las diferentes clases de iluminación que componen el Sistema de Alumbrado Público instalados en el nivel de tensión n.</w:t>
      </w:r>
    </w:p>
    <w:p w14:paraId="1AD7C7C3" w14:textId="77777777" w:rsidR="00F5024B" w:rsidRDefault="00F5024B" w:rsidP="00F5024B">
      <w:pPr>
        <w:spacing w:before="0" w:after="0"/>
        <w:ind w:left="0" w:firstLine="0"/>
        <w:rPr>
          <w:i w:val="0"/>
          <w:color w:val="auto"/>
        </w:rPr>
      </w:pPr>
      <w:r w:rsidRPr="00F65351">
        <w:rPr>
          <w:b/>
          <w:i w:val="0"/>
          <w:color w:val="auto"/>
        </w:rPr>
        <w:t>Parágrafo</w:t>
      </w:r>
      <w:r>
        <w:rPr>
          <w:b/>
          <w:i w:val="0"/>
          <w:color w:val="auto"/>
        </w:rPr>
        <w:t xml:space="preserve"> 1</w:t>
      </w:r>
      <w:r w:rsidRPr="00F65351">
        <w:rPr>
          <w:b/>
          <w:bCs/>
          <w:i w:val="0"/>
          <w:iCs w:val="0"/>
          <w:color w:val="auto"/>
        </w:rPr>
        <w:t>.</w:t>
      </w:r>
      <w:r w:rsidRPr="00F65351">
        <w:rPr>
          <w:i w:val="0"/>
          <w:iCs w:val="0"/>
          <w:color w:val="auto"/>
        </w:rPr>
        <w:tab/>
        <w:t xml:space="preserve">Los costos </w:t>
      </w:r>
      <w:r>
        <w:rPr>
          <w:i w:val="0"/>
          <w:iCs w:val="0"/>
          <w:color w:val="auto"/>
        </w:rPr>
        <w:t xml:space="preserve">de </w:t>
      </w:r>
      <w:r>
        <w:rPr>
          <w:i w:val="0"/>
          <w:color w:val="auto"/>
        </w:rPr>
        <w:t>la</w:t>
      </w:r>
      <w:r w:rsidRPr="00F65351">
        <w:rPr>
          <w:i w:val="0"/>
          <w:color w:val="auto"/>
        </w:rPr>
        <w:t xml:space="preserve"> energía eléctrica </w:t>
      </w:r>
      <w:r w:rsidRPr="00F65351">
        <w:rPr>
          <w:i w:val="0"/>
          <w:iCs w:val="0"/>
          <w:color w:val="auto"/>
        </w:rPr>
        <w:t>consumida por</w:t>
      </w:r>
      <w:r w:rsidRPr="00F65351">
        <w:rPr>
          <w:i w:val="0"/>
          <w:color w:val="auto"/>
        </w:rPr>
        <w:t xml:space="preserve"> las luminarias y sus accesorios, </w:t>
      </w:r>
      <w:r w:rsidRPr="00F65351">
        <w:rPr>
          <w:i w:val="0"/>
          <w:iCs w:val="0"/>
          <w:color w:val="auto"/>
        </w:rPr>
        <w:t>en los horarios no permitidos</w:t>
      </w:r>
      <w:r>
        <w:rPr>
          <w:i w:val="0"/>
          <w:iCs w:val="0"/>
          <w:color w:val="auto"/>
        </w:rPr>
        <w:t>,</w:t>
      </w:r>
      <w:r w:rsidRPr="00F65351">
        <w:rPr>
          <w:i w:val="0"/>
          <w:iCs w:val="0"/>
          <w:color w:val="auto"/>
        </w:rPr>
        <w:t xml:space="preserve"> o</w:t>
      </w:r>
      <w:r w:rsidRPr="00F65351">
        <w:rPr>
          <w:i w:val="0"/>
          <w:color w:val="auto"/>
        </w:rPr>
        <w:t xml:space="preserve"> cuando </w:t>
      </w:r>
      <w:r w:rsidRPr="00F65351">
        <w:rPr>
          <w:i w:val="0"/>
          <w:iCs w:val="0"/>
          <w:color w:val="auto"/>
        </w:rPr>
        <w:t>deban</w:t>
      </w:r>
      <w:r w:rsidRPr="00F65351">
        <w:rPr>
          <w:i w:val="0"/>
          <w:color w:val="auto"/>
        </w:rPr>
        <w:t xml:space="preserve"> estar apagadas, los asume el prestador del Servicio de Alumbrado Público</w:t>
      </w:r>
      <w:r>
        <w:rPr>
          <w:i w:val="0"/>
          <w:color w:val="auto"/>
        </w:rPr>
        <w:t>,</w:t>
      </w:r>
      <w:r w:rsidRPr="00F65351">
        <w:rPr>
          <w:i w:val="0"/>
          <w:color w:val="auto"/>
        </w:rPr>
        <w:t xml:space="preserve"> y se </w:t>
      </w:r>
      <w:r w:rsidRPr="00FA7F69">
        <w:rPr>
          <w:i w:val="0"/>
          <w:iCs w:val="0"/>
          <w:color w:val="auto"/>
        </w:rPr>
        <w:t>descontarán</w:t>
      </w:r>
      <w:r w:rsidRPr="00FA7F69">
        <w:rPr>
          <w:i w:val="0"/>
          <w:color w:val="auto"/>
        </w:rPr>
        <w:t xml:space="preserve"> de los costos del AOM a reconocer al prestador.</w:t>
      </w:r>
      <w:r>
        <w:rPr>
          <w:i w:val="0"/>
          <w:color w:val="auto"/>
        </w:rPr>
        <w:t xml:space="preserve"> </w:t>
      </w:r>
      <w:r w:rsidRPr="00BF3D78">
        <w:rPr>
          <w:i w:val="0"/>
          <w:color w:val="auto"/>
        </w:rPr>
        <w:t>En el contrato de suministro de energía con el comercializador, se establecerá c</w:t>
      </w:r>
      <w:r>
        <w:rPr>
          <w:i w:val="0"/>
          <w:color w:val="auto"/>
        </w:rPr>
        <w:t>ó</w:t>
      </w:r>
      <w:r w:rsidRPr="00BF3D78">
        <w:rPr>
          <w:i w:val="0"/>
          <w:color w:val="auto"/>
        </w:rPr>
        <w:t>mo se harán los descuentos de energía cuando deban estar apagadas o se preste en horarios no permitidos.</w:t>
      </w:r>
    </w:p>
    <w:p w14:paraId="6317525D" w14:textId="77777777" w:rsidR="00F5024B" w:rsidRDefault="00F5024B" w:rsidP="00F5024B">
      <w:pPr>
        <w:spacing w:before="0" w:after="0"/>
        <w:ind w:left="0" w:firstLine="0"/>
        <w:rPr>
          <w:i w:val="0"/>
          <w:color w:val="auto"/>
        </w:rPr>
      </w:pPr>
    </w:p>
    <w:p w14:paraId="10BFA16A" w14:textId="77777777" w:rsidR="00F5024B" w:rsidRDefault="00F5024B" w:rsidP="00F5024B">
      <w:pPr>
        <w:spacing w:before="0" w:after="0"/>
        <w:ind w:left="0" w:firstLine="0"/>
        <w:rPr>
          <w:i w:val="0"/>
          <w:iCs w:val="0"/>
          <w:color w:val="auto"/>
        </w:rPr>
      </w:pPr>
      <w:r w:rsidRPr="00FA7F69">
        <w:rPr>
          <w:b/>
          <w:i w:val="0"/>
          <w:iCs w:val="0"/>
          <w:color w:val="auto"/>
        </w:rPr>
        <w:t xml:space="preserve">Parágrafo </w:t>
      </w:r>
      <w:r>
        <w:rPr>
          <w:b/>
          <w:i w:val="0"/>
          <w:iCs w:val="0"/>
          <w:color w:val="auto"/>
        </w:rPr>
        <w:t>2</w:t>
      </w:r>
      <w:r w:rsidRPr="00FA7F69">
        <w:rPr>
          <w:b/>
          <w:i w:val="0"/>
          <w:iCs w:val="0"/>
          <w:color w:val="auto"/>
        </w:rPr>
        <w:t>.</w:t>
      </w:r>
      <w:r w:rsidRPr="00FA7F69">
        <w:rPr>
          <w:i w:val="0"/>
          <w:iCs w:val="0"/>
          <w:color w:val="auto"/>
        </w:rPr>
        <w:t xml:space="preserve"> El inventario de luminarias y demás componentes de la infraestructura del SALP deben estar debidamente registrados y actualizados en el Sistema de Información de Alumbrado Público, SIAP, de acuerdo con los criterios establecidos en el </w:t>
      </w:r>
      <w:r>
        <w:rPr>
          <w:i w:val="0"/>
          <w:iCs w:val="0"/>
          <w:color w:val="auto"/>
        </w:rPr>
        <w:t>RETILAP</w:t>
      </w:r>
      <w:r w:rsidRPr="00FA7F69">
        <w:rPr>
          <w:i w:val="0"/>
          <w:iCs w:val="0"/>
          <w:color w:val="auto"/>
        </w:rPr>
        <w:t>.</w:t>
      </w:r>
    </w:p>
    <w:p w14:paraId="22A01B01" w14:textId="77777777" w:rsidR="00F5024B" w:rsidRPr="00FA7F69" w:rsidRDefault="00F5024B" w:rsidP="00F5024B">
      <w:pPr>
        <w:spacing w:before="0" w:after="0"/>
        <w:ind w:left="0" w:firstLine="0"/>
        <w:rPr>
          <w:i w:val="0"/>
          <w:iCs w:val="0"/>
          <w:color w:val="auto"/>
        </w:rPr>
      </w:pPr>
    </w:p>
    <w:p w14:paraId="7338B161" w14:textId="77777777" w:rsidR="00F5024B" w:rsidRPr="00FA7F69" w:rsidRDefault="00F5024B" w:rsidP="00F5024B">
      <w:pPr>
        <w:spacing w:before="0"/>
        <w:ind w:left="0" w:firstLine="0"/>
        <w:rPr>
          <w:b/>
          <w:i w:val="0"/>
          <w:iCs w:val="0"/>
          <w:color w:val="auto"/>
        </w:rPr>
      </w:pPr>
      <w:r w:rsidRPr="00FA7F69">
        <w:rPr>
          <w:b/>
          <w:i w:val="0"/>
          <w:iCs w:val="0"/>
          <w:color w:val="auto"/>
        </w:rPr>
        <w:t xml:space="preserve">Parágrafo </w:t>
      </w:r>
      <w:r>
        <w:rPr>
          <w:b/>
          <w:i w:val="0"/>
          <w:iCs w:val="0"/>
          <w:color w:val="auto"/>
        </w:rPr>
        <w:t>3</w:t>
      </w:r>
      <w:r w:rsidRPr="00FA7F69">
        <w:rPr>
          <w:b/>
          <w:i w:val="0"/>
          <w:iCs w:val="0"/>
          <w:color w:val="auto"/>
        </w:rPr>
        <w:t xml:space="preserve">. </w:t>
      </w:r>
      <w:r w:rsidRPr="00FA7F69">
        <w:rPr>
          <w:bCs/>
          <w:i w:val="0"/>
          <w:iCs w:val="0"/>
          <w:color w:val="auto"/>
        </w:rPr>
        <w:t xml:space="preserve">En los contratos de suministro de energía eléctrica para el </w:t>
      </w:r>
      <w:r w:rsidRPr="00FA7F69">
        <w:rPr>
          <w:i w:val="0"/>
          <w:color w:val="auto"/>
        </w:rPr>
        <w:t xml:space="preserve">servicio de alumbrado público que suscriban los municipios </w:t>
      </w:r>
      <w:r>
        <w:rPr>
          <w:i w:val="0"/>
          <w:color w:val="auto"/>
        </w:rPr>
        <w:t>y</w:t>
      </w:r>
      <w:r w:rsidRPr="00FA7F69">
        <w:rPr>
          <w:i w:val="0"/>
          <w:color w:val="auto"/>
        </w:rPr>
        <w:t xml:space="preserve"> distritos con las empresas </w:t>
      </w:r>
      <w:r w:rsidRPr="00FA7F69">
        <w:rPr>
          <w:i w:val="0"/>
          <w:color w:val="auto"/>
        </w:rPr>
        <w:lastRenderedPageBreak/>
        <w:t>comercializadoras de energía eléctrica</w:t>
      </w:r>
      <w:r w:rsidRPr="00FA7F69">
        <w:rPr>
          <w:bCs/>
          <w:i w:val="0"/>
          <w:iCs w:val="0"/>
          <w:color w:val="auto"/>
        </w:rPr>
        <w:t>,</w:t>
      </w:r>
      <w:r w:rsidRPr="00FA7F69">
        <w:rPr>
          <w:i w:val="0"/>
          <w:color w:val="auto"/>
        </w:rPr>
        <w:t xml:space="preserve"> se deberán establecer las metodologías de actualización permanente de la potencia de las luminarias de alumbrado público puestas en operación en cada nivel de tensión. La potencia de las luminarias incluye la carga de la bombilla </w:t>
      </w:r>
      <w:r>
        <w:rPr>
          <w:i w:val="0"/>
          <w:color w:val="auto"/>
        </w:rPr>
        <w:t xml:space="preserve">o </w:t>
      </w:r>
      <w:r w:rsidRPr="004265AA">
        <w:rPr>
          <w:i w:val="0"/>
          <w:iCs w:val="0"/>
          <w:color w:val="auto"/>
        </w:rPr>
        <w:t>fuente luminosa</w:t>
      </w:r>
      <w:r>
        <w:rPr>
          <w:i w:val="0"/>
          <w:iCs w:val="0"/>
          <w:color w:val="auto"/>
        </w:rPr>
        <w:t>,</w:t>
      </w:r>
      <w:r w:rsidRPr="00AE1BAD">
        <w:rPr>
          <w:color w:val="auto"/>
        </w:rPr>
        <w:t xml:space="preserve"> </w:t>
      </w:r>
      <w:r w:rsidRPr="00FA7F69">
        <w:rPr>
          <w:i w:val="0"/>
          <w:color w:val="auto"/>
        </w:rPr>
        <w:t>y de los demás elementos internos para su funcionamiento.</w:t>
      </w:r>
      <w:r w:rsidRPr="00FA7F69">
        <w:rPr>
          <w:b/>
          <w:i w:val="0"/>
          <w:iCs w:val="0"/>
          <w:color w:val="auto"/>
        </w:rPr>
        <w:t xml:space="preserve"> </w:t>
      </w:r>
    </w:p>
    <w:p w14:paraId="60F9C308" w14:textId="77777777" w:rsidR="00F5024B" w:rsidRPr="00312C84" w:rsidRDefault="00F5024B" w:rsidP="00F5024B">
      <w:pPr>
        <w:pStyle w:val="Artculo1"/>
        <w:keepNext w:val="0"/>
        <w:ind w:left="0" w:firstLine="0"/>
        <w:rPr>
          <w:i w:val="0"/>
          <w:iCs w:val="0"/>
          <w:color w:val="auto"/>
        </w:rPr>
      </w:pPr>
      <w:r w:rsidRPr="00FA7F69">
        <w:rPr>
          <w:i w:val="0"/>
          <w:iCs w:val="0"/>
          <w:color w:val="auto"/>
        </w:rPr>
        <w:t xml:space="preserve">Determinación de la carga instalada del sistema de Alumbrado Público. </w:t>
      </w:r>
      <w:r w:rsidRPr="00FA7F69">
        <w:rPr>
          <w:b w:val="0"/>
          <w:bCs w:val="0"/>
          <w:i w:val="0"/>
          <w:iCs w:val="0"/>
          <w:color w:val="auto"/>
        </w:rPr>
        <w:t>La determinación del consumo con base en la carga instalada en el municipio o distrito para el servicio de alumbrado público se determina con base en la energía registrada en el medidor, cuando exista medidor (es) o con base en el aforo de las luminarias cuando no exista medidor de energía.</w:t>
      </w:r>
    </w:p>
    <w:p w14:paraId="68BC0037" w14:textId="77777777" w:rsidR="00F5024B" w:rsidRPr="00312C84" w:rsidRDefault="00F5024B" w:rsidP="00F5024B">
      <w:pPr>
        <w:rPr>
          <w:i w:val="0"/>
          <w:iCs w:val="0"/>
          <w:color w:val="auto"/>
        </w:rPr>
      </w:pPr>
      <w:r w:rsidRPr="00312C84">
        <w:rPr>
          <w:i w:val="0"/>
          <w:iCs w:val="0"/>
          <w:color w:val="auto"/>
        </w:rPr>
        <w:t>Para cada caso el municipio o distrito debe considerar:</w:t>
      </w:r>
    </w:p>
    <w:p w14:paraId="0F6136EB" w14:textId="77777777" w:rsidR="00F5024B" w:rsidRPr="00FA7F69" w:rsidRDefault="00F5024B" w:rsidP="00F5024B">
      <w:pPr>
        <w:pStyle w:val="Prrafodelista"/>
        <w:numPr>
          <w:ilvl w:val="0"/>
          <w:numId w:val="78"/>
        </w:numPr>
        <w:spacing w:before="0"/>
        <w:ind w:left="284" w:hanging="284"/>
        <w:rPr>
          <w:i w:val="0"/>
          <w:iCs w:val="0"/>
          <w:color w:val="auto"/>
        </w:rPr>
      </w:pPr>
      <w:r w:rsidRPr="00FA7F69">
        <w:rPr>
          <w:i w:val="0"/>
          <w:iCs w:val="0"/>
          <w:color w:val="auto"/>
          <w:sz w:val="24"/>
          <w:szCs w:val="24"/>
        </w:rPr>
        <w:t xml:space="preserve">Cuando el consumo de energía eléctrica para el servicio de alumbrado público sea medido, se cobrará el consumo registrado por el respectivo sistema de medida, de acuerdo con lo establecido en la Resolución CREG 038 de 2014 </w:t>
      </w:r>
      <w:r>
        <w:rPr>
          <w:i w:val="0"/>
          <w:iCs w:val="0"/>
          <w:color w:val="auto"/>
          <w:sz w:val="24"/>
          <w:szCs w:val="24"/>
        </w:rPr>
        <w:t>o</w:t>
      </w:r>
      <w:r w:rsidRPr="00FA7F69">
        <w:rPr>
          <w:i w:val="0"/>
          <w:iCs w:val="0"/>
          <w:color w:val="auto"/>
          <w:sz w:val="24"/>
          <w:szCs w:val="24"/>
        </w:rPr>
        <w:t xml:space="preserve"> aquellas que la modifiquen, adicionen o </w:t>
      </w:r>
      <w:r>
        <w:rPr>
          <w:i w:val="0"/>
          <w:iCs w:val="0"/>
          <w:color w:val="auto"/>
          <w:sz w:val="24"/>
          <w:szCs w:val="24"/>
        </w:rPr>
        <w:t>sustituyan</w:t>
      </w:r>
      <w:r w:rsidRPr="00FA7F69">
        <w:rPr>
          <w:i w:val="0"/>
          <w:iCs w:val="0"/>
          <w:color w:val="auto"/>
          <w:sz w:val="24"/>
          <w:szCs w:val="24"/>
        </w:rPr>
        <w:t>.</w:t>
      </w:r>
    </w:p>
    <w:p w14:paraId="1F848F4B" w14:textId="77777777" w:rsidR="00F5024B" w:rsidRPr="00352E04" w:rsidRDefault="00F5024B" w:rsidP="00F5024B">
      <w:pPr>
        <w:pStyle w:val="Prrafodelista"/>
        <w:numPr>
          <w:ilvl w:val="0"/>
          <w:numId w:val="78"/>
        </w:numPr>
        <w:spacing w:before="0"/>
        <w:ind w:left="284" w:hanging="284"/>
        <w:rPr>
          <w:i w:val="0"/>
          <w:iCs w:val="0"/>
          <w:color w:val="auto"/>
        </w:rPr>
      </w:pPr>
      <w:r w:rsidRPr="00352E04">
        <w:rPr>
          <w:i w:val="0"/>
          <w:color w:val="auto"/>
          <w:sz w:val="24"/>
          <w:szCs w:val="24"/>
        </w:rPr>
        <w:t>Cuando el consumo de energía eléctrica para el servicio de alumbrado público debe determinarse mediante</w:t>
      </w:r>
      <w:r w:rsidRPr="00352E04">
        <w:rPr>
          <w:i w:val="0"/>
          <w:iCs w:val="0"/>
          <w:color w:val="auto"/>
          <w:sz w:val="24"/>
          <w:szCs w:val="24"/>
        </w:rPr>
        <w:t xml:space="preserve"> aforo de carga de las luminarias. Se deben considerar solamente las luminarias en funcionamiento, su carga o capacidad y el tiempo de prestación del servicio</w:t>
      </w:r>
      <w:r w:rsidRPr="00352E04">
        <w:rPr>
          <w:i w:val="0"/>
          <w:color w:val="auto"/>
          <w:sz w:val="24"/>
          <w:szCs w:val="24"/>
        </w:rPr>
        <w:t xml:space="preserve"> con base en </w:t>
      </w:r>
      <w:r w:rsidRPr="00352E04">
        <w:rPr>
          <w:i w:val="0"/>
          <w:iCs w:val="0"/>
          <w:color w:val="auto"/>
          <w:sz w:val="24"/>
          <w:szCs w:val="24"/>
        </w:rPr>
        <w:t>las horas del día, que debe estar en funcionamiento y el número d</w:t>
      </w:r>
      <w:r w:rsidRPr="00352E04">
        <w:rPr>
          <w:i w:val="0"/>
          <w:color w:val="auto"/>
          <w:sz w:val="24"/>
          <w:szCs w:val="24"/>
        </w:rPr>
        <w:t>e días del período de facturación utilizado para el cobro, de acuerdo con la formula planteada en el artículo 12 de la presente resolución</w:t>
      </w:r>
      <w:r w:rsidRPr="00352E04">
        <w:rPr>
          <w:i w:val="0"/>
          <w:iCs w:val="0"/>
          <w:color w:val="auto"/>
          <w:sz w:val="24"/>
          <w:szCs w:val="24"/>
        </w:rPr>
        <w:t xml:space="preserve">. </w:t>
      </w:r>
    </w:p>
    <w:p w14:paraId="3B79F362" w14:textId="77777777" w:rsidR="00F5024B" w:rsidRDefault="00F5024B" w:rsidP="00F5024B">
      <w:pPr>
        <w:spacing w:before="0" w:after="0"/>
        <w:ind w:left="0" w:firstLine="0"/>
        <w:rPr>
          <w:i w:val="0"/>
          <w:iCs w:val="0"/>
          <w:color w:val="auto"/>
        </w:rPr>
      </w:pPr>
      <w:r w:rsidRPr="00FA7F69">
        <w:rPr>
          <w:b/>
          <w:i w:val="0"/>
          <w:iCs w:val="0"/>
          <w:color w:val="auto"/>
        </w:rPr>
        <w:t>Parágrafo 1.</w:t>
      </w:r>
      <w:r w:rsidRPr="00FA7F69">
        <w:rPr>
          <w:i w:val="0"/>
          <w:iCs w:val="0"/>
          <w:color w:val="auto"/>
        </w:rPr>
        <w:t xml:space="preserve"> El inventario de luminarias y demás componentes de la infraestructura del SALP deben estar debidamente registrados y actualizados en el Sistema de Información de Alumbrado Público, SIAP, de acuerdo con los criterios establecidos en el </w:t>
      </w:r>
      <w:r>
        <w:rPr>
          <w:i w:val="0"/>
          <w:iCs w:val="0"/>
          <w:color w:val="auto"/>
        </w:rPr>
        <w:t>RETILAP</w:t>
      </w:r>
      <w:r w:rsidRPr="00FA7F69">
        <w:rPr>
          <w:i w:val="0"/>
          <w:iCs w:val="0"/>
          <w:color w:val="auto"/>
        </w:rPr>
        <w:t>.</w:t>
      </w:r>
    </w:p>
    <w:p w14:paraId="507AC6D9" w14:textId="77777777" w:rsidR="00F5024B" w:rsidRPr="00FA7F69" w:rsidRDefault="00F5024B" w:rsidP="00F5024B">
      <w:pPr>
        <w:spacing w:before="0" w:after="0"/>
        <w:ind w:left="0" w:firstLine="0"/>
        <w:rPr>
          <w:i w:val="0"/>
          <w:iCs w:val="0"/>
          <w:color w:val="auto"/>
        </w:rPr>
      </w:pPr>
    </w:p>
    <w:p w14:paraId="112B6148" w14:textId="77777777" w:rsidR="00F5024B" w:rsidRDefault="00F5024B" w:rsidP="00F5024B">
      <w:pPr>
        <w:spacing w:before="0"/>
        <w:ind w:left="0" w:firstLine="0"/>
        <w:rPr>
          <w:b/>
          <w:i w:val="0"/>
          <w:iCs w:val="0"/>
          <w:color w:val="auto"/>
        </w:rPr>
      </w:pPr>
      <w:r w:rsidRPr="00FA7F69">
        <w:rPr>
          <w:b/>
          <w:i w:val="0"/>
          <w:iCs w:val="0"/>
          <w:color w:val="auto"/>
        </w:rPr>
        <w:t xml:space="preserve">Parágrafo 2. </w:t>
      </w:r>
      <w:r w:rsidRPr="00D73493">
        <w:rPr>
          <w:i w:val="0"/>
          <w:color w:val="auto"/>
        </w:rPr>
        <w:t>Los municipios y distritos en conjunto con las empresas comercializadoras deberán acordar las metodologías de actualización permanente de la potencia de las luminarias de alumbrado público puestas en operación en cada nivel de tensión. La potencia de las luminarias incluye la carga de la bombilla o fuente luminosa y la de los demás elementos internos para su funcionamiento.</w:t>
      </w:r>
      <w:r w:rsidRPr="00FA7F69">
        <w:rPr>
          <w:b/>
          <w:i w:val="0"/>
          <w:iCs w:val="0"/>
          <w:color w:val="auto"/>
        </w:rPr>
        <w:t xml:space="preserve"> </w:t>
      </w:r>
    </w:p>
    <w:p w14:paraId="483FB097" w14:textId="77777777" w:rsidR="00F5024B" w:rsidRPr="00873FE6" w:rsidRDefault="00F5024B" w:rsidP="00F5024B">
      <w:pPr>
        <w:pStyle w:val="Artculo1"/>
        <w:keepNext w:val="0"/>
        <w:ind w:left="0" w:firstLine="0"/>
        <w:rPr>
          <w:bCs w:val="0"/>
          <w:i w:val="0"/>
          <w:iCs w:val="0"/>
          <w:color w:val="auto"/>
        </w:rPr>
      </w:pPr>
      <w:r w:rsidRPr="008527B6">
        <w:rPr>
          <w:i w:val="0"/>
          <w:iCs w:val="0"/>
          <w:color w:val="auto"/>
        </w:rPr>
        <w:t xml:space="preserve">Compensaciones por deficiencias en la calidad del suministro de energía por parte de los Operadores de Red al Sistema de Alumbrado Público. </w:t>
      </w:r>
      <w:r w:rsidRPr="00DB61B1">
        <w:rPr>
          <w:b w:val="0"/>
          <w:bCs w:val="0"/>
          <w:i w:val="0"/>
          <w:iCs w:val="0"/>
          <w:color w:val="auto"/>
        </w:rPr>
        <w:t xml:space="preserve">Al servicio de distribución prestado por el operador de red, </w:t>
      </w:r>
      <w:r w:rsidRPr="00873FE6">
        <w:rPr>
          <w:b w:val="0"/>
          <w:bCs w:val="0"/>
          <w:i w:val="0"/>
          <w:iCs w:val="0"/>
          <w:color w:val="auto"/>
        </w:rPr>
        <w:t xml:space="preserve">OR, para el servicio de alumbrado público le aplicarán las reglas de calidad definidas en el artículo 5.2.7 del Anexo General de la Resolución 015 de 2018 y aquellas que la modifiquen, adicionen o sustituyan de la siguiente forma: </w:t>
      </w:r>
      <w:r w:rsidRPr="00873FE6">
        <w:rPr>
          <w:b w:val="0"/>
          <w:bCs w:val="0"/>
          <w:color w:val="auto"/>
        </w:rPr>
        <w:t>Los usuarios del servicio de alumbrado público estarán cubiertos por las reglas de calidad del servicio en los SDL. Para todos los efectos, en cada transformador al cual se halle conectada una red de alumbrado público se considerará que existe un consumidor de alumbrado público del OR, que será contabilizado para realizar la estimación de los indicadores de calidad media e individual y aplicar los incentivos y compensaciones correspondientes.</w:t>
      </w:r>
    </w:p>
    <w:p w14:paraId="4E667BDA" w14:textId="77777777" w:rsidR="00F5024B" w:rsidRPr="00873FE6" w:rsidRDefault="00F5024B" w:rsidP="00F5024B">
      <w:pPr>
        <w:spacing w:before="0"/>
        <w:ind w:left="0" w:firstLine="0"/>
        <w:rPr>
          <w:bCs/>
          <w:color w:val="auto"/>
        </w:rPr>
      </w:pPr>
      <w:r w:rsidRPr="00873FE6">
        <w:rPr>
          <w:bCs/>
          <w:color w:val="auto"/>
        </w:rPr>
        <w:t xml:space="preserve">La sumatoria de las duraciones o de las frecuencias de los eventos sucedidos en cada uno de los transformadores que atienden un usuario de alumbrado público </w:t>
      </w:r>
      <w:r w:rsidRPr="00873FE6">
        <w:rPr>
          <w:bCs/>
          <w:color w:val="auto"/>
        </w:rPr>
        <w:lastRenderedPageBreak/>
        <w:t>será información que deberá utilizarse para efectos de calcular las compensaciones de calidad individual que les son aplicables a dicho usuario.</w:t>
      </w:r>
    </w:p>
    <w:p w14:paraId="4CAA42B8" w14:textId="77777777" w:rsidR="00F5024B" w:rsidRPr="00873FE6" w:rsidRDefault="00F5024B" w:rsidP="00F5024B">
      <w:pPr>
        <w:pStyle w:val="Artculo1"/>
        <w:keepNext w:val="0"/>
        <w:spacing w:before="0"/>
        <w:ind w:left="0" w:firstLine="0"/>
        <w:rPr>
          <w:b w:val="0"/>
          <w:bCs w:val="0"/>
          <w:i w:val="0"/>
          <w:iCs w:val="0"/>
          <w:color w:val="auto"/>
          <w:szCs w:val="24"/>
          <w:lang w:val="es-ES_tradnl"/>
        </w:rPr>
      </w:pPr>
      <w:r w:rsidRPr="00873FE6">
        <w:rPr>
          <w:i w:val="0"/>
          <w:iCs w:val="0"/>
          <w:color w:val="auto"/>
          <w:szCs w:val="24"/>
        </w:rPr>
        <w:t xml:space="preserve">Obligación del pago del suministro. </w:t>
      </w:r>
      <w:r w:rsidRPr="00873FE6">
        <w:rPr>
          <w:b w:val="0"/>
          <w:bCs w:val="0"/>
          <w:i w:val="0"/>
          <w:iCs w:val="0"/>
          <w:color w:val="auto"/>
          <w:szCs w:val="24"/>
        </w:rPr>
        <w:t>El municipio estará obligado al pago oportuno del suministro de energía eléctrica</w:t>
      </w:r>
      <w:r>
        <w:rPr>
          <w:b w:val="0"/>
          <w:bCs w:val="0"/>
          <w:i w:val="0"/>
          <w:iCs w:val="0"/>
          <w:color w:val="auto"/>
          <w:szCs w:val="24"/>
        </w:rPr>
        <w:t>,</w:t>
      </w:r>
      <w:r w:rsidRPr="00873FE6">
        <w:rPr>
          <w:b w:val="0"/>
          <w:bCs w:val="0"/>
          <w:i w:val="0"/>
          <w:iCs w:val="0"/>
          <w:color w:val="auto"/>
          <w:szCs w:val="24"/>
        </w:rPr>
        <w:t xml:space="preserve"> y en ningún caso habrá lugar a la exoneración del pago, por expresa prohibición legal. Los municipios y distritos podrán acordar con la empresa que suministra la energía eléctrica para el servicio de alumbrado público</w:t>
      </w:r>
      <w:r>
        <w:rPr>
          <w:b w:val="0"/>
          <w:bCs w:val="0"/>
          <w:i w:val="0"/>
          <w:iCs w:val="0"/>
          <w:color w:val="auto"/>
          <w:szCs w:val="24"/>
        </w:rPr>
        <w:t>,</w:t>
      </w:r>
      <w:r w:rsidRPr="00873FE6">
        <w:rPr>
          <w:b w:val="0"/>
          <w:bCs w:val="0"/>
          <w:i w:val="0"/>
          <w:iCs w:val="0"/>
          <w:color w:val="auto"/>
          <w:szCs w:val="24"/>
        </w:rPr>
        <w:t xml:space="preserve"> formas de pago del suministro con sujeción a las disposiciones legales vigentes</w:t>
      </w:r>
      <w:r>
        <w:rPr>
          <w:b w:val="0"/>
          <w:bCs w:val="0"/>
          <w:i w:val="0"/>
          <w:iCs w:val="0"/>
          <w:color w:val="auto"/>
          <w:szCs w:val="24"/>
        </w:rPr>
        <w:t xml:space="preserve">. </w:t>
      </w:r>
    </w:p>
    <w:p w14:paraId="3ACE7598" w14:textId="77777777" w:rsidR="00F5024B" w:rsidRPr="00873FE6" w:rsidRDefault="00F5024B" w:rsidP="00F5024B">
      <w:pPr>
        <w:pStyle w:val="Artculo1"/>
        <w:keepNext w:val="0"/>
        <w:spacing w:before="0"/>
        <w:ind w:left="0" w:firstLine="0"/>
        <w:rPr>
          <w:b w:val="0"/>
          <w:bCs w:val="0"/>
          <w:i w:val="0"/>
          <w:iCs w:val="0"/>
          <w:color w:val="auto"/>
          <w:szCs w:val="24"/>
          <w:lang w:val="es-ES_tradnl"/>
        </w:rPr>
      </w:pPr>
      <w:r w:rsidRPr="00873FE6">
        <w:rPr>
          <w:i w:val="0"/>
          <w:iCs w:val="0"/>
          <w:color w:val="auto"/>
          <w:szCs w:val="24"/>
          <w:lang w:val="es-ES_tradnl"/>
        </w:rPr>
        <w:t>Sistema de pago del Suministro.</w:t>
      </w:r>
      <w:r w:rsidRPr="00873FE6">
        <w:rPr>
          <w:b w:val="0"/>
          <w:bCs w:val="0"/>
          <w:i w:val="0"/>
          <w:iCs w:val="0"/>
          <w:color w:val="auto"/>
          <w:szCs w:val="24"/>
          <w:lang w:val="es-ES_tradnl"/>
        </w:rPr>
        <w:t xml:space="preserve"> El municipio o distrito se someterá a los procedimientos para los pagos por concepto del servicio público de energía que tenga establecidos la empresa de servicios públicos con quien acuerde el suministro, para los usuarios oficiales. Estos procedimientos incluyen los definidos para los plazos de vencimiento y cobro de intereses por mora en los pagos.</w:t>
      </w:r>
    </w:p>
    <w:p w14:paraId="1D821F83" w14:textId="77777777" w:rsidR="00F5024B" w:rsidRPr="00873FE6" w:rsidRDefault="00F5024B" w:rsidP="00F5024B">
      <w:pPr>
        <w:pStyle w:val="Artculo1"/>
        <w:keepNext w:val="0"/>
        <w:spacing w:before="0"/>
        <w:ind w:left="0" w:firstLine="0"/>
        <w:rPr>
          <w:b w:val="0"/>
          <w:bCs w:val="0"/>
          <w:i w:val="0"/>
          <w:iCs w:val="0"/>
          <w:color w:val="auto"/>
          <w:szCs w:val="24"/>
          <w:lang w:val="es-ES_tradnl"/>
        </w:rPr>
      </w:pPr>
      <w:r w:rsidRPr="00873FE6">
        <w:rPr>
          <w:i w:val="0"/>
          <w:iCs w:val="0"/>
          <w:color w:val="auto"/>
          <w:szCs w:val="24"/>
          <w:lang w:val="es-ES_tradnl"/>
        </w:rPr>
        <w:t>Periodicidad de la facturación.</w:t>
      </w:r>
      <w:r w:rsidRPr="00873FE6">
        <w:rPr>
          <w:b w:val="0"/>
          <w:bCs w:val="0"/>
          <w:i w:val="0"/>
          <w:iCs w:val="0"/>
          <w:color w:val="auto"/>
          <w:szCs w:val="24"/>
          <w:lang w:val="es-ES_tradnl"/>
        </w:rPr>
        <w:t xml:space="preserve"> Las empresas comercializadoras de energía eléctrica acordarán con el municipio o distrito la periodicidad con la cual les facturarán la energía destinada al Servicio de Alumbrado Público. A falta de dicho acuerdo, la empresa que suministra la energía eléctrica facturará el suministro a los municipios o distritos, con la misma periodicidad de facturación del servicio de electricidad a los usuarios regulados.</w:t>
      </w:r>
    </w:p>
    <w:p w14:paraId="23FFAF85" w14:textId="77777777" w:rsidR="00F5024B" w:rsidRPr="00873FE6" w:rsidRDefault="00F5024B" w:rsidP="00F5024B">
      <w:pPr>
        <w:pStyle w:val="Artculo1"/>
        <w:keepNext w:val="0"/>
        <w:spacing w:before="0" w:after="0"/>
        <w:ind w:left="0" w:firstLine="0"/>
        <w:rPr>
          <w:b w:val="0"/>
          <w:i w:val="0"/>
          <w:color w:val="auto"/>
        </w:rPr>
      </w:pPr>
      <w:r w:rsidRPr="00873FE6">
        <w:rPr>
          <w:i w:val="0"/>
          <w:color w:val="auto"/>
        </w:rPr>
        <w:t xml:space="preserve">Contrato de Suministro de Energía Eléctrica. </w:t>
      </w:r>
      <w:r w:rsidRPr="00873FE6">
        <w:rPr>
          <w:b w:val="0"/>
          <w:i w:val="0"/>
          <w:color w:val="auto"/>
        </w:rPr>
        <w:t>El</w:t>
      </w:r>
      <w:r w:rsidRPr="00873FE6">
        <w:rPr>
          <w:b w:val="0"/>
          <w:i w:val="0"/>
          <w:color w:val="auto"/>
          <w:lang w:val="es-ES"/>
        </w:rPr>
        <w:t xml:space="preserve"> </w:t>
      </w:r>
      <w:r w:rsidRPr="00873FE6">
        <w:rPr>
          <w:b w:val="0"/>
          <w:i w:val="0"/>
          <w:color w:val="auto"/>
        </w:rPr>
        <w:t>contrato para el suministro de energía eléctrica con destino al Servicio de Alumbrado Público suscrito por el municipio o distrito con las empresas comercializadoras de energía eléctrica se encuentra sujeto a las disposiciones de las leyes 142 y 143 de 1994</w:t>
      </w:r>
      <w:r>
        <w:rPr>
          <w:b w:val="0"/>
          <w:i w:val="0"/>
          <w:color w:val="auto"/>
        </w:rPr>
        <w:t>,</w:t>
      </w:r>
      <w:r w:rsidRPr="00873FE6">
        <w:rPr>
          <w:b w:val="0"/>
          <w:i w:val="0"/>
          <w:color w:val="auto"/>
          <w:spacing w:val="-3"/>
        </w:rPr>
        <w:t xml:space="preserve"> </w:t>
      </w:r>
      <w:r w:rsidRPr="00873FE6">
        <w:rPr>
          <w:b w:val="0"/>
          <w:i w:val="0"/>
          <w:color w:val="auto"/>
        </w:rPr>
        <w:t xml:space="preserve">y </w:t>
      </w:r>
      <w:r w:rsidRPr="00873FE6">
        <w:rPr>
          <w:b w:val="0"/>
          <w:i w:val="0"/>
          <w:color w:val="auto"/>
          <w:spacing w:val="-3"/>
        </w:rPr>
        <w:t>deberá contener como mínimo los siguientes aspectos, sin limitarse a ellos:</w:t>
      </w:r>
    </w:p>
    <w:p w14:paraId="22FD4D5F" w14:textId="77777777" w:rsidR="00F5024B" w:rsidRPr="00BF4472" w:rsidRDefault="00F5024B" w:rsidP="00F5024B">
      <w:pPr>
        <w:spacing w:before="0" w:after="0"/>
        <w:ind w:left="426" w:hanging="426"/>
        <w:rPr>
          <w:i w:val="0"/>
          <w:iCs w:val="0"/>
          <w:color w:val="auto"/>
        </w:rPr>
      </w:pPr>
    </w:p>
    <w:p w14:paraId="6A8DF6FF" w14:textId="77777777" w:rsidR="00F5024B" w:rsidRPr="00BF4472" w:rsidRDefault="00F5024B" w:rsidP="00F5024B">
      <w:pPr>
        <w:pStyle w:val="Prrafodelista"/>
        <w:numPr>
          <w:ilvl w:val="0"/>
          <w:numId w:val="81"/>
        </w:numPr>
        <w:spacing w:before="0" w:after="0"/>
        <w:ind w:left="426" w:hanging="426"/>
        <w:rPr>
          <w:i w:val="0"/>
          <w:color w:val="auto"/>
          <w:sz w:val="24"/>
          <w:szCs w:val="24"/>
        </w:rPr>
      </w:pPr>
      <w:r w:rsidRPr="00BF4472">
        <w:rPr>
          <w:i w:val="0"/>
          <w:color w:val="auto"/>
          <w:sz w:val="24"/>
          <w:szCs w:val="24"/>
        </w:rPr>
        <w:t>Objeto.</w:t>
      </w:r>
    </w:p>
    <w:p w14:paraId="63498B65" w14:textId="77777777" w:rsidR="00F5024B" w:rsidRPr="00BF4472" w:rsidRDefault="00F5024B" w:rsidP="00F5024B">
      <w:pPr>
        <w:pStyle w:val="Prrafodelista"/>
        <w:numPr>
          <w:ilvl w:val="0"/>
          <w:numId w:val="81"/>
        </w:numPr>
        <w:spacing w:before="0" w:after="0"/>
        <w:ind w:left="426" w:hanging="426"/>
        <w:rPr>
          <w:i w:val="0"/>
          <w:color w:val="auto"/>
          <w:sz w:val="24"/>
          <w:szCs w:val="24"/>
        </w:rPr>
      </w:pPr>
      <w:r w:rsidRPr="00BF4472">
        <w:rPr>
          <w:i w:val="0"/>
          <w:color w:val="auto"/>
          <w:sz w:val="24"/>
          <w:szCs w:val="24"/>
        </w:rPr>
        <w:t>Obligaciones y deberes de las partes contratantes (incluyendo condiciones especiales de calidad del suministro de energía eléctrica).</w:t>
      </w:r>
    </w:p>
    <w:p w14:paraId="17759E13" w14:textId="77777777" w:rsidR="00F5024B" w:rsidRPr="00BF4472" w:rsidRDefault="00F5024B" w:rsidP="00F5024B">
      <w:pPr>
        <w:pStyle w:val="Prrafodelista"/>
        <w:numPr>
          <w:ilvl w:val="0"/>
          <w:numId w:val="81"/>
        </w:numPr>
        <w:spacing w:before="0" w:after="0"/>
        <w:ind w:left="426" w:hanging="426"/>
        <w:rPr>
          <w:i w:val="0"/>
          <w:color w:val="auto"/>
          <w:sz w:val="24"/>
          <w:szCs w:val="24"/>
        </w:rPr>
      </w:pPr>
      <w:r w:rsidRPr="00BF4472">
        <w:rPr>
          <w:i w:val="0"/>
          <w:color w:val="auto"/>
          <w:sz w:val="24"/>
          <w:szCs w:val="24"/>
        </w:rPr>
        <w:t>Estado actual del servicio (inventario de la infraestructura al momento de inicio del contrato, con actualización anual a partir de la fecha de inicio del contrato).</w:t>
      </w:r>
    </w:p>
    <w:p w14:paraId="163E0676" w14:textId="77777777" w:rsidR="00F5024B" w:rsidRPr="00BF4472" w:rsidRDefault="00F5024B" w:rsidP="00F5024B">
      <w:pPr>
        <w:pStyle w:val="Prrafodelista"/>
        <w:numPr>
          <w:ilvl w:val="0"/>
          <w:numId w:val="81"/>
        </w:numPr>
        <w:spacing w:before="0" w:after="0"/>
        <w:ind w:left="426" w:hanging="426"/>
        <w:rPr>
          <w:i w:val="0"/>
          <w:color w:val="auto"/>
          <w:sz w:val="24"/>
          <w:szCs w:val="24"/>
        </w:rPr>
      </w:pPr>
      <w:r w:rsidRPr="00BF4472">
        <w:rPr>
          <w:i w:val="0"/>
          <w:color w:val="auto"/>
          <w:sz w:val="24"/>
          <w:szCs w:val="24"/>
        </w:rPr>
        <w:t>Forma de lectura y estimación del consumo (de acuerdo con lo establecido en la presente resolución).</w:t>
      </w:r>
    </w:p>
    <w:p w14:paraId="648AA240" w14:textId="77777777" w:rsidR="00F5024B" w:rsidRPr="00BF4472" w:rsidRDefault="00F5024B" w:rsidP="00F5024B">
      <w:pPr>
        <w:pStyle w:val="Prrafodelista"/>
        <w:numPr>
          <w:ilvl w:val="0"/>
          <w:numId w:val="81"/>
        </w:numPr>
        <w:spacing w:before="0" w:after="0"/>
        <w:ind w:left="426" w:hanging="426"/>
        <w:rPr>
          <w:i w:val="0"/>
          <w:color w:val="auto"/>
          <w:sz w:val="24"/>
          <w:szCs w:val="24"/>
        </w:rPr>
      </w:pPr>
      <w:r w:rsidRPr="00BF4472">
        <w:rPr>
          <w:i w:val="0"/>
          <w:color w:val="auto"/>
          <w:sz w:val="24"/>
          <w:szCs w:val="24"/>
        </w:rPr>
        <w:t>Tarifas del suministro.</w:t>
      </w:r>
    </w:p>
    <w:p w14:paraId="357F52BC" w14:textId="77777777" w:rsidR="00F5024B" w:rsidRPr="00BF4472" w:rsidRDefault="00F5024B" w:rsidP="00F5024B">
      <w:pPr>
        <w:pStyle w:val="Prrafodelista"/>
        <w:numPr>
          <w:ilvl w:val="0"/>
          <w:numId w:val="81"/>
        </w:numPr>
        <w:spacing w:before="0" w:after="0"/>
        <w:ind w:left="426" w:hanging="426"/>
        <w:rPr>
          <w:i w:val="0"/>
          <w:color w:val="auto"/>
          <w:sz w:val="24"/>
          <w:szCs w:val="24"/>
        </w:rPr>
      </w:pPr>
      <w:r w:rsidRPr="00BF4472">
        <w:rPr>
          <w:i w:val="0"/>
          <w:color w:val="auto"/>
          <w:sz w:val="24"/>
          <w:szCs w:val="24"/>
        </w:rPr>
        <w:t>Períodos de facturación.</w:t>
      </w:r>
    </w:p>
    <w:p w14:paraId="7095B5D5" w14:textId="77777777" w:rsidR="00F5024B" w:rsidRPr="00BF4472" w:rsidRDefault="00F5024B" w:rsidP="00F5024B">
      <w:pPr>
        <w:pStyle w:val="Prrafodelista"/>
        <w:numPr>
          <w:ilvl w:val="0"/>
          <w:numId w:val="81"/>
        </w:numPr>
        <w:spacing w:before="0" w:after="0"/>
        <w:ind w:left="426" w:hanging="426"/>
        <w:rPr>
          <w:i w:val="0"/>
          <w:color w:val="auto"/>
          <w:sz w:val="24"/>
          <w:szCs w:val="24"/>
        </w:rPr>
      </w:pPr>
      <w:r w:rsidRPr="00BF4472">
        <w:rPr>
          <w:i w:val="0"/>
          <w:color w:val="auto"/>
          <w:sz w:val="24"/>
          <w:szCs w:val="24"/>
        </w:rPr>
        <w:t>Forma de pago.</w:t>
      </w:r>
    </w:p>
    <w:p w14:paraId="3A6DADC8" w14:textId="77777777" w:rsidR="00F5024B" w:rsidRPr="00BF4472" w:rsidRDefault="00F5024B" w:rsidP="00F5024B">
      <w:pPr>
        <w:pStyle w:val="Prrafodelista"/>
        <w:numPr>
          <w:ilvl w:val="0"/>
          <w:numId w:val="81"/>
        </w:numPr>
        <w:spacing w:before="0" w:after="0"/>
        <w:ind w:left="426" w:hanging="426"/>
        <w:rPr>
          <w:i w:val="0"/>
          <w:color w:val="auto"/>
          <w:sz w:val="24"/>
          <w:szCs w:val="24"/>
        </w:rPr>
      </w:pPr>
      <w:r w:rsidRPr="00BF4472">
        <w:rPr>
          <w:i w:val="0"/>
          <w:color w:val="auto"/>
          <w:sz w:val="24"/>
          <w:szCs w:val="24"/>
        </w:rPr>
        <w:t>Intereses moratorios.</w:t>
      </w:r>
    </w:p>
    <w:p w14:paraId="1CB09FCF" w14:textId="77777777" w:rsidR="00F5024B" w:rsidRPr="00BF4472" w:rsidRDefault="00F5024B" w:rsidP="00F5024B">
      <w:pPr>
        <w:pStyle w:val="Prrafodelista"/>
        <w:numPr>
          <w:ilvl w:val="0"/>
          <w:numId w:val="81"/>
        </w:numPr>
        <w:spacing w:before="0" w:after="0"/>
        <w:ind w:left="426" w:hanging="426"/>
        <w:rPr>
          <w:i w:val="0"/>
          <w:color w:val="auto"/>
          <w:sz w:val="24"/>
          <w:szCs w:val="24"/>
        </w:rPr>
      </w:pPr>
      <w:r w:rsidRPr="00BF4472">
        <w:rPr>
          <w:i w:val="0"/>
          <w:color w:val="auto"/>
          <w:sz w:val="24"/>
          <w:szCs w:val="24"/>
        </w:rPr>
        <w:t>Causales de revisión del contrato.</w:t>
      </w:r>
    </w:p>
    <w:p w14:paraId="3EEF8CFC" w14:textId="77777777" w:rsidR="00F5024B" w:rsidRPr="00BF4472" w:rsidRDefault="00F5024B" w:rsidP="00F5024B">
      <w:pPr>
        <w:pStyle w:val="Prrafodelista"/>
        <w:numPr>
          <w:ilvl w:val="0"/>
          <w:numId w:val="81"/>
        </w:numPr>
        <w:spacing w:before="0" w:after="0"/>
        <w:ind w:left="426" w:hanging="426"/>
        <w:rPr>
          <w:i w:val="0"/>
          <w:color w:val="auto"/>
          <w:sz w:val="24"/>
          <w:szCs w:val="24"/>
        </w:rPr>
      </w:pPr>
      <w:r w:rsidRPr="00BF4472">
        <w:rPr>
          <w:i w:val="0"/>
          <w:color w:val="auto"/>
          <w:sz w:val="24"/>
          <w:szCs w:val="24"/>
        </w:rPr>
        <w:t>Causales de terminación anticipada.</w:t>
      </w:r>
    </w:p>
    <w:p w14:paraId="07006FA6" w14:textId="77777777" w:rsidR="00F5024B" w:rsidRDefault="00F5024B" w:rsidP="00F5024B">
      <w:pPr>
        <w:pStyle w:val="Prrafodelista"/>
        <w:numPr>
          <w:ilvl w:val="0"/>
          <w:numId w:val="81"/>
        </w:numPr>
        <w:spacing w:before="0" w:after="0"/>
        <w:ind w:left="426" w:hanging="426"/>
        <w:rPr>
          <w:i w:val="0"/>
          <w:color w:val="auto"/>
          <w:sz w:val="24"/>
          <w:szCs w:val="24"/>
        </w:rPr>
      </w:pPr>
      <w:r w:rsidRPr="00BF4472">
        <w:rPr>
          <w:i w:val="0"/>
          <w:color w:val="auto"/>
          <w:sz w:val="24"/>
          <w:szCs w:val="24"/>
        </w:rPr>
        <w:t>Duración del contrato.</w:t>
      </w:r>
    </w:p>
    <w:p w14:paraId="36C7ED73" w14:textId="77777777" w:rsidR="00F5024B" w:rsidRPr="00BF4472" w:rsidRDefault="00F5024B" w:rsidP="00F5024B">
      <w:pPr>
        <w:pStyle w:val="Prrafodelista"/>
        <w:numPr>
          <w:ilvl w:val="0"/>
          <w:numId w:val="81"/>
        </w:numPr>
        <w:spacing w:before="0" w:after="0"/>
        <w:ind w:left="426" w:hanging="426"/>
        <w:rPr>
          <w:i w:val="0"/>
          <w:color w:val="auto"/>
          <w:sz w:val="24"/>
          <w:szCs w:val="24"/>
        </w:rPr>
      </w:pPr>
      <w:r w:rsidRPr="00BF4472">
        <w:rPr>
          <w:i w:val="0"/>
          <w:color w:val="auto"/>
          <w:sz w:val="24"/>
          <w:szCs w:val="24"/>
        </w:rPr>
        <w:t>Ajustes regulatorios.</w:t>
      </w:r>
    </w:p>
    <w:p w14:paraId="2EED2CD2" w14:textId="77777777" w:rsidR="00F5024B" w:rsidRPr="00BF4472" w:rsidRDefault="00F5024B" w:rsidP="00F5024B">
      <w:pPr>
        <w:pStyle w:val="Prrafodelista"/>
        <w:numPr>
          <w:ilvl w:val="0"/>
          <w:numId w:val="81"/>
        </w:numPr>
        <w:spacing w:before="0" w:after="0"/>
        <w:ind w:left="426" w:hanging="426"/>
        <w:rPr>
          <w:i w:val="0"/>
          <w:color w:val="auto"/>
          <w:sz w:val="24"/>
          <w:szCs w:val="24"/>
        </w:rPr>
      </w:pPr>
      <w:r w:rsidRPr="00BF4472">
        <w:rPr>
          <w:i w:val="0"/>
          <w:color w:val="auto"/>
          <w:sz w:val="24"/>
          <w:szCs w:val="24"/>
        </w:rPr>
        <w:t>Niveles mínimos garantizados de calidad conforme al numeral 5.2.4 del Anexo General de la Resolución CREG 015 de 2018 o valores máximos de duración o frecuencia de eventos pactados con el Operador de Red a través de contratos de calidad extra conforme con lo establecido en el numeral 5.2.9 del mismo anexo.</w:t>
      </w:r>
    </w:p>
    <w:p w14:paraId="50C0DF8D" w14:textId="77777777" w:rsidR="00F5024B" w:rsidRDefault="00F5024B" w:rsidP="00F5024B">
      <w:pPr>
        <w:spacing w:before="0"/>
        <w:ind w:left="0" w:firstLine="0"/>
        <w:rPr>
          <w:i w:val="0"/>
          <w:iCs w:val="0"/>
          <w:color w:val="auto"/>
        </w:rPr>
      </w:pPr>
      <w:r w:rsidRPr="00873FE6">
        <w:rPr>
          <w:b/>
          <w:i w:val="0"/>
          <w:iCs w:val="0"/>
          <w:color w:val="auto"/>
        </w:rPr>
        <w:lastRenderedPageBreak/>
        <w:t>Parágrafo</w:t>
      </w:r>
      <w:r>
        <w:rPr>
          <w:b/>
          <w:i w:val="0"/>
          <w:iCs w:val="0"/>
          <w:color w:val="auto"/>
        </w:rPr>
        <w:t xml:space="preserve"> 1</w:t>
      </w:r>
      <w:r w:rsidRPr="00873FE6">
        <w:rPr>
          <w:b/>
          <w:i w:val="0"/>
          <w:iCs w:val="0"/>
          <w:color w:val="auto"/>
        </w:rPr>
        <w:t xml:space="preserve">. </w:t>
      </w:r>
      <w:r w:rsidRPr="00873FE6">
        <w:rPr>
          <w:i w:val="0"/>
          <w:iCs w:val="0"/>
          <w:color w:val="auto"/>
        </w:rPr>
        <w:t>En los contratos de suministro de energía eléctrica para el Servicio de Alumbrado Público que suscriban los municipios y distritos con las empresas comercializadoras de energía eléctrica</w:t>
      </w:r>
      <w:r>
        <w:rPr>
          <w:i w:val="0"/>
          <w:iCs w:val="0"/>
          <w:color w:val="auto"/>
        </w:rPr>
        <w:t>,</w:t>
      </w:r>
      <w:r w:rsidRPr="00873FE6">
        <w:rPr>
          <w:i w:val="0"/>
          <w:iCs w:val="0"/>
          <w:color w:val="auto"/>
        </w:rPr>
        <w:t xml:space="preserve"> </w:t>
      </w:r>
      <w:r w:rsidRPr="00D73493">
        <w:rPr>
          <w:i w:val="0"/>
          <w:color w:val="auto"/>
        </w:rPr>
        <w:t>se deberá establecer la metodología de actualización permanente, con periodicidad m</w:t>
      </w:r>
      <w:r>
        <w:rPr>
          <w:i w:val="0"/>
          <w:color w:val="auto"/>
        </w:rPr>
        <w:t>áxima</w:t>
      </w:r>
      <w:r w:rsidRPr="00D73493">
        <w:rPr>
          <w:i w:val="0"/>
          <w:color w:val="auto"/>
        </w:rPr>
        <w:t xml:space="preserve"> de un año, de la potencia de las luminarias de alumbrado público puestas en operación. La potencia de las luminarias incluye la carga de la bombilla o fuente luminosa</w:t>
      </w:r>
      <w:r w:rsidRPr="00D73493">
        <w:rPr>
          <w:color w:val="auto"/>
        </w:rPr>
        <w:t xml:space="preserve"> </w:t>
      </w:r>
      <w:r w:rsidRPr="00D73493">
        <w:rPr>
          <w:i w:val="0"/>
          <w:color w:val="auto"/>
        </w:rPr>
        <w:t>y de los demás elementos internos para su funcionamiento.</w:t>
      </w:r>
      <w:r w:rsidRPr="00873FE6">
        <w:rPr>
          <w:i w:val="0"/>
          <w:iCs w:val="0"/>
          <w:color w:val="auto"/>
        </w:rPr>
        <w:t xml:space="preserve"> </w:t>
      </w:r>
    </w:p>
    <w:p w14:paraId="124D0FD3" w14:textId="77777777" w:rsidR="00F5024B" w:rsidRPr="00873FE6" w:rsidRDefault="00F5024B" w:rsidP="00F5024B">
      <w:pPr>
        <w:spacing w:before="0"/>
        <w:ind w:left="0" w:firstLine="0"/>
        <w:rPr>
          <w:i w:val="0"/>
          <w:iCs w:val="0"/>
          <w:color w:val="auto"/>
        </w:rPr>
      </w:pPr>
      <w:r w:rsidRPr="00923DF7">
        <w:rPr>
          <w:b/>
          <w:bCs/>
          <w:i w:val="0"/>
          <w:iCs w:val="0"/>
          <w:color w:val="auto"/>
        </w:rPr>
        <w:t>Parágrafo 2.</w:t>
      </w:r>
      <w:r w:rsidRPr="007E5CFB">
        <w:rPr>
          <w:i w:val="0"/>
          <w:color w:val="auto"/>
        </w:rPr>
        <w:t xml:space="preserve"> Los municipios o distritos </w:t>
      </w:r>
      <w:r>
        <w:rPr>
          <w:i w:val="0"/>
          <w:color w:val="auto"/>
        </w:rPr>
        <w:t>podrán</w:t>
      </w:r>
      <w:r w:rsidRPr="007E5CFB">
        <w:rPr>
          <w:i w:val="0"/>
          <w:color w:val="auto"/>
        </w:rPr>
        <w:t xml:space="preserve"> gestionar el proceso contractual y la suscripción del respectivo contrato con el agente comercializador de energía como mínimo con seis (6) meses de anticipación</w:t>
      </w:r>
      <w:r>
        <w:rPr>
          <w:i w:val="0"/>
          <w:color w:val="auto"/>
        </w:rPr>
        <w:t>,</w:t>
      </w:r>
      <w:r w:rsidRPr="007E5CFB">
        <w:rPr>
          <w:i w:val="0"/>
          <w:color w:val="auto"/>
        </w:rPr>
        <w:t xml:space="preserve"> y en la cantidad de energía medida o aforada en el SALP, con el objetivo de evitar sobrecostos en la prestación del servicio de alumbrado público y brindar estabilidad frente a las fluctuaciones del costo de la energía eléctrica en bolsa.</w:t>
      </w:r>
    </w:p>
    <w:p w14:paraId="3164BED6" w14:textId="77777777" w:rsidR="00F5024B" w:rsidRPr="00873FE6" w:rsidRDefault="00F5024B" w:rsidP="00F5024B">
      <w:pPr>
        <w:pStyle w:val="Artculo1"/>
        <w:keepNext w:val="0"/>
        <w:spacing w:before="0"/>
        <w:ind w:left="0" w:firstLine="0"/>
        <w:rPr>
          <w:i w:val="0"/>
          <w:iCs w:val="0"/>
          <w:color w:val="auto"/>
        </w:rPr>
      </w:pPr>
      <w:r w:rsidRPr="00873FE6">
        <w:rPr>
          <w:i w:val="0"/>
          <w:iCs w:val="0"/>
          <w:color w:val="auto"/>
        </w:rPr>
        <w:t xml:space="preserve">Sitio de entrega de la energía. </w:t>
      </w:r>
      <w:r w:rsidRPr="00873FE6">
        <w:rPr>
          <w:b w:val="0"/>
          <w:bCs w:val="0"/>
          <w:i w:val="0"/>
          <w:iCs w:val="0"/>
          <w:color w:val="auto"/>
        </w:rPr>
        <w:t>La empresa comercializadora entregará la energía eléctrica para consumo de alumbrado público en los bornes primarios de los transformadores de la red de distribución local destinados para tal fin, en forma exclusiva, o en las acometidas de las luminarias de alumbrado público, cuando éstas se alimenten de las redes secundarias destinadas conjuntamente para la distribución de energía a los usuarios domiciliarios de este último servicio.</w:t>
      </w:r>
    </w:p>
    <w:p w14:paraId="00F9DF87" w14:textId="77777777" w:rsidR="00F5024B" w:rsidRPr="00873FE6" w:rsidRDefault="00F5024B" w:rsidP="00F5024B">
      <w:pPr>
        <w:pStyle w:val="Artculo1"/>
        <w:keepNext w:val="0"/>
        <w:spacing w:before="0"/>
        <w:ind w:left="0" w:firstLine="0"/>
        <w:rPr>
          <w:b w:val="0"/>
          <w:bCs w:val="0"/>
          <w:i w:val="0"/>
          <w:iCs w:val="0"/>
          <w:color w:val="auto"/>
        </w:rPr>
      </w:pPr>
      <w:r w:rsidRPr="00873FE6">
        <w:rPr>
          <w:i w:val="0"/>
          <w:iCs w:val="0"/>
          <w:color w:val="auto"/>
        </w:rPr>
        <w:t xml:space="preserve">Actividad de comercialización de energía eléctrica. </w:t>
      </w:r>
      <w:r w:rsidRPr="00873FE6">
        <w:rPr>
          <w:b w:val="0"/>
          <w:bCs w:val="0"/>
          <w:i w:val="0"/>
          <w:iCs w:val="0"/>
          <w:color w:val="auto"/>
        </w:rPr>
        <w:t>La actividad de comercialización de energía eléctrica para alumbrado público está sujeta a las normas que rigen la comercialización de energía eléctrica.</w:t>
      </w:r>
    </w:p>
    <w:p w14:paraId="0D00F1F9" w14:textId="77777777" w:rsidR="00F5024B" w:rsidRPr="000F538C" w:rsidRDefault="00F5024B" w:rsidP="00F5024B">
      <w:pPr>
        <w:pStyle w:val="Artculo1"/>
        <w:keepNext w:val="0"/>
        <w:ind w:left="0" w:firstLine="0"/>
        <w:rPr>
          <w:b w:val="0"/>
          <w:bCs w:val="0"/>
          <w:i w:val="0"/>
          <w:iCs w:val="0"/>
          <w:color w:val="auto"/>
        </w:rPr>
      </w:pPr>
      <w:r w:rsidRPr="000F538C">
        <w:rPr>
          <w:i w:val="0"/>
          <w:iCs w:val="0"/>
          <w:color w:val="auto"/>
        </w:rPr>
        <w:t>Autogeneración en el servicio de alumbrado público</w:t>
      </w:r>
      <w:r w:rsidRPr="000F538C">
        <w:rPr>
          <w:b w:val="0"/>
          <w:bCs w:val="0"/>
          <w:i w:val="0"/>
          <w:iCs w:val="0"/>
          <w:color w:val="auto"/>
        </w:rPr>
        <w:t xml:space="preserve">. En las Redes exclusivas del Sistema de Alumbrado Público se podrá realizar la actividad de autogeneración </w:t>
      </w:r>
      <w:r>
        <w:rPr>
          <w:b w:val="0"/>
          <w:bCs w:val="0"/>
          <w:i w:val="0"/>
          <w:iCs w:val="0"/>
          <w:color w:val="auto"/>
        </w:rPr>
        <w:t>a</w:t>
      </w:r>
      <w:r w:rsidRPr="000F538C">
        <w:rPr>
          <w:b w:val="0"/>
          <w:bCs w:val="0"/>
          <w:i w:val="0"/>
          <w:iCs w:val="0"/>
          <w:color w:val="auto"/>
        </w:rPr>
        <w:t xml:space="preserve"> pequeña escala según los dispuesto en la Resolución CREG </w:t>
      </w:r>
      <w:r>
        <w:rPr>
          <w:b w:val="0"/>
          <w:bCs w:val="0"/>
          <w:i w:val="0"/>
          <w:iCs w:val="0"/>
          <w:color w:val="auto"/>
        </w:rPr>
        <w:t>174</w:t>
      </w:r>
      <w:r w:rsidRPr="000F538C">
        <w:rPr>
          <w:b w:val="0"/>
          <w:bCs w:val="0"/>
          <w:i w:val="0"/>
          <w:iCs w:val="0"/>
          <w:color w:val="auto"/>
        </w:rPr>
        <w:t xml:space="preserve"> de 20</w:t>
      </w:r>
      <w:r>
        <w:rPr>
          <w:b w:val="0"/>
          <w:bCs w:val="0"/>
          <w:i w:val="0"/>
          <w:iCs w:val="0"/>
          <w:color w:val="auto"/>
        </w:rPr>
        <w:t>21</w:t>
      </w:r>
      <w:r w:rsidRPr="000F538C">
        <w:rPr>
          <w:b w:val="0"/>
          <w:bCs w:val="0"/>
          <w:i w:val="0"/>
          <w:iCs w:val="0"/>
          <w:color w:val="auto"/>
        </w:rPr>
        <w:t xml:space="preserve"> o aquella</w:t>
      </w:r>
      <w:r>
        <w:rPr>
          <w:b w:val="0"/>
          <w:bCs w:val="0"/>
          <w:i w:val="0"/>
          <w:iCs w:val="0"/>
          <w:color w:val="auto"/>
        </w:rPr>
        <w:t>s</w:t>
      </w:r>
      <w:r w:rsidRPr="000F538C">
        <w:rPr>
          <w:b w:val="0"/>
          <w:bCs w:val="0"/>
          <w:i w:val="0"/>
          <w:iCs w:val="0"/>
          <w:color w:val="auto"/>
        </w:rPr>
        <w:t xml:space="preserve"> que la modifique</w:t>
      </w:r>
      <w:r>
        <w:rPr>
          <w:b w:val="0"/>
          <w:bCs w:val="0"/>
          <w:i w:val="0"/>
          <w:iCs w:val="0"/>
          <w:color w:val="auto"/>
        </w:rPr>
        <w:t>n</w:t>
      </w:r>
      <w:r w:rsidRPr="000F538C">
        <w:rPr>
          <w:b w:val="0"/>
          <w:bCs w:val="0"/>
          <w:i w:val="0"/>
          <w:iCs w:val="0"/>
          <w:color w:val="auto"/>
        </w:rPr>
        <w:t>, adicione</w:t>
      </w:r>
      <w:r>
        <w:rPr>
          <w:b w:val="0"/>
          <w:bCs w:val="0"/>
          <w:i w:val="0"/>
          <w:iCs w:val="0"/>
          <w:color w:val="auto"/>
        </w:rPr>
        <w:t>n</w:t>
      </w:r>
      <w:r w:rsidRPr="000F538C">
        <w:rPr>
          <w:b w:val="0"/>
          <w:bCs w:val="0"/>
          <w:i w:val="0"/>
          <w:iCs w:val="0"/>
          <w:color w:val="auto"/>
        </w:rPr>
        <w:t xml:space="preserve"> o </w:t>
      </w:r>
      <w:r>
        <w:rPr>
          <w:b w:val="0"/>
          <w:bCs w:val="0"/>
          <w:i w:val="0"/>
          <w:iCs w:val="0"/>
          <w:color w:val="auto"/>
        </w:rPr>
        <w:t>sustituyan</w:t>
      </w:r>
      <w:r w:rsidRPr="000F538C">
        <w:rPr>
          <w:b w:val="0"/>
          <w:bCs w:val="0"/>
          <w:i w:val="0"/>
          <w:iCs w:val="0"/>
          <w:color w:val="auto"/>
        </w:rPr>
        <w:t xml:space="preserve">. </w:t>
      </w:r>
    </w:p>
    <w:p w14:paraId="784F8C36" w14:textId="77777777" w:rsidR="00F5024B" w:rsidRDefault="00F5024B" w:rsidP="00F5024B">
      <w:pPr>
        <w:pStyle w:val="Artculo1"/>
        <w:keepNext w:val="0"/>
        <w:numPr>
          <w:ilvl w:val="0"/>
          <w:numId w:val="0"/>
        </w:numPr>
        <w:rPr>
          <w:b w:val="0"/>
          <w:bCs w:val="0"/>
          <w:i w:val="0"/>
          <w:iCs w:val="0"/>
          <w:color w:val="auto"/>
        </w:rPr>
      </w:pPr>
      <w:r w:rsidRPr="000F538C">
        <w:rPr>
          <w:i w:val="0"/>
          <w:iCs w:val="0"/>
          <w:color w:val="auto"/>
        </w:rPr>
        <w:t>Parágrafo.</w:t>
      </w:r>
      <w:r w:rsidRPr="000F538C">
        <w:rPr>
          <w:b w:val="0"/>
          <w:bCs w:val="0"/>
          <w:i w:val="0"/>
          <w:iCs w:val="0"/>
          <w:color w:val="auto"/>
        </w:rPr>
        <w:t xml:space="preserve"> El punto de conexión con la red debe coincidir con el punto de medición</w:t>
      </w:r>
      <w:r>
        <w:rPr>
          <w:b w:val="0"/>
          <w:bCs w:val="0"/>
          <w:i w:val="0"/>
          <w:iCs w:val="0"/>
          <w:color w:val="auto"/>
        </w:rPr>
        <w:t>,</w:t>
      </w:r>
      <w:r w:rsidRPr="000F538C">
        <w:rPr>
          <w:b w:val="0"/>
          <w:bCs w:val="0"/>
          <w:i w:val="0"/>
          <w:iCs w:val="0"/>
          <w:color w:val="auto"/>
        </w:rPr>
        <w:t xml:space="preserve"> tanto para la entrega de excedentes</w:t>
      </w:r>
      <w:r>
        <w:rPr>
          <w:b w:val="0"/>
          <w:bCs w:val="0"/>
          <w:i w:val="0"/>
          <w:iCs w:val="0"/>
          <w:color w:val="auto"/>
        </w:rPr>
        <w:t>,</w:t>
      </w:r>
      <w:r w:rsidRPr="000F538C">
        <w:rPr>
          <w:b w:val="0"/>
          <w:bCs w:val="0"/>
          <w:i w:val="0"/>
          <w:iCs w:val="0"/>
          <w:color w:val="auto"/>
        </w:rPr>
        <w:t xml:space="preserve"> como para el consumo de energía.</w:t>
      </w:r>
    </w:p>
    <w:p w14:paraId="1EC2E626" w14:textId="77777777" w:rsidR="00F5024B" w:rsidRPr="00C17DE9" w:rsidRDefault="00F5024B" w:rsidP="00F5024B">
      <w:pPr>
        <w:spacing w:before="0" w:after="0"/>
        <w:ind w:left="0" w:firstLine="0"/>
        <w:jc w:val="left"/>
      </w:pPr>
    </w:p>
    <w:p w14:paraId="3603F8AD" w14:textId="77777777" w:rsidR="00F5024B" w:rsidRPr="00D641C1" w:rsidRDefault="00F5024B" w:rsidP="00F5024B">
      <w:pPr>
        <w:spacing w:before="0" w:after="0"/>
        <w:ind w:left="142" w:firstLine="0"/>
        <w:jc w:val="center"/>
        <w:rPr>
          <w:b/>
          <w:bCs/>
          <w:i w:val="0"/>
          <w:iCs w:val="0"/>
          <w:color w:val="auto"/>
        </w:rPr>
      </w:pPr>
      <w:r w:rsidRPr="00D641C1">
        <w:rPr>
          <w:b/>
          <w:bCs/>
          <w:i w:val="0"/>
          <w:iCs w:val="0"/>
          <w:color w:val="auto"/>
        </w:rPr>
        <w:t>CAPÍTULO IV</w:t>
      </w:r>
    </w:p>
    <w:p w14:paraId="5167D984" w14:textId="77777777" w:rsidR="00F5024B" w:rsidRPr="00D641C1" w:rsidRDefault="00F5024B" w:rsidP="00F5024B">
      <w:pPr>
        <w:spacing w:before="0" w:after="0"/>
        <w:ind w:left="142" w:firstLine="0"/>
        <w:jc w:val="center"/>
        <w:rPr>
          <w:b/>
          <w:bCs/>
          <w:i w:val="0"/>
          <w:iCs w:val="0"/>
          <w:color w:val="auto"/>
        </w:rPr>
      </w:pPr>
    </w:p>
    <w:p w14:paraId="18108089" w14:textId="77777777" w:rsidR="00F5024B" w:rsidRPr="00D641C1" w:rsidRDefault="00F5024B" w:rsidP="00F5024B">
      <w:pPr>
        <w:spacing w:before="0" w:after="0"/>
        <w:ind w:left="142" w:firstLine="0"/>
        <w:jc w:val="center"/>
        <w:rPr>
          <w:b/>
          <w:bCs/>
          <w:i w:val="0"/>
          <w:iCs w:val="0"/>
          <w:color w:val="auto"/>
        </w:rPr>
      </w:pPr>
      <w:r w:rsidRPr="00D641C1">
        <w:rPr>
          <w:b/>
          <w:bCs/>
          <w:i w:val="0"/>
          <w:iCs w:val="0"/>
          <w:color w:val="auto"/>
        </w:rPr>
        <w:t>COSTO DE LA INVERSIÓN DEL SISTEMA DE ALUMBRADO PÚBLICO</w:t>
      </w:r>
    </w:p>
    <w:p w14:paraId="4C1FCA9B" w14:textId="77777777" w:rsidR="00F5024B" w:rsidRPr="00D641C1" w:rsidRDefault="00F5024B" w:rsidP="00F5024B">
      <w:pPr>
        <w:spacing w:before="0" w:after="0"/>
        <w:ind w:left="142" w:firstLine="0"/>
        <w:jc w:val="center"/>
        <w:rPr>
          <w:b/>
          <w:bCs/>
          <w:i w:val="0"/>
          <w:iCs w:val="0"/>
          <w:color w:val="auto"/>
        </w:rPr>
      </w:pPr>
    </w:p>
    <w:p w14:paraId="7AAC770B" w14:textId="77777777" w:rsidR="00F5024B" w:rsidRPr="00D641C1" w:rsidRDefault="00F5024B" w:rsidP="00F5024B">
      <w:pPr>
        <w:pStyle w:val="Artculo1"/>
        <w:keepNext w:val="0"/>
        <w:spacing w:before="0" w:after="0"/>
        <w:ind w:left="0" w:firstLine="0"/>
        <w:rPr>
          <w:i w:val="0"/>
          <w:iCs w:val="0"/>
          <w:color w:val="auto"/>
        </w:rPr>
      </w:pPr>
      <w:r w:rsidRPr="00D641C1">
        <w:rPr>
          <w:i w:val="0"/>
          <w:iCs w:val="0"/>
          <w:color w:val="auto"/>
        </w:rPr>
        <w:t xml:space="preserve">Costo de la Inversión del Sistema de Alumbrado Público. </w:t>
      </w:r>
      <w:r w:rsidRPr="00D641C1">
        <w:rPr>
          <w:b w:val="0"/>
          <w:bCs w:val="0"/>
          <w:i w:val="0"/>
          <w:iCs w:val="0"/>
          <w:color w:val="auto"/>
        </w:rPr>
        <w:t>Con el fin de remunerar el costo de la Inversión del Sistema de Alumbrado Público se aplicará la siguiente expresión:</w:t>
      </w:r>
    </w:p>
    <w:p w14:paraId="455FDFED" w14:textId="77777777" w:rsidR="00F5024B" w:rsidRPr="00D641C1" w:rsidRDefault="00F5024B" w:rsidP="00F5024B">
      <w:pPr>
        <w:spacing w:before="0" w:after="0"/>
        <w:ind w:left="0" w:firstLine="0"/>
        <w:rPr>
          <w:color w:val="auto"/>
        </w:rPr>
      </w:pPr>
      <m:oMathPara>
        <m:oMathParaPr>
          <m:jc m:val="center"/>
        </m:oMathParaPr>
        <m:oMath>
          <m:r>
            <w:rPr>
              <w:rFonts w:ascii="Cambria Math" w:hAnsi="Cambria Math"/>
              <w:color w:val="auto"/>
            </w:rPr>
            <m:t>CINV=</m:t>
          </m:r>
          <m:nary>
            <m:naryPr>
              <m:chr m:val="∑"/>
              <m:grow m:val="1"/>
              <m:ctrlPr>
                <w:rPr>
                  <w:rFonts w:ascii="Cambria Math" w:hAnsi="Cambria Math"/>
                  <w:color w:val="auto"/>
                </w:rPr>
              </m:ctrlPr>
            </m:naryPr>
            <m:sub>
              <m:r>
                <w:rPr>
                  <w:rFonts w:ascii="Cambria Math" w:hAnsi="Cambria Math"/>
                  <w:color w:val="auto"/>
                </w:rPr>
                <m:t>n=1</m:t>
              </m:r>
            </m:sub>
            <m:sup>
              <m:r>
                <w:rPr>
                  <w:rFonts w:ascii="Cambria Math" w:hAnsi="Cambria Math"/>
                  <w:color w:val="auto"/>
                </w:rPr>
                <m:t>2</m:t>
              </m:r>
            </m:sup>
            <m:e>
              <m:d>
                <m:dPr>
                  <m:ctrlPr>
                    <w:rPr>
                      <w:rFonts w:ascii="Cambria Math" w:hAnsi="Cambria Math"/>
                      <w:color w:val="auto"/>
                    </w:rPr>
                  </m:ctrlPr>
                </m:dPr>
                <m:e>
                  <m:r>
                    <w:rPr>
                      <w:rFonts w:ascii="Cambria Math" w:hAnsi="Cambria Math"/>
                      <w:color w:val="auto"/>
                    </w:rPr>
                    <m:t xml:space="preserve"> CAAn* ID </m:t>
                  </m:r>
                </m:e>
              </m:d>
            </m:e>
          </m:nary>
        </m:oMath>
      </m:oMathPara>
    </w:p>
    <w:p w14:paraId="0A1E558D" w14:textId="77777777" w:rsidR="00F5024B" w:rsidRDefault="00F5024B" w:rsidP="00F5024B">
      <w:pPr>
        <w:spacing w:before="0" w:after="0"/>
        <w:rPr>
          <w:i w:val="0"/>
          <w:iCs w:val="0"/>
          <w:color w:val="auto"/>
        </w:rPr>
      </w:pPr>
      <w:r w:rsidRPr="00D641C1">
        <w:rPr>
          <w:i w:val="0"/>
          <w:iCs w:val="0"/>
          <w:color w:val="auto"/>
        </w:rPr>
        <w:t>Donde:</w:t>
      </w:r>
    </w:p>
    <w:p w14:paraId="48C4BC84" w14:textId="77777777" w:rsidR="00F5024B" w:rsidRPr="00D641C1" w:rsidRDefault="00F5024B" w:rsidP="00F5024B">
      <w:pPr>
        <w:spacing w:before="0" w:after="0"/>
        <w:rPr>
          <w:i w:val="0"/>
          <w:iCs w:val="0"/>
          <w:color w:val="auto"/>
        </w:rPr>
      </w:pPr>
    </w:p>
    <w:p w14:paraId="3E80F9EE" w14:textId="77777777" w:rsidR="00F5024B" w:rsidRPr="00882FCC" w:rsidRDefault="00F5024B" w:rsidP="00F5024B">
      <w:pPr>
        <w:spacing w:before="0"/>
        <w:rPr>
          <w:i w:val="0"/>
          <w:iCs w:val="0"/>
          <w:color w:val="auto"/>
        </w:rPr>
      </w:pPr>
      <w:r w:rsidRPr="00AE1BAD">
        <w:rPr>
          <w:color w:val="auto"/>
        </w:rPr>
        <w:t>CINV:</w:t>
      </w:r>
      <w:r w:rsidRPr="00AE1BAD">
        <w:rPr>
          <w:color w:val="auto"/>
        </w:rPr>
        <w:tab/>
      </w:r>
      <w:r w:rsidRPr="00882FCC">
        <w:rPr>
          <w:i w:val="0"/>
          <w:iCs w:val="0"/>
          <w:color w:val="auto"/>
        </w:rPr>
        <w:t xml:space="preserve">Costo de la Inversión del Sistema de Alumbrado Público en pesos </w:t>
      </w:r>
      <w:r w:rsidRPr="00E176BF">
        <w:rPr>
          <w:i w:val="0"/>
          <w:iCs w:val="0"/>
          <w:color w:val="auto"/>
        </w:rPr>
        <w:t>correspondientes a la fecha de referencia</w:t>
      </w:r>
      <w:r w:rsidRPr="00882FCC">
        <w:rPr>
          <w:i w:val="0"/>
          <w:iCs w:val="0"/>
          <w:color w:val="auto"/>
        </w:rPr>
        <w:t>.</w:t>
      </w:r>
    </w:p>
    <w:p w14:paraId="75010177" w14:textId="77777777" w:rsidR="00F5024B" w:rsidRPr="00882FCC" w:rsidRDefault="00F5024B" w:rsidP="00F5024B">
      <w:pPr>
        <w:spacing w:before="0"/>
        <w:rPr>
          <w:i w:val="0"/>
          <w:iCs w:val="0"/>
          <w:color w:val="auto"/>
        </w:rPr>
      </w:pPr>
      <w:r w:rsidRPr="00AE1BAD">
        <w:rPr>
          <w:color w:val="auto"/>
        </w:rPr>
        <w:t>n:</w:t>
      </w:r>
      <w:r w:rsidRPr="00AE1BAD">
        <w:rPr>
          <w:color w:val="auto"/>
        </w:rPr>
        <w:tab/>
      </w:r>
      <w:r w:rsidRPr="00882FCC">
        <w:rPr>
          <w:i w:val="0"/>
          <w:iCs w:val="0"/>
          <w:color w:val="auto"/>
        </w:rPr>
        <w:t>Nivel de tensión 1 o 2.</w:t>
      </w:r>
    </w:p>
    <w:p w14:paraId="42A2228C" w14:textId="77777777" w:rsidR="00F5024B" w:rsidRPr="00AE1BAD" w:rsidRDefault="00F5024B" w:rsidP="00F5024B">
      <w:pPr>
        <w:spacing w:before="0"/>
        <w:rPr>
          <w:color w:val="auto"/>
        </w:rPr>
      </w:pPr>
      <w:proofErr w:type="spellStart"/>
      <w:r w:rsidRPr="00AE1BAD">
        <w:rPr>
          <w:color w:val="auto"/>
        </w:rPr>
        <w:lastRenderedPageBreak/>
        <w:t>CAAn</w:t>
      </w:r>
      <w:proofErr w:type="spellEnd"/>
      <w:r w:rsidRPr="00AE1BAD">
        <w:rPr>
          <w:color w:val="auto"/>
        </w:rPr>
        <w:t>:</w:t>
      </w:r>
      <w:r w:rsidRPr="00AE1BAD">
        <w:rPr>
          <w:color w:val="auto"/>
        </w:rPr>
        <w:tab/>
      </w:r>
      <w:r w:rsidRPr="00882FCC">
        <w:rPr>
          <w:i w:val="0"/>
          <w:iCs w:val="0"/>
          <w:color w:val="auto"/>
        </w:rPr>
        <w:t xml:space="preserve">Costos anual equivalente de los activos del Sistema de Alumbrado Público del nivel de tensión n en pesos </w:t>
      </w:r>
      <w:r w:rsidRPr="00E176BF">
        <w:rPr>
          <w:i w:val="0"/>
          <w:iCs w:val="0"/>
          <w:color w:val="auto"/>
        </w:rPr>
        <w:t>correspondientes a la fecha de referencia</w:t>
      </w:r>
      <w:r w:rsidRPr="00882FCC">
        <w:rPr>
          <w:i w:val="0"/>
          <w:iCs w:val="0"/>
          <w:color w:val="auto"/>
        </w:rPr>
        <w:t>.</w:t>
      </w:r>
    </w:p>
    <w:p w14:paraId="6114397D" w14:textId="77777777" w:rsidR="00F5024B" w:rsidRPr="00882FCC" w:rsidRDefault="00F5024B" w:rsidP="00F5024B">
      <w:pPr>
        <w:tabs>
          <w:tab w:val="left" w:pos="1418"/>
        </w:tabs>
        <w:spacing w:before="0"/>
        <w:rPr>
          <w:i w:val="0"/>
          <w:iCs w:val="0"/>
          <w:color w:val="auto"/>
        </w:rPr>
      </w:pPr>
      <w:r w:rsidRPr="00AE1BAD">
        <w:rPr>
          <w:color w:val="auto"/>
        </w:rPr>
        <w:t>ID:</w:t>
      </w:r>
      <w:r w:rsidRPr="00AE1BAD">
        <w:rPr>
          <w:color w:val="auto"/>
        </w:rPr>
        <w:tab/>
      </w:r>
      <w:r w:rsidRPr="00882FCC">
        <w:rPr>
          <w:i w:val="0"/>
          <w:iCs w:val="0"/>
          <w:color w:val="auto"/>
        </w:rPr>
        <w:t xml:space="preserve">Índice de disponibilidad de las luminarias del Sistema de Alumbrado Público, calculado de acuerdo con el artículo </w:t>
      </w:r>
      <w:r>
        <w:rPr>
          <w:i w:val="0"/>
          <w:iCs w:val="0"/>
          <w:color w:val="auto"/>
        </w:rPr>
        <w:t>30</w:t>
      </w:r>
      <w:r w:rsidRPr="00882FCC">
        <w:rPr>
          <w:i w:val="0"/>
          <w:iCs w:val="0"/>
          <w:color w:val="auto"/>
        </w:rPr>
        <w:t xml:space="preserve"> de la presente Resolución.</w:t>
      </w:r>
    </w:p>
    <w:p w14:paraId="5FEE4813" w14:textId="77777777" w:rsidR="00F5024B" w:rsidRPr="00D641C1" w:rsidRDefault="00F5024B" w:rsidP="00F5024B">
      <w:pPr>
        <w:spacing w:before="0"/>
        <w:ind w:left="0" w:firstLine="0"/>
        <w:rPr>
          <w:i w:val="0"/>
          <w:iCs w:val="0"/>
          <w:color w:val="auto"/>
        </w:rPr>
      </w:pPr>
      <w:r w:rsidRPr="00D641C1">
        <w:rPr>
          <w:b/>
          <w:i w:val="0"/>
          <w:iCs w:val="0"/>
          <w:color w:val="auto"/>
        </w:rPr>
        <w:t>Parágrafo</w:t>
      </w:r>
      <w:r w:rsidRPr="00D641C1">
        <w:rPr>
          <w:b/>
          <w:i w:val="0"/>
          <w:iCs w:val="0"/>
          <w:color w:val="auto"/>
        </w:rPr>
        <w:tab/>
        <w:t>1.</w:t>
      </w:r>
      <w:r w:rsidRPr="00D641C1">
        <w:rPr>
          <w:b/>
          <w:i w:val="0"/>
          <w:iCs w:val="0"/>
          <w:color w:val="auto"/>
        </w:rPr>
        <w:tab/>
      </w:r>
      <w:r w:rsidRPr="00D641C1">
        <w:rPr>
          <w:i w:val="0"/>
          <w:iCs w:val="0"/>
          <w:color w:val="auto"/>
        </w:rPr>
        <w:t>Los municipios o distritos son libres de pactar con los prestadores del servicio de alumbrado público la periodicidad del pago de la remuneración del costo de esta actividad.</w:t>
      </w:r>
    </w:p>
    <w:p w14:paraId="534FEEAC" w14:textId="77777777" w:rsidR="00F5024B" w:rsidRPr="00D641C1" w:rsidRDefault="00F5024B" w:rsidP="00F5024B">
      <w:pPr>
        <w:spacing w:before="0"/>
        <w:ind w:left="0" w:firstLine="0"/>
        <w:rPr>
          <w:i w:val="0"/>
          <w:iCs w:val="0"/>
          <w:color w:val="auto"/>
        </w:rPr>
      </w:pPr>
      <w:r w:rsidRPr="00D641C1">
        <w:rPr>
          <w:b/>
          <w:i w:val="0"/>
          <w:iCs w:val="0"/>
          <w:color w:val="auto"/>
        </w:rPr>
        <w:t>Parágrafo</w:t>
      </w:r>
      <w:r w:rsidRPr="00D641C1">
        <w:rPr>
          <w:b/>
          <w:i w:val="0"/>
          <w:iCs w:val="0"/>
          <w:color w:val="auto"/>
        </w:rPr>
        <w:tab/>
        <w:t>2.</w:t>
      </w:r>
      <w:r w:rsidRPr="00D641C1">
        <w:rPr>
          <w:i w:val="0"/>
          <w:iCs w:val="0"/>
          <w:color w:val="auto"/>
        </w:rPr>
        <w:tab/>
        <w:t>El reconocimiento de los costos de la inversión no aplica a la infraestructura de propiedad del municipio o distrito entregada al prestador del Servicio de Alumbrado Público. Para esta infraestructura sólo se reconocen la modernización y reposición.</w:t>
      </w:r>
    </w:p>
    <w:p w14:paraId="3C841A4C" w14:textId="77777777" w:rsidR="00F5024B" w:rsidRPr="00D641C1" w:rsidRDefault="00F5024B" w:rsidP="00F5024B">
      <w:pPr>
        <w:pStyle w:val="Artculo1"/>
        <w:keepNext w:val="0"/>
        <w:spacing w:before="0" w:after="0"/>
        <w:ind w:left="0" w:firstLine="0"/>
        <w:rPr>
          <w:b w:val="0"/>
          <w:i w:val="0"/>
          <w:color w:val="auto"/>
        </w:rPr>
      </w:pPr>
      <w:r w:rsidRPr="00D641C1">
        <w:rPr>
          <w:i w:val="0"/>
          <w:color w:val="auto"/>
        </w:rPr>
        <w:t xml:space="preserve">Costo anual equivalente de los activos del Sistema de Alumbrado Público. </w:t>
      </w:r>
      <w:r w:rsidRPr="00D641C1">
        <w:rPr>
          <w:b w:val="0"/>
          <w:i w:val="0"/>
          <w:color w:val="auto"/>
        </w:rPr>
        <w:t>El costo anual equivalente de los activos del Sistema de Alumbrado Público del nivel de tensión “n”, se determinará de conformidad con las siguientes disposiciones:</w:t>
      </w:r>
    </w:p>
    <w:p w14:paraId="32F198F9" w14:textId="77777777" w:rsidR="00F5024B" w:rsidRPr="00D641C1" w:rsidRDefault="00F5024B" w:rsidP="00F5024B">
      <w:pPr>
        <w:spacing w:before="0" w:after="0"/>
        <w:ind w:left="0" w:firstLine="0"/>
        <w:rPr>
          <w:i w:val="0"/>
          <w:iCs w:val="0"/>
          <w:color w:val="auto"/>
        </w:rPr>
      </w:pPr>
    </w:p>
    <w:p w14:paraId="7986473E" w14:textId="77777777" w:rsidR="00F5024B" w:rsidRPr="00D641C1" w:rsidRDefault="00F5024B" w:rsidP="00F5024B">
      <w:pPr>
        <w:pStyle w:val="Prrafodelista"/>
        <w:numPr>
          <w:ilvl w:val="0"/>
          <w:numId w:val="4"/>
        </w:numPr>
        <w:spacing w:before="0"/>
        <w:ind w:left="709" w:hanging="283"/>
        <w:rPr>
          <w:i w:val="0"/>
          <w:color w:val="auto"/>
          <w:sz w:val="24"/>
          <w:szCs w:val="24"/>
        </w:rPr>
      </w:pPr>
      <w:r w:rsidRPr="00D641C1">
        <w:rPr>
          <w:i w:val="0"/>
          <w:color w:val="auto"/>
          <w:sz w:val="24"/>
          <w:szCs w:val="24"/>
        </w:rPr>
        <w:t>Los inventarios de activos construidos en desarrollo de la Inversión, puestos en uso, serán valorados según metodología establecida en el Anexo de la presente Resolución.</w:t>
      </w:r>
    </w:p>
    <w:p w14:paraId="2F681DF8" w14:textId="77777777" w:rsidR="00F5024B" w:rsidRPr="00D641C1" w:rsidRDefault="00F5024B" w:rsidP="00F5024B">
      <w:pPr>
        <w:pStyle w:val="Prrafodelista"/>
        <w:numPr>
          <w:ilvl w:val="0"/>
          <w:numId w:val="4"/>
        </w:numPr>
        <w:spacing w:before="0"/>
        <w:ind w:left="709" w:hanging="283"/>
        <w:rPr>
          <w:i w:val="0"/>
          <w:color w:val="auto"/>
          <w:sz w:val="24"/>
          <w:szCs w:val="24"/>
        </w:rPr>
      </w:pPr>
      <w:r w:rsidRPr="00D641C1">
        <w:rPr>
          <w:i w:val="0"/>
          <w:color w:val="auto"/>
          <w:sz w:val="24"/>
          <w:szCs w:val="24"/>
        </w:rPr>
        <w:t>Los terrenos asociados con cada subestación construidos por el prestador del Servicio de Alumbrado Público, indicando para cada terreno su área (m</w:t>
      </w:r>
      <w:r w:rsidRPr="00D641C1">
        <w:rPr>
          <w:i w:val="0"/>
          <w:color w:val="auto"/>
          <w:sz w:val="24"/>
          <w:szCs w:val="24"/>
          <w:vertAlign w:val="superscript"/>
        </w:rPr>
        <w:t>2</w:t>
      </w:r>
      <w:r w:rsidRPr="00D641C1">
        <w:rPr>
          <w:i w:val="0"/>
          <w:color w:val="auto"/>
          <w:sz w:val="24"/>
          <w:szCs w:val="24"/>
        </w:rPr>
        <w:t>) y valor catastral total.</w:t>
      </w:r>
    </w:p>
    <w:p w14:paraId="48528417" w14:textId="77777777" w:rsidR="00F5024B" w:rsidRPr="00D641C1" w:rsidRDefault="00F5024B" w:rsidP="00F5024B">
      <w:pPr>
        <w:pStyle w:val="Prrafodelista"/>
        <w:numPr>
          <w:ilvl w:val="0"/>
          <w:numId w:val="4"/>
        </w:numPr>
        <w:spacing w:before="0"/>
        <w:ind w:left="709" w:hanging="283"/>
        <w:rPr>
          <w:i w:val="0"/>
          <w:color w:val="auto"/>
          <w:sz w:val="24"/>
          <w:szCs w:val="24"/>
        </w:rPr>
      </w:pPr>
      <w:r w:rsidRPr="00D641C1">
        <w:rPr>
          <w:i w:val="0"/>
          <w:color w:val="auto"/>
          <w:sz w:val="24"/>
          <w:szCs w:val="24"/>
        </w:rPr>
        <w:t>Los activos no eléctricos, necesarios para la prestación del Servicio de Alumbrado Público.</w:t>
      </w:r>
    </w:p>
    <w:p w14:paraId="20A24DC2" w14:textId="77777777" w:rsidR="00F5024B" w:rsidRPr="00D641C1" w:rsidRDefault="00F5024B" w:rsidP="00F5024B">
      <w:pPr>
        <w:spacing w:before="0" w:after="0"/>
        <w:ind w:left="0" w:firstLine="0"/>
        <w:rPr>
          <w:i w:val="0"/>
          <w:iCs w:val="0"/>
          <w:color w:val="auto"/>
        </w:rPr>
      </w:pPr>
      <w:r w:rsidRPr="00D641C1">
        <w:rPr>
          <w:i w:val="0"/>
          <w:iCs w:val="0"/>
          <w:color w:val="auto"/>
        </w:rPr>
        <w:t>De acuerdo con lo anterior</w:t>
      </w:r>
      <w:r>
        <w:rPr>
          <w:i w:val="0"/>
          <w:iCs w:val="0"/>
          <w:color w:val="auto"/>
        </w:rPr>
        <w:t>,</w:t>
      </w:r>
      <w:r w:rsidRPr="00D641C1">
        <w:rPr>
          <w:i w:val="0"/>
          <w:iCs w:val="0"/>
          <w:color w:val="auto"/>
        </w:rPr>
        <w:t xml:space="preserve"> el </w:t>
      </w:r>
      <w:r>
        <w:rPr>
          <w:i w:val="0"/>
          <w:iCs w:val="0"/>
          <w:color w:val="auto"/>
        </w:rPr>
        <w:t>C</w:t>
      </w:r>
      <w:r w:rsidRPr="00D641C1">
        <w:rPr>
          <w:i w:val="0"/>
          <w:iCs w:val="0"/>
          <w:color w:val="auto"/>
        </w:rPr>
        <w:t>osto anual equivalente de la infraestructura de cada nivel de tensión n se determinará así:</w:t>
      </w:r>
    </w:p>
    <w:p w14:paraId="0D8DD86E" w14:textId="77777777" w:rsidR="00F5024B" w:rsidRPr="00D641C1" w:rsidRDefault="00F5024B" w:rsidP="00F5024B">
      <w:pPr>
        <w:spacing w:before="0" w:after="0"/>
        <w:ind w:left="0" w:firstLine="0"/>
        <w:rPr>
          <w:i w:val="0"/>
          <w:iCs w:val="0"/>
          <w:color w:val="auto"/>
        </w:rPr>
      </w:pPr>
    </w:p>
    <w:p w14:paraId="15B4BC58" w14:textId="77777777" w:rsidR="00F5024B" w:rsidRPr="00D641C1" w:rsidRDefault="00F5024B" w:rsidP="00F5024B">
      <w:pPr>
        <w:spacing w:before="0" w:after="0"/>
        <w:ind w:left="0" w:firstLine="0"/>
        <w:jc w:val="center"/>
        <w:rPr>
          <w:color w:val="auto"/>
        </w:rPr>
      </w:pPr>
      <m:oMathPara>
        <m:oMath>
          <m:r>
            <w:rPr>
              <w:rFonts w:ascii="Cambria Math" w:hAnsi="Cambria Math"/>
              <w:color w:val="auto"/>
            </w:rPr>
            <m:t>CAAn=CAAEn+ CATn+CAANEn</m:t>
          </m:r>
        </m:oMath>
      </m:oMathPara>
    </w:p>
    <w:p w14:paraId="51AA4147" w14:textId="77777777" w:rsidR="00F5024B" w:rsidRPr="00D641C1" w:rsidRDefault="00F5024B" w:rsidP="00F5024B">
      <w:pPr>
        <w:spacing w:before="0" w:after="0"/>
        <w:ind w:left="0" w:firstLine="0"/>
        <w:rPr>
          <w:i w:val="0"/>
          <w:iCs w:val="0"/>
          <w:color w:val="auto"/>
        </w:rPr>
      </w:pPr>
    </w:p>
    <w:p w14:paraId="0B971B4F" w14:textId="77777777" w:rsidR="00F5024B" w:rsidRPr="00D641C1" w:rsidRDefault="00F5024B" w:rsidP="00F5024B">
      <w:pPr>
        <w:spacing w:before="0" w:after="0"/>
        <w:ind w:left="0" w:firstLine="0"/>
        <w:rPr>
          <w:i w:val="0"/>
          <w:iCs w:val="0"/>
          <w:color w:val="auto"/>
        </w:rPr>
      </w:pPr>
      <w:r w:rsidRPr="00D641C1">
        <w:rPr>
          <w:i w:val="0"/>
          <w:iCs w:val="0"/>
          <w:color w:val="auto"/>
        </w:rPr>
        <w:t>Donde:</w:t>
      </w:r>
    </w:p>
    <w:p w14:paraId="3EFF695C" w14:textId="77777777" w:rsidR="00F5024B" w:rsidRPr="00D641C1" w:rsidRDefault="00F5024B" w:rsidP="00F5024B">
      <w:pPr>
        <w:spacing w:before="0" w:after="0"/>
        <w:ind w:left="0" w:firstLine="0"/>
        <w:rPr>
          <w:i w:val="0"/>
          <w:iCs w:val="0"/>
          <w:color w:val="auto"/>
        </w:rPr>
      </w:pPr>
    </w:p>
    <w:p w14:paraId="6779C915" w14:textId="77777777" w:rsidR="00F5024B" w:rsidRPr="00AE1BAD" w:rsidRDefault="00F5024B" w:rsidP="00F5024B">
      <w:pPr>
        <w:pStyle w:val="Textoindependiente"/>
        <w:spacing w:before="0"/>
        <w:jc w:val="both"/>
        <w:rPr>
          <w:rFonts w:ascii="Bookman Old Style" w:hAnsi="Bookman Old Style"/>
          <w:b w:val="0"/>
          <w:bCs w:val="0"/>
          <w:color w:val="auto"/>
          <w:lang w:eastAsia="en-US"/>
        </w:rPr>
      </w:pPr>
      <w:proofErr w:type="spellStart"/>
      <w:r w:rsidRPr="00AE1BAD">
        <w:rPr>
          <w:rFonts w:ascii="Bookman Old Style" w:hAnsi="Bookman Old Style"/>
          <w:b w:val="0"/>
          <w:bCs w:val="0"/>
          <w:color w:val="auto"/>
          <w:lang w:eastAsia="en-US"/>
        </w:rPr>
        <w:t>CAAn</w:t>
      </w:r>
      <w:proofErr w:type="spellEnd"/>
      <w:r w:rsidRPr="00AE1BAD">
        <w:rPr>
          <w:rFonts w:ascii="Bookman Old Style" w:hAnsi="Bookman Old Style"/>
          <w:b w:val="0"/>
          <w:bCs w:val="0"/>
          <w:color w:val="auto"/>
          <w:lang w:eastAsia="en-US"/>
        </w:rPr>
        <w:t>:</w:t>
      </w:r>
      <w:r w:rsidRPr="00AE1BAD">
        <w:rPr>
          <w:rFonts w:ascii="Bookman Old Style" w:hAnsi="Bookman Old Style"/>
          <w:b w:val="0"/>
          <w:bCs w:val="0"/>
          <w:color w:val="auto"/>
          <w:lang w:eastAsia="en-US"/>
        </w:rPr>
        <w:tab/>
      </w:r>
      <w:r w:rsidRPr="00882FCC">
        <w:rPr>
          <w:rFonts w:ascii="Bookman Old Style" w:hAnsi="Bookman Old Style"/>
          <w:b w:val="0"/>
          <w:bCs w:val="0"/>
          <w:i w:val="0"/>
          <w:iCs w:val="0"/>
          <w:color w:val="auto"/>
          <w:lang w:eastAsia="en-US"/>
        </w:rPr>
        <w:t xml:space="preserve">Costo anual equivalente de todos los activos del nivel de tensión n en pesos </w:t>
      </w:r>
      <w:r w:rsidRPr="00E176BF">
        <w:rPr>
          <w:rFonts w:ascii="Bookman Old Style" w:hAnsi="Bookman Old Style"/>
          <w:b w:val="0"/>
          <w:bCs w:val="0"/>
          <w:i w:val="0"/>
          <w:iCs w:val="0"/>
          <w:color w:val="auto"/>
          <w:lang w:eastAsia="en-US"/>
        </w:rPr>
        <w:t>correspondientes a la fecha de referencia</w:t>
      </w:r>
      <w:r w:rsidRPr="00882FCC">
        <w:rPr>
          <w:rFonts w:ascii="Bookman Old Style" w:hAnsi="Bookman Old Style"/>
          <w:b w:val="0"/>
          <w:bCs w:val="0"/>
          <w:i w:val="0"/>
          <w:iCs w:val="0"/>
          <w:color w:val="auto"/>
          <w:lang w:eastAsia="en-US"/>
        </w:rPr>
        <w:t>.</w:t>
      </w:r>
    </w:p>
    <w:p w14:paraId="46242297" w14:textId="77777777" w:rsidR="00F5024B" w:rsidRPr="00882FCC" w:rsidRDefault="00F5024B" w:rsidP="00F5024B">
      <w:pPr>
        <w:pStyle w:val="Textoindependiente"/>
        <w:spacing w:before="0"/>
        <w:jc w:val="both"/>
        <w:rPr>
          <w:rFonts w:ascii="Bookman Old Style" w:eastAsia="Cambria" w:hAnsi="Bookman Old Style"/>
          <w:b w:val="0"/>
          <w:bCs w:val="0"/>
          <w:i w:val="0"/>
          <w:iCs w:val="0"/>
          <w:color w:val="auto"/>
          <w:lang w:eastAsia="en-US"/>
        </w:rPr>
      </w:pPr>
      <w:r w:rsidRPr="00AE1BAD">
        <w:rPr>
          <w:rFonts w:ascii="Bookman Old Style" w:hAnsi="Bookman Old Style"/>
          <w:b w:val="0"/>
          <w:bCs w:val="0"/>
          <w:color w:val="auto"/>
        </w:rPr>
        <w:t>n:</w:t>
      </w:r>
      <w:r w:rsidRPr="00AE1BAD">
        <w:rPr>
          <w:rFonts w:ascii="Bookman Old Style" w:hAnsi="Bookman Old Style"/>
          <w:b w:val="0"/>
          <w:bCs w:val="0"/>
          <w:color w:val="auto"/>
        </w:rPr>
        <w:tab/>
      </w:r>
      <w:r w:rsidRPr="00882FCC">
        <w:rPr>
          <w:rFonts w:ascii="Bookman Old Style" w:hAnsi="Bookman Old Style"/>
          <w:b w:val="0"/>
          <w:bCs w:val="0"/>
          <w:i w:val="0"/>
          <w:iCs w:val="0"/>
          <w:color w:val="auto"/>
        </w:rPr>
        <w:t>Nivel de tensión 1 o 2</w:t>
      </w:r>
    </w:p>
    <w:p w14:paraId="734FCD46" w14:textId="77777777" w:rsidR="00F5024B" w:rsidRPr="00AE1BAD" w:rsidRDefault="00F5024B" w:rsidP="00F5024B">
      <w:pPr>
        <w:spacing w:before="0"/>
        <w:rPr>
          <w:color w:val="auto"/>
        </w:rPr>
      </w:pPr>
      <w:proofErr w:type="spellStart"/>
      <w:r w:rsidRPr="00AE1BAD">
        <w:rPr>
          <w:color w:val="auto"/>
        </w:rPr>
        <w:t>CAAEn</w:t>
      </w:r>
      <w:proofErr w:type="spellEnd"/>
      <w:r w:rsidRPr="00AE1BAD">
        <w:rPr>
          <w:color w:val="auto"/>
        </w:rPr>
        <w:t>:</w:t>
      </w:r>
      <w:r w:rsidRPr="00AE1BAD">
        <w:rPr>
          <w:color w:val="auto"/>
        </w:rPr>
        <w:tab/>
      </w:r>
      <w:r w:rsidRPr="00882FCC">
        <w:rPr>
          <w:i w:val="0"/>
          <w:iCs w:val="0"/>
          <w:color w:val="auto"/>
        </w:rPr>
        <w:t>Costo anual equivalente de los activos eléctricos en el Nivel de Tensión n en pesos correspondientes a la fecha de referencia</w:t>
      </w:r>
      <w:r w:rsidRPr="00AE1BAD">
        <w:rPr>
          <w:color w:val="auto"/>
        </w:rPr>
        <w:t>.</w:t>
      </w:r>
    </w:p>
    <w:p w14:paraId="5782EF23" w14:textId="77777777" w:rsidR="00F5024B" w:rsidRPr="00AE1BAD" w:rsidRDefault="00F5024B" w:rsidP="00F5024B">
      <w:pPr>
        <w:spacing w:before="0"/>
        <w:rPr>
          <w:color w:val="auto"/>
        </w:rPr>
      </w:pPr>
      <w:proofErr w:type="spellStart"/>
      <w:r w:rsidRPr="00AE1BAD">
        <w:rPr>
          <w:color w:val="auto"/>
        </w:rPr>
        <w:t>CATn</w:t>
      </w:r>
      <w:proofErr w:type="spellEnd"/>
      <w:r w:rsidRPr="00AE1BAD">
        <w:rPr>
          <w:color w:val="auto"/>
        </w:rPr>
        <w:t>:</w:t>
      </w:r>
      <w:r w:rsidRPr="00AE1BAD">
        <w:rPr>
          <w:color w:val="auto"/>
        </w:rPr>
        <w:tab/>
      </w:r>
      <w:r w:rsidRPr="00882FCC">
        <w:rPr>
          <w:i w:val="0"/>
          <w:iCs w:val="0"/>
          <w:color w:val="auto"/>
        </w:rPr>
        <w:t>Costo anual de terrenos de subestaciones en el nivel de Tensión n en pesos correspondientes a la fecha de referencia.</w:t>
      </w:r>
    </w:p>
    <w:p w14:paraId="551D0388" w14:textId="77777777" w:rsidR="00F5024B" w:rsidRPr="00882FCC" w:rsidRDefault="00F5024B" w:rsidP="00F5024B">
      <w:pPr>
        <w:pStyle w:val="Textoindependiente"/>
        <w:spacing w:before="0" w:after="0"/>
        <w:jc w:val="both"/>
        <w:rPr>
          <w:rFonts w:ascii="Bookman Old Style" w:hAnsi="Bookman Old Style"/>
          <w:b w:val="0"/>
          <w:bCs w:val="0"/>
          <w:i w:val="0"/>
          <w:iCs w:val="0"/>
          <w:color w:val="auto"/>
          <w:lang w:eastAsia="en-US"/>
        </w:rPr>
      </w:pPr>
      <w:proofErr w:type="spellStart"/>
      <w:r w:rsidRPr="00AE1BAD">
        <w:rPr>
          <w:rFonts w:ascii="Bookman Old Style" w:hAnsi="Bookman Old Style"/>
          <w:b w:val="0"/>
          <w:bCs w:val="0"/>
          <w:color w:val="auto"/>
          <w:lang w:eastAsia="en-US"/>
        </w:rPr>
        <w:t>CAANEn</w:t>
      </w:r>
      <w:proofErr w:type="spellEnd"/>
      <w:r w:rsidRPr="00AE1BAD">
        <w:rPr>
          <w:rFonts w:ascii="Bookman Old Style" w:hAnsi="Bookman Old Style"/>
          <w:b w:val="0"/>
          <w:bCs w:val="0"/>
          <w:color w:val="auto"/>
          <w:lang w:eastAsia="en-US"/>
        </w:rPr>
        <w:t>:</w:t>
      </w:r>
      <w:r w:rsidRPr="00AE1BAD">
        <w:rPr>
          <w:rFonts w:ascii="Bookman Old Style" w:hAnsi="Bookman Old Style"/>
          <w:b w:val="0"/>
          <w:bCs w:val="0"/>
          <w:color w:val="auto"/>
          <w:lang w:eastAsia="en-US"/>
        </w:rPr>
        <w:tab/>
      </w:r>
      <w:r w:rsidRPr="00882FCC">
        <w:rPr>
          <w:rFonts w:ascii="Bookman Old Style" w:hAnsi="Bookman Old Style"/>
          <w:b w:val="0"/>
          <w:bCs w:val="0"/>
          <w:i w:val="0"/>
          <w:iCs w:val="0"/>
          <w:color w:val="auto"/>
          <w:lang w:eastAsia="en-US"/>
        </w:rPr>
        <w:t>Costo anual equivalente de los activos no eléctricos asignable al Nivel de Tensión n en pesos</w:t>
      </w:r>
      <w:r>
        <w:rPr>
          <w:rFonts w:ascii="Bookman Old Style" w:hAnsi="Bookman Old Style"/>
          <w:b w:val="0"/>
          <w:bCs w:val="0"/>
          <w:i w:val="0"/>
          <w:iCs w:val="0"/>
          <w:color w:val="auto"/>
          <w:lang w:eastAsia="en-US"/>
        </w:rPr>
        <w:t xml:space="preserve"> </w:t>
      </w:r>
      <w:r w:rsidRPr="00E176BF">
        <w:rPr>
          <w:rFonts w:ascii="Bookman Old Style" w:hAnsi="Bookman Old Style"/>
          <w:b w:val="0"/>
          <w:bCs w:val="0"/>
          <w:i w:val="0"/>
          <w:iCs w:val="0"/>
          <w:color w:val="auto"/>
          <w:lang w:eastAsia="en-US"/>
        </w:rPr>
        <w:t>correspondientes a la fecha de referencia</w:t>
      </w:r>
      <w:r w:rsidRPr="00882FCC">
        <w:rPr>
          <w:rFonts w:ascii="Bookman Old Style" w:hAnsi="Bookman Old Style"/>
          <w:b w:val="0"/>
          <w:bCs w:val="0"/>
          <w:i w:val="0"/>
          <w:iCs w:val="0"/>
          <w:color w:val="auto"/>
          <w:lang w:eastAsia="en-US"/>
        </w:rPr>
        <w:t>.</w:t>
      </w:r>
    </w:p>
    <w:p w14:paraId="551D4EDF" w14:textId="77777777" w:rsidR="00F5024B" w:rsidRPr="000F538C" w:rsidRDefault="00F5024B" w:rsidP="00F5024B">
      <w:pPr>
        <w:spacing w:before="0" w:after="0"/>
        <w:rPr>
          <w:color w:val="auto"/>
        </w:rPr>
      </w:pPr>
    </w:p>
    <w:p w14:paraId="6067B260" w14:textId="77777777" w:rsidR="00F5024B" w:rsidRPr="00AE1BAD" w:rsidRDefault="00F5024B" w:rsidP="00F5024B">
      <w:pPr>
        <w:pStyle w:val="Artculo1"/>
        <w:keepNext w:val="0"/>
        <w:ind w:left="0" w:firstLine="0"/>
        <w:rPr>
          <w:color w:val="auto"/>
        </w:rPr>
      </w:pPr>
      <w:r w:rsidRPr="000F538C">
        <w:rPr>
          <w:i w:val="0"/>
          <w:iCs w:val="0"/>
          <w:color w:val="auto"/>
        </w:rPr>
        <w:lastRenderedPageBreak/>
        <w:t xml:space="preserve">Costo anual equivalente de los activos eléctricos para el Nivel de Tensión n se determinará </w:t>
      </w:r>
      <w:r w:rsidRPr="00AE1BAD">
        <w:rPr>
          <w:i w:val="0"/>
          <w:iCs w:val="0"/>
          <w:color w:val="auto"/>
        </w:rPr>
        <w:t>así</w:t>
      </w:r>
      <w:r w:rsidRPr="00AE1BAD">
        <w:rPr>
          <w:color w:val="auto"/>
        </w:rPr>
        <w:t>:</w:t>
      </w:r>
    </w:p>
    <w:p w14:paraId="05330643" w14:textId="77777777" w:rsidR="00F5024B" w:rsidRDefault="00F5024B" w:rsidP="00F5024B">
      <w:pPr>
        <w:spacing w:before="0" w:after="0"/>
        <w:rPr>
          <w:i w:val="0"/>
          <w:iCs w:val="0"/>
          <w:color w:val="auto"/>
        </w:rPr>
      </w:pPr>
    </w:p>
    <w:p w14:paraId="1183F5B6" w14:textId="77777777" w:rsidR="00F5024B" w:rsidRPr="00AE1BAD" w:rsidRDefault="00F5024B" w:rsidP="00F5024B">
      <w:pPr>
        <w:spacing w:before="0" w:after="0"/>
        <w:rPr>
          <w:i w:val="0"/>
          <w:iCs w:val="0"/>
          <w:color w:val="auto"/>
        </w:rPr>
      </w:pPr>
      <m:oMathPara>
        <m:oMathParaPr>
          <m:jc m:val="center"/>
        </m:oMathParaPr>
        <m:oMath>
          <m:r>
            <w:rPr>
              <w:rFonts w:ascii="Cambria Math" w:hAnsi="Cambria Math"/>
              <w:color w:val="auto"/>
            </w:rPr>
            <m:t>CAAEn</m:t>
          </m:r>
          <m:r>
            <w:rPr>
              <w:rFonts w:ascii="Cambria Math" w:eastAsia="Cambria Math" w:hAnsi="Cambria Math" w:cs="Cambria Math"/>
              <w:color w:val="auto"/>
            </w:rPr>
            <m:t>=</m:t>
          </m:r>
          <m:nary>
            <m:naryPr>
              <m:chr m:val="∑"/>
              <m:grow m:val="1"/>
              <m:ctrlPr>
                <w:rPr>
                  <w:rFonts w:ascii="Cambria Math" w:hAnsi="Cambria Math"/>
                  <w:iCs w:val="0"/>
                  <w:color w:val="auto"/>
                </w:rPr>
              </m:ctrlPr>
            </m:naryPr>
            <m:sub>
              <m:r>
                <w:rPr>
                  <w:rFonts w:ascii="Cambria Math" w:eastAsia="Cambria Math" w:hAnsi="Cambria Math" w:cs="Cambria Math"/>
                  <w:color w:val="auto"/>
                </w:rPr>
                <m:t>i=1</m:t>
              </m:r>
            </m:sub>
            <m:sup>
              <m:r>
                <w:rPr>
                  <w:rFonts w:ascii="Cambria Math" w:eastAsia="Cambria Math" w:hAnsi="Cambria Math" w:cs="Cambria Math"/>
                  <w:color w:val="auto"/>
                </w:rPr>
                <m:t>NRn</m:t>
              </m:r>
            </m:sup>
            <m:e>
              <m:r>
                <w:rPr>
                  <w:rFonts w:ascii="Cambria Math" w:hAnsi="Cambria Math"/>
                  <w:color w:val="auto"/>
                </w:rPr>
                <m:t>(</m:t>
              </m:r>
              <m:d>
                <m:dPr>
                  <m:ctrlPr>
                    <w:rPr>
                      <w:rFonts w:ascii="Cambria Math" w:hAnsi="Cambria Math"/>
                      <w:iCs w:val="0"/>
                      <w:color w:val="auto"/>
                    </w:rPr>
                  </m:ctrlPr>
                </m:dPr>
                <m:e>
                  <m:r>
                    <w:rPr>
                      <w:rFonts w:ascii="Cambria Math" w:hAnsi="Cambria Math"/>
                      <w:color w:val="auto"/>
                    </w:rPr>
                    <m:t>CRi+CRi,L</m:t>
                  </m:r>
                </m:e>
              </m:d>
              <m:r>
                <w:rPr>
                  <w:rFonts w:ascii="Cambria Math" w:hAnsi="Cambria Math"/>
                  <w:color w:val="auto"/>
                </w:rPr>
                <m:t xml:space="preserve">* </m:t>
              </m:r>
              <m:f>
                <m:fPr>
                  <m:ctrlPr>
                    <w:rPr>
                      <w:rFonts w:ascii="Cambria Math" w:eastAsia="Cambria Math" w:hAnsi="Cambria Math" w:cs="Cambria Math"/>
                      <w:color w:val="auto"/>
                    </w:rPr>
                  </m:ctrlPr>
                </m:fPr>
                <m:num>
                  <m:r>
                    <w:rPr>
                      <w:rFonts w:ascii="Cambria Math" w:eastAsia="Cambria Math" w:hAnsi="Cambria Math" w:cs="Cambria Math"/>
                      <w:color w:val="auto"/>
                    </w:rPr>
                    <m:t>r</m:t>
                  </m:r>
                </m:num>
                <m:den>
                  <m:sSup>
                    <m:sSupPr>
                      <m:ctrlPr>
                        <w:rPr>
                          <w:rFonts w:ascii="Cambria Math" w:hAnsi="Cambria Math"/>
                          <w:iCs w:val="0"/>
                          <w:color w:val="auto"/>
                        </w:rPr>
                      </m:ctrlPr>
                    </m:sSupPr>
                    <m:e>
                      <m:r>
                        <w:rPr>
                          <w:rFonts w:ascii="Cambria Math" w:eastAsia="Cambria Math" w:hAnsi="Cambria Math" w:cs="Cambria Math"/>
                          <w:color w:val="auto"/>
                        </w:rPr>
                        <m:t>1-</m:t>
                      </m:r>
                      <m:d>
                        <m:dPr>
                          <m:ctrlPr>
                            <w:rPr>
                              <w:rFonts w:ascii="Cambria Math" w:eastAsia="Cambria Math" w:hAnsi="Cambria Math" w:cs="Cambria Math"/>
                              <w:color w:val="auto"/>
                            </w:rPr>
                          </m:ctrlPr>
                        </m:dPr>
                        <m:e>
                          <m:r>
                            <w:rPr>
                              <w:rFonts w:ascii="Cambria Math" w:eastAsia="Cambria Math" w:hAnsi="Cambria Math" w:cs="Cambria Math"/>
                              <w:color w:val="auto"/>
                            </w:rPr>
                            <m:t>1+ r</m:t>
                          </m:r>
                        </m:e>
                      </m:d>
                    </m:e>
                    <m:sup>
                      <m:r>
                        <w:rPr>
                          <w:rFonts w:ascii="Cambria Math" w:eastAsia="Cambria Math" w:hAnsi="Cambria Math" w:cs="Cambria Math"/>
                          <w:color w:val="auto"/>
                        </w:rPr>
                        <m:t>-vi</m:t>
                      </m:r>
                    </m:sup>
                  </m:sSup>
                </m:den>
              </m:f>
              <m:r>
                <w:rPr>
                  <w:rFonts w:ascii="Cambria Math" w:hAnsi="Cambria Math"/>
                  <w:color w:val="auto"/>
                </w:rPr>
                <m:t xml:space="preserve">) </m:t>
              </m:r>
            </m:e>
          </m:nary>
        </m:oMath>
      </m:oMathPara>
    </w:p>
    <w:p w14:paraId="0E75F188" w14:textId="77777777" w:rsidR="00F5024B" w:rsidRPr="00AE1BAD" w:rsidRDefault="00F5024B" w:rsidP="00F5024B">
      <w:pPr>
        <w:spacing w:before="0" w:after="0"/>
        <w:rPr>
          <w:color w:val="auto"/>
        </w:rPr>
      </w:pPr>
    </w:p>
    <w:p w14:paraId="5DBF9A8A" w14:textId="77777777" w:rsidR="00F5024B" w:rsidRPr="000F538C" w:rsidRDefault="00F5024B" w:rsidP="00F5024B">
      <w:pPr>
        <w:spacing w:before="0" w:after="0"/>
        <w:rPr>
          <w:i w:val="0"/>
          <w:iCs w:val="0"/>
          <w:color w:val="auto"/>
        </w:rPr>
      </w:pPr>
      <w:r w:rsidRPr="000F538C">
        <w:rPr>
          <w:i w:val="0"/>
          <w:iCs w:val="0"/>
          <w:color w:val="auto"/>
        </w:rPr>
        <w:t>Donde:</w:t>
      </w:r>
    </w:p>
    <w:p w14:paraId="1A987973" w14:textId="77777777" w:rsidR="00F5024B" w:rsidRPr="000F538C" w:rsidRDefault="00F5024B" w:rsidP="00F5024B">
      <w:pPr>
        <w:spacing w:before="0" w:after="0"/>
        <w:rPr>
          <w:i w:val="0"/>
          <w:iCs w:val="0"/>
          <w:color w:val="auto"/>
        </w:rPr>
      </w:pPr>
    </w:p>
    <w:p w14:paraId="6677F808" w14:textId="77777777" w:rsidR="00F5024B" w:rsidRPr="00882FCC" w:rsidRDefault="00F5024B" w:rsidP="00F5024B">
      <w:pPr>
        <w:spacing w:before="0"/>
        <w:rPr>
          <w:i w:val="0"/>
          <w:iCs w:val="0"/>
          <w:color w:val="auto"/>
        </w:rPr>
      </w:pPr>
      <w:proofErr w:type="spellStart"/>
      <w:r w:rsidRPr="00AE1BAD">
        <w:rPr>
          <w:color w:val="auto"/>
        </w:rPr>
        <w:t>CAAEn</w:t>
      </w:r>
      <w:proofErr w:type="spellEnd"/>
      <w:r w:rsidRPr="00AE1BAD">
        <w:rPr>
          <w:color w:val="auto"/>
        </w:rPr>
        <w:t>:</w:t>
      </w:r>
      <w:r w:rsidRPr="00AE1BAD">
        <w:rPr>
          <w:color w:val="auto"/>
        </w:rPr>
        <w:tab/>
      </w:r>
      <w:r w:rsidRPr="00882FCC">
        <w:rPr>
          <w:i w:val="0"/>
          <w:iCs w:val="0"/>
          <w:color w:val="auto"/>
        </w:rPr>
        <w:t xml:space="preserve">Costo anual equivalente de los activos del Sistema de Alumbrado Público en el Nivel de Tensión n en pesos </w:t>
      </w:r>
      <w:r w:rsidRPr="00E176BF">
        <w:rPr>
          <w:i w:val="0"/>
          <w:iCs w:val="0"/>
          <w:color w:val="auto"/>
        </w:rPr>
        <w:t>correspondientes a la fecha de referencia</w:t>
      </w:r>
      <w:r w:rsidRPr="00882FCC">
        <w:rPr>
          <w:i w:val="0"/>
          <w:iCs w:val="0"/>
          <w:color w:val="auto"/>
        </w:rPr>
        <w:t>.</w:t>
      </w:r>
    </w:p>
    <w:p w14:paraId="23734125" w14:textId="77777777" w:rsidR="00F5024B" w:rsidRPr="00882FCC" w:rsidRDefault="00F5024B" w:rsidP="00F5024B">
      <w:pPr>
        <w:spacing w:before="0"/>
        <w:rPr>
          <w:i w:val="0"/>
          <w:iCs w:val="0"/>
          <w:color w:val="auto"/>
        </w:rPr>
      </w:pPr>
      <w:r w:rsidRPr="00AE1BAD">
        <w:rPr>
          <w:color w:val="auto"/>
        </w:rPr>
        <w:t>n:</w:t>
      </w:r>
      <w:r w:rsidRPr="00AE1BAD">
        <w:rPr>
          <w:color w:val="auto"/>
        </w:rPr>
        <w:tab/>
      </w:r>
      <w:r w:rsidRPr="00882FCC">
        <w:rPr>
          <w:i w:val="0"/>
          <w:iCs w:val="0"/>
          <w:color w:val="auto"/>
        </w:rPr>
        <w:t>Nivel de tensión 1 o 2.</w:t>
      </w:r>
    </w:p>
    <w:p w14:paraId="1796F40C" w14:textId="77777777" w:rsidR="00F5024B" w:rsidRPr="00AE1BAD" w:rsidRDefault="00F5024B" w:rsidP="00F5024B">
      <w:pPr>
        <w:spacing w:before="0"/>
        <w:rPr>
          <w:color w:val="auto"/>
        </w:rPr>
      </w:pPr>
      <w:proofErr w:type="spellStart"/>
      <w:r w:rsidRPr="00AE1BAD">
        <w:rPr>
          <w:color w:val="auto"/>
        </w:rPr>
        <w:t>NRn</w:t>
      </w:r>
      <w:proofErr w:type="spellEnd"/>
      <w:r w:rsidRPr="00AE1BAD">
        <w:rPr>
          <w:color w:val="auto"/>
        </w:rPr>
        <w:t>:</w:t>
      </w:r>
      <w:r w:rsidRPr="00AE1BAD">
        <w:rPr>
          <w:color w:val="auto"/>
        </w:rPr>
        <w:tab/>
      </w:r>
      <w:r w:rsidRPr="00882FCC">
        <w:rPr>
          <w:i w:val="0"/>
          <w:iCs w:val="0"/>
          <w:color w:val="auto"/>
        </w:rPr>
        <w:t>Número total de UCAP que conforman cada activo, instalado y puesto en operación en el Nivel de Tensión n por el encargado de la Inversión</w:t>
      </w:r>
      <w:r w:rsidRPr="00AE1BAD">
        <w:rPr>
          <w:color w:val="auto"/>
        </w:rPr>
        <w:t>.</w:t>
      </w:r>
    </w:p>
    <w:p w14:paraId="151D2E67" w14:textId="77777777" w:rsidR="00F5024B" w:rsidRPr="00882FCC" w:rsidRDefault="00F5024B" w:rsidP="00F5024B">
      <w:pPr>
        <w:spacing w:before="0"/>
        <w:rPr>
          <w:i w:val="0"/>
          <w:iCs w:val="0"/>
          <w:color w:val="auto"/>
        </w:rPr>
      </w:pPr>
      <w:proofErr w:type="spellStart"/>
      <w:r w:rsidRPr="00AE1BAD">
        <w:rPr>
          <w:color w:val="auto"/>
        </w:rPr>
        <w:t>CRi</w:t>
      </w:r>
      <w:proofErr w:type="spellEnd"/>
      <w:r w:rsidRPr="00AE1BAD">
        <w:rPr>
          <w:color w:val="auto"/>
        </w:rPr>
        <w:t>:</w:t>
      </w:r>
      <w:r w:rsidRPr="00AE1BAD">
        <w:rPr>
          <w:color w:val="auto"/>
        </w:rPr>
        <w:tab/>
      </w:r>
      <w:r w:rsidRPr="00882FCC">
        <w:rPr>
          <w:i w:val="0"/>
          <w:iCs w:val="0"/>
          <w:color w:val="auto"/>
        </w:rPr>
        <w:t xml:space="preserve">Costo de Reposición a nuevo de la UCAP i </w:t>
      </w:r>
      <w:r w:rsidRPr="00882FCC">
        <w:rPr>
          <w:bCs/>
          <w:i w:val="0"/>
          <w:iCs w:val="0"/>
          <w:color w:val="auto"/>
        </w:rPr>
        <w:t>para</w:t>
      </w:r>
      <w:r w:rsidRPr="00882FCC">
        <w:rPr>
          <w:i w:val="0"/>
          <w:iCs w:val="0"/>
          <w:color w:val="auto"/>
        </w:rPr>
        <w:t xml:space="preserve"> activos de alumbrado público </w:t>
      </w:r>
      <w:r w:rsidRPr="00882FCC">
        <w:rPr>
          <w:bCs/>
          <w:i w:val="0"/>
          <w:iCs w:val="0"/>
          <w:color w:val="auto"/>
        </w:rPr>
        <w:t>diferentes a luminarias</w:t>
      </w:r>
      <w:r w:rsidRPr="00882FCC">
        <w:rPr>
          <w:i w:val="0"/>
          <w:iCs w:val="0"/>
          <w:color w:val="auto"/>
        </w:rPr>
        <w:t xml:space="preserve">, instalados y puestos en operación en el nivel de tensión n, en pesos </w:t>
      </w:r>
      <w:r w:rsidRPr="00E176BF">
        <w:rPr>
          <w:i w:val="0"/>
          <w:iCs w:val="0"/>
          <w:color w:val="auto"/>
        </w:rPr>
        <w:t>correspondientes a la fecha de referencia</w:t>
      </w:r>
      <w:r w:rsidRPr="00882FCC">
        <w:rPr>
          <w:i w:val="0"/>
          <w:iCs w:val="0"/>
          <w:color w:val="auto"/>
        </w:rPr>
        <w:t>.</w:t>
      </w:r>
    </w:p>
    <w:p w14:paraId="1B89E82E" w14:textId="77777777" w:rsidR="00F5024B" w:rsidRPr="00AE1BAD" w:rsidRDefault="00F5024B" w:rsidP="00F5024B">
      <w:pPr>
        <w:spacing w:before="0"/>
        <w:rPr>
          <w:color w:val="auto"/>
        </w:rPr>
      </w:pPr>
      <w:proofErr w:type="spellStart"/>
      <w:proofErr w:type="gramStart"/>
      <w:r w:rsidRPr="00AE1BAD">
        <w:rPr>
          <w:color w:val="auto"/>
        </w:rPr>
        <w:t>CRi,L</w:t>
      </w:r>
      <w:proofErr w:type="spellEnd"/>
      <w:proofErr w:type="gramEnd"/>
      <w:r w:rsidRPr="00AE1BAD">
        <w:rPr>
          <w:color w:val="auto"/>
        </w:rPr>
        <w:t>:</w:t>
      </w:r>
      <w:r w:rsidRPr="00AE1BAD">
        <w:rPr>
          <w:color w:val="auto"/>
        </w:rPr>
        <w:tab/>
      </w:r>
      <w:r w:rsidRPr="00882FCC">
        <w:rPr>
          <w:bCs/>
          <w:i w:val="0"/>
          <w:iCs w:val="0"/>
          <w:color w:val="auto"/>
        </w:rPr>
        <w:t xml:space="preserve">Costo de Reposición a nuevo de la UCAP i para activos de alumbrado público definidos como luminarias instaladas y puestas en operación en el nivel de tensión n, en pesos </w:t>
      </w:r>
      <w:r w:rsidRPr="00840E6A">
        <w:rPr>
          <w:bCs/>
          <w:i w:val="0"/>
          <w:iCs w:val="0"/>
          <w:color w:val="auto"/>
        </w:rPr>
        <w:t>correspondientes a la fecha de referencia</w:t>
      </w:r>
      <w:r w:rsidRPr="00AE1BAD">
        <w:rPr>
          <w:bCs/>
          <w:color w:val="auto"/>
        </w:rPr>
        <w:t>.</w:t>
      </w:r>
    </w:p>
    <w:p w14:paraId="149D007C" w14:textId="77777777" w:rsidR="00F5024B" w:rsidRPr="00AE1BAD" w:rsidRDefault="00F5024B" w:rsidP="00F5024B">
      <w:pPr>
        <w:spacing w:before="0"/>
        <w:rPr>
          <w:color w:val="auto"/>
        </w:rPr>
      </w:pPr>
      <w:r w:rsidRPr="00AE1BAD">
        <w:rPr>
          <w:color w:val="auto"/>
        </w:rPr>
        <w:t>r:</w:t>
      </w:r>
      <w:r w:rsidRPr="00AE1BAD">
        <w:rPr>
          <w:color w:val="auto"/>
        </w:rPr>
        <w:tab/>
      </w:r>
      <w:r w:rsidRPr="00882FCC">
        <w:rPr>
          <w:i w:val="0"/>
          <w:iCs w:val="0"/>
          <w:color w:val="auto"/>
        </w:rPr>
        <w:t>Tasa de Retorno</w:t>
      </w:r>
    </w:p>
    <w:p w14:paraId="66284B5E" w14:textId="77777777" w:rsidR="00F5024B" w:rsidRPr="00AE1BAD" w:rsidRDefault="00F5024B" w:rsidP="00F5024B">
      <w:pPr>
        <w:spacing w:before="0"/>
        <w:rPr>
          <w:color w:val="auto"/>
        </w:rPr>
      </w:pPr>
      <w:r w:rsidRPr="00AE1BAD">
        <w:rPr>
          <w:color w:val="auto"/>
        </w:rPr>
        <w:t>Vi:</w:t>
      </w:r>
      <w:r w:rsidRPr="00AE1BAD">
        <w:rPr>
          <w:color w:val="auto"/>
        </w:rPr>
        <w:tab/>
      </w:r>
      <w:r w:rsidRPr="00882FCC">
        <w:rPr>
          <w:i w:val="0"/>
          <w:iCs w:val="0"/>
          <w:color w:val="auto"/>
        </w:rPr>
        <w:t xml:space="preserve">Vida útil en años, reconocida para la </w:t>
      </w:r>
      <w:proofErr w:type="spellStart"/>
      <w:r w:rsidRPr="00882FCC">
        <w:rPr>
          <w:i w:val="0"/>
          <w:iCs w:val="0"/>
          <w:color w:val="auto"/>
        </w:rPr>
        <w:t>UCAP</w:t>
      </w:r>
      <w:r w:rsidRPr="00882FCC">
        <w:rPr>
          <w:i w:val="0"/>
          <w:iCs w:val="0"/>
          <w:color w:val="auto"/>
          <w:sz w:val="28"/>
          <w:vertAlign w:val="subscript"/>
        </w:rPr>
        <w:t>i</w:t>
      </w:r>
      <w:proofErr w:type="spellEnd"/>
      <w:r w:rsidRPr="00882FCC">
        <w:rPr>
          <w:i w:val="0"/>
          <w:iCs w:val="0"/>
          <w:color w:val="auto"/>
        </w:rPr>
        <w:t xml:space="preserve"> conforme a lo establecido en el Anexo de la presente Resolución.</w:t>
      </w:r>
    </w:p>
    <w:p w14:paraId="32E04970" w14:textId="77777777" w:rsidR="00F5024B" w:rsidRPr="000F538C" w:rsidRDefault="00F5024B" w:rsidP="00F5024B">
      <w:pPr>
        <w:spacing w:before="0" w:after="0"/>
        <w:ind w:left="0" w:firstLine="0"/>
        <w:rPr>
          <w:i w:val="0"/>
          <w:iCs w:val="0"/>
          <w:color w:val="auto"/>
        </w:rPr>
      </w:pPr>
      <w:r w:rsidRPr="000F538C">
        <w:rPr>
          <w:b/>
          <w:i w:val="0"/>
          <w:iCs w:val="0"/>
          <w:color w:val="auto"/>
        </w:rPr>
        <w:t xml:space="preserve">Parágrafo 1. </w:t>
      </w:r>
      <w:r w:rsidRPr="000F538C">
        <w:rPr>
          <w:i w:val="0"/>
          <w:iCs w:val="0"/>
          <w:color w:val="auto"/>
        </w:rPr>
        <w:t xml:space="preserve">El </w:t>
      </w:r>
      <w:r>
        <w:rPr>
          <w:i w:val="0"/>
          <w:iCs w:val="0"/>
          <w:color w:val="auto"/>
        </w:rPr>
        <w:t>c</w:t>
      </w:r>
      <w:r w:rsidRPr="000F538C">
        <w:rPr>
          <w:i w:val="0"/>
          <w:iCs w:val="0"/>
          <w:color w:val="auto"/>
        </w:rPr>
        <w:t xml:space="preserve">osto de reposición a nuevo de un activo se obtiene de los procesos de compra efectuados por el municipio o distrito o por el </w:t>
      </w:r>
      <w:r>
        <w:rPr>
          <w:i w:val="0"/>
          <w:iCs w:val="0"/>
          <w:color w:val="auto"/>
        </w:rPr>
        <w:t>encargado</w:t>
      </w:r>
      <w:r w:rsidRPr="000F538C">
        <w:rPr>
          <w:i w:val="0"/>
          <w:iCs w:val="0"/>
          <w:color w:val="auto"/>
        </w:rPr>
        <w:t xml:space="preserve"> de la inversión.</w:t>
      </w:r>
    </w:p>
    <w:p w14:paraId="616E23EE" w14:textId="77777777" w:rsidR="00F5024B" w:rsidRPr="000F538C" w:rsidRDefault="00F5024B" w:rsidP="00F5024B">
      <w:pPr>
        <w:spacing w:before="0" w:after="0"/>
        <w:ind w:left="0" w:firstLine="0"/>
        <w:rPr>
          <w:i w:val="0"/>
          <w:iCs w:val="0"/>
          <w:color w:val="auto"/>
        </w:rPr>
      </w:pPr>
    </w:p>
    <w:p w14:paraId="59653DEC" w14:textId="77777777" w:rsidR="00F5024B" w:rsidRPr="000F538C" w:rsidRDefault="00F5024B" w:rsidP="00F5024B">
      <w:pPr>
        <w:spacing w:before="0" w:after="0"/>
        <w:ind w:left="0" w:firstLine="0"/>
        <w:rPr>
          <w:i w:val="0"/>
          <w:iCs w:val="0"/>
          <w:color w:val="auto"/>
        </w:rPr>
      </w:pPr>
      <w:r w:rsidRPr="000F538C">
        <w:rPr>
          <w:b/>
          <w:i w:val="0"/>
          <w:iCs w:val="0"/>
          <w:color w:val="auto"/>
        </w:rPr>
        <w:t>Parágrafo 2</w:t>
      </w:r>
      <w:r w:rsidRPr="000F538C">
        <w:rPr>
          <w:i w:val="0"/>
          <w:iCs w:val="0"/>
          <w:color w:val="auto"/>
        </w:rPr>
        <w:t>. El Costo de reposición a nuevo de un activo no varía durante toda su vida útil.</w:t>
      </w:r>
    </w:p>
    <w:p w14:paraId="1C05661F" w14:textId="77777777" w:rsidR="00F5024B" w:rsidRPr="000F538C" w:rsidRDefault="00F5024B" w:rsidP="00F5024B">
      <w:pPr>
        <w:spacing w:before="0" w:after="0"/>
        <w:ind w:left="0" w:firstLine="0"/>
        <w:rPr>
          <w:i w:val="0"/>
          <w:iCs w:val="0"/>
          <w:color w:val="auto"/>
        </w:rPr>
      </w:pPr>
    </w:p>
    <w:p w14:paraId="162B6F82" w14:textId="77777777" w:rsidR="00F5024B" w:rsidRDefault="00F5024B" w:rsidP="00F5024B">
      <w:pPr>
        <w:spacing w:before="0" w:after="0"/>
        <w:ind w:left="0" w:firstLine="0"/>
        <w:rPr>
          <w:i w:val="0"/>
          <w:iCs w:val="0"/>
          <w:color w:val="auto"/>
        </w:rPr>
      </w:pPr>
      <w:r w:rsidRPr="000F538C">
        <w:rPr>
          <w:b/>
          <w:i w:val="0"/>
          <w:iCs w:val="0"/>
          <w:color w:val="auto"/>
        </w:rPr>
        <w:t>Parágrafo 3</w:t>
      </w:r>
      <w:r w:rsidRPr="000F538C">
        <w:rPr>
          <w:i w:val="0"/>
          <w:iCs w:val="0"/>
          <w:color w:val="auto"/>
        </w:rPr>
        <w:t xml:space="preserve">. </w:t>
      </w:r>
      <w:r>
        <w:rPr>
          <w:i w:val="0"/>
          <w:iCs w:val="0"/>
          <w:color w:val="auto"/>
        </w:rPr>
        <w:t>Cuando los responsables de la prestación del servicio de alumbrado público deban actualizar el estudio técnico de referencia, l</w:t>
      </w:r>
      <w:r w:rsidRPr="000F538C">
        <w:rPr>
          <w:i w:val="0"/>
          <w:iCs w:val="0"/>
          <w:color w:val="auto"/>
        </w:rPr>
        <w:t xml:space="preserve">os costos de las Unidades Constructivas del Sistema de Alumbrado Público, UCAP, podrán actualizarse conforme </w:t>
      </w:r>
      <w:r>
        <w:rPr>
          <w:i w:val="0"/>
          <w:iCs w:val="0"/>
          <w:color w:val="auto"/>
        </w:rPr>
        <w:t>con</w:t>
      </w:r>
      <w:r w:rsidRPr="000F538C">
        <w:rPr>
          <w:i w:val="0"/>
          <w:iCs w:val="0"/>
          <w:color w:val="auto"/>
        </w:rPr>
        <w:t xml:space="preserve"> la variación de los precios de mercado de las UCAP</w:t>
      </w:r>
      <w:r>
        <w:rPr>
          <w:i w:val="0"/>
          <w:iCs w:val="0"/>
          <w:color w:val="auto"/>
        </w:rPr>
        <w:t>,</w:t>
      </w:r>
      <w:r w:rsidRPr="000F538C">
        <w:rPr>
          <w:i w:val="0"/>
          <w:iCs w:val="0"/>
          <w:color w:val="auto"/>
        </w:rPr>
        <w:t xml:space="preserve"> y dichos costos actualizados solo podrán aplicarse a las UCAP nuevas que se instalen, para lo cual deberá ajustarse la remuneración de </w:t>
      </w:r>
      <w:r>
        <w:rPr>
          <w:i w:val="0"/>
          <w:iCs w:val="0"/>
          <w:color w:val="auto"/>
        </w:rPr>
        <w:t>los costos</w:t>
      </w:r>
      <w:r w:rsidRPr="000F538C">
        <w:rPr>
          <w:i w:val="0"/>
          <w:iCs w:val="0"/>
          <w:color w:val="auto"/>
        </w:rPr>
        <w:t xml:space="preserve"> de inversión y de AOM del respectivo activo de alumbrado público.</w:t>
      </w:r>
    </w:p>
    <w:p w14:paraId="1B618334" w14:textId="77777777" w:rsidR="00F5024B" w:rsidRDefault="00F5024B" w:rsidP="00F5024B">
      <w:pPr>
        <w:spacing w:before="0" w:after="0"/>
        <w:ind w:left="0" w:firstLine="0"/>
        <w:rPr>
          <w:i w:val="0"/>
          <w:iCs w:val="0"/>
          <w:color w:val="auto"/>
        </w:rPr>
      </w:pPr>
    </w:p>
    <w:p w14:paraId="06F3257B" w14:textId="77777777" w:rsidR="00F5024B" w:rsidRPr="000F538C" w:rsidRDefault="00F5024B" w:rsidP="00F5024B">
      <w:pPr>
        <w:spacing w:before="0" w:after="0"/>
        <w:ind w:left="0" w:firstLine="0"/>
        <w:rPr>
          <w:i w:val="0"/>
          <w:iCs w:val="0"/>
          <w:color w:val="auto"/>
        </w:rPr>
      </w:pPr>
      <w:r>
        <w:rPr>
          <w:i w:val="0"/>
          <w:iCs w:val="0"/>
          <w:color w:val="auto"/>
        </w:rPr>
        <w:t>También podrán incluirse dentro de los costos de las UCAPS, los estudios fotométricos cuando el municipio o distrito así lo determine.</w:t>
      </w:r>
    </w:p>
    <w:p w14:paraId="38F18D04" w14:textId="77777777" w:rsidR="00F5024B" w:rsidRPr="000F538C" w:rsidRDefault="00F5024B" w:rsidP="00F5024B">
      <w:pPr>
        <w:pStyle w:val="Artculo1"/>
        <w:keepNext w:val="0"/>
        <w:spacing w:after="0"/>
        <w:ind w:left="0" w:firstLine="0"/>
        <w:rPr>
          <w:i w:val="0"/>
          <w:iCs w:val="0"/>
          <w:color w:val="auto"/>
        </w:rPr>
      </w:pPr>
      <w:r w:rsidRPr="000F538C">
        <w:rPr>
          <w:i w:val="0"/>
          <w:iCs w:val="0"/>
          <w:color w:val="auto"/>
          <w:szCs w:val="24"/>
          <w:lang w:val="es-ES_tradnl"/>
        </w:rPr>
        <w:lastRenderedPageBreak/>
        <w:t xml:space="preserve">Ajustes por eficacia luminosa de las </w:t>
      </w:r>
      <w:r w:rsidRPr="000F538C">
        <w:rPr>
          <w:i w:val="0"/>
          <w:color w:val="auto"/>
          <w:szCs w:val="24"/>
          <w:lang w:val="es-ES_tradnl"/>
        </w:rPr>
        <w:t>luminarias</w:t>
      </w:r>
      <w:r w:rsidRPr="000F538C">
        <w:rPr>
          <w:i w:val="0"/>
          <w:iCs w:val="0"/>
          <w:color w:val="auto"/>
          <w:szCs w:val="24"/>
          <w:lang w:val="es-ES_tradnl"/>
        </w:rPr>
        <w:t>.</w:t>
      </w:r>
      <w:r w:rsidRPr="000F538C">
        <w:rPr>
          <w:b w:val="0"/>
          <w:i w:val="0"/>
          <w:color w:val="auto"/>
          <w:szCs w:val="24"/>
          <w:lang w:val="es-ES_tradnl"/>
        </w:rPr>
        <w:t xml:space="preserve"> Con base en los criterios respecto al uso eficiente de la energía eléctrica establecidos en la Ley 697 de 2001 y </w:t>
      </w:r>
      <w:r>
        <w:rPr>
          <w:b w:val="0"/>
          <w:i w:val="0"/>
          <w:color w:val="auto"/>
          <w:szCs w:val="24"/>
          <w:lang w:val="es-ES_tradnl"/>
        </w:rPr>
        <w:t xml:space="preserve">en </w:t>
      </w:r>
      <w:r w:rsidRPr="000F538C">
        <w:rPr>
          <w:b w:val="0"/>
          <w:i w:val="0"/>
          <w:color w:val="auto"/>
          <w:szCs w:val="24"/>
          <w:lang w:val="es-ES_tradnl"/>
        </w:rPr>
        <w:t xml:space="preserve">la Ley 1715 de 2014, </w:t>
      </w:r>
      <w:r w:rsidRPr="000F538C">
        <w:rPr>
          <w:b w:val="0"/>
          <w:bCs w:val="0"/>
          <w:i w:val="0"/>
          <w:iCs w:val="0"/>
          <w:color w:val="auto"/>
          <w:szCs w:val="24"/>
          <w:lang w:val="es-ES_tradnl"/>
        </w:rPr>
        <w:t>los</w:t>
      </w:r>
      <w:r w:rsidRPr="000F538C">
        <w:rPr>
          <w:b w:val="0"/>
          <w:i w:val="0"/>
          <w:color w:val="auto"/>
          <w:szCs w:val="24"/>
          <w:lang w:val="es-ES_tradnl"/>
        </w:rPr>
        <w:t xml:space="preserve"> valor</w:t>
      </w:r>
      <w:r w:rsidRPr="000F538C">
        <w:rPr>
          <w:b w:val="0"/>
          <w:bCs w:val="0"/>
          <w:i w:val="0"/>
          <w:iCs w:val="0"/>
          <w:color w:val="auto"/>
          <w:szCs w:val="24"/>
          <w:lang w:val="es-ES_tradnl"/>
        </w:rPr>
        <w:t>es</w:t>
      </w:r>
      <w:r w:rsidRPr="000F538C">
        <w:rPr>
          <w:b w:val="0"/>
          <w:i w:val="0"/>
          <w:color w:val="auto"/>
          <w:szCs w:val="24"/>
          <w:lang w:val="es-ES_tradnl"/>
        </w:rPr>
        <w:t xml:space="preserve"> de las unidades constructivas </w:t>
      </w:r>
      <w:r w:rsidRPr="000F538C">
        <w:rPr>
          <w:b w:val="0"/>
          <w:bCs w:val="0"/>
          <w:i w:val="0"/>
          <w:iCs w:val="0"/>
          <w:color w:val="auto"/>
          <w:szCs w:val="24"/>
          <w:lang w:val="es-ES_tradnl"/>
        </w:rPr>
        <w:t xml:space="preserve">relacionadas con las luminarias </w:t>
      </w:r>
      <w:r w:rsidRPr="000F538C">
        <w:rPr>
          <w:b w:val="0"/>
          <w:i w:val="0"/>
          <w:color w:val="auto"/>
          <w:szCs w:val="24"/>
          <w:lang w:val="es-ES_tradnl"/>
        </w:rPr>
        <w:t xml:space="preserve">tendrán </w:t>
      </w:r>
      <w:r w:rsidRPr="000F538C">
        <w:rPr>
          <w:b w:val="0"/>
          <w:bCs w:val="0"/>
          <w:i w:val="0"/>
          <w:iCs w:val="0"/>
          <w:color w:val="auto"/>
          <w:szCs w:val="24"/>
          <w:lang w:val="es-ES_tradnl"/>
        </w:rPr>
        <w:t>un</w:t>
      </w:r>
      <w:r w:rsidRPr="000F538C">
        <w:rPr>
          <w:b w:val="0"/>
          <w:i w:val="0"/>
          <w:color w:val="auto"/>
          <w:szCs w:val="24"/>
          <w:lang w:val="es-ES_tradnl"/>
        </w:rPr>
        <w:t xml:space="preserve"> factor de ajuste</w:t>
      </w:r>
      <w:r w:rsidRPr="000F538C">
        <w:rPr>
          <w:b w:val="0"/>
          <w:bCs w:val="0"/>
          <w:i w:val="0"/>
          <w:iCs w:val="0"/>
          <w:color w:val="auto"/>
        </w:rPr>
        <w:t xml:space="preserve"> relacionado con la eficacia luminosa de la nueva fuente de iluminación.</w:t>
      </w:r>
    </w:p>
    <w:p w14:paraId="25BBA82C" w14:textId="77777777" w:rsidR="00F5024B" w:rsidRPr="000F538C" w:rsidRDefault="00F5024B" w:rsidP="00F5024B">
      <w:pPr>
        <w:rPr>
          <w:i w:val="0"/>
          <w:iCs w:val="0"/>
          <w:color w:val="auto"/>
        </w:rPr>
      </w:pPr>
      <w:r w:rsidRPr="000F538C">
        <w:rPr>
          <w:i w:val="0"/>
          <w:iCs w:val="0"/>
          <w:color w:val="auto"/>
        </w:rPr>
        <w:t>A continuación, se presenta la formulación para tal ajuste:</w:t>
      </w:r>
    </w:p>
    <w:p w14:paraId="2B2F7208" w14:textId="77777777" w:rsidR="00F5024B" w:rsidRPr="000F538C" w:rsidRDefault="00F5024B" w:rsidP="00F5024B">
      <w:pPr>
        <w:spacing w:before="0" w:after="0"/>
        <w:ind w:left="0" w:firstLine="0"/>
        <w:rPr>
          <w:i w:val="0"/>
          <w:iCs w:val="0"/>
          <w:color w:val="auto"/>
        </w:rPr>
      </w:pPr>
    </w:p>
    <w:p w14:paraId="563672C6" w14:textId="77777777" w:rsidR="00F5024B" w:rsidRPr="000F538C" w:rsidRDefault="00F5024B" w:rsidP="00F5024B">
      <w:pPr>
        <w:spacing w:before="0" w:after="0"/>
        <w:ind w:left="0" w:firstLine="0"/>
        <w:jc w:val="center"/>
        <w:rPr>
          <w:rFonts w:ascii="Cambria Math" w:hAnsi="Cambria Math"/>
          <w:smallCaps/>
          <w:color w:val="auto"/>
        </w:rPr>
      </w:pPr>
      <m:oMathPara>
        <m:oMath>
          <m:r>
            <w:rPr>
              <w:rFonts w:ascii="Cambria Math" w:hAnsi="Cambria Math"/>
              <w:smallCaps/>
              <w:color w:val="auto"/>
            </w:rPr>
            <m:t>CRi,L=k*CRL</m:t>
          </m:r>
        </m:oMath>
      </m:oMathPara>
    </w:p>
    <w:p w14:paraId="01DDF5EB" w14:textId="77777777" w:rsidR="00F5024B" w:rsidRPr="000F538C" w:rsidRDefault="00F5024B" w:rsidP="00F5024B">
      <w:pPr>
        <w:spacing w:before="0" w:after="0"/>
        <w:ind w:left="0" w:firstLine="0"/>
        <w:jc w:val="center"/>
        <w:rPr>
          <w:rFonts w:ascii="Cambria Math" w:hAnsi="Cambria Math"/>
          <w:i w:val="0"/>
          <w:iCs w:val="0"/>
          <w:smallCaps/>
          <w:color w:val="auto"/>
        </w:rPr>
      </w:pPr>
    </w:p>
    <w:p w14:paraId="3B2FDFA2" w14:textId="77777777" w:rsidR="00F5024B" w:rsidRPr="000F538C" w:rsidRDefault="00F5024B" w:rsidP="00F5024B">
      <w:pPr>
        <w:spacing w:before="0" w:after="0"/>
        <w:ind w:left="0" w:firstLine="0"/>
        <w:jc w:val="center"/>
        <w:rPr>
          <w:rFonts w:ascii="Cambria Math" w:hAnsi="Cambria Math"/>
          <w:color w:val="auto"/>
        </w:rPr>
      </w:pPr>
      <m:oMathPara>
        <m:oMath>
          <m:r>
            <w:rPr>
              <w:rFonts w:ascii="Cambria Math" w:hAnsi="Cambria Math"/>
              <w:color w:val="auto"/>
              <w:sz w:val="22"/>
              <w:szCs w:val="22"/>
            </w:rPr>
            <m:t>k=</m:t>
          </m:r>
          <m:f>
            <m:fPr>
              <m:ctrlPr>
                <w:rPr>
                  <w:rFonts w:ascii="Cambria Math" w:hAnsi="Cambria Math"/>
                  <w:color w:val="auto"/>
                  <w:sz w:val="22"/>
                  <w:szCs w:val="22"/>
                </w:rPr>
              </m:ctrlPr>
            </m:fPr>
            <m:num>
              <m:r>
                <w:rPr>
                  <w:rFonts w:ascii="Cambria Math" w:hAnsi="Cambria Math"/>
                  <w:color w:val="auto"/>
                  <w:sz w:val="22"/>
                  <w:szCs w:val="22"/>
                </w:rPr>
                <m:t>EF</m:t>
              </m:r>
            </m:num>
            <m:den>
              <m:r>
                <w:rPr>
                  <w:rFonts w:ascii="Cambria Math" w:hAnsi="Cambria Math"/>
                  <w:color w:val="auto"/>
                  <w:sz w:val="22"/>
                  <w:szCs w:val="22"/>
                </w:rPr>
                <m:t>130</m:t>
              </m:r>
            </m:den>
          </m:f>
        </m:oMath>
      </m:oMathPara>
    </w:p>
    <w:p w14:paraId="36A32A96" w14:textId="77777777" w:rsidR="00F5024B" w:rsidRPr="000F538C" w:rsidRDefault="00F5024B" w:rsidP="00F5024B">
      <w:pPr>
        <w:spacing w:before="0" w:after="0"/>
        <w:ind w:left="0" w:firstLine="0"/>
        <w:rPr>
          <w:rFonts w:ascii="Cambria Math" w:hAnsi="Cambria Math"/>
          <w:color w:val="auto"/>
        </w:rPr>
      </w:pPr>
    </w:p>
    <w:p w14:paraId="2CA59A14" w14:textId="77777777" w:rsidR="00F5024B" w:rsidRPr="003157E0" w:rsidRDefault="00F5024B" w:rsidP="00F5024B">
      <w:pPr>
        <w:spacing w:before="0" w:after="0"/>
        <w:rPr>
          <w:i w:val="0"/>
          <w:iCs w:val="0"/>
          <w:color w:val="auto"/>
        </w:rPr>
      </w:pPr>
      <w:r w:rsidRPr="003157E0">
        <w:rPr>
          <w:i w:val="0"/>
          <w:iCs w:val="0"/>
          <w:color w:val="auto"/>
        </w:rPr>
        <w:t>Donde:</w:t>
      </w:r>
    </w:p>
    <w:p w14:paraId="6814C615" w14:textId="77777777" w:rsidR="00F5024B" w:rsidRPr="000F538C" w:rsidRDefault="00F5024B" w:rsidP="00F5024B">
      <w:pPr>
        <w:spacing w:before="0" w:after="0"/>
        <w:rPr>
          <w:i w:val="0"/>
          <w:iCs w:val="0"/>
          <w:color w:val="auto"/>
        </w:rPr>
      </w:pPr>
    </w:p>
    <w:p w14:paraId="00000526" w14:textId="77777777" w:rsidR="00F5024B" w:rsidRPr="003157E0" w:rsidRDefault="00F5024B" w:rsidP="00F5024B">
      <w:pPr>
        <w:spacing w:before="0"/>
        <w:rPr>
          <w:i w:val="0"/>
          <w:iCs w:val="0"/>
          <w:color w:val="auto"/>
        </w:rPr>
      </w:pPr>
      <w:proofErr w:type="spellStart"/>
      <w:proofErr w:type="gramStart"/>
      <w:r w:rsidRPr="00AE1BAD">
        <w:rPr>
          <w:color w:val="auto"/>
        </w:rPr>
        <w:t>CRi,L</w:t>
      </w:r>
      <w:proofErr w:type="spellEnd"/>
      <w:proofErr w:type="gramEnd"/>
      <w:r w:rsidRPr="00AE1BAD">
        <w:rPr>
          <w:color w:val="auto"/>
        </w:rPr>
        <w:t>:</w:t>
      </w:r>
      <w:r w:rsidRPr="00AE1BAD">
        <w:rPr>
          <w:color w:val="auto"/>
        </w:rPr>
        <w:tab/>
      </w:r>
      <w:r w:rsidRPr="003157E0">
        <w:rPr>
          <w:i w:val="0"/>
          <w:iCs w:val="0"/>
          <w:color w:val="auto"/>
        </w:rPr>
        <w:t>Valor de la unidad constructiva luminaria, ajustada por el valor de la eficacia luminosa</w:t>
      </w:r>
    </w:p>
    <w:p w14:paraId="1BD23D67" w14:textId="27C4E217" w:rsidR="00F5024B" w:rsidRPr="003157E0" w:rsidRDefault="00F5024B" w:rsidP="00F5024B">
      <w:pPr>
        <w:spacing w:before="0"/>
        <w:rPr>
          <w:i w:val="0"/>
          <w:iCs w:val="0"/>
          <w:color w:val="auto"/>
        </w:rPr>
      </w:pPr>
      <w:r w:rsidRPr="00AE1BAD">
        <w:rPr>
          <w:color w:val="auto"/>
        </w:rPr>
        <w:t>k:</w:t>
      </w:r>
      <w:r w:rsidRPr="00AE1BAD">
        <w:rPr>
          <w:color w:val="auto"/>
        </w:rPr>
        <w:tab/>
      </w:r>
      <w:r w:rsidRPr="003157E0">
        <w:rPr>
          <w:i w:val="0"/>
          <w:iCs w:val="0"/>
          <w:color w:val="auto"/>
        </w:rPr>
        <w:t>Factor de ajuste por eficacia luminosa</w:t>
      </w:r>
      <w:r>
        <w:rPr>
          <w:i w:val="0"/>
          <w:iCs w:val="0"/>
          <w:color w:val="auto"/>
        </w:rPr>
        <w:t>.</w:t>
      </w:r>
      <w:r w:rsidRPr="003157E0">
        <w:rPr>
          <w:i w:val="0"/>
          <w:iCs w:val="0"/>
          <w:color w:val="auto"/>
        </w:rPr>
        <w:t xml:space="preserve"> </w:t>
      </w:r>
      <w:r w:rsidR="00294D9E">
        <w:rPr>
          <w:bCs/>
          <w:i w:val="0"/>
          <w:iCs w:val="0"/>
          <w:color w:val="auto"/>
          <w:lang w:val="es-CO"/>
        </w:rPr>
        <w:t>E</w:t>
      </w:r>
      <w:r w:rsidR="00584DB2" w:rsidRPr="00094C8C">
        <w:rPr>
          <w:bCs/>
          <w:i w:val="0"/>
          <w:iCs w:val="0"/>
          <w:color w:val="auto"/>
          <w:lang w:val="es-CO"/>
        </w:rPr>
        <w:t xml:space="preserve">ste </w:t>
      </w:r>
      <w:r w:rsidRPr="00094C8C">
        <w:rPr>
          <w:bCs/>
          <w:i w:val="0"/>
          <w:iCs w:val="0"/>
          <w:color w:val="auto"/>
          <w:lang w:val="es-CO"/>
        </w:rPr>
        <w:t>valor debe ser determinado teniendo en cuenta el valor de eficacia luminosa declarada en el certificado de conformidad del producto</w:t>
      </w:r>
      <w:r>
        <w:rPr>
          <w:i w:val="0"/>
          <w:iCs w:val="0"/>
          <w:color w:val="auto"/>
        </w:rPr>
        <w:t>.</w:t>
      </w:r>
    </w:p>
    <w:p w14:paraId="6B8A4D8B" w14:textId="77777777" w:rsidR="00F5024B" w:rsidRPr="003157E0" w:rsidRDefault="00F5024B" w:rsidP="00F5024B">
      <w:pPr>
        <w:spacing w:before="0"/>
        <w:rPr>
          <w:i w:val="0"/>
          <w:iCs w:val="0"/>
          <w:color w:val="auto"/>
        </w:rPr>
      </w:pPr>
      <w:r w:rsidRPr="00AE1BAD">
        <w:rPr>
          <w:color w:val="auto"/>
        </w:rPr>
        <w:t>CRL:</w:t>
      </w:r>
      <w:r w:rsidRPr="00AE1BAD">
        <w:rPr>
          <w:color w:val="auto"/>
        </w:rPr>
        <w:tab/>
      </w:r>
      <w:r w:rsidRPr="003157E0">
        <w:rPr>
          <w:i w:val="0"/>
          <w:iCs w:val="0"/>
          <w:color w:val="auto"/>
        </w:rPr>
        <w:t>Costo de Reposición a nuevo de la UCAP para el activo luminaria del SALP</w:t>
      </w:r>
    </w:p>
    <w:p w14:paraId="33CDACCE" w14:textId="77777777" w:rsidR="00F5024B" w:rsidRPr="003157E0" w:rsidRDefault="00F5024B" w:rsidP="00F5024B">
      <w:pPr>
        <w:spacing w:before="0"/>
        <w:rPr>
          <w:i w:val="0"/>
          <w:iCs w:val="0"/>
          <w:color w:val="auto"/>
        </w:rPr>
      </w:pPr>
      <w:r w:rsidRPr="00AE1BAD">
        <w:rPr>
          <w:color w:val="auto"/>
        </w:rPr>
        <w:t>EF:</w:t>
      </w:r>
      <w:r w:rsidRPr="00AE1BAD">
        <w:rPr>
          <w:color w:val="auto"/>
        </w:rPr>
        <w:tab/>
      </w:r>
      <w:r w:rsidRPr="003157E0">
        <w:rPr>
          <w:i w:val="0"/>
          <w:iCs w:val="0"/>
          <w:color w:val="auto"/>
        </w:rPr>
        <w:t xml:space="preserve">Eficacia luminosa de la fuente a instalar. En </w:t>
      </w:r>
      <w:r w:rsidRPr="003157E0">
        <w:rPr>
          <w:rFonts w:ascii="Cambria Math" w:hAnsi="Cambria Math" w:cs="Cambria Math"/>
          <w:i w:val="0"/>
          <w:iCs w:val="0"/>
          <w:color w:val="auto"/>
        </w:rPr>
        <w:t>𝑙𝑚</w:t>
      </w:r>
      <w:r w:rsidRPr="003157E0">
        <w:rPr>
          <w:i w:val="0"/>
          <w:iCs w:val="0"/>
          <w:color w:val="auto"/>
        </w:rPr>
        <w:t>/</w:t>
      </w:r>
      <w:r w:rsidRPr="003157E0">
        <w:rPr>
          <w:rFonts w:ascii="Cambria Math" w:hAnsi="Cambria Math" w:cs="Cambria Math"/>
          <w:i w:val="0"/>
          <w:iCs w:val="0"/>
          <w:color w:val="auto"/>
        </w:rPr>
        <w:t>𝑊</w:t>
      </w:r>
    </w:p>
    <w:p w14:paraId="746B3678" w14:textId="77777777" w:rsidR="00F5024B" w:rsidRPr="003157E0" w:rsidRDefault="00F5024B" w:rsidP="00F5024B">
      <w:pPr>
        <w:spacing w:before="0" w:after="0"/>
        <w:rPr>
          <w:i w:val="0"/>
          <w:iCs w:val="0"/>
          <w:color w:val="auto"/>
        </w:rPr>
      </w:pPr>
      <w:r w:rsidRPr="00AE1BAD">
        <w:rPr>
          <w:color w:val="auto"/>
        </w:rPr>
        <w:t>130:</w:t>
      </w:r>
      <w:r w:rsidRPr="00AE1BAD">
        <w:rPr>
          <w:color w:val="auto"/>
        </w:rPr>
        <w:tab/>
      </w:r>
      <w:r w:rsidRPr="003157E0">
        <w:rPr>
          <w:i w:val="0"/>
          <w:iCs w:val="0"/>
          <w:color w:val="auto"/>
        </w:rPr>
        <w:t xml:space="preserve">Eficacia luminosa de la fuente de referencia. En </w:t>
      </w:r>
      <w:r w:rsidRPr="003157E0">
        <w:rPr>
          <w:rFonts w:ascii="Cambria Math" w:hAnsi="Cambria Math" w:cs="Cambria Math"/>
          <w:i w:val="0"/>
          <w:iCs w:val="0"/>
          <w:color w:val="auto"/>
        </w:rPr>
        <w:t xml:space="preserve">𝑙𝑚/𝑊. </w:t>
      </w:r>
      <w:r w:rsidRPr="003157E0">
        <w:rPr>
          <w:i w:val="0"/>
          <w:iCs w:val="0"/>
          <w:color w:val="auto"/>
        </w:rPr>
        <w:t>Definida en la Resolución UPME 196 de 2020 y aquellas que la modifiquen o sustituyan</w:t>
      </w:r>
    </w:p>
    <w:p w14:paraId="50159F6A" w14:textId="77777777" w:rsidR="00F5024B" w:rsidRPr="000F538C" w:rsidRDefault="00F5024B" w:rsidP="00F5024B">
      <w:pPr>
        <w:spacing w:before="0" w:after="0"/>
        <w:rPr>
          <w:i w:val="0"/>
          <w:iCs w:val="0"/>
          <w:color w:val="auto"/>
        </w:rPr>
      </w:pPr>
    </w:p>
    <w:p w14:paraId="68918F3B" w14:textId="77777777" w:rsidR="00F5024B" w:rsidRPr="000F538C" w:rsidRDefault="00F5024B" w:rsidP="00F5024B">
      <w:pPr>
        <w:spacing w:before="0"/>
        <w:ind w:left="0" w:firstLine="0"/>
        <w:rPr>
          <w:i w:val="0"/>
          <w:iCs w:val="0"/>
          <w:color w:val="auto"/>
        </w:rPr>
      </w:pPr>
      <w:r w:rsidRPr="000F538C">
        <w:rPr>
          <w:i w:val="0"/>
          <w:iCs w:val="0"/>
          <w:color w:val="auto"/>
        </w:rPr>
        <w:t>El valor de la eficacia luminosa de la fuente a seleccionar e instalar por parte del municipio o distrito, debe justificar el valor de eficacia luminosa mediante el siguiente procedimiento:</w:t>
      </w:r>
    </w:p>
    <w:p w14:paraId="3330AF97" w14:textId="77777777" w:rsidR="00F5024B" w:rsidRPr="00352E04" w:rsidRDefault="00F5024B" w:rsidP="00F5024B">
      <w:pPr>
        <w:pStyle w:val="Prrafodelista"/>
        <w:numPr>
          <w:ilvl w:val="0"/>
          <w:numId w:val="45"/>
        </w:numPr>
        <w:spacing w:before="0"/>
        <w:ind w:left="709" w:hanging="283"/>
        <w:rPr>
          <w:i w:val="0"/>
          <w:color w:val="auto"/>
        </w:rPr>
      </w:pPr>
      <w:r w:rsidRPr="00352E04">
        <w:rPr>
          <w:i w:val="0"/>
          <w:iCs w:val="0"/>
          <w:color w:val="auto"/>
          <w:sz w:val="24"/>
          <w:szCs w:val="24"/>
        </w:rPr>
        <w:t>El producto debe tener certificado de conformidad expedido por un organismo evaluador acreditado por el Organismo Nacional de Acreditación de Colombia, ONAC o por organismos con los cuales el ONAC tenga acuerdos de reconocimiento conforme a los requisitos legales aplicables.</w:t>
      </w:r>
    </w:p>
    <w:p w14:paraId="6DCCEF92" w14:textId="77777777" w:rsidR="00F5024B" w:rsidRPr="000F538C" w:rsidRDefault="00F5024B" w:rsidP="00F5024B">
      <w:pPr>
        <w:pStyle w:val="Prrafodelista"/>
        <w:numPr>
          <w:ilvl w:val="0"/>
          <w:numId w:val="45"/>
        </w:numPr>
        <w:spacing w:before="0"/>
        <w:ind w:left="709" w:hanging="283"/>
        <w:rPr>
          <w:i w:val="0"/>
          <w:color w:val="auto"/>
        </w:rPr>
      </w:pPr>
      <w:r w:rsidRPr="000F538C">
        <w:rPr>
          <w:i w:val="0"/>
          <w:iCs w:val="0"/>
          <w:color w:val="auto"/>
          <w:sz w:val="24"/>
          <w:szCs w:val="24"/>
        </w:rPr>
        <w:t>Se debe reportar en la ficha técnica la potencia consumida en vatios bajo las condiciones nominales de tensión, frecuencia, corriente, temperatura, factor de potencia y distorsión armónica total (THD por sus siglas en inglés).</w:t>
      </w:r>
    </w:p>
    <w:p w14:paraId="6A0FAB53" w14:textId="77777777" w:rsidR="00F5024B" w:rsidRPr="000F538C" w:rsidRDefault="00F5024B" w:rsidP="00F5024B">
      <w:pPr>
        <w:pStyle w:val="Prrafodelista"/>
        <w:numPr>
          <w:ilvl w:val="0"/>
          <w:numId w:val="45"/>
        </w:numPr>
        <w:spacing w:before="0"/>
        <w:ind w:left="709" w:hanging="283"/>
        <w:rPr>
          <w:i w:val="0"/>
          <w:color w:val="auto"/>
        </w:rPr>
      </w:pPr>
      <w:r w:rsidRPr="000F538C">
        <w:rPr>
          <w:i w:val="0"/>
          <w:iCs w:val="0"/>
          <w:color w:val="auto"/>
          <w:sz w:val="24"/>
          <w:szCs w:val="24"/>
        </w:rPr>
        <w:t>Se debe reportar el flujo luminoso producido para la potencia medida en vatios y su temperatura de color.</w:t>
      </w:r>
    </w:p>
    <w:p w14:paraId="762C6F95" w14:textId="77777777" w:rsidR="00F5024B" w:rsidRPr="001962AF" w:rsidRDefault="00F5024B" w:rsidP="00F5024B">
      <w:pPr>
        <w:pStyle w:val="Prrafodelista"/>
        <w:numPr>
          <w:ilvl w:val="0"/>
          <w:numId w:val="45"/>
        </w:numPr>
        <w:spacing w:before="0"/>
        <w:ind w:left="709" w:hanging="283"/>
        <w:rPr>
          <w:i w:val="0"/>
          <w:color w:val="auto"/>
        </w:rPr>
      </w:pPr>
      <w:r w:rsidRPr="001962AF">
        <w:rPr>
          <w:i w:val="0"/>
          <w:color w:val="auto"/>
          <w:sz w:val="24"/>
          <w:szCs w:val="24"/>
        </w:rPr>
        <w:t>Con base en estos valores, el interventor, o quien haga sus veces, calculará y avalará el valor de eficacia luminosa expresada en lm/W.</w:t>
      </w:r>
      <w:r w:rsidRPr="00BF3D78">
        <w:rPr>
          <w:i w:val="0"/>
          <w:iCs w:val="0"/>
          <w:color w:val="auto"/>
          <w:sz w:val="24"/>
          <w:szCs w:val="24"/>
        </w:rPr>
        <w:t xml:space="preserve"> Igualmente la interventoría </w:t>
      </w:r>
      <w:r>
        <w:rPr>
          <w:i w:val="0"/>
          <w:iCs w:val="0"/>
          <w:color w:val="auto"/>
          <w:sz w:val="24"/>
          <w:szCs w:val="24"/>
        </w:rPr>
        <w:t xml:space="preserve">o quien haga sus veces, </w:t>
      </w:r>
      <w:r w:rsidRPr="00BF3D78">
        <w:rPr>
          <w:i w:val="0"/>
          <w:iCs w:val="0"/>
          <w:color w:val="auto"/>
          <w:sz w:val="24"/>
          <w:szCs w:val="24"/>
        </w:rPr>
        <w:t>podrá definir el período para el cambio de luminarias u otros elementos basado en la curva de pérdida de eficiencia lumínica o descendimiento del flujo luminoso incluida en el certificado de conformidad del producto.</w:t>
      </w:r>
    </w:p>
    <w:p w14:paraId="21C19E91" w14:textId="77777777" w:rsidR="00F5024B" w:rsidRPr="007B6C39" w:rsidRDefault="00F5024B" w:rsidP="00F5024B">
      <w:pPr>
        <w:pStyle w:val="Prrafodelista"/>
        <w:numPr>
          <w:ilvl w:val="0"/>
          <w:numId w:val="45"/>
        </w:numPr>
        <w:spacing w:before="0"/>
        <w:ind w:left="709" w:hanging="283"/>
        <w:rPr>
          <w:i w:val="0"/>
          <w:color w:val="auto"/>
        </w:rPr>
      </w:pPr>
      <w:r w:rsidRPr="007B6C39">
        <w:rPr>
          <w:i w:val="0"/>
          <w:iCs w:val="0"/>
          <w:color w:val="auto"/>
          <w:sz w:val="24"/>
          <w:szCs w:val="24"/>
        </w:rPr>
        <w:lastRenderedPageBreak/>
        <w:t>Se debe adjuntar la certificación de cumplimiento RETIE y RETILAP.</w:t>
      </w:r>
    </w:p>
    <w:p w14:paraId="1BECE8D6" w14:textId="77777777" w:rsidR="00F5024B" w:rsidRPr="000F538C" w:rsidRDefault="00F5024B" w:rsidP="00F5024B">
      <w:pPr>
        <w:pStyle w:val="Artculo1"/>
        <w:keepNext w:val="0"/>
        <w:ind w:left="0" w:firstLine="0"/>
        <w:rPr>
          <w:b w:val="0"/>
          <w:bCs w:val="0"/>
          <w:i w:val="0"/>
          <w:iCs w:val="0"/>
          <w:color w:val="auto"/>
          <w:szCs w:val="24"/>
          <w:lang w:val="es-ES_tradnl"/>
        </w:rPr>
      </w:pPr>
      <w:r w:rsidRPr="000F538C">
        <w:rPr>
          <w:i w:val="0"/>
          <w:iCs w:val="0"/>
          <w:color w:val="auto"/>
          <w:szCs w:val="24"/>
          <w:lang w:val="es-ES_tradnl"/>
        </w:rPr>
        <w:t xml:space="preserve">Evaluación económica de los Proyectos de Alumbrado Público. </w:t>
      </w:r>
      <w:r w:rsidRPr="000F538C">
        <w:rPr>
          <w:b w:val="0"/>
          <w:bCs w:val="0"/>
          <w:i w:val="0"/>
          <w:iCs w:val="0"/>
          <w:color w:val="auto"/>
          <w:szCs w:val="24"/>
          <w:lang w:val="es-ES_tradnl"/>
        </w:rPr>
        <w:t>Las actividades de inversión y los desarrollos tecnológicos asociados al Sistema de Alumbrado Público deben ser evaluadas económicamente mediante proyectos de inversión, los cuales se deben representar mediante modelos financieros que incorporen los costos de las UCAP, los nuevos desarrollos tecnológicos, la vida útil de los activos, la tasa de retorno y demás variables para la prestación del servicio, para la toma de decisión de la alternativa más favorable técnica, económica y financiera para los municipios y distritos.</w:t>
      </w:r>
    </w:p>
    <w:p w14:paraId="6AAD0A25" w14:textId="77777777" w:rsidR="00F5024B" w:rsidRPr="00D96A6E" w:rsidRDefault="00F5024B" w:rsidP="00F5024B">
      <w:pPr>
        <w:spacing w:before="0"/>
        <w:ind w:left="0" w:firstLine="0"/>
        <w:rPr>
          <w:i w:val="0"/>
          <w:color w:val="auto"/>
        </w:rPr>
      </w:pPr>
      <w:r w:rsidRPr="000F538C">
        <w:rPr>
          <w:b/>
          <w:bCs/>
          <w:i w:val="0"/>
          <w:iCs w:val="0"/>
          <w:color w:val="auto"/>
        </w:rPr>
        <w:t>Parágrafo.</w:t>
      </w:r>
      <w:r w:rsidRPr="000F538C">
        <w:rPr>
          <w:i w:val="0"/>
          <w:iCs w:val="0"/>
          <w:color w:val="auto"/>
        </w:rPr>
        <w:tab/>
        <w:t xml:space="preserve">Desarrollos tecnológicos como los </w:t>
      </w:r>
      <w:r w:rsidRPr="000F538C">
        <w:rPr>
          <w:i w:val="0"/>
          <w:color w:val="auto"/>
        </w:rPr>
        <w:t xml:space="preserve">proyectos de instalación de medición individual con </w:t>
      </w:r>
      <w:proofErr w:type="spellStart"/>
      <w:r w:rsidRPr="000F538C">
        <w:rPr>
          <w:i w:val="0"/>
          <w:color w:val="auto"/>
        </w:rPr>
        <w:t>telegestión</w:t>
      </w:r>
      <w:proofErr w:type="spellEnd"/>
      <w:r w:rsidRPr="000F538C">
        <w:rPr>
          <w:i w:val="0"/>
          <w:color w:val="auto"/>
        </w:rPr>
        <w:t xml:space="preserve"> y/o medida deben contar con una evaluación financiera para establecer si la relación beneficio-costo es superior a uno, con base en los criterios y metodología definidos por el municipio o distrito, tendiente a garantizar la prestación de servicio de alumbrado público de forma económica </w:t>
      </w:r>
      <w:r w:rsidRPr="00D96A6E">
        <w:rPr>
          <w:i w:val="0"/>
          <w:color w:val="auto"/>
        </w:rPr>
        <w:t>y eficiente.</w:t>
      </w:r>
    </w:p>
    <w:p w14:paraId="0B6B1452" w14:textId="77777777" w:rsidR="00F5024B" w:rsidRPr="000C7F5A" w:rsidRDefault="00F5024B" w:rsidP="00F5024B">
      <w:pPr>
        <w:pStyle w:val="Artculo1"/>
        <w:keepNext w:val="0"/>
        <w:ind w:left="0" w:firstLine="0"/>
        <w:rPr>
          <w:b w:val="0"/>
          <w:bCs w:val="0"/>
          <w:i w:val="0"/>
          <w:color w:val="auto"/>
        </w:rPr>
      </w:pPr>
      <w:r w:rsidRPr="003B27D8">
        <w:rPr>
          <w:i w:val="0"/>
          <w:color w:val="auto"/>
        </w:rPr>
        <w:t>Tasa de Retorno</w:t>
      </w:r>
      <w:r w:rsidRPr="003B27D8">
        <w:rPr>
          <w:b w:val="0"/>
          <w:bCs w:val="0"/>
          <w:i w:val="0"/>
          <w:color w:val="auto"/>
        </w:rPr>
        <w:t>.</w:t>
      </w:r>
      <w:r w:rsidRPr="003B27D8">
        <w:rPr>
          <w:i w:val="0"/>
          <w:color w:val="auto"/>
        </w:rPr>
        <w:t xml:space="preserve"> </w:t>
      </w:r>
      <w:r w:rsidRPr="003B27D8">
        <w:rPr>
          <w:b w:val="0"/>
          <w:bCs w:val="0"/>
          <w:i w:val="0"/>
          <w:color w:val="auto"/>
        </w:rPr>
        <w:t xml:space="preserve">La tasa de retorno para la definición de los ingresos de alumbrado público que se pacten en los contratos y/o convenios, será la aprobada para la actividad de distribución de energía eléctrica </w:t>
      </w:r>
      <w:r w:rsidRPr="000C7F5A">
        <w:rPr>
          <w:b w:val="0"/>
          <w:bCs w:val="0"/>
          <w:i w:val="0"/>
          <w:color w:val="auto"/>
        </w:rPr>
        <w:t>vigente</w:t>
      </w:r>
      <w:r>
        <w:rPr>
          <w:b w:val="0"/>
          <w:bCs w:val="0"/>
          <w:i w:val="0"/>
          <w:color w:val="auto"/>
        </w:rPr>
        <w:t>,</w:t>
      </w:r>
      <w:r w:rsidRPr="000C7F5A">
        <w:rPr>
          <w:b w:val="0"/>
          <w:bCs w:val="0"/>
          <w:i w:val="0"/>
          <w:color w:val="auto"/>
        </w:rPr>
        <w:t xml:space="preserve"> y se actualizará cada vez que la CREG la modifique.</w:t>
      </w:r>
    </w:p>
    <w:p w14:paraId="25F75054" w14:textId="77777777" w:rsidR="00F5024B" w:rsidRPr="000D44C7" w:rsidRDefault="00F5024B" w:rsidP="00F5024B">
      <w:pPr>
        <w:pStyle w:val="Artculo1"/>
        <w:keepNext w:val="0"/>
        <w:ind w:left="0" w:firstLine="0"/>
        <w:rPr>
          <w:i w:val="0"/>
          <w:iCs w:val="0"/>
          <w:color w:val="auto"/>
        </w:rPr>
      </w:pPr>
      <w:r w:rsidRPr="00B238E0">
        <w:rPr>
          <w:i w:val="0"/>
          <w:iCs w:val="0"/>
          <w:color w:val="auto"/>
        </w:rPr>
        <w:t>Costo anual de terrenos de las subestaciones del</w:t>
      </w:r>
      <w:r w:rsidRPr="000F538C">
        <w:rPr>
          <w:i w:val="0"/>
          <w:iCs w:val="0"/>
          <w:color w:val="auto"/>
        </w:rPr>
        <w:t xml:space="preserve"> Nivel de Tensión n (</w:t>
      </w:r>
      <w:proofErr w:type="spellStart"/>
      <w:r w:rsidRPr="000F538C">
        <w:rPr>
          <w:i w:val="0"/>
          <w:iCs w:val="0"/>
          <w:color w:val="auto"/>
        </w:rPr>
        <w:t>CATn</w:t>
      </w:r>
      <w:proofErr w:type="spellEnd"/>
      <w:r w:rsidRPr="000F538C">
        <w:rPr>
          <w:i w:val="0"/>
          <w:iCs w:val="0"/>
          <w:color w:val="auto"/>
        </w:rPr>
        <w:t>)</w:t>
      </w:r>
      <w:r w:rsidRPr="424DE6E4">
        <w:rPr>
          <w:i w:val="0"/>
          <w:iCs w:val="0"/>
          <w:color w:val="auto"/>
        </w:rPr>
        <w:t xml:space="preserve">. </w:t>
      </w:r>
      <w:r w:rsidRPr="424DE6E4">
        <w:rPr>
          <w:b w:val="0"/>
          <w:bCs w:val="0"/>
          <w:i w:val="0"/>
          <w:iCs w:val="0"/>
          <w:color w:val="auto"/>
        </w:rPr>
        <w:t>El costo anual de terrenos de las subestaciones que atiendan en forma exclusiva los activos del Sistema de Alumbrado Público del nivel n se calculará así:</w:t>
      </w:r>
    </w:p>
    <w:p w14:paraId="1BD16562" w14:textId="77777777" w:rsidR="00F5024B" w:rsidRPr="006C7B20" w:rsidRDefault="00F5024B" w:rsidP="00F5024B">
      <w:pPr>
        <w:spacing w:before="0" w:after="0"/>
        <w:ind w:left="0" w:firstLine="0"/>
        <w:rPr>
          <w:i w:val="0"/>
          <w:iCs w:val="0"/>
          <w:color w:val="auto"/>
        </w:rPr>
      </w:pPr>
    </w:p>
    <w:p w14:paraId="4B2B234A" w14:textId="77777777" w:rsidR="00F5024B" w:rsidRPr="006C7B20" w:rsidRDefault="00F5024B" w:rsidP="00F5024B">
      <w:pPr>
        <w:spacing w:before="0" w:after="0"/>
        <w:ind w:left="0" w:firstLine="0"/>
        <w:rPr>
          <w:color w:val="auto"/>
        </w:rPr>
      </w:pPr>
      <m:oMathPara>
        <m:oMath>
          <m:r>
            <w:rPr>
              <w:rFonts w:ascii="Cambria Math" w:hAnsi="Cambria Math"/>
              <w:color w:val="auto"/>
            </w:rPr>
            <m:t xml:space="preserve">CATn=R* </m:t>
          </m:r>
          <m:nary>
            <m:naryPr>
              <m:chr m:val="∑"/>
              <m:limLoc m:val="undOvr"/>
              <m:ctrlPr>
                <w:rPr>
                  <w:rFonts w:ascii="Cambria Math" w:hAnsi="Cambria Math"/>
                  <w:i w:val="0"/>
                  <w:color w:val="auto"/>
                </w:rPr>
              </m:ctrlPr>
            </m:naryPr>
            <m:sub>
              <m:r>
                <w:rPr>
                  <w:rFonts w:ascii="Cambria Math" w:hAnsi="Cambria Math"/>
                  <w:color w:val="auto"/>
                </w:rPr>
                <m:t>i=1</m:t>
              </m:r>
            </m:sub>
            <m:sup>
              <m:r>
                <w:rPr>
                  <w:rFonts w:ascii="Cambria Math" w:hAnsi="Cambria Math"/>
                  <w:color w:val="auto"/>
                </w:rPr>
                <m:t>NSn</m:t>
              </m:r>
            </m:sup>
            <m:e>
              <m:r>
                <w:rPr>
                  <w:rFonts w:ascii="Cambria Math" w:hAnsi="Cambria Math"/>
                  <w:color w:val="auto"/>
                </w:rPr>
                <m:t>(ATi*VCTi)</m:t>
              </m:r>
            </m:e>
          </m:nary>
        </m:oMath>
      </m:oMathPara>
    </w:p>
    <w:p w14:paraId="50F59AAF" w14:textId="77777777" w:rsidR="00F5024B" w:rsidRPr="006C7B20" w:rsidRDefault="00F5024B" w:rsidP="00F5024B">
      <w:pPr>
        <w:spacing w:before="0" w:after="0"/>
        <w:rPr>
          <w:color w:val="auto"/>
        </w:rPr>
      </w:pPr>
    </w:p>
    <w:p w14:paraId="793C0C61" w14:textId="77777777" w:rsidR="00F5024B" w:rsidRPr="006C7B20" w:rsidRDefault="00F5024B" w:rsidP="00F5024B">
      <w:pPr>
        <w:spacing w:before="0"/>
        <w:rPr>
          <w:color w:val="auto"/>
        </w:rPr>
      </w:pPr>
      <w:r w:rsidRPr="006C7B20">
        <w:rPr>
          <w:color w:val="auto"/>
        </w:rPr>
        <w:t>Donde:</w:t>
      </w:r>
    </w:p>
    <w:p w14:paraId="0FB3D928" w14:textId="77777777" w:rsidR="00F5024B" w:rsidRPr="00B238E0" w:rsidRDefault="00F5024B" w:rsidP="00F5024B">
      <w:pPr>
        <w:spacing w:before="0" w:after="0"/>
        <w:rPr>
          <w:i w:val="0"/>
          <w:iCs w:val="0"/>
          <w:color w:val="auto"/>
        </w:rPr>
      </w:pPr>
      <w:proofErr w:type="spellStart"/>
      <w:r w:rsidRPr="00AE1BAD">
        <w:rPr>
          <w:color w:val="auto"/>
        </w:rPr>
        <w:t>CATn</w:t>
      </w:r>
      <w:proofErr w:type="spellEnd"/>
      <w:r w:rsidRPr="00AE1BAD">
        <w:rPr>
          <w:color w:val="auto"/>
        </w:rPr>
        <w:t>:</w:t>
      </w:r>
      <w:r w:rsidRPr="00AE1BAD">
        <w:rPr>
          <w:color w:val="auto"/>
        </w:rPr>
        <w:tab/>
      </w:r>
      <w:r w:rsidRPr="00B238E0">
        <w:rPr>
          <w:i w:val="0"/>
          <w:iCs w:val="0"/>
          <w:color w:val="auto"/>
        </w:rPr>
        <w:t>Costo anual de los terrenos de subestaciones del Nivel de Tensión n</w:t>
      </w:r>
      <w:r w:rsidRPr="00B238E0">
        <w:rPr>
          <w:rFonts w:eastAsia="Cambria"/>
          <w:i w:val="0"/>
          <w:iCs w:val="0"/>
          <w:color w:val="auto"/>
          <w:lang w:eastAsia="en-US"/>
        </w:rPr>
        <w:t xml:space="preserve"> en pesos </w:t>
      </w:r>
      <w:r w:rsidRPr="00840E6A">
        <w:rPr>
          <w:rFonts w:eastAsia="Cambria"/>
          <w:i w:val="0"/>
          <w:iCs w:val="0"/>
          <w:color w:val="auto"/>
          <w:lang w:eastAsia="en-US"/>
        </w:rPr>
        <w:t>correspondientes a la fecha de referencia</w:t>
      </w:r>
      <w:r>
        <w:rPr>
          <w:rFonts w:eastAsia="Cambria"/>
          <w:i w:val="0"/>
          <w:iCs w:val="0"/>
          <w:color w:val="auto"/>
          <w:lang w:eastAsia="en-US"/>
        </w:rPr>
        <w:t>.</w:t>
      </w:r>
      <w:r w:rsidRPr="00840E6A">
        <w:rPr>
          <w:rFonts w:eastAsia="Cambria"/>
          <w:i w:val="0"/>
          <w:iCs w:val="0"/>
          <w:color w:val="auto"/>
          <w:lang w:eastAsia="en-US"/>
        </w:rPr>
        <w:t xml:space="preserve"> </w:t>
      </w:r>
    </w:p>
    <w:p w14:paraId="019E8703" w14:textId="77777777" w:rsidR="00F5024B" w:rsidRPr="00AE1BAD" w:rsidRDefault="00F5024B" w:rsidP="00F5024B">
      <w:pPr>
        <w:spacing w:before="0" w:after="0"/>
        <w:rPr>
          <w:color w:val="auto"/>
        </w:rPr>
      </w:pPr>
    </w:p>
    <w:p w14:paraId="39AE2966" w14:textId="77777777" w:rsidR="00F5024B" w:rsidRPr="00B238E0" w:rsidRDefault="00F5024B" w:rsidP="00F5024B">
      <w:pPr>
        <w:spacing w:before="0" w:after="0"/>
        <w:rPr>
          <w:i w:val="0"/>
          <w:iCs w:val="0"/>
          <w:color w:val="auto"/>
        </w:rPr>
      </w:pPr>
      <w:r w:rsidRPr="00AE1BAD">
        <w:rPr>
          <w:color w:val="auto"/>
        </w:rPr>
        <w:t>n:</w:t>
      </w:r>
      <w:r w:rsidRPr="00AE1BAD">
        <w:rPr>
          <w:color w:val="auto"/>
        </w:rPr>
        <w:tab/>
      </w:r>
      <w:r w:rsidRPr="00B238E0">
        <w:rPr>
          <w:i w:val="0"/>
          <w:iCs w:val="0"/>
          <w:color w:val="auto"/>
        </w:rPr>
        <w:t>Nivel de tensión 1 o 2</w:t>
      </w:r>
    </w:p>
    <w:p w14:paraId="69770771" w14:textId="77777777" w:rsidR="00F5024B" w:rsidRPr="00AE1BAD" w:rsidRDefault="00F5024B" w:rsidP="00F5024B">
      <w:pPr>
        <w:spacing w:before="0" w:after="0"/>
        <w:rPr>
          <w:color w:val="auto"/>
        </w:rPr>
      </w:pPr>
    </w:p>
    <w:p w14:paraId="16657A1B" w14:textId="77777777" w:rsidR="00F5024B" w:rsidRPr="00B238E0" w:rsidRDefault="00F5024B" w:rsidP="00F5024B">
      <w:pPr>
        <w:spacing w:before="0"/>
        <w:rPr>
          <w:i w:val="0"/>
          <w:iCs w:val="0"/>
          <w:color w:val="auto"/>
        </w:rPr>
      </w:pPr>
      <w:r w:rsidRPr="00AE1BAD">
        <w:rPr>
          <w:color w:val="auto"/>
        </w:rPr>
        <w:t>R:</w:t>
      </w:r>
      <w:r w:rsidRPr="00AE1BAD">
        <w:rPr>
          <w:color w:val="auto"/>
        </w:rPr>
        <w:tab/>
      </w:r>
      <w:r w:rsidRPr="00B238E0">
        <w:rPr>
          <w:i w:val="0"/>
          <w:iCs w:val="0"/>
          <w:color w:val="auto"/>
        </w:rPr>
        <w:t>Porcentaje reconocido anualmente sobre del valor de los terrenos que corresponde al 6,9%. Para las subestaciones en poste, tipo pedestal y subterráneas instaladas en el espacio público, el valor del coeficiente R es cero (0).</w:t>
      </w:r>
    </w:p>
    <w:p w14:paraId="4E0A218B" w14:textId="77777777" w:rsidR="00F5024B" w:rsidRPr="00B238E0" w:rsidRDefault="00F5024B" w:rsidP="00F5024B">
      <w:pPr>
        <w:spacing w:before="0" w:after="0"/>
        <w:rPr>
          <w:i w:val="0"/>
          <w:iCs w:val="0"/>
          <w:color w:val="auto"/>
        </w:rPr>
      </w:pPr>
      <w:proofErr w:type="spellStart"/>
      <w:r w:rsidRPr="00AE1BAD">
        <w:rPr>
          <w:color w:val="auto"/>
        </w:rPr>
        <w:t>NSn</w:t>
      </w:r>
      <w:proofErr w:type="spellEnd"/>
      <w:r w:rsidRPr="00AE1BAD">
        <w:rPr>
          <w:color w:val="auto"/>
        </w:rPr>
        <w:t>:</w:t>
      </w:r>
      <w:r w:rsidRPr="00AE1BAD">
        <w:rPr>
          <w:color w:val="auto"/>
        </w:rPr>
        <w:tab/>
      </w:r>
      <w:r w:rsidRPr="00B238E0">
        <w:rPr>
          <w:i w:val="0"/>
          <w:iCs w:val="0"/>
          <w:color w:val="auto"/>
        </w:rPr>
        <w:t>Número total de subestaciones del Nivel de Tensión n, instaladas y puestas en operación, sobre las cuales se reconocen áreas de terrenos.</w:t>
      </w:r>
    </w:p>
    <w:p w14:paraId="75B5B320" w14:textId="77777777" w:rsidR="00F5024B" w:rsidRPr="00B238E0" w:rsidRDefault="00F5024B" w:rsidP="00F5024B">
      <w:pPr>
        <w:spacing w:before="0" w:after="0"/>
        <w:rPr>
          <w:i w:val="0"/>
          <w:iCs w:val="0"/>
          <w:color w:val="auto"/>
        </w:rPr>
      </w:pPr>
    </w:p>
    <w:p w14:paraId="56A5C677" w14:textId="77777777" w:rsidR="00F5024B" w:rsidRPr="00AE1BAD" w:rsidRDefault="00F5024B" w:rsidP="00F5024B">
      <w:pPr>
        <w:spacing w:before="0" w:after="0"/>
        <w:rPr>
          <w:color w:val="auto"/>
        </w:rPr>
      </w:pPr>
      <w:proofErr w:type="spellStart"/>
      <w:proofErr w:type="gramStart"/>
      <w:r w:rsidRPr="00AE1BAD">
        <w:rPr>
          <w:color w:val="auto"/>
        </w:rPr>
        <w:t>ATi</w:t>
      </w:r>
      <w:proofErr w:type="spellEnd"/>
      <w:r w:rsidRPr="00AE1BAD">
        <w:rPr>
          <w:color w:val="auto"/>
        </w:rPr>
        <w:t xml:space="preserve"> :</w:t>
      </w:r>
      <w:proofErr w:type="gramEnd"/>
      <w:r w:rsidRPr="00AE1BAD">
        <w:rPr>
          <w:color w:val="auto"/>
        </w:rPr>
        <w:tab/>
      </w:r>
      <w:r w:rsidRPr="00B238E0">
        <w:rPr>
          <w:i w:val="0"/>
          <w:iCs w:val="0"/>
          <w:color w:val="auto"/>
        </w:rPr>
        <w:t>Área de la subestación</w:t>
      </w:r>
      <w:r w:rsidRPr="00AE1BAD">
        <w:rPr>
          <w:color w:val="auto"/>
        </w:rPr>
        <w:t xml:space="preserve"> i (</w:t>
      </w:r>
      <w:r w:rsidRPr="00B238E0">
        <w:rPr>
          <w:color w:val="auto"/>
        </w:rPr>
        <w:t>m</w:t>
      </w:r>
      <w:r w:rsidRPr="00AE1BAD">
        <w:rPr>
          <w:color w:val="auto"/>
          <w:vertAlign w:val="superscript"/>
        </w:rPr>
        <w:t>2</w:t>
      </w:r>
      <w:r w:rsidRPr="00AE1BAD">
        <w:rPr>
          <w:color w:val="auto"/>
        </w:rPr>
        <w:t xml:space="preserve">). </w:t>
      </w:r>
    </w:p>
    <w:p w14:paraId="30BB962D" w14:textId="77777777" w:rsidR="00F5024B" w:rsidRPr="00AE1BAD" w:rsidRDefault="00F5024B" w:rsidP="00F5024B">
      <w:pPr>
        <w:spacing w:before="0" w:after="0"/>
        <w:rPr>
          <w:color w:val="auto"/>
        </w:rPr>
      </w:pPr>
    </w:p>
    <w:p w14:paraId="277D191C" w14:textId="77777777" w:rsidR="00F5024B" w:rsidRPr="0051160A" w:rsidRDefault="00F5024B" w:rsidP="00F5024B">
      <w:pPr>
        <w:spacing w:before="0" w:after="0"/>
        <w:rPr>
          <w:i w:val="0"/>
          <w:iCs w:val="0"/>
          <w:color w:val="auto"/>
        </w:rPr>
      </w:pPr>
      <w:proofErr w:type="spellStart"/>
      <w:r w:rsidRPr="00AE1BAD">
        <w:rPr>
          <w:color w:val="auto"/>
        </w:rPr>
        <w:t>VCTi</w:t>
      </w:r>
      <w:proofErr w:type="spellEnd"/>
      <w:r w:rsidRPr="00AE1BAD">
        <w:rPr>
          <w:color w:val="auto"/>
        </w:rPr>
        <w:t>:</w:t>
      </w:r>
      <w:r w:rsidRPr="00AE1BAD">
        <w:rPr>
          <w:color w:val="auto"/>
        </w:rPr>
        <w:tab/>
      </w:r>
      <w:r w:rsidRPr="0051160A">
        <w:rPr>
          <w:i w:val="0"/>
          <w:iCs w:val="0"/>
          <w:color w:val="auto"/>
        </w:rPr>
        <w:t xml:space="preserve">Valor </w:t>
      </w:r>
      <w:r>
        <w:rPr>
          <w:i w:val="0"/>
          <w:iCs w:val="0"/>
          <w:color w:val="auto"/>
        </w:rPr>
        <w:t>c</w:t>
      </w:r>
      <w:r w:rsidRPr="0051160A">
        <w:rPr>
          <w:i w:val="0"/>
          <w:iCs w:val="0"/>
          <w:color w:val="auto"/>
        </w:rPr>
        <w:t xml:space="preserve">atastral del </w:t>
      </w:r>
      <w:r>
        <w:rPr>
          <w:i w:val="0"/>
          <w:iCs w:val="0"/>
          <w:color w:val="auto"/>
        </w:rPr>
        <w:t>t</w:t>
      </w:r>
      <w:r w:rsidRPr="0051160A">
        <w:rPr>
          <w:i w:val="0"/>
          <w:iCs w:val="0"/>
          <w:color w:val="auto"/>
        </w:rPr>
        <w:t>erreno correspondiente a la subestación</w:t>
      </w:r>
      <w:r w:rsidRPr="00AE1BAD">
        <w:rPr>
          <w:color w:val="auto"/>
        </w:rPr>
        <w:t xml:space="preserve"> i. ($/m</w:t>
      </w:r>
      <w:r w:rsidRPr="00AE1BAD">
        <w:rPr>
          <w:color w:val="auto"/>
          <w:vertAlign w:val="superscript"/>
        </w:rPr>
        <w:t>2</w:t>
      </w:r>
      <w:r w:rsidRPr="00AE1BAD">
        <w:rPr>
          <w:color w:val="auto"/>
        </w:rPr>
        <w:t xml:space="preserve">) </w:t>
      </w:r>
      <w:r w:rsidRPr="0051160A">
        <w:rPr>
          <w:i w:val="0"/>
          <w:iCs w:val="0"/>
          <w:color w:val="auto"/>
        </w:rPr>
        <w:t xml:space="preserve">en pesos </w:t>
      </w:r>
      <w:r w:rsidRPr="00840E6A">
        <w:rPr>
          <w:i w:val="0"/>
          <w:iCs w:val="0"/>
          <w:color w:val="auto"/>
        </w:rPr>
        <w:t>correspondientes a la fecha de referencia</w:t>
      </w:r>
      <w:r w:rsidRPr="0051160A">
        <w:rPr>
          <w:i w:val="0"/>
          <w:iCs w:val="0"/>
          <w:color w:val="auto"/>
        </w:rPr>
        <w:t>.</w:t>
      </w:r>
    </w:p>
    <w:p w14:paraId="05391C12" w14:textId="77777777" w:rsidR="00F5024B" w:rsidRPr="00EB0305" w:rsidRDefault="00F5024B" w:rsidP="00F5024B">
      <w:pPr>
        <w:pStyle w:val="Artculo1"/>
        <w:keepNext w:val="0"/>
        <w:ind w:left="0" w:firstLine="0"/>
        <w:rPr>
          <w:i w:val="0"/>
          <w:iCs w:val="0"/>
          <w:color w:val="auto"/>
        </w:rPr>
      </w:pPr>
      <w:r w:rsidRPr="424DE6E4">
        <w:rPr>
          <w:i w:val="0"/>
          <w:iCs w:val="0"/>
          <w:color w:val="auto"/>
          <w:lang w:eastAsia="en-US"/>
        </w:rPr>
        <w:lastRenderedPageBreak/>
        <w:t>Costo anual equivalente de activos no eléctricos (</w:t>
      </w:r>
      <w:proofErr w:type="spellStart"/>
      <w:r w:rsidRPr="424DE6E4">
        <w:rPr>
          <w:i w:val="0"/>
          <w:iCs w:val="0"/>
          <w:color w:val="auto"/>
          <w:lang w:eastAsia="en-US"/>
        </w:rPr>
        <w:t>CAANEn</w:t>
      </w:r>
      <w:proofErr w:type="spellEnd"/>
      <w:r w:rsidRPr="424DE6E4">
        <w:rPr>
          <w:i w:val="0"/>
          <w:iCs w:val="0"/>
          <w:color w:val="auto"/>
          <w:lang w:eastAsia="en-US"/>
        </w:rPr>
        <w:t xml:space="preserve">). </w:t>
      </w:r>
      <w:r w:rsidRPr="424DE6E4">
        <w:rPr>
          <w:b w:val="0"/>
          <w:bCs w:val="0"/>
          <w:i w:val="0"/>
          <w:iCs w:val="0"/>
          <w:color w:val="auto"/>
        </w:rPr>
        <w:t xml:space="preserve">El costo anual equivalente de los activos no eléctricos, </w:t>
      </w:r>
      <w:r w:rsidRPr="424DE6E4">
        <w:rPr>
          <w:b w:val="0"/>
          <w:bCs w:val="0"/>
          <w:i w:val="0"/>
          <w:iCs w:val="0"/>
          <w:color w:val="auto"/>
          <w:lang w:val="es-ES"/>
        </w:rPr>
        <w:t>necesarios para prestar el servicio</w:t>
      </w:r>
      <w:r w:rsidRPr="424DE6E4">
        <w:rPr>
          <w:b w:val="0"/>
          <w:bCs w:val="0"/>
          <w:i w:val="0"/>
          <w:iCs w:val="0"/>
          <w:color w:val="auto"/>
        </w:rPr>
        <w:t>, que se reconoce al prestador del Servicio de Alumbrado Público, en los niveles de tensión n, se determinará de acuerdo con la siguiente expresión</w:t>
      </w:r>
      <w:r w:rsidRPr="424DE6E4">
        <w:rPr>
          <w:i w:val="0"/>
          <w:iCs w:val="0"/>
          <w:color w:val="auto"/>
        </w:rPr>
        <w:t>:</w:t>
      </w:r>
    </w:p>
    <w:p w14:paraId="7AF68A4B" w14:textId="77777777" w:rsidR="00F5024B" w:rsidRPr="0088106A" w:rsidRDefault="00F5024B" w:rsidP="00F5024B">
      <w:pPr>
        <w:spacing w:before="0" w:after="0"/>
        <w:ind w:left="0" w:firstLine="0"/>
        <w:rPr>
          <w:i w:val="0"/>
          <w:iCs w:val="0"/>
          <w:color w:val="auto"/>
        </w:rPr>
      </w:pPr>
    </w:p>
    <w:p w14:paraId="5F246272" w14:textId="77777777" w:rsidR="00F5024B" w:rsidRPr="009460A0" w:rsidRDefault="00F5024B" w:rsidP="00F5024B">
      <w:pPr>
        <w:spacing w:before="0" w:after="0"/>
        <w:ind w:left="0" w:firstLine="0"/>
        <w:rPr>
          <w:color w:val="auto"/>
        </w:rPr>
      </w:pPr>
      <m:oMathPara>
        <m:oMath>
          <m:r>
            <w:rPr>
              <w:rFonts w:ascii="Cambria Math" w:hAnsi="Cambria Math"/>
              <w:color w:val="auto"/>
            </w:rPr>
            <m:t>CAANEn=   NE* CAAEn</m:t>
          </m:r>
        </m:oMath>
      </m:oMathPara>
    </w:p>
    <w:p w14:paraId="11E18B5B" w14:textId="77777777" w:rsidR="00F5024B" w:rsidRPr="0088106A" w:rsidRDefault="00F5024B" w:rsidP="00F5024B">
      <w:pPr>
        <w:spacing w:before="0" w:after="0"/>
        <w:ind w:left="0" w:firstLine="0"/>
        <w:rPr>
          <w:color w:val="auto"/>
        </w:rPr>
      </w:pPr>
    </w:p>
    <w:p w14:paraId="14ABD0AB" w14:textId="77777777" w:rsidR="00F5024B" w:rsidRPr="001D2F92" w:rsidRDefault="00F5024B" w:rsidP="00F5024B">
      <w:pPr>
        <w:spacing w:before="0" w:after="0"/>
        <w:rPr>
          <w:color w:val="auto"/>
        </w:rPr>
      </w:pPr>
      <w:r w:rsidRPr="001D2F92">
        <w:rPr>
          <w:color w:val="auto"/>
        </w:rPr>
        <w:t>Donde:</w:t>
      </w:r>
    </w:p>
    <w:p w14:paraId="1E70E2DA" w14:textId="77777777" w:rsidR="00F5024B" w:rsidRPr="00EB0305" w:rsidRDefault="00F5024B" w:rsidP="00F5024B">
      <w:pPr>
        <w:spacing w:before="0" w:after="0"/>
        <w:rPr>
          <w:i w:val="0"/>
          <w:iCs w:val="0"/>
          <w:color w:val="auto"/>
        </w:rPr>
      </w:pPr>
    </w:p>
    <w:p w14:paraId="6BBB778B" w14:textId="77777777" w:rsidR="00F5024B" w:rsidRPr="00AE1BAD" w:rsidRDefault="00F5024B" w:rsidP="00F5024B">
      <w:pPr>
        <w:spacing w:before="0" w:after="0"/>
        <w:rPr>
          <w:color w:val="auto"/>
        </w:rPr>
      </w:pPr>
      <w:proofErr w:type="spellStart"/>
      <w:r w:rsidRPr="00AE1BAD">
        <w:rPr>
          <w:rFonts w:eastAsia="Cambria"/>
          <w:color w:val="auto"/>
          <w:lang w:eastAsia="en-US"/>
        </w:rPr>
        <w:t>CAANEn</w:t>
      </w:r>
      <w:proofErr w:type="spellEnd"/>
      <w:r w:rsidRPr="00AE1BAD">
        <w:rPr>
          <w:rFonts w:eastAsia="Cambria"/>
          <w:color w:val="auto"/>
          <w:lang w:eastAsia="en-US"/>
        </w:rPr>
        <w:t>:</w:t>
      </w:r>
      <w:r w:rsidRPr="00BF3D78">
        <w:rPr>
          <w:color w:val="auto"/>
        </w:rPr>
        <w:tab/>
      </w:r>
      <w:r w:rsidRPr="00BF3D78">
        <w:rPr>
          <w:rFonts w:eastAsia="Cambria"/>
          <w:i w:val="0"/>
          <w:iCs w:val="0"/>
          <w:color w:val="auto"/>
          <w:lang w:eastAsia="en-US"/>
        </w:rPr>
        <w:t xml:space="preserve">Costo anual equivalente de los activos no eléctricos asignable al nivel de tensión n en pesos </w:t>
      </w:r>
      <w:r w:rsidRPr="00840E6A">
        <w:rPr>
          <w:rFonts w:eastAsia="Cambria"/>
          <w:i w:val="0"/>
          <w:iCs w:val="0"/>
          <w:color w:val="auto"/>
          <w:lang w:eastAsia="en-US"/>
        </w:rPr>
        <w:t>correspondientes a la fecha de referencia</w:t>
      </w:r>
      <w:r w:rsidRPr="00840E6A">
        <w:rPr>
          <w:color w:val="auto"/>
        </w:rPr>
        <w:t>.</w:t>
      </w:r>
    </w:p>
    <w:p w14:paraId="11E61219" w14:textId="77777777" w:rsidR="00F5024B" w:rsidRPr="00AE1BAD" w:rsidRDefault="00F5024B" w:rsidP="00F5024B">
      <w:pPr>
        <w:spacing w:before="0" w:after="0"/>
        <w:rPr>
          <w:color w:val="auto"/>
        </w:rPr>
      </w:pPr>
    </w:p>
    <w:p w14:paraId="425113A3" w14:textId="77777777" w:rsidR="00F5024B" w:rsidRPr="00BF3D78" w:rsidRDefault="00F5024B" w:rsidP="00F5024B">
      <w:pPr>
        <w:spacing w:before="0" w:after="0"/>
        <w:rPr>
          <w:i w:val="0"/>
          <w:iCs w:val="0"/>
          <w:color w:val="auto"/>
        </w:rPr>
      </w:pPr>
      <w:r w:rsidRPr="00DA00DD">
        <w:rPr>
          <w:color w:val="auto"/>
        </w:rPr>
        <w:t>n:</w:t>
      </w:r>
      <w:r w:rsidRPr="00BF3D78">
        <w:rPr>
          <w:color w:val="auto"/>
        </w:rPr>
        <w:tab/>
      </w:r>
      <w:r w:rsidRPr="00BF3D78">
        <w:rPr>
          <w:i w:val="0"/>
          <w:iCs w:val="0"/>
          <w:color w:val="auto"/>
        </w:rPr>
        <w:t>Nivel de tensión 1 o 2</w:t>
      </w:r>
    </w:p>
    <w:p w14:paraId="3B6B23CA" w14:textId="77777777" w:rsidR="00F5024B" w:rsidRPr="00BF3D78" w:rsidRDefault="00F5024B" w:rsidP="00F5024B">
      <w:pPr>
        <w:spacing w:before="0" w:after="0"/>
        <w:rPr>
          <w:i w:val="0"/>
          <w:iCs w:val="0"/>
          <w:color w:val="auto"/>
        </w:rPr>
      </w:pPr>
    </w:p>
    <w:p w14:paraId="1848D27A" w14:textId="77777777" w:rsidR="00F5024B" w:rsidRPr="00BF3D78" w:rsidRDefault="00F5024B" w:rsidP="00F5024B">
      <w:pPr>
        <w:spacing w:before="0" w:after="0"/>
        <w:rPr>
          <w:i w:val="0"/>
          <w:iCs w:val="0"/>
          <w:color w:val="auto"/>
        </w:rPr>
      </w:pPr>
      <w:r w:rsidRPr="00DA00DD">
        <w:rPr>
          <w:color w:val="auto"/>
        </w:rPr>
        <w:t>NE:</w:t>
      </w:r>
      <w:r w:rsidRPr="00DA00DD">
        <w:rPr>
          <w:color w:val="auto"/>
        </w:rPr>
        <w:tab/>
      </w:r>
      <w:r w:rsidRPr="00BF3D78">
        <w:rPr>
          <w:i w:val="0"/>
          <w:iCs w:val="0"/>
          <w:color w:val="auto"/>
        </w:rPr>
        <w:t>Fracción del costo anual equivalente de los activos en operación que se reconoce como costo anual equivalente de Activos No Eléctricos. NE es igual a 0</w:t>
      </w:r>
      <w:r w:rsidRPr="00E56FB3">
        <w:rPr>
          <w:i w:val="0"/>
          <w:iCs w:val="0"/>
          <w:color w:val="auto"/>
        </w:rPr>
        <w:t>,041.</w:t>
      </w:r>
    </w:p>
    <w:p w14:paraId="3CBF60D8" w14:textId="77777777" w:rsidR="00F5024B" w:rsidRPr="00DA00DD" w:rsidRDefault="00F5024B" w:rsidP="00F5024B">
      <w:pPr>
        <w:pStyle w:val="Textoindependiente"/>
        <w:spacing w:before="0" w:after="0"/>
        <w:jc w:val="both"/>
        <w:rPr>
          <w:color w:val="auto"/>
          <w:lang w:eastAsia="en-US"/>
        </w:rPr>
      </w:pPr>
    </w:p>
    <w:p w14:paraId="14F32619" w14:textId="77777777" w:rsidR="00F5024B" w:rsidRPr="00BF3D78" w:rsidRDefault="00F5024B" w:rsidP="00F5024B">
      <w:pPr>
        <w:pStyle w:val="Textoindependiente"/>
        <w:spacing w:before="0" w:after="0"/>
        <w:jc w:val="both"/>
        <w:rPr>
          <w:rFonts w:ascii="Bookman Old Style" w:hAnsi="Bookman Old Style"/>
          <w:b w:val="0"/>
          <w:bCs w:val="0"/>
          <w:i w:val="0"/>
          <w:iCs w:val="0"/>
          <w:color w:val="auto"/>
          <w:lang w:eastAsia="en-US"/>
        </w:rPr>
      </w:pPr>
      <w:proofErr w:type="spellStart"/>
      <w:r w:rsidRPr="00DA00DD">
        <w:rPr>
          <w:rFonts w:ascii="Bookman Old Style" w:hAnsi="Bookman Old Style"/>
          <w:b w:val="0"/>
          <w:color w:val="auto"/>
          <w:lang w:eastAsia="en-US"/>
        </w:rPr>
        <w:t>CAAEn</w:t>
      </w:r>
      <w:proofErr w:type="spellEnd"/>
      <w:r w:rsidRPr="00DA00DD">
        <w:rPr>
          <w:rFonts w:ascii="Bookman Old Style" w:hAnsi="Bookman Old Style"/>
          <w:b w:val="0"/>
          <w:color w:val="auto"/>
          <w:lang w:eastAsia="en-US"/>
        </w:rPr>
        <w:t>:</w:t>
      </w:r>
      <w:r w:rsidRPr="00DA00DD">
        <w:rPr>
          <w:color w:val="auto"/>
        </w:rPr>
        <w:tab/>
      </w:r>
      <w:r w:rsidRPr="00BF3D78">
        <w:rPr>
          <w:rFonts w:ascii="Bookman Old Style" w:hAnsi="Bookman Old Style"/>
          <w:b w:val="0"/>
          <w:bCs w:val="0"/>
          <w:i w:val="0"/>
          <w:iCs w:val="0"/>
          <w:color w:val="auto"/>
          <w:lang w:eastAsia="en-US"/>
        </w:rPr>
        <w:t xml:space="preserve">Costo anual equivalente de todos los activos del Sistema de Alumbrado Público del Nivel de Tensión n. Incluye los activos de propiedad del municipio y/o distritos entregados al prestador del Servicio de Alumbrado Público y los activos nuevos, resultado de la expansión, modernización y reposición efectuadas por el prestador de la </w:t>
      </w:r>
      <w:r>
        <w:rPr>
          <w:rFonts w:ascii="Bookman Old Style" w:hAnsi="Bookman Old Style"/>
          <w:b w:val="0"/>
          <w:bCs w:val="0"/>
          <w:i w:val="0"/>
          <w:iCs w:val="0"/>
          <w:color w:val="auto"/>
          <w:lang w:eastAsia="en-US"/>
        </w:rPr>
        <w:t>i</w:t>
      </w:r>
      <w:r w:rsidRPr="00BF3D78">
        <w:rPr>
          <w:rFonts w:ascii="Bookman Old Style" w:hAnsi="Bookman Old Style"/>
          <w:b w:val="0"/>
          <w:bCs w:val="0"/>
          <w:i w:val="0"/>
          <w:iCs w:val="0"/>
          <w:color w:val="auto"/>
          <w:lang w:eastAsia="en-US"/>
        </w:rPr>
        <w:t>nversión.</w:t>
      </w:r>
    </w:p>
    <w:p w14:paraId="4F094893" w14:textId="77777777" w:rsidR="00F5024B" w:rsidRPr="00AE1BAD" w:rsidRDefault="00F5024B" w:rsidP="00F5024B">
      <w:pPr>
        <w:pStyle w:val="Textoindependiente"/>
        <w:spacing w:before="0" w:after="0"/>
        <w:jc w:val="both"/>
        <w:rPr>
          <w:rFonts w:ascii="Bookman Old Style" w:hAnsi="Bookman Old Style"/>
          <w:b w:val="0"/>
          <w:bCs w:val="0"/>
          <w:color w:val="auto"/>
          <w:lang w:eastAsia="en-US"/>
        </w:rPr>
      </w:pPr>
    </w:p>
    <w:p w14:paraId="323211C9" w14:textId="77777777" w:rsidR="00F5024B" w:rsidRPr="00706C6F" w:rsidRDefault="00F5024B" w:rsidP="00F5024B">
      <w:pPr>
        <w:pStyle w:val="Artculo1"/>
        <w:keepNext w:val="0"/>
        <w:spacing w:before="0" w:after="0"/>
        <w:ind w:left="0" w:firstLine="0"/>
        <w:rPr>
          <w:b w:val="0"/>
          <w:bCs w:val="0"/>
          <w:i w:val="0"/>
          <w:iCs w:val="0"/>
          <w:color w:val="auto"/>
        </w:rPr>
      </w:pPr>
      <w:r w:rsidRPr="00706C6F">
        <w:rPr>
          <w:i w:val="0"/>
          <w:iCs w:val="0"/>
          <w:color w:val="auto"/>
        </w:rPr>
        <w:t>Índice de Disponibilidad de las Luminarias del Sistema de Alumbrado Público.</w:t>
      </w:r>
      <w:r w:rsidRPr="00706C6F">
        <w:rPr>
          <w:b w:val="0"/>
          <w:bCs w:val="0"/>
          <w:i w:val="0"/>
          <w:iCs w:val="0"/>
          <w:color w:val="auto"/>
        </w:rPr>
        <w:t xml:space="preserve"> Las deficiencias en el Servicio de Alumbrado Público debidas a defectos de la infraestructura propia se descuentan de la remuneración de la inversión y del AOM. El índice de disponibilidad de las luminarias cuantifica estas deficiencias, y se mide a través de las interrupciones por luminarias que no funcionan o funcionan de manera deficiente, reportadas por los usuarios y el interventor al SIAP. </w:t>
      </w:r>
    </w:p>
    <w:p w14:paraId="45E11274" w14:textId="77777777" w:rsidR="00F5024B" w:rsidRPr="00706C6F" w:rsidRDefault="00F5024B" w:rsidP="00F5024B">
      <w:pPr>
        <w:spacing w:before="0" w:after="0"/>
        <w:rPr>
          <w:color w:val="auto"/>
        </w:rPr>
      </w:pPr>
    </w:p>
    <w:p w14:paraId="668DBC16" w14:textId="77777777" w:rsidR="00F5024B" w:rsidRPr="00706C6F" w:rsidRDefault="00F5024B" w:rsidP="00F5024B">
      <w:pPr>
        <w:spacing w:before="0" w:after="0"/>
        <w:ind w:left="0" w:firstLine="0"/>
        <w:rPr>
          <w:i w:val="0"/>
          <w:iCs w:val="0"/>
          <w:color w:val="auto"/>
        </w:rPr>
      </w:pPr>
      <w:r w:rsidRPr="00706C6F">
        <w:rPr>
          <w:i w:val="0"/>
          <w:iCs w:val="0"/>
          <w:color w:val="auto"/>
        </w:rPr>
        <w:t>El valor del índice de disponibilidad del parque de luminarias se calcula de acuerdo con la siguiente expresión:</w:t>
      </w:r>
    </w:p>
    <w:p w14:paraId="667590ED" w14:textId="77777777" w:rsidR="00F5024B" w:rsidRPr="00706C6F" w:rsidRDefault="00F5024B" w:rsidP="00F5024B">
      <w:pPr>
        <w:spacing w:before="0" w:after="0"/>
        <w:ind w:left="0" w:firstLine="0"/>
        <w:rPr>
          <w:i w:val="0"/>
          <w:iCs w:val="0"/>
          <w:color w:val="auto"/>
        </w:rPr>
      </w:pPr>
    </w:p>
    <w:p w14:paraId="4745B461" w14:textId="77777777" w:rsidR="00F5024B" w:rsidRPr="00706C6F" w:rsidRDefault="00F5024B" w:rsidP="00F5024B">
      <w:pPr>
        <w:spacing w:before="0" w:after="0"/>
        <w:ind w:left="0" w:firstLine="0"/>
        <w:rPr>
          <w:color w:val="auto"/>
        </w:rPr>
      </w:pPr>
      <m:oMathPara>
        <m:oMath>
          <m:r>
            <w:rPr>
              <w:rFonts w:ascii="Cambria Math" w:hAnsi="Cambria Math"/>
              <w:color w:val="auto"/>
            </w:rPr>
            <m:t>ID=1-</m:t>
          </m:r>
          <m:nary>
            <m:naryPr>
              <m:chr m:val="∑"/>
              <m:grow m:val="1"/>
              <m:ctrlPr>
                <w:rPr>
                  <w:rFonts w:ascii="Cambria Math" w:hAnsi="Cambria Math"/>
                  <w:color w:val="auto"/>
                </w:rPr>
              </m:ctrlPr>
            </m:naryPr>
            <m:sub>
              <m:r>
                <w:rPr>
                  <w:rFonts w:ascii="Cambria Math" w:hAnsi="Cambria Math"/>
                  <w:color w:val="auto"/>
                </w:rPr>
                <m:t>i=1</m:t>
              </m:r>
            </m:sub>
            <m:sup>
              <m:r>
                <w:rPr>
                  <w:rFonts w:ascii="Cambria Math" w:hAnsi="Cambria Math"/>
                  <w:color w:val="auto"/>
                </w:rPr>
                <m:t>m</m:t>
              </m:r>
            </m:sup>
            <m:e>
              <m:d>
                <m:dPr>
                  <m:ctrlPr>
                    <w:rPr>
                      <w:rFonts w:ascii="Cambria Math" w:hAnsi="Cambria Math"/>
                      <w:color w:val="auto"/>
                    </w:rPr>
                  </m:ctrlPr>
                </m:dPr>
                <m:e>
                  <m:func>
                    <m:funcPr>
                      <m:ctrlPr>
                        <w:rPr>
                          <w:rFonts w:ascii="Cambria Math" w:hAnsi="Cambria Math"/>
                          <w:color w:val="auto"/>
                        </w:rPr>
                      </m:ctrlPr>
                    </m:funcPr>
                    <m:fName>
                      <m:f>
                        <m:fPr>
                          <m:ctrlPr>
                            <w:rPr>
                              <w:rFonts w:ascii="Cambria Math" w:hAnsi="Cambria Math"/>
                              <w:color w:val="auto"/>
                            </w:rPr>
                          </m:ctrlPr>
                        </m:fPr>
                        <m:num>
                          <m:r>
                            <w:rPr>
                              <w:rFonts w:ascii="Cambria Math" w:eastAsia="Cambria Math" w:hAnsi="Cambria Math"/>
                              <w:color w:val="auto"/>
                            </w:rPr>
                            <m:t>Wi*HSS i</m:t>
                          </m:r>
                        </m:num>
                        <m:den>
                          <m:r>
                            <w:rPr>
                              <w:rFonts w:ascii="Cambria Math" w:eastAsia="Cambria Math" w:hAnsi="Cambria Math"/>
                              <w:color w:val="auto"/>
                            </w:rPr>
                            <m:t>WT*T</m:t>
                          </m:r>
                        </m:den>
                      </m:f>
                    </m:fName>
                    <m:e>
                      <m:r>
                        <w:rPr>
                          <w:rFonts w:ascii="Cambria Math" w:hAnsi="Cambria Math"/>
                          <w:color w:val="auto"/>
                        </w:rPr>
                        <m:t xml:space="preserve">  </m:t>
                      </m:r>
                    </m:e>
                  </m:func>
                </m:e>
              </m:d>
            </m:e>
          </m:nary>
        </m:oMath>
      </m:oMathPara>
    </w:p>
    <w:p w14:paraId="5825D6BC" w14:textId="77777777" w:rsidR="00F5024B" w:rsidRPr="00706C6F" w:rsidRDefault="00F5024B" w:rsidP="00F5024B">
      <w:pPr>
        <w:spacing w:before="0" w:after="0"/>
        <w:rPr>
          <w:i w:val="0"/>
          <w:iCs w:val="0"/>
          <w:color w:val="auto"/>
        </w:rPr>
      </w:pPr>
    </w:p>
    <w:p w14:paraId="3EABE0E9" w14:textId="77777777" w:rsidR="00F5024B" w:rsidRDefault="00F5024B" w:rsidP="00F5024B">
      <w:pPr>
        <w:spacing w:before="0" w:after="0"/>
        <w:rPr>
          <w:color w:val="auto"/>
        </w:rPr>
      </w:pPr>
      <w:r w:rsidRPr="001D2F92">
        <w:rPr>
          <w:color w:val="auto"/>
        </w:rPr>
        <w:t>Donde:</w:t>
      </w:r>
    </w:p>
    <w:p w14:paraId="62E012B9" w14:textId="77777777" w:rsidR="00F5024B" w:rsidRPr="001D2F92" w:rsidRDefault="00F5024B" w:rsidP="00F5024B">
      <w:pPr>
        <w:spacing w:before="0" w:after="0"/>
        <w:rPr>
          <w:color w:val="auto"/>
        </w:rPr>
      </w:pPr>
    </w:p>
    <w:p w14:paraId="493B395E" w14:textId="77777777" w:rsidR="00F5024B" w:rsidRPr="00123AA5" w:rsidRDefault="00F5024B" w:rsidP="00F5024B">
      <w:pPr>
        <w:spacing w:before="0"/>
        <w:rPr>
          <w:i w:val="0"/>
          <w:iCs w:val="0"/>
          <w:color w:val="auto"/>
        </w:rPr>
      </w:pPr>
      <w:r w:rsidRPr="00AE1BAD">
        <w:rPr>
          <w:color w:val="auto"/>
        </w:rPr>
        <w:t>ID:</w:t>
      </w:r>
      <w:r w:rsidRPr="00AE1BAD">
        <w:rPr>
          <w:color w:val="auto"/>
        </w:rPr>
        <w:tab/>
      </w:r>
      <w:r w:rsidRPr="00123AA5">
        <w:rPr>
          <w:i w:val="0"/>
          <w:iCs w:val="0"/>
          <w:color w:val="auto"/>
        </w:rPr>
        <w:t>Índice de disponibilidad de las luminarias, para el período de remuneración.</w:t>
      </w:r>
    </w:p>
    <w:p w14:paraId="0014B626" w14:textId="77777777" w:rsidR="00F5024B" w:rsidRPr="00123AA5" w:rsidRDefault="00F5024B" w:rsidP="00F5024B">
      <w:pPr>
        <w:spacing w:before="0"/>
        <w:rPr>
          <w:i w:val="0"/>
          <w:iCs w:val="0"/>
          <w:color w:val="auto"/>
        </w:rPr>
      </w:pPr>
      <w:proofErr w:type="spellStart"/>
      <w:r w:rsidRPr="00AE1BAD">
        <w:rPr>
          <w:color w:val="auto"/>
        </w:rPr>
        <w:t>Wi</w:t>
      </w:r>
      <w:proofErr w:type="spellEnd"/>
      <w:r w:rsidRPr="00AE1BAD">
        <w:rPr>
          <w:color w:val="auto"/>
        </w:rPr>
        <w:t xml:space="preserve">: </w:t>
      </w:r>
      <w:r w:rsidRPr="00AE1BAD">
        <w:rPr>
          <w:color w:val="auto"/>
        </w:rPr>
        <w:tab/>
      </w:r>
      <w:r w:rsidRPr="00123AA5">
        <w:rPr>
          <w:i w:val="0"/>
          <w:iCs w:val="0"/>
          <w:color w:val="auto"/>
        </w:rPr>
        <w:t xml:space="preserve">Potencia de la luminaria i en kW (incluye la carga de la bombilla </w:t>
      </w:r>
      <w:r w:rsidRPr="00DA00DD">
        <w:rPr>
          <w:i w:val="0"/>
          <w:iCs w:val="0"/>
          <w:color w:val="auto"/>
        </w:rPr>
        <w:t>o fuente luminosa</w:t>
      </w:r>
      <w:r w:rsidRPr="00123AA5">
        <w:rPr>
          <w:i w:val="0"/>
          <w:iCs w:val="0"/>
          <w:color w:val="auto"/>
        </w:rPr>
        <w:t xml:space="preserve"> y de los demás elementos internos para su funcionamiento), reportada al registro de quejas y reclamos de alumbrado público. </w:t>
      </w:r>
    </w:p>
    <w:p w14:paraId="359C91F8" w14:textId="77777777" w:rsidR="00F5024B" w:rsidRPr="00123AA5" w:rsidRDefault="00F5024B" w:rsidP="00F5024B">
      <w:pPr>
        <w:spacing w:before="0"/>
        <w:rPr>
          <w:i w:val="0"/>
          <w:iCs w:val="0"/>
          <w:color w:val="auto"/>
        </w:rPr>
      </w:pPr>
      <w:proofErr w:type="spellStart"/>
      <w:r w:rsidRPr="00AE1BAD">
        <w:rPr>
          <w:color w:val="auto"/>
        </w:rPr>
        <w:lastRenderedPageBreak/>
        <w:t>HSSi</w:t>
      </w:r>
      <w:proofErr w:type="spellEnd"/>
      <w:r w:rsidRPr="00AE1BAD">
        <w:rPr>
          <w:color w:val="auto"/>
        </w:rPr>
        <w:t>:</w:t>
      </w:r>
      <w:r w:rsidRPr="00AE1BAD">
        <w:rPr>
          <w:color w:val="auto"/>
        </w:rPr>
        <w:tab/>
      </w:r>
      <w:r w:rsidRPr="00123AA5">
        <w:rPr>
          <w:i w:val="0"/>
          <w:iCs w:val="0"/>
          <w:color w:val="auto"/>
        </w:rPr>
        <w:t>Número total de horas sin servicio de la luminaria i.</w:t>
      </w:r>
    </w:p>
    <w:p w14:paraId="5298997B" w14:textId="77777777" w:rsidR="00F5024B" w:rsidRPr="00123AA5" w:rsidRDefault="00F5024B" w:rsidP="00F5024B">
      <w:pPr>
        <w:spacing w:before="0"/>
        <w:rPr>
          <w:i w:val="0"/>
          <w:iCs w:val="0"/>
          <w:color w:val="auto"/>
        </w:rPr>
      </w:pPr>
      <w:r w:rsidRPr="00AE1BAD">
        <w:rPr>
          <w:color w:val="auto"/>
        </w:rPr>
        <w:t>m:</w:t>
      </w:r>
      <w:r w:rsidRPr="00AE1BAD">
        <w:rPr>
          <w:color w:val="auto"/>
        </w:rPr>
        <w:tab/>
      </w:r>
      <w:r w:rsidRPr="00123AA5">
        <w:rPr>
          <w:i w:val="0"/>
          <w:iCs w:val="0"/>
          <w:color w:val="auto"/>
        </w:rPr>
        <w:t>Número total de luminarias reportadas al registro de quejas y reclamos de alumbrado público del municipio o distrito para el período de remuneración.</w:t>
      </w:r>
    </w:p>
    <w:p w14:paraId="4344E89D" w14:textId="77777777" w:rsidR="00F5024B" w:rsidRPr="00123AA5" w:rsidRDefault="00F5024B" w:rsidP="00F5024B">
      <w:pPr>
        <w:spacing w:before="0"/>
        <w:rPr>
          <w:i w:val="0"/>
          <w:iCs w:val="0"/>
          <w:color w:val="auto"/>
        </w:rPr>
      </w:pPr>
      <w:r w:rsidRPr="00AE1BAD">
        <w:rPr>
          <w:color w:val="auto"/>
        </w:rPr>
        <w:t>WT:</w:t>
      </w:r>
      <w:r w:rsidRPr="00AE1BAD">
        <w:rPr>
          <w:color w:val="auto"/>
        </w:rPr>
        <w:tab/>
      </w:r>
      <w:r w:rsidRPr="00123AA5">
        <w:rPr>
          <w:i w:val="0"/>
          <w:iCs w:val="0"/>
          <w:color w:val="auto"/>
        </w:rPr>
        <w:t>Potencia total instalada en kW de las luminarias que componen el Sistema de Alumbrado Público de un municipio o distrito.</w:t>
      </w:r>
    </w:p>
    <w:p w14:paraId="459C9C36" w14:textId="77777777" w:rsidR="00F5024B" w:rsidRPr="00123AA5" w:rsidRDefault="00F5024B" w:rsidP="00F5024B">
      <w:pPr>
        <w:spacing w:before="0"/>
        <w:rPr>
          <w:i w:val="0"/>
          <w:iCs w:val="0"/>
          <w:color w:val="auto"/>
        </w:rPr>
      </w:pPr>
      <w:r w:rsidRPr="00AE1BAD">
        <w:rPr>
          <w:color w:val="auto"/>
        </w:rPr>
        <w:t xml:space="preserve">T: </w:t>
      </w:r>
      <w:r w:rsidRPr="00AE1BAD">
        <w:rPr>
          <w:color w:val="auto"/>
        </w:rPr>
        <w:tab/>
      </w:r>
      <w:r w:rsidRPr="00123AA5">
        <w:rPr>
          <w:i w:val="0"/>
          <w:iCs w:val="0"/>
          <w:color w:val="auto"/>
        </w:rPr>
        <w:t>Número de horas del período de facturación de las luminarias.</w:t>
      </w:r>
    </w:p>
    <w:p w14:paraId="2421A0E8" w14:textId="77777777" w:rsidR="00F5024B" w:rsidRPr="00706C6F" w:rsidRDefault="00F5024B" w:rsidP="00F5024B">
      <w:pPr>
        <w:spacing w:before="0" w:after="0"/>
        <w:rPr>
          <w:i w:val="0"/>
          <w:iCs w:val="0"/>
          <w:color w:val="auto"/>
        </w:rPr>
      </w:pPr>
    </w:p>
    <w:p w14:paraId="39269D3A" w14:textId="77777777" w:rsidR="00F5024B" w:rsidRPr="00706C6F" w:rsidRDefault="00F5024B" w:rsidP="00F5024B">
      <w:pPr>
        <w:spacing w:before="0" w:after="0"/>
        <w:ind w:left="0" w:firstLine="0"/>
        <w:rPr>
          <w:i w:val="0"/>
          <w:iCs w:val="0"/>
          <w:color w:val="auto"/>
        </w:rPr>
      </w:pPr>
      <w:r w:rsidRPr="00706C6F">
        <w:rPr>
          <w:i w:val="0"/>
          <w:iCs w:val="0"/>
          <w:color w:val="auto"/>
        </w:rPr>
        <w:t>De acuerdo con las condiciones generales de operación de las clases de iluminación de las vías vehiculares y de las vías para tráfico peatonal y ciclistas, las horas de prestación del servicio se establecen entre las 6 p.m. y las 6 a.m. El número de horas es igual a doce (12) horas/día.</w:t>
      </w:r>
    </w:p>
    <w:p w14:paraId="196A95B6" w14:textId="77777777" w:rsidR="00F5024B" w:rsidRPr="00706C6F" w:rsidRDefault="00F5024B" w:rsidP="00F5024B">
      <w:pPr>
        <w:spacing w:before="0" w:after="0"/>
        <w:ind w:left="0" w:firstLine="0"/>
        <w:rPr>
          <w:i w:val="0"/>
          <w:iCs w:val="0"/>
          <w:color w:val="auto"/>
        </w:rPr>
      </w:pPr>
    </w:p>
    <w:p w14:paraId="28FE2037" w14:textId="77777777" w:rsidR="00F5024B" w:rsidRPr="00706C6F" w:rsidRDefault="00F5024B" w:rsidP="00F5024B">
      <w:pPr>
        <w:spacing w:before="0"/>
        <w:ind w:left="0" w:firstLine="0"/>
        <w:rPr>
          <w:i w:val="0"/>
          <w:color w:val="auto"/>
        </w:rPr>
      </w:pPr>
      <w:r w:rsidRPr="00706C6F">
        <w:rPr>
          <w:i w:val="0"/>
          <w:iCs w:val="0"/>
          <w:color w:val="auto"/>
        </w:rPr>
        <w:t xml:space="preserve">Para la iluminación de otras áreas del espacio público a cargo del municipio, cuyas condiciones generales de operación son </w:t>
      </w:r>
      <w:r>
        <w:rPr>
          <w:i w:val="0"/>
          <w:iCs w:val="0"/>
          <w:color w:val="auto"/>
        </w:rPr>
        <w:t>diferent</w:t>
      </w:r>
      <w:r w:rsidRPr="00706C6F">
        <w:rPr>
          <w:i w:val="0"/>
          <w:iCs w:val="0"/>
          <w:color w:val="auto"/>
        </w:rPr>
        <w:t>es a las doce (12) horas/día, el municipio y/o distrito podrá pactar con la empresa comercializadora que suministre la energía eléctrica el número de horas/día correspondiente.</w:t>
      </w:r>
    </w:p>
    <w:p w14:paraId="3826A131" w14:textId="77777777" w:rsidR="00F5024B" w:rsidRPr="00706C6F" w:rsidRDefault="00F5024B" w:rsidP="00F5024B">
      <w:pPr>
        <w:spacing w:before="0" w:after="0"/>
        <w:ind w:left="0" w:firstLine="0"/>
        <w:rPr>
          <w:i w:val="0"/>
          <w:iCs w:val="0"/>
          <w:color w:val="auto"/>
        </w:rPr>
      </w:pPr>
      <w:r w:rsidRPr="00706C6F">
        <w:rPr>
          <w:b/>
          <w:i w:val="0"/>
          <w:iCs w:val="0"/>
          <w:color w:val="auto"/>
        </w:rPr>
        <w:t>Parágrafo 1.</w:t>
      </w:r>
      <w:r w:rsidRPr="00706C6F">
        <w:rPr>
          <w:b/>
          <w:i w:val="0"/>
          <w:iCs w:val="0"/>
          <w:color w:val="auto"/>
        </w:rPr>
        <w:tab/>
      </w:r>
      <w:r w:rsidRPr="00706C6F">
        <w:rPr>
          <w:i w:val="0"/>
          <w:iCs w:val="0"/>
          <w:color w:val="auto"/>
        </w:rPr>
        <w:t>El</w:t>
      </w:r>
      <w:r w:rsidRPr="00706C6F">
        <w:rPr>
          <w:b/>
          <w:i w:val="0"/>
          <w:iCs w:val="0"/>
          <w:color w:val="auto"/>
        </w:rPr>
        <w:t xml:space="preserve"> </w:t>
      </w:r>
      <w:r w:rsidRPr="00706C6F">
        <w:rPr>
          <w:i w:val="0"/>
          <w:iCs w:val="0"/>
          <w:color w:val="auto"/>
        </w:rPr>
        <w:t>Índice de disponibilidad del Sistema de Alumbrado Público se aplica cuando se presente cualquiera de los siguientes eventos:</w:t>
      </w:r>
    </w:p>
    <w:p w14:paraId="3D02AC05" w14:textId="77777777" w:rsidR="00F5024B" w:rsidRPr="00706C6F" w:rsidRDefault="00F5024B" w:rsidP="00F5024B">
      <w:pPr>
        <w:spacing w:before="0" w:after="0"/>
        <w:ind w:left="0" w:firstLine="0"/>
        <w:rPr>
          <w:i w:val="0"/>
          <w:iCs w:val="0"/>
          <w:color w:val="auto"/>
        </w:rPr>
      </w:pPr>
    </w:p>
    <w:p w14:paraId="2A8DFFC7" w14:textId="77777777" w:rsidR="00F5024B" w:rsidRPr="00706C6F" w:rsidRDefault="00F5024B" w:rsidP="00F5024B">
      <w:pPr>
        <w:pStyle w:val="Prrafodelista"/>
        <w:numPr>
          <w:ilvl w:val="0"/>
          <w:numId w:val="6"/>
        </w:numPr>
        <w:spacing w:before="0"/>
        <w:ind w:left="709" w:hanging="283"/>
        <w:rPr>
          <w:i w:val="0"/>
          <w:color w:val="auto"/>
          <w:sz w:val="24"/>
          <w:szCs w:val="24"/>
        </w:rPr>
      </w:pPr>
      <w:r w:rsidRPr="00706C6F">
        <w:rPr>
          <w:i w:val="0"/>
          <w:color w:val="auto"/>
          <w:sz w:val="24"/>
          <w:szCs w:val="24"/>
        </w:rPr>
        <w:t xml:space="preserve">La luminaria está apagada cuando debe estar prendida. </w:t>
      </w:r>
    </w:p>
    <w:p w14:paraId="249A4578" w14:textId="77777777" w:rsidR="00F5024B" w:rsidRPr="003B31CD" w:rsidRDefault="00F5024B" w:rsidP="00F5024B">
      <w:pPr>
        <w:pStyle w:val="Prrafodelista"/>
        <w:numPr>
          <w:ilvl w:val="0"/>
          <w:numId w:val="6"/>
        </w:numPr>
        <w:spacing w:before="0"/>
        <w:ind w:left="709" w:hanging="283"/>
        <w:rPr>
          <w:i w:val="0"/>
          <w:color w:val="auto"/>
          <w:sz w:val="24"/>
          <w:szCs w:val="24"/>
        </w:rPr>
      </w:pPr>
      <w:r w:rsidRPr="00E2791F">
        <w:rPr>
          <w:i w:val="0"/>
          <w:color w:val="auto"/>
          <w:sz w:val="24"/>
          <w:szCs w:val="24"/>
        </w:rPr>
        <w:t xml:space="preserve">Cuando funciona de manera intermitente o cuando su flujo luminoso es inferior al 70% del valor nominal (independientemente de la fuente luminosa utilizada), para cumplir con los parámetros de iluminación exigidos en </w:t>
      </w:r>
      <w:r>
        <w:rPr>
          <w:i w:val="0"/>
          <w:color w:val="auto"/>
          <w:sz w:val="24"/>
          <w:szCs w:val="24"/>
        </w:rPr>
        <w:t xml:space="preserve">la sección </w:t>
      </w:r>
      <w:r w:rsidRPr="00E2791F">
        <w:rPr>
          <w:i w:val="0"/>
          <w:color w:val="auto"/>
          <w:sz w:val="24"/>
          <w:szCs w:val="24"/>
        </w:rPr>
        <w:t xml:space="preserve">510.3 del </w:t>
      </w:r>
      <w:r>
        <w:rPr>
          <w:i w:val="0"/>
          <w:color w:val="auto"/>
          <w:sz w:val="24"/>
          <w:szCs w:val="24"/>
        </w:rPr>
        <w:t xml:space="preserve">RETILAP </w:t>
      </w:r>
      <w:r w:rsidRPr="00094C8C">
        <w:rPr>
          <w:bCs/>
          <w:i w:val="0"/>
          <w:color w:val="auto"/>
          <w:sz w:val="24"/>
          <w:szCs w:val="24"/>
          <w:lang w:val="es-ES_tradnl"/>
        </w:rPr>
        <w:t>o aquellos que la modifiquen, adicionen, sustituyan o complementen</w:t>
      </w:r>
      <w:r w:rsidRPr="00E2791F">
        <w:rPr>
          <w:i w:val="0"/>
          <w:color w:val="auto"/>
          <w:sz w:val="24"/>
          <w:szCs w:val="24"/>
        </w:rPr>
        <w:t>.</w:t>
      </w:r>
    </w:p>
    <w:p w14:paraId="4D67CDB5" w14:textId="77777777" w:rsidR="00F5024B" w:rsidRPr="003B31CD" w:rsidRDefault="00F5024B" w:rsidP="00F5024B">
      <w:pPr>
        <w:spacing w:before="0" w:after="0"/>
        <w:ind w:left="0" w:firstLine="0"/>
        <w:rPr>
          <w:i w:val="0"/>
          <w:iCs w:val="0"/>
          <w:color w:val="auto"/>
        </w:rPr>
      </w:pPr>
      <w:r w:rsidRPr="00EB0305">
        <w:rPr>
          <w:b/>
          <w:i w:val="0"/>
          <w:iCs w:val="0"/>
          <w:color w:val="auto"/>
        </w:rPr>
        <w:t>Parágrafo 2.</w:t>
      </w:r>
      <w:r w:rsidRPr="00EB0305">
        <w:rPr>
          <w:b/>
          <w:i w:val="0"/>
          <w:iCs w:val="0"/>
          <w:color w:val="auto"/>
        </w:rPr>
        <w:tab/>
      </w:r>
      <w:r w:rsidRPr="001F7168">
        <w:rPr>
          <w:i w:val="0"/>
          <w:iCs w:val="0"/>
          <w:color w:val="auto"/>
        </w:rPr>
        <w:t>El valor para compensar por las luminarias que no funcionan o funcionan deficientemente, se calcula con base e</w:t>
      </w:r>
      <w:r w:rsidRPr="00575277">
        <w:rPr>
          <w:i w:val="0"/>
          <w:color w:val="auto"/>
        </w:rPr>
        <w:t>n los reclamos reportados por los usuarios y en los reportes del interventor o aquellos reportados al SIAP</w:t>
      </w:r>
      <w:r w:rsidRPr="003B31CD">
        <w:rPr>
          <w:i w:val="0"/>
          <w:iCs w:val="0"/>
          <w:color w:val="auto"/>
        </w:rPr>
        <w:t>.</w:t>
      </w:r>
    </w:p>
    <w:p w14:paraId="224B6CAD" w14:textId="77777777" w:rsidR="00F5024B" w:rsidRPr="003B31CD" w:rsidRDefault="00F5024B" w:rsidP="00F5024B">
      <w:pPr>
        <w:spacing w:before="0" w:after="0"/>
        <w:ind w:left="0" w:firstLine="0"/>
        <w:rPr>
          <w:color w:val="auto"/>
        </w:rPr>
      </w:pPr>
    </w:p>
    <w:p w14:paraId="4294ED1C" w14:textId="77777777" w:rsidR="00F5024B" w:rsidRPr="00DB4920" w:rsidRDefault="00F5024B" w:rsidP="00F5024B">
      <w:pPr>
        <w:spacing w:before="0" w:after="0"/>
        <w:ind w:left="0" w:firstLine="0"/>
        <w:rPr>
          <w:i w:val="0"/>
          <w:color w:val="auto"/>
        </w:rPr>
      </w:pPr>
      <w:r w:rsidRPr="00DB4920">
        <w:rPr>
          <w:i w:val="0"/>
          <w:color w:val="auto"/>
        </w:rPr>
        <w:t xml:space="preserve">Para efectos de las compensaciones previstas en este artículo, no se tendrán en cuenta las interrupciones en el STN, STR, SDL previstos como exclusión de eventos definidos en el numeral 5.2.2 de la Resolución CREG 015 de 2018, o aquellas que la modifiquen, adicionen o </w:t>
      </w:r>
      <w:r>
        <w:rPr>
          <w:i w:val="0"/>
          <w:color w:val="auto"/>
        </w:rPr>
        <w:t>sustituyan</w:t>
      </w:r>
      <w:r w:rsidRPr="00DB4920">
        <w:rPr>
          <w:i w:val="0"/>
          <w:color w:val="auto"/>
        </w:rPr>
        <w:t>.</w:t>
      </w:r>
    </w:p>
    <w:p w14:paraId="665910DA" w14:textId="77777777" w:rsidR="00F5024B" w:rsidRPr="00DB4920" w:rsidRDefault="00F5024B" w:rsidP="00F5024B">
      <w:pPr>
        <w:spacing w:before="0" w:after="0"/>
        <w:ind w:left="0" w:firstLine="0"/>
        <w:rPr>
          <w:i w:val="0"/>
          <w:color w:val="auto"/>
        </w:rPr>
      </w:pPr>
    </w:p>
    <w:p w14:paraId="01E8788E" w14:textId="77777777" w:rsidR="00F5024B" w:rsidRPr="00DB4920" w:rsidRDefault="00F5024B" w:rsidP="00F5024B">
      <w:pPr>
        <w:spacing w:before="0"/>
        <w:ind w:left="0" w:firstLine="0"/>
        <w:rPr>
          <w:i w:val="0"/>
          <w:color w:val="auto"/>
        </w:rPr>
      </w:pPr>
      <w:r w:rsidRPr="00DB4920">
        <w:rPr>
          <w:i w:val="0"/>
          <w:color w:val="auto"/>
        </w:rPr>
        <w:t>Tampoco se tendrán en cuenta los actos de vandalismo, hurto, y, daños por choques de todo tipo de vehículos contra la infraestructura que comparta el alumbrado público, durante los cinco (5) días calendario siguientes al reporte de estos eventos al SIAP.</w:t>
      </w:r>
    </w:p>
    <w:p w14:paraId="4E658EA4" w14:textId="77777777" w:rsidR="00F5024B" w:rsidRPr="009645C6" w:rsidRDefault="00F5024B" w:rsidP="00F5024B">
      <w:pPr>
        <w:spacing w:before="0"/>
        <w:ind w:left="0" w:firstLine="0"/>
        <w:rPr>
          <w:i w:val="0"/>
          <w:color w:val="auto"/>
        </w:rPr>
      </w:pPr>
      <w:r w:rsidRPr="009645C6">
        <w:rPr>
          <w:b/>
          <w:i w:val="0"/>
          <w:color w:val="auto"/>
        </w:rPr>
        <w:t>Parágrafo 3.</w:t>
      </w:r>
      <w:r w:rsidRPr="009645C6">
        <w:rPr>
          <w:b/>
          <w:i w:val="0"/>
          <w:color w:val="auto"/>
        </w:rPr>
        <w:tab/>
      </w:r>
      <w:r w:rsidRPr="009645C6">
        <w:rPr>
          <w:i w:val="0"/>
          <w:color w:val="auto"/>
        </w:rPr>
        <w:t xml:space="preserve">Las compensaciones por indisponibilidad de la infraestructura del Sistema de Alumbrado Público serán descontadas de la remuneración del </w:t>
      </w:r>
      <w:r>
        <w:rPr>
          <w:i w:val="0"/>
          <w:color w:val="auto"/>
        </w:rPr>
        <w:t>prestador</w:t>
      </w:r>
      <w:r w:rsidRPr="009645C6">
        <w:rPr>
          <w:i w:val="0"/>
          <w:color w:val="auto"/>
        </w:rPr>
        <w:t xml:space="preserve"> del </w:t>
      </w:r>
      <w:r>
        <w:rPr>
          <w:i w:val="0"/>
          <w:color w:val="auto"/>
        </w:rPr>
        <w:t>s</w:t>
      </w:r>
      <w:r w:rsidRPr="009645C6">
        <w:rPr>
          <w:i w:val="0"/>
          <w:color w:val="auto"/>
        </w:rPr>
        <w:t xml:space="preserve">ervicio de </w:t>
      </w:r>
      <w:r>
        <w:rPr>
          <w:i w:val="0"/>
          <w:color w:val="auto"/>
        </w:rPr>
        <w:t>a</w:t>
      </w:r>
      <w:r w:rsidRPr="009645C6">
        <w:rPr>
          <w:i w:val="0"/>
          <w:color w:val="auto"/>
        </w:rPr>
        <w:t xml:space="preserve">lumbrado </w:t>
      </w:r>
      <w:r>
        <w:rPr>
          <w:i w:val="0"/>
          <w:color w:val="auto"/>
        </w:rPr>
        <w:t>p</w:t>
      </w:r>
      <w:r w:rsidRPr="009645C6">
        <w:rPr>
          <w:i w:val="0"/>
          <w:color w:val="auto"/>
        </w:rPr>
        <w:t xml:space="preserve">úblico. </w:t>
      </w:r>
    </w:p>
    <w:p w14:paraId="291E061E" w14:textId="77777777" w:rsidR="00F5024B" w:rsidRDefault="00F5024B" w:rsidP="00F5024B">
      <w:pPr>
        <w:pStyle w:val="Artculo1"/>
        <w:keepNext w:val="0"/>
        <w:spacing w:before="0" w:after="0"/>
        <w:ind w:left="0" w:firstLine="0"/>
        <w:rPr>
          <w:b w:val="0"/>
          <w:bCs w:val="0"/>
          <w:i w:val="0"/>
          <w:iCs w:val="0"/>
          <w:color w:val="auto"/>
        </w:rPr>
      </w:pPr>
      <w:r w:rsidRPr="424DE6E4">
        <w:rPr>
          <w:i w:val="0"/>
          <w:iCs w:val="0"/>
          <w:color w:val="auto"/>
        </w:rPr>
        <w:t>Costo Máximo de la Vida Útil Remanente de lo</w:t>
      </w:r>
      <w:r w:rsidRPr="00A673F4">
        <w:rPr>
          <w:i w:val="0"/>
          <w:iCs w:val="0"/>
          <w:color w:val="auto"/>
          <w:lang w:val="es-ES"/>
        </w:rPr>
        <w:t>s</w:t>
      </w:r>
      <w:r w:rsidRPr="424DE6E4">
        <w:rPr>
          <w:b w:val="0"/>
          <w:bCs w:val="0"/>
          <w:i w:val="0"/>
          <w:iCs w:val="0"/>
          <w:color w:val="auto"/>
          <w:lang w:val="es-ES"/>
        </w:rPr>
        <w:t xml:space="preserve"> </w:t>
      </w:r>
      <w:r w:rsidRPr="424DE6E4">
        <w:rPr>
          <w:i w:val="0"/>
          <w:iCs w:val="0"/>
          <w:color w:val="auto"/>
          <w:lang w:val="es-ES"/>
        </w:rPr>
        <w:t>Activos del Sistema de Alumbrado Público.</w:t>
      </w:r>
      <w:r w:rsidRPr="424DE6E4">
        <w:rPr>
          <w:color w:val="auto"/>
          <w:lang w:val="es-ES"/>
        </w:rPr>
        <w:t xml:space="preserve"> </w:t>
      </w:r>
      <w:r w:rsidRPr="424DE6E4">
        <w:rPr>
          <w:b w:val="0"/>
          <w:bCs w:val="0"/>
          <w:i w:val="0"/>
          <w:iCs w:val="0"/>
          <w:color w:val="auto"/>
        </w:rPr>
        <w:t xml:space="preserve">El costo máximo de la vida útil remanente de </w:t>
      </w:r>
      <w:r w:rsidRPr="424DE6E4">
        <w:rPr>
          <w:b w:val="0"/>
          <w:bCs w:val="0"/>
          <w:i w:val="0"/>
          <w:iCs w:val="0"/>
          <w:color w:val="auto"/>
        </w:rPr>
        <w:lastRenderedPageBreak/>
        <w:t xml:space="preserve">los activos que no se remuneran en su totalidad al finalizar el contrato que se suscriba para la </w:t>
      </w:r>
      <w:r>
        <w:rPr>
          <w:b w:val="0"/>
          <w:bCs w:val="0"/>
          <w:i w:val="0"/>
          <w:iCs w:val="0"/>
          <w:color w:val="auto"/>
        </w:rPr>
        <w:t>i</w:t>
      </w:r>
      <w:r w:rsidRPr="424DE6E4">
        <w:rPr>
          <w:b w:val="0"/>
          <w:bCs w:val="0"/>
          <w:i w:val="0"/>
          <w:iCs w:val="0"/>
          <w:color w:val="auto"/>
        </w:rPr>
        <w:t>nversión, se determina así:</w:t>
      </w:r>
    </w:p>
    <w:p w14:paraId="7FDD83E3" w14:textId="77777777" w:rsidR="00F5024B" w:rsidRDefault="00F5024B" w:rsidP="00F5024B">
      <w:pPr>
        <w:pStyle w:val="Artculo1"/>
        <w:keepNext w:val="0"/>
        <w:numPr>
          <w:ilvl w:val="0"/>
          <w:numId w:val="0"/>
        </w:numPr>
        <w:spacing w:before="0" w:after="0"/>
        <w:ind w:left="4188" w:hanging="360"/>
        <w:rPr>
          <w:b w:val="0"/>
          <w:bCs w:val="0"/>
          <w:i w:val="0"/>
          <w:iCs w:val="0"/>
          <w:color w:val="auto"/>
        </w:rPr>
      </w:pPr>
    </w:p>
    <w:p w14:paraId="7019973E" w14:textId="77777777" w:rsidR="00F5024B" w:rsidRPr="003B31CD" w:rsidRDefault="00F5024B" w:rsidP="00F5024B">
      <w:pPr>
        <w:spacing w:before="0" w:after="0"/>
        <w:ind w:left="0" w:firstLine="0"/>
        <w:rPr>
          <w:color w:val="auto"/>
        </w:rPr>
      </w:pPr>
      <m:oMathPara>
        <m:oMath>
          <m:r>
            <w:rPr>
              <w:rFonts w:ascii="Cambria Math" w:hAnsi="Cambria Math"/>
              <w:color w:val="auto"/>
            </w:rPr>
            <m:t>CVURA=</m:t>
          </m:r>
          <m:nary>
            <m:naryPr>
              <m:chr m:val="∑"/>
              <m:grow m:val="1"/>
              <m:ctrlPr>
                <w:rPr>
                  <w:rFonts w:ascii="Cambria Math" w:hAnsi="Cambria Math"/>
                  <w:color w:val="auto"/>
                </w:rPr>
              </m:ctrlPr>
            </m:naryPr>
            <m:sub>
              <m:r>
                <w:rPr>
                  <w:rFonts w:ascii="Cambria Math" w:hAnsi="Cambria Math"/>
                  <w:color w:val="auto"/>
                </w:rPr>
                <m:t>i=1</m:t>
              </m:r>
            </m:sub>
            <m:sup>
              <m:r>
                <w:rPr>
                  <w:rFonts w:ascii="Cambria Math" w:hAnsi="Cambria Math"/>
                  <w:color w:val="auto"/>
                </w:rPr>
                <m:t>NR</m:t>
              </m:r>
            </m:sup>
            <m:e>
              <m:d>
                <m:dPr>
                  <m:ctrlPr>
                    <w:rPr>
                      <w:rFonts w:ascii="Cambria Math" w:hAnsi="Cambria Math"/>
                      <w:color w:val="auto"/>
                    </w:rPr>
                  </m:ctrlPr>
                </m:dPr>
                <m:e>
                  <m:sSub>
                    <m:sSubPr>
                      <m:ctrlPr>
                        <w:rPr>
                          <w:rFonts w:ascii="Cambria Math" w:hAnsi="Cambria Math"/>
                          <w:color w:val="auto"/>
                        </w:rPr>
                      </m:ctrlPr>
                    </m:sSubPr>
                    <m:e>
                      <m:r>
                        <w:rPr>
                          <w:rFonts w:ascii="Cambria Math" w:eastAsia="Cambria Math" w:hAnsi="Cambria Math" w:cs="Cambria Math"/>
                          <w:color w:val="auto"/>
                        </w:rPr>
                        <m:t>CVURAE</m:t>
                      </m:r>
                    </m:e>
                    <m:sub>
                      <m:r>
                        <w:rPr>
                          <w:rFonts w:ascii="Cambria Math" w:eastAsia="Cambria Math" w:hAnsi="Cambria Math" w:cs="Cambria Math"/>
                          <w:color w:val="auto"/>
                        </w:rPr>
                        <m:t>i</m:t>
                      </m:r>
                    </m:sub>
                  </m:sSub>
                </m:e>
              </m:d>
            </m:e>
          </m:nary>
          <m:r>
            <w:rPr>
              <w:rFonts w:ascii="Cambria Math" w:hAnsi="Cambria Math"/>
              <w:color w:val="auto"/>
            </w:rPr>
            <m:t>+</m:t>
          </m:r>
          <m:nary>
            <m:naryPr>
              <m:chr m:val="∑"/>
              <m:grow m:val="1"/>
              <m:ctrlPr>
                <w:rPr>
                  <w:rFonts w:ascii="Cambria Math" w:hAnsi="Cambria Math"/>
                  <w:color w:val="auto"/>
                </w:rPr>
              </m:ctrlPr>
            </m:naryPr>
            <m:sub>
              <m:r>
                <w:rPr>
                  <w:rFonts w:ascii="Cambria Math" w:hAnsi="Cambria Math"/>
                  <w:color w:val="auto"/>
                </w:rPr>
                <m:t>j=1</m:t>
              </m:r>
            </m:sub>
            <m:sup>
              <m:r>
                <w:rPr>
                  <w:rFonts w:ascii="Cambria Math" w:hAnsi="Cambria Math"/>
                  <w:color w:val="auto"/>
                </w:rPr>
                <m:t>NS</m:t>
              </m:r>
            </m:sup>
            <m:e>
              <m:d>
                <m:dPr>
                  <m:ctrlPr>
                    <w:rPr>
                      <w:rFonts w:ascii="Cambria Math" w:hAnsi="Cambria Math"/>
                      <w:color w:val="auto"/>
                    </w:rPr>
                  </m:ctrlPr>
                </m:dPr>
                <m:e>
                  <m:sSub>
                    <m:sSubPr>
                      <m:ctrlPr>
                        <w:rPr>
                          <w:rFonts w:ascii="Cambria Math" w:hAnsi="Cambria Math"/>
                          <w:color w:val="auto"/>
                        </w:rPr>
                      </m:ctrlPr>
                    </m:sSubPr>
                    <m:e>
                      <m:r>
                        <w:rPr>
                          <w:rFonts w:ascii="Cambria Math" w:eastAsia="Cambria Math" w:hAnsi="Cambria Math" w:cs="Cambria Math"/>
                          <w:color w:val="auto"/>
                        </w:rPr>
                        <m:t>CVRT</m:t>
                      </m:r>
                    </m:e>
                    <m:sub>
                      <m:r>
                        <w:rPr>
                          <w:rFonts w:ascii="Cambria Math" w:eastAsia="Cambria Math" w:hAnsi="Cambria Math" w:cs="Cambria Math"/>
                          <w:color w:val="auto"/>
                        </w:rPr>
                        <m:t>j</m:t>
                      </m:r>
                    </m:sub>
                  </m:sSub>
                </m:e>
              </m:d>
            </m:e>
          </m:nary>
          <m:r>
            <w:rPr>
              <w:rFonts w:ascii="Cambria Math" w:hAnsi="Cambria Math"/>
              <w:color w:val="auto"/>
            </w:rPr>
            <m:t>+ CVURANE</m:t>
          </m:r>
        </m:oMath>
      </m:oMathPara>
    </w:p>
    <w:p w14:paraId="20CC286D" w14:textId="77777777" w:rsidR="00F5024B" w:rsidRPr="003B31CD" w:rsidRDefault="00F5024B" w:rsidP="00F5024B">
      <w:pPr>
        <w:spacing w:before="0" w:after="0"/>
        <w:rPr>
          <w:color w:val="auto"/>
        </w:rPr>
      </w:pPr>
    </w:p>
    <w:p w14:paraId="53379DA9" w14:textId="77777777" w:rsidR="00F5024B" w:rsidRPr="001D2F92" w:rsidRDefault="00F5024B" w:rsidP="00F5024B">
      <w:pPr>
        <w:spacing w:before="0" w:after="0"/>
        <w:rPr>
          <w:color w:val="auto"/>
        </w:rPr>
      </w:pPr>
      <w:r w:rsidRPr="001D2F92">
        <w:rPr>
          <w:color w:val="auto"/>
        </w:rPr>
        <w:t>Donde:</w:t>
      </w:r>
    </w:p>
    <w:p w14:paraId="17A841DA" w14:textId="77777777" w:rsidR="00F5024B" w:rsidRPr="009645C6" w:rsidRDefault="00F5024B" w:rsidP="00F5024B">
      <w:pPr>
        <w:spacing w:before="0" w:after="0"/>
        <w:rPr>
          <w:i w:val="0"/>
          <w:iCs w:val="0"/>
          <w:color w:val="auto"/>
        </w:rPr>
      </w:pPr>
    </w:p>
    <w:p w14:paraId="2CF2F96D" w14:textId="77777777" w:rsidR="00F5024B" w:rsidRPr="00F304FE" w:rsidRDefault="00F5024B" w:rsidP="00F5024B">
      <w:pPr>
        <w:spacing w:before="0"/>
        <w:rPr>
          <w:i w:val="0"/>
          <w:iCs w:val="0"/>
          <w:color w:val="auto"/>
        </w:rPr>
      </w:pPr>
      <w:r w:rsidRPr="00AE1BAD">
        <w:rPr>
          <w:color w:val="auto"/>
        </w:rPr>
        <w:t>CVURA:</w:t>
      </w:r>
      <w:r w:rsidRPr="00AE1BAD">
        <w:rPr>
          <w:color w:val="auto"/>
        </w:rPr>
        <w:tab/>
      </w:r>
      <w:r w:rsidRPr="00F304FE">
        <w:rPr>
          <w:i w:val="0"/>
          <w:iCs w:val="0"/>
          <w:color w:val="auto"/>
        </w:rPr>
        <w:t xml:space="preserve">Costo máximo a remunerar por la vida útil remanente de los activos del SALP en pesos </w:t>
      </w:r>
      <w:r w:rsidRPr="00374E5D">
        <w:rPr>
          <w:i w:val="0"/>
          <w:iCs w:val="0"/>
          <w:color w:val="auto"/>
        </w:rPr>
        <w:t>correspondientes a la fecha de referencia</w:t>
      </w:r>
      <w:r>
        <w:rPr>
          <w:i w:val="0"/>
          <w:iCs w:val="0"/>
          <w:color w:val="auto"/>
        </w:rPr>
        <w:t>.</w:t>
      </w:r>
      <w:r w:rsidRPr="00374E5D">
        <w:rPr>
          <w:i w:val="0"/>
          <w:iCs w:val="0"/>
          <w:color w:val="auto"/>
        </w:rPr>
        <w:t xml:space="preserve"> </w:t>
      </w:r>
    </w:p>
    <w:p w14:paraId="00578B0A" w14:textId="77777777" w:rsidR="00F5024B" w:rsidRPr="00AE1BAD" w:rsidRDefault="00F5024B" w:rsidP="00F5024B">
      <w:pPr>
        <w:spacing w:before="0"/>
        <w:rPr>
          <w:color w:val="auto"/>
        </w:rPr>
      </w:pPr>
      <w:proofErr w:type="spellStart"/>
      <w:r w:rsidRPr="00AE1BAD">
        <w:rPr>
          <w:color w:val="auto"/>
        </w:rPr>
        <w:t>CVURAEi</w:t>
      </w:r>
      <w:proofErr w:type="spellEnd"/>
      <w:r w:rsidRPr="00AE1BAD">
        <w:rPr>
          <w:color w:val="auto"/>
        </w:rPr>
        <w:t>:</w:t>
      </w:r>
      <w:r w:rsidRPr="00AE1BAD">
        <w:rPr>
          <w:color w:val="auto"/>
        </w:rPr>
        <w:tab/>
      </w:r>
      <w:r w:rsidRPr="00F304FE">
        <w:rPr>
          <w:i w:val="0"/>
          <w:iCs w:val="0"/>
          <w:color w:val="auto"/>
        </w:rPr>
        <w:t xml:space="preserve">Costo máximo de la vida útil remanente del activo </w:t>
      </w:r>
      <w:r>
        <w:rPr>
          <w:i w:val="0"/>
          <w:iCs w:val="0"/>
          <w:color w:val="auto"/>
        </w:rPr>
        <w:t xml:space="preserve">eléctrico </w:t>
      </w:r>
      <w:r w:rsidRPr="00F304FE">
        <w:rPr>
          <w:i w:val="0"/>
          <w:iCs w:val="0"/>
          <w:color w:val="auto"/>
        </w:rPr>
        <w:t xml:space="preserve">i en pesos </w:t>
      </w:r>
      <w:r w:rsidRPr="00374E5D">
        <w:rPr>
          <w:i w:val="0"/>
          <w:iCs w:val="0"/>
          <w:color w:val="auto"/>
        </w:rPr>
        <w:t>correspondientes a la fecha de referencia</w:t>
      </w:r>
      <w:r w:rsidRPr="00F304FE">
        <w:rPr>
          <w:i w:val="0"/>
          <w:iCs w:val="0"/>
          <w:color w:val="auto"/>
        </w:rPr>
        <w:t>.</w:t>
      </w:r>
    </w:p>
    <w:p w14:paraId="397DBA34" w14:textId="77777777" w:rsidR="00F5024B" w:rsidRPr="00F304FE" w:rsidRDefault="00F5024B" w:rsidP="00F5024B">
      <w:pPr>
        <w:spacing w:before="0"/>
        <w:rPr>
          <w:i w:val="0"/>
          <w:iCs w:val="0"/>
          <w:color w:val="auto"/>
        </w:rPr>
      </w:pPr>
      <w:r w:rsidRPr="00AE1BAD">
        <w:rPr>
          <w:color w:val="auto"/>
        </w:rPr>
        <w:t>NR:</w:t>
      </w:r>
      <w:r w:rsidRPr="00AE1BAD">
        <w:rPr>
          <w:color w:val="auto"/>
        </w:rPr>
        <w:tab/>
      </w:r>
      <w:r w:rsidRPr="00F304FE">
        <w:rPr>
          <w:i w:val="0"/>
          <w:iCs w:val="0"/>
          <w:color w:val="auto"/>
        </w:rPr>
        <w:t>Número total de activos construidos por el prestador de la Inversión, con vida útil remanente diferente de cero.</w:t>
      </w:r>
    </w:p>
    <w:p w14:paraId="275D1FE1" w14:textId="77777777" w:rsidR="00F5024B" w:rsidRPr="00F304FE" w:rsidRDefault="00F5024B" w:rsidP="00F5024B">
      <w:pPr>
        <w:spacing w:before="0"/>
        <w:rPr>
          <w:i w:val="0"/>
          <w:iCs w:val="0"/>
          <w:color w:val="auto"/>
        </w:rPr>
      </w:pPr>
      <w:proofErr w:type="spellStart"/>
      <w:r w:rsidRPr="00AE1BAD">
        <w:rPr>
          <w:color w:val="auto"/>
        </w:rPr>
        <w:t>CVRTj</w:t>
      </w:r>
      <w:proofErr w:type="spellEnd"/>
      <w:r w:rsidRPr="00AE1BAD">
        <w:rPr>
          <w:color w:val="auto"/>
        </w:rPr>
        <w:t>:</w:t>
      </w:r>
      <w:r w:rsidRPr="00AE1BAD">
        <w:rPr>
          <w:color w:val="auto"/>
        </w:rPr>
        <w:tab/>
      </w:r>
      <w:r w:rsidRPr="00F304FE">
        <w:rPr>
          <w:i w:val="0"/>
          <w:iCs w:val="0"/>
          <w:color w:val="auto"/>
        </w:rPr>
        <w:t xml:space="preserve">Fracción del costo máximo del terreno de la subestación j no remunerada en pesos </w:t>
      </w:r>
      <w:r w:rsidRPr="00374E5D">
        <w:rPr>
          <w:i w:val="0"/>
          <w:iCs w:val="0"/>
          <w:color w:val="auto"/>
        </w:rPr>
        <w:t>correspondientes a la fecha de referencia</w:t>
      </w:r>
      <w:r>
        <w:rPr>
          <w:i w:val="0"/>
          <w:iCs w:val="0"/>
          <w:color w:val="auto"/>
        </w:rPr>
        <w:t>.</w:t>
      </w:r>
      <w:r w:rsidRPr="00374E5D">
        <w:rPr>
          <w:i w:val="0"/>
          <w:iCs w:val="0"/>
          <w:color w:val="auto"/>
        </w:rPr>
        <w:t xml:space="preserve"> </w:t>
      </w:r>
    </w:p>
    <w:p w14:paraId="3A9CCB70" w14:textId="77777777" w:rsidR="00F5024B" w:rsidRPr="00F304FE" w:rsidRDefault="00F5024B" w:rsidP="00F5024B">
      <w:pPr>
        <w:spacing w:before="0"/>
        <w:rPr>
          <w:i w:val="0"/>
          <w:iCs w:val="0"/>
          <w:color w:val="auto"/>
        </w:rPr>
      </w:pPr>
      <w:r w:rsidRPr="00AE1BAD">
        <w:rPr>
          <w:color w:val="auto"/>
        </w:rPr>
        <w:t>NS:</w:t>
      </w:r>
      <w:r w:rsidRPr="00AE1BAD">
        <w:rPr>
          <w:color w:val="auto"/>
        </w:rPr>
        <w:tab/>
      </w:r>
      <w:r w:rsidRPr="00F304FE">
        <w:rPr>
          <w:i w:val="0"/>
          <w:iCs w:val="0"/>
          <w:color w:val="auto"/>
        </w:rPr>
        <w:t>Número total de subestaciones cuyo terreno no se ha terminado de remunerar.</w:t>
      </w:r>
    </w:p>
    <w:p w14:paraId="2C355337" w14:textId="77777777" w:rsidR="00F5024B" w:rsidRPr="00F304FE" w:rsidRDefault="00F5024B" w:rsidP="00F5024B">
      <w:pPr>
        <w:spacing w:before="0" w:after="0"/>
        <w:rPr>
          <w:i w:val="0"/>
          <w:iCs w:val="0"/>
          <w:color w:val="auto"/>
        </w:rPr>
      </w:pPr>
      <w:r w:rsidRPr="00AE1BAD">
        <w:rPr>
          <w:color w:val="auto"/>
          <w:lang w:eastAsia="en-US"/>
        </w:rPr>
        <w:t>CVURANE:</w:t>
      </w:r>
      <w:r w:rsidRPr="00AE1BAD">
        <w:rPr>
          <w:color w:val="auto"/>
          <w:lang w:eastAsia="en-US"/>
        </w:rPr>
        <w:tab/>
      </w:r>
      <w:r w:rsidRPr="00F304FE">
        <w:rPr>
          <w:i w:val="0"/>
          <w:iCs w:val="0"/>
          <w:color w:val="auto"/>
          <w:lang w:eastAsia="en-US"/>
        </w:rPr>
        <w:t xml:space="preserve">Costo máximo de la vida útil remanente de los activos no eléctricos en pesos </w:t>
      </w:r>
      <w:r w:rsidRPr="00374E5D">
        <w:rPr>
          <w:i w:val="0"/>
          <w:iCs w:val="0"/>
          <w:color w:val="auto"/>
          <w:lang w:eastAsia="en-US"/>
        </w:rPr>
        <w:t>correspondientes a la fecha de referencia</w:t>
      </w:r>
      <w:r>
        <w:rPr>
          <w:i w:val="0"/>
          <w:iCs w:val="0"/>
          <w:color w:val="auto"/>
          <w:lang w:eastAsia="en-US"/>
        </w:rPr>
        <w:t>.</w:t>
      </w:r>
      <w:r w:rsidRPr="00374E5D">
        <w:rPr>
          <w:i w:val="0"/>
          <w:iCs w:val="0"/>
          <w:color w:val="auto"/>
          <w:lang w:eastAsia="en-US"/>
        </w:rPr>
        <w:t xml:space="preserve"> </w:t>
      </w:r>
    </w:p>
    <w:p w14:paraId="14C6426B" w14:textId="77777777" w:rsidR="00F5024B" w:rsidRPr="009645C6" w:rsidRDefault="00F5024B" w:rsidP="00F5024B">
      <w:pPr>
        <w:spacing w:before="0" w:after="0"/>
        <w:rPr>
          <w:color w:val="auto"/>
        </w:rPr>
      </w:pPr>
    </w:p>
    <w:p w14:paraId="14EEC9C2" w14:textId="77777777" w:rsidR="00F5024B" w:rsidRPr="009645C6" w:rsidRDefault="00F5024B" w:rsidP="00F5024B">
      <w:pPr>
        <w:spacing w:before="0" w:after="0"/>
        <w:ind w:left="0" w:firstLine="0"/>
        <w:rPr>
          <w:i w:val="0"/>
          <w:iCs w:val="0"/>
          <w:color w:val="auto"/>
        </w:rPr>
      </w:pPr>
      <w:r w:rsidRPr="009645C6">
        <w:rPr>
          <w:b/>
          <w:i w:val="0"/>
          <w:iCs w:val="0"/>
          <w:color w:val="auto"/>
        </w:rPr>
        <w:t>Parágrafo 1.</w:t>
      </w:r>
      <w:r w:rsidRPr="009645C6">
        <w:rPr>
          <w:b/>
          <w:i w:val="0"/>
          <w:iCs w:val="0"/>
          <w:color w:val="auto"/>
        </w:rPr>
        <w:tab/>
      </w:r>
      <w:r w:rsidRPr="009645C6">
        <w:rPr>
          <w:i w:val="0"/>
          <w:iCs w:val="0"/>
          <w:color w:val="auto"/>
        </w:rPr>
        <w:t>Solamente se remunerará la vida remanente de aquellos activos eléctricos, terrenos de subestaciones y activos no eléctricos reportados por el prestador de</w:t>
      </w:r>
      <w:r>
        <w:rPr>
          <w:i w:val="0"/>
          <w:iCs w:val="0"/>
          <w:color w:val="auto"/>
        </w:rPr>
        <w:t xml:space="preserve">l servicio </w:t>
      </w:r>
      <w:r w:rsidRPr="009645C6">
        <w:rPr>
          <w:i w:val="0"/>
          <w:iCs w:val="0"/>
          <w:color w:val="auto"/>
        </w:rPr>
        <w:t>al SIAP.</w:t>
      </w:r>
    </w:p>
    <w:p w14:paraId="27BEC483" w14:textId="77777777" w:rsidR="00F5024B" w:rsidRPr="009645C6" w:rsidRDefault="00F5024B" w:rsidP="00F5024B">
      <w:pPr>
        <w:spacing w:before="0" w:after="0"/>
        <w:ind w:left="0" w:firstLine="0"/>
        <w:rPr>
          <w:i w:val="0"/>
          <w:iCs w:val="0"/>
          <w:color w:val="auto"/>
        </w:rPr>
      </w:pPr>
    </w:p>
    <w:p w14:paraId="5C858F6F" w14:textId="77777777" w:rsidR="00F5024B" w:rsidRPr="009645C6" w:rsidRDefault="00F5024B" w:rsidP="00F5024B">
      <w:pPr>
        <w:pStyle w:val="Textoindependiente"/>
        <w:spacing w:before="0"/>
        <w:ind w:left="0" w:firstLine="0"/>
        <w:jc w:val="both"/>
        <w:rPr>
          <w:rFonts w:ascii="Bookman Old Style" w:hAnsi="Bookman Old Style"/>
          <w:b w:val="0"/>
          <w:bCs w:val="0"/>
          <w:i w:val="0"/>
          <w:iCs w:val="0"/>
          <w:color w:val="auto"/>
          <w:lang w:eastAsia="en-US"/>
        </w:rPr>
      </w:pPr>
      <w:r w:rsidRPr="009645C6">
        <w:rPr>
          <w:rFonts w:ascii="Bookman Old Style" w:hAnsi="Bookman Old Style"/>
          <w:b w:val="0"/>
          <w:bCs w:val="0"/>
          <w:i w:val="0"/>
          <w:iCs w:val="0"/>
          <w:color w:val="auto"/>
        </w:rPr>
        <w:t xml:space="preserve">Para el cálculo del </w:t>
      </w:r>
      <w:r w:rsidRPr="009645C6">
        <w:rPr>
          <w:rFonts w:ascii="Bookman Old Style" w:hAnsi="Bookman Old Style"/>
          <w:b w:val="0"/>
          <w:bCs w:val="0"/>
          <w:i w:val="0"/>
          <w:iCs w:val="0"/>
          <w:color w:val="auto"/>
          <w:lang w:eastAsia="en-US"/>
        </w:rPr>
        <w:t xml:space="preserve">costo máximo de la vida útil remanente de los activos no eléctricos se incluye el valor de los activos de propiedad del municipio y/o </w:t>
      </w:r>
      <w:proofErr w:type="gramStart"/>
      <w:r w:rsidRPr="009645C6">
        <w:rPr>
          <w:rFonts w:ascii="Bookman Old Style" w:hAnsi="Bookman Old Style"/>
          <w:b w:val="0"/>
          <w:bCs w:val="0"/>
          <w:i w:val="0"/>
          <w:iCs w:val="0"/>
          <w:color w:val="auto"/>
          <w:lang w:eastAsia="en-US"/>
        </w:rPr>
        <w:t>distrito entregados</w:t>
      </w:r>
      <w:proofErr w:type="gramEnd"/>
      <w:r w:rsidRPr="009645C6">
        <w:rPr>
          <w:rFonts w:ascii="Bookman Old Style" w:hAnsi="Bookman Old Style"/>
          <w:b w:val="0"/>
          <w:bCs w:val="0"/>
          <w:i w:val="0"/>
          <w:iCs w:val="0"/>
          <w:color w:val="auto"/>
          <w:lang w:eastAsia="en-US"/>
        </w:rPr>
        <w:t xml:space="preserve"> al prestador de</w:t>
      </w:r>
      <w:r>
        <w:rPr>
          <w:rFonts w:ascii="Bookman Old Style" w:hAnsi="Bookman Old Style"/>
          <w:b w:val="0"/>
          <w:bCs w:val="0"/>
          <w:i w:val="0"/>
          <w:iCs w:val="0"/>
          <w:color w:val="auto"/>
          <w:lang w:eastAsia="en-US"/>
        </w:rPr>
        <w:t>l servicio</w:t>
      </w:r>
      <w:r w:rsidRPr="009645C6">
        <w:rPr>
          <w:rFonts w:ascii="Bookman Old Style" w:hAnsi="Bookman Old Style"/>
          <w:b w:val="0"/>
          <w:bCs w:val="0"/>
          <w:i w:val="0"/>
          <w:iCs w:val="0"/>
          <w:color w:val="auto"/>
          <w:lang w:eastAsia="en-US"/>
        </w:rPr>
        <w:t xml:space="preserve"> de </w:t>
      </w:r>
      <w:r>
        <w:rPr>
          <w:rFonts w:ascii="Bookman Old Style" w:hAnsi="Bookman Old Style"/>
          <w:b w:val="0"/>
          <w:bCs w:val="0"/>
          <w:i w:val="0"/>
          <w:iCs w:val="0"/>
          <w:color w:val="auto"/>
          <w:lang w:eastAsia="en-US"/>
        </w:rPr>
        <w:t>a</w:t>
      </w:r>
      <w:r w:rsidRPr="009645C6">
        <w:rPr>
          <w:rFonts w:ascii="Bookman Old Style" w:hAnsi="Bookman Old Style"/>
          <w:b w:val="0"/>
          <w:bCs w:val="0"/>
          <w:i w:val="0"/>
          <w:iCs w:val="0"/>
          <w:color w:val="auto"/>
          <w:lang w:eastAsia="en-US"/>
        </w:rPr>
        <w:t xml:space="preserve">lumbrado </w:t>
      </w:r>
      <w:r>
        <w:rPr>
          <w:rFonts w:ascii="Bookman Old Style" w:hAnsi="Bookman Old Style"/>
          <w:b w:val="0"/>
          <w:bCs w:val="0"/>
          <w:i w:val="0"/>
          <w:iCs w:val="0"/>
          <w:color w:val="auto"/>
          <w:lang w:eastAsia="en-US"/>
        </w:rPr>
        <w:t>p</w:t>
      </w:r>
      <w:r w:rsidRPr="009645C6">
        <w:rPr>
          <w:rFonts w:ascii="Bookman Old Style" w:hAnsi="Bookman Old Style"/>
          <w:b w:val="0"/>
          <w:bCs w:val="0"/>
          <w:i w:val="0"/>
          <w:iCs w:val="0"/>
          <w:color w:val="auto"/>
          <w:lang w:eastAsia="en-US"/>
        </w:rPr>
        <w:t xml:space="preserve">úblico y los activos nuevos, resultado de la expansión, modernización y reposición efectuadas por el </w:t>
      </w:r>
      <w:r>
        <w:rPr>
          <w:rFonts w:ascii="Bookman Old Style" w:hAnsi="Bookman Old Style"/>
          <w:b w:val="0"/>
          <w:bCs w:val="0"/>
          <w:i w:val="0"/>
          <w:iCs w:val="0"/>
          <w:color w:val="auto"/>
          <w:lang w:eastAsia="en-US"/>
        </w:rPr>
        <w:t xml:space="preserve">encargado </w:t>
      </w:r>
      <w:r w:rsidRPr="009645C6">
        <w:rPr>
          <w:rFonts w:ascii="Bookman Old Style" w:hAnsi="Bookman Old Style"/>
          <w:b w:val="0"/>
          <w:bCs w:val="0"/>
          <w:i w:val="0"/>
          <w:iCs w:val="0"/>
          <w:color w:val="auto"/>
          <w:lang w:eastAsia="en-US"/>
        </w:rPr>
        <w:t xml:space="preserve">de la </w:t>
      </w:r>
      <w:r>
        <w:rPr>
          <w:rFonts w:ascii="Bookman Old Style" w:hAnsi="Bookman Old Style"/>
          <w:b w:val="0"/>
          <w:bCs w:val="0"/>
          <w:i w:val="0"/>
          <w:iCs w:val="0"/>
          <w:color w:val="auto"/>
          <w:lang w:eastAsia="en-US"/>
        </w:rPr>
        <w:t>i</w:t>
      </w:r>
      <w:r w:rsidRPr="009645C6">
        <w:rPr>
          <w:rFonts w:ascii="Bookman Old Style" w:hAnsi="Bookman Old Style"/>
          <w:b w:val="0"/>
          <w:bCs w:val="0"/>
          <w:i w:val="0"/>
          <w:iCs w:val="0"/>
          <w:color w:val="auto"/>
          <w:lang w:eastAsia="en-US"/>
        </w:rPr>
        <w:t>nversión.</w:t>
      </w:r>
    </w:p>
    <w:p w14:paraId="0ADC77DC" w14:textId="77777777" w:rsidR="00F5024B" w:rsidRPr="009645C6" w:rsidRDefault="00F5024B" w:rsidP="00F5024B">
      <w:pPr>
        <w:pStyle w:val="Textoindependiente"/>
        <w:spacing w:before="0" w:after="0"/>
        <w:ind w:left="0" w:firstLine="0"/>
        <w:jc w:val="both"/>
        <w:rPr>
          <w:rFonts w:ascii="Bookman Old Style" w:hAnsi="Bookman Old Style"/>
          <w:b w:val="0"/>
          <w:bCs w:val="0"/>
          <w:i w:val="0"/>
          <w:iCs w:val="0"/>
          <w:color w:val="auto"/>
          <w:lang w:eastAsia="en-US"/>
        </w:rPr>
      </w:pPr>
      <w:r w:rsidRPr="009645C6">
        <w:rPr>
          <w:rFonts w:ascii="Bookman Old Style" w:hAnsi="Bookman Old Style"/>
          <w:i w:val="0"/>
          <w:iCs w:val="0"/>
          <w:color w:val="auto"/>
          <w:lang w:eastAsia="en-US"/>
        </w:rPr>
        <w:t>Parágrafo 2.</w:t>
      </w:r>
      <w:r w:rsidRPr="009645C6">
        <w:rPr>
          <w:rFonts w:ascii="Bookman Old Style" w:hAnsi="Bookman Old Style"/>
          <w:b w:val="0"/>
          <w:bCs w:val="0"/>
          <w:i w:val="0"/>
          <w:iCs w:val="0"/>
          <w:color w:val="auto"/>
          <w:lang w:eastAsia="en-US"/>
        </w:rPr>
        <w:tab/>
        <w:t xml:space="preserve">La remuneración de la vida útil remanente de los activos eléctricos, de los terrenos de subestaciones y de los activos no eléctricos se efectúa teniendo en cuenta el tiempo restante para la terminación del contrato que se suscriba </w:t>
      </w:r>
      <w:r>
        <w:rPr>
          <w:rFonts w:ascii="Bookman Old Style" w:hAnsi="Bookman Old Style"/>
          <w:b w:val="0"/>
          <w:bCs w:val="0"/>
          <w:i w:val="0"/>
          <w:iCs w:val="0"/>
          <w:color w:val="auto"/>
          <w:lang w:eastAsia="en-US"/>
        </w:rPr>
        <w:t>con el prestador del servicio</w:t>
      </w:r>
      <w:r w:rsidRPr="009645C6">
        <w:rPr>
          <w:rFonts w:ascii="Bookman Old Style" w:hAnsi="Bookman Old Style"/>
          <w:b w:val="0"/>
          <w:bCs w:val="0"/>
          <w:i w:val="0"/>
          <w:iCs w:val="0"/>
          <w:color w:val="auto"/>
          <w:lang w:eastAsia="en-US"/>
        </w:rPr>
        <w:t>.</w:t>
      </w:r>
    </w:p>
    <w:p w14:paraId="46EEE0EE" w14:textId="77777777" w:rsidR="00F5024B" w:rsidRPr="009645C6" w:rsidRDefault="00F5024B" w:rsidP="00F5024B">
      <w:pPr>
        <w:pStyle w:val="Artculo1"/>
        <w:keepNext w:val="0"/>
        <w:ind w:left="0" w:firstLine="0"/>
        <w:rPr>
          <w:b w:val="0"/>
          <w:bCs w:val="0"/>
          <w:i w:val="0"/>
          <w:iCs w:val="0"/>
          <w:color w:val="auto"/>
        </w:rPr>
      </w:pPr>
      <w:r w:rsidRPr="424DE6E4">
        <w:rPr>
          <w:i w:val="0"/>
          <w:iCs w:val="0"/>
          <w:color w:val="auto"/>
        </w:rPr>
        <w:t>Costo máximo de la vida útil remanente de un activo eléctrico:</w:t>
      </w:r>
      <w:r w:rsidRPr="424DE6E4">
        <w:rPr>
          <w:color w:val="auto"/>
        </w:rPr>
        <w:t xml:space="preserve"> </w:t>
      </w:r>
      <w:r w:rsidRPr="424DE6E4">
        <w:rPr>
          <w:b w:val="0"/>
          <w:bCs w:val="0"/>
          <w:i w:val="0"/>
          <w:iCs w:val="0"/>
          <w:color w:val="auto"/>
        </w:rPr>
        <w:t>El costo máximo de la vida útil remanente de cada activo eléctrico instalado en el nivel de tensión n, se determina así:</w:t>
      </w:r>
    </w:p>
    <w:p w14:paraId="5537D22B" w14:textId="77777777" w:rsidR="00F5024B" w:rsidRPr="009645C6" w:rsidRDefault="00F5024B" w:rsidP="00F5024B">
      <w:pPr>
        <w:spacing w:before="0" w:after="0"/>
        <w:rPr>
          <w:i w:val="0"/>
          <w:iCs w:val="0"/>
          <w:color w:val="auto"/>
        </w:rPr>
      </w:pPr>
    </w:p>
    <w:p w14:paraId="59868EF1" w14:textId="77777777" w:rsidR="00F5024B" w:rsidRPr="009645C6" w:rsidRDefault="00F5024B" w:rsidP="00F5024B">
      <w:pPr>
        <w:spacing w:before="0" w:after="0"/>
        <w:ind w:left="0" w:firstLine="0"/>
        <w:rPr>
          <w:color w:val="auto"/>
        </w:rPr>
      </w:pPr>
      <m:oMathPara>
        <m:oMath>
          <m:r>
            <w:rPr>
              <w:rFonts w:ascii="Cambria Math" w:hAnsi="Cambria Math"/>
              <w:color w:val="auto"/>
            </w:rPr>
            <m:t>CVURAEi=</m:t>
          </m:r>
          <m:d>
            <m:dPr>
              <m:ctrlPr>
                <w:rPr>
                  <w:rFonts w:ascii="Cambria Math" w:hAnsi="Cambria Math"/>
                  <w:color w:val="auto"/>
                </w:rPr>
              </m:ctrlPr>
            </m:dPr>
            <m:e>
              <m:r>
                <w:rPr>
                  <w:rFonts w:ascii="Cambria Math" w:hAnsi="Cambria Math"/>
                  <w:color w:val="auto"/>
                </w:rPr>
                <m:t xml:space="preserve"> CAAEi*</m:t>
              </m:r>
              <m:f>
                <m:fPr>
                  <m:ctrlPr>
                    <w:rPr>
                      <w:rFonts w:ascii="Cambria Math" w:hAnsi="Cambria Math"/>
                      <w:color w:val="auto"/>
                    </w:rPr>
                  </m:ctrlPr>
                </m:fPr>
                <m:num>
                  <m:r>
                    <w:rPr>
                      <w:rFonts w:ascii="Cambria Math" w:hAnsi="Cambria Math"/>
                      <w:color w:val="auto"/>
                    </w:rPr>
                    <m:t>IPP</m:t>
                  </m:r>
                  <m:r>
                    <w:rPr>
                      <w:rFonts w:ascii="Cambria Math" w:hAnsi="Cambria Math"/>
                      <w:color w:val="auto"/>
                      <w:sz w:val="12"/>
                    </w:rPr>
                    <m:t>m-1</m:t>
                  </m:r>
                </m:num>
                <m:den>
                  <m:r>
                    <w:rPr>
                      <w:rFonts w:ascii="Cambria Math" w:eastAsia="Cambria Math" w:hAnsi="Cambria Math"/>
                      <w:color w:val="auto"/>
                    </w:rPr>
                    <m:t>IPPo</m:t>
                  </m:r>
                </m:den>
              </m:f>
            </m:e>
          </m:d>
          <m:r>
            <w:rPr>
              <w:rFonts w:ascii="Cambria Math" w:hAnsi="Cambria Math"/>
              <w:color w:val="auto"/>
            </w:rPr>
            <m:t>*</m:t>
          </m:r>
          <m:nary>
            <m:naryPr>
              <m:chr m:val="∑"/>
              <m:grow m:val="1"/>
              <m:ctrlPr>
                <w:rPr>
                  <w:rFonts w:ascii="Cambria Math" w:hAnsi="Cambria Math"/>
                  <w:color w:val="auto"/>
                </w:rPr>
              </m:ctrlPr>
            </m:naryPr>
            <m:sub>
              <m:r>
                <w:rPr>
                  <w:rFonts w:ascii="Cambria Math" w:hAnsi="Cambria Math"/>
                  <w:color w:val="auto"/>
                </w:rPr>
                <m:t>VRj=1</m:t>
              </m:r>
            </m:sub>
            <m:sup>
              <m:r>
                <w:rPr>
                  <w:rFonts w:ascii="Cambria Math" w:hAnsi="Cambria Math"/>
                  <w:color w:val="auto"/>
                </w:rPr>
                <m:t>(VU-AS)</m:t>
              </m:r>
            </m:sup>
            <m:e>
              <m:d>
                <m:dPr>
                  <m:ctrlPr>
                    <w:rPr>
                      <w:rFonts w:ascii="Cambria Math" w:hAnsi="Cambria Math"/>
                      <w:color w:val="auto"/>
                    </w:rPr>
                  </m:ctrlPr>
                </m:dPr>
                <m:e>
                  <m:r>
                    <w:rPr>
                      <w:rFonts w:ascii="Cambria Math" w:hAnsi="Cambria Math"/>
                      <w:color w:val="auto"/>
                    </w:rPr>
                    <m:t xml:space="preserve"> </m:t>
                  </m:r>
                  <m:f>
                    <m:fPr>
                      <m:ctrlPr>
                        <w:rPr>
                          <w:rFonts w:ascii="Cambria Math" w:hAnsi="Cambria Math"/>
                          <w:color w:val="auto"/>
                        </w:rPr>
                      </m:ctrlPr>
                    </m:fPr>
                    <m:num>
                      <m:r>
                        <w:rPr>
                          <w:rFonts w:ascii="Cambria Math" w:eastAsia="Cambria Math" w:hAnsi="Cambria Math"/>
                          <w:color w:val="auto"/>
                        </w:rPr>
                        <m:t>1</m:t>
                      </m:r>
                    </m:num>
                    <m:den>
                      <m:sSup>
                        <m:sSupPr>
                          <m:ctrlPr>
                            <w:rPr>
                              <w:rFonts w:ascii="Cambria Math" w:eastAsia="Cambria Math" w:hAnsi="Cambria Math"/>
                              <w:color w:val="auto"/>
                            </w:rPr>
                          </m:ctrlPr>
                        </m:sSupPr>
                        <m:e>
                          <m:r>
                            <w:rPr>
                              <w:rFonts w:ascii="Cambria Math" w:eastAsia="Cambria Math" w:hAnsi="Cambria Math"/>
                              <w:color w:val="auto"/>
                            </w:rPr>
                            <m:t>(1+r)</m:t>
                          </m:r>
                        </m:e>
                        <m:sup>
                          <m:r>
                            <w:rPr>
                              <w:rFonts w:ascii="Cambria Math" w:eastAsia="Cambria Math" w:hAnsi="Cambria Math"/>
                              <w:color w:val="auto"/>
                            </w:rPr>
                            <m:t>VRj</m:t>
                          </m:r>
                        </m:sup>
                      </m:sSup>
                    </m:den>
                  </m:f>
                </m:e>
              </m:d>
            </m:e>
          </m:nary>
        </m:oMath>
      </m:oMathPara>
    </w:p>
    <w:p w14:paraId="1A268CCB" w14:textId="77777777" w:rsidR="00F5024B" w:rsidRPr="009645C6" w:rsidRDefault="00F5024B" w:rsidP="00F5024B">
      <w:pPr>
        <w:spacing w:before="0" w:after="0"/>
        <w:rPr>
          <w:color w:val="auto"/>
        </w:rPr>
      </w:pPr>
      <w:r w:rsidRPr="009645C6">
        <w:rPr>
          <w:color w:val="auto"/>
        </w:rPr>
        <w:t>Donde:</w:t>
      </w:r>
    </w:p>
    <w:p w14:paraId="53F40809" w14:textId="77777777" w:rsidR="00F5024B" w:rsidRPr="009645C6" w:rsidRDefault="00F5024B" w:rsidP="00F5024B">
      <w:pPr>
        <w:spacing w:before="0" w:after="0"/>
        <w:rPr>
          <w:color w:val="auto"/>
        </w:rPr>
      </w:pPr>
    </w:p>
    <w:p w14:paraId="53E51543" w14:textId="77777777" w:rsidR="00F5024B" w:rsidRPr="008721F0" w:rsidRDefault="00F5024B" w:rsidP="00F5024B">
      <w:pPr>
        <w:spacing w:before="0"/>
        <w:rPr>
          <w:i w:val="0"/>
          <w:iCs w:val="0"/>
          <w:color w:val="auto"/>
        </w:rPr>
      </w:pPr>
      <w:proofErr w:type="spellStart"/>
      <w:r w:rsidRPr="00AE1BAD">
        <w:rPr>
          <w:color w:val="auto"/>
        </w:rPr>
        <w:lastRenderedPageBreak/>
        <w:t>CVURAEi</w:t>
      </w:r>
      <w:proofErr w:type="spellEnd"/>
      <w:r w:rsidRPr="00AE1BAD">
        <w:rPr>
          <w:color w:val="auto"/>
        </w:rPr>
        <w:t>:</w:t>
      </w:r>
      <w:r w:rsidRPr="00AE1BAD">
        <w:rPr>
          <w:color w:val="auto"/>
        </w:rPr>
        <w:tab/>
      </w:r>
      <w:r w:rsidRPr="008721F0">
        <w:rPr>
          <w:i w:val="0"/>
          <w:iCs w:val="0"/>
          <w:color w:val="auto"/>
        </w:rPr>
        <w:t xml:space="preserve">Costo máximo de la vida útil remanente del activo eléctrico </w:t>
      </w:r>
      <w:r w:rsidRPr="00094C8C">
        <w:rPr>
          <w:color w:val="auto"/>
        </w:rPr>
        <w:t>i</w:t>
      </w:r>
      <w:r w:rsidRPr="008721F0">
        <w:rPr>
          <w:i w:val="0"/>
          <w:iCs w:val="0"/>
          <w:color w:val="auto"/>
        </w:rPr>
        <w:t xml:space="preserve"> en pesos </w:t>
      </w:r>
      <w:r w:rsidRPr="00374E5D">
        <w:rPr>
          <w:i w:val="0"/>
          <w:iCs w:val="0"/>
          <w:color w:val="auto"/>
        </w:rPr>
        <w:t>correspondientes a la fecha de referencia</w:t>
      </w:r>
      <w:r w:rsidRPr="008721F0">
        <w:rPr>
          <w:i w:val="0"/>
          <w:iCs w:val="0"/>
          <w:color w:val="auto"/>
        </w:rPr>
        <w:t>.</w:t>
      </w:r>
    </w:p>
    <w:p w14:paraId="166D9CEF" w14:textId="77777777" w:rsidR="00F5024B" w:rsidRPr="00AE1BAD" w:rsidRDefault="00F5024B" w:rsidP="00F5024B">
      <w:pPr>
        <w:spacing w:before="0"/>
        <w:rPr>
          <w:color w:val="auto"/>
        </w:rPr>
      </w:pPr>
      <w:r w:rsidRPr="00AE1BAD">
        <w:rPr>
          <w:color w:val="auto"/>
        </w:rPr>
        <w:t>m:</w:t>
      </w:r>
      <w:r w:rsidRPr="00AE1BAD">
        <w:rPr>
          <w:color w:val="auto"/>
        </w:rPr>
        <w:tab/>
      </w:r>
      <w:r w:rsidRPr="008721F0">
        <w:rPr>
          <w:i w:val="0"/>
          <w:iCs w:val="0"/>
          <w:color w:val="auto"/>
        </w:rPr>
        <w:t>Mes para el cual se calcula el costo máximo</w:t>
      </w:r>
    </w:p>
    <w:p w14:paraId="062A3E64" w14:textId="77777777" w:rsidR="00F5024B" w:rsidRPr="008721F0" w:rsidRDefault="00F5024B" w:rsidP="00F5024B">
      <w:pPr>
        <w:spacing w:before="0"/>
        <w:rPr>
          <w:i w:val="0"/>
          <w:iCs w:val="0"/>
          <w:color w:val="auto"/>
        </w:rPr>
      </w:pPr>
      <w:proofErr w:type="spellStart"/>
      <w:r w:rsidRPr="00AE1BAD">
        <w:rPr>
          <w:color w:val="auto"/>
        </w:rPr>
        <w:t>CAAEi</w:t>
      </w:r>
      <w:proofErr w:type="spellEnd"/>
      <w:r w:rsidRPr="00AE1BAD">
        <w:rPr>
          <w:color w:val="auto"/>
        </w:rPr>
        <w:t>:</w:t>
      </w:r>
      <w:r w:rsidRPr="00AE1BAD">
        <w:rPr>
          <w:color w:val="auto"/>
        </w:rPr>
        <w:tab/>
      </w:r>
      <w:r w:rsidRPr="008721F0">
        <w:rPr>
          <w:i w:val="0"/>
          <w:iCs w:val="0"/>
          <w:color w:val="auto"/>
        </w:rPr>
        <w:t xml:space="preserve">Costo anual equivalente del activo eléctrico </w:t>
      </w:r>
      <w:r w:rsidRPr="00094C8C">
        <w:rPr>
          <w:color w:val="auto"/>
        </w:rPr>
        <w:t>i</w:t>
      </w:r>
      <w:r w:rsidRPr="008721F0">
        <w:rPr>
          <w:i w:val="0"/>
          <w:iCs w:val="0"/>
          <w:color w:val="auto"/>
        </w:rPr>
        <w:t xml:space="preserve"> construido por el prestador de la actividad, calculado de acuerdo con la metodología del del artículo </w:t>
      </w:r>
      <w:r>
        <w:rPr>
          <w:i w:val="0"/>
          <w:iCs w:val="0"/>
          <w:color w:val="auto"/>
        </w:rPr>
        <w:t>24</w:t>
      </w:r>
      <w:r w:rsidRPr="008721F0">
        <w:rPr>
          <w:i w:val="0"/>
          <w:iCs w:val="0"/>
          <w:color w:val="auto"/>
        </w:rPr>
        <w:t xml:space="preserve"> de la presente Resolución, </w:t>
      </w:r>
      <w:r w:rsidRPr="00374E5D">
        <w:rPr>
          <w:i w:val="0"/>
          <w:iCs w:val="0"/>
          <w:color w:val="auto"/>
        </w:rPr>
        <w:t xml:space="preserve">en pesos </w:t>
      </w:r>
      <w:r w:rsidRPr="00882FCC">
        <w:rPr>
          <w:i w:val="0"/>
          <w:iCs w:val="0"/>
          <w:color w:val="auto"/>
        </w:rPr>
        <w:t>correspondientes a la fecha de referencia</w:t>
      </w:r>
      <w:r w:rsidRPr="00374E5D">
        <w:rPr>
          <w:i w:val="0"/>
          <w:iCs w:val="0"/>
          <w:color w:val="auto"/>
        </w:rPr>
        <w:t>.</w:t>
      </w:r>
    </w:p>
    <w:p w14:paraId="1DA83355" w14:textId="77777777" w:rsidR="00F5024B" w:rsidRPr="008721F0" w:rsidRDefault="00F5024B" w:rsidP="00F5024B">
      <w:pPr>
        <w:spacing w:before="0"/>
        <w:rPr>
          <w:i w:val="0"/>
          <w:iCs w:val="0"/>
          <w:color w:val="auto"/>
        </w:rPr>
      </w:pPr>
      <w:r w:rsidRPr="00AE1BAD">
        <w:rPr>
          <w:color w:val="auto"/>
        </w:rPr>
        <w:t>VU:</w:t>
      </w:r>
      <w:r w:rsidRPr="00AE1BAD">
        <w:rPr>
          <w:color w:val="auto"/>
        </w:rPr>
        <w:tab/>
      </w:r>
      <w:r w:rsidRPr="008721F0">
        <w:rPr>
          <w:i w:val="0"/>
          <w:iCs w:val="0"/>
          <w:color w:val="auto"/>
        </w:rPr>
        <w:t>Vida útil del activo en años</w:t>
      </w:r>
    </w:p>
    <w:p w14:paraId="58C615C6" w14:textId="77777777" w:rsidR="00F5024B" w:rsidRPr="00AE1BAD" w:rsidRDefault="00F5024B" w:rsidP="00F5024B">
      <w:pPr>
        <w:spacing w:before="0"/>
        <w:rPr>
          <w:color w:val="auto"/>
        </w:rPr>
      </w:pPr>
      <w:r w:rsidRPr="00AE1BAD">
        <w:rPr>
          <w:color w:val="auto"/>
        </w:rPr>
        <w:t>AS:</w:t>
      </w:r>
      <w:r w:rsidRPr="00AE1BAD">
        <w:rPr>
          <w:color w:val="auto"/>
        </w:rPr>
        <w:tab/>
      </w:r>
      <w:r w:rsidRPr="008721F0">
        <w:rPr>
          <w:i w:val="0"/>
          <w:iCs w:val="0"/>
          <w:color w:val="auto"/>
        </w:rPr>
        <w:t>Número de años de servicio del activo.</w:t>
      </w:r>
      <w:r w:rsidRPr="00AE1BAD">
        <w:rPr>
          <w:color w:val="auto"/>
        </w:rPr>
        <w:t xml:space="preserve"> </w:t>
      </w:r>
    </w:p>
    <w:p w14:paraId="423E3B39" w14:textId="77777777" w:rsidR="00F5024B" w:rsidRPr="008721F0" w:rsidRDefault="00F5024B" w:rsidP="00F5024B">
      <w:pPr>
        <w:spacing w:before="0"/>
        <w:rPr>
          <w:i w:val="0"/>
          <w:iCs w:val="0"/>
          <w:color w:val="auto"/>
        </w:rPr>
      </w:pPr>
      <w:proofErr w:type="spellStart"/>
      <w:r w:rsidRPr="00AE1BAD">
        <w:rPr>
          <w:color w:val="auto"/>
        </w:rPr>
        <w:t>VRj</w:t>
      </w:r>
      <w:proofErr w:type="spellEnd"/>
      <w:r w:rsidRPr="00AE1BAD">
        <w:rPr>
          <w:color w:val="auto"/>
        </w:rPr>
        <w:t>:</w:t>
      </w:r>
      <w:r w:rsidRPr="00AE1BAD">
        <w:rPr>
          <w:color w:val="auto"/>
        </w:rPr>
        <w:tab/>
      </w:r>
      <w:r w:rsidRPr="008721F0">
        <w:rPr>
          <w:i w:val="0"/>
          <w:iCs w:val="0"/>
          <w:color w:val="auto"/>
        </w:rPr>
        <w:t>Número del año de la vida útil remanente del activo.</w:t>
      </w:r>
    </w:p>
    <w:p w14:paraId="6872E1EE" w14:textId="77777777" w:rsidR="00F5024B" w:rsidRPr="008721F0" w:rsidRDefault="00F5024B" w:rsidP="00F5024B">
      <w:pPr>
        <w:spacing w:before="0"/>
        <w:rPr>
          <w:i w:val="0"/>
          <w:iCs w:val="0"/>
          <w:color w:val="auto"/>
        </w:rPr>
      </w:pPr>
      <w:r w:rsidRPr="00AE1BAD">
        <w:rPr>
          <w:color w:val="auto"/>
        </w:rPr>
        <w:t>r:</w:t>
      </w:r>
      <w:r w:rsidRPr="00AE1BAD">
        <w:rPr>
          <w:color w:val="auto"/>
        </w:rPr>
        <w:tab/>
      </w:r>
      <w:r w:rsidRPr="008721F0">
        <w:rPr>
          <w:i w:val="0"/>
          <w:iCs w:val="0"/>
          <w:color w:val="auto"/>
        </w:rPr>
        <w:t>Tasa de Retorno establecida en la metodología para la actividad de distribución de energía eléctrica.</w:t>
      </w:r>
    </w:p>
    <w:p w14:paraId="1A525AB4" w14:textId="77777777" w:rsidR="00F5024B" w:rsidRPr="008721F0" w:rsidRDefault="00F5024B" w:rsidP="00F5024B">
      <w:pPr>
        <w:spacing w:before="0"/>
        <w:rPr>
          <w:i w:val="0"/>
          <w:iCs w:val="0"/>
          <w:color w:val="auto"/>
        </w:rPr>
      </w:pPr>
      <w:r w:rsidRPr="00AE1BAD">
        <w:rPr>
          <w:color w:val="auto"/>
        </w:rPr>
        <w:t>IPP</w:t>
      </w:r>
      <w:r w:rsidRPr="00AE1BAD">
        <w:rPr>
          <w:color w:val="auto"/>
          <w:vertAlign w:val="subscript"/>
        </w:rPr>
        <w:t>m-1</w:t>
      </w:r>
      <w:r w:rsidRPr="00AE1BAD">
        <w:rPr>
          <w:color w:val="auto"/>
          <w:vertAlign w:val="subscript"/>
        </w:rPr>
        <w:tab/>
      </w:r>
      <w:r w:rsidRPr="008721F0">
        <w:rPr>
          <w:i w:val="0"/>
          <w:iCs w:val="0"/>
          <w:color w:val="auto"/>
        </w:rPr>
        <w:t xml:space="preserve">Índice de Precios al Productor Total Nacional </w:t>
      </w:r>
      <w:r>
        <w:rPr>
          <w:i w:val="0"/>
          <w:iCs w:val="0"/>
          <w:color w:val="auto"/>
        </w:rPr>
        <w:t xml:space="preserve">de oferta interna, </w:t>
      </w:r>
      <w:r w:rsidRPr="008721F0">
        <w:rPr>
          <w:i w:val="0"/>
          <w:iCs w:val="0"/>
          <w:color w:val="auto"/>
        </w:rPr>
        <w:t xml:space="preserve">reportado por la autoridad competente correspondiente al mes </w:t>
      </w:r>
      <w:r w:rsidRPr="00094C8C">
        <w:rPr>
          <w:color w:val="auto"/>
        </w:rPr>
        <w:t>m-1</w:t>
      </w:r>
      <w:r w:rsidRPr="008721F0">
        <w:rPr>
          <w:i w:val="0"/>
          <w:iCs w:val="0"/>
          <w:color w:val="auto"/>
        </w:rPr>
        <w:t xml:space="preserve">, </w:t>
      </w:r>
    </w:p>
    <w:p w14:paraId="646E6CCD" w14:textId="77777777" w:rsidR="00F5024B" w:rsidRPr="008721F0" w:rsidRDefault="00F5024B" w:rsidP="00F5024B">
      <w:pPr>
        <w:spacing w:before="0" w:after="0"/>
        <w:rPr>
          <w:i w:val="0"/>
          <w:iCs w:val="0"/>
          <w:color w:val="auto"/>
        </w:rPr>
      </w:pPr>
      <w:proofErr w:type="spellStart"/>
      <w:r w:rsidRPr="00AE1BAD">
        <w:rPr>
          <w:color w:val="auto"/>
        </w:rPr>
        <w:t>IPPo</w:t>
      </w:r>
      <w:proofErr w:type="spellEnd"/>
      <w:r w:rsidRPr="00AE1BAD">
        <w:rPr>
          <w:color w:val="auto"/>
        </w:rPr>
        <w:tab/>
      </w:r>
      <w:r w:rsidRPr="008721F0">
        <w:rPr>
          <w:i w:val="0"/>
          <w:iCs w:val="0"/>
          <w:color w:val="auto"/>
        </w:rPr>
        <w:t xml:space="preserve">Índice de Precios al Productor Total Nacional </w:t>
      </w:r>
      <w:r>
        <w:rPr>
          <w:i w:val="0"/>
          <w:iCs w:val="0"/>
          <w:color w:val="auto"/>
        </w:rPr>
        <w:t xml:space="preserve">de oferta interna </w:t>
      </w:r>
      <w:r w:rsidRPr="008721F0">
        <w:rPr>
          <w:i w:val="0"/>
          <w:iCs w:val="0"/>
          <w:color w:val="auto"/>
        </w:rPr>
        <w:t>reportado por la autoridad competente correspondiente</w:t>
      </w:r>
      <w:r w:rsidRPr="00882FCC">
        <w:rPr>
          <w:i w:val="0"/>
          <w:iCs w:val="0"/>
          <w:color w:val="auto"/>
        </w:rPr>
        <w:t xml:space="preserve"> a la fecha de referencia</w:t>
      </w:r>
      <w:r w:rsidRPr="008721F0">
        <w:rPr>
          <w:i w:val="0"/>
          <w:iCs w:val="0"/>
          <w:color w:val="auto"/>
        </w:rPr>
        <w:t>.</w:t>
      </w:r>
    </w:p>
    <w:p w14:paraId="7B50E443" w14:textId="77777777" w:rsidR="00F5024B" w:rsidRPr="005403D7" w:rsidRDefault="00F5024B" w:rsidP="00F5024B">
      <w:pPr>
        <w:spacing w:before="0" w:after="0"/>
        <w:rPr>
          <w:i w:val="0"/>
          <w:iCs w:val="0"/>
          <w:color w:val="auto"/>
        </w:rPr>
      </w:pPr>
    </w:p>
    <w:p w14:paraId="6951DED7" w14:textId="77777777" w:rsidR="00F5024B" w:rsidRPr="005403D7" w:rsidRDefault="00F5024B" w:rsidP="00F5024B">
      <w:pPr>
        <w:pStyle w:val="Artculo1"/>
        <w:keepNext w:val="0"/>
        <w:ind w:left="0" w:firstLine="0"/>
        <w:rPr>
          <w:b w:val="0"/>
          <w:bCs w:val="0"/>
          <w:i w:val="0"/>
          <w:iCs w:val="0"/>
          <w:color w:val="auto"/>
        </w:rPr>
      </w:pPr>
      <w:r w:rsidRPr="424DE6E4">
        <w:rPr>
          <w:rFonts w:eastAsia="Cambria"/>
          <w:i w:val="0"/>
          <w:iCs w:val="0"/>
          <w:color w:val="auto"/>
        </w:rPr>
        <w:t xml:space="preserve">Fracción de Costo máximo remanente de terrenos de una subestación. </w:t>
      </w:r>
      <w:r w:rsidRPr="424DE6E4">
        <w:rPr>
          <w:b w:val="0"/>
          <w:bCs w:val="0"/>
          <w:i w:val="0"/>
          <w:iCs w:val="0"/>
          <w:color w:val="auto"/>
        </w:rPr>
        <w:t>El costo máximo de la fracción del terreno de cada subestación que no se ha acabado de remunerar se calculará así:</w:t>
      </w:r>
    </w:p>
    <w:p w14:paraId="04DECBBB" w14:textId="77777777" w:rsidR="00F5024B" w:rsidRPr="005403D7" w:rsidRDefault="00F5024B" w:rsidP="00F5024B">
      <w:pPr>
        <w:spacing w:before="0" w:after="0"/>
        <w:rPr>
          <w:color w:val="auto"/>
        </w:rPr>
      </w:pPr>
    </w:p>
    <w:p w14:paraId="723A6E71" w14:textId="77777777" w:rsidR="00F5024B" w:rsidRPr="00804B7D" w:rsidRDefault="00541E73" w:rsidP="00F5024B">
      <w:pPr>
        <w:spacing w:before="0" w:after="0"/>
        <w:ind w:left="0" w:firstLine="0"/>
        <w:rPr>
          <w:color w:val="auto"/>
        </w:rPr>
      </w:pPr>
      <m:oMathPara>
        <m:oMath>
          <m:sSub>
            <m:sSubPr>
              <m:ctrlPr>
                <w:rPr>
                  <w:rFonts w:ascii="Cambria Math" w:hAnsi="Cambria Math"/>
                  <w:color w:val="auto"/>
                </w:rPr>
              </m:ctrlPr>
            </m:sSubPr>
            <m:e>
              <m:r>
                <w:rPr>
                  <w:rFonts w:ascii="Cambria Math" w:hAnsi="Cambria Math"/>
                  <w:color w:val="auto"/>
                </w:rPr>
                <m:t>CVRT</m:t>
              </m:r>
            </m:e>
            <m:sub>
              <m:r>
                <w:rPr>
                  <w:rFonts w:ascii="Cambria Math" w:hAnsi="Cambria Math"/>
                  <w:color w:val="auto"/>
                </w:rPr>
                <m:t>j,m</m:t>
              </m:r>
            </m:sub>
          </m:sSub>
          <m:r>
            <w:rPr>
              <w:rFonts w:ascii="Cambria Math" w:hAnsi="Cambria Math"/>
              <w:color w:val="auto"/>
            </w:rPr>
            <m:t>=</m:t>
          </m:r>
          <m:d>
            <m:dPr>
              <m:ctrlPr>
                <w:rPr>
                  <w:rFonts w:ascii="Cambria Math" w:hAnsi="Cambria Math"/>
                  <w:color w:val="auto"/>
                </w:rPr>
              </m:ctrlPr>
            </m:dPr>
            <m:e>
              <m:sSub>
                <m:sSubPr>
                  <m:ctrlPr>
                    <w:rPr>
                      <w:rFonts w:ascii="Cambria Math" w:hAnsi="Cambria Math"/>
                      <w:color w:val="auto"/>
                    </w:rPr>
                  </m:ctrlPr>
                </m:sSubPr>
                <m:e>
                  <m:r>
                    <w:rPr>
                      <w:rFonts w:ascii="Cambria Math" w:hAnsi="Cambria Math"/>
                      <w:color w:val="auto"/>
                    </w:rPr>
                    <m:t>VCT</m:t>
                  </m:r>
                </m:e>
                <m:sub>
                  <m:r>
                    <w:rPr>
                      <w:rFonts w:ascii="Cambria Math" w:hAnsi="Cambria Math"/>
                      <w:color w:val="auto"/>
                    </w:rPr>
                    <m:t>j,m</m:t>
                  </m:r>
                </m:sub>
              </m:sSub>
              <m:r>
                <w:rPr>
                  <w:rFonts w:ascii="Cambria Math" w:hAnsi="Cambria Math"/>
                  <w:color w:val="auto"/>
                </w:rPr>
                <m:t>*</m:t>
              </m:r>
              <m:sSub>
                <m:sSubPr>
                  <m:ctrlPr>
                    <w:rPr>
                      <w:rFonts w:ascii="Cambria Math" w:hAnsi="Cambria Math"/>
                      <w:color w:val="auto"/>
                    </w:rPr>
                  </m:ctrlPr>
                </m:sSubPr>
                <m:e>
                  <m:r>
                    <w:rPr>
                      <w:rFonts w:ascii="Cambria Math" w:hAnsi="Cambria Math"/>
                      <w:color w:val="auto"/>
                    </w:rPr>
                    <m:t>AT</m:t>
                  </m:r>
                </m:e>
                <m:sub>
                  <m:r>
                    <w:rPr>
                      <w:rFonts w:ascii="Cambria Math" w:hAnsi="Cambria Math"/>
                      <w:color w:val="auto"/>
                    </w:rPr>
                    <m:t>j</m:t>
                  </m:r>
                </m:sub>
              </m:sSub>
            </m:e>
          </m:d>
          <m:r>
            <w:rPr>
              <w:rFonts w:ascii="Cambria Math" w:hAnsi="Cambria Math"/>
              <w:color w:val="auto"/>
            </w:rPr>
            <m:t>-</m:t>
          </m:r>
          <m:nary>
            <m:naryPr>
              <m:chr m:val="∑"/>
              <m:grow m:val="1"/>
              <m:ctrlPr>
                <w:rPr>
                  <w:rFonts w:ascii="Cambria Math" w:hAnsi="Cambria Math"/>
                  <w:color w:val="auto"/>
                </w:rPr>
              </m:ctrlPr>
            </m:naryPr>
            <m:sub>
              <m:r>
                <w:rPr>
                  <w:rFonts w:ascii="Cambria Math" w:hAnsi="Cambria Math"/>
                  <w:color w:val="auto"/>
                </w:rPr>
                <m:t>p=1</m:t>
              </m:r>
            </m:sub>
            <m:sup>
              <m:r>
                <w:rPr>
                  <w:rFonts w:ascii="Cambria Math" w:hAnsi="Cambria Math"/>
                  <w:color w:val="auto"/>
                </w:rPr>
                <m:t>AS</m:t>
              </m:r>
            </m:sup>
            <m:e>
              <m:d>
                <m:dPr>
                  <m:ctrlPr>
                    <w:rPr>
                      <w:rFonts w:ascii="Cambria Math" w:hAnsi="Cambria Math"/>
                      <w:color w:val="auto"/>
                    </w:rPr>
                  </m:ctrlPr>
                </m:dPr>
                <m:e>
                  <m:sSub>
                    <m:sSubPr>
                      <m:ctrlPr>
                        <w:rPr>
                          <w:rFonts w:ascii="Cambria Math" w:hAnsi="Cambria Math"/>
                          <w:color w:val="auto"/>
                        </w:rPr>
                      </m:ctrlPr>
                    </m:sSubPr>
                    <m:e>
                      <m:r>
                        <w:rPr>
                          <w:rFonts w:ascii="Cambria Math" w:hAnsi="Cambria Math"/>
                          <w:color w:val="auto"/>
                        </w:rPr>
                        <m:t>CAT</m:t>
                      </m:r>
                    </m:e>
                    <m:sub>
                      <m:r>
                        <w:rPr>
                          <w:rFonts w:ascii="Cambria Math" w:hAnsi="Cambria Math"/>
                          <w:color w:val="auto"/>
                        </w:rPr>
                        <m:t>j,p</m:t>
                      </m:r>
                    </m:sub>
                  </m:sSub>
                  <m:r>
                    <w:rPr>
                      <w:rFonts w:ascii="Cambria Math" w:hAnsi="Cambria Math"/>
                      <w:color w:val="auto"/>
                    </w:rPr>
                    <m:t>*</m:t>
                  </m:r>
                  <m:f>
                    <m:fPr>
                      <m:ctrlPr>
                        <w:rPr>
                          <w:rFonts w:ascii="Cambria Math" w:hAnsi="Cambria Math"/>
                          <w:color w:val="auto"/>
                        </w:rPr>
                      </m:ctrlPr>
                    </m:fPr>
                    <m:num>
                      <m:sSub>
                        <m:sSubPr>
                          <m:ctrlPr>
                            <w:rPr>
                              <w:rFonts w:ascii="Cambria Math" w:hAnsi="Cambria Math"/>
                              <w:color w:val="auto"/>
                            </w:rPr>
                          </m:ctrlPr>
                        </m:sSubPr>
                        <m:e>
                          <m:r>
                            <w:rPr>
                              <w:rFonts w:ascii="Cambria Math" w:hAnsi="Cambria Math"/>
                              <w:color w:val="auto"/>
                            </w:rPr>
                            <m:t>IPP</m:t>
                          </m:r>
                        </m:e>
                        <m:sub>
                          <m:r>
                            <w:rPr>
                              <w:rFonts w:ascii="Cambria Math" w:hAnsi="Cambria Math"/>
                              <w:color w:val="auto"/>
                            </w:rPr>
                            <m:t>m-1</m:t>
                          </m:r>
                        </m:sub>
                      </m:sSub>
                    </m:num>
                    <m:den>
                      <m:sSub>
                        <m:sSubPr>
                          <m:ctrlPr>
                            <w:rPr>
                              <w:rFonts w:ascii="Cambria Math" w:eastAsia="Cambria Math" w:hAnsi="Cambria Math"/>
                              <w:color w:val="auto"/>
                            </w:rPr>
                          </m:ctrlPr>
                        </m:sSubPr>
                        <m:e>
                          <m:r>
                            <w:rPr>
                              <w:rFonts w:ascii="Cambria Math" w:eastAsia="Cambria Math" w:hAnsi="Cambria Math"/>
                              <w:color w:val="auto"/>
                            </w:rPr>
                            <m:t>IPP</m:t>
                          </m:r>
                        </m:e>
                        <m:sub>
                          <m:r>
                            <w:rPr>
                              <w:rFonts w:ascii="Cambria Math" w:eastAsia="Cambria Math" w:hAnsi="Cambria Math"/>
                              <w:color w:val="auto"/>
                            </w:rPr>
                            <m:t>p</m:t>
                          </m:r>
                        </m:sub>
                      </m:sSub>
                    </m:den>
                  </m:f>
                </m:e>
              </m:d>
            </m:e>
          </m:nary>
        </m:oMath>
      </m:oMathPara>
    </w:p>
    <w:p w14:paraId="46ABD704" w14:textId="77777777" w:rsidR="00F5024B" w:rsidRPr="005403D7" w:rsidRDefault="00F5024B" w:rsidP="00F5024B">
      <w:pPr>
        <w:spacing w:before="0" w:after="0"/>
        <w:rPr>
          <w:color w:val="auto"/>
        </w:rPr>
      </w:pPr>
      <w:r w:rsidRPr="00094C8C">
        <w:rPr>
          <w:i w:val="0"/>
          <w:iCs w:val="0"/>
          <w:color w:val="auto"/>
        </w:rPr>
        <w:t>Donde</w:t>
      </w:r>
      <w:r w:rsidRPr="005403D7">
        <w:rPr>
          <w:color w:val="auto"/>
        </w:rPr>
        <w:t>:</w:t>
      </w:r>
    </w:p>
    <w:p w14:paraId="496498EF" w14:textId="77777777" w:rsidR="00F5024B" w:rsidRPr="005403D7" w:rsidRDefault="00F5024B" w:rsidP="00F5024B">
      <w:pPr>
        <w:spacing w:before="0" w:after="0"/>
        <w:rPr>
          <w:color w:val="auto"/>
        </w:rPr>
      </w:pPr>
    </w:p>
    <w:p w14:paraId="334BD28E" w14:textId="77777777" w:rsidR="00F5024B" w:rsidRPr="008721F0" w:rsidRDefault="00F5024B" w:rsidP="00F5024B">
      <w:pPr>
        <w:spacing w:before="0"/>
        <w:rPr>
          <w:i w:val="0"/>
          <w:iCs w:val="0"/>
          <w:color w:val="auto"/>
        </w:rPr>
      </w:pPr>
      <w:r w:rsidRPr="00AE1BAD">
        <w:rPr>
          <w:color w:val="auto"/>
        </w:rPr>
        <w:t>m:</w:t>
      </w:r>
      <w:r w:rsidRPr="00AE1BAD">
        <w:rPr>
          <w:color w:val="auto"/>
        </w:rPr>
        <w:tab/>
      </w:r>
      <w:r w:rsidRPr="008721F0">
        <w:rPr>
          <w:i w:val="0"/>
          <w:iCs w:val="0"/>
          <w:color w:val="auto"/>
        </w:rPr>
        <w:t>Mes para el cual se calcula el costo máximo.</w:t>
      </w:r>
    </w:p>
    <w:p w14:paraId="7ED9613B" w14:textId="77777777" w:rsidR="00F5024B" w:rsidRPr="008721F0" w:rsidRDefault="00F5024B" w:rsidP="00F5024B">
      <w:pPr>
        <w:spacing w:before="0"/>
        <w:rPr>
          <w:i w:val="0"/>
          <w:iCs w:val="0"/>
          <w:color w:val="auto"/>
        </w:rPr>
      </w:pPr>
      <w:proofErr w:type="spellStart"/>
      <w:proofErr w:type="gramStart"/>
      <w:r w:rsidRPr="00AE1BAD">
        <w:rPr>
          <w:color w:val="auto"/>
        </w:rPr>
        <w:t>CVRT</w:t>
      </w:r>
      <w:r w:rsidRPr="00094C8C">
        <w:rPr>
          <w:color w:val="auto"/>
          <w:vertAlign w:val="subscript"/>
        </w:rPr>
        <w:t>j,m</w:t>
      </w:r>
      <w:proofErr w:type="spellEnd"/>
      <w:proofErr w:type="gramEnd"/>
      <w:r w:rsidRPr="00AE1BAD">
        <w:rPr>
          <w:color w:val="auto"/>
        </w:rPr>
        <w:t>:</w:t>
      </w:r>
      <w:r w:rsidRPr="00AE1BAD">
        <w:rPr>
          <w:color w:val="auto"/>
        </w:rPr>
        <w:tab/>
      </w:r>
      <w:r w:rsidRPr="008721F0">
        <w:rPr>
          <w:i w:val="0"/>
          <w:iCs w:val="0"/>
          <w:color w:val="auto"/>
        </w:rPr>
        <w:t xml:space="preserve">Fracción del costo máximo del terreno no remunerado de la subestación </w:t>
      </w:r>
      <w:r w:rsidRPr="008721F0">
        <w:rPr>
          <w:color w:val="auto"/>
        </w:rPr>
        <w:t>j</w:t>
      </w:r>
      <w:r w:rsidRPr="008721F0">
        <w:rPr>
          <w:i w:val="0"/>
          <w:iCs w:val="0"/>
          <w:color w:val="auto"/>
        </w:rPr>
        <w:t>, en el mes m, en pesos corrientes.</w:t>
      </w:r>
    </w:p>
    <w:p w14:paraId="747417DB" w14:textId="77777777" w:rsidR="00F5024B" w:rsidRPr="00AE1BAD" w:rsidRDefault="00F5024B" w:rsidP="00F5024B">
      <w:pPr>
        <w:spacing w:before="0"/>
        <w:rPr>
          <w:color w:val="auto"/>
        </w:rPr>
      </w:pPr>
      <w:proofErr w:type="spellStart"/>
      <w:r w:rsidRPr="00AE1BAD">
        <w:rPr>
          <w:color w:val="auto"/>
        </w:rPr>
        <w:t>AT</w:t>
      </w:r>
      <w:r w:rsidRPr="00094C8C">
        <w:rPr>
          <w:color w:val="auto"/>
          <w:vertAlign w:val="subscript"/>
        </w:rPr>
        <w:t>j</w:t>
      </w:r>
      <w:proofErr w:type="spellEnd"/>
      <w:r w:rsidRPr="00AE1BAD">
        <w:rPr>
          <w:color w:val="auto"/>
        </w:rPr>
        <w:t>:</w:t>
      </w:r>
      <w:r w:rsidRPr="00AE1BAD">
        <w:rPr>
          <w:color w:val="auto"/>
        </w:rPr>
        <w:tab/>
      </w:r>
      <w:r w:rsidRPr="008721F0">
        <w:rPr>
          <w:i w:val="0"/>
          <w:iCs w:val="0"/>
          <w:color w:val="auto"/>
        </w:rPr>
        <w:t xml:space="preserve">Área de la subestación </w:t>
      </w:r>
      <w:r w:rsidRPr="008721F0">
        <w:rPr>
          <w:color w:val="auto"/>
        </w:rPr>
        <w:t>j</w:t>
      </w:r>
      <w:r w:rsidRPr="008721F0">
        <w:rPr>
          <w:i w:val="0"/>
          <w:iCs w:val="0"/>
          <w:color w:val="auto"/>
        </w:rPr>
        <w:t xml:space="preserve"> en</w:t>
      </w:r>
      <w:r w:rsidRPr="00AE1BAD">
        <w:rPr>
          <w:color w:val="auto"/>
        </w:rPr>
        <w:t xml:space="preserve"> m</w:t>
      </w:r>
      <w:r w:rsidRPr="00AE1BAD">
        <w:rPr>
          <w:color w:val="auto"/>
          <w:vertAlign w:val="superscript"/>
        </w:rPr>
        <w:t>2</w:t>
      </w:r>
      <w:r w:rsidRPr="00AE1BAD">
        <w:rPr>
          <w:color w:val="auto"/>
        </w:rPr>
        <w:t xml:space="preserve">. </w:t>
      </w:r>
    </w:p>
    <w:p w14:paraId="24C41D7A" w14:textId="77777777" w:rsidR="00F5024B" w:rsidRPr="00AE1BAD" w:rsidRDefault="00F5024B" w:rsidP="00F5024B">
      <w:pPr>
        <w:spacing w:before="0"/>
        <w:rPr>
          <w:color w:val="auto"/>
        </w:rPr>
      </w:pPr>
      <w:proofErr w:type="spellStart"/>
      <w:proofErr w:type="gramStart"/>
      <w:r w:rsidRPr="00AE1BAD">
        <w:rPr>
          <w:color w:val="auto"/>
        </w:rPr>
        <w:t>VCT</w:t>
      </w:r>
      <w:r w:rsidRPr="00094C8C">
        <w:rPr>
          <w:color w:val="auto"/>
          <w:vertAlign w:val="subscript"/>
        </w:rPr>
        <w:t>j,m</w:t>
      </w:r>
      <w:proofErr w:type="spellEnd"/>
      <w:proofErr w:type="gramEnd"/>
      <w:r w:rsidRPr="00AE1BAD">
        <w:rPr>
          <w:color w:val="auto"/>
        </w:rPr>
        <w:t>:</w:t>
      </w:r>
      <w:r w:rsidRPr="00AE1BAD">
        <w:rPr>
          <w:color w:val="auto"/>
        </w:rPr>
        <w:tab/>
      </w:r>
      <w:r w:rsidRPr="008721F0">
        <w:rPr>
          <w:i w:val="0"/>
          <w:iCs w:val="0"/>
          <w:color w:val="auto"/>
        </w:rPr>
        <w:t>Valor Catastral del Terreno</w:t>
      </w:r>
      <w:r w:rsidRPr="00AE1BAD">
        <w:rPr>
          <w:color w:val="auto"/>
        </w:rPr>
        <w:t xml:space="preserve"> ($/m</w:t>
      </w:r>
      <w:r w:rsidRPr="00AE1BAD">
        <w:rPr>
          <w:color w:val="auto"/>
          <w:vertAlign w:val="superscript"/>
        </w:rPr>
        <w:t>2</w:t>
      </w:r>
      <w:r w:rsidRPr="00AE1BAD">
        <w:rPr>
          <w:color w:val="auto"/>
        </w:rPr>
        <w:t xml:space="preserve">) </w:t>
      </w:r>
      <w:r w:rsidRPr="008721F0">
        <w:rPr>
          <w:i w:val="0"/>
          <w:iCs w:val="0"/>
          <w:color w:val="auto"/>
        </w:rPr>
        <w:t>correspondiente a la subestación</w:t>
      </w:r>
      <w:r w:rsidRPr="00AE1BAD">
        <w:rPr>
          <w:color w:val="auto"/>
        </w:rPr>
        <w:t xml:space="preserve"> j, </w:t>
      </w:r>
      <w:r w:rsidRPr="008721F0">
        <w:rPr>
          <w:i w:val="0"/>
          <w:iCs w:val="0"/>
          <w:color w:val="auto"/>
        </w:rPr>
        <w:t>en el mes</w:t>
      </w:r>
      <w:r w:rsidRPr="00AE1BAD">
        <w:rPr>
          <w:color w:val="auto"/>
        </w:rPr>
        <w:t xml:space="preserve"> m. </w:t>
      </w:r>
      <w:r w:rsidRPr="008721F0">
        <w:rPr>
          <w:i w:val="0"/>
          <w:iCs w:val="0"/>
          <w:color w:val="auto"/>
        </w:rPr>
        <w:t>En pesos del mes en el cual se reconoce este valor.</w:t>
      </w:r>
    </w:p>
    <w:p w14:paraId="12ABA0F9" w14:textId="77777777" w:rsidR="00F5024B" w:rsidRPr="005403D7" w:rsidRDefault="00F5024B" w:rsidP="00F5024B">
      <w:pPr>
        <w:spacing w:before="0"/>
        <w:rPr>
          <w:color w:val="auto"/>
        </w:rPr>
      </w:pPr>
      <w:r w:rsidRPr="005403D7">
        <w:rPr>
          <w:color w:val="auto"/>
        </w:rPr>
        <w:t>AS:</w:t>
      </w:r>
      <w:r w:rsidRPr="005403D7">
        <w:rPr>
          <w:color w:val="auto"/>
        </w:rPr>
        <w:tab/>
      </w:r>
      <w:r w:rsidRPr="008721F0">
        <w:rPr>
          <w:i w:val="0"/>
          <w:iCs w:val="0"/>
          <w:color w:val="auto"/>
        </w:rPr>
        <w:t>Número de años de servicio de la subestación</w:t>
      </w:r>
      <w:r w:rsidRPr="005403D7">
        <w:rPr>
          <w:color w:val="auto"/>
        </w:rPr>
        <w:t xml:space="preserve">. </w:t>
      </w:r>
    </w:p>
    <w:p w14:paraId="5D4B2727" w14:textId="77777777" w:rsidR="00F5024B" w:rsidRPr="005403D7" w:rsidRDefault="00F5024B" w:rsidP="00F5024B">
      <w:pPr>
        <w:spacing w:before="0"/>
        <w:rPr>
          <w:color w:val="auto"/>
        </w:rPr>
      </w:pPr>
      <w:r w:rsidRPr="005403D7">
        <w:rPr>
          <w:color w:val="auto"/>
        </w:rPr>
        <w:t>p:</w:t>
      </w:r>
      <w:r w:rsidRPr="005403D7">
        <w:rPr>
          <w:color w:val="auto"/>
        </w:rPr>
        <w:tab/>
      </w:r>
      <w:r w:rsidRPr="008721F0">
        <w:rPr>
          <w:i w:val="0"/>
          <w:iCs w:val="0"/>
          <w:color w:val="auto"/>
        </w:rPr>
        <w:t>Año de servicio</w:t>
      </w:r>
      <w:r w:rsidRPr="005403D7">
        <w:rPr>
          <w:color w:val="auto"/>
        </w:rPr>
        <w:t>.</w:t>
      </w:r>
    </w:p>
    <w:p w14:paraId="2729F3F0" w14:textId="77777777" w:rsidR="00F5024B" w:rsidRPr="008721F0" w:rsidRDefault="00F5024B" w:rsidP="00F5024B">
      <w:pPr>
        <w:spacing w:before="0"/>
        <w:rPr>
          <w:i w:val="0"/>
          <w:iCs w:val="0"/>
          <w:color w:val="auto"/>
        </w:rPr>
      </w:pPr>
      <w:proofErr w:type="spellStart"/>
      <w:proofErr w:type="gramStart"/>
      <w:r w:rsidRPr="005403D7">
        <w:rPr>
          <w:color w:val="auto"/>
        </w:rPr>
        <w:t>CAT</w:t>
      </w:r>
      <w:r w:rsidRPr="00094C8C">
        <w:rPr>
          <w:color w:val="auto"/>
          <w:vertAlign w:val="subscript"/>
        </w:rPr>
        <w:t>j,p</w:t>
      </w:r>
      <w:proofErr w:type="spellEnd"/>
      <w:proofErr w:type="gramEnd"/>
      <w:r w:rsidRPr="005403D7">
        <w:rPr>
          <w:color w:val="auto"/>
        </w:rPr>
        <w:t>:</w:t>
      </w:r>
      <w:r w:rsidRPr="005403D7">
        <w:rPr>
          <w:color w:val="auto"/>
        </w:rPr>
        <w:tab/>
      </w:r>
      <w:r w:rsidRPr="008721F0">
        <w:rPr>
          <w:i w:val="0"/>
          <w:iCs w:val="0"/>
          <w:color w:val="auto"/>
        </w:rPr>
        <w:t xml:space="preserve">Costo anual de los terrenos de la subestación </w:t>
      </w:r>
      <w:r w:rsidRPr="005403D7">
        <w:rPr>
          <w:color w:val="auto"/>
        </w:rPr>
        <w:t xml:space="preserve">j </w:t>
      </w:r>
      <w:r w:rsidRPr="008721F0">
        <w:rPr>
          <w:i w:val="0"/>
          <w:iCs w:val="0"/>
          <w:color w:val="auto"/>
        </w:rPr>
        <w:t>del año de servicio</w:t>
      </w:r>
      <w:r w:rsidRPr="005403D7">
        <w:rPr>
          <w:color w:val="auto"/>
        </w:rPr>
        <w:t xml:space="preserve"> p, </w:t>
      </w:r>
      <w:r w:rsidRPr="008721F0">
        <w:rPr>
          <w:i w:val="0"/>
          <w:iCs w:val="0"/>
          <w:color w:val="auto"/>
        </w:rPr>
        <w:t>calculado de acuerdo con la metodología del artículo 2</w:t>
      </w:r>
      <w:r>
        <w:rPr>
          <w:i w:val="0"/>
          <w:iCs w:val="0"/>
          <w:color w:val="auto"/>
        </w:rPr>
        <w:t>8</w:t>
      </w:r>
      <w:r w:rsidRPr="008721F0">
        <w:rPr>
          <w:i w:val="0"/>
          <w:iCs w:val="0"/>
          <w:color w:val="auto"/>
        </w:rPr>
        <w:t xml:space="preserve"> de la presente Resolución, en pesos constantes del mes de presentación de la oferta por parte del prestador del Servicio de Alumbrado Público.</w:t>
      </w:r>
    </w:p>
    <w:p w14:paraId="0F7FFFD4" w14:textId="77777777" w:rsidR="00F5024B" w:rsidRPr="005403D7" w:rsidRDefault="00F5024B" w:rsidP="00F5024B">
      <w:pPr>
        <w:spacing w:before="0"/>
        <w:rPr>
          <w:color w:val="auto"/>
        </w:rPr>
      </w:pPr>
      <w:r w:rsidRPr="005403D7">
        <w:rPr>
          <w:color w:val="auto"/>
        </w:rPr>
        <w:lastRenderedPageBreak/>
        <w:t>IPP</w:t>
      </w:r>
      <w:r w:rsidRPr="005403D7">
        <w:rPr>
          <w:color w:val="auto"/>
          <w:vertAlign w:val="subscript"/>
        </w:rPr>
        <w:t>m-1</w:t>
      </w:r>
      <w:r w:rsidRPr="005403D7">
        <w:rPr>
          <w:color w:val="auto"/>
          <w:vertAlign w:val="subscript"/>
        </w:rPr>
        <w:tab/>
      </w:r>
      <w:r w:rsidRPr="008721F0">
        <w:rPr>
          <w:i w:val="0"/>
          <w:iCs w:val="0"/>
          <w:color w:val="auto"/>
        </w:rPr>
        <w:t>Índice de Precios al Productor Total Nacional reportado por la autoridad competente correspondiente al mes</w:t>
      </w:r>
      <w:r w:rsidRPr="005403D7">
        <w:rPr>
          <w:color w:val="auto"/>
        </w:rPr>
        <w:t xml:space="preserve"> m-1. </w:t>
      </w:r>
    </w:p>
    <w:p w14:paraId="3C861FFD" w14:textId="77777777" w:rsidR="00F5024B" w:rsidRPr="005403D7" w:rsidRDefault="00F5024B" w:rsidP="00F5024B">
      <w:pPr>
        <w:spacing w:before="0" w:after="0"/>
        <w:rPr>
          <w:color w:val="auto"/>
        </w:rPr>
      </w:pPr>
      <w:proofErr w:type="spellStart"/>
      <w:r w:rsidRPr="005403D7">
        <w:rPr>
          <w:color w:val="auto"/>
        </w:rPr>
        <w:t>IPP</w:t>
      </w:r>
      <w:r w:rsidRPr="00094C8C">
        <w:rPr>
          <w:color w:val="auto"/>
          <w:vertAlign w:val="subscript"/>
        </w:rPr>
        <w:t>p</w:t>
      </w:r>
      <w:proofErr w:type="spellEnd"/>
      <w:r w:rsidRPr="005403D7">
        <w:rPr>
          <w:color w:val="auto"/>
        </w:rPr>
        <w:tab/>
      </w:r>
      <w:r w:rsidRPr="008721F0">
        <w:rPr>
          <w:i w:val="0"/>
          <w:iCs w:val="0"/>
          <w:color w:val="auto"/>
        </w:rPr>
        <w:t>Índice de Precios al Productor Total Nacional reportado por la autoridad competente correspondiente al mes en el cual se pagó el</w:t>
      </w:r>
      <w:r w:rsidRPr="005403D7">
        <w:rPr>
          <w:color w:val="auto"/>
        </w:rPr>
        <w:t xml:space="preserve"> </w:t>
      </w:r>
      <w:proofErr w:type="spellStart"/>
      <w:r w:rsidRPr="005403D7">
        <w:rPr>
          <w:color w:val="auto"/>
        </w:rPr>
        <w:t>CATn</w:t>
      </w:r>
      <w:proofErr w:type="spellEnd"/>
      <w:r w:rsidRPr="005403D7">
        <w:rPr>
          <w:color w:val="auto"/>
        </w:rPr>
        <w:t xml:space="preserve"> </w:t>
      </w:r>
      <w:r w:rsidRPr="008721F0">
        <w:rPr>
          <w:i w:val="0"/>
          <w:iCs w:val="0"/>
          <w:color w:val="auto"/>
        </w:rPr>
        <w:t>del terreno de la subestación.</w:t>
      </w:r>
    </w:p>
    <w:p w14:paraId="0085FAB1" w14:textId="77777777" w:rsidR="00F5024B" w:rsidRPr="005403D7" w:rsidRDefault="00F5024B" w:rsidP="00F5024B">
      <w:pPr>
        <w:spacing w:before="0" w:after="0"/>
        <w:rPr>
          <w:color w:val="auto"/>
        </w:rPr>
      </w:pPr>
    </w:p>
    <w:p w14:paraId="2EEEFA3F" w14:textId="77777777" w:rsidR="00F5024B" w:rsidRPr="008721F0" w:rsidRDefault="00F5024B" w:rsidP="00F5024B">
      <w:pPr>
        <w:spacing w:before="0" w:after="0"/>
        <w:ind w:left="0" w:firstLine="0"/>
        <w:rPr>
          <w:i w:val="0"/>
          <w:iCs w:val="0"/>
          <w:color w:val="auto"/>
        </w:rPr>
      </w:pPr>
      <w:r w:rsidRPr="008721F0">
        <w:rPr>
          <w:b/>
          <w:i w:val="0"/>
          <w:iCs w:val="0"/>
          <w:color w:val="auto"/>
        </w:rPr>
        <w:t>Parágrafo</w:t>
      </w:r>
      <w:r w:rsidRPr="008721F0">
        <w:rPr>
          <w:i w:val="0"/>
          <w:iCs w:val="0"/>
          <w:color w:val="auto"/>
        </w:rPr>
        <w:t>.</w:t>
      </w:r>
      <w:r w:rsidRPr="008721F0">
        <w:rPr>
          <w:i w:val="0"/>
          <w:iCs w:val="0"/>
          <w:color w:val="auto"/>
        </w:rPr>
        <w:tab/>
        <w:t>Si el valor actualizado del costo anual del terreno de la subestación j, es igual o superior al valor catastral del terreno del mes m, no habrá lugar a pago de valor remanente, por cuanto se considera que el municipio o distrito ya pagó la totalidad del terreno.</w:t>
      </w:r>
    </w:p>
    <w:p w14:paraId="2103013B" w14:textId="77777777" w:rsidR="00F5024B" w:rsidRPr="00030D04" w:rsidRDefault="00F5024B" w:rsidP="00F5024B">
      <w:pPr>
        <w:pStyle w:val="Artculo1"/>
        <w:keepNext w:val="0"/>
        <w:ind w:left="0" w:firstLine="0"/>
        <w:rPr>
          <w:b w:val="0"/>
          <w:bCs w:val="0"/>
          <w:i w:val="0"/>
          <w:iCs w:val="0"/>
          <w:color w:val="auto"/>
        </w:rPr>
      </w:pPr>
      <w:r w:rsidRPr="424DE6E4">
        <w:rPr>
          <w:i w:val="0"/>
          <w:iCs w:val="0"/>
          <w:color w:val="auto"/>
        </w:rPr>
        <w:t xml:space="preserve">Costo Máximo Vida Útil Remanente de los Activos No Eléctricos del SALP. </w:t>
      </w:r>
      <w:r w:rsidRPr="424DE6E4">
        <w:rPr>
          <w:b w:val="0"/>
          <w:bCs w:val="0"/>
          <w:i w:val="0"/>
          <w:iCs w:val="0"/>
          <w:color w:val="auto"/>
        </w:rPr>
        <w:t>El costo máximo de los activos no eléctricos, asignados a cada activo eléctrico del nivel de tensión n, se determinará así:</w:t>
      </w:r>
    </w:p>
    <w:p w14:paraId="0B52F836" w14:textId="77777777" w:rsidR="00F5024B" w:rsidRPr="00030D04" w:rsidRDefault="00F5024B" w:rsidP="00F5024B">
      <w:pPr>
        <w:spacing w:before="0" w:after="0"/>
        <w:rPr>
          <w:color w:val="auto"/>
        </w:rPr>
      </w:pPr>
    </w:p>
    <w:p w14:paraId="0908DB31" w14:textId="77777777" w:rsidR="00F5024B" w:rsidRPr="00030D04" w:rsidRDefault="00F5024B" w:rsidP="00F5024B">
      <w:pPr>
        <w:spacing w:before="0" w:after="0"/>
        <w:ind w:left="0" w:firstLine="0"/>
        <w:rPr>
          <w:b/>
          <w:color w:val="auto"/>
        </w:rPr>
      </w:pPr>
      <m:oMathPara>
        <m:oMath>
          <m:r>
            <w:rPr>
              <w:rFonts w:ascii="Cambria Math" w:hAnsi="Cambria Math"/>
              <w:color w:val="auto"/>
            </w:rPr>
            <m:t>CVURANE=NE*</m:t>
          </m:r>
          <m:d>
            <m:dPr>
              <m:ctrlPr>
                <w:rPr>
                  <w:rFonts w:ascii="Cambria Math" w:hAnsi="Cambria Math"/>
                  <w:color w:val="auto"/>
                </w:rPr>
              </m:ctrlPr>
            </m:dPr>
            <m:e>
              <m:nary>
                <m:naryPr>
                  <m:chr m:val="∑"/>
                  <m:grow m:val="1"/>
                  <m:ctrlPr>
                    <w:rPr>
                      <w:rFonts w:ascii="Cambria Math" w:hAnsi="Cambria Math"/>
                      <w:color w:val="auto"/>
                    </w:rPr>
                  </m:ctrlPr>
                </m:naryPr>
                <m:sub>
                  <m:r>
                    <w:rPr>
                      <w:rFonts w:ascii="Cambria Math" w:hAnsi="Cambria Math"/>
                      <w:color w:val="auto"/>
                    </w:rPr>
                    <m:t>i=1</m:t>
                  </m:r>
                </m:sub>
                <m:sup>
                  <m:r>
                    <w:rPr>
                      <w:rFonts w:ascii="Cambria Math" w:hAnsi="Cambria Math"/>
                      <w:color w:val="auto"/>
                    </w:rPr>
                    <m:t>NR</m:t>
                  </m:r>
                </m:sup>
                <m:e>
                  <m:r>
                    <w:rPr>
                      <w:rFonts w:ascii="Cambria Math" w:hAnsi="Cambria Math"/>
                      <w:color w:val="auto"/>
                    </w:rPr>
                    <m:t>CVURA</m:t>
                  </m:r>
                  <m:sSub>
                    <m:sSubPr>
                      <m:ctrlPr>
                        <w:rPr>
                          <w:rFonts w:ascii="Cambria Math" w:hAnsi="Cambria Math"/>
                          <w:color w:val="auto"/>
                        </w:rPr>
                      </m:ctrlPr>
                    </m:sSubPr>
                    <m:e>
                      <m:r>
                        <w:rPr>
                          <w:rFonts w:ascii="Cambria Math" w:hAnsi="Cambria Math"/>
                          <w:color w:val="auto"/>
                        </w:rPr>
                        <m:t>E</m:t>
                      </m:r>
                    </m:e>
                    <m:sub>
                      <m:r>
                        <w:rPr>
                          <w:rFonts w:ascii="Cambria Math" w:eastAsia="Cambria Math" w:hAnsi="Cambria Math" w:cs="Cambria Math"/>
                          <w:color w:val="auto"/>
                        </w:rPr>
                        <m:t>i</m:t>
                      </m:r>
                    </m:sub>
                  </m:sSub>
                </m:e>
              </m:nary>
              <m:r>
                <w:rPr>
                  <w:rFonts w:ascii="Cambria Math" w:hAnsi="Cambria Math"/>
                  <w:color w:val="auto"/>
                </w:rPr>
                <m:t>+</m:t>
              </m:r>
              <m:nary>
                <m:naryPr>
                  <m:chr m:val="∑"/>
                  <m:grow m:val="1"/>
                  <m:ctrlPr>
                    <w:rPr>
                      <w:rFonts w:ascii="Cambria Math" w:hAnsi="Cambria Math"/>
                      <w:color w:val="auto"/>
                    </w:rPr>
                  </m:ctrlPr>
                </m:naryPr>
                <m:sub>
                  <m:r>
                    <w:rPr>
                      <w:rFonts w:ascii="Cambria Math" w:hAnsi="Cambria Math"/>
                      <w:color w:val="auto"/>
                    </w:rPr>
                    <m:t>k=1</m:t>
                  </m:r>
                </m:sub>
                <m:sup>
                  <m:r>
                    <w:rPr>
                      <w:rFonts w:ascii="Cambria Math" w:hAnsi="Cambria Math"/>
                      <w:color w:val="auto"/>
                    </w:rPr>
                    <m:t>NT</m:t>
                  </m:r>
                </m:sup>
                <m:e>
                  <m:r>
                    <w:rPr>
                      <w:rFonts w:ascii="Cambria Math" w:hAnsi="Cambria Math"/>
                      <w:color w:val="auto"/>
                    </w:rPr>
                    <m:t>CVURA</m:t>
                  </m:r>
                  <m:sSub>
                    <m:sSubPr>
                      <m:ctrlPr>
                        <w:rPr>
                          <w:rFonts w:ascii="Cambria Math" w:hAnsi="Cambria Math"/>
                          <w:color w:val="auto"/>
                        </w:rPr>
                      </m:ctrlPr>
                    </m:sSubPr>
                    <m:e>
                      <m:r>
                        <w:rPr>
                          <w:rFonts w:ascii="Cambria Math" w:hAnsi="Cambria Math"/>
                          <w:color w:val="auto"/>
                        </w:rPr>
                        <m:t>E</m:t>
                      </m:r>
                    </m:e>
                    <m:sub>
                      <m:r>
                        <w:rPr>
                          <w:rFonts w:ascii="Cambria Math" w:eastAsia="Cambria Math" w:hAnsi="Cambria Math" w:cs="Cambria Math"/>
                          <w:color w:val="auto"/>
                        </w:rPr>
                        <m:t>k</m:t>
                      </m:r>
                    </m:sub>
                  </m:sSub>
                </m:e>
              </m:nary>
            </m:e>
          </m:d>
        </m:oMath>
      </m:oMathPara>
    </w:p>
    <w:p w14:paraId="33CD9F09" w14:textId="77777777" w:rsidR="00F5024B" w:rsidRPr="00030D04" w:rsidRDefault="00F5024B" w:rsidP="00F5024B">
      <w:pPr>
        <w:spacing w:before="0" w:after="0"/>
        <w:rPr>
          <w:color w:val="auto"/>
        </w:rPr>
      </w:pPr>
      <w:r w:rsidRPr="00030D04">
        <w:rPr>
          <w:color w:val="auto"/>
        </w:rPr>
        <w:t>Donde:</w:t>
      </w:r>
    </w:p>
    <w:p w14:paraId="725AEF40" w14:textId="77777777" w:rsidR="00F5024B" w:rsidRPr="00030D04" w:rsidRDefault="00F5024B" w:rsidP="00F5024B">
      <w:pPr>
        <w:pStyle w:val="Textoindependiente"/>
        <w:spacing w:before="0" w:after="0"/>
        <w:jc w:val="both"/>
        <w:rPr>
          <w:rFonts w:ascii="Bookman Old Style" w:hAnsi="Bookman Old Style"/>
          <w:color w:val="auto"/>
          <w:lang w:eastAsia="en-US"/>
        </w:rPr>
      </w:pPr>
    </w:p>
    <w:p w14:paraId="25995DAE" w14:textId="77777777" w:rsidR="00F5024B" w:rsidRPr="008721F0" w:rsidRDefault="00F5024B" w:rsidP="00F5024B">
      <w:pPr>
        <w:spacing w:before="0"/>
        <w:rPr>
          <w:i w:val="0"/>
          <w:iCs w:val="0"/>
          <w:color w:val="auto"/>
        </w:rPr>
      </w:pPr>
      <w:r w:rsidRPr="001D2F92">
        <w:rPr>
          <w:color w:val="auto"/>
          <w:lang w:eastAsia="en-US"/>
        </w:rPr>
        <w:t>CVURANE:</w:t>
      </w:r>
      <w:r w:rsidRPr="001D2F92">
        <w:rPr>
          <w:color w:val="auto"/>
          <w:lang w:eastAsia="en-US"/>
        </w:rPr>
        <w:tab/>
      </w:r>
      <w:r w:rsidRPr="008721F0">
        <w:rPr>
          <w:i w:val="0"/>
          <w:iCs w:val="0"/>
          <w:color w:val="auto"/>
          <w:lang w:eastAsia="en-US"/>
        </w:rPr>
        <w:t>Costo máximo de la vida útil remanente de los activos no eléctricos en pesos corrientes</w:t>
      </w:r>
      <w:r w:rsidRPr="008721F0">
        <w:rPr>
          <w:i w:val="0"/>
          <w:iCs w:val="0"/>
          <w:color w:val="auto"/>
        </w:rPr>
        <w:t>.</w:t>
      </w:r>
    </w:p>
    <w:p w14:paraId="07AB9BFB" w14:textId="77777777" w:rsidR="00F5024B" w:rsidRPr="001D2F92" w:rsidRDefault="00F5024B" w:rsidP="00F5024B">
      <w:pPr>
        <w:spacing w:before="0"/>
        <w:rPr>
          <w:color w:val="auto"/>
        </w:rPr>
      </w:pPr>
      <w:r w:rsidRPr="001D2F92">
        <w:rPr>
          <w:color w:val="auto"/>
        </w:rPr>
        <w:t>NE:</w:t>
      </w:r>
      <w:r w:rsidRPr="001D2F92">
        <w:rPr>
          <w:color w:val="auto"/>
        </w:rPr>
        <w:tab/>
      </w:r>
      <w:r w:rsidRPr="008721F0">
        <w:rPr>
          <w:i w:val="0"/>
          <w:iCs w:val="0"/>
          <w:color w:val="auto"/>
        </w:rPr>
        <w:t xml:space="preserve">Fracción del costo máximo del activo eléctrico que se reconoce como costo máximo de la vida útil remanente de los activos no Eléctricos. </w:t>
      </w:r>
      <w:r w:rsidRPr="001D2F92">
        <w:rPr>
          <w:color w:val="auto"/>
        </w:rPr>
        <w:t xml:space="preserve">NE </w:t>
      </w:r>
      <w:r w:rsidRPr="008721F0">
        <w:rPr>
          <w:i w:val="0"/>
          <w:iCs w:val="0"/>
          <w:color w:val="auto"/>
        </w:rPr>
        <w:t>es igual a</w:t>
      </w:r>
      <w:r w:rsidRPr="001D2F92">
        <w:rPr>
          <w:color w:val="auto"/>
        </w:rPr>
        <w:t xml:space="preserve"> 0,041 </w:t>
      </w:r>
      <w:r w:rsidRPr="008721F0">
        <w:rPr>
          <w:i w:val="0"/>
          <w:iCs w:val="0"/>
          <w:color w:val="auto"/>
        </w:rPr>
        <w:t>para el nivel de Tensión 1 y 2.</w:t>
      </w:r>
    </w:p>
    <w:p w14:paraId="5D8B8F66" w14:textId="77777777" w:rsidR="00F5024B" w:rsidRPr="008721F0" w:rsidRDefault="00F5024B" w:rsidP="00F5024B">
      <w:pPr>
        <w:spacing w:before="0"/>
        <w:rPr>
          <w:i w:val="0"/>
          <w:iCs w:val="0"/>
          <w:color w:val="auto"/>
        </w:rPr>
      </w:pPr>
      <w:r w:rsidRPr="001D2F92">
        <w:rPr>
          <w:color w:val="auto"/>
        </w:rPr>
        <w:t>NR:</w:t>
      </w:r>
      <w:r w:rsidRPr="001D2F92">
        <w:rPr>
          <w:color w:val="auto"/>
        </w:rPr>
        <w:tab/>
      </w:r>
      <w:r w:rsidRPr="008721F0">
        <w:rPr>
          <w:i w:val="0"/>
          <w:iCs w:val="0"/>
          <w:color w:val="auto"/>
        </w:rPr>
        <w:t xml:space="preserve">Número total de los activos eléctricos construidos o instalados por el </w:t>
      </w:r>
      <w:r>
        <w:rPr>
          <w:i w:val="0"/>
          <w:iCs w:val="0"/>
          <w:color w:val="auto"/>
        </w:rPr>
        <w:t>prestador del servicio</w:t>
      </w:r>
      <w:r w:rsidRPr="008721F0">
        <w:rPr>
          <w:i w:val="0"/>
          <w:iCs w:val="0"/>
          <w:color w:val="auto"/>
        </w:rPr>
        <w:t xml:space="preserve">. </w:t>
      </w:r>
    </w:p>
    <w:p w14:paraId="4E092421" w14:textId="77777777" w:rsidR="00F5024B" w:rsidRPr="008721F0" w:rsidRDefault="00F5024B" w:rsidP="00F5024B">
      <w:pPr>
        <w:pStyle w:val="Textoindependiente"/>
        <w:spacing w:before="0"/>
        <w:jc w:val="both"/>
        <w:rPr>
          <w:rFonts w:ascii="Bookman Old Style" w:hAnsi="Bookman Old Style"/>
          <w:i w:val="0"/>
          <w:iCs w:val="0"/>
          <w:color w:val="auto"/>
          <w:lang w:eastAsia="en-US"/>
        </w:rPr>
      </w:pPr>
      <w:proofErr w:type="spellStart"/>
      <w:r w:rsidRPr="001D2F92">
        <w:rPr>
          <w:rFonts w:ascii="Bookman Old Style" w:hAnsi="Bookman Old Style"/>
          <w:b w:val="0"/>
          <w:bCs w:val="0"/>
          <w:color w:val="auto"/>
          <w:lang w:eastAsia="en-US"/>
        </w:rPr>
        <w:t>CVURAE</w:t>
      </w:r>
      <w:r w:rsidRPr="00094C8C">
        <w:rPr>
          <w:rFonts w:ascii="Bookman Old Style" w:hAnsi="Bookman Old Style"/>
          <w:b w:val="0"/>
          <w:bCs w:val="0"/>
          <w:color w:val="auto"/>
          <w:vertAlign w:val="subscript"/>
          <w:lang w:eastAsia="en-US"/>
        </w:rPr>
        <w:t>i</w:t>
      </w:r>
      <w:proofErr w:type="spellEnd"/>
      <w:r w:rsidRPr="001D2F92">
        <w:rPr>
          <w:rFonts w:ascii="Bookman Old Style" w:hAnsi="Bookman Old Style"/>
          <w:color w:val="auto"/>
          <w:lang w:eastAsia="en-US"/>
        </w:rPr>
        <w:t>:</w:t>
      </w:r>
      <w:r w:rsidRPr="001D2F92">
        <w:rPr>
          <w:rFonts w:ascii="Bookman Old Style" w:hAnsi="Bookman Old Style"/>
          <w:color w:val="auto"/>
          <w:lang w:eastAsia="en-US"/>
        </w:rPr>
        <w:tab/>
      </w:r>
      <w:r w:rsidRPr="008721F0">
        <w:rPr>
          <w:rFonts w:ascii="Bookman Old Style" w:hAnsi="Bookman Old Style"/>
          <w:b w:val="0"/>
          <w:bCs w:val="0"/>
          <w:i w:val="0"/>
          <w:iCs w:val="0"/>
          <w:color w:val="auto"/>
          <w:lang w:eastAsia="en-US"/>
        </w:rPr>
        <w:t>Costo máximo de la Vida Útil Remanente del activo eléctrico</w:t>
      </w:r>
      <w:r w:rsidRPr="001D2F92">
        <w:rPr>
          <w:rFonts w:ascii="Bookman Old Style" w:hAnsi="Bookman Old Style"/>
          <w:b w:val="0"/>
          <w:bCs w:val="0"/>
          <w:color w:val="auto"/>
          <w:lang w:eastAsia="en-US"/>
        </w:rPr>
        <w:t xml:space="preserve"> i. </w:t>
      </w:r>
      <w:r w:rsidRPr="008721F0">
        <w:rPr>
          <w:rFonts w:ascii="Bookman Old Style" w:hAnsi="Bookman Old Style"/>
          <w:b w:val="0"/>
          <w:bCs w:val="0"/>
          <w:i w:val="0"/>
          <w:iCs w:val="0"/>
          <w:color w:val="auto"/>
          <w:lang w:eastAsia="en-US"/>
        </w:rPr>
        <w:t xml:space="preserve">Corresponde a los activos construidos o instalados por el </w:t>
      </w:r>
      <w:r>
        <w:rPr>
          <w:rFonts w:ascii="Bookman Old Style" w:hAnsi="Bookman Old Style"/>
          <w:b w:val="0"/>
          <w:bCs w:val="0"/>
          <w:i w:val="0"/>
          <w:iCs w:val="0"/>
          <w:color w:val="auto"/>
          <w:lang w:eastAsia="en-US"/>
        </w:rPr>
        <w:t xml:space="preserve">encargado </w:t>
      </w:r>
      <w:r w:rsidRPr="008721F0">
        <w:rPr>
          <w:rFonts w:ascii="Bookman Old Style" w:hAnsi="Bookman Old Style"/>
          <w:b w:val="0"/>
          <w:bCs w:val="0"/>
          <w:i w:val="0"/>
          <w:iCs w:val="0"/>
          <w:color w:val="auto"/>
          <w:lang w:eastAsia="en-US"/>
        </w:rPr>
        <w:t>de la inversión en pesos corrientes</w:t>
      </w:r>
    </w:p>
    <w:p w14:paraId="4FBBEB4A" w14:textId="77777777" w:rsidR="00F5024B" w:rsidRPr="008721F0" w:rsidRDefault="00F5024B" w:rsidP="00F5024B">
      <w:pPr>
        <w:spacing w:before="0"/>
        <w:rPr>
          <w:i w:val="0"/>
          <w:iCs w:val="0"/>
          <w:color w:val="auto"/>
        </w:rPr>
      </w:pPr>
      <w:r w:rsidRPr="001D2F92">
        <w:rPr>
          <w:color w:val="auto"/>
        </w:rPr>
        <w:t>NT:</w:t>
      </w:r>
      <w:r w:rsidRPr="001D2F92">
        <w:rPr>
          <w:color w:val="auto"/>
        </w:rPr>
        <w:tab/>
      </w:r>
      <w:r w:rsidRPr="008721F0">
        <w:rPr>
          <w:i w:val="0"/>
          <w:iCs w:val="0"/>
          <w:color w:val="auto"/>
        </w:rPr>
        <w:t>Número total de los activos eléctricos de propiedad del municipio o distrito.</w:t>
      </w:r>
    </w:p>
    <w:p w14:paraId="773E65E6" w14:textId="712A7956" w:rsidR="00F5024B" w:rsidRPr="001D2F92" w:rsidRDefault="00F5024B" w:rsidP="00F5024B">
      <w:pPr>
        <w:pStyle w:val="Textoindependiente"/>
        <w:spacing w:before="0" w:after="0"/>
        <w:jc w:val="both"/>
        <w:rPr>
          <w:rFonts w:ascii="Bookman Old Style" w:hAnsi="Bookman Old Style"/>
          <w:color w:val="auto"/>
          <w:lang w:eastAsia="en-US"/>
        </w:rPr>
      </w:pPr>
      <w:proofErr w:type="spellStart"/>
      <w:r w:rsidRPr="001D2F92">
        <w:rPr>
          <w:rFonts w:ascii="Bookman Old Style" w:hAnsi="Bookman Old Style"/>
          <w:b w:val="0"/>
          <w:bCs w:val="0"/>
          <w:color w:val="auto"/>
          <w:lang w:eastAsia="en-US"/>
        </w:rPr>
        <w:t>CVURAE</w:t>
      </w:r>
      <w:r w:rsidRPr="00094C8C">
        <w:rPr>
          <w:rFonts w:ascii="Bookman Old Style" w:hAnsi="Bookman Old Style"/>
          <w:b w:val="0"/>
          <w:bCs w:val="0"/>
          <w:color w:val="auto"/>
          <w:vertAlign w:val="subscript"/>
          <w:lang w:eastAsia="en-US"/>
        </w:rPr>
        <w:t>k</w:t>
      </w:r>
      <w:proofErr w:type="spellEnd"/>
      <w:r w:rsidRPr="001D2F92">
        <w:rPr>
          <w:rFonts w:ascii="Bookman Old Style" w:hAnsi="Bookman Old Style"/>
          <w:color w:val="auto"/>
          <w:lang w:eastAsia="en-US"/>
        </w:rPr>
        <w:t>:</w:t>
      </w:r>
      <w:r w:rsidRPr="001D2F92">
        <w:rPr>
          <w:rFonts w:ascii="Bookman Old Style" w:hAnsi="Bookman Old Style"/>
          <w:color w:val="auto"/>
          <w:lang w:eastAsia="en-US"/>
        </w:rPr>
        <w:tab/>
      </w:r>
      <w:r w:rsidRPr="008721F0">
        <w:rPr>
          <w:rFonts w:ascii="Bookman Old Style" w:hAnsi="Bookman Old Style"/>
          <w:b w:val="0"/>
          <w:bCs w:val="0"/>
          <w:i w:val="0"/>
          <w:iCs w:val="0"/>
          <w:color w:val="auto"/>
          <w:lang w:eastAsia="en-US"/>
        </w:rPr>
        <w:t>Costo máximo de la Vida Útil Remanente del activo eléctrico</w:t>
      </w:r>
      <w:r w:rsidRPr="001D2F92">
        <w:rPr>
          <w:rFonts w:ascii="Bookman Old Style" w:hAnsi="Bookman Old Style"/>
          <w:b w:val="0"/>
          <w:bCs w:val="0"/>
          <w:color w:val="auto"/>
          <w:lang w:eastAsia="en-US"/>
        </w:rPr>
        <w:t xml:space="preserve"> k. </w:t>
      </w:r>
      <w:r w:rsidRPr="008721F0">
        <w:rPr>
          <w:rFonts w:ascii="Bookman Old Style" w:hAnsi="Bookman Old Style"/>
          <w:b w:val="0"/>
          <w:bCs w:val="0"/>
          <w:i w:val="0"/>
          <w:iCs w:val="0"/>
          <w:color w:val="auto"/>
          <w:lang w:eastAsia="en-US"/>
        </w:rPr>
        <w:t xml:space="preserve">Corresponde a los activos de propiedad del municipio o distrito. Calculado de acuerdo </w:t>
      </w:r>
      <w:r w:rsidR="00584DB2">
        <w:rPr>
          <w:rFonts w:ascii="Bookman Old Style" w:hAnsi="Bookman Old Style"/>
          <w:b w:val="0"/>
          <w:bCs w:val="0"/>
          <w:i w:val="0"/>
          <w:iCs w:val="0"/>
          <w:color w:val="auto"/>
          <w:lang w:eastAsia="en-US"/>
        </w:rPr>
        <w:t>con e</w:t>
      </w:r>
      <w:r w:rsidR="00584DB2" w:rsidRPr="008721F0">
        <w:rPr>
          <w:rFonts w:ascii="Bookman Old Style" w:hAnsi="Bookman Old Style"/>
          <w:b w:val="0"/>
          <w:bCs w:val="0"/>
          <w:i w:val="0"/>
          <w:iCs w:val="0"/>
          <w:color w:val="auto"/>
          <w:lang w:eastAsia="en-US"/>
        </w:rPr>
        <w:t xml:space="preserve">l </w:t>
      </w:r>
      <w:r w:rsidRPr="008721F0">
        <w:rPr>
          <w:rFonts w:ascii="Bookman Old Style" w:hAnsi="Bookman Old Style"/>
          <w:b w:val="0"/>
          <w:bCs w:val="0"/>
          <w:i w:val="0"/>
          <w:iCs w:val="0"/>
          <w:color w:val="auto"/>
          <w:lang w:eastAsia="en-US"/>
        </w:rPr>
        <w:t xml:space="preserve">artículo </w:t>
      </w:r>
      <w:r>
        <w:rPr>
          <w:rFonts w:ascii="Bookman Old Style" w:hAnsi="Bookman Old Style"/>
          <w:b w:val="0"/>
          <w:bCs w:val="0"/>
          <w:i w:val="0"/>
          <w:iCs w:val="0"/>
          <w:color w:val="auto"/>
          <w:lang w:eastAsia="en-US"/>
        </w:rPr>
        <w:t>32</w:t>
      </w:r>
      <w:r w:rsidRPr="008721F0">
        <w:rPr>
          <w:rFonts w:ascii="Bookman Old Style" w:hAnsi="Bookman Old Style"/>
          <w:b w:val="0"/>
          <w:bCs w:val="0"/>
          <w:i w:val="0"/>
          <w:iCs w:val="0"/>
          <w:color w:val="auto"/>
          <w:lang w:eastAsia="en-US"/>
        </w:rPr>
        <w:t>, de la presente resolución, en pesos corrientes.</w:t>
      </w:r>
      <w:r w:rsidRPr="008721F0">
        <w:rPr>
          <w:rFonts w:ascii="Bookman Old Style" w:hAnsi="Bookman Old Style"/>
          <w:i w:val="0"/>
          <w:iCs w:val="0"/>
          <w:color w:val="auto"/>
          <w:lang w:eastAsia="en-US"/>
        </w:rPr>
        <w:t xml:space="preserve"> </w:t>
      </w:r>
    </w:p>
    <w:p w14:paraId="2FD8179A" w14:textId="77777777" w:rsidR="00F5024B" w:rsidRPr="00E811AD" w:rsidRDefault="00F5024B" w:rsidP="00F5024B">
      <w:pPr>
        <w:spacing w:before="0" w:after="0"/>
        <w:rPr>
          <w:i w:val="0"/>
          <w:iCs w:val="0"/>
          <w:color w:val="auto"/>
        </w:rPr>
      </w:pPr>
    </w:p>
    <w:p w14:paraId="100E29EB" w14:textId="77777777" w:rsidR="00F5024B" w:rsidRPr="00E811AD" w:rsidRDefault="00F5024B" w:rsidP="00F5024B">
      <w:pPr>
        <w:spacing w:before="0" w:after="0"/>
        <w:rPr>
          <w:i w:val="0"/>
          <w:iCs w:val="0"/>
          <w:color w:val="auto"/>
        </w:rPr>
      </w:pPr>
    </w:p>
    <w:p w14:paraId="0A6ACDFA" w14:textId="77777777" w:rsidR="00F5024B" w:rsidRPr="00E811AD" w:rsidRDefault="00F5024B" w:rsidP="00F5024B">
      <w:pPr>
        <w:spacing w:before="0" w:after="0"/>
        <w:ind w:left="0" w:firstLine="0"/>
        <w:jc w:val="center"/>
        <w:rPr>
          <w:b/>
          <w:bCs/>
          <w:i w:val="0"/>
          <w:iCs w:val="0"/>
          <w:color w:val="auto"/>
        </w:rPr>
      </w:pPr>
      <w:r w:rsidRPr="00E811AD">
        <w:rPr>
          <w:b/>
          <w:bCs/>
          <w:i w:val="0"/>
          <w:iCs w:val="0"/>
          <w:color w:val="auto"/>
        </w:rPr>
        <w:t>CAPITULO V</w:t>
      </w:r>
    </w:p>
    <w:p w14:paraId="3E6CACBD" w14:textId="77777777" w:rsidR="00F5024B" w:rsidRPr="00E811AD" w:rsidRDefault="00F5024B" w:rsidP="00F5024B">
      <w:pPr>
        <w:spacing w:before="0" w:after="0"/>
        <w:ind w:left="0" w:firstLine="0"/>
        <w:jc w:val="center"/>
        <w:rPr>
          <w:b/>
          <w:bCs/>
          <w:i w:val="0"/>
          <w:iCs w:val="0"/>
          <w:color w:val="auto"/>
        </w:rPr>
      </w:pPr>
    </w:p>
    <w:p w14:paraId="6A2B9BFC" w14:textId="77777777" w:rsidR="00F5024B" w:rsidRPr="00E811AD" w:rsidRDefault="00F5024B" w:rsidP="00F5024B">
      <w:pPr>
        <w:spacing w:before="0" w:after="0"/>
        <w:ind w:left="0" w:firstLine="0"/>
        <w:jc w:val="center"/>
        <w:rPr>
          <w:b/>
          <w:bCs/>
          <w:i w:val="0"/>
          <w:iCs w:val="0"/>
          <w:color w:val="auto"/>
        </w:rPr>
      </w:pPr>
      <w:r w:rsidRPr="00E811AD">
        <w:rPr>
          <w:b/>
          <w:bCs/>
          <w:i w:val="0"/>
          <w:iCs w:val="0"/>
          <w:color w:val="auto"/>
        </w:rPr>
        <w:t xml:space="preserve">COSTO </w:t>
      </w:r>
      <w:r>
        <w:rPr>
          <w:b/>
          <w:bCs/>
          <w:i w:val="0"/>
          <w:iCs w:val="0"/>
          <w:color w:val="auto"/>
        </w:rPr>
        <w:t xml:space="preserve">MÁXIMO </w:t>
      </w:r>
      <w:r w:rsidRPr="00E811AD">
        <w:rPr>
          <w:b/>
          <w:bCs/>
          <w:i w:val="0"/>
          <w:iCs w:val="0"/>
          <w:color w:val="auto"/>
        </w:rPr>
        <w:t>DE LA ACTIVIDAD DE ADMINISTRACIÓN, OPERACIÓN Y MANTENIMIENTO DEL SISTEMA DE ALUMBRADO PÚBLICO</w:t>
      </w:r>
    </w:p>
    <w:p w14:paraId="260BFDC5" w14:textId="77777777" w:rsidR="00F5024B" w:rsidRPr="00E811AD" w:rsidRDefault="00F5024B" w:rsidP="00F5024B">
      <w:pPr>
        <w:spacing w:before="0" w:after="0"/>
        <w:ind w:left="0" w:firstLine="0"/>
        <w:jc w:val="center"/>
        <w:rPr>
          <w:b/>
          <w:bCs/>
          <w:i w:val="0"/>
          <w:iCs w:val="0"/>
          <w:color w:val="auto"/>
        </w:rPr>
      </w:pPr>
    </w:p>
    <w:p w14:paraId="351345A2" w14:textId="77777777" w:rsidR="00F5024B" w:rsidRPr="00706C6F" w:rsidRDefault="00F5024B" w:rsidP="00F5024B">
      <w:pPr>
        <w:spacing w:before="0" w:after="0"/>
        <w:rPr>
          <w:i w:val="0"/>
          <w:iCs w:val="0"/>
          <w:color w:val="auto"/>
        </w:rPr>
      </w:pPr>
    </w:p>
    <w:p w14:paraId="3F63343D" w14:textId="77777777" w:rsidR="00F5024B" w:rsidRPr="00706C6F" w:rsidRDefault="00F5024B" w:rsidP="00F5024B">
      <w:pPr>
        <w:pStyle w:val="Artculo1"/>
        <w:keepNext w:val="0"/>
        <w:spacing w:before="0" w:after="0"/>
        <w:ind w:left="0" w:firstLine="0"/>
        <w:rPr>
          <w:b w:val="0"/>
          <w:bCs w:val="0"/>
          <w:i w:val="0"/>
          <w:iCs w:val="0"/>
          <w:color w:val="auto"/>
        </w:rPr>
      </w:pPr>
      <w:r w:rsidRPr="00706C6F">
        <w:rPr>
          <w:i w:val="0"/>
          <w:iCs w:val="0"/>
          <w:color w:val="auto"/>
        </w:rPr>
        <w:t xml:space="preserve">Costo </w:t>
      </w:r>
      <w:r w:rsidRPr="00706C6F">
        <w:rPr>
          <w:i w:val="0"/>
          <w:iCs w:val="0"/>
          <w:color w:val="auto"/>
          <w:lang w:val="es-ES"/>
        </w:rPr>
        <w:t xml:space="preserve">de la Actividad de la Administración, Operación y Mantenimiento – AOM de la infraestructura del Sistema de Alumbrado </w:t>
      </w:r>
      <w:r w:rsidRPr="00706C6F">
        <w:rPr>
          <w:i w:val="0"/>
          <w:iCs w:val="0"/>
          <w:color w:val="auto"/>
          <w:lang w:val="es-ES"/>
        </w:rPr>
        <w:lastRenderedPageBreak/>
        <w:t xml:space="preserve">Público. </w:t>
      </w:r>
      <w:r w:rsidRPr="00706C6F">
        <w:rPr>
          <w:b w:val="0"/>
          <w:bCs w:val="0"/>
          <w:i w:val="0"/>
          <w:iCs w:val="0"/>
          <w:color w:val="auto"/>
        </w:rPr>
        <w:t xml:space="preserve">La remuneración del costo máximo de la </w:t>
      </w:r>
      <w:r>
        <w:rPr>
          <w:b w:val="0"/>
          <w:bCs w:val="0"/>
          <w:i w:val="0"/>
          <w:iCs w:val="0"/>
          <w:color w:val="auto"/>
        </w:rPr>
        <w:t>a</w:t>
      </w:r>
      <w:r w:rsidRPr="00706C6F">
        <w:rPr>
          <w:b w:val="0"/>
          <w:bCs w:val="0"/>
          <w:i w:val="0"/>
          <w:iCs w:val="0"/>
          <w:color w:val="auto"/>
        </w:rPr>
        <w:t>ctividad de AOM de la infraestructura propia del Sistema de Alumbrado Público, se determinará así:</w:t>
      </w:r>
    </w:p>
    <w:p w14:paraId="5BD7E093" w14:textId="77777777" w:rsidR="00F5024B" w:rsidRPr="00706C6F" w:rsidRDefault="00F5024B" w:rsidP="00F5024B">
      <w:pPr>
        <w:spacing w:before="0" w:after="0"/>
        <w:rPr>
          <w:i w:val="0"/>
          <w:iCs w:val="0"/>
          <w:color w:val="auto"/>
        </w:rPr>
      </w:pPr>
    </w:p>
    <w:p w14:paraId="03CF4E22" w14:textId="77777777" w:rsidR="00F5024B" w:rsidRPr="00706C6F" w:rsidRDefault="00F5024B" w:rsidP="00F5024B">
      <w:pPr>
        <w:spacing w:before="0" w:after="0"/>
        <w:rPr>
          <w:color w:val="auto"/>
        </w:rPr>
      </w:pPr>
      <m:oMath>
        <m:r>
          <w:rPr>
            <w:rFonts w:ascii="Cambria Math" w:hAnsi="Cambria Math"/>
            <w:color w:val="auto"/>
            <w:sz w:val="22"/>
            <w:szCs w:val="22"/>
          </w:rPr>
          <m:t>CAOM=</m:t>
        </m:r>
        <m:nary>
          <m:naryPr>
            <m:chr m:val="∑"/>
            <m:grow m:val="1"/>
            <m:ctrlPr>
              <w:rPr>
                <w:rFonts w:ascii="Cambria Math" w:hAnsi="Cambria Math"/>
                <w:color w:val="auto"/>
                <w:sz w:val="22"/>
                <w:szCs w:val="22"/>
              </w:rPr>
            </m:ctrlPr>
          </m:naryPr>
          <m:sub>
            <m:r>
              <w:rPr>
                <w:rFonts w:ascii="Cambria Math" w:hAnsi="Cambria Math"/>
                <w:color w:val="auto"/>
                <w:sz w:val="22"/>
                <w:szCs w:val="22"/>
              </w:rPr>
              <m:t>n=1</m:t>
            </m:r>
          </m:sub>
          <m:sup>
            <m:r>
              <w:rPr>
                <w:rFonts w:ascii="Cambria Math" w:hAnsi="Cambria Math"/>
                <w:color w:val="auto"/>
                <w:sz w:val="22"/>
                <w:szCs w:val="22"/>
              </w:rPr>
              <m:t>2</m:t>
            </m:r>
          </m:sup>
          <m:e>
            <m:r>
              <w:rPr>
                <w:rFonts w:ascii="Cambria Math" w:hAnsi="Cambria Math"/>
                <w:color w:val="auto"/>
                <w:sz w:val="22"/>
                <w:szCs w:val="22"/>
              </w:rPr>
              <m:t>[</m:t>
            </m:r>
            <m:d>
              <m:dPr>
                <m:ctrlPr>
                  <w:rPr>
                    <w:rFonts w:ascii="Cambria Math" w:hAnsi="Cambria Math"/>
                    <w:color w:val="auto"/>
                    <w:sz w:val="22"/>
                    <w:szCs w:val="22"/>
                  </w:rPr>
                </m:ctrlPr>
              </m:dPr>
              <m:e>
                <m:d>
                  <m:dPr>
                    <m:ctrlPr>
                      <w:rPr>
                        <w:rFonts w:ascii="Cambria Math" w:hAnsi="Cambria Math"/>
                        <w:color w:val="auto"/>
                        <w:sz w:val="22"/>
                        <w:szCs w:val="22"/>
                      </w:rPr>
                    </m:ctrlPr>
                  </m:dPr>
                  <m:e>
                    <m:r>
                      <w:rPr>
                        <w:rFonts w:ascii="Cambria Math" w:hAnsi="Cambria Math"/>
                        <w:color w:val="auto"/>
                        <w:sz w:val="22"/>
                        <w:szCs w:val="22"/>
                      </w:rPr>
                      <m:t>CRAn*FAOMn</m:t>
                    </m:r>
                  </m:e>
                </m:d>
                <m:r>
                  <w:rPr>
                    <w:rFonts w:ascii="Cambria Math" w:hAnsi="Cambria Math"/>
                    <w:color w:val="auto"/>
                    <w:sz w:val="22"/>
                    <w:szCs w:val="22"/>
                  </w:rPr>
                  <m:t>+</m:t>
                </m:r>
                <m:d>
                  <m:dPr>
                    <m:ctrlPr>
                      <w:rPr>
                        <w:rFonts w:ascii="Cambria Math" w:hAnsi="Cambria Math"/>
                        <w:color w:val="auto"/>
                        <w:sz w:val="22"/>
                        <w:szCs w:val="22"/>
                      </w:rPr>
                    </m:ctrlPr>
                  </m:dPr>
                  <m:e>
                    <m:r>
                      <w:rPr>
                        <w:rFonts w:ascii="Cambria Math" w:hAnsi="Cambria Math"/>
                        <w:color w:val="auto"/>
                        <w:sz w:val="22"/>
                        <w:szCs w:val="22"/>
                      </w:rPr>
                      <m:t>CRAL*FAOML)+(CRTAn* FAOMS</m:t>
                    </m:r>
                  </m:e>
                </m:d>
                <m:r>
                  <w:rPr>
                    <w:rFonts w:ascii="Cambria Math" w:hAnsi="Cambria Math"/>
                    <w:color w:val="auto"/>
                    <w:sz w:val="22"/>
                    <w:szCs w:val="22"/>
                  </w:rPr>
                  <m:t>)*ID</m:t>
                </m:r>
              </m:e>
            </m:d>
            <m:r>
              <w:rPr>
                <w:rFonts w:ascii="Cambria Math" w:hAnsi="Cambria Math"/>
                <w:color w:val="auto"/>
                <w:sz w:val="22"/>
                <w:szCs w:val="22"/>
              </w:rPr>
              <m:t xml:space="preserve"> -VCEEIn]</m:t>
            </m:r>
          </m:e>
        </m:nary>
      </m:oMath>
      <w:r w:rsidRPr="00706C6F">
        <w:rPr>
          <w:color w:val="auto"/>
        </w:rPr>
        <w:t xml:space="preserve"> </w:t>
      </w:r>
    </w:p>
    <w:p w14:paraId="42F522F4" w14:textId="77777777" w:rsidR="00F5024B" w:rsidRPr="00706C6F" w:rsidRDefault="00F5024B" w:rsidP="00F5024B">
      <w:pPr>
        <w:spacing w:before="0" w:after="0"/>
        <w:rPr>
          <w:i w:val="0"/>
          <w:iCs w:val="0"/>
          <w:color w:val="auto"/>
        </w:rPr>
      </w:pPr>
    </w:p>
    <w:p w14:paraId="514AB1BF" w14:textId="77777777" w:rsidR="00F5024B" w:rsidRPr="00706C6F" w:rsidRDefault="00F5024B" w:rsidP="00F5024B">
      <w:pPr>
        <w:spacing w:before="0" w:after="0"/>
        <w:rPr>
          <w:i w:val="0"/>
          <w:iCs w:val="0"/>
          <w:color w:val="auto"/>
        </w:rPr>
      </w:pPr>
    </w:p>
    <w:p w14:paraId="3991D4B0" w14:textId="77777777" w:rsidR="00F5024B" w:rsidRPr="001D2F92" w:rsidRDefault="00F5024B" w:rsidP="00F5024B">
      <w:pPr>
        <w:spacing w:before="0" w:after="0"/>
        <w:rPr>
          <w:color w:val="auto"/>
        </w:rPr>
      </w:pPr>
      <w:r w:rsidRPr="001D2F92">
        <w:rPr>
          <w:color w:val="auto"/>
        </w:rPr>
        <w:t>Donde:</w:t>
      </w:r>
    </w:p>
    <w:p w14:paraId="2A9937C9" w14:textId="77777777" w:rsidR="00F5024B" w:rsidRPr="00706C6F" w:rsidRDefault="00F5024B" w:rsidP="00F5024B">
      <w:pPr>
        <w:spacing w:before="0" w:after="0"/>
        <w:rPr>
          <w:i w:val="0"/>
          <w:iCs w:val="0"/>
          <w:color w:val="auto"/>
        </w:rPr>
      </w:pPr>
    </w:p>
    <w:p w14:paraId="52FDD74F" w14:textId="77777777" w:rsidR="00F5024B" w:rsidRPr="00AE1BAD" w:rsidRDefault="00F5024B" w:rsidP="00F5024B">
      <w:pPr>
        <w:spacing w:before="0"/>
        <w:rPr>
          <w:color w:val="auto"/>
        </w:rPr>
      </w:pPr>
      <w:r w:rsidRPr="00AE1BAD">
        <w:rPr>
          <w:color w:val="auto"/>
        </w:rPr>
        <w:t>CAOM:</w:t>
      </w:r>
      <w:r w:rsidRPr="00AE1BAD">
        <w:rPr>
          <w:color w:val="auto"/>
        </w:rPr>
        <w:tab/>
      </w:r>
      <w:r w:rsidRPr="005C4CDF">
        <w:rPr>
          <w:i w:val="0"/>
          <w:iCs w:val="0"/>
          <w:color w:val="auto"/>
        </w:rPr>
        <w:t>Costos de administración, operación y mantenimiento de la infraestructura en pesos</w:t>
      </w:r>
      <w:r w:rsidRPr="00AE1BAD">
        <w:rPr>
          <w:color w:val="auto"/>
        </w:rPr>
        <w:t>.</w:t>
      </w:r>
    </w:p>
    <w:p w14:paraId="6F39E1DD" w14:textId="77777777" w:rsidR="00F5024B" w:rsidRPr="00AE1BAD" w:rsidRDefault="00F5024B" w:rsidP="00F5024B">
      <w:pPr>
        <w:spacing w:before="0"/>
        <w:rPr>
          <w:color w:val="auto"/>
        </w:rPr>
      </w:pPr>
      <w:proofErr w:type="spellStart"/>
      <w:r w:rsidRPr="00FC3B72">
        <w:rPr>
          <w:color w:val="auto"/>
        </w:rPr>
        <w:t>CRTAn</w:t>
      </w:r>
      <w:proofErr w:type="spellEnd"/>
      <w:r w:rsidRPr="00FC3B72">
        <w:rPr>
          <w:color w:val="auto"/>
        </w:rPr>
        <w:t>:</w:t>
      </w:r>
      <w:r w:rsidRPr="00FC3B72">
        <w:rPr>
          <w:color w:val="auto"/>
        </w:rPr>
        <w:tab/>
      </w:r>
      <w:r w:rsidRPr="00FC3B72">
        <w:rPr>
          <w:i w:val="0"/>
          <w:iCs w:val="0"/>
          <w:color w:val="auto"/>
        </w:rPr>
        <w:t xml:space="preserve">Costo de reposición a nuevo de todos los activos del Sistema de Alumbrado Público del nivel de tensión n. Incluye el costo de la infraestructura entregada por el municipio y/o distrito y aquel resultado de la expansión, modernización y reposición en pesos </w:t>
      </w:r>
      <w:r w:rsidRPr="00882FCC">
        <w:rPr>
          <w:i w:val="0"/>
          <w:iCs w:val="0"/>
          <w:color w:val="auto"/>
        </w:rPr>
        <w:t>correspondientes a la fecha de referencia</w:t>
      </w:r>
      <w:r>
        <w:rPr>
          <w:i w:val="0"/>
          <w:iCs w:val="0"/>
          <w:color w:val="auto"/>
        </w:rPr>
        <w:t>.</w:t>
      </w:r>
      <w:r w:rsidRPr="00882FCC">
        <w:rPr>
          <w:i w:val="0"/>
          <w:iCs w:val="0"/>
          <w:color w:val="auto"/>
        </w:rPr>
        <w:t xml:space="preserve"> </w:t>
      </w:r>
    </w:p>
    <w:p w14:paraId="1A9AD845" w14:textId="77777777" w:rsidR="00F5024B" w:rsidRPr="005C4CDF" w:rsidRDefault="00F5024B" w:rsidP="00F5024B">
      <w:pPr>
        <w:spacing w:before="0"/>
        <w:rPr>
          <w:i w:val="0"/>
          <w:iCs w:val="0"/>
          <w:color w:val="auto"/>
        </w:rPr>
      </w:pPr>
      <w:proofErr w:type="spellStart"/>
      <w:r w:rsidRPr="00AE1BAD">
        <w:rPr>
          <w:color w:val="auto"/>
        </w:rPr>
        <w:t>CRAn</w:t>
      </w:r>
      <w:proofErr w:type="spellEnd"/>
      <w:r w:rsidRPr="00AE1BAD">
        <w:rPr>
          <w:color w:val="auto"/>
        </w:rPr>
        <w:t>:</w:t>
      </w:r>
      <w:r w:rsidRPr="00AE1BAD">
        <w:rPr>
          <w:color w:val="auto"/>
        </w:rPr>
        <w:tab/>
      </w:r>
      <w:r w:rsidRPr="005C4CDF">
        <w:rPr>
          <w:i w:val="0"/>
          <w:iCs w:val="0"/>
          <w:color w:val="auto"/>
        </w:rPr>
        <w:t xml:space="preserve">Costo de reposición a nuevo de los activos diferentes a luminarias del Sistema de Alumbrado Público del nivel de tensión n. Incluye el costo de la infraestructura entregada por el municipio y/o distrito y aquel resultado de la expansión, modernización y reposición en pesos </w:t>
      </w:r>
      <w:r w:rsidRPr="00882FCC">
        <w:rPr>
          <w:i w:val="0"/>
          <w:iCs w:val="0"/>
          <w:color w:val="auto"/>
        </w:rPr>
        <w:t>correspondientes a la fecha de referencia</w:t>
      </w:r>
      <w:r>
        <w:rPr>
          <w:i w:val="0"/>
          <w:iCs w:val="0"/>
          <w:color w:val="auto"/>
        </w:rPr>
        <w:t>.</w:t>
      </w:r>
      <w:r w:rsidRPr="00882FCC">
        <w:rPr>
          <w:i w:val="0"/>
          <w:iCs w:val="0"/>
          <w:color w:val="auto"/>
        </w:rPr>
        <w:t xml:space="preserve"> </w:t>
      </w:r>
    </w:p>
    <w:p w14:paraId="416781A5" w14:textId="77777777" w:rsidR="00F5024B" w:rsidRPr="005C4CDF" w:rsidRDefault="00F5024B" w:rsidP="00F5024B">
      <w:pPr>
        <w:spacing w:before="0"/>
        <w:rPr>
          <w:i w:val="0"/>
          <w:iCs w:val="0"/>
          <w:color w:val="auto"/>
        </w:rPr>
      </w:pPr>
      <w:r w:rsidRPr="00AE1BAD">
        <w:rPr>
          <w:color w:val="auto"/>
        </w:rPr>
        <w:t>CRAL:</w:t>
      </w:r>
      <w:r w:rsidRPr="00AE1BAD">
        <w:rPr>
          <w:color w:val="auto"/>
        </w:rPr>
        <w:tab/>
      </w:r>
      <w:r w:rsidRPr="005C4CDF">
        <w:rPr>
          <w:i w:val="0"/>
          <w:iCs w:val="0"/>
          <w:color w:val="auto"/>
        </w:rPr>
        <w:t xml:space="preserve">Costo de reposición a nuevo de los activos definidos como luminarias del Sistema de Alumbrado Público del nivel de tensión n. Incluye el costo de la infraestructura entregada por el municipio y/o distrito y aquel resultado de la expansión, modernización y reposición en pesos </w:t>
      </w:r>
      <w:r w:rsidRPr="00882FCC">
        <w:rPr>
          <w:i w:val="0"/>
          <w:iCs w:val="0"/>
          <w:color w:val="auto"/>
        </w:rPr>
        <w:t>correspondientes a la fecha de referencia</w:t>
      </w:r>
      <w:r>
        <w:rPr>
          <w:i w:val="0"/>
          <w:iCs w:val="0"/>
          <w:color w:val="auto"/>
        </w:rPr>
        <w:t>.</w:t>
      </w:r>
    </w:p>
    <w:p w14:paraId="3AE561B8" w14:textId="77777777" w:rsidR="00F5024B" w:rsidRPr="00AE1BAD" w:rsidRDefault="00F5024B" w:rsidP="00F5024B">
      <w:pPr>
        <w:spacing w:before="0"/>
        <w:rPr>
          <w:color w:val="auto"/>
        </w:rPr>
      </w:pPr>
      <w:proofErr w:type="spellStart"/>
      <w:r w:rsidRPr="00AE1BAD">
        <w:rPr>
          <w:color w:val="auto"/>
        </w:rPr>
        <w:t>FAOMn</w:t>
      </w:r>
      <w:proofErr w:type="spellEnd"/>
      <w:r w:rsidRPr="00AE1BAD">
        <w:rPr>
          <w:color w:val="auto"/>
        </w:rPr>
        <w:t>:</w:t>
      </w:r>
      <w:r w:rsidRPr="00AE1BAD">
        <w:rPr>
          <w:color w:val="auto"/>
        </w:rPr>
        <w:tab/>
      </w:r>
      <w:r w:rsidRPr="005C4CDF">
        <w:rPr>
          <w:i w:val="0"/>
          <w:iCs w:val="0"/>
          <w:color w:val="auto"/>
        </w:rPr>
        <w:t xml:space="preserve">Fracción máxima del costo de reposición a nuevo </w:t>
      </w:r>
      <w:proofErr w:type="spellStart"/>
      <w:r w:rsidRPr="00AE1BAD">
        <w:rPr>
          <w:color w:val="auto"/>
        </w:rPr>
        <w:t>CRAn</w:t>
      </w:r>
      <w:proofErr w:type="spellEnd"/>
      <w:r w:rsidRPr="00AE1BAD">
        <w:rPr>
          <w:color w:val="auto"/>
        </w:rPr>
        <w:t xml:space="preserve"> </w:t>
      </w:r>
      <w:r w:rsidRPr="005C4CDF">
        <w:rPr>
          <w:i w:val="0"/>
          <w:iCs w:val="0"/>
          <w:color w:val="auto"/>
        </w:rPr>
        <w:t xml:space="preserve">que reconoce los costos de AOM para </w:t>
      </w:r>
      <w:r w:rsidRPr="005C4CDF">
        <w:rPr>
          <w:i w:val="0"/>
          <w:iCs w:val="0"/>
          <w:color w:val="auto"/>
          <w:lang w:val="es-CO"/>
        </w:rPr>
        <w:t>activos diferentes a luminarias</w:t>
      </w:r>
      <w:r w:rsidRPr="005C4CDF">
        <w:rPr>
          <w:i w:val="0"/>
          <w:iCs w:val="0"/>
          <w:color w:val="auto"/>
        </w:rPr>
        <w:t>. Su valor es</w:t>
      </w:r>
      <w:r w:rsidRPr="00AE1BAD">
        <w:rPr>
          <w:color w:val="auto"/>
        </w:rPr>
        <w:t xml:space="preserve"> 0,04.</w:t>
      </w:r>
    </w:p>
    <w:p w14:paraId="0CE2B453" w14:textId="77777777" w:rsidR="00F5024B" w:rsidRPr="005C4CDF" w:rsidRDefault="00F5024B" w:rsidP="00F5024B">
      <w:pPr>
        <w:spacing w:before="0"/>
        <w:rPr>
          <w:i w:val="0"/>
          <w:iCs w:val="0"/>
          <w:color w:val="auto"/>
          <w:lang w:val="es-CO"/>
        </w:rPr>
      </w:pPr>
      <w:r w:rsidRPr="00AE1BAD">
        <w:rPr>
          <w:color w:val="auto"/>
          <w:lang w:val="es-CO"/>
        </w:rPr>
        <w:t>FAOML:</w:t>
      </w:r>
      <w:r w:rsidRPr="00AE1BAD">
        <w:rPr>
          <w:color w:val="auto"/>
          <w:lang w:val="es-CO"/>
        </w:rPr>
        <w:tab/>
      </w:r>
      <w:r w:rsidRPr="005C4CDF">
        <w:rPr>
          <w:i w:val="0"/>
          <w:iCs w:val="0"/>
          <w:color w:val="auto"/>
          <w:lang w:val="es-CO"/>
        </w:rPr>
        <w:t>Fracción máxima del costo de reposición a nuevo</w:t>
      </w:r>
      <w:r w:rsidRPr="00AE1BAD">
        <w:rPr>
          <w:color w:val="auto"/>
          <w:lang w:val="es-CO"/>
        </w:rPr>
        <w:t xml:space="preserve"> CRAL </w:t>
      </w:r>
      <w:r w:rsidRPr="005C4CDF">
        <w:rPr>
          <w:i w:val="0"/>
          <w:iCs w:val="0"/>
          <w:color w:val="auto"/>
          <w:lang w:val="es-CO"/>
        </w:rPr>
        <w:t xml:space="preserve">que reconoce los costos de AOM para luminarias. Su valor se determina según </w:t>
      </w:r>
      <w:r>
        <w:rPr>
          <w:i w:val="0"/>
          <w:iCs w:val="0"/>
          <w:color w:val="auto"/>
          <w:lang w:val="es-CO"/>
        </w:rPr>
        <w:t>l</w:t>
      </w:r>
      <w:r w:rsidRPr="005C4CDF">
        <w:rPr>
          <w:i w:val="0"/>
          <w:iCs w:val="0"/>
          <w:color w:val="auto"/>
          <w:lang w:val="es-CO"/>
        </w:rPr>
        <w:t>a senda</w:t>
      </w:r>
      <w:r>
        <w:rPr>
          <w:i w:val="0"/>
          <w:iCs w:val="0"/>
          <w:color w:val="auto"/>
          <w:lang w:val="es-CO"/>
        </w:rPr>
        <w:t xml:space="preserve"> que aparece en el parágrafo 3 de este artículo</w:t>
      </w:r>
      <w:r w:rsidRPr="005C4CDF">
        <w:rPr>
          <w:i w:val="0"/>
          <w:iCs w:val="0"/>
          <w:color w:val="auto"/>
          <w:lang w:val="es-CO"/>
        </w:rPr>
        <w:t>.</w:t>
      </w:r>
    </w:p>
    <w:p w14:paraId="702C9DE1" w14:textId="77777777" w:rsidR="00F5024B" w:rsidRPr="00AE1BAD" w:rsidRDefault="00F5024B" w:rsidP="00F5024B">
      <w:pPr>
        <w:spacing w:before="0"/>
        <w:rPr>
          <w:color w:val="auto"/>
        </w:rPr>
      </w:pPr>
      <w:r w:rsidRPr="00AE1BAD">
        <w:rPr>
          <w:color w:val="auto"/>
        </w:rPr>
        <w:t>FAOMS:</w:t>
      </w:r>
      <w:r w:rsidRPr="00AE1BAD">
        <w:rPr>
          <w:color w:val="auto"/>
        </w:rPr>
        <w:tab/>
      </w:r>
      <w:r w:rsidRPr="005C4CDF">
        <w:rPr>
          <w:i w:val="0"/>
          <w:iCs w:val="0"/>
          <w:color w:val="auto"/>
        </w:rPr>
        <w:t>Fracción adicional del costo de reposición a nuevo de</w:t>
      </w:r>
      <w:r>
        <w:rPr>
          <w:color w:val="auto"/>
        </w:rPr>
        <w:t xml:space="preserve"> </w:t>
      </w:r>
      <w:proofErr w:type="spellStart"/>
      <w:r w:rsidRPr="00AE1BAD">
        <w:rPr>
          <w:color w:val="auto"/>
        </w:rPr>
        <w:t>CRTAn</w:t>
      </w:r>
      <w:proofErr w:type="spellEnd"/>
      <w:r w:rsidRPr="00AE1BAD">
        <w:rPr>
          <w:color w:val="auto"/>
        </w:rPr>
        <w:t xml:space="preserve"> </w:t>
      </w:r>
      <w:r w:rsidRPr="005C4CDF">
        <w:rPr>
          <w:i w:val="0"/>
          <w:iCs w:val="0"/>
          <w:color w:val="auto"/>
        </w:rPr>
        <w:t xml:space="preserve">y de </w:t>
      </w:r>
      <w:r>
        <w:rPr>
          <w:color w:val="auto"/>
        </w:rPr>
        <w:t xml:space="preserve">CRAL </w:t>
      </w:r>
      <w:r w:rsidRPr="005C4CDF">
        <w:rPr>
          <w:i w:val="0"/>
          <w:iCs w:val="0"/>
          <w:color w:val="auto"/>
        </w:rPr>
        <w:t>que reconoce los gastos AOM adicionales por condiciones ambientales de los activos que se encuentran ubicados a menos de</w:t>
      </w:r>
      <w:r w:rsidRPr="00AE1BAD">
        <w:rPr>
          <w:color w:val="auto"/>
        </w:rPr>
        <w:t xml:space="preserve"> </w:t>
      </w:r>
      <w:r w:rsidRPr="005C4CDF">
        <w:rPr>
          <w:i w:val="0"/>
          <w:iCs w:val="0"/>
          <w:color w:val="auto"/>
        </w:rPr>
        <w:t>30 km de la orilla del mar. Su valor es</w:t>
      </w:r>
      <w:r w:rsidRPr="00AE1BAD">
        <w:rPr>
          <w:color w:val="auto"/>
        </w:rPr>
        <w:t xml:space="preserve"> 0,005. </w:t>
      </w:r>
    </w:p>
    <w:p w14:paraId="7AB1B6BF" w14:textId="77777777" w:rsidR="00F5024B" w:rsidRPr="00AE1BAD" w:rsidRDefault="00F5024B" w:rsidP="00F5024B">
      <w:pPr>
        <w:spacing w:before="0"/>
        <w:rPr>
          <w:color w:val="auto"/>
        </w:rPr>
      </w:pPr>
      <w:r w:rsidRPr="00AE1BAD">
        <w:rPr>
          <w:color w:val="auto"/>
        </w:rPr>
        <w:t>ID:</w:t>
      </w:r>
      <w:r w:rsidRPr="00AE1BAD">
        <w:rPr>
          <w:color w:val="auto"/>
        </w:rPr>
        <w:tab/>
      </w:r>
      <w:r w:rsidRPr="005C4CDF">
        <w:rPr>
          <w:i w:val="0"/>
          <w:iCs w:val="0"/>
          <w:color w:val="auto"/>
        </w:rPr>
        <w:t>Índice de disponibilidad de las luminarias del Sistema de Alumbrado Público, calculado según el Artículo 28 de la presente resolución.</w:t>
      </w:r>
      <w:r w:rsidRPr="00AE1BAD">
        <w:rPr>
          <w:color w:val="auto"/>
        </w:rPr>
        <w:t xml:space="preserve"> </w:t>
      </w:r>
    </w:p>
    <w:p w14:paraId="0EBCC0E4" w14:textId="77777777" w:rsidR="00F5024B" w:rsidRPr="005C4CDF" w:rsidRDefault="00F5024B" w:rsidP="00F5024B">
      <w:pPr>
        <w:spacing w:before="0"/>
        <w:rPr>
          <w:i w:val="0"/>
          <w:iCs w:val="0"/>
          <w:color w:val="auto"/>
        </w:rPr>
      </w:pPr>
      <w:r w:rsidRPr="00AE1BAD">
        <w:rPr>
          <w:color w:val="auto"/>
        </w:rPr>
        <w:t>n:</w:t>
      </w:r>
      <w:r w:rsidRPr="00AE1BAD">
        <w:rPr>
          <w:color w:val="auto"/>
        </w:rPr>
        <w:tab/>
      </w:r>
      <w:r w:rsidRPr="005C4CDF">
        <w:rPr>
          <w:i w:val="0"/>
          <w:iCs w:val="0"/>
          <w:color w:val="auto"/>
        </w:rPr>
        <w:t>Nivel de tensión 1 o 2</w:t>
      </w:r>
    </w:p>
    <w:p w14:paraId="7A4095E9" w14:textId="30357642" w:rsidR="00F5024B" w:rsidRDefault="00F5024B" w:rsidP="00F5024B">
      <w:pPr>
        <w:spacing w:before="0"/>
        <w:rPr>
          <w:rFonts w:eastAsia="Cambria"/>
          <w:i w:val="0"/>
          <w:iCs w:val="0"/>
          <w:color w:val="auto"/>
          <w:lang w:eastAsia="en-US"/>
        </w:rPr>
      </w:pPr>
      <w:proofErr w:type="spellStart"/>
      <w:r w:rsidRPr="00AE1BAD">
        <w:rPr>
          <w:color w:val="auto"/>
        </w:rPr>
        <w:t>VCEEIn</w:t>
      </w:r>
      <w:proofErr w:type="spellEnd"/>
      <w:r w:rsidRPr="00AE1BAD">
        <w:rPr>
          <w:color w:val="auto"/>
        </w:rPr>
        <w:t>:</w:t>
      </w:r>
      <w:r w:rsidRPr="00AE1BAD">
        <w:rPr>
          <w:color w:val="auto"/>
        </w:rPr>
        <w:tab/>
      </w:r>
      <w:r w:rsidRPr="005C4CDF">
        <w:rPr>
          <w:i w:val="0"/>
          <w:iCs w:val="0"/>
          <w:color w:val="auto"/>
        </w:rPr>
        <w:t>Valor en pesos del consumo de energía eléctrica por indisponibilidad de luminarias en el nivel de tensión n. Só</w:t>
      </w:r>
      <w:r w:rsidRPr="005C4CDF">
        <w:rPr>
          <w:rFonts w:eastAsia="Cambria"/>
          <w:i w:val="0"/>
          <w:iCs w:val="0"/>
          <w:color w:val="auto"/>
          <w:lang w:eastAsia="en-US"/>
        </w:rPr>
        <w:t>lo se consideran aquellas luminarias que están reportadas al</w:t>
      </w:r>
      <w:r w:rsidRPr="00AE1BAD">
        <w:rPr>
          <w:rFonts w:eastAsia="Cambria"/>
          <w:color w:val="auto"/>
          <w:lang w:eastAsia="en-US"/>
        </w:rPr>
        <w:t xml:space="preserve"> SIAP </w:t>
      </w:r>
      <w:r w:rsidRPr="005C4CDF">
        <w:rPr>
          <w:rFonts w:eastAsia="Cambria"/>
          <w:i w:val="0"/>
          <w:iCs w:val="0"/>
          <w:color w:val="auto"/>
          <w:lang w:eastAsia="en-US"/>
        </w:rPr>
        <w:t>como prendidas cuando deben estar apagadas.</w:t>
      </w:r>
    </w:p>
    <w:p w14:paraId="0E0682F1" w14:textId="77777777" w:rsidR="005176E1" w:rsidRPr="005C4CDF" w:rsidRDefault="005176E1" w:rsidP="00F5024B">
      <w:pPr>
        <w:spacing w:before="0"/>
        <w:rPr>
          <w:rFonts w:eastAsia="Cambria"/>
          <w:i w:val="0"/>
          <w:iCs w:val="0"/>
          <w:color w:val="auto"/>
          <w:lang w:eastAsia="en-US"/>
        </w:rPr>
      </w:pPr>
    </w:p>
    <w:p w14:paraId="1AC3F67F" w14:textId="77777777" w:rsidR="00F5024B" w:rsidRPr="00706C6F" w:rsidRDefault="00F5024B" w:rsidP="00F5024B">
      <w:pPr>
        <w:spacing w:before="0"/>
        <w:ind w:left="0" w:firstLine="0"/>
        <w:rPr>
          <w:i w:val="0"/>
          <w:iCs w:val="0"/>
          <w:color w:val="auto"/>
        </w:rPr>
      </w:pPr>
      <w:r w:rsidRPr="00706C6F">
        <w:rPr>
          <w:b/>
          <w:i w:val="0"/>
          <w:iCs w:val="0"/>
          <w:color w:val="auto"/>
        </w:rPr>
        <w:lastRenderedPageBreak/>
        <w:t>Parágrafo 1</w:t>
      </w:r>
      <w:r w:rsidRPr="00706C6F">
        <w:rPr>
          <w:i w:val="0"/>
          <w:iCs w:val="0"/>
          <w:color w:val="auto"/>
        </w:rPr>
        <w:t>.</w:t>
      </w:r>
      <w:r w:rsidRPr="00706C6F">
        <w:rPr>
          <w:i w:val="0"/>
          <w:iCs w:val="0"/>
          <w:color w:val="auto"/>
        </w:rPr>
        <w:tab/>
        <w:t xml:space="preserve">El costo de reposición a nuevo de cada activo del Sistema de Alumbrado Público del nivel de tensión n, se obtiene </w:t>
      </w:r>
      <w:r>
        <w:rPr>
          <w:i w:val="0"/>
          <w:iCs w:val="0"/>
          <w:color w:val="auto"/>
        </w:rPr>
        <w:t>de</w:t>
      </w:r>
      <w:r w:rsidRPr="00706C6F">
        <w:rPr>
          <w:i w:val="0"/>
          <w:iCs w:val="0"/>
          <w:color w:val="auto"/>
        </w:rPr>
        <w:t xml:space="preserve"> la suma de los costos de reposición a nuevo de cada una de las UCAP que componen cada activo, en pesos </w:t>
      </w:r>
      <w:r w:rsidRPr="00882FCC">
        <w:rPr>
          <w:i w:val="0"/>
          <w:iCs w:val="0"/>
          <w:color w:val="auto"/>
        </w:rPr>
        <w:t>correspondientes a la fecha de referencia</w:t>
      </w:r>
      <w:r>
        <w:rPr>
          <w:i w:val="0"/>
          <w:iCs w:val="0"/>
          <w:color w:val="auto"/>
        </w:rPr>
        <w:t>.</w:t>
      </w:r>
    </w:p>
    <w:p w14:paraId="6AD41A82" w14:textId="77777777" w:rsidR="00F5024B" w:rsidRPr="00706C6F" w:rsidRDefault="00F5024B" w:rsidP="00F5024B">
      <w:pPr>
        <w:spacing w:before="0"/>
        <w:ind w:left="0" w:firstLine="0"/>
        <w:rPr>
          <w:i w:val="0"/>
          <w:iCs w:val="0"/>
          <w:color w:val="auto"/>
        </w:rPr>
      </w:pPr>
      <w:r w:rsidRPr="00706C6F">
        <w:rPr>
          <w:b/>
          <w:i w:val="0"/>
          <w:iCs w:val="0"/>
          <w:color w:val="auto"/>
        </w:rPr>
        <w:t>Parágrafo 2.</w:t>
      </w:r>
      <w:r w:rsidRPr="00706C6F">
        <w:rPr>
          <w:b/>
          <w:i w:val="0"/>
          <w:iCs w:val="0"/>
          <w:color w:val="auto"/>
        </w:rPr>
        <w:tab/>
      </w:r>
      <w:r w:rsidRPr="00706C6F">
        <w:rPr>
          <w:i w:val="0"/>
          <w:iCs w:val="0"/>
          <w:color w:val="auto"/>
        </w:rPr>
        <w:t>Los municipios o distritos son libres de pactar con los prestadores del servicio de alumbrado público la periodicidad del pago de esta actividad.</w:t>
      </w:r>
    </w:p>
    <w:p w14:paraId="6609EC27" w14:textId="2ADA1D89" w:rsidR="00F5024B" w:rsidRDefault="00F5024B" w:rsidP="00F5024B">
      <w:pPr>
        <w:spacing w:before="0"/>
        <w:ind w:left="0" w:firstLine="0"/>
        <w:rPr>
          <w:i w:val="0"/>
          <w:color w:val="auto"/>
          <w:lang w:val="es-CO"/>
        </w:rPr>
      </w:pPr>
      <w:r w:rsidRPr="00706C6F">
        <w:rPr>
          <w:b/>
          <w:i w:val="0"/>
          <w:iCs w:val="0"/>
          <w:color w:val="auto"/>
        </w:rPr>
        <w:t>Parágrafo 3</w:t>
      </w:r>
      <w:r w:rsidRPr="00706C6F">
        <w:rPr>
          <w:i w:val="0"/>
          <w:iCs w:val="0"/>
          <w:color w:val="auto"/>
        </w:rPr>
        <w:t xml:space="preserve">: Los valores de la Fracción máxima del costo de reposición a nuevo que reconoce los gastos de AOM para luminarias, </w:t>
      </w:r>
      <w:r w:rsidRPr="00706C6F">
        <w:rPr>
          <w:i w:val="0"/>
          <w:color w:val="auto"/>
          <w:lang w:val="es-CO"/>
        </w:rPr>
        <w:t>FAOML, se determinan mediante la siguiente senda:</w:t>
      </w:r>
    </w:p>
    <w:p w14:paraId="0CABDD46" w14:textId="77777777" w:rsidR="005176E1" w:rsidRPr="00706C6F" w:rsidRDefault="005176E1" w:rsidP="00F5024B">
      <w:pPr>
        <w:spacing w:before="0"/>
        <w:ind w:left="0" w:firstLine="0"/>
        <w:rPr>
          <w:i w:val="0"/>
          <w:color w:val="auto"/>
          <w:lang w:val="es-CO"/>
        </w:rPr>
      </w:pPr>
    </w:p>
    <w:tbl>
      <w:tblPr>
        <w:tblStyle w:val="Tablaconcuadrcula"/>
        <w:tblW w:w="0" w:type="auto"/>
        <w:jc w:val="center"/>
        <w:tblLook w:val="04A0" w:firstRow="1" w:lastRow="0" w:firstColumn="1" w:lastColumn="0" w:noHBand="0" w:noVBand="1"/>
      </w:tblPr>
      <w:tblGrid>
        <w:gridCol w:w="2382"/>
        <w:gridCol w:w="2438"/>
      </w:tblGrid>
      <w:tr w:rsidR="00F5024B" w:rsidRPr="00F651B5" w14:paraId="14024F16" w14:textId="77777777" w:rsidTr="00BE4B0A">
        <w:trPr>
          <w:tblHeader/>
          <w:jc w:val="center"/>
        </w:trPr>
        <w:tc>
          <w:tcPr>
            <w:tcW w:w="0" w:type="auto"/>
            <w:vAlign w:val="center"/>
          </w:tcPr>
          <w:p w14:paraId="25B588FC" w14:textId="77777777" w:rsidR="00F5024B" w:rsidRPr="00706C6F" w:rsidRDefault="00F5024B" w:rsidP="00BE4B0A">
            <w:pPr>
              <w:spacing w:before="0"/>
              <w:ind w:left="0" w:firstLine="0"/>
              <w:jc w:val="center"/>
              <w:rPr>
                <w:b/>
                <w:bCs/>
                <w:i w:val="0"/>
                <w:iCs w:val="0"/>
                <w:color w:val="auto"/>
              </w:rPr>
            </w:pPr>
            <w:r w:rsidRPr="00706C6F">
              <w:rPr>
                <w:b/>
                <w:bCs/>
                <w:i w:val="0"/>
                <w:iCs w:val="0"/>
                <w:color w:val="auto"/>
              </w:rPr>
              <w:t>Año</w:t>
            </w:r>
          </w:p>
        </w:tc>
        <w:tc>
          <w:tcPr>
            <w:tcW w:w="2438" w:type="dxa"/>
            <w:vAlign w:val="center"/>
          </w:tcPr>
          <w:p w14:paraId="4054E5D7" w14:textId="77777777" w:rsidR="00F5024B" w:rsidRPr="008332BF" w:rsidRDefault="00F5024B" w:rsidP="00BE4B0A">
            <w:pPr>
              <w:spacing w:before="0"/>
              <w:ind w:left="0" w:firstLine="0"/>
              <w:jc w:val="center"/>
              <w:rPr>
                <w:b/>
                <w:bCs/>
                <w:i w:val="0"/>
                <w:iCs w:val="0"/>
                <w:color w:val="auto"/>
              </w:rPr>
            </w:pPr>
            <w:r w:rsidRPr="008332BF">
              <w:rPr>
                <w:b/>
                <w:bCs/>
                <w:i w:val="0"/>
                <w:iCs w:val="0"/>
                <w:color w:val="auto"/>
              </w:rPr>
              <w:t>FAOML</w:t>
            </w:r>
          </w:p>
        </w:tc>
      </w:tr>
      <w:tr w:rsidR="00F5024B" w:rsidRPr="00F651B5" w14:paraId="1A465B2D" w14:textId="77777777" w:rsidTr="00BE4B0A">
        <w:trPr>
          <w:jc w:val="center"/>
        </w:trPr>
        <w:tc>
          <w:tcPr>
            <w:tcW w:w="0" w:type="auto"/>
            <w:vAlign w:val="center"/>
          </w:tcPr>
          <w:p w14:paraId="37A0BAA3" w14:textId="77777777" w:rsidR="00F5024B" w:rsidRPr="00706C6F" w:rsidRDefault="00F5024B" w:rsidP="00BE4B0A">
            <w:pPr>
              <w:spacing w:before="0"/>
              <w:ind w:left="0" w:firstLine="0"/>
              <w:jc w:val="center"/>
              <w:rPr>
                <w:i w:val="0"/>
                <w:iCs w:val="0"/>
                <w:color w:val="auto"/>
              </w:rPr>
            </w:pPr>
            <w:r w:rsidRPr="00706C6F">
              <w:rPr>
                <w:i w:val="0"/>
                <w:iCs w:val="0"/>
                <w:color w:val="auto"/>
              </w:rPr>
              <w:t>2021</w:t>
            </w:r>
          </w:p>
        </w:tc>
        <w:tc>
          <w:tcPr>
            <w:tcW w:w="2438" w:type="dxa"/>
            <w:vAlign w:val="center"/>
          </w:tcPr>
          <w:p w14:paraId="2C24C92C" w14:textId="77777777" w:rsidR="00F5024B" w:rsidRPr="008332BF" w:rsidRDefault="00F5024B" w:rsidP="00BE4B0A">
            <w:pPr>
              <w:spacing w:before="0"/>
              <w:ind w:left="0" w:firstLine="0"/>
              <w:jc w:val="center"/>
              <w:rPr>
                <w:i w:val="0"/>
                <w:iCs w:val="0"/>
                <w:color w:val="auto"/>
              </w:rPr>
            </w:pPr>
            <w:r w:rsidRPr="008332BF">
              <w:rPr>
                <w:i w:val="0"/>
                <w:iCs w:val="0"/>
                <w:color w:val="auto"/>
              </w:rPr>
              <w:t>0,093</w:t>
            </w:r>
          </w:p>
        </w:tc>
      </w:tr>
      <w:tr w:rsidR="00F5024B" w:rsidRPr="00F651B5" w14:paraId="794BCAE6" w14:textId="77777777" w:rsidTr="00BE4B0A">
        <w:trPr>
          <w:jc w:val="center"/>
        </w:trPr>
        <w:tc>
          <w:tcPr>
            <w:tcW w:w="0" w:type="auto"/>
            <w:vAlign w:val="center"/>
          </w:tcPr>
          <w:p w14:paraId="18249E0C" w14:textId="77777777" w:rsidR="00F5024B" w:rsidRPr="00706C6F" w:rsidRDefault="00F5024B" w:rsidP="00BE4B0A">
            <w:pPr>
              <w:spacing w:before="0"/>
              <w:ind w:left="0" w:firstLine="0"/>
              <w:jc w:val="center"/>
              <w:rPr>
                <w:i w:val="0"/>
                <w:iCs w:val="0"/>
                <w:color w:val="auto"/>
              </w:rPr>
            </w:pPr>
            <w:r w:rsidRPr="00706C6F">
              <w:rPr>
                <w:i w:val="0"/>
                <w:iCs w:val="0"/>
                <w:color w:val="auto"/>
              </w:rPr>
              <w:t>2022</w:t>
            </w:r>
          </w:p>
        </w:tc>
        <w:tc>
          <w:tcPr>
            <w:tcW w:w="2438" w:type="dxa"/>
            <w:vAlign w:val="center"/>
          </w:tcPr>
          <w:p w14:paraId="4FCFFDE3" w14:textId="77777777" w:rsidR="00F5024B" w:rsidRPr="008332BF" w:rsidRDefault="00F5024B" w:rsidP="00BE4B0A">
            <w:pPr>
              <w:spacing w:before="0"/>
              <w:ind w:left="0" w:firstLine="0"/>
              <w:jc w:val="center"/>
              <w:rPr>
                <w:i w:val="0"/>
                <w:iCs w:val="0"/>
                <w:color w:val="auto"/>
              </w:rPr>
            </w:pPr>
            <w:r w:rsidRPr="00882459">
              <w:rPr>
                <w:i w:val="0"/>
                <w:iCs w:val="0"/>
                <w:color w:val="000000"/>
              </w:rPr>
              <w:t>0,097</w:t>
            </w:r>
          </w:p>
        </w:tc>
      </w:tr>
      <w:tr w:rsidR="00F5024B" w:rsidRPr="00F651B5" w14:paraId="73FBD9AB" w14:textId="77777777" w:rsidTr="00BE4B0A">
        <w:trPr>
          <w:jc w:val="center"/>
        </w:trPr>
        <w:tc>
          <w:tcPr>
            <w:tcW w:w="0" w:type="auto"/>
            <w:vAlign w:val="center"/>
          </w:tcPr>
          <w:p w14:paraId="6BB3C6CC" w14:textId="77777777" w:rsidR="00F5024B" w:rsidRPr="00706C6F" w:rsidRDefault="00F5024B" w:rsidP="00BE4B0A">
            <w:pPr>
              <w:spacing w:before="0"/>
              <w:ind w:left="0" w:firstLine="0"/>
              <w:jc w:val="center"/>
              <w:rPr>
                <w:i w:val="0"/>
                <w:iCs w:val="0"/>
                <w:color w:val="auto"/>
              </w:rPr>
            </w:pPr>
            <w:r w:rsidRPr="00706C6F">
              <w:rPr>
                <w:i w:val="0"/>
                <w:iCs w:val="0"/>
                <w:color w:val="auto"/>
              </w:rPr>
              <w:t>2023</w:t>
            </w:r>
          </w:p>
        </w:tc>
        <w:tc>
          <w:tcPr>
            <w:tcW w:w="2438" w:type="dxa"/>
            <w:vAlign w:val="center"/>
          </w:tcPr>
          <w:p w14:paraId="6ADE7A04" w14:textId="77777777" w:rsidR="00F5024B" w:rsidRPr="008332BF" w:rsidRDefault="00F5024B" w:rsidP="00BE4B0A">
            <w:pPr>
              <w:spacing w:before="0"/>
              <w:ind w:left="0" w:firstLine="0"/>
              <w:jc w:val="center"/>
              <w:rPr>
                <w:i w:val="0"/>
                <w:iCs w:val="0"/>
                <w:color w:val="auto"/>
              </w:rPr>
            </w:pPr>
            <w:r w:rsidRPr="00882459">
              <w:rPr>
                <w:i w:val="0"/>
                <w:iCs w:val="0"/>
                <w:color w:val="000000"/>
              </w:rPr>
              <w:t>0,092</w:t>
            </w:r>
          </w:p>
        </w:tc>
      </w:tr>
      <w:tr w:rsidR="00F5024B" w:rsidRPr="00F651B5" w14:paraId="5C6A2EFA" w14:textId="77777777" w:rsidTr="00BE4B0A">
        <w:trPr>
          <w:jc w:val="center"/>
        </w:trPr>
        <w:tc>
          <w:tcPr>
            <w:tcW w:w="0" w:type="auto"/>
            <w:vAlign w:val="center"/>
          </w:tcPr>
          <w:p w14:paraId="1FDA7CD2" w14:textId="77777777" w:rsidR="00F5024B" w:rsidRPr="00706C6F" w:rsidRDefault="00F5024B" w:rsidP="00BE4B0A">
            <w:pPr>
              <w:spacing w:before="0"/>
              <w:ind w:left="0" w:firstLine="0"/>
              <w:jc w:val="center"/>
              <w:rPr>
                <w:i w:val="0"/>
                <w:iCs w:val="0"/>
                <w:color w:val="auto"/>
              </w:rPr>
            </w:pPr>
            <w:r>
              <w:rPr>
                <w:i w:val="0"/>
                <w:iCs w:val="0"/>
                <w:color w:val="auto"/>
              </w:rPr>
              <w:t>2024</w:t>
            </w:r>
          </w:p>
        </w:tc>
        <w:tc>
          <w:tcPr>
            <w:tcW w:w="2438" w:type="dxa"/>
            <w:vAlign w:val="center"/>
          </w:tcPr>
          <w:p w14:paraId="1BF335F8" w14:textId="77777777" w:rsidR="00F5024B" w:rsidRPr="008332BF" w:rsidRDefault="00F5024B" w:rsidP="00BE4B0A">
            <w:pPr>
              <w:spacing w:before="0"/>
              <w:ind w:left="0" w:firstLine="0"/>
              <w:jc w:val="center"/>
              <w:rPr>
                <w:i w:val="0"/>
                <w:iCs w:val="0"/>
                <w:color w:val="auto"/>
              </w:rPr>
            </w:pPr>
            <w:r w:rsidRPr="00882459">
              <w:rPr>
                <w:i w:val="0"/>
                <w:iCs w:val="0"/>
                <w:color w:val="000000"/>
              </w:rPr>
              <w:t>0,086</w:t>
            </w:r>
          </w:p>
        </w:tc>
      </w:tr>
      <w:tr w:rsidR="00F5024B" w:rsidRPr="00F651B5" w14:paraId="68C080DB" w14:textId="77777777" w:rsidTr="00BE4B0A">
        <w:trPr>
          <w:jc w:val="center"/>
        </w:trPr>
        <w:tc>
          <w:tcPr>
            <w:tcW w:w="0" w:type="auto"/>
            <w:vAlign w:val="center"/>
          </w:tcPr>
          <w:p w14:paraId="70991C63" w14:textId="77777777" w:rsidR="00F5024B" w:rsidRPr="00706C6F" w:rsidRDefault="00F5024B" w:rsidP="00BE4B0A">
            <w:pPr>
              <w:spacing w:before="0"/>
              <w:ind w:left="0" w:firstLine="0"/>
              <w:jc w:val="center"/>
              <w:rPr>
                <w:i w:val="0"/>
                <w:iCs w:val="0"/>
                <w:color w:val="auto"/>
              </w:rPr>
            </w:pPr>
            <w:r>
              <w:rPr>
                <w:i w:val="0"/>
                <w:iCs w:val="0"/>
                <w:color w:val="auto"/>
              </w:rPr>
              <w:t>2025</w:t>
            </w:r>
          </w:p>
        </w:tc>
        <w:tc>
          <w:tcPr>
            <w:tcW w:w="2438" w:type="dxa"/>
            <w:vAlign w:val="center"/>
          </w:tcPr>
          <w:p w14:paraId="3CE2ED90" w14:textId="77777777" w:rsidR="00F5024B" w:rsidRPr="008332BF" w:rsidRDefault="00F5024B" w:rsidP="00BE4B0A">
            <w:pPr>
              <w:spacing w:before="0"/>
              <w:ind w:left="0" w:firstLine="0"/>
              <w:jc w:val="center"/>
              <w:rPr>
                <w:i w:val="0"/>
                <w:iCs w:val="0"/>
                <w:color w:val="auto"/>
              </w:rPr>
            </w:pPr>
            <w:r w:rsidRPr="00882459">
              <w:rPr>
                <w:i w:val="0"/>
                <w:iCs w:val="0"/>
                <w:color w:val="000000"/>
              </w:rPr>
              <w:t>0,080</w:t>
            </w:r>
          </w:p>
        </w:tc>
      </w:tr>
      <w:tr w:rsidR="00F5024B" w:rsidRPr="00F651B5" w14:paraId="6FA10654" w14:textId="77777777" w:rsidTr="00BE4B0A">
        <w:trPr>
          <w:jc w:val="center"/>
        </w:trPr>
        <w:tc>
          <w:tcPr>
            <w:tcW w:w="0" w:type="auto"/>
            <w:vAlign w:val="center"/>
          </w:tcPr>
          <w:p w14:paraId="3C1C3FB4" w14:textId="77777777" w:rsidR="00F5024B" w:rsidRPr="00706C6F" w:rsidRDefault="00F5024B" w:rsidP="00BE4B0A">
            <w:pPr>
              <w:spacing w:before="0"/>
              <w:ind w:left="0" w:firstLine="0"/>
              <w:jc w:val="center"/>
              <w:rPr>
                <w:i w:val="0"/>
                <w:iCs w:val="0"/>
                <w:color w:val="auto"/>
              </w:rPr>
            </w:pPr>
            <w:r>
              <w:rPr>
                <w:i w:val="0"/>
                <w:iCs w:val="0"/>
                <w:color w:val="auto"/>
              </w:rPr>
              <w:t>2026</w:t>
            </w:r>
          </w:p>
        </w:tc>
        <w:tc>
          <w:tcPr>
            <w:tcW w:w="2438" w:type="dxa"/>
            <w:vAlign w:val="center"/>
          </w:tcPr>
          <w:p w14:paraId="22C4B6AE" w14:textId="77777777" w:rsidR="00F5024B" w:rsidRPr="008332BF" w:rsidRDefault="00F5024B" w:rsidP="00BE4B0A">
            <w:pPr>
              <w:spacing w:before="0"/>
              <w:ind w:left="0" w:firstLine="0"/>
              <w:jc w:val="center"/>
              <w:rPr>
                <w:i w:val="0"/>
                <w:iCs w:val="0"/>
                <w:color w:val="auto"/>
              </w:rPr>
            </w:pPr>
            <w:r w:rsidRPr="00882459">
              <w:rPr>
                <w:i w:val="0"/>
                <w:iCs w:val="0"/>
                <w:color w:val="000000"/>
              </w:rPr>
              <w:t>0,074</w:t>
            </w:r>
          </w:p>
        </w:tc>
      </w:tr>
      <w:tr w:rsidR="00F5024B" w:rsidRPr="00F651B5" w14:paraId="3CE6BDF3" w14:textId="77777777" w:rsidTr="00BE4B0A">
        <w:trPr>
          <w:jc w:val="center"/>
        </w:trPr>
        <w:tc>
          <w:tcPr>
            <w:tcW w:w="0" w:type="auto"/>
            <w:vAlign w:val="center"/>
          </w:tcPr>
          <w:p w14:paraId="0F7CAB8C" w14:textId="77777777" w:rsidR="00F5024B" w:rsidRPr="00706C6F" w:rsidRDefault="00F5024B" w:rsidP="00BE4B0A">
            <w:pPr>
              <w:spacing w:before="0"/>
              <w:ind w:left="0" w:firstLine="0"/>
              <w:jc w:val="center"/>
              <w:rPr>
                <w:i w:val="0"/>
                <w:iCs w:val="0"/>
                <w:color w:val="auto"/>
              </w:rPr>
            </w:pPr>
            <w:r>
              <w:rPr>
                <w:i w:val="0"/>
                <w:iCs w:val="0"/>
                <w:color w:val="auto"/>
              </w:rPr>
              <w:t>2027</w:t>
            </w:r>
          </w:p>
        </w:tc>
        <w:tc>
          <w:tcPr>
            <w:tcW w:w="2438" w:type="dxa"/>
            <w:vAlign w:val="center"/>
          </w:tcPr>
          <w:p w14:paraId="3CCDC40B" w14:textId="77777777" w:rsidR="00F5024B" w:rsidRPr="008332BF" w:rsidRDefault="00F5024B" w:rsidP="00BE4B0A">
            <w:pPr>
              <w:spacing w:before="0"/>
              <w:ind w:left="0" w:firstLine="0"/>
              <w:jc w:val="center"/>
              <w:rPr>
                <w:i w:val="0"/>
                <w:iCs w:val="0"/>
                <w:color w:val="auto"/>
              </w:rPr>
            </w:pPr>
            <w:r w:rsidRPr="00882459">
              <w:rPr>
                <w:i w:val="0"/>
                <w:iCs w:val="0"/>
                <w:color w:val="000000"/>
              </w:rPr>
              <w:t>0,069</w:t>
            </w:r>
          </w:p>
        </w:tc>
      </w:tr>
      <w:tr w:rsidR="00F5024B" w:rsidRPr="00F651B5" w14:paraId="41CE3A27" w14:textId="77777777" w:rsidTr="00BE4B0A">
        <w:trPr>
          <w:jc w:val="center"/>
        </w:trPr>
        <w:tc>
          <w:tcPr>
            <w:tcW w:w="0" w:type="auto"/>
            <w:vAlign w:val="center"/>
          </w:tcPr>
          <w:p w14:paraId="7B11F8F4" w14:textId="77777777" w:rsidR="00F5024B" w:rsidRPr="00882459" w:rsidRDefault="00F5024B" w:rsidP="00BE4B0A">
            <w:pPr>
              <w:spacing w:before="0"/>
              <w:ind w:left="0" w:firstLine="0"/>
              <w:jc w:val="center"/>
              <w:rPr>
                <w:b/>
                <w:bCs/>
                <w:i w:val="0"/>
                <w:iCs w:val="0"/>
                <w:color w:val="auto"/>
              </w:rPr>
            </w:pPr>
            <w:r w:rsidRPr="00882459">
              <w:rPr>
                <w:b/>
                <w:bCs/>
                <w:i w:val="0"/>
                <w:iCs w:val="0"/>
                <w:color w:val="auto"/>
              </w:rPr>
              <w:t>202</w:t>
            </w:r>
            <w:r>
              <w:rPr>
                <w:b/>
                <w:bCs/>
                <w:i w:val="0"/>
                <w:iCs w:val="0"/>
                <w:color w:val="auto"/>
              </w:rPr>
              <w:t>8</w:t>
            </w:r>
            <w:r w:rsidRPr="00882459">
              <w:rPr>
                <w:b/>
                <w:bCs/>
                <w:i w:val="0"/>
                <w:iCs w:val="0"/>
                <w:color w:val="auto"/>
              </w:rPr>
              <w:t xml:space="preserve"> en adelante</w:t>
            </w:r>
          </w:p>
        </w:tc>
        <w:tc>
          <w:tcPr>
            <w:tcW w:w="2438" w:type="dxa"/>
            <w:vAlign w:val="center"/>
          </w:tcPr>
          <w:p w14:paraId="7B889522" w14:textId="77777777" w:rsidR="00F5024B" w:rsidRPr="00882459" w:rsidRDefault="00F5024B" w:rsidP="00BE4B0A">
            <w:pPr>
              <w:spacing w:before="0"/>
              <w:ind w:left="0" w:firstLine="0"/>
              <w:jc w:val="center"/>
              <w:rPr>
                <w:b/>
                <w:bCs/>
                <w:i w:val="0"/>
                <w:iCs w:val="0"/>
                <w:color w:val="auto"/>
              </w:rPr>
            </w:pPr>
            <w:r w:rsidRPr="00882459">
              <w:rPr>
                <w:b/>
                <w:bCs/>
                <w:i w:val="0"/>
                <w:iCs w:val="0"/>
                <w:color w:val="auto"/>
              </w:rPr>
              <w:t>0,063</w:t>
            </w:r>
          </w:p>
        </w:tc>
      </w:tr>
    </w:tbl>
    <w:p w14:paraId="1F99CD4D" w14:textId="77777777" w:rsidR="00F5024B" w:rsidRDefault="00F5024B" w:rsidP="00F5024B">
      <w:pPr>
        <w:spacing w:before="0"/>
        <w:ind w:left="0" w:firstLine="0"/>
        <w:rPr>
          <w:b/>
          <w:bCs/>
          <w:i w:val="0"/>
          <w:iCs w:val="0"/>
          <w:color w:val="auto"/>
        </w:rPr>
      </w:pPr>
    </w:p>
    <w:p w14:paraId="6A65C25C" w14:textId="77777777" w:rsidR="00F5024B" w:rsidRPr="001776CD" w:rsidRDefault="00F5024B" w:rsidP="00F5024B">
      <w:pPr>
        <w:spacing w:before="0"/>
        <w:ind w:left="0" w:firstLine="0"/>
        <w:rPr>
          <w:i w:val="0"/>
          <w:iCs w:val="0"/>
          <w:color w:val="auto"/>
        </w:rPr>
      </w:pPr>
      <w:r w:rsidRPr="001A3BE6">
        <w:rPr>
          <w:b/>
          <w:bCs/>
          <w:i w:val="0"/>
          <w:iCs w:val="0"/>
          <w:color w:val="auto"/>
        </w:rPr>
        <w:t>Parágrafo 4</w:t>
      </w:r>
      <w:r>
        <w:rPr>
          <w:i w:val="0"/>
          <w:iCs w:val="0"/>
          <w:color w:val="auto"/>
        </w:rPr>
        <w:t>: Los</w:t>
      </w:r>
      <w:r w:rsidRPr="001776CD">
        <w:rPr>
          <w:i w:val="0"/>
          <w:iCs w:val="0"/>
          <w:color w:val="auto"/>
        </w:rPr>
        <w:t xml:space="preserve"> Sistemas de Información del alumbrado público</w:t>
      </w:r>
      <w:r>
        <w:rPr>
          <w:i w:val="0"/>
          <w:iCs w:val="0"/>
          <w:color w:val="auto"/>
        </w:rPr>
        <w:t xml:space="preserve"> forman parte del contrato de AOM y</w:t>
      </w:r>
      <w:r w:rsidRPr="001776CD">
        <w:rPr>
          <w:i w:val="0"/>
          <w:iCs w:val="0"/>
          <w:color w:val="auto"/>
        </w:rPr>
        <w:t xml:space="preserve"> comprende</w:t>
      </w:r>
      <w:r>
        <w:rPr>
          <w:i w:val="0"/>
          <w:iCs w:val="0"/>
          <w:color w:val="auto"/>
        </w:rPr>
        <w:t>n</w:t>
      </w:r>
      <w:r w:rsidRPr="001776CD">
        <w:rPr>
          <w:i w:val="0"/>
          <w:iCs w:val="0"/>
          <w:color w:val="auto"/>
        </w:rPr>
        <w:t xml:space="preserve"> el registro de peticiones, quejas y rec</w:t>
      </w:r>
      <w:r>
        <w:rPr>
          <w:i w:val="0"/>
          <w:iCs w:val="0"/>
          <w:color w:val="auto"/>
        </w:rPr>
        <w:t>ursos</w:t>
      </w:r>
      <w:r w:rsidRPr="001776CD">
        <w:rPr>
          <w:i w:val="0"/>
          <w:iCs w:val="0"/>
          <w:color w:val="auto"/>
        </w:rPr>
        <w:t>, PQR, del servicio de alumbrado público; consumos, facturación, recaudos, pagos de alumbrado público; inventario georreferenciado; fuentes y recursos recibidos para financiamiento de inversiones en la infraestructura de alumbrado público.</w:t>
      </w:r>
    </w:p>
    <w:p w14:paraId="5CDE36E3" w14:textId="77777777" w:rsidR="00F5024B" w:rsidRPr="00706C6F" w:rsidRDefault="00F5024B" w:rsidP="00F5024B">
      <w:pPr>
        <w:spacing w:before="0"/>
        <w:ind w:left="0" w:firstLine="0"/>
        <w:rPr>
          <w:i w:val="0"/>
          <w:iCs w:val="0"/>
          <w:color w:val="auto"/>
        </w:rPr>
      </w:pPr>
    </w:p>
    <w:p w14:paraId="53EC78C8" w14:textId="77777777" w:rsidR="00F5024B" w:rsidRPr="00706C6F" w:rsidRDefault="00F5024B" w:rsidP="00F5024B">
      <w:pPr>
        <w:pStyle w:val="Artculo1"/>
        <w:keepNext w:val="0"/>
        <w:spacing w:before="0" w:after="0"/>
        <w:ind w:left="0" w:firstLine="0"/>
        <w:rPr>
          <w:b w:val="0"/>
          <w:bCs w:val="0"/>
          <w:i w:val="0"/>
          <w:iCs w:val="0"/>
          <w:color w:val="auto"/>
        </w:rPr>
      </w:pPr>
      <w:r w:rsidRPr="00706C6F">
        <w:rPr>
          <w:i w:val="0"/>
          <w:iCs w:val="0"/>
          <w:color w:val="auto"/>
        </w:rPr>
        <w:t xml:space="preserve">Valor del consumo de energía eléctrica por </w:t>
      </w:r>
      <w:r w:rsidRPr="00706C6F">
        <w:rPr>
          <w:i w:val="0"/>
          <w:iCs w:val="0"/>
          <w:color w:val="auto"/>
          <w:lang w:val="es-ES"/>
        </w:rPr>
        <w:t xml:space="preserve">indisponibilidad de luminarias. </w:t>
      </w:r>
      <w:r w:rsidRPr="00706C6F">
        <w:rPr>
          <w:b w:val="0"/>
          <w:bCs w:val="0"/>
          <w:i w:val="0"/>
          <w:iCs w:val="0"/>
          <w:color w:val="auto"/>
        </w:rPr>
        <w:t>El valor del consumo de energía eléctrica debido a indisponibilidad de luminarias en cada nivel de tensión n, se calculará así:</w:t>
      </w:r>
    </w:p>
    <w:p w14:paraId="31E27416" w14:textId="77777777" w:rsidR="00F5024B" w:rsidRPr="00706C6F" w:rsidRDefault="00F5024B" w:rsidP="00F5024B">
      <w:pPr>
        <w:spacing w:before="0" w:after="0"/>
        <w:rPr>
          <w:i w:val="0"/>
          <w:iCs w:val="0"/>
          <w:color w:val="auto"/>
        </w:rPr>
      </w:pPr>
    </w:p>
    <w:p w14:paraId="578C4B41" w14:textId="77777777" w:rsidR="00F5024B" w:rsidRPr="00706C6F" w:rsidRDefault="00541E73" w:rsidP="00F5024B">
      <w:pPr>
        <w:spacing w:before="0" w:after="0"/>
        <w:ind w:left="0" w:firstLine="0"/>
        <w:rPr>
          <w:color w:val="auto"/>
        </w:rPr>
      </w:pPr>
      <m:oMathPara>
        <m:oMath>
          <m:sSub>
            <m:sSubPr>
              <m:ctrlPr>
                <w:rPr>
                  <w:rFonts w:ascii="Cambria Math" w:hAnsi="Cambria Math"/>
                  <w:color w:val="auto"/>
                </w:rPr>
              </m:ctrlPr>
            </m:sSubPr>
            <m:e>
              <m:r>
                <w:rPr>
                  <w:rFonts w:ascii="Cambria Math" w:hAnsi="Cambria Math"/>
                  <w:color w:val="auto"/>
                </w:rPr>
                <m:t>VCEEI</m:t>
              </m:r>
            </m:e>
            <m:sub>
              <m:r>
                <w:rPr>
                  <w:rFonts w:ascii="Cambria Math" w:hAnsi="Cambria Math"/>
                  <w:color w:val="auto"/>
                </w:rPr>
                <m:t>n</m:t>
              </m:r>
            </m:sub>
          </m:sSub>
          <m:r>
            <w:rPr>
              <w:rFonts w:ascii="Cambria Math" w:hAnsi="Cambria Math"/>
              <w:color w:val="auto"/>
            </w:rPr>
            <m:t>=</m:t>
          </m:r>
          <m:sSub>
            <m:sSubPr>
              <m:ctrlPr>
                <w:rPr>
                  <w:rFonts w:ascii="Cambria Math" w:hAnsi="Cambria Math"/>
                  <w:color w:val="auto"/>
                </w:rPr>
              </m:ctrlPr>
            </m:sSubPr>
            <m:e>
              <m:r>
                <w:rPr>
                  <w:rFonts w:ascii="Cambria Math" w:hAnsi="Cambria Math"/>
                  <w:color w:val="auto"/>
                </w:rPr>
                <m:t>TEE</m:t>
              </m:r>
            </m:e>
            <m:sub>
              <m:r>
                <w:rPr>
                  <w:rFonts w:ascii="Cambria Math" w:hAnsi="Cambria Math"/>
                  <w:color w:val="auto"/>
                </w:rPr>
                <m:t>n</m:t>
              </m:r>
            </m:sub>
          </m:sSub>
          <m:r>
            <w:rPr>
              <w:rFonts w:ascii="Cambria Math" w:hAnsi="Cambria Math"/>
              <w:color w:val="auto"/>
            </w:rPr>
            <m:t>*</m:t>
          </m:r>
          <m:nary>
            <m:naryPr>
              <m:chr m:val="∑"/>
              <m:limLoc m:val="undOvr"/>
              <m:ctrlPr>
                <w:rPr>
                  <w:rFonts w:ascii="Cambria Math" w:hAnsi="Cambria Math"/>
                  <w:color w:val="auto"/>
                </w:rPr>
              </m:ctrlPr>
            </m:naryPr>
            <m:sub>
              <m:r>
                <w:rPr>
                  <w:rFonts w:ascii="Cambria Math" w:hAnsi="Cambria Math"/>
                  <w:color w:val="auto"/>
                </w:rPr>
                <m:t>J=1</m:t>
              </m:r>
            </m:sub>
            <m:sup>
              <m:r>
                <w:rPr>
                  <w:rFonts w:ascii="Cambria Math" w:hAnsi="Cambria Math"/>
                  <w:color w:val="auto"/>
                </w:rPr>
                <m:t>m</m:t>
              </m:r>
            </m:sup>
            <m:e>
              <m:r>
                <w:rPr>
                  <w:rFonts w:ascii="Cambria Math" w:hAnsi="Cambria Math"/>
                  <w:color w:val="auto"/>
                </w:rPr>
                <m:t>(</m:t>
              </m:r>
              <m:sSub>
                <m:sSubPr>
                  <m:ctrlPr>
                    <w:rPr>
                      <w:rFonts w:ascii="Cambria Math" w:hAnsi="Cambria Math"/>
                      <w:color w:val="auto"/>
                    </w:rPr>
                  </m:ctrlPr>
                </m:sSubPr>
                <m:e>
                  <m:r>
                    <w:rPr>
                      <w:rFonts w:ascii="Cambria Math" w:hAnsi="Cambria Math"/>
                      <w:color w:val="auto"/>
                    </w:rPr>
                    <m:t>QI</m:t>
                  </m:r>
                </m:e>
                <m:sub>
                  <m:r>
                    <w:rPr>
                      <w:rFonts w:ascii="Cambria Math" w:hAnsi="Cambria Math"/>
                      <w:color w:val="auto"/>
                    </w:rPr>
                    <m:t>j,n</m:t>
                  </m:r>
                </m:sub>
              </m:sSub>
              <m:r>
                <w:rPr>
                  <w:rFonts w:ascii="Cambria Math" w:hAnsi="Cambria Math"/>
                  <w:color w:val="auto"/>
                </w:rPr>
                <m:t>*</m:t>
              </m:r>
              <m:sSub>
                <m:sSubPr>
                  <m:ctrlPr>
                    <w:rPr>
                      <w:rFonts w:ascii="Cambria Math" w:hAnsi="Cambria Math"/>
                      <w:color w:val="auto"/>
                    </w:rPr>
                  </m:ctrlPr>
                </m:sSubPr>
                <m:e>
                  <m:r>
                    <w:rPr>
                      <w:rFonts w:ascii="Cambria Math" w:hAnsi="Cambria Math"/>
                      <w:color w:val="auto"/>
                    </w:rPr>
                    <m:t>TI</m:t>
                  </m:r>
                </m:e>
                <m:sub>
                  <m:r>
                    <w:rPr>
                      <w:rFonts w:ascii="Cambria Math" w:hAnsi="Cambria Math"/>
                      <w:color w:val="auto"/>
                    </w:rPr>
                    <m:t>j,n</m:t>
                  </m:r>
                </m:sub>
              </m:sSub>
              <m:r>
                <w:rPr>
                  <w:rFonts w:ascii="Cambria Math" w:hAnsi="Cambria Math"/>
                  <w:color w:val="auto"/>
                </w:rPr>
                <m:t>)</m:t>
              </m:r>
            </m:e>
          </m:nary>
        </m:oMath>
      </m:oMathPara>
    </w:p>
    <w:p w14:paraId="3C2FDF98" w14:textId="77777777" w:rsidR="00F5024B" w:rsidRPr="001D2F92" w:rsidRDefault="00F5024B" w:rsidP="00F5024B">
      <w:pPr>
        <w:spacing w:before="0" w:after="0"/>
        <w:rPr>
          <w:color w:val="auto"/>
        </w:rPr>
      </w:pPr>
      <w:r w:rsidRPr="001D2F92">
        <w:rPr>
          <w:color w:val="auto"/>
        </w:rPr>
        <w:t>Donde:</w:t>
      </w:r>
    </w:p>
    <w:p w14:paraId="13A1A20A" w14:textId="77777777" w:rsidR="00F5024B" w:rsidRPr="00056875" w:rsidRDefault="00F5024B" w:rsidP="00F5024B">
      <w:pPr>
        <w:spacing w:before="0" w:after="0"/>
        <w:rPr>
          <w:i w:val="0"/>
          <w:iCs w:val="0"/>
          <w:color w:val="auto"/>
        </w:rPr>
      </w:pPr>
    </w:p>
    <w:p w14:paraId="3AD2089D" w14:textId="26B1DFCD" w:rsidR="00F5024B" w:rsidRDefault="00F5024B" w:rsidP="00F5024B">
      <w:pPr>
        <w:spacing w:before="0" w:after="0"/>
        <w:rPr>
          <w:rFonts w:eastAsia="Cambria"/>
          <w:i w:val="0"/>
          <w:iCs w:val="0"/>
          <w:color w:val="auto"/>
          <w:lang w:eastAsia="en-US"/>
        </w:rPr>
      </w:pPr>
      <w:proofErr w:type="spellStart"/>
      <w:r w:rsidRPr="00AE1BAD">
        <w:rPr>
          <w:color w:val="auto"/>
        </w:rPr>
        <w:t>VCEEI</w:t>
      </w:r>
      <w:r w:rsidRPr="00AE1BAD">
        <w:rPr>
          <w:color w:val="auto"/>
          <w:vertAlign w:val="subscript"/>
        </w:rPr>
        <w:t>n</w:t>
      </w:r>
      <w:proofErr w:type="spellEnd"/>
      <w:r w:rsidRPr="00AE1BAD">
        <w:rPr>
          <w:color w:val="auto"/>
        </w:rPr>
        <w:t>:</w:t>
      </w:r>
      <w:r w:rsidRPr="00AE1BAD">
        <w:rPr>
          <w:color w:val="auto"/>
        </w:rPr>
        <w:tab/>
      </w:r>
      <w:r w:rsidRPr="00384366">
        <w:rPr>
          <w:i w:val="0"/>
          <w:iCs w:val="0"/>
          <w:color w:val="auto"/>
        </w:rPr>
        <w:t xml:space="preserve">Valor </w:t>
      </w:r>
      <w:r w:rsidRPr="00384366">
        <w:rPr>
          <w:rFonts w:eastAsia="Cambria"/>
          <w:i w:val="0"/>
          <w:iCs w:val="0"/>
          <w:color w:val="auto"/>
          <w:lang w:eastAsia="en-US"/>
        </w:rPr>
        <w:t xml:space="preserve">en </w:t>
      </w:r>
      <w:r w:rsidRPr="00384366">
        <w:rPr>
          <w:i w:val="0"/>
          <w:iCs w:val="0"/>
          <w:color w:val="auto"/>
        </w:rPr>
        <w:t>pesos del consumo de energía eléctrica debido a indisponibilidad de luminarias del Sistema de Alumbrado Público, en el nivel de tensión n. Só</w:t>
      </w:r>
      <w:r w:rsidRPr="00384366">
        <w:rPr>
          <w:rFonts w:eastAsia="Cambria"/>
          <w:i w:val="0"/>
          <w:iCs w:val="0"/>
          <w:color w:val="auto"/>
          <w:lang w:eastAsia="en-US"/>
        </w:rPr>
        <w:t>lo se consideran aquellas luminarias que están reportadas al SIAP como prendidas cuando deben estar apagadas.</w:t>
      </w:r>
    </w:p>
    <w:p w14:paraId="26A1449B" w14:textId="77777777" w:rsidR="00F5024B" w:rsidRPr="00AE1BAD" w:rsidRDefault="00F5024B" w:rsidP="00F5024B">
      <w:pPr>
        <w:spacing w:before="0" w:after="0"/>
        <w:rPr>
          <w:color w:val="auto"/>
        </w:rPr>
      </w:pPr>
      <w:r w:rsidRPr="00AE1BAD">
        <w:rPr>
          <w:color w:val="auto"/>
        </w:rPr>
        <w:lastRenderedPageBreak/>
        <w:t xml:space="preserve"> </w:t>
      </w:r>
    </w:p>
    <w:p w14:paraId="13D1B26C" w14:textId="77777777" w:rsidR="00F5024B" w:rsidRPr="00384366" w:rsidRDefault="00F5024B" w:rsidP="00F5024B">
      <w:pPr>
        <w:spacing w:before="0" w:after="0"/>
        <w:rPr>
          <w:i w:val="0"/>
          <w:iCs w:val="0"/>
          <w:color w:val="auto"/>
        </w:rPr>
      </w:pPr>
      <w:r w:rsidRPr="00AE1BAD">
        <w:rPr>
          <w:color w:val="auto"/>
        </w:rPr>
        <w:t>n:</w:t>
      </w:r>
      <w:r w:rsidRPr="00AE1BAD">
        <w:rPr>
          <w:color w:val="auto"/>
        </w:rPr>
        <w:tab/>
      </w:r>
      <w:r w:rsidRPr="00384366">
        <w:rPr>
          <w:i w:val="0"/>
          <w:iCs w:val="0"/>
          <w:color w:val="auto"/>
        </w:rPr>
        <w:t>Nivel de tensión 1 o 2</w:t>
      </w:r>
    </w:p>
    <w:p w14:paraId="6EB690FA" w14:textId="77777777" w:rsidR="00F5024B" w:rsidRPr="00AE1BAD" w:rsidRDefault="00F5024B" w:rsidP="00F5024B">
      <w:pPr>
        <w:spacing w:before="0" w:after="0"/>
        <w:rPr>
          <w:color w:val="auto"/>
        </w:rPr>
      </w:pPr>
    </w:p>
    <w:p w14:paraId="6CE4CC6A" w14:textId="77777777" w:rsidR="00F5024B" w:rsidRPr="00AE1BAD" w:rsidRDefault="00F5024B" w:rsidP="00F5024B">
      <w:pPr>
        <w:spacing w:before="0" w:after="0"/>
        <w:rPr>
          <w:color w:val="auto"/>
        </w:rPr>
      </w:pPr>
      <w:proofErr w:type="spellStart"/>
      <w:r w:rsidRPr="00AE1BAD">
        <w:rPr>
          <w:color w:val="auto"/>
        </w:rPr>
        <w:t>TEE</w:t>
      </w:r>
      <w:r w:rsidRPr="00AE1BAD">
        <w:rPr>
          <w:color w:val="auto"/>
          <w:vertAlign w:val="subscript"/>
        </w:rPr>
        <w:t>n</w:t>
      </w:r>
      <w:proofErr w:type="spellEnd"/>
      <w:r w:rsidRPr="00AE1BAD">
        <w:rPr>
          <w:color w:val="auto"/>
        </w:rPr>
        <w:t>:</w:t>
      </w:r>
      <w:r w:rsidRPr="00AE1BAD">
        <w:rPr>
          <w:color w:val="auto"/>
        </w:rPr>
        <w:tab/>
      </w:r>
      <w:r w:rsidRPr="00384366">
        <w:rPr>
          <w:i w:val="0"/>
          <w:iCs w:val="0"/>
          <w:color w:val="auto"/>
        </w:rPr>
        <w:t>Tarifa del suministro de energía eléctrica para el Servicio de Alumbrado Público en el nivel de tensión</w:t>
      </w:r>
      <w:r w:rsidRPr="00AE1BAD">
        <w:rPr>
          <w:color w:val="auto"/>
        </w:rPr>
        <w:t xml:space="preserve"> n </w:t>
      </w:r>
      <w:r w:rsidRPr="00384366">
        <w:rPr>
          <w:i w:val="0"/>
          <w:iCs w:val="0"/>
          <w:color w:val="auto"/>
        </w:rPr>
        <w:t>en $/kWh</w:t>
      </w:r>
      <w:r w:rsidRPr="00AE1BAD">
        <w:rPr>
          <w:color w:val="auto"/>
        </w:rPr>
        <w:t>.</w:t>
      </w:r>
    </w:p>
    <w:p w14:paraId="2082F99E" w14:textId="77777777" w:rsidR="00F5024B" w:rsidRPr="00AE1BAD" w:rsidRDefault="00F5024B" w:rsidP="00F5024B">
      <w:pPr>
        <w:spacing w:before="0" w:after="0"/>
        <w:rPr>
          <w:color w:val="auto"/>
        </w:rPr>
      </w:pPr>
    </w:p>
    <w:p w14:paraId="5BAEE6A8" w14:textId="77777777" w:rsidR="00F5024B" w:rsidRDefault="00F5024B" w:rsidP="00F5024B">
      <w:pPr>
        <w:spacing w:before="0" w:after="0"/>
        <w:rPr>
          <w:i w:val="0"/>
          <w:iCs w:val="0"/>
          <w:color w:val="auto"/>
        </w:rPr>
      </w:pPr>
      <w:proofErr w:type="spellStart"/>
      <w:proofErr w:type="gramStart"/>
      <w:r w:rsidRPr="00AE1BAD">
        <w:rPr>
          <w:color w:val="auto"/>
        </w:rPr>
        <w:t>QI</w:t>
      </w:r>
      <w:r w:rsidRPr="00AE1BAD">
        <w:rPr>
          <w:color w:val="auto"/>
          <w:vertAlign w:val="subscript"/>
        </w:rPr>
        <w:t>j,n</w:t>
      </w:r>
      <w:proofErr w:type="spellEnd"/>
      <w:proofErr w:type="gramEnd"/>
      <w:r w:rsidRPr="00AE1BAD">
        <w:rPr>
          <w:color w:val="auto"/>
        </w:rPr>
        <w:t>:</w:t>
      </w:r>
      <w:r w:rsidRPr="00AE1BAD">
        <w:rPr>
          <w:color w:val="auto"/>
        </w:rPr>
        <w:tab/>
      </w:r>
      <w:r w:rsidRPr="00384366">
        <w:rPr>
          <w:i w:val="0"/>
          <w:iCs w:val="0"/>
          <w:color w:val="auto"/>
        </w:rPr>
        <w:t>Carga de la luminaria</w:t>
      </w:r>
      <w:r w:rsidRPr="00AE1BAD">
        <w:rPr>
          <w:color w:val="auto"/>
        </w:rPr>
        <w:t xml:space="preserve"> j </w:t>
      </w:r>
      <w:r w:rsidRPr="00384366">
        <w:rPr>
          <w:i w:val="0"/>
          <w:iCs w:val="0"/>
          <w:color w:val="auto"/>
        </w:rPr>
        <w:t>en</w:t>
      </w:r>
      <w:r w:rsidRPr="00AE1BAD">
        <w:rPr>
          <w:color w:val="auto"/>
        </w:rPr>
        <w:t xml:space="preserve"> kW, </w:t>
      </w:r>
      <w:r w:rsidRPr="00384366">
        <w:rPr>
          <w:i w:val="0"/>
          <w:iCs w:val="0"/>
          <w:color w:val="auto"/>
        </w:rPr>
        <w:t>reportada con indisponibilidad en el SIAP de Servicio de Alumbrado Público en el nivel de tensión</w:t>
      </w:r>
      <w:r w:rsidRPr="00AE1BAD">
        <w:rPr>
          <w:color w:val="auto"/>
        </w:rPr>
        <w:t xml:space="preserve"> n. </w:t>
      </w:r>
      <w:r w:rsidRPr="00384366">
        <w:rPr>
          <w:i w:val="0"/>
          <w:iCs w:val="0"/>
          <w:color w:val="auto"/>
        </w:rPr>
        <w:t>Incluye la carga de la bombilla o fuente luminosa de la luminaria y de los demás elementos internos para su funcionamiento.</w:t>
      </w:r>
    </w:p>
    <w:p w14:paraId="5FD3A714" w14:textId="77777777" w:rsidR="00F5024B" w:rsidRPr="00384366" w:rsidRDefault="00F5024B" w:rsidP="00F5024B">
      <w:pPr>
        <w:spacing w:before="0" w:after="0"/>
        <w:rPr>
          <w:i w:val="0"/>
          <w:iCs w:val="0"/>
          <w:color w:val="auto"/>
        </w:rPr>
      </w:pPr>
      <w:proofErr w:type="spellStart"/>
      <w:proofErr w:type="gramStart"/>
      <w:r w:rsidRPr="00AE1BAD">
        <w:rPr>
          <w:color w:val="auto"/>
        </w:rPr>
        <w:t>TI</w:t>
      </w:r>
      <w:r w:rsidRPr="00AE1BAD">
        <w:rPr>
          <w:color w:val="auto"/>
          <w:vertAlign w:val="subscript"/>
        </w:rPr>
        <w:t>j,n</w:t>
      </w:r>
      <w:proofErr w:type="spellEnd"/>
      <w:proofErr w:type="gramEnd"/>
      <w:r w:rsidRPr="00AE1BAD">
        <w:rPr>
          <w:color w:val="auto"/>
        </w:rPr>
        <w:t>:</w:t>
      </w:r>
      <w:r w:rsidRPr="00AE1BAD">
        <w:rPr>
          <w:color w:val="auto"/>
        </w:rPr>
        <w:tab/>
      </w:r>
      <w:r w:rsidRPr="00384366">
        <w:rPr>
          <w:i w:val="0"/>
          <w:iCs w:val="0"/>
          <w:color w:val="auto"/>
        </w:rPr>
        <w:t>Número total de horas de indisponibilidad de la luminaria</w:t>
      </w:r>
      <w:r w:rsidRPr="00AE1BAD">
        <w:rPr>
          <w:color w:val="auto"/>
        </w:rPr>
        <w:t xml:space="preserve"> j, </w:t>
      </w:r>
      <w:r w:rsidRPr="00384366">
        <w:rPr>
          <w:i w:val="0"/>
          <w:iCs w:val="0"/>
          <w:color w:val="auto"/>
        </w:rPr>
        <w:t xml:space="preserve">reportada en el SIAP en el nivel de tensión n. Son las horas desde el momento que se reporta la anomalía, hasta cuando el prestador del Servicio de Alumbrado Público la reporta en servicio normal. </w:t>
      </w:r>
    </w:p>
    <w:p w14:paraId="55BD8142" w14:textId="77777777" w:rsidR="00F5024B" w:rsidRPr="00AE1BAD" w:rsidRDefault="00F5024B" w:rsidP="00F5024B">
      <w:pPr>
        <w:spacing w:before="0" w:after="0"/>
        <w:rPr>
          <w:color w:val="auto"/>
        </w:rPr>
      </w:pPr>
    </w:p>
    <w:p w14:paraId="62149665" w14:textId="77777777" w:rsidR="00F5024B" w:rsidRPr="00384366" w:rsidRDefault="00F5024B" w:rsidP="00F5024B">
      <w:pPr>
        <w:pStyle w:val="Textoindependiente"/>
        <w:spacing w:before="0" w:after="0"/>
        <w:jc w:val="both"/>
        <w:rPr>
          <w:rFonts w:ascii="Bookman Old Style" w:eastAsia="Cambria" w:hAnsi="Bookman Old Style"/>
          <w:b w:val="0"/>
          <w:bCs w:val="0"/>
          <w:i w:val="0"/>
          <w:iCs w:val="0"/>
          <w:color w:val="auto"/>
          <w:lang w:eastAsia="en-US"/>
        </w:rPr>
      </w:pPr>
      <w:r w:rsidRPr="00AE1BAD">
        <w:rPr>
          <w:rFonts w:ascii="Bookman Old Style" w:hAnsi="Bookman Old Style"/>
          <w:b w:val="0"/>
          <w:bCs w:val="0"/>
          <w:color w:val="auto"/>
        </w:rPr>
        <w:t>m:</w:t>
      </w:r>
      <w:r w:rsidRPr="00AE1BAD">
        <w:rPr>
          <w:rFonts w:ascii="Bookman Old Style" w:hAnsi="Bookman Old Style"/>
          <w:b w:val="0"/>
          <w:bCs w:val="0"/>
          <w:color w:val="auto"/>
        </w:rPr>
        <w:tab/>
      </w:r>
      <w:r w:rsidRPr="00384366">
        <w:rPr>
          <w:rFonts w:ascii="Bookman Old Style" w:hAnsi="Bookman Old Style"/>
          <w:b w:val="0"/>
          <w:bCs w:val="0"/>
          <w:i w:val="0"/>
          <w:iCs w:val="0"/>
          <w:color w:val="auto"/>
        </w:rPr>
        <w:t>Número total de luminarias del nivel de tensión</w:t>
      </w:r>
      <w:r w:rsidRPr="00AE1BAD">
        <w:rPr>
          <w:rFonts w:ascii="Bookman Old Style" w:hAnsi="Bookman Old Style"/>
          <w:b w:val="0"/>
          <w:bCs w:val="0"/>
          <w:color w:val="auto"/>
        </w:rPr>
        <w:t xml:space="preserve"> n, </w:t>
      </w:r>
      <w:r w:rsidRPr="00384366">
        <w:rPr>
          <w:rFonts w:ascii="Bookman Old Style" w:hAnsi="Bookman Old Style"/>
          <w:b w:val="0"/>
          <w:bCs w:val="0"/>
          <w:i w:val="0"/>
          <w:iCs w:val="0"/>
          <w:color w:val="auto"/>
        </w:rPr>
        <w:t>reportadas al registro de quejas y reclamos del SIAP, del municipio o distrito durante el periodo de remuneración.</w:t>
      </w:r>
    </w:p>
    <w:p w14:paraId="4ADA7D3A" w14:textId="77777777" w:rsidR="00F5024B" w:rsidRPr="00384366" w:rsidRDefault="00F5024B" w:rsidP="00F5024B">
      <w:pPr>
        <w:spacing w:before="0" w:after="0"/>
        <w:rPr>
          <w:i w:val="0"/>
          <w:iCs w:val="0"/>
          <w:color w:val="auto"/>
        </w:rPr>
      </w:pPr>
    </w:p>
    <w:p w14:paraId="3B03006C" w14:textId="77777777" w:rsidR="00F5024B" w:rsidRPr="00245A25" w:rsidRDefault="00F5024B" w:rsidP="00F5024B">
      <w:pPr>
        <w:spacing w:before="0" w:after="0"/>
        <w:ind w:left="0" w:firstLine="0"/>
        <w:rPr>
          <w:i w:val="0"/>
          <w:iCs w:val="0"/>
          <w:color w:val="auto"/>
        </w:rPr>
      </w:pPr>
    </w:p>
    <w:p w14:paraId="7D340DB7" w14:textId="77777777" w:rsidR="00F5024B" w:rsidRPr="00245A25" w:rsidRDefault="00F5024B" w:rsidP="00F5024B">
      <w:pPr>
        <w:spacing w:before="0" w:after="0"/>
        <w:jc w:val="center"/>
        <w:rPr>
          <w:b/>
          <w:bCs/>
          <w:i w:val="0"/>
          <w:iCs w:val="0"/>
          <w:color w:val="auto"/>
        </w:rPr>
      </w:pPr>
      <w:r w:rsidRPr="00245A25">
        <w:rPr>
          <w:b/>
          <w:bCs/>
          <w:i w:val="0"/>
          <w:iCs w:val="0"/>
          <w:color w:val="auto"/>
        </w:rPr>
        <w:t>CAPÍTULO VI</w:t>
      </w:r>
    </w:p>
    <w:p w14:paraId="50FF278E" w14:textId="77777777" w:rsidR="00F5024B" w:rsidRPr="00245A25" w:rsidRDefault="00F5024B" w:rsidP="00F5024B">
      <w:pPr>
        <w:spacing w:before="0" w:after="0"/>
        <w:rPr>
          <w:i w:val="0"/>
          <w:iCs w:val="0"/>
          <w:color w:val="auto"/>
        </w:rPr>
      </w:pPr>
    </w:p>
    <w:p w14:paraId="679D5903" w14:textId="77777777" w:rsidR="00F5024B" w:rsidRPr="00245A25" w:rsidRDefault="00F5024B" w:rsidP="00F5024B">
      <w:pPr>
        <w:spacing w:before="0" w:after="0"/>
        <w:ind w:left="0" w:firstLine="0"/>
        <w:jc w:val="center"/>
        <w:rPr>
          <w:b/>
          <w:bCs/>
          <w:i w:val="0"/>
          <w:iCs w:val="0"/>
          <w:color w:val="auto"/>
        </w:rPr>
      </w:pPr>
      <w:r w:rsidRPr="00245A25">
        <w:rPr>
          <w:b/>
          <w:bCs/>
          <w:i w:val="0"/>
          <w:iCs w:val="0"/>
          <w:color w:val="auto"/>
        </w:rPr>
        <w:t>OTROS COSTOS PARA LA PRESTACIÓN DEL SERVICIO DEL ALUMBRADO PÚBLICO</w:t>
      </w:r>
    </w:p>
    <w:p w14:paraId="1A6CAD8C" w14:textId="77777777" w:rsidR="00F5024B" w:rsidRPr="00245A25" w:rsidRDefault="00F5024B" w:rsidP="00F5024B">
      <w:pPr>
        <w:spacing w:before="0" w:after="0"/>
        <w:ind w:left="0" w:firstLine="0"/>
        <w:rPr>
          <w:i w:val="0"/>
          <w:iCs w:val="0"/>
          <w:color w:val="auto"/>
        </w:rPr>
      </w:pPr>
    </w:p>
    <w:p w14:paraId="564A8516" w14:textId="77777777" w:rsidR="00F5024B" w:rsidRPr="00245A25" w:rsidRDefault="00F5024B" w:rsidP="00F5024B">
      <w:pPr>
        <w:pStyle w:val="Artculo1"/>
        <w:keepNext w:val="0"/>
        <w:ind w:left="0" w:firstLine="0"/>
        <w:rPr>
          <w:b w:val="0"/>
          <w:bCs w:val="0"/>
          <w:i w:val="0"/>
          <w:color w:val="auto"/>
          <w:szCs w:val="24"/>
          <w:lang w:val="es-ES_tradnl"/>
        </w:rPr>
      </w:pPr>
      <w:r w:rsidRPr="00245A25">
        <w:rPr>
          <w:i w:val="0"/>
          <w:color w:val="auto"/>
          <w:szCs w:val="24"/>
          <w:lang w:val="es-ES_tradnl"/>
        </w:rPr>
        <w:t>Costo de la Interventoría del servicio de Alumbrado Público.</w:t>
      </w:r>
      <w:r w:rsidRPr="00245A25">
        <w:rPr>
          <w:b w:val="0"/>
          <w:bCs w:val="0"/>
          <w:i w:val="0"/>
          <w:color w:val="auto"/>
          <w:szCs w:val="24"/>
          <w:lang w:val="es-ES_tradnl"/>
        </w:rPr>
        <w:t xml:space="preserve"> De acuerdo con lo establecido en el </w:t>
      </w:r>
      <w:r>
        <w:rPr>
          <w:b w:val="0"/>
          <w:bCs w:val="0"/>
          <w:i w:val="0"/>
          <w:color w:val="auto"/>
          <w:szCs w:val="24"/>
          <w:lang w:val="es-ES_tradnl"/>
        </w:rPr>
        <w:t xml:space="preserve">artículo 10 del Decreto 943 de 2018, que modifica el artículo 2.2.3.6.1.8 del decreto 1073 de 2015, los municipios y distritos deberán tener en cuenta los costos de las interventorías de los contratos para la prestación del servicio de alumbrado público considerando </w:t>
      </w:r>
      <w:r w:rsidRPr="00245A25">
        <w:rPr>
          <w:b w:val="0"/>
          <w:bCs w:val="0"/>
          <w:i w:val="0"/>
          <w:color w:val="auto"/>
          <w:szCs w:val="24"/>
          <w:lang w:val="es-ES_tradnl"/>
        </w:rPr>
        <w:t xml:space="preserve">la descripción de las actividades del Capítulo 7 del </w:t>
      </w:r>
      <w:r>
        <w:rPr>
          <w:b w:val="0"/>
          <w:bCs w:val="0"/>
          <w:i w:val="0"/>
          <w:color w:val="auto"/>
          <w:szCs w:val="24"/>
          <w:lang w:val="es-ES_tradnl"/>
        </w:rPr>
        <w:t>RETILAP</w:t>
      </w:r>
      <w:r w:rsidRPr="00245A25">
        <w:rPr>
          <w:b w:val="0"/>
          <w:bCs w:val="0"/>
          <w:i w:val="0"/>
          <w:color w:val="auto"/>
          <w:szCs w:val="24"/>
          <w:lang w:val="es-ES_tradnl"/>
        </w:rPr>
        <w:t>,</w:t>
      </w:r>
      <w:r>
        <w:rPr>
          <w:b w:val="0"/>
          <w:bCs w:val="0"/>
          <w:i w:val="0"/>
          <w:color w:val="auto"/>
          <w:szCs w:val="24"/>
          <w:lang w:val="es-ES_tradnl"/>
        </w:rPr>
        <w:t xml:space="preserve"> y aquellos que lo modifiquen, adicionen o sustituyan.</w:t>
      </w:r>
    </w:p>
    <w:p w14:paraId="572CE4AD" w14:textId="77777777" w:rsidR="00F5024B" w:rsidRPr="00060C58" w:rsidRDefault="00F5024B" w:rsidP="00F5024B">
      <w:pPr>
        <w:pStyle w:val="Artculo1"/>
        <w:keepNext w:val="0"/>
        <w:ind w:left="0" w:firstLine="0"/>
        <w:rPr>
          <w:color w:val="auto"/>
        </w:rPr>
      </w:pPr>
      <w:r w:rsidRPr="004D2C1D">
        <w:rPr>
          <w:i w:val="0"/>
          <w:color w:val="auto"/>
          <w:szCs w:val="24"/>
          <w:lang w:val="es-ES_tradnl"/>
        </w:rPr>
        <w:t xml:space="preserve">Costos Ambientales del servicio de Alumbrado Público. </w:t>
      </w:r>
      <w:r w:rsidRPr="004D2C1D">
        <w:rPr>
          <w:b w:val="0"/>
          <w:bCs w:val="0"/>
          <w:i w:val="0"/>
          <w:color w:val="auto"/>
          <w:szCs w:val="24"/>
          <w:lang w:val="es-ES_tradnl"/>
        </w:rPr>
        <w:t xml:space="preserve"> Los costos ambientales reconocidos a partir de la </w:t>
      </w:r>
      <w:r w:rsidRPr="000070FC">
        <w:rPr>
          <w:b w:val="0"/>
          <w:bCs w:val="0"/>
          <w:i w:val="0"/>
          <w:color w:val="auto"/>
          <w:szCs w:val="24"/>
          <w:lang w:val="es-ES_tradnl"/>
        </w:rPr>
        <w:t>entrada en operación del proyecto de inversión por la modernización de la infraestructura de alumbrado público, corresponden como máximo al cinco por ciento (5%) de los costos anuales de la administración, operación y mantenimiento, CAOM, definidos en el artículo 3</w:t>
      </w:r>
      <w:r>
        <w:rPr>
          <w:b w:val="0"/>
          <w:bCs w:val="0"/>
          <w:i w:val="0"/>
          <w:color w:val="auto"/>
          <w:szCs w:val="24"/>
          <w:lang w:val="es-ES_tradnl"/>
        </w:rPr>
        <w:t>5</w:t>
      </w:r>
      <w:r w:rsidRPr="000070FC">
        <w:rPr>
          <w:b w:val="0"/>
          <w:bCs w:val="0"/>
          <w:i w:val="0"/>
          <w:color w:val="auto"/>
          <w:szCs w:val="24"/>
          <w:lang w:val="es-ES_tradnl"/>
        </w:rPr>
        <w:t xml:space="preserve"> de la presente resolución, cuando estos se causen de acuerdo con las disposiciones legales vigentes, los cuales deberán ser debidamente validados por la interventoría, o la supervisión del contrato.</w:t>
      </w:r>
    </w:p>
    <w:p w14:paraId="704DAA32" w14:textId="60D8E67F" w:rsidR="00F5024B" w:rsidRDefault="00F5024B" w:rsidP="00F5024B">
      <w:pPr>
        <w:ind w:left="0" w:firstLine="0"/>
        <w:rPr>
          <w:i w:val="0"/>
          <w:color w:val="auto"/>
        </w:rPr>
      </w:pPr>
      <w:r w:rsidRPr="00245A25">
        <w:rPr>
          <w:i w:val="0"/>
          <w:color w:val="auto"/>
        </w:rPr>
        <w:t xml:space="preserve">Los municipios o distritos deben incorporar una evaluación de los costos ambientales dentro del ETR </w:t>
      </w:r>
      <w:r>
        <w:rPr>
          <w:i w:val="0"/>
          <w:color w:val="auto"/>
        </w:rPr>
        <w:t xml:space="preserve">de conformidad con lo dispuesto en el artículo 2.2.3.6.1.3 del Decreto 1073 de 2015, </w:t>
      </w:r>
      <w:r w:rsidRPr="00245A25">
        <w:rPr>
          <w:i w:val="0"/>
          <w:color w:val="auto"/>
        </w:rPr>
        <w:t>que permita identificar las acciones de prevención, mitigación, corrección y/o compensación de las causas generadas por los proyectos de inversión y las actividades del servicio del alumbrado público sobre la naturaleza, en los términos dispuestos en la legislación ambiental vigentes para tal fin.</w:t>
      </w:r>
    </w:p>
    <w:p w14:paraId="7C0F7D76" w14:textId="794D0436" w:rsidR="005176E1" w:rsidRDefault="005176E1" w:rsidP="00F5024B">
      <w:pPr>
        <w:ind w:left="0" w:firstLine="0"/>
        <w:rPr>
          <w:i w:val="0"/>
          <w:color w:val="auto"/>
        </w:rPr>
      </w:pPr>
    </w:p>
    <w:p w14:paraId="6E8728D6" w14:textId="77777777" w:rsidR="00F5024B" w:rsidRPr="00245A25" w:rsidRDefault="00F5024B" w:rsidP="00F5024B">
      <w:pPr>
        <w:ind w:left="0" w:firstLine="0"/>
        <w:rPr>
          <w:i w:val="0"/>
          <w:color w:val="auto"/>
        </w:rPr>
      </w:pPr>
      <w:r w:rsidRPr="00245A25">
        <w:rPr>
          <w:i w:val="0"/>
          <w:color w:val="auto"/>
        </w:rPr>
        <w:lastRenderedPageBreak/>
        <w:t>Esta evaluación debe contemplar la elaboración del plan de manejo ambiental, la gestión integral de los residuos, la reducción de la huella de carbono del sistema y la reducción por polución lumínica, como producto de los proyectos de inversión y de AOM.</w:t>
      </w:r>
    </w:p>
    <w:p w14:paraId="52369081" w14:textId="77777777" w:rsidR="00F5024B" w:rsidRPr="00245A25" w:rsidRDefault="00F5024B" w:rsidP="00F5024B">
      <w:pPr>
        <w:ind w:left="0" w:firstLine="0"/>
        <w:rPr>
          <w:i w:val="0"/>
          <w:iCs w:val="0"/>
          <w:color w:val="auto"/>
        </w:rPr>
      </w:pPr>
      <w:r w:rsidRPr="00245A25">
        <w:rPr>
          <w:i w:val="0"/>
          <w:color w:val="auto"/>
        </w:rPr>
        <w:t>L</w:t>
      </w:r>
      <w:r w:rsidRPr="00245A25">
        <w:rPr>
          <w:i w:val="0"/>
          <w:iCs w:val="0"/>
          <w:color w:val="auto"/>
        </w:rPr>
        <w:t xml:space="preserve">a gestión integral de los residuos de aparatos eléctricos y electrónicos, RAEE, debe incorporar las estrategias en caso de reutilización, </w:t>
      </w:r>
      <w:proofErr w:type="spellStart"/>
      <w:r w:rsidRPr="00245A25">
        <w:rPr>
          <w:i w:val="0"/>
          <w:iCs w:val="0"/>
          <w:color w:val="auto"/>
        </w:rPr>
        <w:t>remanufacturación</w:t>
      </w:r>
      <w:proofErr w:type="spellEnd"/>
      <w:r w:rsidRPr="00245A25">
        <w:rPr>
          <w:i w:val="0"/>
          <w:iCs w:val="0"/>
          <w:color w:val="auto"/>
        </w:rPr>
        <w:t>, reacondicionamiento o para la devolución, recolección, reciclaje y disposición final de los RAEE.</w:t>
      </w:r>
    </w:p>
    <w:p w14:paraId="12527AF6" w14:textId="77777777" w:rsidR="00F5024B" w:rsidRPr="00245A25" w:rsidRDefault="00F5024B" w:rsidP="00F5024B">
      <w:pPr>
        <w:spacing w:before="0"/>
        <w:ind w:left="0" w:firstLine="0"/>
        <w:rPr>
          <w:i w:val="0"/>
          <w:iCs w:val="0"/>
          <w:color w:val="auto"/>
        </w:rPr>
      </w:pPr>
      <w:r w:rsidRPr="00245A25">
        <w:rPr>
          <w:i w:val="0"/>
          <w:iCs w:val="0"/>
          <w:color w:val="auto"/>
          <w:lang w:eastAsia="en-US"/>
        </w:rPr>
        <w:t>Así mismo, los municipios o distritos deben garantizar los mecanismos de vigilancia y control en la gestión y manejo de los RAEE a través de la interventoría del contrato, cuando esta opere.</w:t>
      </w:r>
    </w:p>
    <w:p w14:paraId="0143D788" w14:textId="77777777" w:rsidR="00F5024B" w:rsidRPr="00245A25" w:rsidRDefault="00F5024B" w:rsidP="00F5024B">
      <w:pPr>
        <w:spacing w:before="0"/>
        <w:ind w:left="0" w:firstLine="0"/>
        <w:rPr>
          <w:i w:val="0"/>
          <w:iCs w:val="0"/>
          <w:color w:val="auto"/>
        </w:rPr>
      </w:pPr>
      <w:r w:rsidRPr="00245A25">
        <w:rPr>
          <w:i w:val="0"/>
          <w:iCs w:val="0"/>
          <w:color w:val="auto"/>
        </w:rPr>
        <w:t>Está prohibido exp</w:t>
      </w:r>
      <w:r>
        <w:rPr>
          <w:i w:val="0"/>
          <w:iCs w:val="0"/>
          <w:color w:val="auto"/>
        </w:rPr>
        <w:t>resamente</w:t>
      </w:r>
      <w:r w:rsidRPr="00245A25">
        <w:rPr>
          <w:i w:val="0"/>
          <w:iCs w:val="0"/>
          <w:color w:val="auto"/>
        </w:rPr>
        <w:t xml:space="preserve"> por la ley</w:t>
      </w:r>
      <w:r>
        <w:rPr>
          <w:i w:val="0"/>
          <w:iCs w:val="0"/>
          <w:color w:val="auto"/>
        </w:rPr>
        <w:t>,</w:t>
      </w:r>
      <w:r w:rsidRPr="00245A25">
        <w:rPr>
          <w:i w:val="0"/>
          <w:iCs w:val="0"/>
          <w:color w:val="auto"/>
        </w:rPr>
        <w:t xml:space="preserve"> la disposición final de los RAEE en rellenos sanitarios.</w:t>
      </w:r>
    </w:p>
    <w:p w14:paraId="22B03DAC" w14:textId="77777777" w:rsidR="00F5024B" w:rsidRPr="00245A25" w:rsidRDefault="00F5024B" w:rsidP="00F5024B">
      <w:pPr>
        <w:spacing w:before="0"/>
        <w:ind w:left="0" w:firstLine="0"/>
        <w:rPr>
          <w:i w:val="0"/>
          <w:iCs w:val="0"/>
          <w:color w:val="auto"/>
        </w:rPr>
      </w:pPr>
      <w:r w:rsidRPr="00245A25">
        <w:rPr>
          <w:b/>
          <w:bCs/>
          <w:i w:val="0"/>
          <w:iCs w:val="0"/>
          <w:color w:val="auto"/>
        </w:rPr>
        <w:t>Parágrafo.</w:t>
      </w:r>
      <w:r w:rsidRPr="00245A25">
        <w:rPr>
          <w:i w:val="0"/>
          <w:iCs w:val="0"/>
          <w:color w:val="auto"/>
        </w:rPr>
        <w:tab/>
        <w:t>Los</w:t>
      </w:r>
      <w:r w:rsidRPr="00245A25">
        <w:rPr>
          <w:rFonts w:eastAsia="Cambria"/>
          <w:i w:val="0"/>
          <w:iCs w:val="0"/>
          <w:color w:val="auto"/>
          <w:lang w:eastAsia="en-US"/>
        </w:rPr>
        <w:t xml:space="preserve"> municipios o distritos deben prever en los contratos de compra o </w:t>
      </w:r>
      <w:r w:rsidRPr="00245A25">
        <w:rPr>
          <w:i w:val="0"/>
          <w:iCs w:val="0"/>
          <w:color w:val="auto"/>
        </w:rPr>
        <w:t>importación de elementos que constituyan las UCAP del SALP, adquiridos en forma directa o través de prestadores del servicio, la gestión integral, retoma y disposición final de los RAEE.</w:t>
      </w:r>
    </w:p>
    <w:p w14:paraId="5E3AAAFA" w14:textId="77777777" w:rsidR="00F5024B" w:rsidRPr="00245A25" w:rsidRDefault="00F5024B" w:rsidP="00F5024B">
      <w:pPr>
        <w:pStyle w:val="Artculo1"/>
        <w:keepNext w:val="0"/>
        <w:spacing w:before="0"/>
        <w:ind w:left="0" w:firstLine="0"/>
        <w:rPr>
          <w:i w:val="0"/>
          <w:iCs w:val="0"/>
          <w:color w:val="auto"/>
        </w:rPr>
      </w:pPr>
      <w:r w:rsidRPr="00245A25">
        <w:rPr>
          <w:i w:val="0"/>
          <w:color w:val="auto"/>
          <w:lang w:val="es-ES"/>
        </w:rPr>
        <w:t>Sistema de Gestión de Activos.</w:t>
      </w:r>
      <w:r w:rsidRPr="00245A25">
        <w:rPr>
          <w:i w:val="0"/>
          <w:iCs w:val="0"/>
          <w:color w:val="auto"/>
        </w:rPr>
        <w:t xml:space="preserve"> </w:t>
      </w:r>
      <w:r w:rsidRPr="00245A25">
        <w:rPr>
          <w:b w:val="0"/>
          <w:bCs w:val="0"/>
          <w:i w:val="0"/>
          <w:iCs w:val="0"/>
          <w:color w:val="auto"/>
        </w:rPr>
        <w:t>Los municipios y distritos clasificados en las categorías especial, primera y segunda, según los criterios de</w:t>
      </w:r>
      <w:r>
        <w:rPr>
          <w:b w:val="0"/>
          <w:bCs w:val="0"/>
          <w:i w:val="0"/>
          <w:iCs w:val="0"/>
          <w:color w:val="auto"/>
        </w:rPr>
        <w:t>l</w:t>
      </w:r>
      <w:r w:rsidRPr="00245A25">
        <w:rPr>
          <w:b w:val="0"/>
          <w:bCs w:val="0"/>
          <w:i w:val="0"/>
          <w:iCs w:val="0"/>
          <w:color w:val="auto"/>
        </w:rPr>
        <w:t xml:space="preserve"> Decreto Ley 2106 de 2019, deben incluir la implementación y certificación de un sistema de gestión de activos </w:t>
      </w:r>
      <w:r>
        <w:rPr>
          <w:b w:val="0"/>
          <w:bCs w:val="0"/>
          <w:i w:val="0"/>
          <w:iCs w:val="0"/>
          <w:color w:val="auto"/>
        </w:rPr>
        <w:t xml:space="preserve">de alumbrado público </w:t>
      </w:r>
      <w:r w:rsidRPr="00245A25">
        <w:rPr>
          <w:b w:val="0"/>
          <w:bCs w:val="0"/>
          <w:i w:val="0"/>
          <w:iCs w:val="0"/>
          <w:color w:val="auto"/>
        </w:rPr>
        <w:t xml:space="preserve">acorde con la norma ISO 55001, en un plazo máximo de </w:t>
      </w:r>
      <w:r>
        <w:rPr>
          <w:b w:val="0"/>
          <w:bCs w:val="0"/>
          <w:i w:val="0"/>
          <w:iCs w:val="0"/>
          <w:color w:val="auto"/>
        </w:rPr>
        <w:t>cinco</w:t>
      </w:r>
      <w:r w:rsidRPr="00245A25">
        <w:rPr>
          <w:b w:val="0"/>
          <w:bCs w:val="0"/>
          <w:i w:val="0"/>
          <w:iCs w:val="0"/>
          <w:color w:val="auto"/>
        </w:rPr>
        <w:t xml:space="preserve"> (</w:t>
      </w:r>
      <w:r>
        <w:rPr>
          <w:b w:val="0"/>
          <w:bCs w:val="0"/>
          <w:i w:val="0"/>
          <w:iCs w:val="0"/>
          <w:color w:val="auto"/>
        </w:rPr>
        <w:t>5</w:t>
      </w:r>
      <w:r w:rsidRPr="00245A25">
        <w:rPr>
          <w:b w:val="0"/>
          <w:bCs w:val="0"/>
          <w:i w:val="0"/>
          <w:iCs w:val="0"/>
          <w:color w:val="auto"/>
        </w:rPr>
        <w:t>) años contados a partir de la entrada en vigor de la presente resolución.</w:t>
      </w:r>
    </w:p>
    <w:p w14:paraId="0BBE26B5" w14:textId="77777777" w:rsidR="00F5024B" w:rsidRPr="00245A25" w:rsidRDefault="00F5024B" w:rsidP="00F5024B">
      <w:pPr>
        <w:pStyle w:val="Artculo1"/>
        <w:keepNext w:val="0"/>
        <w:spacing w:before="0" w:after="0"/>
        <w:ind w:left="0" w:firstLine="0"/>
        <w:rPr>
          <w:i w:val="0"/>
          <w:iCs w:val="0"/>
          <w:color w:val="auto"/>
        </w:rPr>
      </w:pPr>
      <w:r w:rsidRPr="00245A25">
        <w:rPr>
          <w:i w:val="0"/>
          <w:iCs w:val="0"/>
          <w:color w:val="auto"/>
        </w:rPr>
        <w:t xml:space="preserve">Costos de pólizas, trámites e impuestos. </w:t>
      </w:r>
      <w:r w:rsidRPr="00245A25">
        <w:rPr>
          <w:b w:val="0"/>
          <w:bCs w:val="0"/>
          <w:i w:val="0"/>
          <w:iCs w:val="0"/>
          <w:color w:val="auto"/>
        </w:rPr>
        <w:t>Comprende todos aquellos costos asociados a la formalización de los contratos, impuestos al valor agregado a las ventas e impuestos municipales, requeridos para la formalización de los contratos que establezca o que deba cumplir el municipio o distrito para la prestación del servicio</w:t>
      </w:r>
      <w:r w:rsidRPr="00245A25">
        <w:rPr>
          <w:i w:val="0"/>
          <w:iCs w:val="0"/>
          <w:color w:val="auto"/>
        </w:rPr>
        <w:t>.</w:t>
      </w:r>
    </w:p>
    <w:p w14:paraId="18DF9C83" w14:textId="77777777" w:rsidR="00F5024B" w:rsidRPr="00245A25" w:rsidRDefault="00F5024B" w:rsidP="00F5024B">
      <w:pPr>
        <w:spacing w:before="0" w:after="0"/>
        <w:ind w:left="0" w:firstLine="0"/>
        <w:jc w:val="left"/>
        <w:rPr>
          <w:i w:val="0"/>
          <w:iCs w:val="0"/>
          <w:color w:val="auto"/>
          <w:lang w:val="es-CO"/>
        </w:rPr>
      </w:pPr>
    </w:p>
    <w:p w14:paraId="55840E41" w14:textId="77777777" w:rsidR="00F5024B" w:rsidRPr="00055E00" w:rsidRDefault="00F5024B" w:rsidP="00F5024B">
      <w:pPr>
        <w:spacing w:before="0" w:after="0"/>
        <w:jc w:val="center"/>
        <w:rPr>
          <w:b/>
          <w:bCs/>
          <w:i w:val="0"/>
          <w:iCs w:val="0"/>
          <w:color w:val="auto"/>
        </w:rPr>
      </w:pPr>
      <w:r w:rsidRPr="00055E00">
        <w:rPr>
          <w:b/>
          <w:bCs/>
          <w:i w:val="0"/>
          <w:iCs w:val="0"/>
          <w:color w:val="auto"/>
        </w:rPr>
        <w:t>CAPÍTULO VII</w:t>
      </w:r>
    </w:p>
    <w:p w14:paraId="4623A416" w14:textId="77777777" w:rsidR="00F5024B" w:rsidRPr="00060C58" w:rsidRDefault="00F5024B" w:rsidP="00F5024B">
      <w:pPr>
        <w:spacing w:before="0" w:after="0"/>
        <w:jc w:val="center"/>
        <w:rPr>
          <w:b/>
          <w:bCs/>
          <w:i w:val="0"/>
          <w:iCs w:val="0"/>
          <w:color w:val="auto"/>
        </w:rPr>
      </w:pPr>
    </w:p>
    <w:p w14:paraId="605ABCFA" w14:textId="77777777" w:rsidR="00F5024B" w:rsidRPr="00C06912" w:rsidRDefault="00F5024B" w:rsidP="00F5024B">
      <w:pPr>
        <w:spacing w:before="0"/>
        <w:rPr>
          <w:b/>
          <w:bCs/>
          <w:i w:val="0"/>
          <w:iCs w:val="0"/>
          <w:color w:val="auto"/>
        </w:rPr>
      </w:pPr>
      <w:r w:rsidRPr="00C06912">
        <w:rPr>
          <w:b/>
          <w:bCs/>
          <w:i w:val="0"/>
          <w:iCs w:val="0"/>
          <w:color w:val="auto"/>
        </w:rPr>
        <w:t>ACTUALIZACIÓN Y LIQUIDACIÓN DE LOS COSTOS DE INVERSIÓN Y AOM DEL SISTEMA DE ALUMBRADO PÚBLICO.</w:t>
      </w:r>
    </w:p>
    <w:p w14:paraId="1410AC9F" w14:textId="483C5639" w:rsidR="00F5024B" w:rsidRDefault="00F5024B" w:rsidP="00F5024B">
      <w:pPr>
        <w:pStyle w:val="Artculo1"/>
        <w:keepNext w:val="0"/>
        <w:spacing w:before="0" w:after="0"/>
        <w:ind w:left="0" w:firstLine="0"/>
        <w:rPr>
          <w:b w:val="0"/>
          <w:bCs w:val="0"/>
          <w:color w:val="auto"/>
        </w:rPr>
      </w:pPr>
      <w:r w:rsidRPr="00C06912">
        <w:rPr>
          <w:i w:val="0"/>
          <w:iCs w:val="0"/>
          <w:color w:val="auto"/>
        </w:rPr>
        <w:t>Actualización y liquidación de los costos de Inversión</w:t>
      </w:r>
      <w:r w:rsidRPr="424DE6E4">
        <w:rPr>
          <w:color w:val="auto"/>
        </w:rPr>
        <w:t xml:space="preserve">. </w:t>
      </w:r>
      <w:r w:rsidRPr="00C06912">
        <w:rPr>
          <w:b w:val="0"/>
          <w:bCs w:val="0"/>
          <w:i w:val="0"/>
          <w:iCs w:val="0"/>
          <w:color w:val="auto"/>
        </w:rPr>
        <w:t>Los costos máximos de Inversión serán actualizados de acuerdo con la siguiente expresión</w:t>
      </w:r>
      <w:r w:rsidRPr="424DE6E4">
        <w:rPr>
          <w:b w:val="0"/>
          <w:bCs w:val="0"/>
          <w:color w:val="auto"/>
        </w:rPr>
        <w:t>:</w:t>
      </w:r>
    </w:p>
    <w:p w14:paraId="4DC4B5BA" w14:textId="77777777" w:rsidR="00541E73" w:rsidRDefault="00541E73" w:rsidP="00541E73">
      <w:pPr>
        <w:pStyle w:val="Artculo1"/>
        <w:keepNext w:val="0"/>
        <w:numPr>
          <w:ilvl w:val="0"/>
          <w:numId w:val="0"/>
        </w:numPr>
        <w:spacing w:before="0" w:after="0"/>
        <w:rPr>
          <w:b w:val="0"/>
          <w:bCs w:val="0"/>
          <w:color w:val="auto"/>
        </w:rPr>
      </w:pPr>
    </w:p>
    <w:p w14:paraId="49BDDC60" w14:textId="77777777" w:rsidR="00541E73" w:rsidRPr="00055E00" w:rsidRDefault="00541E73" w:rsidP="00541E73">
      <w:pPr>
        <w:pStyle w:val="Artculo1"/>
        <w:keepNext w:val="0"/>
        <w:numPr>
          <w:ilvl w:val="0"/>
          <w:numId w:val="0"/>
        </w:numPr>
        <w:spacing w:before="0" w:after="0"/>
        <w:rPr>
          <w:b w:val="0"/>
          <w:bCs w:val="0"/>
          <w:color w:val="auto"/>
        </w:rPr>
      </w:pPr>
    </w:p>
    <w:p w14:paraId="5EBB1585" w14:textId="77777777" w:rsidR="00F5024B" w:rsidRPr="00055E00" w:rsidRDefault="00F5024B" w:rsidP="00F5024B">
      <w:pPr>
        <w:spacing w:before="0" w:after="0"/>
        <w:ind w:left="0" w:firstLine="0"/>
        <w:rPr>
          <w:color w:val="auto"/>
        </w:rPr>
      </w:pPr>
      <m:oMathPara>
        <m:oMath>
          <m:r>
            <w:rPr>
              <w:rFonts w:ascii="Cambria Math" w:hAnsi="Cambria Math"/>
              <w:color w:val="auto"/>
            </w:rPr>
            <m:t>CINVm=CINV*</m:t>
          </m:r>
          <m:f>
            <m:fPr>
              <m:ctrlPr>
                <w:rPr>
                  <w:rFonts w:ascii="Cambria Math" w:hAnsi="Cambria Math"/>
                  <w:color w:val="auto"/>
                </w:rPr>
              </m:ctrlPr>
            </m:fPr>
            <m:num>
              <m:sSub>
                <m:sSubPr>
                  <m:ctrlPr>
                    <w:rPr>
                      <w:rFonts w:ascii="Cambria Math" w:hAnsi="Cambria Math"/>
                      <w:color w:val="auto"/>
                    </w:rPr>
                  </m:ctrlPr>
                </m:sSubPr>
                <m:e>
                  <m:r>
                    <w:rPr>
                      <w:rFonts w:ascii="Cambria Math" w:hAnsi="Cambria Math"/>
                      <w:color w:val="auto"/>
                    </w:rPr>
                    <m:t>IPP</m:t>
                  </m:r>
                </m:e>
                <m:sub>
                  <m:r>
                    <w:rPr>
                      <w:rFonts w:ascii="Cambria Math" w:hAnsi="Cambria Math"/>
                      <w:color w:val="auto"/>
                    </w:rPr>
                    <m:t>m-1</m:t>
                  </m:r>
                </m:sub>
              </m:sSub>
            </m:num>
            <m:den>
              <m:sSub>
                <m:sSubPr>
                  <m:ctrlPr>
                    <w:rPr>
                      <w:rFonts w:ascii="Cambria Math" w:hAnsi="Cambria Math"/>
                      <w:color w:val="auto"/>
                    </w:rPr>
                  </m:ctrlPr>
                </m:sSubPr>
                <m:e>
                  <m:r>
                    <w:rPr>
                      <w:rFonts w:ascii="Cambria Math" w:hAnsi="Cambria Math"/>
                      <w:color w:val="auto"/>
                    </w:rPr>
                    <m:t>IPP</m:t>
                  </m:r>
                </m:e>
                <m:sub>
                  <m:r>
                    <w:rPr>
                      <w:rFonts w:ascii="Cambria Math" w:hAnsi="Cambria Math"/>
                      <w:color w:val="auto"/>
                    </w:rPr>
                    <m:t>o</m:t>
                  </m:r>
                </m:sub>
              </m:sSub>
            </m:den>
          </m:f>
        </m:oMath>
      </m:oMathPara>
    </w:p>
    <w:p w14:paraId="4A356D47" w14:textId="77777777" w:rsidR="00F5024B" w:rsidRPr="00055E00" w:rsidRDefault="00F5024B" w:rsidP="00F5024B">
      <w:pPr>
        <w:spacing w:before="0" w:after="0"/>
        <w:rPr>
          <w:color w:val="auto"/>
        </w:rPr>
      </w:pPr>
    </w:p>
    <w:p w14:paraId="7EAE0E16" w14:textId="77777777" w:rsidR="00F5024B" w:rsidRPr="00055E00" w:rsidRDefault="00F5024B" w:rsidP="00F5024B">
      <w:pPr>
        <w:spacing w:before="0" w:after="0"/>
        <w:rPr>
          <w:color w:val="auto"/>
        </w:rPr>
      </w:pPr>
      <w:r w:rsidRPr="00055E00">
        <w:rPr>
          <w:color w:val="auto"/>
        </w:rPr>
        <w:t xml:space="preserve">Donde:   </w:t>
      </w:r>
    </w:p>
    <w:p w14:paraId="765F6543" w14:textId="77777777" w:rsidR="00F5024B" w:rsidRPr="00055E00" w:rsidRDefault="00F5024B" w:rsidP="00F5024B">
      <w:pPr>
        <w:spacing w:before="0" w:after="0"/>
        <w:rPr>
          <w:color w:val="auto"/>
        </w:rPr>
      </w:pPr>
    </w:p>
    <w:p w14:paraId="44BCC489" w14:textId="13BC3215" w:rsidR="00F5024B" w:rsidRDefault="00F5024B" w:rsidP="00F5024B">
      <w:pPr>
        <w:spacing w:before="0" w:after="0"/>
        <w:rPr>
          <w:color w:val="auto"/>
        </w:rPr>
      </w:pPr>
      <w:proofErr w:type="spellStart"/>
      <w:r w:rsidRPr="00055E00">
        <w:rPr>
          <w:color w:val="auto"/>
        </w:rPr>
        <w:t>CINVm</w:t>
      </w:r>
      <w:proofErr w:type="spellEnd"/>
      <w:r w:rsidRPr="00055E00">
        <w:rPr>
          <w:color w:val="auto"/>
        </w:rPr>
        <w:tab/>
      </w:r>
      <w:r w:rsidRPr="00BF4A0B">
        <w:rPr>
          <w:i w:val="0"/>
          <w:iCs w:val="0"/>
          <w:color w:val="auto"/>
        </w:rPr>
        <w:t>Costo de la Inversión en el mes</w:t>
      </w:r>
      <w:r w:rsidRPr="00055E00">
        <w:rPr>
          <w:color w:val="auto"/>
        </w:rPr>
        <w:t xml:space="preserve"> m.</w:t>
      </w:r>
    </w:p>
    <w:p w14:paraId="35DA15FD" w14:textId="0A8A53E5" w:rsidR="00541E73" w:rsidRDefault="00541E73" w:rsidP="00F5024B">
      <w:pPr>
        <w:spacing w:before="0" w:after="0"/>
        <w:rPr>
          <w:color w:val="auto"/>
        </w:rPr>
      </w:pPr>
    </w:p>
    <w:p w14:paraId="77C12884" w14:textId="77777777" w:rsidR="00541E73" w:rsidRPr="00055E00" w:rsidRDefault="00541E73" w:rsidP="00F5024B">
      <w:pPr>
        <w:spacing w:before="0" w:after="0"/>
        <w:rPr>
          <w:color w:val="auto"/>
        </w:rPr>
      </w:pPr>
    </w:p>
    <w:p w14:paraId="18CC85BA" w14:textId="77777777" w:rsidR="00F5024B" w:rsidRPr="00055E00" w:rsidRDefault="00F5024B" w:rsidP="00F5024B">
      <w:pPr>
        <w:spacing w:before="0" w:after="0"/>
        <w:rPr>
          <w:color w:val="auto"/>
        </w:rPr>
      </w:pPr>
    </w:p>
    <w:p w14:paraId="7932EEC2" w14:textId="77777777" w:rsidR="00F5024B" w:rsidRPr="00055E00" w:rsidRDefault="00F5024B" w:rsidP="00F5024B">
      <w:pPr>
        <w:spacing w:before="0" w:after="0"/>
        <w:rPr>
          <w:color w:val="auto"/>
        </w:rPr>
      </w:pPr>
      <w:r w:rsidRPr="00055E00">
        <w:rPr>
          <w:color w:val="auto"/>
        </w:rPr>
        <w:t>m:</w:t>
      </w:r>
      <w:r w:rsidRPr="00055E00">
        <w:rPr>
          <w:color w:val="auto"/>
        </w:rPr>
        <w:tab/>
      </w:r>
      <w:r w:rsidRPr="00BF4A0B">
        <w:rPr>
          <w:i w:val="0"/>
          <w:iCs w:val="0"/>
          <w:color w:val="auto"/>
        </w:rPr>
        <w:t>Mes para el cual se calcula el costo</w:t>
      </w:r>
      <w:r w:rsidRPr="00055E00">
        <w:rPr>
          <w:color w:val="auto"/>
        </w:rPr>
        <w:t>.</w:t>
      </w:r>
    </w:p>
    <w:p w14:paraId="31FE7F8A" w14:textId="77777777" w:rsidR="00F5024B" w:rsidRPr="00055E00" w:rsidRDefault="00F5024B" w:rsidP="00F5024B">
      <w:pPr>
        <w:spacing w:before="0" w:after="0"/>
        <w:rPr>
          <w:color w:val="auto"/>
        </w:rPr>
      </w:pPr>
    </w:p>
    <w:p w14:paraId="0B6F9CBD" w14:textId="77777777" w:rsidR="00F5024B" w:rsidRPr="00BF4A0B" w:rsidRDefault="00F5024B" w:rsidP="00F5024B">
      <w:pPr>
        <w:spacing w:before="0" w:after="0"/>
        <w:rPr>
          <w:i w:val="0"/>
          <w:iCs w:val="0"/>
          <w:color w:val="auto"/>
        </w:rPr>
      </w:pPr>
      <w:r w:rsidRPr="00055E00">
        <w:rPr>
          <w:color w:val="auto"/>
          <w:spacing w:val="-3"/>
        </w:rPr>
        <w:t>CINV</w:t>
      </w:r>
      <w:r w:rsidRPr="00055E00">
        <w:rPr>
          <w:color w:val="auto"/>
          <w:spacing w:val="-3"/>
        </w:rPr>
        <w:tab/>
      </w:r>
      <w:r w:rsidRPr="00BF4A0B">
        <w:rPr>
          <w:i w:val="0"/>
          <w:iCs w:val="0"/>
          <w:color w:val="auto"/>
          <w:spacing w:val="-3"/>
        </w:rPr>
        <w:t>Costo máximo de la Inversión calculado según el artículo 2</w:t>
      </w:r>
      <w:r>
        <w:rPr>
          <w:i w:val="0"/>
          <w:iCs w:val="0"/>
          <w:color w:val="auto"/>
          <w:spacing w:val="-3"/>
        </w:rPr>
        <w:t>2</w:t>
      </w:r>
      <w:r w:rsidRPr="00BF4A0B">
        <w:rPr>
          <w:i w:val="0"/>
          <w:iCs w:val="0"/>
          <w:color w:val="auto"/>
          <w:spacing w:val="-3"/>
        </w:rPr>
        <w:t xml:space="preserve"> de la presente Resolución en pesos </w:t>
      </w:r>
      <w:r w:rsidRPr="00882FCC">
        <w:rPr>
          <w:i w:val="0"/>
          <w:iCs w:val="0"/>
          <w:color w:val="auto"/>
          <w:spacing w:val="-3"/>
        </w:rPr>
        <w:t>correspondientes a la fecha de referencia</w:t>
      </w:r>
      <w:r>
        <w:rPr>
          <w:i w:val="0"/>
          <w:iCs w:val="0"/>
          <w:color w:val="auto"/>
        </w:rPr>
        <w:t>.</w:t>
      </w:r>
      <w:r w:rsidRPr="00BF4A0B">
        <w:rPr>
          <w:i w:val="0"/>
          <w:iCs w:val="0"/>
          <w:color w:val="auto"/>
        </w:rPr>
        <w:t xml:space="preserve"> </w:t>
      </w:r>
    </w:p>
    <w:p w14:paraId="53DCBCB3" w14:textId="77777777" w:rsidR="00F5024B" w:rsidRPr="00055E00" w:rsidRDefault="00F5024B" w:rsidP="00F5024B">
      <w:pPr>
        <w:pStyle w:val="Textoindependiente"/>
        <w:spacing w:before="0" w:after="0"/>
        <w:rPr>
          <w:color w:val="auto"/>
          <w:lang w:eastAsia="en-US"/>
        </w:rPr>
      </w:pPr>
    </w:p>
    <w:p w14:paraId="56400827" w14:textId="77777777" w:rsidR="00F5024B" w:rsidRPr="00055E00" w:rsidRDefault="00F5024B" w:rsidP="00F5024B">
      <w:pPr>
        <w:spacing w:before="0" w:after="0"/>
        <w:rPr>
          <w:color w:val="auto"/>
        </w:rPr>
      </w:pPr>
      <w:r w:rsidRPr="00055E00">
        <w:rPr>
          <w:color w:val="auto"/>
        </w:rPr>
        <w:t>IPP</w:t>
      </w:r>
      <w:r w:rsidRPr="00055E00">
        <w:rPr>
          <w:color w:val="auto"/>
          <w:vertAlign w:val="subscript"/>
        </w:rPr>
        <w:t>m-1</w:t>
      </w:r>
      <w:r w:rsidRPr="00055E00">
        <w:rPr>
          <w:color w:val="auto"/>
          <w:vertAlign w:val="subscript"/>
        </w:rPr>
        <w:tab/>
      </w:r>
      <w:r w:rsidRPr="00BF4A0B">
        <w:rPr>
          <w:i w:val="0"/>
          <w:iCs w:val="0"/>
          <w:color w:val="auto"/>
        </w:rPr>
        <w:t>Índice de Precios al Productor Total Nacional reportado por la autoridad competente correspondiente al mes</w:t>
      </w:r>
      <w:r w:rsidRPr="00055E00">
        <w:rPr>
          <w:color w:val="auto"/>
        </w:rPr>
        <w:t xml:space="preserve"> m-1.</w:t>
      </w:r>
      <w:r>
        <w:rPr>
          <w:color w:val="auto"/>
        </w:rPr>
        <w:t xml:space="preserve"> </w:t>
      </w:r>
    </w:p>
    <w:p w14:paraId="718593EF" w14:textId="77777777" w:rsidR="00F5024B" w:rsidRPr="00055E00" w:rsidRDefault="00F5024B" w:rsidP="00F5024B">
      <w:pPr>
        <w:spacing w:before="0" w:after="0"/>
        <w:rPr>
          <w:color w:val="auto"/>
        </w:rPr>
      </w:pPr>
    </w:p>
    <w:p w14:paraId="2C893AE0" w14:textId="77777777" w:rsidR="00F5024B" w:rsidRPr="00055E00" w:rsidRDefault="00F5024B" w:rsidP="00F5024B">
      <w:pPr>
        <w:spacing w:before="0" w:after="0"/>
        <w:rPr>
          <w:color w:val="auto"/>
        </w:rPr>
      </w:pPr>
      <w:proofErr w:type="spellStart"/>
      <w:r w:rsidRPr="00055E00">
        <w:rPr>
          <w:color w:val="auto"/>
        </w:rPr>
        <w:t>IPPo</w:t>
      </w:r>
      <w:proofErr w:type="spellEnd"/>
      <w:r w:rsidRPr="00055E00">
        <w:rPr>
          <w:color w:val="auto"/>
        </w:rPr>
        <w:tab/>
      </w:r>
      <w:r w:rsidRPr="00BF4A0B">
        <w:rPr>
          <w:i w:val="0"/>
          <w:iCs w:val="0"/>
          <w:color w:val="auto"/>
        </w:rPr>
        <w:t xml:space="preserve">Índice de Precios al Productor Total Nacional reportado por la autoridad competente correspondiente al mes en el cual se calculó el valor </w:t>
      </w:r>
      <w:r w:rsidRPr="00055E00">
        <w:rPr>
          <w:color w:val="auto"/>
        </w:rPr>
        <w:t xml:space="preserve">CINV.  </w:t>
      </w:r>
    </w:p>
    <w:p w14:paraId="27A47161" w14:textId="77777777" w:rsidR="00F5024B" w:rsidRPr="00055E00" w:rsidRDefault="00F5024B" w:rsidP="00F5024B">
      <w:pPr>
        <w:spacing w:before="0" w:after="0"/>
        <w:rPr>
          <w:color w:val="auto"/>
        </w:rPr>
      </w:pPr>
    </w:p>
    <w:p w14:paraId="6A9E4D15" w14:textId="77777777" w:rsidR="00F5024B" w:rsidRPr="00C06912" w:rsidRDefault="00F5024B" w:rsidP="00F5024B">
      <w:pPr>
        <w:pStyle w:val="Artculo1"/>
        <w:keepNext w:val="0"/>
        <w:spacing w:before="0" w:after="0"/>
        <w:ind w:left="0" w:firstLine="0"/>
        <w:rPr>
          <w:b w:val="0"/>
          <w:bCs w:val="0"/>
          <w:i w:val="0"/>
          <w:iCs w:val="0"/>
          <w:color w:val="auto"/>
        </w:rPr>
      </w:pPr>
      <w:r w:rsidRPr="00C06912">
        <w:rPr>
          <w:i w:val="0"/>
          <w:iCs w:val="0"/>
          <w:color w:val="auto"/>
        </w:rPr>
        <w:t>Actualización</w:t>
      </w:r>
      <w:r w:rsidRPr="00C06912">
        <w:rPr>
          <w:i w:val="0"/>
          <w:iCs w:val="0"/>
          <w:color w:val="auto"/>
          <w:spacing w:val="-3"/>
          <w:lang w:val="es-ES"/>
        </w:rPr>
        <w:t xml:space="preserve"> y liquidación de los costos de AOM. </w:t>
      </w:r>
      <w:r w:rsidRPr="00C06912">
        <w:rPr>
          <w:b w:val="0"/>
          <w:bCs w:val="0"/>
          <w:i w:val="0"/>
          <w:iCs w:val="0"/>
          <w:color w:val="auto"/>
        </w:rPr>
        <w:t>Los costos máximos de la Actividad de AOM serán actualizados de acuerdo con la siguiente expresión:</w:t>
      </w:r>
    </w:p>
    <w:p w14:paraId="56001D55" w14:textId="77777777" w:rsidR="00F5024B" w:rsidRPr="00055E00" w:rsidRDefault="00F5024B" w:rsidP="00F5024B">
      <w:pPr>
        <w:spacing w:before="0" w:after="0"/>
        <w:ind w:left="0" w:firstLine="0"/>
        <w:rPr>
          <w:color w:val="auto"/>
        </w:rPr>
      </w:pPr>
      <m:oMathPara>
        <m:oMath>
          <m:r>
            <w:rPr>
              <w:rFonts w:ascii="Cambria Math" w:hAnsi="Cambria Math"/>
              <w:color w:val="auto"/>
            </w:rPr>
            <m:t>CAOMm=CAOM*</m:t>
          </m:r>
          <m:f>
            <m:fPr>
              <m:ctrlPr>
                <w:rPr>
                  <w:rFonts w:ascii="Cambria Math" w:hAnsi="Cambria Math"/>
                  <w:color w:val="auto"/>
                </w:rPr>
              </m:ctrlPr>
            </m:fPr>
            <m:num>
              <m:r>
                <w:rPr>
                  <w:rFonts w:ascii="Cambria Math" w:hAnsi="Cambria Math"/>
                  <w:color w:val="auto"/>
                </w:rPr>
                <m:t>IPP</m:t>
              </m:r>
              <m:r>
                <w:rPr>
                  <w:rFonts w:ascii="Cambria Math" w:hAnsi="Cambria Math"/>
                  <w:color w:val="auto"/>
                  <w:sz w:val="12"/>
                </w:rPr>
                <m:t>m-1</m:t>
              </m:r>
            </m:num>
            <m:den>
              <m:r>
                <w:rPr>
                  <w:rFonts w:ascii="Cambria Math" w:hAnsi="Cambria Math"/>
                  <w:color w:val="auto"/>
                </w:rPr>
                <m:t>IPPo</m:t>
              </m:r>
            </m:den>
          </m:f>
        </m:oMath>
      </m:oMathPara>
    </w:p>
    <w:p w14:paraId="5D7225A3" w14:textId="77777777" w:rsidR="00F5024B" w:rsidRPr="00055E00" w:rsidRDefault="00F5024B" w:rsidP="00F5024B">
      <w:pPr>
        <w:spacing w:before="0" w:after="0"/>
        <w:rPr>
          <w:color w:val="auto"/>
        </w:rPr>
      </w:pPr>
    </w:p>
    <w:p w14:paraId="7F1ABD4C" w14:textId="77777777" w:rsidR="00F5024B" w:rsidRPr="00055E00" w:rsidRDefault="00F5024B" w:rsidP="00F5024B">
      <w:pPr>
        <w:spacing w:before="0" w:after="0"/>
        <w:rPr>
          <w:color w:val="auto"/>
        </w:rPr>
      </w:pPr>
      <w:r w:rsidRPr="00055E00">
        <w:rPr>
          <w:color w:val="auto"/>
        </w:rPr>
        <w:t xml:space="preserve">Donde:   </w:t>
      </w:r>
    </w:p>
    <w:p w14:paraId="3FDCF9B5" w14:textId="77777777" w:rsidR="00F5024B" w:rsidRPr="00055E00" w:rsidRDefault="00F5024B" w:rsidP="00F5024B">
      <w:pPr>
        <w:spacing w:before="0" w:after="0"/>
        <w:rPr>
          <w:color w:val="auto"/>
        </w:rPr>
      </w:pPr>
    </w:p>
    <w:p w14:paraId="1B645A37" w14:textId="77777777" w:rsidR="00F5024B" w:rsidRPr="00055E00" w:rsidRDefault="00F5024B" w:rsidP="00F5024B">
      <w:pPr>
        <w:spacing w:before="0"/>
        <w:rPr>
          <w:color w:val="auto"/>
        </w:rPr>
      </w:pPr>
      <w:proofErr w:type="spellStart"/>
      <w:r w:rsidRPr="00055E00">
        <w:rPr>
          <w:color w:val="auto"/>
        </w:rPr>
        <w:t>CAOMm</w:t>
      </w:r>
      <w:proofErr w:type="spellEnd"/>
      <w:r w:rsidRPr="00055E00">
        <w:rPr>
          <w:color w:val="auto"/>
        </w:rPr>
        <w:tab/>
      </w:r>
      <w:r w:rsidRPr="00BF4A0B">
        <w:rPr>
          <w:i w:val="0"/>
          <w:iCs w:val="0"/>
          <w:color w:val="auto"/>
        </w:rPr>
        <w:t>Costo máximo de AOM correspondiente al mes</w:t>
      </w:r>
      <w:r w:rsidRPr="00055E00">
        <w:rPr>
          <w:color w:val="auto"/>
        </w:rPr>
        <w:t xml:space="preserve"> m.</w:t>
      </w:r>
    </w:p>
    <w:p w14:paraId="73E5B210" w14:textId="77777777" w:rsidR="00F5024B" w:rsidRPr="00BF4A0B" w:rsidRDefault="00F5024B" w:rsidP="00F5024B">
      <w:pPr>
        <w:spacing w:before="0"/>
        <w:rPr>
          <w:i w:val="0"/>
          <w:iCs w:val="0"/>
          <w:color w:val="auto"/>
        </w:rPr>
      </w:pPr>
      <w:r w:rsidRPr="00055E00">
        <w:rPr>
          <w:color w:val="auto"/>
        </w:rPr>
        <w:t>m:</w:t>
      </w:r>
      <w:r w:rsidRPr="00055E00">
        <w:rPr>
          <w:color w:val="auto"/>
        </w:rPr>
        <w:tab/>
      </w:r>
      <w:r w:rsidRPr="00BF4A0B">
        <w:rPr>
          <w:i w:val="0"/>
          <w:iCs w:val="0"/>
          <w:color w:val="auto"/>
        </w:rPr>
        <w:t>Mes para el cual se calcula el costo.</w:t>
      </w:r>
    </w:p>
    <w:p w14:paraId="4DED17F5" w14:textId="77777777" w:rsidR="00F5024B" w:rsidRPr="00BF4A0B" w:rsidRDefault="00F5024B" w:rsidP="00F5024B">
      <w:pPr>
        <w:spacing w:before="0"/>
        <w:rPr>
          <w:i w:val="0"/>
          <w:iCs w:val="0"/>
          <w:color w:val="auto"/>
          <w:spacing w:val="-3"/>
        </w:rPr>
      </w:pPr>
      <w:r w:rsidRPr="00055E00">
        <w:rPr>
          <w:color w:val="auto"/>
        </w:rPr>
        <w:t>CAOM</w:t>
      </w:r>
      <w:r w:rsidRPr="00055E00">
        <w:rPr>
          <w:color w:val="auto"/>
          <w:spacing w:val="-3"/>
        </w:rPr>
        <w:tab/>
      </w:r>
      <w:r w:rsidRPr="00BF4A0B">
        <w:rPr>
          <w:i w:val="0"/>
          <w:iCs w:val="0"/>
          <w:color w:val="auto"/>
          <w:spacing w:val="-3"/>
        </w:rPr>
        <w:t xml:space="preserve">Costo máximo de AOM calculado según el artículo </w:t>
      </w:r>
      <w:r>
        <w:rPr>
          <w:i w:val="0"/>
          <w:iCs w:val="0"/>
          <w:color w:val="auto"/>
          <w:spacing w:val="-3"/>
        </w:rPr>
        <w:t>35</w:t>
      </w:r>
      <w:r w:rsidRPr="00BF4A0B">
        <w:rPr>
          <w:i w:val="0"/>
          <w:iCs w:val="0"/>
          <w:color w:val="auto"/>
          <w:spacing w:val="-3"/>
        </w:rPr>
        <w:t xml:space="preserve"> de la presente Resolución, en pesos </w:t>
      </w:r>
      <w:r>
        <w:rPr>
          <w:i w:val="0"/>
          <w:iCs w:val="0"/>
          <w:color w:val="auto"/>
          <w:spacing w:val="-3"/>
        </w:rPr>
        <w:t xml:space="preserve">correspondientes a la fecha de referencia. </w:t>
      </w:r>
    </w:p>
    <w:p w14:paraId="1BBCED7E" w14:textId="77777777" w:rsidR="00F5024B" w:rsidRPr="00055E00" w:rsidRDefault="00F5024B" w:rsidP="00F5024B">
      <w:pPr>
        <w:spacing w:before="0"/>
        <w:rPr>
          <w:color w:val="auto"/>
        </w:rPr>
      </w:pPr>
      <w:r w:rsidRPr="00055E00">
        <w:rPr>
          <w:color w:val="auto"/>
        </w:rPr>
        <w:t>IPP</w:t>
      </w:r>
      <w:r w:rsidRPr="00055E00">
        <w:rPr>
          <w:color w:val="auto"/>
          <w:vertAlign w:val="subscript"/>
        </w:rPr>
        <w:t>m-1</w:t>
      </w:r>
      <w:r w:rsidRPr="00055E00">
        <w:rPr>
          <w:color w:val="auto"/>
          <w:vertAlign w:val="subscript"/>
        </w:rPr>
        <w:tab/>
      </w:r>
      <w:r w:rsidRPr="00BF4A0B">
        <w:rPr>
          <w:i w:val="0"/>
          <w:iCs w:val="0"/>
          <w:color w:val="auto"/>
        </w:rPr>
        <w:t>Índice de Precios al Productor Total Nacional reportado por la autoridad competente correspondiente al mes</w:t>
      </w:r>
      <w:r w:rsidRPr="00055E00">
        <w:rPr>
          <w:color w:val="auto"/>
        </w:rPr>
        <w:t xml:space="preserve"> m-1.</w:t>
      </w:r>
    </w:p>
    <w:p w14:paraId="39EFCC4C" w14:textId="77777777" w:rsidR="00F5024B" w:rsidRPr="00CF1CA6" w:rsidRDefault="00F5024B" w:rsidP="00F5024B">
      <w:pPr>
        <w:spacing w:before="0"/>
        <w:rPr>
          <w:b/>
          <w:color w:val="auto"/>
        </w:rPr>
      </w:pPr>
      <w:proofErr w:type="spellStart"/>
      <w:r w:rsidRPr="00055E00">
        <w:rPr>
          <w:color w:val="auto"/>
        </w:rPr>
        <w:t>IPPo</w:t>
      </w:r>
      <w:proofErr w:type="spellEnd"/>
      <w:r w:rsidRPr="00055E00">
        <w:rPr>
          <w:color w:val="auto"/>
        </w:rPr>
        <w:tab/>
      </w:r>
      <w:r w:rsidRPr="00BF4A0B">
        <w:rPr>
          <w:i w:val="0"/>
          <w:iCs w:val="0"/>
          <w:color w:val="auto"/>
        </w:rPr>
        <w:t>Índice de Precios al Productor Total Nacional reportado por la autoridad competente correspondiente al mes en el cual se calculó el valor</w:t>
      </w:r>
      <w:r w:rsidRPr="00055E00">
        <w:rPr>
          <w:color w:val="auto"/>
        </w:rPr>
        <w:t xml:space="preserve"> CAOM</w:t>
      </w:r>
      <w:r w:rsidRPr="00CF1CA6">
        <w:rPr>
          <w:color w:val="auto"/>
        </w:rPr>
        <w:t>.</w:t>
      </w:r>
    </w:p>
    <w:p w14:paraId="3F7D4B10" w14:textId="77777777" w:rsidR="00F5024B" w:rsidRDefault="00F5024B" w:rsidP="00F5024B">
      <w:pPr>
        <w:spacing w:before="0" w:after="0"/>
        <w:ind w:left="0" w:firstLine="0"/>
        <w:jc w:val="left"/>
        <w:rPr>
          <w:color w:val="auto"/>
        </w:rPr>
      </w:pPr>
    </w:p>
    <w:p w14:paraId="44B57B48" w14:textId="77777777" w:rsidR="00F5024B" w:rsidRDefault="00F5024B" w:rsidP="00F5024B">
      <w:pPr>
        <w:spacing w:before="0" w:after="0"/>
        <w:jc w:val="center"/>
        <w:rPr>
          <w:b/>
          <w:bCs/>
          <w:i w:val="0"/>
          <w:iCs w:val="0"/>
          <w:color w:val="auto"/>
        </w:rPr>
      </w:pPr>
      <w:r w:rsidRPr="001776CD">
        <w:rPr>
          <w:b/>
          <w:bCs/>
          <w:i w:val="0"/>
          <w:iCs w:val="0"/>
          <w:color w:val="auto"/>
        </w:rPr>
        <w:t>DISPOSICIONES FINALES</w:t>
      </w:r>
    </w:p>
    <w:p w14:paraId="0147442A" w14:textId="77777777" w:rsidR="00F5024B" w:rsidRPr="001776CD" w:rsidRDefault="00F5024B" w:rsidP="00F5024B">
      <w:pPr>
        <w:spacing w:before="0" w:after="0"/>
        <w:jc w:val="center"/>
        <w:rPr>
          <w:b/>
          <w:bCs/>
          <w:i w:val="0"/>
          <w:iCs w:val="0"/>
          <w:color w:val="auto"/>
        </w:rPr>
      </w:pPr>
    </w:p>
    <w:p w14:paraId="260EABEB" w14:textId="77777777" w:rsidR="00F5024B" w:rsidRPr="00BF4A0B" w:rsidRDefault="00F5024B" w:rsidP="00F5024B">
      <w:pPr>
        <w:pStyle w:val="Artculo1"/>
        <w:keepNext w:val="0"/>
        <w:ind w:left="0" w:firstLine="0"/>
        <w:rPr>
          <w:i w:val="0"/>
          <w:iCs w:val="0"/>
          <w:color w:val="auto"/>
          <w:lang w:eastAsia="en-US"/>
        </w:rPr>
      </w:pPr>
      <w:r w:rsidRPr="00E93C47">
        <w:rPr>
          <w:i w:val="0"/>
          <w:iCs w:val="0"/>
          <w:color w:val="auto"/>
        </w:rPr>
        <w:t>Ajuste regulatorio</w:t>
      </w:r>
      <w:r w:rsidRPr="00BF4A0B">
        <w:rPr>
          <w:i w:val="0"/>
          <w:iCs w:val="0"/>
          <w:color w:val="auto"/>
          <w:lang w:eastAsia="en-US"/>
        </w:rPr>
        <w:t xml:space="preserve">: </w:t>
      </w:r>
      <w:r w:rsidRPr="00BF4A0B">
        <w:rPr>
          <w:b w:val="0"/>
          <w:bCs w:val="0"/>
          <w:i w:val="0"/>
          <w:iCs w:val="0"/>
          <w:color w:val="auto"/>
          <w:lang w:eastAsia="en-US"/>
        </w:rPr>
        <w:t>Las autoridades municipales y/o distritales deberán prever en los respectivos contratos y/o convenios suscritos para la prestación del servicio de alumbrado público, las cláusulas de ajuste por cambio regulatorio a que haya lugar.</w:t>
      </w:r>
    </w:p>
    <w:p w14:paraId="1BE613BE" w14:textId="77777777" w:rsidR="00F5024B" w:rsidRPr="00BF4A0B" w:rsidRDefault="00F5024B" w:rsidP="00F5024B">
      <w:pPr>
        <w:pStyle w:val="Artculo1"/>
        <w:keepNext w:val="0"/>
        <w:numPr>
          <w:ilvl w:val="0"/>
          <w:numId w:val="0"/>
        </w:numPr>
        <w:rPr>
          <w:i w:val="0"/>
          <w:iCs w:val="0"/>
          <w:color w:val="auto"/>
          <w:lang w:eastAsia="en-US"/>
        </w:rPr>
      </w:pPr>
      <w:r w:rsidRPr="00BF4A0B">
        <w:rPr>
          <w:b w:val="0"/>
          <w:bCs w:val="0"/>
          <w:i w:val="0"/>
          <w:iCs w:val="0"/>
          <w:color w:val="auto"/>
          <w:lang w:eastAsia="en-US"/>
        </w:rPr>
        <w:t>Los contratos</w:t>
      </w:r>
      <w:r>
        <w:rPr>
          <w:b w:val="0"/>
          <w:bCs w:val="0"/>
          <w:i w:val="0"/>
          <w:iCs w:val="0"/>
          <w:color w:val="auto"/>
          <w:lang w:eastAsia="en-US"/>
        </w:rPr>
        <w:t xml:space="preserve"> y/o convenios</w:t>
      </w:r>
      <w:r w:rsidRPr="00BF4A0B">
        <w:rPr>
          <w:b w:val="0"/>
          <w:bCs w:val="0"/>
          <w:i w:val="0"/>
          <w:iCs w:val="0"/>
          <w:color w:val="auto"/>
          <w:lang w:eastAsia="en-US"/>
        </w:rPr>
        <w:t xml:space="preserve"> para la prestación del servicio de alumbrado público suscritos antes de la </w:t>
      </w:r>
      <w:proofErr w:type="gramStart"/>
      <w:r w:rsidRPr="00BF4A0B">
        <w:rPr>
          <w:b w:val="0"/>
          <w:bCs w:val="0"/>
          <w:i w:val="0"/>
          <w:iCs w:val="0"/>
          <w:color w:val="auto"/>
          <w:lang w:eastAsia="en-US"/>
        </w:rPr>
        <w:t>entrada en vigencia</w:t>
      </w:r>
      <w:proofErr w:type="gramEnd"/>
      <w:r w:rsidRPr="00BF4A0B">
        <w:rPr>
          <w:b w:val="0"/>
          <w:bCs w:val="0"/>
          <w:i w:val="0"/>
          <w:iCs w:val="0"/>
          <w:color w:val="auto"/>
          <w:lang w:eastAsia="en-US"/>
        </w:rPr>
        <w:t xml:space="preserve"> de la presente resolución continuarán sujetos a las disposiciones aplicables a la fecha de su suscripción. No obstante, las prórrogas</w:t>
      </w:r>
      <w:r>
        <w:rPr>
          <w:b w:val="0"/>
          <w:bCs w:val="0"/>
          <w:i w:val="0"/>
          <w:iCs w:val="0"/>
          <w:color w:val="auto"/>
          <w:lang w:eastAsia="en-US"/>
        </w:rPr>
        <w:t>, modificaciones</w:t>
      </w:r>
      <w:r w:rsidRPr="00BF4A0B">
        <w:rPr>
          <w:b w:val="0"/>
          <w:bCs w:val="0"/>
          <w:i w:val="0"/>
          <w:iCs w:val="0"/>
          <w:color w:val="auto"/>
          <w:lang w:eastAsia="en-US"/>
        </w:rPr>
        <w:t xml:space="preserve"> o adiciones de dichos contratos</w:t>
      </w:r>
      <w:r>
        <w:rPr>
          <w:b w:val="0"/>
          <w:bCs w:val="0"/>
          <w:i w:val="0"/>
          <w:iCs w:val="0"/>
          <w:color w:val="auto"/>
          <w:lang w:eastAsia="en-US"/>
        </w:rPr>
        <w:t xml:space="preserve"> y/o convenios</w:t>
      </w:r>
      <w:r w:rsidRPr="00BF4A0B">
        <w:rPr>
          <w:b w:val="0"/>
          <w:bCs w:val="0"/>
          <w:i w:val="0"/>
          <w:iCs w:val="0"/>
          <w:color w:val="auto"/>
          <w:lang w:eastAsia="en-US"/>
        </w:rPr>
        <w:t xml:space="preserve"> que se pacten posteriormente deberán ajustarse a lo aquí establecido.</w:t>
      </w:r>
    </w:p>
    <w:p w14:paraId="649015EF" w14:textId="77777777" w:rsidR="00F5024B" w:rsidRPr="001776CD" w:rsidRDefault="00F5024B" w:rsidP="00F5024B">
      <w:pPr>
        <w:pStyle w:val="Artculo1"/>
        <w:keepNext w:val="0"/>
        <w:spacing w:before="0"/>
        <w:ind w:left="0" w:firstLine="0"/>
        <w:rPr>
          <w:i w:val="0"/>
          <w:iCs w:val="0"/>
          <w:color w:val="auto"/>
          <w:lang w:eastAsia="en-US"/>
        </w:rPr>
      </w:pPr>
      <w:r w:rsidRPr="001776CD">
        <w:rPr>
          <w:i w:val="0"/>
          <w:iCs w:val="0"/>
          <w:color w:val="auto"/>
          <w:lang w:eastAsia="en-US"/>
        </w:rPr>
        <w:t xml:space="preserve">Vigencia. </w:t>
      </w:r>
      <w:r w:rsidRPr="001776CD">
        <w:rPr>
          <w:b w:val="0"/>
          <w:bCs w:val="0"/>
          <w:i w:val="0"/>
          <w:iCs w:val="0"/>
          <w:color w:val="auto"/>
          <w:lang w:eastAsia="en-US"/>
        </w:rPr>
        <w:t xml:space="preserve">La presente Resolución rige a partir de su publicación en el </w:t>
      </w:r>
      <w:r w:rsidRPr="00D357ED">
        <w:rPr>
          <w:b w:val="0"/>
          <w:bCs w:val="0"/>
          <w:color w:val="auto"/>
          <w:lang w:eastAsia="en-US"/>
        </w:rPr>
        <w:t>Diario Oficial</w:t>
      </w:r>
      <w:r w:rsidRPr="001776CD">
        <w:rPr>
          <w:b w:val="0"/>
          <w:bCs w:val="0"/>
          <w:i w:val="0"/>
          <w:iCs w:val="0"/>
          <w:color w:val="auto"/>
          <w:lang w:eastAsia="en-US"/>
        </w:rPr>
        <w:t>.</w:t>
      </w:r>
    </w:p>
    <w:p w14:paraId="06A652F9" w14:textId="77777777" w:rsidR="00F5024B" w:rsidRPr="001776CD" w:rsidRDefault="00F5024B" w:rsidP="00F5024B">
      <w:pPr>
        <w:pStyle w:val="Artculo1"/>
        <w:keepNext w:val="0"/>
        <w:spacing w:before="0"/>
        <w:ind w:left="0" w:firstLine="0"/>
        <w:rPr>
          <w:i w:val="0"/>
          <w:iCs w:val="0"/>
          <w:color w:val="auto"/>
          <w:lang w:eastAsia="en-US"/>
        </w:rPr>
      </w:pPr>
      <w:r w:rsidRPr="001776CD">
        <w:rPr>
          <w:i w:val="0"/>
          <w:iCs w:val="0"/>
          <w:color w:val="auto"/>
          <w:lang w:eastAsia="en-US"/>
        </w:rPr>
        <w:lastRenderedPageBreak/>
        <w:t xml:space="preserve">Derogatorias. </w:t>
      </w:r>
      <w:r w:rsidRPr="001776CD">
        <w:rPr>
          <w:b w:val="0"/>
          <w:bCs w:val="0"/>
          <w:i w:val="0"/>
          <w:iCs w:val="0"/>
          <w:color w:val="auto"/>
          <w:lang w:eastAsia="en-US"/>
        </w:rPr>
        <w:t>La presente Resolución deroga las Resoluciones CREG 123 de 2011 y 114 de 2012 y las demás que le sean contrarias</w:t>
      </w:r>
      <w:r w:rsidRPr="001776CD">
        <w:rPr>
          <w:i w:val="0"/>
          <w:iCs w:val="0"/>
          <w:color w:val="auto"/>
          <w:lang w:eastAsia="en-US"/>
        </w:rPr>
        <w:t>.</w:t>
      </w:r>
    </w:p>
    <w:p w14:paraId="35C9CDDC" w14:textId="77777777" w:rsidR="00F5024B" w:rsidRPr="001776CD" w:rsidRDefault="00F5024B" w:rsidP="00F5024B">
      <w:pPr>
        <w:spacing w:before="0" w:after="0"/>
        <w:rPr>
          <w:i w:val="0"/>
          <w:iCs w:val="0"/>
          <w:color w:val="auto"/>
        </w:rPr>
      </w:pPr>
    </w:p>
    <w:p w14:paraId="19EB3BA1" w14:textId="77777777" w:rsidR="00F5024B" w:rsidRPr="001776CD" w:rsidRDefault="00F5024B" w:rsidP="00F5024B">
      <w:pPr>
        <w:spacing w:before="0" w:after="0"/>
        <w:jc w:val="center"/>
        <w:rPr>
          <w:b/>
          <w:bCs/>
          <w:i w:val="0"/>
          <w:iCs w:val="0"/>
          <w:color w:val="auto"/>
        </w:rPr>
      </w:pPr>
      <w:r w:rsidRPr="001776CD">
        <w:rPr>
          <w:b/>
          <w:bCs/>
          <w:i w:val="0"/>
          <w:iCs w:val="0"/>
          <w:color w:val="auto"/>
        </w:rPr>
        <w:t>PUBLÍQUESE Y CÚMPLASE</w:t>
      </w:r>
    </w:p>
    <w:p w14:paraId="705B46A2" w14:textId="77777777" w:rsidR="00F5024B" w:rsidRPr="001776CD" w:rsidRDefault="00F5024B" w:rsidP="00F5024B">
      <w:pPr>
        <w:spacing w:before="0" w:after="0"/>
        <w:rPr>
          <w:i w:val="0"/>
          <w:iCs w:val="0"/>
          <w:color w:val="auto"/>
        </w:rPr>
      </w:pPr>
    </w:p>
    <w:p w14:paraId="78B1A910" w14:textId="77777777" w:rsidR="00F5024B" w:rsidRDefault="00F5024B" w:rsidP="00F5024B">
      <w:pPr>
        <w:spacing w:before="0" w:after="0"/>
        <w:rPr>
          <w:i w:val="0"/>
          <w:iCs w:val="0"/>
          <w:color w:val="auto"/>
        </w:rPr>
      </w:pPr>
      <w:r>
        <w:rPr>
          <w:i w:val="0"/>
          <w:iCs w:val="0"/>
          <w:color w:val="auto"/>
        </w:rPr>
        <w:t xml:space="preserve">Dada en Bogotá a </w:t>
      </w:r>
      <w:r w:rsidRPr="00D22704">
        <w:rPr>
          <w:b/>
          <w:bCs/>
          <w:i w:val="0"/>
          <w:iCs w:val="0"/>
          <w:color w:val="auto"/>
        </w:rPr>
        <w:t>29 ABR. 2022</w:t>
      </w:r>
    </w:p>
    <w:p w14:paraId="52AFC086" w14:textId="77777777" w:rsidR="00F5024B" w:rsidRDefault="00F5024B" w:rsidP="00F5024B">
      <w:pPr>
        <w:spacing w:before="0" w:after="0"/>
        <w:rPr>
          <w:i w:val="0"/>
          <w:iCs w:val="0"/>
          <w:color w:val="auto"/>
        </w:rPr>
      </w:pPr>
    </w:p>
    <w:p w14:paraId="3B79BC4E" w14:textId="77777777" w:rsidR="00F5024B" w:rsidRDefault="00F5024B" w:rsidP="00F5024B">
      <w:pPr>
        <w:spacing w:before="0" w:after="0"/>
        <w:rPr>
          <w:i w:val="0"/>
          <w:iCs w:val="0"/>
          <w:color w:val="auto"/>
        </w:rPr>
      </w:pPr>
    </w:p>
    <w:p w14:paraId="4839DE31" w14:textId="77777777" w:rsidR="00F5024B" w:rsidRDefault="00F5024B" w:rsidP="00F5024B">
      <w:pPr>
        <w:spacing w:before="0" w:after="0"/>
        <w:rPr>
          <w:i w:val="0"/>
          <w:iCs w:val="0"/>
          <w:color w:val="auto"/>
        </w:rPr>
      </w:pPr>
    </w:p>
    <w:p w14:paraId="6F0DE02E" w14:textId="77777777" w:rsidR="00F5024B" w:rsidRDefault="00F5024B" w:rsidP="00F5024B">
      <w:pPr>
        <w:spacing w:before="0" w:after="0"/>
        <w:rPr>
          <w:i w:val="0"/>
          <w:iCs w:val="0"/>
          <w:color w:val="auto"/>
        </w:rPr>
      </w:pPr>
    </w:p>
    <w:tbl>
      <w:tblPr>
        <w:tblW w:w="9923" w:type="dxa"/>
        <w:jc w:val="center"/>
        <w:tblLayout w:type="fixed"/>
        <w:tblCellMar>
          <w:left w:w="70" w:type="dxa"/>
          <w:right w:w="70" w:type="dxa"/>
        </w:tblCellMar>
        <w:tblLook w:val="0000" w:firstRow="0" w:lastRow="0" w:firstColumn="0" w:lastColumn="0" w:noHBand="0" w:noVBand="0"/>
      </w:tblPr>
      <w:tblGrid>
        <w:gridCol w:w="5103"/>
        <w:gridCol w:w="4820"/>
      </w:tblGrid>
      <w:tr w:rsidR="00F5024B" w:rsidRPr="00666660" w14:paraId="3669F98C" w14:textId="77777777" w:rsidTr="00BE4B0A">
        <w:trPr>
          <w:jc w:val="center"/>
        </w:trPr>
        <w:tc>
          <w:tcPr>
            <w:tcW w:w="5103" w:type="dxa"/>
          </w:tcPr>
          <w:p w14:paraId="025E3183" w14:textId="77777777" w:rsidR="00F5024B" w:rsidRPr="004D6562" w:rsidRDefault="00F5024B" w:rsidP="00BE4B0A">
            <w:pPr>
              <w:tabs>
                <w:tab w:val="left" w:pos="-720"/>
              </w:tabs>
              <w:suppressAutoHyphens/>
              <w:spacing w:before="0" w:after="0"/>
              <w:jc w:val="center"/>
              <w:rPr>
                <w:b/>
                <w:i w:val="0"/>
                <w:iCs w:val="0"/>
                <w:color w:val="auto"/>
                <w:spacing w:val="-3"/>
              </w:rPr>
            </w:pPr>
            <w:r w:rsidRPr="004D6562">
              <w:rPr>
                <w:b/>
                <w:i w:val="0"/>
                <w:iCs w:val="0"/>
                <w:color w:val="auto"/>
                <w:spacing w:val="-3"/>
              </w:rPr>
              <w:t>MIGUEL LOTERO ROBLEDO</w:t>
            </w:r>
          </w:p>
          <w:p w14:paraId="729E182C" w14:textId="77777777" w:rsidR="00F5024B" w:rsidRPr="004D6562" w:rsidRDefault="00F5024B" w:rsidP="00BE4B0A">
            <w:pPr>
              <w:tabs>
                <w:tab w:val="left" w:pos="-720"/>
              </w:tabs>
              <w:suppressAutoHyphens/>
              <w:spacing w:before="0" w:after="0"/>
              <w:jc w:val="center"/>
              <w:rPr>
                <w:bCs/>
                <w:i w:val="0"/>
                <w:iCs w:val="0"/>
                <w:color w:val="auto"/>
                <w:spacing w:val="-3"/>
              </w:rPr>
            </w:pPr>
            <w:r w:rsidRPr="004D6562">
              <w:rPr>
                <w:bCs/>
                <w:i w:val="0"/>
                <w:iCs w:val="0"/>
                <w:color w:val="auto"/>
                <w:spacing w:val="-3"/>
              </w:rPr>
              <w:t>Viceministro de Energía</w:t>
            </w:r>
          </w:p>
          <w:p w14:paraId="361248EC" w14:textId="77777777" w:rsidR="00F5024B" w:rsidRPr="004D6562" w:rsidRDefault="00F5024B" w:rsidP="00BE4B0A">
            <w:pPr>
              <w:tabs>
                <w:tab w:val="left" w:pos="-720"/>
              </w:tabs>
              <w:suppressAutoHyphens/>
              <w:spacing w:before="0" w:after="0"/>
              <w:rPr>
                <w:i w:val="0"/>
                <w:iCs w:val="0"/>
                <w:color w:val="auto"/>
              </w:rPr>
            </w:pPr>
            <w:r w:rsidRPr="004D6562">
              <w:rPr>
                <w:i w:val="0"/>
                <w:iCs w:val="0"/>
                <w:color w:val="auto"/>
              </w:rPr>
              <w:t xml:space="preserve">Delegado del </w:t>
            </w:r>
            <w:proofErr w:type="gramStart"/>
            <w:r w:rsidRPr="004D6562">
              <w:rPr>
                <w:i w:val="0"/>
                <w:iCs w:val="0"/>
                <w:color w:val="auto"/>
              </w:rPr>
              <w:t>Ministro</w:t>
            </w:r>
            <w:proofErr w:type="gramEnd"/>
            <w:r w:rsidRPr="004D6562">
              <w:rPr>
                <w:i w:val="0"/>
                <w:iCs w:val="0"/>
                <w:color w:val="auto"/>
              </w:rPr>
              <w:t xml:space="preserve"> de Minas y Energía </w:t>
            </w:r>
          </w:p>
          <w:p w14:paraId="768456BB" w14:textId="77777777" w:rsidR="00F5024B" w:rsidRPr="004D6562" w:rsidRDefault="00F5024B" w:rsidP="00BE4B0A">
            <w:pPr>
              <w:tabs>
                <w:tab w:val="left" w:pos="-720"/>
              </w:tabs>
              <w:suppressAutoHyphens/>
              <w:spacing w:before="0" w:after="0"/>
              <w:jc w:val="center"/>
              <w:rPr>
                <w:b/>
                <w:i w:val="0"/>
                <w:iCs w:val="0"/>
                <w:strike/>
                <w:color w:val="auto"/>
                <w:spacing w:val="-3"/>
              </w:rPr>
            </w:pPr>
            <w:r w:rsidRPr="004D6562">
              <w:rPr>
                <w:i w:val="0"/>
                <w:iCs w:val="0"/>
                <w:color w:val="auto"/>
              </w:rPr>
              <w:t>Presidente</w:t>
            </w:r>
          </w:p>
        </w:tc>
        <w:tc>
          <w:tcPr>
            <w:tcW w:w="4820" w:type="dxa"/>
          </w:tcPr>
          <w:p w14:paraId="4E002B56" w14:textId="77777777" w:rsidR="00F5024B" w:rsidRPr="004D6562" w:rsidRDefault="00F5024B" w:rsidP="00BE4B0A">
            <w:pPr>
              <w:tabs>
                <w:tab w:val="left" w:pos="-720"/>
              </w:tabs>
              <w:suppressAutoHyphens/>
              <w:spacing w:before="0" w:after="0"/>
              <w:jc w:val="center"/>
              <w:rPr>
                <w:b/>
                <w:i w:val="0"/>
                <w:iCs w:val="0"/>
                <w:color w:val="auto"/>
              </w:rPr>
            </w:pPr>
            <w:r w:rsidRPr="004D6562">
              <w:rPr>
                <w:b/>
                <w:i w:val="0"/>
                <w:iCs w:val="0"/>
                <w:color w:val="auto"/>
              </w:rPr>
              <w:t>JORGE ALBERTO VALENCIA MARÍN</w:t>
            </w:r>
          </w:p>
          <w:p w14:paraId="778B4F31" w14:textId="77777777" w:rsidR="00F5024B" w:rsidRPr="004D6562" w:rsidRDefault="00F5024B" w:rsidP="00BE4B0A">
            <w:pPr>
              <w:tabs>
                <w:tab w:val="left" w:pos="-720"/>
              </w:tabs>
              <w:suppressAutoHyphens/>
              <w:spacing w:before="0" w:after="0"/>
              <w:jc w:val="center"/>
              <w:rPr>
                <w:b/>
                <w:i w:val="0"/>
                <w:iCs w:val="0"/>
                <w:color w:val="auto"/>
                <w:spacing w:val="-3"/>
              </w:rPr>
            </w:pPr>
            <w:r w:rsidRPr="004D6562">
              <w:rPr>
                <w:i w:val="0"/>
                <w:iCs w:val="0"/>
                <w:color w:val="auto"/>
                <w:spacing w:val="-3"/>
              </w:rPr>
              <w:t>Director Ejecutivo</w:t>
            </w:r>
          </w:p>
        </w:tc>
      </w:tr>
    </w:tbl>
    <w:p w14:paraId="1A973552" w14:textId="77777777" w:rsidR="00F5024B" w:rsidRPr="001776CD" w:rsidRDefault="00F5024B" w:rsidP="00F5024B">
      <w:pPr>
        <w:spacing w:before="0" w:after="0"/>
        <w:ind w:left="0" w:firstLine="0"/>
        <w:jc w:val="center"/>
        <w:rPr>
          <w:b/>
          <w:bCs/>
          <w:i w:val="0"/>
          <w:iCs w:val="0"/>
          <w:color w:val="auto"/>
        </w:rPr>
      </w:pPr>
      <w:r>
        <w:rPr>
          <w:i w:val="0"/>
          <w:iCs w:val="0"/>
          <w:color w:val="auto"/>
        </w:rPr>
        <w:br w:type="page"/>
      </w:r>
      <w:r w:rsidRPr="00D22704">
        <w:rPr>
          <w:b/>
          <w:bCs/>
          <w:i w:val="0"/>
          <w:iCs w:val="0"/>
          <w:color w:val="auto"/>
        </w:rPr>
        <w:lastRenderedPageBreak/>
        <w:t>A</w:t>
      </w:r>
      <w:r w:rsidRPr="001776CD">
        <w:rPr>
          <w:b/>
          <w:bCs/>
          <w:i w:val="0"/>
          <w:iCs w:val="0"/>
          <w:color w:val="auto"/>
        </w:rPr>
        <w:t>NEXO</w:t>
      </w:r>
    </w:p>
    <w:p w14:paraId="35E54CE0" w14:textId="77777777" w:rsidR="00F5024B" w:rsidRPr="001776CD" w:rsidRDefault="00F5024B" w:rsidP="00F5024B">
      <w:pPr>
        <w:pStyle w:val="Ttulo1"/>
        <w:spacing w:before="0" w:after="0"/>
        <w:ind w:firstLine="0"/>
        <w:jc w:val="center"/>
        <w:rPr>
          <w:b/>
          <w:bCs/>
          <w:i w:val="0"/>
          <w:iCs w:val="0"/>
          <w:color w:val="auto"/>
          <w:szCs w:val="24"/>
        </w:rPr>
      </w:pPr>
      <w:r w:rsidRPr="001776CD">
        <w:rPr>
          <w:b/>
          <w:bCs/>
          <w:i w:val="0"/>
          <w:iCs w:val="0"/>
          <w:color w:val="auto"/>
          <w:szCs w:val="24"/>
        </w:rPr>
        <w:t>Unidades Constructivas del Sistema de Alumbrado Público</w:t>
      </w:r>
    </w:p>
    <w:p w14:paraId="38C30F28" w14:textId="77777777" w:rsidR="00F5024B" w:rsidRPr="001776CD" w:rsidRDefault="00F5024B" w:rsidP="00F5024B">
      <w:pPr>
        <w:spacing w:before="0" w:after="0"/>
        <w:ind w:firstLine="0"/>
        <w:rPr>
          <w:i w:val="0"/>
          <w:iCs w:val="0"/>
          <w:color w:val="auto"/>
        </w:rPr>
      </w:pPr>
    </w:p>
    <w:p w14:paraId="2E294CF2" w14:textId="77777777" w:rsidR="00F5024B" w:rsidRPr="001776CD" w:rsidRDefault="00F5024B" w:rsidP="00F5024B">
      <w:pPr>
        <w:spacing w:before="0" w:after="0"/>
        <w:ind w:left="0" w:firstLine="0"/>
        <w:rPr>
          <w:i w:val="0"/>
          <w:iCs w:val="0"/>
          <w:color w:val="auto"/>
        </w:rPr>
      </w:pPr>
      <w:r w:rsidRPr="001776CD">
        <w:rPr>
          <w:i w:val="0"/>
          <w:iCs w:val="0"/>
          <w:color w:val="auto"/>
        </w:rPr>
        <w:t>En este Anexo se define la metodología para establecer las Unidades Constructivas del Sistema de Alumbrado Público, UCAP, que conforman los activos eléctricos del Servicio de Alumbrado Público, SALP.</w:t>
      </w:r>
    </w:p>
    <w:p w14:paraId="0179AA79" w14:textId="77777777" w:rsidR="00F5024B" w:rsidRPr="001776CD" w:rsidRDefault="00F5024B" w:rsidP="00F5024B">
      <w:pPr>
        <w:spacing w:before="0" w:after="0"/>
        <w:ind w:left="0" w:firstLine="0"/>
        <w:rPr>
          <w:i w:val="0"/>
          <w:iCs w:val="0"/>
          <w:color w:val="auto"/>
        </w:rPr>
      </w:pPr>
    </w:p>
    <w:p w14:paraId="338D8D2B" w14:textId="77777777" w:rsidR="00F5024B" w:rsidRPr="001776CD" w:rsidRDefault="00F5024B" w:rsidP="00F5024B">
      <w:pPr>
        <w:pStyle w:val="Prrafodelista"/>
        <w:numPr>
          <w:ilvl w:val="0"/>
          <w:numId w:val="8"/>
        </w:numPr>
        <w:spacing w:before="240" w:after="120"/>
        <w:ind w:left="426" w:hanging="426"/>
        <w:rPr>
          <w:b/>
          <w:bCs/>
          <w:i w:val="0"/>
          <w:iCs w:val="0"/>
          <w:color w:val="auto"/>
          <w:sz w:val="24"/>
          <w:szCs w:val="24"/>
        </w:rPr>
      </w:pPr>
      <w:r w:rsidRPr="001776CD">
        <w:rPr>
          <w:b/>
          <w:bCs/>
          <w:i w:val="0"/>
          <w:iCs w:val="0"/>
          <w:color w:val="auto"/>
          <w:sz w:val="24"/>
          <w:szCs w:val="24"/>
        </w:rPr>
        <w:t>Unidades Constructivas del Sistema de Alumbrado Público.</w:t>
      </w:r>
    </w:p>
    <w:p w14:paraId="586D80B7" w14:textId="77777777" w:rsidR="00F5024B" w:rsidRPr="001776CD" w:rsidRDefault="00F5024B" w:rsidP="00F5024B">
      <w:pPr>
        <w:spacing w:before="0" w:after="0"/>
        <w:ind w:left="0" w:firstLine="0"/>
        <w:rPr>
          <w:i w:val="0"/>
          <w:iCs w:val="0"/>
          <w:color w:val="auto"/>
        </w:rPr>
      </w:pPr>
    </w:p>
    <w:p w14:paraId="7BEFC681" w14:textId="77777777" w:rsidR="00F5024B" w:rsidRPr="001776CD" w:rsidRDefault="00F5024B" w:rsidP="00F5024B">
      <w:pPr>
        <w:spacing w:before="0" w:after="0"/>
        <w:ind w:left="0" w:firstLine="0"/>
        <w:rPr>
          <w:i w:val="0"/>
          <w:iCs w:val="0"/>
          <w:color w:val="auto"/>
        </w:rPr>
      </w:pPr>
      <w:r w:rsidRPr="001776CD">
        <w:rPr>
          <w:i w:val="0"/>
          <w:iCs w:val="0"/>
          <w:color w:val="auto"/>
        </w:rPr>
        <w:t xml:space="preserve">Las UCAP establecidas por la Comisión de Regulación de Energía y Gas contienen los equipos y accesorios necesarios para la prestación del servicio con los niveles de calidad exigidos por el Ministerio de Minas y Energía, cumpliendo con la normatividad vigente en materia de seguridad. </w:t>
      </w:r>
    </w:p>
    <w:p w14:paraId="389F391A" w14:textId="77777777" w:rsidR="00F5024B" w:rsidRPr="001776CD" w:rsidRDefault="00F5024B" w:rsidP="00F5024B">
      <w:pPr>
        <w:spacing w:before="0" w:after="0"/>
        <w:ind w:left="0" w:firstLine="0"/>
        <w:rPr>
          <w:i w:val="0"/>
          <w:iCs w:val="0"/>
          <w:color w:val="auto"/>
        </w:rPr>
      </w:pPr>
    </w:p>
    <w:p w14:paraId="4F5E6632" w14:textId="77777777" w:rsidR="00F5024B" w:rsidRPr="001776CD" w:rsidRDefault="00F5024B" w:rsidP="00F5024B">
      <w:pPr>
        <w:spacing w:before="0" w:after="0"/>
        <w:ind w:left="0" w:firstLine="0"/>
        <w:rPr>
          <w:i w:val="0"/>
          <w:iCs w:val="0"/>
          <w:color w:val="auto"/>
        </w:rPr>
      </w:pPr>
      <w:r w:rsidRPr="001776CD">
        <w:rPr>
          <w:i w:val="0"/>
          <w:iCs w:val="0"/>
          <w:color w:val="auto"/>
        </w:rPr>
        <w:t xml:space="preserve">Para la clasificación de los activos en las UCAP se tendrá en cuenta tres clases de iluminación: i) para vías vehiculares, </w:t>
      </w:r>
      <w:proofErr w:type="spellStart"/>
      <w:r w:rsidRPr="001776CD">
        <w:rPr>
          <w:i w:val="0"/>
          <w:iCs w:val="0"/>
          <w:color w:val="auto"/>
        </w:rPr>
        <w:t>ii</w:t>
      </w:r>
      <w:proofErr w:type="spellEnd"/>
      <w:r w:rsidRPr="001776CD">
        <w:rPr>
          <w:i w:val="0"/>
          <w:iCs w:val="0"/>
          <w:color w:val="auto"/>
        </w:rPr>
        <w:t xml:space="preserve">) para vías para tráfico peatonal y ciclistas, y </w:t>
      </w:r>
      <w:proofErr w:type="spellStart"/>
      <w:r w:rsidRPr="001776CD">
        <w:rPr>
          <w:i w:val="0"/>
          <w:iCs w:val="0"/>
          <w:color w:val="auto"/>
        </w:rPr>
        <w:t>iii</w:t>
      </w:r>
      <w:proofErr w:type="spellEnd"/>
      <w:r w:rsidRPr="001776CD">
        <w:rPr>
          <w:i w:val="0"/>
          <w:iCs w:val="0"/>
          <w:color w:val="auto"/>
        </w:rPr>
        <w:t>) para otras áreas del espacio público.</w:t>
      </w:r>
    </w:p>
    <w:p w14:paraId="73837E80" w14:textId="77777777" w:rsidR="00F5024B" w:rsidRPr="001776CD" w:rsidRDefault="00F5024B" w:rsidP="00F5024B">
      <w:pPr>
        <w:spacing w:before="0" w:after="0"/>
        <w:rPr>
          <w:i w:val="0"/>
          <w:iCs w:val="0"/>
          <w:color w:val="auto"/>
        </w:rPr>
      </w:pPr>
    </w:p>
    <w:p w14:paraId="1698FBC0" w14:textId="77777777" w:rsidR="00F5024B" w:rsidRPr="001776CD" w:rsidRDefault="00F5024B" w:rsidP="00F5024B">
      <w:pPr>
        <w:pStyle w:val="Prrafodelista"/>
        <w:numPr>
          <w:ilvl w:val="0"/>
          <w:numId w:val="8"/>
        </w:numPr>
        <w:spacing w:before="240" w:after="120"/>
        <w:ind w:left="426" w:hanging="426"/>
        <w:rPr>
          <w:b/>
          <w:bCs/>
          <w:i w:val="0"/>
          <w:iCs w:val="0"/>
          <w:color w:val="auto"/>
          <w:sz w:val="24"/>
          <w:szCs w:val="24"/>
        </w:rPr>
      </w:pPr>
      <w:r w:rsidRPr="001776CD">
        <w:rPr>
          <w:b/>
          <w:bCs/>
          <w:i w:val="0"/>
          <w:iCs w:val="0"/>
          <w:color w:val="auto"/>
          <w:sz w:val="24"/>
          <w:szCs w:val="24"/>
        </w:rPr>
        <w:t>Metodología para la valoración de las Unidades Constructivas del Sistema de Alumbrado Público.</w:t>
      </w:r>
    </w:p>
    <w:p w14:paraId="05FEA2FC" w14:textId="77777777" w:rsidR="00F5024B" w:rsidRPr="001776CD" w:rsidRDefault="00F5024B" w:rsidP="00F5024B">
      <w:pPr>
        <w:spacing w:before="0" w:after="0"/>
        <w:rPr>
          <w:i w:val="0"/>
          <w:iCs w:val="0"/>
          <w:color w:val="auto"/>
        </w:rPr>
      </w:pPr>
    </w:p>
    <w:p w14:paraId="14BF53CC" w14:textId="77777777" w:rsidR="00F5024B" w:rsidRPr="001776CD" w:rsidRDefault="00F5024B" w:rsidP="00F5024B">
      <w:pPr>
        <w:spacing w:before="0" w:after="0"/>
        <w:ind w:left="0" w:firstLine="0"/>
        <w:rPr>
          <w:i w:val="0"/>
          <w:iCs w:val="0"/>
          <w:color w:val="auto"/>
        </w:rPr>
      </w:pPr>
      <w:r w:rsidRPr="001776CD">
        <w:rPr>
          <w:i w:val="0"/>
          <w:iCs w:val="0"/>
          <w:color w:val="auto"/>
        </w:rPr>
        <w:t>Los principales grupos de Unidades Constructivas del Servicio de Alumbrado Público son:</w:t>
      </w:r>
    </w:p>
    <w:p w14:paraId="0AFE8012" w14:textId="77777777" w:rsidR="00F5024B" w:rsidRPr="001776CD" w:rsidRDefault="00F5024B" w:rsidP="00F5024B">
      <w:pPr>
        <w:spacing w:before="0" w:after="0"/>
        <w:ind w:firstLine="0"/>
        <w:rPr>
          <w:i w:val="0"/>
          <w:iCs w:val="0"/>
          <w:color w:val="auto"/>
        </w:rPr>
      </w:pPr>
    </w:p>
    <w:p w14:paraId="6083E68A" w14:textId="77777777" w:rsidR="00F5024B" w:rsidRPr="00094C8C" w:rsidRDefault="00F5024B" w:rsidP="00F5024B">
      <w:pPr>
        <w:pStyle w:val="Prrafodelista"/>
        <w:numPr>
          <w:ilvl w:val="0"/>
          <w:numId w:val="9"/>
        </w:numPr>
        <w:spacing w:before="120" w:after="120"/>
        <w:ind w:left="0" w:firstLine="0"/>
        <w:rPr>
          <w:i w:val="0"/>
          <w:iCs w:val="0"/>
          <w:color w:val="auto"/>
          <w:sz w:val="24"/>
          <w:lang w:eastAsia="en-US"/>
        </w:rPr>
      </w:pPr>
      <w:r w:rsidRPr="00094C8C">
        <w:rPr>
          <w:i w:val="0"/>
          <w:iCs w:val="0"/>
          <w:color w:val="auto"/>
          <w:sz w:val="24"/>
          <w:lang w:eastAsia="en-US"/>
        </w:rPr>
        <w:t>Luminaria para fuente de descarga de alta intensidad (HID): para fuentes de luz de sodio alta presión (HPS), sodio baja presión (LPS), halogenuro metálico (MH), entre las más comunes. Estas luminarias serán válidas como parte de los grupos de Unidades Constructivas del Servicio de Alumbrado Público hasta que se publiquen las nuevas disposiciones del RETILAP.</w:t>
      </w:r>
    </w:p>
    <w:p w14:paraId="3F301838" w14:textId="77777777" w:rsidR="00F5024B" w:rsidRDefault="00F5024B" w:rsidP="00F5024B">
      <w:pPr>
        <w:pStyle w:val="Prrafodelista"/>
        <w:numPr>
          <w:ilvl w:val="0"/>
          <w:numId w:val="9"/>
        </w:numPr>
        <w:spacing w:before="120" w:after="120"/>
        <w:ind w:left="567" w:hanging="567"/>
        <w:rPr>
          <w:i w:val="0"/>
          <w:iCs w:val="0"/>
          <w:color w:val="auto"/>
          <w:sz w:val="24"/>
          <w:lang w:eastAsia="en-US"/>
        </w:rPr>
      </w:pPr>
      <w:r w:rsidRPr="001776CD">
        <w:rPr>
          <w:i w:val="0"/>
          <w:iCs w:val="0"/>
          <w:color w:val="auto"/>
          <w:sz w:val="24"/>
          <w:lang w:eastAsia="en-US"/>
        </w:rPr>
        <w:t>Luminaria para fuente de LED: para fuentes de luz conformadas por diodos emisores de luz (LED)</w:t>
      </w:r>
    </w:p>
    <w:p w14:paraId="331DFF40" w14:textId="77777777" w:rsidR="00F5024B" w:rsidRPr="001776CD" w:rsidRDefault="00F5024B" w:rsidP="00F5024B">
      <w:pPr>
        <w:pStyle w:val="Prrafodelista"/>
        <w:numPr>
          <w:ilvl w:val="0"/>
          <w:numId w:val="9"/>
        </w:numPr>
        <w:spacing w:before="120" w:after="120"/>
        <w:ind w:left="567" w:hanging="567"/>
        <w:rPr>
          <w:i w:val="0"/>
          <w:iCs w:val="0"/>
          <w:color w:val="auto"/>
          <w:sz w:val="24"/>
          <w:lang w:eastAsia="en-US"/>
        </w:rPr>
      </w:pPr>
      <w:r>
        <w:rPr>
          <w:i w:val="0"/>
          <w:iCs w:val="0"/>
          <w:color w:val="auto"/>
          <w:sz w:val="24"/>
          <w:lang w:eastAsia="en-US"/>
        </w:rPr>
        <w:t xml:space="preserve">Bombilla </w:t>
      </w:r>
      <w:r w:rsidRPr="00EC6072">
        <w:rPr>
          <w:i w:val="0"/>
          <w:color w:val="auto"/>
          <w:sz w:val="24"/>
          <w:szCs w:val="24"/>
        </w:rPr>
        <w:t xml:space="preserve">o </w:t>
      </w:r>
      <w:r w:rsidRPr="00EC6072">
        <w:rPr>
          <w:i w:val="0"/>
          <w:iCs w:val="0"/>
          <w:color w:val="auto"/>
          <w:sz w:val="24"/>
          <w:szCs w:val="24"/>
        </w:rPr>
        <w:t>fuente luminosa</w:t>
      </w:r>
      <w:r w:rsidRPr="00EC6072">
        <w:rPr>
          <w:color w:val="auto"/>
          <w:sz w:val="24"/>
          <w:szCs w:val="24"/>
        </w:rPr>
        <w:t xml:space="preserve"> </w:t>
      </w:r>
      <w:r>
        <w:rPr>
          <w:i w:val="0"/>
          <w:iCs w:val="0"/>
          <w:color w:val="auto"/>
          <w:sz w:val="24"/>
          <w:lang w:eastAsia="en-US"/>
        </w:rPr>
        <w:t>de descarga.</w:t>
      </w:r>
    </w:p>
    <w:p w14:paraId="20D60B1A" w14:textId="77777777" w:rsidR="00F5024B" w:rsidRPr="001776CD" w:rsidRDefault="00F5024B" w:rsidP="00F5024B">
      <w:pPr>
        <w:pStyle w:val="Prrafodelista"/>
        <w:numPr>
          <w:ilvl w:val="0"/>
          <w:numId w:val="9"/>
        </w:numPr>
        <w:spacing w:before="120" w:after="120"/>
        <w:ind w:left="567" w:hanging="567"/>
        <w:rPr>
          <w:i w:val="0"/>
          <w:iCs w:val="0"/>
          <w:color w:val="auto"/>
          <w:sz w:val="24"/>
          <w:lang w:eastAsia="en-US"/>
        </w:rPr>
      </w:pPr>
      <w:proofErr w:type="spellStart"/>
      <w:r w:rsidRPr="001776CD">
        <w:rPr>
          <w:i w:val="0"/>
          <w:iCs w:val="0"/>
          <w:color w:val="auto"/>
          <w:sz w:val="24"/>
          <w:lang w:eastAsia="en-US"/>
        </w:rPr>
        <w:t>Fotocontrol</w:t>
      </w:r>
      <w:proofErr w:type="spellEnd"/>
      <w:r w:rsidRPr="001776CD">
        <w:rPr>
          <w:i w:val="0"/>
          <w:iCs w:val="0"/>
          <w:color w:val="auto"/>
          <w:sz w:val="24"/>
          <w:lang w:eastAsia="en-US"/>
        </w:rPr>
        <w:t>: para control del encendido y apagado de la luminaria individual o múltiple.</w:t>
      </w:r>
    </w:p>
    <w:p w14:paraId="4E74978C" w14:textId="77777777" w:rsidR="00F5024B" w:rsidRPr="001776CD" w:rsidRDefault="00F5024B" w:rsidP="00F5024B">
      <w:pPr>
        <w:pStyle w:val="Prrafodelista"/>
        <w:numPr>
          <w:ilvl w:val="0"/>
          <w:numId w:val="9"/>
        </w:numPr>
        <w:spacing w:before="120" w:after="120"/>
        <w:ind w:left="567" w:hanging="567"/>
        <w:rPr>
          <w:i w:val="0"/>
          <w:iCs w:val="0"/>
          <w:color w:val="auto"/>
          <w:sz w:val="24"/>
          <w:lang w:eastAsia="en-US"/>
        </w:rPr>
      </w:pPr>
      <w:r w:rsidRPr="001776CD">
        <w:rPr>
          <w:i w:val="0"/>
          <w:iCs w:val="0"/>
          <w:color w:val="auto"/>
          <w:sz w:val="24"/>
          <w:lang w:eastAsia="en-US"/>
        </w:rPr>
        <w:t>Punto de conexión red compartida. Lo conforman los siguientes elementos:</w:t>
      </w:r>
    </w:p>
    <w:p w14:paraId="69E6AB0D" w14:textId="77777777" w:rsidR="00F5024B" w:rsidRPr="001776CD" w:rsidRDefault="00F5024B" w:rsidP="00F5024B">
      <w:pPr>
        <w:pStyle w:val="Prrafodelista"/>
        <w:numPr>
          <w:ilvl w:val="1"/>
          <w:numId w:val="9"/>
        </w:numPr>
        <w:spacing w:before="120" w:after="120"/>
        <w:rPr>
          <w:i w:val="0"/>
          <w:iCs w:val="0"/>
          <w:color w:val="auto"/>
          <w:sz w:val="24"/>
          <w:lang w:eastAsia="en-US"/>
        </w:rPr>
      </w:pPr>
      <w:r w:rsidRPr="001776CD">
        <w:rPr>
          <w:i w:val="0"/>
          <w:iCs w:val="0"/>
          <w:color w:val="auto"/>
          <w:sz w:val="24"/>
          <w:lang w:eastAsia="en-US"/>
        </w:rPr>
        <w:t>El brazo o soporte para luminarias: para fijación de la luminaria al poste o sobre muro, puede incluir la abrazadera o collarín para la fijación al poste de concreto, la brida o capuchón para acople a poste metálico o la platina para fijación sobre muro.</w:t>
      </w:r>
    </w:p>
    <w:p w14:paraId="513CFFB7" w14:textId="77777777" w:rsidR="00F5024B" w:rsidRPr="001776CD" w:rsidRDefault="00F5024B" w:rsidP="00F5024B">
      <w:pPr>
        <w:pStyle w:val="Prrafodelista"/>
        <w:numPr>
          <w:ilvl w:val="1"/>
          <w:numId w:val="9"/>
        </w:numPr>
        <w:spacing w:before="120" w:after="120"/>
        <w:rPr>
          <w:i w:val="0"/>
          <w:iCs w:val="0"/>
          <w:color w:val="auto"/>
          <w:sz w:val="24"/>
          <w:szCs w:val="24"/>
          <w:lang w:eastAsia="en-US"/>
        </w:rPr>
      </w:pPr>
      <w:r w:rsidRPr="001776CD">
        <w:rPr>
          <w:i w:val="0"/>
          <w:iCs w:val="0"/>
          <w:color w:val="auto"/>
          <w:sz w:val="24"/>
          <w:szCs w:val="24"/>
          <w:lang w:eastAsia="en-US"/>
        </w:rPr>
        <w:t xml:space="preserve">Acometida de la luminaria: cable </w:t>
      </w:r>
      <w:proofErr w:type="spellStart"/>
      <w:r w:rsidRPr="001776CD">
        <w:rPr>
          <w:i w:val="0"/>
          <w:iCs w:val="0"/>
          <w:color w:val="auto"/>
          <w:sz w:val="24"/>
          <w:szCs w:val="24"/>
          <w:lang w:eastAsia="en-US"/>
        </w:rPr>
        <w:t>multiconductor</w:t>
      </w:r>
      <w:proofErr w:type="spellEnd"/>
      <w:r w:rsidRPr="001776CD">
        <w:rPr>
          <w:i w:val="0"/>
          <w:iCs w:val="0"/>
          <w:color w:val="auto"/>
          <w:sz w:val="24"/>
          <w:szCs w:val="24"/>
          <w:lang w:eastAsia="en-US"/>
        </w:rPr>
        <w:t xml:space="preserve"> (comúnmente denominado </w:t>
      </w:r>
      <w:proofErr w:type="spellStart"/>
      <w:r w:rsidRPr="001776CD">
        <w:rPr>
          <w:i w:val="0"/>
          <w:iCs w:val="0"/>
          <w:color w:val="auto"/>
          <w:sz w:val="24"/>
          <w:szCs w:val="24"/>
          <w:lang w:eastAsia="en-US"/>
        </w:rPr>
        <w:t>encauchetado</w:t>
      </w:r>
      <w:proofErr w:type="spellEnd"/>
      <w:r w:rsidRPr="001776CD">
        <w:rPr>
          <w:i w:val="0"/>
          <w:iCs w:val="0"/>
          <w:color w:val="auto"/>
          <w:sz w:val="24"/>
          <w:szCs w:val="24"/>
          <w:lang w:eastAsia="en-US"/>
        </w:rPr>
        <w:t>), normalmente de 2 o 3 hilos para conectar la luminaria a la red, ya sea aérea o subterránea</w:t>
      </w:r>
    </w:p>
    <w:p w14:paraId="2C2B0232" w14:textId="77777777" w:rsidR="00F5024B" w:rsidRPr="001776CD" w:rsidRDefault="00F5024B" w:rsidP="00F5024B">
      <w:pPr>
        <w:pStyle w:val="Prrafodelista"/>
        <w:numPr>
          <w:ilvl w:val="1"/>
          <w:numId w:val="9"/>
        </w:numPr>
        <w:spacing w:before="120" w:after="120"/>
        <w:rPr>
          <w:i w:val="0"/>
          <w:iCs w:val="0"/>
          <w:color w:val="auto"/>
          <w:sz w:val="24"/>
          <w:szCs w:val="24"/>
          <w:lang w:eastAsia="en-US"/>
        </w:rPr>
      </w:pPr>
      <w:r w:rsidRPr="001776CD">
        <w:rPr>
          <w:i w:val="0"/>
          <w:iCs w:val="0"/>
          <w:color w:val="auto"/>
          <w:sz w:val="24"/>
          <w:szCs w:val="24"/>
          <w:lang w:eastAsia="en-US"/>
        </w:rPr>
        <w:t>Conectores para red aérea: para realizar la conexión eléctrica de la acometida de la luminaria a la red aérea.</w:t>
      </w:r>
    </w:p>
    <w:p w14:paraId="09001587" w14:textId="77777777" w:rsidR="00F5024B" w:rsidRPr="001776CD" w:rsidRDefault="00F5024B" w:rsidP="00F5024B">
      <w:pPr>
        <w:pStyle w:val="Prrafodelista"/>
        <w:numPr>
          <w:ilvl w:val="0"/>
          <w:numId w:val="9"/>
        </w:numPr>
        <w:spacing w:before="120" w:after="120"/>
        <w:ind w:left="567" w:hanging="567"/>
        <w:rPr>
          <w:i w:val="0"/>
          <w:iCs w:val="0"/>
          <w:color w:val="auto"/>
          <w:sz w:val="24"/>
          <w:szCs w:val="24"/>
          <w:lang w:eastAsia="en-US"/>
        </w:rPr>
      </w:pPr>
      <w:r w:rsidRPr="001776CD">
        <w:rPr>
          <w:i w:val="0"/>
          <w:iCs w:val="0"/>
          <w:color w:val="auto"/>
          <w:sz w:val="24"/>
          <w:szCs w:val="24"/>
        </w:rPr>
        <w:lastRenderedPageBreak/>
        <w:t xml:space="preserve">Transformador: </w:t>
      </w:r>
      <w:r w:rsidRPr="001776CD">
        <w:rPr>
          <w:i w:val="0"/>
          <w:iCs w:val="0"/>
          <w:color w:val="auto"/>
          <w:sz w:val="24"/>
          <w:szCs w:val="24"/>
          <w:lang w:eastAsia="en-US"/>
        </w:rPr>
        <w:t>son del tipo distribución, pueden ser instalados en postes, en locales a superficie, en bóvedas subterráneas o del tipo pedestal</w:t>
      </w:r>
    </w:p>
    <w:p w14:paraId="63469BF4" w14:textId="77777777" w:rsidR="00F5024B" w:rsidRPr="001776CD" w:rsidRDefault="00F5024B" w:rsidP="00F5024B">
      <w:pPr>
        <w:pStyle w:val="Prrafodelista"/>
        <w:numPr>
          <w:ilvl w:val="0"/>
          <w:numId w:val="9"/>
        </w:numPr>
        <w:spacing w:before="120" w:after="120"/>
        <w:ind w:left="567" w:hanging="567"/>
        <w:rPr>
          <w:i w:val="0"/>
          <w:iCs w:val="0"/>
          <w:color w:val="auto"/>
          <w:sz w:val="24"/>
          <w:szCs w:val="24"/>
        </w:rPr>
      </w:pPr>
      <w:r w:rsidRPr="001776CD">
        <w:rPr>
          <w:i w:val="0"/>
          <w:iCs w:val="0"/>
          <w:color w:val="auto"/>
          <w:sz w:val="24"/>
          <w:szCs w:val="24"/>
        </w:rPr>
        <w:t xml:space="preserve">Postes de concreto, metálicos, </w:t>
      </w:r>
      <w:r w:rsidRPr="0018066B">
        <w:rPr>
          <w:i w:val="0"/>
          <w:iCs w:val="0"/>
          <w:color w:val="auto"/>
          <w:sz w:val="24"/>
          <w:szCs w:val="24"/>
        </w:rPr>
        <w:t xml:space="preserve">de fibra de vidrio u otros materiales, </w:t>
      </w:r>
      <w:r w:rsidRPr="001776CD">
        <w:rPr>
          <w:i w:val="0"/>
          <w:iCs w:val="0"/>
          <w:color w:val="auto"/>
          <w:sz w:val="24"/>
          <w:szCs w:val="24"/>
        </w:rPr>
        <w:t xml:space="preserve">ornamentales y mástiles </w:t>
      </w:r>
      <w:r w:rsidRPr="001776CD">
        <w:rPr>
          <w:i w:val="0"/>
          <w:iCs w:val="0"/>
          <w:color w:val="auto"/>
          <w:sz w:val="24"/>
          <w:szCs w:val="24"/>
          <w:lang w:eastAsia="en-US"/>
        </w:rPr>
        <w:t>exclusivos de alumbrado público</w:t>
      </w:r>
    </w:p>
    <w:p w14:paraId="26D9DD86" w14:textId="77777777" w:rsidR="00F5024B" w:rsidRPr="001776CD" w:rsidRDefault="00F5024B" w:rsidP="00F5024B">
      <w:pPr>
        <w:pStyle w:val="Prrafodelista"/>
        <w:numPr>
          <w:ilvl w:val="0"/>
          <w:numId w:val="9"/>
        </w:numPr>
        <w:spacing w:before="120" w:after="120"/>
        <w:ind w:left="567" w:hanging="567"/>
        <w:rPr>
          <w:i w:val="0"/>
          <w:iCs w:val="0"/>
          <w:color w:val="auto"/>
          <w:sz w:val="24"/>
          <w:szCs w:val="24"/>
        </w:rPr>
      </w:pPr>
      <w:r w:rsidRPr="001776CD">
        <w:rPr>
          <w:i w:val="0"/>
          <w:iCs w:val="0"/>
          <w:color w:val="auto"/>
          <w:sz w:val="24"/>
          <w:szCs w:val="24"/>
        </w:rPr>
        <w:t xml:space="preserve">Red </w:t>
      </w:r>
      <w:r w:rsidRPr="001776CD">
        <w:rPr>
          <w:i w:val="0"/>
          <w:iCs w:val="0"/>
          <w:color w:val="auto"/>
          <w:sz w:val="24"/>
          <w:lang w:eastAsia="en-US"/>
        </w:rPr>
        <w:t>aérea del SALP: es de uso exclusivo para suministrar la energía a las luminarias</w:t>
      </w:r>
    </w:p>
    <w:p w14:paraId="0F141727" w14:textId="77777777" w:rsidR="00F5024B" w:rsidRPr="001776CD" w:rsidRDefault="00F5024B" w:rsidP="00F5024B">
      <w:pPr>
        <w:pStyle w:val="Prrafodelista"/>
        <w:numPr>
          <w:ilvl w:val="0"/>
          <w:numId w:val="9"/>
        </w:numPr>
        <w:spacing w:before="120" w:after="120"/>
        <w:ind w:left="567" w:hanging="567"/>
        <w:rPr>
          <w:i w:val="0"/>
          <w:iCs w:val="0"/>
          <w:color w:val="auto"/>
          <w:sz w:val="24"/>
          <w:szCs w:val="24"/>
          <w:lang w:eastAsia="en-US"/>
        </w:rPr>
      </w:pPr>
      <w:r w:rsidRPr="001776CD">
        <w:rPr>
          <w:i w:val="0"/>
          <w:iCs w:val="0"/>
          <w:color w:val="auto"/>
          <w:sz w:val="24"/>
          <w:szCs w:val="24"/>
          <w:lang w:eastAsia="en-US"/>
        </w:rPr>
        <w:t>Red subterránea del SALP: es de uso exclusivo para suministrar la energía a las luminarias. Incluye las cámaras o cajas de inspección y canalizaciones o bancos de ductos para la instalación de empalmes, barrajes y otros accesorios de la red subterránea</w:t>
      </w:r>
    </w:p>
    <w:p w14:paraId="10C8F2DC" w14:textId="77777777" w:rsidR="00F5024B" w:rsidRPr="001776CD" w:rsidRDefault="00F5024B" w:rsidP="00F5024B">
      <w:pPr>
        <w:pStyle w:val="Prrafodelista"/>
        <w:numPr>
          <w:ilvl w:val="0"/>
          <w:numId w:val="9"/>
        </w:numPr>
        <w:spacing w:before="120" w:after="120"/>
        <w:ind w:left="567" w:hanging="567"/>
        <w:rPr>
          <w:i w:val="0"/>
          <w:iCs w:val="0"/>
          <w:color w:val="auto"/>
          <w:sz w:val="24"/>
          <w:szCs w:val="24"/>
        </w:rPr>
      </w:pPr>
      <w:r w:rsidRPr="001776CD">
        <w:rPr>
          <w:i w:val="0"/>
          <w:iCs w:val="0"/>
          <w:color w:val="auto"/>
          <w:sz w:val="24"/>
          <w:szCs w:val="24"/>
        </w:rPr>
        <w:t xml:space="preserve">Sistemas de </w:t>
      </w:r>
      <w:proofErr w:type="spellStart"/>
      <w:r w:rsidRPr="001776CD">
        <w:rPr>
          <w:i w:val="0"/>
          <w:iCs w:val="0"/>
          <w:color w:val="auto"/>
          <w:sz w:val="24"/>
          <w:szCs w:val="24"/>
        </w:rPr>
        <w:t>telemonitoreo</w:t>
      </w:r>
      <w:proofErr w:type="spellEnd"/>
      <w:r>
        <w:rPr>
          <w:i w:val="0"/>
          <w:iCs w:val="0"/>
          <w:color w:val="auto"/>
          <w:sz w:val="24"/>
          <w:szCs w:val="24"/>
        </w:rPr>
        <w:t xml:space="preserve"> (incluida la </w:t>
      </w:r>
      <w:proofErr w:type="spellStart"/>
      <w:r>
        <w:rPr>
          <w:i w:val="0"/>
          <w:iCs w:val="0"/>
          <w:color w:val="auto"/>
          <w:sz w:val="24"/>
          <w:szCs w:val="24"/>
        </w:rPr>
        <w:t>telegestión</w:t>
      </w:r>
      <w:proofErr w:type="spellEnd"/>
      <w:r>
        <w:rPr>
          <w:i w:val="0"/>
          <w:iCs w:val="0"/>
          <w:color w:val="auto"/>
          <w:sz w:val="24"/>
          <w:szCs w:val="24"/>
        </w:rPr>
        <w:t>)</w:t>
      </w:r>
      <w:r w:rsidRPr="001776CD">
        <w:rPr>
          <w:i w:val="0"/>
          <w:iCs w:val="0"/>
          <w:color w:val="auto"/>
          <w:sz w:val="24"/>
          <w:szCs w:val="24"/>
        </w:rPr>
        <w:t>, ciberseguridad e interoperabilidad</w:t>
      </w:r>
    </w:p>
    <w:p w14:paraId="0819A489" w14:textId="77777777" w:rsidR="00F5024B" w:rsidRPr="001776CD" w:rsidRDefault="00F5024B" w:rsidP="00F5024B">
      <w:pPr>
        <w:pStyle w:val="Prrafodelista"/>
        <w:numPr>
          <w:ilvl w:val="0"/>
          <w:numId w:val="9"/>
        </w:numPr>
        <w:spacing w:before="120" w:after="120"/>
        <w:ind w:left="567" w:hanging="567"/>
        <w:rPr>
          <w:i w:val="0"/>
          <w:iCs w:val="0"/>
          <w:color w:val="auto"/>
          <w:sz w:val="24"/>
          <w:szCs w:val="24"/>
        </w:rPr>
      </w:pPr>
      <w:r w:rsidRPr="001776CD">
        <w:rPr>
          <w:i w:val="0"/>
          <w:iCs w:val="0"/>
          <w:color w:val="auto"/>
          <w:sz w:val="24"/>
          <w:szCs w:val="24"/>
        </w:rPr>
        <w:t xml:space="preserve">Fuentes de suministro de energía: </w:t>
      </w:r>
      <w:r w:rsidRPr="001776CD">
        <w:rPr>
          <w:i w:val="0"/>
          <w:iCs w:val="0"/>
          <w:color w:val="auto"/>
          <w:sz w:val="24"/>
          <w:szCs w:val="24"/>
          <w:lang w:eastAsia="en-US"/>
        </w:rPr>
        <w:t>incluye fuentes convencionales de energía y/o fuentes no convencionales de energía no renovables</w:t>
      </w:r>
    </w:p>
    <w:p w14:paraId="5AC9E19A" w14:textId="77777777" w:rsidR="00F5024B" w:rsidRPr="001776CD" w:rsidRDefault="00F5024B" w:rsidP="00F5024B">
      <w:pPr>
        <w:pStyle w:val="Prrafodelista"/>
        <w:numPr>
          <w:ilvl w:val="0"/>
          <w:numId w:val="9"/>
        </w:numPr>
        <w:spacing w:before="120" w:after="120"/>
        <w:ind w:left="567" w:hanging="567"/>
        <w:rPr>
          <w:i w:val="0"/>
          <w:iCs w:val="0"/>
          <w:color w:val="auto"/>
          <w:sz w:val="24"/>
          <w:szCs w:val="24"/>
          <w:lang w:eastAsia="en-US"/>
        </w:rPr>
      </w:pPr>
      <w:r w:rsidRPr="001776CD">
        <w:rPr>
          <w:i w:val="0"/>
          <w:iCs w:val="0"/>
          <w:color w:val="auto"/>
          <w:sz w:val="24"/>
          <w:szCs w:val="24"/>
          <w:lang w:eastAsia="en-US"/>
        </w:rPr>
        <w:t xml:space="preserve">Sistema de medición o </w:t>
      </w:r>
      <w:proofErr w:type="spellStart"/>
      <w:r w:rsidRPr="001776CD">
        <w:rPr>
          <w:i w:val="0"/>
          <w:iCs w:val="0"/>
          <w:color w:val="auto"/>
          <w:sz w:val="24"/>
          <w:szCs w:val="24"/>
          <w:lang w:eastAsia="en-US"/>
        </w:rPr>
        <w:t>telemedición</w:t>
      </w:r>
      <w:proofErr w:type="spellEnd"/>
      <w:r w:rsidRPr="001776CD">
        <w:rPr>
          <w:i w:val="0"/>
          <w:iCs w:val="0"/>
          <w:color w:val="auto"/>
          <w:sz w:val="24"/>
          <w:szCs w:val="24"/>
          <w:lang w:eastAsia="en-US"/>
        </w:rPr>
        <w:t xml:space="preserve"> de energía: incluye los equipos de medida individual o grupal, su equipo auxiliar y software de lectura local o remota, normalmente instalados en un gabinete ya sea de uso interior o exterior</w:t>
      </w:r>
    </w:p>
    <w:p w14:paraId="0DE0B5E1" w14:textId="77777777" w:rsidR="00F5024B" w:rsidRPr="001776CD" w:rsidRDefault="00F5024B" w:rsidP="00F5024B">
      <w:pPr>
        <w:spacing w:before="0"/>
        <w:ind w:left="0" w:firstLine="0"/>
        <w:rPr>
          <w:i w:val="0"/>
          <w:iCs w:val="0"/>
          <w:color w:val="auto"/>
        </w:rPr>
      </w:pPr>
      <w:r w:rsidRPr="001776CD">
        <w:rPr>
          <w:i w:val="0"/>
          <w:iCs w:val="0"/>
          <w:color w:val="auto"/>
        </w:rPr>
        <w:t>La Unidad Constructiva Transformadores incluye los transformadores de tipo poste y pedestal utilizados en los Sistema de Alumbrado Público.</w:t>
      </w:r>
    </w:p>
    <w:p w14:paraId="00AE1F8E" w14:textId="77777777" w:rsidR="00F5024B" w:rsidRPr="001776CD" w:rsidRDefault="00F5024B" w:rsidP="00F5024B">
      <w:pPr>
        <w:spacing w:before="0"/>
        <w:ind w:left="0" w:firstLine="0"/>
        <w:rPr>
          <w:i w:val="0"/>
          <w:iCs w:val="0"/>
          <w:color w:val="auto"/>
        </w:rPr>
      </w:pPr>
      <w:r w:rsidRPr="001776CD">
        <w:rPr>
          <w:i w:val="0"/>
          <w:iCs w:val="0"/>
          <w:color w:val="auto"/>
        </w:rPr>
        <w:t>La Unidad Constructiva Postes y Mástiles comprende los postes de concreto, metálicos, ornamentales, de diseño especial, mástiles, de diferentes alturas, utilizados en los sistemas de alumbrado público.</w:t>
      </w:r>
    </w:p>
    <w:p w14:paraId="32FD4182" w14:textId="77777777" w:rsidR="00F5024B" w:rsidRPr="001776CD" w:rsidRDefault="00F5024B" w:rsidP="00F5024B">
      <w:pPr>
        <w:spacing w:before="0"/>
        <w:ind w:left="0" w:firstLine="0"/>
        <w:rPr>
          <w:i w:val="0"/>
          <w:iCs w:val="0"/>
          <w:color w:val="auto"/>
        </w:rPr>
      </w:pPr>
      <w:r w:rsidRPr="001776CD">
        <w:rPr>
          <w:i w:val="0"/>
          <w:iCs w:val="0"/>
          <w:color w:val="auto"/>
        </w:rPr>
        <w:t>La Unidad constructiva redes, comprende todo tipo de conductores, para redes aéreas y subterráneas, en cobre y aluminio de diferentes calibres, utilizadas en los Sistemas de Alumbrado Público, el conductor aislado</w:t>
      </w:r>
    </w:p>
    <w:p w14:paraId="38C6F78A" w14:textId="77777777" w:rsidR="00F5024B" w:rsidRPr="001776CD" w:rsidRDefault="00F5024B" w:rsidP="00F5024B">
      <w:pPr>
        <w:spacing w:before="0"/>
        <w:ind w:left="0" w:firstLine="0"/>
        <w:rPr>
          <w:i w:val="0"/>
          <w:iCs w:val="0"/>
          <w:color w:val="auto"/>
        </w:rPr>
      </w:pPr>
      <w:r w:rsidRPr="001776CD">
        <w:rPr>
          <w:i w:val="0"/>
          <w:iCs w:val="0"/>
          <w:color w:val="auto"/>
        </w:rPr>
        <w:t>La Unidad Constructiva Sistemas de Medición, de sistemas de alumbrado público exclusivos, comprende todo tipo de medidores con el correspondiente software de lectura y accesorios para la interrogación remota de los medidores, utilizados en los sistemas eléctricos para medir el consumo de energía eléctrica.</w:t>
      </w:r>
    </w:p>
    <w:p w14:paraId="441329E9" w14:textId="77777777" w:rsidR="00F5024B" w:rsidRPr="001776CD" w:rsidRDefault="00F5024B" w:rsidP="00F5024B">
      <w:pPr>
        <w:spacing w:before="0"/>
        <w:ind w:left="0" w:firstLine="0"/>
        <w:rPr>
          <w:i w:val="0"/>
          <w:iCs w:val="0"/>
          <w:color w:val="auto"/>
        </w:rPr>
      </w:pPr>
      <w:r w:rsidRPr="001776CD">
        <w:rPr>
          <w:i w:val="0"/>
          <w:iCs w:val="0"/>
          <w:color w:val="auto"/>
        </w:rPr>
        <w:t xml:space="preserve">La Unidad Constructiva Sistemas de </w:t>
      </w:r>
      <w:proofErr w:type="spellStart"/>
      <w:r w:rsidRPr="001776CD">
        <w:rPr>
          <w:i w:val="0"/>
          <w:iCs w:val="0"/>
          <w:color w:val="auto"/>
        </w:rPr>
        <w:t>telemonitoreo</w:t>
      </w:r>
      <w:proofErr w:type="spellEnd"/>
      <w:r w:rsidRPr="001776CD">
        <w:rPr>
          <w:i w:val="0"/>
          <w:iCs w:val="0"/>
          <w:color w:val="auto"/>
        </w:rPr>
        <w:t xml:space="preserve">, comprende todo tipo de desarrollos tecnológicos para la medición, monitoreo de su operación, dimerización, protocolos de interoperabilidad y ciberseguridad, </w:t>
      </w:r>
      <w:proofErr w:type="spellStart"/>
      <w:r>
        <w:rPr>
          <w:i w:val="0"/>
          <w:iCs w:val="0"/>
          <w:color w:val="auto"/>
        </w:rPr>
        <w:t>telegestión</w:t>
      </w:r>
      <w:proofErr w:type="spellEnd"/>
      <w:r>
        <w:rPr>
          <w:i w:val="0"/>
          <w:iCs w:val="0"/>
          <w:color w:val="auto"/>
        </w:rPr>
        <w:t xml:space="preserve">, </w:t>
      </w:r>
      <w:r w:rsidRPr="001776CD">
        <w:rPr>
          <w:i w:val="0"/>
          <w:iCs w:val="0"/>
          <w:color w:val="auto"/>
        </w:rPr>
        <w:t>entre otros, que permita conocer el estado de funcionamiento y principales parámetros de operación de la luminaria de forma remota y la transferencia de los datos.</w:t>
      </w:r>
    </w:p>
    <w:p w14:paraId="2E3B976D" w14:textId="77777777" w:rsidR="00F5024B" w:rsidRPr="001776CD" w:rsidRDefault="00F5024B" w:rsidP="00F5024B">
      <w:pPr>
        <w:spacing w:before="0"/>
        <w:ind w:left="0" w:firstLine="0"/>
        <w:rPr>
          <w:i w:val="0"/>
          <w:iCs w:val="0"/>
          <w:color w:val="auto"/>
        </w:rPr>
      </w:pPr>
      <w:r w:rsidRPr="001776CD">
        <w:rPr>
          <w:i w:val="0"/>
          <w:iCs w:val="0"/>
          <w:color w:val="auto"/>
        </w:rPr>
        <w:t>La Unidad Constructiva Fuentes de suministro de energía, comprende todo tipo de desarrollos tecnológicos para el suministr</w:t>
      </w:r>
      <w:r>
        <w:rPr>
          <w:i w:val="0"/>
          <w:iCs w:val="0"/>
          <w:color w:val="auto"/>
        </w:rPr>
        <w:t>o de</w:t>
      </w:r>
      <w:r w:rsidRPr="001776CD">
        <w:rPr>
          <w:i w:val="0"/>
          <w:iCs w:val="0"/>
          <w:color w:val="auto"/>
        </w:rPr>
        <w:t xml:space="preserve"> energía para el funcionamiento de la luminaria, entre las cuales se pueden encontrar la energía solar y gas combustible. </w:t>
      </w:r>
      <w:r w:rsidRPr="005E14E8">
        <w:rPr>
          <w:i w:val="0"/>
          <w:iCs w:val="0"/>
          <w:color w:val="auto"/>
        </w:rPr>
        <w:t xml:space="preserve">Todos los componentes (equipos y materiales) necesarios para la operación de estos sistemas, deben aportar certificado de conformidad de producto bajo RETIE o </w:t>
      </w:r>
      <w:r>
        <w:rPr>
          <w:i w:val="0"/>
          <w:iCs w:val="0"/>
          <w:color w:val="auto"/>
        </w:rPr>
        <w:t>RETILAP</w:t>
      </w:r>
      <w:r w:rsidRPr="005E14E8">
        <w:rPr>
          <w:i w:val="0"/>
          <w:iCs w:val="0"/>
          <w:color w:val="auto"/>
        </w:rPr>
        <w:t>.</w:t>
      </w:r>
    </w:p>
    <w:p w14:paraId="3F2D0AE3" w14:textId="77777777" w:rsidR="00F5024B" w:rsidRPr="001776CD" w:rsidRDefault="00F5024B" w:rsidP="00F5024B">
      <w:pPr>
        <w:spacing w:before="0"/>
        <w:ind w:left="0" w:firstLine="0"/>
        <w:rPr>
          <w:i w:val="0"/>
          <w:iCs w:val="0"/>
          <w:color w:val="auto"/>
        </w:rPr>
      </w:pPr>
      <w:r>
        <w:rPr>
          <w:i w:val="0"/>
          <w:iCs w:val="0"/>
          <w:color w:val="auto"/>
        </w:rPr>
        <w:t>L</w:t>
      </w:r>
      <w:r w:rsidRPr="001776CD">
        <w:rPr>
          <w:i w:val="0"/>
          <w:iCs w:val="0"/>
          <w:color w:val="auto"/>
        </w:rPr>
        <w:t xml:space="preserve">as UC </w:t>
      </w:r>
      <w:r>
        <w:rPr>
          <w:i w:val="0"/>
          <w:iCs w:val="0"/>
          <w:color w:val="auto"/>
        </w:rPr>
        <w:t xml:space="preserve">de alumbrado público definidas en esta resolución </w:t>
      </w:r>
      <w:r w:rsidRPr="001776CD">
        <w:rPr>
          <w:i w:val="0"/>
          <w:iCs w:val="0"/>
          <w:color w:val="auto"/>
        </w:rPr>
        <w:t>se debe</w:t>
      </w:r>
      <w:r>
        <w:rPr>
          <w:i w:val="0"/>
          <w:iCs w:val="0"/>
          <w:color w:val="auto"/>
        </w:rPr>
        <w:t>n</w:t>
      </w:r>
      <w:r w:rsidRPr="001776CD">
        <w:rPr>
          <w:i w:val="0"/>
          <w:iCs w:val="0"/>
          <w:color w:val="auto"/>
        </w:rPr>
        <w:t xml:space="preserve"> </w:t>
      </w:r>
      <w:r>
        <w:rPr>
          <w:i w:val="0"/>
          <w:iCs w:val="0"/>
          <w:color w:val="auto"/>
        </w:rPr>
        <w:t>constituir</w:t>
      </w:r>
      <w:r w:rsidRPr="001776CD">
        <w:rPr>
          <w:i w:val="0"/>
          <w:iCs w:val="0"/>
          <w:color w:val="auto"/>
        </w:rPr>
        <w:t xml:space="preserve"> de acuerdo con la presente resolución, el RETIE, el </w:t>
      </w:r>
      <w:r>
        <w:rPr>
          <w:i w:val="0"/>
          <w:iCs w:val="0"/>
          <w:color w:val="auto"/>
        </w:rPr>
        <w:t>RETILAP</w:t>
      </w:r>
      <w:r w:rsidRPr="001776CD">
        <w:rPr>
          <w:i w:val="0"/>
          <w:iCs w:val="0"/>
          <w:color w:val="auto"/>
        </w:rPr>
        <w:t xml:space="preserve"> </w:t>
      </w:r>
      <w:r w:rsidRPr="00E63999">
        <w:rPr>
          <w:i w:val="0"/>
          <w:iCs w:val="0"/>
          <w:color w:val="auto"/>
        </w:rPr>
        <w:t xml:space="preserve">al igual que todas </w:t>
      </w:r>
      <w:r w:rsidRPr="00E63999">
        <w:rPr>
          <w:i w:val="0"/>
          <w:iCs w:val="0"/>
          <w:color w:val="auto"/>
        </w:rPr>
        <w:lastRenderedPageBreak/>
        <w:t>aquellas disposiciones técnicas que expida sobre la materia el Ministerio de Minas y Energía.</w:t>
      </w:r>
    </w:p>
    <w:p w14:paraId="3E077B95" w14:textId="77777777" w:rsidR="00F5024B" w:rsidRDefault="00F5024B" w:rsidP="00F5024B">
      <w:pPr>
        <w:spacing w:before="0"/>
        <w:ind w:left="0" w:firstLine="0"/>
        <w:rPr>
          <w:i w:val="0"/>
          <w:iCs w:val="0"/>
          <w:color w:val="auto"/>
        </w:rPr>
      </w:pPr>
      <w:r w:rsidRPr="001776CD">
        <w:rPr>
          <w:i w:val="0"/>
          <w:iCs w:val="0"/>
          <w:color w:val="auto"/>
        </w:rPr>
        <w:t>El costo total de las UCAP del Servicio de Alumbrado Público se compone de:</w:t>
      </w:r>
    </w:p>
    <w:p w14:paraId="401CEA28" w14:textId="77777777" w:rsidR="00F5024B" w:rsidRPr="001776CD" w:rsidRDefault="00F5024B" w:rsidP="00F5024B">
      <w:pPr>
        <w:pStyle w:val="Prrafodelista"/>
        <w:numPr>
          <w:ilvl w:val="0"/>
          <w:numId w:val="7"/>
        </w:numPr>
        <w:spacing w:before="0" w:after="0"/>
        <w:ind w:left="993" w:hanging="567"/>
        <w:rPr>
          <w:i w:val="0"/>
          <w:iCs w:val="0"/>
          <w:color w:val="auto"/>
          <w:sz w:val="24"/>
          <w:szCs w:val="24"/>
        </w:rPr>
      </w:pPr>
      <w:r w:rsidRPr="001776CD">
        <w:rPr>
          <w:i w:val="0"/>
          <w:iCs w:val="0"/>
          <w:color w:val="auto"/>
          <w:sz w:val="24"/>
          <w:szCs w:val="24"/>
        </w:rPr>
        <w:t xml:space="preserve">Costo del suministro en sitio </w:t>
      </w:r>
      <w:r w:rsidRPr="001776CD">
        <w:rPr>
          <w:i w:val="0"/>
          <w:iCs w:val="0"/>
          <w:color w:val="auto"/>
          <w:sz w:val="24"/>
          <w:lang w:eastAsia="en-US"/>
        </w:rPr>
        <w:t>de instalación.</w:t>
      </w:r>
    </w:p>
    <w:p w14:paraId="304FD101" w14:textId="77777777" w:rsidR="00F5024B" w:rsidRPr="001776CD" w:rsidRDefault="00F5024B" w:rsidP="00F5024B">
      <w:pPr>
        <w:pStyle w:val="Prrafodelista"/>
        <w:numPr>
          <w:ilvl w:val="0"/>
          <w:numId w:val="7"/>
        </w:numPr>
        <w:spacing w:before="0" w:after="0"/>
        <w:ind w:left="993" w:hanging="567"/>
        <w:rPr>
          <w:i w:val="0"/>
          <w:iCs w:val="0"/>
          <w:color w:val="auto"/>
          <w:sz w:val="24"/>
          <w:szCs w:val="24"/>
        </w:rPr>
      </w:pPr>
      <w:r w:rsidRPr="001776CD">
        <w:rPr>
          <w:i w:val="0"/>
          <w:iCs w:val="0"/>
          <w:color w:val="auto"/>
          <w:sz w:val="24"/>
          <w:szCs w:val="24"/>
        </w:rPr>
        <w:t>Costo de la Obra civil.</w:t>
      </w:r>
    </w:p>
    <w:p w14:paraId="0111F05A" w14:textId="77777777" w:rsidR="00F5024B" w:rsidRPr="001776CD" w:rsidRDefault="00F5024B" w:rsidP="00F5024B">
      <w:pPr>
        <w:pStyle w:val="Prrafodelista"/>
        <w:numPr>
          <w:ilvl w:val="0"/>
          <w:numId w:val="7"/>
        </w:numPr>
        <w:spacing w:before="0" w:after="0"/>
        <w:ind w:left="993" w:hanging="567"/>
        <w:rPr>
          <w:i w:val="0"/>
          <w:iCs w:val="0"/>
          <w:color w:val="auto"/>
          <w:sz w:val="24"/>
          <w:szCs w:val="24"/>
        </w:rPr>
      </w:pPr>
      <w:r w:rsidRPr="001776CD">
        <w:rPr>
          <w:i w:val="0"/>
          <w:iCs w:val="0"/>
          <w:color w:val="auto"/>
          <w:sz w:val="24"/>
          <w:szCs w:val="24"/>
        </w:rPr>
        <w:t>Costo del Montaje.</w:t>
      </w:r>
    </w:p>
    <w:p w14:paraId="283E7022" w14:textId="77777777" w:rsidR="00F5024B" w:rsidRPr="001776CD" w:rsidRDefault="00F5024B" w:rsidP="00F5024B">
      <w:pPr>
        <w:pStyle w:val="Prrafodelista"/>
        <w:numPr>
          <w:ilvl w:val="0"/>
          <w:numId w:val="7"/>
        </w:numPr>
        <w:spacing w:before="0" w:after="0"/>
        <w:ind w:left="993" w:hanging="567"/>
        <w:rPr>
          <w:i w:val="0"/>
          <w:iCs w:val="0"/>
          <w:color w:val="auto"/>
          <w:sz w:val="24"/>
          <w:szCs w:val="24"/>
        </w:rPr>
      </w:pPr>
      <w:r w:rsidRPr="001776CD">
        <w:rPr>
          <w:i w:val="0"/>
          <w:iCs w:val="0"/>
          <w:color w:val="auto"/>
          <w:sz w:val="24"/>
          <w:szCs w:val="24"/>
        </w:rPr>
        <w:t>Costos de Ingeniería.</w:t>
      </w:r>
    </w:p>
    <w:p w14:paraId="7E608E1C" w14:textId="77777777" w:rsidR="00F5024B" w:rsidRPr="001776CD" w:rsidRDefault="00F5024B" w:rsidP="00F5024B">
      <w:pPr>
        <w:pStyle w:val="Prrafodelista"/>
        <w:numPr>
          <w:ilvl w:val="0"/>
          <w:numId w:val="7"/>
        </w:numPr>
        <w:spacing w:before="0" w:after="0"/>
        <w:ind w:left="993" w:hanging="567"/>
        <w:rPr>
          <w:i w:val="0"/>
          <w:iCs w:val="0"/>
          <w:color w:val="auto"/>
          <w:sz w:val="24"/>
          <w:szCs w:val="24"/>
        </w:rPr>
      </w:pPr>
      <w:r w:rsidRPr="001776CD">
        <w:rPr>
          <w:i w:val="0"/>
          <w:iCs w:val="0"/>
          <w:color w:val="auto"/>
          <w:sz w:val="24"/>
          <w:szCs w:val="24"/>
        </w:rPr>
        <w:t>Costo de la administración de la obra.</w:t>
      </w:r>
    </w:p>
    <w:p w14:paraId="5938B1A2" w14:textId="77777777" w:rsidR="00F5024B" w:rsidRPr="001776CD" w:rsidRDefault="00F5024B" w:rsidP="00F5024B">
      <w:pPr>
        <w:pStyle w:val="Prrafodelista"/>
        <w:numPr>
          <w:ilvl w:val="0"/>
          <w:numId w:val="7"/>
        </w:numPr>
        <w:spacing w:before="0" w:after="0"/>
        <w:ind w:left="993" w:hanging="567"/>
        <w:rPr>
          <w:i w:val="0"/>
          <w:iCs w:val="0"/>
          <w:color w:val="auto"/>
          <w:sz w:val="24"/>
          <w:szCs w:val="24"/>
        </w:rPr>
      </w:pPr>
      <w:r w:rsidRPr="001776CD">
        <w:rPr>
          <w:i w:val="0"/>
          <w:iCs w:val="0"/>
          <w:color w:val="auto"/>
          <w:sz w:val="24"/>
          <w:szCs w:val="24"/>
        </w:rPr>
        <w:t>Costo de los inspectores de obra.</w:t>
      </w:r>
    </w:p>
    <w:p w14:paraId="6F0373D5" w14:textId="77777777" w:rsidR="00F5024B" w:rsidRPr="00692735" w:rsidRDefault="00F5024B" w:rsidP="00F5024B">
      <w:pPr>
        <w:pStyle w:val="Prrafodelista"/>
        <w:numPr>
          <w:ilvl w:val="0"/>
          <w:numId w:val="7"/>
        </w:numPr>
        <w:spacing w:before="0" w:after="0"/>
        <w:ind w:left="993" w:hanging="567"/>
        <w:rPr>
          <w:i w:val="0"/>
          <w:iCs w:val="0"/>
          <w:color w:val="auto"/>
          <w:sz w:val="24"/>
          <w:szCs w:val="24"/>
        </w:rPr>
      </w:pPr>
      <w:r w:rsidRPr="001776CD">
        <w:rPr>
          <w:i w:val="0"/>
          <w:iCs w:val="0"/>
          <w:color w:val="auto"/>
          <w:sz w:val="24"/>
          <w:szCs w:val="24"/>
        </w:rPr>
        <w:t>Costo de la interventoría de obra</w:t>
      </w:r>
    </w:p>
    <w:p w14:paraId="727FA65D" w14:textId="77777777" w:rsidR="00F5024B" w:rsidRPr="001776CD" w:rsidRDefault="00F5024B" w:rsidP="00F5024B">
      <w:pPr>
        <w:pStyle w:val="Prrafodelista"/>
        <w:numPr>
          <w:ilvl w:val="0"/>
          <w:numId w:val="7"/>
        </w:numPr>
        <w:spacing w:before="0" w:after="0"/>
        <w:ind w:left="993" w:hanging="567"/>
        <w:rPr>
          <w:i w:val="0"/>
          <w:iCs w:val="0"/>
          <w:color w:val="auto"/>
          <w:sz w:val="24"/>
          <w:szCs w:val="24"/>
        </w:rPr>
      </w:pPr>
      <w:r>
        <w:rPr>
          <w:i w:val="0"/>
          <w:iCs w:val="0"/>
          <w:color w:val="auto"/>
          <w:sz w:val="24"/>
          <w:lang w:eastAsia="en-US"/>
        </w:rPr>
        <w:t xml:space="preserve">Costo de las </w:t>
      </w:r>
      <w:r w:rsidRPr="001776CD">
        <w:rPr>
          <w:i w:val="0"/>
          <w:iCs w:val="0"/>
          <w:color w:val="auto"/>
          <w:sz w:val="24"/>
          <w:lang w:eastAsia="en-US"/>
        </w:rPr>
        <w:t>certificaci</w:t>
      </w:r>
      <w:r>
        <w:rPr>
          <w:i w:val="0"/>
          <w:iCs w:val="0"/>
          <w:color w:val="auto"/>
          <w:sz w:val="24"/>
          <w:lang w:eastAsia="en-US"/>
        </w:rPr>
        <w:t>ones Retie y RETILAP</w:t>
      </w:r>
      <w:r w:rsidRPr="001776CD">
        <w:rPr>
          <w:i w:val="0"/>
          <w:iCs w:val="0"/>
          <w:color w:val="auto"/>
          <w:sz w:val="24"/>
          <w:lang w:eastAsia="en-US"/>
        </w:rPr>
        <w:t xml:space="preserve"> de las instalaciones</w:t>
      </w:r>
      <w:r w:rsidRPr="001776CD">
        <w:rPr>
          <w:i w:val="0"/>
          <w:iCs w:val="0"/>
          <w:color w:val="auto"/>
          <w:sz w:val="24"/>
          <w:szCs w:val="24"/>
        </w:rPr>
        <w:t>.</w:t>
      </w:r>
    </w:p>
    <w:p w14:paraId="261E44E2" w14:textId="77777777" w:rsidR="00F5024B" w:rsidRPr="001776CD" w:rsidRDefault="00F5024B" w:rsidP="00F5024B">
      <w:pPr>
        <w:pStyle w:val="Prrafodelista"/>
        <w:numPr>
          <w:ilvl w:val="0"/>
          <w:numId w:val="7"/>
        </w:numPr>
        <w:spacing w:before="0" w:after="0"/>
        <w:ind w:left="993" w:hanging="567"/>
        <w:rPr>
          <w:i w:val="0"/>
          <w:iCs w:val="0"/>
          <w:color w:val="auto"/>
          <w:sz w:val="24"/>
          <w:szCs w:val="24"/>
        </w:rPr>
      </w:pPr>
      <w:r w:rsidRPr="001776CD">
        <w:rPr>
          <w:i w:val="0"/>
          <w:iCs w:val="0"/>
          <w:color w:val="auto"/>
          <w:sz w:val="24"/>
          <w:szCs w:val="24"/>
        </w:rPr>
        <w:t>Costos Financieros.</w:t>
      </w:r>
    </w:p>
    <w:p w14:paraId="724558C2" w14:textId="77777777" w:rsidR="00F5024B" w:rsidRPr="00BF3D78" w:rsidRDefault="00F5024B" w:rsidP="00F5024B">
      <w:pPr>
        <w:pStyle w:val="Prrafodelista"/>
        <w:numPr>
          <w:ilvl w:val="0"/>
          <w:numId w:val="7"/>
        </w:numPr>
        <w:spacing w:before="0"/>
        <w:ind w:left="993" w:hanging="567"/>
        <w:rPr>
          <w:i w:val="0"/>
          <w:iCs w:val="0"/>
          <w:color w:val="auto"/>
          <w:sz w:val="24"/>
          <w:szCs w:val="24"/>
        </w:rPr>
      </w:pPr>
      <w:r w:rsidRPr="00BF3D78">
        <w:rPr>
          <w:i w:val="0"/>
          <w:iCs w:val="0"/>
          <w:color w:val="auto"/>
          <w:sz w:val="24"/>
          <w:szCs w:val="24"/>
        </w:rPr>
        <w:t>Costos ambientales de la disposición de residuos.</w:t>
      </w:r>
    </w:p>
    <w:p w14:paraId="696AEF54" w14:textId="77777777" w:rsidR="00F5024B" w:rsidRPr="001776CD" w:rsidRDefault="00F5024B" w:rsidP="00F5024B">
      <w:pPr>
        <w:pStyle w:val="Prrafodelista"/>
        <w:numPr>
          <w:ilvl w:val="0"/>
          <w:numId w:val="8"/>
        </w:numPr>
        <w:spacing w:before="240" w:after="120"/>
        <w:ind w:left="426" w:hanging="426"/>
        <w:rPr>
          <w:b/>
          <w:bCs/>
          <w:i w:val="0"/>
          <w:iCs w:val="0"/>
          <w:color w:val="auto"/>
          <w:sz w:val="24"/>
          <w:szCs w:val="24"/>
        </w:rPr>
      </w:pPr>
      <w:r w:rsidRPr="001776CD">
        <w:rPr>
          <w:b/>
          <w:bCs/>
          <w:i w:val="0"/>
          <w:iCs w:val="0"/>
          <w:color w:val="auto"/>
          <w:sz w:val="24"/>
          <w:szCs w:val="24"/>
        </w:rPr>
        <w:t xml:space="preserve">Vida Útil de los Elementos que componen las Unidades Constructivas del Sistema de Alumbrado Público. </w:t>
      </w:r>
    </w:p>
    <w:p w14:paraId="466C563D" w14:textId="77777777" w:rsidR="00F5024B" w:rsidRPr="001776CD" w:rsidRDefault="00F5024B" w:rsidP="00F5024B">
      <w:pPr>
        <w:spacing w:before="0" w:after="0"/>
        <w:ind w:firstLine="0"/>
        <w:rPr>
          <w:i w:val="0"/>
          <w:iCs w:val="0"/>
          <w:color w:val="auto"/>
        </w:rPr>
      </w:pPr>
    </w:p>
    <w:p w14:paraId="45352B24" w14:textId="77777777" w:rsidR="00F5024B" w:rsidRDefault="00F5024B" w:rsidP="00F5024B">
      <w:pPr>
        <w:spacing w:before="0" w:after="0"/>
        <w:ind w:left="0" w:firstLine="0"/>
        <w:rPr>
          <w:i w:val="0"/>
          <w:iCs w:val="0"/>
          <w:color w:val="auto"/>
          <w:szCs w:val="20"/>
          <w:lang w:val="es-CO" w:eastAsia="en-US"/>
        </w:rPr>
      </w:pPr>
      <w:r w:rsidRPr="001776CD">
        <w:rPr>
          <w:i w:val="0"/>
          <w:iCs w:val="0"/>
          <w:color w:val="auto"/>
          <w:szCs w:val="20"/>
          <w:lang w:val="es-CO" w:eastAsia="en-US"/>
        </w:rPr>
        <w:t xml:space="preserve">La vida útil de los elementos incluidos en las diferentes UCAP serán las definidas en el </w:t>
      </w:r>
      <w:r>
        <w:rPr>
          <w:i w:val="0"/>
          <w:iCs w:val="0"/>
          <w:color w:val="auto"/>
          <w:szCs w:val="20"/>
          <w:lang w:val="es-CO" w:eastAsia="en-US"/>
        </w:rPr>
        <w:t>RETILAP</w:t>
      </w:r>
      <w:r w:rsidRPr="001776CD">
        <w:rPr>
          <w:i w:val="0"/>
          <w:iCs w:val="0"/>
          <w:color w:val="auto"/>
          <w:szCs w:val="20"/>
          <w:lang w:val="es-CO" w:eastAsia="en-US"/>
        </w:rPr>
        <w:t xml:space="preserve"> y aquellos estudios técnicos que establezca el Ministerio de Minas y Energía, de acuerdo con lo establecido en el artículo 2.2.3.6.1.11 del Decreto 1073 de 2015, que determina la responsabilidad del Ministerio para expedir los reglamentos técnicos que fijen los requisitos mínimos que deben cumplir los diseños, la instalación y los equipos que se utilicen para la prestación del servicio de alumbrado público</w:t>
      </w:r>
      <w:r>
        <w:rPr>
          <w:i w:val="0"/>
          <w:iCs w:val="0"/>
          <w:color w:val="auto"/>
          <w:szCs w:val="20"/>
          <w:lang w:val="es-CO" w:eastAsia="en-US"/>
        </w:rPr>
        <w:t>.</w:t>
      </w:r>
    </w:p>
    <w:p w14:paraId="23C4DAC6" w14:textId="77777777" w:rsidR="00F5024B" w:rsidRDefault="00F5024B" w:rsidP="00F5024B">
      <w:pPr>
        <w:spacing w:before="0" w:after="0"/>
        <w:ind w:left="0" w:firstLine="0"/>
        <w:rPr>
          <w:i w:val="0"/>
          <w:iCs w:val="0"/>
          <w:color w:val="auto"/>
          <w:szCs w:val="20"/>
          <w:lang w:val="es-CO" w:eastAsia="en-US"/>
        </w:rPr>
      </w:pPr>
    </w:p>
    <w:p w14:paraId="52099779" w14:textId="77777777" w:rsidR="00F5024B" w:rsidRDefault="00F5024B" w:rsidP="00F5024B">
      <w:pPr>
        <w:spacing w:before="0" w:after="0"/>
        <w:ind w:left="0" w:firstLine="0"/>
        <w:rPr>
          <w:i w:val="0"/>
          <w:iCs w:val="0"/>
          <w:color w:val="auto"/>
          <w:szCs w:val="20"/>
          <w:lang w:eastAsia="en-US"/>
        </w:rPr>
      </w:pPr>
      <w:r>
        <w:rPr>
          <w:i w:val="0"/>
          <w:iCs w:val="0"/>
          <w:color w:val="auto"/>
          <w:szCs w:val="20"/>
          <w:lang w:eastAsia="en-US"/>
        </w:rPr>
        <w:t xml:space="preserve">En todo caso, </w:t>
      </w:r>
      <w:r w:rsidRPr="005E065B">
        <w:rPr>
          <w:i w:val="0"/>
          <w:iCs w:val="0"/>
          <w:color w:val="auto"/>
          <w:szCs w:val="20"/>
          <w:lang w:eastAsia="en-US"/>
        </w:rPr>
        <w:t>para el cálculo de las vidas útiles de las luminarias y activos específicos de alumbrado público</w:t>
      </w:r>
      <w:r>
        <w:rPr>
          <w:i w:val="0"/>
          <w:iCs w:val="0"/>
          <w:color w:val="auto"/>
          <w:szCs w:val="20"/>
          <w:lang w:eastAsia="en-US"/>
        </w:rPr>
        <w:t>, s</w:t>
      </w:r>
      <w:r w:rsidRPr="00A673F4">
        <w:rPr>
          <w:i w:val="0"/>
          <w:iCs w:val="0"/>
          <w:color w:val="auto"/>
          <w:szCs w:val="20"/>
          <w:lang w:eastAsia="en-US"/>
        </w:rPr>
        <w:t>e debe</w:t>
      </w:r>
      <w:r>
        <w:rPr>
          <w:i w:val="0"/>
          <w:iCs w:val="0"/>
          <w:color w:val="auto"/>
          <w:szCs w:val="20"/>
          <w:lang w:eastAsia="en-US"/>
        </w:rPr>
        <w:t>n</w:t>
      </w:r>
      <w:r w:rsidRPr="00A673F4">
        <w:rPr>
          <w:i w:val="0"/>
          <w:iCs w:val="0"/>
          <w:color w:val="auto"/>
          <w:szCs w:val="20"/>
          <w:lang w:eastAsia="en-US"/>
        </w:rPr>
        <w:t xml:space="preserve"> tomar como referencia los criterios establecidos en el </w:t>
      </w:r>
      <w:r>
        <w:rPr>
          <w:i w:val="0"/>
          <w:iCs w:val="0"/>
          <w:color w:val="auto"/>
          <w:szCs w:val="20"/>
          <w:lang w:eastAsia="en-US"/>
        </w:rPr>
        <w:t>RETILAP. P</w:t>
      </w:r>
      <w:r w:rsidRPr="00A673F4">
        <w:rPr>
          <w:i w:val="0"/>
          <w:iCs w:val="0"/>
          <w:color w:val="auto"/>
          <w:szCs w:val="20"/>
          <w:lang w:eastAsia="en-US"/>
        </w:rPr>
        <w:t xml:space="preserve">ara el caso de activos de distribución como postes, transformadores, etc., se deben considerar </w:t>
      </w:r>
      <w:r>
        <w:rPr>
          <w:i w:val="0"/>
          <w:iCs w:val="0"/>
          <w:color w:val="auto"/>
          <w:szCs w:val="20"/>
          <w:lang w:eastAsia="en-US"/>
        </w:rPr>
        <w:t>los valores y</w:t>
      </w:r>
      <w:r w:rsidRPr="00A673F4">
        <w:rPr>
          <w:i w:val="0"/>
          <w:iCs w:val="0"/>
          <w:color w:val="auto"/>
          <w:szCs w:val="20"/>
          <w:lang w:eastAsia="en-US"/>
        </w:rPr>
        <w:t xml:space="preserve"> vidas útiles de la Resolución CREG 015 de 2018 o aquellas que la modifiquen</w:t>
      </w:r>
      <w:r>
        <w:rPr>
          <w:i w:val="0"/>
          <w:iCs w:val="0"/>
          <w:color w:val="auto"/>
          <w:szCs w:val="20"/>
          <w:lang w:eastAsia="en-US"/>
        </w:rPr>
        <w:t>,</w:t>
      </w:r>
      <w:r w:rsidRPr="00A673F4">
        <w:rPr>
          <w:i w:val="0"/>
          <w:iCs w:val="0"/>
          <w:color w:val="auto"/>
          <w:szCs w:val="20"/>
          <w:lang w:eastAsia="en-US"/>
        </w:rPr>
        <w:t xml:space="preserve"> adicionen o sustituyan</w:t>
      </w:r>
      <w:r>
        <w:rPr>
          <w:i w:val="0"/>
          <w:iCs w:val="0"/>
          <w:color w:val="auto"/>
          <w:szCs w:val="20"/>
          <w:lang w:eastAsia="en-US"/>
        </w:rPr>
        <w:t xml:space="preserve">. </w:t>
      </w:r>
    </w:p>
    <w:p w14:paraId="5504E9FA" w14:textId="77777777" w:rsidR="00F5024B" w:rsidRDefault="00F5024B" w:rsidP="00F5024B">
      <w:pPr>
        <w:spacing w:before="0" w:after="0"/>
        <w:ind w:left="0" w:firstLine="0"/>
        <w:rPr>
          <w:i w:val="0"/>
          <w:iCs w:val="0"/>
          <w:color w:val="auto"/>
          <w:szCs w:val="20"/>
          <w:lang w:eastAsia="en-US"/>
        </w:rPr>
      </w:pPr>
    </w:p>
    <w:p w14:paraId="389100AD" w14:textId="77777777" w:rsidR="00F5024B" w:rsidRPr="00A673F4" w:rsidRDefault="00F5024B" w:rsidP="00F5024B">
      <w:pPr>
        <w:spacing w:before="0" w:after="0"/>
        <w:ind w:left="0" w:firstLine="0"/>
        <w:rPr>
          <w:i w:val="0"/>
          <w:iCs w:val="0"/>
          <w:color w:val="auto"/>
          <w:szCs w:val="20"/>
          <w:lang w:val="es-CO" w:eastAsia="en-US"/>
        </w:rPr>
      </w:pPr>
      <w:r>
        <w:rPr>
          <w:i w:val="0"/>
          <w:iCs w:val="0"/>
          <w:color w:val="auto"/>
          <w:szCs w:val="20"/>
          <w:lang w:eastAsia="en-US"/>
        </w:rPr>
        <w:t xml:space="preserve">Mientras el Ministerio de Minas y Energía expide el RETILAP, para el cálculo de las vidas útiles de los activos de alumbrado público, se debe tomar como referencia </w:t>
      </w:r>
      <w:r w:rsidRPr="00A673F4">
        <w:rPr>
          <w:i w:val="0"/>
          <w:iCs w:val="0"/>
          <w:color w:val="auto"/>
          <w:szCs w:val="20"/>
          <w:lang w:eastAsia="en-US"/>
        </w:rPr>
        <w:t>la vida útil señalada por el fabricante.</w:t>
      </w:r>
    </w:p>
    <w:p w14:paraId="2DD3B30F" w14:textId="77777777" w:rsidR="00F5024B" w:rsidRDefault="00F5024B" w:rsidP="00F5024B">
      <w:pPr>
        <w:spacing w:before="0" w:after="0"/>
        <w:ind w:left="0" w:firstLine="0"/>
        <w:rPr>
          <w:i w:val="0"/>
          <w:iCs w:val="0"/>
          <w:color w:val="auto"/>
          <w:szCs w:val="20"/>
          <w:lang w:val="es-CO" w:eastAsia="en-US"/>
        </w:rPr>
      </w:pPr>
    </w:p>
    <w:p w14:paraId="2D89017F" w14:textId="77777777" w:rsidR="00F5024B" w:rsidRDefault="00F5024B" w:rsidP="00F5024B">
      <w:pPr>
        <w:spacing w:before="0" w:after="0"/>
        <w:rPr>
          <w:i w:val="0"/>
          <w:iCs w:val="0"/>
          <w:color w:val="auto"/>
          <w:lang w:val="es-MX"/>
        </w:rPr>
      </w:pPr>
    </w:p>
    <w:p w14:paraId="7C0B1DB4" w14:textId="77777777" w:rsidR="00F5024B" w:rsidRDefault="00F5024B" w:rsidP="00F5024B">
      <w:pPr>
        <w:spacing w:before="0" w:after="0"/>
        <w:rPr>
          <w:i w:val="0"/>
          <w:iCs w:val="0"/>
          <w:color w:val="auto"/>
          <w:lang w:val="es-MX"/>
        </w:rPr>
      </w:pPr>
    </w:p>
    <w:p w14:paraId="517F87EA" w14:textId="77777777" w:rsidR="00F5024B" w:rsidRDefault="00F5024B" w:rsidP="00F5024B">
      <w:pPr>
        <w:spacing w:before="0" w:after="0"/>
        <w:rPr>
          <w:i w:val="0"/>
          <w:iCs w:val="0"/>
          <w:color w:val="auto"/>
          <w:lang w:val="es-MX"/>
        </w:rPr>
      </w:pPr>
    </w:p>
    <w:p w14:paraId="248DE9DC" w14:textId="77777777" w:rsidR="00F5024B" w:rsidRDefault="00F5024B" w:rsidP="00F5024B">
      <w:pPr>
        <w:spacing w:before="0" w:after="0"/>
        <w:rPr>
          <w:i w:val="0"/>
          <w:iCs w:val="0"/>
          <w:color w:val="auto"/>
          <w:lang w:val="es-MX"/>
        </w:rPr>
      </w:pPr>
    </w:p>
    <w:p w14:paraId="73516C31" w14:textId="77777777" w:rsidR="00F5024B" w:rsidRDefault="00F5024B" w:rsidP="00F5024B">
      <w:pPr>
        <w:spacing w:before="0" w:after="0"/>
        <w:rPr>
          <w:i w:val="0"/>
          <w:iCs w:val="0"/>
          <w:color w:val="auto"/>
          <w:lang w:val="es-MX"/>
        </w:rPr>
      </w:pPr>
    </w:p>
    <w:tbl>
      <w:tblPr>
        <w:tblW w:w="9923" w:type="dxa"/>
        <w:jc w:val="center"/>
        <w:tblLayout w:type="fixed"/>
        <w:tblCellMar>
          <w:left w:w="70" w:type="dxa"/>
          <w:right w:w="70" w:type="dxa"/>
        </w:tblCellMar>
        <w:tblLook w:val="0000" w:firstRow="0" w:lastRow="0" w:firstColumn="0" w:lastColumn="0" w:noHBand="0" w:noVBand="0"/>
      </w:tblPr>
      <w:tblGrid>
        <w:gridCol w:w="5103"/>
        <w:gridCol w:w="4820"/>
      </w:tblGrid>
      <w:tr w:rsidR="00F5024B" w:rsidRPr="00666660" w14:paraId="6ECF870A" w14:textId="77777777" w:rsidTr="00BE4B0A">
        <w:trPr>
          <w:jc w:val="center"/>
        </w:trPr>
        <w:tc>
          <w:tcPr>
            <w:tcW w:w="5103" w:type="dxa"/>
          </w:tcPr>
          <w:p w14:paraId="15B09AC0" w14:textId="77777777" w:rsidR="00F5024B" w:rsidRPr="004D6562" w:rsidRDefault="00F5024B" w:rsidP="00BE4B0A">
            <w:pPr>
              <w:tabs>
                <w:tab w:val="left" w:pos="-720"/>
              </w:tabs>
              <w:suppressAutoHyphens/>
              <w:spacing w:before="0" w:after="0"/>
              <w:jc w:val="center"/>
              <w:rPr>
                <w:b/>
                <w:i w:val="0"/>
                <w:iCs w:val="0"/>
                <w:color w:val="auto"/>
                <w:spacing w:val="-3"/>
              </w:rPr>
            </w:pPr>
            <w:r w:rsidRPr="004D6562">
              <w:rPr>
                <w:b/>
                <w:i w:val="0"/>
                <w:iCs w:val="0"/>
                <w:color w:val="auto"/>
                <w:spacing w:val="-3"/>
              </w:rPr>
              <w:t>MIGUEL LOTERO ROBLEDO</w:t>
            </w:r>
          </w:p>
          <w:p w14:paraId="332D7079" w14:textId="77777777" w:rsidR="00F5024B" w:rsidRPr="004D6562" w:rsidRDefault="00F5024B" w:rsidP="00BE4B0A">
            <w:pPr>
              <w:tabs>
                <w:tab w:val="left" w:pos="-720"/>
              </w:tabs>
              <w:suppressAutoHyphens/>
              <w:spacing w:before="0" w:after="0"/>
              <w:jc w:val="center"/>
              <w:rPr>
                <w:bCs/>
                <w:i w:val="0"/>
                <w:iCs w:val="0"/>
                <w:color w:val="auto"/>
                <w:spacing w:val="-3"/>
              </w:rPr>
            </w:pPr>
            <w:r w:rsidRPr="004D6562">
              <w:rPr>
                <w:bCs/>
                <w:i w:val="0"/>
                <w:iCs w:val="0"/>
                <w:color w:val="auto"/>
                <w:spacing w:val="-3"/>
              </w:rPr>
              <w:t>Viceministro de Energía</w:t>
            </w:r>
          </w:p>
          <w:p w14:paraId="714098B0" w14:textId="77777777" w:rsidR="00F5024B" w:rsidRPr="004D6562" w:rsidRDefault="00F5024B" w:rsidP="00BE4B0A">
            <w:pPr>
              <w:tabs>
                <w:tab w:val="left" w:pos="-720"/>
              </w:tabs>
              <w:suppressAutoHyphens/>
              <w:spacing w:before="0" w:after="0"/>
              <w:rPr>
                <w:i w:val="0"/>
                <w:iCs w:val="0"/>
                <w:color w:val="auto"/>
              </w:rPr>
            </w:pPr>
            <w:r w:rsidRPr="004D6562">
              <w:rPr>
                <w:i w:val="0"/>
                <w:iCs w:val="0"/>
                <w:color w:val="auto"/>
              </w:rPr>
              <w:t xml:space="preserve">Delegado del </w:t>
            </w:r>
            <w:proofErr w:type="gramStart"/>
            <w:r w:rsidRPr="004D6562">
              <w:rPr>
                <w:i w:val="0"/>
                <w:iCs w:val="0"/>
                <w:color w:val="auto"/>
              </w:rPr>
              <w:t>Ministro</w:t>
            </w:r>
            <w:proofErr w:type="gramEnd"/>
            <w:r w:rsidRPr="004D6562">
              <w:rPr>
                <w:i w:val="0"/>
                <w:iCs w:val="0"/>
                <w:color w:val="auto"/>
              </w:rPr>
              <w:t xml:space="preserve"> de Minas y Energía </w:t>
            </w:r>
          </w:p>
          <w:p w14:paraId="562E83C2" w14:textId="77777777" w:rsidR="00F5024B" w:rsidRPr="004D6562" w:rsidRDefault="00F5024B" w:rsidP="00BE4B0A">
            <w:pPr>
              <w:tabs>
                <w:tab w:val="left" w:pos="-720"/>
              </w:tabs>
              <w:suppressAutoHyphens/>
              <w:spacing w:before="0" w:after="0"/>
              <w:jc w:val="center"/>
              <w:rPr>
                <w:b/>
                <w:i w:val="0"/>
                <w:iCs w:val="0"/>
                <w:strike/>
                <w:color w:val="auto"/>
                <w:spacing w:val="-3"/>
              </w:rPr>
            </w:pPr>
            <w:r w:rsidRPr="004D6562">
              <w:rPr>
                <w:i w:val="0"/>
                <w:iCs w:val="0"/>
                <w:color w:val="auto"/>
              </w:rPr>
              <w:t>Presidente</w:t>
            </w:r>
          </w:p>
        </w:tc>
        <w:tc>
          <w:tcPr>
            <w:tcW w:w="4820" w:type="dxa"/>
          </w:tcPr>
          <w:p w14:paraId="51819200" w14:textId="77777777" w:rsidR="00F5024B" w:rsidRPr="004D6562" w:rsidRDefault="00F5024B" w:rsidP="00BE4B0A">
            <w:pPr>
              <w:tabs>
                <w:tab w:val="left" w:pos="-720"/>
              </w:tabs>
              <w:suppressAutoHyphens/>
              <w:spacing w:before="0" w:after="0"/>
              <w:jc w:val="center"/>
              <w:rPr>
                <w:b/>
                <w:i w:val="0"/>
                <w:iCs w:val="0"/>
                <w:color w:val="auto"/>
              </w:rPr>
            </w:pPr>
            <w:r w:rsidRPr="004D6562">
              <w:rPr>
                <w:b/>
                <w:i w:val="0"/>
                <w:iCs w:val="0"/>
                <w:color w:val="auto"/>
              </w:rPr>
              <w:t>JORGE ALBERTO VALENCIA MARÍN</w:t>
            </w:r>
          </w:p>
          <w:p w14:paraId="72CAF2BF" w14:textId="77777777" w:rsidR="00F5024B" w:rsidRPr="004D6562" w:rsidRDefault="00F5024B" w:rsidP="00BE4B0A">
            <w:pPr>
              <w:tabs>
                <w:tab w:val="left" w:pos="-720"/>
              </w:tabs>
              <w:suppressAutoHyphens/>
              <w:spacing w:before="0" w:after="0"/>
              <w:jc w:val="center"/>
              <w:rPr>
                <w:b/>
                <w:i w:val="0"/>
                <w:iCs w:val="0"/>
                <w:color w:val="auto"/>
                <w:spacing w:val="-3"/>
              </w:rPr>
            </w:pPr>
            <w:r w:rsidRPr="004D6562">
              <w:rPr>
                <w:i w:val="0"/>
                <w:iCs w:val="0"/>
                <w:color w:val="auto"/>
                <w:spacing w:val="-3"/>
              </w:rPr>
              <w:t>Director Ejecutivo</w:t>
            </w:r>
          </w:p>
        </w:tc>
      </w:tr>
    </w:tbl>
    <w:p w14:paraId="2A7C7C00" w14:textId="77777777" w:rsidR="00F5024B" w:rsidRPr="00837970" w:rsidRDefault="00F5024B" w:rsidP="00F5024B">
      <w:pPr>
        <w:spacing w:before="0" w:after="0"/>
        <w:rPr>
          <w:i w:val="0"/>
          <w:iCs w:val="0"/>
          <w:color w:val="auto"/>
          <w:lang w:val="es-MX"/>
        </w:rPr>
      </w:pPr>
    </w:p>
    <w:p w14:paraId="08411F6D" w14:textId="77777777" w:rsidR="009359EB" w:rsidRPr="00837970" w:rsidRDefault="009359EB" w:rsidP="00AE29A4">
      <w:pPr>
        <w:spacing w:before="0" w:after="0"/>
        <w:rPr>
          <w:i w:val="0"/>
          <w:iCs w:val="0"/>
          <w:color w:val="auto"/>
          <w:lang w:val="es-MX"/>
        </w:rPr>
      </w:pPr>
    </w:p>
    <w:sectPr w:rsidR="009359EB" w:rsidRPr="00837970" w:rsidSect="00800778">
      <w:headerReference w:type="default" r:id="rId13"/>
      <w:headerReference w:type="first" r:id="rId14"/>
      <w:type w:val="continuous"/>
      <w:pgSz w:w="12242" w:h="18722" w:code="123"/>
      <w:pgMar w:top="284" w:right="1185" w:bottom="1418" w:left="1559" w:header="426"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FD5BB4" w14:textId="77777777" w:rsidR="006871AF" w:rsidRDefault="006871AF" w:rsidP="00D75357">
      <w:r>
        <w:separator/>
      </w:r>
    </w:p>
    <w:p w14:paraId="27B3BCFE" w14:textId="77777777" w:rsidR="006871AF" w:rsidRDefault="006871AF"/>
  </w:endnote>
  <w:endnote w:type="continuationSeparator" w:id="0">
    <w:p w14:paraId="2A68288A" w14:textId="77777777" w:rsidR="006871AF" w:rsidRDefault="006871AF" w:rsidP="00D75357">
      <w:r>
        <w:continuationSeparator/>
      </w:r>
    </w:p>
    <w:p w14:paraId="78E809F9" w14:textId="77777777" w:rsidR="006871AF" w:rsidRDefault="006871AF"/>
  </w:endnote>
  <w:endnote w:type="continuationNotice" w:id="1">
    <w:p w14:paraId="6999D546" w14:textId="77777777" w:rsidR="006871AF" w:rsidRDefault="006871AF" w:rsidP="00D75357"/>
    <w:p w14:paraId="4D97C30F" w14:textId="77777777" w:rsidR="006871AF" w:rsidRDefault="006871A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ourier">
    <w:panose1 w:val="02070409020205020404"/>
    <w:charset w:val="00"/>
    <w:family w:val="modern"/>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G Times">
    <w:altName w:val="Times New Roman"/>
    <w:charset w:val="00"/>
    <w:family w:val="roman"/>
    <w:pitch w:val="variable"/>
    <w:sig w:usb0="00000007" w:usb1="00000000" w:usb2="00000000" w:usb3="00000000" w:csb0="00000093" w:csb1="00000000"/>
  </w:font>
  <w:font w:name="Comic Sans MS">
    <w:panose1 w:val="030F0702030302020204"/>
    <w:charset w:val="00"/>
    <w:family w:val="script"/>
    <w:pitch w:val="variable"/>
    <w:sig w:usb0="00000287" w:usb1="4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ldhabi">
    <w:panose1 w:val="01000000000000000000"/>
    <w:charset w:val="00"/>
    <w:family w:val="auto"/>
    <w:pitch w:val="variable"/>
    <w:sig w:usb0="A000206F" w:usb1="9000804B" w:usb2="00000000" w:usb3="00000000" w:csb0="00000041"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 w:name="Yu Mincho">
    <w:panose1 w:val="02020400000000000000"/>
    <w:charset w:val="80"/>
    <w:family w:val="roman"/>
    <w:pitch w:val="variable"/>
    <w:sig w:usb0="800002E7" w:usb1="2AC7FCF0"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DCA214" w14:textId="77777777" w:rsidR="006871AF" w:rsidRDefault="006871AF" w:rsidP="00D75357">
      <w:r>
        <w:separator/>
      </w:r>
    </w:p>
    <w:p w14:paraId="0742943D" w14:textId="77777777" w:rsidR="006871AF" w:rsidRDefault="006871AF"/>
  </w:footnote>
  <w:footnote w:type="continuationSeparator" w:id="0">
    <w:p w14:paraId="7640B11E" w14:textId="77777777" w:rsidR="006871AF" w:rsidRDefault="006871AF" w:rsidP="00D75357">
      <w:r>
        <w:continuationSeparator/>
      </w:r>
    </w:p>
    <w:p w14:paraId="2AD7BF97" w14:textId="77777777" w:rsidR="006871AF" w:rsidRDefault="006871AF"/>
  </w:footnote>
  <w:footnote w:type="continuationNotice" w:id="1">
    <w:p w14:paraId="2469EB8D" w14:textId="77777777" w:rsidR="006871AF" w:rsidRDefault="006871AF" w:rsidP="00D75357"/>
    <w:p w14:paraId="0E7E3640" w14:textId="77777777" w:rsidR="006871AF" w:rsidRDefault="006871A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4E0142" w14:textId="2E1CE41F" w:rsidR="008D0D8F" w:rsidRPr="00A22F79" w:rsidRDefault="008D0D8F" w:rsidP="00A22F79">
    <w:pPr>
      <w:rPr>
        <w:color w:val="auto"/>
      </w:rPr>
    </w:pPr>
  </w:p>
  <w:p w14:paraId="1B92FB33" w14:textId="4E722133" w:rsidR="008D0D8F" w:rsidRPr="004820FE" w:rsidRDefault="008D0D8F" w:rsidP="00A22F79">
    <w:pPr>
      <w:pStyle w:val="Ttulo1"/>
      <w:ind w:hanging="142"/>
      <w:rPr>
        <w:b/>
        <w:i w:val="0"/>
        <w:iCs w:val="0"/>
        <w:color w:val="auto"/>
      </w:rPr>
    </w:pPr>
    <w:r w:rsidRPr="004820FE">
      <w:rPr>
        <w:i w:val="0"/>
        <w:iCs w:val="0"/>
        <w:color w:val="auto"/>
      </w:rPr>
      <w:t>RESOLUCIÓN No</w:t>
    </w:r>
    <w:r w:rsidRPr="00800778">
      <w:rPr>
        <w:i w:val="0"/>
        <w:iCs w:val="0"/>
        <w:color w:val="auto"/>
        <w:u w:val="single"/>
      </w:rPr>
      <w:t xml:space="preserve">. </w:t>
    </w:r>
    <w:r w:rsidR="001A45BD" w:rsidRPr="00800778">
      <w:rPr>
        <w:b/>
        <w:bCs/>
        <w:i w:val="0"/>
        <w:iCs w:val="0"/>
        <w:color w:val="auto"/>
        <w:u w:val="single"/>
      </w:rPr>
      <w:t>101</w:t>
    </w:r>
    <w:r w:rsidR="00800778">
      <w:rPr>
        <w:b/>
        <w:bCs/>
        <w:i w:val="0"/>
        <w:iCs w:val="0"/>
        <w:color w:val="auto"/>
        <w:u w:val="single"/>
      </w:rPr>
      <w:t xml:space="preserve"> 013</w:t>
    </w:r>
    <w:r w:rsidR="001C0426" w:rsidRPr="00BD32D9">
      <w:rPr>
        <w:b/>
        <w:bCs/>
        <w:i w:val="0"/>
        <w:iCs w:val="0"/>
        <w:color w:val="auto"/>
        <w:u w:val="single"/>
      </w:rPr>
      <w:t xml:space="preserve">  </w:t>
    </w:r>
    <w:r w:rsidR="001C0426">
      <w:rPr>
        <w:i w:val="0"/>
        <w:iCs w:val="0"/>
        <w:color w:val="auto"/>
      </w:rPr>
      <w:t xml:space="preserve"> </w:t>
    </w:r>
    <w:r w:rsidRPr="004820FE">
      <w:rPr>
        <w:i w:val="0"/>
        <w:iCs w:val="0"/>
        <w:color w:val="auto"/>
      </w:rPr>
      <w:tab/>
      <w:t xml:space="preserve">DE </w:t>
    </w:r>
    <w:r w:rsidR="00800778">
      <w:rPr>
        <w:b/>
        <w:bCs/>
        <w:i w:val="0"/>
        <w:iCs w:val="0"/>
        <w:color w:val="auto"/>
        <w:szCs w:val="24"/>
        <w:u w:val="single"/>
      </w:rPr>
      <w:t xml:space="preserve">29 </w:t>
    </w:r>
    <w:r w:rsidR="00657F3B">
      <w:rPr>
        <w:b/>
        <w:bCs/>
        <w:i w:val="0"/>
        <w:iCs w:val="0"/>
        <w:color w:val="auto"/>
        <w:szCs w:val="24"/>
        <w:u w:val="single"/>
      </w:rPr>
      <w:t>ABR</w:t>
    </w:r>
    <w:r w:rsidR="00BD32D9" w:rsidRPr="00BD32D9">
      <w:rPr>
        <w:b/>
        <w:bCs/>
        <w:i w:val="0"/>
        <w:iCs w:val="0"/>
        <w:color w:val="auto"/>
        <w:szCs w:val="24"/>
        <w:u w:val="single"/>
      </w:rPr>
      <w:t xml:space="preserve">. </w:t>
    </w:r>
    <w:r w:rsidR="00283864" w:rsidRPr="00BD32D9">
      <w:rPr>
        <w:b/>
        <w:bCs/>
        <w:i w:val="0"/>
        <w:iCs w:val="0"/>
        <w:color w:val="auto"/>
        <w:szCs w:val="24"/>
        <w:u w:val="single"/>
      </w:rPr>
      <w:t>202</w:t>
    </w:r>
    <w:r w:rsidR="00283864">
      <w:rPr>
        <w:b/>
        <w:bCs/>
        <w:i w:val="0"/>
        <w:iCs w:val="0"/>
        <w:color w:val="auto"/>
        <w:szCs w:val="24"/>
        <w:u w:val="single"/>
      </w:rPr>
      <w:t>2</w:t>
    </w:r>
    <w:r w:rsidR="001D498A">
      <w:rPr>
        <w:i w:val="0"/>
        <w:iCs w:val="0"/>
        <w:color w:val="auto"/>
      </w:rPr>
      <w:tab/>
    </w:r>
    <w:r w:rsidRPr="004820FE">
      <w:rPr>
        <w:i w:val="0"/>
        <w:iCs w:val="0"/>
        <w:color w:val="auto"/>
      </w:rPr>
      <w:t xml:space="preserve">HOJA No. </w:t>
    </w:r>
    <w:r w:rsidRPr="004D6562">
      <w:rPr>
        <w:bCs/>
        <w:i w:val="0"/>
        <w:iCs w:val="0"/>
        <w:color w:val="auto"/>
        <w:u w:val="single"/>
      </w:rPr>
      <w:fldChar w:fldCharType="begin"/>
    </w:r>
    <w:r w:rsidRPr="004D6562">
      <w:rPr>
        <w:bCs/>
        <w:i w:val="0"/>
        <w:iCs w:val="0"/>
        <w:color w:val="auto"/>
        <w:u w:val="single"/>
      </w:rPr>
      <w:instrText xml:space="preserve"> PAGE   \* MERGEFORMAT </w:instrText>
    </w:r>
    <w:r w:rsidRPr="004D6562">
      <w:rPr>
        <w:bCs/>
        <w:i w:val="0"/>
        <w:iCs w:val="0"/>
        <w:color w:val="auto"/>
        <w:u w:val="single"/>
      </w:rPr>
      <w:fldChar w:fldCharType="separate"/>
    </w:r>
    <w:r w:rsidRPr="004D6562">
      <w:rPr>
        <w:bCs/>
        <w:i w:val="0"/>
        <w:iCs w:val="0"/>
        <w:noProof/>
        <w:color w:val="auto"/>
        <w:u w:val="single"/>
      </w:rPr>
      <w:t>5</w:t>
    </w:r>
    <w:r w:rsidRPr="004D6562">
      <w:rPr>
        <w:bCs/>
        <w:i w:val="0"/>
        <w:iCs w:val="0"/>
        <w:color w:val="auto"/>
        <w:u w:val="single"/>
      </w:rPr>
      <w:fldChar w:fldCharType="end"/>
    </w:r>
    <w:r w:rsidRPr="004D6562">
      <w:rPr>
        <w:i w:val="0"/>
        <w:iCs w:val="0"/>
        <w:color w:val="auto"/>
        <w:u w:val="single"/>
      </w:rPr>
      <w:t>/</w:t>
    </w:r>
    <w:r w:rsidRPr="004D6562">
      <w:rPr>
        <w:i w:val="0"/>
        <w:iCs w:val="0"/>
        <w:color w:val="auto"/>
        <w:u w:val="single"/>
      </w:rPr>
      <w:fldChar w:fldCharType="begin"/>
    </w:r>
    <w:r w:rsidRPr="004D6562">
      <w:rPr>
        <w:i w:val="0"/>
        <w:iCs w:val="0"/>
        <w:color w:val="auto"/>
        <w:u w:val="single"/>
      </w:rPr>
      <w:instrText>NUMPAGES  \* MERGEFORMAT</w:instrText>
    </w:r>
    <w:r w:rsidRPr="004D6562">
      <w:rPr>
        <w:i w:val="0"/>
        <w:iCs w:val="0"/>
        <w:color w:val="auto"/>
        <w:u w:val="single"/>
      </w:rPr>
      <w:fldChar w:fldCharType="separate"/>
    </w:r>
    <w:r w:rsidRPr="004D6562">
      <w:rPr>
        <w:i w:val="0"/>
        <w:iCs w:val="0"/>
        <w:noProof/>
        <w:color w:val="auto"/>
        <w:u w:val="single"/>
      </w:rPr>
      <w:t>35</w:t>
    </w:r>
    <w:r w:rsidRPr="004D6562">
      <w:rPr>
        <w:i w:val="0"/>
        <w:iCs w:val="0"/>
        <w:color w:val="auto"/>
        <w:u w:val="single"/>
      </w:rPr>
      <w:fldChar w:fldCharType="end"/>
    </w:r>
  </w:p>
  <w:p w14:paraId="70BB8C2C" w14:textId="77777777" w:rsidR="008D0D8F" w:rsidRPr="00D93A9B" w:rsidRDefault="008D0D8F" w:rsidP="00A22F79">
    <w:pPr>
      <w:ind w:left="0" w:firstLine="0"/>
      <w:rPr>
        <w:i w:val="0"/>
        <w:iCs w:val="0"/>
        <w:color w:val="auto"/>
        <w:sz w:val="22"/>
        <w:szCs w:val="22"/>
      </w:rPr>
    </w:pPr>
    <w:r w:rsidRPr="0042068C">
      <w:rPr>
        <w:noProof/>
        <w:lang w:val="es-CO" w:eastAsia="es-CO"/>
      </w:rPr>
      <mc:AlternateContent>
        <mc:Choice Requires="wps">
          <w:drawing>
            <wp:anchor distT="0" distB="0" distL="114300" distR="114300" simplePos="0" relativeHeight="251658240" behindDoc="0" locked="0" layoutInCell="1" allowOverlap="1" wp14:anchorId="3C370BC8" wp14:editId="26CBD0AC">
              <wp:simplePos x="0" y="0"/>
              <wp:positionH relativeFrom="column">
                <wp:posOffset>-175260</wp:posOffset>
              </wp:positionH>
              <wp:positionV relativeFrom="paragraph">
                <wp:posOffset>139065</wp:posOffset>
              </wp:positionV>
              <wp:extent cx="6267450" cy="9900920"/>
              <wp:effectExtent l="9525" t="12065" r="9525" b="1206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C102C4" id="Rectangle 1" o:spid="_x0000_s1026" style="position:absolute;margin-left:-13.8pt;margin-top:10.95pt;width:493.5pt;height:779.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" filled="f" strokeweight="1.5pt"/>
          </w:pict>
        </mc:Fallback>
      </mc:AlternateContent>
    </w:r>
  </w:p>
  <w:p w14:paraId="65FD5A1C" w14:textId="07859E99" w:rsidR="008D0D8F" w:rsidRPr="00A22F79" w:rsidRDefault="00AA5AF2" w:rsidP="00A22F79">
    <w:pPr>
      <w:ind w:left="0" w:firstLine="0"/>
      <w:rPr>
        <w:i w:val="0"/>
        <w:iCs w:val="0"/>
        <w:color w:val="auto"/>
        <w:sz w:val="22"/>
        <w:szCs w:val="22"/>
      </w:rPr>
    </w:pPr>
    <w:r w:rsidRPr="00AA5AF2">
      <w:rPr>
        <w:i w:val="0"/>
        <w:iCs w:val="0"/>
        <w:color w:val="auto"/>
        <w:sz w:val="22"/>
        <w:szCs w:val="22"/>
      </w:rPr>
      <w:t>Por la cual se establece la metodología para la determinación de costos máximos por la prestación del servicio de alumbrado público.</w:t>
    </w:r>
  </w:p>
  <w:p w14:paraId="4376D431" w14:textId="73EF7EDD" w:rsidR="008D0D8F" w:rsidRPr="00D93A9B" w:rsidRDefault="008D0D8F" w:rsidP="00234A0A">
    <w:pPr>
      <w:rPr>
        <w:color w:val="auto"/>
      </w:rPr>
    </w:pPr>
    <w:r>
      <w:rPr>
        <w:noProof/>
        <w:color w:val="auto"/>
      </w:rPr>
      <mc:AlternateContent>
        <mc:Choice Requires="wps">
          <w:drawing>
            <wp:anchor distT="0" distB="0" distL="114300" distR="114300" simplePos="0" relativeHeight="251658242" behindDoc="0" locked="0" layoutInCell="1" allowOverlap="1" wp14:anchorId="45E2ECBB" wp14:editId="4DA10894">
              <wp:simplePos x="0" y="0"/>
              <wp:positionH relativeFrom="column">
                <wp:posOffset>10886</wp:posOffset>
              </wp:positionH>
              <wp:positionV relativeFrom="paragraph">
                <wp:posOffset>95976</wp:posOffset>
              </wp:positionV>
              <wp:extent cx="6081032" cy="0"/>
              <wp:effectExtent l="0" t="0" r="0" b="0"/>
              <wp:wrapNone/>
              <wp:docPr id="3" name="Conector recto 3"/>
              <wp:cNvGraphicFramePr/>
              <a:graphic xmlns:a="http://schemas.openxmlformats.org/drawingml/2006/main">
                <a:graphicData uri="http://schemas.microsoft.com/office/word/2010/wordprocessingShape">
                  <wps:wsp>
                    <wps:cNvCnPr/>
                    <wps:spPr>
                      <a:xfrm>
                        <a:off x="0" y="0"/>
                        <a:ext cx="6081032"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4027C52" id="Conector recto 3" o:spid="_x0000_s1026" style="position:absolute;z-index:251658242;visibility:visible;mso-wrap-style:square;mso-wrap-distance-left:9pt;mso-wrap-distance-top:0;mso-wrap-distance-right:9pt;mso-wrap-distance-bottom:0;mso-position-horizontal:absolute;mso-position-horizontal-relative:text;mso-position-vertical:absolute;mso-position-vertical-relative:text" from=".85pt,7.55pt" to="479.65pt,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" strokecolor="black [3200]" strokeweight=".5pt">
              <v:stroke joinstyle="miter"/>
            </v:lin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FF63DD" w14:textId="4593BD5F" w:rsidR="008D0D8F" w:rsidRPr="00437CDF" w:rsidRDefault="008D0D8F" w:rsidP="00826B21">
    <w:pPr>
      <w:pStyle w:val="Encabezado"/>
      <w:jc w:val="center"/>
      <w:rPr>
        <w:rFonts w:ascii="Arial" w:hAnsi="Arial"/>
        <w:i w:val="0"/>
        <w:iCs w:val="0"/>
        <w:color w:val="auto"/>
      </w:rPr>
    </w:pPr>
    <w:r w:rsidRPr="00437CDF">
      <w:rPr>
        <w:rFonts w:ascii="Arial" w:hAnsi="Arial"/>
        <w:i w:val="0"/>
        <w:iCs w:val="0"/>
        <w:color w:val="auto"/>
      </w:rPr>
      <w:t>República de Colombia</w:t>
    </w:r>
  </w:p>
  <w:p w14:paraId="7CA705AD" w14:textId="77777777" w:rsidR="008D0D8F" w:rsidRPr="00437CDF" w:rsidRDefault="008D0D8F" w:rsidP="00D75357">
    <w:pPr>
      <w:pStyle w:val="Encabezado"/>
      <w:rPr>
        <w:color w:val="auto"/>
      </w:rPr>
    </w:pPr>
  </w:p>
  <w:p w14:paraId="2E91A95F" w14:textId="77777777" w:rsidR="008D0D8F" w:rsidRDefault="008D0D8F" w:rsidP="00234A0A">
    <w:pPr>
      <w:pStyle w:val="Encabezado"/>
    </w:pPr>
    <w:r w:rsidRPr="0042068C">
      <w:rPr>
        <w:noProof/>
        <w:lang w:eastAsia="es-CO"/>
      </w:rPr>
      <mc:AlternateContent>
        <mc:Choice Requires="wps">
          <w:drawing>
            <wp:anchor distT="0" distB="0" distL="114300" distR="114300" simplePos="0" relativeHeight="251658241" behindDoc="0" locked="0" layoutInCell="1" allowOverlap="1" wp14:anchorId="7411283A" wp14:editId="51413FCA">
              <wp:simplePos x="0" y="0"/>
              <wp:positionH relativeFrom="column">
                <wp:posOffset>-213360</wp:posOffset>
              </wp:positionH>
              <wp:positionV relativeFrom="paragraph">
                <wp:posOffset>377190</wp:posOffset>
              </wp:positionV>
              <wp:extent cx="6343650" cy="9839325"/>
              <wp:effectExtent l="9525" t="14605" r="9525" b="1397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ACFCB50" id="Rectangle 2" o:spid="_x0000_s1026" style="position:absolute;margin-left:-16.8pt;margin-top:29.7pt;width:499.5pt;height:774.7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" filled="f"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E54AE3F"/>
    <w:multiLevelType w:val="hybridMultilevel"/>
    <w:tmpl w:val="3E32F262"/>
    <w:lvl w:ilvl="0" w:tplc="FFFFFFFF">
      <w:start w:val="1"/>
      <w:numFmt w:val="lowerRoman"/>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9EEF546D"/>
    <w:multiLevelType w:val="hybridMultilevel"/>
    <w:tmpl w:val="4584E265"/>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0000F"/>
    <w:multiLevelType w:val="hybridMultilevel"/>
    <w:tmpl w:val="0000000F"/>
    <w:name w:val="WW8Num21"/>
    <w:lvl w:ilvl="0" w:tplc="B7B2B2E2">
      <w:numFmt w:val="bullet"/>
      <w:lvlText w:val="-"/>
      <w:lvlJc w:val="left"/>
      <w:pPr>
        <w:tabs>
          <w:tab w:val="num" w:pos="437"/>
        </w:tabs>
      </w:pPr>
      <w:rPr>
        <w:rFonts w:ascii="Times New Roman" w:hAnsi="Times New Roman" w:cs="Times New Roman"/>
      </w:rPr>
    </w:lvl>
    <w:lvl w:ilvl="1" w:tplc="F71EE230">
      <w:numFmt w:val="decimal"/>
      <w:lvlText w:val=""/>
      <w:lvlJc w:val="left"/>
    </w:lvl>
    <w:lvl w:ilvl="2" w:tplc="DB281618">
      <w:numFmt w:val="decimal"/>
      <w:lvlText w:val=""/>
      <w:lvlJc w:val="left"/>
    </w:lvl>
    <w:lvl w:ilvl="3" w:tplc="E8E2B0AE">
      <w:numFmt w:val="decimal"/>
      <w:lvlText w:val=""/>
      <w:lvlJc w:val="left"/>
    </w:lvl>
    <w:lvl w:ilvl="4" w:tplc="A7921448">
      <w:numFmt w:val="decimal"/>
      <w:lvlText w:val=""/>
      <w:lvlJc w:val="left"/>
    </w:lvl>
    <w:lvl w:ilvl="5" w:tplc="811A326A">
      <w:numFmt w:val="decimal"/>
      <w:lvlText w:val=""/>
      <w:lvlJc w:val="left"/>
    </w:lvl>
    <w:lvl w:ilvl="6" w:tplc="900EDC6E">
      <w:numFmt w:val="decimal"/>
      <w:lvlText w:val=""/>
      <w:lvlJc w:val="left"/>
    </w:lvl>
    <w:lvl w:ilvl="7" w:tplc="E67228B4">
      <w:numFmt w:val="decimal"/>
      <w:lvlText w:val=""/>
      <w:lvlJc w:val="left"/>
    </w:lvl>
    <w:lvl w:ilvl="8" w:tplc="EFE25310">
      <w:numFmt w:val="decimal"/>
      <w:lvlText w:val=""/>
      <w:lvlJc w:val="left"/>
    </w:lvl>
  </w:abstractNum>
  <w:abstractNum w:abstractNumId="3" w15:restartNumberingAfterBreak="0">
    <w:nsid w:val="0000001F"/>
    <w:multiLevelType w:val="hybridMultilevel"/>
    <w:tmpl w:val="0000001F"/>
    <w:name w:val="WW8StyleNum"/>
    <w:lvl w:ilvl="0" w:tplc="4B406AB0">
      <w:start w:val="1"/>
      <w:numFmt w:val="lowerLetter"/>
      <w:pStyle w:val="Vietaletra"/>
      <w:lvlText w:val="%1)"/>
      <w:lvlJc w:val="left"/>
      <w:pPr>
        <w:tabs>
          <w:tab w:val="num" w:pos="360"/>
        </w:tabs>
      </w:pPr>
    </w:lvl>
    <w:lvl w:ilvl="1" w:tplc="7B5E59FC">
      <w:start w:val="1"/>
      <w:numFmt w:val="decimal"/>
      <w:lvlText w:val="%2."/>
      <w:lvlJc w:val="left"/>
      <w:pPr>
        <w:tabs>
          <w:tab w:val="num" w:pos="1080"/>
        </w:tabs>
      </w:pPr>
    </w:lvl>
    <w:lvl w:ilvl="2" w:tplc="9F5E78F2">
      <w:start w:val="1"/>
      <w:numFmt w:val="decimal"/>
      <w:lvlText w:val="%3."/>
      <w:lvlJc w:val="left"/>
      <w:pPr>
        <w:tabs>
          <w:tab w:val="num" w:pos="1440"/>
        </w:tabs>
      </w:pPr>
    </w:lvl>
    <w:lvl w:ilvl="3" w:tplc="55423D04">
      <w:start w:val="1"/>
      <w:numFmt w:val="decimal"/>
      <w:lvlText w:val="%4."/>
      <w:lvlJc w:val="left"/>
      <w:pPr>
        <w:tabs>
          <w:tab w:val="num" w:pos="1800"/>
        </w:tabs>
      </w:pPr>
    </w:lvl>
    <w:lvl w:ilvl="4" w:tplc="3ABE1EFA">
      <w:start w:val="1"/>
      <w:numFmt w:val="decimal"/>
      <w:lvlText w:val="%5."/>
      <w:lvlJc w:val="left"/>
      <w:pPr>
        <w:tabs>
          <w:tab w:val="num" w:pos="2160"/>
        </w:tabs>
      </w:pPr>
    </w:lvl>
    <w:lvl w:ilvl="5" w:tplc="DF30F1F8">
      <w:start w:val="1"/>
      <w:numFmt w:val="decimal"/>
      <w:lvlText w:val="%6."/>
      <w:lvlJc w:val="left"/>
      <w:pPr>
        <w:tabs>
          <w:tab w:val="num" w:pos="2520"/>
        </w:tabs>
      </w:pPr>
    </w:lvl>
    <w:lvl w:ilvl="6" w:tplc="4F004B9C">
      <w:start w:val="1"/>
      <w:numFmt w:val="decimal"/>
      <w:lvlText w:val="%7."/>
      <w:lvlJc w:val="left"/>
      <w:pPr>
        <w:tabs>
          <w:tab w:val="num" w:pos="2880"/>
        </w:tabs>
      </w:pPr>
    </w:lvl>
    <w:lvl w:ilvl="7" w:tplc="2EE68C8A">
      <w:start w:val="1"/>
      <w:numFmt w:val="decimal"/>
      <w:lvlText w:val="%8."/>
      <w:lvlJc w:val="left"/>
      <w:pPr>
        <w:tabs>
          <w:tab w:val="num" w:pos="3240"/>
        </w:tabs>
      </w:pPr>
    </w:lvl>
    <w:lvl w:ilvl="8" w:tplc="19808A92">
      <w:start w:val="1"/>
      <w:numFmt w:val="decimal"/>
      <w:lvlText w:val="%9."/>
      <w:lvlJc w:val="left"/>
      <w:pPr>
        <w:tabs>
          <w:tab w:val="num" w:pos="3600"/>
        </w:tabs>
      </w:pPr>
    </w:lvl>
  </w:abstractNum>
  <w:abstractNum w:abstractNumId="4" w15:restartNumberingAfterBreak="0">
    <w:nsid w:val="015C50E0"/>
    <w:multiLevelType w:val="hybridMultilevel"/>
    <w:tmpl w:val="5254CC5A"/>
    <w:lvl w:ilvl="0" w:tplc="FFFFFFFF">
      <w:start w:val="1"/>
      <w:numFmt w:val="lowerLetter"/>
      <w:lvlText w:val="%1."/>
      <w:lvlJc w:val="left"/>
      <w:pPr>
        <w:ind w:left="502" w:hanging="360"/>
      </w:pPr>
      <w:rPr>
        <w:rFonts w:hint="default"/>
      </w:rPr>
    </w:lvl>
    <w:lvl w:ilvl="1" w:tplc="FFFFFFFF">
      <w:start w:val="1"/>
      <w:numFmt w:val="lowerLetter"/>
      <w:lvlText w:val="%2."/>
      <w:lvlJc w:val="left"/>
      <w:pPr>
        <w:ind w:left="4058" w:hanging="360"/>
      </w:pPr>
    </w:lvl>
    <w:lvl w:ilvl="2" w:tplc="FFFFFFFF" w:tentative="1">
      <w:start w:val="1"/>
      <w:numFmt w:val="lowerRoman"/>
      <w:lvlText w:val="%3."/>
      <w:lvlJc w:val="right"/>
      <w:pPr>
        <w:ind w:left="4778" w:hanging="180"/>
      </w:pPr>
    </w:lvl>
    <w:lvl w:ilvl="3" w:tplc="FFFFFFFF" w:tentative="1">
      <w:start w:val="1"/>
      <w:numFmt w:val="decimal"/>
      <w:lvlText w:val="%4."/>
      <w:lvlJc w:val="left"/>
      <w:pPr>
        <w:ind w:left="5498" w:hanging="360"/>
      </w:pPr>
    </w:lvl>
    <w:lvl w:ilvl="4" w:tplc="FFFFFFFF" w:tentative="1">
      <w:start w:val="1"/>
      <w:numFmt w:val="lowerLetter"/>
      <w:lvlText w:val="%5."/>
      <w:lvlJc w:val="left"/>
      <w:pPr>
        <w:ind w:left="6218" w:hanging="360"/>
      </w:pPr>
    </w:lvl>
    <w:lvl w:ilvl="5" w:tplc="FFFFFFFF" w:tentative="1">
      <w:start w:val="1"/>
      <w:numFmt w:val="lowerRoman"/>
      <w:lvlText w:val="%6."/>
      <w:lvlJc w:val="right"/>
      <w:pPr>
        <w:ind w:left="6938" w:hanging="180"/>
      </w:pPr>
    </w:lvl>
    <w:lvl w:ilvl="6" w:tplc="FFFFFFFF" w:tentative="1">
      <w:start w:val="1"/>
      <w:numFmt w:val="decimal"/>
      <w:lvlText w:val="%7."/>
      <w:lvlJc w:val="left"/>
      <w:pPr>
        <w:ind w:left="7658" w:hanging="360"/>
      </w:pPr>
    </w:lvl>
    <w:lvl w:ilvl="7" w:tplc="FFFFFFFF" w:tentative="1">
      <w:start w:val="1"/>
      <w:numFmt w:val="lowerLetter"/>
      <w:lvlText w:val="%8."/>
      <w:lvlJc w:val="left"/>
      <w:pPr>
        <w:ind w:left="8378" w:hanging="360"/>
      </w:pPr>
    </w:lvl>
    <w:lvl w:ilvl="8" w:tplc="FFFFFFFF" w:tentative="1">
      <w:start w:val="1"/>
      <w:numFmt w:val="lowerRoman"/>
      <w:lvlText w:val="%9."/>
      <w:lvlJc w:val="right"/>
      <w:pPr>
        <w:ind w:left="9098" w:hanging="180"/>
      </w:pPr>
    </w:lvl>
  </w:abstractNum>
  <w:abstractNum w:abstractNumId="5" w15:restartNumberingAfterBreak="0">
    <w:nsid w:val="01DB501E"/>
    <w:multiLevelType w:val="hybridMultilevel"/>
    <w:tmpl w:val="5BEE1A06"/>
    <w:lvl w:ilvl="0" w:tplc="CCA2D65E">
      <w:start w:val="1"/>
      <w:numFmt w:val="decimal"/>
      <w:lvlText w:val="%1."/>
      <w:lvlJc w:val="left"/>
      <w:pPr>
        <w:ind w:left="720" w:hanging="360"/>
      </w:pPr>
      <w:rPr>
        <w:rFonts w:hint="default"/>
        <w:b/>
        <w:bCs w:val="0"/>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02773826"/>
    <w:multiLevelType w:val="hybridMultilevel"/>
    <w:tmpl w:val="978C6C98"/>
    <w:lvl w:ilvl="0" w:tplc="EC1E0054">
      <w:start w:val="1"/>
      <w:numFmt w:val="lowerRoman"/>
      <w:lvlText w:val="%1."/>
      <w:lvlJc w:val="left"/>
      <w:pPr>
        <w:ind w:left="1276" w:hanging="360"/>
      </w:pPr>
      <w:rPr>
        <w:rFonts w:ascii="Bookman Old Style" w:hAnsi="Bookman Old Style" w:hint="default"/>
        <w:sz w:val="24"/>
      </w:rPr>
    </w:lvl>
    <w:lvl w:ilvl="1" w:tplc="FFFFFFFF">
      <w:start w:val="1"/>
      <w:numFmt w:val="decimal"/>
      <w:lvlText w:val="%2)"/>
      <w:lvlJc w:val="left"/>
      <w:pPr>
        <w:ind w:left="1996" w:hanging="360"/>
      </w:pPr>
      <w:rPr>
        <w:rFonts w:hint="default"/>
      </w:rPr>
    </w:lvl>
    <w:lvl w:ilvl="2" w:tplc="FFFFFFFF">
      <w:start w:val="1"/>
      <w:numFmt w:val="lowerRoman"/>
      <w:lvlText w:val="%3."/>
      <w:lvlJc w:val="right"/>
      <w:pPr>
        <w:ind w:left="2716" w:hanging="180"/>
      </w:pPr>
      <w:rPr>
        <w:rFonts w:hint="default"/>
      </w:rPr>
    </w:lvl>
    <w:lvl w:ilvl="3" w:tplc="FFFFFFFF">
      <w:start w:val="1"/>
      <w:numFmt w:val="decimal"/>
      <w:lvlText w:val="%4."/>
      <w:lvlJc w:val="left"/>
      <w:pPr>
        <w:ind w:left="3436" w:hanging="360"/>
      </w:pPr>
      <w:rPr>
        <w:rFonts w:hint="default"/>
      </w:rPr>
    </w:lvl>
    <w:lvl w:ilvl="4" w:tplc="FFFFFFFF">
      <w:start w:val="1"/>
      <w:numFmt w:val="lowerLetter"/>
      <w:lvlText w:val="%5."/>
      <w:lvlJc w:val="left"/>
      <w:pPr>
        <w:ind w:left="4156" w:hanging="360"/>
      </w:pPr>
      <w:rPr>
        <w:rFonts w:hint="default"/>
      </w:rPr>
    </w:lvl>
    <w:lvl w:ilvl="5" w:tplc="FFFFFFFF">
      <w:start w:val="1"/>
      <w:numFmt w:val="lowerRoman"/>
      <w:lvlText w:val="%6."/>
      <w:lvlJc w:val="right"/>
      <w:pPr>
        <w:ind w:left="4876" w:hanging="180"/>
      </w:pPr>
      <w:rPr>
        <w:rFonts w:hint="default"/>
      </w:rPr>
    </w:lvl>
    <w:lvl w:ilvl="6" w:tplc="FFFFFFFF">
      <w:start w:val="1"/>
      <w:numFmt w:val="decimal"/>
      <w:lvlText w:val="%7."/>
      <w:lvlJc w:val="left"/>
      <w:pPr>
        <w:ind w:left="5596" w:hanging="360"/>
      </w:pPr>
      <w:rPr>
        <w:rFonts w:hint="default"/>
      </w:rPr>
    </w:lvl>
    <w:lvl w:ilvl="7" w:tplc="FFFFFFFF">
      <w:start w:val="1"/>
      <w:numFmt w:val="lowerLetter"/>
      <w:lvlText w:val="%8."/>
      <w:lvlJc w:val="left"/>
      <w:pPr>
        <w:ind w:left="6316" w:hanging="360"/>
      </w:pPr>
      <w:rPr>
        <w:rFonts w:hint="default"/>
      </w:rPr>
    </w:lvl>
    <w:lvl w:ilvl="8" w:tplc="FFFFFFFF">
      <w:start w:val="1"/>
      <w:numFmt w:val="lowerRoman"/>
      <w:lvlText w:val="%9."/>
      <w:lvlJc w:val="right"/>
      <w:pPr>
        <w:ind w:left="7036" w:hanging="180"/>
      </w:pPr>
      <w:rPr>
        <w:rFonts w:hint="default"/>
      </w:rPr>
    </w:lvl>
  </w:abstractNum>
  <w:abstractNum w:abstractNumId="7" w15:restartNumberingAfterBreak="0">
    <w:nsid w:val="03033302"/>
    <w:multiLevelType w:val="hybridMultilevel"/>
    <w:tmpl w:val="FD6CA3AE"/>
    <w:lvl w:ilvl="0" w:tplc="BB4604D0">
      <w:start w:val="9"/>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07A611A4"/>
    <w:multiLevelType w:val="hybridMultilevel"/>
    <w:tmpl w:val="75585158"/>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07C00AD9"/>
    <w:multiLevelType w:val="hybridMultilevel"/>
    <w:tmpl w:val="B3426108"/>
    <w:lvl w:ilvl="0" w:tplc="DB8C2DD0">
      <w:start w:val="1"/>
      <w:numFmt w:val="decimal"/>
      <w:lvlText w:val="Artículo %1. "/>
      <w:lvlJc w:val="left"/>
      <w:pPr>
        <w:ind w:left="720" w:hanging="360"/>
      </w:pPr>
      <w:rPr>
        <w:rFonts w:hint="default"/>
        <w:b/>
        <w:i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07EC1A89"/>
    <w:multiLevelType w:val="hybridMultilevel"/>
    <w:tmpl w:val="577A408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096F104C"/>
    <w:multiLevelType w:val="hybridMultilevel"/>
    <w:tmpl w:val="EAC4F150"/>
    <w:lvl w:ilvl="0" w:tplc="0FEC502E">
      <w:start w:val="1"/>
      <w:numFmt w:val="lowerLetter"/>
      <w:lvlText w:val="%1."/>
      <w:lvlJc w:val="left"/>
      <w:pPr>
        <w:ind w:left="360" w:hanging="360"/>
      </w:pPr>
      <w:rPr>
        <w:rFonts w:hint="default"/>
        <w:sz w:val="24"/>
        <w:szCs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0D971692"/>
    <w:multiLevelType w:val="hybridMultilevel"/>
    <w:tmpl w:val="3EA47110"/>
    <w:lvl w:ilvl="0" w:tplc="240A0019">
      <w:start w:val="1"/>
      <w:numFmt w:val="lowerLetter"/>
      <w:lvlText w:val="%1."/>
      <w:lvlJc w:val="left"/>
      <w:pPr>
        <w:ind w:left="2424" w:hanging="360"/>
      </w:pPr>
      <w:rPr>
        <w:rFonts w:hint="default"/>
      </w:rPr>
    </w:lvl>
    <w:lvl w:ilvl="1" w:tplc="240A0003" w:tentative="1">
      <w:start w:val="1"/>
      <w:numFmt w:val="bullet"/>
      <w:lvlText w:val="o"/>
      <w:lvlJc w:val="left"/>
      <w:pPr>
        <w:ind w:left="3144" w:hanging="360"/>
      </w:pPr>
      <w:rPr>
        <w:rFonts w:ascii="Courier New" w:hAnsi="Courier New" w:cs="Courier" w:hint="default"/>
      </w:rPr>
    </w:lvl>
    <w:lvl w:ilvl="2" w:tplc="240A0005" w:tentative="1">
      <w:start w:val="1"/>
      <w:numFmt w:val="bullet"/>
      <w:lvlText w:val=""/>
      <w:lvlJc w:val="left"/>
      <w:pPr>
        <w:ind w:left="3864" w:hanging="360"/>
      </w:pPr>
      <w:rPr>
        <w:rFonts w:ascii="Wingdings" w:hAnsi="Wingdings" w:hint="default"/>
      </w:rPr>
    </w:lvl>
    <w:lvl w:ilvl="3" w:tplc="240A0001" w:tentative="1">
      <w:start w:val="1"/>
      <w:numFmt w:val="bullet"/>
      <w:lvlText w:val=""/>
      <w:lvlJc w:val="left"/>
      <w:pPr>
        <w:ind w:left="4584" w:hanging="360"/>
      </w:pPr>
      <w:rPr>
        <w:rFonts w:ascii="Symbol" w:hAnsi="Symbol" w:hint="default"/>
      </w:rPr>
    </w:lvl>
    <w:lvl w:ilvl="4" w:tplc="240A0003" w:tentative="1">
      <w:start w:val="1"/>
      <w:numFmt w:val="bullet"/>
      <w:lvlText w:val="o"/>
      <w:lvlJc w:val="left"/>
      <w:pPr>
        <w:ind w:left="5304" w:hanging="360"/>
      </w:pPr>
      <w:rPr>
        <w:rFonts w:ascii="Courier New" w:hAnsi="Courier New" w:cs="Courier" w:hint="default"/>
      </w:rPr>
    </w:lvl>
    <w:lvl w:ilvl="5" w:tplc="240A0005" w:tentative="1">
      <w:start w:val="1"/>
      <w:numFmt w:val="bullet"/>
      <w:lvlText w:val=""/>
      <w:lvlJc w:val="left"/>
      <w:pPr>
        <w:ind w:left="6024" w:hanging="360"/>
      </w:pPr>
      <w:rPr>
        <w:rFonts w:ascii="Wingdings" w:hAnsi="Wingdings" w:hint="default"/>
      </w:rPr>
    </w:lvl>
    <w:lvl w:ilvl="6" w:tplc="240A0001" w:tentative="1">
      <w:start w:val="1"/>
      <w:numFmt w:val="bullet"/>
      <w:lvlText w:val=""/>
      <w:lvlJc w:val="left"/>
      <w:pPr>
        <w:ind w:left="6744" w:hanging="360"/>
      </w:pPr>
      <w:rPr>
        <w:rFonts w:ascii="Symbol" w:hAnsi="Symbol" w:hint="default"/>
      </w:rPr>
    </w:lvl>
    <w:lvl w:ilvl="7" w:tplc="240A0003" w:tentative="1">
      <w:start w:val="1"/>
      <w:numFmt w:val="bullet"/>
      <w:lvlText w:val="o"/>
      <w:lvlJc w:val="left"/>
      <w:pPr>
        <w:ind w:left="7464" w:hanging="360"/>
      </w:pPr>
      <w:rPr>
        <w:rFonts w:ascii="Courier New" w:hAnsi="Courier New" w:cs="Courier" w:hint="default"/>
      </w:rPr>
    </w:lvl>
    <w:lvl w:ilvl="8" w:tplc="240A0005" w:tentative="1">
      <w:start w:val="1"/>
      <w:numFmt w:val="bullet"/>
      <w:lvlText w:val=""/>
      <w:lvlJc w:val="left"/>
      <w:pPr>
        <w:ind w:left="8184" w:hanging="360"/>
      </w:pPr>
      <w:rPr>
        <w:rFonts w:ascii="Wingdings" w:hAnsi="Wingdings" w:hint="default"/>
      </w:rPr>
    </w:lvl>
  </w:abstractNum>
  <w:abstractNum w:abstractNumId="13" w15:restartNumberingAfterBreak="0">
    <w:nsid w:val="119249A6"/>
    <w:multiLevelType w:val="hybridMultilevel"/>
    <w:tmpl w:val="535E93A6"/>
    <w:lvl w:ilvl="0" w:tplc="240A001B">
      <w:start w:val="1"/>
      <w:numFmt w:val="lowerRoman"/>
      <w:lvlText w:val="%1."/>
      <w:lvlJc w:val="right"/>
      <w:pPr>
        <w:ind w:left="1854" w:hanging="360"/>
      </w:pPr>
    </w:lvl>
    <w:lvl w:ilvl="1" w:tplc="BB4604D0">
      <w:start w:val="9"/>
      <w:numFmt w:val="lowerLetter"/>
      <w:lvlText w:val="%2."/>
      <w:lvlJc w:val="left"/>
      <w:pPr>
        <w:ind w:left="2574" w:hanging="360"/>
      </w:pPr>
      <w:rPr>
        <w:rFonts w:hint="default"/>
      </w:rPr>
    </w:lvl>
    <w:lvl w:ilvl="2" w:tplc="240A001B" w:tentative="1">
      <w:start w:val="1"/>
      <w:numFmt w:val="lowerRoman"/>
      <w:lvlText w:val="%3."/>
      <w:lvlJc w:val="right"/>
      <w:pPr>
        <w:ind w:left="3294" w:hanging="180"/>
      </w:pPr>
    </w:lvl>
    <w:lvl w:ilvl="3" w:tplc="240A000F" w:tentative="1">
      <w:start w:val="1"/>
      <w:numFmt w:val="decimal"/>
      <w:lvlText w:val="%4."/>
      <w:lvlJc w:val="left"/>
      <w:pPr>
        <w:ind w:left="4014" w:hanging="360"/>
      </w:pPr>
    </w:lvl>
    <w:lvl w:ilvl="4" w:tplc="240A0019" w:tentative="1">
      <w:start w:val="1"/>
      <w:numFmt w:val="lowerLetter"/>
      <w:lvlText w:val="%5."/>
      <w:lvlJc w:val="left"/>
      <w:pPr>
        <w:ind w:left="4734" w:hanging="360"/>
      </w:pPr>
    </w:lvl>
    <w:lvl w:ilvl="5" w:tplc="240A001B" w:tentative="1">
      <w:start w:val="1"/>
      <w:numFmt w:val="lowerRoman"/>
      <w:lvlText w:val="%6."/>
      <w:lvlJc w:val="right"/>
      <w:pPr>
        <w:ind w:left="5454" w:hanging="180"/>
      </w:pPr>
    </w:lvl>
    <w:lvl w:ilvl="6" w:tplc="240A000F" w:tentative="1">
      <w:start w:val="1"/>
      <w:numFmt w:val="decimal"/>
      <w:lvlText w:val="%7."/>
      <w:lvlJc w:val="left"/>
      <w:pPr>
        <w:ind w:left="6174" w:hanging="360"/>
      </w:pPr>
    </w:lvl>
    <w:lvl w:ilvl="7" w:tplc="240A0019" w:tentative="1">
      <w:start w:val="1"/>
      <w:numFmt w:val="lowerLetter"/>
      <w:lvlText w:val="%8."/>
      <w:lvlJc w:val="left"/>
      <w:pPr>
        <w:ind w:left="6894" w:hanging="360"/>
      </w:pPr>
    </w:lvl>
    <w:lvl w:ilvl="8" w:tplc="240A001B" w:tentative="1">
      <w:start w:val="1"/>
      <w:numFmt w:val="lowerRoman"/>
      <w:lvlText w:val="%9."/>
      <w:lvlJc w:val="right"/>
      <w:pPr>
        <w:ind w:left="7614" w:hanging="180"/>
      </w:pPr>
    </w:lvl>
  </w:abstractNum>
  <w:abstractNum w:abstractNumId="14" w15:restartNumberingAfterBreak="0">
    <w:nsid w:val="126325FA"/>
    <w:multiLevelType w:val="hybridMultilevel"/>
    <w:tmpl w:val="5F1E6678"/>
    <w:lvl w:ilvl="0" w:tplc="240A0019">
      <w:start w:val="1"/>
      <w:numFmt w:val="lowerLetter"/>
      <w:lvlText w:val="%1."/>
      <w:lvlJc w:val="left"/>
      <w:pPr>
        <w:ind w:left="1146" w:hanging="360"/>
      </w:pPr>
    </w:lvl>
    <w:lvl w:ilvl="1" w:tplc="240A0019" w:tentative="1">
      <w:start w:val="1"/>
      <w:numFmt w:val="lowerLetter"/>
      <w:lvlText w:val="%2."/>
      <w:lvlJc w:val="left"/>
      <w:pPr>
        <w:ind w:left="1866" w:hanging="360"/>
      </w:pPr>
    </w:lvl>
    <w:lvl w:ilvl="2" w:tplc="240A001B" w:tentative="1">
      <w:start w:val="1"/>
      <w:numFmt w:val="lowerRoman"/>
      <w:lvlText w:val="%3."/>
      <w:lvlJc w:val="right"/>
      <w:pPr>
        <w:ind w:left="2586" w:hanging="180"/>
      </w:pPr>
    </w:lvl>
    <w:lvl w:ilvl="3" w:tplc="240A000F" w:tentative="1">
      <w:start w:val="1"/>
      <w:numFmt w:val="decimal"/>
      <w:lvlText w:val="%4."/>
      <w:lvlJc w:val="left"/>
      <w:pPr>
        <w:ind w:left="3306" w:hanging="360"/>
      </w:pPr>
    </w:lvl>
    <w:lvl w:ilvl="4" w:tplc="240A0019" w:tentative="1">
      <w:start w:val="1"/>
      <w:numFmt w:val="lowerLetter"/>
      <w:lvlText w:val="%5."/>
      <w:lvlJc w:val="left"/>
      <w:pPr>
        <w:ind w:left="4026" w:hanging="360"/>
      </w:pPr>
    </w:lvl>
    <w:lvl w:ilvl="5" w:tplc="240A001B" w:tentative="1">
      <w:start w:val="1"/>
      <w:numFmt w:val="lowerRoman"/>
      <w:lvlText w:val="%6."/>
      <w:lvlJc w:val="right"/>
      <w:pPr>
        <w:ind w:left="4746" w:hanging="180"/>
      </w:pPr>
    </w:lvl>
    <w:lvl w:ilvl="6" w:tplc="240A000F" w:tentative="1">
      <w:start w:val="1"/>
      <w:numFmt w:val="decimal"/>
      <w:lvlText w:val="%7."/>
      <w:lvlJc w:val="left"/>
      <w:pPr>
        <w:ind w:left="5466" w:hanging="360"/>
      </w:pPr>
    </w:lvl>
    <w:lvl w:ilvl="7" w:tplc="240A0019" w:tentative="1">
      <w:start w:val="1"/>
      <w:numFmt w:val="lowerLetter"/>
      <w:lvlText w:val="%8."/>
      <w:lvlJc w:val="left"/>
      <w:pPr>
        <w:ind w:left="6186" w:hanging="360"/>
      </w:pPr>
    </w:lvl>
    <w:lvl w:ilvl="8" w:tplc="240A001B" w:tentative="1">
      <w:start w:val="1"/>
      <w:numFmt w:val="lowerRoman"/>
      <w:lvlText w:val="%9."/>
      <w:lvlJc w:val="right"/>
      <w:pPr>
        <w:ind w:left="6906" w:hanging="180"/>
      </w:pPr>
    </w:lvl>
  </w:abstractNum>
  <w:abstractNum w:abstractNumId="15" w15:restartNumberingAfterBreak="0">
    <w:nsid w:val="13334957"/>
    <w:multiLevelType w:val="hybridMultilevel"/>
    <w:tmpl w:val="A8B80948"/>
    <w:lvl w:ilvl="0" w:tplc="7BEC97AC">
      <w:start w:val="1"/>
      <w:numFmt w:val="decimal"/>
      <w:pStyle w:val="Artculo1"/>
      <w:lvlText w:val="Artículo %1. "/>
      <w:lvlJc w:val="left"/>
      <w:pPr>
        <w:ind w:left="1069" w:hanging="360"/>
      </w:pPr>
      <w:rPr>
        <w:rFonts w:hint="default"/>
        <w:b/>
        <w:i w:val="0"/>
        <w:color w:val="auto"/>
      </w:rPr>
    </w:lvl>
    <w:lvl w:ilvl="1" w:tplc="7F509C58">
      <w:start w:val="1"/>
      <w:numFmt w:val="lowerRoman"/>
      <w:lvlText w:val="%2."/>
      <w:lvlJc w:val="left"/>
      <w:pPr>
        <w:ind w:left="-4154" w:hanging="720"/>
      </w:pPr>
      <w:rPr>
        <w:rFonts w:hint="default"/>
      </w:rPr>
    </w:lvl>
    <w:lvl w:ilvl="2" w:tplc="FDFC7542">
      <w:start w:val="1"/>
      <w:numFmt w:val="lowerLetter"/>
      <w:lvlText w:val="%3."/>
      <w:lvlJc w:val="left"/>
      <w:pPr>
        <w:ind w:left="-3614" w:hanging="360"/>
      </w:pPr>
      <w:rPr>
        <w:rFonts w:hint="default"/>
      </w:rPr>
    </w:lvl>
    <w:lvl w:ilvl="3" w:tplc="240A000F" w:tentative="1">
      <w:start w:val="1"/>
      <w:numFmt w:val="decimal"/>
      <w:lvlText w:val="%4."/>
      <w:lvlJc w:val="left"/>
      <w:pPr>
        <w:ind w:left="-3074" w:hanging="360"/>
      </w:pPr>
    </w:lvl>
    <w:lvl w:ilvl="4" w:tplc="240A0019" w:tentative="1">
      <w:start w:val="1"/>
      <w:numFmt w:val="lowerLetter"/>
      <w:lvlText w:val="%5."/>
      <w:lvlJc w:val="left"/>
      <w:pPr>
        <w:ind w:left="-2354" w:hanging="360"/>
      </w:pPr>
    </w:lvl>
    <w:lvl w:ilvl="5" w:tplc="240A001B" w:tentative="1">
      <w:start w:val="1"/>
      <w:numFmt w:val="lowerRoman"/>
      <w:lvlText w:val="%6."/>
      <w:lvlJc w:val="right"/>
      <w:pPr>
        <w:ind w:left="-1634" w:hanging="180"/>
      </w:pPr>
    </w:lvl>
    <w:lvl w:ilvl="6" w:tplc="240A000F" w:tentative="1">
      <w:start w:val="1"/>
      <w:numFmt w:val="decimal"/>
      <w:lvlText w:val="%7."/>
      <w:lvlJc w:val="left"/>
      <w:pPr>
        <w:ind w:left="-914" w:hanging="360"/>
      </w:pPr>
    </w:lvl>
    <w:lvl w:ilvl="7" w:tplc="240A0019" w:tentative="1">
      <w:start w:val="1"/>
      <w:numFmt w:val="lowerLetter"/>
      <w:lvlText w:val="%8."/>
      <w:lvlJc w:val="left"/>
      <w:pPr>
        <w:ind w:left="-194" w:hanging="360"/>
      </w:pPr>
    </w:lvl>
    <w:lvl w:ilvl="8" w:tplc="240A001B" w:tentative="1">
      <w:start w:val="1"/>
      <w:numFmt w:val="lowerRoman"/>
      <w:lvlText w:val="%9."/>
      <w:lvlJc w:val="right"/>
      <w:pPr>
        <w:ind w:left="526" w:hanging="180"/>
      </w:pPr>
    </w:lvl>
  </w:abstractNum>
  <w:abstractNum w:abstractNumId="16" w15:restartNumberingAfterBreak="0">
    <w:nsid w:val="170427B7"/>
    <w:multiLevelType w:val="hybridMultilevel"/>
    <w:tmpl w:val="0102FF2E"/>
    <w:lvl w:ilvl="0" w:tplc="240A0019">
      <w:start w:val="1"/>
      <w:numFmt w:val="lowerLetter"/>
      <w:lvlText w:val="%1."/>
      <w:lvlJc w:val="left"/>
      <w:pPr>
        <w:ind w:left="144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7" w15:restartNumberingAfterBreak="0">
    <w:nsid w:val="1A416B16"/>
    <w:multiLevelType w:val="hybridMultilevel"/>
    <w:tmpl w:val="FCA0217E"/>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8" w15:restartNumberingAfterBreak="0">
    <w:nsid w:val="1CCD11A2"/>
    <w:multiLevelType w:val="hybridMultilevel"/>
    <w:tmpl w:val="47B696DA"/>
    <w:lvl w:ilvl="0" w:tplc="240A000F">
      <w:start w:val="1"/>
      <w:numFmt w:val="decimal"/>
      <w:lvlText w:val="%1."/>
      <w:lvlJc w:val="left"/>
      <w:pPr>
        <w:ind w:left="502" w:hanging="360"/>
      </w:pPr>
    </w:lvl>
    <w:lvl w:ilvl="1" w:tplc="240A0019">
      <w:start w:val="1"/>
      <w:numFmt w:val="lowerLetter"/>
      <w:lvlText w:val="%2."/>
      <w:lvlJc w:val="left"/>
      <w:pPr>
        <w:ind w:left="1440" w:hanging="360"/>
      </w:pPr>
    </w:lvl>
    <w:lvl w:ilvl="2" w:tplc="67F8EB36">
      <w:start w:val="1"/>
      <w:numFmt w:val="lowerLetter"/>
      <w:lvlText w:val="%3)"/>
      <w:lvlJc w:val="left"/>
      <w:pPr>
        <w:ind w:left="2340" w:hanging="360"/>
      </w:pPr>
      <w:rPr>
        <w:rFonts w:hint="default"/>
      </w:r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1CDA11D7"/>
    <w:multiLevelType w:val="hybridMultilevel"/>
    <w:tmpl w:val="0FF6B926"/>
    <w:lvl w:ilvl="0" w:tplc="EC1E0054">
      <w:start w:val="1"/>
      <w:numFmt w:val="lowerRoman"/>
      <w:lvlText w:val="%1."/>
      <w:lvlJc w:val="left"/>
      <w:pPr>
        <w:ind w:left="1636" w:hanging="360"/>
      </w:pPr>
      <w:rPr>
        <w:rFonts w:ascii="Bookman Old Style" w:hAnsi="Bookman Old Style" w:hint="default"/>
        <w:sz w:val="24"/>
      </w:rPr>
    </w:lvl>
    <w:lvl w:ilvl="1" w:tplc="240A0019" w:tentative="1">
      <w:start w:val="1"/>
      <w:numFmt w:val="lowerLetter"/>
      <w:lvlText w:val="%2."/>
      <w:lvlJc w:val="left"/>
      <w:pPr>
        <w:ind w:left="2356" w:hanging="360"/>
      </w:pPr>
    </w:lvl>
    <w:lvl w:ilvl="2" w:tplc="240A001B" w:tentative="1">
      <w:start w:val="1"/>
      <w:numFmt w:val="lowerRoman"/>
      <w:lvlText w:val="%3."/>
      <w:lvlJc w:val="right"/>
      <w:pPr>
        <w:ind w:left="3076" w:hanging="180"/>
      </w:pPr>
    </w:lvl>
    <w:lvl w:ilvl="3" w:tplc="240A000F" w:tentative="1">
      <w:start w:val="1"/>
      <w:numFmt w:val="decimal"/>
      <w:lvlText w:val="%4."/>
      <w:lvlJc w:val="left"/>
      <w:pPr>
        <w:ind w:left="3796" w:hanging="360"/>
      </w:pPr>
    </w:lvl>
    <w:lvl w:ilvl="4" w:tplc="240A0019" w:tentative="1">
      <w:start w:val="1"/>
      <w:numFmt w:val="lowerLetter"/>
      <w:lvlText w:val="%5."/>
      <w:lvlJc w:val="left"/>
      <w:pPr>
        <w:ind w:left="4516" w:hanging="360"/>
      </w:pPr>
    </w:lvl>
    <w:lvl w:ilvl="5" w:tplc="240A001B" w:tentative="1">
      <w:start w:val="1"/>
      <w:numFmt w:val="lowerRoman"/>
      <w:lvlText w:val="%6."/>
      <w:lvlJc w:val="right"/>
      <w:pPr>
        <w:ind w:left="5236" w:hanging="180"/>
      </w:pPr>
    </w:lvl>
    <w:lvl w:ilvl="6" w:tplc="240A000F" w:tentative="1">
      <w:start w:val="1"/>
      <w:numFmt w:val="decimal"/>
      <w:lvlText w:val="%7."/>
      <w:lvlJc w:val="left"/>
      <w:pPr>
        <w:ind w:left="5956" w:hanging="360"/>
      </w:pPr>
    </w:lvl>
    <w:lvl w:ilvl="7" w:tplc="240A0019" w:tentative="1">
      <w:start w:val="1"/>
      <w:numFmt w:val="lowerLetter"/>
      <w:lvlText w:val="%8."/>
      <w:lvlJc w:val="left"/>
      <w:pPr>
        <w:ind w:left="6676" w:hanging="360"/>
      </w:pPr>
    </w:lvl>
    <w:lvl w:ilvl="8" w:tplc="240A001B" w:tentative="1">
      <w:start w:val="1"/>
      <w:numFmt w:val="lowerRoman"/>
      <w:lvlText w:val="%9."/>
      <w:lvlJc w:val="right"/>
      <w:pPr>
        <w:ind w:left="7396" w:hanging="180"/>
      </w:pPr>
    </w:lvl>
  </w:abstractNum>
  <w:abstractNum w:abstractNumId="20" w15:restartNumberingAfterBreak="0">
    <w:nsid w:val="1D811293"/>
    <w:multiLevelType w:val="hybridMultilevel"/>
    <w:tmpl w:val="EB9C446E"/>
    <w:lvl w:ilvl="0" w:tplc="1EEE05C8">
      <w:start w:val="1"/>
      <w:numFmt w:val="decimal"/>
      <w:lvlText w:val="Artículo %1."/>
      <w:lvlJc w:val="left"/>
      <w:pPr>
        <w:ind w:left="1211" w:hanging="360"/>
      </w:pPr>
      <w:rPr>
        <w:rFonts w:ascii="Bookman Old Style" w:hAnsi="Bookman Old Style" w:hint="default"/>
        <w:b/>
        <w:i w:val="0"/>
      </w:rPr>
    </w:lvl>
    <w:lvl w:ilvl="1" w:tplc="240A0019" w:tentative="1">
      <w:start w:val="1"/>
      <w:numFmt w:val="lowerLetter"/>
      <w:lvlText w:val="%2."/>
      <w:lvlJc w:val="left"/>
      <w:pPr>
        <w:ind w:left="1931" w:hanging="360"/>
      </w:pPr>
    </w:lvl>
    <w:lvl w:ilvl="2" w:tplc="240A001B" w:tentative="1">
      <w:start w:val="1"/>
      <w:numFmt w:val="lowerRoman"/>
      <w:lvlText w:val="%3."/>
      <w:lvlJc w:val="right"/>
      <w:pPr>
        <w:ind w:left="2651" w:hanging="180"/>
      </w:pPr>
    </w:lvl>
    <w:lvl w:ilvl="3" w:tplc="240A000F" w:tentative="1">
      <w:start w:val="1"/>
      <w:numFmt w:val="decimal"/>
      <w:lvlText w:val="%4."/>
      <w:lvlJc w:val="left"/>
      <w:pPr>
        <w:ind w:left="3371" w:hanging="360"/>
      </w:pPr>
    </w:lvl>
    <w:lvl w:ilvl="4" w:tplc="240A0019" w:tentative="1">
      <w:start w:val="1"/>
      <w:numFmt w:val="lowerLetter"/>
      <w:lvlText w:val="%5."/>
      <w:lvlJc w:val="left"/>
      <w:pPr>
        <w:ind w:left="4091" w:hanging="360"/>
      </w:pPr>
    </w:lvl>
    <w:lvl w:ilvl="5" w:tplc="240A001B" w:tentative="1">
      <w:start w:val="1"/>
      <w:numFmt w:val="lowerRoman"/>
      <w:lvlText w:val="%6."/>
      <w:lvlJc w:val="right"/>
      <w:pPr>
        <w:ind w:left="4811" w:hanging="180"/>
      </w:pPr>
    </w:lvl>
    <w:lvl w:ilvl="6" w:tplc="240A000F" w:tentative="1">
      <w:start w:val="1"/>
      <w:numFmt w:val="decimal"/>
      <w:lvlText w:val="%7."/>
      <w:lvlJc w:val="left"/>
      <w:pPr>
        <w:ind w:left="5531" w:hanging="360"/>
      </w:pPr>
    </w:lvl>
    <w:lvl w:ilvl="7" w:tplc="240A0019" w:tentative="1">
      <w:start w:val="1"/>
      <w:numFmt w:val="lowerLetter"/>
      <w:lvlText w:val="%8."/>
      <w:lvlJc w:val="left"/>
      <w:pPr>
        <w:ind w:left="6251" w:hanging="360"/>
      </w:pPr>
    </w:lvl>
    <w:lvl w:ilvl="8" w:tplc="240A001B" w:tentative="1">
      <w:start w:val="1"/>
      <w:numFmt w:val="lowerRoman"/>
      <w:lvlText w:val="%9."/>
      <w:lvlJc w:val="right"/>
      <w:pPr>
        <w:ind w:left="6971" w:hanging="180"/>
      </w:pPr>
    </w:lvl>
  </w:abstractNum>
  <w:abstractNum w:abstractNumId="21" w15:restartNumberingAfterBreak="0">
    <w:nsid w:val="240F798C"/>
    <w:multiLevelType w:val="hybridMultilevel"/>
    <w:tmpl w:val="65DE879A"/>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2" w15:restartNumberingAfterBreak="0">
    <w:nsid w:val="246A35EC"/>
    <w:multiLevelType w:val="hybridMultilevel"/>
    <w:tmpl w:val="E850D54C"/>
    <w:lvl w:ilvl="0" w:tplc="5360FE28">
      <w:start w:val="1"/>
      <w:numFmt w:val="lowerLetter"/>
      <w:lvlText w:val="%1."/>
      <w:lvlJc w:val="left"/>
      <w:pPr>
        <w:ind w:left="2424" w:hanging="360"/>
      </w:pPr>
      <w:rPr>
        <w:sz w:val="24"/>
        <w:szCs w:val="24"/>
      </w:rPr>
    </w:lvl>
    <w:lvl w:ilvl="1" w:tplc="240A0019" w:tentative="1">
      <w:start w:val="1"/>
      <w:numFmt w:val="lowerLetter"/>
      <w:lvlText w:val="%2."/>
      <w:lvlJc w:val="left"/>
      <w:pPr>
        <w:ind w:left="3144" w:hanging="360"/>
      </w:pPr>
    </w:lvl>
    <w:lvl w:ilvl="2" w:tplc="240A001B" w:tentative="1">
      <w:start w:val="1"/>
      <w:numFmt w:val="lowerRoman"/>
      <w:lvlText w:val="%3."/>
      <w:lvlJc w:val="right"/>
      <w:pPr>
        <w:ind w:left="3864" w:hanging="180"/>
      </w:pPr>
    </w:lvl>
    <w:lvl w:ilvl="3" w:tplc="240A000F" w:tentative="1">
      <w:start w:val="1"/>
      <w:numFmt w:val="decimal"/>
      <w:lvlText w:val="%4."/>
      <w:lvlJc w:val="left"/>
      <w:pPr>
        <w:ind w:left="4584" w:hanging="360"/>
      </w:pPr>
    </w:lvl>
    <w:lvl w:ilvl="4" w:tplc="240A0019" w:tentative="1">
      <w:start w:val="1"/>
      <w:numFmt w:val="lowerLetter"/>
      <w:lvlText w:val="%5."/>
      <w:lvlJc w:val="left"/>
      <w:pPr>
        <w:ind w:left="5304" w:hanging="360"/>
      </w:pPr>
    </w:lvl>
    <w:lvl w:ilvl="5" w:tplc="240A001B" w:tentative="1">
      <w:start w:val="1"/>
      <w:numFmt w:val="lowerRoman"/>
      <w:lvlText w:val="%6."/>
      <w:lvlJc w:val="right"/>
      <w:pPr>
        <w:ind w:left="6024" w:hanging="180"/>
      </w:pPr>
    </w:lvl>
    <w:lvl w:ilvl="6" w:tplc="240A000F" w:tentative="1">
      <w:start w:val="1"/>
      <w:numFmt w:val="decimal"/>
      <w:lvlText w:val="%7."/>
      <w:lvlJc w:val="left"/>
      <w:pPr>
        <w:ind w:left="6744" w:hanging="360"/>
      </w:pPr>
    </w:lvl>
    <w:lvl w:ilvl="7" w:tplc="240A0019" w:tentative="1">
      <w:start w:val="1"/>
      <w:numFmt w:val="lowerLetter"/>
      <w:lvlText w:val="%8."/>
      <w:lvlJc w:val="left"/>
      <w:pPr>
        <w:ind w:left="7464" w:hanging="360"/>
      </w:pPr>
    </w:lvl>
    <w:lvl w:ilvl="8" w:tplc="240A001B" w:tentative="1">
      <w:start w:val="1"/>
      <w:numFmt w:val="lowerRoman"/>
      <w:lvlText w:val="%9."/>
      <w:lvlJc w:val="right"/>
      <w:pPr>
        <w:ind w:left="8184" w:hanging="180"/>
      </w:pPr>
    </w:lvl>
  </w:abstractNum>
  <w:abstractNum w:abstractNumId="23" w15:restartNumberingAfterBreak="0">
    <w:nsid w:val="24BA296E"/>
    <w:multiLevelType w:val="hybridMultilevel"/>
    <w:tmpl w:val="5254CC5A"/>
    <w:lvl w:ilvl="0" w:tplc="53CADBF6">
      <w:start w:val="1"/>
      <w:numFmt w:val="lowerLetter"/>
      <w:lvlText w:val="%1."/>
      <w:lvlJc w:val="left"/>
      <w:pPr>
        <w:ind w:left="502" w:hanging="360"/>
      </w:pPr>
      <w:rPr>
        <w:rFonts w:hint="default"/>
      </w:rPr>
    </w:lvl>
    <w:lvl w:ilvl="1" w:tplc="FFFFFFFF">
      <w:start w:val="1"/>
      <w:numFmt w:val="lowerLetter"/>
      <w:lvlText w:val="%2."/>
      <w:lvlJc w:val="left"/>
      <w:pPr>
        <w:ind w:left="4058" w:hanging="360"/>
      </w:pPr>
    </w:lvl>
    <w:lvl w:ilvl="2" w:tplc="FFFFFFFF" w:tentative="1">
      <w:start w:val="1"/>
      <w:numFmt w:val="lowerRoman"/>
      <w:lvlText w:val="%3."/>
      <w:lvlJc w:val="right"/>
      <w:pPr>
        <w:ind w:left="4778" w:hanging="180"/>
      </w:pPr>
    </w:lvl>
    <w:lvl w:ilvl="3" w:tplc="FFFFFFFF" w:tentative="1">
      <w:start w:val="1"/>
      <w:numFmt w:val="decimal"/>
      <w:lvlText w:val="%4."/>
      <w:lvlJc w:val="left"/>
      <w:pPr>
        <w:ind w:left="5498" w:hanging="360"/>
      </w:pPr>
    </w:lvl>
    <w:lvl w:ilvl="4" w:tplc="FFFFFFFF" w:tentative="1">
      <w:start w:val="1"/>
      <w:numFmt w:val="lowerLetter"/>
      <w:lvlText w:val="%5."/>
      <w:lvlJc w:val="left"/>
      <w:pPr>
        <w:ind w:left="6218" w:hanging="360"/>
      </w:pPr>
    </w:lvl>
    <w:lvl w:ilvl="5" w:tplc="FFFFFFFF" w:tentative="1">
      <w:start w:val="1"/>
      <w:numFmt w:val="lowerRoman"/>
      <w:lvlText w:val="%6."/>
      <w:lvlJc w:val="right"/>
      <w:pPr>
        <w:ind w:left="6938" w:hanging="180"/>
      </w:pPr>
    </w:lvl>
    <w:lvl w:ilvl="6" w:tplc="FFFFFFFF" w:tentative="1">
      <w:start w:val="1"/>
      <w:numFmt w:val="decimal"/>
      <w:lvlText w:val="%7."/>
      <w:lvlJc w:val="left"/>
      <w:pPr>
        <w:ind w:left="7658" w:hanging="360"/>
      </w:pPr>
    </w:lvl>
    <w:lvl w:ilvl="7" w:tplc="FFFFFFFF" w:tentative="1">
      <w:start w:val="1"/>
      <w:numFmt w:val="lowerLetter"/>
      <w:lvlText w:val="%8."/>
      <w:lvlJc w:val="left"/>
      <w:pPr>
        <w:ind w:left="8378" w:hanging="360"/>
      </w:pPr>
    </w:lvl>
    <w:lvl w:ilvl="8" w:tplc="FFFFFFFF" w:tentative="1">
      <w:start w:val="1"/>
      <w:numFmt w:val="lowerRoman"/>
      <w:lvlText w:val="%9."/>
      <w:lvlJc w:val="right"/>
      <w:pPr>
        <w:ind w:left="9098" w:hanging="180"/>
      </w:pPr>
    </w:lvl>
  </w:abstractNum>
  <w:abstractNum w:abstractNumId="24" w15:restartNumberingAfterBreak="0">
    <w:nsid w:val="285A30DD"/>
    <w:multiLevelType w:val="hybridMultilevel"/>
    <w:tmpl w:val="961402C4"/>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2A257973"/>
    <w:multiLevelType w:val="hybridMultilevel"/>
    <w:tmpl w:val="E848C4B8"/>
    <w:lvl w:ilvl="0" w:tplc="08FE54D0">
      <w:start w:val="1"/>
      <w:numFmt w:val="lowerRoman"/>
      <w:lvlText w:val="%1."/>
      <w:lvlJc w:val="left"/>
      <w:pPr>
        <w:ind w:left="1854" w:hanging="360"/>
      </w:pPr>
      <w:rPr>
        <w:rFonts w:hint="default"/>
      </w:rPr>
    </w:lvl>
    <w:lvl w:ilvl="1" w:tplc="0694D31A">
      <w:start w:val="1"/>
      <w:numFmt w:val="decimal"/>
      <w:lvlText w:val="%2)"/>
      <w:lvlJc w:val="left"/>
      <w:pPr>
        <w:ind w:left="2574" w:hanging="360"/>
      </w:pPr>
      <w:rPr>
        <w:rFonts w:hint="default"/>
      </w:rPr>
    </w:lvl>
    <w:lvl w:ilvl="2" w:tplc="37B20752">
      <w:start w:val="1"/>
      <w:numFmt w:val="lowerRoman"/>
      <w:lvlText w:val="%3."/>
      <w:lvlJc w:val="right"/>
      <w:pPr>
        <w:ind w:left="3294" w:hanging="180"/>
      </w:pPr>
      <w:rPr>
        <w:rFonts w:hint="default"/>
      </w:rPr>
    </w:lvl>
    <w:lvl w:ilvl="3" w:tplc="1BA0326A">
      <w:start w:val="1"/>
      <w:numFmt w:val="decimal"/>
      <w:lvlText w:val="%4."/>
      <w:lvlJc w:val="left"/>
      <w:pPr>
        <w:ind w:left="4014" w:hanging="360"/>
      </w:pPr>
      <w:rPr>
        <w:rFonts w:hint="default"/>
      </w:rPr>
    </w:lvl>
    <w:lvl w:ilvl="4" w:tplc="8FA89BD0">
      <w:start w:val="1"/>
      <w:numFmt w:val="lowerLetter"/>
      <w:lvlText w:val="%5."/>
      <w:lvlJc w:val="left"/>
      <w:pPr>
        <w:ind w:left="4734" w:hanging="360"/>
      </w:pPr>
      <w:rPr>
        <w:rFonts w:hint="default"/>
      </w:rPr>
    </w:lvl>
    <w:lvl w:ilvl="5" w:tplc="E2DE213C">
      <w:start w:val="1"/>
      <w:numFmt w:val="lowerRoman"/>
      <w:lvlText w:val="%6."/>
      <w:lvlJc w:val="right"/>
      <w:pPr>
        <w:ind w:left="5454" w:hanging="180"/>
      </w:pPr>
      <w:rPr>
        <w:rFonts w:hint="default"/>
      </w:rPr>
    </w:lvl>
    <w:lvl w:ilvl="6" w:tplc="4A586A0C">
      <w:start w:val="1"/>
      <w:numFmt w:val="decimal"/>
      <w:lvlText w:val="%7."/>
      <w:lvlJc w:val="left"/>
      <w:pPr>
        <w:ind w:left="6174" w:hanging="360"/>
      </w:pPr>
      <w:rPr>
        <w:rFonts w:hint="default"/>
      </w:rPr>
    </w:lvl>
    <w:lvl w:ilvl="7" w:tplc="D39C7F44">
      <w:start w:val="1"/>
      <w:numFmt w:val="lowerLetter"/>
      <w:lvlText w:val="%8."/>
      <w:lvlJc w:val="left"/>
      <w:pPr>
        <w:ind w:left="6894" w:hanging="360"/>
      </w:pPr>
      <w:rPr>
        <w:rFonts w:hint="default"/>
      </w:rPr>
    </w:lvl>
    <w:lvl w:ilvl="8" w:tplc="B660EDEE">
      <w:start w:val="1"/>
      <w:numFmt w:val="lowerRoman"/>
      <w:lvlText w:val="%9."/>
      <w:lvlJc w:val="right"/>
      <w:pPr>
        <w:ind w:left="7614" w:hanging="180"/>
      </w:pPr>
      <w:rPr>
        <w:rFonts w:hint="default"/>
      </w:rPr>
    </w:lvl>
  </w:abstractNum>
  <w:abstractNum w:abstractNumId="26" w15:restartNumberingAfterBreak="0">
    <w:nsid w:val="2C335BB5"/>
    <w:multiLevelType w:val="hybridMultilevel"/>
    <w:tmpl w:val="75585158"/>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2D694DD6"/>
    <w:multiLevelType w:val="hybridMultilevel"/>
    <w:tmpl w:val="9F1445A2"/>
    <w:numStyleLink w:val="Estilo2"/>
  </w:abstractNum>
  <w:abstractNum w:abstractNumId="28" w15:restartNumberingAfterBreak="0">
    <w:nsid w:val="2E0D58D0"/>
    <w:multiLevelType w:val="hybridMultilevel"/>
    <w:tmpl w:val="E48C57A4"/>
    <w:lvl w:ilvl="0" w:tplc="240A0011">
      <w:start w:val="1"/>
      <w:numFmt w:val="decimal"/>
      <w:lvlText w:val="%1)"/>
      <w:lvlJc w:val="left"/>
      <w:pPr>
        <w:ind w:left="1776" w:hanging="360"/>
      </w:pPr>
      <w:rPr>
        <w:rFonts w:hint="default"/>
      </w:rPr>
    </w:lvl>
    <w:lvl w:ilvl="1" w:tplc="240A001B">
      <w:start w:val="1"/>
      <w:numFmt w:val="lowerRoman"/>
      <w:lvlText w:val="%2."/>
      <w:lvlJc w:val="right"/>
      <w:pPr>
        <w:ind w:left="5332" w:hanging="360"/>
      </w:pPr>
    </w:lvl>
    <w:lvl w:ilvl="2" w:tplc="FFFFFFFF" w:tentative="1">
      <w:start w:val="1"/>
      <w:numFmt w:val="lowerRoman"/>
      <w:lvlText w:val="%3."/>
      <w:lvlJc w:val="right"/>
      <w:pPr>
        <w:ind w:left="6052" w:hanging="180"/>
      </w:pPr>
    </w:lvl>
    <w:lvl w:ilvl="3" w:tplc="FFFFFFFF" w:tentative="1">
      <w:start w:val="1"/>
      <w:numFmt w:val="decimal"/>
      <w:lvlText w:val="%4."/>
      <w:lvlJc w:val="left"/>
      <w:pPr>
        <w:ind w:left="6772" w:hanging="360"/>
      </w:pPr>
    </w:lvl>
    <w:lvl w:ilvl="4" w:tplc="FFFFFFFF" w:tentative="1">
      <w:start w:val="1"/>
      <w:numFmt w:val="lowerLetter"/>
      <w:lvlText w:val="%5."/>
      <w:lvlJc w:val="left"/>
      <w:pPr>
        <w:ind w:left="7492" w:hanging="360"/>
      </w:pPr>
    </w:lvl>
    <w:lvl w:ilvl="5" w:tplc="FFFFFFFF" w:tentative="1">
      <w:start w:val="1"/>
      <w:numFmt w:val="lowerRoman"/>
      <w:lvlText w:val="%6."/>
      <w:lvlJc w:val="right"/>
      <w:pPr>
        <w:ind w:left="8212" w:hanging="180"/>
      </w:pPr>
    </w:lvl>
    <w:lvl w:ilvl="6" w:tplc="FFFFFFFF" w:tentative="1">
      <w:start w:val="1"/>
      <w:numFmt w:val="decimal"/>
      <w:lvlText w:val="%7."/>
      <w:lvlJc w:val="left"/>
      <w:pPr>
        <w:ind w:left="8932" w:hanging="360"/>
      </w:pPr>
    </w:lvl>
    <w:lvl w:ilvl="7" w:tplc="FFFFFFFF" w:tentative="1">
      <w:start w:val="1"/>
      <w:numFmt w:val="lowerLetter"/>
      <w:lvlText w:val="%8."/>
      <w:lvlJc w:val="left"/>
      <w:pPr>
        <w:ind w:left="9652" w:hanging="360"/>
      </w:pPr>
    </w:lvl>
    <w:lvl w:ilvl="8" w:tplc="FFFFFFFF" w:tentative="1">
      <w:start w:val="1"/>
      <w:numFmt w:val="lowerRoman"/>
      <w:lvlText w:val="%9."/>
      <w:lvlJc w:val="right"/>
      <w:pPr>
        <w:ind w:left="10372" w:hanging="180"/>
      </w:pPr>
    </w:lvl>
  </w:abstractNum>
  <w:abstractNum w:abstractNumId="29" w15:restartNumberingAfterBreak="0">
    <w:nsid w:val="2EA06387"/>
    <w:multiLevelType w:val="hybridMultilevel"/>
    <w:tmpl w:val="75585158"/>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30491718"/>
    <w:multiLevelType w:val="hybridMultilevel"/>
    <w:tmpl w:val="71B214B8"/>
    <w:lvl w:ilvl="0" w:tplc="240A001B">
      <w:start w:val="1"/>
      <w:numFmt w:val="lowerRoman"/>
      <w:lvlText w:val="%1."/>
      <w:lvlJc w:val="right"/>
      <w:pPr>
        <w:ind w:left="1854" w:hanging="360"/>
      </w:pPr>
    </w:lvl>
    <w:lvl w:ilvl="1" w:tplc="240A001B">
      <w:start w:val="1"/>
      <w:numFmt w:val="lowerRoman"/>
      <w:lvlText w:val="%2."/>
      <w:lvlJc w:val="right"/>
      <w:pPr>
        <w:ind w:left="2574" w:hanging="360"/>
      </w:pPr>
    </w:lvl>
    <w:lvl w:ilvl="2" w:tplc="240A001B" w:tentative="1">
      <w:start w:val="1"/>
      <w:numFmt w:val="lowerRoman"/>
      <w:lvlText w:val="%3."/>
      <w:lvlJc w:val="right"/>
      <w:pPr>
        <w:ind w:left="3294" w:hanging="180"/>
      </w:pPr>
    </w:lvl>
    <w:lvl w:ilvl="3" w:tplc="240A000F" w:tentative="1">
      <w:start w:val="1"/>
      <w:numFmt w:val="decimal"/>
      <w:lvlText w:val="%4."/>
      <w:lvlJc w:val="left"/>
      <w:pPr>
        <w:ind w:left="4014" w:hanging="360"/>
      </w:pPr>
    </w:lvl>
    <w:lvl w:ilvl="4" w:tplc="240A0019" w:tentative="1">
      <w:start w:val="1"/>
      <w:numFmt w:val="lowerLetter"/>
      <w:lvlText w:val="%5."/>
      <w:lvlJc w:val="left"/>
      <w:pPr>
        <w:ind w:left="4734" w:hanging="360"/>
      </w:pPr>
    </w:lvl>
    <w:lvl w:ilvl="5" w:tplc="240A001B" w:tentative="1">
      <w:start w:val="1"/>
      <w:numFmt w:val="lowerRoman"/>
      <w:lvlText w:val="%6."/>
      <w:lvlJc w:val="right"/>
      <w:pPr>
        <w:ind w:left="5454" w:hanging="180"/>
      </w:pPr>
    </w:lvl>
    <w:lvl w:ilvl="6" w:tplc="240A000F" w:tentative="1">
      <w:start w:val="1"/>
      <w:numFmt w:val="decimal"/>
      <w:lvlText w:val="%7."/>
      <w:lvlJc w:val="left"/>
      <w:pPr>
        <w:ind w:left="6174" w:hanging="360"/>
      </w:pPr>
    </w:lvl>
    <w:lvl w:ilvl="7" w:tplc="240A0019" w:tentative="1">
      <w:start w:val="1"/>
      <w:numFmt w:val="lowerLetter"/>
      <w:lvlText w:val="%8."/>
      <w:lvlJc w:val="left"/>
      <w:pPr>
        <w:ind w:left="6894" w:hanging="360"/>
      </w:pPr>
    </w:lvl>
    <w:lvl w:ilvl="8" w:tplc="240A001B" w:tentative="1">
      <w:start w:val="1"/>
      <w:numFmt w:val="lowerRoman"/>
      <w:lvlText w:val="%9."/>
      <w:lvlJc w:val="right"/>
      <w:pPr>
        <w:ind w:left="7614" w:hanging="180"/>
      </w:pPr>
    </w:lvl>
  </w:abstractNum>
  <w:abstractNum w:abstractNumId="31" w15:restartNumberingAfterBreak="0">
    <w:nsid w:val="38AA0C2E"/>
    <w:multiLevelType w:val="hybridMultilevel"/>
    <w:tmpl w:val="06CC2EAE"/>
    <w:lvl w:ilvl="0" w:tplc="67F8EB36">
      <w:start w:val="1"/>
      <w:numFmt w:val="lowerLetter"/>
      <w:lvlText w:val="%1)"/>
      <w:lvlJc w:val="left"/>
      <w:pPr>
        <w:ind w:left="234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3D495384"/>
    <w:multiLevelType w:val="hybridMultilevel"/>
    <w:tmpl w:val="916A2916"/>
    <w:lvl w:ilvl="0" w:tplc="240A001B">
      <w:start w:val="1"/>
      <w:numFmt w:val="lowerRoman"/>
      <w:lvlText w:val="%1."/>
      <w:lvlJc w:val="right"/>
      <w:pPr>
        <w:ind w:left="1854" w:hanging="360"/>
      </w:pPr>
    </w:lvl>
    <w:lvl w:ilvl="1" w:tplc="240A001B">
      <w:start w:val="1"/>
      <w:numFmt w:val="lowerRoman"/>
      <w:lvlText w:val="%2."/>
      <w:lvlJc w:val="right"/>
      <w:pPr>
        <w:ind w:left="2574" w:hanging="360"/>
      </w:pPr>
      <w:rPr>
        <w:rFonts w:hint="default"/>
      </w:rPr>
    </w:lvl>
    <w:lvl w:ilvl="2" w:tplc="240A001B" w:tentative="1">
      <w:start w:val="1"/>
      <w:numFmt w:val="lowerRoman"/>
      <w:lvlText w:val="%3."/>
      <w:lvlJc w:val="right"/>
      <w:pPr>
        <w:ind w:left="3294" w:hanging="180"/>
      </w:pPr>
    </w:lvl>
    <w:lvl w:ilvl="3" w:tplc="240A000F" w:tentative="1">
      <w:start w:val="1"/>
      <w:numFmt w:val="decimal"/>
      <w:lvlText w:val="%4."/>
      <w:lvlJc w:val="left"/>
      <w:pPr>
        <w:ind w:left="4014" w:hanging="360"/>
      </w:pPr>
    </w:lvl>
    <w:lvl w:ilvl="4" w:tplc="240A0019" w:tentative="1">
      <w:start w:val="1"/>
      <w:numFmt w:val="lowerLetter"/>
      <w:lvlText w:val="%5."/>
      <w:lvlJc w:val="left"/>
      <w:pPr>
        <w:ind w:left="4734" w:hanging="360"/>
      </w:pPr>
    </w:lvl>
    <w:lvl w:ilvl="5" w:tplc="240A001B" w:tentative="1">
      <w:start w:val="1"/>
      <w:numFmt w:val="lowerRoman"/>
      <w:lvlText w:val="%6."/>
      <w:lvlJc w:val="right"/>
      <w:pPr>
        <w:ind w:left="5454" w:hanging="180"/>
      </w:pPr>
    </w:lvl>
    <w:lvl w:ilvl="6" w:tplc="240A000F" w:tentative="1">
      <w:start w:val="1"/>
      <w:numFmt w:val="decimal"/>
      <w:lvlText w:val="%7."/>
      <w:lvlJc w:val="left"/>
      <w:pPr>
        <w:ind w:left="6174" w:hanging="360"/>
      </w:pPr>
    </w:lvl>
    <w:lvl w:ilvl="7" w:tplc="240A0019" w:tentative="1">
      <w:start w:val="1"/>
      <w:numFmt w:val="lowerLetter"/>
      <w:lvlText w:val="%8."/>
      <w:lvlJc w:val="left"/>
      <w:pPr>
        <w:ind w:left="6894" w:hanging="360"/>
      </w:pPr>
    </w:lvl>
    <w:lvl w:ilvl="8" w:tplc="240A001B" w:tentative="1">
      <w:start w:val="1"/>
      <w:numFmt w:val="lowerRoman"/>
      <w:lvlText w:val="%9."/>
      <w:lvlJc w:val="right"/>
      <w:pPr>
        <w:ind w:left="7614" w:hanging="180"/>
      </w:pPr>
    </w:lvl>
  </w:abstractNum>
  <w:abstractNum w:abstractNumId="33" w15:restartNumberingAfterBreak="0">
    <w:nsid w:val="3D565DD9"/>
    <w:multiLevelType w:val="hybridMultilevel"/>
    <w:tmpl w:val="178495E6"/>
    <w:lvl w:ilvl="0" w:tplc="0FEC502E">
      <w:start w:val="1"/>
      <w:numFmt w:val="lowerLetter"/>
      <w:lvlText w:val="%1."/>
      <w:lvlJc w:val="left"/>
      <w:pPr>
        <w:ind w:left="-492" w:hanging="360"/>
      </w:pPr>
      <w:rPr>
        <w:rFonts w:hint="default"/>
        <w:sz w:val="24"/>
        <w:szCs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42550074"/>
    <w:multiLevelType w:val="hybridMultilevel"/>
    <w:tmpl w:val="351273B8"/>
    <w:lvl w:ilvl="0" w:tplc="B06A75AE">
      <w:start w:val="1"/>
      <w:numFmt w:val="lowerLetter"/>
      <w:lvlText w:val="%1)"/>
      <w:lvlJc w:val="left"/>
      <w:pPr>
        <w:ind w:left="380" w:hanging="360"/>
      </w:pPr>
      <w:rPr>
        <w:rFonts w:cs="Times New Roman" w:hint="default"/>
      </w:rPr>
    </w:lvl>
    <w:lvl w:ilvl="1" w:tplc="240A0019" w:tentative="1">
      <w:start w:val="1"/>
      <w:numFmt w:val="lowerLetter"/>
      <w:lvlText w:val="%2."/>
      <w:lvlJc w:val="left"/>
      <w:pPr>
        <w:ind w:left="1100" w:hanging="360"/>
      </w:pPr>
      <w:rPr>
        <w:rFonts w:cs="Times New Roman"/>
      </w:rPr>
    </w:lvl>
    <w:lvl w:ilvl="2" w:tplc="240A001B" w:tentative="1">
      <w:start w:val="1"/>
      <w:numFmt w:val="lowerRoman"/>
      <w:lvlText w:val="%3."/>
      <w:lvlJc w:val="right"/>
      <w:pPr>
        <w:ind w:left="1820" w:hanging="180"/>
      </w:pPr>
      <w:rPr>
        <w:rFonts w:cs="Times New Roman"/>
      </w:rPr>
    </w:lvl>
    <w:lvl w:ilvl="3" w:tplc="240A000F" w:tentative="1">
      <w:start w:val="1"/>
      <w:numFmt w:val="decimal"/>
      <w:lvlText w:val="%4."/>
      <w:lvlJc w:val="left"/>
      <w:pPr>
        <w:ind w:left="2540" w:hanging="360"/>
      </w:pPr>
      <w:rPr>
        <w:rFonts w:cs="Times New Roman"/>
      </w:rPr>
    </w:lvl>
    <w:lvl w:ilvl="4" w:tplc="240A0019" w:tentative="1">
      <w:start w:val="1"/>
      <w:numFmt w:val="lowerLetter"/>
      <w:lvlText w:val="%5."/>
      <w:lvlJc w:val="left"/>
      <w:pPr>
        <w:ind w:left="3260" w:hanging="360"/>
      </w:pPr>
      <w:rPr>
        <w:rFonts w:cs="Times New Roman"/>
      </w:rPr>
    </w:lvl>
    <w:lvl w:ilvl="5" w:tplc="240A001B" w:tentative="1">
      <w:start w:val="1"/>
      <w:numFmt w:val="lowerRoman"/>
      <w:lvlText w:val="%6."/>
      <w:lvlJc w:val="right"/>
      <w:pPr>
        <w:ind w:left="3980" w:hanging="180"/>
      </w:pPr>
      <w:rPr>
        <w:rFonts w:cs="Times New Roman"/>
      </w:rPr>
    </w:lvl>
    <w:lvl w:ilvl="6" w:tplc="240A000F" w:tentative="1">
      <w:start w:val="1"/>
      <w:numFmt w:val="decimal"/>
      <w:lvlText w:val="%7."/>
      <w:lvlJc w:val="left"/>
      <w:pPr>
        <w:ind w:left="4700" w:hanging="360"/>
      </w:pPr>
      <w:rPr>
        <w:rFonts w:cs="Times New Roman"/>
      </w:rPr>
    </w:lvl>
    <w:lvl w:ilvl="7" w:tplc="240A0019" w:tentative="1">
      <w:start w:val="1"/>
      <w:numFmt w:val="lowerLetter"/>
      <w:lvlText w:val="%8."/>
      <w:lvlJc w:val="left"/>
      <w:pPr>
        <w:ind w:left="5420" w:hanging="360"/>
      </w:pPr>
      <w:rPr>
        <w:rFonts w:cs="Times New Roman"/>
      </w:rPr>
    </w:lvl>
    <w:lvl w:ilvl="8" w:tplc="240A001B" w:tentative="1">
      <w:start w:val="1"/>
      <w:numFmt w:val="lowerRoman"/>
      <w:lvlText w:val="%9."/>
      <w:lvlJc w:val="right"/>
      <w:pPr>
        <w:ind w:left="6140" w:hanging="180"/>
      </w:pPr>
      <w:rPr>
        <w:rFonts w:cs="Times New Roman"/>
      </w:rPr>
    </w:lvl>
  </w:abstractNum>
  <w:abstractNum w:abstractNumId="35" w15:restartNumberingAfterBreak="0">
    <w:nsid w:val="46F84CB3"/>
    <w:multiLevelType w:val="hybridMultilevel"/>
    <w:tmpl w:val="75585158"/>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6" w15:restartNumberingAfterBreak="0">
    <w:nsid w:val="47B22C9D"/>
    <w:multiLevelType w:val="hybridMultilevel"/>
    <w:tmpl w:val="6F76A04E"/>
    <w:lvl w:ilvl="0" w:tplc="240A001B">
      <w:start w:val="1"/>
      <w:numFmt w:val="lowerRoman"/>
      <w:lvlText w:val="%1."/>
      <w:lvlJc w:val="right"/>
      <w:pPr>
        <w:ind w:left="1854" w:hanging="360"/>
      </w:pPr>
    </w:lvl>
    <w:lvl w:ilvl="1" w:tplc="240A0011">
      <w:start w:val="1"/>
      <w:numFmt w:val="decimal"/>
      <w:lvlText w:val="%2)"/>
      <w:lvlJc w:val="left"/>
      <w:pPr>
        <w:ind w:left="2574" w:hanging="360"/>
      </w:pPr>
    </w:lvl>
    <w:lvl w:ilvl="2" w:tplc="240A001B" w:tentative="1">
      <w:start w:val="1"/>
      <w:numFmt w:val="lowerRoman"/>
      <w:lvlText w:val="%3."/>
      <w:lvlJc w:val="right"/>
      <w:pPr>
        <w:ind w:left="3294" w:hanging="180"/>
      </w:pPr>
    </w:lvl>
    <w:lvl w:ilvl="3" w:tplc="240A000F" w:tentative="1">
      <w:start w:val="1"/>
      <w:numFmt w:val="decimal"/>
      <w:lvlText w:val="%4."/>
      <w:lvlJc w:val="left"/>
      <w:pPr>
        <w:ind w:left="4014" w:hanging="360"/>
      </w:pPr>
    </w:lvl>
    <w:lvl w:ilvl="4" w:tplc="240A0019" w:tentative="1">
      <w:start w:val="1"/>
      <w:numFmt w:val="lowerLetter"/>
      <w:lvlText w:val="%5."/>
      <w:lvlJc w:val="left"/>
      <w:pPr>
        <w:ind w:left="4734" w:hanging="360"/>
      </w:pPr>
    </w:lvl>
    <w:lvl w:ilvl="5" w:tplc="240A001B" w:tentative="1">
      <w:start w:val="1"/>
      <w:numFmt w:val="lowerRoman"/>
      <w:lvlText w:val="%6."/>
      <w:lvlJc w:val="right"/>
      <w:pPr>
        <w:ind w:left="5454" w:hanging="180"/>
      </w:pPr>
    </w:lvl>
    <w:lvl w:ilvl="6" w:tplc="240A000F" w:tentative="1">
      <w:start w:val="1"/>
      <w:numFmt w:val="decimal"/>
      <w:lvlText w:val="%7."/>
      <w:lvlJc w:val="left"/>
      <w:pPr>
        <w:ind w:left="6174" w:hanging="360"/>
      </w:pPr>
    </w:lvl>
    <w:lvl w:ilvl="7" w:tplc="240A0019" w:tentative="1">
      <w:start w:val="1"/>
      <w:numFmt w:val="lowerLetter"/>
      <w:lvlText w:val="%8."/>
      <w:lvlJc w:val="left"/>
      <w:pPr>
        <w:ind w:left="6894" w:hanging="360"/>
      </w:pPr>
    </w:lvl>
    <w:lvl w:ilvl="8" w:tplc="240A001B" w:tentative="1">
      <w:start w:val="1"/>
      <w:numFmt w:val="lowerRoman"/>
      <w:lvlText w:val="%9."/>
      <w:lvlJc w:val="right"/>
      <w:pPr>
        <w:ind w:left="7614" w:hanging="180"/>
      </w:pPr>
    </w:lvl>
  </w:abstractNum>
  <w:abstractNum w:abstractNumId="37" w15:restartNumberingAfterBreak="0">
    <w:nsid w:val="4C191738"/>
    <w:multiLevelType w:val="hybridMultilevel"/>
    <w:tmpl w:val="D7603C7C"/>
    <w:lvl w:ilvl="0" w:tplc="040A000F">
      <w:start w:val="1"/>
      <w:numFmt w:val="decimal"/>
      <w:lvlText w:val="%1."/>
      <w:lvlJc w:val="left"/>
      <w:pPr>
        <w:ind w:left="360" w:hanging="360"/>
      </w:pPr>
    </w:lvl>
    <w:lvl w:ilvl="1" w:tplc="040A0019">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38" w15:restartNumberingAfterBreak="0">
    <w:nsid w:val="4CE709A8"/>
    <w:multiLevelType w:val="hybridMultilevel"/>
    <w:tmpl w:val="6ADA8F3E"/>
    <w:lvl w:ilvl="0" w:tplc="778C93C6">
      <w:start w:val="1"/>
      <w:numFmt w:val="decimal"/>
      <w:lvlText w:val="%1."/>
      <w:lvlJc w:val="left"/>
      <w:pPr>
        <w:ind w:left="360" w:hanging="360"/>
      </w:pPr>
      <w:rPr>
        <w:rFonts w:ascii="Bookman Old Style" w:hAnsi="Bookman Old Style" w:hint="default"/>
        <w:sz w:val="24"/>
      </w:rPr>
    </w:lvl>
    <w:lvl w:ilvl="1" w:tplc="FFFFFFFF">
      <w:start w:val="1"/>
      <w:numFmt w:val="lowerLetter"/>
      <w:lvlText w:val="%2."/>
      <w:lvlJc w:val="left"/>
      <w:pPr>
        <w:ind w:left="1080" w:hanging="360"/>
      </w:pPr>
    </w:lvl>
    <w:lvl w:ilvl="2" w:tplc="FFFFFFFF">
      <w:start w:val="1"/>
      <w:numFmt w:val="lowerLetter"/>
      <w:lvlText w:val="%3)"/>
      <w:lvlJc w:val="left"/>
      <w:pPr>
        <w:ind w:left="1980" w:hanging="360"/>
      </w:pPr>
      <w:rPr>
        <w:rFonts w:hint="default"/>
      </w:r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9" w15:restartNumberingAfterBreak="0">
    <w:nsid w:val="4E57351C"/>
    <w:multiLevelType w:val="hybridMultilevel"/>
    <w:tmpl w:val="64D23762"/>
    <w:lvl w:ilvl="0" w:tplc="240A001B">
      <w:start w:val="1"/>
      <w:numFmt w:val="lowerRoman"/>
      <w:lvlText w:val="%1."/>
      <w:lvlJc w:val="right"/>
      <w:pPr>
        <w:ind w:left="1854" w:hanging="360"/>
      </w:pPr>
    </w:lvl>
    <w:lvl w:ilvl="1" w:tplc="240A0011">
      <w:start w:val="1"/>
      <w:numFmt w:val="decimal"/>
      <w:lvlText w:val="%2)"/>
      <w:lvlJc w:val="left"/>
      <w:pPr>
        <w:ind w:left="2574" w:hanging="360"/>
      </w:pPr>
      <w:rPr>
        <w:rFonts w:hint="default"/>
      </w:rPr>
    </w:lvl>
    <w:lvl w:ilvl="2" w:tplc="240A001B" w:tentative="1">
      <w:start w:val="1"/>
      <w:numFmt w:val="lowerRoman"/>
      <w:lvlText w:val="%3."/>
      <w:lvlJc w:val="right"/>
      <w:pPr>
        <w:ind w:left="3294" w:hanging="180"/>
      </w:pPr>
    </w:lvl>
    <w:lvl w:ilvl="3" w:tplc="240A000F" w:tentative="1">
      <w:start w:val="1"/>
      <w:numFmt w:val="decimal"/>
      <w:lvlText w:val="%4."/>
      <w:lvlJc w:val="left"/>
      <w:pPr>
        <w:ind w:left="4014" w:hanging="360"/>
      </w:pPr>
    </w:lvl>
    <w:lvl w:ilvl="4" w:tplc="240A0019" w:tentative="1">
      <w:start w:val="1"/>
      <w:numFmt w:val="lowerLetter"/>
      <w:lvlText w:val="%5."/>
      <w:lvlJc w:val="left"/>
      <w:pPr>
        <w:ind w:left="4734" w:hanging="360"/>
      </w:pPr>
    </w:lvl>
    <w:lvl w:ilvl="5" w:tplc="240A001B" w:tentative="1">
      <w:start w:val="1"/>
      <w:numFmt w:val="lowerRoman"/>
      <w:lvlText w:val="%6."/>
      <w:lvlJc w:val="right"/>
      <w:pPr>
        <w:ind w:left="5454" w:hanging="180"/>
      </w:pPr>
    </w:lvl>
    <w:lvl w:ilvl="6" w:tplc="240A000F" w:tentative="1">
      <w:start w:val="1"/>
      <w:numFmt w:val="decimal"/>
      <w:lvlText w:val="%7."/>
      <w:lvlJc w:val="left"/>
      <w:pPr>
        <w:ind w:left="6174" w:hanging="360"/>
      </w:pPr>
    </w:lvl>
    <w:lvl w:ilvl="7" w:tplc="240A0019" w:tentative="1">
      <w:start w:val="1"/>
      <w:numFmt w:val="lowerLetter"/>
      <w:lvlText w:val="%8."/>
      <w:lvlJc w:val="left"/>
      <w:pPr>
        <w:ind w:left="6894" w:hanging="360"/>
      </w:pPr>
    </w:lvl>
    <w:lvl w:ilvl="8" w:tplc="240A001B" w:tentative="1">
      <w:start w:val="1"/>
      <w:numFmt w:val="lowerRoman"/>
      <w:lvlText w:val="%9."/>
      <w:lvlJc w:val="right"/>
      <w:pPr>
        <w:ind w:left="7614" w:hanging="180"/>
      </w:pPr>
    </w:lvl>
  </w:abstractNum>
  <w:abstractNum w:abstractNumId="40" w15:restartNumberingAfterBreak="0">
    <w:nsid w:val="4F2C15A9"/>
    <w:multiLevelType w:val="hybridMultilevel"/>
    <w:tmpl w:val="B96040CE"/>
    <w:lvl w:ilvl="0" w:tplc="240A0015">
      <w:start w:val="1"/>
      <w:numFmt w:val="upperLetter"/>
      <w:lvlText w:val="%1."/>
      <w:lvlJc w:val="left"/>
      <w:pPr>
        <w:ind w:left="9858"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1" w15:restartNumberingAfterBreak="0">
    <w:nsid w:val="50C26834"/>
    <w:multiLevelType w:val="hybridMultilevel"/>
    <w:tmpl w:val="B0D42AA6"/>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2" w15:restartNumberingAfterBreak="0">
    <w:nsid w:val="568D1E35"/>
    <w:multiLevelType w:val="hybridMultilevel"/>
    <w:tmpl w:val="9F1445A2"/>
    <w:styleLink w:val="Estilo2"/>
    <w:lvl w:ilvl="0" w:tplc="0756CC50">
      <w:start w:val="1"/>
      <w:numFmt w:val="lowerRoman"/>
      <w:lvlText w:val="%1."/>
      <w:lvlJc w:val="right"/>
      <w:pPr>
        <w:ind w:left="1854" w:hanging="360"/>
      </w:pPr>
    </w:lvl>
    <w:lvl w:ilvl="1" w:tplc="96B6420C">
      <w:start w:val="1"/>
      <w:numFmt w:val="decimal"/>
      <w:lvlText w:val="%2)"/>
      <w:lvlJc w:val="left"/>
      <w:pPr>
        <w:ind w:left="2574" w:hanging="360"/>
      </w:pPr>
    </w:lvl>
    <w:lvl w:ilvl="2" w:tplc="291A34EA">
      <w:start w:val="1"/>
      <w:numFmt w:val="lowerRoman"/>
      <w:lvlText w:val="%3."/>
      <w:lvlJc w:val="right"/>
      <w:pPr>
        <w:ind w:left="3294" w:hanging="180"/>
      </w:pPr>
    </w:lvl>
    <w:lvl w:ilvl="3" w:tplc="7F4E55F0">
      <w:start w:val="1"/>
      <w:numFmt w:val="decimal"/>
      <w:lvlText w:val="%4."/>
      <w:lvlJc w:val="left"/>
      <w:pPr>
        <w:ind w:left="4014" w:hanging="360"/>
      </w:pPr>
    </w:lvl>
    <w:lvl w:ilvl="4" w:tplc="3B942156">
      <w:start w:val="1"/>
      <w:numFmt w:val="lowerLetter"/>
      <w:lvlText w:val="%5."/>
      <w:lvlJc w:val="left"/>
      <w:pPr>
        <w:ind w:left="4734" w:hanging="360"/>
      </w:pPr>
    </w:lvl>
    <w:lvl w:ilvl="5" w:tplc="50180862">
      <w:start w:val="1"/>
      <w:numFmt w:val="lowerRoman"/>
      <w:lvlText w:val="%6."/>
      <w:lvlJc w:val="right"/>
      <w:pPr>
        <w:ind w:left="5454" w:hanging="180"/>
      </w:pPr>
    </w:lvl>
    <w:lvl w:ilvl="6" w:tplc="EA1E2E2E">
      <w:start w:val="1"/>
      <w:numFmt w:val="decimal"/>
      <w:lvlText w:val="%7."/>
      <w:lvlJc w:val="left"/>
      <w:pPr>
        <w:ind w:left="6174" w:hanging="360"/>
      </w:pPr>
    </w:lvl>
    <w:lvl w:ilvl="7" w:tplc="F628F968">
      <w:start w:val="1"/>
      <w:numFmt w:val="lowerLetter"/>
      <w:lvlText w:val="%8."/>
      <w:lvlJc w:val="left"/>
      <w:pPr>
        <w:ind w:left="6894" w:hanging="360"/>
      </w:pPr>
    </w:lvl>
    <w:lvl w:ilvl="8" w:tplc="B7445D14">
      <w:start w:val="1"/>
      <w:numFmt w:val="lowerRoman"/>
      <w:lvlText w:val="%9."/>
      <w:lvlJc w:val="right"/>
      <w:pPr>
        <w:ind w:left="7614" w:hanging="180"/>
      </w:pPr>
    </w:lvl>
  </w:abstractNum>
  <w:abstractNum w:abstractNumId="43" w15:restartNumberingAfterBreak="0">
    <w:nsid w:val="590C78F9"/>
    <w:multiLevelType w:val="hybridMultilevel"/>
    <w:tmpl w:val="623AC2BA"/>
    <w:lvl w:ilvl="0" w:tplc="240A001B">
      <w:start w:val="1"/>
      <w:numFmt w:val="lowerRoman"/>
      <w:lvlText w:val="%1."/>
      <w:lvlJc w:val="right"/>
      <w:pPr>
        <w:ind w:left="1854" w:hanging="360"/>
      </w:pPr>
    </w:lvl>
    <w:lvl w:ilvl="1" w:tplc="240A000F">
      <w:start w:val="1"/>
      <w:numFmt w:val="decimal"/>
      <w:lvlText w:val="%2."/>
      <w:lvlJc w:val="left"/>
      <w:pPr>
        <w:ind w:left="2574" w:hanging="360"/>
      </w:pPr>
    </w:lvl>
    <w:lvl w:ilvl="2" w:tplc="240A001B" w:tentative="1">
      <w:start w:val="1"/>
      <w:numFmt w:val="lowerRoman"/>
      <w:lvlText w:val="%3."/>
      <w:lvlJc w:val="right"/>
      <w:pPr>
        <w:ind w:left="3294" w:hanging="180"/>
      </w:pPr>
    </w:lvl>
    <w:lvl w:ilvl="3" w:tplc="240A000F" w:tentative="1">
      <w:start w:val="1"/>
      <w:numFmt w:val="decimal"/>
      <w:lvlText w:val="%4."/>
      <w:lvlJc w:val="left"/>
      <w:pPr>
        <w:ind w:left="4014" w:hanging="360"/>
      </w:pPr>
    </w:lvl>
    <w:lvl w:ilvl="4" w:tplc="240A0019" w:tentative="1">
      <w:start w:val="1"/>
      <w:numFmt w:val="lowerLetter"/>
      <w:lvlText w:val="%5."/>
      <w:lvlJc w:val="left"/>
      <w:pPr>
        <w:ind w:left="4734" w:hanging="360"/>
      </w:pPr>
    </w:lvl>
    <w:lvl w:ilvl="5" w:tplc="240A001B" w:tentative="1">
      <w:start w:val="1"/>
      <w:numFmt w:val="lowerRoman"/>
      <w:lvlText w:val="%6."/>
      <w:lvlJc w:val="right"/>
      <w:pPr>
        <w:ind w:left="5454" w:hanging="180"/>
      </w:pPr>
    </w:lvl>
    <w:lvl w:ilvl="6" w:tplc="240A000F" w:tentative="1">
      <w:start w:val="1"/>
      <w:numFmt w:val="decimal"/>
      <w:lvlText w:val="%7."/>
      <w:lvlJc w:val="left"/>
      <w:pPr>
        <w:ind w:left="6174" w:hanging="360"/>
      </w:pPr>
    </w:lvl>
    <w:lvl w:ilvl="7" w:tplc="240A0019" w:tentative="1">
      <w:start w:val="1"/>
      <w:numFmt w:val="lowerLetter"/>
      <w:lvlText w:val="%8."/>
      <w:lvlJc w:val="left"/>
      <w:pPr>
        <w:ind w:left="6894" w:hanging="360"/>
      </w:pPr>
    </w:lvl>
    <w:lvl w:ilvl="8" w:tplc="240A001B" w:tentative="1">
      <w:start w:val="1"/>
      <w:numFmt w:val="lowerRoman"/>
      <w:lvlText w:val="%9."/>
      <w:lvlJc w:val="right"/>
      <w:pPr>
        <w:ind w:left="7614" w:hanging="180"/>
      </w:pPr>
    </w:lvl>
  </w:abstractNum>
  <w:abstractNum w:abstractNumId="44" w15:restartNumberingAfterBreak="0">
    <w:nsid w:val="594A3331"/>
    <w:multiLevelType w:val="hybridMultilevel"/>
    <w:tmpl w:val="E0B05674"/>
    <w:lvl w:ilvl="0" w:tplc="20F25752">
      <w:start w:val="1"/>
      <w:numFmt w:val="lowerLetter"/>
      <w:lvlText w:val="%1."/>
      <w:lvlJc w:val="left"/>
      <w:pPr>
        <w:ind w:left="-492" w:hanging="360"/>
      </w:pPr>
      <w:rPr>
        <w:sz w:val="24"/>
        <w:szCs w:val="24"/>
      </w:rPr>
    </w:lvl>
    <w:lvl w:ilvl="1" w:tplc="240A0019">
      <w:start w:val="1"/>
      <w:numFmt w:val="lowerLetter"/>
      <w:lvlText w:val="%2."/>
      <w:lvlJc w:val="left"/>
      <w:pPr>
        <w:ind w:left="228" w:hanging="360"/>
      </w:pPr>
    </w:lvl>
    <w:lvl w:ilvl="2" w:tplc="240A001B">
      <w:start w:val="1"/>
      <w:numFmt w:val="lowerRoman"/>
      <w:lvlText w:val="%3."/>
      <w:lvlJc w:val="right"/>
      <w:pPr>
        <w:ind w:left="948" w:hanging="180"/>
      </w:pPr>
    </w:lvl>
    <w:lvl w:ilvl="3" w:tplc="240A000F" w:tentative="1">
      <w:start w:val="1"/>
      <w:numFmt w:val="decimal"/>
      <w:lvlText w:val="%4."/>
      <w:lvlJc w:val="left"/>
      <w:pPr>
        <w:ind w:left="1668" w:hanging="360"/>
      </w:pPr>
    </w:lvl>
    <w:lvl w:ilvl="4" w:tplc="240A0019" w:tentative="1">
      <w:start w:val="1"/>
      <w:numFmt w:val="lowerLetter"/>
      <w:lvlText w:val="%5."/>
      <w:lvlJc w:val="left"/>
      <w:pPr>
        <w:ind w:left="2388" w:hanging="360"/>
      </w:pPr>
    </w:lvl>
    <w:lvl w:ilvl="5" w:tplc="240A001B" w:tentative="1">
      <w:start w:val="1"/>
      <w:numFmt w:val="lowerRoman"/>
      <w:lvlText w:val="%6."/>
      <w:lvlJc w:val="right"/>
      <w:pPr>
        <w:ind w:left="3108" w:hanging="180"/>
      </w:pPr>
    </w:lvl>
    <w:lvl w:ilvl="6" w:tplc="240A000F" w:tentative="1">
      <w:start w:val="1"/>
      <w:numFmt w:val="decimal"/>
      <w:lvlText w:val="%7."/>
      <w:lvlJc w:val="left"/>
      <w:pPr>
        <w:ind w:left="3828" w:hanging="360"/>
      </w:pPr>
    </w:lvl>
    <w:lvl w:ilvl="7" w:tplc="240A0019" w:tentative="1">
      <w:start w:val="1"/>
      <w:numFmt w:val="lowerLetter"/>
      <w:lvlText w:val="%8."/>
      <w:lvlJc w:val="left"/>
      <w:pPr>
        <w:ind w:left="4548" w:hanging="360"/>
      </w:pPr>
    </w:lvl>
    <w:lvl w:ilvl="8" w:tplc="240A001B" w:tentative="1">
      <w:start w:val="1"/>
      <w:numFmt w:val="lowerRoman"/>
      <w:lvlText w:val="%9."/>
      <w:lvlJc w:val="right"/>
      <w:pPr>
        <w:ind w:left="5268" w:hanging="180"/>
      </w:pPr>
    </w:lvl>
  </w:abstractNum>
  <w:abstractNum w:abstractNumId="45" w15:restartNumberingAfterBreak="0">
    <w:nsid w:val="59E14B35"/>
    <w:multiLevelType w:val="hybridMultilevel"/>
    <w:tmpl w:val="F4120276"/>
    <w:lvl w:ilvl="0" w:tplc="53CADBF6">
      <w:start w:val="1"/>
      <w:numFmt w:val="lowerLetter"/>
      <w:lvlText w:val="%1."/>
      <w:lvlJc w:val="left"/>
      <w:pPr>
        <w:ind w:left="144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46" w15:restartNumberingAfterBreak="0">
    <w:nsid w:val="5A360509"/>
    <w:multiLevelType w:val="hybridMultilevel"/>
    <w:tmpl w:val="CFF6996A"/>
    <w:lvl w:ilvl="0" w:tplc="240A001B">
      <w:start w:val="1"/>
      <w:numFmt w:val="lowerRoman"/>
      <w:lvlText w:val="%1."/>
      <w:lvlJc w:val="right"/>
      <w:pPr>
        <w:ind w:left="1854" w:hanging="360"/>
      </w:pPr>
    </w:lvl>
    <w:lvl w:ilvl="1" w:tplc="240A0019">
      <w:start w:val="1"/>
      <w:numFmt w:val="lowerLetter"/>
      <w:lvlText w:val="%2."/>
      <w:lvlJc w:val="left"/>
      <w:pPr>
        <w:ind w:left="2574" w:hanging="360"/>
      </w:pPr>
    </w:lvl>
    <w:lvl w:ilvl="2" w:tplc="240A001B" w:tentative="1">
      <w:start w:val="1"/>
      <w:numFmt w:val="lowerRoman"/>
      <w:lvlText w:val="%3."/>
      <w:lvlJc w:val="right"/>
      <w:pPr>
        <w:ind w:left="3294" w:hanging="180"/>
      </w:pPr>
    </w:lvl>
    <w:lvl w:ilvl="3" w:tplc="240A000F" w:tentative="1">
      <w:start w:val="1"/>
      <w:numFmt w:val="decimal"/>
      <w:lvlText w:val="%4."/>
      <w:lvlJc w:val="left"/>
      <w:pPr>
        <w:ind w:left="4014" w:hanging="360"/>
      </w:pPr>
    </w:lvl>
    <w:lvl w:ilvl="4" w:tplc="240A0019" w:tentative="1">
      <w:start w:val="1"/>
      <w:numFmt w:val="lowerLetter"/>
      <w:lvlText w:val="%5."/>
      <w:lvlJc w:val="left"/>
      <w:pPr>
        <w:ind w:left="4734" w:hanging="360"/>
      </w:pPr>
    </w:lvl>
    <w:lvl w:ilvl="5" w:tplc="240A001B" w:tentative="1">
      <w:start w:val="1"/>
      <w:numFmt w:val="lowerRoman"/>
      <w:lvlText w:val="%6."/>
      <w:lvlJc w:val="right"/>
      <w:pPr>
        <w:ind w:left="5454" w:hanging="180"/>
      </w:pPr>
    </w:lvl>
    <w:lvl w:ilvl="6" w:tplc="240A000F" w:tentative="1">
      <w:start w:val="1"/>
      <w:numFmt w:val="decimal"/>
      <w:lvlText w:val="%7."/>
      <w:lvlJc w:val="left"/>
      <w:pPr>
        <w:ind w:left="6174" w:hanging="360"/>
      </w:pPr>
    </w:lvl>
    <w:lvl w:ilvl="7" w:tplc="240A0019" w:tentative="1">
      <w:start w:val="1"/>
      <w:numFmt w:val="lowerLetter"/>
      <w:lvlText w:val="%8."/>
      <w:lvlJc w:val="left"/>
      <w:pPr>
        <w:ind w:left="6894" w:hanging="360"/>
      </w:pPr>
    </w:lvl>
    <w:lvl w:ilvl="8" w:tplc="240A001B" w:tentative="1">
      <w:start w:val="1"/>
      <w:numFmt w:val="lowerRoman"/>
      <w:lvlText w:val="%9."/>
      <w:lvlJc w:val="right"/>
      <w:pPr>
        <w:ind w:left="7614" w:hanging="180"/>
      </w:pPr>
    </w:lvl>
  </w:abstractNum>
  <w:abstractNum w:abstractNumId="47" w15:restartNumberingAfterBreak="0">
    <w:nsid w:val="5BAC19DB"/>
    <w:multiLevelType w:val="hybridMultilevel"/>
    <w:tmpl w:val="2FD6B380"/>
    <w:lvl w:ilvl="0" w:tplc="BB4604D0">
      <w:start w:val="9"/>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8" w15:restartNumberingAfterBreak="0">
    <w:nsid w:val="66674D40"/>
    <w:multiLevelType w:val="hybridMultilevel"/>
    <w:tmpl w:val="EEF27C66"/>
    <w:lvl w:ilvl="0" w:tplc="3B385A6A">
      <w:numFmt w:val="bullet"/>
      <w:lvlText w:val=""/>
      <w:lvlJc w:val="left"/>
      <w:pPr>
        <w:ind w:left="720" w:hanging="360"/>
      </w:pPr>
      <w:rPr>
        <w:rFonts w:ascii="Wingdings" w:eastAsia="Calibri" w:hAnsi="Wingdings"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9" w15:restartNumberingAfterBreak="0">
    <w:nsid w:val="67254CE4"/>
    <w:multiLevelType w:val="hybridMultilevel"/>
    <w:tmpl w:val="2F5C5BFA"/>
    <w:lvl w:ilvl="0" w:tplc="240A000F">
      <w:start w:val="1"/>
      <w:numFmt w:val="decimal"/>
      <w:lvlText w:val="%1."/>
      <w:lvlJc w:val="left"/>
      <w:pPr>
        <w:ind w:left="1494" w:hanging="360"/>
      </w:pPr>
      <w:rPr>
        <w:rFonts w:hint="default"/>
        <w:b/>
        <w:i w:val="0"/>
      </w:rPr>
    </w:lvl>
    <w:lvl w:ilvl="1" w:tplc="240A0019" w:tentative="1">
      <w:start w:val="1"/>
      <w:numFmt w:val="lowerLetter"/>
      <w:lvlText w:val="%2."/>
      <w:lvlJc w:val="left"/>
      <w:pPr>
        <w:ind w:left="-829" w:hanging="360"/>
      </w:pPr>
    </w:lvl>
    <w:lvl w:ilvl="2" w:tplc="240A001B" w:tentative="1">
      <w:start w:val="1"/>
      <w:numFmt w:val="lowerRoman"/>
      <w:lvlText w:val="%3."/>
      <w:lvlJc w:val="right"/>
      <w:pPr>
        <w:ind w:left="-109" w:hanging="180"/>
      </w:pPr>
    </w:lvl>
    <w:lvl w:ilvl="3" w:tplc="240A000F" w:tentative="1">
      <w:start w:val="1"/>
      <w:numFmt w:val="decimal"/>
      <w:lvlText w:val="%4."/>
      <w:lvlJc w:val="left"/>
      <w:pPr>
        <w:ind w:left="611" w:hanging="360"/>
      </w:pPr>
    </w:lvl>
    <w:lvl w:ilvl="4" w:tplc="240A0019" w:tentative="1">
      <w:start w:val="1"/>
      <w:numFmt w:val="lowerLetter"/>
      <w:lvlText w:val="%5."/>
      <w:lvlJc w:val="left"/>
      <w:pPr>
        <w:ind w:left="1331" w:hanging="360"/>
      </w:pPr>
    </w:lvl>
    <w:lvl w:ilvl="5" w:tplc="240A001B" w:tentative="1">
      <w:start w:val="1"/>
      <w:numFmt w:val="lowerRoman"/>
      <w:lvlText w:val="%6."/>
      <w:lvlJc w:val="right"/>
      <w:pPr>
        <w:ind w:left="2051" w:hanging="180"/>
      </w:pPr>
    </w:lvl>
    <w:lvl w:ilvl="6" w:tplc="240A000F" w:tentative="1">
      <w:start w:val="1"/>
      <w:numFmt w:val="decimal"/>
      <w:lvlText w:val="%7."/>
      <w:lvlJc w:val="left"/>
      <w:pPr>
        <w:ind w:left="2771" w:hanging="360"/>
      </w:pPr>
    </w:lvl>
    <w:lvl w:ilvl="7" w:tplc="240A0019" w:tentative="1">
      <w:start w:val="1"/>
      <w:numFmt w:val="lowerLetter"/>
      <w:lvlText w:val="%8."/>
      <w:lvlJc w:val="left"/>
      <w:pPr>
        <w:ind w:left="3491" w:hanging="360"/>
      </w:pPr>
    </w:lvl>
    <w:lvl w:ilvl="8" w:tplc="240A001B" w:tentative="1">
      <w:start w:val="1"/>
      <w:numFmt w:val="lowerRoman"/>
      <w:lvlText w:val="%9."/>
      <w:lvlJc w:val="right"/>
      <w:pPr>
        <w:ind w:left="4211" w:hanging="180"/>
      </w:pPr>
    </w:lvl>
  </w:abstractNum>
  <w:abstractNum w:abstractNumId="50" w15:restartNumberingAfterBreak="0">
    <w:nsid w:val="680D79C2"/>
    <w:multiLevelType w:val="hybridMultilevel"/>
    <w:tmpl w:val="BAE8E036"/>
    <w:lvl w:ilvl="0" w:tplc="240A0019">
      <w:start w:val="1"/>
      <w:numFmt w:val="lowerLetter"/>
      <w:lvlText w:val="%1."/>
      <w:lvlJc w:val="left"/>
      <w:pPr>
        <w:ind w:left="360" w:hanging="360"/>
      </w:pPr>
    </w:lvl>
    <w:lvl w:ilvl="1" w:tplc="240A0019">
      <w:start w:val="1"/>
      <w:numFmt w:val="lowerLetter"/>
      <w:lvlText w:val="%2."/>
      <w:lvlJc w:val="left"/>
      <w:pPr>
        <w:ind w:left="1080" w:hanging="360"/>
      </w:pPr>
    </w:lvl>
    <w:lvl w:ilvl="2" w:tplc="240A0019">
      <w:start w:val="1"/>
      <w:numFmt w:val="lowerLetter"/>
      <w:lvlText w:val="%3."/>
      <w:lvlJc w:val="lef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1" w15:restartNumberingAfterBreak="0">
    <w:nsid w:val="686A7271"/>
    <w:multiLevelType w:val="hybridMultilevel"/>
    <w:tmpl w:val="64A0B460"/>
    <w:lvl w:ilvl="0" w:tplc="DB8C2DD0">
      <w:start w:val="1"/>
      <w:numFmt w:val="decimal"/>
      <w:lvlText w:val="Artículo %1. "/>
      <w:lvlJc w:val="left"/>
      <w:pPr>
        <w:ind w:left="502" w:hanging="360"/>
      </w:pPr>
      <w:rPr>
        <w:rFonts w:hint="default"/>
        <w:b/>
        <w:i w:val="0"/>
      </w:rPr>
    </w:lvl>
    <w:lvl w:ilvl="1" w:tplc="FFFFFFFF">
      <w:start w:val="1"/>
      <w:numFmt w:val="lowerLetter"/>
      <w:lvlText w:val="%2."/>
      <w:lvlJc w:val="left"/>
      <w:pPr>
        <w:ind w:left="4058" w:hanging="360"/>
      </w:pPr>
    </w:lvl>
    <w:lvl w:ilvl="2" w:tplc="FFFFFFFF" w:tentative="1">
      <w:start w:val="1"/>
      <w:numFmt w:val="lowerRoman"/>
      <w:lvlText w:val="%3."/>
      <w:lvlJc w:val="right"/>
      <w:pPr>
        <w:ind w:left="4778" w:hanging="180"/>
      </w:pPr>
    </w:lvl>
    <w:lvl w:ilvl="3" w:tplc="FFFFFFFF" w:tentative="1">
      <w:start w:val="1"/>
      <w:numFmt w:val="decimal"/>
      <w:lvlText w:val="%4."/>
      <w:lvlJc w:val="left"/>
      <w:pPr>
        <w:ind w:left="5498" w:hanging="360"/>
      </w:pPr>
    </w:lvl>
    <w:lvl w:ilvl="4" w:tplc="FFFFFFFF" w:tentative="1">
      <w:start w:val="1"/>
      <w:numFmt w:val="lowerLetter"/>
      <w:lvlText w:val="%5."/>
      <w:lvlJc w:val="left"/>
      <w:pPr>
        <w:ind w:left="6218" w:hanging="360"/>
      </w:pPr>
    </w:lvl>
    <w:lvl w:ilvl="5" w:tplc="FFFFFFFF" w:tentative="1">
      <w:start w:val="1"/>
      <w:numFmt w:val="lowerRoman"/>
      <w:lvlText w:val="%6."/>
      <w:lvlJc w:val="right"/>
      <w:pPr>
        <w:ind w:left="6938" w:hanging="180"/>
      </w:pPr>
    </w:lvl>
    <w:lvl w:ilvl="6" w:tplc="FFFFFFFF" w:tentative="1">
      <w:start w:val="1"/>
      <w:numFmt w:val="decimal"/>
      <w:lvlText w:val="%7."/>
      <w:lvlJc w:val="left"/>
      <w:pPr>
        <w:ind w:left="7658" w:hanging="360"/>
      </w:pPr>
    </w:lvl>
    <w:lvl w:ilvl="7" w:tplc="FFFFFFFF" w:tentative="1">
      <w:start w:val="1"/>
      <w:numFmt w:val="lowerLetter"/>
      <w:lvlText w:val="%8."/>
      <w:lvlJc w:val="left"/>
      <w:pPr>
        <w:ind w:left="8378" w:hanging="360"/>
      </w:pPr>
    </w:lvl>
    <w:lvl w:ilvl="8" w:tplc="FFFFFFFF" w:tentative="1">
      <w:start w:val="1"/>
      <w:numFmt w:val="lowerRoman"/>
      <w:lvlText w:val="%9."/>
      <w:lvlJc w:val="right"/>
      <w:pPr>
        <w:ind w:left="9098" w:hanging="180"/>
      </w:pPr>
    </w:lvl>
  </w:abstractNum>
  <w:abstractNum w:abstractNumId="52" w15:restartNumberingAfterBreak="0">
    <w:nsid w:val="6AD8DAAD"/>
    <w:multiLevelType w:val="hybridMultilevel"/>
    <w:tmpl w:val="01DDB992"/>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3" w15:restartNumberingAfterBreak="0">
    <w:nsid w:val="6C39F3EC"/>
    <w:multiLevelType w:val="hybridMultilevel"/>
    <w:tmpl w:val="48A81B7A"/>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4" w15:restartNumberingAfterBreak="0">
    <w:nsid w:val="6EE35487"/>
    <w:multiLevelType w:val="hybridMultilevel"/>
    <w:tmpl w:val="0B2603CA"/>
    <w:lvl w:ilvl="0" w:tplc="1EEE05C8">
      <w:start w:val="1"/>
      <w:numFmt w:val="decimal"/>
      <w:lvlText w:val="Artículo %1."/>
      <w:lvlJc w:val="left"/>
      <w:pPr>
        <w:ind w:left="360" w:hanging="360"/>
      </w:pPr>
      <w:rPr>
        <w:rFonts w:ascii="Bookman Old Style" w:hAnsi="Bookman Old Style" w:hint="default"/>
        <w:b/>
        <w:i w:val="0"/>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5" w15:restartNumberingAfterBreak="0">
    <w:nsid w:val="704A2623"/>
    <w:multiLevelType w:val="hybridMultilevel"/>
    <w:tmpl w:val="079C3124"/>
    <w:lvl w:ilvl="0" w:tplc="240A0017">
      <w:start w:val="1"/>
      <w:numFmt w:val="lowerLetter"/>
      <w:lvlText w:val="%1)"/>
      <w:lvlJc w:val="left"/>
      <w:pPr>
        <w:ind w:left="720" w:hanging="360"/>
      </w:pPr>
      <w:rPr>
        <w:rFonts w:hint="default"/>
      </w:rPr>
    </w:lvl>
    <w:lvl w:ilvl="1" w:tplc="FFFFFFFF">
      <w:start w:val="1"/>
      <w:numFmt w:val="lowerLetter"/>
      <w:lvlText w:val="%2."/>
      <w:lvlJc w:val="left"/>
      <w:pPr>
        <w:ind w:left="4276" w:hanging="360"/>
      </w:pPr>
    </w:lvl>
    <w:lvl w:ilvl="2" w:tplc="FFFFFFFF" w:tentative="1">
      <w:start w:val="1"/>
      <w:numFmt w:val="lowerRoman"/>
      <w:lvlText w:val="%3."/>
      <w:lvlJc w:val="right"/>
      <w:pPr>
        <w:ind w:left="4996" w:hanging="180"/>
      </w:pPr>
    </w:lvl>
    <w:lvl w:ilvl="3" w:tplc="FFFFFFFF" w:tentative="1">
      <w:start w:val="1"/>
      <w:numFmt w:val="decimal"/>
      <w:lvlText w:val="%4."/>
      <w:lvlJc w:val="left"/>
      <w:pPr>
        <w:ind w:left="5716" w:hanging="360"/>
      </w:pPr>
    </w:lvl>
    <w:lvl w:ilvl="4" w:tplc="FFFFFFFF" w:tentative="1">
      <w:start w:val="1"/>
      <w:numFmt w:val="lowerLetter"/>
      <w:lvlText w:val="%5."/>
      <w:lvlJc w:val="left"/>
      <w:pPr>
        <w:ind w:left="6436" w:hanging="360"/>
      </w:pPr>
    </w:lvl>
    <w:lvl w:ilvl="5" w:tplc="FFFFFFFF" w:tentative="1">
      <w:start w:val="1"/>
      <w:numFmt w:val="lowerRoman"/>
      <w:lvlText w:val="%6."/>
      <w:lvlJc w:val="right"/>
      <w:pPr>
        <w:ind w:left="7156" w:hanging="180"/>
      </w:pPr>
    </w:lvl>
    <w:lvl w:ilvl="6" w:tplc="FFFFFFFF" w:tentative="1">
      <w:start w:val="1"/>
      <w:numFmt w:val="decimal"/>
      <w:lvlText w:val="%7."/>
      <w:lvlJc w:val="left"/>
      <w:pPr>
        <w:ind w:left="7876" w:hanging="360"/>
      </w:pPr>
    </w:lvl>
    <w:lvl w:ilvl="7" w:tplc="FFFFFFFF" w:tentative="1">
      <w:start w:val="1"/>
      <w:numFmt w:val="lowerLetter"/>
      <w:lvlText w:val="%8."/>
      <w:lvlJc w:val="left"/>
      <w:pPr>
        <w:ind w:left="8596" w:hanging="360"/>
      </w:pPr>
    </w:lvl>
    <w:lvl w:ilvl="8" w:tplc="FFFFFFFF" w:tentative="1">
      <w:start w:val="1"/>
      <w:numFmt w:val="lowerRoman"/>
      <w:lvlText w:val="%9."/>
      <w:lvlJc w:val="right"/>
      <w:pPr>
        <w:ind w:left="9316" w:hanging="180"/>
      </w:pPr>
    </w:lvl>
  </w:abstractNum>
  <w:abstractNum w:abstractNumId="56" w15:restartNumberingAfterBreak="0">
    <w:nsid w:val="7396103F"/>
    <w:multiLevelType w:val="hybridMultilevel"/>
    <w:tmpl w:val="D9AC4118"/>
    <w:lvl w:ilvl="0" w:tplc="FFFFFFFF">
      <w:start w:val="1"/>
      <w:numFmt w:val="lowerLetter"/>
      <w:pStyle w:val="Listaletras"/>
      <w:lvlText w:val="%1)"/>
      <w:lvlJc w:val="left"/>
      <w:pPr>
        <w:ind w:left="36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57" w15:restartNumberingAfterBreak="0">
    <w:nsid w:val="7A60114C"/>
    <w:multiLevelType w:val="hybridMultilevel"/>
    <w:tmpl w:val="806E6E0E"/>
    <w:lvl w:ilvl="0" w:tplc="040A000F">
      <w:start w:val="1"/>
      <w:numFmt w:val="decimal"/>
      <w:lvlText w:val="%1."/>
      <w:lvlJc w:val="left"/>
      <w:pPr>
        <w:ind w:left="1920" w:hanging="360"/>
      </w:pPr>
    </w:lvl>
    <w:lvl w:ilvl="1" w:tplc="040A0019" w:tentative="1">
      <w:start w:val="1"/>
      <w:numFmt w:val="lowerLetter"/>
      <w:lvlText w:val="%2."/>
      <w:lvlJc w:val="left"/>
      <w:pPr>
        <w:ind w:left="2640" w:hanging="360"/>
      </w:pPr>
    </w:lvl>
    <w:lvl w:ilvl="2" w:tplc="040A001B" w:tentative="1">
      <w:start w:val="1"/>
      <w:numFmt w:val="lowerRoman"/>
      <w:lvlText w:val="%3."/>
      <w:lvlJc w:val="right"/>
      <w:pPr>
        <w:ind w:left="3360" w:hanging="180"/>
      </w:pPr>
    </w:lvl>
    <w:lvl w:ilvl="3" w:tplc="040A000F" w:tentative="1">
      <w:start w:val="1"/>
      <w:numFmt w:val="decimal"/>
      <w:lvlText w:val="%4."/>
      <w:lvlJc w:val="left"/>
      <w:pPr>
        <w:ind w:left="4080" w:hanging="360"/>
      </w:pPr>
    </w:lvl>
    <w:lvl w:ilvl="4" w:tplc="040A0019" w:tentative="1">
      <w:start w:val="1"/>
      <w:numFmt w:val="lowerLetter"/>
      <w:lvlText w:val="%5."/>
      <w:lvlJc w:val="left"/>
      <w:pPr>
        <w:ind w:left="4800" w:hanging="360"/>
      </w:pPr>
    </w:lvl>
    <w:lvl w:ilvl="5" w:tplc="040A001B" w:tentative="1">
      <w:start w:val="1"/>
      <w:numFmt w:val="lowerRoman"/>
      <w:lvlText w:val="%6."/>
      <w:lvlJc w:val="right"/>
      <w:pPr>
        <w:ind w:left="5520" w:hanging="180"/>
      </w:pPr>
    </w:lvl>
    <w:lvl w:ilvl="6" w:tplc="040A000F" w:tentative="1">
      <w:start w:val="1"/>
      <w:numFmt w:val="decimal"/>
      <w:lvlText w:val="%7."/>
      <w:lvlJc w:val="left"/>
      <w:pPr>
        <w:ind w:left="6240" w:hanging="360"/>
      </w:pPr>
    </w:lvl>
    <w:lvl w:ilvl="7" w:tplc="040A0019" w:tentative="1">
      <w:start w:val="1"/>
      <w:numFmt w:val="lowerLetter"/>
      <w:lvlText w:val="%8."/>
      <w:lvlJc w:val="left"/>
      <w:pPr>
        <w:ind w:left="6960" w:hanging="360"/>
      </w:pPr>
    </w:lvl>
    <w:lvl w:ilvl="8" w:tplc="040A001B" w:tentative="1">
      <w:start w:val="1"/>
      <w:numFmt w:val="lowerRoman"/>
      <w:lvlText w:val="%9."/>
      <w:lvlJc w:val="right"/>
      <w:pPr>
        <w:ind w:left="7680" w:hanging="180"/>
      </w:pPr>
    </w:lvl>
  </w:abstractNum>
  <w:abstractNum w:abstractNumId="58" w15:restartNumberingAfterBreak="0">
    <w:nsid w:val="7FD861F5"/>
    <w:multiLevelType w:val="hybridMultilevel"/>
    <w:tmpl w:val="864CAF60"/>
    <w:lvl w:ilvl="0" w:tplc="B43CDE5C">
      <w:start w:val="1"/>
      <w:numFmt w:val="lowerRoman"/>
      <w:lvlText w:val="%1."/>
      <w:lvlJc w:val="left"/>
      <w:pPr>
        <w:ind w:left="1854" w:hanging="360"/>
      </w:pPr>
      <w:rPr>
        <w:rFonts w:hint="default"/>
      </w:rPr>
    </w:lvl>
    <w:lvl w:ilvl="1" w:tplc="FFAE5C28">
      <w:start w:val="1"/>
      <w:numFmt w:val="decimal"/>
      <w:lvlText w:val="%2)"/>
      <w:lvlJc w:val="left"/>
      <w:pPr>
        <w:ind w:left="2574" w:hanging="360"/>
      </w:pPr>
    </w:lvl>
    <w:lvl w:ilvl="2" w:tplc="E2B24BA2">
      <w:start w:val="1"/>
      <w:numFmt w:val="lowerRoman"/>
      <w:lvlText w:val="%3."/>
      <w:lvlJc w:val="right"/>
      <w:pPr>
        <w:ind w:left="3294" w:hanging="180"/>
      </w:pPr>
    </w:lvl>
    <w:lvl w:ilvl="3" w:tplc="E7DA1EF6">
      <w:start w:val="1"/>
      <w:numFmt w:val="decimal"/>
      <w:lvlText w:val="%4."/>
      <w:lvlJc w:val="left"/>
      <w:pPr>
        <w:ind w:left="4014" w:hanging="360"/>
      </w:pPr>
    </w:lvl>
    <w:lvl w:ilvl="4" w:tplc="3D6817B0">
      <w:start w:val="1"/>
      <w:numFmt w:val="lowerLetter"/>
      <w:lvlText w:val="%5."/>
      <w:lvlJc w:val="left"/>
      <w:pPr>
        <w:ind w:left="4734" w:hanging="360"/>
      </w:pPr>
    </w:lvl>
    <w:lvl w:ilvl="5" w:tplc="1D1E85E4">
      <w:start w:val="1"/>
      <w:numFmt w:val="lowerRoman"/>
      <w:lvlText w:val="%6."/>
      <w:lvlJc w:val="right"/>
      <w:pPr>
        <w:ind w:left="5454" w:hanging="180"/>
      </w:pPr>
    </w:lvl>
    <w:lvl w:ilvl="6" w:tplc="E618B94A">
      <w:start w:val="1"/>
      <w:numFmt w:val="decimal"/>
      <w:lvlText w:val="%7."/>
      <w:lvlJc w:val="left"/>
      <w:pPr>
        <w:ind w:left="6174" w:hanging="360"/>
      </w:pPr>
    </w:lvl>
    <w:lvl w:ilvl="7" w:tplc="F9CEE31C">
      <w:start w:val="1"/>
      <w:numFmt w:val="lowerLetter"/>
      <w:lvlText w:val="%8."/>
      <w:lvlJc w:val="left"/>
      <w:pPr>
        <w:ind w:left="6894" w:hanging="360"/>
      </w:pPr>
    </w:lvl>
    <w:lvl w:ilvl="8" w:tplc="2D440A7A">
      <w:start w:val="1"/>
      <w:numFmt w:val="lowerRoman"/>
      <w:lvlText w:val="%9."/>
      <w:lvlJc w:val="right"/>
      <w:pPr>
        <w:ind w:left="7614" w:hanging="180"/>
      </w:pPr>
    </w:lvl>
  </w:abstractNum>
  <w:num w:numId="1" w16cid:durableId="1177766497">
    <w:abstractNumId w:val="3"/>
  </w:num>
  <w:num w:numId="2" w16cid:durableId="1272589018">
    <w:abstractNumId w:val="23"/>
  </w:num>
  <w:num w:numId="3" w16cid:durableId="987515012">
    <w:abstractNumId w:val="16"/>
  </w:num>
  <w:num w:numId="4" w16cid:durableId="1174951174">
    <w:abstractNumId w:val="45"/>
  </w:num>
  <w:num w:numId="5" w16cid:durableId="456872905">
    <w:abstractNumId w:val="56"/>
  </w:num>
  <w:num w:numId="6" w16cid:durableId="1937320834">
    <w:abstractNumId w:val="12"/>
  </w:num>
  <w:num w:numId="7" w16cid:durableId="1479418001">
    <w:abstractNumId w:val="57"/>
  </w:num>
  <w:num w:numId="8" w16cid:durableId="734476504">
    <w:abstractNumId w:val="40"/>
  </w:num>
  <w:num w:numId="9" w16cid:durableId="779029642">
    <w:abstractNumId w:val="37"/>
  </w:num>
  <w:num w:numId="10" w16cid:durableId="1565985192">
    <w:abstractNumId w:val="55"/>
  </w:num>
  <w:num w:numId="11" w16cid:durableId="252709325">
    <w:abstractNumId w:val="28"/>
  </w:num>
  <w:num w:numId="12" w16cid:durableId="1462529195">
    <w:abstractNumId w:val="20"/>
  </w:num>
  <w:num w:numId="13" w16cid:durableId="1176768352">
    <w:abstractNumId w:val="15"/>
  </w:num>
  <w:num w:numId="14" w16cid:durableId="1870951514">
    <w:abstractNumId w:val="54"/>
  </w:num>
  <w:num w:numId="15" w16cid:durableId="566263741">
    <w:abstractNumId w:val="51"/>
  </w:num>
  <w:num w:numId="16" w16cid:durableId="186799022">
    <w:abstractNumId w:val="9"/>
  </w:num>
  <w:num w:numId="17" w16cid:durableId="1536118433">
    <w:abstractNumId w:val="26"/>
  </w:num>
  <w:num w:numId="18" w16cid:durableId="1389062846">
    <w:abstractNumId w:val="34"/>
  </w:num>
  <w:num w:numId="19" w16cid:durableId="783497922">
    <w:abstractNumId w:val="29"/>
  </w:num>
  <w:num w:numId="20" w16cid:durableId="595943381">
    <w:abstractNumId w:val="8"/>
  </w:num>
  <w:num w:numId="21" w16cid:durableId="1408378068">
    <w:abstractNumId w:val="35"/>
  </w:num>
  <w:num w:numId="22" w16cid:durableId="297034509">
    <w:abstractNumId w:val="10"/>
  </w:num>
  <w:num w:numId="23" w16cid:durableId="610431297">
    <w:abstractNumId w:val="49"/>
  </w:num>
  <w:num w:numId="24" w16cid:durableId="1885827359">
    <w:abstractNumId w:val="18"/>
  </w:num>
  <w:num w:numId="25" w16cid:durableId="1120958879">
    <w:abstractNumId w:val="52"/>
  </w:num>
  <w:num w:numId="26" w16cid:durableId="650868241">
    <w:abstractNumId w:val="46"/>
  </w:num>
  <w:num w:numId="27" w16cid:durableId="58291190">
    <w:abstractNumId w:val="30"/>
  </w:num>
  <w:num w:numId="28" w16cid:durableId="890313757">
    <w:abstractNumId w:val="31"/>
  </w:num>
  <w:num w:numId="29" w16cid:durableId="846601103">
    <w:abstractNumId w:val="30"/>
    <w:lvlOverride w:ilvl="0">
      <w:lvl w:ilvl="0" w:tplc="240A001B">
        <w:start w:val="1"/>
        <w:numFmt w:val="lowerRoman"/>
        <w:lvlText w:val="%1."/>
        <w:lvlJc w:val="right"/>
        <w:pPr>
          <w:ind w:left="2574" w:hanging="360"/>
        </w:pPr>
        <w:rPr>
          <w:rFonts w:hint="default"/>
        </w:rPr>
      </w:lvl>
    </w:lvlOverride>
    <w:lvlOverride w:ilvl="1">
      <w:lvl w:ilvl="1" w:tplc="240A001B">
        <w:start w:val="1"/>
        <w:numFmt w:val="lowerLetter"/>
        <w:lvlText w:val="%2."/>
        <w:lvlJc w:val="left"/>
        <w:pPr>
          <w:ind w:left="1440" w:hanging="360"/>
        </w:pPr>
      </w:lvl>
    </w:lvlOverride>
    <w:lvlOverride w:ilvl="2">
      <w:lvl w:ilvl="2" w:tplc="240A001B" w:tentative="1">
        <w:start w:val="1"/>
        <w:numFmt w:val="lowerRoman"/>
        <w:lvlText w:val="%3."/>
        <w:lvlJc w:val="right"/>
        <w:pPr>
          <w:ind w:left="2160" w:hanging="180"/>
        </w:pPr>
      </w:lvl>
    </w:lvlOverride>
    <w:lvlOverride w:ilvl="3">
      <w:lvl w:ilvl="3" w:tplc="240A000F" w:tentative="1">
        <w:start w:val="1"/>
        <w:numFmt w:val="decimal"/>
        <w:lvlText w:val="%4."/>
        <w:lvlJc w:val="left"/>
        <w:pPr>
          <w:ind w:left="2880" w:hanging="360"/>
        </w:pPr>
      </w:lvl>
    </w:lvlOverride>
    <w:lvlOverride w:ilvl="4">
      <w:lvl w:ilvl="4" w:tplc="240A0019" w:tentative="1">
        <w:start w:val="1"/>
        <w:numFmt w:val="lowerLetter"/>
        <w:lvlText w:val="%5."/>
        <w:lvlJc w:val="left"/>
        <w:pPr>
          <w:ind w:left="3600" w:hanging="360"/>
        </w:pPr>
      </w:lvl>
    </w:lvlOverride>
    <w:lvlOverride w:ilvl="5">
      <w:lvl w:ilvl="5" w:tplc="240A001B" w:tentative="1">
        <w:start w:val="1"/>
        <w:numFmt w:val="lowerRoman"/>
        <w:lvlText w:val="%6."/>
        <w:lvlJc w:val="right"/>
        <w:pPr>
          <w:ind w:left="4320" w:hanging="180"/>
        </w:pPr>
      </w:lvl>
    </w:lvlOverride>
    <w:lvlOverride w:ilvl="6">
      <w:lvl w:ilvl="6" w:tplc="240A000F" w:tentative="1">
        <w:start w:val="1"/>
        <w:numFmt w:val="decimal"/>
        <w:lvlText w:val="%7."/>
        <w:lvlJc w:val="left"/>
        <w:pPr>
          <w:ind w:left="5040" w:hanging="360"/>
        </w:pPr>
      </w:lvl>
    </w:lvlOverride>
    <w:lvlOverride w:ilvl="7">
      <w:lvl w:ilvl="7" w:tplc="240A0019" w:tentative="1">
        <w:start w:val="1"/>
        <w:numFmt w:val="lowerLetter"/>
        <w:lvlText w:val="%8."/>
        <w:lvlJc w:val="left"/>
        <w:pPr>
          <w:ind w:left="5760" w:hanging="360"/>
        </w:pPr>
      </w:lvl>
    </w:lvlOverride>
    <w:lvlOverride w:ilvl="8">
      <w:lvl w:ilvl="8" w:tplc="240A001B" w:tentative="1">
        <w:start w:val="1"/>
        <w:numFmt w:val="lowerRoman"/>
        <w:lvlText w:val="%9."/>
        <w:lvlJc w:val="right"/>
        <w:pPr>
          <w:ind w:left="6480" w:hanging="180"/>
        </w:pPr>
      </w:lvl>
    </w:lvlOverride>
  </w:num>
  <w:num w:numId="30" w16cid:durableId="1984651116">
    <w:abstractNumId w:val="13"/>
  </w:num>
  <w:num w:numId="31" w16cid:durableId="1112163272">
    <w:abstractNumId w:val="30"/>
    <w:lvlOverride w:ilvl="0">
      <w:lvl w:ilvl="0" w:tplc="240A001B">
        <w:start w:val="1"/>
        <w:numFmt w:val="lowerRoman"/>
        <w:lvlText w:val="%1."/>
        <w:lvlJc w:val="right"/>
        <w:pPr>
          <w:ind w:left="2574" w:hanging="360"/>
        </w:pPr>
        <w:rPr>
          <w:rFonts w:hint="default"/>
        </w:rPr>
      </w:lvl>
    </w:lvlOverride>
    <w:lvlOverride w:ilvl="1">
      <w:lvl w:ilvl="1" w:tplc="240A001B">
        <w:start w:val="1"/>
        <w:numFmt w:val="lowerLetter"/>
        <w:lvlText w:val="%2."/>
        <w:lvlJc w:val="left"/>
        <w:pPr>
          <w:ind w:left="1440" w:hanging="360"/>
        </w:pPr>
      </w:lvl>
    </w:lvlOverride>
    <w:lvlOverride w:ilvl="2">
      <w:lvl w:ilvl="2" w:tplc="240A001B" w:tentative="1">
        <w:start w:val="1"/>
        <w:numFmt w:val="lowerRoman"/>
        <w:lvlText w:val="%3."/>
        <w:lvlJc w:val="right"/>
        <w:pPr>
          <w:ind w:left="2160" w:hanging="180"/>
        </w:pPr>
      </w:lvl>
    </w:lvlOverride>
    <w:lvlOverride w:ilvl="3">
      <w:lvl w:ilvl="3" w:tplc="240A000F" w:tentative="1">
        <w:start w:val="1"/>
        <w:numFmt w:val="decimal"/>
        <w:lvlText w:val="%4."/>
        <w:lvlJc w:val="left"/>
        <w:pPr>
          <w:ind w:left="2880" w:hanging="360"/>
        </w:pPr>
      </w:lvl>
    </w:lvlOverride>
    <w:lvlOverride w:ilvl="4">
      <w:lvl w:ilvl="4" w:tplc="240A0019" w:tentative="1">
        <w:start w:val="1"/>
        <w:numFmt w:val="lowerLetter"/>
        <w:lvlText w:val="%5."/>
        <w:lvlJc w:val="left"/>
        <w:pPr>
          <w:ind w:left="3600" w:hanging="360"/>
        </w:pPr>
      </w:lvl>
    </w:lvlOverride>
    <w:lvlOverride w:ilvl="5">
      <w:lvl w:ilvl="5" w:tplc="240A001B" w:tentative="1">
        <w:start w:val="1"/>
        <w:numFmt w:val="lowerRoman"/>
        <w:lvlText w:val="%6."/>
        <w:lvlJc w:val="right"/>
        <w:pPr>
          <w:ind w:left="4320" w:hanging="180"/>
        </w:pPr>
      </w:lvl>
    </w:lvlOverride>
    <w:lvlOverride w:ilvl="6">
      <w:lvl w:ilvl="6" w:tplc="240A000F" w:tentative="1">
        <w:start w:val="1"/>
        <w:numFmt w:val="decimal"/>
        <w:lvlText w:val="%7."/>
        <w:lvlJc w:val="left"/>
        <w:pPr>
          <w:ind w:left="5040" w:hanging="360"/>
        </w:pPr>
      </w:lvl>
    </w:lvlOverride>
    <w:lvlOverride w:ilvl="7">
      <w:lvl w:ilvl="7" w:tplc="240A0019" w:tentative="1">
        <w:start w:val="1"/>
        <w:numFmt w:val="lowerLetter"/>
        <w:lvlText w:val="%8."/>
        <w:lvlJc w:val="left"/>
        <w:pPr>
          <w:ind w:left="5760" w:hanging="360"/>
        </w:pPr>
      </w:lvl>
    </w:lvlOverride>
    <w:lvlOverride w:ilvl="8">
      <w:lvl w:ilvl="8" w:tplc="240A001B" w:tentative="1">
        <w:start w:val="1"/>
        <w:numFmt w:val="lowerRoman"/>
        <w:lvlText w:val="%9."/>
        <w:lvlJc w:val="right"/>
        <w:pPr>
          <w:ind w:left="6480" w:hanging="180"/>
        </w:pPr>
      </w:lvl>
    </w:lvlOverride>
  </w:num>
  <w:num w:numId="32" w16cid:durableId="787891537">
    <w:abstractNumId w:val="32"/>
  </w:num>
  <w:num w:numId="33" w16cid:durableId="253171803">
    <w:abstractNumId w:val="53"/>
  </w:num>
  <w:num w:numId="34" w16cid:durableId="848375579">
    <w:abstractNumId w:val="0"/>
  </w:num>
  <w:num w:numId="35" w16cid:durableId="96412527">
    <w:abstractNumId w:val="1"/>
  </w:num>
  <w:num w:numId="36" w16cid:durableId="172258398">
    <w:abstractNumId w:val="15"/>
  </w:num>
  <w:num w:numId="37" w16cid:durableId="1986353444">
    <w:abstractNumId w:val="7"/>
  </w:num>
  <w:num w:numId="38" w16cid:durableId="184293015">
    <w:abstractNumId w:val="47"/>
  </w:num>
  <w:num w:numId="39" w16cid:durableId="1875381788">
    <w:abstractNumId w:val="15"/>
  </w:num>
  <w:num w:numId="40" w16cid:durableId="936059575">
    <w:abstractNumId w:val="15"/>
  </w:num>
  <w:num w:numId="41" w16cid:durableId="1218396926">
    <w:abstractNumId w:val="15"/>
  </w:num>
  <w:num w:numId="42" w16cid:durableId="1992171964">
    <w:abstractNumId w:val="15"/>
  </w:num>
  <w:num w:numId="43" w16cid:durableId="1649550787">
    <w:abstractNumId w:val="15"/>
  </w:num>
  <w:num w:numId="44" w16cid:durableId="2048797560">
    <w:abstractNumId w:val="44"/>
  </w:num>
  <w:num w:numId="45" w16cid:durableId="792789366">
    <w:abstractNumId w:val="22"/>
  </w:num>
  <w:num w:numId="46" w16cid:durableId="776363482">
    <w:abstractNumId w:val="15"/>
  </w:num>
  <w:num w:numId="47" w16cid:durableId="1129084503">
    <w:abstractNumId w:val="43"/>
  </w:num>
  <w:num w:numId="48" w16cid:durableId="219219606">
    <w:abstractNumId w:val="27"/>
  </w:num>
  <w:num w:numId="49" w16cid:durableId="1177428722">
    <w:abstractNumId w:val="39"/>
  </w:num>
  <w:num w:numId="50" w16cid:durableId="720909872">
    <w:abstractNumId w:val="27"/>
    <w:lvlOverride w:ilvl="0">
      <w:lvl w:ilvl="0" w:tplc="7666B126">
        <w:start w:val="1"/>
        <w:numFmt w:val="decimal"/>
        <w:lvlText w:val="%1)"/>
        <w:lvlJc w:val="left"/>
        <w:pPr>
          <w:ind w:left="2574" w:hanging="360"/>
        </w:pPr>
        <w:rPr>
          <w:rFonts w:hint="default"/>
        </w:rPr>
      </w:lvl>
    </w:lvlOverride>
    <w:lvlOverride w:ilvl="1">
      <w:lvl w:ilvl="1" w:tplc="ACD88C64">
        <w:start w:val="1"/>
        <w:numFmt w:val="lowerLetter"/>
        <w:lvlText w:val="%2."/>
        <w:lvlJc w:val="left"/>
        <w:pPr>
          <w:ind w:left="1440" w:hanging="360"/>
        </w:pPr>
      </w:lvl>
    </w:lvlOverride>
    <w:lvlOverride w:ilvl="2">
      <w:lvl w:ilvl="2" w:tplc="75CA2B82" w:tentative="1">
        <w:start w:val="1"/>
        <w:numFmt w:val="lowerRoman"/>
        <w:lvlText w:val="%3."/>
        <w:lvlJc w:val="right"/>
        <w:pPr>
          <w:ind w:left="2160" w:hanging="180"/>
        </w:pPr>
      </w:lvl>
    </w:lvlOverride>
    <w:lvlOverride w:ilvl="3">
      <w:lvl w:ilvl="3" w:tplc="6E04F010" w:tentative="1">
        <w:start w:val="1"/>
        <w:numFmt w:val="decimal"/>
        <w:lvlText w:val="%4."/>
        <w:lvlJc w:val="left"/>
        <w:pPr>
          <w:ind w:left="2880" w:hanging="360"/>
        </w:pPr>
      </w:lvl>
    </w:lvlOverride>
    <w:lvlOverride w:ilvl="4">
      <w:lvl w:ilvl="4" w:tplc="355A0518" w:tentative="1">
        <w:start w:val="1"/>
        <w:numFmt w:val="lowerLetter"/>
        <w:lvlText w:val="%5."/>
        <w:lvlJc w:val="left"/>
        <w:pPr>
          <w:ind w:left="3600" w:hanging="360"/>
        </w:pPr>
      </w:lvl>
    </w:lvlOverride>
    <w:lvlOverride w:ilvl="5">
      <w:lvl w:ilvl="5" w:tplc="C1AA2C96" w:tentative="1">
        <w:start w:val="1"/>
        <w:numFmt w:val="lowerRoman"/>
        <w:lvlText w:val="%6."/>
        <w:lvlJc w:val="right"/>
        <w:pPr>
          <w:ind w:left="4320" w:hanging="180"/>
        </w:pPr>
      </w:lvl>
    </w:lvlOverride>
    <w:lvlOverride w:ilvl="6">
      <w:lvl w:ilvl="6" w:tplc="EBB4E7A8" w:tentative="1">
        <w:start w:val="1"/>
        <w:numFmt w:val="decimal"/>
        <w:lvlText w:val="%7."/>
        <w:lvlJc w:val="left"/>
        <w:pPr>
          <w:ind w:left="5040" w:hanging="360"/>
        </w:pPr>
      </w:lvl>
    </w:lvlOverride>
    <w:lvlOverride w:ilvl="7">
      <w:lvl w:ilvl="7" w:tplc="D5ACB622" w:tentative="1">
        <w:start w:val="1"/>
        <w:numFmt w:val="lowerLetter"/>
        <w:lvlText w:val="%8."/>
        <w:lvlJc w:val="left"/>
        <w:pPr>
          <w:ind w:left="5760" w:hanging="360"/>
        </w:pPr>
      </w:lvl>
    </w:lvlOverride>
    <w:lvlOverride w:ilvl="8">
      <w:lvl w:ilvl="8" w:tplc="AC02388E" w:tentative="1">
        <w:start w:val="1"/>
        <w:numFmt w:val="lowerRoman"/>
        <w:lvlText w:val="%9."/>
        <w:lvlJc w:val="right"/>
        <w:pPr>
          <w:ind w:left="6480" w:hanging="180"/>
        </w:pPr>
      </w:lvl>
    </w:lvlOverride>
  </w:num>
  <w:num w:numId="51" w16cid:durableId="476655822">
    <w:abstractNumId w:val="27"/>
    <w:lvlOverride w:ilvl="0">
      <w:lvl w:ilvl="0" w:tplc="7666B126">
        <w:start w:val="1"/>
        <w:numFmt w:val="lowerLetter"/>
        <w:lvlText w:val="%1."/>
        <w:lvlJc w:val="left"/>
        <w:pPr>
          <w:ind w:left="1440" w:hanging="360"/>
        </w:pPr>
        <w:rPr>
          <w:rFonts w:hint="default"/>
        </w:rPr>
      </w:lvl>
    </w:lvlOverride>
    <w:lvlOverride w:ilvl="1">
      <w:lvl w:ilvl="1" w:tplc="ACD88C64">
        <w:start w:val="1"/>
        <w:numFmt w:val="lowerLetter"/>
        <w:lvlText w:val="%2."/>
        <w:lvlJc w:val="left"/>
        <w:pPr>
          <w:ind w:left="1440" w:hanging="360"/>
        </w:pPr>
      </w:lvl>
    </w:lvlOverride>
    <w:lvlOverride w:ilvl="2">
      <w:lvl w:ilvl="2" w:tplc="75CA2B82" w:tentative="1">
        <w:start w:val="1"/>
        <w:numFmt w:val="lowerRoman"/>
        <w:lvlText w:val="%3."/>
        <w:lvlJc w:val="right"/>
        <w:pPr>
          <w:ind w:left="2160" w:hanging="180"/>
        </w:pPr>
      </w:lvl>
    </w:lvlOverride>
    <w:lvlOverride w:ilvl="3">
      <w:lvl w:ilvl="3" w:tplc="6E04F010" w:tentative="1">
        <w:start w:val="1"/>
        <w:numFmt w:val="decimal"/>
        <w:lvlText w:val="%4."/>
        <w:lvlJc w:val="left"/>
        <w:pPr>
          <w:ind w:left="2880" w:hanging="360"/>
        </w:pPr>
      </w:lvl>
    </w:lvlOverride>
    <w:lvlOverride w:ilvl="4">
      <w:lvl w:ilvl="4" w:tplc="355A0518" w:tentative="1">
        <w:start w:val="1"/>
        <w:numFmt w:val="lowerLetter"/>
        <w:lvlText w:val="%5."/>
        <w:lvlJc w:val="left"/>
        <w:pPr>
          <w:ind w:left="3600" w:hanging="360"/>
        </w:pPr>
      </w:lvl>
    </w:lvlOverride>
    <w:lvlOverride w:ilvl="5">
      <w:lvl w:ilvl="5" w:tplc="C1AA2C96" w:tentative="1">
        <w:start w:val="1"/>
        <w:numFmt w:val="lowerRoman"/>
        <w:lvlText w:val="%6."/>
        <w:lvlJc w:val="right"/>
        <w:pPr>
          <w:ind w:left="4320" w:hanging="180"/>
        </w:pPr>
      </w:lvl>
    </w:lvlOverride>
    <w:lvlOverride w:ilvl="6">
      <w:lvl w:ilvl="6" w:tplc="EBB4E7A8" w:tentative="1">
        <w:start w:val="1"/>
        <w:numFmt w:val="decimal"/>
        <w:lvlText w:val="%7."/>
        <w:lvlJc w:val="left"/>
        <w:pPr>
          <w:ind w:left="5040" w:hanging="360"/>
        </w:pPr>
      </w:lvl>
    </w:lvlOverride>
    <w:lvlOverride w:ilvl="7">
      <w:lvl w:ilvl="7" w:tplc="D5ACB622" w:tentative="1">
        <w:start w:val="1"/>
        <w:numFmt w:val="lowerLetter"/>
        <w:lvlText w:val="%8."/>
        <w:lvlJc w:val="left"/>
        <w:pPr>
          <w:ind w:left="5760" w:hanging="360"/>
        </w:pPr>
      </w:lvl>
    </w:lvlOverride>
    <w:lvlOverride w:ilvl="8">
      <w:lvl w:ilvl="8" w:tplc="AC02388E" w:tentative="1">
        <w:start w:val="1"/>
        <w:numFmt w:val="lowerRoman"/>
        <w:lvlText w:val="%9."/>
        <w:lvlJc w:val="right"/>
        <w:pPr>
          <w:ind w:left="6480" w:hanging="180"/>
        </w:pPr>
      </w:lvl>
    </w:lvlOverride>
  </w:num>
  <w:num w:numId="52" w16cid:durableId="1531844987">
    <w:abstractNumId w:val="36"/>
  </w:num>
  <w:num w:numId="53" w16cid:durableId="1841307555">
    <w:abstractNumId w:val="15"/>
  </w:num>
  <w:num w:numId="54" w16cid:durableId="634219108">
    <w:abstractNumId w:val="42"/>
  </w:num>
  <w:num w:numId="55" w16cid:durableId="1953316123">
    <w:abstractNumId w:val="58"/>
  </w:num>
  <w:num w:numId="56" w16cid:durableId="422383689">
    <w:abstractNumId w:val="25"/>
  </w:num>
  <w:num w:numId="57" w16cid:durableId="1400787796">
    <w:abstractNumId w:val="15"/>
  </w:num>
  <w:num w:numId="58" w16cid:durableId="205527656">
    <w:abstractNumId w:val="21"/>
  </w:num>
  <w:num w:numId="59" w16cid:durableId="114058774">
    <w:abstractNumId w:val="41"/>
  </w:num>
  <w:num w:numId="60" w16cid:durableId="357967759">
    <w:abstractNumId w:val="50"/>
  </w:num>
  <w:num w:numId="61" w16cid:durableId="1508517020">
    <w:abstractNumId w:val="15"/>
  </w:num>
  <w:num w:numId="62" w16cid:durableId="1470705273">
    <w:abstractNumId w:val="15"/>
  </w:num>
  <w:num w:numId="63" w16cid:durableId="786388773">
    <w:abstractNumId w:val="15"/>
  </w:num>
  <w:num w:numId="64" w16cid:durableId="1858694314">
    <w:abstractNumId w:val="15"/>
  </w:num>
  <w:num w:numId="65" w16cid:durableId="1317299238">
    <w:abstractNumId w:val="15"/>
  </w:num>
  <w:num w:numId="66" w16cid:durableId="482355297">
    <w:abstractNumId w:val="15"/>
  </w:num>
  <w:num w:numId="67" w16cid:durableId="832065792">
    <w:abstractNumId w:val="15"/>
  </w:num>
  <w:num w:numId="68" w16cid:durableId="1031145589">
    <w:abstractNumId w:val="15"/>
  </w:num>
  <w:num w:numId="69" w16cid:durableId="364256170">
    <w:abstractNumId w:val="15"/>
  </w:num>
  <w:num w:numId="70" w16cid:durableId="1695813016">
    <w:abstractNumId w:val="15"/>
  </w:num>
  <w:num w:numId="71" w16cid:durableId="1211727270">
    <w:abstractNumId w:val="15"/>
  </w:num>
  <w:num w:numId="72" w16cid:durableId="27223035">
    <w:abstractNumId w:val="48"/>
  </w:num>
  <w:num w:numId="73" w16cid:durableId="628821953">
    <w:abstractNumId w:val="6"/>
  </w:num>
  <w:num w:numId="74" w16cid:durableId="1585607731">
    <w:abstractNumId w:val="19"/>
  </w:num>
  <w:num w:numId="75" w16cid:durableId="173152982">
    <w:abstractNumId w:val="38"/>
  </w:num>
  <w:num w:numId="76" w16cid:durableId="579950139">
    <w:abstractNumId w:val="15"/>
  </w:num>
  <w:num w:numId="77" w16cid:durableId="642779310">
    <w:abstractNumId w:val="33"/>
  </w:num>
  <w:num w:numId="78" w16cid:durableId="2014526666">
    <w:abstractNumId w:val="11"/>
  </w:num>
  <w:num w:numId="79" w16cid:durableId="1093475849">
    <w:abstractNumId w:val="14"/>
  </w:num>
  <w:num w:numId="80" w16cid:durableId="771584426">
    <w:abstractNumId w:val="24"/>
  </w:num>
  <w:num w:numId="81" w16cid:durableId="1587424005">
    <w:abstractNumId w:val="17"/>
  </w:num>
  <w:num w:numId="82" w16cid:durableId="1823498922">
    <w:abstractNumId w:val="4"/>
  </w:num>
  <w:num w:numId="83" w16cid:durableId="1101686709">
    <w:abstractNumId w:val="5"/>
  </w:num>
  <w:numIdMacAtCleanup w:val="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08"/>
  <w:hyphenationZone w:val="425"/>
  <w:drawingGridHorizontalSpacing w:val="120"/>
  <w:displayHorizontalDrawingGridEvery w:val="2"/>
  <w:noPunctuationKerning/>
  <w:characterSpacingControl w:val="doNotCompress"/>
  <w:hdrShapeDefaults>
    <o:shapedefaults v:ext="edit" spidmax="205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7340"/>
    <w:rsid w:val="00000339"/>
    <w:rsid w:val="00000CC8"/>
    <w:rsid w:val="00000EAC"/>
    <w:rsid w:val="00002685"/>
    <w:rsid w:val="00002A21"/>
    <w:rsid w:val="0000417B"/>
    <w:rsid w:val="00004285"/>
    <w:rsid w:val="000042F6"/>
    <w:rsid w:val="0000441A"/>
    <w:rsid w:val="00005051"/>
    <w:rsid w:val="000057A7"/>
    <w:rsid w:val="000057B4"/>
    <w:rsid w:val="00006AE2"/>
    <w:rsid w:val="000070E1"/>
    <w:rsid w:val="000070FC"/>
    <w:rsid w:val="0000757E"/>
    <w:rsid w:val="000076A1"/>
    <w:rsid w:val="0001054A"/>
    <w:rsid w:val="00010D32"/>
    <w:rsid w:val="00012259"/>
    <w:rsid w:val="000141B3"/>
    <w:rsid w:val="00014394"/>
    <w:rsid w:val="00014F70"/>
    <w:rsid w:val="00015636"/>
    <w:rsid w:val="000157ED"/>
    <w:rsid w:val="00015DF4"/>
    <w:rsid w:val="00016818"/>
    <w:rsid w:val="000169B6"/>
    <w:rsid w:val="00017BE8"/>
    <w:rsid w:val="00017F9F"/>
    <w:rsid w:val="0002029F"/>
    <w:rsid w:val="0002039B"/>
    <w:rsid w:val="00020540"/>
    <w:rsid w:val="000210B6"/>
    <w:rsid w:val="00022802"/>
    <w:rsid w:val="00022AFC"/>
    <w:rsid w:val="0002323B"/>
    <w:rsid w:val="00023630"/>
    <w:rsid w:val="000239EA"/>
    <w:rsid w:val="00024E87"/>
    <w:rsid w:val="000251CF"/>
    <w:rsid w:val="00025383"/>
    <w:rsid w:val="00025FF1"/>
    <w:rsid w:val="00026DB9"/>
    <w:rsid w:val="000271C8"/>
    <w:rsid w:val="000272DA"/>
    <w:rsid w:val="000273F8"/>
    <w:rsid w:val="00030D04"/>
    <w:rsid w:val="000319F3"/>
    <w:rsid w:val="00031B96"/>
    <w:rsid w:val="00031C34"/>
    <w:rsid w:val="00031D76"/>
    <w:rsid w:val="00032706"/>
    <w:rsid w:val="00032D06"/>
    <w:rsid w:val="00032D0D"/>
    <w:rsid w:val="00033314"/>
    <w:rsid w:val="000338D0"/>
    <w:rsid w:val="00033CAC"/>
    <w:rsid w:val="00034120"/>
    <w:rsid w:val="0003538E"/>
    <w:rsid w:val="00035A81"/>
    <w:rsid w:val="00036658"/>
    <w:rsid w:val="000368D8"/>
    <w:rsid w:val="00036A5C"/>
    <w:rsid w:val="00037258"/>
    <w:rsid w:val="000376FA"/>
    <w:rsid w:val="00037DA8"/>
    <w:rsid w:val="0004015B"/>
    <w:rsid w:val="00040DBC"/>
    <w:rsid w:val="000411EE"/>
    <w:rsid w:val="00041927"/>
    <w:rsid w:val="00041EF8"/>
    <w:rsid w:val="00042778"/>
    <w:rsid w:val="000429F6"/>
    <w:rsid w:val="00043FCC"/>
    <w:rsid w:val="0004452E"/>
    <w:rsid w:val="000445FA"/>
    <w:rsid w:val="000447FB"/>
    <w:rsid w:val="00044826"/>
    <w:rsid w:val="00044B4E"/>
    <w:rsid w:val="00044EF8"/>
    <w:rsid w:val="00044FA1"/>
    <w:rsid w:val="0004570D"/>
    <w:rsid w:val="00045D3D"/>
    <w:rsid w:val="00045E75"/>
    <w:rsid w:val="00046CCC"/>
    <w:rsid w:val="000477E4"/>
    <w:rsid w:val="00047C45"/>
    <w:rsid w:val="00047F7B"/>
    <w:rsid w:val="00047FEE"/>
    <w:rsid w:val="00050548"/>
    <w:rsid w:val="00050853"/>
    <w:rsid w:val="000510CB"/>
    <w:rsid w:val="000512DE"/>
    <w:rsid w:val="0005194B"/>
    <w:rsid w:val="00051E63"/>
    <w:rsid w:val="00052871"/>
    <w:rsid w:val="00052DA5"/>
    <w:rsid w:val="000530A2"/>
    <w:rsid w:val="00053573"/>
    <w:rsid w:val="00053BE4"/>
    <w:rsid w:val="00055146"/>
    <w:rsid w:val="00055459"/>
    <w:rsid w:val="00055E00"/>
    <w:rsid w:val="000567AD"/>
    <w:rsid w:val="00056875"/>
    <w:rsid w:val="00056E0B"/>
    <w:rsid w:val="0005781D"/>
    <w:rsid w:val="00060C58"/>
    <w:rsid w:val="00061A11"/>
    <w:rsid w:val="00061A9D"/>
    <w:rsid w:val="0006226E"/>
    <w:rsid w:val="000629DF"/>
    <w:rsid w:val="00063073"/>
    <w:rsid w:val="00063657"/>
    <w:rsid w:val="0006379C"/>
    <w:rsid w:val="00063B55"/>
    <w:rsid w:val="00065526"/>
    <w:rsid w:val="00065676"/>
    <w:rsid w:val="00065CB8"/>
    <w:rsid w:val="00066ABC"/>
    <w:rsid w:val="00066ADA"/>
    <w:rsid w:val="00066BB3"/>
    <w:rsid w:val="00067107"/>
    <w:rsid w:val="00067389"/>
    <w:rsid w:val="00067CEE"/>
    <w:rsid w:val="000702C3"/>
    <w:rsid w:val="00070C01"/>
    <w:rsid w:val="00070EE1"/>
    <w:rsid w:val="00071EF7"/>
    <w:rsid w:val="0007205D"/>
    <w:rsid w:val="00072086"/>
    <w:rsid w:val="00072A05"/>
    <w:rsid w:val="00072CC8"/>
    <w:rsid w:val="0007301D"/>
    <w:rsid w:val="000737F3"/>
    <w:rsid w:val="00074839"/>
    <w:rsid w:val="00075D65"/>
    <w:rsid w:val="00075E15"/>
    <w:rsid w:val="0007645A"/>
    <w:rsid w:val="00076680"/>
    <w:rsid w:val="00076A1D"/>
    <w:rsid w:val="00076AD9"/>
    <w:rsid w:val="0007726D"/>
    <w:rsid w:val="00077AAD"/>
    <w:rsid w:val="00077C51"/>
    <w:rsid w:val="00077D79"/>
    <w:rsid w:val="0008073E"/>
    <w:rsid w:val="00080F0B"/>
    <w:rsid w:val="00082095"/>
    <w:rsid w:val="00082639"/>
    <w:rsid w:val="00082809"/>
    <w:rsid w:val="0008283D"/>
    <w:rsid w:val="00082967"/>
    <w:rsid w:val="00083FB2"/>
    <w:rsid w:val="00084870"/>
    <w:rsid w:val="00084B42"/>
    <w:rsid w:val="00084D60"/>
    <w:rsid w:val="000854E9"/>
    <w:rsid w:val="00085E5E"/>
    <w:rsid w:val="00085F79"/>
    <w:rsid w:val="000861D1"/>
    <w:rsid w:val="00090524"/>
    <w:rsid w:val="000906D8"/>
    <w:rsid w:val="0009157B"/>
    <w:rsid w:val="00091B5B"/>
    <w:rsid w:val="00091CDB"/>
    <w:rsid w:val="00091FBF"/>
    <w:rsid w:val="00092596"/>
    <w:rsid w:val="0009365D"/>
    <w:rsid w:val="00093C8B"/>
    <w:rsid w:val="000941D2"/>
    <w:rsid w:val="000945E3"/>
    <w:rsid w:val="00094B4F"/>
    <w:rsid w:val="00095E53"/>
    <w:rsid w:val="00096556"/>
    <w:rsid w:val="000967E4"/>
    <w:rsid w:val="00096A4A"/>
    <w:rsid w:val="00096BC8"/>
    <w:rsid w:val="00097421"/>
    <w:rsid w:val="000974A9"/>
    <w:rsid w:val="000A0119"/>
    <w:rsid w:val="000A0122"/>
    <w:rsid w:val="000A0E97"/>
    <w:rsid w:val="000A0F92"/>
    <w:rsid w:val="000A167C"/>
    <w:rsid w:val="000A19AC"/>
    <w:rsid w:val="000A1F36"/>
    <w:rsid w:val="000A307C"/>
    <w:rsid w:val="000A353B"/>
    <w:rsid w:val="000A3B88"/>
    <w:rsid w:val="000A3BD6"/>
    <w:rsid w:val="000A589C"/>
    <w:rsid w:val="000A5A7D"/>
    <w:rsid w:val="000A6828"/>
    <w:rsid w:val="000A6D75"/>
    <w:rsid w:val="000A7AAC"/>
    <w:rsid w:val="000B0697"/>
    <w:rsid w:val="000B0880"/>
    <w:rsid w:val="000B0BDC"/>
    <w:rsid w:val="000B0CD6"/>
    <w:rsid w:val="000B17BE"/>
    <w:rsid w:val="000B20BC"/>
    <w:rsid w:val="000B29ED"/>
    <w:rsid w:val="000B2EC9"/>
    <w:rsid w:val="000B3A35"/>
    <w:rsid w:val="000B3A67"/>
    <w:rsid w:val="000B3AEE"/>
    <w:rsid w:val="000B3E9D"/>
    <w:rsid w:val="000B400E"/>
    <w:rsid w:val="000B4637"/>
    <w:rsid w:val="000B4D2D"/>
    <w:rsid w:val="000B562B"/>
    <w:rsid w:val="000B5F5B"/>
    <w:rsid w:val="000B689A"/>
    <w:rsid w:val="000B6DA9"/>
    <w:rsid w:val="000B767F"/>
    <w:rsid w:val="000B7CA3"/>
    <w:rsid w:val="000C06A6"/>
    <w:rsid w:val="000C122C"/>
    <w:rsid w:val="000C1BB3"/>
    <w:rsid w:val="000C1D97"/>
    <w:rsid w:val="000C2515"/>
    <w:rsid w:val="000C337B"/>
    <w:rsid w:val="000C3BFE"/>
    <w:rsid w:val="000C4980"/>
    <w:rsid w:val="000C4DEE"/>
    <w:rsid w:val="000C4E19"/>
    <w:rsid w:val="000C6639"/>
    <w:rsid w:val="000C67C2"/>
    <w:rsid w:val="000C7155"/>
    <w:rsid w:val="000C7F44"/>
    <w:rsid w:val="000C7F5A"/>
    <w:rsid w:val="000D1D74"/>
    <w:rsid w:val="000D26F8"/>
    <w:rsid w:val="000D32D5"/>
    <w:rsid w:val="000D44C7"/>
    <w:rsid w:val="000D4863"/>
    <w:rsid w:val="000D4E7D"/>
    <w:rsid w:val="000D5E62"/>
    <w:rsid w:val="000D6720"/>
    <w:rsid w:val="000D7139"/>
    <w:rsid w:val="000D7D76"/>
    <w:rsid w:val="000E0717"/>
    <w:rsid w:val="000E09A1"/>
    <w:rsid w:val="000E2388"/>
    <w:rsid w:val="000E2DA3"/>
    <w:rsid w:val="000E307B"/>
    <w:rsid w:val="000E3130"/>
    <w:rsid w:val="000E4381"/>
    <w:rsid w:val="000E5708"/>
    <w:rsid w:val="000E60E1"/>
    <w:rsid w:val="000E789B"/>
    <w:rsid w:val="000F0394"/>
    <w:rsid w:val="000F088D"/>
    <w:rsid w:val="000F114A"/>
    <w:rsid w:val="000F1200"/>
    <w:rsid w:val="000F2BDA"/>
    <w:rsid w:val="000F32EE"/>
    <w:rsid w:val="000F34D2"/>
    <w:rsid w:val="000F4613"/>
    <w:rsid w:val="000F4FA5"/>
    <w:rsid w:val="000F538C"/>
    <w:rsid w:val="000F56D7"/>
    <w:rsid w:val="000F59C5"/>
    <w:rsid w:val="000F771D"/>
    <w:rsid w:val="000F7CA6"/>
    <w:rsid w:val="000F7E76"/>
    <w:rsid w:val="001003D6"/>
    <w:rsid w:val="00100518"/>
    <w:rsid w:val="001017B4"/>
    <w:rsid w:val="00101FC5"/>
    <w:rsid w:val="00102546"/>
    <w:rsid w:val="00102BE1"/>
    <w:rsid w:val="00102BF6"/>
    <w:rsid w:val="00104BED"/>
    <w:rsid w:val="00104D8B"/>
    <w:rsid w:val="00105489"/>
    <w:rsid w:val="00105F2F"/>
    <w:rsid w:val="00106654"/>
    <w:rsid w:val="00106B5E"/>
    <w:rsid w:val="001071D0"/>
    <w:rsid w:val="00107B36"/>
    <w:rsid w:val="00110A99"/>
    <w:rsid w:val="00110B71"/>
    <w:rsid w:val="00110CBC"/>
    <w:rsid w:val="00110D44"/>
    <w:rsid w:val="00110D97"/>
    <w:rsid w:val="0011113D"/>
    <w:rsid w:val="00111392"/>
    <w:rsid w:val="00111E0C"/>
    <w:rsid w:val="00112112"/>
    <w:rsid w:val="0011211C"/>
    <w:rsid w:val="0011381E"/>
    <w:rsid w:val="00114E72"/>
    <w:rsid w:val="00114E77"/>
    <w:rsid w:val="00115030"/>
    <w:rsid w:val="001152C0"/>
    <w:rsid w:val="001162D0"/>
    <w:rsid w:val="001169BC"/>
    <w:rsid w:val="001177C8"/>
    <w:rsid w:val="001179F3"/>
    <w:rsid w:val="00117A26"/>
    <w:rsid w:val="00117A30"/>
    <w:rsid w:val="0012042C"/>
    <w:rsid w:val="00122027"/>
    <w:rsid w:val="00122E95"/>
    <w:rsid w:val="001230AA"/>
    <w:rsid w:val="00123829"/>
    <w:rsid w:val="00123AA5"/>
    <w:rsid w:val="00123AD4"/>
    <w:rsid w:val="00124E09"/>
    <w:rsid w:val="001254B2"/>
    <w:rsid w:val="0012602F"/>
    <w:rsid w:val="001261EB"/>
    <w:rsid w:val="00126480"/>
    <w:rsid w:val="00126645"/>
    <w:rsid w:val="001268CB"/>
    <w:rsid w:val="00126DE5"/>
    <w:rsid w:val="00127864"/>
    <w:rsid w:val="001279A2"/>
    <w:rsid w:val="00127F1C"/>
    <w:rsid w:val="0013026E"/>
    <w:rsid w:val="00130E1F"/>
    <w:rsid w:val="00131CFE"/>
    <w:rsid w:val="0013208F"/>
    <w:rsid w:val="00133219"/>
    <w:rsid w:val="00133ACE"/>
    <w:rsid w:val="0013456E"/>
    <w:rsid w:val="001350A8"/>
    <w:rsid w:val="0013526C"/>
    <w:rsid w:val="00135A91"/>
    <w:rsid w:val="00137499"/>
    <w:rsid w:val="00137CB7"/>
    <w:rsid w:val="00140388"/>
    <w:rsid w:val="001405C6"/>
    <w:rsid w:val="00141013"/>
    <w:rsid w:val="0014167B"/>
    <w:rsid w:val="00141A4E"/>
    <w:rsid w:val="00142166"/>
    <w:rsid w:val="0014254E"/>
    <w:rsid w:val="0014257C"/>
    <w:rsid w:val="0014260A"/>
    <w:rsid w:val="00142E37"/>
    <w:rsid w:val="001432E7"/>
    <w:rsid w:val="001437B5"/>
    <w:rsid w:val="00143EFD"/>
    <w:rsid w:val="00143FB9"/>
    <w:rsid w:val="001444F3"/>
    <w:rsid w:val="00144DC0"/>
    <w:rsid w:val="00144E5E"/>
    <w:rsid w:val="00145288"/>
    <w:rsid w:val="00145728"/>
    <w:rsid w:val="001467DA"/>
    <w:rsid w:val="00146C9A"/>
    <w:rsid w:val="001475F3"/>
    <w:rsid w:val="00147A06"/>
    <w:rsid w:val="00147A10"/>
    <w:rsid w:val="001500CF"/>
    <w:rsid w:val="00150B4D"/>
    <w:rsid w:val="00151455"/>
    <w:rsid w:val="00152F4E"/>
    <w:rsid w:val="001536D1"/>
    <w:rsid w:val="001537B7"/>
    <w:rsid w:val="001539B5"/>
    <w:rsid w:val="0015420A"/>
    <w:rsid w:val="00154A53"/>
    <w:rsid w:val="00154B34"/>
    <w:rsid w:val="00155590"/>
    <w:rsid w:val="00155623"/>
    <w:rsid w:val="00155675"/>
    <w:rsid w:val="00155BAC"/>
    <w:rsid w:val="0015693E"/>
    <w:rsid w:val="001569B9"/>
    <w:rsid w:val="001571E1"/>
    <w:rsid w:val="001578E7"/>
    <w:rsid w:val="0016186E"/>
    <w:rsid w:val="0016199C"/>
    <w:rsid w:val="00161F29"/>
    <w:rsid w:val="001621FB"/>
    <w:rsid w:val="00162409"/>
    <w:rsid w:val="00162A5C"/>
    <w:rsid w:val="00162D00"/>
    <w:rsid w:val="00163C40"/>
    <w:rsid w:val="00163E89"/>
    <w:rsid w:val="001644EE"/>
    <w:rsid w:val="00164606"/>
    <w:rsid w:val="00164634"/>
    <w:rsid w:val="00164808"/>
    <w:rsid w:val="001648FF"/>
    <w:rsid w:val="00165159"/>
    <w:rsid w:val="00165814"/>
    <w:rsid w:val="0016586E"/>
    <w:rsid w:val="00166016"/>
    <w:rsid w:val="00167023"/>
    <w:rsid w:val="001670CB"/>
    <w:rsid w:val="00167A68"/>
    <w:rsid w:val="0017042D"/>
    <w:rsid w:val="00170EC9"/>
    <w:rsid w:val="001715A0"/>
    <w:rsid w:val="00171F67"/>
    <w:rsid w:val="00172704"/>
    <w:rsid w:val="00172AA3"/>
    <w:rsid w:val="00172B34"/>
    <w:rsid w:val="00173B8E"/>
    <w:rsid w:val="00174180"/>
    <w:rsid w:val="00175071"/>
    <w:rsid w:val="00175391"/>
    <w:rsid w:val="00175E08"/>
    <w:rsid w:val="0017641E"/>
    <w:rsid w:val="00176DDC"/>
    <w:rsid w:val="001776CD"/>
    <w:rsid w:val="00180105"/>
    <w:rsid w:val="0018066B"/>
    <w:rsid w:val="00180B71"/>
    <w:rsid w:val="001822A2"/>
    <w:rsid w:val="00182B1E"/>
    <w:rsid w:val="00182FC3"/>
    <w:rsid w:val="001832F0"/>
    <w:rsid w:val="0018354A"/>
    <w:rsid w:val="001835FB"/>
    <w:rsid w:val="00183E41"/>
    <w:rsid w:val="0018454E"/>
    <w:rsid w:val="00184B0A"/>
    <w:rsid w:val="00184D40"/>
    <w:rsid w:val="00185522"/>
    <w:rsid w:val="00185823"/>
    <w:rsid w:val="001859B9"/>
    <w:rsid w:val="00185D48"/>
    <w:rsid w:val="00186011"/>
    <w:rsid w:val="001860A0"/>
    <w:rsid w:val="00186610"/>
    <w:rsid w:val="00186816"/>
    <w:rsid w:val="0018699F"/>
    <w:rsid w:val="00186EE2"/>
    <w:rsid w:val="001906D6"/>
    <w:rsid w:val="00191135"/>
    <w:rsid w:val="0019144A"/>
    <w:rsid w:val="00191CB4"/>
    <w:rsid w:val="0019206F"/>
    <w:rsid w:val="00192CBF"/>
    <w:rsid w:val="00192FF1"/>
    <w:rsid w:val="001933DD"/>
    <w:rsid w:val="00193CB4"/>
    <w:rsid w:val="0019466C"/>
    <w:rsid w:val="001955B0"/>
    <w:rsid w:val="001960BB"/>
    <w:rsid w:val="001962AF"/>
    <w:rsid w:val="00197875"/>
    <w:rsid w:val="001A0710"/>
    <w:rsid w:val="001A17C8"/>
    <w:rsid w:val="001A2051"/>
    <w:rsid w:val="001A27EB"/>
    <w:rsid w:val="001A2A29"/>
    <w:rsid w:val="001A2D3C"/>
    <w:rsid w:val="001A32EA"/>
    <w:rsid w:val="001A3BE6"/>
    <w:rsid w:val="001A41E4"/>
    <w:rsid w:val="001A45BD"/>
    <w:rsid w:val="001A4B43"/>
    <w:rsid w:val="001A4BC2"/>
    <w:rsid w:val="001A4C9B"/>
    <w:rsid w:val="001A5935"/>
    <w:rsid w:val="001A5A31"/>
    <w:rsid w:val="001A5E65"/>
    <w:rsid w:val="001A5F1B"/>
    <w:rsid w:val="001A6579"/>
    <w:rsid w:val="001A7CE7"/>
    <w:rsid w:val="001B002C"/>
    <w:rsid w:val="001B03EF"/>
    <w:rsid w:val="001B0ECB"/>
    <w:rsid w:val="001B1C22"/>
    <w:rsid w:val="001B1D32"/>
    <w:rsid w:val="001B2669"/>
    <w:rsid w:val="001B2A1D"/>
    <w:rsid w:val="001B34C6"/>
    <w:rsid w:val="001B396B"/>
    <w:rsid w:val="001B4718"/>
    <w:rsid w:val="001B497C"/>
    <w:rsid w:val="001B4EF6"/>
    <w:rsid w:val="001B4FE7"/>
    <w:rsid w:val="001B5807"/>
    <w:rsid w:val="001B5A68"/>
    <w:rsid w:val="001B5AAC"/>
    <w:rsid w:val="001B5DF8"/>
    <w:rsid w:val="001B6569"/>
    <w:rsid w:val="001B6C77"/>
    <w:rsid w:val="001B7E1C"/>
    <w:rsid w:val="001C0426"/>
    <w:rsid w:val="001C04D0"/>
    <w:rsid w:val="001C11E9"/>
    <w:rsid w:val="001C175A"/>
    <w:rsid w:val="001C1D8C"/>
    <w:rsid w:val="001C1F5C"/>
    <w:rsid w:val="001C22DA"/>
    <w:rsid w:val="001C28F0"/>
    <w:rsid w:val="001C386F"/>
    <w:rsid w:val="001C46D3"/>
    <w:rsid w:val="001C5734"/>
    <w:rsid w:val="001C6BA1"/>
    <w:rsid w:val="001C717D"/>
    <w:rsid w:val="001C7684"/>
    <w:rsid w:val="001C7AFD"/>
    <w:rsid w:val="001D0443"/>
    <w:rsid w:val="001D056D"/>
    <w:rsid w:val="001D1F64"/>
    <w:rsid w:val="001D21F0"/>
    <w:rsid w:val="001D22C9"/>
    <w:rsid w:val="001D2C9B"/>
    <w:rsid w:val="001D2F92"/>
    <w:rsid w:val="001D3A11"/>
    <w:rsid w:val="001D43D0"/>
    <w:rsid w:val="001D4798"/>
    <w:rsid w:val="001D48B6"/>
    <w:rsid w:val="001D48B7"/>
    <w:rsid w:val="001D498A"/>
    <w:rsid w:val="001D4CE2"/>
    <w:rsid w:val="001D4E44"/>
    <w:rsid w:val="001D545C"/>
    <w:rsid w:val="001D5AF4"/>
    <w:rsid w:val="001D62A7"/>
    <w:rsid w:val="001D73A9"/>
    <w:rsid w:val="001D7410"/>
    <w:rsid w:val="001D7832"/>
    <w:rsid w:val="001E04DB"/>
    <w:rsid w:val="001E0830"/>
    <w:rsid w:val="001E0BAB"/>
    <w:rsid w:val="001E13B7"/>
    <w:rsid w:val="001E18A7"/>
    <w:rsid w:val="001E1E2C"/>
    <w:rsid w:val="001E2028"/>
    <w:rsid w:val="001E2097"/>
    <w:rsid w:val="001E2113"/>
    <w:rsid w:val="001E2648"/>
    <w:rsid w:val="001E331D"/>
    <w:rsid w:val="001E38A8"/>
    <w:rsid w:val="001E3A33"/>
    <w:rsid w:val="001E410B"/>
    <w:rsid w:val="001E4A04"/>
    <w:rsid w:val="001E4E44"/>
    <w:rsid w:val="001E5F9C"/>
    <w:rsid w:val="001E674E"/>
    <w:rsid w:val="001E6EE3"/>
    <w:rsid w:val="001F1411"/>
    <w:rsid w:val="001F19A2"/>
    <w:rsid w:val="001F1DF9"/>
    <w:rsid w:val="001F1F4B"/>
    <w:rsid w:val="001F2159"/>
    <w:rsid w:val="001F2EC8"/>
    <w:rsid w:val="001F43F2"/>
    <w:rsid w:val="001F5091"/>
    <w:rsid w:val="001F5A5D"/>
    <w:rsid w:val="001F5EE0"/>
    <w:rsid w:val="001F6ACA"/>
    <w:rsid w:val="001F6DE1"/>
    <w:rsid w:val="001F7168"/>
    <w:rsid w:val="001F76B1"/>
    <w:rsid w:val="001F79D0"/>
    <w:rsid w:val="001F7C5F"/>
    <w:rsid w:val="001F7DC5"/>
    <w:rsid w:val="00200066"/>
    <w:rsid w:val="00200365"/>
    <w:rsid w:val="00201C24"/>
    <w:rsid w:val="00202907"/>
    <w:rsid w:val="00202F75"/>
    <w:rsid w:val="002044E1"/>
    <w:rsid w:val="002045CF"/>
    <w:rsid w:val="00204760"/>
    <w:rsid w:val="00204CC9"/>
    <w:rsid w:val="00205E68"/>
    <w:rsid w:val="0020626F"/>
    <w:rsid w:val="00206FFC"/>
    <w:rsid w:val="00207548"/>
    <w:rsid w:val="00207F1E"/>
    <w:rsid w:val="00210BF0"/>
    <w:rsid w:val="00210C7E"/>
    <w:rsid w:val="00210DC1"/>
    <w:rsid w:val="00211D34"/>
    <w:rsid w:val="00212669"/>
    <w:rsid w:val="002130C8"/>
    <w:rsid w:val="00213655"/>
    <w:rsid w:val="00213A81"/>
    <w:rsid w:val="00214574"/>
    <w:rsid w:val="0021486F"/>
    <w:rsid w:val="00214969"/>
    <w:rsid w:val="00214AE3"/>
    <w:rsid w:val="00214F04"/>
    <w:rsid w:val="0021583E"/>
    <w:rsid w:val="00216120"/>
    <w:rsid w:val="002161FA"/>
    <w:rsid w:val="00216CB9"/>
    <w:rsid w:val="00216D81"/>
    <w:rsid w:val="002173CA"/>
    <w:rsid w:val="002176E4"/>
    <w:rsid w:val="00220152"/>
    <w:rsid w:val="00221A43"/>
    <w:rsid w:val="002223E8"/>
    <w:rsid w:val="00222499"/>
    <w:rsid w:val="002227E0"/>
    <w:rsid w:val="002235DB"/>
    <w:rsid w:val="0022393D"/>
    <w:rsid w:val="002241A5"/>
    <w:rsid w:val="00224825"/>
    <w:rsid w:val="00224C7D"/>
    <w:rsid w:val="0022522C"/>
    <w:rsid w:val="002256EA"/>
    <w:rsid w:val="0022573E"/>
    <w:rsid w:val="00225E5B"/>
    <w:rsid w:val="00225F7D"/>
    <w:rsid w:val="00225FB3"/>
    <w:rsid w:val="002260F9"/>
    <w:rsid w:val="00226269"/>
    <w:rsid w:val="0022651D"/>
    <w:rsid w:val="002275D8"/>
    <w:rsid w:val="0022770B"/>
    <w:rsid w:val="00227F2D"/>
    <w:rsid w:val="0023036F"/>
    <w:rsid w:val="00230546"/>
    <w:rsid w:val="00231ECF"/>
    <w:rsid w:val="00232342"/>
    <w:rsid w:val="002324D1"/>
    <w:rsid w:val="002325DD"/>
    <w:rsid w:val="002329F5"/>
    <w:rsid w:val="00232E6E"/>
    <w:rsid w:val="00233143"/>
    <w:rsid w:val="002337FB"/>
    <w:rsid w:val="00234833"/>
    <w:rsid w:val="00234A0A"/>
    <w:rsid w:val="002352B9"/>
    <w:rsid w:val="0023674D"/>
    <w:rsid w:val="002368D4"/>
    <w:rsid w:val="0023703E"/>
    <w:rsid w:val="002401ED"/>
    <w:rsid w:val="00240AB0"/>
    <w:rsid w:val="00240D06"/>
    <w:rsid w:val="002426D6"/>
    <w:rsid w:val="00242734"/>
    <w:rsid w:val="0024322E"/>
    <w:rsid w:val="00244996"/>
    <w:rsid w:val="00244AD2"/>
    <w:rsid w:val="00244E88"/>
    <w:rsid w:val="00245045"/>
    <w:rsid w:val="00245058"/>
    <w:rsid w:val="00245A25"/>
    <w:rsid w:val="00246BF7"/>
    <w:rsid w:val="00246D14"/>
    <w:rsid w:val="00246DBC"/>
    <w:rsid w:val="00247791"/>
    <w:rsid w:val="002478DC"/>
    <w:rsid w:val="002478F2"/>
    <w:rsid w:val="0025171D"/>
    <w:rsid w:val="002523AD"/>
    <w:rsid w:val="0025288F"/>
    <w:rsid w:val="002529B0"/>
    <w:rsid w:val="00252A06"/>
    <w:rsid w:val="00252E32"/>
    <w:rsid w:val="002560C0"/>
    <w:rsid w:val="002562F7"/>
    <w:rsid w:val="0025677A"/>
    <w:rsid w:val="00256D03"/>
    <w:rsid w:val="00256EA7"/>
    <w:rsid w:val="00256EF4"/>
    <w:rsid w:val="00256F6A"/>
    <w:rsid w:val="00257107"/>
    <w:rsid w:val="00257483"/>
    <w:rsid w:val="00260000"/>
    <w:rsid w:val="0026142E"/>
    <w:rsid w:val="002619BD"/>
    <w:rsid w:val="00262577"/>
    <w:rsid w:val="0026260D"/>
    <w:rsid w:val="00262F69"/>
    <w:rsid w:val="002632A2"/>
    <w:rsid w:val="0026393D"/>
    <w:rsid w:val="00263AC4"/>
    <w:rsid w:val="00263B8F"/>
    <w:rsid w:val="002642F4"/>
    <w:rsid w:val="00265A65"/>
    <w:rsid w:val="00266CD6"/>
    <w:rsid w:val="00267105"/>
    <w:rsid w:val="002673AC"/>
    <w:rsid w:val="002705A8"/>
    <w:rsid w:val="002710CA"/>
    <w:rsid w:val="00271284"/>
    <w:rsid w:val="002712C2"/>
    <w:rsid w:val="00271910"/>
    <w:rsid w:val="002724A0"/>
    <w:rsid w:val="0027258C"/>
    <w:rsid w:val="00273057"/>
    <w:rsid w:val="00273643"/>
    <w:rsid w:val="002736EC"/>
    <w:rsid w:val="00273950"/>
    <w:rsid w:val="002740C6"/>
    <w:rsid w:val="00274B7F"/>
    <w:rsid w:val="00275C5B"/>
    <w:rsid w:val="00275DAB"/>
    <w:rsid w:val="002760BB"/>
    <w:rsid w:val="00277C50"/>
    <w:rsid w:val="0028061C"/>
    <w:rsid w:val="002807CC"/>
    <w:rsid w:val="00283864"/>
    <w:rsid w:val="00284390"/>
    <w:rsid w:val="00284563"/>
    <w:rsid w:val="00284E2B"/>
    <w:rsid w:val="00285CAA"/>
    <w:rsid w:val="00286841"/>
    <w:rsid w:val="00286DF7"/>
    <w:rsid w:val="0028766A"/>
    <w:rsid w:val="00287B27"/>
    <w:rsid w:val="00287FE7"/>
    <w:rsid w:val="002903C0"/>
    <w:rsid w:val="00290748"/>
    <w:rsid w:val="0029087C"/>
    <w:rsid w:val="00290915"/>
    <w:rsid w:val="00290AD2"/>
    <w:rsid w:val="00290D9B"/>
    <w:rsid w:val="00292EC2"/>
    <w:rsid w:val="002930BF"/>
    <w:rsid w:val="0029392E"/>
    <w:rsid w:val="002941B9"/>
    <w:rsid w:val="002947A9"/>
    <w:rsid w:val="002948D5"/>
    <w:rsid w:val="00294A5F"/>
    <w:rsid w:val="00294D9E"/>
    <w:rsid w:val="00295301"/>
    <w:rsid w:val="00295495"/>
    <w:rsid w:val="00296956"/>
    <w:rsid w:val="00296FF7"/>
    <w:rsid w:val="00297256"/>
    <w:rsid w:val="00297B76"/>
    <w:rsid w:val="00297C80"/>
    <w:rsid w:val="002A074F"/>
    <w:rsid w:val="002A09D8"/>
    <w:rsid w:val="002A11FF"/>
    <w:rsid w:val="002A1FC4"/>
    <w:rsid w:val="002A2172"/>
    <w:rsid w:val="002A27ED"/>
    <w:rsid w:val="002A3958"/>
    <w:rsid w:val="002A3E39"/>
    <w:rsid w:val="002A3F5A"/>
    <w:rsid w:val="002A43F0"/>
    <w:rsid w:val="002A4975"/>
    <w:rsid w:val="002A601D"/>
    <w:rsid w:val="002A6B4D"/>
    <w:rsid w:val="002A6BCD"/>
    <w:rsid w:val="002A782A"/>
    <w:rsid w:val="002B0754"/>
    <w:rsid w:val="002B11E2"/>
    <w:rsid w:val="002B1616"/>
    <w:rsid w:val="002B1B0A"/>
    <w:rsid w:val="002B24B8"/>
    <w:rsid w:val="002B413B"/>
    <w:rsid w:val="002B41C3"/>
    <w:rsid w:val="002B454C"/>
    <w:rsid w:val="002B4962"/>
    <w:rsid w:val="002B4A9C"/>
    <w:rsid w:val="002B5276"/>
    <w:rsid w:val="002B569A"/>
    <w:rsid w:val="002B6019"/>
    <w:rsid w:val="002B6760"/>
    <w:rsid w:val="002B7B46"/>
    <w:rsid w:val="002C018E"/>
    <w:rsid w:val="002C293A"/>
    <w:rsid w:val="002C3643"/>
    <w:rsid w:val="002C42C3"/>
    <w:rsid w:val="002C4305"/>
    <w:rsid w:val="002C55F4"/>
    <w:rsid w:val="002C5EA4"/>
    <w:rsid w:val="002C61D9"/>
    <w:rsid w:val="002C77F7"/>
    <w:rsid w:val="002D04BB"/>
    <w:rsid w:val="002D10E9"/>
    <w:rsid w:val="002D188E"/>
    <w:rsid w:val="002D20F6"/>
    <w:rsid w:val="002D2C10"/>
    <w:rsid w:val="002D316D"/>
    <w:rsid w:val="002D3AE9"/>
    <w:rsid w:val="002D4054"/>
    <w:rsid w:val="002D4510"/>
    <w:rsid w:val="002D597B"/>
    <w:rsid w:val="002D60B3"/>
    <w:rsid w:val="002D6BCF"/>
    <w:rsid w:val="002D72DD"/>
    <w:rsid w:val="002D7C82"/>
    <w:rsid w:val="002D7E4C"/>
    <w:rsid w:val="002E28D7"/>
    <w:rsid w:val="002E2F84"/>
    <w:rsid w:val="002E30D7"/>
    <w:rsid w:val="002E3C05"/>
    <w:rsid w:val="002E3F9B"/>
    <w:rsid w:val="002E419B"/>
    <w:rsid w:val="002E437F"/>
    <w:rsid w:val="002E484B"/>
    <w:rsid w:val="002E4B6C"/>
    <w:rsid w:val="002E4EA8"/>
    <w:rsid w:val="002E5231"/>
    <w:rsid w:val="002E602F"/>
    <w:rsid w:val="002E622A"/>
    <w:rsid w:val="002E6735"/>
    <w:rsid w:val="002E6F1A"/>
    <w:rsid w:val="002E7DA6"/>
    <w:rsid w:val="002F05C8"/>
    <w:rsid w:val="002F0734"/>
    <w:rsid w:val="002F0766"/>
    <w:rsid w:val="002F0C4B"/>
    <w:rsid w:val="002F1487"/>
    <w:rsid w:val="002F2DFB"/>
    <w:rsid w:val="002F3BEA"/>
    <w:rsid w:val="002F410B"/>
    <w:rsid w:val="002F46E7"/>
    <w:rsid w:val="002F47AC"/>
    <w:rsid w:val="002F488A"/>
    <w:rsid w:val="002F492E"/>
    <w:rsid w:val="002F527F"/>
    <w:rsid w:val="002F5332"/>
    <w:rsid w:val="002F569C"/>
    <w:rsid w:val="002F5BB0"/>
    <w:rsid w:val="002F5D61"/>
    <w:rsid w:val="002F6E55"/>
    <w:rsid w:val="002F7305"/>
    <w:rsid w:val="002F7710"/>
    <w:rsid w:val="0030033D"/>
    <w:rsid w:val="003007C5"/>
    <w:rsid w:val="0030086F"/>
    <w:rsid w:val="003008C5"/>
    <w:rsid w:val="00300D55"/>
    <w:rsid w:val="00301774"/>
    <w:rsid w:val="00302B11"/>
    <w:rsid w:val="00302BEC"/>
    <w:rsid w:val="003030F8"/>
    <w:rsid w:val="003031FA"/>
    <w:rsid w:val="00303AC8"/>
    <w:rsid w:val="00304491"/>
    <w:rsid w:val="00305107"/>
    <w:rsid w:val="00305567"/>
    <w:rsid w:val="00305AF0"/>
    <w:rsid w:val="0030794A"/>
    <w:rsid w:val="00307B35"/>
    <w:rsid w:val="00307F67"/>
    <w:rsid w:val="00307FB5"/>
    <w:rsid w:val="003101DA"/>
    <w:rsid w:val="00310D68"/>
    <w:rsid w:val="003111C3"/>
    <w:rsid w:val="00311485"/>
    <w:rsid w:val="00311A3D"/>
    <w:rsid w:val="00311C21"/>
    <w:rsid w:val="0031223C"/>
    <w:rsid w:val="0031283D"/>
    <w:rsid w:val="00312C84"/>
    <w:rsid w:val="00314757"/>
    <w:rsid w:val="00314CB0"/>
    <w:rsid w:val="003157E0"/>
    <w:rsid w:val="0031594D"/>
    <w:rsid w:val="00315D15"/>
    <w:rsid w:val="003163BC"/>
    <w:rsid w:val="003171DB"/>
    <w:rsid w:val="00320384"/>
    <w:rsid w:val="00320CA2"/>
    <w:rsid w:val="00320E36"/>
    <w:rsid w:val="00320F6E"/>
    <w:rsid w:val="003211CE"/>
    <w:rsid w:val="00321212"/>
    <w:rsid w:val="00321801"/>
    <w:rsid w:val="003219A4"/>
    <w:rsid w:val="00321ED9"/>
    <w:rsid w:val="00322546"/>
    <w:rsid w:val="00322761"/>
    <w:rsid w:val="003239F3"/>
    <w:rsid w:val="00323FD6"/>
    <w:rsid w:val="00324479"/>
    <w:rsid w:val="00324987"/>
    <w:rsid w:val="00324BAD"/>
    <w:rsid w:val="00325CDC"/>
    <w:rsid w:val="00325E71"/>
    <w:rsid w:val="00326257"/>
    <w:rsid w:val="0032628C"/>
    <w:rsid w:val="003262F4"/>
    <w:rsid w:val="00326B86"/>
    <w:rsid w:val="00326D2D"/>
    <w:rsid w:val="00327411"/>
    <w:rsid w:val="00327526"/>
    <w:rsid w:val="00327527"/>
    <w:rsid w:val="0032770C"/>
    <w:rsid w:val="00327A0D"/>
    <w:rsid w:val="0033077B"/>
    <w:rsid w:val="00331888"/>
    <w:rsid w:val="00331B18"/>
    <w:rsid w:val="00333CE0"/>
    <w:rsid w:val="00335761"/>
    <w:rsid w:val="00335791"/>
    <w:rsid w:val="0034039B"/>
    <w:rsid w:val="00340727"/>
    <w:rsid w:val="0034201A"/>
    <w:rsid w:val="003428F8"/>
    <w:rsid w:val="00342BEF"/>
    <w:rsid w:val="00343584"/>
    <w:rsid w:val="0034373D"/>
    <w:rsid w:val="00343AE0"/>
    <w:rsid w:val="003447AB"/>
    <w:rsid w:val="00345045"/>
    <w:rsid w:val="003451B1"/>
    <w:rsid w:val="003454CA"/>
    <w:rsid w:val="00345A75"/>
    <w:rsid w:val="00345D4C"/>
    <w:rsid w:val="00345FB6"/>
    <w:rsid w:val="003463FF"/>
    <w:rsid w:val="003468AD"/>
    <w:rsid w:val="00346FE9"/>
    <w:rsid w:val="003476DF"/>
    <w:rsid w:val="00351EAC"/>
    <w:rsid w:val="003525F5"/>
    <w:rsid w:val="00352AD1"/>
    <w:rsid w:val="00352E04"/>
    <w:rsid w:val="00353D12"/>
    <w:rsid w:val="0035403A"/>
    <w:rsid w:val="00354D6A"/>
    <w:rsid w:val="00356A97"/>
    <w:rsid w:val="00356D76"/>
    <w:rsid w:val="003573FC"/>
    <w:rsid w:val="00360777"/>
    <w:rsid w:val="00360BCE"/>
    <w:rsid w:val="00361145"/>
    <w:rsid w:val="003611E6"/>
    <w:rsid w:val="00361391"/>
    <w:rsid w:val="003616D5"/>
    <w:rsid w:val="0036183E"/>
    <w:rsid w:val="00361AD7"/>
    <w:rsid w:val="00361CC8"/>
    <w:rsid w:val="00361D69"/>
    <w:rsid w:val="00361FC0"/>
    <w:rsid w:val="00362042"/>
    <w:rsid w:val="003620EC"/>
    <w:rsid w:val="003637E3"/>
    <w:rsid w:val="0036394B"/>
    <w:rsid w:val="00363A41"/>
    <w:rsid w:val="00363D91"/>
    <w:rsid w:val="003641DA"/>
    <w:rsid w:val="00364896"/>
    <w:rsid w:val="00364FF5"/>
    <w:rsid w:val="003650B6"/>
    <w:rsid w:val="00365273"/>
    <w:rsid w:val="003654B3"/>
    <w:rsid w:val="00365881"/>
    <w:rsid w:val="0036603D"/>
    <w:rsid w:val="00366618"/>
    <w:rsid w:val="00366DB6"/>
    <w:rsid w:val="0036718C"/>
    <w:rsid w:val="003678E6"/>
    <w:rsid w:val="00367CDB"/>
    <w:rsid w:val="00370919"/>
    <w:rsid w:val="003709B5"/>
    <w:rsid w:val="00370A29"/>
    <w:rsid w:val="00370B51"/>
    <w:rsid w:val="003715CF"/>
    <w:rsid w:val="00373CAA"/>
    <w:rsid w:val="00374241"/>
    <w:rsid w:val="00374DA5"/>
    <w:rsid w:val="00374E5D"/>
    <w:rsid w:val="00375395"/>
    <w:rsid w:val="003759C2"/>
    <w:rsid w:val="00375C21"/>
    <w:rsid w:val="003769A3"/>
    <w:rsid w:val="003770B6"/>
    <w:rsid w:val="00377938"/>
    <w:rsid w:val="003801CC"/>
    <w:rsid w:val="003802FC"/>
    <w:rsid w:val="003806E7"/>
    <w:rsid w:val="003810BE"/>
    <w:rsid w:val="003813AC"/>
    <w:rsid w:val="00381430"/>
    <w:rsid w:val="00381DDA"/>
    <w:rsid w:val="00382007"/>
    <w:rsid w:val="0038215B"/>
    <w:rsid w:val="003824FB"/>
    <w:rsid w:val="00382FFE"/>
    <w:rsid w:val="00384366"/>
    <w:rsid w:val="003864AB"/>
    <w:rsid w:val="00387684"/>
    <w:rsid w:val="003876EB"/>
    <w:rsid w:val="00387C84"/>
    <w:rsid w:val="0039008D"/>
    <w:rsid w:val="00390645"/>
    <w:rsid w:val="00390AA2"/>
    <w:rsid w:val="0039140F"/>
    <w:rsid w:val="00392128"/>
    <w:rsid w:val="0039449A"/>
    <w:rsid w:val="003961FE"/>
    <w:rsid w:val="003964B3"/>
    <w:rsid w:val="0039707A"/>
    <w:rsid w:val="00397125"/>
    <w:rsid w:val="003971F9"/>
    <w:rsid w:val="00397365"/>
    <w:rsid w:val="003A0433"/>
    <w:rsid w:val="003A0A7A"/>
    <w:rsid w:val="003A1297"/>
    <w:rsid w:val="003A2CD3"/>
    <w:rsid w:val="003A3173"/>
    <w:rsid w:val="003A31F6"/>
    <w:rsid w:val="003A440A"/>
    <w:rsid w:val="003A468B"/>
    <w:rsid w:val="003A52FE"/>
    <w:rsid w:val="003A5D0A"/>
    <w:rsid w:val="003A6D27"/>
    <w:rsid w:val="003A742F"/>
    <w:rsid w:val="003A7AB8"/>
    <w:rsid w:val="003B0241"/>
    <w:rsid w:val="003B095E"/>
    <w:rsid w:val="003B131F"/>
    <w:rsid w:val="003B1421"/>
    <w:rsid w:val="003B20AC"/>
    <w:rsid w:val="003B22C2"/>
    <w:rsid w:val="003B27D8"/>
    <w:rsid w:val="003B2A43"/>
    <w:rsid w:val="003B314D"/>
    <w:rsid w:val="003B31CD"/>
    <w:rsid w:val="003B3752"/>
    <w:rsid w:val="003B5850"/>
    <w:rsid w:val="003B607B"/>
    <w:rsid w:val="003B6689"/>
    <w:rsid w:val="003B6803"/>
    <w:rsid w:val="003B6B9C"/>
    <w:rsid w:val="003B6C05"/>
    <w:rsid w:val="003B730C"/>
    <w:rsid w:val="003B76B5"/>
    <w:rsid w:val="003C0D68"/>
    <w:rsid w:val="003C1496"/>
    <w:rsid w:val="003C1E80"/>
    <w:rsid w:val="003C22BF"/>
    <w:rsid w:val="003C2B7E"/>
    <w:rsid w:val="003C2CE2"/>
    <w:rsid w:val="003C2DA7"/>
    <w:rsid w:val="003C2F39"/>
    <w:rsid w:val="003C3447"/>
    <w:rsid w:val="003C3514"/>
    <w:rsid w:val="003C52FE"/>
    <w:rsid w:val="003C5459"/>
    <w:rsid w:val="003C5BE5"/>
    <w:rsid w:val="003C5D27"/>
    <w:rsid w:val="003C6E42"/>
    <w:rsid w:val="003C7363"/>
    <w:rsid w:val="003C9311"/>
    <w:rsid w:val="003D03B7"/>
    <w:rsid w:val="003D076C"/>
    <w:rsid w:val="003D0788"/>
    <w:rsid w:val="003D09E5"/>
    <w:rsid w:val="003D0A67"/>
    <w:rsid w:val="003D0EA1"/>
    <w:rsid w:val="003D1330"/>
    <w:rsid w:val="003D1F77"/>
    <w:rsid w:val="003D2EFA"/>
    <w:rsid w:val="003D373E"/>
    <w:rsid w:val="003D3B97"/>
    <w:rsid w:val="003D60F6"/>
    <w:rsid w:val="003D6693"/>
    <w:rsid w:val="003D73BD"/>
    <w:rsid w:val="003D7C19"/>
    <w:rsid w:val="003E04B7"/>
    <w:rsid w:val="003E099A"/>
    <w:rsid w:val="003E161A"/>
    <w:rsid w:val="003E2281"/>
    <w:rsid w:val="003E25F4"/>
    <w:rsid w:val="003E3466"/>
    <w:rsid w:val="003E361C"/>
    <w:rsid w:val="003E398F"/>
    <w:rsid w:val="003E3DA4"/>
    <w:rsid w:val="003E4317"/>
    <w:rsid w:val="003E553C"/>
    <w:rsid w:val="003E5616"/>
    <w:rsid w:val="003E5693"/>
    <w:rsid w:val="003E6611"/>
    <w:rsid w:val="003E6DD5"/>
    <w:rsid w:val="003E6FE3"/>
    <w:rsid w:val="003E7030"/>
    <w:rsid w:val="003E74B5"/>
    <w:rsid w:val="003E78B5"/>
    <w:rsid w:val="003E7AE5"/>
    <w:rsid w:val="003E7D7E"/>
    <w:rsid w:val="003E7EBA"/>
    <w:rsid w:val="003F060A"/>
    <w:rsid w:val="003F0D15"/>
    <w:rsid w:val="003F1665"/>
    <w:rsid w:val="003F173B"/>
    <w:rsid w:val="003F1B22"/>
    <w:rsid w:val="003F1C31"/>
    <w:rsid w:val="003F2C07"/>
    <w:rsid w:val="003F3405"/>
    <w:rsid w:val="003F38E6"/>
    <w:rsid w:val="003F3E10"/>
    <w:rsid w:val="003F41B0"/>
    <w:rsid w:val="003F4800"/>
    <w:rsid w:val="003F4F24"/>
    <w:rsid w:val="003F579C"/>
    <w:rsid w:val="003F5B96"/>
    <w:rsid w:val="003F5BC9"/>
    <w:rsid w:val="003F5D75"/>
    <w:rsid w:val="003F5DF1"/>
    <w:rsid w:val="003F5ECA"/>
    <w:rsid w:val="003F7C25"/>
    <w:rsid w:val="003F7DAC"/>
    <w:rsid w:val="0040028C"/>
    <w:rsid w:val="00400800"/>
    <w:rsid w:val="00401107"/>
    <w:rsid w:val="00401682"/>
    <w:rsid w:val="00402169"/>
    <w:rsid w:val="00402620"/>
    <w:rsid w:val="004028E2"/>
    <w:rsid w:val="00402E8B"/>
    <w:rsid w:val="00403512"/>
    <w:rsid w:val="0040354C"/>
    <w:rsid w:val="00403E7E"/>
    <w:rsid w:val="00404023"/>
    <w:rsid w:val="0040604C"/>
    <w:rsid w:val="00406D02"/>
    <w:rsid w:val="00406D93"/>
    <w:rsid w:val="0041079B"/>
    <w:rsid w:val="004108C7"/>
    <w:rsid w:val="0041095C"/>
    <w:rsid w:val="00410CCD"/>
    <w:rsid w:val="004112F3"/>
    <w:rsid w:val="00413164"/>
    <w:rsid w:val="0041329A"/>
    <w:rsid w:val="00414179"/>
    <w:rsid w:val="0041431A"/>
    <w:rsid w:val="00414A6C"/>
    <w:rsid w:val="004155C3"/>
    <w:rsid w:val="004159B8"/>
    <w:rsid w:val="00415BAB"/>
    <w:rsid w:val="00415ED2"/>
    <w:rsid w:val="004168A7"/>
    <w:rsid w:val="00416C32"/>
    <w:rsid w:val="00416E53"/>
    <w:rsid w:val="00417464"/>
    <w:rsid w:val="00417481"/>
    <w:rsid w:val="0042068C"/>
    <w:rsid w:val="004207EC"/>
    <w:rsid w:val="00421495"/>
    <w:rsid w:val="00421A4B"/>
    <w:rsid w:val="0042223E"/>
    <w:rsid w:val="00422A69"/>
    <w:rsid w:val="00423396"/>
    <w:rsid w:val="00423506"/>
    <w:rsid w:val="00423DDE"/>
    <w:rsid w:val="00424199"/>
    <w:rsid w:val="0042456F"/>
    <w:rsid w:val="004245DE"/>
    <w:rsid w:val="004245E0"/>
    <w:rsid w:val="0042491C"/>
    <w:rsid w:val="0042572C"/>
    <w:rsid w:val="004265AA"/>
    <w:rsid w:val="00427288"/>
    <w:rsid w:val="00427AE8"/>
    <w:rsid w:val="00427CD1"/>
    <w:rsid w:val="0043008C"/>
    <w:rsid w:val="004300F7"/>
    <w:rsid w:val="0043074E"/>
    <w:rsid w:val="00430797"/>
    <w:rsid w:val="00431210"/>
    <w:rsid w:val="0043191E"/>
    <w:rsid w:val="00431A7E"/>
    <w:rsid w:val="00431D66"/>
    <w:rsid w:val="00432124"/>
    <w:rsid w:val="0043289D"/>
    <w:rsid w:val="00432A41"/>
    <w:rsid w:val="00433281"/>
    <w:rsid w:val="00433B95"/>
    <w:rsid w:val="00433FBC"/>
    <w:rsid w:val="00434B85"/>
    <w:rsid w:val="00434CF0"/>
    <w:rsid w:val="0043547D"/>
    <w:rsid w:val="00435807"/>
    <w:rsid w:val="004359D3"/>
    <w:rsid w:val="0043624E"/>
    <w:rsid w:val="00437515"/>
    <w:rsid w:val="00437CDF"/>
    <w:rsid w:val="00437EF7"/>
    <w:rsid w:val="00440817"/>
    <w:rsid w:val="00441629"/>
    <w:rsid w:val="00441E14"/>
    <w:rsid w:val="0044259C"/>
    <w:rsid w:val="0044318E"/>
    <w:rsid w:val="004434E1"/>
    <w:rsid w:val="00443ADA"/>
    <w:rsid w:val="00443B35"/>
    <w:rsid w:val="00444741"/>
    <w:rsid w:val="00444B11"/>
    <w:rsid w:val="004458FF"/>
    <w:rsid w:val="00446393"/>
    <w:rsid w:val="00447C83"/>
    <w:rsid w:val="0045012E"/>
    <w:rsid w:val="0045050D"/>
    <w:rsid w:val="00450DAD"/>
    <w:rsid w:val="00450DBA"/>
    <w:rsid w:val="00451528"/>
    <w:rsid w:val="00451BCA"/>
    <w:rsid w:val="004529D3"/>
    <w:rsid w:val="00453F99"/>
    <w:rsid w:val="00454041"/>
    <w:rsid w:val="00454A1F"/>
    <w:rsid w:val="004552A3"/>
    <w:rsid w:val="004558D8"/>
    <w:rsid w:val="00455C21"/>
    <w:rsid w:val="00455DF5"/>
    <w:rsid w:val="00456881"/>
    <w:rsid w:val="00457028"/>
    <w:rsid w:val="00457BD2"/>
    <w:rsid w:val="00460229"/>
    <w:rsid w:val="00460626"/>
    <w:rsid w:val="00460CC8"/>
    <w:rsid w:val="00460D0C"/>
    <w:rsid w:val="00460EDB"/>
    <w:rsid w:val="004615A1"/>
    <w:rsid w:val="00462657"/>
    <w:rsid w:val="00462FE2"/>
    <w:rsid w:val="004635EF"/>
    <w:rsid w:val="00464405"/>
    <w:rsid w:val="004652A1"/>
    <w:rsid w:val="004652C9"/>
    <w:rsid w:val="004676DA"/>
    <w:rsid w:val="0047122B"/>
    <w:rsid w:val="004714C2"/>
    <w:rsid w:val="0047188A"/>
    <w:rsid w:val="00471BF2"/>
    <w:rsid w:val="00472341"/>
    <w:rsid w:val="0047247D"/>
    <w:rsid w:val="0047296F"/>
    <w:rsid w:val="00472B73"/>
    <w:rsid w:val="004734D9"/>
    <w:rsid w:val="004736A3"/>
    <w:rsid w:val="00473B7A"/>
    <w:rsid w:val="00473F94"/>
    <w:rsid w:val="004745CA"/>
    <w:rsid w:val="0047484B"/>
    <w:rsid w:val="00474A6D"/>
    <w:rsid w:val="0047511C"/>
    <w:rsid w:val="00475815"/>
    <w:rsid w:val="004760B3"/>
    <w:rsid w:val="00476B6B"/>
    <w:rsid w:val="00477BF1"/>
    <w:rsid w:val="0048068C"/>
    <w:rsid w:val="00480A98"/>
    <w:rsid w:val="00481072"/>
    <w:rsid w:val="00481BBC"/>
    <w:rsid w:val="00481C02"/>
    <w:rsid w:val="004820FE"/>
    <w:rsid w:val="00482486"/>
    <w:rsid w:val="00482522"/>
    <w:rsid w:val="00483875"/>
    <w:rsid w:val="004845C9"/>
    <w:rsid w:val="004851FE"/>
    <w:rsid w:val="00485570"/>
    <w:rsid w:val="00486832"/>
    <w:rsid w:val="00486869"/>
    <w:rsid w:val="0048692C"/>
    <w:rsid w:val="00486CC7"/>
    <w:rsid w:val="004904ED"/>
    <w:rsid w:val="0049063E"/>
    <w:rsid w:val="00490CBA"/>
    <w:rsid w:val="00492733"/>
    <w:rsid w:val="00492A9C"/>
    <w:rsid w:val="00494AF1"/>
    <w:rsid w:val="004951BE"/>
    <w:rsid w:val="00495351"/>
    <w:rsid w:val="00495496"/>
    <w:rsid w:val="00495E47"/>
    <w:rsid w:val="004960E9"/>
    <w:rsid w:val="004961CA"/>
    <w:rsid w:val="0049794E"/>
    <w:rsid w:val="004A00BD"/>
    <w:rsid w:val="004A02D2"/>
    <w:rsid w:val="004A0310"/>
    <w:rsid w:val="004A031B"/>
    <w:rsid w:val="004A041A"/>
    <w:rsid w:val="004A0674"/>
    <w:rsid w:val="004A1F0A"/>
    <w:rsid w:val="004A2E88"/>
    <w:rsid w:val="004A360D"/>
    <w:rsid w:val="004A4CC8"/>
    <w:rsid w:val="004A52FD"/>
    <w:rsid w:val="004A5305"/>
    <w:rsid w:val="004A54DD"/>
    <w:rsid w:val="004A615C"/>
    <w:rsid w:val="004A6AB2"/>
    <w:rsid w:val="004A6D7C"/>
    <w:rsid w:val="004A79ED"/>
    <w:rsid w:val="004B1083"/>
    <w:rsid w:val="004B17A4"/>
    <w:rsid w:val="004B2BDC"/>
    <w:rsid w:val="004B32FC"/>
    <w:rsid w:val="004B3D03"/>
    <w:rsid w:val="004B4E0C"/>
    <w:rsid w:val="004B539E"/>
    <w:rsid w:val="004B5792"/>
    <w:rsid w:val="004B7C1E"/>
    <w:rsid w:val="004C0A07"/>
    <w:rsid w:val="004C0E75"/>
    <w:rsid w:val="004C15CE"/>
    <w:rsid w:val="004C2A1B"/>
    <w:rsid w:val="004C2DE5"/>
    <w:rsid w:val="004C3045"/>
    <w:rsid w:val="004C4B4F"/>
    <w:rsid w:val="004C68C7"/>
    <w:rsid w:val="004C6B68"/>
    <w:rsid w:val="004C797F"/>
    <w:rsid w:val="004C7DBA"/>
    <w:rsid w:val="004D04A9"/>
    <w:rsid w:val="004D1D8D"/>
    <w:rsid w:val="004D2C1D"/>
    <w:rsid w:val="004D2C65"/>
    <w:rsid w:val="004D3AE3"/>
    <w:rsid w:val="004D4990"/>
    <w:rsid w:val="004D5F8C"/>
    <w:rsid w:val="004D6562"/>
    <w:rsid w:val="004D6630"/>
    <w:rsid w:val="004D6ADD"/>
    <w:rsid w:val="004D6E52"/>
    <w:rsid w:val="004D6EC2"/>
    <w:rsid w:val="004D71F1"/>
    <w:rsid w:val="004D757F"/>
    <w:rsid w:val="004D7634"/>
    <w:rsid w:val="004E0107"/>
    <w:rsid w:val="004E0323"/>
    <w:rsid w:val="004E0746"/>
    <w:rsid w:val="004E128C"/>
    <w:rsid w:val="004E1ABA"/>
    <w:rsid w:val="004E1B16"/>
    <w:rsid w:val="004E311B"/>
    <w:rsid w:val="004E376C"/>
    <w:rsid w:val="004E3A6E"/>
    <w:rsid w:val="004E4257"/>
    <w:rsid w:val="004E4579"/>
    <w:rsid w:val="004E56CA"/>
    <w:rsid w:val="004E5EE3"/>
    <w:rsid w:val="004E611A"/>
    <w:rsid w:val="004E6B28"/>
    <w:rsid w:val="004E6C65"/>
    <w:rsid w:val="004E73BA"/>
    <w:rsid w:val="004E7A35"/>
    <w:rsid w:val="004E7BC6"/>
    <w:rsid w:val="004E7BF7"/>
    <w:rsid w:val="004E7D0C"/>
    <w:rsid w:val="004F0737"/>
    <w:rsid w:val="004F0A83"/>
    <w:rsid w:val="004F1070"/>
    <w:rsid w:val="004F1147"/>
    <w:rsid w:val="004F1200"/>
    <w:rsid w:val="004F162E"/>
    <w:rsid w:val="004F1FA1"/>
    <w:rsid w:val="004F23AD"/>
    <w:rsid w:val="004F2B96"/>
    <w:rsid w:val="004F2E7F"/>
    <w:rsid w:val="004F4D35"/>
    <w:rsid w:val="004F5994"/>
    <w:rsid w:val="004F6460"/>
    <w:rsid w:val="004F6FE0"/>
    <w:rsid w:val="004F7BD3"/>
    <w:rsid w:val="005008F5"/>
    <w:rsid w:val="00500D35"/>
    <w:rsid w:val="005018C0"/>
    <w:rsid w:val="00501AAE"/>
    <w:rsid w:val="00501AD9"/>
    <w:rsid w:val="00501B0E"/>
    <w:rsid w:val="00502002"/>
    <w:rsid w:val="00502373"/>
    <w:rsid w:val="005027F8"/>
    <w:rsid w:val="005031D5"/>
    <w:rsid w:val="005032AE"/>
    <w:rsid w:val="005033C4"/>
    <w:rsid w:val="005035C5"/>
    <w:rsid w:val="00503B33"/>
    <w:rsid w:val="00504E66"/>
    <w:rsid w:val="00505043"/>
    <w:rsid w:val="005050F7"/>
    <w:rsid w:val="0050572C"/>
    <w:rsid w:val="00505CBF"/>
    <w:rsid w:val="00506E4E"/>
    <w:rsid w:val="00506E60"/>
    <w:rsid w:val="0050720C"/>
    <w:rsid w:val="005102EE"/>
    <w:rsid w:val="0051057D"/>
    <w:rsid w:val="00510F47"/>
    <w:rsid w:val="0051145D"/>
    <w:rsid w:val="0051160A"/>
    <w:rsid w:val="00511760"/>
    <w:rsid w:val="00511FD6"/>
    <w:rsid w:val="00512096"/>
    <w:rsid w:val="00512EE1"/>
    <w:rsid w:val="00512EF3"/>
    <w:rsid w:val="005130AA"/>
    <w:rsid w:val="0051358C"/>
    <w:rsid w:val="00513AD9"/>
    <w:rsid w:val="00513C7F"/>
    <w:rsid w:val="00513D9D"/>
    <w:rsid w:val="00514043"/>
    <w:rsid w:val="005141BC"/>
    <w:rsid w:val="005147C5"/>
    <w:rsid w:val="00514EB7"/>
    <w:rsid w:val="00514FFC"/>
    <w:rsid w:val="00515553"/>
    <w:rsid w:val="0051653B"/>
    <w:rsid w:val="005173B4"/>
    <w:rsid w:val="00517421"/>
    <w:rsid w:val="005176E1"/>
    <w:rsid w:val="00517E14"/>
    <w:rsid w:val="00521AAC"/>
    <w:rsid w:val="00521FE4"/>
    <w:rsid w:val="00523025"/>
    <w:rsid w:val="005233C6"/>
    <w:rsid w:val="00523410"/>
    <w:rsid w:val="0052343C"/>
    <w:rsid w:val="005234B2"/>
    <w:rsid w:val="00525052"/>
    <w:rsid w:val="00525C4A"/>
    <w:rsid w:val="00526850"/>
    <w:rsid w:val="00526EE2"/>
    <w:rsid w:val="005272D9"/>
    <w:rsid w:val="00527749"/>
    <w:rsid w:val="0052786D"/>
    <w:rsid w:val="005300D3"/>
    <w:rsid w:val="005300F8"/>
    <w:rsid w:val="00530397"/>
    <w:rsid w:val="00531515"/>
    <w:rsid w:val="00531EFB"/>
    <w:rsid w:val="00532092"/>
    <w:rsid w:val="00532785"/>
    <w:rsid w:val="00532CBF"/>
    <w:rsid w:val="00533002"/>
    <w:rsid w:val="005332B6"/>
    <w:rsid w:val="0053392E"/>
    <w:rsid w:val="00533E8F"/>
    <w:rsid w:val="00533EAA"/>
    <w:rsid w:val="00534356"/>
    <w:rsid w:val="00534B0D"/>
    <w:rsid w:val="00534FF5"/>
    <w:rsid w:val="00535570"/>
    <w:rsid w:val="00535B58"/>
    <w:rsid w:val="00535FF2"/>
    <w:rsid w:val="005360F6"/>
    <w:rsid w:val="00536638"/>
    <w:rsid w:val="00536E1B"/>
    <w:rsid w:val="005373A6"/>
    <w:rsid w:val="005375F6"/>
    <w:rsid w:val="0053795A"/>
    <w:rsid w:val="00537A3B"/>
    <w:rsid w:val="00537E50"/>
    <w:rsid w:val="005403C9"/>
    <w:rsid w:val="005403D7"/>
    <w:rsid w:val="00540A93"/>
    <w:rsid w:val="0054112F"/>
    <w:rsid w:val="005416D3"/>
    <w:rsid w:val="00541E73"/>
    <w:rsid w:val="0054221E"/>
    <w:rsid w:val="00542905"/>
    <w:rsid w:val="00542A10"/>
    <w:rsid w:val="00543069"/>
    <w:rsid w:val="0054460C"/>
    <w:rsid w:val="00544F82"/>
    <w:rsid w:val="00546080"/>
    <w:rsid w:val="005460C5"/>
    <w:rsid w:val="00546D67"/>
    <w:rsid w:val="00547424"/>
    <w:rsid w:val="0054786B"/>
    <w:rsid w:val="00547B13"/>
    <w:rsid w:val="0055072F"/>
    <w:rsid w:val="005509D2"/>
    <w:rsid w:val="00550A76"/>
    <w:rsid w:val="00550F29"/>
    <w:rsid w:val="00550FEA"/>
    <w:rsid w:val="0055109D"/>
    <w:rsid w:val="005521C5"/>
    <w:rsid w:val="005527CB"/>
    <w:rsid w:val="0055314F"/>
    <w:rsid w:val="005531BE"/>
    <w:rsid w:val="00553A1D"/>
    <w:rsid w:val="00554638"/>
    <w:rsid w:val="00554AE4"/>
    <w:rsid w:val="00555571"/>
    <w:rsid w:val="00556DC9"/>
    <w:rsid w:val="00557E88"/>
    <w:rsid w:val="00560249"/>
    <w:rsid w:val="005606B1"/>
    <w:rsid w:val="00560B0F"/>
    <w:rsid w:val="00560D31"/>
    <w:rsid w:val="0056125F"/>
    <w:rsid w:val="005613FF"/>
    <w:rsid w:val="00561B31"/>
    <w:rsid w:val="00561C2E"/>
    <w:rsid w:val="0056226D"/>
    <w:rsid w:val="0056263E"/>
    <w:rsid w:val="00562CC6"/>
    <w:rsid w:val="00562E7B"/>
    <w:rsid w:val="00562FCF"/>
    <w:rsid w:val="00563A31"/>
    <w:rsid w:val="00563CE8"/>
    <w:rsid w:val="00563E98"/>
    <w:rsid w:val="0056415F"/>
    <w:rsid w:val="005641E3"/>
    <w:rsid w:val="00564D02"/>
    <w:rsid w:val="0056505D"/>
    <w:rsid w:val="00565297"/>
    <w:rsid w:val="00566A30"/>
    <w:rsid w:val="00566AC6"/>
    <w:rsid w:val="005672B4"/>
    <w:rsid w:val="00567419"/>
    <w:rsid w:val="00567781"/>
    <w:rsid w:val="00567C44"/>
    <w:rsid w:val="00570A1A"/>
    <w:rsid w:val="00570A25"/>
    <w:rsid w:val="0057221C"/>
    <w:rsid w:val="00572B19"/>
    <w:rsid w:val="00573F6C"/>
    <w:rsid w:val="0057482B"/>
    <w:rsid w:val="005749CF"/>
    <w:rsid w:val="00575277"/>
    <w:rsid w:val="00575648"/>
    <w:rsid w:val="005756BA"/>
    <w:rsid w:val="00575CA5"/>
    <w:rsid w:val="00575FAA"/>
    <w:rsid w:val="00576206"/>
    <w:rsid w:val="00576E0B"/>
    <w:rsid w:val="00576E7E"/>
    <w:rsid w:val="00577DEA"/>
    <w:rsid w:val="00577F3A"/>
    <w:rsid w:val="00580529"/>
    <w:rsid w:val="00580855"/>
    <w:rsid w:val="00581E10"/>
    <w:rsid w:val="00582045"/>
    <w:rsid w:val="00582F9C"/>
    <w:rsid w:val="00583710"/>
    <w:rsid w:val="00583C22"/>
    <w:rsid w:val="00584CCC"/>
    <w:rsid w:val="00584DB2"/>
    <w:rsid w:val="0058547D"/>
    <w:rsid w:val="005855A5"/>
    <w:rsid w:val="00585AE7"/>
    <w:rsid w:val="005861D5"/>
    <w:rsid w:val="005868F8"/>
    <w:rsid w:val="00586C61"/>
    <w:rsid w:val="00587570"/>
    <w:rsid w:val="00587776"/>
    <w:rsid w:val="005902E2"/>
    <w:rsid w:val="00591279"/>
    <w:rsid w:val="00591C1A"/>
    <w:rsid w:val="00592AC5"/>
    <w:rsid w:val="00592C0B"/>
    <w:rsid w:val="00593C4F"/>
    <w:rsid w:val="005943FF"/>
    <w:rsid w:val="005946A8"/>
    <w:rsid w:val="00595B81"/>
    <w:rsid w:val="00595E6E"/>
    <w:rsid w:val="005960D5"/>
    <w:rsid w:val="00596E9A"/>
    <w:rsid w:val="00596EDB"/>
    <w:rsid w:val="0059717E"/>
    <w:rsid w:val="00597822"/>
    <w:rsid w:val="005978ED"/>
    <w:rsid w:val="005979E7"/>
    <w:rsid w:val="00597E65"/>
    <w:rsid w:val="005A09C5"/>
    <w:rsid w:val="005A0C90"/>
    <w:rsid w:val="005A1E5A"/>
    <w:rsid w:val="005A1EA9"/>
    <w:rsid w:val="005A20B9"/>
    <w:rsid w:val="005A27EE"/>
    <w:rsid w:val="005A368E"/>
    <w:rsid w:val="005A4407"/>
    <w:rsid w:val="005A45EF"/>
    <w:rsid w:val="005A4733"/>
    <w:rsid w:val="005A504D"/>
    <w:rsid w:val="005A5645"/>
    <w:rsid w:val="005A59EF"/>
    <w:rsid w:val="005A6149"/>
    <w:rsid w:val="005A6E68"/>
    <w:rsid w:val="005A7F6C"/>
    <w:rsid w:val="005B0C81"/>
    <w:rsid w:val="005B111E"/>
    <w:rsid w:val="005B144B"/>
    <w:rsid w:val="005B1C7E"/>
    <w:rsid w:val="005B1ED4"/>
    <w:rsid w:val="005B205A"/>
    <w:rsid w:val="005B23EE"/>
    <w:rsid w:val="005B26E4"/>
    <w:rsid w:val="005B35CB"/>
    <w:rsid w:val="005B363B"/>
    <w:rsid w:val="005B4448"/>
    <w:rsid w:val="005B451E"/>
    <w:rsid w:val="005B55B8"/>
    <w:rsid w:val="005B5656"/>
    <w:rsid w:val="005B57B3"/>
    <w:rsid w:val="005B5A0E"/>
    <w:rsid w:val="005B61C2"/>
    <w:rsid w:val="005B6AF8"/>
    <w:rsid w:val="005C01AB"/>
    <w:rsid w:val="005C07F9"/>
    <w:rsid w:val="005C147A"/>
    <w:rsid w:val="005C14D8"/>
    <w:rsid w:val="005C1659"/>
    <w:rsid w:val="005C19B0"/>
    <w:rsid w:val="005C1C40"/>
    <w:rsid w:val="005C306C"/>
    <w:rsid w:val="005C3366"/>
    <w:rsid w:val="005C3A8C"/>
    <w:rsid w:val="005C3C75"/>
    <w:rsid w:val="005C3CF3"/>
    <w:rsid w:val="005C3D97"/>
    <w:rsid w:val="005C3FB8"/>
    <w:rsid w:val="005C4203"/>
    <w:rsid w:val="005C4512"/>
    <w:rsid w:val="005C4CDF"/>
    <w:rsid w:val="005C5406"/>
    <w:rsid w:val="005C5ACF"/>
    <w:rsid w:val="005C6190"/>
    <w:rsid w:val="005C6487"/>
    <w:rsid w:val="005C6976"/>
    <w:rsid w:val="005C6DE0"/>
    <w:rsid w:val="005C7474"/>
    <w:rsid w:val="005C7A53"/>
    <w:rsid w:val="005C7EF5"/>
    <w:rsid w:val="005D1320"/>
    <w:rsid w:val="005D16E4"/>
    <w:rsid w:val="005D1B3A"/>
    <w:rsid w:val="005D24A6"/>
    <w:rsid w:val="005D26C2"/>
    <w:rsid w:val="005D2E8E"/>
    <w:rsid w:val="005D35A9"/>
    <w:rsid w:val="005D5C5A"/>
    <w:rsid w:val="005D6AFB"/>
    <w:rsid w:val="005D7927"/>
    <w:rsid w:val="005E0416"/>
    <w:rsid w:val="005E058D"/>
    <w:rsid w:val="005E1094"/>
    <w:rsid w:val="005E112D"/>
    <w:rsid w:val="005E1495"/>
    <w:rsid w:val="005E14E8"/>
    <w:rsid w:val="005E1A38"/>
    <w:rsid w:val="005E1EBD"/>
    <w:rsid w:val="005E1FB1"/>
    <w:rsid w:val="005E2380"/>
    <w:rsid w:val="005E2436"/>
    <w:rsid w:val="005E2BCE"/>
    <w:rsid w:val="005E2D5F"/>
    <w:rsid w:val="005E2EED"/>
    <w:rsid w:val="005E3420"/>
    <w:rsid w:val="005E3455"/>
    <w:rsid w:val="005E3AA1"/>
    <w:rsid w:val="005E468D"/>
    <w:rsid w:val="005E4908"/>
    <w:rsid w:val="005E5892"/>
    <w:rsid w:val="005E5AD6"/>
    <w:rsid w:val="005E5AE0"/>
    <w:rsid w:val="005E6047"/>
    <w:rsid w:val="005E65F5"/>
    <w:rsid w:val="005E6B58"/>
    <w:rsid w:val="005E7D69"/>
    <w:rsid w:val="005F2F03"/>
    <w:rsid w:val="005F3413"/>
    <w:rsid w:val="005F3691"/>
    <w:rsid w:val="005F3B54"/>
    <w:rsid w:val="005F3ED8"/>
    <w:rsid w:val="005F437D"/>
    <w:rsid w:val="005F487E"/>
    <w:rsid w:val="005F4940"/>
    <w:rsid w:val="005F4ABD"/>
    <w:rsid w:val="005F4C01"/>
    <w:rsid w:val="005F6580"/>
    <w:rsid w:val="005F67E2"/>
    <w:rsid w:val="005F67FF"/>
    <w:rsid w:val="005F6F41"/>
    <w:rsid w:val="005F78D1"/>
    <w:rsid w:val="005F7FF9"/>
    <w:rsid w:val="006003EC"/>
    <w:rsid w:val="0060041D"/>
    <w:rsid w:val="00600619"/>
    <w:rsid w:val="0060062A"/>
    <w:rsid w:val="006009A0"/>
    <w:rsid w:val="00600A99"/>
    <w:rsid w:val="00602BD5"/>
    <w:rsid w:val="00602D4A"/>
    <w:rsid w:val="006039FB"/>
    <w:rsid w:val="00603D27"/>
    <w:rsid w:val="006044A7"/>
    <w:rsid w:val="006044D2"/>
    <w:rsid w:val="00604DA8"/>
    <w:rsid w:val="00605609"/>
    <w:rsid w:val="00605632"/>
    <w:rsid w:val="00605D48"/>
    <w:rsid w:val="0060694E"/>
    <w:rsid w:val="00606E85"/>
    <w:rsid w:val="00607222"/>
    <w:rsid w:val="00607675"/>
    <w:rsid w:val="006113E5"/>
    <w:rsid w:val="00611493"/>
    <w:rsid w:val="00612A3E"/>
    <w:rsid w:val="006139E6"/>
    <w:rsid w:val="00614893"/>
    <w:rsid w:val="006153D4"/>
    <w:rsid w:val="00615600"/>
    <w:rsid w:val="0061560E"/>
    <w:rsid w:val="0061572D"/>
    <w:rsid w:val="00615BE5"/>
    <w:rsid w:val="00616299"/>
    <w:rsid w:val="0061680C"/>
    <w:rsid w:val="00616FD1"/>
    <w:rsid w:val="00617397"/>
    <w:rsid w:val="006178E0"/>
    <w:rsid w:val="0062036B"/>
    <w:rsid w:val="00620727"/>
    <w:rsid w:val="006207C2"/>
    <w:rsid w:val="00620EA9"/>
    <w:rsid w:val="006226A5"/>
    <w:rsid w:val="00623678"/>
    <w:rsid w:val="00623BCF"/>
    <w:rsid w:val="00624F84"/>
    <w:rsid w:val="00624FA3"/>
    <w:rsid w:val="006251FF"/>
    <w:rsid w:val="0062573A"/>
    <w:rsid w:val="006257E2"/>
    <w:rsid w:val="00625A57"/>
    <w:rsid w:val="00625DC6"/>
    <w:rsid w:val="00625E42"/>
    <w:rsid w:val="00627273"/>
    <w:rsid w:val="006277A9"/>
    <w:rsid w:val="00630B2F"/>
    <w:rsid w:val="00630CFA"/>
    <w:rsid w:val="00630E70"/>
    <w:rsid w:val="0063170A"/>
    <w:rsid w:val="00631DE3"/>
    <w:rsid w:val="0063234B"/>
    <w:rsid w:val="00632671"/>
    <w:rsid w:val="00632CD6"/>
    <w:rsid w:val="00634655"/>
    <w:rsid w:val="00634AFF"/>
    <w:rsid w:val="00634CDF"/>
    <w:rsid w:val="0063553E"/>
    <w:rsid w:val="00635F13"/>
    <w:rsid w:val="00636171"/>
    <w:rsid w:val="00637415"/>
    <w:rsid w:val="00637B7D"/>
    <w:rsid w:val="006403BF"/>
    <w:rsid w:val="00640495"/>
    <w:rsid w:val="0064125A"/>
    <w:rsid w:val="0064179C"/>
    <w:rsid w:val="00641A9B"/>
    <w:rsid w:val="0064391D"/>
    <w:rsid w:val="00643B54"/>
    <w:rsid w:val="00643BBF"/>
    <w:rsid w:val="006443B7"/>
    <w:rsid w:val="006444F9"/>
    <w:rsid w:val="00644B18"/>
    <w:rsid w:val="00644D2F"/>
    <w:rsid w:val="00645827"/>
    <w:rsid w:val="00645A3F"/>
    <w:rsid w:val="00645AAE"/>
    <w:rsid w:val="00645C1A"/>
    <w:rsid w:val="00645FBA"/>
    <w:rsid w:val="0064632E"/>
    <w:rsid w:val="006464C7"/>
    <w:rsid w:val="00646E77"/>
    <w:rsid w:val="00647424"/>
    <w:rsid w:val="00650335"/>
    <w:rsid w:val="006503BC"/>
    <w:rsid w:val="006504D5"/>
    <w:rsid w:val="006516DC"/>
    <w:rsid w:val="00651821"/>
    <w:rsid w:val="00651CB7"/>
    <w:rsid w:val="00651DCB"/>
    <w:rsid w:val="006527AE"/>
    <w:rsid w:val="0065285E"/>
    <w:rsid w:val="00653E88"/>
    <w:rsid w:val="00654384"/>
    <w:rsid w:val="00654F1F"/>
    <w:rsid w:val="006571D9"/>
    <w:rsid w:val="00657899"/>
    <w:rsid w:val="00657F3B"/>
    <w:rsid w:val="006602C9"/>
    <w:rsid w:val="006607B9"/>
    <w:rsid w:val="006608AD"/>
    <w:rsid w:val="006608DD"/>
    <w:rsid w:val="00660B43"/>
    <w:rsid w:val="00660C9E"/>
    <w:rsid w:val="00661112"/>
    <w:rsid w:val="00661148"/>
    <w:rsid w:val="0066186B"/>
    <w:rsid w:val="00662609"/>
    <w:rsid w:val="006647EF"/>
    <w:rsid w:val="00665287"/>
    <w:rsid w:val="00665B8B"/>
    <w:rsid w:val="00666098"/>
    <w:rsid w:val="006661E6"/>
    <w:rsid w:val="0066647E"/>
    <w:rsid w:val="00666714"/>
    <w:rsid w:val="00666CCE"/>
    <w:rsid w:val="006670EE"/>
    <w:rsid w:val="00667569"/>
    <w:rsid w:val="006675CD"/>
    <w:rsid w:val="00667730"/>
    <w:rsid w:val="0066785B"/>
    <w:rsid w:val="00667AA3"/>
    <w:rsid w:val="00667D5D"/>
    <w:rsid w:val="00667E09"/>
    <w:rsid w:val="00667E7D"/>
    <w:rsid w:val="00667EC5"/>
    <w:rsid w:val="00667FB1"/>
    <w:rsid w:val="00670841"/>
    <w:rsid w:val="006709A7"/>
    <w:rsid w:val="00670B59"/>
    <w:rsid w:val="006717E8"/>
    <w:rsid w:val="006723B4"/>
    <w:rsid w:val="0067257C"/>
    <w:rsid w:val="00672AC7"/>
    <w:rsid w:val="00672B92"/>
    <w:rsid w:val="00673B0B"/>
    <w:rsid w:val="0067418C"/>
    <w:rsid w:val="006755EC"/>
    <w:rsid w:val="0067578F"/>
    <w:rsid w:val="00675851"/>
    <w:rsid w:val="00675B2F"/>
    <w:rsid w:val="00675BB2"/>
    <w:rsid w:val="00677762"/>
    <w:rsid w:val="00677C77"/>
    <w:rsid w:val="006800EE"/>
    <w:rsid w:val="00680407"/>
    <w:rsid w:val="00680F58"/>
    <w:rsid w:val="00681A8D"/>
    <w:rsid w:val="006829E7"/>
    <w:rsid w:val="00684608"/>
    <w:rsid w:val="00684D9B"/>
    <w:rsid w:val="006850CB"/>
    <w:rsid w:val="0068510A"/>
    <w:rsid w:val="0068517C"/>
    <w:rsid w:val="006862E8"/>
    <w:rsid w:val="00686540"/>
    <w:rsid w:val="006865B9"/>
    <w:rsid w:val="00686F1B"/>
    <w:rsid w:val="006871AF"/>
    <w:rsid w:val="0069022A"/>
    <w:rsid w:val="00690E2F"/>
    <w:rsid w:val="006919B3"/>
    <w:rsid w:val="00691E9D"/>
    <w:rsid w:val="00692735"/>
    <w:rsid w:val="006934DE"/>
    <w:rsid w:val="00694431"/>
    <w:rsid w:val="00694E6C"/>
    <w:rsid w:val="0069632C"/>
    <w:rsid w:val="00696A1C"/>
    <w:rsid w:val="00697556"/>
    <w:rsid w:val="006978D9"/>
    <w:rsid w:val="00697C21"/>
    <w:rsid w:val="00697E24"/>
    <w:rsid w:val="006A032F"/>
    <w:rsid w:val="006A0B5A"/>
    <w:rsid w:val="006A17AF"/>
    <w:rsid w:val="006A2505"/>
    <w:rsid w:val="006A45C1"/>
    <w:rsid w:val="006A4CF7"/>
    <w:rsid w:val="006A4E05"/>
    <w:rsid w:val="006A61A2"/>
    <w:rsid w:val="006A633F"/>
    <w:rsid w:val="006A6B04"/>
    <w:rsid w:val="006B03D1"/>
    <w:rsid w:val="006B1760"/>
    <w:rsid w:val="006B1D32"/>
    <w:rsid w:val="006B2F76"/>
    <w:rsid w:val="006B3489"/>
    <w:rsid w:val="006B3B5E"/>
    <w:rsid w:val="006B3BAF"/>
    <w:rsid w:val="006B4389"/>
    <w:rsid w:val="006B4647"/>
    <w:rsid w:val="006B46D1"/>
    <w:rsid w:val="006B4780"/>
    <w:rsid w:val="006B4C2B"/>
    <w:rsid w:val="006B5468"/>
    <w:rsid w:val="006B5881"/>
    <w:rsid w:val="006B5E72"/>
    <w:rsid w:val="006B6194"/>
    <w:rsid w:val="006B657D"/>
    <w:rsid w:val="006B65F2"/>
    <w:rsid w:val="006B6BF7"/>
    <w:rsid w:val="006B6D47"/>
    <w:rsid w:val="006B7E47"/>
    <w:rsid w:val="006C0B15"/>
    <w:rsid w:val="006C1293"/>
    <w:rsid w:val="006C1B1C"/>
    <w:rsid w:val="006C1EC5"/>
    <w:rsid w:val="006C2564"/>
    <w:rsid w:val="006C330B"/>
    <w:rsid w:val="006C3ADE"/>
    <w:rsid w:val="006C42BF"/>
    <w:rsid w:val="006C4871"/>
    <w:rsid w:val="006C50C4"/>
    <w:rsid w:val="006C5AFE"/>
    <w:rsid w:val="006C5D87"/>
    <w:rsid w:val="006C5F58"/>
    <w:rsid w:val="006C6148"/>
    <w:rsid w:val="006C62E8"/>
    <w:rsid w:val="006C68EA"/>
    <w:rsid w:val="006C6B4A"/>
    <w:rsid w:val="006C7B20"/>
    <w:rsid w:val="006C7CF1"/>
    <w:rsid w:val="006C7DD8"/>
    <w:rsid w:val="006D00BF"/>
    <w:rsid w:val="006D22F6"/>
    <w:rsid w:val="006D2E6F"/>
    <w:rsid w:val="006D32D9"/>
    <w:rsid w:val="006D3417"/>
    <w:rsid w:val="006D352F"/>
    <w:rsid w:val="006D39F7"/>
    <w:rsid w:val="006D3A69"/>
    <w:rsid w:val="006D4275"/>
    <w:rsid w:val="006D47E3"/>
    <w:rsid w:val="006D4EB3"/>
    <w:rsid w:val="006D581B"/>
    <w:rsid w:val="006D5CEC"/>
    <w:rsid w:val="006D6190"/>
    <w:rsid w:val="006D746A"/>
    <w:rsid w:val="006E05D6"/>
    <w:rsid w:val="006E0923"/>
    <w:rsid w:val="006E1A02"/>
    <w:rsid w:val="006E1D39"/>
    <w:rsid w:val="006E312C"/>
    <w:rsid w:val="006E3A85"/>
    <w:rsid w:val="006E3C00"/>
    <w:rsid w:val="006E3ECE"/>
    <w:rsid w:val="006E3F3F"/>
    <w:rsid w:val="006E3F45"/>
    <w:rsid w:val="006E4261"/>
    <w:rsid w:val="006E4934"/>
    <w:rsid w:val="006E68F6"/>
    <w:rsid w:val="006E6EEB"/>
    <w:rsid w:val="006E728D"/>
    <w:rsid w:val="006E7430"/>
    <w:rsid w:val="006E76D4"/>
    <w:rsid w:val="006E7D11"/>
    <w:rsid w:val="006F1A00"/>
    <w:rsid w:val="006F1AC2"/>
    <w:rsid w:val="006F24ED"/>
    <w:rsid w:val="006F2C43"/>
    <w:rsid w:val="006F2E08"/>
    <w:rsid w:val="006F2EC8"/>
    <w:rsid w:val="006F38B7"/>
    <w:rsid w:val="006F3C37"/>
    <w:rsid w:val="006F3D0B"/>
    <w:rsid w:val="006F4E6A"/>
    <w:rsid w:val="006F5236"/>
    <w:rsid w:val="006F5718"/>
    <w:rsid w:val="006F5C8B"/>
    <w:rsid w:val="006F5EE1"/>
    <w:rsid w:val="006F6024"/>
    <w:rsid w:val="006F61DE"/>
    <w:rsid w:val="006F63F4"/>
    <w:rsid w:val="006F649E"/>
    <w:rsid w:val="006F6760"/>
    <w:rsid w:val="006F6C14"/>
    <w:rsid w:val="006F6D95"/>
    <w:rsid w:val="006F7AED"/>
    <w:rsid w:val="0070003E"/>
    <w:rsid w:val="007001D7"/>
    <w:rsid w:val="0070054D"/>
    <w:rsid w:val="0070083F"/>
    <w:rsid w:val="00700ECC"/>
    <w:rsid w:val="00701324"/>
    <w:rsid w:val="00701AB6"/>
    <w:rsid w:val="00701DD1"/>
    <w:rsid w:val="00701DF2"/>
    <w:rsid w:val="00702888"/>
    <w:rsid w:val="007032BD"/>
    <w:rsid w:val="007037C3"/>
    <w:rsid w:val="00703883"/>
    <w:rsid w:val="00703FC1"/>
    <w:rsid w:val="00704CC9"/>
    <w:rsid w:val="00704ED0"/>
    <w:rsid w:val="007053D5"/>
    <w:rsid w:val="007056FF"/>
    <w:rsid w:val="00706C6F"/>
    <w:rsid w:val="00706DD9"/>
    <w:rsid w:val="00706F13"/>
    <w:rsid w:val="00707231"/>
    <w:rsid w:val="007072E8"/>
    <w:rsid w:val="0070733C"/>
    <w:rsid w:val="00707458"/>
    <w:rsid w:val="0070747E"/>
    <w:rsid w:val="007074A4"/>
    <w:rsid w:val="00707648"/>
    <w:rsid w:val="00707688"/>
    <w:rsid w:val="00707AEC"/>
    <w:rsid w:val="00707B1E"/>
    <w:rsid w:val="0071005B"/>
    <w:rsid w:val="00710B1C"/>
    <w:rsid w:val="00711A3B"/>
    <w:rsid w:val="0071245A"/>
    <w:rsid w:val="00712596"/>
    <w:rsid w:val="00712F90"/>
    <w:rsid w:val="0071361C"/>
    <w:rsid w:val="00713661"/>
    <w:rsid w:val="00714653"/>
    <w:rsid w:val="00714F21"/>
    <w:rsid w:val="00715BB5"/>
    <w:rsid w:val="0071618D"/>
    <w:rsid w:val="00716239"/>
    <w:rsid w:val="00716783"/>
    <w:rsid w:val="00716C0B"/>
    <w:rsid w:val="00717495"/>
    <w:rsid w:val="00717768"/>
    <w:rsid w:val="00717CD8"/>
    <w:rsid w:val="00717EA6"/>
    <w:rsid w:val="00720154"/>
    <w:rsid w:val="0072033A"/>
    <w:rsid w:val="0072107C"/>
    <w:rsid w:val="0072130C"/>
    <w:rsid w:val="00721CEB"/>
    <w:rsid w:val="00722218"/>
    <w:rsid w:val="0072340B"/>
    <w:rsid w:val="007239B3"/>
    <w:rsid w:val="0072405C"/>
    <w:rsid w:val="0072489C"/>
    <w:rsid w:val="007255A3"/>
    <w:rsid w:val="00725710"/>
    <w:rsid w:val="00725EF4"/>
    <w:rsid w:val="00725FA4"/>
    <w:rsid w:val="0072648E"/>
    <w:rsid w:val="007266FD"/>
    <w:rsid w:val="007304D5"/>
    <w:rsid w:val="007304F3"/>
    <w:rsid w:val="00730880"/>
    <w:rsid w:val="00731792"/>
    <w:rsid w:val="00731D06"/>
    <w:rsid w:val="00731DF0"/>
    <w:rsid w:val="00732DCE"/>
    <w:rsid w:val="00733865"/>
    <w:rsid w:val="007338B2"/>
    <w:rsid w:val="00733B02"/>
    <w:rsid w:val="00733F56"/>
    <w:rsid w:val="00734287"/>
    <w:rsid w:val="00734323"/>
    <w:rsid w:val="007352FB"/>
    <w:rsid w:val="00735B9A"/>
    <w:rsid w:val="00735C33"/>
    <w:rsid w:val="00736BF1"/>
    <w:rsid w:val="0073714A"/>
    <w:rsid w:val="00737974"/>
    <w:rsid w:val="00740446"/>
    <w:rsid w:val="0074078E"/>
    <w:rsid w:val="0074178F"/>
    <w:rsid w:val="00741E42"/>
    <w:rsid w:val="007426A9"/>
    <w:rsid w:val="00743504"/>
    <w:rsid w:val="0074350B"/>
    <w:rsid w:val="007438A9"/>
    <w:rsid w:val="00743EEF"/>
    <w:rsid w:val="0074491E"/>
    <w:rsid w:val="0074524D"/>
    <w:rsid w:val="00745DE5"/>
    <w:rsid w:val="00746A29"/>
    <w:rsid w:val="00746FEE"/>
    <w:rsid w:val="00747894"/>
    <w:rsid w:val="00747FAC"/>
    <w:rsid w:val="007501A4"/>
    <w:rsid w:val="007502A4"/>
    <w:rsid w:val="007512CB"/>
    <w:rsid w:val="00751B09"/>
    <w:rsid w:val="00752362"/>
    <w:rsid w:val="00752546"/>
    <w:rsid w:val="00752757"/>
    <w:rsid w:val="00752A6F"/>
    <w:rsid w:val="00752ED0"/>
    <w:rsid w:val="007532CD"/>
    <w:rsid w:val="00754094"/>
    <w:rsid w:val="00754B56"/>
    <w:rsid w:val="00754BCD"/>
    <w:rsid w:val="007554CC"/>
    <w:rsid w:val="00755651"/>
    <w:rsid w:val="00755CF0"/>
    <w:rsid w:val="00757225"/>
    <w:rsid w:val="007578A4"/>
    <w:rsid w:val="00757AA9"/>
    <w:rsid w:val="00760F26"/>
    <w:rsid w:val="00761119"/>
    <w:rsid w:val="0076114F"/>
    <w:rsid w:val="00761AFC"/>
    <w:rsid w:val="0076210E"/>
    <w:rsid w:val="0076247A"/>
    <w:rsid w:val="007627CA"/>
    <w:rsid w:val="00762A07"/>
    <w:rsid w:val="007632C5"/>
    <w:rsid w:val="00764374"/>
    <w:rsid w:val="0076462A"/>
    <w:rsid w:val="00765106"/>
    <w:rsid w:val="00765341"/>
    <w:rsid w:val="00766DAF"/>
    <w:rsid w:val="00767470"/>
    <w:rsid w:val="00767524"/>
    <w:rsid w:val="0076791E"/>
    <w:rsid w:val="00767A5F"/>
    <w:rsid w:val="00767E03"/>
    <w:rsid w:val="00770C70"/>
    <w:rsid w:val="007711A1"/>
    <w:rsid w:val="00771246"/>
    <w:rsid w:val="00771497"/>
    <w:rsid w:val="00771941"/>
    <w:rsid w:val="00771B0D"/>
    <w:rsid w:val="007722DF"/>
    <w:rsid w:val="00773B10"/>
    <w:rsid w:val="00773DFA"/>
    <w:rsid w:val="00773E62"/>
    <w:rsid w:val="0077496C"/>
    <w:rsid w:val="00775436"/>
    <w:rsid w:val="00775964"/>
    <w:rsid w:val="00776154"/>
    <w:rsid w:val="007765FE"/>
    <w:rsid w:val="00776C3D"/>
    <w:rsid w:val="00777EF6"/>
    <w:rsid w:val="0078070B"/>
    <w:rsid w:val="00780990"/>
    <w:rsid w:val="00780A8B"/>
    <w:rsid w:val="00781069"/>
    <w:rsid w:val="00781142"/>
    <w:rsid w:val="00782691"/>
    <w:rsid w:val="00782A83"/>
    <w:rsid w:val="00782B88"/>
    <w:rsid w:val="00782E0E"/>
    <w:rsid w:val="00783007"/>
    <w:rsid w:val="007834FE"/>
    <w:rsid w:val="00783676"/>
    <w:rsid w:val="0078552B"/>
    <w:rsid w:val="00785C5A"/>
    <w:rsid w:val="007866C9"/>
    <w:rsid w:val="00786CBF"/>
    <w:rsid w:val="00787ACC"/>
    <w:rsid w:val="007907D9"/>
    <w:rsid w:val="00790D86"/>
    <w:rsid w:val="0079162B"/>
    <w:rsid w:val="00791D7D"/>
    <w:rsid w:val="00792E48"/>
    <w:rsid w:val="00793099"/>
    <w:rsid w:val="00794485"/>
    <w:rsid w:val="00794930"/>
    <w:rsid w:val="00794E2E"/>
    <w:rsid w:val="00795305"/>
    <w:rsid w:val="007955DF"/>
    <w:rsid w:val="00795904"/>
    <w:rsid w:val="00795BFB"/>
    <w:rsid w:val="0079741F"/>
    <w:rsid w:val="00797D0C"/>
    <w:rsid w:val="00797D54"/>
    <w:rsid w:val="00797EFA"/>
    <w:rsid w:val="00797F7B"/>
    <w:rsid w:val="007A01B9"/>
    <w:rsid w:val="007A0A09"/>
    <w:rsid w:val="007A0A1C"/>
    <w:rsid w:val="007A137B"/>
    <w:rsid w:val="007A18C6"/>
    <w:rsid w:val="007A2161"/>
    <w:rsid w:val="007A32E4"/>
    <w:rsid w:val="007A3D38"/>
    <w:rsid w:val="007A3FCF"/>
    <w:rsid w:val="007A5270"/>
    <w:rsid w:val="007A59CB"/>
    <w:rsid w:val="007A626E"/>
    <w:rsid w:val="007A6417"/>
    <w:rsid w:val="007A749D"/>
    <w:rsid w:val="007A7D91"/>
    <w:rsid w:val="007B032C"/>
    <w:rsid w:val="007B0770"/>
    <w:rsid w:val="007B1C84"/>
    <w:rsid w:val="007B2332"/>
    <w:rsid w:val="007B25E3"/>
    <w:rsid w:val="007B2760"/>
    <w:rsid w:val="007B311C"/>
    <w:rsid w:val="007B3BE1"/>
    <w:rsid w:val="007B3E60"/>
    <w:rsid w:val="007B436F"/>
    <w:rsid w:val="007B56CC"/>
    <w:rsid w:val="007B594D"/>
    <w:rsid w:val="007B5C6D"/>
    <w:rsid w:val="007B5E10"/>
    <w:rsid w:val="007B6C39"/>
    <w:rsid w:val="007B7352"/>
    <w:rsid w:val="007B745A"/>
    <w:rsid w:val="007B77CB"/>
    <w:rsid w:val="007B7ADD"/>
    <w:rsid w:val="007B7F5F"/>
    <w:rsid w:val="007C01F6"/>
    <w:rsid w:val="007C1084"/>
    <w:rsid w:val="007C1A01"/>
    <w:rsid w:val="007C2CFD"/>
    <w:rsid w:val="007C316B"/>
    <w:rsid w:val="007C3B42"/>
    <w:rsid w:val="007C3F3B"/>
    <w:rsid w:val="007C3FFA"/>
    <w:rsid w:val="007C464F"/>
    <w:rsid w:val="007C473A"/>
    <w:rsid w:val="007C506B"/>
    <w:rsid w:val="007C612A"/>
    <w:rsid w:val="007C660F"/>
    <w:rsid w:val="007C6927"/>
    <w:rsid w:val="007C7007"/>
    <w:rsid w:val="007C74B8"/>
    <w:rsid w:val="007D00CF"/>
    <w:rsid w:val="007D0851"/>
    <w:rsid w:val="007D106B"/>
    <w:rsid w:val="007D19C2"/>
    <w:rsid w:val="007D206D"/>
    <w:rsid w:val="007D2F91"/>
    <w:rsid w:val="007D3104"/>
    <w:rsid w:val="007D4767"/>
    <w:rsid w:val="007D4A91"/>
    <w:rsid w:val="007D4B20"/>
    <w:rsid w:val="007D4F4A"/>
    <w:rsid w:val="007D4FE3"/>
    <w:rsid w:val="007D5444"/>
    <w:rsid w:val="007D55FF"/>
    <w:rsid w:val="007D5ED3"/>
    <w:rsid w:val="007D63B1"/>
    <w:rsid w:val="007D6B04"/>
    <w:rsid w:val="007D6B53"/>
    <w:rsid w:val="007D735B"/>
    <w:rsid w:val="007D7541"/>
    <w:rsid w:val="007D7C57"/>
    <w:rsid w:val="007E0193"/>
    <w:rsid w:val="007E0998"/>
    <w:rsid w:val="007E0F22"/>
    <w:rsid w:val="007E0F65"/>
    <w:rsid w:val="007E1DCD"/>
    <w:rsid w:val="007E20CE"/>
    <w:rsid w:val="007E248A"/>
    <w:rsid w:val="007E2756"/>
    <w:rsid w:val="007E28F7"/>
    <w:rsid w:val="007E29DB"/>
    <w:rsid w:val="007E380C"/>
    <w:rsid w:val="007E4123"/>
    <w:rsid w:val="007E4A81"/>
    <w:rsid w:val="007E5CFB"/>
    <w:rsid w:val="007E5EC0"/>
    <w:rsid w:val="007E692C"/>
    <w:rsid w:val="007E6CC6"/>
    <w:rsid w:val="007E7E98"/>
    <w:rsid w:val="007F0595"/>
    <w:rsid w:val="007F07DA"/>
    <w:rsid w:val="007F1E66"/>
    <w:rsid w:val="007F1FCF"/>
    <w:rsid w:val="007F3C62"/>
    <w:rsid w:val="007F4134"/>
    <w:rsid w:val="007F4D34"/>
    <w:rsid w:val="007F4D95"/>
    <w:rsid w:val="007F4EB7"/>
    <w:rsid w:val="007F53C5"/>
    <w:rsid w:val="007F54DA"/>
    <w:rsid w:val="007F5E5E"/>
    <w:rsid w:val="007F61C3"/>
    <w:rsid w:val="007F68EE"/>
    <w:rsid w:val="007F69C1"/>
    <w:rsid w:val="007F6A8A"/>
    <w:rsid w:val="007F6DAB"/>
    <w:rsid w:val="007F763D"/>
    <w:rsid w:val="007F7944"/>
    <w:rsid w:val="00800707"/>
    <w:rsid w:val="00800778"/>
    <w:rsid w:val="00800EA2"/>
    <w:rsid w:val="008010AC"/>
    <w:rsid w:val="008014B6"/>
    <w:rsid w:val="00801918"/>
    <w:rsid w:val="0080201A"/>
    <w:rsid w:val="00802097"/>
    <w:rsid w:val="00802821"/>
    <w:rsid w:val="0080303A"/>
    <w:rsid w:val="008035BA"/>
    <w:rsid w:val="00803B3E"/>
    <w:rsid w:val="0080478A"/>
    <w:rsid w:val="00804B7D"/>
    <w:rsid w:val="00806437"/>
    <w:rsid w:val="008067E7"/>
    <w:rsid w:val="00806A2C"/>
    <w:rsid w:val="00806C01"/>
    <w:rsid w:val="00806CD1"/>
    <w:rsid w:val="0080797A"/>
    <w:rsid w:val="00807C1B"/>
    <w:rsid w:val="00807D9B"/>
    <w:rsid w:val="008101C4"/>
    <w:rsid w:val="00811E3A"/>
    <w:rsid w:val="008121D7"/>
    <w:rsid w:val="00812905"/>
    <w:rsid w:val="00812EE2"/>
    <w:rsid w:val="0081414E"/>
    <w:rsid w:val="008148CC"/>
    <w:rsid w:val="00814E74"/>
    <w:rsid w:val="00816831"/>
    <w:rsid w:val="00816ADB"/>
    <w:rsid w:val="00816BAE"/>
    <w:rsid w:val="00816E2A"/>
    <w:rsid w:val="00816E6E"/>
    <w:rsid w:val="008176EA"/>
    <w:rsid w:val="00820F4D"/>
    <w:rsid w:val="0082101C"/>
    <w:rsid w:val="008211A4"/>
    <w:rsid w:val="00821756"/>
    <w:rsid w:val="00821B66"/>
    <w:rsid w:val="00821E84"/>
    <w:rsid w:val="00824996"/>
    <w:rsid w:val="008250CF"/>
    <w:rsid w:val="00825883"/>
    <w:rsid w:val="00825CDE"/>
    <w:rsid w:val="00826B21"/>
    <w:rsid w:val="00826C40"/>
    <w:rsid w:val="00827C21"/>
    <w:rsid w:val="00827EC6"/>
    <w:rsid w:val="008302AC"/>
    <w:rsid w:val="00830851"/>
    <w:rsid w:val="00832D99"/>
    <w:rsid w:val="00832DA5"/>
    <w:rsid w:val="00834F4C"/>
    <w:rsid w:val="008357EA"/>
    <w:rsid w:val="008359FC"/>
    <w:rsid w:val="00835FD7"/>
    <w:rsid w:val="00836426"/>
    <w:rsid w:val="00836B05"/>
    <w:rsid w:val="00836E30"/>
    <w:rsid w:val="008370E3"/>
    <w:rsid w:val="00837970"/>
    <w:rsid w:val="00837C4E"/>
    <w:rsid w:val="00840E6A"/>
    <w:rsid w:val="0084165F"/>
    <w:rsid w:val="00842831"/>
    <w:rsid w:val="00842B0D"/>
    <w:rsid w:val="00842E7F"/>
    <w:rsid w:val="00842FAB"/>
    <w:rsid w:val="008437C4"/>
    <w:rsid w:val="0084394D"/>
    <w:rsid w:val="00844FFE"/>
    <w:rsid w:val="00845AD1"/>
    <w:rsid w:val="00846896"/>
    <w:rsid w:val="0084693A"/>
    <w:rsid w:val="00846A6D"/>
    <w:rsid w:val="00846F1C"/>
    <w:rsid w:val="00847924"/>
    <w:rsid w:val="00847F0C"/>
    <w:rsid w:val="00850088"/>
    <w:rsid w:val="008503B4"/>
    <w:rsid w:val="00850FF6"/>
    <w:rsid w:val="008527B6"/>
    <w:rsid w:val="008528A9"/>
    <w:rsid w:val="0085330F"/>
    <w:rsid w:val="0085358A"/>
    <w:rsid w:val="008536AC"/>
    <w:rsid w:val="00853AD9"/>
    <w:rsid w:val="00853B70"/>
    <w:rsid w:val="00854572"/>
    <w:rsid w:val="00854802"/>
    <w:rsid w:val="00856B91"/>
    <w:rsid w:val="008570B1"/>
    <w:rsid w:val="008575B7"/>
    <w:rsid w:val="00860443"/>
    <w:rsid w:val="00860B57"/>
    <w:rsid w:val="00860E77"/>
    <w:rsid w:val="0086131C"/>
    <w:rsid w:val="00862108"/>
    <w:rsid w:val="008623BC"/>
    <w:rsid w:val="008627B1"/>
    <w:rsid w:val="0086291E"/>
    <w:rsid w:val="00862CD0"/>
    <w:rsid w:val="008633D3"/>
    <w:rsid w:val="0086348B"/>
    <w:rsid w:val="008638D7"/>
    <w:rsid w:val="00863A9A"/>
    <w:rsid w:val="00863AAC"/>
    <w:rsid w:val="00863FF2"/>
    <w:rsid w:val="00864A02"/>
    <w:rsid w:val="008655DE"/>
    <w:rsid w:val="0086582C"/>
    <w:rsid w:val="00865B1E"/>
    <w:rsid w:val="00866EB1"/>
    <w:rsid w:val="00867519"/>
    <w:rsid w:val="00867A39"/>
    <w:rsid w:val="00867F58"/>
    <w:rsid w:val="0087122C"/>
    <w:rsid w:val="008721F0"/>
    <w:rsid w:val="0087228D"/>
    <w:rsid w:val="00873150"/>
    <w:rsid w:val="008733DF"/>
    <w:rsid w:val="00873B86"/>
    <w:rsid w:val="00873FE6"/>
    <w:rsid w:val="00874586"/>
    <w:rsid w:val="008751D7"/>
    <w:rsid w:val="00875BE5"/>
    <w:rsid w:val="00875FAD"/>
    <w:rsid w:val="0087657D"/>
    <w:rsid w:val="008767F9"/>
    <w:rsid w:val="00876B71"/>
    <w:rsid w:val="0088066F"/>
    <w:rsid w:val="008807D5"/>
    <w:rsid w:val="00880832"/>
    <w:rsid w:val="00880DA6"/>
    <w:rsid w:val="00880E55"/>
    <w:rsid w:val="0088106A"/>
    <w:rsid w:val="0088130E"/>
    <w:rsid w:val="00881480"/>
    <w:rsid w:val="0088298F"/>
    <w:rsid w:val="008829AA"/>
    <w:rsid w:val="00882FCC"/>
    <w:rsid w:val="00883776"/>
    <w:rsid w:val="00883CCC"/>
    <w:rsid w:val="0088432E"/>
    <w:rsid w:val="00884592"/>
    <w:rsid w:val="0088467F"/>
    <w:rsid w:val="00884C1D"/>
    <w:rsid w:val="0088543B"/>
    <w:rsid w:val="00885490"/>
    <w:rsid w:val="008856D6"/>
    <w:rsid w:val="008858D1"/>
    <w:rsid w:val="00885B83"/>
    <w:rsid w:val="0088620C"/>
    <w:rsid w:val="00886CEC"/>
    <w:rsid w:val="00886EE1"/>
    <w:rsid w:val="0088727D"/>
    <w:rsid w:val="008900F8"/>
    <w:rsid w:val="008907AB"/>
    <w:rsid w:val="00890EBA"/>
    <w:rsid w:val="00890FB6"/>
    <w:rsid w:val="0089199E"/>
    <w:rsid w:val="00891D95"/>
    <w:rsid w:val="008920B1"/>
    <w:rsid w:val="00892805"/>
    <w:rsid w:val="00892856"/>
    <w:rsid w:val="00893B26"/>
    <w:rsid w:val="0089449D"/>
    <w:rsid w:val="00894518"/>
    <w:rsid w:val="0089546B"/>
    <w:rsid w:val="0089560D"/>
    <w:rsid w:val="0089579A"/>
    <w:rsid w:val="00895926"/>
    <w:rsid w:val="00895B7E"/>
    <w:rsid w:val="00896F6C"/>
    <w:rsid w:val="00897268"/>
    <w:rsid w:val="008975E8"/>
    <w:rsid w:val="00897C75"/>
    <w:rsid w:val="008A004B"/>
    <w:rsid w:val="008A00D4"/>
    <w:rsid w:val="008A06C3"/>
    <w:rsid w:val="008A11C9"/>
    <w:rsid w:val="008A22D5"/>
    <w:rsid w:val="008A22EE"/>
    <w:rsid w:val="008A26F0"/>
    <w:rsid w:val="008A2817"/>
    <w:rsid w:val="008A2A06"/>
    <w:rsid w:val="008A2BBA"/>
    <w:rsid w:val="008A32B6"/>
    <w:rsid w:val="008A34B6"/>
    <w:rsid w:val="008A35F9"/>
    <w:rsid w:val="008A3BD0"/>
    <w:rsid w:val="008A476E"/>
    <w:rsid w:val="008A4E70"/>
    <w:rsid w:val="008A52F6"/>
    <w:rsid w:val="008A5771"/>
    <w:rsid w:val="008A5BED"/>
    <w:rsid w:val="008A7247"/>
    <w:rsid w:val="008A78E3"/>
    <w:rsid w:val="008A7AB3"/>
    <w:rsid w:val="008A7EF2"/>
    <w:rsid w:val="008B0220"/>
    <w:rsid w:val="008B11C8"/>
    <w:rsid w:val="008B243D"/>
    <w:rsid w:val="008B2527"/>
    <w:rsid w:val="008B2B61"/>
    <w:rsid w:val="008B3780"/>
    <w:rsid w:val="008B3D71"/>
    <w:rsid w:val="008B3FEE"/>
    <w:rsid w:val="008B41F0"/>
    <w:rsid w:val="008B4351"/>
    <w:rsid w:val="008B5461"/>
    <w:rsid w:val="008B5C42"/>
    <w:rsid w:val="008B69E8"/>
    <w:rsid w:val="008B7584"/>
    <w:rsid w:val="008C0422"/>
    <w:rsid w:val="008C0909"/>
    <w:rsid w:val="008C0915"/>
    <w:rsid w:val="008C1130"/>
    <w:rsid w:val="008C18C4"/>
    <w:rsid w:val="008C2D74"/>
    <w:rsid w:val="008C3731"/>
    <w:rsid w:val="008C4160"/>
    <w:rsid w:val="008C5628"/>
    <w:rsid w:val="008C6458"/>
    <w:rsid w:val="008C6553"/>
    <w:rsid w:val="008C7596"/>
    <w:rsid w:val="008C7AEF"/>
    <w:rsid w:val="008C7FC1"/>
    <w:rsid w:val="008D08F1"/>
    <w:rsid w:val="008D0D8F"/>
    <w:rsid w:val="008D18E6"/>
    <w:rsid w:val="008D1D70"/>
    <w:rsid w:val="008D270C"/>
    <w:rsid w:val="008D2C27"/>
    <w:rsid w:val="008D3FEA"/>
    <w:rsid w:val="008D4DE3"/>
    <w:rsid w:val="008D540F"/>
    <w:rsid w:val="008D5BFC"/>
    <w:rsid w:val="008D6A6A"/>
    <w:rsid w:val="008D793B"/>
    <w:rsid w:val="008D7A9B"/>
    <w:rsid w:val="008E0060"/>
    <w:rsid w:val="008E15F0"/>
    <w:rsid w:val="008E198A"/>
    <w:rsid w:val="008E2904"/>
    <w:rsid w:val="008E321C"/>
    <w:rsid w:val="008E3573"/>
    <w:rsid w:val="008E3940"/>
    <w:rsid w:val="008E3A5D"/>
    <w:rsid w:val="008E40EA"/>
    <w:rsid w:val="008E4BA1"/>
    <w:rsid w:val="008E53C2"/>
    <w:rsid w:val="008E6405"/>
    <w:rsid w:val="008E7091"/>
    <w:rsid w:val="008E76AC"/>
    <w:rsid w:val="008E7DD8"/>
    <w:rsid w:val="008F04E2"/>
    <w:rsid w:val="008F21F6"/>
    <w:rsid w:val="008F2FED"/>
    <w:rsid w:val="008F4714"/>
    <w:rsid w:val="008F4E14"/>
    <w:rsid w:val="008F52F0"/>
    <w:rsid w:val="008F5605"/>
    <w:rsid w:val="008F7682"/>
    <w:rsid w:val="008F79B6"/>
    <w:rsid w:val="00900746"/>
    <w:rsid w:val="0090076E"/>
    <w:rsid w:val="00900A33"/>
    <w:rsid w:val="009016A5"/>
    <w:rsid w:val="00901E59"/>
    <w:rsid w:val="00902BB5"/>
    <w:rsid w:val="00903B84"/>
    <w:rsid w:val="0090404B"/>
    <w:rsid w:val="00904368"/>
    <w:rsid w:val="0090444E"/>
    <w:rsid w:val="009046A6"/>
    <w:rsid w:val="0090485C"/>
    <w:rsid w:val="00904F3E"/>
    <w:rsid w:val="00905571"/>
    <w:rsid w:val="00905781"/>
    <w:rsid w:val="00905D0A"/>
    <w:rsid w:val="00905DF4"/>
    <w:rsid w:val="00906257"/>
    <w:rsid w:val="009066FF"/>
    <w:rsid w:val="00906BD9"/>
    <w:rsid w:val="00906C92"/>
    <w:rsid w:val="009070DA"/>
    <w:rsid w:val="009073A5"/>
    <w:rsid w:val="00907E19"/>
    <w:rsid w:val="0091019A"/>
    <w:rsid w:val="00911B21"/>
    <w:rsid w:val="00911D15"/>
    <w:rsid w:val="00911EA5"/>
    <w:rsid w:val="00912128"/>
    <w:rsid w:val="0091226F"/>
    <w:rsid w:val="00913843"/>
    <w:rsid w:val="00915065"/>
    <w:rsid w:val="00915364"/>
    <w:rsid w:val="00915A7C"/>
    <w:rsid w:val="00915B57"/>
    <w:rsid w:val="00915C48"/>
    <w:rsid w:val="00916305"/>
    <w:rsid w:val="00916375"/>
    <w:rsid w:val="009168C9"/>
    <w:rsid w:val="009168CA"/>
    <w:rsid w:val="0091696D"/>
    <w:rsid w:val="00916DB8"/>
    <w:rsid w:val="009179DF"/>
    <w:rsid w:val="00917D01"/>
    <w:rsid w:val="009200B9"/>
    <w:rsid w:val="00920372"/>
    <w:rsid w:val="009208E3"/>
    <w:rsid w:val="00920BC6"/>
    <w:rsid w:val="00920F14"/>
    <w:rsid w:val="00920F17"/>
    <w:rsid w:val="009210EA"/>
    <w:rsid w:val="00921831"/>
    <w:rsid w:val="00921DBF"/>
    <w:rsid w:val="00921FBB"/>
    <w:rsid w:val="00922A18"/>
    <w:rsid w:val="00922B33"/>
    <w:rsid w:val="00923DF7"/>
    <w:rsid w:val="00923E9D"/>
    <w:rsid w:val="0092540A"/>
    <w:rsid w:val="00925F68"/>
    <w:rsid w:val="00926E18"/>
    <w:rsid w:val="009274FA"/>
    <w:rsid w:val="0092757C"/>
    <w:rsid w:val="00927AD2"/>
    <w:rsid w:val="00927CE7"/>
    <w:rsid w:val="00930A28"/>
    <w:rsid w:val="009310A1"/>
    <w:rsid w:val="00931B53"/>
    <w:rsid w:val="00931BC5"/>
    <w:rsid w:val="00931D16"/>
    <w:rsid w:val="00932D03"/>
    <w:rsid w:val="00933141"/>
    <w:rsid w:val="009336D8"/>
    <w:rsid w:val="00933ACE"/>
    <w:rsid w:val="00934CB6"/>
    <w:rsid w:val="009354D6"/>
    <w:rsid w:val="009359EB"/>
    <w:rsid w:val="00935D7F"/>
    <w:rsid w:val="00935E49"/>
    <w:rsid w:val="00936D49"/>
    <w:rsid w:val="009379D6"/>
    <w:rsid w:val="00937AF5"/>
    <w:rsid w:val="009411B9"/>
    <w:rsid w:val="009413B4"/>
    <w:rsid w:val="009416D4"/>
    <w:rsid w:val="00941788"/>
    <w:rsid w:val="00942F2C"/>
    <w:rsid w:val="009430D3"/>
    <w:rsid w:val="009431E3"/>
    <w:rsid w:val="009441F8"/>
    <w:rsid w:val="0094463B"/>
    <w:rsid w:val="00944B11"/>
    <w:rsid w:val="00944D97"/>
    <w:rsid w:val="00945201"/>
    <w:rsid w:val="009456EE"/>
    <w:rsid w:val="00945CDB"/>
    <w:rsid w:val="00945D9C"/>
    <w:rsid w:val="009460A0"/>
    <w:rsid w:val="0094726D"/>
    <w:rsid w:val="00947591"/>
    <w:rsid w:val="009475D1"/>
    <w:rsid w:val="009508FA"/>
    <w:rsid w:val="009509A6"/>
    <w:rsid w:val="0095130D"/>
    <w:rsid w:val="00951AEE"/>
    <w:rsid w:val="00951E6B"/>
    <w:rsid w:val="00951F79"/>
    <w:rsid w:val="00952FBE"/>
    <w:rsid w:val="009550C6"/>
    <w:rsid w:val="00955109"/>
    <w:rsid w:val="009553FB"/>
    <w:rsid w:val="0095607B"/>
    <w:rsid w:val="009562F1"/>
    <w:rsid w:val="009570E4"/>
    <w:rsid w:val="00957431"/>
    <w:rsid w:val="009574D4"/>
    <w:rsid w:val="009579F6"/>
    <w:rsid w:val="00960189"/>
    <w:rsid w:val="009601C5"/>
    <w:rsid w:val="009607B1"/>
    <w:rsid w:val="00960BFE"/>
    <w:rsid w:val="0096102B"/>
    <w:rsid w:val="009615B9"/>
    <w:rsid w:val="00961883"/>
    <w:rsid w:val="0096298E"/>
    <w:rsid w:val="00962C84"/>
    <w:rsid w:val="0096367C"/>
    <w:rsid w:val="00963984"/>
    <w:rsid w:val="00963ADF"/>
    <w:rsid w:val="009645C6"/>
    <w:rsid w:val="00964BD3"/>
    <w:rsid w:val="009654F8"/>
    <w:rsid w:val="0096566A"/>
    <w:rsid w:val="00967EC9"/>
    <w:rsid w:val="009703F9"/>
    <w:rsid w:val="0097114F"/>
    <w:rsid w:val="00971F77"/>
    <w:rsid w:val="00973387"/>
    <w:rsid w:val="0097386A"/>
    <w:rsid w:val="0097441A"/>
    <w:rsid w:val="00974AB5"/>
    <w:rsid w:val="00974CF2"/>
    <w:rsid w:val="00975A90"/>
    <w:rsid w:val="00975D19"/>
    <w:rsid w:val="00975D90"/>
    <w:rsid w:val="0097628E"/>
    <w:rsid w:val="0098080E"/>
    <w:rsid w:val="00980B2F"/>
    <w:rsid w:val="00981A02"/>
    <w:rsid w:val="00981FD3"/>
    <w:rsid w:val="00983236"/>
    <w:rsid w:val="00984314"/>
    <w:rsid w:val="00984D0C"/>
    <w:rsid w:val="00984E53"/>
    <w:rsid w:val="009852E0"/>
    <w:rsid w:val="00985352"/>
    <w:rsid w:val="009863EE"/>
    <w:rsid w:val="00986961"/>
    <w:rsid w:val="00986966"/>
    <w:rsid w:val="0098706D"/>
    <w:rsid w:val="00987969"/>
    <w:rsid w:val="00987D47"/>
    <w:rsid w:val="00992BB5"/>
    <w:rsid w:val="009935FB"/>
    <w:rsid w:val="009936A6"/>
    <w:rsid w:val="00993BD3"/>
    <w:rsid w:val="00993D72"/>
    <w:rsid w:val="00993F45"/>
    <w:rsid w:val="00994D11"/>
    <w:rsid w:val="009954B2"/>
    <w:rsid w:val="00995532"/>
    <w:rsid w:val="009955CE"/>
    <w:rsid w:val="00995716"/>
    <w:rsid w:val="009967EC"/>
    <w:rsid w:val="00996F93"/>
    <w:rsid w:val="009973B2"/>
    <w:rsid w:val="009973FE"/>
    <w:rsid w:val="00997A79"/>
    <w:rsid w:val="009A17A2"/>
    <w:rsid w:val="009A26CD"/>
    <w:rsid w:val="009A2907"/>
    <w:rsid w:val="009A2BC9"/>
    <w:rsid w:val="009A2F60"/>
    <w:rsid w:val="009A2F9E"/>
    <w:rsid w:val="009A31F4"/>
    <w:rsid w:val="009A3EB1"/>
    <w:rsid w:val="009A45B3"/>
    <w:rsid w:val="009A4CB0"/>
    <w:rsid w:val="009A6D4A"/>
    <w:rsid w:val="009A73AC"/>
    <w:rsid w:val="009A73D8"/>
    <w:rsid w:val="009B082D"/>
    <w:rsid w:val="009B0DEB"/>
    <w:rsid w:val="009B12C3"/>
    <w:rsid w:val="009B1E04"/>
    <w:rsid w:val="009B2E57"/>
    <w:rsid w:val="009B4A65"/>
    <w:rsid w:val="009B4E30"/>
    <w:rsid w:val="009B4FE8"/>
    <w:rsid w:val="009B5012"/>
    <w:rsid w:val="009B6122"/>
    <w:rsid w:val="009B62C7"/>
    <w:rsid w:val="009B6495"/>
    <w:rsid w:val="009B6C9B"/>
    <w:rsid w:val="009B75BF"/>
    <w:rsid w:val="009B7647"/>
    <w:rsid w:val="009C20CD"/>
    <w:rsid w:val="009C2353"/>
    <w:rsid w:val="009C2B06"/>
    <w:rsid w:val="009C3595"/>
    <w:rsid w:val="009C37BA"/>
    <w:rsid w:val="009C66E9"/>
    <w:rsid w:val="009C7906"/>
    <w:rsid w:val="009C79DD"/>
    <w:rsid w:val="009C79EF"/>
    <w:rsid w:val="009D033D"/>
    <w:rsid w:val="009D0860"/>
    <w:rsid w:val="009D099E"/>
    <w:rsid w:val="009D1618"/>
    <w:rsid w:val="009D19BC"/>
    <w:rsid w:val="009D1A70"/>
    <w:rsid w:val="009D1E7D"/>
    <w:rsid w:val="009D23FC"/>
    <w:rsid w:val="009D2BCE"/>
    <w:rsid w:val="009D2C5B"/>
    <w:rsid w:val="009D31EC"/>
    <w:rsid w:val="009D33E1"/>
    <w:rsid w:val="009D3AAE"/>
    <w:rsid w:val="009D3D9C"/>
    <w:rsid w:val="009D461C"/>
    <w:rsid w:val="009D58AD"/>
    <w:rsid w:val="009D5A28"/>
    <w:rsid w:val="009D5AFD"/>
    <w:rsid w:val="009D65FB"/>
    <w:rsid w:val="009D6CAC"/>
    <w:rsid w:val="009D7EF8"/>
    <w:rsid w:val="009E086F"/>
    <w:rsid w:val="009E08DE"/>
    <w:rsid w:val="009E0E41"/>
    <w:rsid w:val="009E1230"/>
    <w:rsid w:val="009E1633"/>
    <w:rsid w:val="009E18B8"/>
    <w:rsid w:val="009E1A45"/>
    <w:rsid w:val="009E1E27"/>
    <w:rsid w:val="009E2004"/>
    <w:rsid w:val="009E21BA"/>
    <w:rsid w:val="009E25EE"/>
    <w:rsid w:val="009E41E9"/>
    <w:rsid w:val="009E42BC"/>
    <w:rsid w:val="009E5EF9"/>
    <w:rsid w:val="009E65D4"/>
    <w:rsid w:val="009E677C"/>
    <w:rsid w:val="009E68F1"/>
    <w:rsid w:val="009E7391"/>
    <w:rsid w:val="009E745C"/>
    <w:rsid w:val="009E7883"/>
    <w:rsid w:val="009E7A08"/>
    <w:rsid w:val="009F112C"/>
    <w:rsid w:val="009F1185"/>
    <w:rsid w:val="009F1661"/>
    <w:rsid w:val="009F2DB5"/>
    <w:rsid w:val="009F2F71"/>
    <w:rsid w:val="009F3D9C"/>
    <w:rsid w:val="009F432B"/>
    <w:rsid w:val="009F4A54"/>
    <w:rsid w:val="009F4BB2"/>
    <w:rsid w:val="009F4BEC"/>
    <w:rsid w:val="009F4FC3"/>
    <w:rsid w:val="009F5156"/>
    <w:rsid w:val="009F5169"/>
    <w:rsid w:val="009F5874"/>
    <w:rsid w:val="009F5B12"/>
    <w:rsid w:val="009F640F"/>
    <w:rsid w:val="009F739B"/>
    <w:rsid w:val="009F742F"/>
    <w:rsid w:val="00A00014"/>
    <w:rsid w:val="00A000A7"/>
    <w:rsid w:val="00A00E71"/>
    <w:rsid w:val="00A02F1B"/>
    <w:rsid w:val="00A048FC"/>
    <w:rsid w:val="00A04A2C"/>
    <w:rsid w:val="00A04B6B"/>
    <w:rsid w:val="00A05339"/>
    <w:rsid w:val="00A06BF3"/>
    <w:rsid w:val="00A06F0B"/>
    <w:rsid w:val="00A07C25"/>
    <w:rsid w:val="00A10DB9"/>
    <w:rsid w:val="00A11F24"/>
    <w:rsid w:val="00A11F5B"/>
    <w:rsid w:val="00A1313C"/>
    <w:rsid w:val="00A133B3"/>
    <w:rsid w:val="00A13603"/>
    <w:rsid w:val="00A13E0D"/>
    <w:rsid w:val="00A14502"/>
    <w:rsid w:val="00A14916"/>
    <w:rsid w:val="00A15DDC"/>
    <w:rsid w:val="00A15E12"/>
    <w:rsid w:val="00A15F9D"/>
    <w:rsid w:val="00A1687C"/>
    <w:rsid w:val="00A168D1"/>
    <w:rsid w:val="00A16BA2"/>
    <w:rsid w:val="00A16FCE"/>
    <w:rsid w:val="00A1703B"/>
    <w:rsid w:val="00A20CDE"/>
    <w:rsid w:val="00A215E7"/>
    <w:rsid w:val="00A2162C"/>
    <w:rsid w:val="00A216D7"/>
    <w:rsid w:val="00A21A00"/>
    <w:rsid w:val="00A22019"/>
    <w:rsid w:val="00A22F79"/>
    <w:rsid w:val="00A2347F"/>
    <w:rsid w:val="00A23832"/>
    <w:rsid w:val="00A239D3"/>
    <w:rsid w:val="00A23C42"/>
    <w:rsid w:val="00A24EE5"/>
    <w:rsid w:val="00A2524C"/>
    <w:rsid w:val="00A25FD7"/>
    <w:rsid w:val="00A2607D"/>
    <w:rsid w:val="00A2607F"/>
    <w:rsid w:val="00A26824"/>
    <w:rsid w:val="00A26DFC"/>
    <w:rsid w:val="00A27064"/>
    <w:rsid w:val="00A2775A"/>
    <w:rsid w:val="00A27FFB"/>
    <w:rsid w:val="00A301BB"/>
    <w:rsid w:val="00A3146B"/>
    <w:rsid w:val="00A3422F"/>
    <w:rsid w:val="00A35147"/>
    <w:rsid w:val="00A354A5"/>
    <w:rsid w:val="00A3575B"/>
    <w:rsid w:val="00A35F1D"/>
    <w:rsid w:val="00A36D4D"/>
    <w:rsid w:val="00A374F5"/>
    <w:rsid w:val="00A37583"/>
    <w:rsid w:val="00A37873"/>
    <w:rsid w:val="00A40602"/>
    <w:rsid w:val="00A408D0"/>
    <w:rsid w:val="00A4145E"/>
    <w:rsid w:val="00A419DE"/>
    <w:rsid w:val="00A42B7B"/>
    <w:rsid w:val="00A43601"/>
    <w:rsid w:val="00A43AFF"/>
    <w:rsid w:val="00A449A5"/>
    <w:rsid w:val="00A44B27"/>
    <w:rsid w:val="00A4536E"/>
    <w:rsid w:val="00A454D9"/>
    <w:rsid w:val="00A45918"/>
    <w:rsid w:val="00A46510"/>
    <w:rsid w:val="00A469D7"/>
    <w:rsid w:val="00A478C7"/>
    <w:rsid w:val="00A506BD"/>
    <w:rsid w:val="00A516AA"/>
    <w:rsid w:val="00A51726"/>
    <w:rsid w:val="00A5235D"/>
    <w:rsid w:val="00A524D9"/>
    <w:rsid w:val="00A53ADF"/>
    <w:rsid w:val="00A54001"/>
    <w:rsid w:val="00A54F39"/>
    <w:rsid w:val="00A5557F"/>
    <w:rsid w:val="00A56EA7"/>
    <w:rsid w:val="00A571E7"/>
    <w:rsid w:val="00A5789F"/>
    <w:rsid w:val="00A57A0C"/>
    <w:rsid w:val="00A57A48"/>
    <w:rsid w:val="00A57B1B"/>
    <w:rsid w:val="00A60922"/>
    <w:rsid w:val="00A609EC"/>
    <w:rsid w:val="00A6128F"/>
    <w:rsid w:val="00A61366"/>
    <w:rsid w:val="00A615BF"/>
    <w:rsid w:val="00A61626"/>
    <w:rsid w:val="00A618F5"/>
    <w:rsid w:val="00A619B4"/>
    <w:rsid w:val="00A61C19"/>
    <w:rsid w:val="00A6261B"/>
    <w:rsid w:val="00A62ABE"/>
    <w:rsid w:val="00A62B72"/>
    <w:rsid w:val="00A62E06"/>
    <w:rsid w:val="00A62F87"/>
    <w:rsid w:val="00A6374E"/>
    <w:rsid w:val="00A639AF"/>
    <w:rsid w:val="00A646B1"/>
    <w:rsid w:val="00A64DE6"/>
    <w:rsid w:val="00A65297"/>
    <w:rsid w:val="00A6555E"/>
    <w:rsid w:val="00A65FE5"/>
    <w:rsid w:val="00A6612D"/>
    <w:rsid w:val="00A672B5"/>
    <w:rsid w:val="00A673F4"/>
    <w:rsid w:val="00A677DE"/>
    <w:rsid w:val="00A6780D"/>
    <w:rsid w:val="00A67907"/>
    <w:rsid w:val="00A67C49"/>
    <w:rsid w:val="00A70016"/>
    <w:rsid w:val="00A715B8"/>
    <w:rsid w:val="00A7209F"/>
    <w:rsid w:val="00A72CDF"/>
    <w:rsid w:val="00A72E27"/>
    <w:rsid w:val="00A72F2B"/>
    <w:rsid w:val="00A7329A"/>
    <w:rsid w:val="00A732E9"/>
    <w:rsid w:val="00A73795"/>
    <w:rsid w:val="00A737D7"/>
    <w:rsid w:val="00A74925"/>
    <w:rsid w:val="00A757DE"/>
    <w:rsid w:val="00A759F2"/>
    <w:rsid w:val="00A75A03"/>
    <w:rsid w:val="00A75B28"/>
    <w:rsid w:val="00A75E22"/>
    <w:rsid w:val="00A76B5F"/>
    <w:rsid w:val="00A7793A"/>
    <w:rsid w:val="00A80FDA"/>
    <w:rsid w:val="00A810B3"/>
    <w:rsid w:val="00A81ADE"/>
    <w:rsid w:val="00A81EA4"/>
    <w:rsid w:val="00A83368"/>
    <w:rsid w:val="00A8341A"/>
    <w:rsid w:val="00A83954"/>
    <w:rsid w:val="00A841C9"/>
    <w:rsid w:val="00A84357"/>
    <w:rsid w:val="00A845E5"/>
    <w:rsid w:val="00A85037"/>
    <w:rsid w:val="00A854A9"/>
    <w:rsid w:val="00A85565"/>
    <w:rsid w:val="00A86513"/>
    <w:rsid w:val="00A86672"/>
    <w:rsid w:val="00A867AE"/>
    <w:rsid w:val="00A86960"/>
    <w:rsid w:val="00A870D2"/>
    <w:rsid w:val="00A90199"/>
    <w:rsid w:val="00A90237"/>
    <w:rsid w:val="00A9086C"/>
    <w:rsid w:val="00A9088A"/>
    <w:rsid w:val="00A90AE9"/>
    <w:rsid w:val="00A92B07"/>
    <w:rsid w:val="00A9375D"/>
    <w:rsid w:val="00A93C15"/>
    <w:rsid w:val="00A93F53"/>
    <w:rsid w:val="00A94CA3"/>
    <w:rsid w:val="00A94EA6"/>
    <w:rsid w:val="00A95338"/>
    <w:rsid w:val="00A95E65"/>
    <w:rsid w:val="00A96062"/>
    <w:rsid w:val="00A9613B"/>
    <w:rsid w:val="00A97254"/>
    <w:rsid w:val="00A97878"/>
    <w:rsid w:val="00A97A4E"/>
    <w:rsid w:val="00A97C6B"/>
    <w:rsid w:val="00AA0F39"/>
    <w:rsid w:val="00AA1599"/>
    <w:rsid w:val="00AA211B"/>
    <w:rsid w:val="00AA2534"/>
    <w:rsid w:val="00AA25A7"/>
    <w:rsid w:val="00AA3A86"/>
    <w:rsid w:val="00AA3AB7"/>
    <w:rsid w:val="00AA3D93"/>
    <w:rsid w:val="00AA3F73"/>
    <w:rsid w:val="00AA433F"/>
    <w:rsid w:val="00AA4CC7"/>
    <w:rsid w:val="00AA5012"/>
    <w:rsid w:val="00AA5A4E"/>
    <w:rsid w:val="00AA5AF2"/>
    <w:rsid w:val="00AA5B9D"/>
    <w:rsid w:val="00AA5E05"/>
    <w:rsid w:val="00AA5E8E"/>
    <w:rsid w:val="00AA5EFE"/>
    <w:rsid w:val="00AA6019"/>
    <w:rsid w:val="00AA64B8"/>
    <w:rsid w:val="00AA67AB"/>
    <w:rsid w:val="00AA76CC"/>
    <w:rsid w:val="00AA7FF6"/>
    <w:rsid w:val="00AB0E9B"/>
    <w:rsid w:val="00AB1B40"/>
    <w:rsid w:val="00AB2BAD"/>
    <w:rsid w:val="00AB2C4C"/>
    <w:rsid w:val="00AB2EBB"/>
    <w:rsid w:val="00AB4213"/>
    <w:rsid w:val="00AB43FB"/>
    <w:rsid w:val="00AB524D"/>
    <w:rsid w:val="00AB556A"/>
    <w:rsid w:val="00AB6419"/>
    <w:rsid w:val="00AB6CA7"/>
    <w:rsid w:val="00AB7367"/>
    <w:rsid w:val="00AB7A22"/>
    <w:rsid w:val="00AB7C7C"/>
    <w:rsid w:val="00AC0BF5"/>
    <w:rsid w:val="00AC0C46"/>
    <w:rsid w:val="00AC110C"/>
    <w:rsid w:val="00AC1746"/>
    <w:rsid w:val="00AC19CB"/>
    <w:rsid w:val="00AC1FD8"/>
    <w:rsid w:val="00AC25D2"/>
    <w:rsid w:val="00AC3686"/>
    <w:rsid w:val="00AC3E4C"/>
    <w:rsid w:val="00AC3E8A"/>
    <w:rsid w:val="00AC4520"/>
    <w:rsid w:val="00AC5756"/>
    <w:rsid w:val="00AC5EF2"/>
    <w:rsid w:val="00AC604A"/>
    <w:rsid w:val="00AC6321"/>
    <w:rsid w:val="00AC65E1"/>
    <w:rsid w:val="00AC6667"/>
    <w:rsid w:val="00AC7320"/>
    <w:rsid w:val="00AC7BA8"/>
    <w:rsid w:val="00AD01E4"/>
    <w:rsid w:val="00AD0373"/>
    <w:rsid w:val="00AD07E8"/>
    <w:rsid w:val="00AD0858"/>
    <w:rsid w:val="00AD08FD"/>
    <w:rsid w:val="00AD0FBB"/>
    <w:rsid w:val="00AD125A"/>
    <w:rsid w:val="00AD161A"/>
    <w:rsid w:val="00AD1D1B"/>
    <w:rsid w:val="00AD1F02"/>
    <w:rsid w:val="00AD25F4"/>
    <w:rsid w:val="00AD28A8"/>
    <w:rsid w:val="00AD4451"/>
    <w:rsid w:val="00AD674F"/>
    <w:rsid w:val="00AD6922"/>
    <w:rsid w:val="00AD70CA"/>
    <w:rsid w:val="00AE02E3"/>
    <w:rsid w:val="00AE06F8"/>
    <w:rsid w:val="00AE0EEA"/>
    <w:rsid w:val="00AE0EF9"/>
    <w:rsid w:val="00AE16B2"/>
    <w:rsid w:val="00AE1BAD"/>
    <w:rsid w:val="00AE1FD4"/>
    <w:rsid w:val="00AE21B2"/>
    <w:rsid w:val="00AE29A4"/>
    <w:rsid w:val="00AE383E"/>
    <w:rsid w:val="00AE4722"/>
    <w:rsid w:val="00AE4741"/>
    <w:rsid w:val="00AE4A0D"/>
    <w:rsid w:val="00AE4B31"/>
    <w:rsid w:val="00AE5D8B"/>
    <w:rsid w:val="00AE5EB7"/>
    <w:rsid w:val="00AE617D"/>
    <w:rsid w:val="00AE6263"/>
    <w:rsid w:val="00AE7080"/>
    <w:rsid w:val="00AE7340"/>
    <w:rsid w:val="00AF0628"/>
    <w:rsid w:val="00AF0F71"/>
    <w:rsid w:val="00AF1BBD"/>
    <w:rsid w:val="00AF2D02"/>
    <w:rsid w:val="00AF396A"/>
    <w:rsid w:val="00AF3B94"/>
    <w:rsid w:val="00AF3E47"/>
    <w:rsid w:val="00AF4830"/>
    <w:rsid w:val="00AF4AD7"/>
    <w:rsid w:val="00AF520F"/>
    <w:rsid w:val="00AF5D02"/>
    <w:rsid w:val="00AF643D"/>
    <w:rsid w:val="00AF73DA"/>
    <w:rsid w:val="00AF7508"/>
    <w:rsid w:val="00AF7551"/>
    <w:rsid w:val="00AF7FBB"/>
    <w:rsid w:val="00B0137D"/>
    <w:rsid w:val="00B02791"/>
    <w:rsid w:val="00B02B0E"/>
    <w:rsid w:val="00B02C2D"/>
    <w:rsid w:val="00B02C83"/>
    <w:rsid w:val="00B04168"/>
    <w:rsid w:val="00B04442"/>
    <w:rsid w:val="00B046AE"/>
    <w:rsid w:val="00B049EA"/>
    <w:rsid w:val="00B04CD2"/>
    <w:rsid w:val="00B051CF"/>
    <w:rsid w:val="00B05CD6"/>
    <w:rsid w:val="00B05E5C"/>
    <w:rsid w:val="00B060EF"/>
    <w:rsid w:val="00B063DD"/>
    <w:rsid w:val="00B07281"/>
    <w:rsid w:val="00B072ED"/>
    <w:rsid w:val="00B078B8"/>
    <w:rsid w:val="00B10207"/>
    <w:rsid w:val="00B10B6B"/>
    <w:rsid w:val="00B10F0E"/>
    <w:rsid w:val="00B10FFE"/>
    <w:rsid w:val="00B11F3B"/>
    <w:rsid w:val="00B12442"/>
    <w:rsid w:val="00B1273F"/>
    <w:rsid w:val="00B129F9"/>
    <w:rsid w:val="00B12CFE"/>
    <w:rsid w:val="00B13A5A"/>
    <w:rsid w:val="00B13B8A"/>
    <w:rsid w:val="00B141E7"/>
    <w:rsid w:val="00B14D64"/>
    <w:rsid w:val="00B152E9"/>
    <w:rsid w:val="00B155CA"/>
    <w:rsid w:val="00B15B66"/>
    <w:rsid w:val="00B15BAA"/>
    <w:rsid w:val="00B15E88"/>
    <w:rsid w:val="00B164DD"/>
    <w:rsid w:val="00B168E6"/>
    <w:rsid w:val="00B16980"/>
    <w:rsid w:val="00B16A36"/>
    <w:rsid w:val="00B17090"/>
    <w:rsid w:val="00B17441"/>
    <w:rsid w:val="00B17D87"/>
    <w:rsid w:val="00B17E24"/>
    <w:rsid w:val="00B2120C"/>
    <w:rsid w:val="00B21878"/>
    <w:rsid w:val="00B21A5B"/>
    <w:rsid w:val="00B228B3"/>
    <w:rsid w:val="00B22977"/>
    <w:rsid w:val="00B22979"/>
    <w:rsid w:val="00B2365C"/>
    <w:rsid w:val="00B238E0"/>
    <w:rsid w:val="00B24ADD"/>
    <w:rsid w:val="00B24DE4"/>
    <w:rsid w:val="00B26194"/>
    <w:rsid w:val="00B2636C"/>
    <w:rsid w:val="00B26B9E"/>
    <w:rsid w:val="00B26D50"/>
    <w:rsid w:val="00B27059"/>
    <w:rsid w:val="00B27190"/>
    <w:rsid w:val="00B27E81"/>
    <w:rsid w:val="00B2EBE2"/>
    <w:rsid w:val="00B3048F"/>
    <w:rsid w:val="00B30B6E"/>
    <w:rsid w:val="00B31120"/>
    <w:rsid w:val="00B31D28"/>
    <w:rsid w:val="00B322FF"/>
    <w:rsid w:val="00B3264B"/>
    <w:rsid w:val="00B32A8D"/>
    <w:rsid w:val="00B32F2E"/>
    <w:rsid w:val="00B33F79"/>
    <w:rsid w:val="00B351B4"/>
    <w:rsid w:val="00B36E05"/>
    <w:rsid w:val="00B379A7"/>
    <w:rsid w:val="00B40232"/>
    <w:rsid w:val="00B404B5"/>
    <w:rsid w:val="00B40798"/>
    <w:rsid w:val="00B40CF0"/>
    <w:rsid w:val="00B40D2F"/>
    <w:rsid w:val="00B4108D"/>
    <w:rsid w:val="00B41D68"/>
    <w:rsid w:val="00B422AF"/>
    <w:rsid w:val="00B44468"/>
    <w:rsid w:val="00B44A74"/>
    <w:rsid w:val="00B44DA1"/>
    <w:rsid w:val="00B44FC1"/>
    <w:rsid w:val="00B45970"/>
    <w:rsid w:val="00B45E23"/>
    <w:rsid w:val="00B463B4"/>
    <w:rsid w:val="00B467E5"/>
    <w:rsid w:val="00B46BCA"/>
    <w:rsid w:val="00B47507"/>
    <w:rsid w:val="00B47773"/>
    <w:rsid w:val="00B4784F"/>
    <w:rsid w:val="00B478AA"/>
    <w:rsid w:val="00B47C14"/>
    <w:rsid w:val="00B50829"/>
    <w:rsid w:val="00B51666"/>
    <w:rsid w:val="00B51697"/>
    <w:rsid w:val="00B52111"/>
    <w:rsid w:val="00B52195"/>
    <w:rsid w:val="00B52A81"/>
    <w:rsid w:val="00B5330C"/>
    <w:rsid w:val="00B53EDE"/>
    <w:rsid w:val="00B540F2"/>
    <w:rsid w:val="00B55F23"/>
    <w:rsid w:val="00B572C1"/>
    <w:rsid w:val="00B579F2"/>
    <w:rsid w:val="00B60D24"/>
    <w:rsid w:val="00B60E8D"/>
    <w:rsid w:val="00B60F62"/>
    <w:rsid w:val="00B61FB5"/>
    <w:rsid w:val="00B62584"/>
    <w:rsid w:val="00B626DC"/>
    <w:rsid w:val="00B62A3A"/>
    <w:rsid w:val="00B65CC0"/>
    <w:rsid w:val="00B66582"/>
    <w:rsid w:val="00B669AB"/>
    <w:rsid w:val="00B6720F"/>
    <w:rsid w:val="00B67F2C"/>
    <w:rsid w:val="00B704B1"/>
    <w:rsid w:val="00B704C0"/>
    <w:rsid w:val="00B70EB4"/>
    <w:rsid w:val="00B71373"/>
    <w:rsid w:val="00B71FE0"/>
    <w:rsid w:val="00B722A9"/>
    <w:rsid w:val="00B72600"/>
    <w:rsid w:val="00B7302F"/>
    <w:rsid w:val="00B73125"/>
    <w:rsid w:val="00B73192"/>
    <w:rsid w:val="00B748C5"/>
    <w:rsid w:val="00B74C0F"/>
    <w:rsid w:val="00B75169"/>
    <w:rsid w:val="00B75E18"/>
    <w:rsid w:val="00B75E8D"/>
    <w:rsid w:val="00B763DE"/>
    <w:rsid w:val="00B767B7"/>
    <w:rsid w:val="00B77B65"/>
    <w:rsid w:val="00B77EB8"/>
    <w:rsid w:val="00B814D7"/>
    <w:rsid w:val="00B81C2E"/>
    <w:rsid w:val="00B81E92"/>
    <w:rsid w:val="00B82065"/>
    <w:rsid w:val="00B820E0"/>
    <w:rsid w:val="00B82621"/>
    <w:rsid w:val="00B83A8A"/>
    <w:rsid w:val="00B83B3E"/>
    <w:rsid w:val="00B84566"/>
    <w:rsid w:val="00B846AF"/>
    <w:rsid w:val="00B85CAB"/>
    <w:rsid w:val="00B86472"/>
    <w:rsid w:val="00B868B0"/>
    <w:rsid w:val="00B87806"/>
    <w:rsid w:val="00B87DBF"/>
    <w:rsid w:val="00B87EC9"/>
    <w:rsid w:val="00B903A1"/>
    <w:rsid w:val="00B90BCD"/>
    <w:rsid w:val="00B90CFC"/>
    <w:rsid w:val="00B91D2A"/>
    <w:rsid w:val="00B920C6"/>
    <w:rsid w:val="00B929F2"/>
    <w:rsid w:val="00B92D8D"/>
    <w:rsid w:val="00B92E0D"/>
    <w:rsid w:val="00B93010"/>
    <w:rsid w:val="00B93590"/>
    <w:rsid w:val="00B937C8"/>
    <w:rsid w:val="00B938EC"/>
    <w:rsid w:val="00B94605"/>
    <w:rsid w:val="00B94B35"/>
    <w:rsid w:val="00B952A5"/>
    <w:rsid w:val="00B95372"/>
    <w:rsid w:val="00B953B7"/>
    <w:rsid w:val="00B954ED"/>
    <w:rsid w:val="00B95AEA"/>
    <w:rsid w:val="00B95CC4"/>
    <w:rsid w:val="00B9731D"/>
    <w:rsid w:val="00B97819"/>
    <w:rsid w:val="00B97F1D"/>
    <w:rsid w:val="00BA19BE"/>
    <w:rsid w:val="00BA20BE"/>
    <w:rsid w:val="00BA22B3"/>
    <w:rsid w:val="00BA234D"/>
    <w:rsid w:val="00BA349D"/>
    <w:rsid w:val="00BA34FF"/>
    <w:rsid w:val="00BA3BB2"/>
    <w:rsid w:val="00BA40FB"/>
    <w:rsid w:val="00BA4B65"/>
    <w:rsid w:val="00BA4D20"/>
    <w:rsid w:val="00BA6A80"/>
    <w:rsid w:val="00BA70B1"/>
    <w:rsid w:val="00BA7896"/>
    <w:rsid w:val="00BB02CA"/>
    <w:rsid w:val="00BB1F06"/>
    <w:rsid w:val="00BB290B"/>
    <w:rsid w:val="00BB2B38"/>
    <w:rsid w:val="00BB30D6"/>
    <w:rsid w:val="00BB333F"/>
    <w:rsid w:val="00BB3BAE"/>
    <w:rsid w:val="00BB4398"/>
    <w:rsid w:val="00BB48CC"/>
    <w:rsid w:val="00BB4FD2"/>
    <w:rsid w:val="00BB61DB"/>
    <w:rsid w:val="00BB75EA"/>
    <w:rsid w:val="00BB77B0"/>
    <w:rsid w:val="00BB7BE5"/>
    <w:rsid w:val="00BB7E4B"/>
    <w:rsid w:val="00BB7ECB"/>
    <w:rsid w:val="00BC0A1F"/>
    <w:rsid w:val="00BC1A8F"/>
    <w:rsid w:val="00BC1C86"/>
    <w:rsid w:val="00BC2526"/>
    <w:rsid w:val="00BC269F"/>
    <w:rsid w:val="00BC27D9"/>
    <w:rsid w:val="00BC2B1A"/>
    <w:rsid w:val="00BC30EF"/>
    <w:rsid w:val="00BC31A1"/>
    <w:rsid w:val="00BC3271"/>
    <w:rsid w:val="00BC37C8"/>
    <w:rsid w:val="00BC38FD"/>
    <w:rsid w:val="00BC3A1D"/>
    <w:rsid w:val="00BC3F1B"/>
    <w:rsid w:val="00BC4F36"/>
    <w:rsid w:val="00BC526C"/>
    <w:rsid w:val="00BC5974"/>
    <w:rsid w:val="00BC5B3D"/>
    <w:rsid w:val="00BC5BD9"/>
    <w:rsid w:val="00BC6020"/>
    <w:rsid w:val="00BC6457"/>
    <w:rsid w:val="00BC68B5"/>
    <w:rsid w:val="00BC69A9"/>
    <w:rsid w:val="00BC69F8"/>
    <w:rsid w:val="00BC6A4A"/>
    <w:rsid w:val="00BC6BE5"/>
    <w:rsid w:val="00BC7EE6"/>
    <w:rsid w:val="00BD00AE"/>
    <w:rsid w:val="00BD01E7"/>
    <w:rsid w:val="00BD0E4C"/>
    <w:rsid w:val="00BD14A2"/>
    <w:rsid w:val="00BD1A13"/>
    <w:rsid w:val="00BD208A"/>
    <w:rsid w:val="00BD2B8B"/>
    <w:rsid w:val="00BD32D9"/>
    <w:rsid w:val="00BD3DA4"/>
    <w:rsid w:val="00BD3E1C"/>
    <w:rsid w:val="00BD3E90"/>
    <w:rsid w:val="00BD4083"/>
    <w:rsid w:val="00BD47CE"/>
    <w:rsid w:val="00BD484B"/>
    <w:rsid w:val="00BD622A"/>
    <w:rsid w:val="00BD6D75"/>
    <w:rsid w:val="00BD7431"/>
    <w:rsid w:val="00BE0E17"/>
    <w:rsid w:val="00BE1CFB"/>
    <w:rsid w:val="00BE26BC"/>
    <w:rsid w:val="00BE2AA2"/>
    <w:rsid w:val="00BE2F97"/>
    <w:rsid w:val="00BE2FE2"/>
    <w:rsid w:val="00BE351F"/>
    <w:rsid w:val="00BE3BD3"/>
    <w:rsid w:val="00BE3E06"/>
    <w:rsid w:val="00BE44B3"/>
    <w:rsid w:val="00BE459B"/>
    <w:rsid w:val="00BE471C"/>
    <w:rsid w:val="00BE47B7"/>
    <w:rsid w:val="00BE47BB"/>
    <w:rsid w:val="00BE48A8"/>
    <w:rsid w:val="00BE5681"/>
    <w:rsid w:val="00BE5EE2"/>
    <w:rsid w:val="00BE6661"/>
    <w:rsid w:val="00BE6854"/>
    <w:rsid w:val="00BE6EA0"/>
    <w:rsid w:val="00BE75D0"/>
    <w:rsid w:val="00BE7DBE"/>
    <w:rsid w:val="00BF0F59"/>
    <w:rsid w:val="00BF186C"/>
    <w:rsid w:val="00BF2184"/>
    <w:rsid w:val="00BF36B9"/>
    <w:rsid w:val="00BF3CCD"/>
    <w:rsid w:val="00BF3D78"/>
    <w:rsid w:val="00BF42A8"/>
    <w:rsid w:val="00BF4423"/>
    <w:rsid w:val="00BF4472"/>
    <w:rsid w:val="00BF4A0B"/>
    <w:rsid w:val="00BF54B0"/>
    <w:rsid w:val="00BF5D6B"/>
    <w:rsid w:val="00BF6912"/>
    <w:rsid w:val="00BF6C9A"/>
    <w:rsid w:val="00C00C5F"/>
    <w:rsid w:val="00C029F3"/>
    <w:rsid w:val="00C02EEA"/>
    <w:rsid w:val="00C034CB"/>
    <w:rsid w:val="00C03F23"/>
    <w:rsid w:val="00C04052"/>
    <w:rsid w:val="00C04135"/>
    <w:rsid w:val="00C041F4"/>
    <w:rsid w:val="00C0436C"/>
    <w:rsid w:val="00C04534"/>
    <w:rsid w:val="00C04825"/>
    <w:rsid w:val="00C04E1B"/>
    <w:rsid w:val="00C05159"/>
    <w:rsid w:val="00C051A8"/>
    <w:rsid w:val="00C051F1"/>
    <w:rsid w:val="00C054BC"/>
    <w:rsid w:val="00C06507"/>
    <w:rsid w:val="00C06912"/>
    <w:rsid w:val="00C06CBD"/>
    <w:rsid w:val="00C07093"/>
    <w:rsid w:val="00C07361"/>
    <w:rsid w:val="00C07834"/>
    <w:rsid w:val="00C078FF"/>
    <w:rsid w:val="00C07C4B"/>
    <w:rsid w:val="00C11533"/>
    <w:rsid w:val="00C12408"/>
    <w:rsid w:val="00C12974"/>
    <w:rsid w:val="00C129E8"/>
    <w:rsid w:val="00C12AD4"/>
    <w:rsid w:val="00C13686"/>
    <w:rsid w:val="00C13F8D"/>
    <w:rsid w:val="00C141D9"/>
    <w:rsid w:val="00C14F12"/>
    <w:rsid w:val="00C157F0"/>
    <w:rsid w:val="00C1584B"/>
    <w:rsid w:val="00C15970"/>
    <w:rsid w:val="00C15B45"/>
    <w:rsid w:val="00C16437"/>
    <w:rsid w:val="00C167F6"/>
    <w:rsid w:val="00C16C11"/>
    <w:rsid w:val="00C17897"/>
    <w:rsid w:val="00C17CDC"/>
    <w:rsid w:val="00C17DE9"/>
    <w:rsid w:val="00C20361"/>
    <w:rsid w:val="00C20C7E"/>
    <w:rsid w:val="00C21274"/>
    <w:rsid w:val="00C2144C"/>
    <w:rsid w:val="00C21537"/>
    <w:rsid w:val="00C21B29"/>
    <w:rsid w:val="00C22657"/>
    <w:rsid w:val="00C22F4D"/>
    <w:rsid w:val="00C245B4"/>
    <w:rsid w:val="00C268B3"/>
    <w:rsid w:val="00C273DA"/>
    <w:rsid w:val="00C321B0"/>
    <w:rsid w:val="00C329A5"/>
    <w:rsid w:val="00C33957"/>
    <w:rsid w:val="00C33BCC"/>
    <w:rsid w:val="00C342CF"/>
    <w:rsid w:val="00C34430"/>
    <w:rsid w:val="00C34715"/>
    <w:rsid w:val="00C34822"/>
    <w:rsid w:val="00C35376"/>
    <w:rsid w:val="00C35D5F"/>
    <w:rsid w:val="00C3660D"/>
    <w:rsid w:val="00C36F26"/>
    <w:rsid w:val="00C370E8"/>
    <w:rsid w:val="00C3756D"/>
    <w:rsid w:val="00C378BA"/>
    <w:rsid w:val="00C40329"/>
    <w:rsid w:val="00C408AA"/>
    <w:rsid w:val="00C409D5"/>
    <w:rsid w:val="00C40FED"/>
    <w:rsid w:val="00C4192B"/>
    <w:rsid w:val="00C4223F"/>
    <w:rsid w:val="00C42D21"/>
    <w:rsid w:val="00C43226"/>
    <w:rsid w:val="00C435C3"/>
    <w:rsid w:val="00C43EE0"/>
    <w:rsid w:val="00C44284"/>
    <w:rsid w:val="00C44D0B"/>
    <w:rsid w:val="00C44E0A"/>
    <w:rsid w:val="00C44E5F"/>
    <w:rsid w:val="00C45D6A"/>
    <w:rsid w:val="00C45F8E"/>
    <w:rsid w:val="00C46151"/>
    <w:rsid w:val="00C46152"/>
    <w:rsid w:val="00C46807"/>
    <w:rsid w:val="00C46BB7"/>
    <w:rsid w:val="00C4734E"/>
    <w:rsid w:val="00C47CFA"/>
    <w:rsid w:val="00C50185"/>
    <w:rsid w:val="00C50206"/>
    <w:rsid w:val="00C50E2F"/>
    <w:rsid w:val="00C51195"/>
    <w:rsid w:val="00C514DF"/>
    <w:rsid w:val="00C51574"/>
    <w:rsid w:val="00C51ABD"/>
    <w:rsid w:val="00C51B7C"/>
    <w:rsid w:val="00C52345"/>
    <w:rsid w:val="00C523CC"/>
    <w:rsid w:val="00C525CC"/>
    <w:rsid w:val="00C52877"/>
    <w:rsid w:val="00C52918"/>
    <w:rsid w:val="00C52D59"/>
    <w:rsid w:val="00C55D5F"/>
    <w:rsid w:val="00C55D80"/>
    <w:rsid w:val="00C573A6"/>
    <w:rsid w:val="00C579E8"/>
    <w:rsid w:val="00C60406"/>
    <w:rsid w:val="00C612C9"/>
    <w:rsid w:val="00C615CA"/>
    <w:rsid w:val="00C6234B"/>
    <w:rsid w:val="00C63EAE"/>
    <w:rsid w:val="00C64419"/>
    <w:rsid w:val="00C64580"/>
    <w:rsid w:val="00C6475C"/>
    <w:rsid w:val="00C64B41"/>
    <w:rsid w:val="00C655F8"/>
    <w:rsid w:val="00C657B2"/>
    <w:rsid w:val="00C66675"/>
    <w:rsid w:val="00C666C2"/>
    <w:rsid w:val="00C6757D"/>
    <w:rsid w:val="00C67C9A"/>
    <w:rsid w:val="00C70630"/>
    <w:rsid w:val="00C7175E"/>
    <w:rsid w:val="00C72C06"/>
    <w:rsid w:val="00C72E51"/>
    <w:rsid w:val="00C73260"/>
    <w:rsid w:val="00C736AB"/>
    <w:rsid w:val="00C73F37"/>
    <w:rsid w:val="00C7440F"/>
    <w:rsid w:val="00C74CDE"/>
    <w:rsid w:val="00C759E5"/>
    <w:rsid w:val="00C759F2"/>
    <w:rsid w:val="00C75A78"/>
    <w:rsid w:val="00C75AE3"/>
    <w:rsid w:val="00C7629F"/>
    <w:rsid w:val="00C76A83"/>
    <w:rsid w:val="00C76C77"/>
    <w:rsid w:val="00C772E3"/>
    <w:rsid w:val="00C77590"/>
    <w:rsid w:val="00C80327"/>
    <w:rsid w:val="00C816C4"/>
    <w:rsid w:val="00C822A0"/>
    <w:rsid w:val="00C82984"/>
    <w:rsid w:val="00C82F52"/>
    <w:rsid w:val="00C832C4"/>
    <w:rsid w:val="00C83991"/>
    <w:rsid w:val="00C83DE6"/>
    <w:rsid w:val="00C843AD"/>
    <w:rsid w:val="00C86208"/>
    <w:rsid w:val="00C8661B"/>
    <w:rsid w:val="00C866B4"/>
    <w:rsid w:val="00C86812"/>
    <w:rsid w:val="00C87432"/>
    <w:rsid w:val="00C87A8C"/>
    <w:rsid w:val="00C87B7C"/>
    <w:rsid w:val="00C907DB"/>
    <w:rsid w:val="00C90DE8"/>
    <w:rsid w:val="00C914FE"/>
    <w:rsid w:val="00C92B1B"/>
    <w:rsid w:val="00C92B9E"/>
    <w:rsid w:val="00C92CFA"/>
    <w:rsid w:val="00C930B1"/>
    <w:rsid w:val="00C9348E"/>
    <w:rsid w:val="00C94314"/>
    <w:rsid w:val="00C947BE"/>
    <w:rsid w:val="00C94916"/>
    <w:rsid w:val="00C95557"/>
    <w:rsid w:val="00C973A7"/>
    <w:rsid w:val="00CA03C8"/>
    <w:rsid w:val="00CA0403"/>
    <w:rsid w:val="00CA05EA"/>
    <w:rsid w:val="00CA0DB8"/>
    <w:rsid w:val="00CA121D"/>
    <w:rsid w:val="00CA139A"/>
    <w:rsid w:val="00CA2257"/>
    <w:rsid w:val="00CA2899"/>
    <w:rsid w:val="00CA3044"/>
    <w:rsid w:val="00CA3A3D"/>
    <w:rsid w:val="00CA3AA6"/>
    <w:rsid w:val="00CA4036"/>
    <w:rsid w:val="00CA455E"/>
    <w:rsid w:val="00CA47C9"/>
    <w:rsid w:val="00CA5862"/>
    <w:rsid w:val="00CA5AC3"/>
    <w:rsid w:val="00CA6768"/>
    <w:rsid w:val="00CA6F64"/>
    <w:rsid w:val="00CA77FB"/>
    <w:rsid w:val="00CB06DC"/>
    <w:rsid w:val="00CB0769"/>
    <w:rsid w:val="00CB2800"/>
    <w:rsid w:val="00CB2C90"/>
    <w:rsid w:val="00CB2CEC"/>
    <w:rsid w:val="00CB379B"/>
    <w:rsid w:val="00CB3A8A"/>
    <w:rsid w:val="00CB4637"/>
    <w:rsid w:val="00CB4BBF"/>
    <w:rsid w:val="00CB4F6C"/>
    <w:rsid w:val="00CB55C8"/>
    <w:rsid w:val="00CB574F"/>
    <w:rsid w:val="00CB58E2"/>
    <w:rsid w:val="00CB5DD0"/>
    <w:rsid w:val="00CB629C"/>
    <w:rsid w:val="00CC007F"/>
    <w:rsid w:val="00CC0240"/>
    <w:rsid w:val="00CC0969"/>
    <w:rsid w:val="00CC1DAD"/>
    <w:rsid w:val="00CC338B"/>
    <w:rsid w:val="00CC3747"/>
    <w:rsid w:val="00CC3884"/>
    <w:rsid w:val="00CC3F06"/>
    <w:rsid w:val="00CC464C"/>
    <w:rsid w:val="00CC51AA"/>
    <w:rsid w:val="00CC51D4"/>
    <w:rsid w:val="00CC5636"/>
    <w:rsid w:val="00CC5828"/>
    <w:rsid w:val="00CC5A7F"/>
    <w:rsid w:val="00CC61AA"/>
    <w:rsid w:val="00CC65DA"/>
    <w:rsid w:val="00CC6CD6"/>
    <w:rsid w:val="00CD0358"/>
    <w:rsid w:val="00CD07A1"/>
    <w:rsid w:val="00CD0B56"/>
    <w:rsid w:val="00CD0F58"/>
    <w:rsid w:val="00CD1E66"/>
    <w:rsid w:val="00CD219D"/>
    <w:rsid w:val="00CD33E7"/>
    <w:rsid w:val="00CD3474"/>
    <w:rsid w:val="00CD3B62"/>
    <w:rsid w:val="00CD3C32"/>
    <w:rsid w:val="00CD49F7"/>
    <w:rsid w:val="00CD52C6"/>
    <w:rsid w:val="00CD5831"/>
    <w:rsid w:val="00CD5B40"/>
    <w:rsid w:val="00CD632C"/>
    <w:rsid w:val="00CE0151"/>
    <w:rsid w:val="00CE13CE"/>
    <w:rsid w:val="00CE2737"/>
    <w:rsid w:val="00CE380D"/>
    <w:rsid w:val="00CE40BD"/>
    <w:rsid w:val="00CE485A"/>
    <w:rsid w:val="00CE518B"/>
    <w:rsid w:val="00CE5B78"/>
    <w:rsid w:val="00CE62C6"/>
    <w:rsid w:val="00CE63D5"/>
    <w:rsid w:val="00CE66E9"/>
    <w:rsid w:val="00CE7C11"/>
    <w:rsid w:val="00CF0003"/>
    <w:rsid w:val="00CF0F5E"/>
    <w:rsid w:val="00CF1641"/>
    <w:rsid w:val="00CF1CA6"/>
    <w:rsid w:val="00CF1D74"/>
    <w:rsid w:val="00CF21B9"/>
    <w:rsid w:val="00CF25AD"/>
    <w:rsid w:val="00CF294A"/>
    <w:rsid w:val="00CF3844"/>
    <w:rsid w:val="00CF3E19"/>
    <w:rsid w:val="00CF409A"/>
    <w:rsid w:val="00CF4EDE"/>
    <w:rsid w:val="00CF61BB"/>
    <w:rsid w:val="00CF6666"/>
    <w:rsid w:val="00CF6BF9"/>
    <w:rsid w:val="00CF6D78"/>
    <w:rsid w:val="00CF6F57"/>
    <w:rsid w:val="00CF6F7C"/>
    <w:rsid w:val="00CF77D0"/>
    <w:rsid w:val="00D00BBA"/>
    <w:rsid w:val="00D012D2"/>
    <w:rsid w:val="00D026F2"/>
    <w:rsid w:val="00D02795"/>
    <w:rsid w:val="00D0282C"/>
    <w:rsid w:val="00D02AD6"/>
    <w:rsid w:val="00D03350"/>
    <w:rsid w:val="00D033D9"/>
    <w:rsid w:val="00D03800"/>
    <w:rsid w:val="00D038BE"/>
    <w:rsid w:val="00D03A06"/>
    <w:rsid w:val="00D04464"/>
    <w:rsid w:val="00D048F8"/>
    <w:rsid w:val="00D04BCD"/>
    <w:rsid w:val="00D0518C"/>
    <w:rsid w:val="00D05890"/>
    <w:rsid w:val="00D05B31"/>
    <w:rsid w:val="00D06037"/>
    <w:rsid w:val="00D065D3"/>
    <w:rsid w:val="00D06CE9"/>
    <w:rsid w:val="00D074D9"/>
    <w:rsid w:val="00D075C4"/>
    <w:rsid w:val="00D07B72"/>
    <w:rsid w:val="00D10220"/>
    <w:rsid w:val="00D10D6E"/>
    <w:rsid w:val="00D11807"/>
    <w:rsid w:val="00D12DF9"/>
    <w:rsid w:val="00D12EEB"/>
    <w:rsid w:val="00D14B78"/>
    <w:rsid w:val="00D14C94"/>
    <w:rsid w:val="00D14F15"/>
    <w:rsid w:val="00D152CF"/>
    <w:rsid w:val="00D156A6"/>
    <w:rsid w:val="00D1620A"/>
    <w:rsid w:val="00D16232"/>
    <w:rsid w:val="00D16498"/>
    <w:rsid w:val="00D16EED"/>
    <w:rsid w:val="00D20561"/>
    <w:rsid w:val="00D20911"/>
    <w:rsid w:val="00D20BB7"/>
    <w:rsid w:val="00D20F05"/>
    <w:rsid w:val="00D22335"/>
    <w:rsid w:val="00D226AE"/>
    <w:rsid w:val="00D22704"/>
    <w:rsid w:val="00D2276B"/>
    <w:rsid w:val="00D24274"/>
    <w:rsid w:val="00D24C11"/>
    <w:rsid w:val="00D24E0C"/>
    <w:rsid w:val="00D25524"/>
    <w:rsid w:val="00D25E58"/>
    <w:rsid w:val="00D26D4F"/>
    <w:rsid w:val="00D270AA"/>
    <w:rsid w:val="00D27281"/>
    <w:rsid w:val="00D2728F"/>
    <w:rsid w:val="00D27311"/>
    <w:rsid w:val="00D276A6"/>
    <w:rsid w:val="00D30215"/>
    <w:rsid w:val="00D30D24"/>
    <w:rsid w:val="00D30DEB"/>
    <w:rsid w:val="00D30F6C"/>
    <w:rsid w:val="00D310BB"/>
    <w:rsid w:val="00D320CE"/>
    <w:rsid w:val="00D321F7"/>
    <w:rsid w:val="00D32792"/>
    <w:rsid w:val="00D33EE6"/>
    <w:rsid w:val="00D33FD9"/>
    <w:rsid w:val="00D341BF"/>
    <w:rsid w:val="00D342A6"/>
    <w:rsid w:val="00D34656"/>
    <w:rsid w:val="00D34795"/>
    <w:rsid w:val="00D35512"/>
    <w:rsid w:val="00D357ED"/>
    <w:rsid w:val="00D35E74"/>
    <w:rsid w:val="00D36379"/>
    <w:rsid w:val="00D3738A"/>
    <w:rsid w:val="00D37667"/>
    <w:rsid w:val="00D3768A"/>
    <w:rsid w:val="00D37691"/>
    <w:rsid w:val="00D40252"/>
    <w:rsid w:val="00D408B0"/>
    <w:rsid w:val="00D409F3"/>
    <w:rsid w:val="00D40DDE"/>
    <w:rsid w:val="00D40FB4"/>
    <w:rsid w:val="00D411AB"/>
    <w:rsid w:val="00D411F6"/>
    <w:rsid w:val="00D4194D"/>
    <w:rsid w:val="00D41F70"/>
    <w:rsid w:val="00D421EF"/>
    <w:rsid w:val="00D42341"/>
    <w:rsid w:val="00D43DD6"/>
    <w:rsid w:val="00D44045"/>
    <w:rsid w:val="00D446C4"/>
    <w:rsid w:val="00D448A6"/>
    <w:rsid w:val="00D44A26"/>
    <w:rsid w:val="00D44D40"/>
    <w:rsid w:val="00D44D43"/>
    <w:rsid w:val="00D44EBA"/>
    <w:rsid w:val="00D44EEC"/>
    <w:rsid w:val="00D4594D"/>
    <w:rsid w:val="00D45A40"/>
    <w:rsid w:val="00D45CA6"/>
    <w:rsid w:val="00D464BF"/>
    <w:rsid w:val="00D465EE"/>
    <w:rsid w:val="00D47838"/>
    <w:rsid w:val="00D47A92"/>
    <w:rsid w:val="00D47D41"/>
    <w:rsid w:val="00D50859"/>
    <w:rsid w:val="00D51E73"/>
    <w:rsid w:val="00D51EAA"/>
    <w:rsid w:val="00D52827"/>
    <w:rsid w:val="00D52D4F"/>
    <w:rsid w:val="00D533A7"/>
    <w:rsid w:val="00D53957"/>
    <w:rsid w:val="00D53A1B"/>
    <w:rsid w:val="00D53BB6"/>
    <w:rsid w:val="00D53C50"/>
    <w:rsid w:val="00D53E26"/>
    <w:rsid w:val="00D540B8"/>
    <w:rsid w:val="00D544AD"/>
    <w:rsid w:val="00D54705"/>
    <w:rsid w:val="00D54C20"/>
    <w:rsid w:val="00D55028"/>
    <w:rsid w:val="00D552C1"/>
    <w:rsid w:val="00D5545C"/>
    <w:rsid w:val="00D55C46"/>
    <w:rsid w:val="00D575B9"/>
    <w:rsid w:val="00D6054E"/>
    <w:rsid w:val="00D60D50"/>
    <w:rsid w:val="00D60F48"/>
    <w:rsid w:val="00D612E9"/>
    <w:rsid w:val="00D62208"/>
    <w:rsid w:val="00D63558"/>
    <w:rsid w:val="00D641C1"/>
    <w:rsid w:val="00D642C8"/>
    <w:rsid w:val="00D64439"/>
    <w:rsid w:val="00D64866"/>
    <w:rsid w:val="00D64F17"/>
    <w:rsid w:val="00D652A7"/>
    <w:rsid w:val="00D658DD"/>
    <w:rsid w:val="00D666A8"/>
    <w:rsid w:val="00D668E4"/>
    <w:rsid w:val="00D66C1B"/>
    <w:rsid w:val="00D66CC4"/>
    <w:rsid w:val="00D67685"/>
    <w:rsid w:val="00D67E4F"/>
    <w:rsid w:val="00D708CA"/>
    <w:rsid w:val="00D716DA"/>
    <w:rsid w:val="00D7193A"/>
    <w:rsid w:val="00D71D40"/>
    <w:rsid w:val="00D71EF0"/>
    <w:rsid w:val="00D722F4"/>
    <w:rsid w:val="00D7342C"/>
    <w:rsid w:val="00D73493"/>
    <w:rsid w:val="00D739F3"/>
    <w:rsid w:val="00D74055"/>
    <w:rsid w:val="00D743E7"/>
    <w:rsid w:val="00D74912"/>
    <w:rsid w:val="00D75043"/>
    <w:rsid w:val="00D750B0"/>
    <w:rsid w:val="00D75357"/>
    <w:rsid w:val="00D75806"/>
    <w:rsid w:val="00D75F13"/>
    <w:rsid w:val="00D76810"/>
    <w:rsid w:val="00D774AE"/>
    <w:rsid w:val="00D803C1"/>
    <w:rsid w:val="00D804D4"/>
    <w:rsid w:val="00D8079F"/>
    <w:rsid w:val="00D80A85"/>
    <w:rsid w:val="00D80A97"/>
    <w:rsid w:val="00D80AD6"/>
    <w:rsid w:val="00D81196"/>
    <w:rsid w:val="00D8151D"/>
    <w:rsid w:val="00D824AB"/>
    <w:rsid w:val="00D83648"/>
    <w:rsid w:val="00D8376D"/>
    <w:rsid w:val="00D8390F"/>
    <w:rsid w:val="00D83953"/>
    <w:rsid w:val="00D8553D"/>
    <w:rsid w:val="00D8589A"/>
    <w:rsid w:val="00D8591E"/>
    <w:rsid w:val="00D86173"/>
    <w:rsid w:val="00D86585"/>
    <w:rsid w:val="00D86876"/>
    <w:rsid w:val="00D86C00"/>
    <w:rsid w:val="00D8742D"/>
    <w:rsid w:val="00D87ED6"/>
    <w:rsid w:val="00D902D0"/>
    <w:rsid w:val="00D90423"/>
    <w:rsid w:val="00D9057E"/>
    <w:rsid w:val="00D90A67"/>
    <w:rsid w:val="00D91C4A"/>
    <w:rsid w:val="00D91CC0"/>
    <w:rsid w:val="00D9352E"/>
    <w:rsid w:val="00D93A9B"/>
    <w:rsid w:val="00D93C66"/>
    <w:rsid w:val="00D94013"/>
    <w:rsid w:val="00D941A7"/>
    <w:rsid w:val="00D94AB6"/>
    <w:rsid w:val="00D95251"/>
    <w:rsid w:val="00D955A1"/>
    <w:rsid w:val="00D95936"/>
    <w:rsid w:val="00D96931"/>
    <w:rsid w:val="00D96A6E"/>
    <w:rsid w:val="00D96C67"/>
    <w:rsid w:val="00D97143"/>
    <w:rsid w:val="00D9775D"/>
    <w:rsid w:val="00DA00DD"/>
    <w:rsid w:val="00DA1D73"/>
    <w:rsid w:val="00DA5CCE"/>
    <w:rsid w:val="00DA5FB6"/>
    <w:rsid w:val="00DB182C"/>
    <w:rsid w:val="00DB201D"/>
    <w:rsid w:val="00DB2095"/>
    <w:rsid w:val="00DB27A2"/>
    <w:rsid w:val="00DB2A69"/>
    <w:rsid w:val="00DB2A74"/>
    <w:rsid w:val="00DB33E2"/>
    <w:rsid w:val="00DB358D"/>
    <w:rsid w:val="00DB3FD1"/>
    <w:rsid w:val="00DB4144"/>
    <w:rsid w:val="00DB42AA"/>
    <w:rsid w:val="00DB4443"/>
    <w:rsid w:val="00DB4920"/>
    <w:rsid w:val="00DB5368"/>
    <w:rsid w:val="00DB5387"/>
    <w:rsid w:val="00DB564D"/>
    <w:rsid w:val="00DB5CB3"/>
    <w:rsid w:val="00DB61B1"/>
    <w:rsid w:val="00DB6864"/>
    <w:rsid w:val="00DB6D40"/>
    <w:rsid w:val="00DB7035"/>
    <w:rsid w:val="00DB7078"/>
    <w:rsid w:val="00DB72B4"/>
    <w:rsid w:val="00DC05B5"/>
    <w:rsid w:val="00DC06E5"/>
    <w:rsid w:val="00DC1287"/>
    <w:rsid w:val="00DC147D"/>
    <w:rsid w:val="00DC1566"/>
    <w:rsid w:val="00DC19C7"/>
    <w:rsid w:val="00DC25A8"/>
    <w:rsid w:val="00DC2CCC"/>
    <w:rsid w:val="00DC301B"/>
    <w:rsid w:val="00DC344B"/>
    <w:rsid w:val="00DC3761"/>
    <w:rsid w:val="00DC3C56"/>
    <w:rsid w:val="00DC4157"/>
    <w:rsid w:val="00DC4DF7"/>
    <w:rsid w:val="00DC4FE3"/>
    <w:rsid w:val="00DC5EB4"/>
    <w:rsid w:val="00DC6366"/>
    <w:rsid w:val="00DC65EB"/>
    <w:rsid w:val="00DC6909"/>
    <w:rsid w:val="00DC7FB2"/>
    <w:rsid w:val="00DD0440"/>
    <w:rsid w:val="00DD04EE"/>
    <w:rsid w:val="00DD0705"/>
    <w:rsid w:val="00DD0975"/>
    <w:rsid w:val="00DD1722"/>
    <w:rsid w:val="00DD18B1"/>
    <w:rsid w:val="00DD23E5"/>
    <w:rsid w:val="00DD29C4"/>
    <w:rsid w:val="00DD2B7C"/>
    <w:rsid w:val="00DD3CE5"/>
    <w:rsid w:val="00DD4A1C"/>
    <w:rsid w:val="00DD4AEF"/>
    <w:rsid w:val="00DD4F0E"/>
    <w:rsid w:val="00DD572A"/>
    <w:rsid w:val="00DD593B"/>
    <w:rsid w:val="00DD59DD"/>
    <w:rsid w:val="00DD5AEB"/>
    <w:rsid w:val="00DD650A"/>
    <w:rsid w:val="00DD6BE2"/>
    <w:rsid w:val="00DD73C1"/>
    <w:rsid w:val="00DD76F7"/>
    <w:rsid w:val="00DD7DC0"/>
    <w:rsid w:val="00DD7FE6"/>
    <w:rsid w:val="00DE1049"/>
    <w:rsid w:val="00DE1053"/>
    <w:rsid w:val="00DE1388"/>
    <w:rsid w:val="00DE1503"/>
    <w:rsid w:val="00DE1868"/>
    <w:rsid w:val="00DE194C"/>
    <w:rsid w:val="00DE2016"/>
    <w:rsid w:val="00DE2330"/>
    <w:rsid w:val="00DE2F5B"/>
    <w:rsid w:val="00DE3662"/>
    <w:rsid w:val="00DE4C00"/>
    <w:rsid w:val="00DE4C60"/>
    <w:rsid w:val="00DE4C9C"/>
    <w:rsid w:val="00DE4F4A"/>
    <w:rsid w:val="00DE54A4"/>
    <w:rsid w:val="00DE682E"/>
    <w:rsid w:val="00DE713B"/>
    <w:rsid w:val="00DE7732"/>
    <w:rsid w:val="00DE78DC"/>
    <w:rsid w:val="00DF09CE"/>
    <w:rsid w:val="00DF0A81"/>
    <w:rsid w:val="00DF0B7F"/>
    <w:rsid w:val="00DF0BF0"/>
    <w:rsid w:val="00DF1316"/>
    <w:rsid w:val="00DF19CA"/>
    <w:rsid w:val="00DF2ACE"/>
    <w:rsid w:val="00DF2C12"/>
    <w:rsid w:val="00DF302E"/>
    <w:rsid w:val="00DF30A3"/>
    <w:rsid w:val="00DF35B7"/>
    <w:rsid w:val="00DF3CA2"/>
    <w:rsid w:val="00DF430B"/>
    <w:rsid w:val="00DF4A52"/>
    <w:rsid w:val="00DF4BE7"/>
    <w:rsid w:val="00DF4F28"/>
    <w:rsid w:val="00DF53C2"/>
    <w:rsid w:val="00DF582C"/>
    <w:rsid w:val="00DF5C89"/>
    <w:rsid w:val="00DF5D06"/>
    <w:rsid w:val="00DF601C"/>
    <w:rsid w:val="00DF6604"/>
    <w:rsid w:val="00DF6803"/>
    <w:rsid w:val="00DF6E4D"/>
    <w:rsid w:val="00E00008"/>
    <w:rsid w:val="00E01463"/>
    <w:rsid w:val="00E02474"/>
    <w:rsid w:val="00E028B7"/>
    <w:rsid w:val="00E02ED2"/>
    <w:rsid w:val="00E0302B"/>
    <w:rsid w:val="00E03086"/>
    <w:rsid w:val="00E032B5"/>
    <w:rsid w:val="00E0343B"/>
    <w:rsid w:val="00E03891"/>
    <w:rsid w:val="00E03A14"/>
    <w:rsid w:val="00E04926"/>
    <w:rsid w:val="00E052D8"/>
    <w:rsid w:val="00E05445"/>
    <w:rsid w:val="00E05686"/>
    <w:rsid w:val="00E05B98"/>
    <w:rsid w:val="00E05E0A"/>
    <w:rsid w:val="00E060BE"/>
    <w:rsid w:val="00E06155"/>
    <w:rsid w:val="00E06A51"/>
    <w:rsid w:val="00E0792E"/>
    <w:rsid w:val="00E102EE"/>
    <w:rsid w:val="00E112AF"/>
    <w:rsid w:val="00E11364"/>
    <w:rsid w:val="00E11ECF"/>
    <w:rsid w:val="00E125BA"/>
    <w:rsid w:val="00E132C6"/>
    <w:rsid w:val="00E134B3"/>
    <w:rsid w:val="00E1353C"/>
    <w:rsid w:val="00E13B13"/>
    <w:rsid w:val="00E143FF"/>
    <w:rsid w:val="00E14F0C"/>
    <w:rsid w:val="00E1547B"/>
    <w:rsid w:val="00E15781"/>
    <w:rsid w:val="00E15EA7"/>
    <w:rsid w:val="00E15EC4"/>
    <w:rsid w:val="00E15FD3"/>
    <w:rsid w:val="00E163FB"/>
    <w:rsid w:val="00E16B32"/>
    <w:rsid w:val="00E16FF0"/>
    <w:rsid w:val="00E170DB"/>
    <w:rsid w:val="00E17398"/>
    <w:rsid w:val="00E176BF"/>
    <w:rsid w:val="00E17C07"/>
    <w:rsid w:val="00E17D93"/>
    <w:rsid w:val="00E205BE"/>
    <w:rsid w:val="00E20C8A"/>
    <w:rsid w:val="00E21B01"/>
    <w:rsid w:val="00E21DA3"/>
    <w:rsid w:val="00E21EA6"/>
    <w:rsid w:val="00E223A7"/>
    <w:rsid w:val="00E23B89"/>
    <w:rsid w:val="00E23F77"/>
    <w:rsid w:val="00E24838"/>
    <w:rsid w:val="00E24B98"/>
    <w:rsid w:val="00E24DEB"/>
    <w:rsid w:val="00E25D4B"/>
    <w:rsid w:val="00E26214"/>
    <w:rsid w:val="00E26D89"/>
    <w:rsid w:val="00E27828"/>
    <w:rsid w:val="00E2789B"/>
    <w:rsid w:val="00E2791F"/>
    <w:rsid w:val="00E2796F"/>
    <w:rsid w:val="00E27C5B"/>
    <w:rsid w:val="00E27F7D"/>
    <w:rsid w:val="00E304F3"/>
    <w:rsid w:val="00E305AE"/>
    <w:rsid w:val="00E305D2"/>
    <w:rsid w:val="00E30639"/>
    <w:rsid w:val="00E30754"/>
    <w:rsid w:val="00E30D0A"/>
    <w:rsid w:val="00E30D64"/>
    <w:rsid w:val="00E31255"/>
    <w:rsid w:val="00E31718"/>
    <w:rsid w:val="00E31CDF"/>
    <w:rsid w:val="00E32788"/>
    <w:rsid w:val="00E32D99"/>
    <w:rsid w:val="00E33233"/>
    <w:rsid w:val="00E35695"/>
    <w:rsid w:val="00E35712"/>
    <w:rsid w:val="00E3630F"/>
    <w:rsid w:val="00E367E2"/>
    <w:rsid w:val="00E36954"/>
    <w:rsid w:val="00E36DA0"/>
    <w:rsid w:val="00E3718B"/>
    <w:rsid w:val="00E37A81"/>
    <w:rsid w:val="00E403AB"/>
    <w:rsid w:val="00E40401"/>
    <w:rsid w:val="00E40751"/>
    <w:rsid w:val="00E4092D"/>
    <w:rsid w:val="00E40A8F"/>
    <w:rsid w:val="00E412CC"/>
    <w:rsid w:val="00E415DD"/>
    <w:rsid w:val="00E41B75"/>
    <w:rsid w:val="00E41F05"/>
    <w:rsid w:val="00E420CF"/>
    <w:rsid w:val="00E4221A"/>
    <w:rsid w:val="00E42380"/>
    <w:rsid w:val="00E433AE"/>
    <w:rsid w:val="00E4419B"/>
    <w:rsid w:val="00E444CC"/>
    <w:rsid w:val="00E450C7"/>
    <w:rsid w:val="00E45D13"/>
    <w:rsid w:val="00E4672E"/>
    <w:rsid w:val="00E474F2"/>
    <w:rsid w:val="00E478CD"/>
    <w:rsid w:val="00E50A31"/>
    <w:rsid w:val="00E51DC3"/>
    <w:rsid w:val="00E5221B"/>
    <w:rsid w:val="00E522C3"/>
    <w:rsid w:val="00E52AAA"/>
    <w:rsid w:val="00E53100"/>
    <w:rsid w:val="00E534CF"/>
    <w:rsid w:val="00E53F00"/>
    <w:rsid w:val="00E549BB"/>
    <w:rsid w:val="00E5528C"/>
    <w:rsid w:val="00E56711"/>
    <w:rsid w:val="00E56D54"/>
    <w:rsid w:val="00E56FB3"/>
    <w:rsid w:val="00E570C1"/>
    <w:rsid w:val="00E575A3"/>
    <w:rsid w:val="00E57EC6"/>
    <w:rsid w:val="00E57FA8"/>
    <w:rsid w:val="00E601F2"/>
    <w:rsid w:val="00E60369"/>
    <w:rsid w:val="00E611C4"/>
    <w:rsid w:val="00E615C4"/>
    <w:rsid w:val="00E61891"/>
    <w:rsid w:val="00E61B98"/>
    <w:rsid w:val="00E61D32"/>
    <w:rsid w:val="00E62C5B"/>
    <w:rsid w:val="00E632BF"/>
    <w:rsid w:val="00E63999"/>
    <w:rsid w:val="00E65511"/>
    <w:rsid w:val="00E656EA"/>
    <w:rsid w:val="00E6627C"/>
    <w:rsid w:val="00E664DE"/>
    <w:rsid w:val="00E66B78"/>
    <w:rsid w:val="00E671A2"/>
    <w:rsid w:val="00E6722C"/>
    <w:rsid w:val="00E67859"/>
    <w:rsid w:val="00E679D1"/>
    <w:rsid w:val="00E7013D"/>
    <w:rsid w:val="00E71795"/>
    <w:rsid w:val="00E723FE"/>
    <w:rsid w:val="00E724A4"/>
    <w:rsid w:val="00E72E3F"/>
    <w:rsid w:val="00E73602"/>
    <w:rsid w:val="00E743E1"/>
    <w:rsid w:val="00E74908"/>
    <w:rsid w:val="00E77F4F"/>
    <w:rsid w:val="00E805AC"/>
    <w:rsid w:val="00E808B3"/>
    <w:rsid w:val="00E80C21"/>
    <w:rsid w:val="00E80C98"/>
    <w:rsid w:val="00E811AD"/>
    <w:rsid w:val="00E814C3"/>
    <w:rsid w:val="00E8162C"/>
    <w:rsid w:val="00E81748"/>
    <w:rsid w:val="00E81CB4"/>
    <w:rsid w:val="00E843DF"/>
    <w:rsid w:val="00E8463C"/>
    <w:rsid w:val="00E84A07"/>
    <w:rsid w:val="00E84A3F"/>
    <w:rsid w:val="00E8585B"/>
    <w:rsid w:val="00E85CF9"/>
    <w:rsid w:val="00E86159"/>
    <w:rsid w:val="00E862EB"/>
    <w:rsid w:val="00E868DE"/>
    <w:rsid w:val="00E86F00"/>
    <w:rsid w:val="00E87561"/>
    <w:rsid w:val="00E87C6F"/>
    <w:rsid w:val="00E87F41"/>
    <w:rsid w:val="00E9022A"/>
    <w:rsid w:val="00E903F4"/>
    <w:rsid w:val="00E90615"/>
    <w:rsid w:val="00E90B96"/>
    <w:rsid w:val="00E91412"/>
    <w:rsid w:val="00E920AD"/>
    <w:rsid w:val="00E92CA8"/>
    <w:rsid w:val="00E9352E"/>
    <w:rsid w:val="00E935F3"/>
    <w:rsid w:val="00E93791"/>
    <w:rsid w:val="00E93C47"/>
    <w:rsid w:val="00E950CF"/>
    <w:rsid w:val="00E955B0"/>
    <w:rsid w:val="00E955CC"/>
    <w:rsid w:val="00E95900"/>
    <w:rsid w:val="00E95B9D"/>
    <w:rsid w:val="00E96469"/>
    <w:rsid w:val="00E965B5"/>
    <w:rsid w:val="00E97A8A"/>
    <w:rsid w:val="00EA0232"/>
    <w:rsid w:val="00EA0448"/>
    <w:rsid w:val="00EA0CBC"/>
    <w:rsid w:val="00EA0FD0"/>
    <w:rsid w:val="00EA1141"/>
    <w:rsid w:val="00EA2150"/>
    <w:rsid w:val="00EA2793"/>
    <w:rsid w:val="00EA27A0"/>
    <w:rsid w:val="00EA290C"/>
    <w:rsid w:val="00EA2B4C"/>
    <w:rsid w:val="00EA3F15"/>
    <w:rsid w:val="00EA4058"/>
    <w:rsid w:val="00EA4415"/>
    <w:rsid w:val="00EA4885"/>
    <w:rsid w:val="00EA4B7A"/>
    <w:rsid w:val="00EA53CC"/>
    <w:rsid w:val="00EA5DF7"/>
    <w:rsid w:val="00EA5F4C"/>
    <w:rsid w:val="00EA65E2"/>
    <w:rsid w:val="00EA66DB"/>
    <w:rsid w:val="00EA67E0"/>
    <w:rsid w:val="00EA6DA4"/>
    <w:rsid w:val="00EA74B8"/>
    <w:rsid w:val="00EA7847"/>
    <w:rsid w:val="00EA7F51"/>
    <w:rsid w:val="00EB0305"/>
    <w:rsid w:val="00EB07D1"/>
    <w:rsid w:val="00EB0B65"/>
    <w:rsid w:val="00EB1510"/>
    <w:rsid w:val="00EB197C"/>
    <w:rsid w:val="00EB1ACA"/>
    <w:rsid w:val="00EB2489"/>
    <w:rsid w:val="00EB2B99"/>
    <w:rsid w:val="00EB340D"/>
    <w:rsid w:val="00EB37EB"/>
    <w:rsid w:val="00EB3A17"/>
    <w:rsid w:val="00EB4189"/>
    <w:rsid w:val="00EB46A4"/>
    <w:rsid w:val="00EB4C2F"/>
    <w:rsid w:val="00EB519B"/>
    <w:rsid w:val="00EB54E2"/>
    <w:rsid w:val="00EB5B23"/>
    <w:rsid w:val="00EB64B5"/>
    <w:rsid w:val="00EB6FEE"/>
    <w:rsid w:val="00EB755D"/>
    <w:rsid w:val="00EB792F"/>
    <w:rsid w:val="00EB7B14"/>
    <w:rsid w:val="00EC0416"/>
    <w:rsid w:val="00EC07CE"/>
    <w:rsid w:val="00EC0922"/>
    <w:rsid w:val="00EC0EAE"/>
    <w:rsid w:val="00EC1F8D"/>
    <w:rsid w:val="00EC2410"/>
    <w:rsid w:val="00EC2725"/>
    <w:rsid w:val="00EC2A5E"/>
    <w:rsid w:val="00EC332F"/>
    <w:rsid w:val="00EC33E8"/>
    <w:rsid w:val="00EC3477"/>
    <w:rsid w:val="00EC4170"/>
    <w:rsid w:val="00EC4392"/>
    <w:rsid w:val="00EC4B9C"/>
    <w:rsid w:val="00EC4EA3"/>
    <w:rsid w:val="00EC5A96"/>
    <w:rsid w:val="00EC5F9A"/>
    <w:rsid w:val="00EC6072"/>
    <w:rsid w:val="00EC6193"/>
    <w:rsid w:val="00EC6D13"/>
    <w:rsid w:val="00EC77C0"/>
    <w:rsid w:val="00ED0B8B"/>
    <w:rsid w:val="00ED109E"/>
    <w:rsid w:val="00ED1137"/>
    <w:rsid w:val="00ED1427"/>
    <w:rsid w:val="00ED19CA"/>
    <w:rsid w:val="00ED2556"/>
    <w:rsid w:val="00ED279B"/>
    <w:rsid w:val="00ED306F"/>
    <w:rsid w:val="00ED32C2"/>
    <w:rsid w:val="00ED3A67"/>
    <w:rsid w:val="00ED67E3"/>
    <w:rsid w:val="00ED7004"/>
    <w:rsid w:val="00ED7631"/>
    <w:rsid w:val="00ED78D0"/>
    <w:rsid w:val="00ED7A7E"/>
    <w:rsid w:val="00ED7CB0"/>
    <w:rsid w:val="00ED7E32"/>
    <w:rsid w:val="00EE001B"/>
    <w:rsid w:val="00EE0222"/>
    <w:rsid w:val="00EE1014"/>
    <w:rsid w:val="00EE1031"/>
    <w:rsid w:val="00EE1320"/>
    <w:rsid w:val="00EE1642"/>
    <w:rsid w:val="00EE1FA2"/>
    <w:rsid w:val="00EE21E0"/>
    <w:rsid w:val="00EE2E6E"/>
    <w:rsid w:val="00EE319B"/>
    <w:rsid w:val="00EE3318"/>
    <w:rsid w:val="00EE3ECF"/>
    <w:rsid w:val="00EE42EC"/>
    <w:rsid w:val="00EE57BF"/>
    <w:rsid w:val="00EE5EFC"/>
    <w:rsid w:val="00EE68FD"/>
    <w:rsid w:val="00EE6B0A"/>
    <w:rsid w:val="00EE6FD5"/>
    <w:rsid w:val="00EE73E3"/>
    <w:rsid w:val="00EE7421"/>
    <w:rsid w:val="00EE775C"/>
    <w:rsid w:val="00EE7951"/>
    <w:rsid w:val="00EE7E22"/>
    <w:rsid w:val="00EF0C66"/>
    <w:rsid w:val="00EF144B"/>
    <w:rsid w:val="00EF1563"/>
    <w:rsid w:val="00EF3387"/>
    <w:rsid w:val="00EF342E"/>
    <w:rsid w:val="00EF35EB"/>
    <w:rsid w:val="00EF3D3B"/>
    <w:rsid w:val="00EF4825"/>
    <w:rsid w:val="00EF4F42"/>
    <w:rsid w:val="00EF5A0A"/>
    <w:rsid w:val="00EF65F1"/>
    <w:rsid w:val="00EF6E1D"/>
    <w:rsid w:val="00EF727C"/>
    <w:rsid w:val="00EF7F49"/>
    <w:rsid w:val="00F00ADB"/>
    <w:rsid w:val="00F00D24"/>
    <w:rsid w:val="00F00F55"/>
    <w:rsid w:val="00F01010"/>
    <w:rsid w:val="00F013D6"/>
    <w:rsid w:val="00F01A87"/>
    <w:rsid w:val="00F022FD"/>
    <w:rsid w:val="00F02DE6"/>
    <w:rsid w:val="00F03E45"/>
    <w:rsid w:val="00F042D6"/>
    <w:rsid w:val="00F04535"/>
    <w:rsid w:val="00F053B9"/>
    <w:rsid w:val="00F06956"/>
    <w:rsid w:val="00F0759E"/>
    <w:rsid w:val="00F075FF"/>
    <w:rsid w:val="00F07820"/>
    <w:rsid w:val="00F07A01"/>
    <w:rsid w:val="00F07B28"/>
    <w:rsid w:val="00F100F6"/>
    <w:rsid w:val="00F106FE"/>
    <w:rsid w:val="00F10A53"/>
    <w:rsid w:val="00F1149B"/>
    <w:rsid w:val="00F11DDB"/>
    <w:rsid w:val="00F12B82"/>
    <w:rsid w:val="00F1383E"/>
    <w:rsid w:val="00F1390B"/>
    <w:rsid w:val="00F13ADC"/>
    <w:rsid w:val="00F158E9"/>
    <w:rsid w:val="00F15900"/>
    <w:rsid w:val="00F16313"/>
    <w:rsid w:val="00F16A43"/>
    <w:rsid w:val="00F16ED8"/>
    <w:rsid w:val="00F17199"/>
    <w:rsid w:val="00F17204"/>
    <w:rsid w:val="00F17385"/>
    <w:rsid w:val="00F1738A"/>
    <w:rsid w:val="00F17B06"/>
    <w:rsid w:val="00F200FF"/>
    <w:rsid w:val="00F20DB6"/>
    <w:rsid w:val="00F21113"/>
    <w:rsid w:val="00F21DC3"/>
    <w:rsid w:val="00F23375"/>
    <w:rsid w:val="00F239ED"/>
    <w:rsid w:val="00F2458A"/>
    <w:rsid w:val="00F24767"/>
    <w:rsid w:val="00F24B5D"/>
    <w:rsid w:val="00F24E89"/>
    <w:rsid w:val="00F24F60"/>
    <w:rsid w:val="00F25391"/>
    <w:rsid w:val="00F2551D"/>
    <w:rsid w:val="00F27164"/>
    <w:rsid w:val="00F274C9"/>
    <w:rsid w:val="00F27679"/>
    <w:rsid w:val="00F279F9"/>
    <w:rsid w:val="00F27B0F"/>
    <w:rsid w:val="00F27EA6"/>
    <w:rsid w:val="00F27F12"/>
    <w:rsid w:val="00F304FE"/>
    <w:rsid w:val="00F3062F"/>
    <w:rsid w:val="00F307A3"/>
    <w:rsid w:val="00F31663"/>
    <w:rsid w:val="00F319A3"/>
    <w:rsid w:val="00F3257F"/>
    <w:rsid w:val="00F33A15"/>
    <w:rsid w:val="00F33DA9"/>
    <w:rsid w:val="00F33F99"/>
    <w:rsid w:val="00F3404D"/>
    <w:rsid w:val="00F34259"/>
    <w:rsid w:val="00F348BE"/>
    <w:rsid w:val="00F34A04"/>
    <w:rsid w:val="00F34BE0"/>
    <w:rsid w:val="00F34DF3"/>
    <w:rsid w:val="00F352C0"/>
    <w:rsid w:val="00F353A4"/>
    <w:rsid w:val="00F35C12"/>
    <w:rsid w:val="00F360F0"/>
    <w:rsid w:val="00F3634D"/>
    <w:rsid w:val="00F3694B"/>
    <w:rsid w:val="00F369E0"/>
    <w:rsid w:val="00F36BA3"/>
    <w:rsid w:val="00F37289"/>
    <w:rsid w:val="00F372CF"/>
    <w:rsid w:val="00F37D1B"/>
    <w:rsid w:val="00F40098"/>
    <w:rsid w:val="00F400FD"/>
    <w:rsid w:val="00F4053C"/>
    <w:rsid w:val="00F4126A"/>
    <w:rsid w:val="00F412C1"/>
    <w:rsid w:val="00F413AD"/>
    <w:rsid w:val="00F422BA"/>
    <w:rsid w:val="00F42E63"/>
    <w:rsid w:val="00F43480"/>
    <w:rsid w:val="00F4415F"/>
    <w:rsid w:val="00F44288"/>
    <w:rsid w:val="00F443C5"/>
    <w:rsid w:val="00F455F5"/>
    <w:rsid w:val="00F459E8"/>
    <w:rsid w:val="00F45EFD"/>
    <w:rsid w:val="00F46780"/>
    <w:rsid w:val="00F46781"/>
    <w:rsid w:val="00F46BA3"/>
    <w:rsid w:val="00F474CD"/>
    <w:rsid w:val="00F47ABF"/>
    <w:rsid w:val="00F5024B"/>
    <w:rsid w:val="00F5152D"/>
    <w:rsid w:val="00F5239F"/>
    <w:rsid w:val="00F534E4"/>
    <w:rsid w:val="00F53C2D"/>
    <w:rsid w:val="00F53FAD"/>
    <w:rsid w:val="00F54392"/>
    <w:rsid w:val="00F54AAA"/>
    <w:rsid w:val="00F555A8"/>
    <w:rsid w:val="00F55783"/>
    <w:rsid w:val="00F55CB3"/>
    <w:rsid w:val="00F55F96"/>
    <w:rsid w:val="00F561FA"/>
    <w:rsid w:val="00F566B2"/>
    <w:rsid w:val="00F56A64"/>
    <w:rsid w:val="00F572D0"/>
    <w:rsid w:val="00F579E2"/>
    <w:rsid w:val="00F57A43"/>
    <w:rsid w:val="00F57D33"/>
    <w:rsid w:val="00F6105E"/>
    <w:rsid w:val="00F61F4B"/>
    <w:rsid w:val="00F62158"/>
    <w:rsid w:val="00F626AC"/>
    <w:rsid w:val="00F62DD4"/>
    <w:rsid w:val="00F63012"/>
    <w:rsid w:val="00F64B5B"/>
    <w:rsid w:val="00F64D24"/>
    <w:rsid w:val="00F651B5"/>
    <w:rsid w:val="00F65351"/>
    <w:rsid w:val="00F663C6"/>
    <w:rsid w:val="00F66E96"/>
    <w:rsid w:val="00F70111"/>
    <w:rsid w:val="00F70837"/>
    <w:rsid w:val="00F70858"/>
    <w:rsid w:val="00F70AF1"/>
    <w:rsid w:val="00F70BF4"/>
    <w:rsid w:val="00F7115A"/>
    <w:rsid w:val="00F7150E"/>
    <w:rsid w:val="00F716F1"/>
    <w:rsid w:val="00F71CA8"/>
    <w:rsid w:val="00F72DD3"/>
    <w:rsid w:val="00F73738"/>
    <w:rsid w:val="00F73DF1"/>
    <w:rsid w:val="00F7400F"/>
    <w:rsid w:val="00F74B75"/>
    <w:rsid w:val="00F752D0"/>
    <w:rsid w:val="00F77114"/>
    <w:rsid w:val="00F77D2D"/>
    <w:rsid w:val="00F77F67"/>
    <w:rsid w:val="00F800DA"/>
    <w:rsid w:val="00F80765"/>
    <w:rsid w:val="00F821A3"/>
    <w:rsid w:val="00F83400"/>
    <w:rsid w:val="00F83A4F"/>
    <w:rsid w:val="00F83D54"/>
    <w:rsid w:val="00F83F4A"/>
    <w:rsid w:val="00F843F4"/>
    <w:rsid w:val="00F8550E"/>
    <w:rsid w:val="00F86091"/>
    <w:rsid w:val="00F8754F"/>
    <w:rsid w:val="00F8798A"/>
    <w:rsid w:val="00F90E4C"/>
    <w:rsid w:val="00F922C7"/>
    <w:rsid w:val="00F92316"/>
    <w:rsid w:val="00F92859"/>
    <w:rsid w:val="00F92865"/>
    <w:rsid w:val="00F92AF4"/>
    <w:rsid w:val="00F9314A"/>
    <w:rsid w:val="00F93AC6"/>
    <w:rsid w:val="00F940B2"/>
    <w:rsid w:val="00F94965"/>
    <w:rsid w:val="00F95039"/>
    <w:rsid w:val="00F95907"/>
    <w:rsid w:val="00F95EB2"/>
    <w:rsid w:val="00F96F30"/>
    <w:rsid w:val="00F97143"/>
    <w:rsid w:val="00F97DD6"/>
    <w:rsid w:val="00FA00F0"/>
    <w:rsid w:val="00FA040C"/>
    <w:rsid w:val="00FA04A6"/>
    <w:rsid w:val="00FA141A"/>
    <w:rsid w:val="00FA1E1C"/>
    <w:rsid w:val="00FA3162"/>
    <w:rsid w:val="00FA3715"/>
    <w:rsid w:val="00FA37A7"/>
    <w:rsid w:val="00FA3EC2"/>
    <w:rsid w:val="00FA5390"/>
    <w:rsid w:val="00FA56CE"/>
    <w:rsid w:val="00FA5834"/>
    <w:rsid w:val="00FA5E92"/>
    <w:rsid w:val="00FA7F69"/>
    <w:rsid w:val="00FB06C0"/>
    <w:rsid w:val="00FB123B"/>
    <w:rsid w:val="00FB1881"/>
    <w:rsid w:val="00FB2427"/>
    <w:rsid w:val="00FB278E"/>
    <w:rsid w:val="00FB28C0"/>
    <w:rsid w:val="00FB30E8"/>
    <w:rsid w:val="00FB31AB"/>
    <w:rsid w:val="00FB3381"/>
    <w:rsid w:val="00FB3938"/>
    <w:rsid w:val="00FB3FB3"/>
    <w:rsid w:val="00FB429F"/>
    <w:rsid w:val="00FB5DF5"/>
    <w:rsid w:val="00FB6E44"/>
    <w:rsid w:val="00FB7684"/>
    <w:rsid w:val="00FB7C71"/>
    <w:rsid w:val="00FC0937"/>
    <w:rsid w:val="00FC13E9"/>
    <w:rsid w:val="00FC1673"/>
    <w:rsid w:val="00FC16D5"/>
    <w:rsid w:val="00FC215B"/>
    <w:rsid w:val="00FC2D1B"/>
    <w:rsid w:val="00FC32DE"/>
    <w:rsid w:val="00FC3B72"/>
    <w:rsid w:val="00FC3DA2"/>
    <w:rsid w:val="00FC469A"/>
    <w:rsid w:val="00FC4881"/>
    <w:rsid w:val="00FC49D8"/>
    <w:rsid w:val="00FC5691"/>
    <w:rsid w:val="00FC56DE"/>
    <w:rsid w:val="00FC5797"/>
    <w:rsid w:val="00FC58EF"/>
    <w:rsid w:val="00FC5A1C"/>
    <w:rsid w:val="00FC5C36"/>
    <w:rsid w:val="00FC5CFA"/>
    <w:rsid w:val="00FC5E4C"/>
    <w:rsid w:val="00FC60B1"/>
    <w:rsid w:val="00FC6632"/>
    <w:rsid w:val="00FC66BE"/>
    <w:rsid w:val="00FC6856"/>
    <w:rsid w:val="00FC6B12"/>
    <w:rsid w:val="00FC6F52"/>
    <w:rsid w:val="00FC71E6"/>
    <w:rsid w:val="00FC7B8A"/>
    <w:rsid w:val="00FC7DFB"/>
    <w:rsid w:val="00FD1463"/>
    <w:rsid w:val="00FD1831"/>
    <w:rsid w:val="00FD3159"/>
    <w:rsid w:val="00FD33DF"/>
    <w:rsid w:val="00FD377B"/>
    <w:rsid w:val="00FD3F6D"/>
    <w:rsid w:val="00FD4136"/>
    <w:rsid w:val="00FD43ED"/>
    <w:rsid w:val="00FD5BE3"/>
    <w:rsid w:val="00FD5C46"/>
    <w:rsid w:val="00FD66EA"/>
    <w:rsid w:val="00FD7289"/>
    <w:rsid w:val="00FD7363"/>
    <w:rsid w:val="00FDE64C"/>
    <w:rsid w:val="00FE07B7"/>
    <w:rsid w:val="00FE0EE1"/>
    <w:rsid w:val="00FE12FA"/>
    <w:rsid w:val="00FE1625"/>
    <w:rsid w:val="00FE1B1C"/>
    <w:rsid w:val="00FE2139"/>
    <w:rsid w:val="00FE39D7"/>
    <w:rsid w:val="00FE470E"/>
    <w:rsid w:val="00FE4F4A"/>
    <w:rsid w:val="00FE5578"/>
    <w:rsid w:val="00FE5649"/>
    <w:rsid w:val="00FE63CE"/>
    <w:rsid w:val="00FE6AB5"/>
    <w:rsid w:val="00FE72C2"/>
    <w:rsid w:val="00FE7767"/>
    <w:rsid w:val="00FE7B2E"/>
    <w:rsid w:val="00FF063D"/>
    <w:rsid w:val="00FF0E46"/>
    <w:rsid w:val="00FF2246"/>
    <w:rsid w:val="00FF2617"/>
    <w:rsid w:val="00FF35A5"/>
    <w:rsid w:val="00FF46A2"/>
    <w:rsid w:val="00FF5CE3"/>
    <w:rsid w:val="00FF66E4"/>
    <w:rsid w:val="00FF68DE"/>
    <w:rsid w:val="00FF698B"/>
    <w:rsid w:val="00FF7C74"/>
    <w:rsid w:val="01419BCC"/>
    <w:rsid w:val="015959B0"/>
    <w:rsid w:val="0194B818"/>
    <w:rsid w:val="01A5AA71"/>
    <w:rsid w:val="01A7D979"/>
    <w:rsid w:val="01B11E90"/>
    <w:rsid w:val="01C9E5BA"/>
    <w:rsid w:val="01CC44F0"/>
    <w:rsid w:val="034CEEF1"/>
    <w:rsid w:val="03753AE3"/>
    <w:rsid w:val="03C1223E"/>
    <w:rsid w:val="04DF7A3B"/>
    <w:rsid w:val="04F205B4"/>
    <w:rsid w:val="05803296"/>
    <w:rsid w:val="05B34FD9"/>
    <w:rsid w:val="063E30B1"/>
    <w:rsid w:val="06991118"/>
    <w:rsid w:val="07333C0D"/>
    <w:rsid w:val="0770FB69"/>
    <w:rsid w:val="078181EE"/>
    <w:rsid w:val="07DB7CF2"/>
    <w:rsid w:val="08077E55"/>
    <w:rsid w:val="082D62DD"/>
    <w:rsid w:val="08AEE9B3"/>
    <w:rsid w:val="0903CFEA"/>
    <w:rsid w:val="09192B6B"/>
    <w:rsid w:val="09632E98"/>
    <w:rsid w:val="0A0126C2"/>
    <w:rsid w:val="0A57778F"/>
    <w:rsid w:val="0ADDCA69"/>
    <w:rsid w:val="0B131DB4"/>
    <w:rsid w:val="0B23EC87"/>
    <w:rsid w:val="0B36BBF0"/>
    <w:rsid w:val="0C0ED8C5"/>
    <w:rsid w:val="0C48E351"/>
    <w:rsid w:val="0C97E974"/>
    <w:rsid w:val="0C97F1C2"/>
    <w:rsid w:val="0D03DE19"/>
    <w:rsid w:val="0D15EFFF"/>
    <w:rsid w:val="0D1756D1"/>
    <w:rsid w:val="0D61A396"/>
    <w:rsid w:val="0D8986BB"/>
    <w:rsid w:val="0DD8982F"/>
    <w:rsid w:val="0F03A25B"/>
    <w:rsid w:val="0F1DEB3A"/>
    <w:rsid w:val="0FC1F9E8"/>
    <w:rsid w:val="109C40AF"/>
    <w:rsid w:val="10A80EFE"/>
    <w:rsid w:val="11244B7F"/>
    <w:rsid w:val="11545AFF"/>
    <w:rsid w:val="116B1C47"/>
    <w:rsid w:val="11722080"/>
    <w:rsid w:val="11D11F45"/>
    <w:rsid w:val="126353BD"/>
    <w:rsid w:val="128F105A"/>
    <w:rsid w:val="12F65860"/>
    <w:rsid w:val="132A9CF8"/>
    <w:rsid w:val="134E8A6B"/>
    <w:rsid w:val="13691AD5"/>
    <w:rsid w:val="140AEE53"/>
    <w:rsid w:val="14601EFB"/>
    <w:rsid w:val="1489DB4A"/>
    <w:rsid w:val="14DC75A8"/>
    <w:rsid w:val="1548B335"/>
    <w:rsid w:val="15535E86"/>
    <w:rsid w:val="1561DB92"/>
    <w:rsid w:val="15E6FDDF"/>
    <w:rsid w:val="161110A6"/>
    <w:rsid w:val="1655D05B"/>
    <w:rsid w:val="165D0073"/>
    <w:rsid w:val="1669ECBF"/>
    <w:rsid w:val="167A91EF"/>
    <w:rsid w:val="1701A0BB"/>
    <w:rsid w:val="170E39DD"/>
    <w:rsid w:val="177B0E0A"/>
    <w:rsid w:val="178D209C"/>
    <w:rsid w:val="18127C71"/>
    <w:rsid w:val="182E8176"/>
    <w:rsid w:val="184242DC"/>
    <w:rsid w:val="185355A2"/>
    <w:rsid w:val="1862ABF0"/>
    <w:rsid w:val="18B08BC0"/>
    <w:rsid w:val="18DB792A"/>
    <w:rsid w:val="191A5CE2"/>
    <w:rsid w:val="19732563"/>
    <w:rsid w:val="19822FF9"/>
    <w:rsid w:val="199815CE"/>
    <w:rsid w:val="19BB251B"/>
    <w:rsid w:val="1A1BDDF5"/>
    <w:rsid w:val="1A580BA0"/>
    <w:rsid w:val="1A641349"/>
    <w:rsid w:val="1A9C2C72"/>
    <w:rsid w:val="1ACBF80E"/>
    <w:rsid w:val="1B63621D"/>
    <w:rsid w:val="1B6C0A68"/>
    <w:rsid w:val="1B9D0B7E"/>
    <w:rsid w:val="1BBEB7DB"/>
    <w:rsid w:val="1BD0F63C"/>
    <w:rsid w:val="1BF392C4"/>
    <w:rsid w:val="1C53937E"/>
    <w:rsid w:val="1C5848FF"/>
    <w:rsid w:val="1C832593"/>
    <w:rsid w:val="1CCEFAF4"/>
    <w:rsid w:val="1D09C32B"/>
    <w:rsid w:val="1D74D041"/>
    <w:rsid w:val="1DD2A9D7"/>
    <w:rsid w:val="1DD428C2"/>
    <w:rsid w:val="1E29FEFA"/>
    <w:rsid w:val="1E494E90"/>
    <w:rsid w:val="1EA3AE20"/>
    <w:rsid w:val="1EA4AA3F"/>
    <w:rsid w:val="1ED89928"/>
    <w:rsid w:val="1EDF4C2B"/>
    <w:rsid w:val="1EE6AFFA"/>
    <w:rsid w:val="1F0434E9"/>
    <w:rsid w:val="1F410021"/>
    <w:rsid w:val="1F7049B7"/>
    <w:rsid w:val="2035717F"/>
    <w:rsid w:val="20806586"/>
    <w:rsid w:val="20B1685A"/>
    <w:rsid w:val="20B30B72"/>
    <w:rsid w:val="226471B8"/>
    <w:rsid w:val="23533E6E"/>
    <w:rsid w:val="236EFFE7"/>
    <w:rsid w:val="238B4CBD"/>
    <w:rsid w:val="23A7E0AE"/>
    <w:rsid w:val="24317904"/>
    <w:rsid w:val="244A8C04"/>
    <w:rsid w:val="24EA8CA5"/>
    <w:rsid w:val="2552C9F4"/>
    <w:rsid w:val="25AA9C9F"/>
    <w:rsid w:val="25F1B385"/>
    <w:rsid w:val="266FB2CB"/>
    <w:rsid w:val="2706F7C0"/>
    <w:rsid w:val="27D6A3B7"/>
    <w:rsid w:val="27E5BF12"/>
    <w:rsid w:val="27FAB7DA"/>
    <w:rsid w:val="28563B59"/>
    <w:rsid w:val="28844B63"/>
    <w:rsid w:val="28B8094B"/>
    <w:rsid w:val="29129ECC"/>
    <w:rsid w:val="29197884"/>
    <w:rsid w:val="2925EAAD"/>
    <w:rsid w:val="298A3AB4"/>
    <w:rsid w:val="2A0B1B8E"/>
    <w:rsid w:val="2A1A2DDA"/>
    <w:rsid w:val="2A5BB288"/>
    <w:rsid w:val="2A814DBB"/>
    <w:rsid w:val="2AA08FB7"/>
    <w:rsid w:val="2AA5B808"/>
    <w:rsid w:val="2AAE6F2D"/>
    <w:rsid w:val="2B02930D"/>
    <w:rsid w:val="2B96D096"/>
    <w:rsid w:val="2B9D3937"/>
    <w:rsid w:val="2BE21A2D"/>
    <w:rsid w:val="2C560E23"/>
    <w:rsid w:val="2C5CCBBE"/>
    <w:rsid w:val="2C66EF84"/>
    <w:rsid w:val="2C6DAB52"/>
    <w:rsid w:val="2C986B83"/>
    <w:rsid w:val="2C99F63F"/>
    <w:rsid w:val="2CA82734"/>
    <w:rsid w:val="2D8567C4"/>
    <w:rsid w:val="2D8BDD45"/>
    <w:rsid w:val="2DE4FAC9"/>
    <w:rsid w:val="2DF9C077"/>
    <w:rsid w:val="2F19BAEF"/>
    <w:rsid w:val="2FCE4EFA"/>
    <w:rsid w:val="300B29B9"/>
    <w:rsid w:val="3036EB43"/>
    <w:rsid w:val="30A6446B"/>
    <w:rsid w:val="30F22BC6"/>
    <w:rsid w:val="319E7483"/>
    <w:rsid w:val="31BF86F3"/>
    <w:rsid w:val="31F62D71"/>
    <w:rsid w:val="3238135D"/>
    <w:rsid w:val="32884543"/>
    <w:rsid w:val="32A1DCDF"/>
    <w:rsid w:val="32B8FB94"/>
    <w:rsid w:val="32CA47D5"/>
    <w:rsid w:val="3341EBCD"/>
    <w:rsid w:val="34550134"/>
    <w:rsid w:val="356DC4BA"/>
    <w:rsid w:val="36841BC0"/>
    <w:rsid w:val="36C73A52"/>
    <w:rsid w:val="36DDA028"/>
    <w:rsid w:val="3715EB8D"/>
    <w:rsid w:val="376CBF67"/>
    <w:rsid w:val="3773C9D8"/>
    <w:rsid w:val="37AB7EF1"/>
    <w:rsid w:val="37D25F3A"/>
    <w:rsid w:val="38048E1D"/>
    <w:rsid w:val="388FBBA4"/>
    <w:rsid w:val="38F85110"/>
    <w:rsid w:val="39734DCE"/>
    <w:rsid w:val="39A8C186"/>
    <w:rsid w:val="39C95DE9"/>
    <w:rsid w:val="3A0C7C30"/>
    <w:rsid w:val="3A8B37CC"/>
    <w:rsid w:val="3A8F2C94"/>
    <w:rsid w:val="3AC22FEB"/>
    <w:rsid w:val="3AF8F6FB"/>
    <w:rsid w:val="3B03208A"/>
    <w:rsid w:val="3B1AAAB8"/>
    <w:rsid w:val="3B8E161A"/>
    <w:rsid w:val="3C163D90"/>
    <w:rsid w:val="3C40308A"/>
    <w:rsid w:val="3C559299"/>
    <w:rsid w:val="3C5EF4D7"/>
    <w:rsid w:val="3C5FA3A7"/>
    <w:rsid w:val="3CA27BF4"/>
    <w:rsid w:val="3CAF57DC"/>
    <w:rsid w:val="3D71CD35"/>
    <w:rsid w:val="3DAAB2A4"/>
    <w:rsid w:val="3DB299D6"/>
    <w:rsid w:val="3DC2D88E"/>
    <w:rsid w:val="3DE3585D"/>
    <w:rsid w:val="3E26C4E9"/>
    <w:rsid w:val="3ECE8121"/>
    <w:rsid w:val="3ED6F4B8"/>
    <w:rsid w:val="3F05E84B"/>
    <w:rsid w:val="3F1DA6C8"/>
    <w:rsid w:val="3F9B29EA"/>
    <w:rsid w:val="3FA1F8F4"/>
    <w:rsid w:val="406859B4"/>
    <w:rsid w:val="40A7FE13"/>
    <w:rsid w:val="40E8752B"/>
    <w:rsid w:val="411F7FAF"/>
    <w:rsid w:val="41253AC9"/>
    <w:rsid w:val="416443CD"/>
    <w:rsid w:val="41B33150"/>
    <w:rsid w:val="41D41F63"/>
    <w:rsid w:val="41E59102"/>
    <w:rsid w:val="41FC1283"/>
    <w:rsid w:val="424B2C9F"/>
    <w:rsid w:val="424DE6E4"/>
    <w:rsid w:val="42914ACF"/>
    <w:rsid w:val="42F6C224"/>
    <w:rsid w:val="43A2DEDF"/>
    <w:rsid w:val="43B157F5"/>
    <w:rsid w:val="43E713E6"/>
    <w:rsid w:val="44227E65"/>
    <w:rsid w:val="443EC737"/>
    <w:rsid w:val="44AA867B"/>
    <w:rsid w:val="44FD6777"/>
    <w:rsid w:val="453A17CC"/>
    <w:rsid w:val="45617B10"/>
    <w:rsid w:val="457A24CE"/>
    <w:rsid w:val="45D20137"/>
    <w:rsid w:val="4631B8DD"/>
    <w:rsid w:val="4676C22A"/>
    <w:rsid w:val="46ACDBEE"/>
    <w:rsid w:val="473F1E83"/>
    <w:rsid w:val="478CFACB"/>
    <w:rsid w:val="47E786E5"/>
    <w:rsid w:val="482E462D"/>
    <w:rsid w:val="485D4D8D"/>
    <w:rsid w:val="487F559B"/>
    <w:rsid w:val="48DB2288"/>
    <w:rsid w:val="4905595F"/>
    <w:rsid w:val="493E0CAA"/>
    <w:rsid w:val="496ADC0A"/>
    <w:rsid w:val="49CF3EA1"/>
    <w:rsid w:val="49FA8069"/>
    <w:rsid w:val="4A005899"/>
    <w:rsid w:val="4A560456"/>
    <w:rsid w:val="4AB71F5C"/>
    <w:rsid w:val="4AD8E9E9"/>
    <w:rsid w:val="4B0306B7"/>
    <w:rsid w:val="4BADD5D0"/>
    <w:rsid w:val="4BC4AFC7"/>
    <w:rsid w:val="4C88B4E3"/>
    <w:rsid w:val="4D185EA8"/>
    <w:rsid w:val="4E05188E"/>
    <w:rsid w:val="4E776106"/>
    <w:rsid w:val="4F10EA25"/>
    <w:rsid w:val="4F398FF0"/>
    <w:rsid w:val="4F648E01"/>
    <w:rsid w:val="4F6C7B87"/>
    <w:rsid w:val="4F99816B"/>
    <w:rsid w:val="5002C300"/>
    <w:rsid w:val="500C6999"/>
    <w:rsid w:val="501299E3"/>
    <w:rsid w:val="507B0482"/>
    <w:rsid w:val="51990964"/>
    <w:rsid w:val="525D2189"/>
    <w:rsid w:val="526BA56C"/>
    <w:rsid w:val="53389E84"/>
    <w:rsid w:val="54285A25"/>
    <w:rsid w:val="54480C06"/>
    <w:rsid w:val="54654A60"/>
    <w:rsid w:val="54C29B76"/>
    <w:rsid w:val="550C90D4"/>
    <w:rsid w:val="55BCE717"/>
    <w:rsid w:val="55CAB40A"/>
    <w:rsid w:val="5631BF51"/>
    <w:rsid w:val="5643D650"/>
    <w:rsid w:val="56B68A72"/>
    <w:rsid w:val="56C56DA1"/>
    <w:rsid w:val="56D7D130"/>
    <w:rsid w:val="57449440"/>
    <w:rsid w:val="57DD7BE8"/>
    <w:rsid w:val="5807322E"/>
    <w:rsid w:val="58727E34"/>
    <w:rsid w:val="59301C97"/>
    <w:rsid w:val="596E6EF5"/>
    <w:rsid w:val="59DF06A4"/>
    <w:rsid w:val="5B260A66"/>
    <w:rsid w:val="5B61B17B"/>
    <w:rsid w:val="5BA44C75"/>
    <w:rsid w:val="5BD25914"/>
    <w:rsid w:val="5C2402D6"/>
    <w:rsid w:val="5CD8C043"/>
    <w:rsid w:val="5DD4B2BB"/>
    <w:rsid w:val="5E0010B3"/>
    <w:rsid w:val="5E25B0D5"/>
    <w:rsid w:val="5E6D6D67"/>
    <w:rsid w:val="5E99523D"/>
    <w:rsid w:val="5ED3FED0"/>
    <w:rsid w:val="5F0F6823"/>
    <w:rsid w:val="5F8ABEAD"/>
    <w:rsid w:val="5F9356EC"/>
    <w:rsid w:val="5FE180D8"/>
    <w:rsid w:val="5FF17FEB"/>
    <w:rsid w:val="61057135"/>
    <w:rsid w:val="61188824"/>
    <w:rsid w:val="614B8941"/>
    <w:rsid w:val="615626DE"/>
    <w:rsid w:val="6168C03F"/>
    <w:rsid w:val="61CB37E5"/>
    <w:rsid w:val="61D8B416"/>
    <w:rsid w:val="61E366F4"/>
    <w:rsid w:val="6263069B"/>
    <w:rsid w:val="62767814"/>
    <w:rsid w:val="62E065E9"/>
    <w:rsid w:val="637CA3D3"/>
    <w:rsid w:val="63AC1560"/>
    <w:rsid w:val="63DE6518"/>
    <w:rsid w:val="648E8656"/>
    <w:rsid w:val="64FD66F6"/>
    <w:rsid w:val="65345E09"/>
    <w:rsid w:val="65A10BE4"/>
    <w:rsid w:val="6680D29B"/>
    <w:rsid w:val="66AB291A"/>
    <w:rsid w:val="66B2AA9C"/>
    <w:rsid w:val="66CD968E"/>
    <w:rsid w:val="672F9D7D"/>
    <w:rsid w:val="67361DAF"/>
    <w:rsid w:val="680E9CA3"/>
    <w:rsid w:val="6821FAF3"/>
    <w:rsid w:val="683E7EA9"/>
    <w:rsid w:val="68D0660C"/>
    <w:rsid w:val="68F5A4E2"/>
    <w:rsid w:val="693F5452"/>
    <w:rsid w:val="694D1D00"/>
    <w:rsid w:val="6960355D"/>
    <w:rsid w:val="6999045B"/>
    <w:rsid w:val="6A669AF8"/>
    <w:rsid w:val="6A83FFE4"/>
    <w:rsid w:val="6A85436A"/>
    <w:rsid w:val="6B34D4BC"/>
    <w:rsid w:val="6B758213"/>
    <w:rsid w:val="6C30B70B"/>
    <w:rsid w:val="6CB7C35E"/>
    <w:rsid w:val="6CC15874"/>
    <w:rsid w:val="6CD712D9"/>
    <w:rsid w:val="6CE19E35"/>
    <w:rsid w:val="6D207BC2"/>
    <w:rsid w:val="6D7C5491"/>
    <w:rsid w:val="6EEAE6F1"/>
    <w:rsid w:val="6F3EC909"/>
    <w:rsid w:val="6F84723A"/>
    <w:rsid w:val="70516D86"/>
    <w:rsid w:val="7055C9E5"/>
    <w:rsid w:val="706E68D4"/>
    <w:rsid w:val="7076453E"/>
    <w:rsid w:val="712B7801"/>
    <w:rsid w:val="712F3343"/>
    <w:rsid w:val="7192B1CD"/>
    <w:rsid w:val="722E3D62"/>
    <w:rsid w:val="72329FDF"/>
    <w:rsid w:val="724ACC1D"/>
    <w:rsid w:val="72A96F81"/>
    <w:rsid w:val="72AB3F26"/>
    <w:rsid w:val="72D8F278"/>
    <w:rsid w:val="72D95FAC"/>
    <w:rsid w:val="736221A0"/>
    <w:rsid w:val="737B3151"/>
    <w:rsid w:val="739010A9"/>
    <w:rsid w:val="74072486"/>
    <w:rsid w:val="744F67F9"/>
    <w:rsid w:val="74A7CC33"/>
    <w:rsid w:val="753CC1D2"/>
    <w:rsid w:val="75F95221"/>
    <w:rsid w:val="761151F0"/>
    <w:rsid w:val="76B09D65"/>
    <w:rsid w:val="77278257"/>
    <w:rsid w:val="77C138DC"/>
    <w:rsid w:val="7854600F"/>
    <w:rsid w:val="78566A42"/>
    <w:rsid w:val="785E4300"/>
    <w:rsid w:val="78D770CC"/>
    <w:rsid w:val="78DD0B4E"/>
    <w:rsid w:val="797A51E5"/>
    <w:rsid w:val="79A65348"/>
    <w:rsid w:val="79EF82B4"/>
    <w:rsid w:val="7A61127E"/>
    <w:rsid w:val="7AC43F41"/>
    <w:rsid w:val="7ACA3AEB"/>
    <w:rsid w:val="7B8C9EAB"/>
    <w:rsid w:val="7B9C827D"/>
    <w:rsid w:val="7B9ECD67"/>
    <w:rsid w:val="7BB51439"/>
    <w:rsid w:val="7BC0772C"/>
    <w:rsid w:val="7BD54707"/>
    <w:rsid w:val="7BD9F25F"/>
    <w:rsid w:val="7BE892E8"/>
    <w:rsid w:val="7BF1B7F6"/>
    <w:rsid w:val="7BFE414A"/>
    <w:rsid w:val="7C55CC94"/>
    <w:rsid w:val="7C89ED53"/>
    <w:rsid w:val="7CE801D8"/>
    <w:rsid w:val="7D505D8F"/>
    <w:rsid w:val="7D711768"/>
    <w:rsid w:val="7D71254E"/>
    <w:rsid w:val="7DE773CE"/>
    <w:rsid w:val="7DFEB47F"/>
    <w:rsid w:val="7E43C478"/>
    <w:rsid w:val="7E8F9D61"/>
    <w:rsid w:val="7F1010C0"/>
    <w:rsid w:val="7F211323"/>
    <w:rsid w:val="7FC38326"/>
    <w:rsid w:val="7FDA50D0"/>
    <w:rsid w:val="7FF1B2C5"/>
  </w:rsids>
  <m:mathPr>
    <m:mathFont m:val="Cambria Math"/>
    <m:brkBin m:val="before"/>
    <m:brkBinSub m:val="--"/>
    <m:smallFrac m:val="0"/>
    <m:dispDef/>
    <m:lMargin m:val="0"/>
    <m:rMargin m:val="0"/>
    <m:defJc m:val="centerGroup"/>
    <m:wrapIndent m:val="1440"/>
    <m:intLim m:val="subSup"/>
    <m:naryLim m:val="undOvr"/>
  </m:mathPr>
  <w:themeFontLang w:val="es-CO"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2"/>
    </o:shapelayout>
  </w:shapeDefaults>
  <w:decimalSymbol w:val=","/>
  <w:listSeparator w:val=","/>
  <w14:docId w14:val="07F25356"/>
  <w15:chartTrackingRefBased/>
  <w15:docId w15:val="{3017DABF-B418-48B6-B3AA-06CA4AF406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uiPriority="0" w:qFormat="1"/>
    <w:lsdException w:name="heading 4" w:uiPriority="0" w:qFormat="1"/>
    <w:lsdException w:name="heading 5" w:uiPriority="0"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5C8B"/>
    <w:pPr>
      <w:spacing w:before="160" w:after="160"/>
      <w:ind w:left="1418" w:hanging="1418"/>
      <w:jc w:val="both"/>
    </w:pPr>
    <w:rPr>
      <w:rFonts w:ascii="Bookman Old Style" w:eastAsia="Calibri" w:hAnsi="Bookman Old Style" w:cs="Arial"/>
      <w:i/>
      <w:iCs/>
      <w:color w:val="00B0F0"/>
      <w:sz w:val="24"/>
      <w:szCs w:val="24"/>
      <w:lang w:val="es-ES_tradnl" w:eastAsia="es-ES_tradnl"/>
    </w:rPr>
  </w:style>
  <w:style w:type="paragraph" w:styleId="Ttulo1">
    <w:name w:val="heading 1"/>
    <w:basedOn w:val="Normal"/>
    <w:next w:val="Normal"/>
    <w:link w:val="Ttulo1Car"/>
    <w:qFormat/>
    <w:rsid w:val="0051145D"/>
    <w:pPr>
      <w:keepNext/>
      <w:ind w:left="0"/>
      <w:outlineLvl w:val="0"/>
    </w:pPr>
    <w:rPr>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rPr>
  </w:style>
  <w:style w:type="paragraph" w:styleId="Ttulo4">
    <w:name w:val="heading 4"/>
    <w:basedOn w:val="Normal"/>
    <w:next w:val="Normal"/>
    <w:link w:val="Ttulo4Car"/>
    <w:qFormat/>
    <w:rsid w:val="003101DA"/>
    <w:pPr>
      <w:keepNext/>
      <w:jc w:val="center"/>
      <w:outlineLvl w:val="3"/>
    </w:pPr>
    <w:rPr>
      <w:rFonts w:ascii="Arial" w:hAnsi="Arial"/>
      <w:b/>
      <w:snapToGrid w:val="0"/>
      <w:color w:val="000000"/>
      <w:spacing w:val="20"/>
      <w:sz w:val="20"/>
      <w:szCs w:val="20"/>
    </w:rPr>
  </w:style>
  <w:style w:type="paragraph" w:styleId="Ttulo5">
    <w:name w:val="heading 5"/>
    <w:basedOn w:val="Normal"/>
    <w:next w:val="Normal"/>
    <w:link w:val="Ttulo5Car"/>
    <w:qFormat/>
    <w:rsid w:val="003101DA"/>
    <w:pPr>
      <w:keepNext/>
      <w:jc w:val="center"/>
      <w:outlineLvl w:val="4"/>
    </w:pPr>
    <w:rPr>
      <w:rFonts w:ascii="Arial" w:hAnsi="Arial"/>
      <w:b/>
      <w:snapToGrid w:val="0"/>
      <w:color w:val="000000"/>
      <w:spacing w:val="20"/>
      <w:sz w:val="28"/>
      <w:szCs w:val="20"/>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rsid w:val="003101DA"/>
    <w:pPr>
      <w:jc w:val="center"/>
    </w:pPr>
    <w:rPr>
      <w:rFonts w:ascii="Arial" w:hAnsi="Arial"/>
      <w:b/>
      <w:bCs/>
    </w:rPr>
  </w:style>
  <w:style w:type="paragraph" w:styleId="Textoindependiente3">
    <w:name w:val="Body Text 3"/>
    <w:basedOn w:val="Normal"/>
    <w:link w:val="Textoindependiente3Car"/>
    <w:semiHidden/>
    <w:rsid w:val="003101DA"/>
    <w:pPr>
      <w:jc w:val="center"/>
      <w:outlineLvl w:val="0"/>
    </w:pPr>
    <w:rPr>
      <w:rFonts w:ascii="Arial" w:hAnsi="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uiPriority w:val="99"/>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qFormat/>
    <w:rsid w:val="001405C6"/>
    <w:pPr>
      <w:ind w:left="708"/>
    </w:pPr>
    <w:rPr>
      <w:sz w:val="20"/>
      <w:szCs w:val="20"/>
      <w:lang w:val="es-CO"/>
    </w:rPr>
  </w:style>
  <w:style w:type="character" w:customStyle="1" w:styleId="PrrafodelistaCar">
    <w:name w:val="Párrafo de lista Car"/>
    <w:link w:val="Prrafodelista"/>
    <w:rsid w:val="001405C6"/>
    <w:rPr>
      <w:rFonts w:ascii="Bookman Old Style" w:eastAsia="Calibri" w:hAnsi="Bookman Old Style" w:cs="Arial"/>
      <w:i/>
      <w:iCs/>
      <w:color w:val="00B0F0"/>
      <w:lang w:eastAsia="es-ES_tradnl"/>
    </w:rPr>
  </w:style>
  <w:style w:type="paragraph" w:styleId="TDC1">
    <w:name w:val="toc 1"/>
    <w:basedOn w:val="Normal"/>
    <w:next w:val="Normal"/>
    <w:autoRedefine/>
    <w:semiHidden/>
    <w:rsid w:val="00D03800"/>
    <w:pPr>
      <w:tabs>
        <w:tab w:val="left" w:pos="480"/>
        <w:tab w:val="right" w:leader="dot" w:pos="8828"/>
      </w:tabs>
      <w:spacing w:before="120"/>
    </w:pPr>
    <w:rPr>
      <w:rFonts w:ascii="Arial" w:hAnsi="Arial"/>
      <w:noProof/>
    </w:rPr>
  </w:style>
  <w:style w:type="paragraph" w:styleId="Textodebloque">
    <w:name w:val="Block Text"/>
    <w:basedOn w:val="Normal"/>
    <w:rsid w:val="00D03800"/>
    <w:pPr>
      <w:suppressAutoHyphens/>
      <w:spacing w:after="240"/>
      <w:ind w:right="788"/>
    </w:pPr>
    <w:rPr>
      <w:rFonts w:ascii="Arial" w:hAnsi="Arial"/>
      <w:spacing w:val="-3"/>
      <w:szCs w:val="20"/>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link w:val="Textoindependiente2"/>
    <w:uiPriority w:val="99"/>
    <w:semiHidden/>
    <w:rsid w:val="00006AE2"/>
    <w:rPr>
      <w:sz w:val="24"/>
      <w:szCs w:val="24"/>
    </w:rPr>
  </w:style>
  <w:style w:type="paragraph" w:customStyle="1" w:styleId="Epgrafe">
    <w:name w:val="Epígrafe"/>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iPriority w:val="99"/>
    <w:semiHidden/>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1"/>
      </w:numPr>
      <w:suppressAutoHyphens/>
      <w:overflowPunct w:val="0"/>
      <w:autoSpaceDE w:val="0"/>
      <w:textAlignment w:val="baseline"/>
    </w:pPr>
    <w:rPr>
      <w:rFonts w:ascii="Arial" w:hAnsi="Arial"/>
      <w:szCs w:val="20"/>
      <w:lang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 w:type="paragraph" w:styleId="Sangra2detindependiente">
    <w:name w:val="Body Text Indent 2"/>
    <w:basedOn w:val="Normal"/>
    <w:link w:val="Sangra2detindependienteCar"/>
    <w:uiPriority w:val="99"/>
    <w:semiHidden/>
    <w:unhideWhenUsed/>
    <w:rsid w:val="00E060BE"/>
    <w:pPr>
      <w:spacing w:after="120" w:line="480" w:lineRule="auto"/>
      <w:ind w:left="283"/>
    </w:pPr>
  </w:style>
  <w:style w:type="character" w:customStyle="1" w:styleId="Sangra2detindependienteCar">
    <w:name w:val="Sangría 2 de t. independiente Car"/>
    <w:link w:val="Sangra2detindependiente"/>
    <w:uiPriority w:val="99"/>
    <w:semiHidden/>
    <w:rsid w:val="00E060BE"/>
    <w:rPr>
      <w:sz w:val="24"/>
      <w:szCs w:val="24"/>
      <w:lang w:val="es-ES" w:eastAsia="es-ES"/>
    </w:rPr>
  </w:style>
  <w:style w:type="character" w:styleId="Hipervnculo">
    <w:name w:val="Hyperlink"/>
    <w:uiPriority w:val="99"/>
    <w:unhideWhenUsed/>
    <w:rsid w:val="0095607B"/>
    <w:rPr>
      <w:color w:val="0000FF"/>
      <w:u w:val="single"/>
    </w:rPr>
  </w:style>
  <w:style w:type="paragraph" w:styleId="NormalWeb">
    <w:name w:val="Normal (Web)"/>
    <w:basedOn w:val="Normal"/>
    <w:uiPriority w:val="99"/>
    <w:rsid w:val="003715CF"/>
    <w:pPr>
      <w:spacing w:before="100" w:beforeAutospacing="1" w:after="100" w:afterAutospacing="1"/>
      <w:ind w:left="0"/>
    </w:pPr>
    <w:rPr>
      <w:rFonts w:ascii="Arial Narrow" w:hAnsi="Arial Narrow"/>
      <w:color w:val="000000"/>
      <w:lang w:val="en-US" w:eastAsia="en-US"/>
    </w:rPr>
  </w:style>
  <w:style w:type="character" w:styleId="Textoennegrita">
    <w:name w:val="Strong"/>
    <w:uiPriority w:val="22"/>
    <w:qFormat/>
    <w:rsid w:val="0009365D"/>
    <w:rPr>
      <w:b/>
      <w:bCs/>
    </w:rPr>
  </w:style>
  <w:style w:type="paragraph" w:customStyle="1" w:styleId="Cuadrculaclara-nfasis31">
    <w:name w:val="Cuadrícula clara - Énfasis 31"/>
    <w:basedOn w:val="Normal"/>
    <w:link w:val="Cuadrculaclara-nfasis3Car"/>
    <w:qFormat/>
    <w:rsid w:val="0038215B"/>
    <w:pPr>
      <w:ind w:left="708"/>
    </w:pPr>
    <w:rPr>
      <w:lang w:val="x-none" w:eastAsia="x-none"/>
    </w:rPr>
  </w:style>
  <w:style w:type="character" w:customStyle="1" w:styleId="Cuadrculaclara-nfasis3Car">
    <w:name w:val="Cuadrícula clara - Énfasis 3 Car"/>
    <w:link w:val="Cuadrculaclara-nfasis31"/>
    <w:rsid w:val="0038215B"/>
    <w:rPr>
      <w:sz w:val="24"/>
      <w:szCs w:val="24"/>
      <w:lang w:val="x-none" w:eastAsia="x-none"/>
    </w:rPr>
  </w:style>
  <w:style w:type="paragraph" w:customStyle="1" w:styleId="Listavistosa-nfasis11">
    <w:name w:val="Lista vistosa - Énfasis 11"/>
    <w:basedOn w:val="Normal"/>
    <w:qFormat/>
    <w:rsid w:val="0038215B"/>
    <w:pPr>
      <w:widowControl w:val="0"/>
      <w:adjustRightInd w:val="0"/>
      <w:spacing w:line="360" w:lineRule="atLeast"/>
      <w:ind w:left="708"/>
      <w:textAlignment w:val="baseline"/>
    </w:pPr>
  </w:style>
  <w:style w:type="character" w:styleId="Refdecomentario">
    <w:name w:val="annotation reference"/>
    <w:basedOn w:val="Fuentedeprrafopredeter"/>
    <w:uiPriority w:val="99"/>
    <w:semiHidden/>
    <w:unhideWhenUsed/>
    <w:rsid w:val="006C50C4"/>
    <w:rPr>
      <w:sz w:val="16"/>
      <w:szCs w:val="16"/>
    </w:rPr>
  </w:style>
  <w:style w:type="paragraph" w:styleId="Textocomentario">
    <w:name w:val="annotation text"/>
    <w:basedOn w:val="Normal"/>
    <w:link w:val="TextocomentarioCar"/>
    <w:uiPriority w:val="99"/>
    <w:unhideWhenUsed/>
    <w:rsid w:val="006C50C4"/>
    <w:rPr>
      <w:sz w:val="20"/>
      <w:szCs w:val="20"/>
    </w:rPr>
  </w:style>
  <w:style w:type="character" w:customStyle="1" w:styleId="TextocomentarioCar">
    <w:name w:val="Texto comentario Car"/>
    <w:basedOn w:val="Fuentedeprrafopredeter"/>
    <w:link w:val="Textocomentario"/>
    <w:uiPriority w:val="99"/>
    <w:rsid w:val="006C50C4"/>
    <w:rPr>
      <w:lang w:val="es-ES" w:eastAsia="es-ES"/>
    </w:rPr>
  </w:style>
  <w:style w:type="paragraph" w:styleId="Asuntodelcomentario">
    <w:name w:val="annotation subject"/>
    <w:basedOn w:val="Textocomentario"/>
    <w:next w:val="Textocomentario"/>
    <w:link w:val="AsuntodelcomentarioCar"/>
    <w:uiPriority w:val="99"/>
    <w:semiHidden/>
    <w:unhideWhenUsed/>
    <w:rsid w:val="006C50C4"/>
    <w:rPr>
      <w:b/>
      <w:bCs/>
    </w:rPr>
  </w:style>
  <w:style w:type="character" w:customStyle="1" w:styleId="AsuntodelcomentarioCar">
    <w:name w:val="Asunto del comentario Car"/>
    <w:basedOn w:val="TextocomentarioCar"/>
    <w:link w:val="Asuntodelcomentario"/>
    <w:uiPriority w:val="99"/>
    <w:semiHidden/>
    <w:rsid w:val="006C50C4"/>
    <w:rPr>
      <w:b/>
      <w:bCs/>
      <w:lang w:val="es-ES" w:eastAsia="es-ES"/>
    </w:rPr>
  </w:style>
  <w:style w:type="paragraph" w:customStyle="1" w:styleId="creg">
    <w:name w:val="creg"/>
    <w:basedOn w:val="Normal"/>
    <w:rsid w:val="00933141"/>
    <w:pPr>
      <w:ind w:left="0"/>
    </w:pPr>
    <w:rPr>
      <w:rFonts w:ascii="Arial" w:hAnsi="Arial"/>
    </w:rPr>
  </w:style>
  <w:style w:type="paragraph" w:customStyle="1" w:styleId="Listaletras">
    <w:name w:val="Lista letras"/>
    <w:basedOn w:val="Sangra2detindependiente"/>
    <w:link w:val="ListaletrasCar"/>
    <w:qFormat/>
    <w:rsid w:val="00DF4BE7"/>
    <w:pPr>
      <w:numPr>
        <w:numId w:val="5"/>
      </w:numPr>
      <w:spacing w:before="120" w:after="0" w:line="240" w:lineRule="auto"/>
    </w:pPr>
  </w:style>
  <w:style w:type="character" w:customStyle="1" w:styleId="ListaletrasCar">
    <w:name w:val="Lista letras Car"/>
    <w:link w:val="Listaletras"/>
    <w:rsid w:val="00DF4BE7"/>
    <w:rPr>
      <w:rFonts w:ascii="Bookman Old Style" w:eastAsia="Calibri" w:hAnsi="Bookman Old Style" w:cs="Arial"/>
      <w:i/>
      <w:iCs/>
      <w:color w:val="00B0F0"/>
      <w:sz w:val="24"/>
      <w:szCs w:val="24"/>
      <w:lang w:val="es-ES_tradnl" w:eastAsia="es-ES_tradnl"/>
    </w:rPr>
  </w:style>
  <w:style w:type="character" w:styleId="Textodelmarcadordeposicin">
    <w:name w:val="Placeholder Text"/>
    <w:basedOn w:val="Fuentedeprrafopredeter"/>
    <w:uiPriority w:val="99"/>
    <w:semiHidden/>
    <w:rsid w:val="00DF4BE7"/>
    <w:rPr>
      <w:color w:val="808080"/>
    </w:rPr>
  </w:style>
  <w:style w:type="character" w:customStyle="1" w:styleId="CharStyle16">
    <w:name w:val="Char Style 16"/>
    <w:basedOn w:val="Fuentedeprrafopredeter"/>
    <w:link w:val="Style15"/>
    <w:uiPriority w:val="99"/>
    <w:locked/>
    <w:rsid w:val="00E05B98"/>
    <w:rPr>
      <w:rFonts w:ascii="Arial" w:hAnsi="Arial" w:cs="Arial"/>
      <w:i/>
      <w:iCs/>
      <w:sz w:val="22"/>
      <w:szCs w:val="22"/>
      <w:shd w:val="clear" w:color="auto" w:fill="FFFFFF"/>
    </w:rPr>
  </w:style>
  <w:style w:type="paragraph" w:customStyle="1" w:styleId="Style15">
    <w:name w:val="Style 15"/>
    <w:basedOn w:val="Normal"/>
    <w:link w:val="CharStyle16"/>
    <w:uiPriority w:val="99"/>
    <w:rsid w:val="00E05B98"/>
    <w:pPr>
      <w:widowControl w:val="0"/>
      <w:shd w:val="clear" w:color="auto" w:fill="FFFFFF"/>
      <w:spacing w:after="480" w:line="250" w:lineRule="exact"/>
      <w:ind w:left="0" w:hanging="700"/>
      <w:jc w:val="center"/>
    </w:pPr>
    <w:rPr>
      <w:rFonts w:ascii="Arial" w:hAnsi="Arial"/>
      <w:i w:val="0"/>
      <w:iCs w:val="0"/>
      <w:sz w:val="22"/>
      <w:szCs w:val="22"/>
      <w:lang w:val="es-CO" w:eastAsia="es-CO"/>
    </w:rPr>
  </w:style>
  <w:style w:type="paragraph" w:styleId="Textonotaalfinal">
    <w:name w:val="endnote text"/>
    <w:basedOn w:val="Normal"/>
    <w:link w:val="TextonotaalfinalCar"/>
    <w:uiPriority w:val="99"/>
    <w:semiHidden/>
    <w:unhideWhenUsed/>
    <w:rsid w:val="00207548"/>
    <w:rPr>
      <w:sz w:val="20"/>
      <w:szCs w:val="20"/>
    </w:rPr>
  </w:style>
  <w:style w:type="character" w:customStyle="1" w:styleId="TextonotaalfinalCar">
    <w:name w:val="Texto nota al final Car"/>
    <w:basedOn w:val="Fuentedeprrafopredeter"/>
    <w:link w:val="Textonotaalfinal"/>
    <w:uiPriority w:val="99"/>
    <w:semiHidden/>
    <w:rsid w:val="00207548"/>
    <w:rPr>
      <w:lang w:val="es-ES" w:eastAsia="es-ES"/>
    </w:rPr>
  </w:style>
  <w:style w:type="character" w:styleId="Refdenotaalfinal">
    <w:name w:val="endnote reference"/>
    <w:basedOn w:val="Fuentedeprrafopredeter"/>
    <w:uiPriority w:val="99"/>
    <w:semiHidden/>
    <w:unhideWhenUsed/>
    <w:rsid w:val="00207548"/>
    <w:rPr>
      <w:vertAlign w:val="superscript"/>
    </w:rPr>
  </w:style>
  <w:style w:type="paragraph" w:customStyle="1" w:styleId="Default">
    <w:name w:val="Default"/>
    <w:rsid w:val="005234B2"/>
    <w:pPr>
      <w:autoSpaceDE w:val="0"/>
      <w:autoSpaceDN w:val="0"/>
      <w:adjustRightInd w:val="0"/>
    </w:pPr>
    <w:rPr>
      <w:rFonts w:ascii="Arial" w:eastAsiaTheme="minorHAnsi" w:hAnsi="Arial" w:cs="Arial"/>
      <w:color w:val="000000"/>
      <w:sz w:val="24"/>
      <w:szCs w:val="24"/>
      <w:lang w:eastAsia="en-US"/>
    </w:rPr>
  </w:style>
  <w:style w:type="paragraph" w:styleId="Textonotapie">
    <w:name w:val="footnote text"/>
    <w:basedOn w:val="Normal"/>
    <w:link w:val="TextonotapieCar"/>
    <w:uiPriority w:val="99"/>
    <w:semiHidden/>
    <w:unhideWhenUsed/>
    <w:rsid w:val="005234B2"/>
    <w:pPr>
      <w:ind w:left="0"/>
    </w:pPr>
    <w:rPr>
      <w:rFonts w:asciiTheme="minorHAnsi" w:eastAsiaTheme="minorHAnsi" w:hAnsiTheme="minorHAnsi" w:cstheme="minorBidi"/>
      <w:sz w:val="20"/>
      <w:szCs w:val="20"/>
      <w:lang w:val="es-CO" w:eastAsia="en-US"/>
    </w:rPr>
  </w:style>
  <w:style w:type="character" w:customStyle="1" w:styleId="TextonotapieCar">
    <w:name w:val="Texto nota pie Car"/>
    <w:basedOn w:val="Fuentedeprrafopredeter"/>
    <w:link w:val="Textonotapie"/>
    <w:uiPriority w:val="99"/>
    <w:semiHidden/>
    <w:rsid w:val="005234B2"/>
    <w:rPr>
      <w:rFonts w:asciiTheme="minorHAnsi" w:eastAsiaTheme="minorHAnsi" w:hAnsiTheme="minorHAnsi" w:cstheme="minorBidi"/>
      <w:lang w:eastAsia="en-US"/>
    </w:rPr>
  </w:style>
  <w:style w:type="character" w:styleId="Refdenotaalpie">
    <w:name w:val="footnote reference"/>
    <w:basedOn w:val="Fuentedeprrafopredeter"/>
    <w:uiPriority w:val="99"/>
    <w:semiHidden/>
    <w:unhideWhenUsed/>
    <w:rsid w:val="005234B2"/>
    <w:rPr>
      <w:vertAlign w:val="superscript"/>
    </w:rPr>
  </w:style>
  <w:style w:type="paragraph" w:styleId="Revisin">
    <w:name w:val="Revision"/>
    <w:hidden/>
    <w:uiPriority w:val="99"/>
    <w:semiHidden/>
    <w:rsid w:val="002B7B46"/>
    <w:rPr>
      <w:sz w:val="24"/>
      <w:szCs w:val="24"/>
      <w:lang w:val="es-ES" w:eastAsia="es-ES"/>
    </w:rPr>
  </w:style>
  <w:style w:type="paragraph" w:customStyle="1" w:styleId="Artculo1">
    <w:name w:val="Artículo 1"/>
    <w:basedOn w:val="Ttulo1"/>
    <w:link w:val="Artculo1Car"/>
    <w:qFormat/>
    <w:rsid w:val="004B3D03"/>
    <w:pPr>
      <w:numPr>
        <w:numId w:val="13"/>
      </w:numPr>
      <w:ind w:left="4188"/>
    </w:pPr>
    <w:rPr>
      <w:b/>
      <w:bCs/>
    </w:rPr>
  </w:style>
  <w:style w:type="character" w:customStyle="1" w:styleId="Ttulo1Car">
    <w:name w:val="Título 1 Car"/>
    <w:basedOn w:val="Fuentedeprrafopredeter"/>
    <w:link w:val="Ttulo1"/>
    <w:rsid w:val="00647424"/>
    <w:rPr>
      <w:rFonts w:ascii="Bookman Old Style" w:eastAsia="Calibri" w:hAnsi="Bookman Old Style" w:cs="Arial"/>
      <w:i/>
      <w:iCs/>
      <w:color w:val="00B0F0"/>
      <w:sz w:val="24"/>
      <w:lang w:eastAsia="es-ES_tradnl"/>
    </w:rPr>
  </w:style>
  <w:style w:type="character" w:customStyle="1" w:styleId="Artculo1Car">
    <w:name w:val="Artículo 1 Car"/>
    <w:basedOn w:val="Ttulo1Car"/>
    <w:link w:val="Artculo1"/>
    <w:rsid w:val="004B3D03"/>
    <w:rPr>
      <w:rFonts w:ascii="Bookman Old Style" w:eastAsia="Calibri" w:hAnsi="Bookman Old Style" w:cs="Arial"/>
      <w:b/>
      <w:bCs/>
      <w:i/>
      <w:iCs/>
      <w:color w:val="00B0F0"/>
      <w:sz w:val="24"/>
      <w:lang w:eastAsia="es-ES_tradnl"/>
    </w:rPr>
  </w:style>
  <w:style w:type="numbering" w:customStyle="1" w:styleId="Estilo2">
    <w:name w:val="Estilo2"/>
    <w:uiPriority w:val="99"/>
    <w:rsid w:val="00E805AC"/>
    <w:pPr>
      <w:numPr>
        <w:numId w:val="54"/>
      </w:numPr>
    </w:pPr>
  </w:style>
  <w:style w:type="character" w:styleId="Mencinsinresolver">
    <w:name w:val="Unresolved Mention"/>
    <w:basedOn w:val="Fuentedeprrafopredeter"/>
    <w:uiPriority w:val="99"/>
    <w:unhideWhenUsed/>
    <w:rsid w:val="00714653"/>
    <w:rPr>
      <w:color w:val="605E5C"/>
      <w:shd w:val="clear" w:color="auto" w:fill="E1DFDD"/>
    </w:rPr>
  </w:style>
  <w:style w:type="character" w:styleId="Mencionar">
    <w:name w:val="Mention"/>
    <w:basedOn w:val="Fuentedeprrafopredeter"/>
    <w:uiPriority w:val="99"/>
    <w:unhideWhenUsed/>
    <w:rsid w:val="00714653"/>
    <w:rPr>
      <w:color w:val="2B579A"/>
      <w:shd w:val="clear" w:color="auto" w:fill="E1DFDD"/>
    </w:rPr>
  </w:style>
  <w:style w:type="character" w:customStyle="1" w:styleId="hgkelc">
    <w:name w:val="hgkelc"/>
    <w:basedOn w:val="Fuentedeprrafopredeter"/>
    <w:rsid w:val="002E4B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5782885">
      <w:bodyDiv w:val="1"/>
      <w:marLeft w:val="0"/>
      <w:marRight w:val="0"/>
      <w:marTop w:val="0"/>
      <w:marBottom w:val="0"/>
      <w:divBdr>
        <w:top w:val="none" w:sz="0" w:space="0" w:color="auto"/>
        <w:left w:val="none" w:sz="0" w:space="0" w:color="auto"/>
        <w:bottom w:val="none" w:sz="0" w:space="0" w:color="auto"/>
        <w:right w:val="none" w:sz="0" w:space="0" w:color="auto"/>
      </w:divBdr>
    </w:div>
    <w:div w:id="235818734">
      <w:bodyDiv w:val="1"/>
      <w:marLeft w:val="0"/>
      <w:marRight w:val="0"/>
      <w:marTop w:val="0"/>
      <w:marBottom w:val="0"/>
      <w:divBdr>
        <w:top w:val="none" w:sz="0" w:space="0" w:color="auto"/>
        <w:left w:val="none" w:sz="0" w:space="0" w:color="auto"/>
        <w:bottom w:val="none" w:sz="0" w:space="0" w:color="auto"/>
        <w:right w:val="none" w:sz="0" w:space="0" w:color="auto"/>
      </w:divBdr>
    </w:div>
    <w:div w:id="1575049532">
      <w:bodyDiv w:val="1"/>
      <w:marLeft w:val="0"/>
      <w:marRight w:val="0"/>
      <w:marTop w:val="0"/>
      <w:marBottom w:val="0"/>
      <w:divBdr>
        <w:top w:val="none" w:sz="0" w:space="0" w:color="auto"/>
        <w:left w:val="none" w:sz="0" w:space="0" w:color="auto"/>
        <w:bottom w:val="none" w:sz="0" w:space="0" w:color="auto"/>
        <w:right w:val="none" w:sz="0" w:space="0" w:color="auto"/>
      </w:divBdr>
    </w:div>
    <w:div w:id="1578638028">
      <w:bodyDiv w:val="1"/>
      <w:marLeft w:val="0"/>
      <w:marRight w:val="0"/>
      <w:marTop w:val="0"/>
      <w:marBottom w:val="0"/>
      <w:divBdr>
        <w:top w:val="none" w:sz="0" w:space="0" w:color="auto"/>
        <w:left w:val="none" w:sz="0" w:space="0" w:color="auto"/>
        <w:bottom w:val="none" w:sz="0" w:space="0" w:color="auto"/>
        <w:right w:val="none" w:sz="0" w:space="0" w:color="auto"/>
      </w:divBdr>
      <w:divsChild>
        <w:div w:id="937257196">
          <w:marLeft w:val="0"/>
          <w:marRight w:val="0"/>
          <w:marTop w:val="0"/>
          <w:marBottom w:val="0"/>
          <w:divBdr>
            <w:top w:val="none" w:sz="0" w:space="0" w:color="auto"/>
            <w:left w:val="none" w:sz="0" w:space="0" w:color="auto"/>
            <w:bottom w:val="none" w:sz="0" w:space="0" w:color="auto"/>
            <w:right w:val="none" w:sz="0" w:space="0" w:color="auto"/>
          </w:divBdr>
          <w:divsChild>
            <w:div w:id="325863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5130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oleObject" Target="embeddings/oleObject1.bin"/><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o" ma:contentTypeID="0x01010017C1F0807275264781BDBCFB74C9FA04" ma:contentTypeVersion="6" ma:contentTypeDescription="Crear nuevo documento." ma:contentTypeScope="" ma:versionID="ae8645caf2c7f43ba67799686ed500df">
  <xsd:schema xmlns:xsd="http://www.w3.org/2001/XMLSchema" xmlns:xs="http://www.w3.org/2001/XMLSchema" xmlns:p="http://schemas.microsoft.com/office/2006/metadata/properties" xmlns:ns2="0e3dd3de-8bcf-41dd-bb08-2e0948f127b3" xmlns:ns3="4286661c-9bfe-44da-a7a2-f689ce34add7" targetNamespace="http://schemas.microsoft.com/office/2006/metadata/properties" ma:root="true" ma:fieldsID="58f61015c6af812b6ca5a64a1fa53118" ns2:_="" ns3:_="">
    <xsd:import namespace="0e3dd3de-8bcf-41dd-bb08-2e0948f127b3"/>
    <xsd:import namespace="4286661c-9bfe-44da-a7a2-f689ce34add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e3dd3de-8bcf-41dd-bb08-2e0948f127b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286661c-9bfe-44da-a7a2-f689ce34add7" elementFormDefault="qualified">
    <xsd:import namespace="http://schemas.microsoft.com/office/2006/documentManagement/types"/>
    <xsd:import namespace="http://schemas.microsoft.com/office/infopath/2007/PartnerControls"/>
    <xsd:element name="SharedWithUsers" ma:index="12"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SharedWithUsers xmlns="4286661c-9bfe-44da-a7a2-f689ce34add7">
      <UserInfo>
        <DisplayName>German Castro Ferreira</DisplayName>
        <AccountId>11</AccountId>
        <AccountType/>
      </UserInfo>
      <UserInfo>
        <DisplayName>Graciela Rincon Bonilla</DisplayName>
        <AccountId>13</AccountId>
        <AccountType/>
      </UserInfo>
    </SharedWithUsers>
  </documentManagement>
</p:properties>
</file>

<file path=customXml/itemProps1.xml><?xml version="1.0" encoding="utf-8"?>
<ds:datastoreItem xmlns:ds="http://schemas.openxmlformats.org/officeDocument/2006/customXml" ds:itemID="{922E65E9-6CE7-4F8E-A058-1E9C145F555C}">
  <ds:schemaRefs>
    <ds:schemaRef ds:uri="http://schemas.openxmlformats.org/officeDocument/2006/bibliography"/>
  </ds:schemaRefs>
</ds:datastoreItem>
</file>

<file path=customXml/itemProps2.xml><?xml version="1.0" encoding="utf-8"?>
<ds:datastoreItem xmlns:ds="http://schemas.openxmlformats.org/officeDocument/2006/customXml" ds:itemID="{63C9456B-5EB6-4506-AC4F-9F0F910BF00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e3dd3de-8bcf-41dd-bb08-2e0948f127b3"/>
    <ds:schemaRef ds:uri="4286661c-9bfe-44da-a7a2-f689ce34ad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F99E72B-5F3E-49DB-91CD-940DF4ED135E}">
  <ds:schemaRefs>
    <ds:schemaRef ds:uri="http://schemas.microsoft.com/sharepoint/v3/contenttype/forms"/>
  </ds:schemaRefs>
</ds:datastoreItem>
</file>

<file path=customXml/itemProps4.xml><?xml version="1.0" encoding="utf-8"?>
<ds:datastoreItem xmlns:ds="http://schemas.openxmlformats.org/officeDocument/2006/customXml" ds:itemID="{A0E91689-C0B5-4494-83CC-D92613332C6B}">
  <ds:schemaRefs>
    <ds:schemaRef ds:uri="http://schemas.microsoft.com/office/2006/metadata/properties"/>
    <ds:schemaRef ds:uri="http://schemas.microsoft.com/office/infopath/2007/PartnerControls"/>
    <ds:schemaRef ds:uri="4286661c-9bfe-44da-a7a2-f689ce34add7"/>
  </ds:schemaRefs>
</ds:datastoreItem>
</file>

<file path=docProps/app.xml><?xml version="1.0" encoding="utf-8"?>
<Properties xmlns="http://schemas.openxmlformats.org/officeDocument/2006/extended-properties" xmlns:vt="http://schemas.openxmlformats.org/officeDocument/2006/docPropsVTypes">
  <Template>PLANTILLA1</Template>
  <TotalTime>11</TotalTime>
  <Pages>35</Pages>
  <Words>13253</Words>
  <Characters>71529</Characters>
  <Application>Microsoft Office Word</Application>
  <DocSecurity>0</DocSecurity>
  <Lines>596</Lines>
  <Paragraphs>169</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84613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LSROJAS</dc:creator>
  <cp:keywords/>
  <cp:lastModifiedBy>Luz Stella Rojas Macias</cp:lastModifiedBy>
  <cp:revision>5</cp:revision>
  <cp:lastPrinted>2022-05-06T13:53:00Z</cp:lastPrinted>
  <dcterms:created xsi:type="dcterms:W3CDTF">2022-05-18T15:08:00Z</dcterms:created>
  <dcterms:modified xsi:type="dcterms:W3CDTF">2022-05-19T14:58:00Z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0x01010017C1F0807275264781BDBCFB74C9FA04</vt:lpwstr>
  </property>
</Properties>
</file>