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EB29EB" w:rsidRDefault="00F84CA0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7728" fillcolor="#0c9">
            <v:imagedata r:id="rId8" o:title=""/>
          </v:shape>
          <o:OLEObject Type="Embed" ProgID="PBrush" ShapeID="_x0000_s1026" DrawAspect="Content" ObjectID="_1486559438" r:id="rId9"/>
        </w:pict>
      </w:r>
    </w:p>
    <w:p w:rsidR="00625DC6" w:rsidRPr="00EB29EB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EB29EB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B29EB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EB29EB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EB29EB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B29EB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CA77FB" w:rsidRPr="00EB29EB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B29EB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B29EB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B29EB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B29EB">
        <w:rPr>
          <w:rFonts w:ascii="Bookman Old Style" w:hAnsi="Bookman Old Style"/>
          <w:sz w:val="24"/>
          <w:szCs w:val="24"/>
        </w:rPr>
        <w:t xml:space="preserve">                  </w:t>
      </w:r>
      <w:r w:rsidRPr="00EB29EB">
        <w:rPr>
          <w:rFonts w:ascii="Bookman Old Style" w:hAnsi="Bookman Old Style"/>
          <w:sz w:val="24"/>
          <w:szCs w:val="24"/>
        </w:rPr>
        <w:t>DE 20</w:t>
      </w:r>
      <w:r w:rsidR="00795BFB" w:rsidRPr="00EB29EB">
        <w:rPr>
          <w:rFonts w:ascii="Bookman Old Style" w:hAnsi="Bookman Old Style"/>
          <w:sz w:val="24"/>
          <w:szCs w:val="24"/>
        </w:rPr>
        <w:t>1</w:t>
      </w:r>
      <w:r w:rsidR="00272F8D">
        <w:rPr>
          <w:rFonts w:ascii="Bookman Old Style" w:hAnsi="Bookman Old Style"/>
          <w:sz w:val="24"/>
          <w:szCs w:val="24"/>
        </w:rPr>
        <w:t>5</w:t>
      </w:r>
    </w:p>
    <w:p w:rsidR="00CA77FB" w:rsidRPr="00EB29E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EB29EB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B29EB">
        <w:rPr>
          <w:rFonts w:ascii="Bookman Old Style" w:hAnsi="Bookman Old Style"/>
          <w:b w:val="0"/>
          <w:szCs w:val="24"/>
        </w:rPr>
        <w:t>(                                  )</w:t>
      </w:r>
    </w:p>
    <w:p w:rsidR="00CA77FB" w:rsidRPr="00EB29E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B351B4" w:rsidRPr="00EB29EB" w:rsidRDefault="00142A68" w:rsidP="00886292">
      <w:pPr>
        <w:tabs>
          <w:tab w:val="left" w:pos="2835"/>
        </w:tabs>
        <w:ind w:left="0"/>
        <w:rPr>
          <w:rFonts w:ascii="Bookman Old Style" w:hAnsi="Bookman Old Style"/>
          <w:bCs/>
          <w:lang w:val="es-CO"/>
        </w:rPr>
      </w:pPr>
      <w:r>
        <w:rPr>
          <w:rFonts w:ascii="Bookman Old Style" w:hAnsi="Bookman Old Style"/>
          <w:bCs/>
          <w:lang w:val="es-CO"/>
        </w:rPr>
        <w:tab/>
      </w:r>
    </w:p>
    <w:p w:rsidR="00045D3D" w:rsidRDefault="00315BA7" w:rsidP="00045D3D">
      <w:pPr>
        <w:ind w:left="0"/>
        <w:jc w:val="center"/>
        <w:rPr>
          <w:rFonts w:ascii="Bookman Old Style" w:hAnsi="Bookman Old Style"/>
        </w:rPr>
      </w:pPr>
      <w:r w:rsidRPr="00315BA7">
        <w:rPr>
          <w:rFonts w:ascii="Bookman Old Style" w:hAnsi="Bookman Old Style"/>
        </w:rPr>
        <w:t xml:space="preserve">Por la cual se ordena hacer público un proyecto de resolución </w:t>
      </w:r>
      <w:r>
        <w:rPr>
          <w:rFonts w:ascii="Bookman Old Style" w:hAnsi="Bookman Old Style"/>
        </w:rPr>
        <w:t>“</w:t>
      </w:r>
      <w:r w:rsidR="00045D3D" w:rsidRPr="00EB29EB">
        <w:rPr>
          <w:rFonts w:ascii="Bookman Old Style" w:hAnsi="Bookman Old Style"/>
        </w:rPr>
        <w:t xml:space="preserve">Por </w:t>
      </w:r>
      <w:r w:rsidR="00272F8D" w:rsidRPr="00272F8D">
        <w:rPr>
          <w:rFonts w:ascii="Bookman Old Style" w:hAnsi="Bookman Old Style"/>
        </w:rPr>
        <w:t xml:space="preserve">la cual </w:t>
      </w:r>
      <w:r w:rsidR="00DB1524">
        <w:rPr>
          <w:rFonts w:ascii="Bookman Old Style" w:hAnsi="Bookman Old Style"/>
        </w:rPr>
        <w:t xml:space="preserve">se </w:t>
      </w:r>
      <w:r w:rsidR="00272F8D">
        <w:rPr>
          <w:rFonts w:ascii="Bookman Old Style" w:hAnsi="Bookman Old Style"/>
        </w:rPr>
        <w:t>modifica</w:t>
      </w:r>
      <w:r w:rsidR="00EF4206">
        <w:rPr>
          <w:rFonts w:ascii="Bookman Old Style" w:hAnsi="Bookman Old Style"/>
        </w:rPr>
        <w:t xml:space="preserve"> a</w:t>
      </w:r>
      <w:r w:rsidRPr="00315BA7">
        <w:rPr>
          <w:rFonts w:ascii="Bookman Old Style" w:hAnsi="Bookman Old Style"/>
        </w:rPr>
        <w:t>l reglamento de comercialización mayorista de gas licuado de petróleo, establecido en la Resolución CREG 053 de 2011</w:t>
      </w:r>
      <w:r w:rsidR="00F0367E">
        <w:rPr>
          <w:rFonts w:ascii="Bookman Old Style" w:hAnsi="Bookman Old Style"/>
        </w:rPr>
        <w:t xml:space="preserve"> y se adoptan otras disposiciones</w:t>
      </w:r>
      <w:r>
        <w:rPr>
          <w:rFonts w:ascii="Bookman Old Style" w:hAnsi="Bookman Old Style"/>
        </w:rPr>
        <w:t>”</w:t>
      </w:r>
    </w:p>
    <w:p w:rsidR="00315BA7" w:rsidRDefault="00315BA7" w:rsidP="00045D3D">
      <w:pPr>
        <w:ind w:left="0"/>
        <w:jc w:val="center"/>
        <w:rPr>
          <w:rFonts w:ascii="Bookman Old Style" w:hAnsi="Bookman Old Style"/>
        </w:rPr>
      </w:pPr>
    </w:p>
    <w:p w:rsidR="00315BA7" w:rsidRPr="00EB29EB" w:rsidRDefault="00315BA7" w:rsidP="00045D3D">
      <w:pPr>
        <w:ind w:left="0"/>
        <w:jc w:val="center"/>
        <w:rPr>
          <w:rFonts w:ascii="Bookman Old Style" w:hAnsi="Bookman Old Style"/>
        </w:rPr>
      </w:pPr>
    </w:p>
    <w:p w:rsidR="00045D3D" w:rsidRPr="00EB29EB" w:rsidRDefault="00045D3D" w:rsidP="00DB1524">
      <w:pPr>
        <w:ind w:left="0" w:right="51"/>
        <w:rPr>
          <w:rFonts w:ascii="Bookman Old Style" w:hAnsi="Bookman Old Style"/>
        </w:rPr>
      </w:pPr>
    </w:p>
    <w:p w:rsidR="00045D3D" w:rsidRPr="00EB29EB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EB29EB">
        <w:rPr>
          <w:rFonts w:ascii="Bookman Old Style" w:hAnsi="Bookman Old Style"/>
          <w:b/>
        </w:rPr>
        <w:t>LA COMISIÓN DE REGULACIÓN DE  ENERGÍA Y GAS</w:t>
      </w:r>
    </w:p>
    <w:p w:rsidR="00045D3D" w:rsidRPr="00EB29EB" w:rsidRDefault="00045D3D" w:rsidP="00045D3D">
      <w:pPr>
        <w:ind w:left="0" w:right="51"/>
        <w:rPr>
          <w:rFonts w:ascii="Bookman Old Style" w:hAnsi="Bookman Old Style"/>
        </w:rPr>
      </w:pPr>
    </w:p>
    <w:p w:rsidR="00045D3D" w:rsidRPr="00EB29EB" w:rsidRDefault="00045D3D" w:rsidP="00045D3D">
      <w:pPr>
        <w:ind w:left="0" w:right="51"/>
        <w:rPr>
          <w:rFonts w:ascii="Bookman Old Style" w:hAnsi="Bookman Old Style"/>
        </w:rPr>
      </w:pPr>
    </w:p>
    <w:p w:rsidR="00315BA7" w:rsidRDefault="00315BA7" w:rsidP="00315BA7">
      <w:pPr>
        <w:ind w:left="0" w:right="51"/>
        <w:jc w:val="center"/>
        <w:rPr>
          <w:rFonts w:ascii="Bookman Old Style" w:hAnsi="Bookman Old Style" w:cs="Arial"/>
          <w:bCs/>
          <w:spacing w:val="-3"/>
        </w:rPr>
      </w:pPr>
      <w:r w:rsidRPr="00315BA7">
        <w:rPr>
          <w:rFonts w:ascii="Bookman Old Style" w:hAnsi="Bookman Old Style" w:cs="Arial"/>
          <w:bCs/>
          <w:spacing w:val="-3"/>
        </w:rPr>
        <w:t>En ejercicio de sus atribuciones legales, en especial las conferidas por las leyes 142 y 143 de 1994, y en desarrollo de los Decretos 15</w:t>
      </w:r>
      <w:r>
        <w:rPr>
          <w:rFonts w:ascii="Bookman Old Style" w:hAnsi="Bookman Old Style" w:cs="Arial"/>
          <w:bCs/>
          <w:spacing w:val="-3"/>
        </w:rPr>
        <w:t>24, 2253 de 1994 y 1260 de 2013</w:t>
      </w:r>
    </w:p>
    <w:p w:rsidR="00315BA7" w:rsidRPr="00315BA7" w:rsidRDefault="00315BA7" w:rsidP="00315BA7">
      <w:pPr>
        <w:ind w:left="0" w:right="51"/>
        <w:jc w:val="center"/>
        <w:rPr>
          <w:rFonts w:ascii="Bookman Old Style" w:hAnsi="Bookman Old Style" w:cs="Arial"/>
          <w:bCs/>
          <w:spacing w:val="-3"/>
        </w:rPr>
      </w:pPr>
    </w:p>
    <w:p w:rsidR="00045D3D" w:rsidRPr="00EB29EB" w:rsidRDefault="00045D3D" w:rsidP="00DB1524">
      <w:pPr>
        <w:ind w:left="0" w:right="51"/>
        <w:rPr>
          <w:rFonts w:ascii="Bookman Old Style" w:hAnsi="Bookman Old Style"/>
        </w:rPr>
      </w:pPr>
    </w:p>
    <w:p w:rsidR="00045D3D" w:rsidRDefault="00045D3D" w:rsidP="00DB1524">
      <w:pPr>
        <w:ind w:left="0" w:right="51"/>
        <w:jc w:val="center"/>
        <w:rPr>
          <w:rFonts w:ascii="Bookman Old Style" w:hAnsi="Bookman Old Style"/>
          <w:b/>
        </w:rPr>
      </w:pPr>
      <w:r w:rsidRPr="00EB29EB">
        <w:rPr>
          <w:rFonts w:ascii="Bookman Old Style" w:hAnsi="Bookman Old Style"/>
          <w:b/>
        </w:rPr>
        <w:t>C O N S I D E R A N D O  Q U E:</w:t>
      </w:r>
    </w:p>
    <w:p w:rsidR="00315BA7" w:rsidRDefault="00315BA7" w:rsidP="00DB1524">
      <w:pPr>
        <w:ind w:left="0" w:right="51"/>
        <w:jc w:val="center"/>
        <w:rPr>
          <w:rFonts w:ascii="Bookman Old Style" w:hAnsi="Bookman Old Style"/>
          <w:b/>
        </w:rPr>
      </w:pPr>
    </w:p>
    <w:p w:rsidR="00315BA7" w:rsidRDefault="00315BA7" w:rsidP="00315BA7">
      <w:pPr>
        <w:ind w:left="0" w:right="51"/>
        <w:rPr>
          <w:rFonts w:ascii="Bookman Old Style" w:hAnsi="Bookman Old Style"/>
          <w:b/>
        </w:rPr>
      </w:pPr>
    </w:p>
    <w:p w:rsidR="00315BA7" w:rsidRDefault="00315BA7" w:rsidP="00315BA7">
      <w:pPr>
        <w:widowControl w:val="0"/>
        <w:tabs>
          <w:tab w:val="left" w:pos="0"/>
        </w:tabs>
        <w:ind w:left="0"/>
        <w:jc w:val="both"/>
        <w:rPr>
          <w:rFonts w:ascii="Bookman Old Style" w:hAnsi="Bookman Old Style" w:cs="Arial"/>
        </w:rPr>
      </w:pPr>
      <w:r w:rsidRPr="00315BA7">
        <w:rPr>
          <w:rFonts w:ascii="Bookman Old Style" w:hAnsi="Bookman Old Style" w:cs="Arial"/>
        </w:rPr>
        <w:t>Conforme a lo dispuesto por el artículo 8 del Código de Procedimiento Administrativo y de lo Contencioso Administrativo y el artículo 9 del Decreto 2696 de 2004, la Comisión debe hacer público en su página web todos los proyectos de resolución de carácter general que pretenda adoptar.</w:t>
      </w:r>
    </w:p>
    <w:p w:rsidR="00315BA7" w:rsidRPr="00315BA7" w:rsidRDefault="00315BA7" w:rsidP="00315BA7">
      <w:pPr>
        <w:widowControl w:val="0"/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:rsidR="00315BA7" w:rsidRPr="00315BA7" w:rsidRDefault="00315BA7" w:rsidP="00315BA7">
      <w:pPr>
        <w:widowControl w:val="0"/>
        <w:spacing w:before="120"/>
        <w:ind w:left="0"/>
        <w:jc w:val="both"/>
        <w:rPr>
          <w:rFonts w:ascii="Bookman Old Style" w:hAnsi="Bookman Old Style"/>
          <w:i/>
        </w:rPr>
      </w:pPr>
      <w:r w:rsidRPr="00315BA7">
        <w:rPr>
          <w:rFonts w:ascii="Bookman Old Style" w:hAnsi="Bookman Old Style"/>
        </w:rPr>
        <w:t>La Comisión de Regulación de Energía y Gas, en su sesión No.</w:t>
      </w:r>
      <w:r w:rsidR="00123BA1">
        <w:rPr>
          <w:rFonts w:ascii="Bookman Old Style" w:hAnsi="Bookman Old Style"/>
        </w:rPr>
        <w:t xml:space="preserve"> 642</w:t>
      </w:r>
      <w:r w:rsidR="00123BA1" w:rsidRPr="00315BA7">
        <w:rPr>
          <w:rFonts w:ascii="Bookman Old Style" w:hAnsi="Bookman Old Style"/>
        </w:rPr>
        <w:t xml:space="preserve"> </w:t>
      </w:r>
      <w:r w:rsidRPr="00315BA7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febrero</w:t>
      </w:r>
      <w:r w:rsidRPr="00315BA7">
        <w:rPr>
          <w:rFonts w:ascii="Bookman Old Style" w:hAnsi="Bookman Old Style"/>
        </w:rPr>
        <w:t xml:space="preserve"> </w:t>
      </w:r>
      <w:r w:rsidR="00123BA1">
        <w:rPr>
          <w:rFonts w:ascii="Bookman Old Style" w:hAnsi="Bookman Old Style"/>
        </w:rPr>
        <w:t>27</w:t>
      </w:r>
      <w:r w:rsidR="00123BA1" w:rsidRPr="00315B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2015</w:t>
      </w:r>
      <w:r w:rsidRPr="00315BA7">
        <w:rPr>
          <w:rFonts w:ascii="Bookman Old Style" w:hAnsi="Bookman Old Style"/>
        </w:rPr>
        <w:t xml:space="preserve"> aprobó hacer público el proyecto de resolución </w:t>
      </w:r>
      <w:r w:rsidRPr="00315BA7">
        <w:rPr>
          <w:rFonts w:ascii="Bookman Old Style" w:hAnsi="Bookman Old Style"/>
          <w:i/>
        </w:rPr>
        <w:t>“Por la cual se modifica el reglamento de comercialización mayorista de gas licuado de petróleo, establecido en la Resolución CREG 053 de 2011</w:t>
      </w:r>
      <w:r w:rsidR="00F0367E">
        <w:rPr>
          <w:rFonts w:ascii="Bookman Old Style" w:hAnsi="Bookman Old Style"/>
          <w:i/>
        </w:rPr>
        <w:t xml:space="preserve"> y se adoptan otras disposiciones</w:t>
      </w:r>
      <w:r w:rsidRPr="00315BA7">
        <w:rPr>
          <w:rFonts w:ascii="Bookman Old Style" w:hAnsi="Bookman Old Style"/>
          <w:i/>
        </w:rPr>
        <w:t>”.</w:t>
      </w:r>
    </w:p>
    <w:p w:rsidR="00315BA7" w:rsidRPr="00315BA7" w:rsidRDefault="00315BA7" w:rsidP="00315BA7">
      <w:pPr>
        <w:widowControl w:val="0"/>
        <w:tabs>
          <w:tab w:val="left" w:pos="0"/>
        </w:tabs>
        <w:ind w:left="0"/>
        <w:jc w:val="both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jc w:val="both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jc w:val="both"/>
        <w:rPr>
          <w:rFonts w:ascii="Bookman Old Style" w:hAnsi="Bookman Old Style"/>
          <w:lang w:val="es-CO"/>
        </w:rPr>
      </w:pPr>
    </w:p>
    <w:p w:rsidR="00315BA7" w:rsidRPr="00315BA7" w:rsidRDefault="00315BA7" w:rsidP="00315BA7">
      <w:pPr>
        <w:widowControl w:val="0"/>
        <w:suppressAutoHyphens/>
        <w:ind w:left="0"/>
        <w:jc w:val="center"/>
        <w:rPr>
          <w:rFonts w:ascii="Bookman Old Style" w:hAnsi="Bookman Old Style"/>
          <w:spacing w:val="-3"/>
        </w:rPr>
      </w:pPr>
      <w:r w:rsidRPr="00315BA7">
        <w:rPr>
          <w:rFonts w:ascii="Bookman Old Style" w:hAnsi="Bookman Old Style"/>
          <w:b/>
          <w:spacing w:val="-3"/>
        </w:rPr>
        <w:t>R E S U E L V E:</w:t>
      </w:r>
    </w:p>
    <w:p w:rsidR="00315BA7" w:rsidRPr="00315BA7" w:rsidRDefault="00315BA7" w:rsidP="00315BA7">
      <w:pPr>
        <w:widowControl w:val="0"/>
        <w:ind w:left="0"/>
        <w:jc w:val="center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jc w:val="center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spacing w:before="120"/>
        <w:ind w:left="0"/>
        <w:jc w:val="both"/>
        <w:rPr>
          <w:rFonts w:ascii="Bookman Old Style" w:hAnsi="Bookman Old Style" w:cs="Arial"/>
          <w:i/>
        </w:rPr>
      </w:pPr>
      <w:r w:rsidRPr="00315BA7">
        <w:rPr>
          <w:rFonts w:ascii="Bookman Old Style" w:hAnsi="Bookman Old Style" w:cs="Arial"/>
          <w:b/>
          <w:bCs/>
        </w:rPr>
        <w:t>ARTÍCULO 1</w:t>
      </w:r>
      <w:r w:rsidRPr="00315BA7">
        <w:rPr>
          <w:rFonts w:ascii="Bookman Old Style" w:hAnsi="Bookman Old Style" w:cs="Arial"/>
        </w:rPr>
        <w:t>. Hágase público el siguiente proyecto de resolución</w:t>
      </w:r>
      <w:r w:rsidRPr="00315BA7">
        <w:rPr>
          <w:rFonts w:ascii="Bookman Old Style" w:hAnsi="Bookman Old Style"/>
          <w:i/>
        </w:rPr>
        <w:t xml:space="preserve"> “Por la cual se modifica el reglamento de comercialización mayorista de gas licuado de petróleo, establecido en la Resolución CREG 053 de 2011</w:t>
      </w:r>
      <w:r w:rsidR="00F0367E">
        <w:rPr>
          <w:rFonts w:ascii="Bookman Old Style" w:hAnsi="Bookman Old Style"/>
          <w:i/>
        </w:rPr>
        <w:t xml:space="preserve"> y se adoptan otras disposiciones</w:t>
      </w:r>
      <w:r w:rsidRPr="00315BA7">
        <w:rPr>
          <w:rFonts w:ascii="Bookman Old Style" w:hAnsi="Bookman Old Style"/>
          <w:i/>
        </w:rPr>
        <w:t>”.</w:t>
      </w:r>
    </w:p>
    <w:p w:rsidR="00315BA7" w:rsidRPr="00315BA7" w:rsidRDefault="00315BA7" w:rsidP="00315BA7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</w:p>
    <w:p w:rsidR="00F0367E" w:rsidRDefault="00F0367E" w:rsidP="00315BA7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b/>
          <w:bCs/>
        </w:rPr>
      </w:pPr>
    </w:p>
    <w:p w:rsidR="0028661F" w:rsidRDefault="00315BA7" w:rsidP="00315BA7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lang w:val="es-CO" w:eastAsia="es-CO"/>
        </w:rPr>
      </w:pPr>
      <w:r w:rsidRPr="00315BA7">
        <w:rPr>
          <w:rFonts w:ascii="Bookman Old Style" w:hAnsi="Bookman Old Style" w:cs="Arial"/>
          <w:b/>
          <w:bCs/>
        </w:rPr>
        <w:t>ARTÍCULO 2.</w:t>
      </w:r>
      <w:r w:rsidRPr="00315BA7">
        <w:rPr>
          <w:rFonts w:ascii="Bookman Old Style" w:hAnsi="Bookman Old Style" w:cs="Arial"/>
        </w:rPr>
        <w:t xml:space="preserve"> </w:t>
      </w:r>
      <w:r w:rsidRPr="00315BA7">
        <w:rPr>
          <w:rFonts w:ascii="Bookman Old Style" w:hAnsi="Bookman Old Style" w:cs="Arial"/>
          <w:lang w:val="es-CO" w:eastAsia="es-CO"/>
        </w:rPr>
        <w:t xml:space="preserve">Se invita a los agentes, a los usuarios, a las autoridades competentes, a la Superintendencia de Servicios Públicos Domiciliarios y a la Superintendencia de Industria y Comercio, para que </w:t>
      </w:r>
      <w:r w:rsidR="0028661F">
        <w:rPr>
          <w:rFonts w:ascii="Bookman Old Style" w:hAnsi="Bookman Old Style" w:cs="Arial"/>
          <w:lang w:val="es-CO" w:eastAsia="es-CO"/>
        </w:rPr>
        <w:t xml:space="preserve">una vez publicada </w:t>
      </w:r>
      <w:r w:rsidR="0028661F" w:rsidRPr="0028661F">
        <w:rPr>
          <w:rFonts w:ascii="Bookman Old Style" w:hAnsi="Bookman Old Style" w:cs="Arial"/>
          <w:lang w:val="es-CO" w:eastAsia="es-CO"/>
        </w:rPr>
        <w:t xml:space="preserve">la presente propuesta regulatoria en la página web de la Comisión </w:t>
      </w:r>
      <w:r w:rsidRPr="00315BA7">
        <w:rPr>
          <w:rFonts w:ascii="Bookman Old Style" w:hAnsi="Bookman Old Style" w:cs="Arial"/>
          <w:lang w:val="es-CO" w:eastAsia="es-CO"/>
        </w:rPr>
        <w:t xml:space="preserve">remitan sus observaciones o sugerencias </w:t>
      </w:r>
      <w:r w:rsidR="0028661F" w:rsidRPr="0028661F">
        <w:rPr>
          <w:rFonts w:ascii="Bookman Old Style" w:hAnsi="Bookman Old Style" w:cs="Arial"/>
          <w:lang w:val="es-CO" w:eastAsia="es-CO"/>
        </w:rPr>
        <w:t>para que remitan sus observaciones o sugerencias sobre la propue</w:t>
      </w:r>
      <w:r w:rsidR="0028661F">
        <w:rPr>
          <w:rFonts w:ascii="Bookman Old Style" w:hAnsi="Bookman Old Style" w:cs="Arial"/>
          <w:lang w:val="es-CO" w:eastAsia="es-CO"/>
        </w:rPr>
        <w:t>sta a más tardar a las 07:00 a.m. del 2 de marzo</w:t>
      </w:r>
      <w:r w:rsidR="0028661F" w:rsidRPr="0028661F">
        <w:rPr>
          <w:rFonts w:ascii="Bookman Old Style" w:hAnsi="Bookman Old Style" w:cs="Arial"/>
          <w:lang w:val="es-CO" w:eastAsia="es-CO"/>
        </w:rPr>
        <w:t xml:space="preserve"> de 2015.</w:t>
      </w:r>
    </w:p>
    <w:p w:rsidR="00315BA7" w:rsidRPr="00315BA7" w:rsidRDefault="00315BA7" w:rsidP="00315BA7">
      <w:pPr>
        <w:widowControl w:val="0"/>
        <w:tabs>
          <w:tab w:val="left" w:pos="0"/>
        </w:tabs>
        <w:ind w:left="0" w:right="45"/>
        <w:jc w:val="both"/>
        <w:rPr>
          <w:rFonts w:ascii="Bookman Old Style" w:hAnsi="Bookman Old Style" w:cs="Arial"/>
          <w:lang w:val="es-CO"/>
        </w:rPr>
      </w:pPr>
    </w:p>
    <w:p w:rsidR="00315BA7" w:rsidRPr="00315BA7" w:rsidRDefault="00315BA7" w:rsidP="00315BA7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  <w:r w:rsidRPr="00315BA7">
        <w:rPr>
          <w:rFonts w:ascii="Bookman Old Style" w:hAnsi="Bookman Old Style" w:cs="Arial"/>
          <w:b/>
          <w:bCs/>
        </w:rPr>
        <w:t>ARTÍCULO 3</w:t>
      </w:r>
      <w:r w:rsidRPr="00315BA7">
        <w:rPr>
          <w:rFonts w:ascii="Bookman Old Style" w:hAnsi="Bookman Old Style" w:cs="Arial"/>
        </w:rPr>
        <w:t>. Infórmese en la página web la identificación de la dependencia administrativa y de las personas a quienes se podrá solicitar información sobre el proyecto y hacer llegar las observaciones, reparos o sugerencias, y los demás aspectos previstos en el artículo 10 del Decreto 2696 de 2004.</w:t>
      </w:r>
    </w:p>
    <w:p w:rsidR="00315BA7" w:rsidRPr="00315BA7" w:rsidRDefault="00315BA7" w:rsidP="00315BA7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</w:p>
    <w:p w:rsidR="00315BA7" w:rsidRPr="00315BA7" w:rsidRDefault="00315BA7" w:rsidP="00315BA7">
      <w:pPr>
        <w:widowControl w:val="0"/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  <w:r w:rsidRPr="00315BA7">
        <w:rPr>
          <w:rFonts w:ascii="Bookman Old Style" w:hAnsi="Bookman Old Style" w:cs="Arial"/>
          <w:b/>
          <w:bCs/>
        </w:rPr>
        <w:t>ARTÍCULO 4</w:t>
      </w:r>
      <w:r w:rsidRPr="00315BA7">
        <w:rPr>
          <w:rFonts w:ascii="Bookman Old Style" w:hAnsi="Bookman Old Style" w:cs="Arial"/>
        </w:rPr>
        <w:t>. La presente Resolución no deroga disposiciones vigentes por tratarse de un acto de trámite.</w:t>
      </w:r>
    </w:p>
    <w:p w:rsidR="00315BA7" w:rsidRPr="00315BA7" w:rsidRDefault="00315BA7" w:rsidP="00315BA7">
      <w:pPr>
        <w:widowControl w:val="0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adjustRightInd w:val="0"/>
        <w:ind w:left="0"/>
        <w:textAlignment w:val="baseline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jc w:val="center"/>
        <w:rPr>
          <w:rFonts w:ascii="Bookman Old Style" w:hAnsi="Bookman Old Style"/>
          <w:b/>
        </w:rPr>
      </w:pPr>
      <w:r w:rsidRPr="00315BA7">
        <w:rPr>
          <w:rFonts w:ascii="Bookman Old Style" w:hAnsi="Bookman Old Style"/>
          <w:b/>
        </w:rPr>
        <w:t>PUBLÍQUESE Y CÚMPLASE</w:t>
      </w:r>
    </w:p>
    <w:p w:rsidR="00315BA7" w:rsidRPr="00315BA7" w:rsidRDefault="00315BA7" w:rsidP="00315BA7">
      <w:pPr>
        <w:widowControl w:val="0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rPr>
          <w:rFonts w:ascii="Bookman Old Style" w:hAnsi="Bookman Old Style"/>
        </w:rPr>
      </w:pPr>
      <w:r w:rsidRPr="00315BA7">
        <w:rPr>
          <w:rFonts w:ascii="Bookman Old Style" w:hAnsi="Bookman Old Style"/>
        </w:rPr>
        <w:t xml:space="preserve">Dada en Bogotá D.C., </w:t>
      </w:r>
    </w:p>
    <w:p w:rsidR="00315BA7" w:rsidRDefault="00315BA7" w:rsidP="00315BA7">
      <w:pPr>
        <w:widowControl w:val="0"/>
        <w:ind w:left="0"/>
        <w:rPr>
          <w:rFonts w:ascii="Bookman Old Style" w:hAnsi="Bookman Old Style"/>
        </w:rPr>
      </w:pPr>
    </w:p>
    <w:p w:rsidR="0028661F" w:rsidRDefault="0028661F" w:rsidP="00315BA7">
      <w:pPr>
        <w:widowControl w:val="0"/>
        <w:ind w:left="0"/>
        <w:rPr>
          <w:rFonts w:ascii="Bookman Old Style" w:hAnsi="Bookman Old Style"/>
        </w:rPr>
      </w:pPr>
    </w:p>
    <w:p w:rsidR="0028661F" w:rsidRPr="00315BA7" w:rsidRDefault="0028661F" w:rsidP="00315BA7">
      <w:pPr>
        <w:widowControl w:val="0"/>
        <w:ind w:left="0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rPr>
          <w:rFonts w:ascii="Bookman Old Style" w:hAnsi="Bookman Old Style"/>
        </w:rPr>
      </w:pPr>
    </w:p>
    <w:p w:rsidR="00315BA7" w:rsidRPr="00315BA7" w:rsidRDefault="00315BA7" w:rsidP="00315BA7">
      <w:pPr>
        <w:widowControl w:val="0"/>
        <w:ind w:left="0"/>
        <w:rPr>
          <w:rFonts w:ascii="Bookman Old Style" w:hAnsi="Bookman Old Style"/>
        </w:rPr>
      </w:pPr>
    </w:p>
    <w:tbl>
      <w:tblPr>
        <w:tblW w:w="9676" w:type="dxa"/>
        <w:jc w:val="center"/>
        <w:tblInd w:w="-38" w:type="dxa"/>
        <w:tblLayout w:type="fixed"/>
        <w:tblLook w:val="04A0" w:firstRow="1" w:lastRow="0" w:firstColumn="1" w:lastColumn="0" w:noHBand="0" w:noVBand="1"/>
      </w:tblPr>
      <w:tblGrid>
        <w:gridCol w:w="4928"/>
        <w:gridCol w:w="4748"/>
      </w:tblGrid>
      <w:tr w:rsidR="0028661F" w:rsidTr="0028661F">
        <w:trPr>
          <w:jc w:val="center"/>
        </w:trPr>
        <w:tc>
          <w:tcPr>
            <w:tcW w:w="4928" w:type="dxa"/>
            <w:hideMark/>
          </w:tcPr>
          <w:p w:rsidR="0028661F" w:rsidRDefault="0028661F" w:rsidP="004B343B">
            <w:pPr>
              <w:ind w:left="0" w:right="-28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CARLOS FERNANDO ERASO CALERO</w:t>
            </w:r>
          </w:p>
          <w:p w:rsidR="0028661F" w:rsidRDefault="0028661F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Viceministro de Energía</w:t>
            </w:r>
          </w:p>
          <w:p w:rsidR="0028661F" w:rsidRDefault="0028661F" w:rsidP="004B343B">
            <w:pPr>
              <w:ind w:left="-90" w:right="-160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Delegado del Ministro de Minas y Energía</w:t>
            </w:r>
          </w:p>
          <w:p w:rsidR="0028661F" w:rsidRDefault="0028661F" w:rsidP="004B343B">
            <w:pPr>
              <w:ind w:left="142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Presidente</w:t>
            </w:r>
          </w:p>
        </w:tc>
        <w:tc>
          <w:tcPr>
            <w:tcW w:w="4748" w:type="dxa"/>
            <w:hideMark/>
          </w:tcPr>
          <w:p w:rsidR="0028661F" w:rsidRDefault="0028661F" w:rsidP="004B343B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JORGE PINTO NOLLA</w:t>
            </w:r>
          </w:p>
          <w:p w:rsidR="0028661F" w:rsidRDefault="0028661F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Director Ejecutivo</w:t>
            </w:r>
          </w:p>
        </w:tc>
      </w:tr>
    </w:tbl>
    <w:p w:rsidR="00315BA7" w:rsidRDefault="00315BA7" w:rsidP="00315BA7">
      <w:pPr>
        <w:ind w:left="0" w:right="51"/>
        <w:rPr>
          <w:rFonts w:ascii="Bookman Old Style" w:hAnsi="Bookman Old Style"/>
          <w:b/>
        </w:rPr>
      </w:pPr>
    </w:p>
    <w:p w:rsidR="00315BA7" w:rsidRDefault="00315BA7" w:rsidP="00315BA7">
      <w:pPr>
        <w:ind w:left="0" w:right="51"/>
        <w:rPr>
          <w:rFonts w:ascii="Bookman Old Style" w:hAnsi="Bookman Old Style"/>
          <w:b/>
        </w:rPr>
      </w:pPr>
    </w:p>
    <w:p w:rsidR="00315BA7" w:rsidRDefault="00315BA7" w:rsidP="00315BA7">
      <w:pPr>
        <w:ind w:left="0" w:right="51"/>
        <w:rPr>
          <w:rFonts w:ascii="Bookman Old Style" w:hAnsi="Bookman Old Style"/>
          <w:b/>
        </w:rPr>
      </w:pPr>
    </w:p>
    <w:p w:rsidR="00315BA7" w:rsidRDefault="00315BA7" w:rsidP="00DB1524">
      <w:pPr>
        <w:ind w:left="0" w:right="51"/>
        <w:jc w:val="center"/>
        <w:rPr>
          <w:rFonts w:ascii="Bookman Old Style" w:hAnsi="Bookman Old Style"/>
          <w:b/>
        </w:rPr>
      </w:pPr>
    </w:p>
    <w:p w:rsidR="00315BA7" w:rsidRPr="00EB29EB" w:rsidRDefault="00315BA7" w:rsidP="00DB1524">
      <w:pPr>
        <w:ind w:left="0" w:right="51"/>
        <w:jc w:val="center"/>
        <w:rPr>
          <w:rFonts w:ascii="Bookman Old Style" w:hAnsi="Bookman Old Style"/>
          <w:b/>
        </w:rPr>
      </w:pPr>
    </w:p>
    <w:p w:rsidR="00EB29EB" w:rsidRDefault="00EB29EB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315BA7" w:rsidRPr="00315BA7" w:rsidRDefault="00315BA7" w:rsidP="00315BA7">
      <w:pPr>
        <w:keepNext/>
        <w:tabs>
          <w:tab w:val="left" w:pos="0"/>
          <w:tab w:val="right" w:pos="9356"/>
        </w:tabs>
        <w:ind w:left="0"/>
        <w:jc w:val="center"/>
        <w:outlineLvl w:val="2"/>
        <w:rPr>
          <w:rFonts w:ascii="Bookman Old Style" w:hAnsi="Bookman Old Style"/>
          <w:b/>
          <w:snapToGrid w:val="0"/>
          <w:color w:val="000000"/>
          <w:lang w:val="es-ES_tradnl"/>
        </w:rPr>
      </w:pPr>
      <w:r w:rsidRPr="00315BA7">
        <w:rPr>
          <w:rFonts w:ascii="Bookman Old Style" w:hAnsi="Bookman Old Style"/>
          <w:b/>
          <w:snapToGrid w:val="0"/>
          <w:color w:val="000000"/>
          <w:lang w:val="es-ES_tradnl"/>
        </w:rPr>
        <w:t>PROYECTO DE RESOLUCIÓN</w:t>
      </w:r>
    </w:p>
    <w:p w:rsidR="00315BA7" w:rsidRPr="00315BA7" w:rsidRDefault="00315BA7" w:rsidP="00315BA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315BA7" w:rsidRPr="00315BA7" w:rsidRDefault="00315BA7" w:rsidP="00315BA7">
      <w:pPr>
        <w:ind w:left="0"/>
        <w:rPr>
          <w:rFonts w:ascii="Bookman Old Style" w:hAnsi="Bookman Old Style"/>
          <w:bCs/>
          <w:lang w:val="es-CO"/>
        </w:rPr>
      </w:pPr>
    </w:p>
    <w:p w:rsidR="00315BA7" w:rsidRPr="00315BA7" w:rsidRDefault="00315BA7" w:rsidP="00E41A4A">
      <w:pPr>
        <w:jc w:val="center"/>
        <w:rPr>
          <w:rFonts w:ascii="Bookman Old Style" w:hAnsi="Bookman Old Style" w:cs="Arial"/>
          <w:color w:val="000000"/>
          <w:sz w:val="16"/>
          <w:szCs w:val="16"/>
        </w:rPr>
      </w:pPr>
      <w:r w:rsidRPr="00315BA7">
        <w:rPr>
          <w:rFonts w:ascii="Bookman Old Style" w:hAnsi="Bookman Old Style" w:cs="Arial"/>
          <w:color w:val="000000"/>
        </w:rPr>
        <w:t xml:space="preserve">Por la cual se modifica </w:t>
      </w:r>
      <w:r w:rsidR="00B340E1">
        <w:rPr>
          <w:rFonts w:ascii="Bookman Old Style" w:hAnsi="Bookman Old Style" w:cs="Arial"/>
          <w:color w:val="000000"/>
        </w:rPr>
        <w:t>el</w:t>
      </w:r>
      <w:r w:rsidRPr="00315BA7">
        <w:rPr>
          <w:rFonts w:ascii="Bookman Old Style" w:hAnsi="Bookman Old Style" w:cs="Arial"/>
          <w:color w:val="000000"/>
        </w:rPr>
        <w:t xml:space="preserve"> reglamento de comercialización mayorista de gas licuado de petróleo, establecido en</w:t>
      </w:r>
      <w:r w:rsidR="00E41A4A">
        <w:rPr>
          <w:rFonts w:ascii="Bookman Old Style" w:hAnsi="Bookman Old Style" w:cs="Arial"/>
          <w:color w:val="000000"/>
        </w:rPr>
        <w:t xml:space="preserve"> la Resolución CREG 053 de 2011</w:t>
      </w:r>
      <w:r w:rsidR="00B340E1">
        <w:rPr>
          <w:rFonts w:ascii="Bookman Old Style" w:hAnsi="Bookman Old Style" w:cs="Arial"/>
          <w:color w:val="000000"/>
        </w:rPr>
        <w:t xml:space="preserve"> y se adoptan otras disposiciones</w:t>
      </w:r>
    </w:p>
    <w:p w:rsidR="00315BA7" w:rsidRDefault="00315BA7" w:rsidP="00315BA7">
      <w:pPr>
        <w:rPr>
          <w:rFonts w:ascii="Bookman Old Style" w:hAnsi="Bookman Old Style" w:cs="Arial"/>
          <w:color w:val="000000"/>
        </w:rPr>
      </w:pPr>
    </w:p>
    <w:p w:rsidR="00C13DD4" w:rsidRPr="00315BA7" w:rsidRDefault="00C13DD4" w:rsidP="00315BA7">
      <w:pPr>
        <w:rPr>
          <w:rFonts w:ascii="Bookman Old Style" w:hAnsi="Bookman Old Style" w:cs="Arial"/>
          <w:color w:val="000000"/>
        </w:rPr>
      </w:pPr>
    </w:p>
    <w:p w:rsidR="00315BA7" w:rsidRPr="00315BA7" w:rsidRDefault="00315BA7" w:rsidP="00315BA7">
      <w:pPr>
        <w:jc w:val="center"/>
        <w:rPr>
          <w:rFonts w:ascii="Bookman Old Style" w:hAnsi="Bookman Old Style" w:cs="Arial"/>
          <w:b/>
          <w:color w:val="000000"/>
        </w:rPr>
      </w:pPr>
      <w:r w:rsidRPr="00315BA7">
        <w:rPr>
          <w:rFonts w:ascii="Bookman Old Style" w:hAnsi="Bookman Old Style" w:cs="Arial"/>
          <w:b/>
          <w:color w:val="000000"/>
        </w:rPr>
        <w:t>LA COMISIÓN DE REGULACIÓN DE ENERGÍA Y GAS</w:t>
      </w:r>
    </w:p>
    <w:p w:rsidR="00315BA7" w:rsidRPr="00315BA7" w:rsidRDefault="00315BA7" w:rsidP="00315BA7">
      <w:pPr>
        <w:rPr>
          <w:rFonts w:ascii="Bookman Old Style" w:hAnsi="Bookman Old Style" w:cs="Arial"/>
          <w:color w:val="000000"/>
        </w:rPr>
      </w:pPr>
    </w:p>
    <w:p w:rsidR="00315BA7" w:rsidRPr="00315BA7" w:rsidRDefault="00315BA7" w:rsidP="00315BA7">
      <w:pPr>
        <w:rPr>
          <w:rFonts w:ascii="Bookman Old Style" w:hAnsi="Bookman Old Style" w:cs="Arial"/>
          <w:color w:val="000000"/>
          <w:sz w:val="16"/>
          <w:szCs w:val="16"/>
        </w:rPr>
      </w:pPr>
    </w:p>
    <w:p w:rsidR="00315BA7" w:rsidRPr="00315BA7" w:rsidRDefault="00315BA7" w:rsidP="00315BA7">
      <w:pPr>
        <w:ind w:left="0"/>
        <w:jc w:val="center"/>
        <w:rPr>
          <w:rFonts w:ascii="Bookman Old Style" w:hAnsi="Bookman Old Style" w:cs="Arial"/>
          <w:color w:val="000000"/>
        </w:rPr>
      </w:pPr>
      <w:r w:rsidRPr="00315BA7">
        <w:rPr>
          <w:rFonts w:ascii="Bookman Old Style" w:hAnsi="Bookman Old Style" w:cs="Arial"/>
          <w:color w:val="000000"/>
        </w:rPr>
        <w:t>En ejercicio de las atribuciones constitucionales y legales, en especial las conferidas por la Ley 142 de 1994 y los Decretos 1523 y 2253 de 1994 y 1260 de 2013 y,</w:t>
      </w:r>
    </w:p>
    <w:p w:rsidR="00315BA7" w:rsidRPr="00315BA7" w:rsidRDefault="00315BA7" w:rsidP="00315BA7">
      <w:pPr>
        <w:ind w:left="0"/>
        <w:rPr>
          <w:rFonts w:ascii="Bookman Old Style" w:hAnsi="Bookman Old Style" w:cs="Arial"/>
          <w:color w:val="000000"/>
        </w:rPr>
      </w:pPr>
    </w:p>
    <w:p w:rsidR="00315BA7" w:rsidRPr="00315BA7" w:rsidRDefault="00315BA7" w:rsidP="00315BA7">
      <w:pPr>
        <w:ind w:left="0"/>
        <w:rPr>
          <w:rFonts w:ascii="Bookman Old Style" w:hAnsi="Bookman Old Style" w:cs="Arial"/>
          <w:color w:val="000000"/>
        </w:rPr>
      </w:pPr>
    </w:p>
    <w:p w:rsidR="00315BA7" w:rsidRPr="00315BA7" w:rsidRDefault="00315BA7" w:rsidP="00315BA7">
      <w:pPr>
        <w:ind w:left="0"/>
        <w:jc w:val="center"/>
        <w:rPr>
          <w:rFonts w:ascii="Bookman Old Style" w:hAnsi="Bookman Old Style" w:cs="Arial"/>
          <w:b/>
          <w:color w:val="000000"/>
        </w:rPr>
      </w:pPr>
      <w:r w:rsidRPr="00315BA7">
        <w:rPr>
          <w:rFonts w:ascii="Bookman Old Style" w:hAnsi="Bookman Old Style" w:cs="Arial"/>
          <w:b/>
          <w:color w:val="000000"/>
        </w:rPr>
        <w:t>C O N S I D E R A N D O  Q U E:</w:t>
      </w:r>
    </w:p>
    <w:p w:rsidR="00315BA7" w:rsidRPr="00315BA7" w:rsidRDefault="00315BA7" w:rsidP="00315BA7">
      <w:pPr>
        <w:ind w:left="0"/>
        <w:jc w:val="center"/>
        <w:rPr>
          <w:rFonts w:ascii="Bookman Old Style" w:hAnsi="Bookman Old Style" w:cs="Arial"/>
          <w:b/>
          <w:color w:val="000000"/>
        </w:rPr>
      </w:pPr>
    </w:p>
    <w:p w:rsidR="00315BA7" w:rsidRDefault="00315BA7" w:rsidP="00045D3D">
      <w:pPr>
        <w:ind w:left="0"/>
        <w:jc w:val="both"/>
        <w:rPr>
          <w:rFonts w:ascii="Bookman Old Style" w:hAnsi="Bookman Old Style"/>
        </w:rPr>
      </w:pPr>
    </w:p>
    <w:p w:rsidR="00DB1524" w:rsidRDefault="00DB1524" w:rsidP="00045D3D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El artículo 14.28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combustible.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De acuerdo con lo estipulado en el artículo 74.1 de la Ley 142 de 1994, es función de la CREG "regular el ejercicio de las actividades de los sectores de energía y gas combustible para asegurar la disponibilidad de una oferta energética eficiente, propiciar la competencia en el sector de minas y energía y proponer la adopción de las medidas necesarias para impedir abusos de posición dominante y buscar la liberación gradual de los merca</w:t>
      </w:r>
      <w:r w:rsidR="00EE2CB5">
        <w:rPr>
          <w:rFonts w:ascii="Bookman Old Style" w:hAnsi="Bookman Old Style"/>
        </w:rPr>
        <w:t>dos hacia la libre competencia".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Según lo previsto en los artículos 1, 2 y 4 de la Ley 142 de 1994, la distribución de gas combustible y sus actividades complementarias constituyen servicios públicos domiciliarios esenciales y el Estado intervendrá en los mismos a fin de, entre otros, garantizar la calidad del bien y su disposición final para asegurar el mejoramiento de la calidad de vida de los usuarios, así como su prestación continua, ininterrumpida y eficiente.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Mediante la Resolución CREG 053 de 2011, modificada por la</w:t>
      </w:r>
      <w:r w:rsidR="00E41A4A">
        <w:rPr>
          <w:rFonts w:ascii="Bookman Old Style" w:hAnsi="Bookman Old Style"/>
        </w:rPr>
        <w:t>s resoluciones</w:t>
      </w:r>
      <w:r w:rsidRPr="00DB1524">
        <w:rPr>
          <w:rFonts w:ascii="Bookman Old Style" w:hAnsi="Bookman Old Style"/>
        </w:rPr>
        <w:t xml:space="preserve"> CREG 108 de</w:t>
      </w:r>
      <w:r w:rsidR="00E41A4A">
        <w:rPr>
          <w:rFonts w:ascii="Bookman Old Style" w:hAnsi="Bookman Old Style"/>
        </w:rPr>
        <w:t xml:space="preserve"> 2011 y </w:t>
      </w:r>
      <w:r>
        <w:rPr>
          <w:rFonts w:ascii="Bookman Old Style" w:hAnsi="Bookman Old Style"/>
        </w:rPr>
        <w:t>154 de 2014</w:t>
      </w:r>
      <w:r w:rsidRPr="00DB1524">
        <w:rPr>
          <w:rFonts w:ascii="Bookman Old Style" w:hAnsi="Bookman Old Style"/>
        </w:rPr>
        <w:t xml:space="preserve">, la Comisión estableció el reglamento de comercialización mayorista de GLP, con el cual se definieron, entre otros, los mecanismos para la compra y venta del producto al por mayor y el acceso al producto por parte de los diferentes agentes de la cadena. 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En el mencionado reglamento se estableció que el acceso al producto que se encuentra con precio regulado se realizaría mediante ofertas públicas de cantidades, OPC, llevadas a cabo por el respectivo comercializador mayorista. Las OPC iniciaron su aplicación a partir de octubre de 2011.</w:t>
      </w:r>
    </w:p>
    <w:p w:rsidR="00DB1524" w:rsidRDefault="00DB1524" w:rsidP="00045D3D">
      <w:pPr>
        <w:ind w:left="0"/>
        <w:jc w:val="both"/>
        <w:rPr>
          <w:rFonts w:ascii="Bookman Old Style" w:hAnsi="Bookman Old Style"/>
        </w:rPr>
      </w:pPr>
    </w:p>
    <w:p w:rsidR="00056D33" w:rsidRDefault="007A19A9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Mediante </w:t>
      </w:r>
      <w:r w:rsidR="00EB29EB" w:rsidRPr="00EB29EB">
        <w:rPr>
          <w:rFonts w:ascii="Bookman Old Style" w:hAnsi="Bookman Old Style"/>
        </w:rPr>
        <w:t xml:space="preserve">Resolución CREG </w:t>
      </w:r>
      <w:r>
        <w:rPr>
          <w:rFonts w:ascii="Bookman Old Style" w:hAnsi="Bookman Old Style"/>
        </w:rPr>
        <w:t xml:space="preserve">154 </w:t>
      </w:r>
      <w:r w:rsidR="00EB29EB" w:rsidRPr="00EB29EB">
        <w:rPr>
          <w:rFonts w:ascii="Bookman Old Style" w:hAnsi="Bookman Old Style"/>
        </w:rPr>
        <w:t xml:space="preserve">de 2014 se </w:t>
      </w:r>
      <w:r w:rsidR="00C84430">
        <w:rPr>
          <w:rFonts w:ascii="Bookman Old Style" w:hAnsi="Bookman Old Style"/>
        </w:rPr>
        <w:t>modificó el reglamento</w:t>
      </w:r>
      <w:r>
        <w:rPr>
          <w:rFonts w:ascii="Bookman Old Style" w:hAnsi="Bookman Old Style"/>
        </w:rPr>
        <w:t xml:space="preserve"> de comercialización mayorista de GLP</w:t>
      </w:r>
      <w:r w:rsidR="005A0C40">
        <w:rPr>
          <w:rFonts w:ascii="Bookman Old Style" w:hAnsi="Bookman Old Style"/>
        </w:rPr>
        <w:t xml:space="preserve">. </w:t>
      </w:r>
      <w:r w:rsidR="00056D33">
        <w:rPr>
          <w:rFonts w:ascii="Bookman Old Style" w:hAnsi="Bookman Old Style"/>
        </w:rPr>
        <w:t xml:space="preserve">Dentro de medidas regulatorias que se plantearon no se encontraba realizar algún ajuste en las reglas de prorrateo, particularmente respecto de las </w:t>
      </w:r>
      <w:r w:rsidR="005A0C40">
        <w:rPr>
          <w:rFonts w:ascii="Bookman Old Style" w:hAnsi="Bookman Old Style"/>
        </w:rPr>
        <w:t xml:space="preserve">cantidades vendidas a través de </w:t>
      </w:r>
      <w:r w:rsidRPr="007A19A9">
        <w:rPr>
          <w:rFonts w:ascii="Bookman Old Style" w:hAnsi="Bookman Old Style"/>
        </w:rPr>
        <w:t>GLP por redes</w:t>
      </w:r>
      <w:r w:rsidR="00056D33">
        <w:rPr>
          <w:rFonts w:ascii="Bookman Old Style" w:hAnsi="Bookman Old Style"/>
        </w:rPr>
        <w:t>, tal como se tenía previsto en el literal h del artículo 14 de la Resolución CREG 053 de 2011, modificada por el artículo 4 de la Resolución CREG 068 de 2011</w:t>
      </w:r>
      <w:r w:rsidR="00E41A4A">
        <w:rPr>
          <w:rFonts w:ascii="Bookman Old Style" w:hAnsi="Bookman Old Style"/>
        </w:rPr>
        <w:t>.</w:t>
      </w:r>
      <w:r w:rsidR="00C84430">
        <w:rPr>
          <w:rFonts w:ascii="Bookman Old Style" w:hAnsi="Bookman Old Style"/>
        </w:rPr>
        <w:t xml:space="preserve"> </w:t>
      </w:r>
      <w:r w:rsidR="00056D33">
        <w:rPr>
          <w:rFonts w:ascii="Bookman Old Style" w:hAnsi="Bookman Old Style"/>
        </w:rPr>
        <w:t xml:space="preserve">Sin perjuicio de lo anterior, dichas cantidades </w:t>
      </w:r>
      <w:r w:rsidR="008E700F">
        <w:rPr>
          <w:rFonts w:ascii="Bookman Old Style" w:hAnsi="Bookman Old Style"/>
        </w:rPr>
        <w:t xml:space="preserve">de manera involuntaria </w:t>
      </w:r>
      <w:r w:rsidR="00056D33">
        <w:rPr>
          <w:rFonts w:ascii="Bookman Old Style" w:hAnsi="Bookman Old Style"/>
        </w:rPr>
        <w:t xml:space="preserve">no fueron incluidas en la normativa citada. </w:t>
      </w:r>
    </w:p>
    <w:p w:rsidR="00056D33" w:rsidRDefault="00056D33" w:rsidP="00045D3D">
      <w:pPr>
        <w:ind w:left="0"/>
        <w:jc w:val="both"/>
        <w:rPr>
          <w:rFonts w:ascii="Bookman Old Style" w:hAnsi="Bookman Old Style"/>
        </w:rPr>
      </w:pPr>
    </w:p>
    <w:p w:rsidR="00ED4CAB" w:rsidRPr="00EB29EB" w:rsidRDefault="00C84430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 por esto que para el trámite y resultados de la OPC aplicable a partir del 1º de abril de 2015, se requiere modificar el literal </w:t>
      </w:r>
      <w:r w:rsidRPr="00C84430">
        <w:rPr>
          <w:rFonts w:ascii="Bookman Old Style" w:hAnsi="Bookman Old Style"/>
        </w:rPr>
        <w:t>h) del artículo 14 de la Resolución CREG 053 de 2011</w:t>
      </w:r>
      <w:r>
        <w:rPr>
          <w:rFonts w:ascii="Bookman Old Style" w:hAnsi="Bookman Old Style"/>
        </w:rPr>
        <w:t xml:space="preserve"> a fin de que </w:t>
      </w:r>
      <w:r w:rsidRPr="00C84430">
        <w:rPr>
          <w:rFonts w:ascii="Bookman Old Style" w:hAnsi="Bookman Old Style"/>
        </w:rPr>
        <w:t xml:space="preserve">los distribuidores de GLP por redes </w:t>
      </w:r>
      <w:r>
        <w:rPr>
          <w:rFonts w:ascii="Bookman Old Style" w:hAnsi="Bookman Old Style"/>
        </w:rPr>
        <w:t>puedan</w:t>
      </w:r>
      <w:r w:rsidRPr="00C84430">
        <w:rPr>
          <w:rFonts w:ascii="Bookman Old Style" w:hAnsi="Bookman Old Style"/>
        </w:rPr>
        <w:t xml:space="preserve"> participar del mecanismo de oferta pública de cantidades y adquir</w:t>
      </w:r>
      <w:r>
        <w:rPr>
          <w:rFonts w:ascii="Bookman Old Style" w:hAnsi="Bookman Old Style"/>
        </w:rPr>
        <w:t xml:space="preserve">ir producto con precio regulado </w:t>
      </w:r>
      <w:r w:rsidR="007A19A9">
        <w:rPr>
          <w:rFonts w:ascii="Bookman Old Style" w:hAnsi="Bookman Old Style"/>
        </w:rPr>
        <w:t xml:space="preserve">en </w:t>
      </w:r>
      <w:r w:rsidR="00ED4CAB">
        <w:rPr>
          <w:rFonts w:ascii="Bookman Old Style" w:hAnsi="Bookman Old Style"/>
        </w:rPr>
        <w:t>aque</w:t>
      </w:r>
      <w:r w:rsidR="007A19A9">
        <w:rPr>
          <w:rFonts w:ascii="Bookman Old Style" w:hAnsi="Bookman Old Style"/>
        </w:rPr>
        <w:t xml:space="preserve">llas fuentes en las que aplique la utilización de la metodología de </w:t>
      </w:r>
      <w:r w:rsidR="00ED4CAB">
        <w:rPr>
          <w:rFonts w:ascii="Bookman Old Style" w:hAnsi="Bookman Old Style"/>
        </w:rPr>
        <w:t>prorrateo.</w:t>
      </w:r>
    </w:p>
    <w:p w:rsidR="00DB1524" w:rsidRDefault="00DB1524" w:rsidP="00045D3D">
      <w:pPr>
        <w:ind w:left="0"/>
        <w:jc w:val="both"/>
        <w:rPr>
          <w:rFonts w:ascii="Bookman Old Style" w:hAnsi="Bookman Old Style"/>
        </w:rPr>
      </w:pPr>
    </w:p>
    <w:p w:rsidR="00503764" w:rsidRDefault="00C84430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Mediante la Resolución CREG 154 de 2014 </w:t>
      </w:r>
      <w:r w:rsidRPr="00C84430">
        <w:rPr>
          <w:rFonts w:ascii="Bookman Old Style" w:hAnsi="Bookman Old Style"/>
        </w:rPr>
        <w:t xml:space="preserve">se </w:t>
      </w:r>
      <w:r w:rsidR="00EC13BC">
        <w:rPr>
          <w:rFonts w:ascii="Bookman Old Style" w:hAnsi="Bookman Old Style"/>
        </w:rPr>
        <w:t xml:space="preserve">estableció que </w:t>
      </w:r>
      <w:r w:rsidR="00EC13BC" w:rsidRPr="00EC13BC">
        <w:rPr>
          <w:rFonts w:ascii="Bookman Old Style" w:hAnsi="Bookman Old Style"/>
        </w:rPr>
        <w:t>las OPC debían cubrir periodos de entrega de 12 meses,</w:t>
      </w:r>
      <w:r w:rsidR="00EC13BC">
        <w:rPr>
          <w:rFonts w:ascii="Bookman Old Style" w:hAnsi="Bookman Old Style"/>
        </w:rPr>
        <w:t xml:space="preserve"> razón por la cual se </w:t>
      </w:r>
      <w:r w:rsidRPr="00C84430">
        <w:rPr>
          <w:rFonts w:ascii="Bookman Old Style" w:hAnsi="Bookman Old Style"/>
        </w:rPr>
        <w:t>modificó el reglamento de comercialización mayorista de GLP</w:t>
      </w:r>
      <w:r w:rsidR="00EC13BC" w:rsidRPr="00EC13BC">
        <w:rPr>
          <w:rFonts w:ascii="Bookman Old Style" w:hAnsi="Bookman Old Style"/>
        </w:rPr>
        <w:t xml:space="preserve"> </w:t>
      </w:r>
      <w:r w:rsidR="00EC13BC">
        <w:rPr>
          <w:rFonts w:ascii="Bookman Old Style" w:hAnsi="Bookman Old Style"/>
        </w:rPr>
        <w:t>previsto en</w:t>
      </w:r>
      <w:r w:rsidR="00EC13BC" w:rsidRPr="00503764">
        <w:rPr>
          <w:rFonts w:ascii="Bookman Old Style" w:hAnsi="Bookman Old Style"/>
        </w:rPr>
        <w:t xml:space="preserve"> la Resolución CREG 053 de 2011</w:t>
      </w:r>
      <w:r w:rsidR="00503764">
        <w:rPr>
          <w:rFonts w:ascii="Bookman Old Style" w:hAnsi="Bookman Old Style"/>
        </w:rPr>
        <w:t>, entre otros en el literal d</w:t>
      </w:r>
      <w:r w:rsidR="00A44651">
        <w:rPr>
          <w:rFonts w:ascii="Bookman Old Style" w:hAnsi="Bookman Old Style"/>
        </w:rPr>
        <w:t>)</w:t>
      </w:r>
      <w:r w:rsidR="00503764">
        <w:rPr>
          <w:rFonts w:ascii="Bookman Old Style" w:hAnsi="Bookman Old Style"/>
        </w:rPr>
        <w:t xml:space="preserve"> y </w:t>
      </w:r>
      <w:r w:rsidR="00503764" w:rsidRPr="00503764">
        <w:rPr>
          <w:rFonts w:ascii="Bookman Old Style" w:hAnsi="Bookman Old Style"/>
        </w:rPr>
        <w:t>el parágrafo 1</w:t>
      </w:r>
      <w:r w:rsidR="00503764">
        <w:rPr>
          <w:rFonts w:ascii="Bookman Old Style" w:hAnsi="Bookman Old Style"/>
        </w:rPr>
        <w:t xml:space="preserve"> del artículo</w:t>
      </w:r>
      <w:r w:rsidR="00EC13BC">
        <w:rPr>
          <w:rFonts w:ascii="Bookman Old Style" w:hAnsi="Bookman Old Style"/>
        </w:rPr>
        <w:t xml:space="preserve"> </w:t>
      </w:r>
      <w:r w:rsidR="00503764" w:rsidRPr="00503764">
        <w:rPr>
          <w:rFonts w:ascii="Bookman Old Style" w:hAnsi="Bookman Old Style"/>
        </w:rPr>
        <w:t>13</w:t>
      </w:r>
      <w:r w:rsidR="00503764">
        <w:rPr>
          <w:rFonts w:ascii="Bookman Old Style" w:hAnsi="Bookman Old Style"/>
        </w:rPr>
        <w:t xml:space="preserve">, </w:t>
      </w:r>
      <w:r w:rsidR="00503764" w:rsidRPr="00503764">
        <w:rPr>
          <w:rFonts w:ascii="Bookman Old Style" w:hAnsi="Bookman Old Style"/>
        </w:rPr>
        <w:t>los literales a) y h) artículo 14,</w:t>
      </w:r>
      <w:r w:rsidR="00503764">
        <w:rPr>
          <w:rFonts w:ascii="Bookman Old Style" w:hAnsi="Bookman Old Style"/>
        </w:rPr>
        <w:t xml:space="preserve"> de la misma forma que se adicionó</w:t>
      </w:r>
      <w:r w:rsidR="00503764" w:rsidRPr="00503764">
        <w:rPr>
          <w:rFonts w:ascii="Bookman Old Style" w:hAnsi="Bookman Old Style"/>
        </w:rPr>
        <w:t xml:space="preserve"> </w:t>
      </w:r>
      <w:r w:rsidR="00503764">
        <w:rPr>
          <w:rFonts w:ascii="Bookman Old Style" w:hAnsi="Bookman Old Style"/>
        </w:rPr>
        <w:t xml:space="preserve">el </w:t>
      </w:r>
      <w:r w:rsidR="00503764" w:rsidRPr="00503764">
        <w:rPr>
          <w:rFonts w:ascii="Bookman Old Style" w:hAnsi="Bookman Old Style"/>
        </w:rPr>
        <w:t>parágrafo 3 al artículo</w:t>
      </w:r>
      <w:r w:rsidR="00503764">
        <w:rPr>
          <w:rFonts w:ascii="Bookman Old Style" w:hAnsi="Bookman Old Style"/>
        </w:rPr>
        <w:t xml:space="preserve"> 13 y el parágrafo 5 a</w:t>
      </w:r>
      <w:r w:rsidR="00503764" w:rsidRPr="00503764">
        <w:rPr>
          <w:rFonts w:ascii="Bookman Old Style" w:hAnsi="Bookman Old Style"/>
        </w:rPr>
        <w:t>l</w:t>
      </w:r>
      <w:r w:rsidR="00503764">
        <w:rPr>
          <w:rFonts w:ascii="Bookman Old Style" w:hAnsi="Bookman Old Style"/>
        </w:rPr>
        <w:t xml:space="preserve"> artículo 14 de </w:t>
      </w:r>
      <w:r w:rsidR="00EC13BC">
        <w:rPr>
          <w:rFonts w:ascii="Bookman Old Style" w:hAnsi="Bookman Old Style"/>
        </w:rPr>
        <w:t>dicha normativa regulatoria.</w:t>
      </w:r>
    </w:p>
    <w:p w:rsidR="00C84430" w:rsidRPr="00C84430" w:rsidRDefault="00C84430" w:rsidP="00C84430">
      <w:pPr>
        <w:ind w:left="0"/>
        <w:jc w:val="both"/>
        <w:rPr>
          <w:rFonts w:ascii="Bookman Old Style" w:hAnsi="Bookman Old Style"/>
        </w:rPr>
      </w:pPr>
    </w:p>
    <w:p w:rsidR="00EC13BC" w:rsidRPr="00EC13BC" w:rsidRDefault="00EC13BC" w:rsidP="00EC13BC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Dentro de las consideraciones que llevaron a modificar los períodos de las OPC se encontraban </w:t>
      </w:r>
      <w:r w:rsidRPr="00EC13BC">
        <w:rPr>
          <w:rFonts w:ascii="Bookman Old Style" w:hAnsi="Bookman Old Style"/>
        </w:rPr>
        <w:t xml:space="preserve">los resultados </w:t>
      </w:r>
      <w:r>
        <w:rPr>
          <w:rFonts w:ascii="Bookman Old Style" w:hAnsi="Bookman Old Style"/>
        </w:rPr>
        <w:t xml:space="preserve">históricos </w:t>
      </w:r>
      <w:r w:rsidRPr="00EC13BC">
        <w:rPr>
          <w:rFonts w:ascii="Bookman Old Style" w:hAnsi="Bookman Old Style"/>
        </w:rPr>
        <w:t xml:space="preserve">de las últimas OPC, </w:t>
      </w:r>
      <w:r>
        <w:rPr>
          <w:rFonts w:ascii="Bookman Old Style" w:hAnsi="Bookman Old Style"/>
        </w:rPr>
        <w:t xml:space="preserve">atendiendo una </w:t>
      </w:r>
      <w:r w:rsidRPr="00EC13BC">
        <w:rPr>
          <w:rFonts w:ascii="Bookman Old Style" w:hAnsi="Bookman Old Style"/>
        </w:rPr>
        <w:t xml:space="preserve">aumento de la oferta de GLP en la fuente de Cusiana, </w:t>
      </w:r>
      <w:r>
        <w:rPr>
          <w:rFonts w:ascii="Bookman Old Style" w:hAnsi="Bookman Old Style"/>
        </w:rPr>
        <w:t xml:space="preserve">observando la posible </w:t>
      </w:r>
      <w:r w:rsidRPr="00EC13B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existencia en el</w:t>
      </w:r>
      <w:r w:rsidRPr="00EC13BC">
        <w:rPr>
          <w:rFonts w:ascii="Bookman Old Style" w:hAnsi="Bookman Old Style"/>
        </w:rPr>
        <w:t xml:space="preserve"> mercado </w:t>
      </w:r>
      <w:r>
        <w:rPr>
          <w:rFonts w:ascii="Bookman Old Style" w:hAnsi="Bookman Old Style"/>
        </w:rPr>
        <w:t xml:space="preserve">de </w:t>
      </w:r>
      <w:r w:rsidRPr="00EC13BC">
        <w:rPr>
          <w:rFonts w:ascii="Bookman Old Style" w:hAnsi="Bookman Old Style"/>
        </w:rPr>
        <w:t xml:space="preserve">excedentes de GLP que </w:t>
      </w:r>
      <w:r>
        <w:rPr>
          <w:rFonts w:ascii="Bookman Old Style" w:hAnsi="Bookman Old Style"/>
        </w:rPr>
        <w:t>pudieran</w:t>
      </w:r>
      <w:r w:rsidRPr="00EC13BC">
        <w:rPr>
          <w:rFonts w:ascii="Bookman Old Style" w:hAnsi="Bookman Old Style"/>
        </w:rPr>
        <w:t xml:space="preserve"> respaldar la demanda actual así como la que se genere en respuesta del nuevo esquema de prestación del servicio.</w:t>
      </w:r>
      <w:r>
        <w:rPr>
          <w:rFonts w:ascii="Bookman Old Style" w:hAnsi="Bookman Old Style"/>
        </w:rPr>
        <w:t xml:space="preserve"> Es así como dentro de las consideraciones hechas en la Resolución CREG 154 de 2014 se dispuso</w:t>
      </w:r>
      <w:r w:rsidR="00A44651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entre otras</w:t>
      </w:r>
      <w:r w:rsidR="00A44651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lo siguiente:</w:t>
      </w:r>
    </w:p>
    <w:p w:rsidR="00EC13BC" w:rsidRPr="00EC13BC" w:rsidRDefault="00EC13BC" w:rsidP="00EC13BC">
      <w:pPr>
        <w:ind w:left="0"/>
        <w:jc w:val="both"/>
        <w:rPr>
          <w:rFonts w:ascii="Bookman Old Style" w:hAnsi="Bookman Old Style"/>
        </w:rPr>
      </w:pPr>
      <w:r w:rsidRPr="00EC13BC">
        <w:rPr>
          <w:rFonts w:ascii="Bookman Old Style" w:hAnsi="Bookman Old Style"/>
        </w:rPr>
        <w:t xml:space="preserve"> </w:t>
      </w:r>
    </w:p>
    <w:p w:rsidR="00EC13BC" w:rsidRPr="00EC13BC" w:rsidRDefault="00EC13BC" w:rsidP="00EC13BC">
      <w:pPr>
        <w:ind w:left="284" w:righ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“</w:t>
      </w:r>
      <w:r w:rsidRPr="00EC13BC">
        <w:rPr>
          <w:rFonts w:ascii="Bookman Old Style" w:hAnsi="Bookman Old Style"/>
          <w:sz w:val="22"/>
          <w:szCs w:val="22"/>
        </w:rPr>
        <w:t>Las anteriores situaciones pueden generar un crecimiento del mercado principalmente para consumos diferentes a la demanda del sector residencial. Sin embargo, esto requiere de mecani</w:t>
      </w:r>
      <w:r>
        <w:rPr>
          <w:rFonts w:ascii="Bookman Old Style" w:hAnsi="Bookman Old Style"/>
          <w:sz w:val="22"/>
          <w:szCs w:val="22"/>
        </w:rPr>
        <w:t>s</w:t>
      </w:r>
      <w:r w:rsidRPr="00EC13BC">
        <w:rPr>
          <w:rFonts w:ascii="Bookman Old Style" w:hAnsi="Bookman Old Style"/>
          <w:sz w:val="22"/>
          <w:szCs w:val="22"/>
        </w:rPr>
        <w:t>mos que permitan conocer la oferta disponible del producto para plazos mayores, así como obtener respaldo de dicha oferta a través de los respectivos contratos de suministro.</w:t>
      </w:r>
    </w:p>
    <w:p w:rsidR="00EC13BC" w:rsidRPr="00EC13BC" w:rsidRDefault="00EC13BC" w:rsidP="00EC13BC">
      <w:pPr>
        <w:ind w:left="284" w:right="284"/>
        <w:jc w:val="both"/>
        <w:rPr>
          <w:rFonts w:ascii="Bookman Old Style" w:hAnsi="Bookman Old Style"/>
          <w:sz w:val="22"/>
          <w:szCs w:val="22"/>
        </w:rPr>
      </w:pPr>
    </w:p>
    <w:p w:rsidR="00EC13BC" w:rsidRPr="00EC13BC" w:rsidRDefault="00EC13BC" w:rsidP="00EC13BC">
      <w:pPr>
        <w:ind w:left="284" w:right="284"/>
        <w:jc w:val="both"/>
        <w:rPr>
          <w:rFonts w:ascii="Bookman Old Style" w:hAnsi="Bookman Old Style"/>
          <w:sz w:val="22"/>
          <w:szCs w:val="22"/>
        </w:rPr>
      </w:pPr>
      <w:r w:rsidRPr="00EC13BC">
        <w:rPr>
          <w:rFonts w:ascii="Bookman Old Style" w:hAnsi="Bookman Old Style"/>
          <w:sz w:val="22"/>
          <w:szCs w:val="22"/>
        </w:rPr>
        <w:t>El aumento de la oferta también se viene dando por la entrada del producto proveniente de campos de producción de otros comercializadores mayoristas diferentes a Ecopetrol, el cual es ofertado con mecanismos diferentes a la OPC y cuyo precio es libre. Este aumento de oferta es de aproximadamente el 3% de la producción nacional.</w:t>
      </w:r>
      <w:r>
        <w:rPr>
          <w:rFonts w:ascii="Bookman Old Style" w:hAnsi="Bookman Old Style"/>
          <w:sz w:val="22"/>
          <w:szCs w:val="22"/>
        </w:rPr>
        <w:t>”</w:t>
      </w:r>
    </w:p>
    <w:p w:rsidR="00EC13BC" w:rsidRDefault="00EC13BC" w:rsidP="00C84430">
      <w:pPr>
        <w:ind w:left="0"/>
        <w:jc w:val="both"/>
        <w:rPr>
          <w:rFonts w:ascii="Bookman Old Style" w:hAnsi="Bookman Old Style"/>
        </w:rPr>
      </w:pPr>
    </w:p>
    <w:p w:rsidR="00630022" w:rsidRDefault="00EC13BC" w:rsidP="00C84430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Sin embargo, dentro de los resultados de las dos últimas OPC correspondientes a los meses de octubre a diciembre de 2014 y de enero a marzo de 2015 se ha venido </w:t>
      </w:r>
      <w:r w:rsidR="00A44651">
        <w:rPr>
          <w:rFonts w:ascii="Bookman Old Style" w:hAnsi="Bookman Old Style"/>
        </w:rPr>
        <w:t xml:space="preserve">observando </w:t>
      </w:r>
      <w:r>
        <w:rPr>
          <w:rFonts w:ascii="Bookman Old Style" w:hAnsi="Bookman Old Style"/>
        </w:rPr>
        <w:t xml:space="preserve">una restricción </w:t>
      </w:r>
      <w:r w:rsidR="00630022">
        <w:rPr>
          <w:rFonts w:ascii="Bookman Old Style" w:hAnsi="Bookman Old Style"/>
        </w:rPr>
        <w:t xml:space="preserve">importante </w:t>
      </w:r>
      <w:r>
        <w:rPr>
          <w:rFonts w:ascii="Bookman Old Style" w:hAnsi="Bookman Old Style"/>
        </w:rPr>
        <w:t>de la</w:t>
      </w:r>
      <w:r w:rsidR="00EF4206">
        <w:rPr>
          <w:rFonts w:ascii="Bookman Old Style" w:hAnsi="Bookman Old Style"/>
        </w:rPr>
        <w:t xml:space="preserve"> oferta de GLP que conlleva </w:t>
      </w:r>
      <w:r>
        <w:rPr>
          <w:rFonts w:ascii="Bookman Old Style" w:hAnsi="Bookman Old Style"/>
        </w:rPr>
        <w:t>un escenario de inconveniencia en la aplicación de las medidas adoptadas en la Resolución CREG 154 de 2013 relativas a las OPC con periodos de entrega a</w:t>
      </w:r>
      <w:r w:rsidRPr="00EC13BC">
        <w:rPr>
          <w:rFonts w:ascii="Bookman Old Style" w:hAnsi="Bookman Old Style"/>
        </w:rPr>
        <w:t xml:space="preserve"> 12 meses</w:t>
      </w:r>
      <w:r>
        <w:rPr>
          <w:rFonts w:ascii="Bookman Old Style" w:hAnsi="Bookman Old Style"/>
        </w:rPr>
        <w:t xml:space="preserve">. </w:t>
      </w:r>
    </w:p>
    <w:p w:rsidR="00630022" w:rsidRDefault="00630022" w:rsidP="00C84430">
      <w:pPr>
        <w:ind w:left="0"/>
        <w:jc w:val="both"/>
        <w:rPr>
          <w:rFonts w:ascii="Bookman Old Style" w:hAnsi="Bookman Old Style"/>
        </w:rPr>
      </w:pPr>
    </w:p>
    <w:p w:rsidR="00C13DD4" w:rsidRDefault="00C13DD4" w:rsidP="00C84430">
      <w:pPr>
        <w:ind w:left="0"/>
        <w:jc w:val="both"/>
        <w:rPr>
          <w:rFonts w:ascii="Bookman Old Style" w:hAnsi="Bookman Old Style"/>
        </w:rPr>
      </w:pPr>
    </w:p>
    <w:p w:rsidR="00C13DD4" w:rsidRDefault="00C13DD4" w:rsidP="00C84430">
      <w:pPr>
        <w:ind w:left="0"/>
        <w:jc w:val="both"/>
        <w:rPr>
          <w:rFonts w:ascii="Bookman Old Style" w:hAnsi="Bookman Old Style"/>
        </w:rPr>
      </w:pPr>
    </w:p>
    <w:p w:rsidR="00EC13BC" w:rsidRDefault="00EC13BC" w:rsidP="00C84430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 esta razón</w:t>
      </w:r>
      <w:r w:rsidR="00A44651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se considera razonable y conveniente </w:t>
      </w:r>
      <w:r w:rsidR="00C74602">
        <w:rPr>
          <w:rFonts w:ascii="Bookman Old Style" w:hAnsi="Bookman Old Style"/>
        </w:rPr>
        <w:t xml:space="preserve">que </w:t>
      </w:r>
      <w:r>
        <w:rPr>
          <w:rFonts w:ascii="Bookman Old Style" w:hAnsi="Bookman Old Style"/>
        </w:rPr>
        <w:t>para</w:t>
      </w:r>
      <w:r w:rsidR="00B340E1" w:rsidRPr="00B340E1">
        <w:t xml:space="preserve"> </w:t>
      </w:r>
      <w:r w:rsidR="00B340E1" w:rsidRPr="00B340E1">
        <w:rPr>
          <w:rFonts w:ascii="Bookman Old Style" w:hAnsi="Bookman Old Style"/>
        </w:rPr>
        <w:t>la OPC que cubra la demanda a partir del primero de abril de 2015</w:t>
      </w:r>
      <w:r w:rsidR="00B340E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los </w:t>
      </w:r>
      <w:r w:rsidR="00C84430" w:rsidRPr="00C84430">
        <w:rPr>
          <w:rFonts w:ascii="Bookman Old Style" w:hAnsi="Bookman Old Style"/>
        </w:rPr>
        <w:t>per</w:t>
      </w:r>
      <w:r w:rsidR="00B340E1">
        <w:rPr>
          <w:rFonts w:ascii="Bookman Old Style" w:hAnsi="Bookman Old Style"/>
        </w:rPr>
        <w:t>i</w:t>
      </w:r>
      <w:r w:rsidR="00C84430" w:rsidRPr="00C84430">
        <w:rPr>
          <w:rFonts w:ascii="Bookman Old Style" w:hAnsi="Bookman Old Style"/>
        </w:rPr>
        <w:t>odos de cubrimiento de</w:t>
      </w:r>
      <w:r>
        <w:rPr>
          <w:rFonts w:ascii="Bookman Old Style" w:hAnsi="Bookman Old Style"/>
        </w:rPr>
        <w:t xml:space="preserve"> dicha</w:t>
      </w:r>
      <w:r w:rsidR="00C84430" w:rsidRPr="00C84430">
        <w:rPr>
          <w:rFonts w:ascii="Bookman Old Style" w:hAnsi="Bookman Old Style"/>
        </w:rPr>
        <w:t xml:space="preserve"> o</w:t>
      </w:r>
      <w:r w:rsidR="00C74602">
        <w:rPr>
          <w:rFonts w:ascii="Bookman Old Style" w:hAnsi="Bookman Old Style"/>
        </w:rPr>
        <w:t xml:space="preserve">ferta del producto mediante </w:t>
      </w:r>
      <w:r>
        <w:rPr>
          <w:rFonts w:ascii="Bookman Old Style" w:hAnsi="Bookman Old Style"/>
        </w:rPr>
        <w:t xml:space="preserve">correspondan a los inicialmente </w:t>
      </w:r>
      <w:r w:rsidR="00C84430" w:rsidRPr="00C84430">
        <w:rPr>
          <w:rFonts w:ascii="Bookman Old Style" w:hAnsi="Bookman Old Style"/>
        </w:rPr>
        <w:t>establecidos en la Resolución C</w:t>
      </w:r>
      <w:r>
        <w:rPr>
          <w:rFonts w:ascii="Bookman Old Style" w:hAnsi="Bookman Old Style"/>
        </w:rPr>
        <w:t>REG 053 de 2011, es decir,</w:t>
      </w:r>
      <w:r w:rsidR="00C84430" w:rsidRPr="00C84430">
        <w:rPr>
          <w:rFonts w:ascii="Bookman Old Style" w:hAnsi="Bookman Old Style"/>
        </w:rPr>
        <w:t xml:space="preserve"> seis meses y </w:t>
      </w:r>
      <w:r>
        <w:rPr>
          <w:rFonts w:ascii="Bookman Old Style" w:hAnsi="Bookman Old Style"/>
        </w:rPr>
        <w:t>que dichos periodos se derive</w:t>
      </w:r>
      <w:r w:rsidR="00C84430" w:rsidRPr="00C84430">
        <w:rPr>
          <w:rFonts w:ascii="Bookman Old Style" w:hAnsi="Bookman Old Style"/>
        </w:rPr>
        <w:t>n en contratos de suministro de igual plazo, a excepción de los contratos derivados de las fuentes restringidas cuyo</w:t>
      </w:r>
      <w:r w:rsidR="00844822">
        <w:rPr>
          <w:rFonts w:ascii="Bookman Old Style" w:hAnsi="Bookman Old Style"/>
        </w:rPr>
        <w:t xml:space="preserve"> plazo se reduce a tres meses.</w:t>
      </w:r>
    </w:p>
    <w:p w:rsidR="00EC13BC" w:rsidRDefault="00EC13BC" w:rsidP="00C84430">
      <w:pPr>
        <w:ind w:left="0"/>
        <w:jc w:val="both"/>
        <w:rPr>
          <w:rFonts w:ascii="Bookman Old Style" w:hAnsi="Bookman Old Style"/>
        </w:rPr>
      </w:pPr>
    </w:p>
    <w:p w:rsidR="00C84430" w:rsidRDefault="00630022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Igualmente, el análisis de esta coyuntura y las medidas que de manera definitiva permitan solucionar </w:t>
      </w:r>
      <w:r w:rsidR="00844822">
        <w:rPr>
          <w:rFonts w:ascii="Bookman Old Style" w:hAnsi="Bookman Old Style"/>
        </w:rPr>
        <w:t>dicha problemática, así como aquellas relacionadas con el precio y la estabilidad de</w:t>
      </w:r>
      <w:r w:rsidR="005A0C40">
        <w:rPr>
          <w:rFonts w:ascii="Bookman Old Style" w:hAnsi="Bookman Old Style"/>
        </w:rPr>
        <w:t>l</w:t>
      </w:r>
      <w:r w:rsidR="00844822">
        <w:rPr>
          <w:rFonts w:ascii="Bookman Old Style" w:hAnsi="Bookman Old Style"/>
        </w:rPr>
        <w:t xml:space="preserve"> GLP</w:t>
      </w:r>
      <w:r w:rsidR="005A0C40">
        <w:rPr>
          <w:rFonts w:ascii="Bookman Old Style" w:hAnsi="Bookman Old Style"/>
        </w:rPr>
        <w:t>,</w:t>
      </w:r>
      <w:r w:rsidR="00844822">
        <w:rPr>
          <w:rFonts w:ascii="Bookman Old Style" w:hAnsi="Bookman Old Style"/>
        </w:rPr>
        <w:t xml:space="preserve"> de las cuales hacen</w:t>
      </w:r>
      <w:r>
        <w:rPr>
          <w:rFonts w:ascii="Bookman Old Style" w:hAnsi="Bookman Old Style"/>
        </w:rPr>
        <w:t xml:space="preserve"> parte </w:t>
      </w:r>
      <w:r w:rsidRPr="00630022">
        <w:rPr>
          <w:rFonts w:ascii="Bookman Old Style" w:hAnsi="Bookman Old Style"/>
        </w:rPr>
        <w:t>los periodos de o</w:t>
      </w:r>
      <w:r>
        <w:rPr>
          <w:rFonts w:ascii="Bookman Old Style" w:hAnsi="Bookman Old Style"/>
        </w:rPr>
        <w:t>ferta y el mecanismo que permita generar señales de</w:t>
      </w:r>
      <w:r w:rsidR="00844822">
        <w:rPr>
          <w:rFonts w:ascii="Bookman Old Style" w:hAnsi="Bookman Old Style"/>
        </w:rPr>
        <w:t xml:space="preserve"> precio a</w:t>
      </w:r>
      <w:r>
        <w:rPr>
          <w:rFonts w:ascii="Bookman Old Style" w:hAnsi="Bookman Old Style"/>
        </w:rPr>
        <w:t xml:space="preserve"> largo plazo</w:t>
      </w:r>
      <w:r w:rsidR="005A0C40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se expondrán dentro del estudio que realiza </w:t>
      </w:r>
      <w:r w:rsidR="005A0C40">
        <w:rPr>
          <w:rFonts w:ascii="Bookman Old Style" w:hAnsi="Bookman Old Style"/>
        </w:rPr>
        <w:t xml:space="preserve">la CREG </w:t>
      </w:r>
      <w:r>
        <w:rPr>
          <w:rFonts w:ascii="Bookman Old Style" w:hAnsi="Bookman Old Style"/>
        </w:rPr>
        <w:t xml:space="preserve">como </w:t>
      </w:r>
      <w:r w:rsidRPr="00630022">
        <w:rPr>
          <w:rFonts w:ascii="Bookman Old Style" w:hAnsi="Bookman Old Style"/>
        </w:rPr>
        <w:t>parte de la metodología que remunere la actividad de comercializ</w:t>
      </w:r>
      <w:r>
        <w:rPr>
          <w:rFonts w:ascii="Bookman Old Style" w:hAnsi="Bookman Old Style"/>
        </w:rPr>
        <w:t>ación mayorista de GLP, de conformidad con</w:t>
      </w:r>
      <w:r w:rsidRPr="00630022">
        <w:rPr>
          <w:rFonts w:ascii="Bookman Old Style" w:hAnsi="Bookman Old Style"/>
        </w:rPr>
        <w:t xml:space="preserve"> las bases conceptuales expedidas a través de la Resolución CREG</w:t>
      </w:r>
      <w:r>
        <w:rPr>
          <w:rFonts w:ascii="Bookman Old Style" w:hAnsi="Bookman Old Style"/>
        </w:rPr>
        <w:t xml:space="preserve"> </w:t>
      </w:r>
      <w:r w:rsidRPr="00630022">
        <w:rPr>
          <w:rFonts w:ascii="Bookman Old Style" w:hAnsi="Bookman Old Style"/>
        </w:rPr>
        <w:t>113 de 2013.</w:t>
      </w:r>
    </w:p>
    <w:p w:rsidR="00C84430" w:rsidRDefault="00C84430" w:rsidP="00045D3D">
      <w:pPr>
        <w:ind w:left="0"/>
        <w:jc w:val="both"/>
        <w:rPr>
          <w:rFonts w:ascii="Bookman Old Style" w:hAnsi="Bookman Old Style"/>
        </w:rPr>
      </w:pPr>
    </w:p>
    <w:p w:rsidR="00E4553D" w:rsidRDefault="00C74602" w:rsidP="00045D3D">
      <w:pPr>
        <w:ind w:left="0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Con base en</w:t>
      </w:r>
      <w:r w:rsidR="00DF5572" w:rsidRPr="00DF5572">
        <w:rPr>
          <w:rFonts w:ascii="Bookman Old Style" w:hAnsi="Bookman Old Style"/>
          <w:lang w:val="es-ES_tradnl"/>
        </w:rPr>
        <w:t xml:space="preserve"> lo establecido en el artículo 4 del Decreto 2897 de 2010, reglamentario de la Ley 1340 de 2009, no es necesario remitir el presente acto administrativo a la Superintendencia de Industria y Comercio, ya que no afecta en manera alguna la libre competencia entre los agentes del mercado de gas natural.</w:t>
      </w:r>
    </w:p>
    <w:p w:rsidR="00DF5572" w:rsidRDefault="00DF5572" w:rsidP="00045D3D">
      <w:pPr>
        <w:ind w:left="0"/>
        <w:jc w:val="both"/>
        <w:rPr>
          <w:rFonts w:ascii="Bookman Old Style" w:hAnsi="Bookman Old Style"/>
        </w:rPr>
      </w:pPr>
    </w:p>
    <w:p w:rsidR="00E41A4A" w:rsidRDefault="00E41A4A" w:rsidP="00045D3D">
      <w:pPr>
        <w:ind w:left="0"/>
        <w:jc w:val="both"/>
        <w:rPr>
          <w:rFonts w:ascii="Bookman Old Style" w:hAnsi="Bookman Old Style"/>
        </w:rPr>
      </w:pPr>
      <w:r w:rsidRPr="00E41A4A">
        <w:rPr>
          <w:rFonts w:ascii="Bookman Old Style" w:hAnsi="Bookman Old Style"/>
        </w:rPr>
        <w:t>La presente resolución no está sujeta al cumplimiento a los plazos de consu</w:t>
      </w:r>
      <w:r w:rsidR="00C74602">
        <w:rPr>
          <w:rFonts w:ascii="Bookman Old Style" w:hAnsi="Bookman Old Style"/>
        </w:rPr>
        <w:t>lta  de que trata el artículo 9</w:t>
      </w:r>
      <w:r w:rsidRPr="00E41A4A">
        <w:rPr>
          <w:rFonts w:ascii="Bookman Old Style" w:hAnsi="Bookman Old Style"/>
        </w:rPr>
        <w:t xml:space="preserve"> del Decreto 2696 de 2004, dado que las disposiciones contenidas en ella son necesarias para la </w:t>
      </w:r>
      <w:r w:rsidR="005C6C19">
        <w:rPr>
          <w:rFonts w:ascii="Bookman Old Style" w:hAnsi="Bookman Old Style"/>
        </w:rPr>
        <w:t>siguiente oferta pública de cantidades dentro del marco de comercialización mayorista de GLP con precio regulado</w:t>
      </w:r>
      <w:r w:rsidRPr="00E41A4A">
        <w:rPr>
          <w:rFonts w:ascii="Bookman Old Style" w:hAnsi="Bookman Old Style"/>
        </w:rPr>
        <w:t>.</w:t>
      </w:r>
    </w:p>
    <w:p w:rsidR="006B4114" w:rsidRPr="00EB29EB" w:rsidRDefault="006B4114" w:rsidP="006F669D">
      <w:pPr>
        <w:suppressAutoHyphens/>
        <w:ind w:left="0"/>
        <w:rPr>
          <w:rFonts w:ascii="Bookman Old Style" w:hAnsi="Bookman Old Style"/>
          <w:b/>
          <w:spacing w:val="-3"/>
        </w:rPr>
      </w:pPr>
    </w:p>
    <w:p w:rsidR="00045D3D" w:rsidRPr="00EB29EB" w:rsidRDefault="00045D3D" w:rsidP="006B4114">
      <w:pPr>
        <w:suppressAutoHyphens/>
        <w:ind w:left="0"/>
        <w:jc w:val="center"/>
        <w:rPr>
          <w:rFonts w:ascii="Bookman Old Style" w:hAnsi="Bookman Old Style"/>
          <w:spacing w:val="-3"/>
        </w:rPr>
      </w:pPr>
      <w:r w:rsidRPr="00EB29EB">
        <w:rPr>
          <w:rFonts w:ascii="Bookman Old Style" w:hAnsi="Bookman Old Style"/>
          <w:b/>
          <w:spacing w:val="-3"/>
        </w:rPr>
        <w:t>R E S U E L V E:</w:t>
      </w:r>
    </w:p>
    <w:p w:rsidR="00045D3D" w:rsidRDefault="00045D3D" w:rsidP="006B4114">
      <w:pPr>
        <w:ind w:left="0"/>
        <w:jc w:val="both"/>
        <w:rPr>
          <w:rFonts w:ascii="Bookman Old Style" w:hAnsi="Bookman Old Style"/>
        </w:rPr>
      </w:pPr>
    </w:p>
    <w:p w:rsidR="00C13DD4" w:rsidRPr="00EB29EB" w:rsidRDefault="00C13DD4" w:rsidP="006B4114">
      <w:pPr>
        <w:ind w:left="0"/>
        <w:jc w:val="both"/>
        <w:rPr>
          <w:rFonts w:ascii="Bookman Old Style" w:hAnsi="Bookman Old Style"/>
        </w:rPr>
      </w:pPr>
    </w:p>
    <w:p w:rsidR="00272F8D" w:rsidRPr="00E41A4A" w:rsidRDefault="00045D3D" w:rsidP="00E41A4A">
      <w:pPr>
        <w:ind w:left="0"/>
        <w:jc w:val="both"/>
        <w:rPr>
          <w:rFonts w:ascii="Bookman Old Style" w:hAnsi="Bookman Old Style"/>
        </w:rPr>
      </w:pPr>
      <w:r w:rsidRPr="00EB29EB">
        <w:rPr>
          <w:rFonts w:ascii="Bookman Old Style" w:hAnsi="Bookman Old Style"/>
          <w:b/>
        </w:rPr>
        <w:t xml:space="preserve">ARTÍCULO </w:t>
      </w:r>
      <w:r w:rsidR="00ED4CAB">
        <w:rPr>
          <w:rFonts w:ascii="Bookman Old Style" w:hAnsi="Bookman Old Style"/>
          <w:b/>
        </w:rPr>
        <w:t>1</w:t>
      </w:r>
      <w:r w:rsidRPr="00EB29EB">
        <w:rPr>
          <w:rFonts w:ascii="Bookman Old Style" w:hAnsi="Bookman Old Style"/>
          <w:b/>
        </w:rPr>
        <w:t>.</w:t>
      </w:r>
      <w:r w:rsidR="00272F8D">
        <w:rPr>
          <w:rFonts w:ascii="Bookman Old Style" w:hAnsi="Bookman Old Style"/>
          <w:i/>
        </w:rPr>
        <w:t xml:space="preserve"> </w:t>
      </w:r>
      <w:r w:rsidR="00272F8D" w:rsidRPr="00272F8D">
        <w:rPr>
          <w:rFonts w:ascii="Bookman Old Style" w:hAnsi="Bookman Old Style"/>
        </w:rPr>
        <w:t>Modifica</w:t>
      </w:r>
      <w:r w:rsidR="00272F8D">
        <w:rPr>
          <w:rFonts w:ascii="Bookman Old Style" w:hAnsi="Bookman Old Style"/>
        </w:rPr>
        <w:t>r</w:t>
      </w:r>
      <w:r w:rsidR="00272F8D" w:rsidRPr="00272F8D">
        <w:rPr>
          <w:rFonts w:ascii="Bookman Old Style" w:hAnsi="Bookman Old Style"/>
        </w:rPr>
        <w:t xml:space="preserve"> </w:t>
      </w:r>
      <w:r w:rsidR="00EF4206">
        <w:rPr>
          <w:rFonts w:ascii="Bookman Old Style" w:hAnsi="Bookman Old Style"/>
        </w:rPr>
        <w:t xml:space="preserve">el literal </w:t>
      </w:r>
      <w:r w:rsidR="00E41A4A" w:rsidRPr="00E41A4A">
        <w:rPr>
          <w:rFonts w:ascii="Bookman Old Style" w:hAnsi="Bookman Old Style"/>
        </w:rPr>
        <w:t>h) del artículo 14 de la Resolución CREG 053 de 2011,</w:t>
      </w:r>
      <w:r w:rsidR="00C13DD4">
        <w:rPr>
          <w:rFonts w:ascii="Bookman Old Style" w:hAnsi="Bookman Old Style"/>
        </w:rPr>
        <w:t xml:space="preserve"> el cual</w:t>
      </w:r>
      <w:r w:rsidR="00EF4206">
        <w:rPr>
          <w:rFonts w:ascii="Bookman Old Style" w:hAnsi="Bookman Old Style"/>
        </w:rPr>
        <w:t xml:space="preserve"> quedara</w:t>
      </w:r>
      <w:r w:rsidR="00E41A4A">
        <w:rPr>
          <w:rFonts w:ascii="Bookman Old Style" w:hAnsi="Bookman Old Style"/>
        </w:rPr>
        <w:t xml:space="preserve"> así:</w:t>
      </w:r>
    </w:p>
    <w:p w:rsidR="00272F8D" w:rsidRPr="00272F8D" w:rsidRDefault="00272F8D" w:rsidP="00EF4206">
      <w:pPr>
        <w:ind w:left="0" w:right="142"/>
        <w:jc w:val="both"/>
        <w:rPr>
          <w:rFonts w:ascii="Bookman Old Style" w:hAnsi="Bookman Old Style" w:cs="Arial"/>
        </w:rPr>
      </w:pPr>
    </w:p>
    <w:p w:rsidR="00272F8D" w:rsidRDefault="00272F8D" w:rsidP="00ED4CAB">
      <w:pPr>
        <w:ind w:left="849" w:right="142" w:hanging="284"/>
        <w:jc w:val="both"/>
        <w:rPr>
          <w:rFonts w:ascii="Bookman Old Style" w:hAnsi="Bookman Old Style" w:cs="Arial"/>
        </w:rPr>
      </w:pPr>
      <w:r w:rsidRPr="00272F8D">
        <w:rPr>
          <w:rFonts w:ascii="Bookman Old Style" w:hAnsi="Bookman Old Style" w:cs="Arial"/>
        </w:rPr>
        <w:t>h.</w:t>
      </w:r>
      <w:r w:rsidRPr="00272F8D">
        <w:rPr>
          <w:rFonts w:ascii="Bookman Old Style" w:hAnsi="Bookman Old Style" w:cs="Arial"/>
        </w:rPr>
        <w:tab/>
        <w:t xml:space="preserve">El promedio histórico de ventas a utilizar para efectos de aplicar estas reglas de prorrateo se calculará con base en la información de cantidades de GLP vendidas a través de tanques estacionarios, a través de cilindros y </w:t>
      </w:r>
      <w:r>
        <w:rPr>
          <w:rFonts w:ascii="Bookman Old Style" w:hAnsi="Bookman Old Style" w:cs="Arial"/>
        </w:rPr>
        <w:t xml:space="preserve">a través </w:t>
      </w:r>
      <w:r w:rsidR="00AD45EB" w:rsidRPr="00272F8D">
        <w:rPr>
          <w:rFonts w:ascii="Bookman Old Style" w:hAnsi="Bookman Old Style" w:cs="Arial"/>
        </w:rPr>
        <w:t xml:space="preserve">de GLP </w:t>
      </w:r>
      <w:r w:rsidRPr="00272F8D">
        <w:rPr>
          <w:rFonts w:ascii="Bookman Old Style" w:hAnsi="Bookman Old Style" w:cs="Arial"/>
        </w:rPr>
        <w:t xml:space="preserve">por redes en los diferentes municipios del país, reportados al SUI por los Distribuidores </w:t>
      </w:r>
      <w:r w:rsidR="00AD45EB">
        <w:rPr>
          <w:rFonts w:ascii="Bookman Old Style" w:hAnsi="Bookman Old Style" w:cs="Arial"/>
        </w:rPr>
        <w:t xml:space="preserve">de GLP, </w:t>
      </w:r>
      <w:r w:rsidRPr="00272F8D">
        <w:rPr>
          <w:rFonts w:ascii="Bookman Old Style" w:hAnsi="Bookman Old Style" w:cs="Arial"/>
        </w:rPr>
        <w:t xml:space="preserve">por </w:t>
      </w:r>
      <w:r w:rsidR="00AD45EB">
        <w:rPr>
          <w:rFonts w:ascii="Bookman Old Style" w:hAnsi="Bookman Old Style" w:cs="Arial"/>
        </w:rPr>
        <w:t xml:space="preserve">los </w:t>
      </w:r>
      <w:r w:rsidRPr="00272F8D">
        <w:rPr>
          <w:rFonts w:ascii="Bookman Old Style" w:hAnsi="Bookman Old Style" w:cs="Arial"/>
        </w:rPr>
        <w:t>comercializadores minoristas</w:t>
      </w:r>
      <w:r w:rsidR="00AD45EB">
        <w:rPr>
          <w:rFonts w:ascii="Bookman Old Style" w:hAnsi="Bookman Old Style" w:cs="Arial"/>
        </w:rPr>
        <w:t xml:space="preserve"> de estos o por los Distribuidores de GLP por Redes</w:t>
      </w:r>
      <w:r w:rsidRPr="00272F8D">
        <w:rPr>
          <w:rFonts w:ascii="Bookman Old Style" w:hAnsi="Bookman Old Style" w:cs="Arial"/>
        </w:rPr>
        <w:t xml:space="preserve">, </w:t>
      </w:r>
      <w:r w:rsidR="00B340E1" w:rsidRPr="00B340E1">
        <w:rPr>
          <w:rFonts w:ascii="Bookman Old Style" w:hAnsi="Bookman Old Style" w:cs="Arial"/>
        </w:rPr>
        <w:t xml:space="preserve">para los tres (3) meses inmediatamente anteriores al </w:t>
      </w:r>
      <w:r w:rsidR="00B340E1">
        <w:rPr>
          <w:rFonts w:ascii="Bookman Old Style" w:hAnsi="Bookman Old Style" w:cs="Arial"/>
        </w:rPr>
        <w:t>mes en el que se realiza la OPC</w:t>
      </w:r>
      <w:r w:rsidRPr="00272F8D">
        <w:rPr>
          <w:rFonts w:ascii="Bookman Old Style" w:hAnsi="Bookman Old Style" w:cs="Arial"/>
        </w:rPr>
        <w:t>.</w:t>
      </w:r>
    </w:p>
    <w:p w:rsidR="000212FD" w:rsidRPr="009C4E55" w:rsidRDefault="000212FD" w:rsidP="0028701A">
      <w:pPr>
        <w:ind w:left="0"/>
        <w:jc w:val="both"/>
        <w:rPr>
          <w:rFonts w:ascii="Bookman Old Style" w:hAnsi="Bookman Old Style"/>
          <w:b/>
        </w:rPr>
      </w:pPr>
    </w:p>
    <w:p w:rsidR="000212FD" w:rsidRPr="00886292" w:rsidRDefault="009C4E55" w:rsidP="0028701A">
      <w:pPr>
        <w:ind w:left="0"/>
        <w:jc w:val="both"/>
        <w:rPr>
          <w:rFonts w:ascii="Bookman Old Style" w:hAnsi="Bookman Old Style"/>
        </w:rPr>
      </w:pPr>
      <w:r w:rsidRPr="00886292">
        <w:rPr>
          <w:rFonts w:ascii="Bookman Old Style" w:hAnsi="Bookman Old Style"/>
          <w:b/>
        </w:rPr>
        <w:t>ARTÍCULO 2.</w:t>
      </w:r>
      <w:r>
        <w:rPr>
          <w:rFonts w:ascii="Bookman Old Style" w:hAnsi="Bookman Old Style"/>
        </w:rPr>
        <w:t xml:space="preserve"> </w:t>
      </w:r>
      <w:r w:rsidR="008706CA">
        <w:rPr>
          <w:rFonts w:ascii="Bookman Old Style" w:hAnsi="Bookman Old Style"/>
        </w:rPr>
        <w:t>Las modifica</w:t>
      </w:r>
      <w:r w:rsidR="000212FD" w:rsidRPr="00886292">
        <w:rPr>
          <w:rFonts w:ascii="Bookman Old Style" w:hAnsi="Bookman Old Style"/>
        </w:rPr>
        <w:t>ciones y adiciones realizadas</w:t>
      </w:r>
      <w:r w:rsidR="008706CA">
        <w:rPr>
          <w:rFonts w:ascii="Bookman Old Style" w:hAnsi="Bookman Old Style"/>
        </w:rPr>
        <w:t xml:space="preserve"> </w:t>
      </w:r>
      <w:r w:rsidR="000212FD" w:rsidRPr="00886292">
        <w:rPr>
          <w:rFonts w:ascii="Bookman Old Style" w:hAnsi="Bookman Old Style"/>
        </w:rPr>
        <w:t>mediante los artículos 6 y 7 de la Resolución CREG 154 de 2014 a l</w:t>
      </w:r>
      <w:r w:rsidR="005D200B" w:rsidRPr="00886292">
        <w:rPr>
          <w:rFonts w:ascii="Bookman Old Style" w:hAnsi="Bookman Old Style"/>
        </w:rPr>
        <w:t>os artículos</w:t>
      </w:r>
      <w:r w:rsidR="008706CA">
        <w:rPr>
          <w:rFonts w:ascii="Bookman Old Style" w:hAnsi="Bookman Old Style"/>
        </w:rPr>
        <w:t xml:space="preserve"> 13 y 14 de l</w:t>
      </w:r>
      <w:r w:rsidR="000212FD" w:rsidRPr="00886292">
        <w:rPr>
          <w:rFonts w:ascii="Bookman Old Style" w:hAnsi="Bookman Old Style"/>
        </w:rPr>
        <w:t xml:space="preserve">a Resolución CREG 053 de 2011 </w:t>
      </w:r>
      <w:r w:rsidR="008706CA">
        <w:rPr>
          <w:rFonts w:ascii="Bookman Old Style" w:hAnsi="Bookman Old Style"/>
        </w:rPr>
        <w:t xml:space="preserve">se </w:t>
      </w:r>
      <w:r w:rsidR="000212FD" w:rsidRPr="00886292">
        <w:rPr>
          <w:rFonts w:ascii="Bookman Old Style" w:hAnsi="Bookman Old Style"/>
        </w:rPr>
        <w:t xml:space="preserve">empezarán </w:t>
      </w:r>
      <w:r w:rsidR="005D200B" w:rsidRPr="00886292">
        <w:rPr>
          <w:rFonts w:ascii="Bookman Old Style" w:hAnsi="Bookman Old Style"/>
        </w:rPr>
        <w:t xml:space="preserve">a </w:t>
      </w:r>
      <w:r w:rsidR="008706CA">
        <w:rPr>
          <w:rFonts w:ascii="Bookman Old Style" w:hAnsi="Bookman Old Style"/>
        </w:rPr>
        <w:t>aplica</w:t>
      </w:r>
      <w:r>
        <w:rPr>
          <w:rFonts w:ascii="Bookman Old Style" w:hAnsi="Bookman Old Style"/>
        </w:rPr>
        <w:t>r a partir de la</w:t>
      </w:r>
      <w:r w:rsidR="000212FD" w:rsidRPr="00886292">
        <w:rPr>
          <w:rFonts w:ascii="Bookman Old Style" w:hAnsi="Bookman Old Style"/>
        </w:rPr>
        <w:t xml:space="preserve"> OPC que se lleve a cabo con posterioridad a la OPC que cubra la demanda a parti</w:t>
      </w:r>
      <w:r w:rsidR="005D200B" w:rsidRPr="00886292">
        <w:rPr>
          <w:rFonts w:ascii="Bookman Old Style" w:hAnsi="Bookman Old Style"/>
        </w:rPr>
        <w:t>r del primero de abril de 2015.</w:t>
      </w:r>
    </w:p>
    <w:p w:rsidR="000212FD" w:rsidRDefault="000212FD" w:rsidP="0028701A">
      <w:pPr>
        <w:ind w:left="0"/>
        <w:jc w:val="both"/>
        <w:rPr>
          <w:rFonts w:ascii="Bookman Old Style" w:hAnsi="Bookman Old Style"/>
          <w:b/>
        </w:rPr>
      </w:pPr>
    </w:p>
    <w:p w:rsidR="008706CA" w:rsidRPr="00886292" w:rsidRDefault="00BD7733" w:rsidP="0028701A">
      <w:pPr>
        <w:ind w:left="0"/>
        <w:jc w:val="both"/>
        <w:rPr>
          <w:rFonts w:ascii="Bookman Old Style" w:hAnsi="Bookman Old Style"/>
        </w:rPr>
      </w:pPr>
      <w:r w:rsidRPr="00886292">
        <w:rPr>
          <w:rFonts w:ascii="Bookman Old Style" w:hAnsi="Bookman Old Style"/>
          <w:b/>
        </w:rPr>
        <w:t>Parágrafo.</w:t>
      </w:r>
      <w:r>
        <w:rPr>
          <w:rFonts w:ascii="Bookman Old Style" w:hAnsi="Bookman Old Style"/>
        </w:rPr>
        <w:t xml:space="preserve"> </w:t>
      </w:r>
      <w:r w:rsidR="008706CA">
        <w:rPr>
          <w:rFonts w:ascii="Bookman Old Style" w:hAnsi="Bookman Old Style"/>
        </w:rPr>
        <w:t xml:space="preserve">De manera excepcional </w:t>
      </w:r>
      <w:r>
        <w:rPr>
          <w:rFonts w:ascii="Bookman Old Style" w:hAnsi="Bookman Old Style"/>
        </w:rPr>
        <w:t xml:space="preserve">y únicamente </w:t>
      </w:r>
      <w:r w:rsidR="008706CA">
        <w:rPr>
          <w:rFonts w:ascii="Bookman Old Style" w:hAnsi="Bookman Old Style"/>
        </w:rPr>
        <w:t>para</w:t>
      </w:r>
      <w:r w:rsidR="008706CA" w:rsidRPr="00886292">
        <w:rPr>
          <w:rFonts w:ascii="Bookman Old Style" w:hAnsi="Bookman Old Style"/>
        </w:rPr>
        <w:t xml:space="preserve"> la OPC que cubra la demanda a part</w:t>
      </w:r>
      <w:r w:rsidRPr="00BD7733">
        <w:rPr>
          <w:rFonts w:ascii="Bookman Old Style" w:hAnsi="Bookman Old Style"/>
        </w:rPr>
        <w:t>ir del primero de abril de 2015</w:t>
      </w:r>
      <w:r w:rsidR="009C4E55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el producto </w:t>
      </w:r>
      <w:r w:rsidR="009C4E55">
        <w:rPr>
          <w:rFonts w:ascii="Bookman Old Style" w:hAnsi="Bookman Old Style"/>
        </w:rPr>
        <w:t>se deber</w:t>
      </w:r>
      <w:r w:rsidR="00F0367E">
        <w:rPr>
          <w:rFonts w:ascii="Bookman Old Style" w:hAnsi="Bookman Old Style"/>
        </w:rPr>
        <w:t>á ofrecer</w:t>
      </w:r>
      <w:r>
        <w:rPr>
          <w:rFonts w:ascii="Bookman Old Style" w:hAnsi="Bookman Old Style"/>
        </w:rPr>
        <w:t xml:space="preserve"> </w:t>
      </w:r>
      <w:r w:rsidR="009C4E55">
        <w:rPr>
          <w:rFonts w:ascii="Bookman Old Style" w:hAnsi="Bookman Old Style"/>
        </w:rPr>
        <w:t>por los menos veinticinco (25) días calendario antes de ejecutarse los contratos de suministro resultantes.</w:t>
      </w:r>
    </w:p>
    <w:p w:rsidR="008706CA" w:rsidRDefault="008706CA" w:rsidP="0028701A">
      <w:pPr>
        <w:ind w:left="0"/>
        <w:jc w:val="both"/>
        <w:rPr>
          <w:rFonts w:ascii="Bookman Old Style" w:hAnsi="Bookman Old Style"/>
          <w:b/>
        </w:rPr>
      </w:pPr>
    </w:p>
    <w:p w:rsidR="00ED4CAB" w:rsidRPr="00ED4CAB" w:rsidRDefault="0013521E" w:rsidP="00ED4CAB">
      <w:pPr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ARTÍCULO </w:t>
      </w:r>
      <w:r w:rsidR="00F0367E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. </w:t>
      </w:r>
      <w:r w:rsidR="00ED4CAB">
        <w:rPr>
          <w:rFonts w:ascii="Bookman Old Style" w:hAnsi="Bookman Old Style"/>
          <w:b/>
        </w:rPr>
        <w:t xml:space="preserve">VIGENCIA. </w:t>
      </w:r>
      <w:r w:rsidR="00E41A4A" w:rsidRPr="00E41A4A">
        <w:rPr>
          <w:rFonts w:ascii="Bookman Old Style" w:hAnsi="Bookman Old Style"/>
        </w:rPr>
        <w:t xml:space="preserve">Esta resolución rige a partir de su publicación en el </w:t>
      </w:r>
      <w:r w:rsidR="00E41A4A" w:rsidRPr="0028701A">
        <w:rPr>
          <w:rFonts w:ascii="Bookman Old Style" w:hAnsi="Bookman Old Style"/>
          <w:i/>
        </w:rPr>
        <w:t>Diario Oficial</w:t>
      </w:r>
      <w:r w:rsidR="00E41A4A" w:rsidRPr="00E41A4A">
        <w:rPr>
          <w:rFonts w:ascii="Bookman Old Style" w:hAnsi="Bookman Old Style"/>
        </w:rPr>
        <w:t xml:space="preserve"> y deroga las normas que le sean contrarias.</w:t>
      </w:r>
    </w:p>
    <w:p w:rsidR="00EB29EB" w:rsidRPr="00EB29EB" w:rsidRDefault="00EB29EB" w:rsidP="00EB29EB">
      <w:pPr>
        <w:ind w:left="0"/>
        <w:jc w:val="both"/>
        <w:rPr>
          <w:rFonts w:ascii="Bookman Old Style" w:hAnsi="Bookman Old Style"/>
        </w:rPr>
      </w:pPr>
    </w:p>
    <w:p w:rsidR="00045D3D" w:rsidRPr="00EB29EB" w:rsidRDefault="00045D3D" w:rsidP="00045D3D">
      <w:pPr>
        <w:ind w:left="0"/>
        <w:rPr>
          <w:rFonts w:ascii="Bookman Old Style" w:hAnsi="Bookman Old Style"/>
        </w:rPr>
      </w:pPr>
    </w:p>
    <w:p w:rsidR="00045D3D" w:rsidRPr="00EB29EB" w:rsidRDefault="00045D3D" w:rsidP="00045D3D">
      <w:pPr>
        <w:jc w:val="center"/>
        <w:rPr>
          <w:rFonts w:ascii="Bookman Old Style" w:hAnsi="Bookman Old Style"/>
          <w:b/>
        </w:rPr>
      </w:pPr>
      <w:r w:rsidRPr="00EB29EB">
        <w:rPr>
          <w:rFonts w:ascii="Bookman Old Style" w:hAnsi="Bookman Old Style"/>
          <w:b/>
        </w:rPr>
        <w:t>PU</w:t>
      </w:r>
      <w:r w:rsidR="00CA03C8" w:rsidRPr="00EB29EB">
        <w:rPr>
          <w:rFonts w:ascii="Bookman Old Style" w:hAnsi="Bookman Old Style"/>
          <w:b/>
        </w:rPr>
        <w:t>B</w:t>
      </w:r>
      <w:r w:rsidRPr="00EB29EB">
        <w:rPr>
          <w:rFonts w:ascii="Bookman Old Style" w:hAnsi="Bookman Old Style"/>
          <w:b/>
        </w:rPr>
        <w:t>LÍQUESE Y CÚMPLASE</w:t>
      </w:r>
    </w:p>
    <w:p w:rsidR="00045D3D" w:rsidRPr="00EB29EB" w:rsidRDefault="00045D3D" w:rsidP="00045D3D">
      <w:pPr>
        <w:rPr>
          <w:rFonts w:ascii="Bookman Old Style" w:hAnsi="Bookman Old Style"/>
        </w:rPr>
      </w:pPr>
    </w:p>
    <w:p w:rsidR="00045D3D" w:rsidRPr="00EB29EB" w:rsidRDefault="00DF5572" w:rsidP="00045D3D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Firma del Proyecto,</w:t>
      </w:r>
    </w:p>
    <w:p w:rsidR="00045D3D" w:rsidRDefault="00045D3D" w:rsidP="00045D3D">
      <w:pPr>
        <w:ind w:left="0"/>
        <w:rPr>
          <w:rFonts w:ascii="Bookman Old Style" w:hAnsi="Bookman Old Style"/>
        </w:rPr>
      </w:pPr>
    </w:p>
    <w:p w:rsidR="00E53AB4" w:rsidRDefault="00E53AB4" w:rsidP="00045D3D">
      <w:pPr>
        <w:ind w:left="0"/>
        <w:rPr>
          <w:rFonts w:ascii="Bookman Old Style" w:hAnsi="Bookman Old Style"/>
        </w:rPr>
      </w:pPr>
    </w:p>
    <w:p w:rsidR="00E060BE" w:rsidRDefault="00E060BE" w:rsidP="00E53AB4">
      <w:pPr>
        <w:ind w:left="0"/>
        <w:rPr>
          <w:rFonts w:ascii="Bookman Old Style" w:hAnsi="Bookman Old Style" w:cs="Arial"/>
        </w:rPr>
      </w:pPr>
    </w:p>
    <w:p w:rsidR="00EB2718" w:rsidRDefault="00EB2718" w:rsidP="00E53AB4">
      <w:pPr>
        <w:ind w:left="0"/>
        <w:rPr>
          <w:rFonts w:ascii="Bookman Old Style" w:hAnsi="Bookman Old Style" w:cs="Arial"/>
        </w:rPr>
      </w:pPr>
    </w:p>
    <w:p w:rsidR="00EB2718" w:rsidRPr="00315BA7" w:rsidRDefault="00EB2718" w:rsidP="00EB2718">
      <w:pPr>
        <w:widowControl w:val="0"/>
        <w:ind w:left="0"/>
        <w:rPr>
          <w:rFonts w:ascii="Bookman Old Style" w:hAnsi="Bookman Old Style"/>
        </w:rPr>
      </w:pPr>
    </w:p>
    <w:p w:rsidR="00EB2718" w:rsidRPr="00315BA7" w:rsidRDefault="00EB2718" w:rsidP="00EB2718">
      <w:pPr>
        <w:widowControl w:val="0"/>
        <w:ind w:left="0"/>
        <w:rPr>
          <w:rFonts w:ascii="Bookman Old Style" w:hAnsi="Bookman Old Style"/>
        </w:rPr>
      </w:pPr>
    </w:p>
    <w:tbl>
      <w:tblPr>
        <w:tblW w:w="9676" w:type="dxa"/>
        <w:jc w:val="center"/>
        <w:tblInd w:w="-38" w:type="dxa"/>
        <w:tblLayout w:type="fixed"/>
        <w:tblLook w:val="04A0" w:firstRow="1" w:lastRow="0" w:firstColumn="1" w:lastColumn="0" w:noHBand="0" w:noVBand="1"/>
      </w:tblPr>
      <w:tblGrid>
        <w:gridCol w:w="4928"/>
        <w:gridCol w:w="4748"/>
      </w:tblGrid>
      <w:tr w:rsidR="00EB2718" w:rsidTr="004B343B">
        <w:trPr>
          <w:jc w:val="center"/>
        </w:trPr>
        <w:tc>
          <w:tcPr>
            <w:tcW w:w="4928" w:type="dxa"/>
            <w:hideMark/>
          </w:tcPr>
          <w:p w:rsidR="00EB2718" w:rsidRDefault="00EB2718" w:rsidP="004B343B">
            <w:pPr>
              <w:ind w:left="0" w:right="-28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CARLOS FERNANDO ERASO CALERO</w:t>
            </w:r>
          </w:p>
          <w:p w:rsidR="00EB2718" w:rsidRDefault="00EB2718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Viceministro de Energía</w:t>
            </w:r>
          </w:p>
          <w:p w:rsidR="00EB2718" w:rsidRDefault="00EB2718" w:rsidP="004B343B">
            <w:pPr>
              <w:ind w:left="-90" w:right="-160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Delegado del Ministro de Minas y Energía</w:t>
            </w:r>
          </w:p>
          <w:p w:rsidR="00EB2718" w:rsidRDefault="00EB2718" w:rsidP="004B343B">
            <w:pPr>
              <w:ind w:left="142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Presidente</w:t>
            </w:r>
          </w:p>
        </w:tc>
        <w:tc>
          <w:tcPr>
            <w:tcW w:w="4748" w:type="dxa"/>
            <w:hideMark/>
          </w:tcPr>
          <w:p w:rsidR="00EB2718" w:rsidRDefault="00EB2718" w:rsidP="004B343B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JORGE PINTO NOLLA</w:t>
            </w:r>
          </w:p>
          <w:p w:rsidR="00EB2718" w:rsidRDefault="00EB2718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Director Ejecutivo</w:t>
            </w:r>
          </w:p>
        </w:tc>
      </w:tr>
    </w:tbl>
    <w:p w:rsidR="00EB2718" w:rsidRPr="00EB29EB" w:rsidRDefault="00EB2718" w:rsidP="00E53AB4">
      <w:pPr>
        <w:ind w:left="0"/>
        <w:rPr>
          <w:rFonts w:ascii="Bookman Old Style" w:hAnsi="Bookman Old Style" w:cs="Arial"/>
        </w:rPr>
      </w:pPr>
    </w:p>
    <w:sectPr w:rsidR="00EB2718" w:rsidRPr="00EB29EB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6C" w:rsidRDefault="00804F6C">
      <w:r>
        <w:separator/>
      </w:r>
    </w:p>
  </w:endnote>
  <w:endnote w:type="continuationSeparator" w:id="0">
    <w:p w:rsidR="00804F6C" w:rsidRDefault="0080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6C" w:rsidRDefault="00804F6C">
      <w:r>
        <w:separator/>
      </w:r>
    </w:p>
  </w:footnote>
  <w:footnote w:type="continuationSeparator" w:id="0">
    <w:p w:rsidR="00804F6C" w:rsidRDefault="00804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4A" w:rsidRDefault="00E41A4A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E41A4A" w:rsidRPr="00951F79" w:rsidRDefault="00E41A4A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F84CA0">
      <w:rPr>
        <w:rFonts w:ascii="Bookman Old Style" w:hAnsi="Bookman Old Style" w:cs="Arial"/>
        <w:b w:val="0"/>
        <w:noProof/>
        <w:sz w:val="22"/>
        <w:szCs w:val="22"/>
      </w:rPr>
      <w:t>6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F84CA0">
      <w:fldChar w:fldCharType="begin"/>
    </w:r>
    <w:r w:rsidR="00F84CA0">
      <w:instrText xml:space="preserve"> NUMPAGES  \* MERGEFORMAT </w:instrText>
    </w:r>
    <w:r w:rsidR="00F84CA0">
      <w:fldChar w:fldCharType="separate"/>
    </w:r>
    <w:r w:rsidR="00F84CA0" w:rsidRPr="00F84CA0">
      <w:rPr>
        <w:rFonts w:ascii="Bookman Old Style" w:hAnsi="Bookman Old Style" w:cs="Arial"/>
        <w:b w:val="0"/>
        <w:noProof/>
        <w:sz w:val="22"/>
        <w:szCs w:val="22"/>
      </w:rPr>
      <w:t>6</w:t>
    </w:r>
    <w:r w:rsidR="00F84CA0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E41A4A" w:rsidRDefault="00E41A4A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7278D" wp14:editId="7A151354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E41A4A" w:rsidRPr="00045D3D" w:rsidRDefault="006F669D" w:rsidP="00DF5572">
    <w:pPr>
      <w:pBdr>
        <w:bottom w:val="single" w:sz="4" w:space="1" w:color="auto"/>
      </w:pBdr>
      <w:ind w:left="142" w:right="148"/>
      <w:jc w:val="both"/>
      <w:rPr>
        <w:b/>
      </w:rPr>
    </w:pPr>
    <w:r w:rsidRPr="006F669D">
      <w:rPr>
        <w:rFonts w:ascii="Bookman Old Style" w:hAnsi="Bookman Old Style"/>
        <w:sz w:val="22"/>
        <w:szCs w:val="22"/>
      </w:rPr>
      <w:t xml:space="preserve">Por la cual se ordena hacer público un proyecto de resolución “Por la cual se modifica </w:t>
    </w:r>
    <w:r w:rsidR="00F0367E">
      <w:rPr>
        <w:rFonts w:ascii="Bookman Old Style" w:hAnsi="Bookman Old Style"/>
        <w:sz w:val="22"/>
        <w:szCs w:val="22"/>
      </w:rPr>
      <w:t>e</w:t>
    </w:r>
    <w:r w:rsidRPr="006F669D">
      <w:rPr>
        <w:rFonts w:ascii="Bookman Old Style" w:hAnsi="Bookman Old Style"/>
        <w:sz w:val="22"/>
        <w:szCs w:val="22"/>
      </w:rPr>
      <w:t>l reglamento de comercialización mayorista de gas licuado de petróleo, establecido en la Resolución CREG 053 de 2011</w:t>
    </w:r>
    <w:r w:rsidR="00F0367E">
      <w:rPr>
        <w:rFonts w:ascii="Bookman Old Style" w:hAnsi="Bookman Old Style"/>
        <w:sz w:val="22"/>
        <w:szCs w:val="22"/>
      </w:rPr>
      <w:t xml:space="preserve"> y se adoptan otras disposiciones</w:t>
    </w:r>
    <w:r w:rsidRPr="006F669D">
      <w:rPr>
        <w:rFonts w:ascii="Bookman Old Style" w:hAnsi="Bookman Old Style"/>
        <w:sz w:val="22"/>
        <w:szCs w:val="22"/>
      </w:rPr>
      <w:t>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4A" w:rsidRDefault="00E41A4A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E41A4A" w:rsidRDefault="00E41A4A">
    <w:pPr>
      <w:pStyle w:val="Encabezado"/>
      <w:jc w:val="center"/>
      <w:rPr>
        <w:rFonts w:ascii="Arial" w:hAnsi="Arial" w:cs="Arial"/>
        <w:spacing w:val="20"/>
        <w:sz w:val="20"/>
      </w:rPr>
    </w:pPr>
  </w:p>
  <w:p w:rsidR="00E41A4A" w:rsidRDefault="00E41A4A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72B1F" wp14:editId="0F3E3123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32BD8"/>
    <w:multiLevelType w:val="hybridMultilevel"/>
    <w:tmpl w:val="1F3E190C"/>
    <w:lvl w:ilvl="0" w:tplc="68D4F308">
      <w:start w:val="1"/>
      <w:numFmt w:val="decimal"/>
      <w:pStyle w:val="ARTICULOS"/>
      <w:lvlText w:val="Artículo %1."/>
      <w:lvlJc w:val="left"/>
      <w:pPr>
        <w:ind w:left="4046" w:hanging="360"/>
      </w:pPr>
      <w:rPr>
        <w:rFonts w:ascii="Bookman Old Style" w:hAnsi="Bookman Old Style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s-ES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0A0019">
      <w:start w:val="1"/>
      <w:numFmt w:val="lowerLetter"/>
      <w:lvlText w:val="%2."/>
      <w:lvlJc w:val="left"/>
      <w:pPr>
        <w:ind w:left="-338" w:hanging="360"/>
      </w:pPr>
    </w:lvl>
    <w:lvl w:ilvl="2" w:tplc="240A000F">
      <w:start w:val="1"/>
      <w:numFmt w:val="decimal"/>
      <w:lvlText w:val="%3."/>
      <w:lvlJc w:val="left"/>
      <w:pPr>
        <w:ind w:left="382" w:hanging="180"/>
      </w:pPr>
    </w:lvl>
    <w:lvl w:ilvl="3" w:tplc="240A000F" w:tentative="1">
      <w:start w:val="1"/>
      <w:numFmt w:val="decimal"/>
      <w:lvlText w:val="%4."/>
      <w:lvlJc w:val="left"/>
      <w:pPr>
        <w:ind w:left="1102" w:hanging="360"/>
      </w:pPr>
    </w:lvl>
    <w:lvl w:ilvl="4" w:tplc="240A0019" w:tentative="1">
      <w:start w:val="1"/>
      <w:numFmt w:val="lowerLetter"/>
      <w:lvlText w:val="%5."/>
      <w:lvlJc w:val="left"/>
      <w:pPr>
        <w:ind w:left="1822" w:hanging="360"/>
      </w:pPr>
    </w:lvl>
    <w:lvl w:ilvl="5" w:tplc="240A001B" w:tentative="1">
      <w:start w:val="1"/>
      <w:numFmt w:val="lowerRoman"/>
      <w:lvlText w:val="%6."/>
      <w:lvlJc w:val="right"/>
      <w:pPr>
        <w:ind w:left="2542" w:hanging="180"/>
      </w:pPr>
    </w:lvl>
    <w:lvl w:ilvl="6" w:tplc="240A000F" w:tentative="1">
      <w:start w:val="1"/>
      <w:numFmt w:val="decimal"/>
      <w:lvlText w:val="%7."/>
      <w:lvlJc w:val="left"/>
      <w:pPr>
        <w:ind w:left="3262" w:hanging="360"/>
      </w:pPr>
    </w:lvl>
    <w:lvl w:ilvl="7" w:tplc="240A0019" w:tentative="1">
      <w:start w:val="1"/>
      <w:numFmt w:val="lowerLetter"/>
      <w:lvlText w:val="%8."/>
      <w:lvlJc w:val="left"/>
      <w:pPr>
        <w:ind w:left="3982" w:hanging="360"/>
      </w:pPr>
    </w:lvl>
    <w:lvl w:ilvl="8" w:tplc="240A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1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17"/>
  </w:num>
  <w:num w:numId="9">
    <w:abstractNumId w:val="16"/>
  </w:num>
  <w:num w:numId="10">
    <w:abstractNumId w:val="12"/>
  </w:num>
  <w:num w:numId="11">
    <w:abstractNumId w:val="22"/>
  </w:num>
  <w:num w:numId="12">
    <w:abstractNumId w:val="19"/>
  </w:num>
  <w:num w:numId="13">
    <w:abstractNumId w:val="10"/>
  </w:num>
  <w:num w:numId="14">
    <w:abstractNumId w:val="2"/>
  </w:num>
  <w:num w:numId="15">
    <w:abstractNumId w:val="13"/>
  </w:num>
  <w:num w:numId="16">
    <w:abstractNumId w:val="1"/>
  </w:num>
  <w:num w:numId="17">
    <w:abstractNumId w:val="9"/>
  </w:num>
  <w:num w:numId="18">
    <w:abstractNumId w:val="0"/>
  </w:num>
  <w:num w:numId="19">
    <w:abstractNumId w:val="18"/>
  </w:num>
  <w:num w:numId="20">
    <w:abstractNumId w:val="14"/>
  </w:num>
  <w:num w:numId="21">
    <w:abstractNumId w:val="7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6AE2"/>
    <w:rsid w:val="000076A1"/>
    <w:rsid w:val="00012259"/>
    <w:rsid w:val="00013272"/>
    <w:rsid w:val="000212FD"/>
    <w:rsid w:val="000231D5"/>
    <w:rsid w:val="00025383"/>
    <w:rsid w:val="00045D3D"/>
    <w:rsid w:val="00056D33"/>
    <w:rsid w:val="00063657"/>
    <w:rsid w:val="000650F3"/>
    <w:rsid w:val="000716FC"/>
    <w:rsid w:val="00076680"/>
    <w:rsid w:val="00076A1D"/>
    <w:rsid w:val="0008073E"/>
    <w:rsid w:val="00091CDB"/>
    <w:rsid w:val="000A19AC"/>
    <w:rsid w:val="000B2EC9"/>
    <w:rsid w:val="000D26F8"/>
    <w:rsid w:val="00106654"/>
    <w:rsid w:val="00115313"/>
    <w:rsid w:val="00123BA1"/>
    <w:rsid w:val="0013521E"/>
    <w:rsid w:val="0013526C"/>
    <w:rsid w:val="001405C6"/>
    <w:rsid w:val="00141013"/>
    <w:rsid w:val="00142A68"/>
    <w:rsid w:val="00151EA2"/>
    <w:rsid w:val="00192CBF"/>
    <w:rsid w:val="00192FF1"/>
    <w:rsid w:val="001A5F1B"/>
    <w:rsid w:val="001B1C22"/>
    <w:rsid w:val="001B34C6"/>
    <w:rsid w:val="001D7832"/>
    <w:rsid w:val="001E0A71"/>
    <w:rsid w:val="001E0ADC"/>
    <w:rsid w:val="00203510"/>
    <w:rsid w:val="00210DC1"/>
    <w:rsid w:val="00211D34"/>
    <w:rsid w:val="00214F04"/>
    <w:rsid w:val="002352B9"/>
    <w:rsid w:val="00266CD6"/>
    <w:rsid w:val="002673AC"/>
    <w:rsid w:val="00272F8D"/>
    <w:rsid w:val="00275DAB"/>
    <w:rsid w:val="0028661F"/>
    <w:rsid w:val="0028701A"/>
    <w:rsid w:val="002903C0"/>
    <w:rsid w:val="002A23E6"/>
    <w:rsid w:val="002A782A"/>
    <w:rsid w:val="002B11E2"/>
    <w:rsid w:val="002B24B8"/>
    <w:rsid w:val="002D3AE9"/>
    <w:rsid w:val="002D4510"/>
    <w:rsid w:val="002F0734"/>
    <w:rsid w:val="002F46E7"/>
    <w:rsid w:val="003101DA"/>
    <w:rsid w:val="003111C3"/>
    <w:rsid w:val="00314757"/>
    <w:rsid w:val="00315BA7"/>
    <w:rsid w:val="003163BC"/>
    <w:rsid w:val="003211CE"/>
    <w:rsid w:val="0035403A"/>
    <w:rsid w:val="0036394B"/>
    <w:rsid w:val="00366DB6"/>
    <w:rsid w:val="003709B5"/>
    <w:rsid w:val="003759C2"/>
    <w:rsid w:val="00397365"/>
    <w:rsid w:val="003A31F6"/>
    <w:rsid w:val="003C3447"/>
    <w:rsid w:val="003D076C"/>
    <w:rsid w:val="003E78B5"/>
    <w:rsid w:val="00415BAB"/>
    <w:rsid w:val="00415ED2"/>
    <w:rsid w:val="0042068C"/>
    <w:rsid w:val="0044318E"/>
    <w:rsid w:val="00443B35"/>
    <w:rsid w:val="00450B70"/>
    <w:rsid w:val="0047122B"/>
    <w:rsid w:val="00473B7A"/>
    <w:rsid w:val="004960E9"/>
    <w:rsid w:val="004A2E88"/>
    <w:rsid w:val="004A5305"/>
    <w:rsid w:val="004D7634"/>
    <w:rsid w:val="004E611A"/>
    <w:rsid w:val="004F6460"/>
    <w:rsid w:val="00503764"/>
    <w:rsid w:val="005300D3"/>
    <w:rsid w:val="00542A10"/>
    <w:rsid w:val="00544F82"/>
    <w:rsid w:val="005509D2"/>
    <w:rsid w:val="00576FAF"/>
    <w:rsid w:val="0059194C"/>
    <w:rsid w:val="00593C4F"/>
    <w:rsid w:val="005946A8"/>
    <w:rsid w:val="005A0C40"/>
    <w:rsid w:val="005A4407"/>
    <w:rsid w:val="005A59EF"/>
    <w:rsid w:val="005B1C7E"/>
    <w:rsid w:val="005C6976"/>
    <w:rsid w:val="005C6C19"/>
    <w:rsid w:val="005D200B"/>
    <w:rsid w:val="005F6E30"/>
    <w:rsid w:val="005F6F41"/>
    <w:rsid w:val="006106FA"/>
    <w:rsid w:val="00625DC6"/>
    <w:rsid w:val="00630022"/>
    <w:rsid w:val="00636B7F"/>
    <w:rsid w:val="0064273A"/>
    <w:rsid w:val="0064391D"/>
    <w:rsid w:val="00651821"/>
    <w:rsid w:val="00654384"/>
    <w:rsid w:val="006675CD"/>
    <w:rsid w:val="006822BE"/>
    <w:rsid w:val="00684D9B"/>
    <w:rsid w:val="0068510A"/>
    <w:rsid w:val="00697556"/>
    <w:rsid w:val="006B4114"/>
    <w:rsid w:val="006B4647"/>
    <w:rsid w:val="006B4C2B"/>
    <w:rsid w:val="006B6194"/>
    <w:rsid w:val="006B6D47"/>
    <w:rsid w:val="006C5AFE"/>
    <w:rsid w:val="006F2EC8"/>
    <w:rsid w:val="006F669D"/>
    <w:rsid w:val="006F6D95"/>
    <w:rsid w:val="00706F13"/>
    <w:rsid w:val="007072E8"/>
    <w:rsid w:val="0071618D"/>
    <w:rsid w:val="00725FA4"/>
    <w:rsid w:val="00740446"/>
    <w:rsid w:val="007438A9"/>
    <w:rsid w:val="0074491E"/>
    <w:rsid w:val="0076247A"/>
    <w:rsid w:val="00775964"/>
    <w:rsid w:val="007765FE"/>
    <w:rsid w:val="00794E2E"/>
    <w:rsid w:val="00795BFB"/>
    <w:rsid w:val="007A19A9"/>
    <w:rsid w:val="007B2760"/>
    <w:rsid w:val="00804F6C"/>
    <w:rsid w:val="00806C01"/>
    <w:rsid w:val="008148CC"/>
    <w:rsid w:val="00820408"/>
    <w:rsid w:val="008211A4"/>
    <w:rsid w:val="00844822"/>
    <w:rsid w:val="0084693A"/>
    <w:rsid w:val="008706CA"/>
    <w:rsid w:val="00873150"/>
    <w:rsid w:val="0087657D"/>
    <w:rsid w:val="008807D5"/>
    <w:rsid w:val="00880832"/>
    <w:rsid w:val="00886292"/>
    <w:rsid w:val="00886EE1"/>
    <w:rsid w:val="0088727D"/>
    <w:rsid w:val="008874A7"/>
    <w:rsid w:val="00893309"/>
    <w:rsid w:val="00897C75"/>
    <w:rsid w:val="008B44B1"/>
    <w:rsid w:val="008C1130"/>
    <w:rsid w:val="008D18E6"/>
    <w:rsid w:val="008D7A9B"/>
    <w:rsid w:val="008E0060"/>
    <w:rsid w:val="008E700F"/>
    <w:rsid w:val="008E7091"/>
    <w:rsid w:val="008E76AC"/>
    <w:rsid w:val="008F21F6"/>
    <w:rsid w:val="0091022A"/>
    <w:rsid w:val="00912451"/>
    <w:rsid w:val="00917446"/>
    <w:rsid w:val="009352B5"/>
    <w:rsid w:val="00951F79"/>
    <w:rsid w:val="00974AB5"/>
    <w:rsid w:val="0098706D"/>
    <w:rsid w:val="009935FB"/>
    <w:rsid w:val="009B6A1A"/>
    <w:rsid w:val="009C4E55"/>
    <w:rsid w:val="009F4A54"/>
    <w:rsid w:val="009F4BEC"/>
    <w:rsid w:val="009F5874"/>
    <w:rsid w:val="00A17579"/>
    <w:rsid w:val="00A25FD7"/>
    <w:rsid w:val="00A43AFF"/>
    <w:rsid w:val="00A44651"/>
    <w:rsid w:val="00A47C44"/>
    <w:rsid w:val="00A7793A"/>
    <w:rsid w:val="00AA4CC7"/>
    <w:rsid w:val="00AA5E8E"/>
    <w:rsid w:val="00AB2BAD"/>
    <w:rsid w:val="00AB6CA7"/>
    <w:rsid w:val="00AD01E4"/>
    <w:rsid w:val="00AD0858"/>
    <w:rsid w:val="00AD45EB"/>
    <w:rsid w:val="00AE02E3"/>
    <w:rsid w:val="00AE7340"/>
    <w:rsid w:val="00AF1BBD"/>
    <w:rsid w:val="00B10207"/>
    <w:rsid w:val="00B141E7"/>
    <w:rsid w:val="00B340E1"/>
    <w:rsid w:val="00B351B4"/>
    <w:rsid w:val="00B41391"/>
    <w:rsid w:val="00B46BCA"/>
    <w:rsid w:val="00B478AA"/>
    <w:rsid w:val="00B8124D"/>
    <w:rsid w:val="00B87806"/>
    <w:rsid w:val="00B87EC9"/>
    <w:rsid w:val="00BC38FD"/>
    <w:rsid w:val="00BD7733"/>
    <w:rsid w:val="00BE1AC3"/>
    <w:rsid w:val="00C034CB"/>
    <w:rsid w:val="00C051A8"/>
    <w:rsid w:val="00C054BC"/>
    <w:rsid w:val="00C13DD4"/>
    <w:rsid w:val="00C17897"/>
    <w:rsid w:val="00C409D5"/>
    <w:rsid w:val="00C435C3"/>
    <w:rsid w:val="00C44E5F"/>
    <w:rsid w:val="00C51B7C"/>
    <w:rsid w:val="00C6234B"/>
    <w:rsid w:val="00C63EAE"/>
    <w:rsid w:val="00C73260"/>
    <w:rsid w:val="00C74602"/>
    <w:rsid w:val="00C7629F"/>
    <w:rsid w:val="00C84430"/>
    <w:rsid w:val="00C8661B"/>
    <w:rsid w:val="00CA03C8"/>
    <w:rsid w:val="00CA139A"/>
    <w:rsid w:val="00CA1C91"/>
    <w:rsid w:val="00CA2899"/>
    <w:rsid w:val="00CA3A3D"/>
    <w:rsid w:val="00CA3AA6"/>
    <w:rsid w:val="00CA77FB"/>
    <w:rsid w:val="00CB379B"/>
    <w:rsid w:val="00CB5DD0"/>
    <w:rsid w:val="00CC51D4"/>
    <w:rsid w:val="00CC65DA"/>
    <w:rsid w:val="00CF21B9"/>
    <w:rsid w:val="00CF6BF9"/>
    <w:rsid w:val="00D03800"/>
    <w:rsid w:val="00D04604"/>
    <w:rsid w:val="00D065D3"/>
    <w:rsid w:val="00D14C94"/>
    <w:rsid w:val="00D261A2"/>
    <w:rsid w:val="00D27553"/>
    <w:rsid w:val="00D342A6"/>
    <w:rsid w:val="00D45CA6"/>
    <w:rsid w:val="00D464BF"/>
    <w:rsid w:val="00D53E26"/>
    <w:rsid w:val="00DB1524"/>
    <w:rsid w:val="00DB182C"/>
    <w:rsid w:val="00DD4F0E"/>
    <w:rsid w:val="00DF0BF0"/>
    <w:rsid w:val="00DF3CA2"/>
    <w:rsid w:val="00DF5572"/>
    <w:rsid w:val="00E01463"/>
    <w:rsid w:val="00E05E0A"/>
    <w:rsid w:val="00E060BE"/>
    <w:rsid w:val="00E41A4A"/>
    <w:rsid w:val="00E4553D"/>
    <w:rsid w:val="00E51F65"/>
    <w:rsid w:val="00E534CF"/>
    <w:rsid w:val="00E53AB4"/>
    <w:rsid w:val="00E81CB4"/>
    <w:rsid w:val="00E82CC3"/>
    <w:rsid w:val="00E8585B"/>
    <w:rsid w:val="00E87F41"/>
    <w:rsid w:val="00E91FD9"/>
    <w:rsid w:val="00EA3F15"/>
    <w:rsid w:val="00EA7847"/>
    <w:rsid w:val="00EB2718"/>
    <w:rsid w:val="00EB29EB"/>
    <w:rsid w:val="00EB4C2F"/>
    <w:rsid w:val="00EC13BC"/>
    <w:rsid w:val="00ED4CAB"/>
    <w:rsid w:val="00EE2CB5"/>
    <w:rsid w:val="00EE2E6E"/>
    <w:rsid w:val="00EF4206"/>
    <w:rsid w:val="00F0367E"/>
    <w:rsid w:val="00F0759E"/>
    <w:rsid w:val="00F16A43"/>
    <w:rsid w:val="00F46780"/>
    <w:rsid w:val="00F77D2D"/>
    <w:rsid w:val="00F821A3"/>
    <w:rsid w:val="00F84CA0"/>
    <w:rsid w:val="00F9314A"/>
    <w:rsid w:val="00F940B2"/>
    <w:rsid w:val="00FC58EF"/>
    <w:rsid w:val="00FD33DF"/>
    <w:rsid w:val="00FE39D7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customStyle="1" w:styleId="ARTICULOS">
    <w:name w:val="ARTICULOS"/>
    <w:basedOn w:val="Normal"/>
    <w:link w:val="ARTICULOSCar"/>
    <w:qFormat/>
    <w:rsid w:val="00272F8D"/>
    <w:pPr>
      <w:widowControl w:val="0"/>
      <w:numPr>
        <w:numId w:val="23"/>
      </w:numPr>
      <w:adjustRightInd w:val="0"/>
      <w:ind w:left="0" w:firstLine="1"/>
      <w:jc w:val="both"/>
      <w:textAlignment w:val="baseline"/>
    </w:pPr>
    <w:rPr>
      <w:rFonts w:ascii="Bookman Old Style" w:hAnsi="Bookman Old Style"/>
      <w:bCs/>
      <w:lang w:val="x-none" w:eastAsia="x-none"/>
    </w:rPr>
  </w:style>
  <w:style w:type="character" w:customStyle="1" w:styleId="ARTICULOSCar">
    <w:name w:val="ARTICULOS Car"/>
    <w:link w:val="ARTICULOS"/>
    <w:rsid w:val="00272F8D"/>
    <w:rPr>
      <w:rFonts w:ascii="Bookman Old Style" w:hAnsi="Bookman Old Style"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customStyle="1" w:styleId="ARTICULOS">
    <w:name w:val="ARTICULOS"/>
    <w:basedOn w:val="Normal"/>
    <w:link w:val="ARTICULOSCar"/>
    <w:qFormat/>
    <w:rsid w:val="00272F8D"/>
    <w:pPr>
      <w:widowControl w:val="0"/>
      <w:numPr>
        <w:numId w:val="23"/>
      </w:numPr>
      <w:adjustRightInd w:val="0"/>
      <w:ind w:left="0" w:firstLine="1"/>
      <w:jc w:val="both"/>
      <w:textAlignment w:val="baseline"/>
    </w:pPr>
    <w:rPr>
      <w:rFonts w:ascii="Bookman Old Style" w:hAnsi="Bookman Old Style"/>
      <w:bCs/>
      <w:lang w:val="x-none" w:eastAsia="x-none"/>
    </w:rPr>
  </w:style>
  <w:style w:type="character" w:customStyle="1" w:styleId="ARTICULOSCar">
    <w:name w:val="ARTICULOS Car"/>
    <w:link w:val="ARTICULOS"/>
    <w:rsid w:val="00272F8D"/>
    <w:rPr>
      <w:rFonts w:ascii="Bookman Old Style" w:hAnsi="Bookman Old Style"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0</TotalTime>
  <Pages>6</Pages>
  <Words>1721</Words>
  <Characters>9467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    COMISIÓN DE REGULACIÓN DE ENERGÍA Y GAS</vt:lpstr>
      <vt:lpstr>        (                                  )</vt:lpstr>
      <vt:lpstr>        PROYECTO DE RESOLUCIÓN</vt:lpstr>
    </vt:vector>
  </TitlesOfParts>
  <Company>CREG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2015-02-27T17:52:00Z</cp:lastPrinted>
  <dcterms:created xsi:type="dcterms:W3CDTF">2015-02-27T21:24:00Z</dcterms:created>
  <dcterms:modified xsi:type="dcterms:W3CDTF">2015-02-27T21:24:00Z</dcterms:modified>
</cp:coreProperties>
</file>