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B13984" w14:textId="77777777" w:rsidR="00625DC6" w:rsidRPr="00E060BE" w:rsidRDefault="004C2BCD" w:rsidP="00012259">
      <w:pPr>
        <w:pStyle w:val="Encabezado"/>
        <w:tabs>
          <w:tab w:val="clear" w:pos="8504"/>
          <w:tab w:val="left" w:pos="0"/>
          <w:tab w:val="right" w:pos="9356"/>
        </w:tabs>
        <w:ind w:left="0"/>
        <w:jc w:val="both"/>
        <w:rPr>
          <w:rFonts w:ascii="Bookman Old Style" w:hAnsi="Bookman Old Style"/>
          <w:szCs w:val="24"/>
        </w:rPr>
      </w:pPr>
      <w:bookmarkStart w:id="0" w:name="_GoBack"/>
      <w:bookmarkEnd w:id="0"/>
      <w:r>
        <w:rPr>
          <w:rFonts w:ascii="Bookman Old Style" w:hAnsi="Bookman Old Style"/>
          <w:noProof/>
          <w:szCs w:val="24"/>
        </w:rPr>
        <w:object w:dxaOrig="1440" w:dyaOrig="1440" w14:anchorId="2FB014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2.4pt;margin-top:-53.35pt;width:52.5pt;height:48.75pt;z-index:251657728" fillcolor="#0c9">
            <v:imagedata r:id="rId8" o:title=""/>
          </v:shape>
          <o:OLEObject Type="Embed" ProgID="PBrush" ShapeID="_x0000_s1026" DrawAspect="Content" ObjectID="_1624178944" r:id="rId9"/>
        </w:object>
      </w:r>
    </w:p>
    <w:p w14:paraId="66D31F2B" w14:textId="77777777" w:rsidR="00CA77FB" w:rsidRPr="00E060BE" w:rsidRDefault="00CA77FB" w:rsidP="00012259">
      <w:pPr>
        <w:pStyle w:val="Ttulo4"/>
        <w:tabs>
          <w:tab w:val="left" w:pos="0"/>
          <w:tab w:val="right" w:pos="9356"/>
        </w:tabs>
        <w:ind w:left="0"/>
        <w:rPr>
          <w:rFonts w:ascii="Bookman Old Style" w:hAnsi="Bookman Old Style"/>
          <w:b w:val="0"/>
          <w:bCs/>
          <w:noProof/>
          <w:sz w:val="24"/>
          <w:szCs w:val="24"/>
          <w:lang w:val="es-ES"/>
        </w:rPr>
      </w:pPr>
      <w:r w:rsidRPr="00E060BE">
        <w:rPr>
          <w:rFonts w:ascii="Bookman Old Style" w:hAnsi="Bookman Old Style"/>
          <w:b w:val="0"/>
          <w:bCs/>
          <w:sz w:val="24"/>
          <w:szCs w:val="24"/>
        </w:rPr>
        <w:t>Ministerio de Minas y Energía</w:t>
      </w:r>
    </w:p>
    <w:p w14:paraId="4C5F926E" w14:textId="77777777" w:rsidR="00CA77FB" w:rsidRPr="00E060BE" w:rsidRDefault="00CA77FB" w:rsidP="00012259">
      <w:pPr>
        <w:pStyle w:val="Ttulo4"/>
        <w:tabs>
          <w:tab w:val="left" w:pos="0"/>
          <w:tab w:val="right" w:pos="9356"/>
        </w:tabs>
        <w:ind w:left="0"/>
        <w:rPr>
          <w:rFonts w:ascii="Bookman Old Style" w:hAnsi="Bookman Old Style"/>
          <w:b w:val="0"/>
          <w:bCs/>
          <w:sz w:val="24"/>
          <w:szCs w:val="24"/>
        </w:rPr>
      </w:pPr>
    </w:p>
    <w:p w14:paraId="09816FB0" w14:textId="77777777" w:rsidR="00CA77FB" w:rsidRPr="00E060BE" w:rsidRDefault="00CA77FB" w:rsidP="00012259">
      <w:pPr>
        <w:pStyle w:val="Ttulo3"/>
        <w:tabs>
          <w:tab w:val="left" w:pos="0"/>
          <w:tab w:val="right" w:pos="9356"/>
        </w:tabs>
        <w:ind w:left="0"/>
        <w:rPr>
          <w:rFonts w:ascii="Bookman Old Style" w:hAnsi="Bookman Old Style" w:cs="Arial"/>
          <w:spacing w:val="20"/>
          <w:szCs w:val="24"/>
        </w:rPr>
      </w:pPr>
      <w:r w:rsidRPr="00E060BE">
        <w:rPr>
          <w:rFonts w:ascii="Bookman Old Style" w:hAnsi="Bookman Old Style" w:cs="Arial"/>
          <w:spacing w:val="20"/>
          <w:szCs w:val="24"/>
        </w:rPr>
        <w:t>COMISIÓN DE REGULACIÓN DE ENERGÍA Y GAS</w:t>
      </w:r>
    </w:p>
    <w:p w14:paraId="45A671BA" w14:textId="77777777" w:rsidR="00CA77FB" w:rsidRPr="00E060BE" w:rsidRDefault="00CA77FB" w:rsidP="00012259">
      <w:pPr>
        <w:pStyle w:val="Ttulo5"/>
        <w:tabs>
          <w:tab w:val="left" w:pos="0"/>
          <w:tab w:val="right" w:pos="9356"/>
        </w:tabs>
        <w:ind w:left="0"/>
        <w:rPr>
          <w:rFonts w:ascii="Bookman Old Style" w:hAnsi="Bookman Old Style"/>
          <w:sz w:val="24"/>
          <w:szCs w:val="24"/>
        </w:rPr>
      </w:pPr>
    </w:p>
    <w:p w14:paraId="1D65CEA7" w14:textId="77777777" w:rsidR="00CA77FB" w:rsidRPr="00E060BE" w:rsidRDefault="00CA77FB" w:rsidP="00012259">
      <w:pPr>
        <w:pStyle w:val="Ttulo5"/>
        <w:tabs>
          <w:tab w:val="left" w:pos="0"/>
          <w:tab w:val="right" w:pos="9356"/>
        </w:tabs>
        <w:ind w:left="0"/>
        <w:rPr>
          <w:rFonts w:ascii="Bookman Old Style" w:hAnsi="Bookman Old Style"/>
          <w:sz w:val="24"/>
          <w:szCs w:val="24"/>
        </w:rPr>
      </w:pPr>
    </w:p>
    <w:p w14:paraId="65B5AD97" w14:textId="563108BB" w:rsidR="00CA77FB" w:rsidRPr="00E060BE" w:rsidRDefault="00CA77FB" w:rsidP="00012259">
      <w:pPr>
        <w:pStyle w:val="Ttulo5"/>
        <w:tabs>
          <w:tab w:val="left" w:pos="0"/>
          <w:tab w:val="right" w:pos="9356"/>
        </w:tabs>
        <w:ind w:left="0"/>
        <w:rPr>
          <w:rFonts w:ascii="Bookman Old Style" w:hAnsi="Bookman Old Style"/>
          <w:sz w:val="24"/>
          <w:szCs w:val="24"/>
        </w:rPr>
      </w:pPr>
      <w:r w:rsidRPr="00E060BE">
        <w:rPr>
          <w:rFonts w:ascii="Bookman Old Style" w:hAnsi="Bookman Old Style"/>
          <w:sz w:val="24"/>
          <w:szCs w:val="24"/>
        </w:rPr>
        <w:t xml:space="preserve">RESOLUCIÓN No. </w:t>
      </w:r>
      <w:r w:rsidR="00795BFB" w:rsidRPr="00E060BE">
        <w:rPr>
          <w:rFonts w:ascii="Bookman Old Style" w:hAnsi="Bookman Old Style"/>
          <w:sz w:val="24"/>
          <w:szCs w:val="24"/>
        </w:rPr>
        <w:t xml:space="preserve">                  </w:t>
      </w:r>
      <w:r w:rsidRPr="00E060BE">
        <w:rPr>
          <w:rFonts w:ascii="Bookman Old Style" w:hAnsi="Bookman Old Style"/>
          <w:sz w:val="24"/>
          <w:szCs w:val="24"/>
        </w:rPr>
        <w:t>DE 20</w:t>
      </w:r>
      <w:r w:rsidR="00795BFB" w:rsidRPr="00E060BE">
        <w:rPr>
          <w:rFonts w:ascii="Bookman Old Style" w:hAnsi="Bookman Old Style"/>
          <w:sz w:val="24"/>
          <w:szCs w:val="24"/>
        </w:rPr>
        <w:t>1</w:t>
      </w:r>
      <w:r w:rsidR="00657A23">
        <w:rPr>
          <w:rFonts w:ascii="Bookman Old Style" w:hAnsi="Bookman Old Style"/>
          <w:sz w:val="24"/>
          <w:szCs w:val="24"/>
        </w:rPr>
        <w:t>9</w:t>
      </w:r>
    </w:p>
    <w:p w14:paraId="05D15A4B" w14:textId="77777777" w:rsidR="00CA77FB" w:rsidRPr="00E060BE" w:rsidRDefault="00CA77FB" w:rsidP="00012259">
      <w:pPr>
        <w:tabs>
          <w:tab w:val="left" w:pos="0"/>
          <w:tab w:val="right" w:pos="9356"/>
        </w:tabs>
        <w:ind w:left="0"/>
        <w:jc w:val="center"/>
        <w:rPr>
          <w:rFonts w:ascii="Bookman Old Style" w:hAnsi="Bookman Old Style" w:cs="Arial"/>
          <w:b/>
          <w:snapToGrid w:val="0"/>
          <w:color w:val="000000"/>
          <w:lang w:val="es-ES_tradnl"/>
        </w:rPr>
      </w:pPr>
    </w:p>
    <w:p w14:paraId="4B8199F4" w14:textId="77777777" w:rsidR="00CA77FB" w:rsidRPr="00E060BE" w:rsidRDefault="00CA77FB" w:rsidP="00012259">
      <w:pPr>
        <w:pStyle w:val="Ttulo3"/>
        <w:tabs>
          <w:tab w:val="left" w:pos="0"/>
          <w:tab w:val="right" w:pos="9356"/>
        </w:tabs>
        <w:ind w:left="0"/>
        <w:rPr>
          <w:rFonts w:ascii="Bookman Old Style" w:hAnsi="Bookman Old Style"/>
          <w:b w:val="0"/>
          <w:szCs w:val="24"/>
        </w:rPr>
      </w:pPr>
      <w:r w:rsidRPr="00E060BE">
        <w:rPr>
          <w:rFonts w:ascii="Bookman Old Style" w:hAnsi="Bookman Old Style"/>
          <w:b w:val="0"/>
          <w:szCs w:val="24"/>
        </w:rPr>
        <w:t>(                                  )</w:t>
      </w:r>
    </w:p>
    <w:p w14:paraId="45FC1403" w14:textId="77777777" w:rsidR="00CA77FB" w:rsidRPr="00E060BE" w:rsidRDefault="00CA77FB" w:rsidP="00012259">
      <w:pPr>
        <w:tabs>
          <w:tab w:val="left" w:pos="0"/>
          <w:tab w:val="right" w:pos="9356"/>
        </w:tabs>
        <w:ind w:left="0"/>
        <w:jc w:val="center"/>
        <w:rPr>
          <w:rFonts w:ascii="Bookman Old Style" w:hAnsi="Bookman Old Style"/>
          <w:lang w:val="es-ES_tradnl"/>
        </w:rPr>
      </w:pPr>
    </w:p>
    <w:p w14:paraId="72987FEB" w14:textId="77777777" w:rsidR="00B351B4" w:rsidRPr="00E060BE" w:rsidRDefault="00B351B4" w:rsidP="00012259">
      <w:pPr>
        <w:ind w:left="0"/>
        <w:rPr>
          <w:rFonts w:ascii="Bookman Old Style" w:hAnsi="Bookman Old Style"/>
          <w:bCs/>
          <w:lang w:val="es-CO"/>
        </w:rPr>
      </w:pPr>
    </w:p>
    <w:p w14:paraId="5F70497D" w14:textId="156C0775" w:rsidR="00045D3D" w:rsidRPr="00C435C3" w:rsidRDefault="00045D3D" w:rsidP="00045D3D">
      <w:pPr>
        <w:ind w:left="0"/>
        <w:jc w:val="center"/>
        <w:rPr>
          <w:rFonts w:ascii="Bookman Old Style" w:hAnsi="Bookman Old Style"/>
        </w:rPr>
      </w:pPr>
      <w:r w:rsidRPr="00C435C3">
        <w:rPr>
          <w:rFonts w:ascii="Bookman Old Style" w:hAnsi="Bookman Old Style"/>
        </w:rPr>
        <w:t xml:space="preserve">Por </w:t>
      </w:r>
      <w:r w:rsidR="00F44ED7">
        <w:rPr>
          <w:rFonts w:ascii="Bookman Old Style" w:hAnsi="Bookman Old Style"/>
        </w:rPr>
        <w:t xml:space="preserve">la cual se ordena hacer público un proyecto de resolución de carácter general, </w:t>
      </w:r>
      <w:r w:rsidR="006800AB" w:rsidRPr="00324E17">
        <w:rPr>
          <w:rFonts w:ascii="Bookman Old Style" w:hAnsi="Bookman Old Style"/>
          <w:i/>
        </w:rPr>
        <w:t xml:space="preserve">“Por la cual se </w:t>
      </w:r>
      <w:r w:rsidR="00742A7D">
        <w:rPr>
          <w:rFonts w:ascii="Bookman Old Style" w:hAnsi="Bookman Old Style"/>
          <w:i/>
        </w:rPr>
        <w:t>extiende</w:t>
      </w:r>
      <w:r w:rsidR="006800AB" w:rsidRPr="00324E17">
        <w:rPr>
          <w:rFonts w:ascii="Bookman Old Style" w:hAnsi="Bookman Old Style"/>
          <w:i/>
        </w:rPr>
        <w:t xml:space="preserve"> la opción de acceso al despacho central</w:t>
      </w:r>
      <w:r w:rsidR="005C14B9">
        <w:rPr>
          <w:rFonts w:ascii="Bookman Old Style" w:hAnsi="Bookman Old Style"/>
          <w:i/>
        </w:rPr>
        <w:t>,</w:t>
      </w:r>
      <w:r w:rsidR="006800AB" w:rsidRPr="00324E17">
        <w:rPr>
          <w:rFonts w:ascii="Bookman Old Style" w:hAnsi="Bookman Old Style"/>
          <w:i/>
        </w:rPr>
        <w:t xml:space="preserve"> a plantas menores </w:t>
      </w:r>
      <w:r w:rsidR="005C14B9">
        <w:rPr>
          <w:rFonts w:ascii="Bookman Old Style" w:hAnsi="Bookman Old Style"/>
          <w:i/>
        </w:rPr>
        <w:t>de</w:t>
      </w:r>
      <w:r w:rsidR="006800AB" w:rsidRPr="00324E17">
        <w:rPr>
          <w:rFonts w:ascii="Bookman Old Style" w:hAnsi="Bookman Old Style"/>
          <w:i/>
        </w:rPr>
        <w:t xml:space="preserve"> 20 MW conectadas al Sistema Interconectado Nacional”.</w:t>
      </w:r>
    </w:p>
    <w:p w14:paraId="71C028A2" w14:textId="77777777" w:rsidR="00045D3D" w:rsidRDefault="00045D3D" w:rsidP="00045D3D">
      <w:pPr>
        <w:ind w:right="51"/>
        <w:rPr>
          <w:rFonts w:ascii="Bookman Old Style" w:hAnsi="Bookman Old Style"/>
        </w:rPr>
      </w:pPr>
    </w:p>
    <w:p w14:paraId="73E3C217" w14:textId="77777777" w:rsidR="005B17FB" w:rsidRDefault="005B17FB" w:rsidP="00045D3D">
      <w:pPr>
        <w:ind w:right="51"/>
        <w:rPr>
          <w:rFonts w:ascii="Bookman Old Style" w:hAnsi="Bookman Old Style"/>
        </w:rPr>
      </w:pPr>
    </w:p>
    <w:p w14:paraId="3F71A599" w14:textId="24B37E20" w:rsidR="00045D3D" w:rsidRPr="00C435C3" w:rsidRDefault="00045D3D" w:rsidP="00045D3D">
      <w:pPr>
        <w:ind w:right="51"/>
        <w:jc w:val="center"/>
        <w:rPr>
          <w:rFonts w:ascii="Bookman Old Style" w:hAnsi="Bookman Old Style"/>
          <w:b/>
        </w:rPr>
      </w:pPr>
      <w:r w:rsidRPr="00C435C3">
        <w:rPr>
          <w:rFonts w:ascii="Bookman Old Style" w:hAnsi="Bookman Old Style"/>
          <w:b/>
        </w:rPr>
        <w:t>LA COMISIÓN DE REGULACIÓN DE ENERGÍA Y GAS</w:t>
      </w:r>
    </w:p>
    <w:p w14:paraId="05EAB773" w14:textId="77777777" w:rsidR="00045D3D" w:rsidRPr="00C435C3" w:rsidRDefault="00045D3D" w:rsidP="00045D3D">
      <w:pPr>
        <w:ind w:left="0" w:right="51"/>
        <w:rPr>
          <w:rFonts w:ascii="Bookman Old Style" w:hAnsi="Bookman Old Style"/>
        </w:rPr>
      </w:pPr>
    </w:p>
    <w:p w14:paraId="188C7A97" w14:textId="77777777" w:rsidR="00045D3D" w:rsidRPr="00C435C3" w:rsidRDefault="00045D3D" w:rsidP="00045D3D">
      <w:pPr>
        <w:ind w:left="0" w:right="51"/>
        <w:rPr>
          <w:rFonts w:ascii="Bookman Old Style" w:hAnsi="Bookman Old Style"/>
        </w:rPr>
      </w:pPr>
    </w:p>
    <w:p w14:paraId="6047B517" w14:textId="77777777" w:rsidR="005B17FB" w:rsidRDefault="005B17FB" w:rsidP="005B17FB">
      <w:pPr>
        <w:pStyle w:val="Textoindependiente3"/>
        <w:ind w:left="0"/>
        <w:rPr>
          <w:rFonts w:ascii="Bookman Old Style" w:hAnsi="Bookman Old Style"/>
          <w:b w:val="0"/>
        </w:rPr>
      </w:pPr>
      <w:r>
        <w:rPr>
          <w:rFonts w:ascii="Bookman Old Style" w:hAnsi="Bookman Old Style"/>
          <w:b w:val="0"/>
        </w:rPr>
        <w:t>En ejercicio de sus atribuciones constitucionales y legales, en especial las conferidas por las Leyes 142 y 143 de 1994, y en desarrollo de los Decretos 1524 y 2253 de 1994</w:t>
      </w:r>
      <w:r w:rsidR="00B42004">
        <w:rPr>
          <w:rFonts w:ascii="Bookman Old Style" w:hAnsi="Bookman Old Style"/>
          <w:b w:val="0"/>
        </w:rPr>
        <w:t xml:space="preserve"> y 1260 de 2013</w:t>
      </w:r>
      <w:r>
        <w:rPr>
          <w:rFonts w:ascii="Bookman Old Style" w:hAnsi="Bookman Old Style"/>
          <w:b w:val="0"/>
        </w:rPr>
        <w:t>.</w:t>
      </w:r>
    </w:p>
    <w:p w14:paraId="39FB2313" w14:textId="77777777" w:rsidR="00045D3D" w:rsidRDefault="00045D3D" w:rsidP="00045D3D">
      <w:pPr>
        <w:ind w:right="51"/>
        <w:rPr>
          <w:rFonts w:ascii="Bookman Old Style" w:hAnsi="Bookman Old Style"/>
        </w:rPr>
      </w:pPr>
    </w:p>
    <w:p w14:paraId="727D6312" w14:textId="77777777" w:rsidR="00045D3D" w:rsidRDefault="00045D3D" w:rsidP="00045D3D">
      <w:pPr>
        <w:ind w:right="51"/>
        <w:rPr>
          <w:rFonts w:ascii="Bookman Old Style" w:hAnsi="Bookman Old Style"/>
        </w:rPr>
      </w:pPr>
    </w:p>
    <w:p w14:paraId="4F4E9B34" w14:textId="77777777" w:rsidR="00045D3D" w:rsidRPr="00C435C3" w:rsidRDefault="00045D3D" w:rsidP="00045D3D">
      <w:pPr>
        <w:ind w:right="51"/>
        <w:jc w:val="center"/>
        <w:rPr>
          <w:rFonts w:ascii="Bookman Old Style" w:hAnsi="Bookman Old Style"/>
          <w:b/>
        </w:rPr>
      </w:pPr>
      <w:r w:rsidRPr="00C435C3">
        <w:rPr>
          <w:rFonts w:ascii="Bookman Old Style" w:hAnsi="Bookman Old Style"/>
          <w:b/>
        </w:rPr>
        <w:t xml:space="preserve">C O N S I D E R A N D </w:t>
      </w:r>
      <w:proofErr w:type="gramStart"/>
      <w:r w:rsidRPr="00C435C3">
        <w:rPr>
          <w:rFonts w:ascii="Bookman Old Style" w:hAnsi="Bookman Old Style"/>
          <w:b/>
        </w:rPr>
        <w:t>O</w:t>
      </w:r>
      <w:r>
        <w:rPr>
          <w:rFonts w:ascii="Bookman Old Style" w:hAnsi="Bookman Old Style"/>
          <w:b/>
        </w:rPr>
        <w:t xml:space="preserve">  Q</w:t>
      </w:r>
      <w:proofErr w:type="gramEnd"/>
      <w:r>
        <w:rPr>
          <w:rFonts w:ascii="Bookman Old Style" w:hAnsi="Bookman Old Style"/>
          <w:b/>
        </w:rPr>
        <w:t xml:space="preserve"> U E</w:t>
      </w:r>
      <w:r w:rsidRPr="00C435C3">
        <w:rPr>
          <w:rFonts w:ascii="Bookman Old Style" w:hAnsi="Bookman Old Style"/>
          <w:b/>
        </w:rPr>
        <w:t>:</w:t>
      </w:r>
    </w:p>
    <w:p w14:paraId="15A508DD" w14:textId="77777777" w:rsidR="00045D3D" w:rsidRPr="00C435C3" w:rsidRDefault="00045D3D" w:rsidP="00045D3D">
      <w:pPr>
        <w:ind w:right="51"/>
        <w:jc w:val="center"/>
        <w:rPr>
          <w:rFonts w:ascii="Bookman Old Style" w:hAnsi="Bookman Old Style"/>
          <w:b/>
        </w:rPr>
      </w:pPr>
    </w:p>
    <w:p w14:paraId="26195D74" w14:textId="77777777" w:rsidR="00D80F4B" w:rsidRDefault="00D80F4B" w:rsidP="005B17FB">
      <w:pPr>
        <w:tabs>
          <w:tab w:val="left" w:pos="0"/>
        </w:tabs>
        <w:ind w:left="0"/>
        <w:jc w:val="both"/>
        <w:rPr>
          <w:rFonts w:ascii="Bookman Old Style" w:hAnsi="Bookman Old Style" w:cs="Arial"/>
        </w:rPr>
      </w:pPr>
    </w:p>
    <w:p w14:paraId="7751BA22" w14:textId="6A526652" w:rsidR="005B17FB" w:rsidRDefault="005B17FB" w:rsidP="005B17FB">
      <w:pPr>
        <w:tabs>
          <w:tab w:val="left" w:pos="0"/>
        </w:tabs>
        <w:ind w:left="0"/>
        <w:jc w:val="both"/>
        <w:rPr>
          <w:rFonts w:ascii="Bookman Old Style" w:hAnsi="Bookman Old Style" w:cs="Arial"/>
        </w:rPr>
      </w:pPr>
      <w:r>
        <w:rPr>
          <w:rFonts w:ascii="Bookman Old Style" w:hAnsi="Bookman Old Style" w:cs="Arial"/>
        </w:rPr>
        <w:t xml:space="preserve">Conforme a lo dispuesto por el artículo 8 del Código de Procedimiento Administrativo y de lo </w:t>
      </w:r>
      <w:r w:rsidR="00233299">
        <w:rPr>
          <w:rFonts w:ascii="Bookman Old Style" w:hAnsi="Bookman Old Style" w:cs="Arial"/>
        </w:rPr>
        <w:t xml:space="preserve">Contencioso </w:t>
      </w:r>
      <w:r w:rsidR="00D46A14">
        <w:rPr>
          <w:rFonts w:ascii="Bookman Old Style" w:hAnsi="Bookman Old Style" w:cs="Arial"/>
        </w:rPr>
        <w:t>A</w:t>
      </w:r>
      <w:r w:rsidR="00233299">
        <w:rPr>
          <w:rFonts w:ascii="Bookman Old Style" w:hAnsi="Bookman Old Style" w:cs="Arial"/>
        </w:rPr>
        <w:t>dministrativo</w:t>
      </w:r>
      <w:r>
        <w:rPr>
          <w:rFonts w:ascii="Bookman Old Style" w:hAnsi="Bookman Old Style" w:cs="Arial"/>
        </w:rPr>
        <w:t xml:space="preserve"> </w:t>
      </w:r>
      <w:r w:rsidR="00233299">
        <w:rPr>
          <w:rFonts w:ascii="Bookman Old Style" w:hAnsi="Bookman Old Style" w:cs="Arial"/>
        </w:rPr>
        <w:t>y el artículo 33 de la Resolución CREG 039 de 2017</w:t>
      </w:r>
      <w:r>
        <w:rPr>
          <w:rFonts w:ascii="Bookman Old Style" w:hAnsi="Bookman Old Style" w:cs="Arial"/>
        </w:rPr>
        <w:t>, la Comisión debe hacer público en su página web todos los proyectos de resolución de carácter general que pretenda adoptar.</w:t>
      </w:r>
    </w:p>
    <w:p w14:paraId="155E9EDE" w14:textId="77777777" w:rsidR="005B17FB" w:rsidRDefault="005B17FB" w:rsidP="005B17FB">
      <w:pPr>
        <w:tabs>
          <w:tab w:val="left" w:pos="0"/>
        </w:tabs>
        <w:ind w:left="0"/>
        <w:jc w:val="both"/>
        <w:rPr>
          <w:rFonts w:ascii="Bookman Old Style" w:hAnsi="Bookman Old Style" w:cs="Arial"/>
        </w:rPr>
      </w:pPr>
    </w:p>
    <w:p w14:paraId="6A016F81" w14:textId="1EB0F93A" w:rsidR="00045D3D" w:rsidRPr="00C435C3" w:rsidRDefault="005B17FB" w:rsidP="005B17FB">
      <w:pPr>
        <w:ind w:left="0"/>
        <w:jc w:val="both"/>
        <w:rPr>
          <w:rFonts w:ascii="Bookman Old Style" w:hAnsi="Bookman Old Style"/>
        </w:rPr>
      </w:pPr>
      <w:r>
        <w:rPr>
          <w:rFonts w:ascii="Bookman Old Style" w:hAnsi="Bookman Old Style"/>
        </w:rPr>
        <w:t xml:space="preserve">La </w:t>
      </w:r>
      <w:r>
        <w:rPr>
          <w:rFonts w:ascii="Bookman Old Style" w:hAnsi="Bookman Old Style" w:cs="Arial"/>
        </w:rPr>
        <w:t>Comisión</w:t>
      </w:r>
      <w:r>
        <w:rPr>
          <w:rFonts w:ascii="Bookman Old Style" w:hAnsi="Bookman Old Style"/>
        </w:rPr>
        <w:t xml:space="preserve"> de Regulación de Energía y Gas, en su sesión No</w:t>
      </w:r>
      <w:r w:rsidR="00D80F4B">
        <w:rPr>
          <w:rFonts w:ascii="Bookman Old Style" w:hAnsi="Bookman Old Style"/>
        </w:rPr>
        <w:t>.</w:t>
      </w:r>
      <w:r w:rsidR="003C351F">
        <w:rPr>
          <w:rFonts w:ascii="Bookman Old Style" w:hAnsi="Bookman Old Style"/>
        </w:rPr>
        <w:t>927</w:t>
      </w:r>
      <w:r w:rsidR="003C351F" w:rsidRPr="00D80F4B">
        <w:rPr>
          <w:rFonts w:ascii="Bookman Old Style" w:hAnsi="Bookman Old Style"/>
        </w:rPr>
        <w:t xml:space="preserve"> </w:t>
      </w:r>
      <w:r w:rsidRPr="00D80F4B">
        <w:rPr>
          <w:rFonts w:ascii="Bookman Old Style" w:hAnsi="Bookman Old Style"/>
        </w:rPr>
        <w:t>del</w:t>
      </w:r>
      <w:r>
        <w:rPr>
          <w:rFonts w:ascii="Bookman Old Style" w:hAnsi="Bookman Old Style"/>
        </w:rPr>
        <w:t xml:space="preserve"> </w:t>
      </w:r>
      <w:r w:rsidR="003C351F">
        <w:rPr>
          <w:rFonts w:ascii="Bookman Old Style" w:hAnsi="Bookman Old Style"/>
        </w:rPr>
        <w:t>25</w:t>
      </w:r>
      <w:r w:rsidR="000D0F0F">
        <w:rPr>
          <w:rFonts w:ascii="Bookman Old Style" w:hAnsi="Bookman Old Style"/>
        </w:rPr>
        <w:t xml:space="preserve"> </w:t>
      </w:r>
      <w:r>
        <w:rPr>
          <w:rFonts w:ascii="Bookman Old Style" w:hAnsi="Bookman Old Style"/>
        </w:rPr>
        <w:t>de</w:t>
      </w:r>
      <w:r w:rsidR="00D46A14">
        <w:rPr>
          <w:rFonts w:ascii="Bookman Old Style" w:hAnsi="Bookman Old Style"/>
        </w:rPr>
        <w:t xml:space="preserve"> ju</w:t>
      </w:r>
      <w:r w:rsidR="003C351F">
        <w:rPr>
          <w:rFonts w:ascii="Bookman Old Style" w:hAnsi="Bookman Old Style"/>
        </w:rPr>
        <w:t>n</w:t>
      </w:r>
      <w:r w:rsidR="00D46A14">
        <w:rPr>
          <w:rFonts w:ascii="Bookman Old Style" w:hAnsi="Bookman Old Style"/>
        </w:rPr>
        <w:t>io</w:t>
      </w:r>
      <w:r>
        <w:rPr>
          <w:rFonts w:ascii="Bookman Old Style" w:hAnsi="Bookman Old Style"/>
        </w:rPr>
        <w:t xml:space="preserve"> de 201</w:t>
      </w:r>
      <w:r w:rsidR="00D46A14">
        <w:rPr>
          <w:rFonts w:ascii="Bookman Old Style" w:hAnsi="Bookman Old Style"/>
        </w:rPr>
        <w:t>9</w:t>
      </w:r>
      <w:r>
        <w:rPr>
          <w:rFonts w:ascii="Bookman Old Style" w:hAnsi="Bookman Old Style"/>
        </w:rPr>
        <w:t xml:space="preserve">, aprobó hacer público el proyecto de resolución </w:t>
      </w:r>
      <w:r w:rsidR="006800AB" w:rsidRPr="00324E17">
        <w:rPr>
          <w:rFonts w:ascii="Bookman Old Style" w:hAnsi="Bookman Old Style"/>
          <w:i/>
        </w:rPr>
        <w:t xml:space="preserve">“Por la cual se </w:t>
      </w:r>
      <w:r w:rsidR="00742A7D">
        <w:rPr>
          <w:rFonts w:ascii="Bookman Old Style" w:hAnsi="Bookman Old Style"/>
          <w:i/>
        </w:rPr>
        <w:t>extiende</w:t>
      </w:r>
      <w:r w:rsidR="006800AB" w:rsidRPr="00324E17">
        <w:rPr>
          <w:rFonts w:ascii="Bookman Old Style" w:hAnsi="Bookman Old Style"/>
          <w:i/>
        </w:rPr>
        <w:t xml:space="preserve"> la opción de acceso al despacho central a plantas menores a 20 MW conectadas al Sistema Interconectado Nacional”</w:t>
      </w:r>
      <w:r>
        <w:rPr>
          <w:rFonts w:ascii="Bookman Old Style" w:hAnsi="Bookman Old Style"/>
          <w:i/>
        </w:rPr>
        <w:t>.</w:t>
      </w:r>
    </w:p>
    <w:p w14:paraId="541FA54B" w14:textId="77777777" w:rsidR="00045D3D" w:rsidRDefault="00045D3D" w:rsidP="00045D3D">
      <w:pPr>
        <w:suppressAutoHyphens/>
        <w:jc w:val="center"/>
        <w:rPr>
          <w:rFonts w:ascii="Bookman Old Style" w:hAnsi="Bookman Old Style"/>
          <w:b/>
          <w:spacing w:val="-3"/>
        </w:rPr>
      </w:pPr>
    </w:p>
    <w:p w14:paraId="5D150AA2" w14:textId="77777777" w:rsidR="005B17FB" w:rsidRDefault="005B17FB" w:rsidP="00045D3D">
      <w:pPr>
        <w:suppressAutoHyphens/>
        <w:jc w:val="center"/>
        <w:rPr>
          <w:rFonts w:ascii="Bookman Old Style" w:hAnsi="Bookman Old Style"/>
          <w:b/>
          <w:spacing w:val="-3"/>
        </w:rPr>
      </w:pPr>
    </w:p>
    <w:p w14:paraId="0B45C145" w14:textId="77777777" w:rsidR="00045D3D" w:rsidRPr="00C435C3" w:rsidRDefault="00045D3D" w:rsidP="00045D3D">
      <w:pPr>
        <w:suppressAutoHyphens/>
        <w:jc w:val="center"/>
        <w:rPr>
          <w:rFonts w:ascii="Bookman Old Style" w:hAnsi="Bookman Old Style"/>
          <w:spacing w:val="-3"/>
        </w:rPr>
      </w:pPr>
      <w:r w:rsidRPr="00C435C3">
        <w:rPr>
          <w:rFonts w:ascii="Bookman Old Style" w:hAnsi="Bookman Old Style"/>
          <w:b/>
          <w:spacing w:val="-3"/>
        </w:rPr>
        <w:t>R E S U E L V E:</w:t>
      </w:r>
    </w:p>
    <w:p w14:paraId="0E14346F" w14:textId="77777777" w:rsidR="00045D3D" w:rsidRDefault="00045D3D" w:rsidP="00045D3D">
      <w:pPr>
        <w:jc w:val="center"/>
        <w:rPr>
          <w:rFonts w:ascii="Bookman Old Style" w:hAnsi="Bookman Old Style"/>
        </w:rPr>
      </w:pPr>
    </w:p>
    <w:p w14:paraId="32881C7E" w14:textId="77777777" w:rsidR="00386E3F" w:rsidRDefault="00386E3F" w:rsidP="00124336">
      <w:pPr>
        <w:ind w:left="0"/>
        <w:jc w:val="both"/>
        <w:rPr>
          <w:rFonts w:ascii="Bookman Old Style" w:hAnsi="Bookman Old Style"/>
          <w:b/>
        </w:rPr>
      </w:pPr>
    </w:p>
    <w:p w14:paraId="382C3AED" w14:textId="764C0230" w:rsidR="00124336" w:rsidRPr="007554BB" w:rsidRDefault="00F44ED7" w:rsidP="00124336">
      <w:pPr>
        <w:ind w:left="0"/>
        <w:jc w:val="both"/>
        <w:rPr>
          <w:rFonts w:ascii="Bookman Old Style" w:hAnsi="Bookman Old Style"/>
          <w:bCs/>
          <w:szCs w:val="18"/>
          <w:lang w:val="es-CO"/>
        </w:rPr>
      </w:pPr>
      <w:r>
        <w:rPr>
          <w:rFonts w:ascii="Bookman Old Style" w:hAnsi="Bookman Old Style"/>
          <w:b/>
        </w:rPr>
        <w:t>ARTÍCULO 1.</w:t>
      </w:r>
      <w:r>
        <w:rPr>
          <w:rFonts w:ascii="Bookman Old Style" w:hAnsi="Bookman Old Style"/>
        </w:rPr>
        <w:t xml:space="preserve"> Hágase público el proyecto de resolución </w:t>
      </w:r>
      <w:r w:rsidR="006800AB" w:rsidRPr="00631C09">
        <w:rPr>
          <w:rFonts w:ascii="Bookman Old Style" w:hAnsi="Bookman Old Style"/>
          <w:i/>
        </w:rPr>
        <w:t xml:space="preserve">“Por la cual se </w:t>
      </w:r>
      <w:r w:rsidR="00742A7D">
        <w:rPr>
          <w:rFonts w:ascii="Bookman Old Style" w:hAnsi="Bookman Old Style"/>
          <w:i/>
        </w:rPr>
        <w:t>extiende</w:t>
      </w:r>
      <w:r w:rsidR="006800AB" w:rsidRPr="00631C09">
        <w:rPr>
          <w:rFonts w:ascii="Bookman Old Style" w:hAnsi="Bookman Old Style"/>
          <w:i/>
        </w:rPr>
        <w:t xml:space="preserve"> la opción de acceso al despacho central</w:t>
      </w:r>
      <w:r w:rsidR="005C14B9">
        <w:rPr>
          <w:rFonts w:ascii="Bookman Old Style" w:hAnsi="Bookman Old Style"/>
          <w:i/>
        </w:rPr>
        <w:t>,</w:t>
      </w:r>
      <w:r w:rsidR="006800AB" w:rsidRPr="00631C09">
        <w:rPr>
          <w:rFonts w:ascii="Bookman Old Style" w:hAnsi="Bookman Old Style"/>
          <w:i/>
        </w:rPr>
        <w:t xml:space="preserve"> a plantas menores a 20 MW conectadas al Sistema Interconectado Nacional”</w:t>
      </w:r>
      <w:r w:rsidR="00124336" w:rsidRPr="00631C09">
        <w:rPr>
          <w:rFonts w:ascii="Bookman Old Style" w:hAnsi="Bookman Old Style"/>
          <w:i/>
        </w:rPr>
        <w:t>.</w:t>
      </w:r>
      <w:r w:rsidR="00124336" w:rsidRPr="00631C09">
        <w:rPr>
          <w:rFonts w:ascii="Bookman Old Style" w:hAnsi="Bookman Old Style"/>
          <w:bCs/>
          <w:i/>
          <w:szCs w:val="18"/>
          <w:lang w:val="es-CO"/>
        </w:rPr>
        <w:t xml:space="preserve"> </w:t>
      </w:r>
      <w:r w:rsidR="00124336" w:rsidRPr="007554BB">
        <w:rPr>
          <w:rFonts w:ascii="Bookman Old Style" w:hAnsi="Bookman Old Style"/>
          <w:bCs/>
          <w:szCs w:val="18"/>
          <w:lang w:val="es-CO"/>
        </w:rPr>
        <w:t>Los</w:t>
      </w:r>
      <w:r w:rsidR="00124336">
        <w:rPr>
          <w:rFonts w:ascii="Bookman Old Style" w:hAnsi="Bookman Old Style"/>
          <w:bCs/>
          <w:szCs w:val="18"/>
          <w:lang w:val="es-CO"/>
        </w:rPr>
        <w:t xml:space="preserve"> análisis y las recomendaciones a la Comisión están contenidos en el Documento CREG </w:t>
      </w:r>
      <w:r w:rsidR="003C351F">
        <w:rPr>
          <w:rFonts w:ascii="Bookman Old Style" w:hAnsi="Bookman Old Style"/>
          <w:bCs/>
          <w:szCs w:val="18"/>
          <w:lang w:val="es-CO"/>
        </w:rPr>
        <w:t>042</w:t>
      </w:r>
      <w:r w:rsidR="00124336">
        <w:rPr>
          <w:rFonts w:ascii="Bookman Old Style" w:hAnsi="Bookman Old Style"/>
          <w:bCs/>
          <w:szCs w:val="18"/>
          <w:lang w:val="es-CO"/>
        </w:rPr>
        <w:t xml:space="preserve"> de 201</w:t>
      </w:r>
      <w:r w:rsidR="00F14FB2">
        <w:rPr>
          <w:rFonts w:ascii="Bookman Old Style" w:hAnsi="Bookman Old Style"/>
          <w:bCs/>
          <w:szCs w:val="18"/>
          <w:lang w:val="es-CO"/>
        </w:rPr>
        <w:t>9</w:t>
      </w:r>
      <w:r w:rsidR="00124336">
        <w:rPr>
          <w:rFonts w:ascii="Bookman Old Style" w:hAnsi="Bookman Old Style"/>
          <w:bCs/>
          <w:szCs w:val="18"/>
          <w:lang w:val="es-CO"/>
        </w:rPr>
        <w:t>.</w:t>
      </w:r>
    </w:p>
    <w:p w14:paraId="13DD5D35" w14:textId="77777777" w:rsidR="00F44ED7" w:rsidRPr="00C435C3" w:rsidRDefault="00F44ED7" w:rsidP="00F44ED7">
      <w:pPr>
        <w:ind w:left="0"/>
        <w:jc w:val="both"/>
        <w:rPr>
          <w:rFonts w:ascii="Bookman Old Style" w:hAnsi="Bookman Old Style"/>
        </w:rPr>
      </w:pPr>
    </w:p>
    <w:p w14:paraId="6DA237A5" w14:textId="0DF9F74A" w:rsidR="00045D3D" w:rsidRDefault="00045D3D" w:rsidP="00DF3CA2">
      <w:pPr>
        <w:ind w:left="0"/>
        <w:jc w:val="both"/>
        <w:rPr>
          <w:rFonts w:ascii="Bookman Old Style" w:hAnsi="Bookman Old Style"/>
          <w:i/>
          <w:sz w:val="22"/>
        </w:rPr>
      </w:pPr>
      <w:r w:rsidRPr="002A782A">
        <w:rPr>
          <w:rFonts w:ascii="Bookman Old Style" w:hAnsi="Bookman Old Style"/>
          <w:b/>
        </w:rPr>
        <w:t xml:space="preserve">ARTÍCULO </w:t>
      </w:r>
      <w:r>
        <w:rPr>
          <w:rFonts w:ascii="Bookman Old Style" w:hAnsi="Bookman Old Style"/>
          <w:b/>
        </w:rPr>
        <w:t>2</w:t>
      </w:r>
      <w:r w:rsidRPr="002A782A">
        <w:rPr>
          <w:rFonts w:ascii="Bookman Old Style" w:hAnsi="Bookman Old Style"/>
          <w:b/>
        </w:rPr>
        <w:t>.</w:t>
      </w:r>
      <w:r>
        <w:rPr>
          <w:rFonts w:ascii="Bookman Old Style" w:hAnsi="Bookman Old Style"/>
          <w:i/>
          <w:sz w:val="22"/>
        </w:rPr>
        <w:t xml:space="preserve">  </w:t>
      </w:r>
      <w:r w:rsidR="00F44ED7" w:rsidRPr="00517096">
        <w:rPr>
          <w:rFonts w:ascii="Bookman Old Style" w:hAnsi="Bookman Old Style" w:cs="Arial"/>
          <w:color w:val="000000"/>
          <w:szCs w:val="27"/>
        </w:rPr>
        <w:t xml:space="preserve">Se invita a los agentes, a los usuarios, </w:t>
      </w:r>
      <w:r w:rsidR="00F44ED7" w:rsidRPr="00517096">
        <w:rPr>
          <w:rFonts w:ascii="Bookman Old Style" w:hAnsi="Bookman Old Style" w:cs="Arial"/>
        </w:rPr>
        <w:t xml:space="preserve">a las </w:t>
      </w:r>
      <w:r w:rsidR="000D0F0F" w:rsidRPr="00517096">
        <w:rPr>
          <w:rFonts w:ascii="Bookman Old Style" w:hAnsi="Bookman Old Style" w:cs="Arial"/>
        </w:rPr>
        <w:t xml:space="preserve">autoridades locales municipales </w:t>
      </w:r>
      <w:r w:rsidR="00F44ED7" w:rsidRPr="00517096">
        <w:rPr>
          <w:rFonts w:ascii="Bookman Old Style" w:hAnsi="Bookman Old Style" w:cs="Arial"/>
        </w:rPr>
        <w:t xml:space="preserve">y </w:t>
      </w:r>
      <w:r w:rsidR="000D0F0F" w:rsidRPr="00517096">
        <w:rPr>
          <w:rFonts w:ascii="Bookman Old Style" w:hAnsi="Bookman Old Style" w:cs="Arial"/>
        </w:rPr>
        <w:t xml:space="preserve">departamentales </w:t>
      </w:r>
      <w:r w:rsidR="00F44ED7" w:rsidRPr="00517096">
        <w:rPr>
          <w:rFonts w:ascii="Bookman Old Style" w:hAnsi="Bookman Old Style" w:cs="Arial"/>
        </w:rPr>
        <w:t>competentes</w:t>
      </w:r>
      <w:r w:rsidR="00F44ED7" w:rsidRPr="00517096">
        <w:rPr>
          <w:rFonts w:ascii="Bookman Old Style" w:hAnsi="Bookman Old Style" w:cs="Arial"/>
          <w:color w:val="000000"/>
          <w:szCs w:val="27"/>
        </w:rPr>
        <w:t xml:space="preserve"> y a la Superintendencia de Servicios Públicos Domiciliarios, para que remitan sus observaciones o sugerencias sobre la propuesta, dentro de </w:t>
      </w:r>
      <w:r w:rsidR="00F44ED7" w:rsidRPr="003C351F">
        <w:rPr>
          <w:rFonts w:ascii="Bookman Old Style" w:hAnsi="Bookman Old Style" w:cs="Arial"/>
          <w:color w:val="000000"/>
          <w:szCs w:val="27"/>
        </w:rPr>
        <w:t xml:space="preserve">los </w:t>
      </w:r>
      <w:r w:rsidR="00DB03E3" w:rsidRPr="003C351F">
        <w:rPr>
          <w:rFonts w:ascii="Bookman Old Style" w:hAnsi="Bookman Old Style" w:cs="Arial"/>
          <w:color w:val="000000"/>
          <w:szCs w:val="27"/>
        </w:rPr>
        <w:t xml:space="preserve">diez </w:t>
      </w:r>
      <w:r w:rsidR="00F44ED7" w:rsidRPr="003C351F">
        <w:rPr>
          <w:rFonts w:ascii="Bookman Old Style" w:hAnsi="Bookman Old Style" w:cs="Arial"/>
          <w:color w:val="000000"/>
          <w:szCs w:val="27"/>
        </w:rPr>
        <w:t>(</w:t>
      </w:r>
      <w:r w:rsidR="001144A0" w:rsidRPr="003C351F">
        <w:rPr>
          <w:rFonts w:ascii="Bookman Old Style" w:hAnsi="Bookman Old Style" w:cs="Arial"/>
          <w:color w:val="000000"/>
          <w:szCs w:val="27"/>
        </w:rPr>
        <w:t>1</w:t>
      </w:r>
      <w:r w:rsidR="00DB03E3" w:rsidRPr="003C351F">
        <w:rPr>
          <w:rFonts w:ascii="Bookman Old Style" w:hAnsi="Bookman Old Style" w:cs="Arial"/>
          <w:color w:val="000000"/>
          <w:szCs w:val="27"/>
        </w:rPr>
        <w:t>0</w:t>
      </w:r>
      <w:r w:rsidR="00F44ED7" w:rsidRPr="003C351F">
        <w:rPr>
          <w:rFonts w:ascii="Bookman Old Style" w:hAnsi="Bookman Old Style" w:cs="Arial"/>
          <w:color w:val="000000"/>
          <w:szCs w:val="27"/>
        </w:rPr>
        <w:t xml:space="preserve">) días </w:t>
      </w:r>
      <w:r w:rsidR="00E85F7E" w:rsidRPr="003C351F">
        <w:rPr>
          <w:rFonts w:ascii="Bookman Old Style" w:hAnsi="Bookman Old Style" w:cs="Arial"/>
          <w:color w:val="000000"/>
          <w:szCs w:val="27"/>
        </w:rPr>
        <w:t xml:space="preserve">hábiles </w:t>
      </w:r>
      <w:r w:rsidR="00F44ED7" w:rsidRPr="003C351F">
        <w:rPr>
          <w:rFonts w:ascii="Bookman Old Style" w:hAnsi="Bookman Old Style" w:cs="Arial"/>
          <w:color w:val="000000"/>
          <w:szCs w:val="27"/>
        </w:rPr>
        <w:t>siguientes</w:t>
      </w:r>
      <w:r w:rsidR="00F44ED7" w:rsidRPr="00517096">
        <w:rPr>
          <w:rFonts w:ascii="Bookman Old Style" w:hAnsi="Bookman Old Style" w:cs="Arial"/>
          <w:color w:val="000000"/>
          <w:szCs w:val="27"/>
        </w:rPr>
        <w:t xml:space="preserve"> a la publicación de la presente resolución en la página Web de la Comisión de Regulación de Energía y Gas.</w:t>
      </w:r>
      <w:r>
        <w:rPr>
          <w:rFonts w:ascii="Bookman Old Style" w:hAnsi="Bookman Old Style"/>
          <w:i/>
          <w:sz w:val="22"/>
        </w:rPr>
        <w:t xml:space="preserve">    </w:t>
      </w:r>
    </w:p>
    <w:p w14:paraId="033D989A" w14:textId="77777777" w:rsidR="00045D3D" w:rsidRDefault="00045D3D" w:rsidP="00045D3D">
      <w:pPr>
        <w:jc w:val="both"/>
        <w:rPr>
          <w:rFonts w:ascii="Bookman Old Style" w:hAnsi="Bookman Old Style"/>
          <w:i/>
          <w:sz w:val="22"/>
        </w:rPr>
      </w:pPr>
    </w:p>
    <w:p w14:paraId="6D13EF89" w14:textId="77777777" w:rsidR="00F44ED7" w:rsidRPr="00BD57E9" w:rsidRDefault="00F44ED7" w:rsidP="00F44ED7">
      <w:pPr>
        <w:ind w:left="0"/>
        <w:jc w:val="both"/>
        <w:rPr>
          <w:rFonts w:ascii="Bookman Old Style" w:hAnsi="Bookman Old Style"/>
        </w:rPr>
      </w:pPr>
      <w:r w:rsidRPr="00517096">
        <w:rPr>
          <w:rFonts w:ascii="Bookman Old Style" w:hAnsi="Bookman Old Style" w:cs="Arial"/>
          <w:b/>
          <w:bCs/>
          <w:color w:val="000000"/>
          <w:szCs w:val="27"/>
        </w:rPr>
        <w:t>ARTÍCULO 3</w:t>
      </w:r>
      <w:r w:rsidRPr="00517096">
        <w:rPr>
          <w:rFonts w:ascii="Bookman Old Style" w:hAnsi="Bookman Old Style" w:cs="Arial"/>
          <w:color w:val="000000"/>
          <w:szCs w:val="27"/>
        </w:rPr>
        <w:t xml:space="preserve">. </w:t>
      </w:r>
      <w:r w:rsidRPr="00BD57E9">
        <w:rPr>
          <w:rFonts w:ascii="Bookman Old Style" w:hAnsi="Bookman Old Style"/>
        </w:rPr>
        <w:t xml:space="preserve">Las observaciones y sugerencias sobre el proyecto deberán dirigirse al Director Ejecutivo de la Comisión, a la siguiente dirección: avenida calle 116 No. 7-15, Edificio Torre </w:t>
      </w:r>
      <w:proofErr w:type="spellStart"/>
      <w:r w:rsidRPr="00BD57E9">
        <w:rPr>
          <w:rFonts w:ascii="Bookman Old Style" w:hAnsi="Bookman Old Style"/>
        </w:rPr>
        <w:t>Cusezar</w:t>
      </w:r>
      <w:proofErr w:type="spellEnd"/>
      <w:r w:rsidRPr="00BD57E9">
        <w:rPr>
          <w:rFonts w:ascii="Bookman Old Style" w:hAnsi="Bookman Old Style"/>
        </w:rPr>
        <w:t xml:space="preserve">, Interior 2, oficina 901 o al correo electrónico </w:t>
      </w:r>
      <w:hyperlink r:id="rId10" w:history="1">
        <w:r w:rsidRPr="00BD57E9">
          <w:rPr>
            <w:rFonts w:ascii="Bookman Old Style" w:hAnsi="Bookman Old Style"/>
            <w:color w:val="0000FF"/>
            <w:u w:val="single"/>
          </w:rPr>
          <w:t>creg@creg.gov.co</w:t>
        </w:r>
      </w:hyperlink>
      <w:r w:rsidRPr="00BD57E9">
        <w:rPr>
          <w:rFonts w:ascii="Bookman Old Style" w:hAnsi="Bookman Old Style"/>
        </w:rPr>
        <w:t xml:space="preserve"> </w:t>
      </w:r>
    </w:p>
    <w:p w14:paraId="30D93F54" w14:textId="77777777" w:rsidR="00F44ED7" w:rsidRPr="00517096" w:rsidRDefault="00F44ED7" w:rsidP="00F44ED7">
      <w:pPr>
        <w:ind w:left="0"/>
        <w:contextualSpacing/>
        <w:jc w:val="both"/>
        <w:rPr>
          <w:rFonts w:ascii="Bookman Old Style" w:hAnsi="Bookman Old Style" w:cs="Arial"/>
          <w:color w:val="000000"/>
          <w:szCs w:val="27"/>
        </w:rPr>
      </w:pPr>
    </w:p>
    <w:p w14:paraId="756485E3" w14:textId="77777777" w:rsidR="00F44ED7" w:rsidRPr="00517096" w:rsidRDefault="00F44ED7" w:rsidP="00F44ED7">
      <w:pPr>
        <w:ind w:left="0"/>
        <w:contextualSpacing/>
        <w:jc w:val="both"/>
        <w:rPr>
          <w:rFonts w:ascii="Bookman Old Style" w:hAnsi="Bookman Old Style" w:cs="Arial"/>
          <w:color w:val="000000"/>
          <w:szCs w:val="27"/>
        </w:rPr>
      </w:pPr>
      <w:r w:rsidRPr="00517096">
        <w:rPr>
          <w:rFonts w:ascii="Bookman Old Style" w:hAnsi="Bookman Old Style" w:cs="Arial"/>
          <w:b/>
          <w:bCs/>
          <w:color w:val="000000"/>
          <w:szCs w:val="27"/>
        </w:rPr>
        <w:t>ARTÍCULO 4</w:t>
      </w:r>
      <w:r w:rsidRPr="00517096">
        <w:rPr>
          <w:rFonts w:ascii="Bookman Old Style" w:hAnsi="Bookman Old Style" w:cs="Arial"/>
          <w:color w:val="000000"/>
          <w:szCs w:val="27"/>
        </w:rPr>
        <w:t xml:space="preserve">. La presente </w:t>
      </w:r>
      <w:r>
        <w:rPr>
          <w:rFonts w:ascii="Bookman Old Style" w:hAnsi="Bookman Old Style" w:cs="Arial"/>
          <w:color w:val="000000"/>
          <w:szCs w:val="27"/>
        </w:rPr>
        <w:t>r</w:t>
      </w:r>
      <w:r w:rsidRPr="00517096">
        <w:rPr>
          <w:rFonts w:ascii="Bookman Old Style" w:hAnsi="Bookman Old Style" w:cs="Arial"/>
          <w:color w:val="000000"/>
          <w:szCs w:val="27"/>
        </w:rPr>
        <w:t>esolución no deroga ni modifica disposiciones vigentes por tratarse de un acto de trámite.</w:t>
      </w:r>
    </w:p>
    <w:p w14:paraId="2C7155F8" w14:textId="77777777" w:rsidR="00045D3D" w:rsidRDefault="00045D3D" w:rsidP="00045D3D">
      <w:pPr>
        <w:ind w:left="0"/>
        <w:rPr>
          <w:rFonts w:ascii="Bookman Old Style" w:hAnsi="Bookman Old Style"/>
        </w:rPr>
      </w:pPr>
    </w:p>
    <w:p w14:paraId="61C19691" w14:textId="77777777" w:rsidR="00F44ED7" w:rsidRPr="00C435C3" w:rsidRDefault="00F44ED7" w:rsidP="00045D3D">
      <w:pPr>
        <w:ind w:left="0"/>
        <w:rPr>
          <w:rFonts w:ascii="Bookman Old Style" w:hAnsi="Bookman Old Style"/>
        </w:rPr>
      </w:pPr>
    </w:p>
    <w:p w14:paraId="5ABA2AA4" w14:textId="77777777" w:rsidR="00045D3D" w:rsidRPr="00C435C3" w:rsidRDefault="00045D3D" w:rsidP="00045D3D">
      <w:pPr>
        <w:jc w:val="center"/>
        <w:rPr>
          <w:rFonts w:ascii="Bookman Old Style" w:hAnsi="Bookman Old Style"/>
          <w:b/>
        </w:rPr>
      </w:pPr>
      <w:r w:rsidRPr="00C435C3">
        <w:rPr>
          <w:rFonts w:ascii="Bookman Old Style" w:hAnsi="Bookman Old Style"/>
          <w:b/>
        </w:rPr>
        <w:t>PU</w:t>
      </w:r>
      <w:r w:rsidR="00CA03C8">
        <w:rPr>
          <w:rFonts w:ascii="Bookman Old Style" w:hAnsi="Bookman Old Style"/>
          <w:b/>
        </w:rPr>
        <w:t>B</w:t>
      </w:r>
      <w:r w:rsidRPr="00C435C3">
        <w:rPr>
          <w:rFonts w:ascii="Bookman Old Style" w:hAnsi="Bookman Old Style"/>
          <w:b/>
        </w:rPr>
        <w:t>LÍQUESE Y CÚMPLASE</w:t>
      </w:r>
    </w:p>
    <w:p w14:paraId="3302B9FC" w14:textId="184BE56C" w:rsidR="00045D3D" w:rsidRDefault="00045D3D" w:rsidP="00CF7735">
      <w:pPr>
        <w:ind w:left="0"/>
        <w:rPr>
          <w:rFonts w:ascii="Bookman Old Style" w:hAnsi="Bookman Old Style"/>
        </w:rPr>
      </w:pPr>
    </w:p>
    <w:p w14:paraId="3F4B3378" w14:textId="77777777" w:rsidR="00657A23" w:rsidRDefault="00657A23" w:rsidP="00CF7735">
      <w:pPr>
        <w:ind w:left="0"/>
        <w:rPr>
          <w:rFonts w:ascii="Bookman Old Style" w:hAnsi="Bookman Old Style"/>
        </w:rPr>
      </w:pPr>
    </w:p>
    <w:p w14:paraId="587F6D47" w14:textId="77777777" w:rsidR="00045D3D" w:rsidRDefault="00045D3D" w:rsidP="00045D3D">
      <w:pPr>
        <w:ind w:left="0"/>
        <w:rPr>
          <w:rFonts w:ascii="Bookman Old Style" w:hAnsi="Bookman Old Style"/>
        </w:rPr>
      </w:pPr>
      <w:r>
        <w:rPr>
          <w:rFonts w:ascii="Bookman Old Style" w:hAnsi="Bookman Old Style"/>
        </w:rPr>
        <w:t>Dada en Bogotá, D.C.</w:t>
      </w:r>
      <w:r w:rsidR="00CA3AA6">
        <w:rPr>
          <w:rFonts w:ascii="Bookman Old Style" w:hAnsi="Bookman Old Style"/>
        </w:rPr>
        <w:t xml:space="preserve"> a</w:t>
      </w:r>
    </w:p>
    <w:p w14:paraId="0B67B719" w14:textId="418DE7E2" w:rsidR="00C0320D" w:rsidRDefault="00C0320D" w:rsidP="00045D3D">
      <w:pPr>
        <w:ind w:left="0"/>
        <w:rPr>
          <w:rFonts w:ascii="Bookman Old Style" w:hAnsi="Bookman Old Style"/>
        </w:rPr>
      </w:pPr>
    </w:p>
    <w:p w14:paraId="7C0597D9" w14:textId="7100C8EF" w:rsidR="00C0320D" w:rsidRDefault="00C0320D" w:rsidP="00045D3D">
      <w:pPr>
        <w:ind w:left="0"/>
        <w:rPr>
          <w:rFonts w:ascii="Bookman Old Style" w:hAnsi="Bookman Old Style"/>
        </w:rPr>
      </w:pPr>
    </w:p>
    <w:p w14:paraId="462962D9" w14:textId="77777777" w:rsidR="00ED4F40" w:rsidRDefault="00ED4F40" w:rsidP="00045D3D">
      <w:pPr>
        <w:ind w:left="0"/>
        <w:rPr>
          <w:rFonts w:ascii="Bookman Old Style" w:hAnsi="Bookman Old Style"/>
        </w:rPr>
      </w:pPr>
    </w:p>
    <w:p w14:paraId="5B16502F" w14:textId="56087142" w:rsidR="00C0320D" w:rsidRDefault="00C0320D" w:rsidP="00045D3D">
      <w:pPr>
        <w:ind w:left="0"/>
        <w:rPr>
          <w:rFonts w:ascii="Bookman Old Style" w:hAnsi="Bookman Old Style"/>
        </w:rPr>
      </w:pPr>
    </w:p>
    <w:p w14:paraId="1CEDD54F" w14:textId="77777777" w:rsidR="00C0320D" w:rsidRDefault="00C0320D" w:rsidP="00045D3D">
      <w:pPr>
        <w:ind w:left="0"/>
        <w:rPr>
          <w:rFonts w:ascii="Bookman Old Style" w:hAnsi="Bookman Old Style"/>
        </w:rPr>
      </w:pPr>
    </w:p>
    <w:tbl>
      <w:tblPr>
        <w:tblW w:w="9498" w:type="dxa"/>
        <w:jc w:val="center"/>
        <w:tblCellSpacing w:w="0" w:type="dxa"/>
        <w:tblCellMar>
          <w:left w:w="0" w:type="dxa"/>
          <w:right w:w="0" w:type="dxa"/>
        </w:tblCellMar>
        <w:tblLook w:val="04A0" w:firstRow="1" w:lastRow="0" w:firstColumn="1" w:lastColumn="0" w:noHBand="0" w:noVBand="1"/>
      </w:tblPr>
      <w:tblGrid>
        <w:gridCol w:w="5033"/>
        <w:gridCol w:w="4465"/>
      </w:tblGrid>
      <w:tr w:rsidR="00386E3F" w14:paraId="581168CA" w14:textId="77777777" w:rsidTr="00C0320D">
        <w:trPr>
          <w:tblCellSpacing w:w="0" w:type="dxa"/>
          <w:jc w:val="center"/>
        </w:trPr>
        <w:tc>
          <w:tcPr>
            <w:tcW w:w="5033" w:type="dxa"/>
          </w:tcPr>
          <w:p w14:paraId="178D7DB9" w14:textId="75829658" w:rsidR="00386E3F" w:rsidRDefault="00C0320D">
            <w:pPr>
              <w:ind w:left="66"/>
              <w:jc w:val="center"/>
              <w:rPr>
                <w:rFonts w:ascii="Bookman Old Style" w:hAnsi="Bookman Old Style" w:cs="Arial"/>
                <w:b/>
                <w:spacing w:val="-3"/>
              </w:rPr>
            </w:pPr>
            <w:r>
              <w:rPr>
                <w:rFonts w:ascii="Bookman Old Style" w:hAnsi="Bookman Old Style" w:cs="Arial"/>
                <w:b/>
                <w:szCs w:val="23"/>
              </w:rPr>
              <w:t>DIEGO MESA PUYO</w:t>
            </w:r>
          </w:p>
        </w:tc>
        <w:tc>
          <w:tcPr>
            <w:tcW w:w="4465" w:type="dxa"/>
          </w:tcPr>
          <w:p w14:paraId="65DC8619" w14:textId="77777777" w:rsidR="00386E3F" w:rsidRDefault="00386E3F">
            <w:pPr>
              <w:ind w:left="89"/>
              <w:jc w:val="center"/>
              <w:rPr>
                <w:rFonts w:ascii="Bookman Old Style" w:hAnsi="Bookman Old Style" w:cs="Arial"/>
                <w:b/>
                <w:spacing w:val="-3"/>
              </w:rPr>
            </w:pPr>
            <w:r>
              <w:rPr>
                <w:rFonts w:ascii="Bookman Old Style" w:hAnsi="Bookman Old Style" w:cs="Arial"/>
                <w:b/>
                <w:spacing w:val="-3"/>
              </w:rPr>
              <w:t>CHRISTIAN JARAMILLO HERRERA</w:t>
            </w:r>
          </w:p>
        </w:tc>
      </w:tr>
      <w:tr w:rsidR="00386E3F" w14:paraId="21746C28" w14:textId="77777777" w:rsidTr="00C0320D">
        <w:trPr>
          <w:tblCellSpacing w:w="0" w:type="dxa"/>
          <w:jc w:val="center"/>
        </w:trPr>
        <w:tc>
          <w:tcPr>
            <w:tcW w:w="5033" w:type="dxa"/>
            <w:hideMark/>
          </w:tcPr>
          <w:p w14:paraId="3C9C69FF" w14:textId="6D267A04" w:rsidR="00C0320D" w:rsidRDefault="00C0320D" w:rsidP="00F14FB2">
            <w:pPr>
              <w:ind w:left="66"/>
              <w:jc w:val="center"/>
              <w:rPr>
                <w:rFonts w:ascii="Bookman Old Style" w:hAnsi="Bookman Old Style" w:cs="Arial"/>
                <w:spacing w:val="-3"/>
              </w:rPr>
            </w:pPr>
            <w:r>
              <w:rPr>
                <w:rFonts w:ascii="Bookman Old Style" w:hAnsi="Bookman Old Style" w:cs="Arial"/>
                <w:spacing w:val="-3"/>
              </w:rPr>
              <w:t>Viceministro de Energía</w:t>
            </w:r>
          </w:p>
          <w:p w14:paraId="77286EBF" w14:textId="1365404C" w:rsidR="00386E3F" w:rsidRDefault="00C0320D" w:rsidP="00F14FB2">
            <w:pPr>
              <w:ind w:left="66"/>
              <w:jc w:val="center"/>
              <w:rPr>
                <w:rFonts w:ascii="Bookman Old Style" w:eastAsia="Arial Unicode MS" w:hAnsi="Bookman Old Style" w:cs="Arial"/>
                <w:color w:val="000000"/>
              </w:rPr>
            </w:pPr>
            <w:r>
              <w:rPr>
                <w:rFonts w:ascii="Bookman Old Style" w:hAnsi="Bookman Old Style" w:cs="Arial"/>
                <w:spacing w:val="-3"/>
              </w:rPr>
              <w:t xml:space="preserve">Delegado de la </w:t>
            </w:r>
            <w:r w:rsidR="00386E3F">
              <w:rPr>
                <w:rFonts w:ascii="Bookman Old Style" w:hAnsi="Bookman Old Style" w:cs="Arial"/>
                <w:spacing w:val="-3"/>
              </w:rPr>
              <w:t>Ministr</w:t>
            </w:r>
            <w:r w:rsidR="00F14FB2">
              <w:rPr>
                <w:rFonts w:ascii="Bookman Old Style" w:hAnsi="Bookman Old Style" w:cs="Arial"/>
                <w:spacing w:val="-3"/>
              </w:rPr>
              <w:t>a</w:t>
            </w:r>
            <w:r w:rsidR="00386E3F">
              <w:rPr>
                <w:rFonts w:ascii="Bookman Old Style" w:hAnsi="Bookman Old Style" w:cs="Arial"/>
                <w:spacing w:val="-3"/>
              </w:rPr>
              <w:t xml:space="preserve"> de Minas y Energía</w:t>
            </w:r>
          </w:p>
        </w:tc>
        <w:tc>
          <w:tcPr>
            <w:tcW w:w="4465" w:type="dxa"/>
            <w:hideMark/>
          </w:tcPr>
          <w:p w14:paraId="652D99DC" w14:textId="3F800B0D" w:rsidR="00386E3F" w:rsidRDefault="00F14FB2">
            <w:pPr>
              <w:jc w:val="center"/>
              <w:rPr>
                <w:rFonts w:ascii="Bookman Old Style" w:eastAsia="Arial Unicode MS" w:hAnsi="Bookman Old Style" w:cs="Arial"/>
                <w:color w:val="000000"/>
              </w:rPr>
            </w:pPr>
            <w:r>
              <w:rPr>
                <w:rFonts w:ascii="Bookman Old Style" w:hAnsi="Bookman Old Style" w:cs="Arial"/>
                <w:spacing w:val="-3"/>
              </w:rPr>
              <w:t>Director Ejecutivo</w:t>
            </w:r>
          </w:p>
        </w:tc>
      </w:tr>
      <w:tr w:rsidR="00386E3F" w14:paraId="31EB2402" w14:textId="77777777" w:rsidTr="00C0320D">
        <w:trPr>
          <w:tblCellSpacing w:w="0" w:type="dxa"/>
          <w:jc w:val="center"/>
        </w:trPr>
        <w:tc>
          <w:tcPr>
            <w:tcW w:w="5033" w:type="dxa"/>
            <w:hideMark/>
          </w:tcPr>
          <w:p w14:paraId="0A660F34" w14:textId="77777777" w:rsidR="00386E3F" w:rsidRDefault="00386E3F">
            <w:pPr>
              <w:ind w:left="66"/>
              <w:jc w:val="center"/>
              <w:rPr>
                <w:rFonts w:ascii="Bookman Old Style" w:eastAsia="Arial Unicode MS" w:hAnsi="Bookman Old Style" w:cs="Arial"/>
                <w:color w:val="000000"/>
              </w:rPr>
            </w:pPr>
            <w:r>
              <w:rPr>
                <w:rFonts w:ascii="Bookman Old Style" w:hAnsi="Bookman Old Style" w:cs="Arial"/>
                <w:spacing w:val="-3"/>
              </w:rPr>
              <w:t>Presidente</w:t>
            </w:r>
          </w:p>
        </w:tc>
        <w:tc>
          <w:tcPr>
            <w:tcW w:w="4465" w:type="dxa"/>
          </w:tcPr>
          <w:p w14:paraId="0861FB1C" w14:textId="77777777" w:rsidR="00386E3F" w:rsidRDefault="00386E3F">
            <w:pPr>
              <w:jc w:val="center"/>
              <w:rPr>
                <w:rFonts w:ascii="Bookman Old Style" w:eastAsia="Arial Unicode MS" w:hAnsi="Bookman Old Style" w:cs="Arial"/>
                <w:color w:val="000000"/>
              </w:rPr>
            </w:pPr>
          </w:p>
        </w:tc>
      </w:tr>
    </w:tbl>
    <w:p w14:paraId="55B7C8DF" w14:textId="77777777" w:rsidR="00F44ED7" w:rsidRDefault="00F44ED7" w:rsidP="00045D3D">
      <w:pPr>
        <w:ind w:left="0"/>
        <w:rPr>
          <w:rFonts w:ascii="Bookman Old Style" w:hAnsi="Bookman Old Style"/>
        </w:rPr>
      </w:pPr>
    </w:p>
    <w:p w14:paraId="06A1EF7A" w14:textId="77777777" w:rsidR="00F44ED7" w:rsidRDefault="00F44ED7" w:rsidP="00045D3D">
      <w:pPr>
        <w:ind w:left="0"/>
        <w:rPr>
          <w:rFonts w:ascii="Bookman Old Style" w:hAnsi="Bookman Old Style"/>
        </w:rPr>
      </w:pPr>
    </w:p>
    <w:p w14:paraId="51BE3FB5" w14:textId="77777777" w:rsidR="00045D3D" w:rsidRDefault="00045D3D" w:rsidP="00045D3D">
      <w:pPr>
        <w:ind w:left="0"/>
        <w:rPr>
          <w:rFonts w:ascii="Bookman Old Style" w:hAnsi="Bookman Old Style"/>
        </w:rPr>
      </w:pPr>
    </w:p>
    <w:tbl>
      <w:tblPr>
        <w:tblW w:w="10129" w:type="dxa"/>
        <w:jc w:val="right"/>
        <w:tblLayout w:type="fixed"/>
        <w:tblCellMar>
          <w:left w:w="70" w:type="dxa"/>
          <w:right w:w="70" w:type="dxa"/>
        </w:tblCellMar>
        <w:tblLook w:val="0000" w:firstRow="0" w:lastRow="0" w:firstColumn="0" w:lastColumn="0" w:noHBand="0" w:noVBand="0"/>
      </w:tblPr>
      <w:tblGrid>
        <w:gridCol w:w="4871"/>
        <w:gridCol w:w="5258"/>
      </w:tblGrid>
      <w:tr w:rsidR="00045D3D" w:rsidRPr="00720520" w14:paraId="2A7243E3" w14:textId="77777777" w:rsidTr="00F77D2D">
        <w:trPr>
          <w:jc w:val="right"/>
        </w:trPr>
        <w:tc>
          <w:tcPr>
            <w:tcW w:w="4871" w:type="dxa"/>
          </w:tcPr>
          <w:p w14:paraId="0A9ED33B" w14:textId="77777777" w:rsidR="00045D3D" w:rsidRPr="00720520" w:rsidRDefault="00045D3D" w:rsidP="00F77D2D">
            <w:pPr>
              <w:ind w:left="0"/>
              <w:rPr>
                <w:rFonts w:ascii="Bookman Old Style" w:hAnsi="Bookman Old Style" w:cs="Arial"/>
                <w:spacing w:val="-3"/>
                <w:lang w:val="es-ES_tradnl"/>
              </w:rPr>
            </w:pPr>
          </w:p>
        </w:tc>
        <w:tc>
          <w:tcPr>
            <w:tcW w:w="5258" w:type="dxa"/>
          </w:tcPr>
          <w:p w14:paraId="0A1A350F" w14:textId="77777777" w:rsidR="00045D3D" w:rsidRPr="00720520" w:rsidRDefault="00045D3D" w:rsidP="006B6194">
            <w:pPr>
              <w:rPr>
                <w:rFonts w:ascii="Bookman Old Style" w:hAnsi="Bookman Old Style" w:cs="Arial"/>
                <w:spacing w:val="-3"/>
                <w:lang w:val="es-ES_tradnl"/>
              </w:rPr>
            </w:pPr>
          </w:p>
        </w:tc>
      </w:tr>
      <w:tr w:rsidR="00045D3D" w:rsidRPr="00720520" w14:paraId="09CF2292" w14:textId="77777777" w:rsidTr="00F77D2D">
        <w:trPr>
          <w:jc w:val="right"/>
        </w:trPr>
        <w:tc>
          <w:tcPr>
            <w:tcW w:w="4871" w:type="dxa"/>
          </w:tcPr>
          <w:p w14:paraId="7CA32138" w14:textId="77777777" w:rsidR="00045D3D" w:rsidRPr="00720520" w:rsidRDefault="00045D3D" w:rsidP="006B6194">
            <w:pPr>
              <w:rPr>
                <w:rFonts w:ascii="Bookman Old Style" w:hAnsi="Bookman Old Style" w:cs="Arial"/>
                <w:spacing w:val="-3"/>
              </w:rPr>
            </w:pPr>
          </w:p>
        </w:tc>
        <w:tc>
          <w:tcPr>
            <w:tcW w:w="5258" w:type="dxa"/>
          </w:tcPr>
          <w:p w14:paraId="193E65AB" w14:textId="77777777" w:rsidR="00045D3D" w:rsidRPr="00720520" w:rsidRDefault="00045D3D" w:rsidP="006B6194">
            <w:pPr>
              <w:rPr>
                <w:rFonts w:ascii="Bookman Old Style" w:hAnsi="Bookman Old Style" w:cs="Arial"/>
                <w:spacing w:val="-3"/>
              </w:rPr>
            </w:pPr>
          </w:p>
        </w:tc>
      </w:tr>
    </w:tbl>
    <w:p w14:paraId="6A6DFF85" w14:textId="77777777" w:rsidR="00F44ED7" w:rsidRDefault="00F44ED7" w:rsidP="00F77D2D">
      <w:pPr>
        <w:ind w:left="0"/>
        <w:rPr>
          <w:rFonts w:ascii="Bookman Old Style" w:hAnsi="Bookman Old Style"/>
          <w:bCs/>
          <w:sz w:val="18"/>
          <w:szCs w:val="18"/>
          <w:lang w:val="es-CO"/>
        </w:rPr>
      </w:pPr>
    </w:p>
    <w:p w14:paraId="18F09245" w14:textId="77777777" w:rsidR="00F44ED7" w:rsidRDefault="00F44ED7" w:rsidP="00F77D2D">
      <w:pPr>
        <w:ind w:left="0"/>
        <w:rPr>
          <w:rFonts w:ascii="Bookman Old Style" w:hAnsi="Bookman Old Style"/>
          <w:bCs/>
          <w:sz w:val="18"/>
          <w:szCs w:val="18"/>
          <w:lang w:val="es-CO"/>
        </w:rPr>
      </w:pPr>
    </w:p>
    <w:p w14:paraId="60282BB1" w14:textId="77777777" w:rsidR="00F44ED7" w:rsidRDefault="00F44ED7" w:rsidP="00F77D2D">
      <w:pPr>
        <w:ind w:left="0"/>
        <w:rPr>
          <w:rFonts w:ascii="Bookman Old Style" w:hAnsi="Bookman Old Style"/>
          <w:bCs/>
          <w:sz w:val="18"/>
          <w:szCs w:val="18"/>
          <w:lang w:val="es-CO"/>
        </w:rPr>
      </w:pPr>
    </w:p>
    <w:p w14:paraId="00212236" w14:textId="77777777" w:rsidR="00F44ED7" w:rsidRDefault="00F44ED7" w:rsidP="00F77D2D">
      <w:pPr>
        <w:ind w:left="0"/>
        <w:rPr>
          <w:rFonts w:ascii="Bookman Old Style" w:hAnsi="Bookman Old Style"/>
          <w:bCs/>
          <w:sz w:val="18"/>
          <w:szCs w:val="18"/>
          <w:lang w:val="es-CO"/>
        </w:rPr>
      </w:pPr>
    </w:p>
    <w:p w14:paraId="122A1D3B" w14:textId="77777777" w:rsidR="00F44ED7" w:rsidRDefault="00F44ED7" w:rsidP="00F77D2D">
      <w:pPr>
        <w:ind w:left="0"/>
        <w:rPr>
          <w:rFonts w:ascii="Bookman Old Style" w:hAnsi="Bookman Old Style"/>
          <w:bCs/>
          <w:sz w:val="18"/>
          <w:szCs w:val="18"/>
          <w:lang w:val="es-CO"/>
        </w:rPr>
      </w:pPr>
    </w:p>
    <w:p w14:paraId="74B008F8" w14:textId="77777777" w:rsidR="00F44ED7" w:rsidRDefault="00F44ED7" w:rsidP="00F77D2D">
      <w:pPr>
        <w:ind w:left="0"/>
        <w:rPr>
          <w:rFonts w:ascii="Bookman Old Style" w:hAnsi="Bookman Old Style"/>
          <w:bCs/>
          <w:sz w:val="18"/>
          <w:szCs w:val="18"/>
          <w:lang w:val="es-CO"/>
        </w:rPr>
      </w:pPr>
    </w:p>
    <w:p w14:paraId="20550491" w14:textId="77777777" w:rsidR="00F44ED7" w:rsidRDefault="00F44ED7" w:rsidP="00F77D2D">
      <w:pPr>
        <w:ind w:left="0"/>
        <w:rPr>
          <w:rFonts w:ascii="Bookman Old Style" w:hAnsi="Bookman Old Style"/>
          <w:bCs/>
          <w:sz w:val="18"/>
          <w:szCs w:val="18"/>
          <w:lang w:val="es-CO"/>
        </w:rPr>
      </w:pPr>
    </w:p>
    <w:p w14:paraId="789CFF12" w14:textId="77777777" w:rsidR="00F44ED7" w:rsidRDefault="00F44ED7" w:rsidP="00F77D2D">
      <w:pPr>
        <w:ind w:left="0"/>
        <w:rPr>
          <w:rFonts w:ascii="Bookman Old Style" w:hAnsi="Bookman Old Style"/>
          <w:bCs/>
          <w:sz w:val="18"/>
          <w:szCs w:val="18"/>
          <w:lang w:val="es-CO"/>
        </w:rPr>
      </w:pPr>
    </w:p>
    <w:p w14:paraId="39F251EC" w14:textId="77777777" w:rsidR="00F44ED7" w:rsidRDefault="00F44ED7" w:rsidP="00F77D2D">
      <w:pPr>
        <w:ind w:left="0"/>
        <w:rPr>
          <w:rFonts w:ascii="Bookman Old Style" w:hAnsi="Bookman Old Style"/>
          <w:bCs/>
          <w:sz w:val="18"/>
          <w:szCs w:val="18"/>
          <w:lang w:val="es-CO"/>
        </w:rPr>
      </w:pPr>
    </w:p>
    <w:p w14:paraId="203D924B" w14:textId="77777777" w:rsidR="00F44ED7" w:rsidRDefault="00F44ED7" w:rsidP="00F77D2D">
      <w:pPr>
        <w:ind w:left="0"/>
        <w:rPr>
          <w:rFonts w:ascii="Bookman Old Style" w:hAnsi="Bookman Old Style"/>
          <w:bCs/>
          <w:sz w:val="18"/>
          <w:szCs w:val="18"/>
          <w:lang w:val="es-CO"/>
        </w:rPr>
      </w:pPr>
    </w:p>
    <w:p w14:paraId="75220CA0" w14:textId="77777777" w:rsidR="00F44ED7" w:rsidRDefault="00F44ED7" w:rsidP="00F77D2D">
      <w:pPr>
        <w:ind w:left="0"/>
        <w:rPr>
          <w:rFonts w:ascii="Bookman Old Style" w:hAnsi="Bookman Old Style"/>
          <w:bCs/>
          <w:sz w:val="18"/>
          <w:szCs w:val="18"/>
          <w:lang w:val="es-CO"/>
        </w:rPr>
      </w:pPr>
    </w:p>
    <w:p w14:paraId="364B5DF9" w14:textId="77777777" w:rsidR="00F44ED7" w:rsidRDefault="00F44ED7" w:rsidP="00F77D2D">
      <w:pPr>
        <w:ind w:left="0"/>
        <w:rPr>
          <w:rFonts w:ascii="Bookman Old Style" w:hAnsi="Bookman Old Style"/>
          <w:bCs/>
          <w:sz w:val="18"/>
          <w:szCs w:val="18"/>
          <w:lang w:val="es-CO"/>
        </w:rPr>
      </w:pPr>
    </w:p>
    <w:p w14:paraId="0460D913" w14:textId="77777777" w:rsidR="00F44ED7" w:rsidRDefault="00F44ED7" w:rsidP="00F77D2D">
      <w:pPr>
        <w:ind w:left="0"/>
        <w:rPr>
          <w:rFonts w:ascii="Bookman Old Style" w:hAnsi="Bookman Old Style"/>
          <w:bCs/>
          <w:sz w:val="18"/>
          <w:szCs w:val="18"/>
          <w:lang w:val="es-CO"/>
        </w:rPr>
      </w:pPr>
    </w:p>
    <w:p w14:paraId="1274698C" w14:textId="77777777" w:rsidR="00F44ED7" w:rsidRDefault="00F44ED7" w:rsidP="00F77D2D">
      <w:pPr>
        <w:ind w:left="0"/>
        <w:rPr>
          <w:rFonts w:ascii="Bookman Old Style" w:hAnsi="Bookman Old Style"/>
          <w:bCs/>
          <w:sz w:val="18"/>
          <w:szCs w:val="18"/>
          <w:lang w:val="es-CO"/>
        </w:rPr>
      </w:pPr>
    </w:p>
    <w:p w14:paraId="1701E9D1" w14:textId="77777777" w:rsidR="00F44ED7" w:rsidRDefault="00F44ED7" w:rsidP="00F77D2D">
      <w:pPr>
        <w:ind w:left="0"/>
        <w:rPr>
          <w:rFonts w:ascii="Bookman Old Style" w:hAnsi="Bookman Old Style"/>
          <w:bCs/>
          <w:sz w:val="18"/>
          <w:szCs w:val="18"/>
          <w:lang w:val="es-CO"/>
        </w:rPr>
      </w:pPr>
    </w:p>
    <w:p w14:paraId="3F73B51E" w14:textId="77777777" w:rsidR="00F44ED7" w:rsidRDefault="00F44ED7" w:rsidP="00F77D2D">
      <w:pPr>
        <w:ind w:left="0"/>
        <w:rPr>
          <w:rFonts w:ascii="Bookman Old Style" w:hAnsi="Bookman Old Style"/>
          <w:bCs/>
          <w:sz w:val="18"/>
          <w:szCs w:val="18"/>
          <w:lang w:val="es-CO"/>
        </w:rPr>
      </w:pPr>
    </w:p>
    <w:p w14:paraId="54F81098" w14:textId="77777777" w:rsidR="00F44ED7" w:rsidRDefault="00F44ED7" w:rsidP="00F77D2D">
      <w:pPr>
        <w:ind w:left="0"/>
        <w:rPr>
          <w:rFonts w:ascii="Bookman Old Style" w:hAnsi="Bookman Old Style"/>
          <w:bCs/>
          <w:sz w:val="18"/>
          <w:szCs w:val="18"/>
          <w:lang w:val="es-CO"/>
        </w:rPr>
      </w:pPr>
    </w:p>
    <w:p w14:paraId="4BA1891C" w14:textId="77777777" w:rsidR="00F44ED7" w:rsidRDefault="00F44ED7" w:rsidP="00F77D2D">
      <w:pPr>
        <w:ind w:left="0"/>
        <w:rPr>
          <w:rFonts w:ascii="Bookman Old Style" w:hAnsi="Bookman Old Style"/>
          <w:bCs/>
          <w:sz w:val="18"/>
          <w:szCs w:val="18"/>
          <w:lang w:val="es-CO"/>
        </w:rPr>
      </w:pPr>
    </w:p>
    <w:p w14:paraId="0F15D49C" w14:textId="77777777" w:rsidR="00F44ED7" w:rsidRDefault="00F44ED7" w:rsidP="00F77D2D">
      <w:pPr>
        <w:ind w:left="0"/>
        <w:rPr>
          <w:rFonts w:ascii="Bookman Old Style" w:hAnsi="Bookman Old Style"/>
          <w:bCs/>
          <w:sz w:val="18"/>
          <w:szCs w:val="18"/>
          <w:lang w:val="es-CO"/>
        </w:rPr>
      </w:pPr>
    </w:p>
    <w:p w14:paraId="538A2B8E" w14:textId="77777777" w:rsidR="00F44ED7" w:rsidRDefault="00F44ED7" w:rsidP="00F77D2D">
      <w:pPr>
        <w:ind w:left="0"/>
        <w:rPr>
          <w:rFonts w:ascii="Bookman Old Style" w:hAnsi="Bookman Old Style"/>
          <w:bCs/>
          <w:sz w:val="18"/>
          <w:szCs w:val="18"/>
          <w:lang w:val="es-CO"/>
        </w:rPr>
      </w:pPr>
    </w:p>
    <w:p w14:paraId="76B5B9FA" w14:textId="77777777" w:rsidR="00F44ED7" w:rsidRDefault="00F44ED7" w:rsidP="00F77D2D">
      <w:pPr>
        <w:ind w:left="0"/>
        <w:rPr>
          <w:rFonts w:ascii="Bookman Old Style" w:hAnsi="Bookman Old Style"/>
          <w:bCs/>
          <w:sz w:val="18"/>
          <w:szCs w:val="18"/>
          <w:lang w:val="es-CO"/>
        </w:rPr>
      </w:pPr>
    </w:p>
    <w:p w14:paraId="34ACB264" w14:textId="77777777" w:rsidR="00F44ED7" w:rsidRDefault="00F44ED7" w:rsidP="00F77D2D">
      <w:pPr>
        <w:ind w:left="0"/>
        <w:rPr>
          <w:rFonts w:ascii="Bookman Old Style" w:hAnsi="Bookman Old Style"/>
          <w:bCs/>
          <w:sz w:val="18"/>
          <w:szCs w:val="18"/>
          <w:lang w:val="es-CO"/>
        </w:rPr>
      </w:pPr>
    </w:p>
    <w:p w14:paraId="604488DB" w14:textId="77777777" w:rsidR="00F44ED7" w:rsidRDefault="00F44ED7" w:rsidP="00F77D2D">
      <w:pPr>
        <w:ind w:left="0"/>
        <w:rPr>
          <w:rFonts w:ascii="Bookman Old Style" w:hAnsi="Bookman Old Style"/>
          <w:bCs/>
          <w:sz w:val="18"/>
          <w:szCs w:val="18"/>
          <w:lang w:val="es-CO"/>
        </w:rPr>
      </w:pPr>
    </w:p>
    <w:p w14:paraId="4043344B" w14:textId="77777777" w:rsidR="00F44ED7" w:rsidRDefault="00F44ED7" w:rsidP="00F77D2D">
      <w:pPr>
        <w:ind w:left="0"/>
        <w:rPr>
          <w:rFonts w:ascii="Bookman Old Style" w:hAnsi="Bookman Old Style"/>
          <w:bCs/>
          <w:sz w:val="18"/>
          <w:szCs w:val="18"/>
          <w:lang w:val="es-CO"/>
        </w:rPr>
      </w:pPr>
    </w:p>
    <w:p w14:paraId="6D39E8F3" w14:textId="77777777" w:rsidR="00F44ED7" w:rsidRDefault="00F44ED7" w:rsidP="00F77D2D">
      <w:pPr>
        <w:ind w:left="0"/>
        <w:rPr>
          <w:rFonts w:ascii="Bookman Old Style" w:hAnsi="Bookman Old Style"/>
          <w:bCs/>
          <w:sz w:val="18"/>
          <w:szCs w:val="18"/>
          <w:lang w:val="es-CO"/>
        </w:rPr>
      </w:pPr>
    </w:p>
    <w:p w14:paraId="61AAABF6" w14:textId="77777777" w:rsidR="00F44ED7" w:rsidRDefault="00F44ED7" w:rsidP="00F77D2D">
      <w:pPr>
        <w:ind w:left="0"/>
        <w:rPr>
          <w:rFonts w:ascii="Bookman Old Style" w:hAnsi="Bookman Old Style"/>
          <w:bCs/>
          <w:sz w:val="18"/>
          <w:szCs w:val="18"/>
          <w:lang w:val="es-CO"/>
        </w:rPr>
      </w:pPr>
    </w:p>
    <w:p w14:paraId="6B93D59B" w14:textId="77777777" w:rsidR="00F44ED7" w:rsidRDefault="00F44ED7" w:rsidP="00F77D2D">
      <w:pPr>
        <w:ind w:left="0"/>
        <w:rPr>
          <w:rFonts w:ascii="Bookman Old Style" w:hAnsi="Bookman Old Style"/>
          <w:bCs/>
          <w:sz w:val="18"/>
          <w:szCs w:val="18"/>
          <w:lang w:val="es-CO"/>
        </w:rPr>
      </w:pPr>
    </w:p>
    <w:p w14:paraId="5A648E83" w14:textId="77777777" w:rsidR="00F44ED7" w:rsidRDefault="00F44ED7" w:rsidP="00F77D2D">
      <w:pPr>
        <w:ind w:left="0"/>
        <w:rPr>
          <w:rFonts w:ascii="Bookman Old Style" w:hAnsi="Bookman Old Style"/>
          <w:bCs/>
          <w:sz w:val="18"/>
          <w:szCs w:val="18"/>
          <w:lang w:val="es-CO"/>
        </w:rPr>
      </w:pPr>
    </w:p>
    <w:p w14:paraId="41E98C56" w14:textId="77777777" w:rsidR="000C687E" w:rsidRDefault="000C687E" w:rsidP="00DE7E37">
      <w:pPr>
        <w:pStyle w:val="Ttulo3"/>
        <w:tabs>
          <w:tab w:val="left" w:pos="0"/>
          <w:tab w:val="right" w:pos="9356"/>
        </w:tabs>
        <w:ind w:left="0"/>
        <w:rPr>
          <w:rFonts w:ascii="Bookman Old Style" w:hAnsi="Bookman Old Style"/>
          <w:szCs w:val="24"/>
        </w:rPr>
      </w:pPr>
    </w:p>
    <w:p w14:paraId="5EBC10C1" w14:textId="5555C288" w:rsidR="00DE7E37" w:rsidRDefault="00DE7E37" w:rsidP="00DE7E37">
      <w:pPr>
        <w:pStyle w:val="Ttulo3"/>
        <w:tabs>
          <w:tab w:val="left" w:pos="0"/>
          <w:tab w:val="right" w:pos="9356"/>
        </w:tabs>
        <w:ind w:left="0"/>
        <w:rPr>
          <w:rFonts w:ascii="Bookman Old Style" w:hAnsi="Bookman Old Style"/>
          <w:szCs w:val="24"/>
        </w:rPr>
      </w:pPr>
      <w:r w:rsidRPr="00F77D4E">
        <w:rPr>
          <w:rFonts w:ascii="Bookman Old Style" w:hAnsi="Bookman Old Style"/>
          <w:szCs w:val="24"/>
        </w:rPr>
        <w:t>PROYECTO DE RESOLUCIÓN</w:t>
      </w:r>
    </w:p>
    <w:p w14:paraId="5614D0D1" w14:textId="77777777" w:rsidR="00ED4F40" w:rsidRPr="00ED4F40" w:rsidRDefault="00ED4F40" w:rsidP="00ED4F40">
      <w:pPr>
        <w:rPr>
          <w:lang w:val="es-ES_tradnl"/>
        </w:rPr>
      </w:pPr>
    </w:p>
    <w:p w14:paraId="56F4B939" w14:textId="77777777" w:rsidR="00DE7E37" w:rsidRPr="00E060BE" w:rsidRDefault="00DE7E37" w:rsidP="00DE7E37">
      <w:pPr>
        <w:ind w:left="0"/>
        <w:rPr>
          <w:rFonts w:ascii="Bookman Old Style" w:hAnsi="Bookman Old Style"/>
          <w:bCs/>
          <w:lang w:val="es-CO"/>
        </w:rPr>
      </w:pPr>
    </w:p>
    <w:p w14:paraId="1BFA392F" w14:textId="7943C7D0" w:rsidR="008A08EB" w:rsidRPr="00DE7E37" w:rsidRDefault="006800AB" w:rsidP="00DE7E37">
      <w:pPr>
        <w:ind w:left="0"/>
        <w:jc w:val="center"/>
        <w:rPr>
          <w:rFonts w:ascii="Bookman Old Style" w:hAnsi="Bookman Old Style"/>
        </w:rPr>
      </w:pPr>
      <w:r w:rsidRPr="006800AB">
        <w:rPr>
          <w:rFonts w:ascii="Bookman Old Style" w:hAnsi="Bookman Old Style"/>
        </w:rPr>
        <w:t xml:space="preserve">Por la cual se </w:t>
      </w:r>
      <w:r w:rsidR="00742A7D">
        <w:rPr>
          <w:rFonts w:ascii="Bookman Old Style" w:hAnsi="Bookman Old Style"/>
        </w:rPr>
        <w:t>extiende</w:t>
      </w:r>
      <w:r w:rsidRPr="006800AB">
        <w:rPr>
          <w:rFonts w:ascii="Bookman Old Style" w:hAnsi="Bookman Old Style"/>
        </w:rPr>
        <w:t xml:space="preserve"> la opción de acceso al despacho central</w:t>
      </w:r>
      <w:r w:rsidR="005C14B9">
        <w:rPr>
          <w:rFonts w:ascii="Bookman Old Style" w:hAnsi="Bookman Old Style"/>
        </w:rPr>
        <w:t>,</w:t>
      </w:r>
      <w:r w:rsidRPr="006800AB">
        <w:rPr>
          <w:rFonts w:ascii="Bookman Old Style" w:hAnsi="Bookman Old Style"/>
        </w:rPr>
        <w:t xml:space="preserve"> a plantas menores a 20 MW conectadas al </w:t>
      </w:r>
      <w:r>
        <w:rPr>
          <w:rFonts w:ascii="Bookman Old Style" w:hAnsi="Bookman Old Style"/>
        </w:rPr>
        <w:t>Sistema Interconectado Nacional</w:t>
      </w:r>
      <w:r w:rsidRPr="00DE7E37" w:rsidDel="006800AB">
        <w:rPr>
          <w:rFonts w:ascii="Bookman Old Style" w:hAnsi="Bookman Old Style"/>
        </w:rPr>
        <w:t xml:space="preserve"> </w:t>
      </w:r>
    </w:p>
    <w:p w14:paraId="697085AE" w14:textId="6E162C1F" w:rsidR="00DE7E37" w:rsidRDefault="00DE7E37" w:rsidP="00DE7E37">
      <w:pPr>
        <w:ind w:right="51"/>
        <w:rPr>
          <w:rFonts w:ascii="Bookman Old Style" w:hAnsi="Bookman Old Style"/>
        </w:rPr>
      </w:pPr>
    </w:p>
    <w:p w14:paraId="63A7A25C" w14:textId="77777777" w:rsidR="00ED4F40" w:rsidRPr="00C435C3" w:rsidRDefault="00ED4F40" w:rsidP="00DE7E37">
      <w:pPr>
        <w:ind w:right="51"/>
        <w:rPr>
          <w:rFonts w:ascii="Bookman Old Style" w:hAnsi="Bookman Old Style"/>
        </w:rPr>
      </w:pPr>
    </w:p>
    <w:p w14:paraId="1CC55A9A" w14:textId="04F25380" w:rsidR="00DE7E37" w:rsidRPr="00C435C3" w:rsidRDefault="00DE7E37" w:rsidP="00DE7E37">
      <w:pPr>
        <w:ind w:right="51"/>
        <w:jc w:val="center"/>
        <w:rPr>
          <w:rFonts w:ascii="Bookman Old Style" w:hAnsi="Bookman Old Style"/>
          <w:b/>
        </w:rPr>
      </w:pPr>
      <w:r w:rsidRPr="00C435C3">
        <w:rPr>
          <w:rFonts w:ascii="Bookman Old Style" w:hAnsi="Bookman Old Style"/>
          <w:b/>
        </w:rPr>
        <w:t>LA COMISIÓN DE REGULACIÓN DE ENERGÍA Y GAS</w:t>
      </w:r>
    </w:p>
    <w:p w14:paraId="5A31791F" w14:textId="77777777" w:rsidR="00DE7E37" w:rsidRPr="00C435C3" w:rsidRDefault="00DE7E37" w:rsidP="00DE7E37">
      <w:pPr>
        <w:ind w:left="0" w:right="51"/>
        <w:rPr>
          <w:rFonts w:ascii="Bookman Old Style" w:hAnsi="Bookman Old Style"/>
        </w:rPr>
      </w:pPr>
    </w:p>
    <w:p w14:paraId="3700766D" w14:textId="77777777" w:rsidR="00DE7E37" w:rsidRPr="00C435C3" w:rsidRDefault="00DE7E37" w:rsidP="00DE7E37">
      <w:pPr>
        <w:ind w:left="0" w:right="51"/>
        <w:rPr>
          <w:rFonts w:ascii="Bookman Old Style" w:hAnsi="Bookman Old Style"/>
        </w:rPr>
      </w:pPr>
    </w:p>
    <w:p w14:paraId="27CBF71C" w14:textId="1FA747F3" w:rsidR="002E3A4C" w:rsidRPr="00AD1F99" w:rsidRDefault="002E3A4C" w:rsidP="002E3A4C">
      <w:pPr>
        <w:ind w:left="0"/>
        <w:jc w:val="center"/>
        <w:rPr>
          <w:rFonts w:ascii="Bookman Old Style" w:hAnsi="Bookman Old Style"/>
        </w:rPr>
      </w:pPr>
      <w:r w:rsidRPr="00AD1F99">
        <w:rPr>
          <w:rFonts w:ascii="Bookman Old Style" w:hAnsi="Bookman Old Style"/>
        </w:rPr>
        <w:t>En ejercicio de sus atribuciones constitucionales y legales, en especial las conferidas por las Leyes 142 y 143 de 1994, y en desarrollo de los Decretos 1524</w:t>
      </w:r>
      <w:r w:rsidR="0022650F">
        <w:rPr>
          <w:rFonts w:ascii="Bookman Old Style" w:hAnsi="Bookman Old Style"/>
        </w:rPr>
        <w:t xml:space="preserve"> y</w:t>
      </w:r>
      <w:r w:rsidRPr="00AD1F99">
        <w:rPr>
          <w:rFonts w:ascii="Bookman Old Style" w:hAnsi="Bookman Old Style"/>
        </w:rPr>
        <w:t xml:space="preserve"> 2253 de 1994 y 1260 de 2013.</w:t>
      </w:r>
    </w:p>
    <w:p w14:paraId="138F8666" w14:textId="7059BDE2" w:rsidR="00DE7E37" w:rsidRDefault="00DE7E37" w:rsidP="00DE7E37">
      <w:pPr>
        <w:ind w:right="51"/>
        <w:rPr>
          <w:rFonts w:ascii="Bookman Old Style" w:hAnsi="Bookman Old Style"/>
        </w:rPr>
      </w:pPr>
    </w:p>
    <w:p w14:paraId="3DD6892D" w14:textId="77777777" w:rsidR="000C687E" w:rsidRDefault="000C687E" w:rsidP="00DE7E37">
      <w:pPr>
        <w:ind w:right="51"/>
        <w:rPr>
          <w:rFonts w:ascii="Bookman Old Style" w:hAnsi="Bookman Old Style"/>
        </w:rPr>
      </w:pPr>
    </w:p>
    <w:p w14:paraId="0423A25E" w14:textId="765B56A8" w:rsidR="00DE7E37" w:rsidRDefault="00DE7E37" w:rsidP="00DE7E37">
      <w:pPr>
        <w:ind w:right="51"/>
        <w:jc w:val="center"/>
        <w:rPr>
          <w:rFonts w:ascii="Bookman Old Style" w:hAnsi="Bookman Old Style"/>
          <w:b/>
        </w:rPr>
      </w:pPr>
      <w:r w:rsidRPr="00C435C3">
        <w:rPr>
          <w:rFonts w:ascii="Bookman Old Style" w:hAnsi="Bookman Old Style"/>
          <w:b/>
        </w:rPr>
        <w:t xml:space="preserve">C O N S I D E R A N D </w:t>
      </w:r>
      <w:proofErr w:type="gramStart"/>
      <w:r w:rsidRPr="00C435C3">
        <w:rPr>
          <w:rFonts w:ascii="Bookman Old Style" w:hAnsi="Bookman Old Style"/>
          <w:b/>
        </w:rPr>
        <w:t>O</w:t>
      </w:r>
      <w:r>
        <w:rPr>
          <w:rFonts w:ascii="Bookman Old Style" w:hAnsi="Bookman Old Style"/>
          <w:b/>
        </w:rPr>
        <w:t xml:space="preserve">  Q</w:t>
      </w:r>
      <w:proofErr w:type="gramEnd"/>
      <w:r>
        <w:rPr>
          <w:rFonts w:ascii="Bookman Old Style" w:hAnsi="Bookman Old Style"/>
          <w:b/>
        </w:rPr>
        <w:t xml:space="preserve"> U E</w:t>
      </w:r>
      <w:r w:rsidRPr="00C435C3">
        <w:rPr>
          <w:rFonts w:ascii="Bookman Old Style" w:hAnsi="Bookman Old Style"/>
          <w:b/>
        </w:rPr>
        <w:t>:</w:t>
      </w:r>
    </w:p>
    <w:p w14:paraId="29186C6F" w14:textId="77777777" w:rsidR="00C0320D" w:rsidRPr="00C435C3" w:rsidRDefault="00C0320D" w:rsidP="00DE7E37">
      <w:pPr>
        <w:ind w:right="51"/>
        <w:jc w:val="center"/>
        <w:rPr>
          <w:rFonts w:ascii="Bookman Old Style" w:hAnsi="Bookman Old Style"/>
          <w:b/>
        </w:rPr>
      </w:pPr>
    </w:p>
    <w:p w14:paraId="4EB3AA27" w14:textId="5B5B6214" w:rsidR="007554BB" w:rsidRPr="009B17FA" w:rsidRDefault="007554BB" w:rsidP="007554BB">
      <w:pPr>
        <w:ind w:left="0"/>
        <w:jc w:val="both"/>
        <w:rPr>
          <w:rFonts w:ascii="Bookman Old Style" w:hAnsi="Bookman Old Style"/>
        </w:rPr>
      </w:pPr>
      <w:r w:rsidRPr="009B17FA">
        <w:rPr>
          <w:rFonts w:ascii="Bookman Old Style" w:hAnsi="Bookman Old Style"/>
        </w:rPr>
        <w:t>Por mandato del artículo 334 de la Constitución Política</w:t>
      </w:r>
      <w:r w:rsidR="008A21E1">
        <w:rPr>
          <w:rFonts w:ascii="Bookman Old Style" w:hAnsi="Bookman Old Style"/>
        </w:rPr>
        <w:t>,</w:t>
      </w:r>
      <w:r w:rsidRPr="009B17FA">
        <w:rPr>
          <w:rFonts w:ascii="Bookman Old Style" w:hAnsi="Bookman Old Style"/>
        </w:rPr>
        <w:t xml:space="preserve"> corresp</w:t>
      </w:r>
      <w:r w:rsidR="002C7C20">
        <w:rPr>
          <w:rFonts w:ascii="Bookman Old Style" w:hAnsi="Bookman Old Style"/>
        </w:rPr>
        <w:t>onde</w:t>
      </w:r>
      <w:r w:rsidRPr="009B17FA">
        <w:rPr>
          <w:rFonts w:ascii="Bookman Old Style" w:hAnsi="Bookman Old Style"/>
        </w:rPr>
        <w:t xml:space="preserve"> al Estado la dirección general de la economía, para lo cual intervendrá, por disposición de la ley, entre otros asuntos, en los servicios públicos y privados, para racionalizar la economía en un marco de sostenibilidad fiscal, buscando el mejoramiento de la calidad de vida de los habitantes, la distribución equitativa de las oportunidades y los beneficios del desarrollo y la preservación de un ambiente sano. </w:t>
      </w:r>
    </w:p>
    <w:p w14:paraId="5D938C82" w14:textId="77777777" w:rsidR="007554BB" w:rsidRPr="009B17FA" w:rsidRDefault="007554BB" w:rsidP="007554BB">
      <w:pPr>
        <w:ind w:left="0"/>
        <w:jc w:val="both"/>
        <w:rPr>
          <w:rFonts w:ascii="Bookman Old Style" w:hAnsi="Bookman Old Style"/>
        </w:rPr>
      </w:pPr>
    </w:p>
    <w:p w14:paraId="0082381D" w14:textId="4AC3FEF8" w:rsidR="007554BB" w:rsidRPr="007554BB" w:rsidRDefault="007554BB" w:rsidP="007554BB">
      <w:pPr>
        <w:ind w:left="0"/>
        <w:jc w:val="both"/>
        <w:rPr>
          <w:rFonts w:ascii="Bookman Old Style" w:hAnsi="Bookman Old Style"/>
        </w:rPr>
      </w:pPr>
      <w:r w:rsidRPr="009B17FA">
        <w:rPr>
          <w:rFonts w:ascii="Bookman Old Style" w:hAnsi="Bookman Old Style"/>
        </w:rPr>
        <w:t>El artículo 365 de la Constitución Política establece que los servicios públicos son inherentes a la finalidad social del Estado</w:t>
      </w:r>
      <w:r w:rsidR="008A21E1">
        <w:rPr>
          <w:rFonts w:ascii="Bookman Old Style" w:hAnsi="Bookman Old Style"/>
        </w:rPr>
        <w:t>,</w:t>
      </w:r>
      <w:r w:rsidRPr="009B17FA">
        <w:rPr>
          <w:rFonts w:ascii="Bookman Old Style" w:hAnsi="Bookman Old Style"/>
        </w:rPr>
        <w:t xml:space="preserve"> y es deber de este asegurar su prestación eficiente a todos los habitantes del territorio nacional.</w:t>
      </w:r>
    </w:p>
    <w:p w14:paraId="1EAF5EB1" w14:textId="77777777" w:rsidR="007554BB" w:rsidRPr="007554BB" w:rsidRDefault="007554BB" w:rsidP="007554BB">
      <w:pPr>
        <w:ind w:left="0"/>
        <w:jc w:val="both"/>
        <w:rPr>
          <w:rFonts w:ascii="Bookman Old Style" w:hAnsi="Bookman Old Style"/>
        </w:rPr>
      </w:pPr>
    </w:p>
    <w:p w14:paraId="48D081F2" w14:textId="77777777" w:rsidR="007554BB" w:rsidRPr="007554BB" w:rsidRDefault="007554BB" w:rsidP="007554BB">
      <w:pPr>
        <w:ind w:left="0"/>
        <w:jc w:val="both"/>
        <w:rPr>
          <w:rFonts w:ascii="Bookman Old Style" w:hAnsi="Bookman Old Style"/>
        </w:rPr>
      </w:pPr>
      <w:r w:rsidRPr="007554BB">
        <w:rPr>
          <w:rFonts w:ascii="Bookman Old Style" w:hAnsi="Bookman Old Style"/>
        </w:rPr>
        <w:t>El artículo 370 de la Constitución Política asigna al Presidente de la República la función de señalar, con sujeción a la ley, las políticas generales de administración y control de eficiencia de los servicios públicos domiciliarios.</w:t>
      </w:r>
    </w:p>
    <w:p w14:paraId="0215F77F" w14:textId="77777777" w:rsidR="007554BB" w:rsidRPr="007554BB" w:rsidRDefault="007554BB" w:rsidP="007554BB">
      <w:pPr>
        <w:ind w:left="0"/>
        <w:jc w:val="both"/>
        <w:rPr>
          <w:rFonts w:ascii="Bookman Old Style" w:hAnsi="Bookman Old Style"/>
        </w:rPr>
      </w:pPr>
    </w:p>
    <w:p w14:paraId="1FC48560" w14:textId="5CA09092" w:rsidR="007554BB" w:rsidRPr="009B17FA" w:rsidRDefault="007554BB" w:rsidP="007554BB">
      <w:pPr>
        <w:ind w:left="0"/>
        <w:jc w:val="both"/>
        <w:rPr>
          <w:rFonts w:ascii="Bookman Old Style" w:hAnsi="Bookman Old Style"/>
        </w:rPr>
      </w:pPr>
      <w:r w:rsidRPr="009B17FA">
        <w:rPr>
          <w:rFonts w:ascii="Bookman Old Style" w:hAnsi="Bookman Old Style"/>
        </w:rPr>
        <w:t>De conformidad con la Ley 142 de 1994, artículo 3</w:t>
      </w:r>
      <w:r w:rsidR="008A21E1">
        <w:rPr>
          <w:rFonts w:ascii="Bookman Old Style" w:hAnsi="Bookman Old Style"/>
        </w:rPr>
        <w:t>,</w:t>
      </w:r>
      <w:r w:rsidRPr="009B17FA">
        <w:rPr>
          <w:rFonts w:ascii="Bookman Old Style" w:hAnsi="Bookman Old Style"/>
        </w:rPr>
        <w:t xml:space="preserve"> numeral 3, la regulación de los servicios públicos es una forma de intervención del Estado en la economía.</w:t>
      </w:r>
    </w:p>
    <w:p w14:paraId="513D7D3B" w14:textId="77777777" w:rsidR="007554BB" w:rsidRDefault="007554BB" w:rsidP="007554BB">
      <w:pPr>
        <w:ind w:left="0"/>
        <w:jc w:val="both"/>
        <w:rPr>
          <w:rFonts w:ascii="Bookman Old Style" w:hAnsi="Bookman Old Style"/>
        </w:rPr>
      </w:pPr>
    </w:p>
    <w:p w14:paraId="3EFA2A9B" w14:textId="72001FD1" w:rsidR="007554BB" w:rsidRDefault="007554BB" w:rsidP="007554BB">
      <w:pPr>
        <w:ind w:left="0"/>
        <w:jc w:val="both"/>
        <w:rPr>
          <w:rFonts w:ascii="Bookman Old Style" w:hAnsi="Bookman Old Style"/>
        </w:rPr>
      </w:pPr>
      <w:r>
        <w:rPr>
          <w:rFonts w:ascii="Bookman Old Style" w:hAnsi="Bookman Old Style"/>
        </w:rPr>
        <w:t>La función de regulación está orientada</w:t>
      </w:r>
      <w:r w:rsidR="008A21E1">
        <w:rPr>
          <w:rFonts w:ascii="Bookman Old Style" w:hAnsi="Bookman Old Style"/>
        </w:rPr>
        <w:t>,</w:t>
      </w:r>
      <w:r>
        <w:rPr>
          <w:rFonts w:ascii="Bookman Old Style" w:hAnsi="Bookman Old Style"/>
        </w:rPr>
        <w:t xml:space="preserve"> no solo a corregir fallas del mercado</w:t>
      </w:r>
      <w:r w:rsidR="008A21E1">
        <w:rPr>
          <w:rFonts w:ascii="Bookman Old Style" w:hAnsi="Bookman Old Style"/>
        </w:rPr>
        <w:t>,</w:t>
      </w:r>
      <w:r>
        <w:rPr>
          <w:rFonts w:ascii="Bookman Old Style" w:hAnsi="Bookman Old Style"/>
        </w:rPr>
        <w:t xml:space="preserve"> sino a desarrollar los fines esenciales de los servicios públicos.</w:t>
      </w:r>
    </w:p>
    <w:p w14:paraId="1E4164E9" w14:textId="77777777" w:rsidR="007554BB" w:rsidRDefault="007554BB" w:rsidP="007554BB">
      <w:pPr>
        <w:ind w:left="0"/>
        <w:jc w:val="both"/>
        <w:rPr>
          <w:rFonts w:ascii="Bookman Old Style" w:hAnsi="Bookman Old Style"/>
        </w:rPr>
      </w:pPr>
    </w:p>
    <w:p w14:paraId="4DC90800" w14:textId="77777777" w:rsidR="007554BB" w:rsidRDefault="007554BB" w:rsidP="007554BB">
      <w:pPr>
        <w:ind w:left="0"/>
        <w:jc w:val="both"/>
        <w:rPr>
          <w:rFonts w:ascii="Bookman Old Style" w:hAnsi="Bookman Old Style"/>
        </w:rPr>
      </w:pPr>
      <w:r>
        <w:rPr>
          <w:rFonts w:ascii="Bookman Old Style" w:hAnsi="Bookman Old Style"/>
        </w:rPr>
        <w:t>Los servicios públicos hacen parte de la cláusula del Estado Social de Derecho.</w:t>
      </w:r>
    </w:p>
    <w:p w14:paraId="3444BB2C" w14:textId="77777777" w:rsidR="007554BB" w:rsidRDefault="007554BB" w:rsidP="007554BB">
      <w:pPr>
        <w:ind w:left="0"/>
        <w:jc w:val="both"/>
        <w:rPr>
          <w:rFonts w:ascii="Bookman Old Style" w:hAnsi="Bookman Old Style"/>
        </w:rPr>
      </w:pPr>
    </w:p>
    <w:p w14:paraId="4BCD5249" w14:textId="303D358F" w:rsidR="007554BB" w:rsidRDefault="007554BB" w:rsidP="007554BB">
      <w:pPr>
        <w:ind w:left="0"/>
        <w:jc w:val="both"/>
        <w:rPr>
          <w:rFonts w:ascii="Bookman Old Style" w:hAnsi="Bookman Old Style"/>
        </w:rPr>
      </w:pPr>
      <w:r>
        <w:rPr>
          <w:rFonts w:ascii="Bookman Old Style" w:hAnsi="Bookman Old Style"/>
        </w:rPr>
        <w:t xml:space="preserve">Es un fin de la regulación garantizar la debida prestación de los servicios públicos, </w:t>
      </w:r>
      <w:r w:rsidR="008A21E1">
        <w:rPr>
          <w:rFonts w:ascii="Bookman Old Style" w:hAnsi="Bookman Old Style"/>
        </w:rPr>
        <w:t xml:space="preserve">y </w:t>
      </w:r>
      <w:r>
        <w:rPr>
          <w:rFonts w:ascii="Bookman Old Style" w:hAnsi="Bookman Old Style"/>
        </w:rPr>
        <w:t>en el caso en concreto</w:t>
      </w:r>
      <w:r w:rsidR="008A21E1">
        <w:rPr>
          <w:rFonts w:ascii="Bookman Old Style" w:hAnsi="Bookman Old Style"/>
        </w:rPr>
        <w:t>,</w:t>
      </w:r>
      <w:r>
        <w:rPr>
          <w:rFonts w:ascii="Bookman Old Style" w:hAnsi="Bookman Old Style"/>
        </w:rPr>
        <w:t xml:space="preserve"> del servicio de energía eléctrica de manera confiable y continua.</w:t>
      </w:r>
    </w:p>
    <w:p w14:paraId="1EDAA96A" w14:textId="77777777" w:rsidR="007554BB" w:rsidRDefault="007554BB" w:rsidP="00DE7E37">
      <w:pPr>
        <w:ind w:left="0"/>
        <w:jc w:val="both"/>
        <w:rPr>
          <w:rFonts w:ascii="Bookman Old Style" w:hAnsi="Bookman Old Style"/>
        </w:rPr>
      </w:pPr>
    </w:p>
    <w:p w14:paraId="45A21AC1" w14:textId="77777777" w:rsidR="007554BB" w:rsidRPr="009B17FA" w:rsidRDefault="007554BB" w:rsidP="007554BB">
      <w:pPr>
        <w:ind w:left="0"/>
        <w:jc w:val="both"/>
        <w:rPr>
          <w:rFonts w:ascii="Bookman Old Style" w:hAnsi="Bookman Old Style"/>
        </w:rPr>
      </w:pPr>
      <w:r w:rsidRPr="009B17FA">
        <w:rPr>
          <w:rFonts w:ascii="Bookman Old Style" w:hAnsi="Bookman Old Style"/>
        </w:rPr>
        <w:t xml:space="preserve">Según la Ley 142 de 1994, artículo 74, son funciones y facultades especiales de la CREG, entre otras, las de regular el ejercicio de las actividades de los sectores de energía y gas combustible para asegurar la disponibilidad de una oferta energética eficiente; propiciar la competencia en el sector de minas y energía y proponer la adopción de las medidas necesarias para impedir abusos de posición </w:t>
      </w:r>
      <w:r w:rsidRPr="009B17FA">
        <w:rPr>
          <w:rFonts w:ascii="Bookman Old Style" w:hAnsi="Bookman Old Style"/>
        </w:rPr>
        <w:lastRenderedPageBreak/>
        <w:t>dominante y buscar la liberación gradual de los mercados hacia la libre competencia; y establecer criterios para la fijación de compromisos de ventas garantizadas de energía y potencia entre las empresas eléctricas y entre éstas y los grandes usuarios.</w:t>
      </w:r>
    </w:p>
    <w:p w14:paraId="76E93062" w14:textId="77777777" w:rsidR="007554BB" w:rsidRPr="009B17FA" w:rsidRDefault="007554BB" w:rsidP="007554BB">
      <w:pPr>
        <w:ind w:left="0"/>
        <w:jc w:val="both"/>
        <w:rPr>
          <w:rFonts w:ascii="Bookman Old Style" w:hAnsi="Bookman Old Style"/>
        </w:rPr>
      </w:pPr>
    </w:p>
    <w:p w14:paraId="6AF20A5F" w14:textId="7927F09A" w:rsidR="007554BB" w:rsidRPr="009B17FA" w:rsidRDefault="007554BB" w:rsidP="007554BB">
      <w:pPr>
        <w:ind w:left="0"/>
        <w:jc w:val="both"/>
        <w:rPr>
          <w:rFonts w:ascii="Bookman Old Style" w:hAnsi="Bookman Old Style"/>
        </w:rPr>
      </w:pPr>
      <w:r w:rsidRPr="009B17FA">
        <w:rPr>
          <w:rFonts w:ascii="Bookman Old Style" w:hAnsi="Bookman Old Style"/>
        </w:rPr>
        <w:t xml:space="preserve">La ley 142 de 1994, artículo 74, también le asignó a la Comisión de Regulación de Energía y Gas la función de expedir el Reglamento de Operación para regular el funcionamiento del Mercado Mayorista de </w:t>
      </w:r>
      <w:r w:rsidR="00F23026">
        <w:rPr>
          <w:rFonts w:ascii="Bookman Old Style" w:hAnsi="Bookman Old Style"/>
        </w:rPr>
        <w:t>E</w:t>
      </w:r>
      <w:r w:rsidRPr="009B17FA">
        <w:rPr>
          <w:rFonts w:ascii="Bookman Old Style" w:hAnsi="Bookman Old Style"/>
        </w:rPr>
        <w:t>nergía.</w:t>
      </w:r>
    </w:p>
    <w:p w14:paraId="6284D891" w14:textId="77777777" w:rsidR="007554BB" w:rsidRDefault="007554BB" w:rsidP="00DE7E37">
      <w:pPr>
        <w:ind w:left="0"/>
        <w:jc w:val="both"/>
        <w:rPr>
          <w:rFonts w:ascii="Bookman Old Style" w:hAnsi="Bookman Old Style"/>
        </w:rPr>
      </w:pPr>
    </w:p>
    <w:p w14:paraId="1D752ED6" w14:textId="77777777" w:rsidR="00DE7E37" w:rsidRDefault="00DE7E37" w:rsidP="00DE7E37">
      <w:pPr>
        <w:ind w:left="0"/>
        <w:jc w:val="both"/>
        <w:rPr>
          <w:rFonts w:ascii="Bookman Old Style" w:hAnsi="Bookman Old Style"/>
        </w:rPr>
      </w:pPr>
      <w:r>
        <w:rPr>
          <w:rFonts w:ascii="Bookman Old Style" w:hAnsi="Bookman Old Style"/>
        </w:rPr>
        <w:t xml:space="preserve">Según la Ley 143 de 1994, artículo 4, el Estado, en relación con el servicio de electricidad, tendrá como objetivos en el cumplimiento de sus funciones, los de abastecer la demanda de electricidad de la comunidad bajo criterios económicos y de viabilidad financiera, asegurando su cubrimiento en un marco de uso racional y eficiente de los diferentes recursos energéticos del país; asegurar una operación eficiente, segura y confiable en las actividades del sector; y mantener los niveles de calidad y seguridad establecidos. </w:t>
      </w:r>
    </w:p>
    <w:p w14:paraId="33927A65" w14:textId="77777777" w:rsidR="00F44ED7" w:rsidRDefault="00F44ED7" w:rsidP="00F77D2D">
      <w:pPr>
        <w:ind w:left="0"/>
        <w:rPr>
          <w:rFonts w:ascii="Bookman Old Style" w:hAnsi="Bookman Old Style"/>
          <w:bCs/>
          <w:sz w:val="18"/>
          <w:szCs w:val="18"/>
          <w:lang w:val="es-CO"/>
        </w:rPr>
      </w:pPr>
    </w:p>
    <w:p w14:paraId="156E4671" w14:textId="77777777" w:rsidR="00DE7E37" w:rsidRDefault="00DE7E37" w:rsidP="00DE7E37">
      <w:pPr>
        <w:ind w:left="0"/>
        <w:jc w:val="both"/>
        <w:rPr>
          <w:rFonts w:ascii="Bookman Old Style" w:hAnsi="Bookman Old Style"/>
        </w:rPr>
      </w:pPr>
      <w:r>
        <w:rPr>
          <w:rFonts w:ascii="Bookman Old Style" w:hAnsi="Bookman Old Style"/>
        </w:rPr>
        <w:t>La Ley 143 de 1994, artículo 20, definió como objetivo fundamental de la regulación en el sector eléctrico, asegurar una adecuada prestación del servicio mediante el aprovechamiento eficiente de los diferentes recursos energéticos, en beneficio del usuario en términos de calidad, oportunidad y costo del servicio.</w:t>
      </w:r>
    </w:p>
    <w:p w14:paraId="4291170C" w14:textId="77777777" w:rsidR="00F44ED7" w:rsidRDefault="00F44ED7" w:rsidP="00F77D2D">
      <w:pPr>
        <w:ind w:left="0"/>
        <w:rPr>
          <w:rFonts w:ascii="Bookman Old Style" w:hAnsi="Bookman Old Style"/>
          <w:bCs/>
          <w:sz w:val="18"/>
          <w:szCs w:val="18"/>
          <w:lang w:val="es-CO"/>
        </w:rPr>
      </w:pPr>
    </w:p>
    <w:p w14:paraId="532DF176" w14:textId="0E56DDFD" w:rsidR="007554BB" w:rsidRPr="009B17FA" w:rsidRDefault="007554BB" w:rsidP="007554BB">
      <w:pPr>
        <w:ind w:left="0"/>
        <w:jc w:val="both"/>
        <w:rPr>
          <w:rFonts w:ascii="Bookman Old Style" w:hAnsi="Bookman Old Style"/>
        </w:rPr>
      </w:pPr>
      <w:r w:rsidRPr="009B17FA">
        <w:rPr>
          <w:rFonts w:ascii="Bookman Old Style" w:hAnsi="Bookman Old Style"/>
        </w:rPr>
        <w:t>Así mismo</w:t>
      </w:r>
      <w:r w:rsidR="008A21E1">
        <w:rPr>
          <w:rFonts w:ascii="Bookman Old Style" w:hAnsi="Bookman Old Style"/>
        </w:rPr>
        <w:t>,</w:t>
      </w:r>
      <w:r w:rsidRPr="009B17FA">
        <w:rPr>
          <w:rFonts w:ascii="Bookman Old Style" w:hAnsi="Bookman Old Style"/>
        </w:rPr>
        <w:t xml:space="preserve"> el artículo 4 de la Ley 143 de 1994 dispuso que el Estado</w:t>
      </w:r>
      <w:r w:rsidR="008A21E1">
        <w:rPr>
          <w:rFonts w:ascii="Bookman Old Style" w:hAnsi="Bookman Old Style"/>
        </w:rPr>
        <w:t>,</w:t>
      </w:r>
      <w:r w:rsidRPr="009B17FA">
        <w:rPr>
          <w:rFonts w:ascii="Bookman Old Style" w:hAnsi="Bookman Old Style"/>
        </w:rPr>
        <w:t xml:space="preserve"> </w:t>
      </w:r>
      <w:r w:rsidR="008A21E1">
        <w:rPr>
          <w:rFonts w:ascii="Bookman Old Style" w:hAnsi="Bookman Old Style"/>
        </w:rPr>
        <w:t>e</w:t>
      </w:r>
      <w:r w:rsidR="008A21E1" w:rsidRPr="009B17FA">
        <w:rPr>
          <w:rFonts w:ascii="Bookman Old Style" w:hAnsi="Bookman Old Style"/>
        </w:rPr>
        <w:t xml:space="preserve">n </w:t>
      </w:r>
      <w:r w:rsidRPr="009B17FA">
        <w:rPr>
          <w:rFonts w:ascii="Bookman Old Style" w:hAnsi="Bookman Old Style"/>
        </w:rPr>
        <w:t>relación al servicio de energía</w:t>
      </w:r>
      <w:r w:rsidR="008A21E1">
        <w:rPr>
          <w:rFonts w:ascii="Bookman Old Style" w:hAnsi="Bookman Old Style"/>
        </w:rPr>
        <w:t>,</w:t>
      </w:r>
      <w:r w:rsidRPr="009B17FA">
        <w:rPr>
          <w:rFonts w:ascii="Bookman Old Style" w:hAnsi="Bookman Old Style"/>
        </w:rPr>
        <w:t xml:space="preserve"> debe asegurar una operación eficiente</w:t>
      </w:r>
      <w:r w:rsidR="008A21E1">
        <w:rPr>
          <w:rFonts w:ascii="Bookman Old Style" w:hAnsi="Bookman Old Style"/>
        </w:rPr>
        <w:t>,</w:t>
      </w:r>
      <w:r w:rsidRPr="009B17FA">
        <w:rPr>
          <w:rFonts w:ascii="Bookman Old Style" w:hAnsi="Bookman Old Style"/>
        </w:rPr>
        <w:t xml:space="preserve"> segura y confiable de las actividades del sector.</w:t>
      </w:r>
    </w:p>
    <w:p w14:paraId="24952E5C" w14:textId="77777777" w:rsidR="007554BB" w:rsidRDefault="007554BB" w:rsidP="00F77D2D">
      <w:pPr>
        <w:ind w:left="0"/>
        <w:rPr>
          <w:rFonts w:ascii="Bookman Old Style" w:hAnsi="Bookman Old Style"/>
          <w:bCs/>
          <w:sz w:val="18"/>
          <w:szCs w:val="18"/>
          <w:lang w:val="es-CO"/>
        </w:rPr>
      </w:pPr>
    </w:p>
    <w:p w14:paraId="0A2047E2" w14:textId="77777777" w:rsidR="00DE7E37" w:rsidRDefault="00DE7E37" w:rsidP="00DE7E37">
      <w:pPr>
        <w:ind w:left="0"/>
        <w:jc w:val="both"/>
        <w:rPr>
          <w:rFonts w:ascii="Bookman Old Style" w:hAnsi="Bookman Old Style"/>
        </w:rPr>
      </w:pPr>
      <w:r>
        <w:rPr>
          <w:rFonts w:ascii="Bookman Old Style" w:hAnsi="Bookman Old Style"/>
        </w:rPr>
        <w:t>Para el cumplimiento del objetivo señalado, la Ley 143 de 1994, artículo 23, le atribuyó a la Comisión de Regulación de Energía y Gas, entre otras, las siguientes funciones:</w:t>
      </w:r>
    </w:p>
    <w:p w14:paraId="13724F05" w14:textId="77777777" w:rsidR="00DE7E37" w:rsidRDefault="00DE7E37" w:rsidP="00DE7E37">
      <w:pPr>
        <w:jc w:val="both"/>
        <w:rPr>
          <w:rFonts w:ascii="Bookman Old Style" w:hAnsi="Bookman Old Style"/>
        </w:rPr>
      </w:pPr>
    </w:p>
    <w:p w14:paraId="234E22D9" w14:textId="65183993" w:rsidR="00DE7E37" w:rsidRDefault="00DE7E37" w:rsidP="00DE7E37">
      <w:pPr>
        <w:numPr>
          <w:ilvl w:val="0"/>
          <w:numId w:val="18"/>
        </w:numPr>
        <w:tabs>
          <w:tab w:val="clear" w:pos="720"/>
          <w:tab w:val="num" w:pos="360"/>
        </w:tabs>
        <w:ind w:left="360" w:hanging="360"/>
        <w:jc w:val="both"/>
        <w:rPr>
          <w:rFonts w:ascii="Bookman Old Style" w:hAnsi="Bookman Old Style"/>
        </w:rPr>
      </w:pPr>
      <w:r>
        <w:rPr>
          <w:rFonts w:ascii="Bookman Old Style" w:hAnsi="Bookman Old Style"/>
        </w:rPr>
        <w:t>Crear las condiciones para asegurar la disponibilidad de una oferta energética eficiente</w:t>
      </w:r>
      <w:r w:rsidR="008A21E1">
        <w:rPr>
          <w:rFonts w:ascii="Bookman Old Style" w:hAnsi="Bookman Old Style"/>
        </w:rPr>
        <w:t>,</w:t>
      </w:r>
      <w:r>
        <w:rPr>
          <w:rFonts w:ascii="Bookman Old Style" w:hAnsi="Bookman Old Style"/>
        </w:rPr>
        <w:t xml:space="preserve"> capaz de abastecer la demanda bajo criterios sociales, económicos, ambientales y de viabilidad financiera, promover y preservar la competencia, para lo cual, la oferta eficiente, en el sector eléctrico, debe tener en cuenta la capacidad de generación de respaldo.</w:t>
      </w:r>
    </w:p>
    <w:p w14:paraId="079BA2DF" w14:textId="77777777" w:rsidR="00DE7E37" w:rsidRDefault="00DE7E37" w:rsidP="00DE7E37">
      <w:pPr>
        <w:numPr>
          <w:ilvl w:val="0"/>
          <w:numId w:val="18"/>
        </w:numPr>
        <w:tabs>
          <w:tab w:val="clear" w:pos="720"/>
          <w:tab w:val="num" w:pos="360"/>
        </w:tabs>
        <w:ind w:left="360" w:hanging="360"/>
        <w:jc w:val="both"/>
        <w:rPr>
          <w:rFonts w:ascii="Bookman Old Style" w:hAnsi="Bookman Old Style"/>
        </w:rPr>
      </w:pPr>
      <w:r>
        <w:rPr>
          <w:rFonts w:ascii="Bookman Old Style" w:hAnsi="Bookman Old Style"/>
        </w:rPr>
        <w:t>Valorar la capacidad de generación de respaldo de la oferta eficiente.</w:t>
      </w:r>
    </w:p>
    <w:p w14:paraId="78C3F5C9" w14:textId="77777777" w:rsidR="00DE7E37" w:rsidRDefault="00DE7E37" w:rsidP="00DE7E37">
      <w:pPr>
        <w:numPr>
          <w:ilvl w:val="0"/>
          <w:numId w:val="18"/>
        </w:numPr>
        <w:tabs>
          <w:tab w:val="clear" w:pos="720"/>
          <w:tab w:val="num" w:pos="360"/>
        </w:tabs>
        <w:ind w:left="360" w:hanging="360"/>
        <w:jc w:val="both"/>
        <w:rPr>
          <w:rFonts w:ascii="Bookman Old Style" w:hAnsi="Bookman Old Style"/>
        </w:rPr>
      </w:pPr>
      <w:r>
        <w:rPr>
          <w:rFonts w:ascii="Bookman Old Style" w:hAnsi="Bookman Old Style"/>
        </w:rPr>
        <w:t xml:space="preserve">Definir y hacer operativos los criterios técnicos de calidad, confiabilidad y seguridad del servicio de energía. </w:t>
      </w:r>
    </w:p>
    <w:p w14:paraId="10B929BE" w14:textId="77777777" w:rsidR="00DE7E37" w:rsidRDefault="00DE7E37" w:rsidP="00DE7E37">
      <w:pPr>
        <w:numPr>
          <w:ilvl w:val="0"/>
          <w:numId w:val="18"/>
        </w:numPr>
        <w:tabs>
          <w:tab w:val="clear" w:pos="720"/>
          <w:tab w:val="num" w:pos="360"/>
        </w:tabs>
        <w:ind w:left="360" w:hanging="360"/>
        <w:jc w:val="both"/>
        <w:rPr>
          <w:rFonts w:ascii="Bookman Old Style" w:hAnsi="Bookman Old Style"/>
        </w:rPr>
      </w:pPr>
      <w:r>
        <w:rPr>
          <w:rFonts w:ascii="Bookman Old Style" w:hAnsi="Bookman Old Style"/>
        </w:rPr>
        <w:t>Establecer el Reglamento de Operación para realizar el planeamiento y la coordinación de la operación del Sistema Interconectado Nacional.</w:t>
      </w:r>
    </w:p>
    <w:p w14:paraId="6526627D" w14:textId="77777777" w:rsidR="00204FBC" w:rsidRDefault="00204FBC" w:rsidP="00DE7E37">
      <w:pPr>
        <w:jc w:val="both"/>
        <w:rPr>
          <w:rFonts w:ascii="Bookman Old Style" w:hAnsi="Bookman Old Style"/>
        </w:rPr>
      </w:pPr>
    </w:p>
    <w:p w14:paraId="7C86ABEA" w14:textId="29D0D05E" w:rsidR="00D603A8" w:rsidRPr="00CD1D64" w:rsidRDefault="00D603A8" w:rsidP="007942FD">
      <w:pPr>
        <w:ind w:left="0"/>
        <w:jc w:val="both"/>
        <w:rPr>
          <w:rFonts w:ascii="Bookman Old Style" w:hAnsi="Bookman Old Style" w:cs="Arial"/>
          <w:color w:val="000000" w:themeColor="text1"/>
          <w:lang w:val="es-ES_tradnl"/>
        </w:rPr>
      </w:pPr>
      <w:r w:rsidRPr="00CD1D64">
        <w:rPr>
          <w:rFonts w:ascii="Bookman Old Style" w:hAnsi="Bookman Old Style" w:cs="Arial"/>
          <w:color w:val="000000" w:themeColor="text1"/>
          <w:lang w:val="es-ES_tradnl"/>
        </w:rPr>
        <w:t xml:space="preserve">La CREG consideró necesario establecer las normas aplicables a la generación con plantas menores de 20 MW, que se encuentran conectadas al SIN y no </w:t>
      </w:r>
      <w:r w:rsidR="005A19C5" w:rsidRPr="00CD1D64">
        <w:rPr>
          <w:rFonts w:ascii="Bookman Old Style" w:hAnsi="Bookman Old Style" w:cs="Arial"/>
          <w:color w:val="000000" w:themeColor="text1"/>
          <w:lang w:val="es-ES_tradnl"/>
        </w:rPr>
        <w:t>están</w:t>
      </w:r>
      <w:r w:rsidRPr="00CD1D64">
        <w:rPr>
          <w:rFonts w:ascii="Bookman Old Style" w:hAnsi="Bookman Old Style" w:cs="Arial"/>
          <w:color w:val="000000" w:themeColor="text1"/>
          <w:lang w:val="es-ES_tradnl"/>
        </w:rPr>
        <w:t xml:space="preserve"> registradas en el Mercado de Energía Mayorista. Por lo tanto, se estableció en la Resolución CREG 086 de 1996, las reglas para comercializar la energía generada por </w:t>
      </w:r>
      <w:r w:rsidR="000C0498" w:rsidRPr="00CD1D64">
        <w:rPr>
          <w:rFonts w:ascii="Bookman Old Style" w:hAnsi="Bookman Old Style" w:cs="Arial"/>
          <w:color w:val="000000" w:themeColor="text1"/>
          <w:lang w:val="es-ES_tradnl"/>
        </w:rPr>
        <w:t>estas plantas</w:t>
      </w:r>
      <w:r w:rsidRPr="00CD1D64">
        <w:rPr>
          <w:rFonts w:ascii="Bookman Old Style" w:hAnsi="Bookman Old Style" w:cs="Arial"/>
          <w:color w:val="000000" w:themeColor="text1"/>
          <w:lang w:val="es-ES_tradnl"/>
        </w:rPr>
        <w:t>.</w:t>
      </w:r>
    </w:p>
    <w:p w14:paraId="7443BA4E" w14:textId="19E1DF4A" w:rsidR="00D603A8" w:rsidRPr="00CD1D64" w:rsidRDefault="00D603A8" w:rsidP="007942FD">
      <w:pPr>
        <w:ind w:left="0"/>
        <w:jc w:val="both"/>
        <w:rPr>
          <w:rFonts w:ascii="Bookman Old Style" w:hAnsi="Bookman Old Style" w:cs="Arial"/>
          <w:color w:val="000000" w:themeColor="text1"/>
          <w:lang w:val="es-ES_tradnl"/>
        </w:rPr>
      </w:pPr>
    </w:p>
    <w:p w14:paraId="57160CFF" w14:textId="1F0AE2AD" w:rsidR="00434919" w:rsidRPr="00CD1D64" w:rsidRDefault="000C0498" w:rsidP="00434919">
      <w:pPr>
        <w:ind w:left="0"/>
        <w:jc w:val="both"/>
        <w:rPr>
          <w:rFonts w:ascii="Bookman Old Style" w:hAnsi="Bookman Old Style"/>
          <w:color w:val="000000" w:themeColor="text1"/>
          <w:lang w:val="es-CO"/>
        </w:rPr>
      </w:pPr>
      <w:r w:rsidRPr="00CD1D64">
        <w:rPr>
          <w:rFonts w:ascii="Bookman Old Style" w:hAnsi="Bookman Old Style" w:cs="Arial"/>
          <w:color w:val="000000" w:themeColor="text1"/>
          <w:lang w:val="es-ES_tradnl"/>
        </w:rPr>
        <w:t xml:space="preserve">Debido al </w:t>
      </w:r>
      <w:r w:rsidR="00434919" w:rsidRPr="00CD1D64">
        <w:rPr>
          <w:rFonts w:ascii="Bookman Old Style" w:hAnsi="Bookman Old Style"/>
          <w:color w:val="000000" w:themeColor="text1"/>
          <w:lang w:val="es-CO"/>
        </w:rPr>
        <w:t xml:space="preserve">desarrollo de nuevas tecnologías de generación no convencional y la flexibilidad de instalación de este tipo de proyectos, podría </w:t>
      </w:r>
      <w:r w:rsidR="005A19C5" w:rsidRPr="00CD1D64">
        <w:rPr>
          <w:rFonts w:ascii="Bookman Old Style" w:hAnsi="Bookman Old Style"/>
          <w:color w:val="000000" w:themeColor="text1"/>
          <w:lang w:val="es-CO"/>
        </w:rPr>
        <w:t>existir</w:t>
      </w:r>
      <w:r w:rsidR="00434919" w:rsidRPr="00CD1D64">
        <w:rPr>
          <w:rFonts w:ascii="Bookman Old Style" w:hAnsi="Bookman Old Style"/>
          <w:color w:val="000000" w:themeColor="text1"/>
          <w:lang w:val="es-CO"/>
        </w:rPr>
        <w:t xml:space="preserve"> un </w:t>
      </w:r>
      <w:r w:rsidR="004F117D" w:rsidRPr="00CD1D64">
        <w:rPr>
          <w:rFonts w:ascii="Bookman Old Style" w:hAnsi="Bookman Old Style"/>
          <w:color w:val="000000" w:themeColor="text1"/>
          <w:lang w:val="es-CO"/>
        </w:rPr>
        <w:t xml:space="preserve">interés por parte de los agentes generadores o personas jurídicas, </w:t>
      </w:r>
      <w:r w:rsidR="005A19C5" w:rsidRPr="00CD1D64">
        <w:rPr>
          <w:rFonts w:ascii="Bookman Old Style" w:hAnsi="Bookman Old Style"/>
          <w:color w:val="000000" w:themeColor="text1"/>
          <w:lang w:val="es-CO"/>
        </w:rPr>
        <w:t>en</w:t>
      </w:r>
      <w:r w:rsidR="004F117D" w:rsidRPr="00CD1D64">
        <w:rPr>
          <w:rFonts w:ascii="Bookman Old Style" w:hAnsi="Bookman Old Style"/>
          <w:color w:val="000000" w:themeColor="text1"/>
          <w:lang w:val="es-CO"/>
        </w:rPr>
        <w:t xml:space="preserve"> </w:t>
      </w:r>
      <w:r w:rsidR="00434919" w:rsidRPr="00CD1D64">
        <w:rPr>
          <w:rFonts w:ascii="Bookman Old Style" w:hAnsi="Bookman Old Style"/>
          <w:color w:val="000000" w:themeColor="text1"/>
          <w:lang w:val="es-CO"/>
        </w:rPr>
        <w:t>desarroll</w:t>
      </w:r>
      <w:r w:rsidR="004F117D" w:rsidRPr="00CD1D64">
        <w:rPr>
          <w:rFonts w:ascii="Bookman Old Style" w:hAnsi="Bookman Old Style"/>
          <w:color w:val="000000" w:themeColor="text1"/>
          <w:lang w:val="es-CO"/>
        </w:rPr>
        <w:t>ar</w:t>
      </w:r>
      <w:r w:rsidR="00434919" w:rsidRPr="00CD1D64">
        <w:rPr>
          <w:rFonts w:ascii="Bookman Old Style" w:hAnsi="Bookman Old Style"/>
          <w:color w:val="000000" w:themeColor="text1"/>
          <w:lang w:val="es-CO"/>
        </w:rPr>
        <w:t xml:space="preserve"> plantas mayores o iguales a 5 MW </w:t>
      </w:r>
      <w:r w:rsidR="004F117D" w:rsidRPr="00CD1D64">
        <w:rPr>
          <w:rFonts w:ascii="Bookman Old Style" w:hAnsi="Bookman Old Style"/>
          <w:color w:val="000000" w:themeColor="text1"/>
          <w:lang w:val="es-CO"/>
        </w:rPr>
        <w:t xml:space="preserve">con el objetivo de que estos puedan comercializar su </w:t>
      </w:r>
      <w:r w:rsidR="004F117D" w:rsidRPr="00CD1D64">
        <w:rPr>
          <w:rFonts w:ascii="Bookman Old Style" w:hAnsi="Bookman Old Style"/>
          <w:color w:val="000000" w:themeColor="text1"/>
          <w:lang w:val="es-CO"/>
        </w:rPr>
        <w:lastRenderedPageBreak/>
        <w:t xml:space="preserve">generación </w:t>
      </w:r>
      <w:r w:rsidR="001E3175" w:rsidRPr="00CD1D64">
        <w:rPr>
          <w:rFonts w:ascii="Bookman Old Style" w:hAnsi="Bookman Old Style"/>
          <w:color w:val="000000" w:themeColor="text1"/>
          <w:lang w:val="es-CO"/>
        </w:rPr>
        <w:t xml:space="preserve">de </w:t>
      </w:r>
      <w:r w:rsidR="004F117D" w:rsidRPr="00CD1D64">
        <w:rPr>
          <w:rFonts w:ascii="Bookman Old Style" w:hAnsi="Bookman Old Style"/>
          <w:color w:val="000000" w:themeColor="text1"/>
          <w:lang w:val="es-CO"/>
        </w:rPr>
        <w:t>energía en el mercado de energía mayorista</w:t>
      </w:r>
      <w:r w:rsidR="00434919" w:rsidRPr="00CD1D64">
        <w:rPr>
          <w:rFonts w:ascii="Bookman Old Style" w:hAnsi="Bookman Old Style"/>
          <w:color w:val="000000" w:themeColor="text1"/>
          <w:lang w:val="es-CO"/>
        </w:rPr>
        <w:t xml:space="preserve"> </w:t>
      </w:r>
      <w:r w:rsidR="001E3175" w:rsidRPr="00CD1D64">
        <w:rPr>
          <w:rFonts w:ascii="Bookman Old Style" w:hAnsi="Bookman Old Style"/>
          <w:color w:val="000000" w:themeColor="text1"/>
          <w:lang w:val="es-CO"/>
        </w:rPr>
        <w:t>y participar en las subastas de asignación de obligaciones de energía firme del Cargo por Confiabilidad</w:t>
      </w:r>
      <w:r w:rsidR="00434919" w:rsidRPr="00CD1D64">
        <w:rPr>
          <w:rFonts w:ascii="Bookman Old Style" w:hAnsi="Bookman Old Style"/>
          <w:color w:val="000000" w:themeColor="text1"/>
          <w:lang w:val="es-CO"/>
        </w:rPr>
        <w:t xml:space="preserve"> </w:t>
      </w:r>
      <w:r w:rsidR="001E3175" w:rsidRPr="00CD1D64">
        <w:rPr>
          <w:rFonts w:ascii="Bookman Old Style" w:hAnsi="Bookman Old Style"/>
          <w:color w:val="000000" w:themeColor="text1"/>
          <w:lang w:val="es-CO"/>
        </w:rPr>
        <w:t>de la Resolución CREG 071 de 2006</w:t>
      </w:r>
      <w:r w:rsidR="00434919" w:rsidRPr="00CD1D64">
        <w:rPr>
          <w:rFonts w:ascii="Bookman Old Style" w:hAnsi="Bookman Old Style"/>
          <w:color w:val="000000" w:themeColor="text1"/>
          <w:lang w:val="es-CO"/>
        </w:rPr>
        <w:t>.</w:t>
      </w:r>
    </w:p>
    <w:p w14:paraId="2940FB47" w14:textId="0A356D39" w:rsidR="001E3175" w:rsidRPr="00CD1D64" w:rsidRDefault="001E3175" w:rsidP="00434919">
      <w:pPr>
        <w:ind w:left="0"/>
        <w:jc w:val="both"/>
        <w:rPr>
          <w:rFonts w:ascii="Bookman Old Style" w:hAnsi="Bookman Old Style"/>
          <w:color w:val="000000" w:themeColor="text1"/>
          <w:lang w:val="es-CO"/>
        </w:rPr>
      </w:pPr>
    </w:p>
    <w:p w14:paraId="3EABE4AC" w14:textId="08C8D591" w:rsidR="001E3175" w:rsidRPr="00CD1D64" w:rsidRDefault="001E3175" w:rsidP="00434919">
      <w:pPr>
        <w:ind w:left="0"/>
        <w:jc w:val="both"/>
        <w:rPr>
          <w:rFonts w:ascii="Bookman Old Style" w:hAnsi="Bookman Old Style"/>
          <w:color w:val="000000" w:themeColor="text1"/>
          <w:lang w:val="es-CO"/>
        </w:rPr>
      </w:pPr>
      <w:r w:rsidRPr="00CD1D64">
        <w:rPr>
          <w:rFonts w:ascii="Bookman Old Style" w:hAnsi="Bookman Old Style"/>
          <w:color w:val="000000" w:themeColor="text1"/>
          <w:lang w:val="es-CO"/>
        </w:rPr>
        <w:t xml:space="preserve">Así mismo, </w:t>
      </w:r>
      <w:r w:rsidR="005A19C5" w:rsidRPr="00CD1D64">
        <w:rPr>
          <w:rFonts w:ascii="Bookman Old Style" w:hAnsi="Bookman Old Style"/>
          <w:color w:val="000000" w:themeColor="text1"/>
          <w:lang w:val="es-CO"/>
        </w:rPr>
        <w:t>se considera</w:t>
      </w:r>
      <w:r w:rsidRPr="00CD1D64">
        <w:rPr>
          <w:rFonts w:ascii="Bookman Old Style" w:hAnsi="Bookman Old Style"/>
          <w:color w:val="000000" w:themeColor="text1"/>
          <w:lang w:val="es-CO"/>
        </w:rPr>
        <w:t xml:space="preserve"> necesario extender la opción de despacho centralizado a este tipo de plantas, para tener una mayor información en la coordinación y operación segura del </w:t>
      </w:r>
      <w:r w:rsidR="005A19C5" w:rsidRPr="00CD1D64">
        <w:rPr>
          <w:rFonts w:ascii="Bookman Old Style" w:hAnsi="Bookman Old Style"/>
          <w:color w:val="000000" w:themeColor="text1"/>
          <w:lang w:val="es-CO"/>
        </w:rPr>
        <w:t>S</w:t>
      </w:r>
      <w:r w:rsidRPr="00CD1D64">
        <w:rPr>
          <w:rFonts w:ascii="Bookman Old Style" w:hAnsi="Bookman Old Style"/>
          <w:color w:val="000000" w:themeColor="text1"/>
          <w:lang w:val="es-CO"/>
        </w:rPr>
        <w:t xml:space="preserve">istema </w:t>
      </w:r>
      <w:r w:rsidR="005A19C5" w:rsidRPr="00CD1D64">
        <w:rPr>
          <w:rFonts w:ascii="Bookman Old Style" w:hAnsi="Bookman Old Style"/>
          <w:color w:val="000000" w:themeColor="text1"/>
          <w:lang w:val="es-CO"/>
        </w:rPr>
        <w:t>I</w:t>
      </w:r>
      <w:r w:rsidRPr="00CD1D64">
        <w:rPr>
          <w:rFonts w:ascii="Bookman Old Style" w:hAnsi="Bookman Old Style"/>
          <w:color w:val="000000" w:themeColor="text1"/>
          <w:lang w:val="es-CO"/>
        </w:rPr>
        <w:t xml:space="preserve">nterconectado </w:t>
      </w:r>
      <w:r w:rsidR="005A19C5" w:rsidRPr="00CD1D64">
        <w:rPr>
          <w:rFonts w:ascii="Bookman Old Style" w:hAnsi="Bookman Old Style"/>
          <w:color w:val="000000" w:themeColor="text1"/>
          <w:lang w:val="es-CO"/>
        </w:rPr>
        <w:t>N</w:t>
      </w:r>
      <w:r w:rsidRPr="00CD1D64">
        <w:rPr>
          <w:rFonts w:ascii="Bookman Old Style" w:hAnsi="Bookman Old Style"/>
          <w:color w:val="000000" w:themeColor="text1"/>
          <w:lang w:val="es-CO"/>
        </w:rPr>
        <w:t>acional, SIN.</w:t>
      </w:r>
    </w:p>
    <w:p w14:paraId="0C310EA4" w14:textId="442A0D8D" w:rsidR="00D603A8" w:rsidRDefault="00D603A8" w:rsidP="007942FD">
      <w:pPr>
        <w:ind w:left="0"/>
        <w:jc w:val="both"/>
        <w:rPr>
          <w:rFonts w:ascii="Bookman Old Style" w:hAnsi="Bookman Old Style" w:cs="Arial"/>
          <w:color w:val="000000" w:themeColor="text1"/>
          <w:highlight w:val="yellow"/>
          <w:lang w:val="es-ES_tradnl"/>
        </w:rPr>
      </w:pPr>
    </w:p>
    <w:p w14:paraId="1C56B351" w14:textId="77777777" w:rsidR="00ED4F40" w:rsidRDefault="00ED4F40" w:rsidP="007942FD">
      <w:pPr>
        <w:ind w:left="0"/>
        <w:jc w:val="both"/>
        <w:rPr>
          <w:rFonts w:ascii="Bookman Old Style" w:hAnsi="Bookman Old Style" w:cs="Arial"/>
          <w:color w:val="000000" w:themeColor="text1"/>
          <w:highlight w:val="yellow"/>
          <w:lang w:val="es-ES_tradnl"/>
        </w:rPr>
      </w:pPr>
    </w:p>
    <w:p w14:paraId="496999A5" w14:textId="77777777" w:rsidR="004235AF" w:rsidRPr="002E7D0C" w:rsidRDefault="004235AF" w:rsidP="004235AF">
      <w:pPr>
        <w:suppressAutoHyphens/>
        <w:jc w:val="center"/>
        <w:rPr>
          <w:rFonts w:ascii="Bookman Old Style" w:hAnsi="Bookman Old Style"/>
          <w:b/>
          <w:color w:val="000000" w:themeColor="text1"/>
          <w:spacing w:val="-3"/>
        </w:rPr>
      </w:pPr>
      <w:r w:rsidRPr="002E7D0C">
        <w:rPr>
          <w:rFonts w:ascii="Bookman Old Style" w:hAnsi="Bookman Old Style"/>
          <w:b/>
          <w:color w:val="000000" w:themeColor="text1"/>
          <w:spacing w:val="-3"/>
        </w:rPr>
        <w:t>R E S U E L V E:</w:t>
      </w:r>
    </w:p>
    <w:p w14:paraId="6D7577F9" w14:textId="4CB528ED" w:rsidR="00676752" w:rsidRDefault="00676752" w:rsidP="004235AF">
      <w:pPr>
        <w:suppressAutoHyphens/>
        <w:jc w:val="center"/>
        <w:rPr>
          <w:rFonts w:ascii="Bookman Old Style" w:hAnsi="Bookman Old Style"/>
          <w:color w:val="000000" w:themeColor="text1"/>
          <w:spacing w:val="-3"/>
        </w:rPr>
      </w:pPr>
    </w:p>
    <w:p w14:paraId="5CEFF778" w14:textId="77777777" w:rsidR="00ED4F40" w:rsidRPr="002E7D0C" w:rsidRDefault="00ED4F40" w:rsidP="004235AF">
      <w:pPr>
        <w:suppressAutoHyphens/>
        <w:jc w:val="center"/>
        <w:rPr>
          <w:rFonts w:ascii="Bookman Old Style" w:hAnsi="Bookman Old Style"/>
          <w:color w:val="000000" w:themeColor="text1"/>
          <w:spacing w:val="-3"/>
        </w:rPr>
      </w:pPr>
    </w:p>
    <w:p w14:paraId="39500DA2" w14:textId="4821FDB9" w:rsidR="00AA647B" w:rsidRPr="002E7D0C" w:rsidRDefault="004235AF" w:rsidP="004235AF">
      <w:pPr>
        <w:ind w:left="0"/>
        <w:jc w:val="both"/>
        <w:rPr>
          <w:rFonts w:ascii="Bookman Old Style" w:hAnsi="Bookman Old Style"/>
          <w:color w:val="000000" w:themeColor="text1"/>
        </w:rPr>
      </w:pPr>
      <w:r w:rsidRPr="002E7D0C">
        <w:rPr>
          <w:rFonts w:ascii="Bookman Old Style" w:hAnsi="Bookman Old Style"/>
          <w:b/>
          <w:color w:val="000000" w:themeColor="text1"/>
        </w:rPr>
        <w:t xml:space="preserve">Artículo 1. </w:t>
      </w:r>
      <w:r w:rsidR="003311EF" w:rsidRPr="002E7D0C">
        <w:rPr>
          <w:rFonts w:ascii="Bookman Old Style" w:hAnsi="Bookman Old Style"/>
          <w:b/>
          <w:color w:val="000000" w:themeColor="text1"/>
        </w:rPr>
        <w:t>Modifíquese</w:t>
      </w:r>
      <w:r w:rsidR="005C14B9" w:rsidRPr="002E7D0C">
        <w:rPr>
          <w:rFonts w:ascii="Bookman Old Style" w:hAnsi="Bookman Old Style"/>
          <w:b/>
          <w:color w:val="000000" w:themeColor="text1"/>
        </w:rPr>
        <w:t xml:space="preserve"> el artículo 3 de la Resolución CREG 086 de 1996</w:t>
      </w:r>
      <w:r w:rsidRPr="002E7D0C">
        <w:rPr>
          <w:rFonts w:ascii="Bookman Old Style" w:hAnsi="Bookman Old Style"/>
          <w:b/>
          <w:color w:val="000000" w:themeColor="text1"/>
        </w:rPr>
        <w:t xml:space="preserve">. </w:t>
      </w:r>
      <w:r w:rsidR="005C14B9" w:rsidRPr="002E7D0C">
        <w:rPr>
          <w:rFonts w:ascii="Bookman Old Style" w:hAnsi="Bookman Old Style"/>
          <w:color w:val="000000" w:themeColor="text1"/>
        </w:rPr>
        <w:t>El artículo 3 de la Resolución CREG 086 de 1996, modificado por el artículo 3 de la Resolución CREG 039 de 2001, quedará así</w:t>
      </w:r>
      <w:r w:rsidR="00AA647B" w:rsidRPr="002E7D0C">
        <w:rPr>
          <w:rFonts w:ascii="Bookman Old Style" w:hAnsi="Bookman Old Style"/>
          <w:color w:val="000000" w:themeColor="text1"/>
        </w:rPr>
        <w:t>:</w:t>
      </w:r>
    </w:p>
    <w:p w14:paraId="4E166D09" w14:textId="77777777" w:rsidR="00676752" w:rsidRPr="002E7D0C" w:rsidRDefault="00676752" w:rsidP="004235AF">
      <w:pPr>
        <w:ind w:left="0"/>
        <w:jc w:val="both"/>
        <w:rPr>
          <w:rFonts w:ascii="Bookman Old Style" w:hAnsi="Bookman Old Style"/>
          <w:color w:val="000000" w:themeColor="text1"/>
        </w:rPr>
      </w:pPr>
    </w:p>
    <w:p w14:paraId="36ADC294" w14:textId="456BBF54" w:rsidR="005C14B9" w:rsidRPr="002E7D0C" w:rsidRDefault="005C14B9" w:rsidP="004F79D1">
      <w:pPr>
        <w:pStyle w:val="NormalWeb"/>
        <w:spacing w:before="0" w:beforeAutospacing="0" w:after="0" w:afterAutospacing="0" w:line="240" w:lineRule="auto"/>
        <w:ind w:left="567"/>
        <w:rPr>
          <w:rFonts w:ascii="Bookman Old Style" w:hAnsi="Bookman Old Style"/>
          <w:i/>
          <w:color w:val="000000" w:themeColor="text1"/>
          <w:lang w:val="es-ES"/>
        </w:rPr>
      </w:pPr>
      <w:bookmarkStart w:id="1" w:name="3"/>
      <w:r w:rsidRPr="002E7D0C">
        <w:rPr>
          <w:rFonts w:ascii="Bookman Old Style" w:hAnsi="Bookman Old Style"/>
          <w:b/>
          <w:bCs/>
          <w:i/>
          <w:color w:val="000000" w:themeColor="text1"/>
          <w:lang w:val="es-ES"/>
        </w:rPr>
        <w:t>Artículo 3. Opciones de las plantas menores</w:t>
      </w:r>
      <w:r w:rsidR="0015638C">
        <w:rPr>
          <w:rFonts w:ascii="Bookman Old Style" w:hAnsi="Bookman Old Style"/>
          <w:b/>
          <w:bCs/>
          <w:i/>
          <w:color w:val="000000" w:themeColor="text1"/>
          <w:lang w:val="es-ES"/>
        </w:rPr>
        <w:t xml:space="preserve"> de 20 MW</w:t>
      </w:r>
      <w:r w:rsidRPr="002E7D0C">
        <w:rPr>
          <w:rFonts w:ascii="Bookman Old Style" w:hAnsi="Bookman Old Style"/>
          <w:b/>
          <w:bCs/>
          <w:i/>
          <w:color w:val="000000" w:themeColor="text1"/>
          <w:lang w:val="es-ES"/>
        </w:rPr>
        <w:t>.</w:t>
      </w:r>
      <w:bookmarkEnd w:id="1"/>
      <w:r w:rsidRPr="002E7D0C">
        <w:rPr>
          <w:rFonts w:ascii="Bookman Old Style" w:hAnsi="Bookman Old Style"/>
          <w:i/>
          <w:color w:val="000000" w:themeColor="text1"/>
          <w:lang w:val="es-ES"/>
        </w:rPr>
        <w:t xml:space="preserve"> Las personas naturales o jurídicas propietarias u operadores de plantas menores</w:t>
      </w:r>
      <w:r w:rsidR="0015638C">
        <w:rPr>
          <w:rFonts w:ascii="Bookman Old Style" w:hAnsi="Bookman Old Style"/>
          <w:i/>
          <w:color w:val="000000" w:themeColor="text1"/>
          <w:lang w:val="es-ES"/>
        </w:rPr>
        <w:t xml:space="preserve"> de 20 MW</w:t>
      </w:r>
      <w:r w:rsidRPr="002E7D0C">
        <w:rPr>
          <w:rFonts w:ascii="Bookman Old Style" w:hAnsi="Bookman Old Style"/>
          <w:i/>
          <w:color w:val="000000" w:themeColor="text1"/>
          <w:lang w:val="es-ES"/>
        </w:rPr>
        <w:t xml:space="preserve"> tienen las siguientes opciones para comercializar la energía que generan dichas plantas:</w:t>
      </w:r>
    </w:p>
    <w:p w14:paraId="41BC2792" w14:textId="77777777" w:rsidR="005C14B9" w:rsidRPr="002E7D0C" w:rsidRDefault="005C14B9" w:rsidP="004F79D1">
      <w:pPr>
        <w:pStyle w:val="NormalWeb"/>
        <w:spacing w:before="0" w:beforeAutospacing="0" w:after="0" w:afterAutospacing="0" w:line="240" w:lineRule="auto"/>
        <w:ind w:left="567"/>
        <w:rPr>
          <w:rFonts w:ascii="Bookman Old Style" w:hAnsi="Bookman Old Style"/>
          <w:i/>
          <w:color w:val="000000" w:themeColor="text1"/>
          <w:lang w:val="es-ES"/>
        </w:rPr>
      </w:pPr>
    </w:p>
    <w:p w14:paraId="430E7E88" w14:textId="067B1E8B" w:rsidR="005C14B9" w:rsidRPr="002E7D0C" w:rsidRDefault="005C14B9" w:rsidP="004F79D1">
      <w:pPr>
        <w:pStyle w:val="NormalWeb"/>
        <w:numPr>
          <w:ilvl w:val="0"/>
          <w:numId w:val="41"/>
        </w:numPr>
        <w:spacing w:before="0" w:beforeAutospacing="0" w:after="0" w:afterAutospacing="0" w:line="240" w:lineRule="auto"/>
        <w:ind w:left="851" w:hanging="284"/>
        <w:rPr>
          <w:rFonts w:ascii="Bookman Old Style" w:hAnsi="Bookman Old Style"/>
          <w:b/>
          <w:i/>
          <w:color w:val="000000" w:themeColor="text1"/>
          <w:lang w:val="es-ES"/>
        </w:rPr>
      </w:pPr>
      <w:r w:rsidRPr="002E7D0C">
        <w:rPr>
          <w:rFonts w:ascii="Bookman Old Style" w:hAnsi="Bookman Old Style"/>
          <w:b/>
          <w:i/>
          <w:color w:val="000000" w:themeColor="text1"/>
          <w:lang w:val="es-ES"/>
        </w:rPr>
        <w:t>Plantas con capacidad efectiva menor de 5 MW</w:t>
      </w:r>
    </w:p>
    <w:p w14:paraId="567DF58D" w14:textId="77777777" w:rsidR="005C14B9" w:rsidRPr="002E7D0C" w:rsidRDefault="005C14B9" w:rsidP="004F79D1">
      <w:pPr>
        <w:pStyle w:val="NormalWeb"/>
        <w:spacing w:before="0" w:beforeAutospacing="0" w:after="0" w:afterAutospacing="0" w:line="240" w:lineRule="auto"/>
        <w:ind w:left="567"/>
        <w:rPr>
          <w:rFonts w:ascii="Bookman Old Style" w:hAnsi="Bookman Old Style"/>
          <w:i/>
          <w:color w:val="000000" w:themeColor="text1"/>
          <w:lang w:val="es-ES"/>
        </w:rPr>
      </w:pPr>
    </w:p>
    <w:p w14:paraId="1E190E49" w14:textId="03064429" w:rsidR="005C14B9" w:rsidRPr="002E7D0C" w:rsidRDefault="005C14B9" w:rsidP="004F79D1">
      <w:pPr>
        <w:pStyle w:val="NormalWeb"/>
        <w:spacing w:before="0" w:beforeAutospacing="0" w:after="0" w:afterAutospacing="0" w:line="240" w:lineRule="auto"/>
        <w:ind w:left="851"/>
        <w:rPr>
          <w:rFonts w:ascii="Bookman Old Style" w:hAnsi="Bookman Old Style"/>
          <w:i/>
          <w:color w:val="000000" w:themeColor="text1"/>
          <w:lang w:val="es-ES"/>
        </w:rPr>
      </w:pPr>
      <w:r w:rsidRPr="002E7D0C">
        <w:rPr>
          <w:rFonts w:ascii="Bookman Old Style" w:hAnsi="Bookman Old Style"/>
          <w:i/>
          <w:color w:val="000000" w:themeColor="text1"/>
          <w:lang w:val="es-ES"/>
        </w:rPr>
        <w:t xml:space="preserve">Estas plantas no tendrán acceso al </w:t>
      </w:r>
      <w:r w:rsidR="0001352A">
        <w:rPr>
          <w:rFonts w:ascii="Bookman Old Style" w:hAnsi="Bookman Old Style"/>
          <w:i/>
          <w:color w:val="000000" w:themeColor="text1"/>
          <w:lang w:val="es-ES"/>
        </w:rPr>
        <w:t>d</w:t>
      </w:r>
      <w:r w:rsidR="0001352A" w:rsidRPr="002E7D0C">
        <w:rPr>
          <w:rFonts w:ascii="Bookman Old Style" w:hAnsi="Bookman Old Style"/>
          <w:i/>
          <w:color w:val="000000" w:themeColor="text1"/>
          <w:lang w:val="es-ES"/>
        </w:rPr>
        <w:t xml:space="preserve">espacho </w:t>
      </w:r>
      <w:r w:rsidR="0001352A">
        <w:rPr>
          <w:rFonts w:ascii="Bookman Old Style" w:hAnsi="Bookman Old Style"/>
          <w:i/>
          <w:color w:val="000000" w:themeColor="text1"/>
          <w:lang w:val="es-ES"/>
        </w:rPr>
        <w:t>c</w:t>
      </w:r>
      <w:r w:rsidR="0001352A" w:rsidRPr="002E7D0C">
        <w:rPr>
          <w:rFonts w:ascii="Bookman Old Style" w:hAnsi="Bookman Old Style"/>
          <w:i/>
          <w:color w:val="000000" w:themeColor="text1"/>
          <w:lang w:val="es-ES"/>
        </w:rPr>
        <w:t>entral</w:t>
      </w:r>
      <w:r w:rsidR="0001352A">
        <w:rPr>
          <w:rFonts w:ascii="Bookman Old Style" w:hAnsi="Bookman Old Style"/>
          <w:i/>
          <w:color w:val="000000" w:themeColor="text1"/>
          <w:lang w:val="es-ES"/>
        </w:rPr>
        <w:t xml:space="preserve"> </w:t>
      </w:r>
      <w:r w:rsidR="0015638C">
        <w:rPr>
          <w:rFonts w:ascii="Bookman Old Style" w:hAnsi="Bookman Old Style"/>
          <w:i/>
          <w:color w:val="000000" w:themeColor="text1"/>
          <w:lang w:val="es-ES"/>
        </w:rPr>
        <w:t>y l</w:t>
      </w:r>
      <w:r w:rsidRPr="002E7D0C">
        <w:rPr>
          <w:rFonts w:ascii="Bookman Old Style" w:hAnsi="Bookman Old Style"/>
          <w:i/>
          <w:color w:val="000000" w:themeColor="text1"/>
          <w:lang w:val="es-ES"/>
        </w:rPr>
        <w:t>a energía generada por dichas plantas puede ser comercializada, teniendo en cuenta los siguientes lineamientos:</w:t>
      </w:r>
    </w:p>
    <w:p w14:paraId="79AA420A" w14:textId="77777777" w:rsidR="005C14B9" w:rsidRPr="002E7D0C" w:rsidRDefault="005C14B9" w:rsidP="00B17766">
      <w:pPr>
        <w:pStyle w:val="NormalWeb"/>
        <w:spacing w:before="0" w:beforeAutospacing="0" w:after="0" w:afterAutospacing="0" w:line="240" w:lineRule="auto"/>
        <w:ind w:left="567"/>
        <w:rPr>
          <w:rFonts w:ascii="Bookman Old Style" w:hAnsi="Bookman Old Style"/>
          <w:i/>
          <w:color w:val="000000" w:themeColor="text1"/>
          <w:lang w:val="es-ES"/>
        </w:rPr>
      </w:pPr>
    </w:p>
    <w:p w14:paraId="4245C90E" w14:textId="30621025" w:rsidR="005C14B9" w:rsidRPr="002E7D0C" w:rsidRDefault="005C14B9" w:rsidP="00B17766">
      <w:pPr>
        <w:pStyle w:val="NormalWeb"/>
        <w:numPr>
          <w:ilvl w:val="1"/>
          <w:numId w:val="41"/>
        </w:numPr>
        <w:spacing w:before="0" w:beforeAutospacing="0" w:after="0" w:afterAutospacing="0" w:line="240" w:lineRule="auto"/>
        <w:ind w:left="1276" w:hanging="425"/>
        <w:rPr>
          <w:rFonts w:ascii="Bookman Old Style" w:hAnsi="Bookman Old Style"/>
          <w:i/>
          <w:color w:val="000000" w:themeColor="text1"/>
          <w:lang w:val="es-ES"/>
        </w:rPr>
      </w:pPr>
      <w:r w:rsidRPr="002E7D0C">
        <w:rPr>
          <w:rFonts w:ascii="Bookman Old Style" w:hAnsi="Bookman Old Style"/>
          <w:i/>
          <w:color w:val="000000" w:themeColor="text1"/>
          <w:lang w:val="es-ES"/>
        </w:rPr>
        <w:t xml:space="preserve">La energía generada por </w:t>
      </w:r>
      <w:r w:rsidR="003311EF" w:rsidRPr="002E7D0C">
        <w:rPr>
          <w:rFonts w:ascii="Bookman Old Style" w:hAnsi="Bookman Old Style"/>
          <w:i/>
          <w:color w:val="000000" w:themeColor="text1"/>
          <w:lang w:val="es-ES"/>
        </w:rPr>
        <w:t xml:space="preserve">un generador distribuido, </w:t>
      </w:r>
      <w:r w:rsidR="00204FBC">
        <w:rPr>
          <w:rFonts w:ascii="Bookman Old Style" w:hAnsi="Bookman Old Style"/>
          <w:i/>
          <w:color w:val="000000" w:themeColor="text1"/>
          <w:lang w:val="es-ES"/>
        </w:rPr>
        <w:t xml:space="preserve">el cual se encuentra </w:t>
      </w:r>
      <w:r w:rsidR="003311EF" w:rsidRPr="002E7D0C">
        <w:rPr>
          <w:rFonts w:ascii="Bookman Old Style" w:hAnsi="Bookman Old Style"/>
          <w:i/>
          <w:color w:val="000000" w:themeColor="text1"/>
          <w:lang w:val="es-ES"/>
        </w:rPr>
        <w:t xml:space="preserve">definido en la Resolución CREG 030 de 2018 o por la que lo </w:t>
      </w:r>
      <w:r w:rsidR="00DE2EA4">
        <w:rPr>
          <w:rFonts w:ascii="Bookman Old Style" w:hAnsi="Bookman Old Style"/>
          <w:i/>
          <w:color w:val="000000" w:themeColor="text1"/>
          <w:lang w:val="es-ES"/>
        </w:rPr>
        <w:t xml:space="preserve">ajuste, </w:t>
      </w:r>
      <w:r w:rsidR="003311EF" w:rsidRPr="002E7D0C">
        <w:rPr>
          <w:rFonts w:ascii="Bookman Old Style" w:hAnsi="Bookman Old Style"/>
          <w:i/>
          <w:color w:val="000000" w:themeColor="text1"/>
          <w:lang w:val="es-ES"/>
        </w:rPr>
        <w:t xml:space="preserve">modifique o sustituya, </w:t>
      </w:r>
      <w:r w:rsidRPr="002E7D0C">
        <w:rPr>
          <w:rFonts w:ascii="Bookman Old Style" w:hAnsi="Bookman Old Style"/>
          <w:i/>
          <w:color w:val="000000" w:themeColor="text1"/>
          <w:lang w:val="es-ES"/>
        </w:rPr>
        <w:t>puede ser vendida a un comercializado</w:t>
      </w:r>
      <w:r w:rsidR="003311EF" w:rsidRPr="002E7D0C">
        <w:rPr>
          <w:rFonts w:ascii="Bookman Old Style" w:hAnsi="Bookman Old Style"/>
          <w:i/>
          <w:color w:val="000000" w:themeColor="text1"/>
          <w:lang w:val="es-ES"/>
        </w:rPr>
        <w:t>r</w:t>
      </w:r>
      <w:r w:rsidRPr="002E7D0C">
        <w:rPr>
          <w:rFonts w:ascii="Bookman Old Style" w:hAnsi="Bookman Old Style"/>
          <w:i/>
          <w:color w:val="000000" w:themeColor="text1"/>
          <w:lang w:val="es-ES"/>
        </w:rPr>
        <w:t xml:space="preserve"> que atiende mercado regulado, directamente sin convocatoria pública, siempre y cuando no exista vinculación económica entre el comprador y el vendedor. En este caso, el precio de venta será única y exclusivamente el Precio en la Bolsa Energía en cada una de las horas correspondientes, menos </w:t>
      </w:r>
      <w:r w:rsidR="00DD2787">
        <w:rPr>
          <w:rFonts w:ascii="Bookman Old Style" w:hAnsi="Bookman Old Style"/>
          <w:i/>
          <w:color w:val="000000" w:themeColor="text1"/>
          <w:lang w:val="es-ES"/>
        </w:rPr>
        <w:t>el FAZNI vigente para el mes de consumo</w:t>
      </w:r>
      <w:r w:rsidRPr="002E7D0C">
        <w:rPr>
          <w:rFonts w:ascii="Bookman Old Style" w:hAnsi="Bookman Old Style"/>
          <w:i/>
          <w:color w:val="000000" w:themeColor="text1"/>
          <w:lang w:val="es-ES"/>
        </w:rPr>
        <w:t>.</w:t>
      </w:r>
    </w:p>
    <w:p w14:paraId="545E4572" w14:textId="77777777" w:rsidR="005C14B9" w:rsidRPr="002E7D0C" w:rsidRDefault="005C14B9" w:rsidP="00B17766">
      <w:pPr>
        <w:pStyle w:val="NormalWeb"/>
        <w:spacing w:before="0" w:beforeAutospacing="0" w:after="0" w:afterAutospacing="0" w:line="240" w:lineRule="auto"/>
        <w:ind w:left="1276"/>
        <w:rPr>
          <w:rFonts w:ascii="Bookman Old Style" w:hAnsi="Bookman Old Style"/>
          <w:i/>
          <w:color w:val="000000" w:themeColor="text1"/>
          <w:lang w:val="es-ES"/>
        </w:rPr>
      </w:pPr>
    </w:p>
    <w:p w14:paraId="0A3F0351" w14:textId="7F05D7A7" w:rsidR="005C14B9" w:rsidRPr="002E7D0C" w:rsidRDefault="005C14B9" w:rsidP="00B17766">
      <w:pPr>
        <w:pStyle w:val="NormalWeb"/>
        <w:numPr>
          <w:ilvl w:val="1"/>
          <w:numId w:val="41"/>
        </w:numPr>
        <w:spacing w:before="0" w:beforeAutospacing="0" w:after="0" w:afterAutospacing="0" w:line="240" w:lineRule="auto"/>
        <w:ind w:left="1276" w:hanging="425"/>
        <w:rPr>
          <w:rFonts w:ascii="Bookman Old Style" w:hAnsi="Bookman Old Style"/>
          <w:i/>
          <w:color w:val="000000" w:themeColor="text1"/>
          <w:lang w:val="es-ES"/>
        </w:rPr>
      </w:pPr>
      <w:r w:rsidRPr="002E7D0C">
        <w:rPr>
          <w:rFonts w:ascii="Bookman Old Style" w:hAnsi="Bookman Old Style"/>
          <w:i/>
          <w:color w:val="000000" w:themeColor="text1"/>
          <w:lang w:val="es-ES"/>
        </w:rPr>
        <w:t xml:space="preserve">La energía generada por una </w:t>
      </w:r>
      <w:r w:rsidR="0015638C">
        <w:rPr>
          <w:rFonts w:ascii="Bookman Old Style" w:hAnsi="Bookman Old Style"/>
          <w:i/>
          <w:color w:val="000000" w:themeColor="text1"/>
          <w:lang w:val="es-ES"/>
        </w:rPr>
        <w:t>p</w:t>
      </w:r>
      <w:r w:rsidRPr="002E7D0C">
        <w:rPr>
          <w:rFonts w:ascii="Bookman Old Style" w:hAnsi="Bookman Old Style"/>
          <w:i/>
          <w:color w:val="000000" w:themeColor="text1"/>
          <w:lang w:val="es-ES"/>
        </w:rPr>
        <w:t xml:space="preserve">lanta </w:t>
      </w:r>
      <w:r w:rsidR="0015638C">
        <w:rPr>
          <w:rFonts w:ascii="Bookman Old Style" w:hAnsi="Bookman Old Style"/>
          <w:i/>
          <w:color w:val="000000" w:themeColor="text1"/>
          <w:lang w:val="es-ES"/>
        </w:rPr>
        <w:t>con capacidad m</w:t>
      </w:r>
      <w:r w:rsidR="0015638C" w:rsidRPr="002E7D0C">
        <w:rPr>
          <w:rFonts w:ascii="Bookman Old Style" w:hAnsi="Bookman Old Style"/>
          <w:i/>
          <w:color w:val="000000" w:themeColor="text1"/>
          <w:lang w:val="es-ES"/>
        </w:rPr>
        <w:t xml:space="preserve">enor </w:t>
      </w:r>
      <w:r w:rsidR="0015638C">
        <w:rPr>
          <w:rFonts w:ascii="Bookman Old Style" w:hAnsi="Bookman Old Style"/>
          <w:i/>
          <w:color w:val="000000" w:themeColor="text1"/>
          <w:lang w:val="es-ES"/>
        </w:rPr>
        <w:t xml:space="preserve">a 5 MW </w:t>
      </w:r>
      <w:r w:rsidRPr="002E7D0C">
        <w:rPr>
          <w:rFonts w:ascii="Bookman Old Style" w:hAnsi="Bookman Old Style"/>
          <w:i/>
          <w:color w:val="000000" w:themeColor="text1"/>
          <w:lang w:val="es-ES"/>
        </w:rPr>
        <w:t>puede ser ofrecida a una comercializadora que atiende mercado regulado, participando en las convocatorias públicas que abran estas empresas. En este caso y como está previsto en la Resolución CREG-</w:t>
      </w:r>
      <w:hyperlink r:id="rId11" w:anchor="1" w:tgtFrame="_blank" w:history="1">
        <w:r w:rsidRPr="002E7D0C">
          <w:rPr>
            <w:rStyle w:val="Hipervnculo"/>
            <w:rFonts w:ascii="Bookman Old Style" w:hAnsi="Bookman Old Style"/>
            <w:i/>
            <w:color w:val="000000" w:themeColor="text1"/>
            <w:lang w:val="es-ES"/>
          </w:rPr>
          <w:t>020</w:t>
        </w:r>
      </w:hyperlink>
      <w:r w:rsidRPr="002E7D0C">
        <w:rPr>
          <w:rFonts w:ascii="Bookman Old Style" w:hAnsi="Bookman Old Style"/>
          <w:i/>
          <w:color w:val="000000" w:themeColor="text1"/>
          <w:lang w:val="es-ES"/>
        </w:rPr>
        <w:t xml:space="preserve"> de 1996</w:t>
      </w:r>
      <w:r w:rsidR="003311EF" w:rsidRPr="002E7D0C">
        <w:rPr>
          <w:rFonts w:ascii="Bookman Old Style" w:hAnsi="Bookman Old Style"/>
          <w:i/>
          <w:color w:val="000000" w:themeColor="text1"/>
          <w:lang w:val="es-ES"/>
        </w:rPr>
        <w:t xml:space="preserve"> o por la que la</w:t>
      </w:r>
      <w:r w:rsidR="008B5914">
        <w:rPr>
          <w:rFonts w:ascii="Bookman Old Style" w:hAnsi="Bookman Old Style"/>
          <w:i/>
          <w:color w:val="000000" w:themeColor="text1"/>
          <w:lang w:val="es-ES"/>
        </w:rPr>
        <w:t xml:space="preserve"> ajuste,</w:t>
      </w:r>
      <w:r w:rsidR="003311EF" w:rsidRPr="002E7D0C">
        <w:rPr>
          <w:rFonts w:ascii="Bookman Old Style" w:hAnsi="Bookman Old Style"/>
          <w:i/>
          <w:color w:val="000000" w:themeColor="text1"/>
          <w:lang w:val="es-ES"/>
        </w:rPr>
        <w:t xml:space="preserve"> modifique o sustituya</w:t>
      </w:r>
      <w:r w:rsidRPr="002E7D0C">
        <w:rPr>
          <w:rFonts w:ascii="Bookman Old Style" w:hAnsi="Bookman Old Style"/>
          <w:i/>
          <w:color w:val="000000" w:themeColor="text1"/>
          <w:lang w:val="es-ES"/>
        </w:rPr>
        <w:t>, la adjudicación se efectúa por mérito de precio.</w:t>
      </w:r>
    </w:p>
    <w:p w14:paraId="1E1C577A" w14:textId="77777777" w:rsidR="005C14B9" w:rsidRPr="002E7D0C" w:rsidRDefault="005C14B9" w:rsidP="00B17766">
      <w:pPr>
        <w:pStyle w:val="Prrafodelista"/>
        <w:rPr>
          <w:rFonts w:ascii="Bookman Old Style" w:hAnsi="Bookman Old Style"/>
          <w:i/>
          <w:color w:val="000000" w:themeColor="text1"/>
          <w:sz w:val="24"/>
          <w:szCs w:val="24"/>
          <w:lang w:val="es-ES"/>
        </w:rPr>
      </w:pPr>
    </w:p>
    <w:p w14:paraId="2E6EFD1D" w14:textId="0F6D0E32" w:rsidR="005C14B9" w:rsidRPr="002E7D0C" w:rsidRDefault="005C14B9" w:rsidP="00B17766">
      <w:pPr>
        <w:pStyle w:val="NormalWeb"/>
        <w:numPr>
          <w:ilvl w:val="1"/>
          <w:numId w:val="41"/>
        </w:numPr>
        <w:spacing w:before="0" w:beforeAutospacing="0" w:after="0" w:afterAutospacing="0" w:line="240" w:lineRule="auto"/>
        <w:ind w:left="1276" w:hanging="425"/>
        <w:rPr>
          <w:rFonts w:ascii="Bookman Old Style" w:hAnsi="Bookman Old Style"/>
          <w:i/>
          <w:color w:val="000000" w:themeColor="text1"/>
          <w:lang w:val="es-ES"/>
        </w:rPr>
      </w:pPr>
      <w:r w:rsidRPr="002E7D0C">
        <w:rPr>
          <w:rFonts w:ascii="Bookman Old Style" w:hAnsi="Bookman Old Style"/>
          <w:i/>
          <w:color w:val="000000" w:themeColor="text1"/>
          <w:lang w:val="es-ES"/>
        </w:rPr>
        <w:t xml:space="preserve">La energía generada por una </w:t>
      </w:r>
      <w:r w:rsidR="0015638C">
        <w:rPr>
          <w:rFonts w:ascii="Bookman Old Style" w:hAnsi="Bookman Old Style"/>
          <w:i/>
          <w:color w:val="000000" w:themeColor="text1"/>
          <w:lang w:val="es-ES"/>
        </w:rPr>
        <w:t>p</w:t>
      </w:r>
      <w:r w:rsidRPr="002E7D0C">
        <w:rPr>
          <w:rFonts w:ascii="Bookman Old Style" w:hAnsi="Bookman Old Style"/>
          <w:i/>
          <w:color w:val="000000" w:themeColor="text1"/>
          <w:lang w:val="es-ES"/>
        </w:rPr>
        <w:t xml:space="preserve">lanta </w:t>
      </w:r>
      <w:r w:rsidR="0015638C">
        <w:rPr>
          <w:rFonts w:ascii="Bookman Old Style" w:hAnsi="Bookman Old Style"/>
          <w:i/>
          <w:color w:val="000000" w:themeColor="text1"/>
          <w:lang w:val="es-ES"/>
        </w:rPr>
        <w:t>con capacidad m</w:t>
      </w:r>
      <w:r w:rsidRPr="002E7D0C">
        <w:rPr>
          <w:rFonts w:ascii="Bookman Old Style" w:hAnsi="Bookman Old Style"/>
          <w:i/>
          <w:color w:val="000000" w:themeColor="text1"/>
          <w:lang w:val="es-ES"/>
        </w:rPr>
        <w:t xml:space="preserve">enor </w:t>
      </w:r>
      <w:r w:rsidR="0015638C">
        <w:rPr>
          <w:rFonts w:ascii="Bookman Old Style" w:hAnsi="Bookman Old Style"/>
          <w:i/>
          <w:color w:val="000000" w:themeColor="text1"/>
          <w:lang w:val="es-ES"/>
        </w:rPr>
        <w:t xml:space="preserve">a 5 MW </w:t>
      </w:r>
      <w:r w:rsidRPr="002E7D0C">
        <w:rPr>
          <w:rFonts w:ascii="Bookman Old Style" w:hAnsi="Bookman Old Style"/>
          <w:i/>
          <w:color w:val="000000" w:themeColor="text1"/>
          <w:lang w:val="es-ES"/>
        </w:rPr>
        <w:t>puede ser vendida, a precios pactados libremente, a los siguientes agentes: Generadores, o Comercializadores que destinen dicha energía a la atención exclusiva de Usuarios No Regulados.</w:t>
      </w:r>
    </w:p>
    <w:p w14:paraId="22D64970" w14:textId="77777777" w:rsidR="00B84F10" w:rsidRPr="002E7D0C" w:rsidRDefault="00B84F10" w:rsidP="00B17766">
      <w:pPr>
        <w:pStyle w:val="Prrafodelista"/>
        <w:rPr>
          <w:rFonts w:ascii="Bookman Old Style" w:hAnsi="Bookman Old Style"/>
          <w:i/>
          <w:color w:val="000000" w:themeColor="text1"/>
          <w:sz w:val="24"/>
          <w:szCs w:val="24"/>
          <w:lang w:val="es-ES"/>
        </w:rPr>
      </w:pPr>
    </w:p>
    <w:p w14:paraId="72F10E55" w14:textId="65C64D1C" w:rsidR="005C14B9" w:rsidRPr="002E7D0C" w:rsidRDefault="00B84F10" w:rsidP="00B17766">
      <w:pPr>
        <w:pStyle w:val="NormalWeb"/>
        <w:numPr>
          <w:ilvl w:val="0"/>
          <w:numId w:val="41"/>
        </w:numPr>
        <w:spacing w:before="0" w:beforeAutospacing="0" w:after="0" w:afterAutospacing="0" w:line="240" w:lineRule="auto"/>
        <w:ind w:left="851" w:hanging="284"/>
        <w:rPr>
          <w:rFonts w:ascii="Bookman Old Style" w:hAnsi="Bookman Old Style"/>
          <w:b/>
          <w:i/>
          <w:color w:val="000000" w:themeColor="text1"/>
          <w:lang w:val="es-ES"/>
        </w:rPr>
      </w:pPr>
      <w:r w:rsidRPr="002E7D0C">
        <w:rPr>
          <w:rFonts w:ascii="Bookman Old Style" w:hAnsi="Bookman Old Style"/>
          <w:b/>
          <w:i/>
          <w:color w:val="000000" w:themeColor="text1"/>
          <w:lang w:val="es-ES"/>
        </w:rPr>
        <w:t>Plantas con capacidad efectiva mayor o igual a 5 MW y menor de 20 MW.</w:t>
      </w:r>
    </w:p>
    <w:p w14:paraId="534F3BA5" w14:textId="77777777" w:rsidR="00B84F10" w:rsidRPr="002E7D0C" w:rsidRDefault="00B84F10" w:rsidP="00B17766">
      <w:pPr>
        <w:pStyle w:val="NormalWeb"/>
        <w:spacing w:before="0" w:beforeAutospacing="0" w:after="0" w:afterAutospacing="0" w:line="240" w:lineRule="auto"/>
        <w:ind w:left="567"/>
        <w:rPr>
          <w:rFonts w:ascii="Bookman Old Style" w:hAnsi="Bookman Old Style"/>
          <w:i/>
          <w:color w:val="000000" w:themeColor="text1"/>
          <w:lang w:val="es-ES"/>
        </w:rPr>
      </w:pPr>
    </w:p>
    <w:p w14:paraId="4D2CE16B" w14:textId="77777777" w:rsidR="00ED4F40" w:rsidRDefault="00ED4F40" w:rsidP="00B17766">
      <w:pPr>
        <w:pStyle w:val="NormalWeb"/>
        <w:spacing w:before="0" w:beforeAutospacing="0" w:after="0" w:afterAutospacing="0" w:line="240" w:lineRule="auto"/>
        <w:ind w:left="851"/>
        <w:rPr>
          <w:rFonts w:ascii="Bookman Old Style" w:hAnsi="Bookman Old Style"/>
          <w:i/>
          <w:color w:val="000000" w:themeColor="text1"/>
          <w:lang w:val="es-ES"/>
        </w:rPr>
      </w:pPr>
    </w:p>
    <w:p w14:paraId="24BFDA0D" w14:textId="1759054C" w:rsidR="005C14B9" w:rsidRPr="002E7D0C" w:rsidRDefault="005C14B9" w:rsidP="00B17766">
      <w:pPr>
        <w:pStyle w:val="NormalWeb"/>
        <w:spacing w:before="0" w:beforeAutospacing="0" w:after="0" w:afterAutospacing="0" w:line="240" w:lineRule="auto"/>
        <w:ind w:left="851"/>
        <w:rPr>
          <w:rFonts w:ascii="Bookman Old Style" w:hAnsi="Bookman Old Style"/>
          <w:i/>
          <w:color w:val="000000" w:themeColor="text1"/>
          <w:lang w:val="es-ES"/>
        </w:rPr>
      </w:pPr>
      <w:r w:rsidRPr="002E7D0C">
        <w:rPr>
          <w:rFonts w:ascii="Bookman Old Style" w:hAnsi="Bookman Old Style"/>
          <w:i/>
          <w:color w:val="000000" w:themeColor="text1"/>
          <w:lang w:val="es-ES"/>
        </w:rPr>
        <w:t xml:space="preserve">Estas plantas podrán optar por acceder al </w:t>
      </w:r>
      <w:r w:rsidR="0001352A">
        <w:rPr>
          <w:rFonts w:ascii="Bookman Old Style" w:hAnsi="Bookman Old Style"/>
          <w:i/>
          <w:color w:val="000000" w:themeColor="text1"/>
          <w:lang w:val="es-ES"/>
        </w:rPr>
        <w:t>d</w:t>
      </w:r>
      <w:r w:rsidR="0001352A" w:rsidRPr="002E7D0C">
        <w:rPr>
          <w:rFonts w:ascii="Bookman Old Style" w:hAnsi="Bookman Old Style"/>
          <w:i/>
          <w:color w:val="000000" w:themeColor="text1"/>
          <w:lang w:val="es-ES"/>
        </w:rPr>
        <w:t xml:space="preserve">espacho </w:t>
      </w:r>
      <w:r w:rsidR="0001352A">
        <w:rPr>
          <w:rFonts w:ascii="Bookman Old Style" w:hAnsi="Bookman Old Style"/>
          <w:i/>
          <w:color w:val="000000" w:themeColor="text1"/>
          <w:lang w:val="es-ES"/>
        </w:rPr>
        <w:t>c</w:t>
      </w:r>
      <w:r w:rsidRPr="002E7D0C">
        <w:rPr>
          <w:rFonts w:ascii="Bookman Old Style" w:hAnsi="Bookman Old Style"/>
          <w:i/>
          <w:color w:val="000000" w:themeColor="text1"/>
          <w:lang w:val="es-ES"/>
        </w:rPr>
        <w:t>entral</w:t>
      </w:r>
      <w:r w:rsidR="0015638C">
        <w:rPr>
          <w:rFonts w:ascii="Bookman Old Style" w:hAnsi="Bookman Old Style"/>
          <w:i/>
          <w:color w:val="000000" w:themeColor="text1"/>
          <w:lang w:val="es-ES"/>
        </w:rPr>
        <w:t xml:space="preserve"> y</w:t>
      </w:r>
      <w:r w:rsidR="00DD2787">
        <w:rPr>
          <w:rFonts w:ascii="Bookman Old Style" w:hAnsi="Bookman Old Style"/>
          <w:i/>
          <w:color w:val="000000" w:themeColor="text1"/>
          <w:lang w:val="es-ES"/>
        </w:rPr>
        <w:t xml:space="preserve"> en el caso</w:t>
      </w:r>
      <w:r w:rsidR="0015638C">
        <w:rPr>
          <w:rFonts w:ascii="Bookman Old Style" w:hAnsi="Bookman Old Style"/>
          <w:i/>
          <w:color w:val="000000" w:themeColor="text1"/>
          <w:lang w:val="es-ES"/>
        </w:rPr>
        <w:t xml:space="preserve"> d</w:t>
      </w:r>
      <w:r w:rsidRPr="002E7D0C">
        <w:rPr>
          <w:rFonts w:ascii="Bookman Old Style" w:hAnsi="Bookman Old Style"/>
          <w:i/>
          <w:color w:val="000000" w:themeColor="text1"/>
          <w:lang w:val="es-ES"/>
        </w:rPr>
        <w:t>e tomar esta opción, deberán cumplir con la reglamentación vigente</w:t>
      </w:r>
      <w:r w:rsidR="008B5914">
        <w:rPr>
          <w:rFonts w:ascii="Bookman Old Style" w:hAnsi="Bookman Old Style"/>
          <w:i/>
          <w:color w:val="000000" w:themeColor="text1"/>
          <w:lang w:val="es-ES"/>
        </w:rPr>
        <w:t xml:space="preserve"> de las plantas despachadas centralmente</w:t>
      </w:r>
      <w:r w:rsidRPr="002E7D0C">
        <w:rPr>
          <w:rFonts w:ascii="Bookman Old Style" w:hAnsi="Bookman Old Style"/>
          <w:i/>
          <w:color w:val="000000" w:themeColor="text1"/>
          <w:lang w:val="es-ES"/>
        </w:rPr>
        <w:t>.</w:t>
      </w:r>
    </w:p>
    <w:p w14:paraId="4AD5FDCA" w14:textId="77777777" w:rsidR="00B84F10" w:rsidRPr="002E7D0C" w:rsidRDefault="00B84F10" w:rsidP="00B17766">
      <w:pPr>
        <w:pStyle w:val="NormalWeb"/>
        <w:spacing w:before="0" w:beforeAutospacing="0" w:after="0" w:afterAutospacing="0" w:line="240" w:lineRule="auto"/>
        <w:ind w:left="567"/>
        <w:rPr>
          <w:rFonts w:ascii="Bookman Old Style" w:hAnsi="Bookman Old Style"/>
          <w:i/>
          <w:color w:val="000000" w:themeColor="text1"/>
          <w:lang w:val="es-ES"/>
        </w:rPr>
      </w:pPr>
    </w:p>
    <w:p w14:paraId="6F1CF245" w14:textId="72B1B9CE" w:rsidR="005C14B9" w:rsidRPr="002E7D0C" w:rsidRDefault="005C14B9" w:rsidP="002E7D0C">
      <w:pPr>
        <w:pStyle w:val="NormalWeb"/>
        <w:spacing w:before="0" w:beforeAutospacing="0" w:after="0" w:afterAutospacing="0" w:line="240" w:lineRule="auto"/>
        <w:ind w:left="851"/>
        <w:rPr>
          <w:rFonts w:ascii="Bookman Old Style" w:hAnsi="Bookman Old Style"/>
          <w:i/>
          <w:color w:val="000000" w:themeColor="text1"/>
          <w:lang w:val="es-ES"/>
        </w:rPr>
      </w:pPr>
      <w:r w:rsidRPr="002E7D0C">
        <w:rPr>
          <w:rFonts w:ascii="Bookman Old Style" w:hAnsi="Bookman Old Style"/>
          <w:i/>
          <w:color w:val="000000" w:themeColor="text1"/>
          <w:lang w:val="es-ES"/>
        </w:rPr>
        <w:t xml:space="preserve">En caso de que estas plantas no se sometan al </w:t>
      </w:r>
      <w:r w:rsidR="00DD2787">
        <w:rPr>
          <w:rFonts w:ascii="Bookman Old Style" w:hAnsi="Bookman Old Style"/>
          <w:i/>
          <w:color w:val="000000" w:themeColor="text1"/>
          <w:lang w:val="es-ES"/>
        </w:rPr>
        <w:t>d</w:t>
      </w:r>
      <w:r w:rsidRPr="002E7D0C">
        <w:rPr>
          <w:rFonts w:ascii="Bookman Old Style" w:hAnsi="Bookman Old Style"/>
          <w:i/>
          <w:color w:val="000000" w:themeColor="text1"/>
          <w:lang w:val="es-ES"/>
        </w:rPr>
        <w:t xml:space="preserve">espacho </w:t>
      </w:r>
      <w:r w:rsidR="00DD2787">
        <w:rPr>
          <w:rFonts w:ascii="Bookman Old Style" w:hAnsi="Bookman Old Style"/>
          <w:i/>
          <w:color w:val="000000" w:themeColor="text1"/>
          <w:lang w:val="es-ES"/>
        </w:rPr>
        <w:t>c</w:t>
      </w:r>
      <w:r w:rsidRPr="002E7D0C">
        <w:rPr>
          <w:rFonts w:ascii="Bookman Old Style" w:hAnsi="Bookman Old Style"/>
          <w:i/>
          <w:color w:val="000000" w:themeColor="text1"/>
          <w:lang w:val="es-ES"/>
        </w:rPr>
        <w:t>entral, la energía generada por dichas plantas puede ser comercializada, así:</w:t>
      </w:r>
    </w:p>
    <w:p w14:paraId="3A53AD36" w14:textId="77777777" w:rsidR="003311EF" w:rsidRPr="002E7D0C" w:rsidRDefault="003311EF" w:rsidP="00B17766">
      <w:pPr>
        <w:pStyle w:val="NormalWeb"/>
        <w:spacing w:before="0" w:beforeAutospacing="0" w:after="0" w:afterAutospacing="0" w:line="240" w:lineRule="auto"/>
        <w:ind w:left="567"/>
        <w:rPr>
          <w:rFonts w:ascii="Bookman Old Style" w:hAnsi="Bookman Old Style"/>
          <w:i/>
          <w:color w:val="000000" w:themeColor="text1"/>
          <w:lang w:val="es-ES"/>
        </w:rPr>
      </w:pPr>
    </w:p>
    <w:p w14:paraId="13DCE605" w14:textId="2731FE76" w:rsidR="005C14B9" w:rsidRPr="002E7D0C" w:rsidRDefault="005C14B9" w:rsidP="003311EF">
      <w:pPr>
        <w:pStyle w:val="NormalWeb"/>
        <w:numPr>
          <w:ilvl w:val="1"/>
          <w:numId w:val="41"/>
        </w:numPr>
        <w:spacing w:before="0" w:beforeAutospacing="0" w:after="0" w:afterAutospacing="0" w:line="240" w:lineRule="auto"/>
        <w:ind w:left="1276" w:hanging="425"/>
        <w:rPr>
          <w:rFonts w:ascii="Bookman Old Style" w:hAnsi="Bookman Old Style"/>
          <w:i/>
          <w:color w:val="000000" w:themeColor="text1"/>
          <w:lang w:val="es-ES"/>
        </w:rPr>
      </w:pPr>
      <w:r w:rsidRPr="002E7D0C">
        <w:rPr>
          <w:rFonts w:ascii="Bookman Old Style" w:hAnsi="Bookman Old Style"/>
          <w:i/>
          <w:color w:val="000000" w:themeColor="text1"/>
          <w:lang w:val="es-ES"/>
        </w:rPr>
        <w:t>La energía generada puede ser ofrecida a una comercializadora que atiende mercado regulado, participando en las convocatorias públicas que abran estas empresas. En este caso y como está previsto en la Resolución CREG-</w:t>
      </w:r>
      <w:hyperlink r:id="rId12" w:anchor="1" w:tgtFrame="_blank" w:history="1">
        <w:r w:rsidRPr="002E7D0C">
          <w:rPr>
            <w:rStyle w:val="Hipervnculo"/>
            <w:rFonts w:ascii="Bookman Old Style" w:hAnsi="Bookman Old Style"/>
            <w:i/>
            <w:color w:val="000000" w:themeColor="text1"/>
            <w:lang w:val="es-ES"/>
          </w:rPr>
          <w:t>020</w:t>
        </w:r>
      </w:hyperlink>
      <w:r w:rsidRPr="002E7D0C">
        <w:rPr>
          <w:rFonts w:ascii="Bookman Old Style" w:hAnsi="Bookman Old Style"/>
          <w:i/>
          <w:color w:val="000000" w:themeColor="text1"/>
          <w:lang w:val="es-ES"/>
        </w:rPr>
        <w:t xml:space="preserve"> de 1996</w:t>
      </w:r>
      <w:r w:rsidR="00DD2787">
        <w:rPr>
          <w:rFonts w:ascii="Bookman Old Style" w:hAnsi="Bookman Old Style"/>
          <w:i/>
          <w:color w:val="000000" w:themeColor="text1"/>
          <w:lang w:val="es-ES"/>
        </w:rPr>
        <w:t xml:space="preserve"> </w:t>
      </w:r>
      <w:r w:rsidR="00DD2787" w:rsidRPr="002E7D0C">
        <w:rPr>
          <w:rFonts w:ascii="Bookman Old Style" w:hAnsi="Bookman Old Style"/>
          <w:i/>
          <w:color w:val="000000" w:themeColor="text1"/>
          <w:lang w:val="es-ES"/>
        </w:rPr>
        <w:t>o por la que la</w:t>
      </w:r>
      <w:r w:rsidR="00DD2787">
        <w:rPr>
          <w:rFonts w:ascii="Bookman Old Style" w:hAnsi="Bookman Old Style"/>
          <w:i/>
          <w:color w:val="000000" w:themeColor="text1"/>
          <w:lang w:val="es-ES"/>
        </w:rPr>
        <w:t xml:space="preserve"> ajuste,</w:t>
      </w:r>
      <w:r w:rsidR="00DD2787" w:rsidRPr="002E7D0C">
        <w:rPr>
          <w:rFonts w:ascii="Bookman Old Style" w:hAnsi="Bookman Old Style"/>
          <w:i/>
          <w:color w:val="000000" w:themeColor="text1"/>
          <w:lang w:val="es-ES"/>
        </w:rPr>
        <w:t xml:space="preserve"> modifique o sustituya</w:t>
      </w:r>
      <w:r w:rsidRPr="002E7D0C">
        <w:rPr>
          <w:rFonts w:ascii="Bookman Old Style" w:hAnsi="Bookman Old Style"/>
          <w:i/>
          <w:color w:val="000000" w:themeColor="text1"/>
          <w:lang w:val="es-ES"/>
        </w:rPr>
        <w:t>, la adjudicación se efectúa por mérito de precio.</w:t>
      </w:r>
    </w:p>
    <w:p w14:paraId="013B56EC" w14:textId="77777777" w:rsidR="003311EF" w:rsidRPr="002E7D0C" w:rsidRDefault="003311EF" w:rsidP="003311EF">
      <w:pPr>
        <w:pStyle w:val="Prrafodelista"/>
        <w:rPr>
          <w:rFonts w:ascii="Bookman Old Style" w:hAnsi="Bookman Old Style"/>
          <w:i/>
          <w:color w:val="000000" w:themeColor="text1"/>
          <w:sz w:val="24"/>
          <w:szCs w:val="24"/>
          <w:lang w:val="es-ES"/>
        </w:rPr>
      </w:pPr>
    </w:p>
    <w:p w14:paraId="1C7112E7" w14:textId="43FBBAA0" w:rsidR="005C14B9" w:rsidRPr="002E7D0C" w:rsidRDefault="005C14B9" w:rsidP="003311EF">
      <w:pPr>
        <w:pStyle w:val="NormalWeb"/>
        <w:numPr>
          <w:ilvl w:val="1"/>
          <w:numId w:val="41"/>
        </w:numPr>
        <w:spacing w:before="0" w:beforeAutospacing="0" w:after="0" w:afterAutospacing="0" w:line="240" w:lineRule="auto"/>
        <w:ind w:left="1276" w:hanging="425"/>
        <w:rPr>
          <w:rFonts w:ascii="Bookman Old Style" w:hAnsi="Bookman Old Style"/>
          <w:i/>
          <w:color w:val="000000" w:themeColor="text1"/>
          <w:lang w:val="es-ES"/>
        </w:rPr>
      </w:pPr>
      <w:r w:rsidRPr="002E7D0C">
        <w:rPr>
          <w:rFonts w:ascii="Bookman Old Style" w:hAnsi="Bookman Old Style"/>
          <w:i/>
          <w:color w:val="000000" w:themeColor="text1"/>
          <w:lang w:val="es-ES"/>
        </w:rPr>
        <w:t>La energía generada puede ser vendida, a precios pactados libremente, a los siguientes agentes: Generadores, o Comercializadores que destinen dicha energía a la atención exclusiva de Usuarios No Regulados.</w:t>
      </w:r>
    </w:p>
    <w:p w14:paraId="3842A112" w14:textId="77777777" w:rsidR="003311EF" w:rsidRPr="002E7D0C" w:rsidRDefault="003311EF" w:rsidP="003311EF">
      <w:pPr>
        <w:pStyle w:val="NormalWeb"/>
        <w:spacing w:before="0" w:beforeAutospacing="0" w:after="0" w:afterAutospacing="0" w:line="240" w:lineRule="auto"/>
        <w:ind w:left="1276"/>
        <w:rPr>
          <w:rFonts w:ascii="Bookman Old Style" w:hAnsi="Bookman Old Style"/>
          <w:i/>
          <w:color w:val="000000" w:themeColor="text1"/>
          <w:lang w:val="es-ES"/>
        </w:rPr>
      </w:pPr>
    </w:p>
    <w:p w14:paraId="38EEED87" w14:textId="6581F720" w:rsidR="005C14B9" w:rsidRPr="002E7D0C" w:rsidRDefault="0088532D" w:rsidP="007E3DC8">
      <w:pPr>
        <w:pStyle w:val="NormalWeb"/>
        <w:spacing w:before="0" w:beforeAutospacing="0" w:after="0" w:afterAutospacing="0" w:line="240" w:lineRule="auto"/>
        <w:ind w:left="567"/>
        <w:rPr>
          <w:rFonts w:ascii="Bookman Old Style" w:hAnsi="Bookman Old Style"/>
          <w:i/>
          <w:color w:val="000000" w:themeColor="text1"/>
          <w:lang w:val="es-ES"/>
        </w:rPr>
      </w:pPr>
      <w:r w:rsidRPr="002E7D0C">
        <w:rPr>
          <w:rStyle w:val="baj1"/>
          <w:rFonts w:ascii="Bookman Old Style" w:hAnsi="Bookman Old Style"/>
          <w:i/>
          <w:color w:val="000000" w:themeColor="text1"/>
          <w:lang w:val="es-ES"/>
        </w:rPr>
        <w:t>Parágrafo.</w:t>
      </w:r>
      <w:r w:rsidRPr="002E7D0C">
        <w:rPr>
          <w:rFonts w:ascii="Bookman Old Style" w:hAnsi="Bookman Old Style"/>
          <w:i/>
          <w:color w:val="000000" w:themeColor="text1"/>
          <w:lang w:val="es-ES"/>
        </w:rPr>
        <w:t xml:space="preserve"> </w:t>
      </w:r>
      <w:r w:rsidR="005C14B9" w:rsidRPr="002E7D0C">
        <w:rPr>
          <w:rFonts w:ascii="Bookman Old Style" w:hAnsi="Bookman Old Style"/>
          <w:i/>
          <w:color w:val="000000" w:themeColor="text1"/>
          <w:lang w:val="es-ES"/>
        </w:rPr>
        <w:t xml:space="preserve">Cuando una planta que haya declarado una capacidad efectiva menor a 20 MW presente entregas de potencia promedio en período horario a la red mayor a dicho límite en cinco horas, continuas o discontinuas, en un período de treinta (30) días calendario consecutivos, sin que esta entrega de energía haya sido solicitada por el administrador del mercado, se modificará el valor de la capacidad efectiva de la planta. </w:t>
      </w:r>
    </w:p>
    <w:p w14:paraId="517D0410" w14:textId="77777777" w:rsidR="003311EF" w:rsidRPr="002E7D0C" w:rsidRDefault="003311EF" w:rsidP="007E3DC8">
      <w:pPr>
        <w:pStyle w:val="NormalWeb"/>
        <w:spacing w:before="0" w:beforeAutospacing="0" w:after="0" w:afterAutospacing="0" w:line="240" w:lineRule="auto"/>
        <w:ind w:left="567"/>
        <w:rPr>
          <w:rFonts w:ascii="Bookman Old Style" w:hAnsi="Bookman Old Style"/>
          <w:i/>
          <w:color w:val="000000" w:themeColor="text1"/>
          <w:lang w:val="es-ES"/>
        </w:rPr>
      </w:pPr>
    </w:p>
    <w:p w14:paraId="411B2411" w14:textId="19C5B9FE" w:rsidR="005C14B9" w:rsidRPr="002E7D0C" w:rsidRDefault="005C14B9" w:rsidP="007E3DC8">
      <w:pPr>
        <w:pStyle w:val="NormalWeb"/>
        <w:spacing w:before="0" w:beforeAutospacing="0" w:after="0" w:afterAutospacing="0" w:line="240" w:lineRule="auto"/>
        <w:ind w:left="567"/>
        <w:rPr>
          <w:rFonts w:ascii="Bookman Old Style" w:hAnsi="Bookman Old Style"/>
          <w:i/>
          <w:color w:val="000000" w:themeColor="text1"/>
          <w:lang w:val="es-ES"/>
        </w:rPr>
      </w:pPr>
      <w:r w:rsidRPr="002E7D0C">
        <w:rPr>
          <w:rFonts w:ascii="Bookman Old Style" w:hAnsi="Bookman Old Style"/>
          <w:i/>
          <w:color w:val="000000" w:themeColor="text1"/>
          <w:lang w:val="es-ES"/>
        </w:rPr>
        <w:t>El ASIC será responsable de realizar este procedimiento.</w:t>
      </w:r>
    </w:p>
    <w:p w14:paraId="272F4843" w14:textId="77777777" w:rsidR="003311EF" w:rsidRPr="002E7D0C" w:rsidRDefault="003311EF" w:rsidP="007E3DC8">
      <w:pPr>
        <w:pStyle w:val="NormalWeb"/>
        <w:spacing w:before="0" w:beforeAutospacing="0" w:after="0" w:afterAutospacing="0" w:line="240" w:lineRule="auto"/>
        <w:ind w:left="567"/>
        <w:rPr>
          <w:rFonts w:ascii="Bookman Old Style" w:hAnsi="Bookman Old Style"/>
          <w:i/>
          <w:color w:val="000000" w:themeColor="text1"/>
          <w:lang w:val="es-ES"/>
        </w:rPr>
      </w:pPr>
    </w:p>
    <w:p w14:paraId="494379B7" w14:textId="77777777" w:rsidR="005C14B9" w:rsidRPr="002E7D0C" w:rsidRDefault="005C14B9" w:rsidP="007E3DC8">
      <w:pPr>
        <w:pStyle w:val="NormalWeb"/>
        <w:spacing w:before="0" w:beforeAutospacing="0" w:after="0" w:afterAutospacing="0" w:line="240" w:lineRule="auto"/>
        <w:ind w:left="567"/>
        <w:rPr>
          <w:rFonts w:ascii="Bookman Old Style" w:hAnsi="Bookman Old Style"/>
          <w:i/>
          <w:color w:val="000000" w:themeColor="text1"/>
          <w:lang w:val="es-ES"/>
        </w:rPr>
      </w:pPr>
      <w:r w:rsidRPr="002E7D0C">
        <w:rPr>
          <w:rFonts w:ascii="Bookman Old Style" w:hAnsi="Bookman Old Style"/>
          <w:i/>
          <w:color w:val="000000" w:themeColor="text1"/>
          <w:lang w:val="es-ES"/>
        </w:rPr>
        <w:t>El nuevo valor de la capacidad efectiva de la planta corresponderá al promedio simple de la potencia promedio en período horario de las cinco primeras horas donde se superó el límite de 20 MW. Por lo tanto, la planta quedará sometida a las reglas aplicables para las plantas que son despachadas centralmente a partir del primer día del siguiente mes calendario con una vigencia de seis meses.</w:t>
      </w:r>
    </w:p>
    <w:p w14:paraId="6E4F4F65" w14:textId="520E2597" w:rsidR="00676752" w:rsidRDefault="00676752" w:rsidP="002E7D0C">
      <w:pPr>
        <w:ind w:left="0"/>
        <w:jc w:val="both"/>
        <w:rPr>
          <w:rFonts w:ascii="Bookman Old Style" w:hAnsi="Bookman Old Style"/>
          <w:b/>
        </w:rPr>
      </w:pPr>
    </w:p>
    <w:p w14:paraId="753E8BE3" w14:textId="2B336A16" w:rsidR="005E0A23" w:rsidRDefault="00222FA7" w:rsidP="00960027">
      <w:pPr>
        <w:ind w:left="0"/>
        <w:jc w:val="both"/>
        <w:rPr>
          <w:rFonts w:ascii="Bookman Old Style" w:hAnsi="Bookman Old Style"/>
        </w:rPr>
      </w:pPr>
      <w:r w:rsidRPr="002A782A">
        <w:rPr>
          <w:rFonts w:ascii="Bookman Old Style" w:hAnsi="Bookman Old Style"/>
          <w:b/>
        </w:rPr>
        <w:t xml:space="preserve">Artículo </w:t>
      </w:r>
      <w:r w:rsidR="00565190">
        <w:rPr>
          <w:rFonts w:ascii="Bookman Old Style" w:hAnsi="Bookman Old Style"/>
          <w:b/>
        </w:rPr>
        <w:t>3</w:t>
      </w:r>
      <w:r w:rsidRPr="002A782A">
        <w:rPr>
          <w:rFonts w:ascii="Bookman Old Style" w:hAnsi="Bookman Old Style"/>
          <w:b/>
        </w:rPr>
        <w:t xml:space="preserve">. </w:t>
      </w:r>
      <w:r>
        <w:rPr>
          <w:rFonts w:ascii="Bookman Old Style" w:hAnsi="Bookman Old Style"/>
          <w:b/>
        </w:rPr>
        <w:t xml:space="preserve">Vigencia. </w:t>
      </w:r>
      <w:r>
        <w:rPr>
          <w:rFonts w:ascii="Bookman Old Style" w:hAnsi="Bookman Old Style"/>
        </w:rPr>
        <w:t xml:space="preserve">Esta resolución rige a partir de su publicación en el </w:t>
      </w:r>
      <w:r w:rsidRPr="00800C48">
        <w:rPr>
          <w:rFonts w:ascii="Bookman Old Style" w:hAnsi="Bookman Old Style"/>
          <w:i/>
        </w:rPr>
        <w:t>Diario Oficial</w:t>
      </w:r>
      <w:r w:rsidR="00F92F53">
        <w:rPr>
          <w:rFonts w:ascii="Bookman Old Style" w:hAnsi="Bookman Old Style"/>
        </w:rPr>
        <w:t xml:space="preserve"> y modifica el artículo 3 de la Resolución CREG </w:t>
      </w:r>
      <w:r w:rsidR="0015638C">
        <w:rPr>
          <w:rFonts w:ascii="Bookman Old Style" w:hAnsi="Bookman Old Style"/>
        </w:rPr>
        <w:t>0</w:t>
      </w:r>
      <w:r w:rsidR="00F92F53">
        <w:rPr>
          <w:rFonts w:ascii="Bookman Old Style" w:hAnsi="Bookman Old Style"/>
        </w:rPr>
        <w:t>86 de 1996.</w:t>
      </w:r>
    </w:p>
    <w:p w14:paraId="26DC5EE7" w14:textId="77777777" w:rsidR="00956C7A" w:rsidRPr="00C435C3" w:rsidRDefault="00956C7A" w:rsidP="00D35A92">
      <w:pPr>
        <w:ind w:left="0"/>
        <w:rPr>
          <w:rFonts w:ascii="Bookman Old Style" w:hAnsi="Bookman Old Style"/>
        </w:rPr>
      </w:pPr>
    </w:p>
    <w:p w14:paraId="3996679A" w14:textId="77777777" w:rsidR="00D35A92" w:rsidRPr="00C435C3" w:rsidRDefault="00D35A92" w:rsidP="00D35A92">
      <w:pPr>
        <w:jc w:val="center"/>
        <w:rPr>
          <w:rFonts w:ascii="Bookman Old Style" w:hAnsi="Bookman Old Style"/>
          <w:b/>
        </w:rPr>
      </w:pPr>
      <w:r w:rsidRPr="00C435C3">
        <w:rPr>
          <w:rFonts w:ascii="Bookman Old Style" w:hAnsi="Bookman Old Style"/>
          <w:b/>
        </w:rPr>
        <w:t>PU</w:t>
      </w:r>
      <w:r>
        <w:rPr>
          <w:rFonts w:ascii="Bookman Old Style" w:hAnsi="Bookman Old Style"/>
          <w:b/>
        </w:rPr>
        <w:t>B</w:t>
      </w:r>
      <w:r w:rsidRPr="00C435C3">
        <w:rPr>
          <w:rFonts w:ascii="Bookman Old Style" w:hAnsi="Bookman Old Style"/>
          <w:b/>
        </w:rPr>
        <w:t>LÍQUESE Y CÚMPLASE</w:t>
      </w:r>
    </w:p>
    <w:p w14:paraId="38128655" w14:textId="77777777" w:rsidR="00956C7A" w:rsidRDefault="00956C7A" w:rsidP="00D35A92">
      <w:pPr>
        <w:ind w:left="0"/>
        <w:rPr>
          <w:rFonts w:ascii="Bookman Old Style" w:hAnsi="Bookman Old Style"/>
        </w:rPr>
      </w:pPr>
    </w:p>
    <w:p w14:paraId="6473A9AA" w14:textId="31CC3304" w:rsidR="00D35A92" w:rsidRDefault="00D35A92" w:rsidP="00D35A92">
      <w:pPr>
        <w:ind w:left="0"/>
        <w:rPr>
          <w:rFonts w:ascii="Bookman Old Style" w:hAnsi="Bookman Old Style"/>
        </w:rPr>
      </w:pPr>
      <w:r>
        <w:rPr>
          <w:rFonts w:ascii="Bookman Old Style" w:hAnsi="Bookman Old Style"/>
        </w:rPr>
        <w:t>Firmas del proyecto,</w:t>
      </w:r>
    </w:p>
    <w:p w14:paraId="01CDEFA8" w14:textId="5A4B8EA5" w:rsidR="00C0320D" w:rsidRDefault="00C0320D" w:rsidP="00D35A92">
      <w:pPr>
        <w:ind w:left="0"/>
        <w:rPr>
          <w:rFonts w:ascii="Bookman Old Style" w:hAnsi="Bookman Old Style"/>
        </w:rPr>
      </w:pPr>
    </w:p>
    <w:p w14:paraId="1FAC47AE" w14:textId="314FB1F4" w:rsidR="00C0320D" w:rsidRDefault="00C0320D" w:rsidP="00D35A92">
      <w:pPr>
        <w:ind w:left="0"/>
        <w:rPr>
          <w:rFonts w:ascii="Bookman Old Style" w:hAnsi="Bookman Old Style"/>
        </w:rPr>
      </w:pPr>
    </w:p>
    <w:p w14:paraId="596AB06F" w14:textId="560EEECA" w:rsidR="00C0320D" w:rsidRDefault="00C0320D" w:rsidP="00D35A92">
      <w:pPr>
        <w:ind w:left="0"/>
        <w:rPr>
          <w:rFonts w:ascii="Bookman Old Style" w:hAnsi="Bookman Old Style"/>
        </w:rPr>
      </w:pPr>
    </w:p>
    <w:p w14:paraId="15EB96CC" w14:textId="77777777" w:rsidR="00C0320D" w:rsidRDefault="00C0320D" w:rsidP="00D35A92">
      <w:pPr>
        <w:ind w:left="0"/>
        <w:rPr>
          <w:rFonts w:ascii="Bookman Old Style" w:hAnsi="Bookman Old Style"/>
        </w:rPr>
      </w:pPr>
    </w:p>
    <w:tbl>
      <w:tblPr>
        <w:tblW w:w="9498" w:type="dxa"/>
        <w:jc w:val="center"/>
        <w:tblCellSpacing w:w="0" w:type="dxa"/>
        <w:tblCellMar>
          <w:left w:w="0" w:type="dxa"/>
          <w:right w:w="0" w:type="dxa"/>
        </w:tblCellMar>
        <w:tblLook w:val="04A0" w:firstRow="1" w:lastRow="0" w:firstColumn="1" w:lastColumn="0" w:noHBand="0" w:noVBand="1"/>
      </w:tblPr>
      <w:tblGrid>
        <w:gridCol w:w="5033"/>
        <w:gridCol w:w="4465"/>
      </w:tblGrid>
      <w:tr w:rsidR="00C0320D" w14:paraId="7CA77745" w14:textId="77777777" w:rsidTr="00C0320D">
        <w:trPr>
          <w:tblCellSpacing w:w="0" w:type="dxa"/>
          <w:jc w:val="center"/>
        </w:trPr>
        <w:tc>
          <w:tcPr>
            <w:tcW w:w="5033" w:type="dxa"/>
          </w:tcPr>
          <w:p w14:paraId="0F30263C" w14:textId="77777777" w:rsidR="00C0320D" w:rsidRDefault="00C0320D" w:rsidP="0054553C">
            <w:pPr>
              <w:ind w:left="66"/>
              <w:jc w:val="center"/>
              <w:rPr>
                <w:rFonts w:ascii="Bookman Old Style" w:hAnsi="Bookman Old Style" w:cs="Arial"/>
                <w:b/>
                <w:spacing w:val="-3"/>
              </w:rPr>
            </w:pPr>
            <w:r>
              <w:rPr>
                <w:rFonts w:ascii="Bookman Old Style" w:hAnsi="Bookman Old Style" w:cs="Arial"/>
                <w:b/>
                <w:szCs w:val="23"/>
              </w:rPr>
              <w:t>DIEGO MESA PUYO</w:t>
            </w:r>
          </w:p>
        </w:tc>
        <w:tc>
          <w:tcPr>
            <w:tcW w:w="4465" w:type="dxa"/>
          </w:tcPr>
          <w:p w14:paraId="45377C47" w14:textId="77777777" w:rsidR="00C0320D" w:rsidRDefault="00C0320D" w:rsidP="0054553C">
            <w:pPr>
              <w:ind w:left="89"/>
              <w:jc w:val="center"/>
              <w:rPr>
                <w:rFonts w:ascii="Bookman Old Style" w:hAnsi="Bookman Old Style" w:cs="Arial"/>
                <w:b/>
                <w:spacing w:val="-3"/>
              </w:rPr>
            </w:pPr>
            <w:r>
              <w:rPr>
                <w:rFonts w:ascii="Bookman Old Style" w:hAnsi="Bookman Old Style" w:cs="Arial"/>
                <w:b/>
                <w:spacing w:val="-3"/>
              </w:rPr>
              <w:t>CHRISTIAN JARAMILLO HERRERA</w:t>
            </w:r>
          </w:p>
        </w:tc>
      </w:tr>
      <w:tr w:rsidR="00C0320D" w14:paraId="19142672" w14:textId="77777777" w:rsidTr="00C0320D">
        <w:trPr>
          <w:tblCellSpacing w:w="0" w:type="dxa"/>
          <w:jc w:val="center"/>
        </w:trPr>
        <w:tc>
          <w:tcPr>
            <w:tcW w:w="5033" w:type="dxa"/>
            <w:hideMark/>
          </w:tcPr>
          <w:p w14:paraId="3F979D35" w14:textId="77777777" w:rsidR="00C0320D" w:rsidRDefault="00C0320D" w:rsidP="0054553C">
            <w:pPr>
              <w:ind w:left="66"/>
              <w:jc w:val="center"/>
              <w:rPr>
                <w:rFonts w:ascii="Bookman Old Style" w:hAnsi="Bookman Old Style" w:cs="Arial"/>
                <w:spacing w:val="-3"/>
              </w:rPr>
            </w:pPr>
            <w:r>
              <w:rPr>
                <w:rFonts w:ascii="Bookman Old Style" w:hAnsi="Bookman Old Style" w:cs="Arial"/>
                <w:spacing w:val="-3"/>
              </w:rPr>
              <w:t>Viceministro de Energía</w:t>
            </w:r>
          </w:p>
          <w:p w14:paraId="3676DFEF" w14:textId="77777777" w:rsidR="00C0320D" w:rsidRDefault="00C0320D" w:rsidP="0054553C">
            <w:pPr>
              <w:ind w:left="66"/>
              <w:jc w:val="center"/>
              <w:rPr>
                <w:rFonts w:ascii="Bookman Old Style" w:eastAsia="Arial Unicode MS" w:hAnsi="Bookman Old Style" w:cs="Arial"/>
                <w:color w:val="000000"/>
              </w:rPr>
            </w:pPr>
            <w:r>
              <w:rPr>
                <w:rFonts w:ascii="Bookman Old Style" w:hAnsi="Bookman Old Style" w:cs="Arial"/>
                <w:spacing w:val="-3"/>
              </w:rPr>
              <w:t>Delegado de la Ministra de Minas y Energía</w:t>
            </w:r>
          </w:p>
        </w:tc>
        <w:tc>
          <w:tcPr>
            <w:tcW w:w="4465" w:type="dxa"/>
            <w:hideMark/>
          </w:tcPr>
          <w:p w14:paraId="097999F6" w14:textId="77777777" w:rsidR="00C0320D" w:rsidRDefault="00C0320D" w:rsidP="0054553C">
            <w:pPr>
              <w:jc w:val="center"/>
              <w:rPr>
                <w:rFonts w:ascii="Bookman Old Style" w:eastAsia="Arial Unicode MS" w:hAnsi="Bookman Old Style" w:cs="Arial"/>
                <w:color w:val="000000"/>
              </w:rPr>
            </w:pPr>
            <w:r>
              <w:rPr>
                <w:rFonts w:ascii="Bookman Old Style" w:hAnsi="Bookman Old Style" w:cs="Arial"/>
                <w:spacing w:val="-3"/>
              </w:rPr>
              <w:t>Director Ejecutivo</w:t>
            </w:r>
          </w:p>
        </w:tc>
      </w:tr>
      <w:tr w:rsidR="00C0320D" w14:paraId="7C8D3A70" w14:textId="77777777" w:rsidTr="00C0320D">
        <w:trPr>
          <w:tblCellSpacing w:w="0" w:type="dxa"/>
          <w:jc w:val="center"/>
        </w:trPr>
        <w:tc>
          <w:tcPr>
            <w:tcW w:w="5033" w:type="dxa"/>
            <w:hideMark/>
          </w:tcPr>
          <w:p w14:paraId="3513A01B" w14:textId="77777777" w:rsidR="00C0320D" w:rsidRDefault="00C0320D" w:rsidP="0054553C">
            <w:pPr>
              <w:ind w:left="66"/>
              <w:jc w:val="center"/>
              <w:rPr>
                <w:rFonts w:ascii="Bookman Old Style" w:eastAsia="Arial Unicode MS" w:hAnsi="Bookman Old Style" w:cs="Arial"/>
                <w:color w:val="000000"/>
              </w:rPr>
            </w:pPr>
            <w:r>
              <w:rPr>
                <w:rFonts w:ascii="Bookman Old Style" w:hAnsi="Bookman Old Style" w:cs="Arial"/>
                <w:spacing w:val="-3"/>
              </w:rPr>
              <w:t>Presidente</w:t>
            </w:r>
          </w:p>
        </w:tc>
        <w:tc>
          <w:tcPr>
            <w:tcW w:w="4465" w:type="dxa"/>
          </w:tcPr>
          <w:p w14:paraId="4CF20A98" w14:textId="77777777" w:rsidR="00C0320D" w:rsidRDefault="00C0320D" w:rsidP="0054553C">
            <w:pPr>
              <w:jc w:val="center"/>
              <w:rPr>
                <w:rFonts w:ascii="Bookman Old Style" w:eastAsia="Arial Unicode MS" w:hAnsi="Bookman Old Style" w:cs="Arial"/>
                <w:color w:val="000000"/>
              </w:rPr>
            </w:pPr>
          </w:p>
        </w:tc>
      </w:tr>
    </w:tbl>
    <w:p w14:paraId="5652430D" w14:textId="77777777" w:rsidR="00D35A92" w:rsidRDefault="00D35A92" w:rsidP="00D35A92">
      <w:pPr>
        <w:ind w:left="0"/>
        <w:rPr>
          <w:rFonts w:ascii="Bookman Old Style" w:hAnsi="Bookman Old Style"/>
        </w:rPr>
      </w:pPr>
    </w:p>
    <w:p w14:paraId="3F85B6A1" w14:textId="711AC282" w:rsidR="00386E3F" w:rsidRDefault="00386E3F" w:rsidP="00D35A92">
      <w:pPr>
        <w:ind w:left="0"/>
        <w:rPr>
          <w:rFonts w:ascii="Bookman Old Style" w:hAnsi="Bookman Old Style"/>
        </w:rPr>
      </w:pPr>
    </w:p>
    <w:sectPr w:rsidR="00386E3F" w:rsidSect="003C351F">
      <w:headerReference w:type="default" r:id="rId13"/>
      <w:headerReference w:type="first" r:id="rId14"/>
      <w:type w:val="continuous"/>
      <w:pgSz w:w="12242" w:h="18722" w:code="183"/>
      <w:pgMar w:top="2342" w:right="1185" w:bottom="1702"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6B2E70" w14:textId="77777777" w:rsidR="00AF3BD8" w:rsidRDefault="00AF3BD8">
      <w:r>
        <w:separator/>
      </w:r>
    </w:p>
  </w:endnote>
  <w:endnote w:type="continuationSeparator" w:id="0">
    <w:p w14:paraId="73C2F10E" w14:textId="77777777" w:rsidR="00AF3BD8" w:rsidRDefault="00AF3B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A29C1A8" w14:textId="77777777" w:rsidR="00AF3BD8" w:rsidRDefault="00AF3BD8">
      <w:r>
        <w:separator/>
      </w:r>
    </w:p>
  </w:footnote>
  <w:footnote w:type="continuationSeparator" w:id="0">
    <w:p w14:paraId="6625C1DA" w14:textId="77777777" w:rsidR="00AF3BD8" w:rsidRDefault="00AF3BD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3AF9C9" w14:textId="77777777" w:rsidR="00CC51D4" w:rsidRDefault="00CC51D4" w:rsidP="00951F79">
    <w:pPr>
      <w:pStyle w:val="Ttulo1"/>
      <w:ind w:right="6"/>
      <w:jc w:val="left"/>
      <w:rPr>
        <w:rFonts w:ascii="Bookman Old Style" w:hAnsi="Bookman Old Style" w:cs="Arial"/>
        <w:b w:val="0"/>
        <w:sz w:val="22"/>
        <w:szCs w:val="22"/>
      </w:rPr>
    </w:pPr>
  </w:p>
  <w:p w14:paraId="0D8D6D0A" w14:textId="1D0B9808" w:rsidR="0087657D" w:rsidRPr="00951F79" w:rsidRDefault="00725FA4"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sidR="00951F79">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sidR="00886EE1">
      <w:rPr>
        <w:rFonts w:ascii="Bookman Old Style" w:hAnsi="Bookman Old Style" w:cs="Arial"/>
        <w:b w:val="0"/>
        <w:sz w:val="22"/>
        <w:szCs w:val="22"/>
      </w:rPr>
      <w:t>DE</w:t>
    </w:r>
    <w:r w:rsidR="000D26F8">
      <w:rPr>
        <w:rFonts w:ascii="Bookman Old Style" w:hAnsi="Bookman Old Style" w:cs="Arial"/>
        <w:b w:val="0"/>
        <w:sz w:val="22"/>
        <w:szCs w:val="22"/>
      </w:rPr>
      <w:t xml:space="preserve"> </w:t>
    </w:r>
    <w:r w:rsidR="00951F79">
      <w:rPr>
        <w:rFonts w:ascii="Bookman Old Style" w:hAnsi="Bookman Old Style" w:cs="Arial"/>
        <w:b w:val="0"/>
        <w:sz w:val="22"/>
        <w:szCs w:val="22"/>
      </w:rPr>
      <w:t>________________</w:t>
    </w:r>
    <w:r w:rsidR="003D076C">
      <w:rPr>
        <w:rFonts w:ascii="Bookman Old Style" w:hAnsi="Bookman Old Style" w:cs="Arial"/>
        <w:b w:val="0"/>
        <w:sz w:val="22"/>
        <w:szCs w:val="22"/>
      </w:rPr>
      <w:tab/>
    </w:r>
    <w:r w:rsidRPr="00654384">
      <w:rPr>
        <w:rFonts w:ascii="Bookman Old Style" w:hAnsi="Bookman Old Style" w:cs="Arial"/>
        <w:b w:val="0"/>
        <w:sz w:val="22"/>
        <w:szCs w:val="22"/>
      </w:rPr>
      <w:t>HOJA No.</w:t>
    </w:r>
    <w:r w:rsidR="00593C4F" w:rsidRPr="00654384">
      <w:rPr>
        <w:rFonts w:ascii="Bookman Old Style" w:hAnsi="Bookman Old Style" w:cs="Arial"/>
        <w:b w:val="0"/>
        <w:sz w:val="22"/>
        <w:szCs w:val="22"/>
      </w:rPr>
      <w:t xml:space="preserve"> </w:t>
    </w:r>
    <w:r w:rsidR="000E24BB" w:rsidRPr="00654384">
      <w:rPr>
        <w:rFonts w:ascii="Bookman Old Style" w:hAnsi="Bookman Old Style" w:cs="Arial"/>
        <w:b w:val="0"/>
        <w:sz w:val="22"/>
        <w:szCs w:val="22"/>
      </w:rPr>
      <w:fldChar w:fldCharType="begin"/>
    </w:r>
    <w:r w:rsidR="00593C4F" w:rsidRPr="00654384">
      <w:rPr>
        <w:rFonts w:ascii="Bookman Old Style" w:hAnsi="Bookman Old Style" w:cs="Arial"/>
        <w:b w:val="0"/>
        <w:sz w:val="22"/>
        <w:szCs w:val="22"/>
      </w:rPr>
      <w:instrText xml:space="preserve"> PAGE   \* MERGEFORMAT </w:instrText>
    </w:r>
    <w:r w:rsidR="000E24BB" w:rsidRPr="00654384">
      <w:rPr>
        <w:rFonts w:ascii="Bookman Old Style" w:hAnsi="Bookman Old Style" w:cs="Arial"/>
        <w:b w:val="0"/>
        <w:sz w:val="22"/>
        <w:szCs w:val="22"/>
      </w:rPr>
      <w:fldChar w:fldCharType="separate"/>
    </w:r>
    <w:r w:rsidR="004C2BCD">
      <w:rPr>
        <w:rFonts w:ascii="Bookman Old Style" w:hAnsi="Bookman Old Style" w:cs="Arial"/>
        <w:b w:val="0"/>
        <w:noProof/>
        <w:sz w:val="22"/>
        <w:szCs w:val="22"/>
      </w:rPr>
      <w:t>6</w:t>
    </w:r>
    <w:r w:rsidR="000E24BB"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004C2BCD" w:rsidRPr="004C2BCD">
        <w:rPr>
          <w:rFonts w:ascii="Bookman Old Style" w:hAnsi="Bookman Old Style" w:cs="Arial"/>
          <w:b w:val="0"/>
          <w:noProof/>
          <w:sz w:val="22"/>
          <w:szCs w:val="22"/>
        </w:rPr>
        <w:t>6</w:t>
      </w:r>
    </w:fldSimple>
  </w:p>
  <w:p w14:paraId="059CC405" w14:textId="77777777" w:rsidR="006F6D95" w:rsidRDefault="0000172A"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7C119726" wp14:editId="49E087D6">
              <wp:simplePos x="0" y="0"/>
              <wp:positionH relativeFrom="column">
                <wp:posOffset>-175260</wp:posOffset>
              </wp:positionH>
              <wp:positionV relativeFrom="paragraph">
                <wp:posOffset>139065</wp:posOffset>
              </wp:positionV>
              <wp:extent cx="6267450" cy="9900920"/>
              <wp:effectExtent l="0" t="0" r="19050" b="2413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21F30B"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14:paraId="6A18ADCF" w14:textId="12303185" w:rsidR="00045D3D" w:rsidRPr="00045D3D" w:rsidRDefault="00045D3D" w:rsidP="00045D3D">
    <w:pPr>
      <w:ind w:left="0"/>
      <w:jc w:val="both"/>
      <w:rPr>
        <w:rFonts w:ascii="Bookman Old Style" w:hAnsi="Bookman Old Style"/>
        <w:sz w:val="22"/>
        <w:szCs w:val="22"/>
      </w:rPr>
    </w:pPr>
    <w:r w:rsidRPr="00045D3D">
      <w:rPr>
        <w:rFonts w:ascii="Bookman Old Style" w:hAnsi="Bookman Old Style"/>
        <w:sz w:val="22"/>
        <w:szCs w:val="22"/>
      </w:rPr>
      <w:t xml:space="preserve">Por </w:t>
    </w:r>
    <w:r w:rsidR="00F44ED7">
      <w:rPr>
        <w:rFonts w:ascii="Bookman Old Style" w:hAnsi="Bookman Old Style"/>
        <w:sz w:val="22"/>
        <w:szCs w:val="22"/>
      </w:rPr>
      <w:t xml:space="preserve">la cual se ordena hacer público un proyecto de resolución de carácter general, </w:t>
    </w:r>
    <w:r w:rsidR="006800AB" w:rsidRPr="00A17396">
      <w:rPr>
        <w:rFonts w:ascii="Bookman Old Style" w:hAnsi="Bookman Old Style"/>
        <w:i/>
        <w:sz w:val="22"/>
        <w:szCs w:val="22"/>
      </w:rPr>
      <w:t xml:space="preserve">“Por la cual se </w:t>
    </w:r>
    <w:r w:rsidR="00742A7D">
      <w:rPr>
        <w:rFonts w:ascii="Bookman Old Style" w:hAnsi="Bookman Old Style"/>
        <w:i/>
        <w:sz w:val="22"/>
        <w:szCs w:val="22"/>
      </w:rPr>
      <w:t>extiende</w:t>
    </w:r>
    <w:r w:rsidR="006800AB" w:rsidRPr="00A17396">
      <w:rPr>
        <w:rFonts w:ascii="Bookman Old Style" w:hAnsi="Bookman Old Style"/>
        <w:i/>
        <w:sz w:val="22"/>
        <w:szCs w:val="22"/>
      </w:rPr>
      <w:t xml:space="preserve"> la opción de acceso al despacho central</w:t>
    </w:r>
    <w:r w:rsidR="005C14B9">
      <w:rPr>
        <w:rFonts w:ascii="Bookman Old Style" w:hAnsi="Bookman Old Style"/>
        <w:i/>
        <w:sz w:val="22"/>
        <w:szCs w:val="22"/>
      </w:rPr>
      <w:t xml:space="preserve">, </w:t>
    </w:r>
    <w:r w:rsidR="006800AB">
      <w:rPr>
        <w:rFonts w:ascii="Bookman Old Style" w:hAnsi="Bookman Old Style"/>
        <w:i/>
        <w:sz w:val="22"/>
        <w:szCs w:val="22"/>
      </w:rPr>
      <w:t>a</w:t>
    </w:r>
    <w:r w:rsidR="006800AB" w:rsidRPr="00A17396">
      <w:rPr>
        <w:rFonts w:ascii="Bookman Old Style" w:hAnsi="Bookman Old Style"/>
        <w:i/>
        <w:sz w:val="22"/>
        <w:szCs w:val="22"/>
      </w:rPr>
      <w:t xml:space="preserve"> plantas menores a 20 MW</w:t>
    </w:r>
    <w:r w:rsidR="006800AB">
      <w:rPr>
        <w:rFonts w:ascii="Bookman Old Style" w:hAnsi="Bookman Old Style"/>
        <w:i/>
        <w:sz w:val="22"/>
        <w:szCs w:val="22"/>
      </w:rPr>
      <w:t xml:space="preserve"> conectadas al Sistema Interconectado Nacional</w:t>
    </w:r>
    <w:r w:rsidR="006800AB" w:rsidRPr="006800AB">
      <w:rPr>
        <w:rFonts w:ascii="Bookman Old Style" w:hAnsi="Bookman Old Style"/>
        <w:sz w:val="22"/>
        <w:szCs w:val="22"/>
      </w:rPr>
      <w:t>”</w:t>
    </w:r>
  </w:p>
  <w:p w14:paraId="4FD0CEAA" w14:textId="77777777" w:rsidR="0044318E" w:rsidRPr="00045D3D" w:rsidRDefault="0044318E" w:rsidP="00AD01E4">
    <w:pPr>
      <w:pBdr>
        <w:bottom w:val="single" w:sz="4" w:space="1" w:color="auto"/>
      </w:pBdr>
      <w:ind w:left="142" w:right="148"/>
      <w:rPr>
        <w:b/>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1B59B5" w14:textId="77777777" w:rsidR="00725FA4" w:rsidRDefault="00025383" w:rsidP="00025383">
    <w:pPr>
      <w:pStyle w:val="Encabezado"/>
      <w:jc w:val="both"/>
      <w:rPr>
        <w:rFonts w:ascii="Arial" w:hAnsi="Arial" w:cs="Arial"/>
        <w:spacing w:val="20"/>
        <w:sz w:val="20"/>
      </w:rPr>
    </w:pPr>
    <w:r>
      <w:rPr>
        <w:rFonts w:ascii="Arial" w:hAnsi="Arial" w:cs="Arial"/>
        <w:spacing w:val="20"/>
        <w:sz w:val="20"/>
      </w:rPr>
      <w:t xml:space="preserve">                                   </w:t>
    </w:r>
    <w:r w:rsidR="00725FA4">
      <w:rPr>
        <w:rFonts w:ascii="Arial" w:hAnsi="Arial" w:cs="Arial"/>
        <w:spacing w:val="20"/>
        <w:sz w:val="20"/>
      </w:rPr>
      <w:t>República de Colombia</w:t>
    </w:r>
  </w:p>
  <w:p w14:paraId="014D4109" w14:textId="77777777" w:rsidR="00725FA4" w:rsidRDefault="00725FA4">
    <w:pPr>
      <w:pStyle w:val="Encabezado"/>
      <w:jc w:val="center"/>
      <w:rPr>
        <w:rFonts w:ascii="Arial" w:hAnsi="Arial" w:cs="Arial"/>
        <w:spacing w:val="20"/>
        <w:sz w:val="20"/>
      </w:rPr>
    </w:pPr>
  </w:p>
  <w:p w14:paraId="0BC4A64D" w14:textId="77777777" w:rsidR="00725FA4" w:rsidRDefault="0000172A"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14:anchorId="45C80079" wp14:editId="24C6F2BB">
              <wp:simplePos x="0" y="0"/>
              <wp:positionH relativeFrom="column">
                <wp:posOffset>-213360</wp:posOffset>
              </wp:positionH>
              <wp:positionV relativeFrom="paragraph">
                <wp:posOffset>377190</wp:posOffset>
              </wp:positionV>
              <wp:extent cx="6343650" cy="9839325"/>
              <wp:effectExtent l="0" t="0" r="19050" b="285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DAFADE"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1"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01E67325"/>
    <w:multiLevelType w:val="hybridMultilevel"/>
    <w:tmpl w:val="66568F00"/>
    <w:lvl w:ilvl="0" w:tplc="DB8C2DD0">
      <w:start w:val="1"/>
      <w:numFmt w:val="decimal"/>
      <w:lvlText w:val="Artículo %1. "/>
      <w:lvlJc w:val="left"/>
      <w:pPr>
        <w:ind w:left="578" w:hanging="360"/>
      </w:pPr>
      <w:rPr>
        <w:rFonts w:hint="default"/>
        <w:b/>
        <w:i w:val="0"/>
      </w:rPr>
    </w:lvl>
    <w:lvl w:ilvl="1" w:tplc="0C0A0019" w:tentative="1">
      <w:start w:val="1"/>
      <w:numFmt w:val="lowerLetter"/>
      <w:lvlText w:val="%2."/>
      <w:lvlJc w:val="left"/>
      <w:pPr>
        <w:ind w:left="1298" w:hanging="360"/>
      </w:pPr>
    </w:lvl>
    <w:lvl w:ilvl="2" w:tplc="0C0A001B" w:tentative="1">
      <w:start w:val="1"/>
      <w:numFmt w:val="lowerRoman"/>
      <w:lvlText w:val="%3."/>
      <w:lvlJc w:val="right"/>
      <w:pPr>
        <w:ind w:left="2018" w:hanging="180"/>
      </w:pPr>
    </w:lvl>
    <w:lvl w:ilvl="3" w:tplc="0C0A000F" w:tentative="1">
      <w:start w:val="1"/>
      <w:numFmt w:val="decimal"/>
      <w:lvlText w:val="%4."/>
      <w:lvlJc w:val="left"/>
      <w:pPr>
        <w:ind w:left="2738" w:hanging="360"/>
      </w:pPr>
    </w:lvl>
    <w:lvl w:ilvl="4" w:tplc="0C0A0019" w:tentative="1">
      <w:start w:val="1"/>
      <w:numFmt w:val="lowerLetter"/>
      <w:lvlText w:val="%5."/>
      <w:lvlJc w:val="left"/>
      <w:pPr>
        <w:ind w:left="3458" w:hanging="360"/>
      </w:pPr>
    </w:lvl>
    <w:lvl w:ilvl="5" w:tplc="0C0A001B" w:tentative="1">
      <w:start w:val="1"/>
      <w:numFmt w:val="lowerRoman"/>
      <w:lvlText w:val="%6."/>
      <w:lvlJc w:val="right"/>
      <w:pPr>
        <w:ind w:left="4178" w:hanging="180"/>
      </w:pPr>
    </w:lvl>
    <w:lvl w:ilvl="6" w:tplc="0C0A000F" w:tentative="1">
      <w:start w:val="1"/>
      <w:numFmt w:val="decimal"/>
      <w:lvlText w:val="%7."/>
      <w:lvlJc w:val="left"/>
      <w:pPr>
        <w:ind w:left="4898" w:hanging="360"/>
      </w:pPr>
    </w:lvl>
    <w:lvl w:ilvl="7" w:tplc="0C0A0019" w:tentative="1">
      <w:start w:val="1"/>
      <w:numFmt w:val="lowerLetter"/>
      <w:lvlText w:val="%8."/>
      <w:lvlJc w:val="left"/>
      <w:pPr>
        <w:ind w:left="5618" w:hanging="360"/>
      </w:pPr>
    </w:lvl>
    <w:lvl w:ilvl="8" w:tplc="0C0A001B" w:tentative="1">
      <w:start w:val="1"/>
      <w:numFmt w:val="lowerRoman"/>
      <w:lvlText w:val="%9."/>
      <w:lvlJc w:val="right"/>
      <w:pPr>
        <w:ind w:left="6338" w:hanging="180"/>
      </w:pPr>
    </w:lvl>
  </w:abstractNum>
  <w:abstractNum w:abstractNumId="3" w15:restartNumberingAfterBreak="0">
    <w:nsid w:val="02C44145"/>
    <w:multiLevelType w:val="hybridMultilevel"/>
    <w:tmpl w:val="7F428444"/>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04CE0429"/>
    <w:multiLevelType w:val="hybridMultilevel"/>
    <w:tmpl w:val="F5D2FE38"/>
    <w:lvl w:ilvl="0" w:tplc="0C0A0017">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6" w15:restartNumberingAfterBreak="0">
    <w:nsid w:val="0DF36714"/>
    <w:multiLevelType w:val="hybridMultilevel"/>
    <w:tmpl w:val="0F70A1FA"/>
    <w:lvl w:ilvl="0" w:tplc="0C0A000F">
      <w:start w:val="1"/>
      <w:numFmt w:val="decimal"/>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0E9C2060"/>
    <w:multiLevelType w:val="hybridMultilevel"/>
    <w:tmpl w:val="5FE2D7EE"/>
    <w:lvl w:ilvl="0" w:tplc="240A0019">
      <w:start w:val="1"/>
      <w:numFmt w:val="lowerLetter"/>
      <w:lvlText w:val="%1."/>
      <w:lvlJc w:val="left"/>
      <w:pPr>
        <w:ind w:left="1287" w:hanging="360"/>
      </w:pPr>
    </w:lvl>
    <w:lvl w:ilvl="1" w:tplc="240A0019" w:tentative="1">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8" w15:restartNumberingAfterBreak="0">
    <w:nsid w:val="21B97A4E"/>
    <w:multiLevelType w:val="hybridMultilevel"/>
    <w:tmpl w:val="A5C26F14"/>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9" w15:restartNumberingAfterBreak="0">
    <w:nsid w:val="233554CD"/>
    <w:multiLevelType w:val="hybridMultilevel"/>
    <w:tmpl w:val="ED429B0C"/>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25100DC7"/>
    <w:multiLevelType w:val="hybridMultilevel"/>
    <w:tmpl w:val="51F81D26"/>
    <w:lvl w:ilvl="0" w:tplc="0C0A0017">
      <w:start w:val="1"/>
      <w:numFmt w:val="lowerLetter"/>
      <w:lvlText w:val="%1)"/>
      <w:lvlJc w:val="left"/>
      <w:pPr>
        <w:ind w:left="720" w:hanging="360"/>
      </w:pPr>
      <w:rPr>
        <w:rFonts w:hint="default"/>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26205D51"/>
    <w:multiLevelType w:val="hybridMultilevel"/>
    <w:tmpl w:val="80327FD8"/>
    <w:lvl w:ilvl="0" w:tplc="240A0019">
      <w:start w:val="1"/>
      <w:numFmt w:val="lowerLetter"/>
      <w:lvlText w:val="%1."/>
      <w:lvlJc w:val="left"/>
      <w:pPr>
        <w:ind w:left="720" w:hanging="360"/>
      </w:pPr>
    </w:lvl>
    <w:lvl w:ilvl="1" w:tplc="240A001B">
      <w:start w:val="1"/>
      <w:numFmt w:val="lowerRoman"/>
      <w:lvlText w:val="%2."/>
      <w:lvlJc w:val="righ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27FD506A"/>
    <w:multiLevelType w:val="hybridMultilevel"/>
    <w:tmpl w:val="54E43130"/>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2C323142"/>
    <w:multiLevelType w:val="hybridMultilevel"/>
    <w:tmpl w:val="556225CE"/>
    <w:lvl w:ilvl="0" w:tplc="240A001B">
      <w:start w:val="1"/>
      <w:numFmt w:val="lowerRoman"/>
      <w:lvlText w:val="%1."/>
      <w:lvlJc w:val="right"/>
      <w:pPr>
        <w:ind w:left="927" w:hanging="360"/>
      </w:p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14" w15:restartNumberingAfterBreak="0">
    <w:nsid w:val="338D670D"/>
    <w:multiLevelType w:val="hybridMultilevel"/>
    <w:tmpl w:val="619AD000"/>
    <w:lvl w:ilvl="0" w:tplc="2C8EB58C">
      <w:start w:val="1"/>
      <w:numFmt w:val="lowerLetter"/>
      <w:lvlText w:val="%1."/>
      <w:lvlJc w:val="left"/>
      <w:pPr>
        <w:ind w:left="1068"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3605278E"/>
    <w:multiLevelType w:val="hybridMultilevel"/>
    <w:tmpl w:val="EFD8B7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713188B"/>
    <w:multiLevelType w:val="multilevel"/>
    <w:tmpl w:val="33AA495A"/>
    <w:lvl w:ilvl="0">
      <w:start w:val="2"/>
      <w:numFmt w:val="decimal"/>
      <w:lvlText w:val="%1."/>
      <w:lvlJc w:val="left"/>
      <w:pPr>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7" w15:restartNumberingAfterBreak="0">
    <w:nsid w:val="3E981241"/>
    <w:multiLevelType w:val="multilevel"/>
    <w:tmpl w:val="601ED81A"/>
    <w:lvl w:ilvl="0">
      <w:start w:val="1"/>
      <w:numFmt w:val="decimal"/>
      <w:lvlText w:val="%1."/>
      <w:lvlJc w:val="left"/>
      <w:pPr>
        <w:ind w:left="360" w:hanging="360"/>
      </w:pPr>
      <w:rPr>
        <w:rFonts w:hint="default"/>
      </w:rPr>
    </w:lvl>
    <w:lvl w:ilvl="1">
      <w:start w:val="2"/>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8" w15:restartNumberingAfterBreak="0">
    <w:nsid w:val="3F892648"/>
    <w:multiLevelType w:val="hybridMultilevel"/>
    <w:tmpl w:val="ADDC528C"/>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43706C15"/>
    <w:multiLevelType w:val="hybridMultilevel"/>
    <w:tmpl w:val="839432EC"/>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0" w15:restartNumberingAfterBreak="0">
    <w:nsid w:val="488C7569"/>
    <w:multiLevelType w:val="hybridMultilevel"/>
    <w:tmpl w:val="F7400AF2"/>
    <w:lvl w:ilvl="0" w:tplc="240A0001">
      <w:start w:val="1"/>
      <w:numFmt w:val="bullet"/>
      <w:lvlText w:val=""/>
      <w:lvlJc w:val="left"/>
      <w:pPr>
        <w:ind w:left="795" w:hanging="360"/>
      </w:pPr>
      <w:rPr>
        <w:rFonts w:ascii="Symbol" w:hAnsi="Symbol" w:hint="default"/>
      </w:rPr>
    </w:lvl>
    <w:lvl w:ilvl="1" w:tplc="0C0A0001">
      <w:start w:val="1"/>
      <w:numFmt w:val="bullet"/>
      <w:lvlText w:val=""/>
      <w:lvlJc w:val="left"/>
      <w:pPr>
        <w:ind w:left="1515" w:hanging="360"/>
      </w:pPr>
      <w:rPr>
        <w:rFonts w:ascii="Symbol" w:hAnsi="Symbol" w:hint="default"/>
      </w:rPr>
    </w:lvl>
    <w:lvl w:ilvl="2" w:tplc="240A0005" w:tentative="1">
      <w:start w:val="1"/>
      <w:numFmt w:val="bullet"/>
      <w:lvlText w:val=""/>
      <w:lvlJc w:val="left"/>
      <w:pPr>
        <w:ind w:left="2235" w:hanging="360"/>
      </w:pPr>
      <w:rPr>
        <w:rFonts w:ascii="Wingdings" w:hAnsi="Wingdings" w:hint="default"/>
      </w:rPr>
    </w:lvl>
    <w:lvl w:ilvl="3" w:tplc="240A0001" w:tentative="1">
      <w:start w:val="1"/>
      <w:numFmt w:val="bullet"/>
      <w:lvlText w:val=""/>
      <w:lvlJc w:val="left"/>
      <w:pPr>
        <w:ind w:left="2955" w:hanging="360"/>
      </w:pPr>
      <w:rPr>
        <w:rFonts w:ascii="Symbol" w:hAnsi="Symbol" w:hint="default"/>
      </w:rPr>
    </w:lvl>
    <w:lvl w:ilvl="4" w:tplc="240A0003" w:tentative="1">
      <w:start w:val="1"/>
      <w:numFmt w:val="bullet"/>
      <w:lvlText w:val="o"/>
      <w:lvlJc w:val="left"/>
      <w:pPr>
        <w:ind w:left="3675" w:hanging="360"/>
      </w:pPr>
      <w:rPr>
        <w:rFonts w:ascii="Courier New" w:hAnsi="Courier New" w:cs="Courier New" w:hint="default"/>
      </w:rPr>
    </w:lvl>
    <w:lvl w:ilvl="5" w:tplc="240A0005" w:tentative="1">
      <w:start w:val="1"/>
      <w:numFmt w:val="bullet"/>
      <w:lvlText w:val=""/>
      <w:lvlJc w:val="left"/>
      <w:pPr>
        <w:ind w:left="4395" w:hanging="360"/>
      </w:pPr>
      <w:rPr>
        <w:rFonts w:ascii="Wingdings" w:hAnsi="Wingdings" w:hint="default"/>
      </w:rPr>
    </w:lvl>
    <w:lvl w:ilvl="6" w:tplc="240A0001" w:tentative="1">
      <w:start w:val="1"/>
      <w:numFmt w:val="bullet"/>
      <w:lvlText w:val=""/>
      <w:lvlJc w:val="left"/>
      <w:pPr>
        <w:ind w:left="5115" w:hanging="360"/>
      </w:pPr>
      <w:rPr>
        <w:rFonts w:ascii="Symbol" w:hAnsi="Symbol" w:hint="default"/>
      </w:rPr>
    </w:lvl>
    <w:lvl w:ilvl="7" w:tplc="240A0003" w:tentative="1">
      <w:start w:val="1"/>
      <w:numFmt w:val="bullet"/>
      <w:lvlText w:val="o"/>
      <w:lvlJc w:val="left"/>
      <w:pPr>
        <w:ind w:left="5835" w:hanging="360"/>
      </w:pPr>
      <w:rPr>
        <w:rFonts w:ascii="Courier New" w:hAnsi="Courier New" w:cs="Courier New" w:hint="default"/>
      </w:rPr>
    </w:lvl>
    <w:lvl w:ilvl="8" w:tplc="240A0005" w:tentative="1">
      <w:start w:val="1"/>
      <w:numFmt w:val="bullet"/>
      <w:lvlText w:val=""/>
      <w:lvlJc w:val="left"/>
      <w:pPr>
        <w:ind w:left="6555" w:hanging="360"/>
      </w:pPr>
      <w:rPr>
        <w:rFonts w:ascii="Wingdings" w:hAnsi="Wingdings" w:hint="default"/>
      </w:rPr>
    </w:lvl>
  </w:abstractNum>
  <w:abstractNum w:abstractNumId="21" w15:restartNumberingAfterBreak="0">
    <w:nsid w:val="49BD2712"/>
    <w:multiLevelType w:val="hybridMultilevel"/>
    <w:tmpl w:val="5E24EA3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2" w15:restartNumberingAfterBreak="0">
    <w:nsid w:val="49DB0D2F"/>
    <w:multiLevelType w:val="multilevel"/>
    <w:tmpl w:val="F0CC82C2"/>
    <w:lvl w:ilvl="0">
      <w:start w:val="1"/>
      <w:numFmt w:val="decimal"/>
      <w:lvlText w:val="Artículo %1."/>
      <w:lvlJc w:val="right"/>
      <w:pPr>
        <w:tabs>
          <w:tab w:val="num" w:pos="1721"/>
        </w:tabs>
        <w:ind w:left="0" w:firstLine="1361"/>
      </w:pPr>
      <w:rPr>
        <w:rFonts w:ascii="Bookman Old Style" w:hAnsi="Bookman Old Style" w:cs="Arial" w:hint="default"/>
        <w:b/>
        <w:i w:val="0"/>
        <w:color w:val="auto"/>
        <w:sz w:val="24"/>
        <w:szCs w:val="22"/>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23" w15:restartNumberingAfterBreak="0">
    <w:nsid w:val="4CEC3478"/>
    <w:multiLevelType w:val="hybridMultilevel"/>
    <w:tmpl w:val="97ECA19E"/>
    <w:lvl w:ilvl="0" w:tplc="45808FBC">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4" w15:restartNumberingAfterBreak="0">
    <w:nsid w:val="4FF82EC8"/>
    <w:multiLevelType w:val="hybridMultilevel"/>
    <w:tmpl w:val="F38E3432"/>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524B4D29"/>
    <w:multiLevelType w:val="hybridMultilevel"/>
    <w:tmpl w:val="556225CE"/>
    <w:lvl w:ilvl="0" w:tplc="240A001B">
      <w:start w:val="1"/>
      <w:numFmt w:val="lowerRoman"/>
      <w:lvlText w:val="%1."/>
      <w:lvlJc w:val="right"/>
      <w:pPr>
        <w:ind w:left="927" w:hanging="360"/>
      </w:p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26" w15:restartNumberingAfterBreak="0">
    <w:nsid w:val="545C0AC8"/>
    <w:multiLevelType w:val="hybridMultilevel"/>
    <w:tmpl w:val="BA9A156C"/>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573142DD"/>
    <w:multiLevelType w:val="hybridMultilevel"/>
    <w:tmpl w:val="A15A8124"/>
    <w:lvl w:ilvl="0" w:tplc="5162A2F2">
      <w:start w:val="1"/>
      <w:numFmt w:val="lowerRoman"/>
      <w:lvlText w:val="%1."/>
      <w:lvlJc w:val="righ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B701BA2"/>
    <w:multiLevelType w:val="hybridMultilevel"/>
    <w:tmpl w:val="7BAE5532"/>
    <w:lvl w:ilvl="0" w:tplc="FDAEAC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9" w15:restartNumberingAfterBreak="0">
    <w:nsid w:val="5E510510"/>
    <w:multiLevelType w:val="hybridMultilevel"/>
    <w:tmpl w:val="0BE8FE34"/>
    <w:lvl w:ilvl="0" w:tplc="BA30737E">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30" w15:restartNumberingAfterBreak="0">
    <w:nsid w:val="62505C81"/>
    <w:multiLevelType w:val="hybridMultilevel"/>
    <w:tmpl w:val="F7900FBA"/>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62CD0C41"/>
    <w:multiLevelType w:val="hybridMultilevel"/>
    <w:tmpl w:val="69D48B74"/>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32" w15:restartNumberingAfterBreak="0">
    <w:nsid w:val="68D92CEC"/>
    <w:multiLevelType w:val="hybridMultilevel"/>
    <w:tmpl w:val="2C20241E"/>
    <w:lvl w:ilvl="0" w:tplc="137491D6">
      <w:start w:val="1"/>
      <w:numFmt w:val="lowerRoman"/>
      <w:lvlText w:val="%1)"/>
      <w:lvlJc w:val="left"/>
      <w:pPr>
        <w:ind w:left="1287" w:hanging="720"/>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33" w15:restartNumberingAfterBreak="0">
    <w:nsid w:val="6F420DC0"/>
    <w:multiLevelType w:val="hybridMultilevel"/>
    <w:tmpl w:val="6C24184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4" w15:restartNumberingAfterBreak="0">
    <w:nsid w:val="717B58DE"/>
    <w:multiLevelType w:val="hybridMultilevel"/>
    <w:tmpl w:val="EFD675FE"/>
    <w:lvl w:ilvl="0" w:tplc="C51EC300">
      <w:start w:val="1"/>
      <w:numFmt w:val="lowerLetter"/>
      <w:lvlText w:val="%1)"/>
      <w:lvlJc w:val="left"/>
      <w:pPr>
        <w:tabs>
          <w:tab w:val="num" w:pos="1065"/>
        </w:tabs>
        <w:ind w:left="1065" w:hanging="360"/>
      </w:pPr>
      <w:rPr>
        <w:rFonts w:ascii="Times New Roman" w:hAnsi="Times New Roman" w:hint="default"/>
        <w:sz w:val="22"/>
      </w:rPr>
    </w:lvl>
    <w:lvl w:ilvl="1" w:tplc="D386534A">
      <w:start w:val="1"/>
      <w:numFmt w:val="decimal"/>
      <w:lvlText w:val="%2."/>
      <w:lvlJc w:val="left"/>
      <w:pPr>
        <w:tabs>
          <w:tab w:val="num" w:pos="1785"/>
        </w:tabs>
        <w:ind w:left="1765" w:hanging="340"/>
      </w:pPr>
      <w:rPr>
        <w:rFonts w:ascii="Times New Roman" w:hAnsi="Times New Roman" w:hint="default"/>
        <w:b w:val="0"/>
        <w:i w:val="0"/>
        <w:sz w:val="22"/>
      </w:rPr>
    </w:lvl>
    <w:lvl w:ilvl="2" w:tplc="0C0A001B" w:tentative="1">
      <w:start w:val="1"/>
      <w:numFmt w:val="lowerRoman"/>
      <w:lvlText w:val="%3."/>
      <w:lvlJc w:val="right"/>
      <w:pPr>
        <w:tabs>
          <w:tab w:val="num" w:pos="2505"/>
        </w:tabs>
        <w:ind w:left="2505" w:hanging="180"/>
      </w:pPr>
    </w:lvl>
    <w:lvl w:ilvl="3" w:tplc="0C0A000F" w:tentative="1">
      <w:start w:val="1"/>
      <w:numFmt w:val="decimal"/>
      <w:lvlText w:val="%4."/>
      <w:lvlJc w:val="left"/>
      <w:pPr>
        <w:tabs>
          <w:tab w:val="num" w:pos="3225"/>
        </w:tabs>
        <w:ind w:left="3225" w:hanging="360"/>
      </w:pPr>
    </w:lvl>
    <w:lvl w:ilvl="4" w:tplc="0C0A0019" w:tentative="1">
      <w:start w:val="1"/>
      <w:numFmt w:val="lowerLetter"/>
      <w:lvlText w:val="%5."/>
      <w:lvlJc w:val="left"/>
      <w:pPr>
        <w:tabs>
          <w:tab w:val="num" w:pos="3945"/>
        </w:tabs>
        <w:ind w:left="3945" w:hanging="360"/>
      </w:pPr>
    </w:lvl>
    <w:lvl w:ilvl="5" w:tplc="0C0A001B" w:tentative="1">
      <w:start w:val="1"/>
      <w:numFmt w:val="lowerRoman"/>
      <w:lvlText w:val="%6."/>
      <w:lvlJc w:val="right"/>
      <w:pPr>
        <w:tabs>
          <w:tab w:val="num" w:pos="4665"/>
        </w:tabs>
        <w:ind w:left="4665" w:hanging="180"/>
      </w:pPr>
    </w:lvl>
    <w:lvl w:ilvl="6" w:tplc="0C0A000F" w:tentative="1">
      <w:start w:val="1"/>
      <w:numFmt w:val="decimal"/>
      <w:lvlText w:val="%7."/>
      <w:lvlJc w:val="left"/>
      <w:pPr>
        <w:tabs>
          <w:tab w:val="num" w:pos="5385"/>
        </w:tabs>
        <w:ind w:left="5385" w:hanging="360"/>
      </w:pPr>
    </w:lvl>
    <w:lvl w:ilvl="7" w:tplc="0C0A0019" w:tentative="1">
      <w:start w:val="1"/>
      <w:numFmt w:val="lowerLetter"/>
      <w:lvlText w:val="%8."/>
      <w:lvlJc w:val="left"/>
      <w:pPr>
        <w:tabs>
          <w:tab w:val="num" w:pos="6105"/>
        </w:tabs>
        <w:ind w:left="6105" w:hanging="360"/>
      </w:pPr>
    </w:lvl>
    <w:lvl w:ilvl="8" w:tplc="0C0A001B" w:tentative="1">
      <w:start w:val="1"/>
      <w:numFmt w:val="lowerRoman"/>
      <w:lvlText w:val="%9."/>
      <w:lvlJc w:val="right"/>
      <w:pPr>
        <w:tabs>
          <w:tab w:val="num" w:pos="6825"/>
        </w:tabs>
        <w:ind w:left="6825" w:hanging="180"/>
      </w:pPr>
    </w:lvl>
  </w:abstractNum>
  <w:abstractNum w:abstractNumId="35" w15:restartNumberingAfterBreak="0">
    <w:nsid w:val="74EB3507"/>
    <w:multiLevelType w:val="hybridMultilevel"/>
    <w:tmpl w:val="FBAA3F2A"/>
    <w:lvl w:ilvl="0" w:tplc="17C2BEA2">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6" w15:restartNumberingAfterBreak="0">
    <w:nsid w:val="78D136DC"/>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9417AE2"/>
    <w:multiLevelType w:val="hybridMultilevel"/>
    <w:tmpl w:val="095EE020"/>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8" w15:restartNumberingAfterBreak="0">
    <w:nsid w:val="7AF601F8"/>
    <w:multiLevelType w:val="hybridMultilevel"/>
    <w:tmpl w:val="51F81D26"/>
    <w:lvl w:ilvl="0" w:tplc="0C0A0017">
      <w:start w:val="1"/>
      <w:numFmt w:val="lowerLetter"/>
      <w:lvlText w:val="%1)"/>
      <w:lvlJc w:val="left"/>
      <w:pPr>
        <w:ind w:left="1068" w:hanging="360"/>
      </w:pPr>
      <w:rPr>
        <w:rFonts w:hint="default"/>
        <w:color w:val="auto"/>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39" w15:restartNumberingAfterBreak="0">
    <w:nsid w:val="7B0702F8"/>
    <w:multiLevelType w:val="hybridMultilevel"/>
    <w:tmpl w:val="1A88203E"/>
    <w:lvl w:ilvl="0" w:tplc="240A001B">
      <w:start w:val="1"/>
      <w:numFmt w:val="low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0" w15:restartNumberingAfterBreak="0">
    <w:nsid w:val="7B5D0067"/>
    <w:multiLevelType w:val="hybridMultilevel"/>
    <w:tmpl w:val="60AAD72A"/>
    <w:lvl w:ilvl="0" w:tplc="0C0A0017">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0"/>
  </w:num>
  <w:num w:numId="2">
    <w:abstractNumId w:val="6"/>
  </w:num>
  <w:num w:numId="3">
    <w:abstractNumId w:val="38"/>
  </w:num>
  <w:num w:numId="4">
    <w:abstractNumId w:val="10"/>
  </w:num>
  <w:num w:numId="5">
    <w:abstractNumId w:val="28"/>
  </w:num>
  <w:num w:numId="6">
    <w:abstractNumId w:val="5"/>
  </w:num>
  <w:num w:numId="7">
    <w:abstractNumId w:val="4"/>
  </w:num>
  <w:num w:numId="8">
    <w:abstractNumId w:val="31"/>
  </w:num>
  <w:num w:numId="9">
    <w:abstractNumId w:val="29"/>
  </w:num>
  <w:num w:numId="10">
    <w:abstractNumId w:val="21"/>
  </w:num>
  <w:num w:numId="11">
    <w:abstractNumId w:val="40"/>
  </w:num>
  <w:num w:numId="12">
    <w:abstractNumId w:val="33"/>
  </w:num>
  <w:num w:numId="13">
    <w:abstractNumId w:val="15"/>
  </w:num>
  <w:num w:numId="14">
    <w:abstractNumId w:val="2"/>
  </w:num>
  <w:num w:numId="15">
    <w:abstractNumId w:val="22"/>
  </w:num>
  <w:num w:numId="16">
    <w:abstractNumId w:val="1"/>
  </w:num>
  <w:num w:numId="17">
    <w:abstractNumId w:val="14"/>
  </w:num>
  <w:num w:numId="18">
    <w:abstractNumId w:val="0"/>
  </w:num>
  <w:num w:numId="19">
    <w:abstractNumId w:val="32"/>
  </w:num>
  <w:num w:numId="20">
    <w:abstractNumId w:val="25"/>
  </w:num>
  <w:num w:numId="21">
    <w:abstractNumId w:val="11"/>
  </w:num>
  <w:num w:numId="22">
    <w:abstractNumId w:val="13"/>
  </w:num>
  <w:num w:numId="23">
    <w:abstractNumId w:val="17"/>
  </w:num>
  <w:num w:numId="24">
    <w:abstractNumId w:val="12"/>
  </w:num>
  <w:num w:numId="25">
    <w:abstractNumId w:val="16"/>
  </w:num>
  <w:num w:numId="26">
    <w:abstractNumId w:val="30"/>
  </w:num>
  <w:num w:numId="27">
    <w:abstractNumId w:val="26"/>
  </w:num>
  <w:num w:numId="28">
    <w:abstractNumId w:val="27"/>
  </w:num>
  <w:num w:numId="29">
    <w:abstractNumId w:val="24"/>
  </w:num>
  <w:num w:numId="30">
    <w:abstractNumId w:val="9"/>
  </w:num>
  <w:num w:numId="31">
    <w:abstractNumId w:val="23"/>
  </w:num>
  <w:num w:numId="32">
    <w:abstractNumId w:val="35"/>
  </w:num>
  <w:num w:numId="33">
    <w:abstractNumId w:val="18"/>
  </w:num>
  <w:num w:numId="34">
    <w:abstractNumId w:val="37"/>
  </w:num>
  <w:num w:numId="35">
    <w:abstractNumId w:val="8"/>
  </w:num>
  <w:num w:numId="36">
    <w:abstractNumId w:val="19"/>
  </w:num>
  <w:num w:numId="37">
    <w:abstractNumId w:val="3"/>
  </w:num>
  <w:num w:numId="38">
    <w:abstractNumId w:val="39"/>
  </w:num>
  <w:num w:numId="39">
    <w:abstractNumId w:val="7"/>
  </w:num>
  <w:num w:numId="40">
    <w:abstractNumId w:val="34"/>
  </w:num>
  <w:num w:numId="41">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7340"/>
    <w:rsid w:val="0000172A"/>
    <w:rsid w:val="000044C4"/>
    <w:rsid w:val="00006AE2"/>
    <w:rsid w:val="000076A1"/>
    <w:rsid w:val="000121F8"/>
    <w:rsid w:val="00012259"/>
    <w:rsid w:val="0001352A"/>
    <w:rsid w:val="00016A41"/>
    <w:rsid w:val="00022439"/>
    <w:rsid w:val="00025383"/>
    <w:rsid w:val="000319C0"/>
    <w:rsid w:val="00034EF2"/>
    <w:rsid w:val="0004274D"/>
    <w:rsid w:val="00045633"/>
    <w:rsid w:val="00045D3D"/>
    <w:rsid w:val="00055E67"/>
    <w:rsid w:val="0005675C"/>
    <w:rsid w:val="00063657"/>
    <w:rsid w:val="00067F34"/>
    <w:rsid w:val="00076680"/>
    <w:rsid w:val="00076A1D"/>
    <w:rsid w:val="0008073E"/>
    <w:rsid w:val="00087362"/>
    <w:rsid w:val="00091CDB"/>
    <w:rsid w:val="00093247"/>
    <w:rsid w:val="000953E3"/>
    <w:rsid w:val="000A156F"/>
    <w:rsid w:val="000A19AC"/>
    <w:rsid w:val="000B1B7A"/>
    <w:rsid w:val="000B2EC9"/>
    <w:rsid w:val="000B7A3C"/>
    <w:rsid w:val="000C0498"/>
    <w:rsid w:val="000C28FB"/>
    <w:rsid w:val="000C687E"/>
    <w:rsid w:val="000D0F0F"/>
    <w:rsid w:val="000D26F8"/>
    <w:rsid w:val="000D5294"/>
    <w:rsid w:val="000D6838"/>
    <w:rsid w:val="000D7EAE"/>
    <w:rsid w:val="000E24BB"/>
    <w:rsid w:val="000E4B55"/>
    <w:rsid w:val="00106654"/>
    <w:rsid w:val="0011048E"/>
    <w:rsid w:val="001144A0"/>
    <w:rsid w:val="00124336"/>
    <w:rsid w:val="00132F8E"/>
    <w:rsid w:val="0013526C"/>
    <w:rsid w:val="001405C6"/>
    <w:rsid w:val="00141013"/>
    <w:rsid w:val="00147F08"/>
    <w:rsid w:val="0015638C"/>
    <w:rsid w:val="00176803"/>
    <w:rsid w:val="00192CBF"/>
    <w:rsid w:val="00192FF1"/>
    <w:rsid w:val="001A5F1B"/>
    <w:rsid w:val="001B1C22"/>
    <w:rsid w:val="001B34C6"/>
    <w:rsid w:val="001B3E43"/>
    <w:rsid w:val="001B480F"/>
    <w:rsid w:val="001D14B6"/>
    <w:rsid w:val="001D57D4"/>
    <w:rsid w:val="001D5EF1"/>
    <w:rsid w:val="001D7275"/>
    <w:rsid w:val="001D7832"/>
    <w:rsid w:val="001E3175"/>
    <w:rsid w:val="001F4D7B"/>
    <w:rsid w:val="001F644A"/>
    <w:rsid w:val="002024C0"/>
    <w:rsid w:val="00204A7D"/>
    <w:rsid w:val="00204FBC"/>
    <w:rsid w:val="00210DC1"/>
    <w:rsid w:val="00211D34"/>
    <w:rsid w:val="00214F04"/>
    <w:rsid w:val="00222FA7"/>
    <w:rsid w:val="0022650F"/>
    <w:rsid w:val="00233299"/>
    <w:rsid w:val="002352B9"/>
    <w:rsid w:val="00256229"/>
    <w:rsid w:val="00257699"/>
    <w:rsid w:val="00263FE7"/>
    <w:rsid w:val="00266CD6"/>
    <w:rsid w:val="002673AC"/>
    <w:rsid w:val="00267FB0"/>
    <w:rsid w:val="002722F3"/>
    <w:rsid w:val="00275DAB"/>
    <w:rsid w:val="0028757D"/>
    <w:rsid w:val="002903C0"/>
    <w:rsid w:val="002975C5"/>
    <w:rsid w:val="002A3539"/>
    <w:rsid w:val="002A782A"/>
    <w:rsid w:val="002B11E2"/>
    <w:rsid w:val="002B24B8"/>
    <w:rsid w:val="002B3197"/>
    <w:rsid w:val="002C7C20"/>
    <w:rsid w:val="002D1C38"/>
    <w:rsid w:val="002D3AE9"/>
    <w:rsid w:val="002D4510"/>
    <w:rsid w:val="002E24A5"/>
    <w:rsid w:val="002E3A4C"/>
    <w:rsid w:val="002E6509"/>
    <w:rsid w:val="002E7D0C"/>
    <w:rsid w:val="002F0734"/>
    <w:rsid w:val="002F4127"/>
    <w:rsid w:val="002F46E7"/>
    <w:rsid w:val="002F56A8"/>
    <w:rsid w:val="002F7DF6"/>
    <w:rsid w:val="00305310"/>
    <w:rsid w:val="003101DA"/>
    <w:rsid w:val="003111C3"/>
    <w:rsid w:val="00314638"/>
    <w:rsid w:val="00314757"/>
    <w:rsid w:val="003163BC"/>
    <w:rsid w:val="003211CE"/>
    <w:rsid w:val="003311EF"/>
    <w:rsid w:val="00340D16"/>
    <w:rsid w:val="0034122F"/>
    <w:rsid w:val="00350029"/>
    <w:rsid w:val="0035403A"/>
    <w:rsid w:val="00361FD9"/>
    <w:rsid w:val="0036394B"/>
    <w:rsid w:val="00366DB6"/>
    <w:rsid w:val="003709B5"/>
    <w:rsid w:val="003759C2"/>
    <w:rsid w:val="00381302"/>
    <w:rsid w:val="00383DD3"/>
    <w:rsid w:val="00386E3F"/>
    <w:rsid w:val="00397365"/>
    <w:rsid w:val="003A31F6"/>
    <w:rsid w:val="003A35AF"/>
    <w:rsid w:val="003A62FA"/>
    <w:rsid w:val="003B6EEC"/>
    <w:rsid w:val="003C19CA"/>
    <w:rsid w:val="003C3282"/>
    <w:rsid w:val="003C3447"/>
    <w:rsid w:val="003C351F"/>
    <w:rsid w:val="003D076C"/>
    <w:rsid w:val="003D1212"/>
    <w:rsid w:val="003D630F"/>
    <w:rsid w:val="003E1663"/>
    <w:rsid w:val="003E2034"/>
    <w:rsid w:val="003E4017"/>
    <w:rsid w:val="003E78B5"/>
    <w:rsid w:val="003F2BD5"/>
    <w:rsid w:val="003F373E"/>
    <w:rsid w:val="00404982"/>
    <w:rsid w:val="00415BAB"/>
    <w:rsid w:val="00415ED2"/>
    <w:rsid w:val="0042068C"/>
    <w:rsid w:val="004235AF"/>
    <w:rsid w:val="004237FD"/>
    <w:rsid w:val="00434056"/>
    <w:rsid w:val="00434919"/>
    <w:rsid w:val="00441D45"/>
    <w:rsid w:val="0044318E"/>
    <w:rsid w:val="004437B0"/>
    <w:rsid w:val="00443B35"/>
    <w:rsid w:val="004478DE"/>
    <w:rsid w:val="004522CC"/>
    <w:rsid w:val="00462DA8"/>
    <w:rsid w:val="00466B37"/>
    <w:rsid w:val="0047122B"/>
    <w:rsid w:val="0047127F"/>
    <w:rsid w:val="00473B7A"/>
    <w:rsid w:val="0047772F"/>
    <w:rsid w:val="004811A7"/>
    <w:rsid w:val="004851C6"/>
    <w:rsid w:val="004960E9"/>
    <w:rsid w:val="004A1517"/>
    <w:rsid w:val="004A2E88"/>
    <w:rsid w:val="004A5305"/>
    <w:rsid w:val="004C2BCD"/>
    <w:rsid w:val="004C7E5C"/>
    <w:rsid w:val="004D0880"/>
    <w:rsid w:val="004D7634"/>
    <w:rsid w:val="004E0731"/>
    <w:rsid w:val="004E18E1"/>
    <w:rsid w:val="004E511B"/>
    <w:rsid w:val="004E58D5"/>
    <w:rsid w:val="004E611A"/>
    <w:rsid w:val="004F018B"/>
    <w:rsid w:val="004F117D"/>
    <w:rsid w:val="004F1374"/>
    <w:rsid w:val="004F32E5"/>
    <w:rsid w:val="004F6460"/>
    <w:rsid w:val="004F79D1"/>
    <w:rsid w:val="00503A68"/>
    <w:rsid w:val="00506775"/>
    <w:rsid w:val="005077BF"/>
    <w:rsid w:val="0052183B"/>
    <w:rsid w:val="005300D3"/>
    <w:rsid w:val="0054144C"/>
    <w:rsid w:val="00542A10"/>
    <w:rsid w:val="00544F82"/>
    <w:rsid w:val="005509D2"/>
    <w:rsid w:val="00557412"/>
    <w:rsid w:val="0056414C"/>
    <w:rsid w:val="00565190"/>
    <w:rsid w:val="00574A05"/>
    <w:rsid w:val="0058205F"/>
    <w:rsid w:val="00584945"/>
    <w:rsid w:val="00584AE2"/>
    <w:rsid w:val="005932B2"/>
    <w:rsid w:val="00593C4F"/>
    <w:rsid w:val="005946A8"/>
    <w:rsid w:val="005A067A"/>
    <w:rsid w:val="005A19C5"/>
    <w:rsid w:val="005A4407"/>
    <w:rsid w:val="005A59EF"/>
    <w:rsid w:val="005B17FB"/>
    <w:rsid w:val="005B1C7E"/>
    <w:rsid w:val="005B26C0"/>
    <w:rsid w:val="005C14B9"/>
    <w:rsid w:val="005C4C4B"/>
    <w:rsid w:val="005C570E"/>
    <w:rsid w:val="005C6976"/>
    <w:rsid w:val="005E0A23"/>
    <w:rsid w:val="005E6CA3"/>
    <w:rsid w:val="005F6F41"/>
    <w:rsid w:val="0061545E"/>
    <w:rsid w:val="00625D1A"/>
    <w:rsid w:val="00625DC6"/>
    <w:rsid w:val="00631C09"/>
    <w:rsid w:val="006368B3"/>
    <w:rsid w:val="00640689"/>
    <w:rsid w:val="00641CF1"/>
    <w:rsid w:val="0064391D"/>
    <w:rsid w:val="0065142A"/>
    <w:rsid w:val="00651821"/>
    <w:rsid w:val="00654384"/>
    <w:rsid w:val="00657A23"/>
    <w:rsid w:val="006675CD"/>
    <w:rsid w:val="00676752"/>
    <w:rsid w:val="006800AB"/>
    <w:rsid w:val="00681C5A"/>
    <w:rsid w:val="00684D9B"/>
    <w:rsid w:val="0068510A"/>
    <w:rsid w:val="00691658"/>
    <w:rsid w:val="00697556"/>
    <w:rsid w:val="006B4647"/>
    <w:rsid w:val="006B4C2B"/>
    <w:rsid w:val="006B6194"/>
    <w:rsid w:val="006B6D47"/>
    <w:rsid w:val="006C3FDE"/>
    <w:rsid w:val="006C5AFE"/>
    <w:rsid w:val="006D1304"/>
    <w:rsid w:val="006D16F6"/>
    <w:rsid w:val="006F2EC8"/>
    <w:rsid w:val="006F396C"/>
    <w:rsid w:val="006F68C2"/>
    <w:rsid w:val="006F6D95"/>
    <w:rsid w:val="00706F13"/>
    <w:rsid w:val="0070721D"/>
    <w:rsid w:val="007072E8"/>
    <w:rsid w:val="00711886"/>
    <w:rsid w:val="0071618D"/>
    <w:rsid w:val="00725FA4"/>
    <w:rsid w:val="00726C7B"/>
    <w:rsid w:val="00740446"/>
    <w:rsid w:val="00742A7D"/>
    <w:rsid w:val="007438A9"/>
    <w:rsid w:val="00744505"/>
    <w:rsid w:val="0074491E"/>
    <w:rsid w:val="007458A8"/>
    <w:rsid w:val="00750328"/>
    <w:rsid w:val="0075068F"/>
    <w:rsid w:val="0075162D"/>
    <w:rsid w:val="00754A3A"/>
    <w:rsid w:val="007554BB"/>
    <w:rsid w:val="007577BA"/>
    <w:rsid w:val="00760595"/>
    <w:rsid w:val="0076247A"/>
    <w:rsid w:val="00762B4E"/>
    <w:rsid w:val="00763970"/>
    <w:rsid w:val="00765A05"/>
    <w:rsid w:val="007710A7"/>
    <w:rsid w:val="00771C02"/>
    <w:rsid w:val="007728E7"/>
    <w:rsid w:val="00775964"/>
    <w:rsid w:val="007765FE"/>
    <w:rsid w:val="00776EA6"/>
    <w:rsid w:val="0078457B"/>
    <w:rsid w:val="00787EDB"/>
    <w:rsid w:val="007942FD"/>
    <w:rsid w:val="00794E2E"/>
    <w:rsid w:val="00795BFB"/>
    <w:rsid w:val="007A1231"/>
    <w:rsid w:val="007A440E"/>
    <w:rsid w:val="007A4F22"/>
    <w:rsid w:val="007B2760"/>
    <w:rsid w:val="007C6291"/>
    <w:rsid w:val="007C7759"/>
    <w:rsid w:val="007D3F94"/>
    <w:rsid w:val="007E3DC8"/>
    <w:rsid w:val="007E60FF"/>
    <w:rsid w:val="007E6428"/>
    <w:rsid w:val="007E7E38"/>
    <w:rsid w:val="007F14A0"/>
    <w:rsid w:val="008056E6"/>
    <w:rsid w:val="00806C01"/>
    <w:rsid w:val="00806D26"/>
    <w:rsid w:val="00806D59"/>
    <w:rsid w:val="008148CC"/>
    <w:rsid w:val="008211A4"/>
    <w:rsid w:val="0083787A"/>
    <w:rsid w:val="00840F76"/>
    <w:rsid w:val="00842ABB"/>
    <w:rsid w:val="0084693A"/>
    <w:rsid w:val="008477F7"/>
    <w:rsid w:val="00873150"/>
    <w:rsid w:val="00875166"/>
    <w:rsid w:val="0087657D"/>
    <w:rsid w:val="008807D5"/>
    <w:rsid w:val="00880832"/>
    <w:rsid w:val="008828AF"/>
    <w:rsid w:val="0088532D"/>
    <w:rsid w:val="00886EE1"/>
    <w:rsid w:val="0088727D"/>
    <w:rsid w:val="00897C75"/>
    <w:rsid w:val="008A08EB"/>
    <w:rsid w:val="008A21E1"/>
    <w:rsid w:val="008A254E"/>
    <w:rsid w:val="008A448B"/>
    <w:rsid w:val="008B42C6"/>
    <w:rsid w:val="008B5914"/>
    <w:rsid w:val="008C1130"/>
    <w:rsid w:val="008D079D"/>
    <w:rsid w:val="008D18E6"/>
    <w:rsid w:val="008D2774"/>
    <w:rsid w:val="008D30D1"/>
    <w:rsid w:val="008D3690"/>
    <w:rsid w:val="008D6D5A"/>
    <w:rsid w:val="008D7A9B"/>
    <w:rsid w:val="008E0060"/>
    <w:rsid w:val="008E7091"/>
    <w:rsid w:val="008E76AC"/>
    <w:rsid w:val="008F0CD4"/>
    <w:rsid w:val="008F21F6"/>
    <w:rsid w:val="008F2E10"/>
    <w:rsid w:val="00902467"/>
    <w:rsid w:val="009153DC"/>
    <w:rsid w:val="0093028B"/>
    <w:rsid w:val="00937097"/>
    <w:rsid w:val="00942CC9"/>
    <w:rsid w:val="00951F79"/>
    <w:rsid w:val="0095620A"/>
    <w:rsid w:val="00956C7A"/>
    <w:rsid w:val="00957E53"/>
    <w:rsid w:val="00960027"/>
    <w:rsid w:val="00971750"/>
    <w:rsid w:val="00974AB5"/>
    <w:rsid w:val="0098706D"/>
    <w:rsid w:val="00990A80"/>
    <w:rsid w:val="009935FB"/>
    <w:rsid w:val="00996CD7"/>
    <w:rsid w:val="009A25E2"/>
    <w:rsid w:val="009A5E1E"/>
    <w:rsid w:val="009B26AA"/>
    <w:rsid w:val="009B649C"/>
    <w:rsid w:val="009C5924"/>
    <w:rsid w:val="009D294D"/>
    <w:rsid w:val="009E42C7"/>
    <w:rsid w:val="009F4A54"/>
    <w:rsid w:val="009F4BEC"/>
    <w:rsid w:val="009F5874"/>
    <w:rsid w:val="00A021DE"/>
    <w:rsid w:val="00A021EC"/>
    <w:rsid w:val="00A03496"/>
    <w:rsid w:val="00A17396"/>
    <w:rsid w:val="00A213E3"/>
    <w:rsid w:val="00A25FD7"/>
    <w:rsid w:val="00A34C39"/>
    <w:rsid w:val="00A43AFF"/>
    <w:rsid w:val="00A43C62"/>
    <w:rsid w:val="00A54F82"/>
    <w:rsid w:val="00A5534B"/>
    <w:rsid w:val="00A5574E"/>
    <w:rsid w:val="00A5778C"/>
    <w:rsid w:val="00A76152"/>
    <w:rsid w:val="00A7793A"/>
    <w:rsid w:val="00AA4CC7"/>
    <w:rsid w:val="00AA5E8E"/>
    <w:rsid w:val="00AA647B"/>
    <w:rsid w:val="00AB2BAD"/>
    <w:rsid w:val="00AB3304"/>
    <w:rsid w:val="00AB6CA7"/>
    <w:rsid w:val="00AD01E4"/>
    <w:rsid w:val="00AD0858"/>
    <w:rsid w:val="00AE02E3"/>
    <w:rsid w:val="00AE0497"/>
    <w:rsid w:val="00AE7340"/>
    <w:rsid w:val="00AF1BBD"/>
    <w:rsid w:val="00AF3BD8"/>
    <w:rsid w:val="00B00410"/>
    <w:rsid w:val="00B044C2"/>
    <w:rsid w:val="00B06DBE"/>
    <w:rsid w:val="00B10207"/>
    <w:rsid w:val="00B141E7"/>
    <w:rsid w:val="00B150F3"/>
    <w:rsid w:val="00B17766"/>
    <w:rsid w:val="00B31275"/>
    <w:rsid w:val="00B351B4"/>
    <w:rsid w:val="00B42004"/>
    <w:rsid w:val="00B46BCA"/>
    <w:rsid w:val="00B478AA"/>
    <w:rsid w:val="00B52915"/>
    <w:rsid w:val="00B60072"/>
    <w:rsid w:val="00B82A85"/>
    <w:rsid w:val="00B84F10"/>
    <w:rsid w:val="00B87806"/>
    <w:rsid w:val="00B87EC9"/>
    <w:rsid w:val="00BA2637"/>
    <w:rsid w:val="00BA31B8"/>
    <w:rsid w:val="00BB6FD1"/>
    <w:rsid w:val="00BC1C6E"/>
    <w:rsid w:val="00BC38FD"/>
    <w:rsid w:val="00BC4387"/>
    <w:rsid w:val="00BE2558"/>
    <w:rsid w:val="00C02CB9"/>
    <w:rsid w:val="00C0320D"/>
    <w:rsid w:val="00C034CB"/>
    <w:rsid w:val="00C04FB7"/>
    <w:rsid w:val="00C051A8"/>
    <w:rsid w:val="00C054BC"/>
    <w:rsid w:val="00C17897"/>
    <w:rsid w:val="00C17990"/>
    <w:rsid w:val="00C20D63"/>
    <w:rsid w:val="00C32245"/>
    <w:rsid w:val="00C3362F"/>
    <w:rsid w:val="00C409D5"/>
    <w:rsid w:val="00C435C3"/>
    <w:rsid w:val="00C44E5F"/>
    <w:rsid w:val="00C471D7"/>
    <w:rsid w:val="00C51B7C"/>
    <w:rsid w:val="00C5271E"/>
    <w:rsid w:val="00C60FF0"/>
    <w:rsid w:val="00C6159A"/>
    <w:rsid w:val="00C6234B"/>
    <w:rsid w:val="00C639F9"/>
    <w:rsid w:val="00C63EAE"/>
    <w:rsid w:val="00C73260"/>
    <w:rsid w:val="00C7629F"/>
    <w:rsid w:val="00C85717"/>
    <w:rsid w:val="00C8661B"/>
    <w:rsid w:val="00C915C9"/>
    <w:rsid w:val="00CA03C8"/>
    <w:rsid w:val="00CA139A"/>
    <w:rsid w:val="00CA2899"/>
    <w:rsid w:val="00CA3A3D"/>
    <w:rsid w:val="00CA3AA6"/>
    <w:rsid w:val="00CA5344"/>
    <w:rsid w:val="00CA77FB"/>
    <w:rsid w:val="00CB379B"/>
    <w:rsid w:val="00CB5DD0"/>
    <w:rsid w:val="00CC51D4"/>
    <w:rsid w:val="00CC65DA"/>
    <w:rsid w:val="00CC73E5"/>
    <w:rsid w:val="00CD004A"/>
    <w:rsid w:val="00CD0626"/>
    <w:rsid w:val="00CD1B6D"/>
    <w:rsid w:val="00CD1D64"/>
    <w:rsid w:val="00CD737B"/>
    <w:rsid w:val="00CF21B9"/>
    <w:rsid w:val="00CF3D66"/>
    <w:rsid w:val="00CF6BF9"/>
    <w:rsid w:val="00CF7735"/>
    <w:rsid w:val="00D03800"/>
    <w:rsid w:val="00D065D3"/>
    <w:rsid w:val="00D06C02"/>
    <w:rsid w:val="00D14C94"/>
    <w:rsid w:val="00D167AF"/>
    <w:rsid w:val="00D178D4"/>
    <w:rsid w:val="00D342A6"/>
    <w:rsid w:val="00D3596D"/>
    <w:rsid w:val="00D35A92"/>
    <w:rsid w:val="00D37D6C"/>
    <w:rsid w:val="00D37DEC"/>
    <w:rsid w:val="00D41AD8"/>
    <w:rsid w:val="00D45CA6"/>
    <w:rsid w:val="00D464BF"/>
    <w:rsid w:val="00D46A14"/>
    <w:rsid w:val="00D52369"/>
    <w:rsid w:val="00D53E26"/>
    <w:rsid w:val="00D603A8"/>
    <w:rsid w:val="00D74DCF"/>
    <w:rsid w:val="00D80F4B"/>
    <w:rsid w:val="00D867DB"/>
    <w:rsid w:val="00DB03E3"/>
    <w:rsid w:val="00DB182C"/>
    <w:rsid w:val="00DB4DF2"/>
    <w:rsid w:val="00DC1ADD"/>
    <w:rsid w:val="00DC532D"/>
    <w:rsid w:val="00DD2787"/>
    <w:rsid w:val="00DD4F0E"/>
    <w:rsid w:val="00DE2EA4"/>
    <w:rsid w:val="00DE6730"/>
    <w:rsid w:val="00DE7E37"/>
    <w:rsid w:val="00DF0BF0"/>
    <w:rsid w:val="00DF3CA2"/>
    <w:rsid w:val="00E01463"/>
    <w:rsid w:val="00E01799"/>
    <w:rsid w:val="00E03DE6"/>
    <w:rsid w:val="00E05E0A"/>
    <w:rsid w:val="00E060BE"/>
    <w:rsid w:val="00E06196"/>
    <w:rsid w:val="00E3748D"/>
    <w:rsid w:val="00E534CF"/>
    <w:rsid w:val="00E610F6"/>
    <w:rsid w:val="00E615CA"/>
    <w:rsid w:val="00E81CB4"/>
    <w:rsid w:val="00E8585B"/>
    <w:rsid w:val="00E85F7E"/>
    <w:rsid w:val="00E87F41"/>
    <w:rsid w:val="00E92DF5"/>
    <w:rsid w:val="00E93CC4"/>
    <w:rsid w:val="00EA3F15"/>
    <w:rsid w:val="00EA45CE"/>
    <w:rsid w:val="00EA6BF8"/>
    <w:rsid w:val="00EA7847"/>
    <w:rsid w:val="00EB4B0F"/>
    <w:rsid w:val="00EB4C2F"/>
    <w:rsid w:val="00ED4F40"/>
    <w:rsid w:val="00EE2E6E"/>
    <w:rsid w:val="00EE315E"/>
    <w:rsid w:val="00EE3E67"/>
    <w:rsid w:val="00EF25A4"/>
    <w:rsid w:val="00F0759E"/>
    <w:rsid w:val="00F14FB2"/>
    <w:rsid w:val="00F16A43"/>
    <w:rsid w:val="00F23026"/>
    <w:rsid w:val="00F25787"/>
    <w:rsid w:val="00F4104B"/>
    <w:rsid w:val="00F44458"/>
    <w:rsid w:val="00F44ED7"/>
    <w:rsid w:val="00F46780"/>
    <w:rsid w:val="00F701F0"/>
    <w:rsid w:val="00F762DB"/>
    <w:rsid w:val="00F77D2D"/>
    <w:rsid w:val="00F77D4E"/>
    <w:rsid w:val="00F80689"/>
    <w:rsid w:val="00F821A3"/>
    <w:rsid w:val="00F92F53"/>
    <w:rsid w:val="00F9314A"/>
    <w:rsid w:val="00F940B2"/>
    <w:rsid w:val="00F948C1"/>
    <w:rsid w:val="00FB2444"/>
    <w:rsid w:val="00FC0EBF"/>
    <w:rsid w:val="00FC3C88"/>
    <w:rsid w:val="00FC4CC5"/>
    <w:rsid w:val="00FC58EF"/>
    <w:rsid w:val="00FD33DF"/>
    <w:rsid w:val="00FD3765"/>
    <w:rsid w:val="00FE2AD8"/>
    <w:rsid w:val="00FE39D7"/>
    <w:rsid w:val="00FE3DD5"/>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24048C7B"/>
  <w15:docId w15:val="{DD37A7C1-8B87-40B8-A16A-46F7BC99D9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customStyle="1" w:styleId="Ttulo10">
    <w:name w:val="Título1"/>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10"/>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customStyle="1" w:styleId="Epgrafe1">
    <w:name w:val="Epígrafe1"/>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6"/>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character" w:styleId="Textodelmarcadordeposicin">
    <w:name w:val="Placeholder Text"/>
    <w:basedOn w:val="Fuentedeprrafopredeter"/>
    <w:uiPriority w:val="99"/>
    <w:semiHidden/>
    <w:rsid w:val="00176803"/>
    <w:rPr>
      <w:color w:val="808080"/>
    </w:rPr>
  </w:style>
  <w:style w:type="character" w:styleId="Refdecomentario">
    <w:name w:val="annotation reference"/>
    <w:basedOn w:val="Fuentedeprrafopredeter"/>
    <w:uiPriority w:val="99"/>
    <w:semiHidden/>
    <w:unhideWhenUsed/>
    <w:rsid w:val="001B480F"/>
    <w:rPr>
      <w:sz w:val="16"/>
      <w:szCs w:val="16"/>
    </w:rPr>
  </w:style>
  <w:style w:type="paragraph" w:styleId="Textocomentario">
    <w:name w:val="annotation text"/>
    <w:basedOn w:val="Normal"/>
    <w:link w:val="TextocomentarioCar"/>
    <w:uiPriority w:val="99"/>
    <w:semiHidden/>
    <w:unhideWhenUsed/>
    <w:rsid w:val="001B480F"/>
    <w:rPr>
      <w:sz w:val="20"/>
      <w:szCs w:val="20"/>
    </w:rPr>
  </w:style>
  <w:style w:type="character" w:customStyle="1" w:styleId="TextocomentarioCar">
    <w:name w:val="Texto comentario Car"/>
    <w:basedOn w:val="Fuentedeprrafopredeter"/>
    <w:link w:val="Textocomentario"/>
    <w:uiPriority w:val="99"/>
    <w:semiHidden/>
    <w:rsid w:val="001B480F"/>
    <w:rPr>
      <w:lang w:val="es-ES" w:eastAsia="es-ES"/>
    </w:rPr>
  </w:style>
  <w:style w:type="paragraph" w:styleId="Asuntodelcomentario">
    <w:name w:val="annotation subject"/>
    <w:basedOn w:val="Textocomentario"/>
    <w:next w:val="Textocomentario"/>
    <w:link w:val="AsuntodelcomentarioCar"/>
    <w:uiPriority w:val="99"/>
    <w:semiHidden/>
    <w:unhideWhenUsed/>
    <w:rsid w:val="001B480F"/>
    <w:rPr>
      <w:b/>
      <w:bCs/>
    </w:rPr>
  </w:style>
  <w:style w:type="character" w:customStyle="1" w:styleId="AsuntodelcomentarioCar">
    <w:name w:val="Asunto del comentario Car"/>
    <w:basedOn w:val="TextocomentarioCar"/>
    <w:link w:val="Asuntodelcomentario"/>
    <w:uiPriority w:val="99"/>
    <w:semiHidden/>
    <w:rsid w:val="001B480F"/>
    <w:rPr>
      <w:b/>
      <w:bCs/>
      <w:lang w:val="es-ES" w:eastAsia="es-ES"/>
    </w:rPr>
  </w:style>
  <w:style w:type="character" w:styleId="Hipervnculo">
    <w:name w:val="Hyperlink"/>
    <w:basedOn w:val="Fuentedeprrafopredeter"/>
    <w:uiPriority w:val="99"/>
    <w:semiHidden/>
    <w:unhideWhenUsed/>
    <w:rsid w:val="005C14B9"/>
    <w:rPr>
      <w:strike w:val="0"/>
      <w:dstrike w:val="0"/>
      <w:color w:val="389ED1"/>
      <w:u w:val="none"/>
      <w:effect w:val="none"/>
    </w:rPr>
  </w:style>
  <w:style w:type="paragraph" w:styleId="NormalWeb">
    <w:name w:val="Normal (Web)"/>
    <w:basedOn w:val="Normal"/>
    <w:uiPriority w:val="99"/>
    <w:semiHidden/>
    <w:unhideWhenUsed/>
    <w:rsid w:val="005C14B9"/>
    <w:pPr>
      <w:spacing w:before="100" w:beforeAutospacing="1" w:after="100" w:afterAutospacing="1" w:line="270" w:lineRule="atLeast"/>
      <w:ind w:left="0"/>
      <w:jc w:val="both"/>
    </w:pPr>
    <w:rPr>
      <w:rFonts w:ascii="Arial" w:hAnsi="Arial" w:cs="Arial"/>
      <w:lang w:val="es-CO" w:eastAsia="es-CO"/>
    </w:rPr>
  </w:style>
  <w:style w:type="character" w:customStyle="1" w:styleId="baj1">
    <w:name w:val="b_aj1"/>
    <w:basedOn w:val="Fuentedeprrafopredeter"/>
    <w:rsid w:val="005C14B9"/>
    <w:rPr>
      <w:b/>
      <w:bCs/>
      <w:color w:val="000000"/>
    </w:rPr>
  </w:style>
  <w:style w:type="paragraph" w:styleId="Revisin">
    <w:name w:val="Revision"/>
    <w:hidden/>
    <w:uiPriority w:val="99"/>
    <w:semiHidden/>
    <w:rsid w:val="007E3DC8"/>
    <w:rPr>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6063906">
      <w:bodyDiv w:val="1"/>
      <w:marLeft w:val="0"/>
      <w:marRight w:val="0"/>
      <w:marTop w:val="0"/>
      <w:marBottom w:val="0"/>
      <w:divBdr>
        <w:top w:val="none" w:sz="0" w:space="0" w:color="auto"/>
        <w:left w:val="none" w:sz="0" w:space="0" w:color="auto"/>
        <w:bottom w:val="none" w:sz="0" w:space="0" w:color="auto"/>
        <w:right w:val="none" w:sz="0" w:space="0" w:color="auto"/>
      </w:divBdr>
    </w:div>
    <w:div w:id="301154534">
      <w:bodyDiv w:val="1"/>
      <w:marLeft w:val="0"/>
      <w:marRight w:val="0"/>
      <w:marTop w:val="0"/>
      <w:marBottom w:val="0"/>
      <w:divBdr>
        <w:top w:val="none" w:sz="0" w:space="0" w:color="auto"/>
        <w:left w:val="none" w:sz="0" w:space="0" w:color="auto"/>
        <w:bottom w:val="none" w:sz="0" w:space="0" w:color="auto"/>
        <w:right w:val="none" w:sz="0" w:space="0" w:color="auto"/>
      </w:divBdr>
    </w:div>
    <w:div w:id="1101219017">
      <w:bodyDiv w:val="1"/>
      <w:marLeft w:val="0"/>
      <w:marRight w:val="0"/>
      <w:marTop w:val="0"/>
      <w:marBottom w:val="0"/>
      <w:divBdr>
        <w:top w:val="none" w:sz="0" w:space="0" w:color="auto"/>
        <w:left w:val="none" w:sz="0" w:space="0" w:color="auto"/>
        <w:bottom w:val="none" w:sz="0" w:space="0" w:color="auto"/>
        <w:right w:val="none" w:sz="0" w:space="0" w:color="auto"/>
      </w:divBdr>
    </w:div>
    <w:div w:id="1474717254">
      <w:bodyDiv w:val="1"/>
      <w:marLeft w:val="0"/>
      <w:marRight w:val="0"/>
      <w:marTop w:val="0"/>
      <w:marBottom w:val="0"/>
      <w:divBdr>
        <w:top w:val="none" w:sz="0" w:space="0" w:color="auto"/>
        <w:left w:val="none" w:sz="0" w:space="0" w:color="auto"/>
        <w:bottom w:val="none" w:sz="0" w:space="0" w:color="auto"/>
        <w:right w:val="none" w:sz="0" w:space="0" w:color="auto"/>
      </w:divBdr>
    </w:div>
    <w:div w:id="1777096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normograma.info/normogramacreg2/docs/resolucion_creg_0020_1996.htm"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normograma.info/normogramacreg2/docs/resolucion_creg_0020_1996.ht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creg@creg.gov.co"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1954B9-D9C5-4B7A-8DC1-510210BF35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1</TotalTime>
  <Pages>6</Pages>
  <Words>1992</Words>
  <Characters>10575</Characters>
  <Application>Microsoft Office Word</Application>
  <DocSecurity>0</DocSecurity>
  <Lines>88</Lines>
  <Paragraphs>25</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12542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LSROJAS</dc:creator>
  <cp:keywords/>
  <dc:description/>
  <cp:lastModifiedBy>Luz Stella Rojas Macias</cp:lastModifiedBy>
  <cp:revision>2</cp:revision>
  <cp:lastPrinted>2018-05-23T23:05:00Z</cp:lastPrinted>
  <dcterms:created xsi:type="dcterms:W3CDTF">2019-07-09T17:03:00Z</dcterms:created>
  <dcterms:modified xsi:type="dcterms:W3CDTF">2019-07-09T17:03:00Z</dcterms:modified>
</cp:coreProperties>
</file>