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F98D3" w14:textId="77777777" w:rsidR="00625DC6" w:rsidRPr="00EF36A0" w:rsidRDefault="00B4212D" w:rsidP="00B43DFD">
      <w:pPr>
        <w:pStyle w:val="Ttulo1"/>
      </w:pPr>
      <w:bookmarkStart w:id="0" w:name="_GoBack"/>
      <w:bookmarkEnd w:id="0"/>
      <w:r>
        <w:rPr>
          <w:noProof/>
          <w:lang w:eastAsia="es-ES"/>
        </w:rPr>
        <w:object w:dxaOrig="1440" w:dyaOrig="1440" w14:anchorId="73AC6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2096" fillcolor="#0c9">
            <v:imagedata r:id="rId8" o:title=""/>
          </v:shape>
          <o:OLEObject Type="Embed" ProgID="PBrush" ShapeID="_x0000_s1026" DrawAspect="Content" ObjectID="_1576568426" r:id="rId9"/>
        </w:object>
      </w:r>
      <w:r w:rsidR="00E4514D" w:rsidRPr="00EF36A0">
        <w:t xml:space="preserve">                                                </w:t>
      </w:r>
    </w:p>
    <w:p w14:paraId="19B6A614" w14:textId="77777777" w:rsidR="00CA77FB" w:rsidRPr="00EF36A0" w:rsidRDefault="00CA77FB" w:rsidP="00E22F2E">
      <w:pPr>
        <w:pStyle w:val="Ttulo4"/>
        <w:tabs>
          <w:tab w:val="left" w:pos="0"/>
          <w:tab w:val="right" w:pos="9356"/>
        </w:tabs>
        <w:ind w:left="0"/>
        <w:rPr>
          <w:rFonts w:ascii="Bookman Old Style" w:hAnsi="Bookman Old Style"/>
          <w:b w:val="0"/>
          <w:bCs/>
          <w:noProof/>
          <w:sz w:val="24"/>
          <w:szCs w:val="24"/>
          <w:lang w:val="es-ES"/>
        </w:rPr>
      </w:pPr>
      <w:r w:rsidRPr="00EF36A0">
        <w:rPr>
          <w:rFonts w:ascii="Bookman Old Style" w:hAnsi="Bookman Old Style"/>
          <w:b w:val="0"/>
          <w:bCs/>
          <w:sz w:val="24"/>
          <w:szCs w:val="24"/>
        </w:rPr>
        <w:t>Ministerio de Minas y Energía</w:t>
      </w:r>
    </w:p>
    <w:p w14:paraId="0F0E156D" w14:textId="77777777" w:rsidR="00CA77FB" w:rsidRPr="00EF36A0" w:rsidRDefault="00CA77FB" w:rsidP="008E2390"/>
    <w:p w14:paraId="2A58A701" w14:textId="77777777" w:rsidR="00CA77FB" w:rsidRPr="00EF36A0" w:rsidRDefault="00CA77FB" w:rsidP="00E22F2E">
      <w:pPr>
        <w:pStyle w:val="Ttulo3"/>
        <w:tabs>
          <w:tab w:val="left" w:pos="0"/>
          <w:tab w:val="right" w:pos="9356"/>
        </w:tabs>
        <w:ind w:left="0"/>
        <w:rPr>
          <w:rFonts w:ascii="Bookman Old Style" w:hAnsi="Bookman Old Style" w:cs="Arial"/>
          <w:spacing w:val="20"/>
          <w:szCs w:val="24"/>
        </w:rPr>
      </w:pPr>
      <w:r w:rsidRPr="00EF36A0">
        <w:rPr>
          <w:rFonts w:ascii="Bookman Old Style" w:hAnsi="Bookman Old Style" w:cs="Arial"/>
          <w:spacing w:val="20"/>
          <w:szCs w:val="24"/>
        </w:rPr>
        <w:t>COMISIÓN DE REGULACIÓN DE ENERGÍA Y GAS</w:t>
      </w:r>
    </w:p>
    <w:p w14:paraId="260B91E1" w14:textId="77777777" w:rsidR="00CA77FB" w:rsidRPr="00EF36A0" w:rsidRDefault="00CA77FB" w:rsidP="00E22F2E">
      <w:pPr>
        <w:pStyle w:val="Ttulo5"/>
        <w:tabs>
          <w:tab w:val="left" w:pos="0"/>
          <w:tab w:val="right" w:pos="9356"/>
        </w:tabs>
        <w:ind w:left="0"/>
        <w:rPr>
          <w:rFonts w:ascii="Bookman Old Style" w:hAnsi="Bookman Old Style"/>
          <w:sz w:val="24"/>
          <w:szCs w:val="24"/>
        </w:rPr>
      </w:pPr>
    </w:p>
    <w:p w14:paraId="24E82747" w14:textId="77777777" w:rsidR="00CA77FB" w:rsidRPr="00EF36A0" w:rsidRDefault="00CA77FB" w:rsidP="00E22F2E">
      <w:pPr>
        <w:pStyle w:val="Ttulo5"/>
        <w:tabs>
          <w:tab w:val="left" w:pos="0"/>
          <w:tab w:val="right" w:pos="9356"/>
        </w:tabs>
        <w:ind w:left="0"/>
        <w:rPr>
          <w:rFonts w:ascii="Bookman Old Style" w:hAnsi="Bookman Old Style"/>
          <w:sz w:val="24"/>
          <w:szCs w:val="24"/>
        </w:rPr>
      </w:pPr>
    </w:p>
    <w:p w14:paraId="79378DA8" w14:textId="77777777" w:rsidR="00CA77FB" w:rsidRPr="00EF36A0" w:rsidRDefault="00CA77FB" w:rsidP="00E22F2E">
      <w:pPr>
        <w:pStyle w:val="Ttulo5"/>
        <w:tabs>
          <w:tab w:val="left" w:pos="0"/>
          <w:tab w:val="right" w:pos="9356"/>
        </w:tabs>
        <w:ind w:left="0"/>
        <w:rPr>
          <w:rFonts w:ascii="Bookman Old Style" w:hAnsi="Bookman Old Style"/>
          <w:sz w:val="24"/>
          <w:szCs w:val="24"/>
        </w:rPr>
      </w:pPr>
      <w:r w:rsidRPr="00EF36A0">
        <w:rPr>
          <w:rFonts w:ascii="Bookman Old Style" w:hAnsi="Bookman Old Style"/>
          <w:sz w:val="24"/>
          <w:szCs w:val="24"/>
        </w:rPr>
        <w:t xml:space="preserve">RESOLUCIÓN No. </w:t>
      </w:r>
      <w:r w:rsidR="00795BFB" w:rsidRPr="00EF36A0">
        <w:rPr>
          <w:rFonts w:ascii="Bookman Old Style" w:hAnsi="Bookman Old Style"/>
          <w:sz w:val="24"/>
          <w:szCs w:val="24"/>
        </w:rPr>
        <w:t xml:space="preserve">                  </w:t>
      </w:r>
      <w:r w:rsidRPr="00EF36A0">
        <w:rPr>
          <w:rFonts w:ascii="Bookman Old Style" w:hAnsi="Bookman Old Style"/>
          <w:sz w:val="24"/>
          <w:szCs w:val="24"/>
        </w:rPr>
        <w:t>DE 20</w:t>
      </w:r>
      <w:r w:rsidR="00795BFB" w:rsidRPr="00EF36A0">
        <w:rPr>
          <w:rFonts w:ascii="Bookman Old Style" w:hAnsi="Bookman Old Style"/>
          <w:sz w:val="24"/>
          <w:szCs w:val="24"/>
        </w:rPr>
        <w:t>1</w:t>
      </w:r>
      <w:r w:rsidR="00541266" w:rsidRPr="00EF36A0">
        <w:rPr>
          <w:rFonts w:ascii="Bookman Old Style" w:hAnsi="Bookman Old Style"/>
          <w:sz w:val="24"/>
          <w:szCs w:val="24"/>
        </w:rPr>
        <w:t>7</w:t>
      </w:r>
    </w:p>
    <w:p w14:paraId="63424F14" w14:textId="77777777" w:rsidR="00CA77FB" w:rsidRPr="00EF36A0" w:rsidRDefault="00CA77FB" w:rsidP="00E22F2E">
      <w:pPr>
        <w:tabs>
          <w:tab w:val="left" w:pos="0"/>
          <w:tab w:val="right" w:pos="9356"/>
        </w:tabs>
        <w:ind w:left="0"/>
        <w:jc w:val="center"/>
        <w:rPr>
          <w:rFonts w:ascii="Bookman Old Style" w:hAnsi="Bookman Old Style" w:cs="Arial"/>
          <w:b/>
          <w:snapToGrid w:val="0"/>
          <w:color w:val="000000"/>
          <w:lang w:val="es-ES_tradnl"/>
        </w:rPr>
      </w:pPr>
    </w:p>
    <w:p w14:paraId="01E0A596" w14:textId="77777777" w:rsidR="00CA77FB" w:rsidRPr="00EF36A0" w:rsidRDefault="00CA77FB" w:rsidP="00616F42">
      <w:pPr>
        <w:ind w:left="0"/>
        <w:jc w:val="center"/>
        <w:rPr>
          <w:rFonts w:ascii="Bookman Old Style" w:hAnsi="Bookman Old Style"/>
          <w:bCs/>
          <w:lang w:val="es-CO"/>
        </w:rPr>
      </w:pPr>
      <w:r w:rsidRPr="00EF36A0">
        <w:rPr>
          <w:rFonts w:ascii="Bookman Old Style" w:hAnsi="Bookman Old Style"/>
          <w:bCs/>
          <w:lang w:val="es-CO"/>
        </w:rPr>
        <w:t>(                                  )</w:t>
      </w:r>
    </w:p>
    <w:p w14:paraId="223D0D83" w14:textId="77777777" w:rsidR="00CA77FB" w:rsidRPr="00EF36A0" w:rsidRDefault="00CA77FB" w:rsidP="00E22F2E">
      <w:pPr>
        <w:tabs>
          <w:tab w:val="left" w:pos="0"/>
          <w:tab w:val="right" w:pos="9356"/>
        </w:tabs>
        <w:ind w:left="0"/>
        <w:jc w:val="center"/>
        <w:rPr>
          <w:rFonts w:ascii="Bookman Old Style" w:hAnsi="Bookman Old Style"/>
          <w:lang w:val="es-ES_tradnl"/>
        </w:rPr>
      </w:pPr>
    </w:p>
    <w:p w14:paraId="1B3C1FE7" w14:textId="77777777" w:rsidR="00C034CB" w:rsidRPr="00EF36A0" w:rsidRDefault="00C034CB" w:rsidP="00E22F2E">
      <w:pPr>
        <w:ind w:left="0"/>
        <w:rPr>
          <w:rFonts w:ascii="Bookman Old Style" w:hAnsi="Bookman Old Style"/>
          <w:bCs/>
          <w:lang w:val="es-CO"/>
        </w:rPr>
      </w:pPr>
    </w:p>
    <w:p w14:paraId="6CA0AC12" w14:textId="24BBDCDC" w:rsidR="001B1E36" w:rsidRPr="006D5367" w:rsidRDefault="001B1E36" w:rsidP="001B1E36">
      <w:pPr>
        <w:ind w:left="0"/>
        <w:jc w:val="both"/>
        <w:rPr>
          <w:rFonts w:ascii="Bookman Old Style" w:hAnsi="Bookman Old Style"/>
          <w:lang w:val="es-419"/>
        </w:rPr>
      </w:pPr>
      <w:r w:rsidRPr="004B3B4B">
        <w:rPr>
          <w:rFonts w:ascii="Bookman Old Style" w:hAnsi="Bookman Old Style"/>
        </w:rPr>
        <w:t xml:space="preserve">Por la cual se ordena hacer público un proyecto de resolución de carácter </w:t>
      </w:r>
      <w:r w:rsidRPr="003908C2">
        <w:rPr>
          <w:rFonts w:ascii="Bookman Old Style" w:hAnsi="Bookman Old Style"/>
        </w:rPr>
        <w:t xml:space="preserve">general, </w:t>
      </w:r>
      <w:r>
        <w:rPr>
          <w:rFonts w:ascii="Bookman Old Style" w:hAnsi="Bookman Old Style"/>
          <w:lang w:val="es-419"/>
        </w:rPr>
        <w:t>“</w:t>
      </w:r>
      <w:r w:rsidRPr="00EF36A0">
        <w:rPr>
          <w:rFonts w:ascii="Bookman Old Style" w:hAnsi="Bookman Old Style"/>
        </w:rPr>
        <w:t xml:space="preserve">Por la cual se establecen </w:t>
      </w:r>
      <w:r>
        <w:rPr>
          <w:rFonts w:ascii="Bookman Old Style" w:hAnsi="Bookman Old Style"/>
        </w:rPr>
        <w:t xml:space="preserve">los criterios de asignación de los servicios </w:t>
      </w:r>
      <w:r w:rsidR="00F13B6B">
        <w:rPr>
          <w:rFonts w:ascii="Bookman Old Style" w:hAnsi="Bookman Old Style"/>
        </w:rPr>
        <w:t xml:space="preserve">asociados a </w:t>
      </w:r>
      <w:r>
        <w:rPr>
          <w:rFonts w:ascii="Bookman Old Style" w:hAnsi="Bookman Old Style"/>
        </w:rPr>
        <w:t xml:space="preserve">la </w:t>
      </w:r>
      <w:r w:rsidRPr="00EF36A0">
        <w:rPr>
          <w:rFonts w:ascii="Bookman Old Style" w:hAnsi="Bookman Old Style"/>
        </w:rPr>
        <w:t>infraestructura de importación de gas del Pacífico</w:t>
      </w:r>
      <w:r>
        <w:rPr>
          <w:rFonts w:ascii="Bookman Old Style" w:hAnsi="Bookman Old Style"/>
          <w:lang w:val="es-419"/>
        </w:rPr>
        <w:t>”</w:t>
      </w:r>
    </w:p>
    <w:p w14:paraId="6AF60F7E" w14:textId="77777777" w:rsidR="001B1E36" w:rsidRPr="00646E0D" w:rsidRDefault="001B1E36" w:rsidP="001B1E36">
      <w:pPr>
        <w:rPr>
          <w:rFonts w:ascii="Bookman Old Style" w:hAnsi="Bookman Old Style" w:cs="Arial"/>
          <w:color w:val="000000"/>
        </w:rPr>
      </w:pPr>
    </w:p>
    <w:p w14:paraId="7CBD56C5" w14:textId="77777777" w:rsidR="001B1E36" w:rsidRPr="00646E0D" w:rsidRDefault="001B1E36" w:rsidP="001B1E36">
      <w:pPr>
        <w:jc w:val="center"/>
        <w:rPr>
          <w:rFonts w:ascii="Bookman Old Style" w:hAnsi="Bookman Old Style" w:cs="Arial"/>
          <w:b/>
          <w:color w:val="000000"/>
        </w:rPr>
      </w:pPr>
      <w:r w:rsidRPr="00646E0D">
        <w:rPr>
          <w:rFonts w:ascii="Bookman Old Style" w:hAnsi="Bookman Old Style" w:cs="Arial"/>
          <w:b/>
          <w:color w:val="000000"/>
        </w:rPr>
        <w:t>LA COMISIÓN DE REGULACIÓN DE ENERGÍA Y GAS</w:t>
      </w:r>
    </w:p>
    <w:p w14:paraId="06B6C978" w14:textId="77777777" w:rsidR="001B1E36" w:rsidRDefault="001B1E36" w:rsidP="001B1E36">
      <w:pPr>
        <w:rPr>
          <w:rFonts w:ascii="Bookman Old Style" w:hAnsi="Bookman Old Style" w:cs="Arial"/>
          <w:color w:val="000000"/>
        </w:rPr>
      </w:pPr>
    </w:p>
    <w:p w14:paraId="2D5BA47C" w14:textId="77777777" w:rsidR="001B1E36" w:rsidRPr="00646E0D" w:rsidRDefault="001B1E36" w:rsidP="001B1E36">
      <w:pPr>
        <w:rPr>
          <w:rFonts w:ascii="Bookman Old Style" w:hAnsi="Bookman Old Style" w:cs="Arial"/>
          <w:color w:val="000000"/>
        </w:rPr>
      </w:pPr>
    </w:p>
    <w:p w14:paraId="2FC2031D" w14:textId="77777777" w:rsidR="001B1E36" w:rsidRPr="00646E0D" w:rsidRDefault="001B1E36" w:rsidP="001B1E36">
      <w:pPr>
        <w:ind w:left="0"/>
        <w:jc w:val="center"/>
        <w:rPr>
          <w:rFonts w:ascii="Bookman Old Style" w:hAnsi="Bookman Old Style" w:cs="Arial"/>
          <w:color w:val="000000"/>
        </w:rPr>
      </w:pPr>
      <w:r w:rsidRPr="00EF1E6F">
        <w:rPr>
          <w:rFonts w:ascii="Bookman Old Style" w:hAnsi="Bookman Old Style" w:cs="Arial"/>
          <w:color w:val="000000"/>
        </w:rPr>
        <w:t xml:space="preserve">En ejercicio de sus atribuciones legales, en especial las conferidas por la Ley 142 de 1994, y en desarrollo de los </w:t>
      </w:r>
      <w:r>
        <w:rPr>
          <w:rFonts w:ascii="Bookman Old Style" w:hAnsi="Bookman Old Style" w:cs="Arial"/>
          <w:color w:val="000000"/>
        </w:rPr>
        <w:t>d</w:t>
      </w:r>
      <w:r w:rsidRPr="00EF1E6F">
        <w:rPr>
          <w:rFonts w:ascii="Bookman Old Style" w:hAnsi="Bookman Old Style" w:cs="Arial"/>
          <w:color w:val="000000"/>
        </w:rPr>
        <w:t xml:space="preserve">ecretos </w:t>
      </w:r>
      <w:r>
        <w:rPr>
          <w:rFonts w:ascii="Bookman Old Style" w:hAnsi="Bookman Old Style" w:cs="Arial"/>
          <w:color w:val="000000"/>
        </w:rPr>
        <w:t xml:space="preserve">1523 y </w:t>
      </w:r>
      <w:r w:rsidRPr="00EF1E6F">
        <w:rPr>
          <w:rFonts w:ascii="Bookman Old Style" w:hAnsi="Bookman Old Style" w:cs="Arial"/>
          <w:color w:val="000000"/>
        </w:rPr>
        <w:t>2253 de 1994 y 1260 de 2013, y</w:t>
      </w:r>
    </w:p>
    <w:p w14:paraId="40FE2FC0" w14:textId="77777777" w:rsidR="001B1E36" w:rsidRDefault="001B1E36" w:rsidP="001B1E36">
      <w:pPr>
        <w:ind w:left="0"/>
        <w:jc w:val="center"/>
        <w:rPr>
          <w:rFonts w:ascii="Bookman Old Style" w:hAnsi="Bookman Old Style" w:cs="Arial"/>
          <w:color w:val="000000"/>
        </w:rPr>
      </w:pPr>
    </w:p>
    <w:p w14:paraId="727AA5C6" w14:textId="77777777" w:rsidR="001B1E36" w:rsidRDefault="001B1E36" w:rsidP="001B1E36">
      <w:pPr>
        <w:ind w:left="0"/>
        <w:jc w:val="center"/>
        <w:rPr>
          <w:rFonts w:ascii="Bookman Old Style" w:hAnsi="Bookman Old Style" w:cs="Arial"/>
          <w:color w:val="000000"/>
        </w:rPr>
      </w:pPr>
    </w:p>
    <w:p w14:paraId="663692A4" w14:textId="77777777" w:rsidR="001B1E36" w:rsidRPr="004B3B4B" w:rsidRDefault="001B1E36" w:rsidP="001B1E36">
      <w:pPr>
        <w:ind w:left="0"/>
        <w:jc w:val="center"/>
        <w:rPr>
          <w:rFonts w:ascii="Bookman Old Style" w:hAnsi="Bookman Old Style"/>
          <w:b/>
        </w:rPr>
      </w:pPr>
      <w:r w:rsidRPr="004B3B4B">
        <w:rPr>
          <w:rFonts w:ascii="Bookman Old Style" w:hAnsi="Bookman Old Style"/>
          <w:b/>
        </w:rPr>
        <w:t xml:space="preserve">C O N S I D E R A N D </w:t>
      </w:r>
      <w:proofErr w:type="gramStart"/>
      <w:r w:rsidRPr="004B3B4B">
        <w:rPr>
          <w:rFonts w:ascii="Bookman Old Style" w:hAnsi="Bookman Old Style"/>
          <w:b/>
        </w:rPr>
        <w:t>O  Q</w:t>
      </w:r>
      <w:proofErr w:type="gramEnd"/>
      <w:r w:rsidRPr="004B3B4B">
        <w:rPr>
          <w:rFonts w:ascii="Bookman Old Style" w:hAnsi="Bookman Old Style"/>
          <w:b/>
        </w:rPr>
        <w:t xml:space="preserve"> U E:</w:t>
      </w:r>
    </w:p>
    <w:p w14:paraId="56A48534" w14:textId="77777777" w:rsidR="001B1E36" w:rsidRDefault="001B1E36" w:rsidP="001B1E36">
      <w:pPr>
        <w:ind w:left="0"/>
        <w:jc w:val="center"/>
        <w:rPr>
          <w:rFonts w:ascii="Bookman Old Style" w:hAnsi="Bookman Old Style" w:cs="Arial"/>
          <w:color w:val="000000"/>
        </w:rPr>
      </w:pPr>
    </w:p>
    <w:p w14:paraId="0096FDC0" w14:textId="77777777" w:rsidR="001B1E36" w:rsidRDefault="001B1E36" w:rsidP="001B1E36">
      <w:pPr>
        <w:ind w:left="0"/>
        <w:jc w:val="center"/>
        <w:rPr>
          <w:rFonts w:ascii="Bookman Old Style" w:hAnsi="Bookman Old Style" w:cs="Arial"/>
          <w:color w:val="000000"/>
        </w:rPr>
      </w:pPr>
    </w:p>
    <w:p w14:paraId="3B916AC5" w14:textId="77777777" w:rsidR="001B1E36" w:rsidRPr="004B3B4B" w:rsidRDefault="001B1E36" w:rsidP="001B1E36">
      <w:pPr>
        <w:ind w:left="0"/>
        <w:jc w:val="both"/>
        <w:rPr>
          <w:rFonts w:ascii="Bookman Old Style" w:hAnsi="Bookman Old Style" w:cs="Arial"/>
        </w:rPr>
      </w:pPr>
      <w:r w:rsidRPr="004B3B4B">
        <w:rPr>
          <w:rFonts w:ascii="Bookman Old Style" w:hAnsi="Bookman Old Style" w:cs="Arial"/>
        </w:rPr>
        <w:t xml:space="preserve">Conforme a lo dispuesto por el artículo 8 del Código de Procedimiento Administrativo y de lo Contencioso Administrativo </w:t>
      </w:r>
      <w:r>
        <w:rPr>
          <w:rFonts w:ascii="Bookman Old Style" w:hAnsi="Bookman Old Style" w:cs="Arial"/>
        </w:rPr>
        <w:t xml:space="preserve">y en el Decreto compilatorio 1078 de 2015 </w:t>
      </w:r>
      <w:r w:rsidRPr="004B3B4B">
        <w:rPr>
          <w:rFonts w:ascii="Bookman Old Style" w:hAnsi="Bookman Old Style" w:cs="Arial"/>
        </w:rPr>
        <w:t>la C</w:t>
      </w:r>
      <w:r>
        <w:rPr>
          <w:rFonts w:ascii="Bookman Old Style" w:hAnsi="Bookman Old Style" w:cs="Arial"/>
        </w:rPr>
        <w:t>REG</w:t>
      </w:r>
      <w:r w:rsidRPr="004B3B4B">
        <w:rPr>
          <w:rFonts w:ascii="Bookman Old Style" w:hAnsi="Bookman Old Style" w:cs="Arial"/>
        </w:rPr>
        <w:t xml:space="preserve"> debe hacer público</w:t>
      </w:r>
      <w:r>
        <w:rPr>
          <w:rFonts w:ascii="Bookman Old Style" w:hAnsi="Bookman Old Style" w:cs="Arial"/>
        </w:rPr>
        <w:t>s</w:t>
      </w:r>
      <w:r w:rsidRPr="004B3B4B">
        <w:rPr>
          <w:rFonts w:ascii="Bookman Old Style" w:hAnsi="Bookman Old Style" w:cs="Arial"/>
        </w:rPr>
        <w:t xml:space="preserve"> en su página </w:t>
      </w:r>
      <w:r>
        <w:rPr>
          <w:rFonts w:ascii="Bookman Old Style" w:hAnsi="Bookman Old Style" w:cs="Arial"/>
        </w:rPr>
        <w:t>web</w:t>
      </w:r>
      <w:r w:rsidRPr="004B3B4B">
        <w:rPr>
          <w:rFonts w:ascii="Bookman Old Style" w:hAnsi="Bookman Old Style" w:cs="Arial"/>
        </w:rPr>
        <w:t xml:space="preserve"> todos los proyectos de resolución de carácter general que pretenda adoptar.</w:t>
      </w:r>
    </w:p>
    <w:p w14:paraId="54B9CE00" w14:textId="77777777" w:rsidR="001B1E36" w:rsidRPr="004B3B4B" w:rsidRDefault="001B1E36" w:rsidP="001B1E36">
      <w:pPr>
        <w:ind w:left="0"/>
        <w:jc w:val="both"/>
        <w:rPr>
          <w:rFonts w:ascii="Bookman Old Style" w:hAnsi="Bookman Old Style" w:cs="Arial"/>
        </w:rPr>
      </w:pPr>
    </w:p>
    <w:p w14:paraId="7720B169" w14:textId="77777777" w:rsidR="001B1E36" w:rsidRPr="006D5367" w:rsidRDefault="001B1E36" w:rsidP="001B1E36">
      <w:pPr>
        <w:ind w:left="0"/>
        <w:jc w:val="both"/>
        <w:rPr>
          <w:rFonts w:ascii="Bookman Old Style" w:hAnsi="Bookman Old Style"/>
          <w:i/>
          <w:lang w:val="es-419"/>
        </w:rPr>
      </w:pPr>
      <w:r w:rsidRPr="004B3B4B">
        <w:rPr>
          <w:rFonts w:ascii="Bookman Old Style" w:hAnsi="Bookman Old Style"/>
        </w:rPr>
        <w:t>La Comisión de Regulación de Energía y Gas, en su sesión No.</w:t>
      </w:r>
      <w:r w:rsidR="00E05533">
        <w:rPr>
          <w:rFonts w:ascii="Bookman Old Style" w:hAnsi="Bookman Old Style"/>
        </w:rPr>
        <w:t xml:space="preserve"> 826</w:t>
      </w:r>
      <w:r w:rsidRPr="004B3B4B">
        <w:rPr>
          <w:rFonts w:ascii="Bookman Old Style" w:hAnsi="Bookman Old Style"/>
        </w:rPr>
        <w:t xml:space="preserve"> del </w:t>
      </w:r>
      <w:r w:rsidR="00E05533">
        <w:rPr>
          <w:rFonts w:ascii="Bookman Old Style" w:hAnsi="Bookman Old Style"/>
        </w:rPr>
        <w:t>18</w:t>
      </w:r>
      <w:r w:rsidRPr="004B3B4B">
        <w:rPr>
          <w:rFonts w:ascii="Bookman Old Style" w:hAnsi="Bookman Old Style"/>
        </w:rPr>
        <w:t xml:space="preserve"> de </w:t>
      </w:r>
      <w:r w:rsidR="00E05533">
        <w:rPr>
          <w:rFonts w:ascii="Bookman Old Style" w:hAnsi="Bookman Old Style"/>
        </w:rPr>
        <w:t>diciembre</w:t>
      </w:r>
      <w:r>
        <w:rPr>
          <w:rFonts w:ascii="Bookman Old Style" w:hAnsi="Bookman Old Style"/>
        </w:rPr>
        <w:t xml:space="preserve"> </w:t>
      </w:r>
      <w:r w:rsidRPr="004B3B4B">
        <w:rPr>
          <w:rFonts w:ascii="Bookman Old Style" w:hAnsi="Bookman Old Style"/>
        </w:rPr>
        <w:t>de 201</w:t>
      </w:r>
      <w:r>
        <w:rPr>
          <w:rFonts w:ascii="Bookman Old Style" w:hAnsi="Bookman Old Style"/>
        </w:rPr>
        <w:t>7</w:t>
      </w:r>
      <w:r w:rsidRPr="004B3B4B">
        <w:rPr>
          <w:rFonts w:ascii="Bookman Old Style" w:hAnsi="Bookman Old Style"/>
        </w:rPr>
        <w:t xml:space="preserve">, aprobó hacer público el </w:t>
      </w:r>
      <w:r>
        <w:rPr>
          <w:rFonts w:ascii="Bookman Old Style" w:hAnsi="Bookman Old Style"/>
        </w:rPr>
        <w:t>proyecto regulatorio contenido en la presente resolución.</w:t>
      </w:r>
    </w:p>
    <w:p w14:paraId="3C42FA10" w14:textId="77777777" w:rsidR="001B1E36" w:rsidRPr="004B3B4B" w:rsidRDefault="001B1E36" w:rsidP="001B1E36">
      <w:pPr>
        <w:ind w:left="0"/>
        <w:jc w:val="both"/>
        <w:rPr>
          <w:rFonts w:ascii="Bookman Old Style" w:hAnsi="Bookman Old Style"/>
          <w:b/>
          <w:spacing w:val="-3"/>
        </w:rPr>
      </w:pPr>
      <w:r w:rsidDel="00223199">
        <w:rPr>
          <w:rFonts w:ascii="Bookman Old Style" w:hAnsi="Bookman Old Style"/>
        </w:rPr>
        <w:t xml:space="preserve"> </w:t>
      </w:r>
    </w:p>
    <w:p w14:paraId="70800775" w14:textId="77777777" w:rsidR="001B1E36" w:rsidRPr="004B3B4B" w:rsidRDefault="001B1E36" w:rsidP="001B1E36">
      <w:pPr>
        <w:suppressAutoHyphens/>
        <w:ind w:left="0"/>
        <w:jc w:val="center"/>
        <w:rPr>
          <w:rFonts w:ascii="Bookman Old Style" w:hAnsi="Bookman Old Style"/>
          <w:spacing w:val="-3"/>
        </w:rPr>
      </w:pPr>
      <w:r w:rsidRPr="004B3B4B">
        <w:rPr>
          <w:rFonts w:ascii="Bookman Old Style" w:hAnsi="Bookman Old Style"/>
          <w:b/>
          <w:spacing w:val="-3"/>
        </w:rPr>
        <w:t>R E S U E L V E:</w:t>
      </w:r>
    </w:p>
    <w:p w14:paraId="7AAB16ED" w14:textId="77777777" w:rsidR="001B1E36" w:rsidRDefault="001B1E36" w:rsidP="001B1E36">
      <w:pPr>
        <w:ind w:left="0"/>
        <w:jc w:val="both"/>
        <w:rPr>
          <w:rFonts w:ascii="Bookman Old Style" w:hAnsi="Bookman Old Style"/>
          <w:b/>
        </w:rPr>
      </w:pPr>
    </w:p>
    <w:p w14:paraId="109B7305" w14:textId="1169EE92" w:rsidR="001B1E36" w:rsidRPr="006D5367" w:rsidRDefault="001B1E36" w:rsidP="001B1E36">
      <w:pPr>
        <w:ind w:left="0"/>
        <w:jc w:val="both"/>
        <w:rPr>
          <w:rFonts w:ascii="Bookman Old Style" w:hAnsi="Bookman Old Style"/>
          <w:i/>
          <w:lang w:val="es-419"/>
        </w:rPr>
      </w:pPr>
      <w:r w:rsidRPr="004B3B4B">
        <w:rPr>
          <w:rFonts w:ascii="Bookman Old Style" w:hAnsi="Bookman Old Style"/>
          <w:b/>
        </w:rPr>
        <w:t>Artículo 1.</w:t>
      </w:r>
      <w:r w:rsidRPr="004B3B4B">
        <w:rPr>
          <w:rFonts w:ascii="Bookman Old Style" w:hAnsi="Bookman Old Style"/>
        </w:rPr>
        <w:t xml:space="preserve"> </w:t>
      </w:r>
      <w:r w:rsidRPr="004B3B4B">
        <w:rPr>
          <w:rFonts w:ascii="Bookman Old Style" w:hAnsi="Bookman Old Style" w:cs="Arial"/>
        </w:rPr>
        <w:t>Hágase público el proyecto de resolución</w:t>
      </w:r>
      <w:r w:rsidRPr="006D5367">
        <w:rPr>
          <w:rFonts w:ascii="Bookman Old Style" w:hAnsi="Bookman Old Style"/>
          <w:i/>
        </w:rPr>
        <w:t xml:space="preserve">, </w:t>
      </w:r>
      <w:r>
        <w:rPr>
          <w:rFonts w:ascii="Bookman Old Style" w:hAnsi="Bookman Old Style"/>
          <w:i/>
          <w:lang w:val="es-419"/>
        </w:rPr>
        <w:t>“</w:t>
      </w:r>
      <w:r w:rsidR="00E05533" w:rsidRPr="00EF36A0">
        <w:rPr>
          <w:rFonts w:ascii="Bookman Old Style" w:hAnsi="Bookman Old Style"/>
        </w:rPr>
        <w:t xml:space="preserve">Por la cual se establecen </w:t>
      </w:r>
      <w:r w:rsidR="00E05533">
        <w:rPr>
          <w:rFonts w:ascii="Bookman Old Style" w:hAnsi="Bookman Old Style"/>
        </w:rPr>
        <w:t xml:space="preserve">los criterios de asignación de los servicios </w:t>
      </w:r>
      <w:r w:rsidR="00F13B6B">
        <w:rPr>
          <w:rFonts w:ascii="Bookman Old Style" w:hAnsi="Bookman Old Style"/>
        </w:rPr>
        <w:t>asociados a</w:t>
      </w:r>
      <w:r w:rsidR="00E05533" w:rsidRPr="00EF36A0">
        <w:rPr>
          <w:rFonts w:ascii="Bookman Old Style" w:hAnsi="Bookman Old Style"/>
        </w:rPr>
        <w:t xml:space="preserve"> </w:t>
      </w:r>
      <w:r w:rsidR="00E05533">
        <w:rPr>
          <w:rFonts w:ascii="Bookman Old Style" w:hAnsi="Bookman Old Style"/>
        </w:rPr>
        <w:t xml:space="preserve">la </w:t>
      </w:r>
      <w:r w:rsidR="00E05533" w:rsidRPr="00EF36A0">
        <w:rPr>
          <w:rFonts w:ascii="Bookman Old Style" w:hAnsi="Bookman Old Style"/>
        </w:rPr>
        <w:t>infraestructura de importación de gas del Pacífico</w:t>
      </w:r>
      <w:r>
        <w:rPr>
          <w:rFonts w:ascii="Bookman Old Style" w:hAnsi="Bookman Old Style"/>
          <w:i/>
          <w:lang w:val="es-419"/>
        </w:rPr>
        <w:t>”</w:t>
      </w:r>
      <w:r w:rsidR="00F13B6B" w:rsidRPr="00796954">
        <w:rPr>
          <w:rFonts w:ascii="Bookman Old Style" w:hAnsi="Bookman Old Style"/>
          <w:lang w:val="es-419"/>
        </w:rPr>
        <w:t>.</w:t>
      </w:r>
    </w:p>
    <w:p w14:paraId="3698301A" w14:textId="77777777" w:rsidR="001B1E36" w:rsidRDefault="001B1E36" w:rsidP="001B1E36">
      <w:pPr>
        <w:ind w:left="0"/>
        <w:jc w:val="both"/>
        <w:rPr>
          <w:rFonts w:ascii="Bookman Old Style" w:hAnsi="Bookman Old Style"/>
          <w:b/>
        </w:rPr>
      </w:pPr>
      <w:r w:rsidDel="00223199">
        <w:rPr>
          <w:rFonts w:ascii="Bookman Old Style" w:hAnsi="Bookman Old Style"/>
        </w:rPr>
        <w:t xml:space="preserve"> </w:t>
      </w:r>
    </w:p>
    <w:p w14:paraId="077A3283" w14:textId="3E076140" w:rsidR="001B1E36" w:rsidRPr="0031321A" w:rsidRDefault="001B1E36" w:rsidP="001B1E36">
      <w:pPr>
        <w:ind w:left="0"/>
        <w:jc w:val="both"/>
        <w:rPr>
          <w:rFonts w:ascii="Bookman Old Style" w:hAnsi="Bookman Old Style" w:cs="Arial"/>
          <w:lang w:val="es-CO" w:eastAsia="es-CO"/>
        </w:rPr>
      </w:pPr>
      <w:r w:rsidRPr="004B3B4B">
        <w:rPr>
          <w:rFonts w:ascii="Bookman Old Style" w:hAnsi="Bookman Old Style"/>
          <w:b/>
        </w:rPr>
        <w:t>Artículo 2.</w:t>
      </w:r>
      <w:r w:rsidRPr="004B3B4B">
        <w:rPr>
          <w:rFonts w:ascii="Bookman Old Style" w:hAnsi="Bookman Old Style" w:cs="Arial"/>
          <w:lang w:val="es-CO" w:eastAsia="es-CO"/>
        </w:rPr>
        <w:t xml:space="preserve"> Se </w:t>
      </w:r>
      <w:r w:rsidRPr="0031321A">
        <w:rPr>
          <w:rFonts w:ascii="Bookman Old Style" w:hAnsi="Bookman Old Style" w:cs="Arial"/>
          <w:lang w:val="es-CO" w:eastAsia="es-CO"/>
        </w:rPr>
        <w:t xml:space="preserve">invita a los agentes, a los usuarios, a las autoridades locales municipales y departamentales competentes, a la Superintendencia de Servicios </w:t>
      </w:r>
      <w:r w:rsidRPr="006D5367">
        <w:rPr>
          <w:rFonts w:ascii="Bookman Old Style" w:hAnsi="Bookman Old Style" w:cs="Arial"/>
          <w:lang w:val="es-CO" w:eastAsia="es-CO"/>
        </w:rPr>
        <w:t>Públicos Domiciliarios y a la Superintendencia de Industria y Comercio, para que remitan sus observaciones o sugerencias sobre la</w:t>
      </w:r>
      <w:r w:rsidRPr="006D5367">
        <w:rPr>
          <w:rFonts w:ascii="Bookman Old Style" w:hAnsi="Bookman Old Style" w:cs="Arial"/>
          <w:color w:val="666666"/>
        </w:rPr>
        <w:t xml:space="preserve"> </w:t>
      </w:r>
      <w:r w:rsidRPr="006D5367">
        <w:rPr>
          <w:rFonts w:ascii="Bookman Old Style" w:hAnsi="Bookman Old Style" w:cs="Arial"/>
          <w:lang w:val="es-CO" w:eastAsia="es-CO"/>
        </w:rPr>
        <w:t xml:space="preserve">propuesta dentro de los </w:t>
      </w:r>
      <w:r w:rsidR="00C66676">
        <w:rPr>
          <w:rFonts w:ascii="Bookman Old Style" w:hAnsi="Bookman Old Style" w:cs="Arial"/>
          <w:lang w:val="es-419" w:eastAsia="es-CO"/>
        </w:rPr>
        <w:t>cuarenta y cinco</w:t>
      </w:r>
      <w:r w:rsidR="00C66676" w:rsidRPr="006D5367">
        <w:rPr>
          <w:rFonts w:ascii="Bookman Old Style" w:hAnsi="Bookman Old Style" w:cs="Arial"/>
          <w:lang w:val="es-CO" w:eastAsia="es-CO"/>
        </w:rPr>
        <w:t xml:space="preserve"> </w:t>
      </w:r>
      <w:r w:rsidRPr="006D5367">
        <w:rPr>
          <w:rFonts w:ascii="Bookman Old Style" w:hAnsi="Bookman Old Style" w:cs="Arial"/>
          <w:lang w:val="es-CO" w:eastAsia="es-CO"/>
        </w:rPr>
        <w:t>(</w:t>
      </w:r>
      <w:r w:rsidR="00C66676">
        <w:rPr>
          <w:rFonts w:ascii="Bookman Old Style" w:hAnsi="Bookman Old Style" w:cs="Arial"/>
          <w:lang w:val="es-CO" w:eastAsia="es-CO"/>
        </w:rPr>
        <w:t>45</w:t>
      </w:r>
      <w:r w:rsidRPr="006D5367">
        <w:rPr>
          <w:rFonts w:ascii="Bookman Old Style" w:hAnsi="Bookman Old Style" w:cs="Arial"/>
          <w:lang w:val="es-CO" w:eastAsia="es-CO"/>
        </w:rPr>
        <w:t>) días</w:t>
      </w:r>
      <w:r>
        <w:rPr>
          <w:rFonts w:ascii="Bookman Old Style" w:hAnsi="Bookman Old Style" w:cs="Arial"/>
          <w:lang w:val="es-CO" w:eastAsia="es-CO"/>
        </w:rPr>
        <w:t xml:space="preserve"> calendario siguientes a la publicación de la presente </w:t>
      </w:r>
      <w:r>
        <w:rPr>
          <w:rFonts w:ascii="Bookman Old Style" w:hAnsi="Bookman Old Style" w:cs="Arial"/>
          <w:lang w:val="es-419" w:eastAsia="es-CO"/>
        </w:rPr>
        <w:t>resolución</w:t>
      </w:r>
      <w:r>
        <w:rPr>
          <w:rFonts w:ascii="Bookman Old Style" w:hAnsi="Bookman Old Style" w:cs="Arial"/>
          <w:lang w:val="es-CO" w:eastAsia="es-CO"/>
        </w:rPr>
        <w:t>.</w:t>
      </w:r>
      <w:r w:rsidRPr="0031321A">
        <w:rPr>
          <w:rFonts w:ascii="Bookman Old Style" w:hAnsi="Bookman Old Style" w:cs="Arial"/>
          <w:lang w:val="es-CO" w:eastAsia="es-CO"/>
        </w:rPr>
        <w:t xml:space="preserve"> </w:t>
      </w:r>
    </w:p>
    <w:p w14:paraId="75F06FA1" w14:textId="77777777" w:rsidR="001B1E36" w:rsidRPr="0031321A" w:rsidRDefault="001B1E36" w:rsidP="001B1E36">
      <w:pPr>
        <w:ind w:left="0"/>
        <w:jc w:val="both"/>
        <w:rPr>
          <w:rFonts w:ascii="Bookman Old Style" w:hAnsi="Bookman Old Style"/>
        </w:rPr>
      </w:pPr>
    </w:p>
    <w:p w14:paraId="23F75B7E" w14:textId="77777777" w:rsidR="001B1E36" w:rsidRPr="004B3B4B" w:rsidRDefault="001B1E36" w:rsidP="001B1E36">
      <w:pPr>
        <w:tabs>
          <w:tab w:val="left" w:pos="0"/>
        </w:tabs>
        <w:ind w:left="0"/>
        <w:jc w:val="both"/>
        <w:rPr>
          <w:rFonts w:ascii="Bookman Old Style" w:hAnsi="Bookman Old Style" w:cs="Arial"/>
        </w:rPr>
      </w:pPr>
      <w:r w:rsidRPr="004B3B4B">
        <w:rPr>
          <w:rFonts w:ascii="Bookman Old Style" w:hAnsi="Bookman Old Style" w:cs="Arial"/>
          <w:b/>
          <w:bCs/>
        </w:rPr>
        <w:t>Artículo 3</w:t>
      </w:r>
      <w:r w:rsidRPr="004B3B4B">
        <w:rPr>
          <w:rFonts w:ascii="Bookman Old Style" w:hAnsi="Bookman Old Style" w:cs="Arial"/>
          <w:b/>
        </w:rPr>
        <w:t>.</w:t>
      </w:r>
      <w:r w:rsidRPr="004B3B4B">
        <w:rPr>
          <w:rFonts w:ascii="Bookman Old Style" w:hAnsi="Bookman Old Style" w:cs="Arial"/>
        </w:rPr>
        <w:t xml:space="preserve"> Las observaciones y sugerencias sobre el proyecto deberán dirigirse </w:t>
      </w:r>
      <w:r>
        <w:rPr>
          <w:rFonts w:ascii="Bookman Old Style" w:hAnsi="Bookman Old Style" w:cs="Arial"/>
        </w:rPr>
        <w:t>en formato ‘</w:t>
      </w:r>
      <w:proofErr w:type="spellStart"/>
      <w:r w:rsidRPr="00802125">
        <w:rPr>
          <w:rFonts w:ascii="Bookman Old Style" w:hAnsi="Bookman Old Style" w:cs="Arial"/>
          <w:i/>
        </w:rPr>
        <w:t>word</w:t>
      </w:r>
      <w:proofErr w:type="spellEnd"/>
      <w:r>
        <w:rPr>
          <w:rFonts w:ascii="Bookman Old Style" w:hAnsi="Bookman Old Style" w:cs="Arial"/>
        </w:rPr>
        <w:t xml:space="preserve">’ </w:t>
      </w:r>
      <w:r w:rsidRPr="004B3B4B">
        <w:rPr>
          <w:rFonts w:ascii="Bookman Old Style" w:hAnsi="Bookman Old Style" w:cs="Arial"/>
        </w:rPr>
        <w:t xml:space="preserve">a </w:t>
      </w:r>
      <w:r>
        <w:rPr>
          <w:rFonts w:ascii="Bookman Old Style" w:hAnsi="Bookman Old Style" w:cs="Arial"/>
        </w:rPr>
        <w:t xml:space="preserve">la </w:t>
      </w:r>
      <w:r w:rsidRPr="004B3B4B">
        <w:rPr>
          <w:rFonts w:ascii="Bookman Old Style" w:hAnsi="Bookman Old Style" w:cs="Arial"/>
        </w:rPr>
        <w:t>Direc</w:t>
      </w:r>
      <w:r>
        <w:rPr>
          <w:rFonts w:ascii="Bookman Old Style" w:hAnsi="Bookman Old Style" w:cs="Arial"/>
        </w:rPr>
        <w:t xml:space="preserve">ción </w:t>
      </w:r>
      <w:r w:rsidRPr="004B3B4B">
        <w:rPr>
          <w:rFonts w:ascii="Bookman Old Style" w:hAnsi="Bookman Old Style" w:cs="Arial"/>
        </w:rPr>
        <w:t>Ejecutiv</w:t>
      </w:r>
      <w:r>
        <w:rPr>
          <w:rFonts w:ascii="Bookman Old Style" w:hAnsi="Bookman Old Style" w:cs="Arial"/>
        </w:rPr>
        <w:t>a</w:t>
      </w:r>
      <w:r w:rsidRPr="004B3B4B">
        <w:rPr>
          <w:rFonts w:ascii="Bookman Old Style" w:hAnsi="Bookman Old Style" w:cs="Arial"/>
        </w:rPr>
        <w:t xml:space="preserve"> de la Comisión, a la siguiente </w:t>
      </w:r>
      <w:r w:rsidRPr="004B3B4B">
        <w:rPr>
          <w:rFonts w:ascii="Bookman Old Style" w:hAnsi="Bookman Old Style" w:cs="Arial"/>
        </w:rPr>
        <w:lastRenderedPageBreak/>
        <w:t xml:space="preserve">dirección: Avenida Calle 116 No. 7-15, Edificio Torre </w:t>
      </w:r>
      <w:proofErr w:type="spellStart"/>
      <w:r w:rsidRPr="004B3B4B">
        <w:rPr>
          <w:rFonts w:ascii="Bookman Old Style" w:hAnsi="Bookman Old Style" w:cs="Arial"/>
        </w:rPr>
        <w:t>Cusezar</w:t>
      </w:r>
      <w:proofErr w:type="spellEnd"/>
      <w:r w:rsidRPr="004B3B4B">
        <w:rPr>
          <w:rFonts w:ascii="Bookman Old Style" w:hAnsi="Bookman Old Style" w:cs="Arial"/>
        </w:rPr>
        <w:t>, Interior 2, Oficina 901 o al correo electrónico creg@creg.gov.co.</w:t>
      </w:r>
    </w:p>
    <w:p w14:paraId="637DA8BE" w14:textId="77777777" w:rsidR="001B1E36" w:rsidRPr="004B3B4B" w:rsidRDefault="001B1E36" w:rsidP="001B1E36">
      <w:pPr>
        <w:ind w:left="0"/>
        <w:rPr>
          <w:rFonts w:ascii="Bookman Old Style" w:hAnsi="Bookman Old Style"/>
        </w:rPr>
      </w:pPr>
    </w:p>
    <w:p w14:paraId="66BF7529" w14:textId="77777777" w:rsidR="001B1E36" w:rsidRPr="00840EA1" w:rsidRDefault="001B1E36" w:rsidP="001B1E36">
      <w:pPr>
        <w:tabs>
          <w:tab w:val="left" w:pos="0"/>
        </w:tabs>
        <w:ind w:left="0"/>
        <w:jc w:val="both"/>
        <w:rPr>
          <w:rFonts w:ascii="Bookman Old Style" w:hAnsi="Bookman Old Style" w:cs="Arial"/>
        </w:rPr>
      </w:pPr>
      <w:r w:rsidRPr="004B3B4B">
        <w:rPr>
          <w:rFonts w:ascii="Bookman Old Style" w:hAnsi="Bookman Old Style" w:cs="Arial"/>
          <w:b/>
          <w:bCs/>
        </w:rPr>
        <w:t>Artículo 4</w:t>
      </w:r>
      <w:r w:rsidRPr="004B3B4B">
        <w:rPr>
          <w:rFonts w:ascii="Bookman Old Style" w:hAnsi="Bookman Old Style" w:cs="Arial"/>
        </w:rPr>
        <w:t xml:space="preserve">. </w:t>
      </w:r>
      <w:r w:rsidRPr="00840EA1">
        <w:rPr>
          <w:rFonts w:ascii="Bookman Old Style" w:hAnsi="Bookman Old Style" w:cs="Arial"/>
        </w:rPr>
        <w:t xml:space="preserve">La presente resolución rige a partir de su publicación en el </w:t>
      </w:r>
      <w:r w:rsidRPr="00EE3B0C">
        <w:rPr>
          <w:rFonts w:ascii="Bookman Old Style" w:hAnsi="Bookman Old Style" w:cs="Arial"/>
          <w:i/>
        </w:rPr>
        <w:t>Diario Oficial</w:t>
      </w:r>
      <w:r w:rsidRPr="00840EA1">
        <w:rPr>
          <w:rFonts w:ascii="Bookman Old Style" w:hAnsi="Bookman Old Style" w:cs="Arial"/>
        </w:rPr>
        <w:t xml:space="preserve"> y no deroga ni modifica disposiciones vigentes por tratarse de un acto de trámite.</w:t>
      </w:r>
    </w:p>
    <w:p w14:paraId="59FE9490" w14:textId="77777777" w:rsidR="001B1E36" w:rsidRPr="004B3B4B" w:rsidRDefault="001B1E36" w:rsidP="001B1E36">
      <w:pPr>
        <w:ind w:left="0"/>
        <w:rPr>
          <w:rFonts w:ascii="Bookman Old Style" w:hAnsi="Bookman Old Style"/>
        </w:rPr>
      </w:pPr>
    </w:p>
    <w:p w14:paraId="16963D05" w14:textId="77777777" w:rsidR="001B1E36" w:rsidRPr="004B3B4B" w:rsidRDefault="001B1E36" w:rsidP="001B1E36">
      <w:pPr>
        <w:ind w:left="0"/>
        <w:jc w:val="center"/>
        <w:rPr>
          <w:rFonts w:ascii="Bookman Old Style" w:hAnsi="Bookman Old Style"/>
          <w:b/>
        </w:rPr>
      </w:pPr>
      <w:r w:rsidRPr="004B3B4B">
        <w:rPr>
          <w:rFonts w:ascii="Bookman Old Style" w:hAnsi="Bookman Old Style"/>
          <w:b/>
        </w:rPr>
        <w:t>PUBLÍQUESE Y CÚMPLASE</w:t>
      </w:r>
    </w:p>
    <w:p w14:paraId="1CAFA117" w14:textId="77777777" w:rsidR="001B1E36" w:rsidRPr="004B3B4B" w:rsidRDefault="001B1E36" w:rsidP="001B1E36">
      <w:pPr>
        <w:ind w:left="0"/>
        <w:rPr>
          <w:rFonts w:ascii="Bookman Old Style" w:hAnsi="Bookman Old Style"/>
        </w:rPr>
      </w:pPr>
    </w:p>
    <w:p w14:paraId="18C3B2A5" w14:textId="77777777" w:rsidR="001B1E36" w:rsidRPr="004B3B4B" w:rsidRDefault="001B1E36" w:rsidP="001B1E36">
      <w:pPr>
        <w:ind w:left="0"/>
        <w:rPr>
          <w:rFonts w:ascii="Bookman Old Style" w:hAnsi="Bookman Old Style"/>
        </w:rPr>
      </w:pPr>
    </w:p>
    <w:p w14:paraId="26A91BC4" w14:textId="77777777" w:rsidR="001B1E36" w:rsidRPr="004B3B4B" w:rsidRDefault="001B1E36" w:rsidP="001B1E36">
      <w:pPr>
        <w:ind w:left="0"/>
        <w:rPr>
          <w:rFonts w:ascii="Bookman Old Style" w:hAnsi="Bookman Old Style"/>
        </w:rPr>
      </w:pPr>
      <w:r w:rsidRPr="004B3B4B">
        <w:rPr>
          <w:rFonts w:ascii="Bookman Old Style" w:hAnsi="Bookman Old Style"/>
        </w:rPr>
        <w:t>Dada en Bogotá, D.C.</w:t>
      </w:r>
    </w:p>
    <w:p w14:paraId="409AEE0B" w14:textId="77777777" w:rsidR="001B1E36" w:rsidRDefault="001B1E36" w:rsidP="001B1E36">
      <w:pPr>
        <w:ind w:left="0"/>
        <w:rPr>
          <w:rFonts w:ascii="Bookman Old Style" w:hAnsi="Bookman Old Style"/>
        </w:rPr>
      </w:pPr>
    </w:p>
    <w:p w14:paraId="12AAEC8C" w14:textId="77777777" w:rsidR="001B1E36" w:rsidRDefault="001B1E36" w:rsidP="001B1E36">
      <w:pPr>
        <w:ind w:left="0"/>
        <w:rPr>
          <w:rFonts w:ascii="Bookman Old Style" w:hAnsi="Bookman Old Style"/>
        </w:rPr>
      </w:pPr>
    </w:p>
    <w:p w14:paraId="641D4574" w14:textId="77777777" w:rsidR="001B1E36" w:rsidRDefault="001B1E36" w:rsidP="001B1E36">
      <w:pPr>
        <w:ind w:left="0"/>
        <w:rPr>
          <w:rFonts w:ascii="Bookman Old Style" w:hAnsi="Bookman Old Style"/>
        </w:rPr>
      </w:pPr>
    </w:p>
    <w:p w14:paraId="51FE5FA3" w14:textId="77777777" w:rsidR="001B1E36" w:rsidRPr="004B3B4B" w:rsidRDefault="001B1E36" w:rsidP="001B1E36">
      <w:pPr>
        <w:ind w:left="0"/>
        <w:rPr>
          <w:rFonts w:ascii="Bookman Old Style" w:hAnsi="Bookman Old Style"/>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1B1E36" w:rsidRPr="00C2343E" w14:paraId="7F62A113" w14:textId="77777777" w:rsidTr="00EF5C04">
        <w:tc>
          <w:tcPr>
            <w:tcW w:w="4962" w:type="dxa"/>
            <w:hideMark/>
          </w:tcPr>
          <w:p w14:paraId="26A7CAA8" w14:textId="77777777" w:rsidR="001B1E36" w:rsidRDefault="001B1E36" w:rsidP="00EF5C04">
            <w:pPr>
              <w:snapToGrid w:val="0"/>
              <w:ind w:left="0"/>
              <w:jc w:val="center"/>
              <w:rPr>
                <w:rFonts w:ascii="Bookman Old Style" w:hAnsi="Bookman Old Style" w:cs="Arial"/>
                <w:b/>
                <w:bCs/>
              </w:rPr>
            </w:pPr>
            <w:r>
              <w:rPr>
                <w:rFonts w:ascii="Bookman Old Style" w:hAnsi="Bookman Old Style" w:cs="Arial"/>
                <w:b/>
                <w:bCs/>
              </w:rPr>
              <w:t xml:space="preserve">GERMÁN ARCE ZAPATA  </w:t>
            </w:r>
          </w:p>
          <w:p w14:paraId="0E164BBA" w14:textId="77777777" w:rsidR="001B1E36" w:rsidRPr="00C2343E" w:rsidRDefault="001B1E36" w:rsidP="00EF5C04">
            <w:pPr>
              <w:snapToGrid w:val="0"/>
              <w:ind w:left="0"/>
              <w:jc w:val="center"/>
              <w:rPr>
                <w:rFonts w:ascii="Bookman Old Style" w:hAnsi="Bookman Old Style" w:cs="Arial"/>
                <w:b/>
                <w:bCs/>
              </w:rPr>
            </w:pPr>
            <w:r>
              <w:rPr>
                <w:rFonts w:ascii="Bookman Old Style" w:hAnsi="Bookman Old Style" w:cs="Arial"/>
              </w:rPr>
              <w:t xml:space="preserve">Ministro de </w:t>
            </w:r>
            <w:r w:rsidRPr="00554289">
              <w:rPr>
                <w:rFonts w:ascii="Bookman Old Style" w:hAnsi="Bookman Old Style" w:cs="Arial"/>
              </w:rPr>
              <w:t>Minas y Energía</w:t>
            </w:r>
          </w:p>
        </w:tc>
        <w:tc>
          <w:tcPr>
            <w:tcW w:w="4536" w:type="dxa"/>
            <w:hideMark/>
          </w:tcPr>
          <w:p w14:paraId="0863D6FF" w14:textId="77777777" w:rsidR="001B1E36" w:rsidRDefault="001B1E36" w:rsidP="00EF5C04">
            <w:pPr>
              <w:snapToGrid w:val="0"/>
              <w:ind w:left="0"/>
              <w:jc w:val="center"/>
              <w:rPr>
                <w:rFonts w:ascii="Bookman Old Style" w:hAnsi="Bookman Old Style" w:cs="Arial"/>
                <w:b/>
                <w:bCs/>
              </w:rPr>
            </w:pPr>
            <w:r>
              <w:rPr>
                <w:rFonts w:ascii="Bookman Old Style" w:hAnsi="Bookman Old Style" w:cs="Arial"/>
                <w:b/>
                <w:bCs/>
              </w:rPr>
              <w:t>GERMÁN CASTRO FERREIRA</w:t>
            </w:r>
          </w:p>
          <w:p w14:paraId="793B9F7E" w14:textId="77777777" w:rsidR="001B1E36" w:rsidRPr="00C2343E" w:rsidRDefault="001B1E36" w:rsidP="00EF5C04">
            <w:pPr>
              <w:snapToGrid w:val="0"/>
              <w:ind w:left="0"/>
              <w:jc w:val="center"/>
              <w:rPr>
                <w:rFonts w:ascii="Bookman Old Style" w:hAnsi="Bookman Old Style" w:cs="Arial"/>
                <w:b/>
                <w:bCs/>
              </w:rPr>
            </w:pPr>
            <w:r w:rsidRPr="00C2343E">
              <w:rPr>
                <w:rFonts w:ascii="Bookman Old Style" w:hAnsi="Bookman Old Style" w:cs="Arial"/>
              </w:rPr>
              <w:t>Director Ejecutivo</w:t>
            </w:r>
          </w:p>
        </w:tc>
      </w:tr>
      <w:tr w:rsidR="001B1E36" w:rsidRPr="00C2343E" w14:paraId="58D4C3B3" w14:textId="77777777" w:rsidTr="00EF5C04">
        <w:tc>
          <w:tcPr>
            <w:tcW w:w="4962" w:type="dxa"/>
            <w:hideMark/>
          </w:tcPr>
          <w:p w14:paraId="05CA634C" w14:textId="77777777" w:rsidR="001B1E36" w:rsidRPr="00C2343E" w:rsidRDefault="001B1E36" w:rsidP="00EF5C04">
            <w:pPr>
              <w:snapToGrid w:val="0"/>
              <w:rPr>
                <w:rFonts w:ascii="Bookman Old Style" w:hAnsi="Bookman Old Style" w:cs="Arial"/>
              </w:rPr>
            </w:pPr>
            <w:r>
              <w:rPr>
                <w:rFonts w:ascii="Bookman Old Style" w:hAnsi="Bookman Old Style" w:cs="Arial"/>
              </w:rPr>
              <w:t xml:space="preserve">                Presidente</w:t>
            </w:r>
          </w:p>
        </w:tc>
        <w:tc>
          <w:tcPr>
            <w:tcW w:w="4536" w:type="dxa"/>
            <w:hideMark/>
          </w:tcPr>
          <w:p w14:paraId="405004CB" w14:textId="77777777" w:rsidR="001B1E36" w:rsidRPr="00C2343E" w:rsidRDefault="001B1E36" w:rsidP="00EF5C04">
            <w:pPr>
              <w:snapToGrid w:val="0"/>
              <w:jc w:val="both"/>
              <w:rPr>
                <w:rFonts w:ascii="Bookman Old Style" w:hAnsi="Bookman Old Style" w:cs="Arial"/>
              </w:rPr>
            </w:pPr>
            <w:r w:rsidRPr="00C2343E">
              <w:rPr>
                <w:rFonts w:ascii="Bookman Old Style" w:hAnsi="Bookman Old Style" w:cs="Arial"/>
              </w:rPr>
              <w:t xml:space="preserve">          </w:t>
            </w:r>
          </w:p>
        </w:tc>
      </w:tr>
      <w:tr w:rsidR="001B1E36" w:rsidRPr="00C2343E" w14:paraId="7F3256E6" w14:textId="77777777" w:rsidTr="00EF5C04">
        <w:tc>
          <w:tcPr>
            <w:tcW w:w="4962" w:type="dxa"/>
          </w:tcPr>
          <w:p w14:paraId="75648FB4" w14:textId="77777777" w:rsidR="001B1E36" w:rsidRPr="00554289" w:rsidRDefault="001B1E36" w:rsidP="00EF5C04">
            <w:pPr>
              <w:snapToGrid w:val="0"/>
              <w:jc w:val="center"/>
              <w:rPr>
                <w:rFonts w:ascii="Bookman Old Style" w:hAnsi="Bookman Old Style" w:cs="Arial"/>
              </w:rPr>
            </w:pPr>
          </w:p>
        </w:tc>
        <w:tc>
          <w:tcPr>
            <w:tcW w:w="4536" w:type="dxa"/>
          </w:tcPr>
          <w:p w14:paraId="2DE9D8E3" w14:textId="77777777" w:rsidR="001B1E36" w:rsidRPr="00C2343E" w:rsidRDefault="001B1E36" w:rsidP="00EF5C04">
            <w:pPr>
              <w:snapToGrid w:val="0"/>
              <w:jc w:val="both"/>
              <w:rPr>
                <w:rFonts w:ascii="Bookman Old Style" w:hAnsi="Bookman Old Style" w:cs="Arial"/>
              </w:rPr>
            </w:pPr>
          </w:p>
        </w:tc>
      </w:tr>
    </w:tbl>
    <w:p w14:paraId="493CBEF9" w14:textId="77777777" w:rsidR="00E05533" w:rsidRDefault="00E05533" w:rsidP="001B1E36">
      <w:pPr>
        <w:ind w:left="0"/>
        <w:rPr>
          <w:rFonts w:ascii="Bookman Old Style" w:hAnsi="Bookman Old Style" w:cs="Arial"/>
          <w:color w:val="000000"/>
        </w:rPr>
      </w:pPr>
    </w:p>
    <w:p w14:paraId="3A773564" w14:textId="77777777" w:rsidR="00E05533" w:rsidRDefault="00E05533">
      <w:pPr>
        <w:ind w:left="0"/>
        <w:rPr>
          <w:rFonts w:ascii="Bookman Old Style" w:hAnsi="Bookman Old Style" w:cs="Arial"/>
          <w:color w:val="000000"/>
        </w:rPr>
      </w:pPr>
      <w:r>
        <w:rPr>
          <w:rFonts w:ascii="Bookman Old Style" w:hAnsi="Bookman Old Style" w:cs="Arial"/>
          <w:color w:val="000000"/>
        </w:rPr>
        <w:br w:type="page"/>
      </w:r>
    </w:p>
    <w:p w14:paraId="0A481C7E" w14:textId="77777777" w:rsidR="00E71BE1" w:rsidRDefault="001B1E36" w:rsidP="0031321A">
      <w:pPr>
        <w:ind w:left="0"/>
        <w:jc w:val="center"/>
        <w:rPr>
          <w:rFonts w:ascii="Bookman Old Style" w:hAnsi="Bookman Old Style" w:cs="Arial"/>
          <w:b/>
          <w:color w:val="000000"/>
        </w:rPr>
      </w:pPr>
      <w:r w:rsidRPr="001B1E36">
        <w:rPr>
          <w:rFonts w:ascii="Bookman Old Style" w:hAnsi="Bookman Old Style" w:cs="Arial"/>
          <w:b/>
          <w:color w:val="000000"/>
        </w:rPr>
        <w:lastRenderedPageBreak/>
        <w:t xml:space="preserve">PROYECTO DE RESOLUCIÓN </w:t>
      </w:r>
    </w:p>
    <w:p w14:paraId="0B79B51D" w14:textId="77777777" w:rsidR="001B1E36" w:rsidRPr="001B1E36" w:rsidRDefault="001B1E36" w:rsidP="0031321A">
      <w:pPr>
        <w:ind w:left="0"/>
        <w:jc w:val="center"/>
        <w:rPr>
          <w:rFonts w:ascii="Bookman Old Style" w:hAnsi="Bookman Old Style" w:cs="Arial"/>
          <w:b/>
          <w:color w:val="000000"/>
        </w:rPr>
      </w:pPr>
    </w:p>
    <w:p w14:paraId="5725DADF" w14:textId="383DB41C" w:rsidR="00194946" w:rsidRPr="00EF36A0" w:rsidRDefault="00194946" w:rsidP="00194946">
      <w:pPr>
        <w:ind w:left="0"/>
        <w:jc w:val="both"/>
        <w:rPr>
          <w:rFonts w:ascii="Bookman Old Style" w:hAnsi="Bookman Old Style"/>
        </w:rPr>
      </w:pPr>
      <w:r w:rsidRPr="00EF36A0">
        <w:rPr>
          <w:rFonts w:ascii="Bookman Old Style" w:hAnsi="Bookman Old Style"/>
        </w:rPr>
        <w:t>Por la cual se establece</w:t>
      </w:r>
      <w:r w:rsidR="001F2C7D" w:rsidRPr="00EF36A0">
        <w:rPr>
          <w:rFonts w:ascii="Bookman Old Style" w:hAnsi="Bookman Old Style"/>
        </w:rPr>
        <w:t xml:space="preserve">n </w:t>
      </w:r>
      <w:r w:rsidR="00500BDA">
        <w:rPr>
          <w:rFonts w:ascii="Bookman Old Style" w:hAnsi="Bookman Old Style"/>
        </w:rPr>
        <w:t xml:space="preserve">los criterios de asignación de los servicios </w:t>
      </w:r>
      <w:r w:rsidR="00F13B6B">
        <w:rPr>
          <w:rFonts w:ascii="Bookman Old Style" w:hAnsi="Bookman Old Style"/>
        </w:rPr>
        <w:t xml:space="preserve">asociados a </w:t>
      </w:r>
      <w:r w:rsidR="00500BDA">
        <w:rPr>
          <w:rFonts w:ascii="Bookman Old Style" w:hAnsi="Bookman Old Style"/>
        </w:rPr>
        <w:t xml:space="preserve">la </w:t>
      </w:r>
      <w:r w:rsidR="001F2C7D" w:rsidRPr="00EF36A0">
        <w:rPr>
          <w:rFonts w:ascii="Bookman Old Style" w:hAnsi="Bookman Old Style"/>
        </w:rPr>
        <w:t xml:space="preserve">infraestructura de </w:t>
      </w:r>
      <w:r w:rsidR="00E70349" w:rsidRPr="00EF36A0">
        <w:rPr>
          <w:rFonts w:ascii="Bookman Old Style" w:hAnsi="Bookman Old Style"/>
        </w:rPr>
        <w:t xml:space="preserve">importación de gas </w:t>
      </w:r>
      <w:r w:rsidR="001F2C7D" w:rsidRPr="00EF36A0">
        <w:rPr>
          <w:rFonts w:ascii="Bookman Old Style" w:hAnsi="Bookman Old Style"/>
        </w:rPr>
        <w:t>del Pacífico</w:t>
      </w:r>
      <w:r w:rsidRPr="00EF36A0">
        <w:rPr>
          <w:rFonts w:ascii="Bookman Old Style" w:hAnsi="Bookman Old Style"/>
        </w:rPr>
        <w:t xml:space="preserve"> </w:t>
      </w:r>
    </w:p>
    <w:p w14:paraId="624A85D6" w14:textId="77777777" w:rsidR="00E71BE1" w:rsidRPr="00EF36A0" w:rsidRDefault="00E71BE1" w:rsidP="0031321A">
      <w:pPr>
        <w:ind w:left="0"/>
        <w:jc w:val="center"/>
        <w:rPr>
          <w:rFonts w:ascii="Bookman Old Style" w:hAnsi="Bookman Old Style" w:cs="Arial"/>
          <w:color w:val="000000"/>
        </w:rPr>
      </w:pPr>
    </w:p>
    <w:p w14:paraId="5FFD4100" w14:textId="77777777" w:rsidR="00E71BE1" w:rsidRPr="00EF36A0" w:rsidRDefault="00E71BE1" w:rsidP="0031321A">
      <w:pPr>
        <w:ind w:left="0"/>
        <w:jc w:val="center"/>
        <w:rPr>
          <w:rFonts w:ascii="Bookman Old Style" w:hAnsi="Bookman Old Style" w:cs="Arial"/>
          <w:color w:val="000000"/>
        </w:rPr>
      </w:pPr>
    </w:p>
    <w:p w14:paraId="11B38A2C" w14:textId="77777777" w:rsidR="00E71BE1" w:rsidRPr="00EF36A0" w:rsidRDefault="00E71BE1" w:rsidP="00E71BE1">
      <w:pPr>
        <w:ind w:left="0"/>
        <w:jc w:val="center"/>
        <w:rPr>
          <w:rFonts w:ascii="Bookman Old Style" w:hAnsi="Bookman Old Style" w:cs="Arial"/>
          <w:color w:val="000000" w:themeColor="text1"/>
          <w:lang w:eastAsia="es-CO"/>
        </w:rPr>
      </w:pPr>
      <w:r w:rsidRPr="00EF36A0">
        <w:rPr>
          <w:rFonts w:ascii="Bookman Old Style" w:hAnsi="Bookman Old Style" w:cs="Arial"/>
          <w:b/>
          <w:bCs/>
          <w:color w:val="000000" w:themeColor="text1"/>
          <w:lang w:eastAsia="es-CO"/>
        </w:rPr>
        <w:t>LA COMISIÓN DE REGULACIÓN DE ENERGÍA Y GAS</w:t>
      </w:r>
    </w:p>
    <w:p w14:paraId="2FC8866A" w14:textId="77777777" w:rsidR="00E71BE1" w:rsidRPr="00EF36A0" w:rsidRDefault="00E71BE1" w:rsidP="0031321A">
      <w:pPr>
        <w:ind w:left="0"/>
        <w:jc w:val="center"/>
        <w:rPr>
          <w:rFonts w:ascii="Bookman Old Style" w:hAnsi="Bookman Old Style" w:cs="Arial"/>
          <w:color w:val="000000"/>
        </w:rPr>
      </w:pPr>
    </w:p>
    <w:p w14:paraId="3AD94E79" w14:textId="77777777" w:rsidR="00E71BE1" w:rsidRPr="00EF36A0" w:rsidRDefault="00E71BE1" w:rsidP="0031321A">
      <w:pPr>
        <w:ind w:left="0"/>
        <w:jc w:val="center"/>
        <w:rPr>
          <w:rFonts w:ascii="Bookman Old Style" w:hAnsi="Bookman Old Style" w:cs="Arial"/>
          <w:color w:val="000000"/>
        </w:rPr>
      </w:pPr>
    </w:p>
    <w:p w14:paraId="3DA45A1D" w14:textId="77777777" w:rsidR="00E71BE1" w:rsidRPr="00EF36A0" w:rsidRDefault="00E71BE1" w:rsidP="0031321A">
      <w:pPr>
        <w:ind w:left="0"/>
        <w:jc w:val="center"/>
        <w:rPr>
          <w:rFonts w:ascii="Bookman Old Style" w:hAnsi="Bookman Old Style" w:cs="Arial"/>
          <w:color w:val="000000"/>
        </w:rPr>
      </w:pPr>
      <w:r w:rsidRPr="00EF36A0">
        <w:rPr>
          <w:rFonts w:ascii="Bookman Old Style" w:hAnsi="Bookman Old Style" w:cs="Arial"/>
          <w:color w:val="000000"/>
        </w:rPr>
        <w:t xml:space="preserve">En ejercicio de las atribuciones constitucionales y legales, en especial las conferidas por la Ley 142 de 1994 y los </w:t>
      </w:r>
      <w:r w:rsidR="002A4D80" w:rsidRPr="00EF36A0">
        <w:rPr>
          <w:rFonts w:ascii="Bookman Old Style" w:hAnsi="Bookman Old Style" w:cs="Arial"/>
          <w:color w:val="000000"/>
        </w:rPr>
        <w:t>d</w:t>
      </w:r>
      <w:r w:rsidRPr="00EF36A0">
        <w:rPr>
          <w:rFonts w:ascii="Bookman Old Style" w:hAnsi="Bookman Old Style" w:cs="Arial"/>
          <w:color w:val="000000"/>
        </w:rPr>
        <w:t>ecretos 1523 y 2253 de 1994</w:t>
      </w:r>
      <w:r w:rsidR="002A4D80" w:rsidRPr="00EF36A0">
        <w:rPr>
          <w:rFonts w:ascii="Bookman Old Style" w:hAnsi="Bookman Old Style" w:cs="Arial"/>
          <w:color w:val="000000"/>
        </w:rPr>
        <w:t xml:space="preserve"> y 1260 de 2013, y</w:t>
      </w:r>
    </w:p>
    <w:p w14:paraId="6521E26D" w14:textId="77777777" w:rsidR="00E71BE1" w:rsidRPr="00EF36A0" w:rsidRDefault="00E71BE1" w:rsidP="0031321A">
      <w:pPr>
        <w:ind w:left="0"/>
        <w:jc w:val="center"/>
        <w:rPr>
          <w:rFonts w:ascii="Bookman Old Style" w:hAnsi="Bookman Old Style" w:cs="Arial"/>
          <w:color w:val="000000"/>
        </w:rPr>
      </w:pPr>
    </w:p>
    <w:p w14:paraId="5FF84BE8" w14:textId="77777777" w:rsidR="00E71BE1" w:rsidRPr="00EF36A0" w:rsidRDefault="00E71BE1" w:rsidP="00E22F2E">
      <w:pPr>
        <w:ind w:left="0"/>
        <w:rPr>
          <w:rFonts w:ascii="Bookman Old Style" w:hAnsi="Bookman Old Style" w:cs="Arial"/>
          <w:color w:val="000000"/>
        </w:rPr>
      </w:pPr>
    </w:p>
    <w:p w14:paraId="5384FB17" w14:textId="77777777" w:rsidR="00A215FB" w:rsidRPr="00EF36A0" w:rsidRDefault="00A215FB" w:rsidP="00E22F2E">
      <w:pPr>
        <w:ind w:left="0"/>
        <w:jc w:val="center"/>
        <w:rPr>
          <w:rFonts w:ascii="Bookman Old Style" w:hAnsi="Bookman Old Style" w:cs="Arial"/>
          <w:b/>
          <w:color w:val="000000"/>
        </w:rPr>
      </w:pPr>
      <w:r w:rsidRPr="00EF36A0">
        <w:rPr>
          <w:rFonts w:ascii="Bookman Old Style" w:hAnsi="Bookman Old Style" w:cs="Arial"/>
          <w:b/>
          <w:color w:val="000000"/>
        </w:rPr>
        <w:t xml:space="preserve">C O N S I D E R A N D </w:t>
      </w:r>
      <w:proofErr w:type="gramStart"/>
      <w:r w:rsidRPr="00EF36A0">
        <w:rPr>
          <w:rFonts w:ascii="Bookman Old Style" w:hAnsi="Bookman Old Style" w:cs="Arial"/>
          <w:b/>
          <w:color w:val="000000"/>
        </w:rPr>
        <w:t>O  Q</w:t>
      </w:r>
      <w:proofErr w:type="gramEnd"/>
      <w:r w:rsidRPr="00EF36A0">
        <w:rPr>
          <w:rFonts w:ascii="Bookman Old Style" w:hAnsi="Bookman Old Style" w:cs="Arial"/>
          <w:b/>
          <w:color w:val="000000"/>
        </w:rPr>
        <w:t xml:space="preserve"> U E:</w:t>
      </w:r>
    </w:p>
    <w:p w14:paraId="2FA18C34" w14:textId="77777777" w:rsidR="00A215FB" w:rsidRPr="00EF36A0" w:rsidRDefault="00A215FB" w:rsidP="008E2390"/>
    <w:p w14:paraId="638C817A" w14:textId="77777777" w:rsidR="00A215FB" w:rsidRPr="00EF36A0" w:rsidRDefault="00A215FB" w:rsidP="00E22F2E">
      <w:pPr>
        <w:ind w:left="0"/>
        <w:rPr>
          <w:rFonts w:ascii="Bookman Old Style" w:hAnsi="Bookman Old Style" w:cs="Arial"/>
          <w:color w:val="000000"/>
        </w:rPr>
      </w:pPr>
    </w:p>
    <w:p w14:paraId="20501650" w14:textId="77777777" w:rsidR="0070232D" w:rsidRDefault="0070232D" w:rsidP="0070232D">
      <w:pPr>
        <w:autoSpaceDE w:val="0"/>
        <w:autoSpaceDN w:val="0"/>
        <w:adjustRightInd w:val="0"/>
        <w:ind w:left="0"/>
        <w:jc w:val="both"/>
        <w:rPr>
          <w:rFonts w:ascii="Bookman Old Style" w:hAnsi="Bookman Old Style" w:cs="Bookman Old Style"/>
          <w:i/>
          <w:iCs/>
          <w:color w:val="000000"/>
          <w:lang w:val="es-CO" w:eastAsia="es-CO"/>
        </w:rPr>
      </w:pPr>
      <w:r>
        <w:rPr>
          <w:rFonts w:ascii="Bookman Old Style" w:hAnsi="Bookman Old Style" w:cs="Bookman Old Style"/>
          <w:color w:val="000000"/>
          <w:lang w:val="es-CO" w:eastAsia="es-CO"/>
        </w:rPr>
        <w:t xml:space="preserve">El 26 de mayo de 2015 se profirió el Decreto 1073 de 2015, </w:t>
      </w:r>
      <w:r>
        <w:rPr>
          <w:rFonts w:ascii="Bookman Old Style" w:hAnsi="Bookman Old Style" w:cs="Bookman Old Style"/>
          <w:i/>
          <w:iCs/>
          <w:color w:val="000000"/>
          <w:lang w:val="es-CO" w:eastAsia="es-CO"/>
        </w:rPr>
        <w:t>Por medio del cual se expide el Decreto Único Reglamentario del Sector Administrativo de Minas y Energía.</w:t>
      </w:r>
    </w:p>
    <w:p w14:paraId="3B74D19B" w14:textId="77777777" w:rsidR="0070232D" w:rsidRDefault="0070232D" w:rsidP="0070232D">
      <w:pPr>
        <w:autoSpaceDE w:val="0"/>
        <w:autoSpaceDN w:val="0"/>
        <w:adjustRightInd w:val="0"/>
        <w:ind w:left="0"/>
        <w:jc w:val="both"/>
        <w:rPr>
          <w:rFonts w:ascii="Bookman Old Style" w:hAnsi="Bookman Old Style" w:cs="Bookman Old Style"/>
          <w:i/>
          <w:iCs/>
          <w:color w:val="000000"/>
          <w:lang w:val="es-CO" w:eastAsia="es-CO"/>
        </w:rPr>
      </w:pPr>
    </w:p>
    <w:p w14:paraId="0B99F949"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r>
        <w:rPr>
          <w:rFonts w:ascii="Bookman Old Style" w:hAnsi="Bookman Old Style" w:cs="Bookman Old Style"/>
          <w:color w:val="000000"/>
          <w:lang w:val="es-CO" w:eastAsia="es-CO"/>
        </w:rPr>
        <w:t>A través del Decreto 2345 de 2015 se adicionó el Decreto Único Reglamentario del Sector Administrativo de Minas y Energía, 1073 de 2015, con lineamientos orientados a aumentar la confiabilidad y seguridad de abastecimiento de gas natural, estableciendo ordenamientos para la identificación, ejecución y remuneración de los proyectos requeridos con este fin.</w:t>
      </w:r>
    </w:p>
    <w:p w14:paraId="2CFD0E0F"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p>
    <w:p w14:paraId="03111332"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r>
        <w:rPr>
          <w:rFonts w:ascii="Bookman Old Style" w:hAnsi="Bookman Old Style" w:cs="Bookman Old Style"/>
          <w:color w:val="000000"/>
          <w:lang w:val="es-CO" w:eastAsia="es-CO"/>
        </w:rPr>
        <w:t>El Artículo 5 del Decreto 2345 de 2015, que a su vez modifica el Artículo 2.2.2.2.29 del Decreto Único Reglamentario del sector administrativo de Minas y Energía 1073 de 2015, delega en la CREG la expedición de la regulación aplicable a los proyectos incluidos en el plan de abastecimiento de gas natural, la definición de los mecanismos necesarios para el desarrollo de los proyectos por los transportadores o por mecanismos abiertos y competitivos, la metodología de remuneración y las obligaciones de los agentes en la ejecución de proyectos.</w:t>
      </w:r>
    </w:p>
    <w:p w14:paraId="411A0C0D"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p>
    <w:p w14:paraId="1F4D32FB" w14:textId="77777777" w:rsidR="0070232D" w:rsidRDefault="00E05533" w:rsidP="0070232D">
      <w:pPr>
        <w:autoSpaceDE w:val="0"/>
        <w:autoSpaceDN w:val="0"/>
        <w:adjustRightInd w:val="0"/>
        <w:ind w:left="0"/>
        <w:jc w:val="both"/>
        <w:rPr>
          <w:rFonts w:ascii="Bookman Old Style" w:hAnsi="Bookman Old Style" w:cs="Bookman Old Style"/>
          <w:color w:val="000000"/>
          <w:lang w:val="es-CO" w:eastAsia="es-CO"/>
        </w:rPr>
      </w:pPr>
      <w:r>
        <w:rPr>
          <w:rFonts w:ascii="Bookman Old Style" w:hAnsi="Bookman Old Style" w:cs="Bookman Old Style"/>
          <w:color w:val="000000"/>
          <w:lang w:val="es-CO" w:eastAsia="es-CO"/>
        </w:rPr>
        <w:t>En la mencionada disposición se estableció</w:t>
      </w:r>
      <w:r w:rsidR="0070232D">
        <w:rPr>
          <w:rFonts w:ascii="Bookman Old Style" w:hAnsi="Bookman Old Style" w:cs="Bookman Old Style"/>
          <w:color w:val="000000"/>
          <w:lang w:val="es-CO" w:eastAsia="es-CO"/>
        </w:rPr>
        <w:t xml:space="preserve"> que “La UPME será responsable de la aplicación de los mecanismos abiertos y competitivos a los que se refiere este artículo”. </w:t>
      </w:r>
    </w:p>
    <w:p w14:paraId="6FA99302"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p>
    <w:p w14:paraId="5779AD09"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r>
        <w:rPr>
          <w:rFonts w:ascii="Bookman Old Style" w:hAnsi="Bookman Old Style" w:cs="Bookman Old Style"/>
          <w:color w:val="000000"/>
          <w:lang w:val="es-CO" w:eastAsia="es-CO"/>
        </w:rPr>
        <w:t xml:space="preserve">En cumplimiento de lo previsto en el Decreto 2345 de 2015, que adiciona el Decreto Único Reglamentario del sector administrativo de Minas y Energía 1073 de 2015, el Ministerio de Minas y Energía, mediante la Resolución 4 0006 de 2017, adoptó el plan transitorio de abastecimiento de gas natural. </w:t>
      </w:r>
    </w:p>
    <w:p w14:paraId="71F00F1A"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p>
    <w:p w14:paraId="21805AAC"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r>
        <w:rPr>
          <w:rFonts w:ascii="Bookman Old Style" w:hAnsi="Bookman Old Style" w:cs="Bookman Old Style"/>
          <w:color w:val="000000"/>
          <w:lang w:val="es-CO" w:eastAsia="es-CO"/>
        </w:rPr>
        <w:t>En artículo 1 de la resolución en mención se incluyen los proyectos y las fechas en las que cada proyecto debe entrar en operación:</w:t>
      </w:r>
    </w:p>
    <w:p w14:paraId="542346A2"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p>
    <w:tbl>
      <w:tblPr>
        <w:tblW w:w="0" w:type="auto"/>
        <w:jc w:val="center"/>
        <w:tblLayout w:type="fixed"/>
        <w:tblLook w:val="00A0" w:firstRow="1" w:lastRow="0" w:firstColumn="1" w:lastColumn="0" w:noHBand="0" w:noVBand="0"/>
      </w:tblPr>
      <w:tblGrid>
        <w:gridCol w:w="1058"/>
        <w:gridCol w:w="4962"/>
        <w:gridCol w:w="1913"/>
      </w:tblGrid>
      <w:tr w:rsidR="0070232D" w14:paraId="3926ABE6" w14:textId="77777777">
        <w:trPr>
          <w:jc w:val="center"/>
        </w:trPr>
        <w:tc>
          <w:tcPr>
            <w:tcW w:w="1058" w:type="dxa"/>
            <w:tcBorders>
              <w:top w:val="single" w:sz="6" w:space="0" w:color="000000"/>
              <w:left w:val="single" w:sz="6" w:space="0" w:color="000000"/>
              <w:bottom w:val="single" w:sz="6" w:space="0" w:color="000000"/>
              <w:right w:val="single" w:sz="6" w:space="0" w:color="000000"/>
            </w:tcBorders>
            <w:vAlign w:val="center"/>
          </w:tcPr>
          <w:p w14:paraId="68599FFF" w14:textId="77777777" w:rsidR="0070232D" w:rsidRDefault="0070232D">
            <w:pPr>
              <w:autoSpaceDE w:val="0"/>
              <w:autoSpaceDN w:val="0"/>
              <w:adjustRightInd w:val="0"/>
              <w:ind w:left="29"/>
              <w:jc w:val="center"/>
              <w:rPr>
                <w:rFonts w:ascii="Bookman Old Style" w:hAnsi="Bookman Old Style" w:cs="Bookman Old Style"/>
                <w:b/>
                <w:bCs/>
                <w:color w:val="000000"/>
                <w:sz w:val="20"/>
                <w:szCs w:val="20"/>
                <w:lang w:val="es-CO" w:eastAsia="es-CO"/>
              </w:rPr>
            </w:pPr>
            <w:r>
              <w:rPr>
                <w:rFonts w:ascii="Bookman Old Style" w:hAnsi="Bookman Old Style" w:cs="Bookman Old Style"/>
                <w:b/>
                <w:bCs/>
                <w:color w:val="000000"/>
                <w:sz w:val="20"/>
                <w:szCs w:val="20"/>
                <w:lang w:val="es-CO" w:eastAsia="es-CO"/>
              </w:rPr>
              <w:lastRenderedPageBreak/>
              <w:t>Número</w:t>
            </w:r>
          </w:p>
        </w:tc>
        <w:tc>
          <w:tcPr>
            <w:tcW w:w="4962" w:type="dxa"/>
            <w:tcBorders>
              <w:top w:val="single" w:sz="6" w:space="0" w:color="000000"/>
              <w:left w:val="single" w:sz="6" w:space="0" w:color="000000"/>
              <w:bottom w:val="single" w:sz="6" w:space="0" w:color="000000"/>
              <w:right w:val="single" w:sz="6" w:space="0" w:color="000000"/>
            </w:tcBorders>
            <w:vAlign w:val="center"/>
          </w:tcPr>
          <w:p w14:paraId="515BF019" w14:textId="77777777" w:rsidR="0070232D" w:rsidRDefault="0070232D">
            <w:pPr>
              <w:autoSpaceDE w:val="0"/>
              <w:autoSpaceDN w:val="0"/>
              <w:adjustRightInd w:val="0"/>
              <w:ind w:left="134"/>
              <w:jc w:val="center"/>
              <w:rPr>
                <w:rFonts w:ascii="Bookman Old Style" w:hAnsi="Bookman Old Style" w:cs="Bookman Old Style"/>
                <w:b/>
                <w:bCs/>
                <w:color w:val="000000"/>
                <w:sz w:val="20"/>
                <w:szCs w:val="20"/>
                <w:lang w:val="es-CO" w:eastAsia="es-CO"/>
              </w:rPr>
            </w:pPr>
            <w:r>
              <w:rPr>
                <w:rFonts w:ascii="Bookman Old Style" w:hAnsi="Bookman Old Style" w:cs="Bookman Old Style"/>
                <w:b/>
                <w:bCs/>
                <w:color w:val="000000"/>
                <w:sz w:val="20"/>
                <w:szCs w:val="20"/>
                <w:lang w:val="es-CO" w:eastAsia="es-CO"/>
              </w:rPr>
              <w:t>Proyecto</w:t>
            </w:r>
          </w:p>
        </w:tc>
        <w:tc>
          <w:tcPr>
            <w:tcW w:w="1913" w:type="dxa"/>
            <w:tcBorders>
              <w:top w:val="single" w:sz="6" w:space="0" w:color="000000"/>
              <w:left w:val="single" w:sz="6" w:space="0" w:color="000000"/>
              <w:bottom w:val="single" w:sz="6" w:space="0" w:color="000000"/>
              <w:right w:val="single" w:sz="6" w:space="0" w:color="000000"/>
            </w:tcBorders>
            <w:vAlign w:val="center"/>
          </w:tcPr>
          <w:p w14:paraId="4F16CF97" w14:textId="77777777" w:rsidR="0070232D" w:rsidRDefault="0070232D">
            <w:pPr>
              <w:autoSpaceDE w:val="0"/>
              <w:autoSpaceDN w:val="0"/>
              <w:adjustRightInd w:val="0"/>
              <w:ind w:left="104"/>
              <w:jc w:val="center"/>
              <w:rPr>
                <w:rFonts w:ascii="Bookman Old Style" w:hAnsi="Bookman Old Style" w:cs="Bookman Old Style"/>
                <w:b/>
                <w:bCs/>
                <w:color w:val="000000"/>
                <w:sz w:val="20"/>
                <w:szCs w:val="20"/>
                <w:lang w:val="es-CO" w:eastAsia="es-CO"/>
              </w:rPr>
            </w:pPr>
            <w:r>
              <w:rPr>
                <w:rFonts w:ascii="Bookman Old Style" w:hAnsi="Bookman Old Style" w:cs="Bookman Old Style"/>
                <w:b/>
                <w:bCs/>
                <w:color w:val="000000"/>
                <w:sz w:val="20"/>
                <w:szCs w:val="20"/>
                <w:lang w:val="es-CO" w:eastAsia="es-CO"/>
              </w:rPr>
              <w:t>Año y mes de entrada en operación</w:t>
            </w:r>
          </w:p>
        </w:tc>
      </w:tr>
      <w:tr w:rsidR="0070232D" w14:paraId="78F68A29" w14:textId="77777777">
        <w:trPr>
          <w:jc w:val="center"/>
        </w:trPr>
        <w:tc>
          <w:tcPr>
            <w:tcW w:w="1058" w:type="dxa"/>
            <w:tcBorders>
              <w:top w:val="single" w:sz="6" w:space="0" w:color="000000"/>
              <w:left w:val="single" w:sz="6" w:space="0" w:color="000000"/>
              <w:bottom w:val="single" w:sz="6" w:space="0" w:color="000000"/>
              <w:right w:val="single" w:sz="6" w:space="0" w:color="000000"/>
            </w:tcBorders>
            <w:vAlign w:val="center"/>
          </w:tcPr>
          <w:p w14:paraId="1B9D5A71" w14:textId="77777777" w:rsidR="0070232D" w:rsidRDefault="0070232D">
            <w:pPr>
              <w:autoSpaceDE w:val="0"/>
              <w:autoSpaceDN w:val="0"/>
              <w:adjustRightInd w:val="0"/>
              <w:ind w:left="29"/>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1</w:t>
            </w:r>
          </w:p>
        </w:tc>
        <w:tc>
          <w:tcPr>
            <w:tcW w:w="4962" w:type="dxa"/>
            <w:tcBorders>
              <w:top w:val="single" w:sz="6" w:space="0" w:color="000000"/>
              <w:left w:val="single" w:sz="6" w:space="0" w:color="000000"/>
              <w:bottom w:val="single" w:sz="6" w:space="0" w:color="000000"/>
              <w:right w:val="single" w:sz="6" w:space="0" w:color="000000"/>
            </w:tcBorders>
          </w:tcPr>
          <w:p w14:paraId="7EA36A41" w14:textId="77777777" w:rsidR="0070232D" w:rsidRDefault="0070232D">
            <w:pPr>
              <w:autoSpaceDE w:val="0"/>
              <w:autoSpaceDN w:val="0"/>
              <w:adjustRightInd w:val="0"/>
              <w:ind w:left="134"/>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Construcción planta de regasificación del Pacífico</w:t>
            </w:r>
          </w:p>
        </w:tc>
        <w:tc>
          <w:tcPr>
            <w:tcW w:w="1913" w:type="dxa"/>
            <w:tcBorders>
              <w:top w:val="single" w:sz="6" w:space="0" w:color="000000"/>
              <w:left w:val="single" w:sz="6" w:space="0" w:color="000000"/>
              <w:bottom w:val="single" w:sz="6" w:space="0" w:color="000000"/>
              <w:right w:val="single" w:sz="6" w:space="0" w:color="000000"/>
            </w:tcBorders>
            <w:vAlign w:val="center"/>
          </w:tcPr>
          <w:p w14:paraId="5E302B35" w14:textId="77777777" w:rsidR="0070232D" w:rsidRDefault="0070232D">
            <w:pPr>
              <w:autoSpaceDE w:val="0"/>
              <w:autoSpaceDN w:val="0"/>
              <w:adjustRightInd w:val="0"/>
              <w:ind w:left="104"/>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Enero 2021</w:t>
            </w:r>
          </w:p>
        </w:tc>
      </w:tr>
      <w:tr w:rsidR="0070232D" w14:paraId="06A57A02" w14:textId="77777777">
        <w:trPr>
          <w:jc w:val="center"/>
        </w:trPr>
        <w:tc>
          <w:tcPr>
            <w:tcW w:w="1058" w:type="dxa"/>
            <w:tcBorders>
              <w:top w:val="single" w:sz="6" w:space="0" w:color="000000"/>
              <w:left w:val="single" w:sz="6" w:space="0" w:color="000000"/>
              <w:bottom w:val="single" w:sz="6" w:space="0" w:color="000000"/>
              <w:right w:val="single" w:sz="6" w:space="0" w:color="000000"/>
            </w:tcBorders>
            <w:vAlign w:val="center"/>
          </w:tcPr>
          <w:p w14:paraId="251F350B" w14:textId="77777777" w:rsidR="0070232D" w:rsidRDefault="0070232D">
            <w:pPr>
              <w:autoSpaceDE w:val="0"/>
              <w:autoSpaceDN w:val="0"/>
              <w:adjustRightInd w:val="0"/>
              <w:ind w:left="29"/>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2</w:t>
            </w:r>
          </w:p>
        </w:tc>
        <w:tc>
          <w:tcPr>
            <w:tcW w:w="4962" w:type="dxa"/>
            <w:tcBorders>
              <w:top w:val="single" w:sz="6" w:space="0" w:color="000000"/>
              <w:left w:val="single" w:sz="6" w:space="0" w:color="000000"/>
              <w:bottom w:val="single" w:sz="6" w:space="0" w:color="000000"/>
              <w:right w:val="single" w:sz="6" w:space="0" w:color="000000"/>
            </w:tcBorders>
          </w:tcPr>
          <w:p w14:paraId="39429B12" w14:textId="77777777" w:rsidR="0070232D" w:rsidRDefault="0070232D">
            <w:pPr>
              <w:autoSpaceDE w:val="0"/>
              <w:autoSpaceDN w:val="0"/>
              <w:adjustRightInd w:val="0"/>
              <w:ind w:left="134"/>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Construcción del gasoducto Buenaventura – Yumbo</w:t>
            </w:r>
          </w:p>
        </w:tc>
        <w:tc>
          <w:tcPr>
            <w:tcW w:w="1913" w:type="dxa"/>
            <w:tcBorders>
              <w:top w:val="single" w:sz="6" w:space="0" w:color="000000"/>
              <w:left w:val="single" w:sz="6" w:space="0" w:color="000000"/>
              <w:bottom w:val="single" w:sz="6" w:space="0" w:color="000000"/>
              <w:right w:val="single" w:sz="6" w:space="0" w:color="000000"/>
            </w:tcBorders>
            <w:vAlign w:val="center"/>
          </w:tcPr>
          <w:p w14:paraId="4B43E498" w14:textId="77777777" w:rsidR="0070232D" w:rsidRDefault="0070232D">
            <w:pPr>
              <w:autoSpaceDE w:val="0"/>
              <w:autoSpaceDN w:val="0"/>
              <w:adjustRightInd w:val="0"/>
              <w:ind w:left="104"/>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Enero 2021</w:t>
            </w:r>
          </w:p>
        </w:tc>
      </w:tr>
      <w:tr w:rsidR="0070232D" w14:paraId="66596F4C" w14:textId="77777777">
        <w:trPr>
          <w:jc w:val="center"/>
        </w:trPr>
        <w:tc>
          <w:tcPr>
            <w:tcW w:w="1058" w:type="dxa"/>
            <w:tcBorders>
              <w:top w:val="single" w:sz="6" w:space="0" w:color="000000"/>
              <w:left w:val="single" w:sz="6" w:space="0" w:color="000000"/>
              <w:bottom w:val="single" w:sz="6" w:space="0" w:color="000000"/>
              <w:right w:val="single" w:sz="6" w:space="0" w:color="000000"/>
            </w:tcBorders>
            <w:vAlign w:val="center"/>
          </w:tcPr>
          <w:p w14:paraId="15464997" w14:textId="77777777" w:rsidR="0070232D" w:rsidRDefault="0070232D">
            <w:pPr>
              <w:autoSpaceDE w:val="0"/>
              <w:autoSpaceDN w:val="0"/>
              <w:adjustRightInd w:val="0"/>
              <w:ind w:left="29"/>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3</w:t>
            </w:r>
          </w:p>
        </w:tc>
        <w:tc>
          <w:tcPr>
            <w:tcW w:w="4962" w:type="dxa"/>
            <w:tcBorders>
              <w:top w:val="single" w:sz="6" w:space="0" w:color="000000"/>
              <w:left w:val="single" w:sz="6" w:space="0" w:color="000000"/>
              <w:bottom w:val="single" w:sz="6" w:space="0" w:color="000000"/>
              <w:right w:val="single" w:sz="6" w:space="0" w:color="000000"/>
            </w:tcBorders>
          </w:tcPr>
          <w:p w14:paraId="4481D56F" w14:textId="77777777" w:rsidR="0070232D" w:rsidRDefault="0070232D">
            <w:pPr>
              <w:autoSpaceDE w:val="0"/>
              <w:autoSpaceDN w:val="0"/>
              <w:adjustRightInd w:val="0"/>
              <w:ind w:left="134"/>
              <w:rPr>
                <w:rFonts w:ascii="Bookman Old Style" w:hAnsi="Bookman Old Style" w:cs="Bookman Old Style"/>
                <w:color w:val="000000"/>
                <w:sz w:val="20"/>
                <w:szCs w:val="20"/>
                <w:lang w:val="es-CO" w:eastAsia="es-CO"/>
              </w:rPr>
            </w:pPr>
            <w:proofErr w:type="spellStart"/>
            <w:r>
              <w:rPr>
                <w:rFonts w:ascii="Bookman Old Style" w:hAnsi="Bookman Old Style" w:cs="Bookman Old Style"/>
                <w:color w:val="000000"/>
                <w:sz w:val="20"/>
                <w:szCs w:val="20"/>
                <w:lang w:val="es-CO" w:eastAsia="es-CO"/>
              </w:rPr>
              <w:t>Bidireccionalidad</w:t>
            </w:r>
            <w:proofErr w:type="spellEnd"/>
            <w:r>
              <w:rPr>
                <w:rFonts w:ascii="Bookman Old Style" w:hAnsi="Bookman Old Style" w:cs="Bookman Old Style"/>
                <w:color w:val="000000"/>
                <w:sz w:val="20"/>
                <w:szCs w:val="20"/>
                <w:lang w:val="es-CO" w:eastAsia="es-CO"/>
              </w:rPr>
              <w:t xml:space="preserve"> Yumbo - Mariquita</w:t>
            </w:r>
          </w:p>
        </w:tc>
        <w:tc>
          <w:tcPr>
            <w:tcW w:w="1913" w:type="dxa"/>
            <w:tcBorders>
              <w:top w:val="single" w:sz="6" w:space="0" w:color="000000"/>
              <w:left w:val="single" w:sz="6" w:space="0" w:color="000000"/>
              <w:bottom w:val="single" w:sz="6" w:space="0" w:color="000000"/>
              <w:right w:val="single" w:sz="6" w:space="0" w:color="000000"/>
            </w:tcBorders>
            <w:vAlign w:val="center"/>
          </w:tcPr>
          <w:p w14:paraId="43E5EA47" w14:textId="77777777" w:rsidR="0070232D" w:rsidRDefault="0070232D">
            <w:pPr>
              <w:autoSpaceDE w:val="0"/>
              <w:autoSpaceDN w:val="0"/>
              <w:adjustRightInd w:val="0"/>
              <w:ind w:left="104"/>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Enero 2021</w:t>
            </w:r>
          </w:p>
        </w:tc>
      </w:tr>
      <w:tr w:rsidR="0070232D" w14:paraId="02084985" w14:textId="77777777">
        <w:trPr>
          <w:jc w:val="center"/>
        </w:trPr>
        <w:tc>
          <w:tcPr>
            <w:tcW w:w="1058" w:type="dxa"/>
            <w:tcBorders>
              <w:top w:val="single" w:sz="6" w:space="0" w:color="000000"/>
              <w:left w:val="single" w:sz="6" w:space="0" w:color="000000"/>
              <w:bottom w:val="single" w:sz="6" w:space="0" w:color="000000"/>
              <w:right w:val="single" w:sz="6" w:space="0" w:color="000000"/>
            </w:tcBorders>
            <w:vAlign w:val="center"/>
          </w:tcPr>
          <w:p w14:paraId="100F97B8" w14:textId="77777777" w:rsidR="0070232D" w:rsidRDefault="0070232D">
            <w:pPr>
              <w:autoSpaceDE w:val="0"/>
              <w:autoSpaceDN w:val="0"/>
              <w:adjustRightInd w:val="0"/>
              <w:ind w:left="29"/>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4</w:t>
            </w:r>
          </w:p>
        </w:tc>
        <w:tc>
          <w:tcPr>
            <w:tcW w:w="4962" w:type="dxa"/>
            <w:tcBorders>
              <w:top w:val="single" w:sz="6" w:space="0" w:color="000000"/>
              <w:left w:val="single" w:sz="6" w:space="0" w:color="000000"/>
              <w:bottom w:val="single" w:sz="6" w:space="0" w:color="000000"/>
              <w:right w:val="single" w:sz="6" w:space="0" w:color="000000"/>
            </w:tcBorders>
          </w:tcPr>
          <w:p w14:paraId="413C30E8" w14:textId="77777777" w:rsidR="0070232D" w:rsidRDefault="0070232D">
            <w:pPr>
              <w:autoSpaceDE w:val="0"/>
              <w:autoSpaceDN w:val="0"/>
              <w:adjustRightInd w:val="0"/>
              <w:ind w:left="134"/>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 xml:space="preserve">Construcción </w:t>
            </w:r>
            <w:proofErr w:type="spellStart"/>
            <w:r>
              <w:rPr>
                <w:rFonts w:ascii="Bookman Old Style" w:hAnsi="Bookman Old Style" w:cs="Bookman Old Style"/>
                <w:color w:val="000000"/>
                <w:sz w:val="20"/>
                <w:szCs w:val="20"/>
                <w:lang w:val="es-CO" w:eastAsia="es-CO"/>
              </w:rPr>
              <w:t>Loop</w:t>
            </w:r>
            <w:proofErr w:type="spellEnd"/>
            <w:r>
              <w:rPr>
                <w:rFonts w:ascii="Bookman Old Style" w:hAnsi="Bookman Old Style" w:cs="Bookman Old Style"/>
                <w:color w:val="000000"/>
                <w:sz w:val="20"/>
                <w:szCs w:val="20"/>
                <w:lang w:val="es-CO" w:eastAsia="es-CO"/>
              </w:rPr>
              <w:t xml:space="preserve"> 10” Mariquita - Gualanday</w:t>
            </w:r>
          </w:p>
        </w:tc>
        <w:tc>
          <w:tcPr>
            <w:tcW w:w="1913" w:type="dxa"/>
            <w:tcBorders>
              <w:top w:val="single" w:sz="6" w:space="0" w:color="000000"/>
              <w:left w:val="single" w:sz="6" w:space="0" w:color="000000"/>
              <w:bottom w:val="single" w:sz="6" w:space="0" w:color="000000"/>
              <w:right w:val="single" w:sz="6" w:space="0" w:color="000000"/>
            </w:tcBorders>
            <w:vAlign w:val="center"/>
          </w:tcPr>
          <w:p w14:paraId="3D2CFD90" w14:textId="77777777" w:rsidR="0070232D" w:rsidRDefault="0070232D">
            <w:pPr>
              <w:autoSpaceDE w:val="0"/>
              <w:autoSpaceDN w:val="0"/>
              <w:adjustRightInd w:val="0"/>
              <w:ind w:left="104"/>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Enero 2020</w:t>
            </w:r>
          </w:p>
        </w:tc>
      </w:tr>
      <w:tr w:rsidR="0070232D" w14:paraId="11AD81C1" w14:textId="77777777">
        <w:trPr>
          <w:jc w:val="center"/>
        </w:trPr>
        <w:tc>
          <w:tcPr>
            <w:tcW w:w="1058" w:type="dxa"/>
            <w:tcBorders>
              <w:top w:val="single" w:sz="6" w:space="0" w:color="000000"/>
              <w:left w:val="single" w:sz="6" w:space="0" w:color="000000"/>
              <w:bottom w:val="single" w:sz="6" w:space="0" w:color="000000"/>
              <w:right w:val="single" w:sz="6" w:space="0" w:color="000000"/>
            </w:tcBorders>
            <w:vAlign w:val="center"/>
          </w:tcPr>
          <w:p w14:paraId="12F91C61" w14:textId="77777777" w:rsidR="0070232D" w:rsidRDefault="0070232D">
            <w:pPr>
              <w:autoSpaceDE w:val="0"/>
              <w:autoSpaceDN w:val="0"/>
              <w:adjustRightInd w:val="0"/>
              <w:ind w:left="29"/>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5</w:t>
            </w:r>
          </w:p>
        </w:tc>
        <w:tc>
          <w:tcPr>
            <w:tcW w:w="4962" w:type="dxa"/>
            <w:tcBorders>
              <w:top w:val="single" w:sz="6" w:space="0" w:color="000000"/>
              <w:left w:val="single" w:sz="6" w:space="0" w:color="000000"/>
              <w:bottom w:val="single" w:sz="6" w:space="0" w:color="000000"/>
              <w:right w:val="single" w:sz="6" w:space="0" w:color="000000"/>
            </w:tcBorders>
          </w:tcPr>
          <w:p w14:paraId="79C27D65" w14:textId="77777777" w:rsidR="0070232D" w:rsidRDefault="0070232D">
            <w:pPr>
              <w:autoSpaceDE w:val="0"/>
              <w:autoSpaceDN w:val="0"/>
              <w:adjustRightInd w:val="0"/>
              <w:ind w:left="134"/>
              <w:rPr>
                <w:rFonts w:ascii="Bookman Old Style" w:hAnsi="Bookman Old Style" w:cs="Bookman Old Style"/>
                <w:color w:val="000000"/>
                <w:sz w:val="20"/>
                <w:szCs w:val="20"/>
                <w:lang w:val="es-CO" w:eastAsia="es-CO"/>
              </w:rPr>
            </w:pPr>
            <w:proofErr w:type="spellStart"/>
            <w:r>
              <w:rPr>
                <w:rFonts w:ascii="Bookman Old Style" w:hAnsi="Bookman Old Style" w:cs="Bookman Old Style"/>
                <w:color w:val="000000"/>
                <w:sz w:val="20"/>
                <w:szCs w:val="20"/>
                <w:lang w:val="es-CO" w:eastAsia="es-CO"/>
              </w:rPr>
              <w:t>Bidireccionalidad</w:t>
            </w:r>
            <w:proofErr w:type="spellEnd"/>
            <w:r>
              <w:rPr>
                <w:rFonts w:ascii="Bookman Old Style" w:hAnsi="Bookman Old Style" w:cs="Bookman Old Style"/>
                <w:color w:val="000000"/>
                <w:sz w:val="20"/>
                <w:szCs w:val="20"/>
                <w:lang w:val="es-CO" w:eastAsia="es-CO"/>
              </w:rPr>
              <w:t xml:space="preserve"> Barrancabermeja - Ballena</w:t>
            </w:r>
          </w:p>
        </w:tc>
        <w:tc>
          <w:tcPr>
            <w:tcW w:w="1913" w:type="dxa"/>
            <w:tcBorders>
              <w:top w:val="single" w:sz="6" w:space="0" w:color="000000"/>
              <w:left w:val="single" w:sz="6" w:space="0" w:color="000000"/>
              <w:bottom w:val="single" w:sz="6" w:space="0" w:color="000000"/>
              <w:right w:val="single" w:sz="6" w:space="0" w:color="000000"/>
            </w:tcBorders>
            <w:vAlign w:val="center"/>
          </w:tcPr>
          <w:p w14:paraId="35517976" w14:textId="77777777" w:rsidR="0070232D" w:rsidRDefault="0070232D">
            <w:pPr>
              <w:autoSpaceDE w:val="0"/>
              <w:autoSpaceDN w:val="0"/>
              <w:adjustRightInd w:val="0"/>
              <w:ind w:left="104"/>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Enero 2020</w:t>
            </w:r>
          </w:p>
        </w:tc>
      </w:tr>
      <w:tr w:rsidR="0070232D" w14:paraId="4B993065" w14:textId="77777777">
        <w:trPr>
          <w:jc w:val="center"/>
        </w:trPr>
        <w:tc>
          <w:tcPr>
            <w:tcW w:w="1058" w:type="dxa"/>
            <w:tcBorders>
              <w:top w:val="single" w:sz="6" w:space="0" w:color="000000"/>
              <w:left w:val="single" w:sz="6" w:space="0" w:color="000000"/>
              <w:bottom w:val="single" w:sz="6" w:space="0" w:color="000000"/>
              <w:right w:val="single" w:sz="6" w:space="0" w:color="000000"/>
            </w:tcBorders>
            <w:vAlign w:val="center"/>
          </w:tcPr>
          <w:p w14:paraId="48579371" w14:textId="77777777" w:rsidR="0070232D" w:rsidRDefault="0070232D">
            <w:pPr>
              <w:autoSpaceDE w:val="0"/>
              <w:autoSpaceDN w:val="0"/>
              <w:adjustRightInd w:val="0"/>
              <w:ind w:left="29"/>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6</w:t>
            </w:r>
          </w:p>
        </w:tc>
        <w:tc>
          <w:tcPr>
            <w:tcW w:w="4962" w:type="dxa"/>
            <w:tcBorders>
              <w:top w:val="single" w:sz="6" w:space="0" w:color="000000"/>
              <w:left w:val="single" w:sz="6" w:space="0" w:color="000000"/>
              <w:bottom w:val="single" w:sz="6" w:space="0" w:color="000000"/>
              <w:right w:val="single" w:sz="6" w:space="0" w:color="000000"/>
            </w:tcBorders>
          </w:tcPr>
          <w:p w14:paraId="62C03715" w14:textId="77777777" w:rsidR="0070232D" w:rsidRDefault="0070232D">
            <w:pPr>
              <w:autoSpaceDE w:val="0"/>
              <w:autoSpaceDN w:val="0"/>
              <w:adjustRightInd w:val="0"/>
              <w:ind w:left="134"/>
              <w:rPr>
                <w:rFonts w:ascii="Bookman Old Style" w:hAnsi="Bookman Old Style" w:cs="Bookman Old Style"/>
                <w:color w:val="000000"/>
                <w:sz w:val="20"/>
                <w:szCs w:val="20"/>
                <w:lang w:val="es-CO" w:eastAsia="es-CO"/>
              </w:rPr>
            </w:pPr>
            <w:proofErr w:type="spellStart"/>
            <w:r>
              <w:rPr>
                <w:rFonts w:ascii="Bookman Old Style" w:hAnsi="Bookman Old Style" w:cs="Bookman Old Style"/>
                <w:color w:val="000000"/>
                <w:sz w:val="20"/>
                <w:szCs w:val="20"/>
                <w:lang w:val="es-CO" w:eastAsia="es-CO"/>
              </w:rPr>
              <w:t>Bidireccionalidad</w:t>
            </w:r>
            <w:proofErr w:type="spellEnd"/>
            <w:r>
              <w:rPr>
                <w:rFonts w:ascii="Bookman Old Style" w:hAnsi="Bookman Old Style" w:cs="Bookman Old Style"/>
                <w:color w:val="000000"/>
                <w:sz w:val="20"/>
                <w:szCs w:val="20"/>
                <w:lang w:val="es-CO" w:eastAsia="es-CO"/>
              </w:rPr>
              <w:t xml:space="preserve"> Barranquilla - Ballena</w:t>
            </w:r>
          </w:p>
        </w:tc>
        <w:tc>
          <w:tcPr>
            <w:tcW w:w="1913" w:type="dxa"/>
            <w:tcBorders>
              <w:top w:val="single" w:sz="6" w:space="0" w:color="000000"/>
              <w:left w:val="single" w:sz="6" w:space="0" w:color="000000"/>
              <w:bottom w:val="single" w:sz="6" w:space="0" w:color="000000"/>
              <w:right w:val="single" w:sz="6" w:space="0" w:color="000000"/>
            </w:tcBorders>
            <w:vAlign w:val="center"/>
          </w:tcPr>
          <w:p w14:paraId="030E0317" w14:textId="77777777" w:rsidR="0070232D" w:rsidRDefault="0070232D">
            <w:pPr>
              <w:autoSpaceDE w:val="0"/>
              <w:autoSpaceDN w:val="0"/>
              <w:adjustRightInd w:val="0"/>
              <w:ind w:left="104"/>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Enero 2020</w:t>
            </w:r>
          </w:p>
        </w:tc>
      </w:tr>
      <w:tr w:rsidR="0070232D" w14:paraId="6F2E00C5" w14:textId="77777777">
        <w:trPr>
          <w:jc w:val="center"/>
        </w:trPr>
        <w:tc>
          <w:tcPr>
            <w:tcW w:w="1058" w:type="dxa"/>
            <w:tcBorders>
              <w:top w:val="single" w:sz="6" w:space="0" w:color="000000"/>
              <w:left w:val="single" w:sz="6" w:space="0" w:color="000000"/>
              <w:bottom w:val="single" w:sz="6" w:space="0" w:color="000000"/>
              <w:right w:val="single" w:sz="6" w:space="0" w:color="000000"/>
            </w:tcBorders>
            <w:vAlign w:val="center"/>
          </w:tcPr>
          <w:p w14:paraId="4EE25E85" w14:textId="77777777" w:rsidR="0070232D" w:rsidRDefault="0070232D">
            <w:pPr>
              <w:autoSpaceDE w:val="0"/>
              <w:autoSpaceDN w:val="0"/>
              <w:adjustRightInd w:val="0"/>
              <w:ind w:left="29"/>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7</w:t>
            </w:r>
          </w:p>
        </w:tc>
        <w:tc>
          <w:tcPr>
            <w:tcW w:w="4962" w:type="dxa"/>
            <w:tcBorders>
              <w:top w:val="single" w:sz="6" w:space="0" w:color="000000"/>
              <w:left w:val="single" w:sz="6" w:space="0" w:color="000000"/>
              <w:bottom w:val="single" w:sz="6" w:space="0" w:color="000000"/>
              <w:right w:val="single" w:sz="6" w:space="0" w:color="000000"/>
            </w:tcBorders>
          </w:tcPr>
          <w:p w14:paraId="5D50FE43" w14:textId="77777777" w:rsidR="0070232D" w:rsidRDefault="0070232D">
            <w:pPr>
              <w:autoSpaceDE w:val="0"/>
              <w:autoSpaceDN w:val="0"/>
              <w:adjustRightInd w:val="0"/>
              <w:ind w:left="134"/>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Compresores El Cerrito - Popayán</w:t>
            </w:r>
          </w:p>
        </w:tc>
        <w:tc>
          <w:tcPr>
            <w:tcW w:w="1913" w:type="dxa"/>
            <w:tcBorders>
              <w:top w:val="single" w:sz="6" w:space="0" w:color="000000"/>
              <w:left w:val="single" w:sz="6" w:space="0" w:color="000000"/>
              <w:bottom w:val="single" w:sz="6" w:space="0" w:color="000000"/>
              <w:right w:val="single" w:sz="6" w:space="0" w:color="000000"/>
            </w:tcBorders>
            <w:vAlign w:val="center"/>
          </w:tcPr>
          <w:p w14:paraId="07374A67" w14:textId="77777777" w:rsidR="0070232D" w:rsidRDefault="0070232D">
            <w:pPr>
              <w:autoSpaceDE w:val="0"/>
              <w:autoSpaceDN w:val="0"/>
              <w:adjustRightInd w:val="0"/>
              <w:ind w:left="104"/>
              <w:jc w:val="center"/>
              <w:rPr>
                <w:rFonts w:ascii="Bookman Old Style" w:hAnsi="Bookman Old Style" w:cs="Bookman Old Style"/>
                <w:color w:val="000000"/>
                <w:sz w:val="20"/>
                <w:szCs w:val="20"/>
                <w:lang w:val="es-CO" w:eastAsia="es-CO"/>
              </w:rPr>
            </w:pPr>
            <w:r>
              <w:rPr>
                <w:rFonts w:ascii="Bookman Old Style" w:hAnsi="Bookman Old Style" w:cs="Bookman Old Style"/>
                <w:color w:val="000000"/>
                <w:sz w:val="20"/>
                <w:szCs w:val="20"/>
                <w:lang w:val="es-CO" w:eastAsia="es-CO"/>
              </w:rPr>
              <w:t>Enero 2020</w:t>
            </w:r>
          </w:p>
        </w:tc>
      </w:tr>
    </w:tbl>
    <w:p w14:paraId="52E07DFA" w14:textId="77777777" w:rsidR="0070232D" w:rsidRDefault="0070232D" w:rsidP="0070232D">
      <w:pPr>
        <w:autoSpaceDE w:val="0"/>
        <w:autoSpaceDN w:val="0"/>
        <w:adjustRightInd w:val="0"/>
        <w:ind w:left="0"/>
        <w:jc w:val="both"/>
        <w:rPr>
          <w:rFonts w:ascii="Bookman Old Style" w:hAnsi="Bookman Old Style" w:cs="Bookman Old Style"/>
          <w:color w:val="000000"/>
          <w:sz w:val="20"/>
          <w:szCs w:val="20"/>
          <w:lang w:val="es-CO" w:eastAsia="es-CO"/>
        </w:rPr>
      </w:pPr>
    </w:p>
    <w:p w14:paraId="094DB5C4"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r>
        <w:rPr>
          <w:rFonts w:ascii="Bookman Old Style" w:hAnsi="Bookman Old Style" w:cs="Bookman Old Style"/>
          <w:color w:val="000000"/>
          <w:lang w:val="es-CO" w:eastAsia="es-CO"/>
        </w:rPr>
        <w:t xml:space="preserve">Mediante la Resolución CREG 107 de 2017 la Comisión estableció los procedimientos que se deben seguir para ejecutar proyectos del plan de abastecimiento de gas natural. </w:t>
      </w:r>
    </w:p>
    <w:p w14:paraId="0542E0CC"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p>
    <w:p w14:paraId="71B6953F"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r>
        <w:rPr>
          <w:rFonts w:ascii="Bookman Old Style" w:hAnsi="Bookman Old Style" w:cs="Bookman Old Style"/>
          <w:color w:val="000000"/>
          <w:lang w:val="es-CO" w:eastAsia="es-CO"/>
        </w:rPr>
        <w:t>En el Parágrafo 3 del Artículo 5 de la Resolución CREG 107 de 2017 se establece que “En Resolución aparte la CREG podrá adoptar regulación complementaria para ejecutar proyectos prioritarios del plan de abastecimiento de gas natural, o del plan transitorio de abastecimiento de gas natural, que por sus características requieran desarrollo regulatorio adicional al establecido en la presente Resolución”.</w:t>
      </w:r>
    </w:p>
    <w:p w14:paraId="0488995C" w14:textId="77777777" w:rsidR="0070232D" w:rsidRDefault="0070232D" w:rsidP="0070232D">
      <w:pPr>
        <w:autoSpaceDE w:val="0"/>
        <w:autoSpaceDN w:val="0"/>
        <w:adjustRightInd w:val="0"/>
        <w:ind w:left="0"/>
        <w:jc w:val="both"/>
        <w:rPr>
          <w:rFonts w:ascii="Bookman Old Style" w:hAnsi="Bookman Old Style" w:cs="Bookman Old Style"/>
          <w:color w:val="000000"/>
          <w:lang w:val="es-CO" w:eastAsia="es-CO"/>
        </w:rPr>
      </w:pPr>
    </w:p>
    <w:p w14:paraId="0770217D" w14:textId="77777777" w:rsidR="00161FDA" w:rsidRDefault="0070232D" w:rsidP="0070232D">
      <w:pPr>
        <w:pStyle w:val="Textoindependiente2"/>
        <w:spacing w:after="0" w:line="240" w:lineRule="auto"/>
        <w:ind w:left="0"/>
        <w:jc w:val="both"/>
        <w:rPr>
          <w:rFonts w:ascii="Bookman Old Style" w:hAnsi="Bookman Old Style"/>
          <w:color w:val="000000"/>
          <w:lang w:val="es-CO"/>
        </w:rPr>
      </w:pPr>
      <w:r>
        <w:rPr>
          <w:rFonts w:ascii="Bookman Old Style" w:hAnsi="Bookman Old Style" w:cs="Bookman Old Style"/>
          <w:color w:val="000000"/>
          <w:lang w:val="es-CO" w:eastAsia="es-CO"/>
        </w:rPr>
        <w:t>Con base en lo anterior se expidió la Resolución CREG 152 de 2017, la cual tiene por objeto establecer procedimientos particulares que deben aplicarse en la ejecución mediante procesos de selección de la infraestructura de importación de gas del Pacífico incluida en el plan transitorio de abastecimiento de gas natural adoptado por el Ministerio de Minas y Energía mediante la Resolución 40006 de 2017, o aquellas q</w:t>
      </w:r>
      <w:r w:rsidR="00E05533">
        <w:rPr>
          <w:rFonts w:ascii="Bookman Old Style" w:hAnsi="Bookman Old Style" w:cs="Bookman Old Style"/>
          <w:color w:val="000000"/>
          <w:lang w:val="es-CO" w:eastAsia="es-CO"/>
        </w:rPr>
        <w:t xml:space="preserve">ue la modifiquen o sustituyan. </w:t>
      </w:r>
    </w:p>
    <w:p w14:paraId="73C15B53" w14:textId="77777777" w:rsidR="000303F3" w:rsidRDefault="000303F3" w:rsidP="00E22F2E">
      <w:pPr>
        <w:jc w:val="center"/>
        <w:rPr>
          <w:rFonts w:ascii="Bookman Old Style" w:hAnsi="Bookman Old Style" w:cs="Arial"/>
          <w:b/>
          <w:color w:val="000000"/>
        </w:rPr>
      </w:pPr>
    </w:p>
    <w:p w14:paraId="5BD971B7" w14:textId="77777777" w:rsidR="00E05533" w:rsidRPr="00EF36A0" w:rsidRDefault="00E05533" w:rsidP="00E22F2E">
      <w:pPr>
        <w:jc w:val="center"/>
        <w:rPr>
          <w:rFonts w:ascii="Bookman Old Style" w:hAnsi="Bookman Old Style" w:cs="Arial"/>
          <w:b/>
          <w:color w:val="000000"/>
        </w:rPr>
      </w:pPr>
    </w:p>
    <w:p w14:paraId="3FEC6F58" w14:textId="77777777" w:rsidR="00A215FB" w:rsidRPr="00EF36A0" w:rsidRDefault="00A215FB" w:rsidP="00E22F2E">
      <w:pPr>
        <w:ind w:left="0"/>
        <w:jc w:val="center"/>
        <w:rPr>
          <w:rFonts w:ascii="Bookman Old Style" w:hAnsi="Bookman Old Style" w:cs="Arial"/>
          <w:b/>
          <w:color w:val="000000"/>
        </w:rPr>
      </w:pPr>
      <w:r w:rsidRPr="00EF36A0">
        <w:rPr>
          <w:rFonts w:ascii="Bookman Old Style" w:hAnsi="Bookman Old Style" w:cs="Arial"/>
          <w:b/>
          <w:color w:val="000000"/>
        </w:rPr>
        <w:t>R E S U E L V E:</w:t>
      </w:r>
    </w:p>
    <w:p w14:paraId="5807D684" w14:textId="75619AC2" w:rsidR="00161FDA" w:rsidRDefault="00161FDA" w:rsidP="00684D42">
      <w:pPr>
        <w:ind w:left="0"/>
        <w:rPr>
          <w:rFonts w:ascii="Bookman Old Style" w:hAnsi="Bookman Old Style" w:cs="Arial"/>
          <w:b/>
          <w:color w:val="000000"/>
        </w:rPr>
      </w:pPr>
    </w:p>
    <w:p w14:paraId="3C7AE955" w14:textId="77777777" w:rsidR="00C470FC" w:rsidRPr="00EF36A0" w:rsidRDefault="00C470FC" w:rsidP="00684D42">
      <w:pPr>
        <w:ind w:left="0"/>
        <w:rPr>
          <w:rFonts w:ascii="Bookman Old Style" w:hAnsi="Bookman Old Style" w:cs="Arial"/>
          <w:b/>
          <w:color w:val="000000"/>
        </w:rPr>
      </w:pPr>
    </w:p>
    <w:p w14:paraId="62D0D539" w14:textId="449049F9" w:rsidR="00077990" w:rsidRDefault="00161FDA" w:rsidP="002A49F8">
      <w:pPr>
        <w:pStyle w:val="ARTICULOS"/>
        <w:ind w:left="0"/>
      </w:pPr>
      <w:bookmarkStart w:id="1" w:name="_Ref253670052"/>
      <w:r w:rsidRPr="003D267D">
        <w:rPr>
          <w:b/>
        </w:rPr>
        <w:t>Objeto.</w:t>
      </w:r>
      <w:r w:rsidRPr="00161FDA">
        <w:t xml:space="preserve"> Mediante esta </w:t>
      </w:r>
      <w:r w:rsidR="00906102">
        <w:t>r</w:t>
      </w:r>
      <w:r w:rsidRPr="00161FDA">
        <w:t xml:space="preserve">esolución se regulan los aspectos comerciales relacionados con </w:t>
      </w:r>
      <w:r w:rsidR="00F13B6B">
        <w:t xml:space="preserve">el acceso y uso de </w:t>
      </w:r>
      <w:r w:rsidRPr="00161FDA">
        <w:t xml:space="preserve">la infraestructura de importación </w:t>
      </w:r>
      <w:r w:rsidR="004405EF">
        <w:t xml:space="preserve">de gas </w:t>
      </w:r>
      <w:r w:rsidRPr="00161FDA">
        <w:t>del Pacífico</w:t>
      </w:r>
      <w:r w:rsidR="00906102">
        <w:t xml:space="preserve"> </w:t>
      </w:r>
      <w:r w:rsidR="004405EF">
        <w:t xml:space="preserve">definida en el </w:t>
      </w:r>
      <w:r w:rsidR="00796954">
        <w:t>a</w:t>
      </w:r>
      <w:r w:rsidR="004405EF">
        <w:t>rtículo 3 de la Resolución CREG 152 de 2017</w:t>
      </w:r>
      <w:r w:rsidR="006D7BE5">
        <w:t>, y otras disposiciones complementarias</w:t>
      </w:r>
      <w:r w:rsidR="004405EF">
        <w:t xml:space="preserve">. </w:t>
      </w:r>
    </w:p>
    <w:p w14:paraId="5DC8E23F" w14:textId="4AA1A914" w:rsidR="006B21FB" w:rsidRDefault="006B21FB" w:rsidP="006B21FB">
      <w:pPr>
        <w:pStyle w:val="Estilo1"/>
      </w:pPr>
    </w:p>
    <w:p w14:paraId="36E04945" w14:textId="0DB734FE" w:rsidR="006B21FB" w:rsidRPr="006B21FB" w:rsidRDefault="006B21FB" w:rsidP="006B21FB">
      <w:pPr>
        <w:pStyle w:val="ARTICULOS"/>
        <w:ind w:left="0"/>
        <w:rPr>
          <w:b/>
        </w:rPr>
      </w:pPr>
      <w:r w:rsidRPr="006B21FB">
        <w:rPr>
          <w:b/>
        </w:rPr>
        <w:t>Ámbito de aplicación.</w:t>
      </w:r>
      <w:r w:rsidRPr="006B21FB">
        <w:rPr>
          <w:rFonts w:ascii="Times New Roman" w:hAnsi="Times New Roman"/>
          <w:color w:val="000000" w:themeColor="text1"/>
        </w:rPr>
        <w:t xml:space="preserve"> </w:t>
      </w:r>
      <w:r w:rsidRPr="006B21FB">
        <w:t xml:space="preserve">La presente </w:t>
      </w:r>
      <w:r>
        <w:t>r</w:t>
      </w:r>
      <w:r w:rsidRPr="006B21FB">
        <w:t>esolución aplica a todos los participantes del mercado de gas natural.</w:t>
      </w:r>
    </w:p>
    <w:bookmarkEnd w:id="1"/>
    <w:p w14:paraId="0090C9BF" w14:textId="77777777" w:rsidR="00684D42" w:rsidRPr="00EF36A0" w:rsidRDefault="00684D42" w:rsidP="00B43DFD">
      <w:pPr>
        <w:pStyle w:val="ARTICULOS"/>
        <w:numPr>
          <w:ilvl w:val="0"/>
          <w:numId w:val="0"/>
        </w:numPr>
      </w:pPr>
    </w:p>
    <w:p w14:paraId="4D98564A" w14:textId="6A73BB4D" w:rsidR="00161FDA" w:rsidRDefault="00684D42" w:rsidP="002A49F8">
      <w:pPr>
        <w:pStyle w:val="ARTICULOS"/>
        <w:ind w:left="0"/>
      </w:pPr>
      <w:bookmarkStart w:id="2" w:name="_Ref224661154"/>
      <w:r w:rsidRPr="00EF36A0">
        <w:rPr>
          <w:b/>
        </w:rPr>
        <w:t>Definiciones.</w:t>
      </w:r>
      <w:r w:rsidR="00161FDA">
        <w:t xml:space="preserve"> </w:t>
      </w:r>
      <w:r w:rsidR="00161FDA" w:rsidRPr="00161FDA">
        <w:t>Para la inter</w:t>
      </w:r>
      <w:r w:rsidR="006B21FB">
        <w:t>pretación y aplicación de esta r</w:t>
      </w:r>
      <w:r w:rsidR="00161FDA" w:rsidRPr="00161FDA">
        <w:t>esolución se tendrán en cuenta las siguientes definiciones, además de las contenidas en la Ley 142 de 1994, los decretos del Gobierno Nacional y las resoluciones de la CREG.</w:t>
      </w:r>
    </w:p>
    <w:p w14:paraId="68332DAC" w14:textId="77777777" w:rsidR="00161FDA" w:rsidRPr="00161FDA" w:rsidRDefault="00161FDA" w:rsidP="003D267D">
      <w:pPr>
        <w:pStyle w:val="Estilo1"/>
      </w:pPr>
    </w:p>
    <w:p w14:paraId="0E6C0E28" w14:textId="65EC6724" w:rsidR="00161FDA" w:rsidRDefault="00161FDA" w:rsidP="003F10A2">
      <w:pPr>
        <w:pStyle w:val="Estilo1"/>
      </w:pPr>
      <w:r w:rsidRPr="00161FDA">
        <w:rPr>
          <w:b/>
        </w:rPr>
        <w:t>Año</w:t>
      </w:r>
      <w:r w:rsidR="00654512">
        <w:rPr>
          <w:b/>
        </w:rPr>
        <w:t xml:space="preserve"> </w:t>
      </w:r>
      <w:r w:rsidR="00193BD8">
        <w:rPr>
          <w:b/>
        </w:rPr>
        <w:t>t</w:t>
      </w:r>
      <w:r w:rsidRPr="00161FDA">
        <w:rPr>
          <w:b/>
        </w:rPr>
        <w:t>:</w:t>
      </w:r>
      <w:r w:rsidR="00654512">
        <w:rPr>
          <w:b/>
        </w:rPr>
        <w:t xml:space="preserve"> </w:t>
      </w:r>
      <w:r w:rsidRPr="00161FDA">
        <w:t>Año que inicia un 1 de diciembre y termina el siguiente 30 de noviembre</w:t>
      </w:r>
      <w:r>
        <w:t>.</w:t>
      </w:r>
    </w:p>
    <w:p w14:paraId="393DB77B" w14:textId="77777777" w:rsidR="00C470FC" w:rsidRDefault="00C470FC" w:rsidP="003F10A2">
      <w:pPr>
        <w:pStyle w:val="Estilo1"/>
      </w:pPr>
    </w:p>
    <w:p w14:paraId="6267D2DF" w14:textId="1FAF41D5" w:rsidR="000F2B3A" w:rsidRPr="00F766A9" w:rsidRDefault="000F2B3A" w:rsidP="000F2B3A">
      <w:pPr>
        <w:ind w:left="0"/>
        <w:jc w:val="both"/>
        <w:rPr>
          <w:rFonts w:ascii="Bookman Old Style" w:hAnsi="Bookman Old Style" w:cs="Arial"/>
          <w:color w:val="000000" w:themeColor="text1"/>
        </w:rPr>
      </w:pPr>
      <w:r w:rsidRPr="00F766A9">
        <w:rPr>
          <w:rFonts w:ascii="Bookman Old Style" w:hAnsi="Bookman Old Style" w:cs="Arial"/>
          <w:b/>
          <w:color w:val="000000" w:themeColor="text1"/>
        </w:rPr>
        <w:lastRenderedPageBreak/>
        <w:t>Contrato firme o que garantiza firmeza</w:t>
      </w:r>
      <w:r w:rsidR="004405EF">
        <w:rPr>
          <w:rFonts w:ascii="Bookman Old Style" w:hAnsi="Bookman Old Style" w:cs="Arial"/>
          <w:b/>
          <w:color w:val="000000" w:themeColor="text1"/>
        </w:rPr>
        <w:t xml:space="preserve"> de </w:t>
      </w:r>
      <w:r w:rsidR="00A03A53">
        <w:rPr>
          <w:rFonts w:ascii="Bookman Old Style" w:hAnsi="Bookman Old Style" w:cs="Arial"/>
          <w:b/>
          <w:color w:val="000000" w:themeColor="text1"/>
        </w:rPr>
        <w:t>r</w:t>
      </w:r>
      <w:r w:rsidR="004405EF">
        <w:rPr>
          <w:rFonts w:ascii="Bookman Old Style" w:hAnsi="Bookman Old Style" w:cs="Arial"/>
          <w:b/>
          <w:color w:val="000000" w:themeColor="text1"/>
        </w:rPr>
        <w:t>egasificación</w:t>
      </w:r>
      <w:r w:rsidRPr="00F766A9">
        <w:rPr>
          <w:rFonts w:ascii="Bookman Old Style" w:hAnsi="Bookman Old Style" w:cs="Arial"/>
          <w:b/>
          <w:color w:val="000000" w:themeColor="text1"/>
        </w:rPr>
        <w:t>, CF</w:t>
      </w:r>
      <w:r w:rsidR="004405EF">
        <w:rPr>
          <w:rFonts w:ascii="Bookman Old Style" w:hAnsi="Bookman Old Style" w:cs="Arial"/>
          <w:b/>
          <w:color w:val="000000" w:themeColor="text1"/>
        </w:rPr>
        <w:t>R</w:t>
      </w:r>
      <w:r w:rsidRPr="00F766A9">
        <w:rPr>
          <w:rFonts w:ascii="Bookman Old Style" w:hAnsi="Bookman Old Style" w:cs="Arial"/>
          <w:b/>
          <w:color w:val="000000" w:themeColor="text1"/>
        </w:rPr>
        <w:t>:</w:t>
      </w:r>
      <w:r w:rsidRPr="00F766A9">
        <w:rPr>
          <w:rFonts w:ascii="Bookman Old Style" w:hAnsi="Bookman Old Style" w:cs="Arial"/>
          <w:color w:val="000000" w:themeColor="text1"/>
        </w:rPr>
        <w:t xml:space="preserve"> contrato escrito en el que </w:t>
      </w:r>
      <w:r>
        <w:rPr>
          <w:rFonts w:ascii="Bookman Old Style" w:hAnsi="Bookman Old Style" w:cs="Arial"/>
          <w:color w:val="000000" w:themeColor="text1"/>
        </w:rPr>
        <w:t xml:space="preserve">el adjudicatario de la </w:t>
      </w:r>
      <w:r w:rsidR="00A03A53">
        <w:rPr>
          <w:rFonts w:ascii="Bookman Old Style" w:hAnsi="Bookman Old Style" w:cs="Arial"/>
          <w:color w:val="000000" w:themeColor="text1"/>
        </w:rPr>
        <w:t xml:space="preserve">infraestructura de importación de gas del Pacífico </w:t>
      </w:r>
      <w:r>
        <w:rPr>
          <w:rFonts w:ascii="Bookman Old Style" w:hAnsi="Bookman Old Style" w:cs="Arial"/>
          <w:color w:val="000000" w:themeColor="text1"/>
        </w:rPr>
        <w:t xml:space="preserve">garantiza una capacidad de regasificación </w:t>
      </w:r>
      <w:r w:rsidR="00A03A53">
        <w:rPr>
          <w:rFonts w:ascii="Bookman Old Style" w:hAnsi="Bookman Old Style" w:cs="Arial"/>
          <w:color w:val="000000" w:themeColor="text1"/>
        </w:rPr>
        <w:t>de la planta de regasificación del Pacífico y/</w:t>
      </w:r>
      <w:r>
        <w:rPr>
          <w:rFonts w:ascii="Bookman Old Style" w:hAnsi="Bookman Old Style" w:cs="Arial"/>
          <w:color w:val="000000" w:themeColor="text1"/>
        </w:rPr>
        <w:t xml:space="preserve">o </w:t>
      </w:r>
      <w:r w:rsidR="00A03A53">
        <w:rPr>
          <w:rFonts w:ascii="Bookman Old Style" w:hAnsi="Bookman Old Style" w:cs="Arial"/>
          <w:color w:val="000000" w:themeColor="text1"/>
        </w:rPr>
        <w:t xml:space="preserve">una capacidad </w:t>
      </w:r>
      <w:r>
        <w:rPr>
          <w:rFonts w:ascii="Bookman Old Style" w:hAnsi="Bookman Old Style" w:cs="Arial"/>
          <w:color w:val="000000" w:themeColor="text1"/>
        </w:rPr>
        <w:t>de transporte</w:t>
      </w:r>
      <w:r w:rsidR="00A03A53">
        <w:rPr>
          <w:rFonts w:ascii="Bookman Old Style" w:hAnsi="Bookman Old Style" w:cs="Arial"/>
          <w:color w:val="000000" w:themeColor="text1"/>
        </w:rPr>
        <w:t xml:space="preserve"> del gasoducto Buenaventura – Yumbo</w:t>
      </w:r>
      <w:r w:rsidRPr="00F766A9">
        <w:rPr>
          <w:rFonts w:ascii="Bookman Old Style" w:hAnsi="Bookman Old Style" w:cs="Arial"/>
          <w:color w:val="000000" w:themeColor="text1"/>
        </w:rPr>
        <w:t>,</w:t>
      </w:r>
      <w:r>
        <w:rPr>
          <w:rFonts w:ascii="Bookman Old Style" w:hAnsi="Bookman Old Style" w:cs="Arial"/>
          <w:color w:val="000000" w:themeColor="text1"/>
        </w:rPr>
        <w:t xml:space="preserve"> </w:t>
      </w:r>
      <w:r w:rsidRPr="00F766A9">
        <w:rPr>
          <w:rFonts w:ascii="Bookman Old Style" w:hAnsi="Bookman Old Style" w:cs="Arial"/>
          <w:color w:val="000000" w:themeColor="text1"/>
        </w:rPr>
        <w:t>sin interrupciones, durante un período determinado, excepto en los días establecidos para mantenimiento y labores programadas. Esta modalidad de contrato requiere de respaldo físico.</w:t>
      </w:r>
    </w:p>
    <w:p w14:paraId="441193A5" w14:textId="77777777" w:rsidR="0054519C" w:rsidRDefault="0054519C" w:rsidP="003F10A2">
      <w:pPr>
        <w:pStyle w:val="Estilo1"/>
      </w:pPr>
    </w:p>
    <w:p w14:paraId="120AE748" w14:textId="1697D1A8" w:rsidR="00C17D17" w:rsidRDefault="0054519C" w:rsidP="0054519C">
      <w:pPr>
        <w:ind w:left="0"/>
        <w:jc w:val="both"/>
        <w:rPr>
          <w:rFonts w:ascii="Bookman Old Style" w:hAnsi="Bookman Old Style" w:cs="Arial"/>
          <w:bCs/>
          <w:color w:val="000000" w:themeColor="text1"/>
          <w:lang w:eastAsia="x-none"/>
        </w:rPr>
      </w:pPr>
      <w:r w:rsidRPr="00F766A9">
        <w:rPr>
          <w:rFonts w:ascii="Bookman Old Style" w:hAnsi="Bookman Old Style" w:cs="Arial"/>
          <w:b/>
          <w:color w:val="000000" w:themeColor="text1"/>
        </w:rPr>
        <w:t>Eventos de fuerza mayor, caso fortuito o causa extraña:</w:t>
      </w:r>
      <w:r w:rsidRPr="00F766A9">
        <w:rPr>
          <w:rFonts w:ascii="Bookman Old Style" w:hAnsi="Bookman Old Style" w:cs="Arial"/>
          <w:color w:val="000000" w:themeColor="text1"/>
        </w:rPr>
        <w:t xml:space="preserve"> </w:t>
      </w:r>
      <w:r w:rsidR="00C17D17">
        <w:rPr>
          <w:rFonts w:ascii="Bookman Old Style" w:hAnsi="Bookman Old Style" w:cs="Arial"/>
          <w:color w:val="000000" w:themeColor="text1"/>
        </w:rPr>
        <w:t>aplica la definición establecida en la Resolución CREG 114 de 2017, o la que la modifique o sustituya.</w:t>
      </w:r>
    </w:p>
    <w:p w14:paraId="3A6DD2AF" w14:textId="77777777" w:rsidR="00C17D17" w:rsidRDefault="00C17D17" w:rsidP="0054519C">
      <w:pPr>
        <w:ind w:left="0"/>
        <w:jc w:val="both"/>
        <w:rPr>
          <w:rFonts w:ascii="Bookman Old Style" w:hAnsi="Bookman Old Style" w:cs="Arial"/>
          <w:bCs/>
          <w:color w:val="000000" w:themeColor="text1"/>
          <w:lang w:eastAsia="x-none"/>
        </w:rPr>
      </w:pPr>
    </w:p>
    <w:p w14:paraId="715A0A96" w14:textId="5952D333" w:rsidR="0054519C" w:rsidRPr="00F766A9" w:rsidRDefault="00C17D17" w:rsidP="0054519C">
      <w:pPr>
        <w:ind w:left="0"/>
        <w:jc w:val="both"/>
        <w:rPr>
          <w:rFonts w:ascii="Bookman Old Style" w:hAnsi="Bookman Old Style" w:cs="Arial"/>
          <w:color w:val="000000" w:themeColor="text1"/>
        </w:rPr>
      </w:pPr>
      <w:r w:rsidRPr="00F766A9">
        <w:rPr>
          <w:rFonts w:ascii="Bookman Old Style" w:hAnsi="Bookman Old Style" w:cs="Arial"/>
          <w:b/>
          <w:color w:val="000000" w:themeColor="text1"/>
        </w:rPr>
        <w:t>Eventos eximentes de responsabilidad</w:t>
      </w:r>
      <w:r>
        <w:rPr>
          <w:rFonts w:ascii="Bookman Old Style" w:hAnsi="Bookman Old Style" w:cs="Arial"/>
          <w:b/>
          <w:color w:val="000000" w:themeColor="text1"/>
        </w:rPr>
        <w:t xml:space="preserve">: </w:t>
      </w:r>
      <w:r w:rsidRPr="009E39FE">
        <w:rPr>
          <w:rFonts w:ascii="Bookman Old Style" w:hAnsi="Bookman Old Style" w:cs="Arial"/>
          <w:color w:val="000000" w:themeColor="text1"/>
        </w:rPr>
        <w:t>para los activos diferentes a la planta de regasificación,</w:t>
      </w:r>
      <w:r>
        <w:rPr>
          <w:rFonts w:ascii="Bookman Old Style" w:hAnsi="Bookman Old Style" w:cs="Arial"/>
          <w:b/>
          <w:color w:val="000000" w:themeColor="text1"/>
        </w:rPr>
        <w:t xml:space="preserve"> </w:t>
      </w:r>
      <w:r>
        <w:rPr>
          <w:rFonts w:ascii="Bookman Old Style" w:hAnsi="Bookman Old Style" w:cs="Arial"/>
          <w:color w:val="000000" w:themeColor="text1"/>
        </w:rPr>
        <w:t>aplica la definición establecida en la Resolución CREG 114 de 2017, o la que la modifique o sustituya.</w:t>
      </w:r>
    </w:p>
    <w:p w14:paraId="2655210B" w14:textId="77777777" w:rsidR="0054519C" w:rsidRPr="00161FDA" w:rsidRDefault="0054519C" w:rsidP="003F10A2">
      <w:pPr>
        <w:pStyle w:val="Estilo1"/>
      </w:pPr>
    </w:p>
    <w:p w14:paraId="2AE162E9" w14:textId="4F076BA0" w:rsidR="0054519C" w:rsidRPr="00F766A9" w:rsidRDefault="0054519C" w:rsidP="0054519C">
      <w:pPr>
        <w:ind w:left="0"/>
        <w:jc w:val="both"/>
        <w:rPr>
          <w:rFonts w:ascii="Bookman Old Style" w:hAnsi="Bookman Old Style" w:cs="Arial"/>
          <w:color w:val="000000" w:themeColor="text1"/>
        </w:rPr>
      </w:pPr>
      <w:r w:rsidRPr="00F766A9">
        <w:rPr>
          <w:rFonts w:ascii="Bookman Old Style" w:hAnsi="Bookman Old Style" w:cs="Arial"/>
          <w:b/>
          <w:color w:val="000000" w:themeColor="text1"/>
        </w:rPr>
        <w:t>Eventos eximentes de responsabilidad</w:t>
      </w:r>
      <w:r w:rsidR="00C17D17">
        <w:rPr>
          <w:rFonts w:ascii="Bookman Old Style" w:hAnsi="Bookman Old Style" w:cs="Arial"/>
          <w:b/>
          <w:color w:val="000000" w:themeColor="text1"/>
        </w:rPr>
        <w:t xml:space="preserve"> en la planta de regasificación</w:t>
      </w:r>
      <w:r w:rsidRPr="00F766A9">
        <w:rPr>
          <w:rFonts w:ascii="Bookman Old Style" w:hAnsi="Bookman Old Style" w:cs="Arial"/>
          <w:b/>
          <w:color w:val="000000" w:themeColor="text1"/>
        </w:rPr>
        <w:t>:</w:t>
      </w:r>
      <w:r w:rsidRPr="00F766A9">
        <w:rPr>
          <w:rFonts w:ascii="Bookman Old Style" w:hAnsi="Bookman Old Style" w:cs="Arial"/>
          <w:color w:val="000000" w:themeColor="text1"/>
        </w:rPr>
        <w:t xml:space="preserve"> eventos taxativamente establecidos</w:t>
      </w:r>
      <w:r>
        <w:rPr>
          <w:rFonts w:ascii="Bookman Old Style" w:hAnsi="Bookman Old Style" w:cs="Arial"/>
          <w:color w:val="000000" w:themeColor="text1"/>
        </w:rPr>
        <w:t xml:space="preserve"> en la presente r</w:t>
      </w:r>
      <w:r w:rsidRPr="00F766A9">
        <w:rPr>
          <w:rFonts w:ascii="Bookman Old Style" w:hAnsi="Bookman Old Style" w:cs="Arial"/>
          <w:color w:val="000000" w:themeColor="text1"/>
        </w:rPr>
        <w:t xml:space="preserve">esolución, distintos a los eventos de fuerza mayor, caso fortuito o causa extraña, que eximen de responsabilidad a los participantes del mercado por incumplimiento parcial o total de obligaciones contractuales, si </w:t>
      </w:r>
      <w:r w:rsidR="006B21FB">
        <w:rPr>
          <w:rFonts w:ascii="Bookman Old Style" w:hAnsi="Bookman Old Style" w:cs="Arial"/>
          <w:color w:val="000000" w:themeColor="text1"/>
        </w:rPr>
        <w:t>e</w:t>
      </w:r>
      <w:r w:rsidRPr="00F766A9">
        <w:rPr>
          <w:rFonts w:ascii="Bookman Old Style" w:hAnsi="Bookman Old Style" w:cs="Arial"/>
          <w:color w:val="000000" w:themeColor="text1"/>
        </w:rPr>
        <w:t>ste se deriva de ellos, por estar razonablemente fuera de control de la parte que lo alega</w:t>
      </w:r>
      <w:r w:rsidRPr="00F766A9">
        <w:rPr>
          <w:rFonts w:ascii="Bookman Old Style" w:hAnsi="Bookman Old Style"/>
          <w:color w:val="000000" w:themeColor="text1"/>
        </w:rPr>
        <w:t xml:space="preserve"> </w:t>
      </w:r>
      <w:r w:rsidRPr="00F766A9">
        <w:rPr>
          <w:rFonts w:ascii="Bookman Old Style" w:hAnsi="Bookman Old Style" w:cs="Arial"/>
          <w:color w:val="000000" w:themeColor="text1"/>
        </w:rPr>
        <w:t xml:space="preserve">pese a la oportuna diligencia y cuidado debidos por dicha parte para prevenir o impedir su acaecimiento o los efectos del mismo. </w:t>
      </w:r>
    </w:p>
    <w:p w14:paraId="239C5C2A" w14:textId="77777777" w:rsidR="00A377BA" w:rsidRDefault="00A377BA" w:rsidP="00A377BA">
      <w:pPr>
        <w:ind w:left="0"/>
        <w:jc w:val="both"/>
        <w:rPr>
          <w:rFonts w:ascii="Bookman Old Style" w:hAnsi="Bookman Old Style" w:cs="Arial"/>
          <w:b/>
          <w:color w:val="000000" w:themeColor="text1"/>
        </w:rPr>
      </w:pPr>
    </w:p>
    <w:p w14:paraId="408870BA" w14:textId="002DDE6D" w:rsidR="00A377BA" w:rsidRPr="00E97E44" w:rsidRDefault="00A377BA" w:rsidP="00A377BA">
      <w:pPr>
        <w:ind w:left="0"/>
        <w:jc w:val="both"/>
        <w:rPr>
          <w:rFonts w:ascii="Bookman Old Style" w:hAnsi="Bookman Old Style" w:cs="Arial"/>
          <w:b/>
          <w:color w:val="000000" w:themeColor="text1"/>
        </w:rPr>
      </w:pPr>
      <w:r>
        <w:rPr>
          <w:rFonts w:ascii="Bookman Old Style" w:hAnsi="Bookman Old Style" w:cs="Arial"/>
          <w:b/>
          <w:color w:val="000000" w:themeColor="text1"/>
        </w:rPr>
        <w:t>Gestor del m</w:t>
      </w:r>
      <w:r w:rsidRPr="00E97E44">
        <w:rPr>
          <w:rFonts w:ascii="Bookman Old Style" w:hAnsi="Bookman Old Style" w:cs="Arial"/>
          <w:b/>
          <w:color w:val="000000" w:themeColor="text1"/>
        </w:rPr>
        <w:t>ercado</w:t>
      </w:r>
      <w:r>
        <w:rPr>
          <w:rFonts w:ascii="Bookman Old Style" w:hAnsi="Bookman Old Style" w:cs="Arial"/>
          <w:b/>
          <w:color w:val="000000" w:themeColor="text1"/>
        </w:rPr>
        <w:t xml:space="preserve">: </w:t>
      </w:r>
      <w:r w:rsidR="001831D3" w:rsidRPr="001831D3">
        <w:rPr>
          <w:rFonts w:ascii="Bookman Old Style" w:hAnsi="Bookman Old Style" w:cs="Arial"/>
          <w:color w:val="000000" w:themeColor="text1"/>
        </w:rPr>
        <w:t>responsable de la prestación de los servicios de gestión del mercado primario y del mercado secundario, en los términos establecidos</w:t>
      </w:r>
      <w:r w:rsidR="00B20A3F">
        <w:rPr>
          <w:rFonts w:ascii="Bookman Old Style" w:hAnsi="Bookman Old Style" w:cs="Arial"/>
          <w:color w:val="000000" w:themeColor="text1"/>
        </w:rPr>
        <w:t xml:space="preserve"> en</w:t>
      </w:r>
      <w:r w:rsidR="001831D3">
        <w:rPr>
          <w:rFonts w:ascii="Bookman Old Style" w:hAnsi="Bookman Old Style" w:cs="Arial"/>
          <w:color w:val="000000" w:themeColor="text1"/>
        </w:rPr>
        <w:t xml:space="preserve"> </w:t>
      </w:r>
      <w:r w:rsidR="00B20A3F">
        <w:rPr>
          <w:rFonts w:ascii="Bookman Old Style" w:hAnsi="Bookman Old Style" w:cs="Arial"/>
          <w:color w:val="000000" w:themeColor="text1"/>
        </w:rPr>
        <w:t>la</w:t>
      </w:r>
      <w:r w:rsidR="001831D3">
        <w:rPr>
          <w:rFonts w:ascii="Bookman Old Style" w:hAnsi="Bookman Old Style" w:cs="Arial"/>
          <w:color w:val="000000" w:themeColor="text1"/>
        </w:rPr>
        <w:t xml:space="preserve"> Resolución CREG 114 de 2017, o la que la modifique o sustituya.</w:t>
      </w:r>
    </w:p>
    <w:p w14:paraId="4D59759F" w14:textId="77777777" w:rsidR="00A377BA" w:rsidRDefault="00A377BA" w:rsidP="00E856A7">
      <w:pPr>
        <w:pStyle w:val="Estilo8"/>
        <w:widowControl w:val="0"/>
        <w:jc w:val="both"/>
      </w:pPr>
    </w:p>
    <w:p w14:paraId="7C023DBC" w14:textId="7ABAB97C" w:rsidR="00A35F29" w:rsidRDefault="00B919C3" w:rsidP="00B919C3">
      <w:pPr>
        <w:pStyle w:val="Estilo8"/>
        <w:widowControl w:val="0"/>
        <w:jc w:val="both"/>
        <w:rPr>
          <w:rFonts w:ascii="Bookman Old Style" w:hAnsi="Bookman Old Style"/>
          <w:color w:val="000000"/>
          <w:sz w:val="24"/>
          <w:szCs w:val="24"/>
        </w:rPr>
      </w:pPr>
      <w:r w:rsidRPr="00BB17D5">
        <w:rPr>
          <w:rFonts w:ascii="Bookman Old Style" w:hAnsi="Bookman Old Style"/>
          <w:b/>
          <w:color w:val="000000"/>
          <w:sz w:val="24"/>
          <w:szCs w:val="24"/>
        </w:rPr>
        <w:t xml:space="preserve">Infraestructura de importación de gas del Pacífico: </w:t>
      </w:r>
      <w:r w:rsidR="00C52AB0" w:rsidRPr="009E39FE">
        <w:rPr>
          <w:rFonts w:ascii="Bookman Old Style" w:hAnsi="Bookman Old Style"/>
          <w:color w:val="000000"/>
          <w:sz w:val="24"/>
          <w:szCs w:val="24"/>
        </w:rPr>
        <w:t>aplica la</w:t>
      </w:r>
      <w:r w:rsidR="00C52AB0">
        <w:rPr>
          <w:rFonts w:ascii="Bookman Old Style" w:hAnsi="Bookman Old Style"/>
          <w:b/>
          <w:color w:val="000000"/>
          <w:sz w:val="24"/>
          <w:szCs w:val="24"/>
        </w:rPr>
        <w:t xml:space="preserve"> </w:t>
      </w:r>
      <w:r w:rsidR="00C52AB0">
        <w:rPr>
          <w:rFonts w:ascii="Bookman Old Style" w:hAnsi="Bookman Old Style"/>
          <w:color w:val="000000"/>
          <w:sz w:val="24"/>
          <w:szCs w:val="24"/>
        </w:rPr>
        <w:t>definición establecida en la Resolución CREG 1</w:t>
      </w:r>
      <w:r w:rsidR="00B20A3F">
        <w:rPr>
          <w:rFonts w:ascii="Bookman Old Style" w:hAnsi="Bookman Old Style"/>
          <w:color w:val="000000"/>
          <w:sz w:val="24"/>
          <w:szCs w:val="24"/>
        </w:rPr>
        <w:t>52</w:t>
      </w:r>
      <w:r w:rsidR="00C52AB0">
        <w:rPr>
          <w:rFonts w:ascii="Bookman Old Style" w:hAnsi="Bookman Old Style"/>
          <w:color w:val="000000"/>
          <w:sz w:val="24"/>
          <w:szCs w:val="24"/>
        </w:rPr>
        <w:t xml:space="preserve"> de 2017</w:t>
      </w:r>
      <w:r w:rsidRPr="00BB17D5">
        <w:rPr>
          <w:rFonts w:ascii="Bookman Old Style" w:hAnsi="Bookman Old Style"/>
          <w:color w:val="000000"/>
          <w:sz w:val="24"/>
          <w:szCs w:val="24"/>
        </w:rPr>
        <w:t xml:space="preserve">. </w:t>
      </w:r>
    </w:p>
    <w:p w14:paraId="31C5BDA5" w14:textId="77777777" w:rsidR="00B20F87" w:rsidRDefault="00B20F87" w:rsidP="00B919C3">
      <w:pPr>
        <w:pStyle w:val="Estilo8"/>
        <w:widowControl w:val="0"/>
        <w:jc w:val="both"/>
        <w:rPr>
          <w:rFonts w:ascii="Bookman Old Style" w:hAnsi="Bookman Old Style"/>
          <w:color w:val="000000"/>
          <w:sz w:val="24"/>
          <w:szCs w:val="24"/>
        </w:rPr>
      </w:pPr>
    </w:p>
    <w:p w14:paraId="0A0920D6" w14:textId="381092EF" w:rsidR="001322BF" w:rsidRPr="00F766A9" w:rsidRDefault="001322BF" w:rsidP="001322BF">
      <w:pPr>
        <w:pStyle w:val="ARTICULOS"/>
        <w:numPr>
          <w:ilvl w:val="0"/>
          <w:numId w:val="0"/>
        </w:numPr>
        <w:rPr>
          <w:color w:val="000000" w:themeColor="text1"/>
        </w:rPr>
      </w:pPr>
      <w:r w:rsidRPr="00F766A9">
        <w:rPr>
          <w:b/>
          <w:color w:val="000000" w:themeColor="text1"/>
        </w:rPr>
        <w:t>Mercado secundario</w:t>
      </w:r>
      <w:r w:rsidR="00E97739">
        <w:rPr>
          <w:b/>
          <w:color w:val="000000" w:themeColor="text1"/>
        </w:rPr>
        <w:t xml:space="preserve"> de regasificación</w:t>
      </w:r>
      <w:r w:rsidRPr="00F766A9">
        <w:rPr>
          <w:b/>
          <w:color w:val="000000" w:themeColor="text1"/>
        </w:rPr>
        <w:t>:</w:t>
      </w:r>
      <w:r w:rsidRPr="00F766A9">
        <w:rPr>
          <w:color w:val="000000" w:themeColor="text1"/>
        </w:rPr>
        <w:t xml:space="preserve"> mercado donde los participantes del mercado</w:t>
      </w:r>
      <w:r>
        <w:rPr>
          <w:color w:val="000000" w:themeColor="text1"/>
        </w:rPr>
        <w:t xml:space="preserve"> primario</w:t>
      </w:r>
      <w:r w:rsidRPr="00F766A9">
        <w:rPr>
          <w:color w:val="000000" w:themeColor="text1"/>
        </w:rPr>
        <w:t xml:space="preserve"> con </w:t>
      </w:r>
      <w:r>
        <w:rPr>
          <w:color w:val="000000" w:themeColor="text1"/>
        </w:rPr>
        <w:t>derechos de</w:t>
      </w:r>
      <w:r w:rsidRPr="00F766A9">
        <w:rPr>
          <w:color w:val="000000" w:themeColor="text1"/>
        </w:rPr>
        <w:t xml:space="preserve"> capacidad </w:t>
      </w:r>
      <w:r>
        <w:rPr>
          <w:color w:val="000000" w:themeColor="text1"/>
        </w:rPr>
        <w:t>en la infraestructura de importación de gas del Pacífico</w:t>
      </w:r>
      <w:r w:rsidRPr="00F766A9">
        <w:rPr>
          <w:color w:val="000000" w:themeColor="text1"/>
        </w:rPr>
        <w:t xml:space="preserve"> pueden negociar sus derechos contractuales</w:t>
      </w:r>
      <w:r w:rsidRPr="00C82724">
        <w:rPr>
          <w:color w:val="000000" w:themeColor="text1"/>
        </w:rPr>
        <w:t>. Los productores-comercializadores de gas natural, los comercializadores de ga</w:t>
      </w:r>
      <w:r w:rsidRPr="00F766A9">
        <w:rPr>
          <w:color w:val="000000" w:themeColor="text1"/>
        </w:rPr>
        <w:t xml:space="preserve">s importado y los </w:t>
      </w:r>
      <w:r>
        <w:rPr>
          <w:color w:val="000000" w:themeColor="text1"/>
        </w:rPr>
        <w:t>usuarios no regulados</w:t>
      </w:r>
      <w:r w:rsidRPr="00F766A9">
        <w:rPr>
          <w:color w:val="000000" w:themeColor="text1"/>
        </w:rPr>
        <w:t xml:space="preserve"> podrán participar como compradores en este me</w:t>
      </w:r>
      <w:r w:rsidR="006B21FB">
        <w:rPr>
          <w:color w:val="000000" w:themeColor="text1"/>
        </w:rPr>
        <w:t xml:space="preserve">rcado, en los términos de </w:t>
      </w:r>
      <w:r w:rsidR="00E97739">
        <w:rPr>
          <w:color w:val="000000" w:themeColor="text1"/>
        </w:rPr>
        <w:t xml:space="preserve">la presente </w:t>
      </w:r>
      <w:r w:rsidR="006B21FB">
        <w:rPr>
          <w:color w:val="000000" w:themeColor="text1"/>
        </w:rPr>
        <w:t>r</w:t>
      </w:r>
      <w:r w:rsidRPr="00F766A9">
        <w:rPr>
          <w:color w:val="000000" w:themeColor="text1"/>
        </w:rPr>
        <w:t>esolución.</w:t>
      </w:r>
    </w:p>
    <w:p w14:paraId="1B3D6692" w14:textId="77777777" w:rsidR="001322BF" w:rsidRDefault="001322BF" w:rsidP="00B919C3">
      <w:pPr>
        <w:pStyle w:val="Estilo8"/>
        <w:widowControl w:val="0"/>
        <w:jc w:val="both"/>
        <w:rPr>
          <w:rFonts w:ascii="Bookman Old Style" w:hAnsi="Bookman Old Style"/>
          <w:color w:val="000000"/>
          <w:sz w:val="24"/>
          <w:szCs w:val="24"/>
        </w:rPr>
      </w:pPr>
    </w:p>
    <w:p w14:paraId="1D94A4B1" w14:textId="77777777" w:rsidR="00B20F87" w:rsidRPr="00BB17D5" w:rsidRDefault="00B20F87" w:rsidP="00B919C3">
      <w:pPr>
        <w:pStyle w:val="Estilo8"/>
        <w:widowControl w:val="0"/>
        <w:jc w:val="both"/>
        <w:rPr>
          <w:rFonts w:ascii="Bookman Old Style" w:hAnsi="Bookman Old Style"/>
          <w:color w:val="000000"/>
          <w:sz w:val="24"/>
          <w:szCs w:val="24"/>
        </w:rPr>
      </w:pPr>
      <w:r w:rsidRPr="003F10A2">
        <w:rPr>
          <w:rFonts w:ascii="Bookman Old Style" w:hAnsi="Bookman Old Style"/>
          <w:b/>
          <w:color w:val="000000"/>
          <w:sz w:val="24"/>
          <w:szCs w:val="24"/>
        </w:rPr>
        <w:t>Servicios de la infraestructura:</w:t>
      </w:r>
      <w:r>
        <w:rPr>
          <w:rFonts w:ascii="Bookman Old Style" w:hAnsi="Bookman Old Style"/>
          <w:color w:val="000000"/>
          <w:sz w:val="24"/>
          <w:szCs w:val="24"/>
        </w:rPr>
        <w:t xml:space="preserve"> cada uno de los servicios que pueden prestarse a través de las instalaciones que componen la infraestructura de importación de gas del Pacífico los cuales serán definidos por la Unidad de Planeación Minero Energética, UPME, en los pliegos que defina para la selección del adjudicatario de esta infraestructura. </w:t>
      </w:r>
    </w:p>
    <w:p w14:paraId="1DF99959" w14:textId="77777777" w:rsidR="00106707" w:rsidRDefault="00106707" w:rsidP="00E856A7">
      <w:pPr>
        <w:pStyle w:val="Estilo8"/>
        <w:widowControl w:val="0"/>
        <w:jc w:val="both"/>
      </w:pPr>
    </w:p>
    <w:p w14:paraId="0C0ED502" w14:textId="5B5F2861" w:rsidR="004A3E64" w:rsidRDefault="004A3E64" w:rsidP="004A3E64">
      <w:pPr>
        <w:pStyle w:val="ARTICULOS"/>
        <w:spacing w:after="120"/>
        <w:ind w:left="0"/>
        <w:rPr>
          <w:lang w:val="es-CO"/>
        </w:rPr>
      </w:pPr>
      <w:bookmarkStart w:id="3" w:name="_Ref501639282"/>
      <w:bookmarkEnd w:id="2"/>
      <w:r w:rsidRPr="00880AD7">
        <w:rPr>
          <w:b/>
          <w:lang w:val="es-CO"/>
        </w:rPr>
        <w:t>Compradores de los servicios.</w:t>
      </w:r>
      <w:r w:rsidRPr="00C5504A">
        <w:rPr>
          <w:b/>
          <w:lang w:val="es-CO"/>
        </w:rPr>
        <w:t xml:space="preserve"> </w:t>
      </w:r>
      <w:r w:rsidRPr="002A49F8">
        <w:rPr>
          <w:lang w:val="es-CO"/>
        </w:rPr>
        <w:t>Únicamente podrán ser</w:t>
      </w:r>
      <w:r w:rsidRPr="00106707">
        <w:rPr>
          <w:lang w:val="es-CO"/>
        </w:rPr>
        <w:t xml:space="preserve"> compradores de los servicios de la infraestructura </w:t>
      </w:r>
      <w:r w:rsidR="008A5CBA">
        <w:rPr>
          <w:lang w:val="es-CO"/>
        </w:rPr>
        <w:t>los comercializadores</w:t>
      </w:r>
      <w:r w:rsidR="00C96C91">
        <w:rPr>
          <w:lang w:val="es-CO"/>
        </w:rPr>
        <w:t xml:space="preserve"> de gas</w:t>
      </w:r>
      <w:r w:rsidR="008A5CBA">
        <w:rPr>
          <w:lang w:val="es-CO"/>
        </w:rPr>
        <w:t xml:space="preserve">, distribuidores – comercializadores </w:t>
      </w:r>
      <w:r w:rsidR="00C96C91">
        <w:rPr>
          <w:lang w:val="es-CO"/>
        </w:rPr>
        <w:t xml:space="preserve">de gas </w:t>
      </w:r>
      <w:r w:rsidR="008A5CBA">
        <w:rPr>
          <w:lang w:val="es-CO"/>
        </w:rPr>
        <w:t>y los usuarios no regulados. No podrán comprar servicios de la infraestructura los productores</w:t>
      </w:r>
      <w:r w:rsidR="00C96C91">
        <w:rPr>
          <w:lang w:val="es-CO"/>
        </w:rPr>
        <w:t>–</w:t>
      </w:r>
      <w:r w:rsidR="005A7E55">
        <w:rPr>
          <w:lang w:val="es-CO"/>
        </w:rPr>
        <w:t>comercializadores</w:t>
      </w:r>
      <w:r w:rsidR="00C96C91">
        <w:rPr>
          <w:lang w:val="es-CO"/>
        </w:rPr>
        <w:t xml:space="preserve"> de gas natural</w:t>
      </w:r>
      <w:r w:rsidR="008A5CBA">
        <w:rPr>
          <w:lang w:val="es-CO"/>
        </w:rPr>
        <w:t>.</w:t>
      </w:r>
      <w:bookmarkEnd w:id="3"/>
    </w:p>
    <w:p w14:paraId="6C9D097F" w14:textId="38AE2B9A" w:rsidR="0008779B" w:rsidRPr="0008779B" w:rsidRDefault="0008779B" w:rsidP="0032764B">
      <w:pPr>
        <w:pStyle w:val="Estilo1"/>
        <w:rPr>
          <w:lang w:val="es-CO"/>
        </w:rPr>
      </w:pPr>
      <w:r w:rsidRPr="00C52AB0">
        <w:rPr>
          <w:b/>
          <w:lang w:val="es-CO"/>
        </w:rPr>
        <w:lastRenderedPageBreak/>
        <w:t>Parágrafo.</w:t>
      </w:r>
      <w:r>
        <w:rPr>
          <w:lang w:val="es-CO"/>
        </w:rPr>
        <w:t xml:space="preserve"> </w:t>
      </w:r>
      <w:r>
        <w:t>Para los propósitos de la presente resolución, los compradores de los servicios de la infraestructura serán denominados como “compradores”.</w:t>
      </w:r>
    </w:p>
    <w:p w14:paraId="300E6194" w14:textId="77777777" w:rsidR="004A3E64" w:rsidRPr="004A3E64" w:rsidRDefault="004A3E64" w:rsidP="002A49F8">
      <w:pPr>
        <w:pStyle w:val="Estilo1"/>
        <w:rPr>
          <w:lang w:val="es-CO"/>
        </w:rPr>
      </w:pPr>
    </w:p>
    <w:p w14:paraId="32C238EB" w14:textId="30CF6E66" w:rsidR="00D94260" w:rsidRDefault="00D94260" w:rsidP="00D94260">
      <w:pPr>
        <w:pStyle w:val="ARTICULOS"/>
        <w:ind w:left="0"/>
        <w:rPr>
          <w:color w:val="auto"/>
          <w:lang w:val="es-CO"/>
        </w:rPr>
      </w:pPr>
      <w:r w:rsidRPr="009832EA">
        <w:rPr>
          <w:b/>
          <w:color w:val="auto"/>
          <w:lang w:val="es-CO"/>
        </w:rPr>
        <w:t xml:space="preserve">Acceso a </w:t>
      </w:r>
      <w:r>
        <w:rPr>
          <w:b/>
          <w:color w:val="auto"/>
          <w:lang w:val="es-CO"/>
        </w:rPr>
        <w:t>los servicios</w:t>
      </w:r>
      <w:r w:rsidRPr="009832EA">
        <w:rPr>
          <w:b/>
          <w:color w:val="auto"/>
          <w:lang w:val="es-CO"/>
        </w:rPr>
        <w:t>.</w:t>
      </w:r>
      <w:r w:rsidR="004A3E64">
        <w:rPr>
          <w:b/>
          <w:color w:val="auto"/>
          <w:lang w:val="es-CO"/>
        </w:rPr>
        <w:t xml:space="preserve"> </w:t>
      </w:r>
      <w:r w:rsidR="004A3E64">
        <w:rPr>
          <w:color w:val="auto"/>
          <w:lang w:val="es-CO"/>
        </w:rPr>
        <w:t>L</w:t>
      </w:r>
      <w:r>
        <w:rPr>
          <w:color w:val="auto"/>
          <w:lang w:val="es-CO"/>
        </w:rPr>
        <w:t>os</w:t>
      </w:r>
      <w:r w:rsidR="004A3E64">
        <w:rPr>
          <w:color w:val="auto"/>
          <w:lang w:val="es-CO"/>
        </w:rPr>
        <w:t xml:space="preserve"> compradores de </w:t>
      </w:r>
      <w:r>
        <w:rPr>
          <w:color w:val="auto"/>
          <w:lang w:val="es-CO"/>
        </w:rPr>
        <w:t xml:space="preserve">servicios de la infraestructura deberán suscribir contratos de acceso para cada instalación y considerar las demás disposiciones que para tal fin se establecen en esta resolución. </w:t>
      </w:r>
      <w:r w:rsidR="004A3E64">
        <w:rPr>
          <w:color w:val="auto"/>
          <w:lang w:val="es-CO"/>
        </w:rPr>
        <w:t xml:space="preserve">Todos los contratos de los servicios que se ofrezcan en la infraestructura serán asignados a través del Gestor del mercado de gas natural y </w:t>
      </w:r>
      <w:r w:rsidR="004A3E64">
        <w:rPr>
          <w:lang w:val="es-CO"/>
        </w:rPr>
        <w:t>deberán</w:t>
      </w:r>
      <w:r w:rsidR="004A3E64" w:rsidRPr="004B53AB">
        <w:rPr>
          <w:lang w:val="es-CO"/>
        </w:rPr>
        <w:t xml:space="preserve"> ser </w:t>
      </w:r>
      <w:r w:rsidR="004A3E64">
        <w:rPr>
          <w:lang w:val="es-CO"/>
        </w:rPr>
        <w:t>celebrados</w:t>
      </w:r>
      <w:r w:rsidR="004A3E64" w:rsidRPr="004B53AB">
        <w:rPr>
          <w:lang w:val="es-CO"/>
        </w:rPr>
        <w:t xml:space="preserve"> entre el </w:t>
      </w:r>
      <w:r w:rsidR="004741F7">
        <w:rPr>
          <w:lang w:val="es-CO"/>
        </w:rPr>
        <w:t>comprador</w:t>
      </w:r>
      <w:r w:rsidR="004A3E64" w:rsidRPr="004B53AB">
        <w:rPr>
          <w:lang w:val="es-CO"/>
        </w:rPr>
        <w:t xml:space="preserve"> y el</w:t>
      </w:r>
      <w:r w:rsidR="004A3E64">
        <w:rPr>
          <w:lang w:val="es-CO"/>
        </w:rPr>
        <w:t xml:space="preserve"> agente encargado de prestar</w:t>
      </w:r>
      <w:r w:rsidR="004A3E64" w:rsidRPr="004B53AB">
        <w:rPr>
          <w:lang w:val="es-CO"/>
        </w:rPr>
        <w:t xml:space="preserve"> los servicios de la infraestructura</w:t>
      </w:r>
      <w:r w:rsidR="004A3E64">
        <w:rPr>
          <w:lang w:val="es-CO"/>
        </w:rPr>
        <w:t>.</w:t>
      </w:r>
    </w:p>
    <w:p w14:paraId="600E5427" w14:textId="77777777" w:rsidR="00D94260" w:rsidRDefault="00D94260" w:rsidP="00D94260">
      <w:pPr>
        <w:pStyle w:val="ARTICULOS"/>
        <w:numPr>
          <w:ilvl w:val="0"/>
          <w:numId w:val="0"/>
        </w:numPr>
        <w:rPr>
          <w:color w:val="auto"/>
          <w:lang w:val="es-CO"/>
        </w:rPr>
      </w:pPr>
    </w:p>
    <w:p w14:paraId="20BF52A2" w14:textId="6344A2C0" w:rsidR="00D94260" w:rsidRDefault="00D94260" w:rsidP="00D94260">
      <w:pPr>
        <w:pStyle w:val="Estilo1"/>
        <w:rPr>
          <w:lang w:val="es-CO"/>
        </w:rPr>
      </w:pPr>
      <w:r>
        <w:rPr>
          <w:lang w:val="es-CO"/>
        </w:rPr>
        <w:t>Los co</w:t>
      </w:r>
      <w:r w:rsidRPr="00D85140">
        <w:rPr>
          <w:lang w:val="es-CO"/>
        </w:rPr>
        <w:t xml:space="preserve">ntratos de acceso le dan al </w:t>
      </w:r>
      <w:r w:rsidR="004A3E64" w:rsidRPr="00D85140">
        <w:rPr>
          <w:lang w:val="es-CO"/>
        </w:rPr>
        <w:t>comprador</w:t>
      </w:r>
      <w:r w:rsidRPr="00D85140">
        <w:rPr>
          <w:lang w:val="es-CO"/>
        </w:rPr>
        <w:t xml:space="preserve"> el derecho de utilizar cada uno de los servicios que se ofrecen </w:t>
      </w:r>
      <w:r w:rsidR="004A3E64" w:rsidRPr="00D85140">
        <w:rPr>
          <w:lang w:val="es-CO"/>
        </w:rPr>
        <w:t>para cada una de</w:t>
      </w:r>
      <w:r w:rsidRPr="00D85140">
        <w:rPr>
          <w:lang w:val="es-CO"/>
        </w:rPr>
        <w:t xml:space="preserve"> </w:t>
      </w:r>
      <w:r w:rsidR="004A3E64" w:rsidRPr="00D85140">
        <w:rPr>
          <w:lang w:val="es-CO"/>
        </w:rPr>
        <w:t>la</w:t>
      </w:r>
      <w:r w:rsidRPr="00D85140">
        <w:rPr>
          <w:lang w:val="es-CO"/>
        </w:rPr>
        <w:t>s instalaciones</w:t>
      </w:r>
      <w:r w:rsidR="004A3E64" w:rsidRPr="00D85140">
        <w:rPr>
          <w:lang w:val="es-CO"/>
        </w:rPr>
        <w:t xml:space="preserve"> de la infraestructura</w:t>
      </w:r>
      <w:r w:rsidRPr="002A49F8">
        <w:rPr>
          <w:lang w:val="es-CO"/>
        </w:rPr>
        <w:t>.</w:t>
      </w:r>
      <w:r>
        <w:rPr>
          <w:lang w:val="es-CO"/>
        </w:rPr>
        <w:t xml:space="preserve"> </w:t>
      </w:r>
    </w:p>
    <w:p w14:paraId="5B247864" w14:textId="51366939" w:rsidR="00C96C91" w:rsidRDefault="00C96C91" w:rsidP="00D94260">
      <w:pPr>
        <w:pStyle w:val="Estilo1"/>
        <w:rPr>
          <w:lang w:val="es-CO"/>
        </w:rPr>
      </w:pPr>
    </w:p>
    <w:p w14:paraId="2F6F8CD8" w14:textId="6AC0343C" w:rsidR="00C96C91" w:rsidRDefault="00C96C91" w:rsidP="00D94260">
      <w:pPr>
        <w:pStyle w:val="Estilo1"/>
        <w:rPr>
          <w:lang w:val="es-CO"/>
        </w:rPr>
      </w:pPr>
      <w:r w:rsidRPr="00C52AB0">
        <w:rPr>
          <w:b/>
          <w:lang w:val="es-CO"/>
        </w:rPr>
        <w:t>Parágrafo.</w:t>
      </w:r>
      <w:r>
        <w:rPr>
          <w:lang w:val="es-CO"/>
        </w:rPr>
        <w:t xml:space="preserve"> </w:t>
      </w:r>
      <w:r>
        <w:rPr>
          <w:color w:val="000000"/>
        </w:rPr>
        <w:t>Para los propósitos de la presente resolución la infraestructura de importación de gas del Pacífico será denominada como “la infraestructura” y</w:t>
      </w:r>
      <w:r w:rsidR="00C52AB0">
        <w:rPr>
          <w:color w:val="000000"/>
        </w:rPr>
        <w:t xml:space="preserve"> cuando se hable individualmente de cada proyecto, es decir,</w:t>
      </w:r>
      <w:r>
        <w:rPr>
          <w:color w:val="000000"/>
        </w:rPr>
        <w:t xml:space="preserve"> la planta</w:t>
      </w:r>
      <w:r w:rsidRPr="00A35F29">
        <w:rPr>
          <w:color w:val="000000"/>
        </w:rPr>
        <w:t xml:space="preserve"> </w:t>
      </w:r>
      <w:r w:rsidRPr="00BB17D5">
        <w:rPr>
          <w:color w:val="000000"/>
        </w:rPr>
        <w:t xml:space="preserve">de regasificación del Pacífico y </w:t>
      </w:r>
      <w:r>
        <w:rPr>
          <w:color w:val="000000"/>
        </w:rPr>
        <w:t>e</w:t>
      </w:r>
      <w:r w:rsidRPr="00BB17D5">
        <w:rPr>
          <w:color w:val="000000"/>
        </w:rPr>
        <w:t>l gasoducto Buenaventura – Yumbo</w:t>
      </w:r>
      <w:r>
        <w:rPr>
          <w:color w:val="000000"/>
        </w:rPr>
        <w:t xml:space="preserve"> serán identificados como “instalaciones”.</w:t>
      </w:r>
      <w:r>
        <w:rPr>
          <w:lang w:val="es-CO"/>
        </w:rPr>
        <w:t xml:space="preserve"> </w:t>
      </w:r>
    </w:p>
    <w:p w14:paraId="196570AE" w14:textId="77777777" w:rsidR="00D94260" w:rsidRDefault="00D94260" w:rsidP="00D94260">
      <w:pPr>
        <w:pStyle w:val="ARTICULOS"/>
        <w:numPr>
          <w:ilvl w:val="0"/>
          <w:numId w:val="0"/>
        </w:numPr>
        <w:rPr>
          <w:color w:val="auto"/>
          <w:lang w:val="es-CO"/>
        </w:rPr>
      </w:pPr>
    </w:p>
    <w:p w14:paraId="64C27EE9" w14:textId="00C89251" w:rsidR="0065401D" w:rsidRDefault="0065401D" w:rsidP="002A49F8">
      <w:pPr>
        <w:pStyle w:val="ARTICULOS"/>
        <w:ind w:left="0"/>
        <w:rPr>
          <w:lang w:val="es-CO"/>
        </w:rPr>
      </w:pPr>
      <w:bookmarkStart w:id="4" w:name="_Ref501553497"/>
      <w:r>
        <w:rPr>
          <w:b/>
          <w:lang w:val="es-CO"/>
        </w:rPr>
        <w:t>Modalidades de contratos permitidos</w:t>
      </w:r>
      <w:r w:rsidRPr="003F10A2">
        <w:rPr>
          <w:b/>
          <w:lang w:val="es-CO"/>
        </w:rPr>
        <w:t>.</w:t>
      </w:r>
      <w:r>
        <w:rPr>
          <w:b/>
          <w:lang w:val="es-CO"/>
        </w:rPr>
        <w:t xml:space="preserve"> </w:t>
      </w:r>
      <w:r>
        <w:rPr>
          <w:lang w:val="es-CO"/>
        </w:rPr>
        <w:t xml:space="preserve">Los contratos que asignará el </w:t>
      </w:r>
      <w:r w:rsidR="00C66676">
        <w:rPr>
          <w:lang w:val="es-CO"/>
        </w:rPr>
        <w:t>G</w:t>
      </w:r>
      <w:r>
        <w:rPr>
          <w:lang w:val="es-CO"/>
        </w:rPr>
        <w:t>estor del mercado</w:t>
      </w:r>
      <w:r w:rsidR="000F2B3A">
        <w:rPr>
          <w:lang w:val="es-CO"/>
        </w:rPr>
        <w:t xml:space="preserve"> serán contratos firmes y se realizarán</w:t>
      </w:r>
      <w:r>
        <w:rPr>
          <w:lang w:val="es-CO"/>
        </w:rPr>
        <w:t xml:space="preserve"> en </w:t>
      </w:r>
      <w:r w:rsidR="00C66676">
        <w:rPr>
          <w:lang w:val="es-CO"/>
        </w:rPr>
        <w:t xml:space="preserve">las fechas </w:t>
      </w:r>
      <w:r>
        <w:rPr>
          <w:lang w:val="es-CO"/>
        </w:rPr>
        <w:t>que cada año determine la CREG</w:t>
      </w:r>
      <w:r w:rsidR="00C96C91">
        <w:rPr>
          <w:lang w:val="es-CO"/>
        </w:rPr>
        <w:t xml:space="preserve"> mediante cronograma</w:t>
      </w:r>
      <w:r w:rsidR="00C66676">
        <w:rPr>
          <w:lang w:val="es-CO"/>
        </w:rPr>
        <w:t>,</w:t>
      </w:r>
      <w:r>
        <w:rPr>
          <w:lang w:val="es-CO"/>
        </w:rPr>
        <w:t xml:space="preserve"> </w:t>
      </w:r>
      <w:r w:rsidR="000F2B3A">
        <w:rPr>
          <w:lang w:val="es-CO"/>
        </w:rPr>
        <w:t xml:space="preserve">con </w:t>
      </w:r>
      <w:r>
        <w:rPr>
          <w:lang w:val="es-CO"/>
        </w:rPr>
        <w:t>las siguientes duraciones:</w:t>
      </w:r>
      <w:bookmarkEnd w:id="4"/>
    </w:p>
    <w:p w14:paraId="148B949A" w14:textId="77777777" w:rsidR="0065401D" w:rsidRDefault="0065401D" w:rsidP="0065401D">
      <w:pPr>
        <w:pStyle w:val="Estilo1"/>
        <w:rPr>
          <w:lang w:val="es-CO"/>
        </w:rPr>
      </w:pPr>
    </w:p>
    <w:p w14:paraId="49D09742" w14:textId="5ABADAA3" w:rsidR="0065401D" w:rsidRDefault="0065401D" w:rsidP="00CA5931">
      <w:pPr>
        <w:pStyle w:val="Estilo1"/>
        <w:numPr>
          <w:ilvl w:val="0"/>
          <w:numId w:val="26"/>
        </w:numPr>
        <w:ind w:left="714" w:hanging="357"/>
        <w:rPr>
          <w:lang w:val="es-CO"/>
        </w:rPr>
      </w:pPr>
      <w:r>
        <w:rPr>
          <w:lang w:val="es-CO"/>
        </w:rPr>
        <w:t>Contratos</w:t>
      </w:r>
      <w:r w:rsidR="00231C48">
        <w:rPr>
          <w:lang w:val="es-CO"/>
        </w:rPr>
        <w:t xml:space="preserve"> firmes</w:t>
      </w:r>
      <w:r>
        <w:rPr>
          <w:lang w:val="es-CO"/>
        </w:rPr>
        <w:t xml:space="preserve"> de tres años</w:t>
      </w:r>
      <w:r w:rsidR="00906102">
        <w:rPr>
          <w:lang w:val="es-CO"/>
        </w:rPr>
        <w:t xml:space="preserve"> o más</w:t>
      </w:r>
      <w:r>
        <w:rPr>
          <w:lang w:val="es-CO"/>
        </w:rPr>
        <w:t xml:space="preserve"> </w:t>
      </w:r>
      <w:r w:rsidR="00B52278">
        <w:rPr>
          <w:lang w:val="es-CO"/>
        </w:rPr>
        <w:t xml:space="preserve">que inician </w:t>
      </w:r>
      <w:r>
        <w:rPr>
          <w:lang w:val="es-CO"/>
        </w:rPr>
        <w:t>en el año t.</w:t>
      </w:r>
    </w:p>
    <w:p w14:paraId="196020C6" w14:textId="2AE920CA" w:rsidR="00B52278" w:rsidRDefault="0065401D" w:rsidP="00CA5931">
      <w:pPr>
        <w:pStyle w:val="Estilo1"/>
        <w:numPr>
          <w:ilvl w:val="0"/>
          <w:numId w:val="26"/>
        </w:numPr>
        <w:rPr>
          <w:lang w:val="es-CO"/>
        </w:rPr>
      </w:pPr>
      <w:r>
        <w:rPr>
          <w:lang w:val="es-CO"/>
        </w:rPr>
        <w:t xml:space="preserve">Contratos </w:t>
      </w:r>
      <w:r w:rsidR="00231C48">
        <w:rPr>
          <w:lang w:val="es-CO"/>
        </w:rPr>
        <w:t xml:space="preserve">firmes </w:t>
      </w:r>
      <w:r>
        <w:rPr>
          <w:lang w:val="es-CO"/>
        </w:rPr>
        <w:t xml:space="preserve">de </w:t>
      </w:r>
      <w:r w:rsidR="00C96C91">
        <w:rPr>
          <w:lang w:val="es-CO"/>
        </w:rPr>
        <w:t>un</w:t>
      </w:r>
      <w:r w:rsidR="00B52278">
        <w:rPr>
          <w:lang w:val="es-CO"/>
        </w:rPr>
        <w:t xml:space="preserve"> añ</w:t>
      </w:r>
      <w:r w:rsidR="00C96C91">
        <w:rPr>
          <w:lang w:val="es-CO"/>
        </w:rPr>
        <w:t>o</w:t>
      </w:r>
      <w:r w:rsidR="00B52278">
        <w:rPr>
          <w:lang w:val="es-CO"/>
        </w:rPr>
        <w:t xml:space="preserve"> que inician en el año t+3</w:t>
      </w:r>
    </w:p>
    <w:p w14:paraId="6247AB79" w14:textId="07CF0884" w:rsidR="0065401D" w:rsidRDefault="00B52278" w:rsidP="00CA5931">
      <w:pPr>
        <w:pStyle w:val="Estilo1"/>
        <w:numPr>
          <w:ilvl w:val="0"/>
          <w:numId w:val="26"/>
        </w:numPr>
        <w:rPr>
          <w:lang w:val="es-CO"/>
        </w:rPr>
      </w:pPr>
      <w:r>
        <w:rPr>
          <w:lang w:val="es-CO"/>
        </w:rPr>
        <w:t xml:space="preserve">Contratos firmes </w:t>
      </w:r>
      <w:r w:rsidR="00E75903">
        <w:rPr>
          <w:lang w:val="es-CO"/>
        </w:rPr>
        <w:t>de tres o</w:t>
      </w:r>
      <w:r w:rsidR="0065401D">
        <w:rPr>
          <w:lang w:val="es-CO"/>
        </w:rPr>
        <w:t xml:space="preserve"> más años</w:t>
      </w:r>
      <w:r>
        <w:rPr>
          <w:lang w:val="es-CO"/>
        </w:rPr>
        <w:t xml:space="preserve"> que </w:t>
      </w:r>
      <w:r w:rsidR="0065401D">
        <w:rPr>
          <w:lang w:val="es-CO"/>
        </w:rPr>
        <w:t>inician en el año t+3.</w:t>
      </w:r>
    </w:p>
    <w:p w14:paraId="728A1B65" w14:textId="3A118B1A" w:rsidR="0065401D" w:rsidRDefault="0065401D" w:rsidP="00CA5931">
      <w:pPr>
        <w:pStyle w:val="Estilo1"/>
        <w:numPr>
          <w:ilvl w:val="0"/>
          <w:numId w:val="26"/>
        </w:numPr>
        <w:rPr>
          <w:lang w:val="es-CO"/>
        </w:rPr>
      </w:pPr>
      <w:r>
        <w:rPr>
          <w:lang w:val="es-CO"/>
        </w:rPr>
        <w:t>Contratos</w:t>
      </w:r>
      <w:r w:rsidR="00231C48">
        <w:rPr>
          <w:lang w:val="es-CO"/>
        </w:rPr>
        <w:t xml:space="preserve"> firmes</w:t>
      </w:r>
      <w:r>
        <w:rPr>
          <w:lang w:val="es-CO"/>
        </w:rPr>
        <w:t xml:space="preserve"> de un año </w:t>
      </w:r>
      <w:r w:rsidR="00B52278">
        <w:rPr>
          <w:lang w:val="es-CO"/>
        </w:rPr>
        <w:t xml:space="preserve">que inician </w:t>
      </w:r>
      <w:r>
        <w:rPr>
          <w:lang w:val="es-CO"/>
        </w:rPr>
        <w:t>en el año t.</w:t>
      </w:r>
    </w:p>
    <w:p w14:paraId="3749D4BF" w14:textId="77777777" w:rsidR="0065401D" w:rsidRDefault="0065401D" w:rsidP="0065401D">
      <w:pPr>
        <w:pStyle w:val="Estilo1"/>
        <w:rPr>
          <w:lang w:val="es-CO"/>
        </w:rPr>
      </w:pPr>
    </w:p>
    <w:p w14:paraId="26738253" w14:textId="60884F4C" w:rsidR="0065401D" w:rsidRDefault="0065401D" w:rsidP="0065401D">
      <w:pPr>
        <w:pStyle w:val="Estilo1"/>
        <w:rPr>
          <w:lang w:val="es-CO"/>
        </w:rPr>
      </w:pPr>
      <w:r>
        <w:rPr>
          <w:lang w:val="es-CO"/>
        </w:rPr>
        <w:t>El orden de asignación de los contratos será el siguiente:</w:t>
      </w:r>
    </w:p>
    <w:p w14:paraId="385B62F3" w14:textId="77777777" w:rsidR="0065401D" w:rsidRDefault="0065401D" w:rsidP="0065401D">
      <w:pPr>
        <w:pStyle w:val="Estilo1"/>
        <w:rPr>
          <w:lang w:val="es-CO"/>
        </w:rPr>
      </w:pPr>
    </w:p>
    <w:p w14:paraId="24EFD1FB" w14:textId="2F7248D5" w:rsidR="0065401D" w:rsidRDefault="0065401D" w:rsidP="00CA5931">
      <w:pPr>
        <w:pStyle w:val="Estilo1"/>
        <w:numPr>
          <w:ilvl w:val="0"/>
          <w:numId w:val="27"/>
        </w:numPr>
        <w:ind w:left="714" w:hanging="357"/>
        <w:rPr>
          <w:lang w:val="es-CO"/>
        </w:rPr>
      </w:pPr>
      <w:r>
        <w:rPr>
          <w:lang w:val="es-CO"/>
        </w:rPr>
        <w:t>Primero, los contratos</w:t>
      </w:r>
      <w:r w:rsidR="00231C48">
        <w:rPr>
          <w:lang w:val="es-CO"/>
        </w:rPr>
        <w:t xml:space="preserve"> firmes</w:t>
      </w:r>
      <w:r>
        <w:rPr>
          <w:lang w:val="es-CO"/>
        </w:rPr>
        <w:t xml:space="preserve"> de tres años</w:t>
      </w:r>
      <w:r w:rsidR="00906102">
        <w:rPr>
          <w:lang w:val="es-CO"/>
        </w:rPr>
        <w:t xml:space="preserve"> o más</w:t>
      </w:r>
      <w:r>
        <w:rPr>
          <w:lang w:val="es-CO"/>
        </w:rPr>
        <w:t xml:space="preserve"> </w:t>
      </w:r>
      <w:r w:rsidR="00B52278">
        <w:rPr>
          <w:lang w:val="es-CO"/>
        </w:rPr>
        <w:t xml:space="preserve">que inician </w:t>
      </w:r>
      <w:r>
        <w:rPr>
          <w:lang w:val="es-CO"/>
        </w:rPr>
        <w:t>en el año t.</w:t>
      </w:r>
    </w:p>
    <w:p w14:paraId="1F574B86" w14:textId="4E60CD00" w:rsidR="0065401D" w:rsidRDefault="0065401D" w:rsidP="00CA5931">
      <w:pPr>
        <w:pStyle w:val="Estilo1"/>
        <w:numPr>
          <w:ilvl w:val="0"/>
          <w:numId w:val="27"/>
        </w:numPr>
        <w:ind w:left="714" w:hanging="357"/>
        <w:rPr>
          <w:lang w:val="es-CO"/>
        </w:rPr>
      </w:pPr>
      <w:r>
        <w:rPr>
          <w:lang w:val="es-CO"/>
        </w:rPr>
        <w:t xml:space="preserve">Segundo, los contratos </w:t>
      </w:r>
      <w:r w:rsidR="00231C48">
        <w:rPr>
          <w:lang w:val="es-CO"/>
        </w:rPr>
        <w:t xml:space="preserve">firmes </w:t>
      </w:r>
      <w:r>
        <w:rPr>
          <w:lang w:val="es-CO"/>
        </w:rPr>
        <w:t xml:space="preserve">de 1 o </w:t>
      </w:r>
      <w:r w:rsidR="00E75903">
        <w:rPr>
          <w:lang w:val="es-CO"/>
        </w:rPr>
        <w:t>de tres o más años,</w:t>
      </w:r>
      <w:r w:rsidR="00E75903" w:rsidDel="00E75903">
        <w:rPr>
          <w:lang w:val="es-CO"/>
        </w:rPr>
        <w:t xml:space="preserve"> </w:t>
      </w:r>
      <w:r w:rsidR="00B52278">
        <w:rPr>
          <w:lang w:val="es-CO"/>
        </w:rPr>
        <w:t xml:space="preserve">que inician en </w:t>
      </w:r>
      <w:r>
        <w:rPr>
          <w:lang w:val="es-CO"/>
        </w:rPr>
        <w:t>el año t +3.</w:t>
      </w:r>
    </w:p>
    <w:p w14:paraId="72F91623" w14:textId="72A5469F" w:rsidR="0065401D" w:rsidRDefault="0065401D" w:rsidP="00CA5931">
      <w:pPr>
        <w:pStyle w:val="Estilo1"/>
        <w:numPr>
          <w:ilvl w:val="0"/>
          <w:numId w:val="27"/>
        </w:numPr>
        <w:ind w:left="714" w:hanging="357"/>
        <w:rPr>
          <w:lang w:val="es-CO"/>
        </w:rPr>
      </w:pPr>
      <w:r>
        <w:rPr>
          <w:lang w:val="es-CO"/>
        </w:rPr>
        <w:t xml:space="preserve">Tercero, los contratos </w:t>
      </w:r>
      <w:r w:rsidR="00231C48">
        <w:rPr>
          <w:lang w:val="es-CO"/>
        </w:rPr>
        <w:t xml:space="preserve">firmes </w:t>
      </w:r>
      <w:r>
        <w:rPr>
          <w:lang w:val="es-CO"/>
        </w:rPr>
        <w:t xml:space="preserve">de un año </w:t>
      </w:r>
      <w:r w:rsidR="00B52278">
        <w:rPr>
          <w:lang w:val="es-CO"/>
        </w:rPr>
        <w:t xml:space="preserve">que inician </w:t>
      </w:r>
      <w:r>
        <w:rPr>
          <w:lang w:val="es-CO"/>
        </w:rPr>
        <w:t>en el año t.</w:t>
      </w:r>
    </w:p>
    <w:p w14:paraId="58D34156" w14:textId="77777777" w:rsidR="0065401D" w:rsidRDefault="0065401D" w:rsidP="0065401D">
      <w:pPr>
        <w:pStyle w:val="Estilo1"/>
        <w:rPr>
          <w:lang w:val="es-CO"/>
        </w:rPr>
      </w:pPr>
    </w:p>
    <w:p w14:paraId="3B7E6D90" w14:textId="0B17BD89" w:rsidR="0065401D" w:rsidRDefault="0065401D" w:rsidP="0065401D">
      <w:pPr>
        <w:pStyle w:val="Estilo1"/>
        <w:spacing w:after="120"/>
        <w:rPr>
          <w:lang w:val="es-CO"/>
        </w:rPr>
      </w:pPr>
      <w:r w:rsidRPr="002A49F8">
        <w:rPr>
          <w:b/>
          <w:lang w:val="es-CO"/>
        </w:rPr>
        <w:t>Parágrafo</w:t>
      </w:r>
      <w:r w:rsidR="00F94C77">
        <w:rPr>
          <w:b/>
          <w:lang w:val="es-CO"/>
        </w:rPr>
        <w:t xml:space="preserve"> 1</w:t>
      </w:r>
      <w:r>
        <w:rPr>
          <w:lang w:val="es-CO"/>
        </w:rPr>
        <w:t xml:space="preserve">: El año t </w:t>
      </w:r>
      <w:r w:rsidR="005A7E55">
        <w:rPr>
          <w:lang w:val="es-CO"/>
        </w:rPr>
        <w:t xml:space="preserve">comienza el 1 de diciembre </w:t>
      </w:r>
      <w:r>
        <w:rPr>
          <w:lang w:val="es-CO"/>
        </w:rPr>
        <w:t xml:space="preserve">inmediatamente siguiente a la fecha </w:t>
      </w:r>
      <w:r w:rsidR="00D14F21">
        <w:rPr>
          <w:lang w:val="es-CO"/>
        </w:rPr>
        <w:t>definida en el cronograma para la</w:t>
      </w:r>
      <w:r>
        <w:rPr>
          <w:lang w:val="es-CO"/>
        </w:rPr>
        <w:t xml:space="preserve"> </w:t>
      </w:r>
      <w:r w:rsidR="005A7E55">
        <w:rPr>
          <w:lang w:val="es-CO"/>
        </w:rPr>
        <w:t>asignaci</w:t>
      </w:r>
      <w:r w:rsidR="00D14F21">
        <w:rPr>
          <w:lang w:val="es-CO"/>
        </w:rPr>
        <w:t>ó</w:t>
      </w:r>
      <w:r w:rsidR="005A7E55">
        <w:rPr>
          <w:lang w:val="es-CO"/>
        </w:rPr>
        <w:t>n</w:t>
      </w:r>
      <w:r>
        <w:rPr>
          <w:lang w:val="es-CO"/>
        </w:rPr>
        <w:t xml:space="preserve"> de acceso a los servicios de cualquiera de las instalaciones que componen la infraestructura. </w:t>
      </w:r>
    </w:p>
    <w:p w14:paraId="72B953EF" w14:textId="060056C9" w:rsidR="00F94C77" w:rsidRDefault="00F94C77" w:rsidP="0065401D">
      <w:pPr>
        <w:pStyle w:val="Estilo1"/>
        <w:spacing w:after="120"/>
        <w:rPr>
          <w:lang w:val="es-CO"/>
        </w:rPr>
      </w:pPr>
      <w:r>
        <w:rPr>
          <w:b/>
          <w:lang w:val="es-CO"/>
        </w:rPr>
        <w:t xml:space="preserve">Parágrafo 2. </w:t>
      </w:r>
      <w:r>
        <w:rPr>
          <w:lang w:val="es-CO"/>
        </w:rPr>
        <w:t xml:space="preserve">Los contratos firmes de que trata este artículo serán particulares para cada una de las instalaciones. Es decir, tanto para la planta de regasificación del Pacífico como para el gasoducto </w:t>
      </w:r>
      <w:r w:rsidR="00C82724">
        <w:rPr>
          <w:lang w:val="es-CO"/>
        </w:rPr>
        <w:t>Buenaventura</w:t>
      </w:r>
      <w:r>
        <w:rPr>
          <w:lang w:val="es-CO"/>
        </w:rPr>
        <w:t xml:space="preserve"> – Yumbo. Esta disposición deberá cumplirse aún incluso </w:t>
      </w:r>
      <w:r w:rsidR="008E289B">
        <w:rPr>
          <w:lang w:val="es-CO"/>
        </w:rPr>
        <w:t>si un mismo adjudicatario es quien ejecuta las dos instalaciones.</w:t>
      </w:r>
    </w:p>
    <w:p w14:paraId="0AAA779A" w14:textId="66783C5C" w:rsidR="00193BD8" w:rsidRDefault="00EA311E" w:rsidP="002A49F8">
      <w:pPr>
        <w:pStyle w:val="ARTICULOS"/>
        <w:ind w:left="0"/>
        <w:rPr>
          <w:b/>
          <w:lang w:val="es-CO"/>
        </w:rPr>
      </w:pPr>
      <w:bookmarkStart w:id="5" w:name="_Ref501526945"/>
      <w:r>
        <w:rPr>
          <w:b/>
          <w:lang w:val="es-CO"/>
        </w:rPr>
        <w:t>Mecanismo d</w:t>
      </w:r>
      <w:r w:rsidR="00193BD8">
        <w:rPr>
          <w:b/>
          <w:lang w:val="es-CO"/>
        </w:rPr>
        <w:t xml:space="preserve">e asignación de los contratos. </w:t>
      </w:r>
      <w:r w:rsidR="00193BD8">
        <w:rPr>
          <w:lang w:val="es-CO"/>
        </w:rPr>
        <w:t xml:space="preserve">La asignación de los contratos que dan acceso a la infraestructura </w:t>
      </w:r>
      <w:r>
        <w:rPr>
          <w:lang w:val="es-CO"/>
        </w:rPr>
        <w:t xml:space="preserve">se realizará </w:t>
      </w:r>
      <w:r w:rsidR="00193BD8">
        <w:rPr>
          <w:lang w:val="es-CO"/>
        </w:rPr>
        <w:t>con las siguientes reglas:</w:t>
      </w:r>
      <w:bookmarkEnd w:id="5"/>
    </w:p>
    <w:p w14:paraId="48DA4099" w14:textId="571B374B" w:rsidR="00193BD8" w:rsidRDefault="00193BD8" w:rsidP="00CA5931">
      <w:pPr>
        <w:pStyle w:val="Estilo1"/>
        <w:numPr>
          <w:ilvl w:val="0"/>
          <w:numId w:val="20"/>
        </w:numPr>
        <w:spacing w:after="120"/>
        <w:ind w:left="714" w:hanging="357"/>
        <w:rPr>
          <w:lang w:val="es-CO"/>
        </w:rPr>
      </w:pPr>
      <w:bookmarkStart w:id="6" w:name="_Ref501526943"/>
      <w:r>
        <w:rPr>
          <w:lang w:val="es-CO"/>
        </w:rPr>
        <w:lastRenderedPageBreak/>
        <w:t>D</w:t>
      </w:r>
      <w:r w:rsidRPr="007D5F31">
        <w:rPr>
          <w:lang w:val="es-CO"/>
        </w:rPr>
        <w:t>entro de los primeros diez (10) días hábiles de junio de cada año</w:t>
      </w:r>
      <w:r>
        <w:rPr>
          <w:lang w:val="es-CO"/>
        </w:rPr>
        <w:t xml:space="preserve"> la Dirección Ejecutiva de CREG, mediante circular, definirá </w:t>
      </w:r>
      <w:r w:rsidR="00333510">
        <w:rPr>
          <w:lang w:val="es-CO"/>
        </w:rPr>
        <w:t xml:space="preserve">el cronograma con </w:t>
      </w:r>
      <w:r>
        <w:rPr>
          <w:lang w:val="es-CO"/>
        </w:rPr>
        <w:t xml:space="preserve">los plazos que tendrán los </w:t>
      </w:r>
      <w:r w:rsidR="00333510">
        <w:rPr>
          <w:lang w:val="es-CO"/>
        </w:rPr>
        <w:t xml:space="preserve">compradores </w:t>
      </w:r>
      <w:r>
        <w:rPr>
          <w:lang w:val="es-CO"/>
        </w:rPr>
        <w:t>para solicitar acceso a los servicios de las instalaciones</w:t>
      </w:r>
      <w:r w:rsidR="007D01F1">
        <w:rPr>
          <w:lang w:val="es-CO"/>
        </w:rPr>
        <w:t xml:space="preserve"> </w:t>
      </w:r>
      <w:r>
        <w:rPr>
          <w:lang w:val="es-CO"/>
        </w:rPr>
        <w:t xml:space="preserve">y </w:t>
      </w:r>
      <w:r w:rsidR="00333510">
        <w:rPr>
          <w:lang w:val="es-CO"/>
        </w:rPr>
        <w:t xml:space="preserve">el cronograma que tendrá el </w:t>
      </w:r>
      <w:r w:rsidR="00EA311E">
        <w:rPr>
          <w:lang w:val="es-CO"/>
        </w:rPr>
        <w:t>G</w:t>
      </w:r>
      <w:r w:rsidR="00333510">
        <w:rPr>
          <w:lang w:val="es-CO"/>
        </w:rPr>
        <w:t>estor del mercado de gas natural para hacer las asignaciones.</w:t>
      </w:r>
      <w:bookmarkEnd w:id="6"/>
    </w:p>
    <w:p w14:paraId="77ECFC7A" w14:textId="43EABCA1" w:rsidR="00193BD8" w:rsidRPr="00EA311E" w:rsidRDefault="00193BD8" w:rsidP="00CA5931">
      <w:pPr>
        <w:pStyle w:val="Estilo1"/>
        <w:numPr>
          <w:ilvl w:val="0"/>
          <w:numId w:val="20"/>
        </w:numPr>
        <w:spacing w:after="120"/>
        <w:ind w:left="714" w:hanging="357"/>
        <w:rPr>
          <w:lang w:val="es-CO"/>
        </w:rPr>
      </w:pPr>
      <w:r>
        <w:rPr>
          <w:lang w:val="es-CO"/>
        </w:rPr>
        <w:t xml:space="preserve">Cuando las solicitudes de acceso a los servicios de las instalaciones no </w:t>
      </w:r>
      <w:r w:rsidRPr="00EA311E">
        <w:rPr>
          <w:lang w:val="es-CO"/>
        </w:rPr>
        <w:t xml:space="preserve">superen la capacidad disponible de cada una de ellas, los contratos podrán ser asignados a cada </w:t>
      </w:r>
      <w:r w:rsidR="00EA311E" w:rsidRPr="00EA311E">
        <w:rPr>
          <w:lang w:val="es-CO"/>
        </w:rPr>
        <w:t xml:space="preserve">comprador </w:t>
      </w:r>
      <w:r w:rsidRPr="00EA311E">
        <w:rPr>
          <w:lang w:val="es-CO"/>
        </w:rPr>
        <w:t>según la capacidad solicitada</w:t>
      </w:r>
      <w:r w:rsidR="0045429D">
        <w:rPr>
          <w:lang w:val="es-CO"/>
        </w:rPr>
        <w:t xml:space="preserve"> y en el orden de asignación definido en el </w:t>
      </w:r>
      <w:r w:rsidR="00C52AB0">
        <w:rPr>
          <w:lang w:val="es-CO"/>
        </w:rPr>
        <w:t>a</w:t>
      </w:r>
      <w:r w:rsidR="0045429D">
        <w:rPr>
          <w:lang w:val="es-CO"/>
        </w:rPr>
        <w:t xml:space="preserve">rtículo </w:t>
      </w:r>
      <w:r w:rsidR="0045429D">
        <w:rPr>
          <w:lang w:val="es-CO"/>
        </w:rPr>
        <w:fldChar w:fldCharType="begin"/>
      </w:r>
      <w:r w:rsidR="0045429D">
        <w:rPr>
          <w:lang w:val="es-CO"/>
        </w:rPr>
        <w:instrText xml:space="preserve"> REF _Ref501553497 \r \h \t</w:instrText>
      </w:r>
      <w:r w:rsidR="0045429D">
        <w:rPr>
          <w:lang w:val="es-CO"/>
        </w:rPr>
      </w:r>
      <w:r w:rsidR="0045429D">
        <w:rPr>
          <w:lang w:val="es-CO"/>
        </w:rPr>
        <w:fldChar w:fldCharType="separate"/>
      </w:r>
      <w:r w:rsidR="00B52278">
        <w:rPr>
          <w:lang w:val="es-CO"/>
        </w:rPr>
        <w:t>6</w:t>
      </w:r>
      <w:r w:rsidR="0045429D">
        <w:rPr>
          <w:lang w:val="es-CO"/>
        </w:rPr>
        <w:fldChar w:fldCharType="end"/>
      </w:r>
      <w:r w:rsidR="00B52278">
        <w:rPr>
          <w:lang w:val="es-CO"/>
        </w:rPr>
        <w:t xml:space="preserve"> de la presente resolución</w:t>
      </w:r>
      <w:r w:rsidRPr="00EA311E">
        <w:rPr>
          <w:lang w:val="es-CO"/>
        </w:rPr>
        <w:t>.</w:t>
      </w:r>
    </w:p>
    <w:p w14:paraId="47CCA055" w14:textId="0D55CF18" w:rsidR="00C470FC" w:rsidRDefault="00193BD8" w:rsidP="00CA5931">
      <w:pPr>
        <w:pStyle w:val="Estilo1"/>
        <w:numPr>
          <w:ilvl w:val="0"/>
          <w:numId w:val="20"/>
        </w:numPr>
        <w:spacing w:after="120"/>
        <w:ind w:left="714" w:hanging="357"/>
        <w:rPr>
          <w:lang w:val="es-CO"/>
        </w:rPr>
      </w:pPr>
      <w:bookmarkStart w:id="7" w:name="_Ref501528778"/>
      <w:r w:rsidRPr="002A49F8">
        <w:rPr>
          <w:lang w:val="es-CO"/>
        </w:rPr>
        <w:t>Cuando las solicitudes de acceso a los servicios de las instalaciones superen la capacidad disponible de cada una de ellas, la asignación de los contratos será realizada a través de subastas</w:t>
      </w:r>
      <w:r w:rsidR="00C470FC">
        <w:rPr>
          <w:lang w:val="es-CO"/>
        </w:rPr>
        <w:t>.</w:t>
      </w:r>
    </w:p>
    <w:bookmarkEnd w:id="7"/>
    <w:p w14:paraId="2254FBA7" w14:textId="6323C6D6" w:rsidR="005C7558" w:rsidRDefault="002502C9" w:rsidP="00326BF3">
      <w:pPr>
        <w:pStyle w:val="Estilo1"/>
        <w:spacing w:after="120"/>
        <w:rPr>
          <w:lang w:val="es-CO"/>
        </w:rPr>
      </w:pPr>
      <w:r w:rsidRPr="008D606D">
        <w:rPr>
          <w:b/>
          <w:lang w:val="es-CO"/>
        </w:rPr>
        <w:t>Parágrafo</w:t>
      </w:r>
      <w:r>
        <w:rPr>
          <w:lang w:val="es-CO"/>
        </w:rPr>
        <w:t>: Las subastas de que trata este artículo serán de sobre cerrado</w:t>
      </w:r>
      <w:r w:rsidR="00B52278">
        <w:rPr>
          <w:lang w:val="es-CO"/>
        </w:rPr>
        <w:t>. E</w:t>
      </w:r>
      <w:r>
        <w:rPr>
          <w:lang w:val="es-CO"/>
        </w:rPr>
        <w:t xml:space="preserve">l administrador y subastador será el </w:t>
      </w:r>
      <w:r w:rsidR="00C75FAA">
        <w:rPr>
          <w:lang w:val="es-CO"/>
        </w:rPr>
        <w:t>G</w:t>
      </w:r>
      <w:r>
        <w:rPr>
          <w:lang w:val="es-CO"/>
        </w:rPr>
        <w:t xml:space="preserve">estor del mercado y en regulación aparte la Comisión dictará </w:t>
      </w:r>
      <w:r w:rsidR="00C75FAA">
        <w:rPr>
          <w:lang w:val="es-CO"/>
        </w:rPr>
        <w:t xml:space="preserve">las </w:t>
      </w:r>
      <w:r>
        <w:rPr>
          <w:lang w:val="es-CO"/>
        </w:rPr>
        <w:t xml:space="preserve">disposiciones que se tendrán en cuenta para la realización de la subasta. </w:t>
      </w:r>
    </w:p>
    <w:p w14:paraId="5503092A" w14:textId="2523234B" w:rsidR="00B8543D" w:rsidRDefault="00EA311E" w:rsidP="002A49F8">
      <w:pPr>
        <w:pStyle w:val="ARTICULOS"/>
        <w:ind w:left="0"/>
        <w:rPr>
          <w:lang w:val="es-CO"/>
        </w:rPr>
      </w:pPr>
      <w:bookmarkStart w:id="8" w:name="_Ref501641623"/>
      <w:r>
        <w:rPr>
          <w:b/>
          <w:lang w:val="es-CO"/>
        </w:rPr>
        <w:t>Regla de s</w:t>
      </w:r>
      <w:r w:rsidR="00B8543D">
        <w:rPr>
          <w:b/>
          <w:lang w:val="es-CO"/>
        </w:rPr>
        <w:t>ubutilización</w:t>
      </w:r>
      <w:r w:rsidR="00C57A5B" w:rsidRPr="003F10A2">
        <w:rPr>
          <w:b/>
          <w:lang w:val="es-CO"/>
        </w:rPr>
        <w:t>.</w:t>
      </w:r>
      <w:r w:rsidR="00C57A5B" w:rsidRPr="005B70F8">
        <w:rPr>
          <w:lang w:val="es-CO"/>
        </w:rPr>
        <w:t xml:space="preserve"> </w:t>
      </w:r>
      <w:r w:rsidR="007B7B7C">
        <w:rPr>
          <w:lang w:val="es-CO"/>
        </w:rPr>
        <w:t xml:space="preserve">Diez días hábiles siguientes a la finalización de cada mes, el </w:t>
      </w:r>
      <w:r>
        <w:rPr>
          <w:lang w:val="es-CO"/>
        </w:rPr>
        <w:t>G</w:t>
      </w:r>
      <w:r w:rsidR="00E12790" w:rsidRPr="005B70F8">
        <w:rPr>
          <w:lang w:val="es-CO"/>
        </w:rPr>
        <w:t xml:space="preserve">estor del mercado </w:t>
      </w:r>
      <w:r w:rsidR="00E12790">
        <w:rPr>
          <w:lang w:val="es-CO"/>
        </w:rPr>
        <w:t>verificar</w:t>
      </w:r>
      <w:r w:rsidR="00B8543D">
        <w:rPr>
          <w:lang w:val="es-CO"/>
        </w:rPr>
        <w:t>á</w:t>
      </w:r>
      <w:r w:rsidR="00E12790">
        <w:rPr>
          <w:lang w:val="es-CO"/>
        </w:rPr>
        <w:t xml:space="preserve"> y publicar</w:t>
      </w:r>
      <w:r w:rsidR="00B8543D">
        <w:rPr>
          <w:lang w:val="es-CO"/>
        </w:rPr>
        <w:t>á</w:t>
      </w:r>
      <w:r w:rsidR="00E12790">
        <w:rPr>
          <w:lang w:val="es-CO"/>
        </w:rPr>
        <w:t xml:space="preserve"> el porcentaje de </w:t>
      </w:r>
      <w:r>
        <w:rPr>
          <w:lang w:val="es-CO"/>
        </w:rPr>
        <w:t xml:space="preserve">uso de la </w:t>
      </w:r>
      <w:r w:rsidR="00B8543D">
        <w:rPr>
          <w:lang w:val="es-CO"/>
        </w:rPr>
        <w:t xml:space="preserve">capacidad </w:t>
      </w:r>
      <w:r>
        <w:rPr>
          <w:lang w:val="es-CO"/>
        </w:rPr>
        <w:t>contratada por cada comprador</w:t>
      </w:r>
      <w:r w:rsidR="00077FFE">
        <w:rPr>
          <w:lang w:val="es-CO"/>
        </w:rPr>
        <w:t>,</w:t>
      </w:r>
      <w:r w:rsidR="00B8543D">
        <w:rPr>
          <w:lang w:val="es-CO"/>
        </w:rPr>
        <w:t xml:space="preserve"> la cual se calculará con base en la siguiente expresión:</w:t>
      </w:r>
      <w:bookmarkEnd w:id="8"/>
    </w:p>
    <w:p w14:paraId="7083799B" w14:textId="77777777" w:rsidR="00B8543D" w:rsidRDefault="00B8543D" w:rsidP="003F10A2">
      <w:pPr>
        <w:pStyle w:val="Estilo1"/>
        <w:rPr>
          <w:lang w:val="es-CO"/>
        </w:rPr>
      </w:pPr>
    </w:p>
    <w:p w14:paraId="7EDD17FB" w14:textId="39F612B4" w:rsidR="00443C55" w:rsidRPr="002A49F8" w:rsidRDefault="00B4212D" w:rsidP="003F10A2">
      <w:pPr>
        <w:pStyle w:val="Estilo1"/>
        <w:rPr>
          <w:lang w:val="es-CO"/>
        </w:rPr>
      </w:pPr>
      <m:oMathPara>
        <m:oMath>
          <m:sSub>
            <m:sSubPr>
              <m:ctrlPr>
                <w:rPr>
                  <w:rFonts w:ascii="Cambria Math" w:hAnsi="Cambria Math"/>
                  <w:i/>
                  <w:lang w:val="es-CO"/>
                </w:rPr>
              </m:ctrlPr>
            </m:sSubPr>
            <m:e>
              <m:r>
                <w:rPr>
                  <w:rFonts w:ascii="Cambria Math" w:hAnsi="Cambria Math"/>
                  <w:lang w:val="es-CO"/>
                </w:rPr>
                <m:t>RCap</m:t>
              </m:r>
            </m:e>
            <m:sub>
              <m:r>
                <w:rPr>
                  <w:rFonts w:ascii="Cambria Math" w:hAnsi="Cambria Math"/>
                  <w:lang w:val="es-CO"/>
                </w:rPr>
                <m:t>u,i,m</m:t>
              </m:r>
            </m:sub>
          </m:sSub>
          <m:r>
            <w:rPr>
              <w:rFonts w:ascii="Cambria Math" w:hAnsi="Cambria Math"/>
              <w:lang w:val="es-CO"/>
            </w:rPr>
            <m:t>=</m:t>
          </m:r>
          <m:f>
            <m:fPr>
              <m:ctrlPr>
                <w:rPr>
                  <w:rFonts w:ascii="Cambria Math" w:hAnsi="Cambria Math"/>
                  <w:i/>
                  <w:lang w:val="es-CO"/>
                </w:rPr>
              </m:ctrlPr>
            </m:fPr>
            <m:num>
              <m:nary>
                <m:naryPr>
                  <m:chr m:val="∑"/>
                  <m:limLoc m:val="undOvr"/>
                  <m:ctrlPr>
                    <w:rPr>
                      <w:rFonts w:ascii="Cambria Math" w:hAnsi="Cambria Math"/>
                      <w:i/>
                      <w:lang w:val="es-CO"/>
                    </w:rPr>
                  </m:ctrlPr>
                </m:naryPr>
                <m:sub>
                  <m:r>
                    <w:rPr>
                      <w:rFonts w:ascii="Cambria Math" w:hAnsi="Cambria Math"/>
                      <w:lang w:val="es-CO"/>
                    </w:rPr>
                    <m:t>d=1</m:t>
                  </m:r>
                </m:sub>
                <m:sup>
                  <m:r>
                    <w:rPr>
                      <w:rFonts w:ascii="Cambria Math" w:hAnsi="Cambria Math"/>
                      <w:lang w:val="es-CO"/>
                    </w:rPr>
                    <m:t>n</m:t>
                  </m:r>
                </m:sup>
                <m:e>
                  <m:sSub>
                    <m:sSubPr>
                      <m:ctrlPr>
                        <w:rPr>
                          <w:rFonts w:ascii="Cambria Math" w:hAnsi="Cambria Math"/>
                          <w:i/>
                          <w:lang w:val="es-CO"/>
                        </w:rPr>
                      </m:ctrlPr>
                    </m:sSubPr>
                    <m:e>
                      <m:r>
                        <w:rPr>
                          <w:rFonts w:ascii="Cambria Math" w:hAnsi="Cambria Math"/>
                          <w:lang w:val="es-CO"/>
                        </w:rPr>
                        <m:t>CapU</m:t>
                      </m:r>
                    </m:e>
                    <m:sub>
                      <m:r>
                        <w:rPr>
                          <w:rFonts w:ascii="Cambria Math" w:hAnsi="Cambria Math"/>
                          <w:lang w:val="es-CO"/>
                        </w:rPr>
                        <m:t>u,i,d</m:t>
                      </m:r>
                    </m:sub>
                  </m:sSub>
                </m:e>
              </m:nary>
            </m:num>
            <m:den>
              <m:sSub>
                <m:sSubPr>
                  <m:ctrlPr>
                    <w:rPr>
                      <w:rFonts w:ascii="Cambria Math" w:hAnsi="Cambria Math"/>
                      <w:i/>
                      <w:lang w:val="es-CO"/>
                    </w:rPr>
                  </m:ctrlPr>
                </m:sSubPr>
                <m:e>
                  <m:r>
                    <w:rPr>
                      <w:rFonts w:ascii="Cambria Math" w:hAnsi="Cambria Math"/>
                      <w:lang w:val="es-CO"/>
                    </w:rPr>
                    <m:t>CapC</m:t>
                  </m:r>
                </m:e>
                <m:sub>
                  <m:r>
                    <w:rPr>
                      <w:rFonts w:ascii="Cambria Math" w:hAnsi="Cambria Math"/>
                      <w:lang w:val="es-CO"/>
                    </w:rPr>
                    <m:t>u,i</m:t>
                  </m:r>
                </m:sub>
              </m:sSub>
              <m:r>
                <w:rPr>
                  <w:rFonts w:ascii="Cambria Math" w:hAnsi="Cambria Math"/>
                  <w:lang w:val="es-CO"/>
                </w:rPr>
                <m:t>*n</m:t>
              </m:r>
            </m:den>
          </m:f>
        </m:oMath>
      </m:oMathPara>
    </w:p>
    <w:p w14:paraId="02EDEEF3" w14:textId="30385464" w:rsidR="00B8543D" w:rsidRDefault="00B8543D" w:rsidP="003F10A2">
      <w:pPr>
        <w:pStyle w:val="Estilo1"/>
        <w:rPr>
          <w:lang w:val="es-CO"/>
        </w:rPr>
      </w:pPr>
    </w:p>
    <w:p w14:paraId="7CF49001" w14:textId="77777777" w:rsidR="00077FFE" w:rsidRDefault="00077FFE" w:rsidP="003F10A2">
      <w:pPr>
        <w:pStyle w:val="Estilo1"/>
        <w:rPr>
          <w:lang w:val="es-CO"/>
        </w:rPr>
      </w:pPr>
    </w:p>
    <w:p w14:paraId="4D456B41" w14:textId="77777777" w:rsidR="00077FFE" w:rsidRDefault="00077FFE" w:rsidP="003F10A2">
      <w:pPr>
        <w:pStyle w:val="Estilo1"/>
        <w:rPr>
          <w:lang w:val="es-CO"/>
        </w:rPr>
      </w:pPr>
      <w:r>
        <w:rPr>
          <w:lang w:val="es-CO"/>
        </w:rPr>
        <w:t>Donde:</w:t>
      </w:r>
    </w:p>
    <w:p w14:paraId="7B3074F3" w14:textId="77777777" w:rsidR="00077FFE" w:rsidRDefault="00077FFE" w:rsidP="003F10A2">
      <w:pPr>
        <w:pStyle w:val="Estilo1"/>
        <w:rPr>
          <w:lang w:val="es-CO"/>
        </w:rPr>
      </w:pPr>
    </w:p>
    <w:p w14:paraId="0D039467" w14:textId="6C3E854A" w:rsidR="00077FFE" w:rsidRDefault="003002B0" w:rsidP="003F10A2">
      <w:pPr>
        <w:pStyle w:val="Estilo1"/>
        <w:spacing w:before="120"/>
        <w:ind w:left="1416" w:hanging="1416"/>
        <w:rPr>
          <w:lang w:val="es-CO"/>
        </w:rPr>
      </w:pPr>
      <w:proofErr w:type="spellStart"/>
      <w:proofErr w:type="gramStart"/>
      <w:r>
        <w:rPr>
          <w:i/>
          <w:lang w:val="es-CO"/>
        </w:rPr>
        <w:t>R</w:t>
      </w:r>
      <w:r w:rsidR="00EA311E">
        <w:rPr>
          <w:i/>
          <w:lang w:val="es-CO"/>
        </w:rPr>
        <w:t>Cap</w:t>
      </w:r>
      <w:r w:rsidR="00077FFE" w:rsidRPr="003F10A2">
        <w:rPr>
          <w:i/>
          <w:vertAlign w:val="subscript"/>
          <w:lang w:val="es-CO"/>
        </w:rPr>
        <w:t>u</w:t>
      </w:r>
      <w:r w:rsidR="00207021">
        <w:rPr>
          <w:i/>
          <w:vertAlign w:val="subscript"/>
          <w:lang w:val="es-CO"/>
        </w:rPr>
        <w:t>,i</w:t>
      </w:r>
      <w:proofErr w:type="gramEnd"/>
      <w:r w:rsidR="001D5773">
        <w:rPr>
          <w:i/>
          <w:vertAlign w:val="subscript"/>
          <w:lang w:val="es-CO"/>
        </w:rPr>
        <w:t>,m</w:t>
      </w:r>
      <w:proofErr w:type="spellEnd"/>
      <w:r w:rsidR="00077FFE" w:rsidRPr="003F10A2">
        <w:rPr>
          <w:i/>
          <w:lang w:val="es-CO"/>
        </w:rPr>
        <w:t>:</w:t>
      </w:r>
      <w:r w:rsidR="00077FFE">
        <w:rPr>
          <w:lang w:val="es-CO"/>
        </w:rPr>
        <w:tab/>
      </w:r>
      <w:r>
        <w:rPr>
          <w:lang w:val="es-CO"/>
        </w:rPr>
        <w:t xml:space="preserve">Relación </w:t>
      </w:r>
      <w:r w:rsidR="00077FFE">
        <w:rPr>
          <w:lang w:val="es-CO"/>
        </w:rPr>
        <w:t xml:space="preserve">de capacidad </w:t>
      </w:r>
      <w:r w:rsidR="00EA311E">
        <w:rPr>
          <w:lang w:val="es-CO"/>
        </w:rPr>
        <w:t xml:space="preserve">usada </w:t>
      </w:r>
      <w:r w:rsidR="00077FFE">
        <w:rPr>
          <w:lang w:val="es-CO"/>
        </w:rPr>
        <w:t xml:space="preserve">por el </w:t>
      </w:r>
      <w:r w:rsidR="00EA311E">
        <w:rPr>
          <w:lang w:val="es-CO"/>
        </w:rPr>
        <w:t xml:space="preserve">comprador </w:t>
      </w:r>
      <w:r w:rsidR="00077FFE" w:rsidRPr="003F10A2">
        <w:rPr>
          <w:i/>
          <w:lang w:val="es-CO"/>
        </w:rPr>
        <w:t>u</w:t>
      </w:r>
      <w:r w:rsidR="00207021">
        <w:rPr>
          <w:i/>
          <w:lang w:val="es-CO"/>
        </w:rPr>
        <w:t>,</w:t>
      </w:r>
      <w:r w:rsidR="00077FFE">
        <w:rPr>
          <w:lang w:val="es-CO"/>
        </w:rPr>
        <w:t xml:space="preserve"> </w:t>
      </w:r>
      <w:r w:rsidR="00207021">
        <w:rPr>
          <w:lang w:val="es-CO"/>
        </w:rPr>
        <w:t>con respecto a</w:t>
      </w:r>
      <w:r w:rsidR="00EF3444">
        <w:rPr>
          <w:lang w:val="es-CO"/>
        </w:rPr>
        <w:t xml:space="preserve"> la cantidad contratada </w:t>
      </w:r>
      <w:r w:rsidR="00EA311E">
        <w:rPr>
          <w:lang w:val="es-CO"/>
        </w:rPr>
        <w:t>de</w:t>
      </w:r>
      <w:r w:rsidR="00207021">
        <w:rPr>
          <w:lang w:val="es-CO"/>
        </w:rPr>
        <w:t xml:space="preserve"> la instalación </w:t>
      </w:r>
      <w:r w:rsidR="00207021" w:rsidRPr="003F10A2">
        <w:rPr>
          <w:i/>
          <w:lang w:val="es-CO"/>
        </w:rPr>
        <w:t>i</w:t>
      </w:r>
      <w:r w:rsidR="00207021">
        <w:rPr>
          <w:lang w:val="es-CO"/>
        </w:rPr>
        <w:t xml:space="preserve">, </w:t>
      </w:r>
      <w:r w:rsidR="00077FFE">
        <w:rPr>
          <w:lang w:val="es-CO"/>
        </w:rPr>
        <w:t xml:space="preserve">durante </w:t>
      </w:r>
      <w:r w:rsidR="001D5773">
        <w:rPr>
          <w:lang w:val="es-CO"/>
        </w:rPr>
        <w:t>el</w:t>
      </w:r>
      <w:r w:rsidR="00773651">
        <w:rPr>
          <w:lang w:val="es-CO"/>
        </w:rPr>
        <w:t xml:space="preserve"> </w:t>
      </w:r>
      <w:r w:rsidR="001D5773">
        <w:rPr>
          <w:lang w:val="es-CO"/>
        </w:rPr>
        <w:t xml:space="preserve">mes </w:t>
      </w:r>
      <w:r w:rsidR="001D5773" w:rsidRPr="002A49F8">
        <w:rPr>
          <w:i/>
          <w:lang w:val="es-CO"/>
        </w:rPr>
        <w:t>m</w:t>
      </w:r>
      <w:r w:rsidR="00077FFE">
        <w:rPr>
          <w:lang w:val="es-CO"/>
        </w:rPr>
        <w:t>.</w:t>
      </w:r>
    </w:p>
    <w:p w14:paraId="5D60EC49" w14:textId="2D060A25" w:rsidR="00077FFE" w:rsidRDefault="00077FFE" w:rsidP="003F10A2">
      <w:pPr>
        <w:pStyle w:val="Estilo1"/>
        <w:spacing w:before="120"/>
        <w:ind w:left="1416" w:hanging="1416"/>
        <w:rPr>
          <w:lang w:val="es-CO"/>
        </w:rPr>
      </w:pPr>
      <w:proofErr w:type="spellStart"/>
      <w:proofErr w:type="gramStart"/>
      <w:r>
        <w:rPr>
          <w:i/>
          <w:lang w:val="es-CO"/>
        </w:rPr>
        <w:t>C</w:t>
      </w:r>
      <w:r w:rsidR="00EA311E">
        <w:rPr>
          <w:i/>
          <w:lang w:val="es-CO"/>
        </w:rPr>
        <w:t>apU</w:t>
      </w:r>
      <w:r w:rsidRPr="003F10A2">
        <w:rPr>
          <w:i/>
          <w:vertAlign w:val="subscript"/>
          <w:lang w:val="es-CO"/>
        </w:rPr>
        <w:t>u</w:t>
      </w:r>
      <w:r w:rsidR="00207021">
        <w:rPr>
          <w:i/>
          <w:vertAlign w:val="subscript"/>
          <w:lang w:val="es-CO"/>
        </w:rPr>
        <w:t>,i</w:t>
      </w:r>
      <w:proofErr w:type="gramEnd"/>
      <w:r w:rsidR="001D5773">
        <w:rPr>
          <w:i/>
          <w:vertAlign w:val="subscript"/>
          <w:lang w:val="es-CO"/>
        </w:rPr>
        <w:t>,d</w:t>
      </w:r>
      <w:proofErr w:type="spellEnd"/>
      <w:r>
        <w:rPr>
          <w:i/>
          <w:lang w:val="es-CO"/>
        </w:rPr>
        <w:t>:</w:t>
      </w:r>
      <w:r>
        <w:rPr>
          <w:lang w:val="es-CO"/>
        </w:rPr>
        <w:tab/>
      </w:r>
      <w:r w:rsidR="00207021">
        <w:rPr>
          <w:lang w:val="es-CO"/>
        </w:rPr>
        <w:tab/>
      </w:r>
      <w:r w:rsidR="001D5773">
        <w:rPr>
          <w:lang w:val="es-CO"/>
        </w:rPr>
        <w:t>C</w:t>
      </w:r>
      <w:r>
        <w:rPr>
          <w:lang w:val="es-CO"/>
        </w:rPr>
        <w:t xml:space="preserve">apacidad </w:t>
      </w:r>
      <w:r w:rsidR="007427E3">
        <w:rPr>
          <w:lang w:val="es-CO"/>
        </w:rPr>
        <w:t>usada</w:t>
      </w:r>
      <w:r w:rsidR="001D5773">
        <w:rPr>
          <w:lang w:val="es-CO"/>
        </w:rPr>
        <w:t xml:space="preserve"> </w:t>
      </w:r>
      <w:r>
        <w:rPr>
          <w:lang w:val="es-CO"/>
        </w:rPr>
        <w:t xml:space="preserve">por el </w:t>
      </w:r>
      <w:r w:rsidR="00773651">
        <w:rPr>
          <w:lang w:val="es-CO"/>
        </w:rPr>
        <w:t xml:space="preserve">comprador </w:t>
      </w:r>
      <w:r w:rsidRPr="003F10A2">
        <w:rPr>
          <w:i/>
          <w:lang w:val="es-CO"/>
        </w:rPr>
        <w:t>u</w:t>
      </w:r>
      <w:r w:rsidR="00207021">
        <w:rPr>
          <w:i/>
          <w:lang w:val="es-CO"/>
        </w:rPr>
        <w:t xml:space="preserve">, </w:t>
      </w:r>
      <w:r w:rsidR="00207021">
        <w:rPr>
          <w:lang w:val="es-CO"/>
        </w:rPr>
        <w:t xml:space="preserve">con respecto a la instalación </w:t>
      </w:r>
      <w:r w:rsidR="00207021" w:rsidRPr="008E35C0">
        <w:rPr>
          <w:i/>
          <w:lang w:val="es-CO"/>
        </w:rPr>
        <w:t>i</w:t>
      </w:r>
      <w:r w:rsidR="00207021">
        <w:rPr>
          <w:i/>
          <w:lang w:val="es-CO"/>
        </w:rPr>
        <w:t>,</w:t>
      </w:r>
      <w:r w:rsidR="00773651">
        <w:rPr>
          <w:lang w:val="es-CO"/>
        </w:rPr>
        <w:t xml:space="preserve"> </w:t>
      </w:r>
      <w:r w:rsidR="001D5773">
        <w:rPr>
          <w:lang w:val="es-CO"/>
        </w:rPr>
        <w:t xml:space="preserve">en el día </w:t>
      </w:r>
      <w:r w:rsidR="001D5773" w:rsidRPr="00E97E44">
        <w:rPr>
          <w:i/>
          <w:lang w:val="es-CO"/>
        </w:rPr>
        <w:t>d</w:t>
      </w:r>
      <w:r>
        <w:rPr>
          <w:lang w:val="es-CO"/>
        </w:rPr>
        <w:t>.</w:t>
      </w:r>
      <w:r w:rsidR="003F73B5">
        <w:rPr>
          <w:lang w:val="es-CO"/>
        </w:rPr>
        <w:t xml:space="preserve"> </w:t>
      </w:r>
      <w:r w:rsidR="003F73B5" w:rsidRPr="002A49F8">
        <w:rPr>
          <w:i/>
          <w:lang w:val="es-CO"/>
        </w:rPr>
        <w:t>[MPCD]</w:t>
      </w:r>
    </w:p>
    <w:p w14:paraId="6A55A78D" w14:textId="7020AF9F" w:rsidR="00077FFE" w:rsidRPr="002A49F8" w:rsidRDefault="00077FFE" w:rsidP="003F10A2">
      <w:pPr>
        <w:pStyle w:val="Estilo1"/>
        <w:spacing w:before="120"/>
        <w:ind w:left="1416" w:hanging="1416"/>
        <w:rPr>
          <w:i/>
          <w:lang w:val="es-CO"/>
        </w:rPr>
      </w:pPr>
      <w:proofErr w:type="spellStart"/>
      <w:proofErr w:type="gramStart"/>
      <w:r>
        <w:rPr>
          <w:i/>
          <w:lang w:val="es-CO"/>
        </w:rPr>
        <w:t>C</w:t>
      </w:r>
      <w:r w:rsidR="00EA311E">
        <w:rPr>
          <w:i/>
          <w:lang w:val="es-CO"/>
        </w:rPr>
        <w:t>ap</w:t>
      </w:r>
      <w:r>
        <w:rPr>
          <w:i/>
          <w:lang w:val="es-CO"/>
        </w:rPr>
        <w:t>C</w:t>
      </w:r>
      <w:r w:rsidRPr="003F10A2">
        <w:rPr>
          <w:i/>
          <w:vertAlign w:val="subscript"/>
          <w:lang w:val="es-CO"/>
        </w:rPr>
        <w:t>u</w:t>
      </w:r>
      <w:r w:rsidR="00207021">
        <w:rPr>
          <w:i/>
          <w:vertAlign w:val="subscript"/>
          <w:lang w:val="es-CO"/>
        </w:rPr>
        <w:t>,i</w:t>
      </w:r>
      <w:proofErr w:type="spellEnd"/>
      <w:proofErr w:type="gramEnd"/>
      <w:r w:rsidR="00E21ED4">
        <w:rPr>
          <w:i/>
          <w:lang w:val="es-CO"/>
        </w:rPr>
        <w:t>:</w:t>
      </w:r>
      <w:r w:rsidR="00E21ED4">
        <w:rPr>
          <w:i/>
          <w:lang w:val="es-CO"/>
        </w:rPr>
        <w:tab/>
      </w:r>
      <w:r w:rsidR="00207021">
        <w:rPr>
          <w:i/>
          <w:lang w:val="es-CO"/>
        </w:rPr>
        <w:tab/>
      </w:r>
      <w:r>
        <w:rPr>
          <w:lang w:val="es-CO"/>
        </w:rPr>
        <w:t xml:space="preserve">Capacidad </w:t>
      </w:r>
      <w:r w:rsidR="00E21ED4">
        <w:rPr>
          <w:lang w:val="es-CO"/>
        </w:rPr>
        <w:t xml:space="preserve">diaria </w:t>
      </w:r>
      <w:r w:rsidR="00050E91">
        <w:rPr>
          <w:lang w:val="es-CO"/>
        </w:rPr>
        <w:t>contratada</w:t>
      </w:r>
      <w:r w:rsidR="001D5773">
        <w:rPr>
          <w:lang w:val="es-CO"/>
        </w:rPr>
        <w:t xml:space="preserve"> </w:t>
      </w:r>
      <w:r>
        <w:rPr>
          <w:lang w:val="es-CO"/>
        </w:rPr>
        <w:t xml:space="preserve">por el </w:t>
      </w:r>
      <w:r w:rsidR="00773651">
        <w:rPr>
          <w:lang w:val="es-CO"/>
        </w:rPr>
        <w:t xml:space="preserve">comprador </w:t>
      </w:r>
      <w:r w:rsidRPr="003F10A2">
        <w:rPr>
          <w:i/>
          <w:lang w:val="es-CO"/>
        </w:rPr>
        <w:t>u</w:t>
      </w:r>
      <w:r w:rsidR="00207021">
        <w:rPr>
          <w:i/>
          <w:lang w:val="es-CO"/>
        </w:rPr>
        <w:t>,</w:t>
      </w:r>
      <w:r>
        <w:rPr>
          <w:lang w:val="es-CO"/>
        </w:rPr>
        <w:t xml:space="preserve"> </w:t>
      </w:r>
      <w:r w:rsidR="00207021">
        <w:rPr>
          <w:lang w:val="es-CO"/>
        </w:rPr>
        <w:t>con respecto a</w:t>
      </w:r>
      <w:r w:rsidR="00E21ED4">
        <w:rPr>
          <w:lang w:val="es-CO"/>
        </w:rPr>
        <w:t xml:space="preserve"> la </w:t>
      </w:r>
      <w:r w:rsidR="00207021">
        <w:rPr>
          <w:lang w:val="es-CO"/>
        </w:rPr>
        <w:t xml:space="preserve">instalación </w:t>
      </w:r>
      <w:r w:rsidR="00207021" w:rsidRPr="003F10A2">
        <w:rPr>
          <w:i/>
          <w:lang w:val="es-CO"/>
        </w:rPr>
        <w:t>i</w:t>
      </w:r>
      <w:r>
        <w:rPr>
          <w:lang w:val="es-CO"/>
        </w:rPr>
        <w:t>.</w:t>
      </w:r>
      <w:r w:rsidR="003F73B5">
        <w:rPr>
          <w:lang w:val="es-CO"/>
        </w:rPr>
        <w:t xml:space="preserve"> </w:t>
      </w:r>
      <w:r w:rsidR="003F73B5" w:rsidRPr="002A49F8">
        <w:rPr>
          <w:i/>
          <w:lang w:val="es-CO"/>
        </w:rPr>
        <w:t>[MPCD]</w:t>
      </w:r>
    </w:p>
    <w:p w14:paraId="7309AFCD" w14:textId="77777777" w:rsidR="001D5773" w:rsidRDefault="001D5773" w:rsidP="003F10A2">
      <w:pPr>
        <w:pStyle w:val="Estilo1"/>
        <w:spacing w:before="120"/>
        <w:ind w:left="1416" w:hanging="1416"/>
        <w:rPr>
          <w:lang w:val="es-CO"/>
        </w:rPr>
      </w:pPr>
      <w:r>
        <w:rPr>
          <w:i/>
          <w:lang w:val="es-CO"/>
        </w:rPr>
        <w:t>n:</w:t>
      </w:r>
      <w:r>
        <w:rPr>
          <w:lang w:val="es-CO"/>
        </w:rPr>
        <w:tab/>
        <w:t>Número de días que tiene el mes m.</w:t>
      </w:r>
    </w:p>
    <w:p w14:paraId="5174BDAE" w14:textId="77777777" w:rsidR="001973AD" w:rsidRDefault="001973AD" w:rsidP="001973AD">
      <w:pPr>
        <w:pStyle w:val="Estilo1"/>
        <w:rPr>
          <w:lang w:val="es-CO"/>
        </w:rPr>
      </w:pPr>
    </w:p>
    <w:p w14:paraId="28F541B3" w14:textId="21AF83FB" w:rsidR="001973AD" w:rsidRDefault="001973AD" w:rsidP="00602082">
      <w:pPr>
        <w:pStyle w:val="Estilo1"/>
        <w:rPr>
          <w:lang w:val="es-CO"/>
        </w:rPr>
      </w:pPr>
      <w:r>
        <w:rPr>
          <w:lang w:val="es-CO"/>
        </w:rPr>
        <w:t xml:space="preserve">El Gestor del mercado evaluará </w:t>
      </w:r>
      <w:r w:rsidR="00602082">
        <w:rPr>
          <w:lang w:val="es-CO"/>
        </w:rPr>
        <w:t>mensualmente</w:t>
      </w:r>
      <w:r>
        <w:rPr>
          <w:lang w:val="es-CO"/>
        </w:rPr>
        <w:t xml:space="preserve"> si en un año </w:t>
      </w:r>
      <w:r w:rsidR="0080706E">
        <w:rPr>
          <w:lang w:val="es-CO"/>
        </w:rPr>
        <w:t>t,</w:t>
      </w:r>
      <w:r>
        <w:rPr>
          <w:lang w:val="es-CO"/>
        </w:rPr>
        <w:t xml:space="preserve"> para cada comprador</w:t>
      </w:r>
      <w:r w:rsidR="0080706E">
        <w:rPr>
          <w:lang w:val="es-CO"/>
        </w:rPr>
        <w:t>,</w:t>
      </w:r>
      <w:r>
        <w:rPr>
          <w:lang w:val="es-CO"/>
        </w:rPr>
        <w:t xml:space="preserve"> el porcentaje de capacidad usada, </w:t>
      </w:r>
      <w:proofErr w:type="spellStart"/>
      <w:proofErr w:type="gramStart"/>
      <w:r>
        <w:rPr>
          <w:i/>
          <w:lang w:val="es-CO"/>
        </w:rPr>
        <w:t>R</w:t>
      </w:r>
      <w:r w:rsidRPr="002A49F8">
        <w:rPr>
          <w:i/>
          <w:lang w:val="es-CO"/>
        </w:rPr>
        <w:t>Cap</w:t>
      </w:r>
      <w:r w:rsidRPr="002A49F8">
        <w:rPr>
          <w:i/>
          <w:vertAlign w:val="subscript"/>
          <w:lang w:val="es-CO"/>
        </w:rPr>
        <w:t>u,i</w:t>
      </w:r>
      <w:proofErr w:type="spellEnd"/>
      <w:proofErr w:type="gramEnd"/>
      <w:r>
        <w:rPr>
          <w:lang w:val="es-CO"/>
        </w:rPr>
        <w:t>, es inferior a 0,8 durante por lo menos seis meses, continuos o discontinuos</w:t>
      </w:r>
      <w:r w:rsidR="0080706E">
        <w:rPr>
          <w:lang w:val="es-CO"/>
        </w:rPr>
        <w:t>. De presentarse esta situación</w:t>
      </w:r>
      <w:r w:rsidR="00602082">
        <w:rPr>
          <w:lang w:val="es-CO"/>
        </w:rPr>
        <w:t xml:space="preserve"> y cuando</w:t>
      </w:r>
      <w:r w:rsidR="0080706E">
        <w:rPr>
          <w:lang w:val="es-CO"/>
        </w:rPr>
        <w:t xml:space="preserve"> la capacidad disponible en las instalaciones que componen la infraestructura no sea suficiente para asignar nuevos contratos con duración igual a un año, el Gestor del mercado deberá </w:t>
      </w:r>
      <w:r w:rsidR="008B0647">
        <w:rPr>
          <w:lang w:val="es-CO"/>
        </w:rPr>
        <w:t xml:space="preserve">aplicar la “regla de subutilización” consistente en </w:t>
      </w:r>
      <w:r w:rsidR="0080706E">
        <w:rPr>
          <w:lang w:val="es-CO"/>
        </w:rPr>
        <w:t xml:space="preserve">disminuir la capacidad del respectivo comprador </w:t>
      </w:r>
      <w:r w:rsidR="00602082">
        <w:rPr>
          <w:lang w:val="es-CO"/>
        </w:rPr>
        <w:t>y ponerla</w:t>
      </w:r>
      <w:r w:rsidR="0080706E">
        <w:rPr>
          <w:lang w:val="es-CO"/>
        </w:rPr>
        <w:t xml:space="preserve"> a disposición del mercado en la siguiente asignación de contratos.</w:t>
      </w:r>
    </w:p>
    <w:p w14:paraId="6C2B9ED1" w14:textId="77777777" w:rsidR="001973AD" w:rsidRDefault="001973AD" w:rsidP="001973AD">
      <w:pPr>
        <w:pStyle w:val="Estilo1"/>
        <w:rPr>
          <w:lang w:val="es-CO"/>
        </w:rPr>
      </w:pPr>
    </w:p>
    <w:p w14:paraId="2C9B95A8" w14:textId="6566E6E8" w:rsidR="00934826" w:rsidRDefault="007E783F" w:rsidP="00934826">
      <w:pPr>
        <w:pStyle w:val="Estilo1"/>
        <w:rPr>
          <w:lang w:val="es-CO"/>
        </w:rPr>
      </w:pPr>
      <w:r>
        <w:rPr>
          <w:lang w:val="es-CO"/>
        </w:rPr>
        <w:t>En caso de que se dé la anterior situación, l</w:t>
      </w:r>
      <w:r w:rsidR="003E067F">
        <w:rPr>
          <w:lang w:val="es-CO"/>
        </w:rPr>
        <w:t xml:space="preserve">a capacidad contratada </w:t>
      </w:r>
      <w:r>
        <w:rPr>
          <w:lang w:val="es-CO"/>
        </w:rPr>
        <w:t xml:space="preserve">de un comprador </w:t>
      </w:r>
      <w:r w:rsidR="003E067F">
        <w:rPr>
          <w:lang w:val="es-CO"/>
        </w:rPr>
        <w:t xml:space="preserve">como máximo </w:t>
      </w:r>
      <w:r>
        <w:rPr>
          <w:lang w:val="es-CO"/>
        </w:rPr>
        <w:t>deberá</w:t>
      </w:r>
      <w:r w:rsidR="003E067F">
        <w:rPr>
          <w:lang w:val="es-CO"/>
        </w:rPr>
        <w:t xml:space="preserve"> ser disminuida en la proporción que resulte de </w:t>
      </w:r>
      <w:r w:rsidR="003E067F">
        <w:rPr>
          <w:lang w:val="es-CO"/>
        </w:rPr>
        <w:lastRenderedPageBreak/>
        <w:t xml:space="preserve">promediar </w:t>
      </w:r>
      <w:r>
        <w:rPr>
          <w:lang w:val="es-CO"/>
        </w:rPr>
        <w:t>todos los</w:t>
      </w:r>
      <w:r w:rsidR="003E067F">
        <w:rPr>
          <w:lang w:val="es-CO"/>
        </w:rPr>
        <w:t xml:space="preserve"> porcentajes de capacidad usada</w:t>
      </w:r>
      <w:r>
        <w:rPr>
          <w:lang w:val="es-CO"/>
        </w:rPr>
        <w:t xml:space="preserve"> en el año t que hayan sido inferiores a 0,8. </w:t>
      </w:r>
      <w:r w:rsidR="00934826">
        <w:rPr>
          <w:lang w:val="es-CO"/>
        </w:rPr>
        <w:t xml:space="preserve">La disminución de la capacidad del contrato de cada comprador se hará efectiva en </w:t>
      </w:r>
      <w:r w:rsidR="00993B5B">
        <w:rPr>
          <w:lang w:val="es-CO"/>
        </w:rPr>
        <w:t xml:space="preserve">la siguiente asignación que realice el Gestor del mercado. </w:t>
      </w:r>
    </w:p>
    <w:p w14:paraId="06E98B70" w14:textId="77777777" w:rsidR="00934826" w:rsidRDefault="00934826" w:rsidP="00077FFE">
      <w:pPr>
        <w:pStyle w:val="Estilo1"/>
        <w:rPr>
          <w:lang w:val="es-CO"/>
        </w:rPr>
      </w:pPr>
    </w:p>
    <w:p w14:paraId="14B2AFE2" w14:textId="77777777" w:rsidR="00E12790" w:rsidRDefault="001831D3" w:rsidP="00077FFE">
      <w:pPr>
        <w:pStyle w:val="Estilo1"/>
        <w:rPr>
          <w:lang w:val="es-CO"/>
        </w:rPr>
      </w:pPr>
      <w:r>
        <w:rPr>
          <w:lang w:val="es-CO"/>
        </w:rPr>
        <w:t>La disminución de capacidad del contrato de cada comprador se realizará a prorrata de su capacidad contratada c</w:t>
      </w:r>
      <w:r w:rsidR="009102D0">
        <w:rPr>
          <w:lang w:val="es-CO"/>
        </w:rPr>
        <w:t>uando la capacidad recuperada por el Gestor del mercado a través de la aplicación de esta regla, más la capacidad remanente disponible en la infraestructura, supere la capacidad requerida para atender las nuevas solicitudes</w:t>
      </w:r>
      <w:r w:rsidR="009968AE">
        <w:rPr>
          <w:lang w:val="es-CO"/>
        </w:rPr>
        <w:t>.</w:t>
      </w:r>
    </w:p>
    <w:p w14:paraId="26122B79" w14:textId="77777777" w:rsidR="009968AE" w:rsidRDefault="009968AE" w:rsidP="00077FFE">
      <w:pPr>
        <w:pStyle w:val="Estilo1"/>
        <w:rPr>
          <w:lang w:val="es-CO"/>
        </w:rPr>
      </w:pPr>
    </w:p>
    <w:p w14:paraId="221A878B" w14:textId="2B587A7D" w:rsidR="009968AE" w:rsidRDefault="009968AE" w:rsidP="00077FFE">
      <w:pPr>
        <w:pStyle w:val="Estilo1"/>
        <w:rPr>
          <w:lang w:val="es-CO"/>
        </w:rPr>
      </w:pPr>
      <w:r>
        <w:rPr>
          <w:lang w:val="es-CO"/>
        </w:rPr>
        <w:t xml:space="preserve">Cuando la capacidad recuperada por el Gestor del mercado a través de la aplicación de </w:t>
      </w:r>
      <w:r w:rsidR="008B0647">
        <w:rPr>
          <w:lang w:val="es-CO"/>
        </w:rPr>
        <w:t>l</w:t>
      </w:r>
      <w:r>
        <w:rPr>
          <w:lang w:val="es-CO"/>
        </w:rPr>
        <w:t>a regla</w:t>
      </w:r>
      <w:r w:rsidR="008B0647">
        <w:rPr>
          <w:lang w:val="es-CO"/>
        </w:rPr>
        <w:t xml:space="preserve"> de subutilización</w:t>
      </w:r>
      <w:r w:rsidR="00C64A4B">
        <w:rPr>
          <w:lang w:val="es-CO"/>
        </w:rPr>
        <w:t>,</w:t>
      </w:r>
      <w:r>
        <w:rPr>
          <w:lang w:val="es-CO"/>
        </w:rPr>
        <w:t xml:space="preserve"> </w:t>
      </w:r>
      <w:r w:rsidR="00C64A4B">
        <w:rPr>
          <w:lang w:val="es-CO"/>
        </w:rPr>
        <w:t>más</w:t>
      </w:r>
      <w:r>
        <w:rPr>
          <w:lang w:val="es-CO"/>
        </w:rPr>
        <w:t xml:space="preserve"> la capacidad remanente di</w:t>
      </w:r>
      <w:r w:rsidR="00C64A4B">
        <w:rPr>
          <w:lang w:val="es-CO"/>
        </w:rPr>
        <w:t>s</w:t>
      </w:r>
      <w:r>
        <w:rPr>
          <w:lang w:val="es-CO"/>
        </w:rPr>
        <w:t>ponible en la infraestructura</w:t>
      </w:r>
      <w:r w:rsidR="00C64A4B">
        <w:rPr>
          <w:lang w:val="es-CO"/>
        </w:rPr>
        <w:t>,</w:t>
      </w:r>
      <w:r>
        <w:rPr>
          <w:lang w:val="es-CO"/>
        </w:rPr>
        <w:t xml:space="preserve"> no sea suficiente para </w:t>
      </w:r>
      <w:r w:rsidR="00C64A4B">
        <w:rPr>
          <w:lang w:val="es-CO"/>
        </w:rPr>
        <w:t xml:space="preserve">asignar toda la capacidad requerida para atender las nuevas solicitudes el </w:t>
      </w:r>
      <w:r w:rsidR="00EF10FA">
        <w:rPr>
          <w:lang w:val="es-CO"/>
        </w:rPr>
        <w:t>G</w:t>
      </w:r>
      <w:r w:rsidR="00C64A4B">
        <w:rPr>
          <w:lang w:val="es-CO"/>
        </w:rPr>
        <w:t xml:space="preserve">estor del mercado llevará a cabo el mecanismo de subastas de que trata el literal </w:t>
      </w:r>
      <w:r w:rsidR="00C64A4B">
        <w:rPr>
          <w:lang w:val="es-CO"/>
        </w:rPr>
        <w:fldChar w:fldCharType="begin"/>
      </w:r>
      <w:r w:rsidR="00C64A4B">
        <w:rPr>
          <w:lang w:val="es-CO"/>
        </w:rPr>
        <w:instrText xml:space="preserve"> REF _Ref501528778 \r \h </w:instrText>
      </w:r>
      <w:r w:rsidR="00C64A4B">
        <w:rPr>
          <w:lang w:val="es-CO"/>
        </w:rPr>
      </w:r>
      <w:r w:rsidR="00C64A4B">
        <w:rPr>
          <w:lang w:val="es-CO"/>
        </w:rPr>
        <w:fldChar w:fldCharType="separate"/>
      </w:r>
      <w:r w:rsidR="00BB7212">
        <w:rPr>
          <w:lang w:val="es-CO"/>
        </w:rPr>
        <w:t>c)</w:t>
      </w:r>
      <w:r w:rsidR="00C64A4B">
        <w:rPr>
          <w:lang w:val="es-CO"/>
        </w:rPr>
        <w:fldChar w:fldCharType="end"/>
      </w:r>
      <w:r w:rsidR="00C64A4B">
        <w:rPr>
          <w:lang w:val="es-CO"/>
        </w:rPr>
        <w:t xml:space="preserve"> del artículo </w:t>
      </w:r>
      <w:r w:rsidR="00C64A4B">
        <w:rPr>
          <w:lang w:val="es-CO"/>
        </w:rPr>
        <w:fldChar w:fldCharType="begin"/>
      </w:r>
      <w:r w:rsidR="00C64A4B">
        <w:rPr>
          <w:lang w:val="es-CO"/>
        </w:rPr>
        <w:instrText xml:space="preserve"> REF _Ref501526945 \r \h \t</w:instrText>
      </w:r>
      <w:r w:rsidR="00C64A4B">
        <w:rPr>
          <w:lang w:val="es-CO"/>
        </w:rPr>
      </w:r>
      <w:r w:rsidR="00C64A4B">
        <w:rPr>
          <w:lang w:val="es-CO"/>
        </w:rPr>
        <w:fldChar w:fldCharType="separate"/>
      </w:r>
      <w:r w:rsidR="00BB7212">
        <w:rPr>
          <w:lang w:val="es-CO"/>
        </w:rPr>
        <w:t>7</w:t>
      </w:r>
      <w:r w:rsidR="00C64A4B">
        <w:rPr>
          <w:lang w:val="es-CO"/>
        </w:rPr>
        <w:fldChar w:fldCharType="end"/>
      </w:r>
      <w:r w:rsidR="00C64A4B">
        <w:rPr>
          <w:lang w:val="es-CO"/>
        </w:rPr>
        <w:t>.</w:t>
      </w:r>
    </w:p>
    <w:p w14:paraId="09FB3FC2" w14:textId="1D298E9B" w:rsidR="008652D4" w:rsidRDefault="008652D4" w:rsidP="00077FFE">
      <w:pPr>
        <w:pStyle w:val="Estilo1"/>
        <w:rPr>
          <w:lang w:val="es-CO"/>
        </w:rPr>
      </w:pPr>
    </w:p>
    <w:p w14:paraId="23507ABA" w14:textId="77777777" w:rsidR="003E067F" w:rsidRDefault="008652D4" w:rsidP="00077FFE">
      <w:pPr>
        <w:pStyle w:val="Estilo1"/>
        <w:rPr>
          <w:lang w:val="es-CO"/>
        </w:rPr>
      </w:pPr>
      <w:r>
        <w:rPr>
          <w:lang w:val="es-CO"/>
        </w:rPr>
        <w:t>La regla de subutilización aplica para contratos cuyas duraciones sean iguales o superiores a tres años</w:t>
      </w:r>
      <w:r w:rsidR="003E067F">
        <w:rPr>
          <w:lang w:val="es-CO"/>
        </w:rPr>
        <w:t>.</w:t>
      </w:r>
    </w:p>
    <w:p w14:paraId="0ED55B3C" w14:textId="77777777" w:rsidR="003E067F" w:rsidRDefault="003E067F" w:rsidP="00077FFE">
      <w:pPr>
        <w:pStyle w:val="Estilo1"/>
        <w:rPr>
          <w:lang w:val="es-CO"/>
        </w:rPr>
      </w:pPr>
    </w:p>
    <w:p w14:paraId="5E508D39" w14:textId="181CCA00" w:rsidR="008652D4" w:rsidRDefault="003E067F" w:rsidP="00077FFE">
      <w:pPr>
        <w:pStyle w:val="Estilo1"/>
        <w:rPr>
          <w:lang w:val="es-CO"/>
        </w:rPr>
      </w:pPr>
      <w:r>
        <w:rPr>
          <w:lang w:val="es-CO"/>
        </w:rPr>
        <w:t>La regla de subutilización no aplica a</w:t>
      </w:r>
      <w:r w:rsidR="00555CD0">
        <w:rPr>
          <w:lang w:val="es-CO"/>
        </w:rPr>
        <w:t xml:space="preserve"> los </w:t>
      </w:r>
      <w:r w:rsidR="000425B3">
        <w:rPr>
          <w:lang w:val="es-CO"/>
        </w:rPr>
        <w:t>usuarios térmicos.</w:t>
      </w:r>
    </w:p>
    <w:p w14:paraId="630B8CAD" w14:textId="77777777" w:rsidR="00333510" w:rsidRDefault="00333510" w:rsidP="005C0958">
      <w:pPr>
        <w:pStyle w:val="Estilo1"/>
        <w:rPr>
          <w:lang w:val="es-CO"/>
        </w:rPr>
      </w:pPr>
    </w:p>
    <w:p w14:paraId="4D20C41B" w14:textId="59E7DF7E" w:rsidR="008336A9" w:rsidRDefault="00B52278" w:rsidP="002A49F8">
      <w:pPr>
        <w:pStyle w:val="ARTICULOS"/>
        <w:ind w:left="0"/>
        <w:rPr>
          <w:lang w:val="es-CO"/>
        </w:rPr>
      </w:pPr>
      <w:r>
        <w:rPr>
          <w:b/>
          <w:lang w:val="es-CO"/>
        </w:rPr>
        <w:t xml:space="preserve">Servicios a cargo del </w:t>
      </w:r>
      <w:r w:rsidR="00D20D7B">
        <w:rPr>
          <w:b/>
          <w:lang w:val="es-CO"/>
        </w:rPr>
        <w:t>G</w:t>
      </w:r>
      <w:r>
        <w:rPr>
          <w:b/>
          <w:lang w:val="es-CO"/>
        </w:rPr>
        <w:t>estor del mercado</w:t>
      </w:r>
      <w:r w:rsidR="00D20D7B">
        <w:rPr>
          <w:b/>
          <w:lang w:val="es-CO"/>
        </w:rPr>
        <w:t>.</w:t>
      </w:r>
      <w:r w:rsidR="000425B3">
        <w:rPr>
          <w:lang w:val="es-CO"/>
        </w:rPr>
        <w:t xml:space="preserve"> El G</w:t>
      </w:r>
      <w:r w:rsidR="008336A9">
        <w:rPr>
          <w:lang w:val="es-CO"/>
        </w:rPr>
        <w:t>estor del mercado</w:t>
      </w:r>
      <w:r w:rsidR="00D20D7B">
        <w:rPr>
          <w:lang w:val="es-CO"/>
        </w:rPr>
        <w:t xml:space="preserve">, </w:t>
      </w:r>
      <w:r w:rsidR="00D20D7B" w:rsidRPr="00D20D7B">
        <w:rPr>
          <w:lang w:val="es-CO"/>
        </w:rPr>
        <w:t>frente a la infraestructura de importación de gas del Pacífico</w:t>
      </w:r>
      <w:r w:rsidR="009E39FE">
        <w:rPr>
          <w:lang w:val="es-CO"/>
        </w:rPr>
        <w:t>,</w:t>
      </w:r>
      <w:r w:rsidR="008336A9">
        <w:rPr>
          <w:lang w:val="es-CO"/>
        </w:rPr>
        <w:t xml:space="preserve"> </w:t>
      </w:r>
      <w:r w:rsidR="00CD73FD">
        <w:rPr>
          <w:lang w:val="es-CO"/>
        </w:rPr>
        <w:t xml:space="preserve">prestará </w:t>
      </w:r>
      <w:r w:rsidR="008336A9">
        <w:rPr>
          <w:lang w:val="es-CO"/>
        </w:rPr>
        <w:t>l</w:t>
      </w:r>
      <w:r w:rsidR="00CD73FD">
        <w:rPr>
          <w:lang w:val="es-CO"/>
        </w:rPr>
        <w:t>o</w:t>
      </w:r>
      <w:r w:rsidR="008336A9">
        <w:rPr>
          <w:lang w:val="es-CO"/>
        </w:rPr>
        <w:t xml:space="preserve">s siguientes </w:t>
      </w:r>
      <w:r w:rsidR="00CD73FD">
        <w:rPr>
          <w:lang w:val="es-CO"/>
        </w:rPr>
        <w:t>servicios:</w:t>
      </w:r>
    </w:p>
    <w:p w14:paraId="7D1011ED" w14:textId="77777777" w:rsidR="008336A9" w:rsidRDefault="008336A9" w:rsidP="003F10A2">
      <w:pPr>
        <w:pStyle w:val="Estilo1"/>
        <w:rPr>
          <w:lang w:val="es-CO"/>
        </w:rPr>
      </w:pPr>
    </w:p>
    <w:p w14:paraId="1BB0ECB4" w14:textId="1D35C900" w:rsidR="00FC664A" w:rsidRDefault="00FC664A" w:rsidP="00CA5931">
      <w:pPr>
        <w:pStyle w:val="Estilo1"/>
        <w:numPr>
          <w:ilvl w:val="0"/>
          <w:numId w:val="21"/>
        </w:numPr>
        <w:spacing w:after="120"/>
        <w:rPr>
          <w:lang w:val="es-CO"/>
        </w:rPr>
      </w:pPr>
      <w:r>
        <w:rPr>
          <w:lang w:val="es-CO"/>
        </w:rPr>
        <w:t>Asignar los contratos de acceso a los servicios de la infraestructura.</w:t>
      </w:r>
    </w:p>
    <w:p w14:paraId="6C8CB44B" w14:textId="2FE404FB" w:rsidR="008336A9" w:rsidRDefault="00EF5C04" w:rsidP="00CA5931">
      <w:pPr>
        <w:pStyle w:val="Estilo1"/>
        <w:numPr>
          <w:ilvl w:val="0"/>
          <w:numId w:val="21"/>
        </w:numPr>
        <w:spacing w:after="120"/>
        <w:rPr>
          <w:lang w:val="es-CO"/>
        </w:rPr>
      </w:pPr>
      <w:r>
        <w:rPr>
          <w:lang w:val="es-CO"/>
        </w:rPr>
        <w:t xml:space="preserve">Establecer </w:t>
      </w:r>
      <w:r w:rsidR="008336A9">
        <w:rPr>
          <w:lang w:val="es-CO"/>
        </w:rPr>
        <w:t>un formato modelo de</w:t>
      </w:r>
      <w:r w:rsidR="009426AF">
        <w:rPr>
          <w:lang w:val="es-CO"/>
        </w:rPr>
        <w:t xml:space="preserve"> contrato de</w:t>
      </w:r>
      <w:r w:rsidR="008336A9">
        <w:rPr>
          <w:lang w:val="es-CO"/>
        </w:rPr>
        <w:t xml:space="preserve"> solicitud de acceso a los servicios de las instalaciones que componen la infraestructura.</w:t>
      </w:r>
      <w:r w:rsidR="007D5F31">
        <w:rPr>
          <w:lang w:val="es-CO"/>
        </w:rPr>
        <w:t xml:space="preserve"> Este formato deberá ser remitido a la CREG para su aprobación mediante circular.</w:t>
      </w:r>
    </w:p>
    <w:p w14:paraId="73A806E6" w14:textId="599FEB79" w:rsidR="008336A9" w:rsidRDefault="00F15910" w:rsidP="00CA5931">
      <w:pPr>
        <w:pStyle w:val="Estilo1"/>
        <w:numPr>
          <w:ilvl w:val="0"/>
          <w:numId w:val="21"/>
        </w:numPr>
        <w:spacing w:after="120"/>
        <w:rPr>
          <w:lang w:val="es-CO"/>
        </w:rPr>
      </w:pPr>
      <w:r>
        <w:rPr>
          <w:lang w:val="es-CO"/>
        </w:rPr>
        <w:t>Registrar los contratos</w:t>
      </w:r>
      <w:r w:rsidR="00431865">
        <w:rPr>
          <w:lang w:val="es-CO"/>
        </w:rPr>
        <w:t xml:space="preserve"> que hayan sido suscritos entre los </w:t>
      </w:r>
      <w:r w:rsidR="00EF5C04">
        <w:rPr>
          <w:lang w:val="es-CO"/>
        </w:rPr>
        <w:t xml:space="preserve">compradores </w:t>
      </w:r>
      <w:r w:rsidR="00431865">
        <w:rPr>
          <w:lang w:val="es-CO"/>
        </w:rPr>
        <w:t>y el (los) adjudicatario(s) de las instalaciones que componen la infraestructura.</w:t>
      </w:r>
    </w:p>
    <w:p w14:paraId="1FF2C0EA" w14:textId="3EF7A4D0" w:rsidR="00FC664A" w:rsidRDefault="00EF5C04" w:rsidP="00CA5931">
      <w:pPr>
        <w:pStyle w:val="Estilo1"/>
        <w:numPr>
          <w:ilvl w:val="0"/>
          <w:numId w:val="21"/>
        </w:numPr>
        <w:spacing w:after="120"/>
        <w:rPr>
          <w:lang w:val="es-CO"/>
        </w:rPr>
      </w:pPr>
      <w:r>
        <w:rPr>
          <w:lang w:val="es-CO"/>
        </w:rPr>
        <w:t>Mensualmente y para cada contrato, calcular y divulgar la utilización efectiva.</w:t>
      </w:r>
    </w:p>
    <w:p w14:paraId="0A77C351" w14:textId="3B2E05FC" w:rsidR="00D66B3D" w:rsidRDefault="00EF5C04" w:rsidP="00CA5931">
      <w:pPr>
        <w:pStyle w:val="Estilo1"/>
        <w:numPr>
          <w:ilvl w:val="0"/>
          <w:numId w:val="21"/>
        </w:numPr>
        <w:spacing w:after="120"/>
        <w:rPr>
          <w:lang w:val="es-CO"/>
        </w:rPr>
      </w:pPr>
      <w:r w:rsidRPr="00FC664A">
        <w:rPr>
          <w:lang w:val="es-CO"/>
        </w:rPr>
        <w:t>Mensualmente calcular y divulgar la capacidad de la infraestructura que está contratada.</w:t>
      </w:r>
    </w:p>
    <w:p w14:paraId="3552E89D" w14:textId="3595993F" w:rsidR="00FC664A" w:rsidRDefault="00FC664A" w:rsidP="00CA5931">
      <w:pPr>
        <w:pStyle w:val="Estilo1"/>
        <w:numPr>
          <w:ilvl w:val="0"/>
          <w:numId w:val="21"/>
        </w:numPr>
        <w:spacing w:after="120"/>
        <w:rPr>
          <w:lang w:val="es-CO"/>
        </w:rPr>
      </w:pPr>
      <w:r>
        <w:rPr>
          <w:lang w:val="es-CO"/>
        </w:rPr>
        <w:t xml:space="preserve">Realizar las subasta de que trata el artículo </w:t>
      </w:r>
      <w:r>
        <w:rPr>
          <w:lang w:val="es-CO"/>
        </w:rPr>
        <w:fldChar w:fldCharType="begin"/>
      </w:r>
      <w:r>
        <w:rPr>
          <w:lang w:val="es-CO"/>
        </w:rPr>
        <w:instrText xml:space="preserve"> REF _Ref501526945 \r \h \t</w:instrText>
      </w:r>
      <w:r>
        <w:rPr>
          <w:lang w:val="es-CO"/>
        </w:rPr>
      </w:r>
      <w:r>
        <w:rPr>
          <w:lang w:val="es-CO"/>
        </w:rPr>
        <w:fldChar w:fldCharType="separate"/>
      </w:r>
      <w:r w:rsidR="00CD73FD">
        <w:rPr>
          <w:lang w:val="es-CO"/>
        </w:rPr>
        <w:t>7</w:t>
      </w:r>
      <w:r>
        <w:rPr>
          <w:lang w:val="es-CO"/>
        </w:rPr>
        <w:fldChar w:fldCharType="end"/>
      </w:r>
      <w:r w:rsidR="00CD73FD">
        <w:rPr>
          <w:lang w:val="es-CO"/>
        </w:rPr>
        <w:t xml:space="preserve"> de la presente resolución</w:t>
      </w:r>
      <w:r>
        <w:rPr>
          <w:lang w:val="es-CO"/>
        </w:rPr>
        <w:t>, en caso de que se cumplan las condiciones para ello.</w:t>
      </w:r>
      <w:r w:rsidRPr="00FC664A">
        <w:rPr>
          <w:lang w:val="es-CO"/>
        </w:rPr>
        <w:t xml:space="preserve"> </w:t>
      </w:r>
    </w:p>
    <w:p w14:paraId="54B515F9" w14:textId="6A26D051" w:rsidR="00FC664A" w:rsidRDefault="00FC664A" w:rsidP="00CA5931">
      <w:pPr>
        <w:pStyle w:val="Estilo1"/>
        <w:numPr>
          <w:ilvl w:val="0"/>
          <w:numId w:val="21"/>
        </w:numPr>
        <w:spacing w:after="120"/>
        <w:rPr>
          <w:lang w:val="es-CO"/>
        </w:rPr>
      </w:pPr>
      <w:r>
        <w:rPr>
          <w:lang w:val="es-CO"/>
        </w:rPr>
        <w:t xml:space="preserve">Aplicar la regla de subutilización de que trata el artículo </w:t>
      </w:r>
      <w:r>
        <w:rPr>
          <w:lang w:val="es-CO"/>
        </w:rPr>
        <w:fldChar w:fldCharType="begin"/>
      </w:r>
      <w:r>
        <w:rPr>
          <w:lang w:val="es-CO"/>
        </w:rPr>
        <w:instrText xml:space="preserve"> REF _Ref501641623 \r \h \t</w:instrText>
      </w:r>
      <w:r>
        <w:rPr>
          <w:lang w:val="es-CO"/>
        </w:rPr>
      </w:r>
      <w:r>
        <w:rPr>
          <w:lang w:val="es-CO"/>
        </w:rPr>
        <w:fldChar w:fldCharType="separate"/>
      </w:r>
      <w:r w:rsidR="00BB7212">
        <w:rPr>
          <w:lang w:val="es-CO"/>
        </w:rPr>
        <w:t>8</w:t>
      </w:r>
      <w:r>
        <w:rPr>
          <w:lang w:val="es-CO"/>
        </w:rPr>
        <w:fldChar w:fldCharType="end"/>
      </w:r>
      <w:r w:rsidR="00CD73FD">
        <w:rPr>
          <w:lang w:val="es-CO"/>
        </w:rPr>
        <w:t xml:space="preserve"> de la presente resolución</w:t>
      </w:r>
      <w:r>
        <w:rPr>
          <w:lang w:val="es-CO"/>
        </w:rPr>
        <w:t>, en caso de que se cumplan las condiciones para ello.</w:t>
      </w:r>
    </w:p>
    <w:p w14:paraId="02EFE306" w14:textId="4518DE21" w:rsidR="00FC664A" w:rsidRPr="00FC664A" w:rsidRDefault="00FC664A" w:rsidP="00CA5931">
      <w:pPr>
        <w:pStyle w:val="Estilo1"/>
        <w:numPr>
          <w:ilvl w:val="0"/>
          <w:numId w:val="21"/>
        </w:numPr>
        <w:spacing w:after="120"/>
        <w:rPr>
          <w:lang w:val="es-CO"/>
        </w:rPr>
      </w:pPr>
      <w:r>
        <w:rPr>
          <w:lang w:val="es-CO"/>
        </w:rPr>
        <w:t>Cumplir las demás obligaciones que para él se establezcan dentro de la presente resolución o aquellas que la complementen, modifiquen o sustituyan.</w:t>
      </w:r>
    </w:p>
    <w:p w14:paraId="2F8CAB48" w14:textId="52D09970" w:rsidR="009426AF" w:rsidRDefault="009426AF" w:rsidP="002A49F8">
      <w:pPr>
        <w:pStyle w:val="Estilo1"/>
        <w:rPr>
          <w:lang w:val="es-CO"/>
        </w:rPr>
      </w:pPr>
    </w:p>
    <w:p w14:paraId="279B4444" w14:textId="77777777" w:rsidR="00841BB7" w:rsidRDefault="00841BB7" w:rsidP="002A49F8">
      <w:pPr>
        <w:pStyle w:val="Estilo1"/>
        <w:rPr>
          <w:lang w:val="es-CO"/>
        </w:rPr>
      </w:pPr>
    </w:p>
    <w:p w14:paraId="37086E79" w14:textId="77777777" w:rsidR="00F15910" w:rsidRDefault="00431865" w:rsidP="002A49F8">
      <w:pPr>
        <w:pStyle w:val="ARTICULOS"/>
        <w:ind w:left="0"/>
        <w:rPr>
          <w:lang w:val="es-CO"/>
        </w:rPr>
      </w:pPr>
      <w:r w:rsidRPr="00326BF3">
        <w:rPr>
          <w:b/>
          <w:lang w:val="es-CO"/>
        </w:rPr>
        <w:lastRenderedPageBreak/>
        <w:t>Obligaciones</w:t>
      </w:r>
      <w:r w:rsidR="00F15910" w:rsidRPr="00326BF3">
        <w:rPr>
          <w:b/>
          <w:lang w:val="es-CO"/>
        </w:rPr>
        <w:t xml:space="preserve"> de</w:t>
      </w:r>
      <w:r w:rsidR="00B67E8E">
        <w:rPr>
          <w:b/>
          <w:lang w:val="es-CO"/>
        </w:rPr>
        <w:t xml:space="preserve"> </w:t>
      </w:r>
      <w:r w:rsidR="00F15910" w:rsidRPr="00326BF3">
        <w:rPr>
          <w:b/>
          <w:lang w:val="es-CO"/>
        </w:rPr>
        <w:t>l</w:t>
      </w:r>
      <w:r w:rsidR="00B67E8E">
        <w:rPr>
          <w:b/>
          <w:lang w:val="es-CO"/>
        </w:rPr>
        <w:t>os</w:t>
      </w:r>
      <w:r w:rsidR="00F15910" w:rsidRPr="00326BF3">
        <w:rPr>
          <w:b/>
          <w:lang w:val="es-CO"/>
        </w:rPr>
        <w:t xml:space="preserve"> </w:t>
      </w:r>
      <w:r w:rsidR="00B67E8E">
        <w:rPr>
          <w:b/>
          <w:lang w:val="es-CO"/>
        </w:rPr>
        <w:t>compradores</w:t>
      </w:r>
      <w:r w:rsidRPr="00326BF3">
        <w:rPr>
          <w:b/>
          <w:lang w:val="es-CO"/>
        </w:rPr>
        <w:t>.</w:t>
      </w:r>
      <w:r>
        <w:rPr>
          <w:lang w:val="es-CO"/>
        </w:rPr>
        <w:t xml:space="preserve"> Los </w:t>
      </w:r>
      <w:r w:rsidR="00B67E8E">
        <w:rPr>
          <w:lang w:val="es-CO"/>
        </w:rPr>
        <w:t xml:space="preserve">compradores </w:t>
      </w:r>
      <w:r>
        <w:rPr>
          <w:lang w:val="es-CO"/>
        </w:rPr>
        <w:t>de la infraestructura tendrán las siguientes obligaciones:</w:t>
      </w:r>
    </w:p>
    <w:p w14:paraId="5982F5EA" w14:textId="77777777" w:rsidR="00431865" w:rsidRPr="00431865" w:rsidRDefault="00431865" w:rsidP="002A49F8">
      <w:pPr>
        <w:pStyle w:val="Estilo1"/>
        <w:spacing w:after="120"/>
        <w:rPr>
          <w:lang w:val="es-CO"/>
        </w:rPr>
      </w:pPr>
    </w:p>
    <w:p w14:paraId="102109AC" w14:textId="75B5DC8B" w:rsidR="00431865" w:rsidRDefault="00F15910" w:rsidP="00CA5931">
      <w:pPr>
        <w:pStyle w:val="Estilo1"/>
        <w:numPr>
          <w:ilvl w:val="0"/>
          <w:numId w:val="22"/>
        </w:numPr>
        <w:spacing w:after="120"/>
        <w:rPr>
          <w:lang w:val="es-CO"/>
        </w:rPr>
      </w:pPr>
      <w:r>
        <w:rPr>
          <w:lang w:val="es-CO"/>
        </w:rPr>
        <w:t xml:space="preserve">Registrar </w:t>
      </w:r>
      <w:r w:rsidR="00431865">
        <w:rPr>
          <w:lang w:val="es-CO"/>
        </w:rPr>
        <w:t xml:space="preserve">ante el </w:t>
      </w:r>
      <w:r w:rsidR="009426AF">
        <w:rPr>
          <w:lang w:val="es-CO"/>
        </w:rPr>
        <w:t>Ge</w:t>
      </w:r>
      <w:r w:rsidR="00431865">
        <w:rPr>
          <w:lang w:val="es-CO"/>
        </w:rPr>
        <w:t xml:space="preserve">stor del mercado </w:t>
      </w:r>
      <w:r>
        <w:rPr>
          <w:lang w:val="es-CO"/>
        </w:rPr>
        <w:t>el contrato</w:t>
      </w:r>
      <w:r w:rsidR="00431865">
        <w:rPr>
          <w:lang w:val="es-CO"/>
        </w:rPr>
        <w:t xml:space="preserve"> suscrito con el (los) adjudicatario(s) de las instalaciones que componen la infraestructura.</w:t>
      </w:r>
      <w:r w:rsidR="00C70958">
        <w:rPr>
          <w:lang w:val="es-CO"/>
        </w:rPr>
        <w:t xml:space="preserve"> En la circular que emita la CREG con el cronograma </w:t>
      </w:r>
      <w:r w:rsidR="00CD73FD">
        <w:rPr>
          <w:lang w:val="es-CO"/>
        </w:rPr>
        <w:t xml:space="preserve">para realizar </w:t>
      </w:r>
      <w:r w:rsidR="00C70958">
        <w:rPr>
          <w:lang w:val="es-CO"/>
        </w:rPr>
        <w:t>las asignaciones se establecerá el plazo máximo de registro.</w:t>
      </w:r>
    </w:p>
    <w:p w14:paraId="5E7CC208" w14:textId="4D405A55" w:rsidR="00F15910" w:rsidRDefault="00EF5C04" w:rsidP="00CA5931">
      <w:pPr>
        <w:pStyle w:val="Estilo1"/>
        <w:numPr>
          <w:ilvl w:val="0"/>
          <w:numId w:val="22"/>
        </w:numPr>
        <w:spacing w:after="120"/>
        <w:rPr>
          <w:lang w:val="es-CO"/>
        </w:rPr>
      </w:pPr>
      <w:r>
        <w:rPr>
          <w:lang w:val="es-CO"/>
        </w:rPr>
        <w:t xml:space="preserve">Suscribir </w:t>
      </w:r>
      <w:r w:rsidR="00A35898">
        <w:rPr>
          <w:lang w:val="es-CO"/>
        </w:rPr>
        <w:t xml:space="preserve">las garantías de que trata el </w:t>
      </w:r>
      <w:r w:rsidR="009E39FE">
        <w:rPr>
          <w:lang w:val="es-CO"/>
        </w:rPr>
        <w:t>a</w:t>
      </w:r>
      <w:r w:rsidR="00A35898">
        <w:rPr>
          <w:lang w:val="es-CO"/>
        </w:rPr>
        <w:t xml:space="preserve">nexo de </w:t>
      </w:r>
      <w:r w:rsidR="00CD73FD">
        <w:rPr>
          <w:lang w:val="es-CO"/>
        </w:rPr>
        <w:t xml:space="preserve">la presente </w:t>
      </w:r>
      <w:r w:rsidR="00A35898">
        <w:rPr>
          <w:lang w:val="es-CO"/>
        </w:rPr>
        <w:t>resolución.</w:t>
      </w:r>
    </w:p>
    <w:p w14:paraId="732C8FBC" w14:textId="0E1172E3" w:rsidR="00A35898" w:rsidRDefault="00A35898" w:rsidP="00CA5931">
      <w:pPr>
        <w:pStyle w:val="Estilo1"/>
        <w:numPr>
          <w:ilvl w:val="0"/>
          <w:numId w:val="22"/>
        </w:numPr>
        <w:spacing w:after="120"/>
        <w:rPr>
          <w:lang w:val="es-CO"/>
        </w:rPr>
      </w:pPr>
      <w:r>
        <w:rPr>
          <w:lang w:val="es-CO"/>
        </w:rPr>
        <w:t xml:space="preserve">Cumplir con todas las disposiciones de </w:t>
      </w:r>
      <w:r w:rsidR="00CD73FD">
        <w:rPr>
          <w:lang w:val="es-CO"/>
        </w:rPr>
        <w:t xml:space="preserve">presente </w:t>
      </w:r>
      <w:r>
        <w:rPr>
          <w:lang w:val="es-CO"/>
        </w:rPr>
        <w:t>resolución.</w:t>
      </w:r>
    </w:p>
    <w:p w14:paraId="0F930F8B" w14:textId="77777777" w:rsidR="00F15910" w:rsidRDefault="00F15910" w:rsidP="003F10A2">
      <w:pPr>
        <w:pStyle w:val="Estilo1"/>
        <w:rPr>
          <w:lang w:val="es-CO"/>
        </w:rPr>
      </w:pPr>
    </w:p>
    <w:p w14:paraId="17C7FEDF" w14:textId="7846B50F" w:rsidR="00F15910" w:rsidRPr="003F10A2" w:rsidRDefault="00431865" w:rsidP="003F10A2">
      <w:pPr>
        <w:pStyle w:val="Estilo1"/>
        <w:rPr>
          <w:lang w:val="es-CO"/>
        </w:rPr>
      </w:pPr>
      <w:r w:rsidRPr="003F10A2">
        <w:rPr>
          <w:b/>
          <w:lang w:val="es-CO"/>
        </w:rPr>
        <w:t>Parágrafo.</w:t>
      </w:r>
      <w:r>
        <w:rPr>
          <w:lang w:val="es-CO"/>
        </w:rPr>
        <w:t xml:space="preserve"> No podrán </w:t>
      </w:r>
      <w:r w:rsidR="00CD73FD">
        <w:rPr>
          <w:lang w:val="es-CO"/>
        </w:rPr>
        <w:t xml:space="preserve">prestarse </w:t>
      </w:r>
      <w:r>
        <w:rPr>
          <w:lang w:val="es-CO"/>
        </w:rPr>
        <w:t>los servicios de las instalaciones que componen la infraestructura</w:t>
      </w:r>
      <w:r w:rsidR="00F15910">
        <w:rPr>
          <w:lang w:val="es-CO"/>
        </w:rPr>
        <w:t xml:space="preserve"> </w:t>
      </w:r>
      <w:r>
        <w:rPr>
          <w:lang w:val="es-CO"/>
        </w:rPr>
        <w:t xml:space="preserve">cuando los respectivos </w:t>
      </w:r>
      <w:r w:rsidR="00F15910">
        <w:rPr>
          <w:lang w:val="es-CO"/>
        </w:rPr>
        <w:t xml:space="preserve">contratos </w:t>
      </w:r>
      <w:r>
        <w:rPr>
          <w:lang w:val="es-CO"/>
        </w:rPr>
        <w:t xml:space="preserve">no hayan sido </w:t>
      </w:r>
      <w:r w:rsidR="00F15910">
        <w:rPr>
          <w:lang w:val="es-CO"/>
        </w:rPr>
        <w:t>registrados</w:t>
      </w:r>
      <w:r>
        <w:rPr>
          <w:lang w:val="es-CO"/>
        </w:rPr>
        <w:t xml:space="preserve"> ante el </w:t>
      </w:r>
      <w:r w:rsidR="008B3CCD">
        <w:rPr>
          <w:lang w:val="es-CO"/>
        </w:rPr>
        <w:t>G</w:t>
      </w:r>
      <w:r>
        <w:rPr>
          <w:lang w:val="es-CO"/>
        </w:rPr>
        <w:t>estor del mercado.</w:t>
      </w:r>
    </w:p>
    <w:p w14:paraId="2F182A8D" w14:textId="77777777" w:rsidR="005C7558" w:rsidRPr="00EF36A0" w:rsidRDefault="005C7558" w:rsidP="005C0958">
      <w:pPr>
        <w:pStyle w:val="Estilo8"/>
        <w:widowControl w:val="0"/>
        <w:jc w:val="both"/>
        <w:rPr>
          <w:rFonts w:ascii="Bookman Old Style" w:hAnsi="Bookman Old Style"/>
          <w:color w:val="000000"/>
          <w:sz w:val="24"/>
          <w:szCs w:val="24"/>
        </w:rPr>
      </w:pPr>
    </w:p>
    <w:p w14:paraId="4D2532CC" w14:textId="246C6FF7" w:rsidR="005C7558" w:rsidRDefault="008B3CCD" w:rsidP="002A49F8">
      <w:pPr>
        <w:pStyle w:val="ARTICULOS"/>
        <w:ind w:left="0"/>
      </w:pPr>
      <w:bookmarkStart w:id="9" w:name="_Ref330309544"/>
      <w:r>
        <w:rPr>
          <w:b/>
        </w:rPr>
        <w:t>Requisitos de contratos del g</w:t>
      </w:r>
      <w:r w:rsidR="005C7558">
        <w:rPr>
          <w:b/>
        </w:rPr>
        <w:t xml:space="preserve">asoducto Buenaventura – Yumbo. </w:t>
      </w:r>
      <w:r w:rsidR="005C7558">
        <w:t>Los requisitos m</w:t>
      </w:r>
      <w:r w:rsidR="00EF10FA">
        <w:t>ínimos de los contratos que el G</w:t>
      </w:r>
      <w:r w:rsidR="005C7558">
        <w:t>estor</w:t>
      </w:r>
      <w:r w:rsidR="00EF10FA">
        <w:t xml:space="preserve"> del merc</w:t>
      </w:r>
      <w:r w:rsidR="00C82724">
        <w:t>a</w:t>
      </w:r>
      <w:r w:rsidR="00EF10FA">
        <w:t>do</w:t>
      </w:r>
      <w:r w:rsidR="005C7558">
        <w:t xml:space="preserve"> asigne del gasoducto Buenaventura – Yumbo será</w:t>
      </w:r>
      <w:r w:rsidR="008F6CE2">
        <w:t>n</w:t>
      </w:r>
      <w:r w:rsidR="005C7558">
        <w:t xml:space="preserve"> los que se </w:t>
      </w:r>
      <w:r w:rsidR="00CD73FD">
        <w:t xml:space="preserve">establecen </w:t>
      </w:r>
      <w:r w:rsidR="005C7558">
        <w:t xml:space="preserve">en el Capítulo II </w:t>
      </w:r>
      <w:r w:rsidR="0036563F">
        <w:t>del Título III de la Resolución CREG 114 de 2017</w:t>
      </w:r>
      <w:r w:rsidR="00CD73FD">
        <w:t>,</w:t>
      </w:r>
      <w:r w:rsidR="00B42974">
        <w:t xml:space="preserve"> </w:t>
      </w:r>
      <w:r w:rsidR="00CD73FD">
        <w:t>o aquellas que la modifiquen o sustituyan</w:t>
      </w:r>
      <w:r w:rsidR="0036563F">
        <w:t>.</w:t>
      </w:r>
    </w:p>
    <w:p w14:paraId="271A9234" w14:textId="77777777" w:rsidR="00BC599F" w:rsidRPr="001850B5" w:rsidRDefault="00BC599F" w:rsidP="002A49F8">
      <w:pPr>
        <w:pStyle w:val="Estilo1"/>
      </w:pPr>
    </w:p>
    <w:p w14:paraId="4167A36A" w14:textId="5B3E3EAF" w:rsidR="003F10A2" w:rsidRPr="00F766A9" w:rsidRDefault="003F10A2" w:rsidP="002A49F8">
      <w:pPr>
        <w:pStyle w:val="ARTICULOS"/>
        <w:ind w:left="0"/>
      </w:pPr>
      <w:r w:rsidRPr="00F766A9">
        <w:rPr>
          <w:b/>
        </w:rPr>
        <w:t xml:space="preserve">Eventos de fuerza mayor, caso fortuito o causa extraña. </w:t>
      </w:r>
      <w:r w:rsidRPr="00F766A9">
        <w:t xml:space="preserve">En la ejecución de los contratos </w:t>
      </w:r>
      <w:r>
        <w:t xml:space="preserve">de acceso a los servicios de las instalaciones </w:t>
      </w:r>
      <w:r w:rsidR="00671D28">
        <w:t>de la planta de regasificación del Pacífico</w:t>
      </w:r>
      <w:r>
        <w:t>,</w:t>
      </w:r>
      <w:r w:rsidRPr="00F766A9">
        <w:t xml:space="preserve"> ninguna de las partes será responsable frente a la otra por el incumplimiento de las obligaciones contraídas por ellas, incluyendo demoras, daños por pérdidas, reclamos o demandas de cualquier naturaleza, cuando dicho incumplimiento, parcial o total, se produzca por causas y circunstancias que se deban a un evento de fuerza mayor, caso fortuito o causa extraña, según lo definido por la ley colombiana.</w:t>
      </w:r>
      <w:bookmarkEnd w:id="9"/>
    </w:p>
    <w:p w14:paraId="3FF50122" w14:textId="77777777" w:rsidR="003F10A2" w:rsidRPr="00F766A9" w:rsidRDefault="003F10A2" w:rsidP="003F10A2">
      <w:pPr>
        <w:pStyle w:val="Default"/>
        <w:jc w:val="both"/>
        <w:rPr>
          <w:rFonts w:ascii="Bookman Old Style" w:hAnsi="Bookman Old Style"/>
          <w:bCs/>
          <w:color w:val="000000" w:themeColor="text1"/>
          <w:lang w:val="es-ES" w:eastAsia="x-none"/>
        </w:rPr>
      </w:pPr>
    </w:p>
    <w:p w14:paraId="35395735" w14:textId="77777777" w:rsidR="003F10A2" w:rsidRPr="00F766A9" w:rsidRDefault="003F10A2" w:rsidP="003F10A2">
      <w:pPr>
        <w:pStyle w:val="Default"/>
        <w:jc w:val="both"/>
        <w:rPr>
          <w:rFonts w:ascii="Bookman Old Style" w:hAnsi="Bookman Old Style"/>
          <w:bCs/>
          <w:color w:val="000000" w:themeColor="text1"/>
          <w:lang w:val="es-ES" w:eastAsia="x-none"/>
        </w:rPr>
      </w:pPr>
      <w:r w:rsidRPr="00F766A9">
        <w:rPr>
          <w:rFonts w:ascii="Bookman Old Style" w:hAnsi="Bookman Old Style"/>
          <w:bCs/>
          <w:color w:val="000000" w:themeColor="text1"/>
          <w:lang w:val="es-ES" w:eastAsia="x-none"/>
        </w:rPr>
        <w:t>La ocurrencia de un evento de fuerza mayor, caso fortuito o causa extraña no exonerará ni liberará a las partes, en ningún caso, del cumplimiento de las obligaciones causadas con anterioridad a la ocurrencia de los hechos a los que se refiere este artículo.</w:t>
      </w:r>
    </w:p>
    <w:p w14:paraId="73D36EA2" w14:textId="77777777" w:rsidR="003F10A2" w:rsidRPr="00F766A9" w:rsidRDefault="003F10A2" w:rsidP="003F10A2">
      <w:pPr>
        <w:pStyle w:val="ARTICULOS"/>
        <w:numPr>
          <w:ilvl w:val="0"/>
          <w:numId w:val="0"/>
        </w:numPr>
        <w:tabs>
          <w:tab w:val="left" w:pos="1560"/>
        </w:tabs>
        <w:rPr>
          <w:color w:val="000000" w:themeColor="text1"/>
        </w:rPr>
      </w:pPr>
    </w:p>
    <w:p w14:paraId="114829A7" w14:textId="77777777" w:rsidR="003F10A2" w:rsidRPr="00F766A9" w:rsidRDefault="003F10A2" w:rsidP="003F10A2">
      <w:pPr>
        <w:pStyle w:val="ARTICULOS"/>
        <w:numPr>
          <w:ilvl w:val="0"/>
          <w:numId w:val="0"/>
        </w:numPr>
        <w:rPr>
          <w:color w:val="000000" w:themeColor="text1"/>
        </w:rPr>
      </w:pPr>
      <w:r w:rsidRPr="00F766A9">
        <w:rPr>
          <w:color w:val="000000" w:themeColor="text1"/>
        </w:rPr>
        <w:t>En caso de que ocurra un evento de fuerza mayor, caso fortuito o causa extraña se deberá proceder de la siguiente forma:</w:t>
      </w:r>
    </w:p>
    <w:p w14:paraId="18729542" w14:textId="77777777" w:rsidR="003F10A2" w:rsidRPr="00F766A9" w:rsidRDefault="003F10A2" w:rsidP="003F10A2">
      <w:pPr>
        <w:pStyle w:val="ARTICULOS"/>
        <w:numPr>
          <w:ilvl w:val="0"/>
          <w:numId w:val="0"/>
        </w:numPr>
        <w:tabs>
          <w:tab w:val="left" w:pos="1560"/>
        </w:tabs>
        <w:rPr>
          <w:color w:val="000000" w:themeColor="text1"/>
        </w:rPr>
      </w:pPr>
    </w:p>
    <w:p w14:paraId="7ED4B12E" w14:textId="77777777" w:rsidR="003F10A2" w:rsidRPr="00326BF3" w:rsidRDefault="003F10A2" w:rsidP="00CA5931">
      <w:pPr>
        <w:pStyle w:val="Estilo1"/>
        <w:numPr>
          <w:ilvl w:val="0"/>
          <w:numId w:val="24"/>
        </w:numPr>
        <w:rPr>
          <w:lang w:val="es-CO"/>
        </w:rPr>
      </w:pPr>
      <w:r w:rsidRPr="00326BF3">
        <w:rPr>
          <w:lang w:val="es-CO"/>
        </w:rPr>
        <w:t>La parte afectada directamente por el evento de fuerza mayor, caso fortuito o causa extraña notificará por escrito a la otra parte el acaecimiento del hecho, dentro de las veinticuatro (24) horas siguientes, invocando las circunstancias constitutivas del evento de fuerza mayor, caso fortuito o causa extraña.</w:t>
      </w:r>
    </w:p>
    <w:p w14:paraId="409E385B" w14:textId="77777777" w:rsidR="003F10A2" w:rsidRPr="00326BF3" w:rsidRDefault="003F10A2" w:rsidP="00326BF3">
      <w:pPr>
        <w:pStyle w:val="Estilo1"/>
        <w:ind w:left="720"/>
        <w:rPr>
          <w:lang w:val="es-CO"/>
        </w:rPr>
      </w:pPr>
    </w:p>
    <w:p w14:paraId="10E4E4A3" w14:textId="77777777" w:rsidR="003F10A2" w:rsidRPr="00326BF3" w:rsidRDefault="003F10A2" w:rsidP="00CA5931">
      <w:pPr>
        <w:pStyle w:val="Estilo1"/>
        <w:numPr>
          <w:ilvl w:val="0"/>
          <w:numId w:val="24"/>
        </w:numPr>
        <w:rPr>
          <w:lang w:val="es-CO"/>
        </w:rPr>
      </w:pPr>
      <w:r w:rsidRPr="00326BF3">
        <w:rPr>
          <w:lang w:val="es-CO"/>
        </w:rPr>
        <w:t>La parte afectada directamente por el evento de fuerza mayor, caso fortuito o causa extraña entregará por escrito a la otra parte, dentro de los cinco (5) días calendario siguientes al acaecimiento del hecho, toda la información necesaria para demostrar la ocurrencia del mismo y los efectos del evento en la prestación del servicio para la otra parte.</w:t>
      </w:r>
    </w:p>
    <w:p w14:paraId="4BFB2436" w14:textId="77777777" w:rsidR="00DE5C89" w:rsidRDefault="00DE5C89" w:rsidP="00DE5C89">
      <w:pPr>
        <w:pStyle w:val="Estilo1"/>
        <w:ind w:left="720"/>
        <w:rPr>
          <w:lang w:val="es-CO"/>
        </w:rPr>
      </w:pPr>
    </w:p>
    <w:p w14:paraId="560A607F" w14:textId="7C57B657" w:rsidR="003F10A2" w:rsidRPr="00326BF3" w:rsidRDefault="003F10A2" w:rsidP="00CA5931">
      <w:pPr>
        <w:pStyle w:val="Estilo1"/>
        <w:numPr>
          <w:ilvl w:val="0"/>
          <w:numId w:val="24"/>
        </w:numPr>
        <w:rPr>
          <w:lang w:val="es-CO"/>
        </w:rPr>
      </w:pPr>
      <w:r w:rsidRPr="00326BF3">
        <w:rPr>
          <w:lang w:val="es-CO"/>
        </w:rPr>
        <w:t xml:space="preserve">Una vez que la parte afectada directamente por el evento de fuerza mayor, caso fortuito o causa extraña haya hecho la notificación, se suspenderá el cumplimiento de la obligación de </w:t>
      </w:r>
      <w:r w:rsidR="0009229F" w:rsidRPr="00326BF3">
        <w:rPr>
          <w:lang w:val="es-CO"/>
        </w:rPr>
        <w:t>prestar o recibir el servicio de la respectiva instalación</w:t>
      </w:r>
      <w:r w:rsidRPr="00326BF3">
        <w:rPr>
          <w:lang w:val="es-CO"/>
        </w:rPr>
        <w:t>, a partir del acaecimiento del respectivo hecho y hasta el momento en que haya cesado la causa eximente de responsabilidad y superado el evento, y se considerará que ninguna de las partes ha incumplido.</w:t>
      </w:r>
    </w:p>
    <w:p w14:paraId="6724DEAC" w14:textId="77777777" w:rsidR="003F10A2" w:rsidRPr="00326BF3" w:rsidRDefault="003F10A2" w:rsidP="00326BF3">
      <w:pPr>
        <w:pStyle w:val="Estilo1"/>
        <w:ind w:left="720"/>
        <w:rPr>
          <w:lang w:val="es-CO"/>
        </w:rPr>
      </w:pPr>
    </w:p>
    <w:p w14:paraId="0C7F53F7" w14:textId="77777777" w:rsidR="003F10A2" w:rsidRDefault="003F10A2" w:rsidP="00CA5931">
      <w:pPr>
        <w:pStyle w:val="Estilo1"/>
        <w:numPr>
          <w:ilvl w:val="0"/>
          <w:numId w:val="24"/>
        </w:numPr>
        <w:rPr>
          <w:lang w:val="es-CO"/>
        </w:rPr>
      </w:pPr>
      <w:r w:rsidRPr="00326BF3">
        <w:rPr>
          <w:lang w:val="es-CO"/>
        </w:rPr>
        <w:t>Si dentro de los diez (10) días hábiles siguientes al recibo de la notificación la parte no afectada directamente rechaza por escrito la existencia de un evento de fuerza mayor, caso fortuito o causa extraña se procederá de acuerdo con los mecanismos de solución de controversias previstos en el respectivo contrato, sin perjuicio de suspender el cumplimiento de las obligaciones afectadas. Si dentro del plazo de los diez (10) días hábiles mencionados la parte no afectada directamente no manifiesta por escrito el rechazo de la fuerza mayor, caso fortuito o causa extraña se entenderá que ha aceptado la existencia de</w:t>
      </w:r>
      <w:r w:rsidR="00CE20AE">
        <w:rPr>
          <w:lang w:val="es-CO"/>
        </w:rPr>
        <w:t xml:space="preserve">l evento </w:t>
      </w:r>
      <w:r w:rsidRPr="00326BF3">
        <w:rPr>
          <w:lang w:val="es-CO"/>
        </w:rPr>
        <w:t>eximente de responsabilidad mientras duren los hechos constitutivos de la misma.</w:t>
      </w:r>
    </w:p>
    <w:p w14:paraId="0BC4D84A" w14:textId="77777777" w:rsidR="00BC599F" w:rsidRPr="00326BF3" w:rsidRDefault="00BC599F" w:rsidP="002A49F8">
      <w:pPr>
        <w:pStyle w:val="Estilo1"/>
        <w:ind w:left="720"/>
        <w:rPr>
          <w:lang w:val="es-CO"/>
        </w:rPr>
      </w:pPr>
    </w:p>
    <w:p w14:paraId="19AA5325" w14:textId="69EAC94A" w:rsidR="003F10A2" w:rsidRPr="00326BF3" w:rsidRDefault="003F10A2" w:rsidP="00CA5931">
      <w:pPr>
        <w:pStyle w:val="Estilo1"/>
        <w:numPr>
          <w:ilvl w:val="0"/>
          <w:numId w:val="24"/>
        </w:numPr>
        <w:rPr>
          <w:lang w:val="es-CO"/>
        </w:rPr>
      </w:pPr>
      <w:bookmarkStart w:id="10" w:name="_Ref401757682"/>
      <w:r w:rsidRPr="00326BF3">
        <w:rPr>
          <w:lang w:val="es-CO"/>
        </w:rPr>
        <w:t>La parte que invoque la ocurrencia de un evento de fuerza mayor, caso fortuito o causa extraña deberá realizar sus mejores esfuerzos para subsanar la causa que dio lugar a su declaratoria, e informará por escrito a la otra parte, dentro de las veinticuatro (24) horas siguientes a la superación del evento, la fecha y hora en que fue superado. El cumplimiento de las obligaciones suspendidas se reinicia</w:t>
      </w:r>
      <w:r w:rsidRPr="00BC2C0B">
        <w:rPr>
          <w:lang w:val="es-CO"/>
        </w:rPr>
        <w:t xml:space="preserve">rá </w:t>
      </w:r>
      <w:r w:rsidRPr="002A49F8">
        <w:rPr>
          <w:lang w:val="es-CO"/>
        </w:rPr>
        <w:t>el día de gas</w:t>
      </w:r>
      <w:r w:rsidRPr="00BC2C0B">
        <w:rPr>
          <w:lang w:val="es-CO"/>
        </w:rPr>
        <w:t xml:space="preserve"> siguiente a la notificación de la superación del evento, </w:t>
      </w:r>
      <w:r w:rsidRPr="002A49F8">
        <w:rPr>
          <w:lang w:val="es-CO"/>
        </w:rPr>
        <w:t>siempre y cuando dicha notificación sea recibida por la parte no afectada directamente al menos dos (2) horas antes del inicio del ciclo de nominación para el siguiente día</w:t>
      </w:r>
      <w:r w:rsidRPr="00BC2C0B">
        <w:rPr>
          <w:lang w:val="es-CO"/>
        </w:rPr>
        <w:t xml:space="preserve">. En caso contrario las obligaciones suspendidas se reiniciarán </w:t>
      </w:r>
      <w:r w:rsidRPr="002A49F8">
        <w:rPr>
          <w:lang w:val="es-CO"/>
        </w:rPr>
        <w:t>el segundo día siguiente la notificación.</w:t>
      </w:r>
      <w:bookmarkEnd w:id="10"/>
    </w:p>
    <w:p w14:paraId="36447820" w14:textId="38DC78EF" w:rsidR="003F10A2" w:rsidRDefault="003F10A2" w:rsidP="003F10A2">
      <w:pPr>
        <w:pStyle w:val="ARTICULOS"/>
        <w:numPr>
          <w:ilvl w:val="0"/>
          <w:numId w:val="0"/>
        </w:numPr>
        <w:tabs>
          <w:tab w:val="left" w:pos="1701"/>
        </w:tabs>
        <w:rPr>
          <w:color w:val="000000" w:themeColor="text1"/>
          <w:sz w:val="32"/>
        </w:rPr>
      </w:pPr>
    </w:p>
    <w:p w14:paraId="7D183B3E" w14:textId="77777777" w:rsidR="00DE5C89" w:rsidRPr="00DE5C89" w:rsidRDefault="00DE5C89" w:rsidP="00DE5C89">
      <w:pPr>
        <w:pStyle w:val="Estilo1"/>
      </w:pPr>
    </w:p>
    <w:p w14:paraId="7BC13A9D" w14:textId="5379F2D7" w:rsidR="00671D28" w:rsidRDefault="003F10A2" w:rsidP="003F10A2">
      <w:pPr>
        <w:pStyle w:val="ARTICULOS"/>
        <w:numPr>
          <w:ilvl w:val="0"/>
          <w:numId w:val="0"/>
        </w:numPr>
        <w:rPr>
          <w:color w:val="000000" w:themeColor="text1"/>
        </w:rPr>
      </w:pPr>
      <w:r w:rsidRPr="00F766A9">
        <w:rPr>
          <w:b/>
          <w:color w:val="000000" w:themeColor="text1"/>
        </w:rPr>
        <w:t>Parágrafo</w:t>
      </w:r>
      <w:r>
        <w:rPr>
          <w:b/>
          <w:color w:val="000000" w:themeColor="text1"/>
        </w:rPr>
        <w:t xml:space="preserve"> 1</w:t>
      </w:r>
      <w:r w:rsidRPr="00F766A9">
        <w:rPr>
          <w:b/>
          <w:color w:val="000000" w:themeColor="text1"/>
        </w:rPr>
        <w:t>.</w:t>
      </w:r>
      <w:r w:rsidRPr="00F766A9">
        <w:rPr>
          <w:color w:val="000000" w:themeColor="text1"/>
        </w:rPr>
        <w:t xml:space="preserve"> La obligación de los compradores de pagar el servicio de </w:t>
      </w:r>
      <w:r w:rsidR="00671D28">
        <w:rPr>
          <w:color w:val="000000" w:themeColor="text1"/>
        </w:rPr>
        <w:t>la planta de regasificación</w:t>
      </w:r>
      <w:r w:rsidR="00671D28" w:rsidRPr="00F766A9">
        <w:rPr>
          <w:color w:val="000000" w:themeColor="text1"/>
        </w:rPr>
        <w:t xml:space="preserve"> </w:t>
      </w:r>
      <w:r w:rsidRPr="00F766A9">
        <w:rPr>
          <w:color w:val="000000" w:themeColor="text1"/>
        </w:rPr>
        <w:t>según la cap</w:t>
      </w:r>
      <w:r w:rsidR="002A49F8">
        <w:rPr>
          <w:color w:val="000000" w:themeColor="text1"/>
        </w:rPr>
        <w:t>acidad contratada se suspenderá</w:t>
      </w:r>
      <w:r w:rsidRPr="00F766A9">
        <w:rPr>
          <w:color w:val="000000" w:themeColor="text1"/>
        </w:rPr>
        <w:t xml:space="preserve"> durante los eventos de fuerza mayor, caso fortuito o causa extraña. </w:t>
      </w:r>
    </w:p>
    <w:p w14:paraId="0040B328" w14:textId="77777777" w:rsidR="00125361" w:rsidRDefault="00125361" w:rsidP="003F10A2">
      <w:pPr>
        <w:pStyle w:val="ARTICULOS"/>
        <w:numPr>
          <w:ilvl w:val="0"/>
          <w:numId w:val="0"/>
        </w:numPr>
        <w:rPr>
          <w:color w:val="000000" w:themeColor="text1"/>
        </w:rPr>
      </w:pPr>
    </w:p>
    <w:p w14:paraId="7B43F275" w14:textId="2E6F55F0" w:rsidR="003F10A2" w:rsidRPr="002A49F8" w:rsidRDefault="003F10A2" w:rsidP="003F10A2">
      <w:pPr>
        <w:pStyle w:val="ARTICULOS"/>
        <w:numPr>
          <w:ilvl w:val="0"/>
          <w:numId w:val="0"/>
        </w:numPr>
        <w:rPr>
          <w:color w:val="000000" w:themeColor="text1"/>
        </w:rPr>
      </w:pPr>
      <w:r w:rsidRPr="00CE20AE">
        <w:rPr>
          <w:color w:val="000000" w:themeColor="text1"/>
        </w:rPr>
        <w:t xml:space="preserve">En caso de que no se afecte la capacidad total de </w:t>
      </w:r>
      <w:r w:rsidR="00BC2C0B">
        <w:rPr>
          <w:color w:val="000000" w:themeColor="text1"/>
        </w:rPr>
        <w:t xml:space="preserve">regasificación </w:t>
      </w:r>
      <w:r w:rsidRPr="00CE20AE">
        <w:rPr>
          <w:color w:val="000000" w:themeColor="text1"/>
        </w:rPr>
        <w:t xml:space="preserve">el remitente deberá pagar los cargos fijos aplicados a la capacidad que efectivamente estuvo disponible y los cargos variables aplicados al gas efectivamente </w:t>
      </w:r>
      <w:proofErr w:type="spellStart"/>
      <w:r w:rsidR="00BC2C0B">
        <w:rPr>
          <w:color w:val="000000" w:themeColor="text1"/>
        </w:rPr>
        <w:t>regasificado</w:t>
      </w:r>
      <w:proofErr w:type="spellEnd"/>
      <w:r w:rsidRPr="00CE20AE">
        <w:rPr>
          <w:color w:val="000000" w:themeColor="text1"/>
          <w:lang w:val="es-CO"/>
        </w:rPr>
        <w:t>.</w:t>
      </w:r>
    </w:p>
    <w:p w14:paraId="78B97F37" w14:textId="77777777" w:rsidR="003F10A2" w:rsidRPr="00841BB7" w:rsidRDefault="003F10A2" w:rsidP="003F10A2">
      <w:pPr>
        <w:pStyle w:val="ARTICULOS"/>
        <w:numPr>
          <w:ilvl w:val="0"/>
          <w:numId w:val="0"/>
        </w:numPr>
        <w:tabs>
          <w:tab w:val="left" w:pos="1701"/>
        </w:tabs>
        <w:rPr>
          <w:color w:val="000000" w:themeColor="text1"/>
          <w:sz w:val="32"/>
        </w:rPr>
      </w:pPr>
    </w:p>
    <w:p w14:paraId="7F5265FA" w14:textId="3F61777E" w:rsidR="003F10A2" w:rsidRPr="00F766A9" w:rsidRDefault="003F10A2" w:rsidP="003F10A2">
      <w:pPr>
        <w:pStyle w:val="ARTICULOS"/>
        <w:numPr>
          <w:ilvl w:val="0"/>
          <w:numId w:val="0"/>
        </w:numPr>
        <w:tabs>
          <w:tab w:val="left" w:pos="1701"/>
        </w:tabs>
        <w:rPr>
          <w:color w:val="000000" w:themeColor="text1"/>
        </w:rPr>
      </w:pPr>
      <w:r w:rsidRPr="00F766A9">
        <w:rPr>
          <w:b/>
          <w:color w:val="000000" w:themeColor="text1"/>
        </w:rPr>
        <w:t xml:space="preserve">Parágrafo 2. </w:t>
      </w:r>
      <w:r w:rsidRPr="00F766A9">
        <w:rPr>
          <w:color w:val="000000" w:themeColor="text1"/>
        </w:rPr>
        <w:t xml:space="preserve">Las obligaciones suspendidas por la ocurrencia de un evento de fuerza mayor, caso fortuito o causa extraña se podrán reiniciar antes del período establecido en el </w:t>
      </w:r>
      <w:r w:rsidR="00E41013">
        <w:rPr>
          <w:color w:val="000000" w:themeColor="text1"/>
        </w:rPr>
        <w:t xml:space="preserve">literal </w:t>
      </w:r>
      <w:r w:rsidR="00E41013">
        <w:rPr>
          <w:color w:val="000000" w:themeColor="text1"/>
        </w:rPr>
        <w:fldChar w:fldCharType="begin"/>
      </w:r>
      <w:r w:rsidR="00E41013">
        <w:rPr>
          <w:color w:val="000000" w:themeColor="text1"/>
        </w:rPr>
        <w:instrText xml:space="preserve"> REF _Ref401757682 \r \h </w:instrText>
      </w:r>
      <w:r w:rsidR="00E41013">
        <w:rPr>
          <w:color w:val="000000" w:themeColor="text1"/>
        </w:rPr>
      </w:r>
      <w:r w:rsidR="00E41013">
        <w:rPr>
          <w:color w:val="000000" w:themeColor="text1"/>
        </w:rPr>
        <w:fldChar w:fldCharType="separate"/>
      </w:r>
      <w:r w:rsidR="00BB7212">
        <w:rPr>
          <w:color w:val="000000" w:themeColor="text1"/>
        </w:rPr>
        <w:t>e)</w:t>
      </w:r>
      <w:r w:rsidR="00E41013">
        <w:rPr>
          <w:color w:val="000000" w:themeColor="text1"/>
        </w:rPr>
        <w:fldChar w:fldCharType="end"/>
      </w:r>
      <w:r w:rsidR="00E41013">
        <w:rPr>
          <w:color w:val="000000" w:themeColor="text1"/>
        </w:rPr>
        <w:t xml:space="preserve"> </w:t>
      </w:r>
      <w:r w:rsidRPr="00F766A9">
        <w:rPr>
          <w:color w:val="000000" w:themeColor="text1"/>
        </w:rPr>
        <w:t>de este artículo si las partes así lo convienen.</w:t>
      </w:r>
    </w:p>
    <w:p w14:paraId="171F118C" w14:textId="4BB2C324" w:rsidR="003F10A2" w:rsidRDefault="003F10A2" w:rsidP="003F10A2">
      <w:pPr>
        <w:pStyle w:val="ARTICULOS"/>
        <w:numPr>
          <w:ilvl w:val="0"/>
          <w:numId w:val="0"/>
        </w:numPr>
        <w:tabs>
          <w:tab w:val="left" w:pos="1701"/>
        </w:tabs>
        <w:rPr>
          <w:color w:val="000000" w:themeColor="text1"/>
          <w:sz w:val="32"/>
        </w:rPr>
      </w:pPr>
    </w:p>
    <w:p w14:paraId="23F513E5" w14:textId="77777777" w:rsidR="00DE5C89" w:rsidRPr="00DE5C89" w:rsidRDefault="00DE5C89" w:rsidP="00DE5C89">
      <w:pPr>
        <w:pStyle w:val="Estilo1"/>
      </w:pPr>
    </w:p>
    <w:p w14:paraId="76D820C6" w14:textId="2D67AAEC" w:rsidR="003F10A2" w:rsidRPr="00565A54" w:rsidRDefault="003F10A2" w:rsidP="00565A54">
      <w:pPr>
        <w:pStyle w:val="ARTICULOS"/>
        <w:ind w:left="0"/>
        <w:rPr>
          <w:b/>
        </w:rPr>
      </w:pPr>
      <w:bookmarkStart w:id="11" w:name="_Ref334521083"/>
      <w:r w:rsidRPr="00F766A9">
        <w:rPr>
          <w:b/>
        </w:rPr>
        <w:t xml:space="preserve">Eventos eximentes de responsabilidad. </w:t>
      </w:r>
      <w:bookmarkEnd w:id="11"/>
      <w:r w:rsidRPr="00565A54">
        <w:rPr>
          <w:color w:val="000000" w:themeColor="text1"/>
        </w:rPr>
        <w:t xml:space="preserve">En los contratos </w:t>
      </w:r>
      <w:r w:rsidR="00E41013" w:rsidRPr="00565A54">
        <w:rPr>
          <w:color w:val="000000" w:themeColor="text1"/>
        </w:rPr>
        <w:t>de acceso a los servicios de las instalaciones que componen la</w:t>
      </w:r>
      <w:r w:rsidR="00CE20AE" w:rsidRPr="00565A54">
        <w:rPr>
          <w:color w:val="000000" w:themeColor="text1"/>
        </w:rPr>
        <w:t xml:space="preserve"> planta de </w:t>
      </w:r>
      <w:r w:rsidR="00CE20AE" w:rsidRPr="00565A54">
        <w:rPr>
          <w:color w:val="000000" w:themeColor="text1"/>
        </w:rPr>
        <w:lastRenderedPageBreak/>
        <w:t xml:space="preserve">regasificación del Pacífico </w:t>
      </w:r>
      <w:r w:rsidRPr="00565A54">
        <w:rPr>
          <w:color w:val="000000" w:themeColor="text1"/>
        </w:rPr>
        <w:t>únicamente podrán ser pactados los siguientes eventos eximentes de responsabilidad:</w:t>
      </w:r>
    </w:p>
    <w:p w14:paraId="5C6E5319" w14:textId="77777777" w:rsidR="003F10A2" w:rsidRPr="00F766A9" w:rsidRDefault="003F10A2" w:rsidP="003F10A2">
      <w:pPr>
        <w:pStyle w:val="ARTICULOS"/>
        <w:numPr>
          <w:ilvl w:val="0"/>
          <w:numId w:val="0"/>
        </w:numPr>
        <w:tabs>
          <w:tab w:val="left" w:pos="1560"/>
        </w:tabs>
        <w:rPr>
          <w:color w:val="000000" w:themeColor="text1"/>
        </w:rPr>
      </w:pPr>
    </w:p>
    <w:p w14:paraId="0F76DA00" w14:textId="77777777" w:rsidR="003F10A2" w:rsidRPr="00326BF3" w:rsidRDefault="003F10A2" w:rsidP="00CA5931">
      <w:pPr>
        <w:pStyle w:val="Estilo1"/>
        <w:numPr>
          <w:ilvl w:val="0"/>
          <w:numId w:val="25"/>
        </w:numPr>
        <w:spacing w:after="120"/>
        <w:ind w:left="714" w:hanging="357"/>
        <w:rPr>
          <w:lang w:val="es-CO"/>
        </w:rPr>
      </w:pPr>
      <w:bookmarkStart w:id="12" w:name="_Ref330889076"/>
      <w:r w:rsidRPr="00326BF3">
        <w:rPr>
          <w:lang w:val="es-CO"/>
        </w:rPr>
        <w:t xml:space="preserve">La imposibilidad parcial o total para la operación y funcionamiento de las instalaciones o infraestructura para </w:t>
      </w:r>
      <w:r w:rsidR="00E41013" w:rsidRPr="00326BF3">
        <w:rPr>
          <w:lang w:val="es-CO"/>
        </w:rPr>
        <w:t>prestar o recibir los servicios</w:t>
      </w:r>
      <w:r w:rsidRPr="00326BF3">
        <w:rPr>
          <w:lang w:val="es-CO"/>
        </w:rPr>
        <w:t>, por actos malintencionados de terceros ajenos al control y manejo directo de cualquiera de las partes y sin su culpa, tales como los ataques o sabotajes terroristas o guerrilleros o las alteraciones graves del orden público, que directa o indirectamente contribuyan o resulten en la imposibilidad de alguna de las partes para cumplir con sus obligaciones.</w:t>
      </w:r>
      <w:bookmarkEnd w:id="12"/>
    </w:p>
    <w:p w14:paraId="5A8E6B1F" w14:textId="77777777" w:rsidR="003F10A2" w:rsidRPr="00326BF3" w:rsidRDefault="003F10A2" w:rsidP="00CA5931">
      <w:pPr>
        <w:pStyle w:val="Estilo1"/>
        <w:numPr>
          <w:ilvl w:val="0"/>
          <w:numId w:val="25"/>
        </w:numPr>
        <w:spacing w:after="120"/>
        <w:ind w:left="714" w:hanging="357"/>
        <w:rPr>
          <w:lang w:val="es-CO"/>
        </w:rPr>
      </w:pPr>
      <w:bookmarkStart w:id="13" w:name="_Ref330889079"/>
      <w:r w:rsidRPr="00326BF3">
        <w:rPr>
          <w:lang w:val="es-CO"/>
        </w:rPr>
        <w:t>Cesación ilegal de actividades, cuando esos actos contribuyan o resulten en la imposibilidad de cualquiera de las partes para cumplir con sus obligaciones.</w:t>
      </w:r>
      <w:bookmarkEnd w:id="13"/>
    </w:p>
    <w:p w14:paraId="402CBC0B" w14:textId="046D4A2C" w:rsidR="003F10A2" w:rsidRPr="00326BF3" w:rsidRDefault="003F10A2" w:rsidP="00CA5931">
      <w:pPr>
        <w:pStyle w:val="Estilo1"/>
        <w:numPr>
          <w:ilvl w:val="0"/>
          <w:numId w:val="25"/>
        </w:numPr>
        <w:spacing w:after="120"/>
        <w:ind w:left="714" w:hanging="357"/>
        <w:rPr>
          <w:lang w:val="es-CO"/>
        </w:rPr>
      </w:pPr>
      <w:r w:rsidRPr="00326BF3">
        <w:rPr>
          <w:lang w:val="es-CO"/>
        </w:rPr>
        <w:t xml:space="preserve">Cuando por causas imputables a una de las partes del contrato no se haya </w:t>
      </w:r>
      <w:r w:rsidR="00CE20AE">
        <w:rPr>
          <w:lang w:val="es-CO"/>
        </w:rPr>
        <w:t>hecho e</w:t>
      </w:r>
      <w:r w:rsidR="00565A54">
        <w:rPr>
          <w:lang w:val="es-CO"/>
        </w:rPr>
        <w:t>l registro de contrato ante el G</w:t>
      </w:r>
      <w:r w:rsidR="00CE20AE">
        <w:rPr>
          <w:lang w:val="es-CO"/>
        </w:rPr>
        <w:t>estor del mercado de gas natural</w:t>
      </w:r>
      <w:r w:rsidRPr="00326BF3">
        <w:rPr>
          <w:lang w:val="es-CO"/>
        </w:rPr>
        <w:t>. En este caso la no prestación del servicio de</w:t>
      </w:r>
      <w:r w:rsidR="00C60DC3">
        <w:rPr>
          <w:lang w:val="es-CO"/>
        </w:rPr>
        <w:t xml:space="preserve"> la respectiva instalación</w:t>
      </w:r>
      <w:r w:rsidRPr="00326BF3">
        <w:rPr>
          <w:lang w:val="es-CO"/>
        </w:rPr>
        <w:t xml:space="preserve"> debido a la inexistencia de</w:t>
      </w:r>
      <w:r w:rsidR="00C470FC">
        <w:rPr>
          <w:lang w:val="es-CO"/>
        </w:rPr>
        <w:t>l registro será</w:t>
      </w:r>
      <w:r w:rsidRPr="00326BF3">
        <w:rPr>
          <w:lang w:val="es-CO"/>
        </w:rPr>
        <w:t xml:space="preserve"> considerada como evento eximente de responsabilidad para la otra parte.</w:t>
      </w:r>
    </w:p>
    <w:p w14:paraId="0F36D102" w14:textId="77777777" w:rsidR="003F10A2" w:rsidRPr="00F766A9" w:rsidRDefault="003F10A2" w:rsidP="003F10A2">
      <w:pPr>
        <w:widowControl w:val="0"/>
        <w:ind w:left="357" w:hanging="357"/>
        <w:jc w:val="both"/>
        <w:rPr>
          <w:rFonts w:ascii="Bookman Old Style" w:hAnsi="Bookman Old Style" w:cs="Arial"/>
          <w:color w:val="000000" w:themeColor="text1"/>
        </w:rPr>
      </w:pPr>
    </w:p>
    <w:p w14:paraId="44FCF97E" w14:textId="14413BE3" w:rsidR="003F10A2" w:rsidRPr="00F766A9" w:rsidRDefault="00A031EA" w:rsidP="003F10A2">
      <w:pPr>
        <w:widowControl w:val="0"/>
        <w:ind w:left="0"/>
        <w:jc w:val="both"/>
        <w:rPr>
          <w:rFonts w:ascii="Bookman Old Style" w:hAnsi="Bookman Old Style" w:cs="Arial"/>
          <w:b/>
          <w:color w:val="000000" w:themeColor="text1"/>
        </w:rPr>
      </w:pPr>
      <w:r>
        <w:rPr>
          <w:rFonts w:ascii="Bookman Old Style" w:hAnsi="Bookman Old Style" w:cs="Arial"/>
          <w:b/>
          <w:color w:val="000000" w:themeColor="text1"/>
        </w:rPr>
        <w:t>Parágrafo</w:t>
      </w:r>
      <w:r w:rsidR="003F10A2" w:rsidRPr="00F766A9">
        <w:rPr>
          <w:rFonts w:ascii="Bookman Old Style" w:hAnsi="Bookman Old Style" w:cs="Arial"/>
          <w:b/>
          <w:color w:val="000000" w:themeColor="text1"/>
        </w:rPr>
        <w:t xml:space="preserve">. </w:t>
      </w:r>
      <w:r w:rsidR="003F10A2" w:rsidRPr="00F766A9">
        <w:rPr>
          <w:rFonts w:ascii="Bookman Old Style" w:hAnsi="Bookman Old Style" w:cs="Arial"/>
          <w:color w:val="000000" w:themeColor="text1"/>
        </w:rPr>
        <w:t xml:space="preserve">La obligación de </w:t>
      </w:r>
      <w:r w:rsidR="00011493">
        <w:rPr>
          <w:rFonts w:ascii="Bookman Old Style" w:hAnsi="Bookman Old Style" w:cs="Arial"/>
          <w:color w:val="000000" w:themeColor="text1"/>
        </w:rPr>
        <w:t>los usuarios</w:t>
      </w:r>
      <w:r w:rsidR="003F10A2" w:rsidRPr="00F766A9">
        <w:rPr>
          <w:rFonts w:ascii="Bookman Old Style" w:hAnsi="Bookman Old Style" w:cs="Arial"/>
          <w:color w:val="000000" w:themeColor="text1"/>
        </w:rPr>
        <w:t xml:space="preserve"> de pagar </w:t>
      </w:r>
      <w:r w:rsidR="00011493">
        <w:rPr>
          <w:rFonts w:ascii="Bookman Old Style" w:hAnsi="Bookman Old Style" w:cs="Arial"/>
          <w:color w:val="000000" w:themeColor="text1"/>
        </w:rPr>
        <w:t>los</w:t>
      </w:r>
      <w:r w:rsidR="003F10A2" w:rsidRPr="00F766A9">
        <w:rPr>
          <w:rFonts w:ascii="Bookman Old Style" w:hAnsi="Bookman Old Style" w:cs="Arial"/>
          <w:color w:val="000000" w:themeColor="text1"/>
        </w:rPr>
        <w:t xml:space="preserve"> servicio</w:t>
      </w:r>
      <w:r w:rsidR="00011493">
        <w:rPr>
          <w:rFonts w:ascii="Bookman Old Style" w:hAnsi="Bookman Old Style" w:cs="Arial"/>
          <w:color w:val="000000" w:themeColor="text1"/>
        </w:rPr>
        <w:t>s de las infraestructuras</w:t>
      </w:r>
      <w:r w:rsidR="00C470FC">
        <w:rPr>
          <w:rFonts w:ascii="Bookman Old Style" w:hAnsi="Bookman Old Style" w:cs="Arial"/>
          <w:color w:val="000000" w:themeColor="text1"/>
        </w:rPr>
        <w:t xml:space="preserve"> se suspenderá</w:t>
      </w:r>
      <w:r w:rsidR="003F10A2" w:rsidRPr="00F766A9">
        <w:rPr>
          <w:rFonts w:ascii="Bookman Old Style" w:hAnsi="Bookman Old Style" w:cs="Arial"/>
          <w:color w:val="000000" w:themeColor="text1"/>
        </w:rPr>
        <w:t xml:space="preserve"> durante los eventos eximentes de responsabilidad. En caso de que no se afecte la capacidad total de </w:t>
      </w:r>
      <w:r w:rsidR="00011493">
        <w:rPr>
          <w:rFonts w:ascii="Bookman Old Style" w:hAnsi="Bookman Old Style" w:cs="Arial"/>
          <w:color w:val="000000" w:themeColor="text1"/>
        </w:rPr>
        <w:t>la instalación</w:t>
      </w:r>
      <w:r w:rsidR="00E46850">
        <w:rPr>
          <w:rFonts w:ascii="Bookman Old Style" w:hAnsi="Bookman Old Style" w:cs="Arial"/>
          <w:color w:val="000000" w:themeColor="text1"/>
        </w:rPr>
        <w:t>,</w:t>
      </w:r>
      <w:r w:rsidR="00011493">
        <w:rPr>
          <w:rFonts w:ascii="Bookman Old Style" w:hAnsi="Bookman Old Style" w:cs="Arial"/>
          <w:color w:val="000000" w:themeColor="text1"/>
        </w:rPr>
        <w:t xml:space="preserve"> el usuario </w:t>
      </w:r>
      <w:r w:rsidR="003F10A2" w:rsidRPr="00F766A9">
        <w:rPr>
          <w:rFonts w:ascii="Bookman Old Style" w:hAnsi="Bookman Old Style" w:cs="Arial"/>
          <w:color w:val="000000" w:themeColor="text1"/>
        </w:rPr>
        <w:t xml:space="preserve">deberá pagar los cargos fijos aplicados a la capacidad que efectivamente estuvo disponible y los cargos variables </w:t>
      </w:r>
      <w:r w:rsidR="007D128C">
        <w:rPr>
          <w:rFonts w:ascii="Bookman Old Style" w:hAnsi="Bookman Old Style" w:cs="Arial"/>
          <w:color w:val="000000" w:themeColor="text1"/>
        </w:rPr>
        <w:t>aplicados a la capacidad efectivamente utilizada</w:t>
      </w:r>
      <w:r w:rsidR="003F10A2" w:rsidRPr="00F766A9">
        <w:rPr>
          <w:rFonts w:ascii="Bookman Old Style" w:hAnsi="Bookman Old Style" w:cs="Arial"/>
          <w:color w:val="000000" w:themeColor="text1"/>
        </w:rPr>
        <w:t>.</w:t>
      </w:r>
    </w:p>
    <w:p w14:paraId="2F800509" w14:textId="77777777" w:rsidR="003F10A2" w:rsidRPr="00F766A9" w:rsidRDefault="003F10A2" w:rsidP="003F10A2">
      <w:pPr>
        <w:pStyle w:val="ARTICULOS"/>
        <w:numPr>
          <w:ilvl w:val="0"/>
          <w:numId w:val="0"/>
        </w:numPr>
        <w:rPr>
          <w:bCs/>
          <w:color w:val="000000" w:themeColor="text1"/>
        </w:rPr>
      </w:pPr>
    </w:p>
    <w:p w14:paraId="5D4DF62C" w14:textId="61264103" w:rsidR="003F10A2" w:rsidRPr="00F766A9" w:rsidRDefault="003F10A2" w:rsidP="002A49F8">
      <w:pPr>
        <w:pStyle w:val="ARTICULOS"/>
        <w:ind w:left="0"/>
      </w:pPr>
      <w:bookmarkStart w:id="14" w:name="_Ref334521088"/>
      <w:r w:rsidRPr="00F766A9">
        <w:rPr>
          <w:b/>
        </w:rPr>
        <w:t xml:space="preserve">Incumplimiento. </w:t>
      </w:r>
      <w:r w:rsidRPr="00F766A9">
        <w:t>Para efectos regulatorios se considera que se incumplen los contratos</w:t>
      </w:r>
      <w:r w:rsidR="00565A54" w:rsidRPr="00565A54">
        <w:rPr>
          <w:color w:val="000000" w:themeColor="text1"/>
        </w:rPr>
        <w:t xml:space="preserve"> </w:t>
      </w:r>
      <w:r w:rsidR="00565A54">
        <w:rPr>
          <w:color w:val="000000" w:themeColor="text1"/>
        </w:rPr>
        <w:t>asignados</w:t>
      </w:r>
      <w:r w:rsidR="001B7CE6">
        <w:t>,</w:t>
      </w:r>
      <w:r w:rsidRPr="00F766A9">
        <w:t xml:space="preserve"> en los siguientes casos:</w:t>
      </w:r>
      <w:bookmarkEnd w:id="14"/>
    </w:p>
    <w:p w14:paraId="12E9CFE7" w14:textId="77777777" w:rsidR="003F10A2" w:rsidRPr="00F766A9" w:rsidRDefault="003F10A2" w:rsidP="003F10A2">
      <w:pPr>
        <w:pStyle w:val="ARTICULOS"/>
        <w:numPr>
          <w:ilvl w:val="0"/>
          <w:numId w:val="0"/>
        </w:numPr>
        <w:tabs>
          <w:tab w:val="left" w:pos="1560"/>
        </w:tabs>
        <w:rPr>
          <w:b/>
          <w:color w:val="000000" w:themeColor="text1"/>
        </w:rPr>
      </w:pPr>
    </w:p>
    <w:p w14:paraId="115072ED" w14:textId="2285ED32" w:rsidR="003F10A2" w:rsidRPr="00565A54" w:rsidRDefault="003F10A2" w:rsidP="00CA5931">
      <w:pPr>
        <w:pStyle w:val="Estilo1"/>
        <w:numPr>
          <w:ilvl w:val="0"/>
          <w:numId w:val="28"/>
        </w:numPr>
        <w:spacing w:after="120"/>
        <w:ind w:left="714" w:hanging="357"/>
        <w:rPr>
          <w:lang w:val="es-CO"/>
        </w:rPr>
      </w:pPr>
      <w:bookmarkStart w:id="15" w:name="_Ref355796729"/>
      <w:r w:rsidRPr="00565A54">
        <w:rPr>
          <w:lang w:val="es-CO"/>
        </w:rPr>
        <w:t xml:space="preserve">Por parte del </w:t>
      </w:r>
      <w:r w:rsidR="001B7CE6" w:rsidRPr="00565A54">
        <w:rPr>
          <w:lang w:val="es-CO"/>
        </w:rPr>
        <w:t xml:space="preserve">adjudicatario </w:t>
      </w:r>
      <w:r w:rsidRPr="00565A54">
        <w:rPr>
          <w:lang w:val="es-CO"/>
        </w:rPr>
        <w:t xml:space="preserve">cuando </w:t>
      </w:r>
      <w:r w:rsidR="007A2507">
        <w:rPr>
          <w:lang w:val="es-CO"/>
        </w:rPr>
        <w:t>e</w:t>
      </w:r>
      <w:r w:rsidRPr="00565A54">
        <w:rPr>
          <w:lang w:val="es-CO"/>
        </w:rPr>
        <w:t>ste incumple su obligación de entregar la cantidad de energía</w:t>
      </w:r>
      <w:r w:rsidR="007A2507">
        <w:rPr>
          <w:lang w:val="es-CO"/>
        </w:rPr>
        <w:t xml:space="preserve"> nominada</w:t>
      </w:r>
      <w:r w:rsidR="00CD73FD">
        <w:rPr>
          <w:lang w:val="es-CO"/>
        </w:rPr>
        <w:t>.</w:t>
      </w:r>
      <w:r w:rsidRPr="00565A54">
        <w:rPr>
          <w:lang w:val="es-CO"/>
        </w:rPr>
        <w:t xml:space="preserve"> En todo caso la cantidad </w:t>
      </w:r>
      <w:r w:rsidR="0032764B">
        <w:rPr>
          <w:lang w:val="es-CO"/>
        </w:rPr>
        <w:t>nominada</w:t>
      </w:r>
      <w:r w:rsidR="00CD73FD">
        <w:rPr>
          <w:lang w:val="es-CO"/>
        </w:rPr>
        <w:t xml:space="preserve"> </w:t>
      </w:r>
      <w:r w:rsidRPr="00565A54">
        <w:rPr>
          <w:lang w:val="es-CO"/>
        </w:rPr>
        <w:t>deberá ser igual o inferior a la cantidad de energía contratada por el comprador</w:t>
      </w:r>
      <w:r w:rsidR="0026237D" w:rsidRPr="00565A54">
        <w:rPr>
          <w:lang w:val="es-CO"/>
        </w:rPr>
        <w:t xml:space="preserve"> para </w:t>
      </w:r>
      <w:proofErr w:type="spellStart"/>
      <w:r w:rsidR="0026237D" w:rsidRPr="00565A54">
        <w:rPr>
          <w:lang w:val="es-CO"/>
        </w:rPr>
        <w:t>regasifica</w:t>
      </w:r>
      <w:r w:rsidR="004C019C">
        <w:rPr>
          <w:lang w:val="es-CO"/>
        </w:rPr>
        <w:t>r</w:t>
      </w:r>
      <w:proofErr w:type="spellEnd"/>
      <w:r w:rsidR="004C019C">
        <w:rPr>
          <w:lang w:val="es-CO"/>
        </w:rPr>
        <w:t xml:space="preserve"> o transportar</w:t>
      </w:r>
      <w:r w:rsidR="007A2507">
        <w:rPr>
          <w:lang w:val="es-CO"/>
        </w:rPr>
        <w:t xml:space="preserve">. Para esto, </w:t>
      </w:r>
      <w:r w:rsidRPr="00565A54">
        <w:rPr>
          <w:lang w:val="es-CO"/>
        </w:rPr>
        <w:t xml:space="preserve">el comprador </w:t>
      </w:r>
      <w:r w:rsidR="00522AFB">
        <w:rPr>
          <w:lang w:val="es-CO"/>
        </w:rPr>
        <w:t xml:space="preserve">debe estar </w:t>
      </w:r>
      <w:r w:rsidRPr="00565A54">
        <w:rPr>
          <w:lang w:val="es-CO"/>
        </w:rPr>
        <w:t>al día en el cumplimiento de su obligación de pago.</w:t>
      </w:r>
      <w:bookmarkEnd w:id="15"/>
    </w:p>
    <w:p w14:paraId="31409241" w14:textId="47CAAD1A" w:rsidR="003F10A2" w:rsidRPr="00565A54" w:rsidRDefault="003F10A2" w:rsidP="00CA5931">
      <w:pPr>
        <w:pStyle w:val="Estilo1"/>
        <w:numPr>
          <w:ilvl w:val="0"/>
          <w:numId w:val="28"/>
        </w:numPr>
        <w:spacing w:after="120"/>
        <w:ind w:left="714" w:hanging="357"/>
        <w:rPr>
          <w:lang w:val="es-CO"/>
        </w:rPr>
      </w:pPr>
      <w:r w:rsidRPr="00565A54">
        <w:rPr>
          <w:lang w:val="es-CO"/>
        </w:rPr>
        <w:t xml:space="preserve">Por parte del comprador, cuando </w:t>
      </w:r>
      <w:r w:rsidR="00522AFB">
        <w:rPr>
          <w:lang w:val="es-CO"/>
        </w:rPr>
        <w:t>e</w:t>
      </w:r>
      <w:r w:rsidRPr="00565A54">
        <w:rPr>
          <w:lang w:val="es-CO"/>
        </w:rPr>
        <w:t xml:space="preserve">ste incumple su obligación de pagar </w:t>
      </w:r>
      <w:r w:rsidR="0026237D" w:rsidRPr="00565A54">
        <w:rPr>
          <w:lang w:val="es-CO"/>
        </w:rPr>
        <w:t>la capacidad contratada</w:t>
      </w:r>
      <w:r w:rsidRPr="00565A54">
        <w:rPr>
          <w:lang w:val="es-CO"/>
        </w:rPr>
        <w:t>.</w:t>
      </w:r>
    </w:p>
    <w:p w14:paraId="15378402" w14:textId="77777777" w:rsidR="003F10A2" w:rsidRPr="00F766A9" w:rsidRDefault="003F10A2" w:rsidP="003F10A2">
      <w:pPr>
        <w:pStyle w:val="ARTICULOS"/>
        <w:numPr>
          <w:ilvl w:val="0"/>
          <w:numId w:val="0"/>
        </w:numPr>
        <w:tabs>
          <w:tab w:val="left" w:pos="1560"/>
        </w:tabs>
        <w:rPr>
          <w:color w:val="000000" w:themeColor="text1"/>
        </w:rPr>
      </w:pPr>
    </w:p>
    <w:p w14:paraId="0DD003A4" w14:textId="78F9DD35" w:rsidR="003F10A2" w:rsidRPr="00F766A9" w:rsidRDefault="003F10A2" w:rsidP="003F10A2">
      <w:pPr>
        <w:pStyle w:val="ARTICULOS"/>
        <w:numPr>
          <w:ilvl w:val="0"/>
          <w:numId w:val="0"/>
        </w:numPr>
        <w:tabs>
          <w:tab w:val="left" w:pos="1560"/>
        </w:tabs>
        <w:rPr>
          <w:color w:val="000000" w:themeColor="text1"/>
        </w:rPr>
      </w:pPr>
      <w:r w:rsidRPr="00F766A9">
        <w:rPr>
          <w:b/>
          <w:color w:val="000000" w:themeColor="text1"/>
        </w:rPr>
        <w:t xml:space="preserve">Parágrafo </w:t>
      </w:r>
      <w:r w:rsidR="001B7CE6">
        <w:rPr>
          <w:b/>
          <w:color w:val="000000" w:themeColor="text1"/>
        </w:rPr>
        <w:t>1</w:t>
      </w:r>
      <w:r w:rsidRPr="00F766A9">
        <w:rPr>
          <w:b/>
          <w:color w:val="000000" w:themeColor="text1"/>
        </w:rPr>
        <w:t>.</w:t>
      </w:r>
      <w:r w:rsidRPr="00F766A9">
        <w:rPr>
          <w:color w:val="000000" w:themeColor="text1"/>
        </w:rPr>
        <w:t xml:space="preserve"> </w:t>
      </w:r>
      <w:r w:rsidR="001B7CE6">
        <w:rPr>
          <w:color w:val="000000" w:themeColor="text1"/>
        </w:rPr>
        <w:t xml:space="preserve">El adjudicatario de la </w:t>
      </w:r>
      <w:r w:rsidR="00CD73FD">
        <w:rPr>
          <w:color w:val="000000" w:themeColor="text1"/>
        </w:rPr>
        <w:t>infraestructura</w:t>
      </w:r>
      <w:r w:rsidR="001B7CE6">
        <w:rPr>
          <w:color w:val="000000" w:themeColor="text1"/>
        </w:rPr>
        <w:t xml:space="preserve"> de </w:t>
      </w:r>
      <w:r w:rsidR="00CD73FD">
        <w:rPr>
          <w:color w:val="000000" w:themeColor="text1"/>
        </w:rPr>
        <w:t xml:space="preserve">importación de gas </w:t>
      </w:r>
      <w:r w:rsidR="001B7CE6">
        <w:rPr>
          <w:color w:val="000000" w:themeColor="text1"/>
        </w:rPr>
        <w:t>del Pacífico</w:t>
      </w:r>
      <w:r w:rsidRPr="00F766A9">
        <w:rPr>
          <w:color w:val="000000" w:themeColor="text1"/>
        </w:rPr>
        <w:t xml:space="preserve"> y </w:t>
      </w:r>
      <w:r w:rsidR="009E47D0">
        <w:rPr>
          <w:color w:val="000000" w:themeColor="text1"/>
        </w:rPr>
        <w:t>el</w:t>
      </w:r>
      <w:r w:rsidRPr="00F766A9">
        <w:rPr>
          <w:color w:val="000000" w:themeColor="text1"/>
        </w:rPr>
        <w:t xml:space="preserve"> </w:t>
      </w:r>
      <w:r w:rsidR="00522AFB">
        <w:rPr>
          <w:color w:val="000000" w:themeColor="text1"/>
        </w:rPr>
        <w:t xml:space="preserve">agente </w:t>
      </w:r>
      <w:r w:rsidR="009E47D0">
        <w:rPr>
          <w:color w:val="000000" w:themeColor="text1"/>
        </w:rPr>
        <w:t>responsable</w:t>
      </w:r>
      <w:r w:rsidR="00522AFB">
        <w:rPr>
          <w:color w:val="000000" w:themeColor="text1"/>
        </w:rPr>
        <w:t xml:space="preserve"> de entregar gas a </w:t>
      </w:r>
      <w:r w:rsidR="009E47D0">
        <w:rPr>
          <w:color w:val="000000" w:themeColor="text1"/>
        </w:rPr>
        <w:t xml:space="preserve">la planta </w:t>
      </w:r>
      <w:r w:rsidRPr="00F766A9">
        <w:rPr>
          <w:color w:val="000000" w:themeColor="text1"/>
        </w:rPr>
        <w:t>deberán acotar la cantidad de energía a suministrar</w:t>
      </w:r>
      <w:r w:rsidRPr="00F766A9">
        <w:rPr>
          <w:color w:val="000000" w:themeColor="text1"/>
          <w:lang w:val="es-CO"/>
        </w:rPr>
        <w:t xml:space="preserve"> </w:t>
      </w:r>
      <w:r w:rsidRPr="00F766A9">
        <w:rPr>
          <w:color w:val="000000" w:themeColor="text1"/>
        </w:rPr>
        <w:t xml:space="preserve">a las cantidades contratadas. </w:t>
      </w:r>
      <w:r w:rsidR="001B7CE6">
        <w:rPr>
          <w:color w:val="000000" w:themeColor="text1"/>
        </w:rPr>
        <w:t xml:space="preserve">La utilización de la </w:t>
      </w:r>
      <w:r w:rsidR="00CD73FD">
        <w:rPr>
          <w:color w:val="000000" w:themeColor="text1"/>
        </w:rPr>
        <w:t xml:space="preserve">infraestructura de importación de gas </w:t>
      </w:r>
      <w:r w:rsidR="001B7CE6">
        <w:rPr>
          <w:color w:val="000000" w:themeColor="text1"/>
        </w:rPr>
        <w:t>del Pacífico</w:t>
      </w:r>
      <w:r w:rsidRPr="00F766A9">
        <w:rPr>
          <w:color w:val="000000" w:themeColor="text1"/>
        </w:rPr>
        <w:t xml:space="preserve"> por encima de las</w:t>
      </w:r>
      <w:r w:rsidR="001B7CE6">
        <w:rPr>
          <w:color w:val="000000" w:themeColor="text1"/>
        </w:rPr>
        <w:t xml:space="preserve"> cantidades</w:t>
      </w:r>
      <w:r w:rsidRPr="00F766A9">
        <w:rPr>
          <w:color w:val="000000" w:themeColor="text1"/>
        </w:rPr>
        <w:t xml:space="preserve"> contratadas podrá ser considerado por las autoridades competentes como una práctica contraria a la libre competencia.</w:t>
      </w:r>
    </w:p>
    <w:p w14:paraId="002865ED" w14:textId="77777777" w:rsidR="003F10A2" w:rsidRPr="00F766A9" w:rsidRDefault="003F10A2" w:rsidP="003F10A2">
      <w:pPr>
        <w:pStyle w:val="ARTICULOS"/>
        <w:numPr>
          <w:ilvl w:val="0"/>
          <w:numId w:val="0"/>
        </w:numPr>
        <w:tabs>
          <w:tab w:val="left" w:pos="1560"/>
        </w:tabs>
        <w:rPr>
          <w:color w:val="000000" w:themeColor="text1"/>
        </w:rPr>
      </w:pPr>
    </w:p>
    <w:p w14:paraId="28DAE32E" w14:textId="5CEE743B" w:rsidR="003F10A2" w:rsidRPr="00F766A9" w:rsidRDefault="003F10A2" w:rsidP="003F10A2">
      <w:pPr>
        <w:pStyle w:val="ARTICULOS"/>
        <w:numPr>
          <w:ilvl w:val="0"/>
          <w:numId w:val="0"/>
        </w:numPr>
        <w:tabs>
          <w:tab w:val="left" w:pos="1560"/>
        </w:tabs>
        <w:rPr>
          <w:color w:val="000000" w:themeColor="text1"/>
        </w:rPr>
      </w:pPr>
      <w:r w:rsidRPr="0020110E">
        <w:rPr>
          <w:b/>
          <w:color w:val="000000" w:themeColor="text1"/>
        </w:rPr>
        <w:t xml:space="preserve">Parágrafo </w:t>
      </w:r>
      <w:r w:rsidR="001B7CE6" w:rsidRPr="0020110E">
        <w:rPr>
          <w:b/>
          <w:color w:val="000000" w:themeColor="text1"/>
        </w:rPr>
        <w:t>2</w:t>
      </w:r>
      <w:r w:rsidRPr="0020110E">
        <w:rPr>
          <w:b/>
          <w:color w:val="000000" w:themeColor="text1"/>
        </w:rPr>
        <w:t>.</w:t>
      </w:r>
      <w:r w:rsidRPr="0020110E">
        <w:rPr>
          <w:color w:val="000000" w:themeColor="text1"/>
        </w:rPr>
        <w:t xml:space="preserve"> La cantidad de energía</w:t>
      </w:r>
      <w:r w:rsidRPr="00F766A9">
        <w:rPr>
          <w:color w:val="000000" w:themeColor="text1"/>
        </w:rPr>
        <w:t xml:space="preserve"> autorizada por parte de</w:t>
      </w:r>
      <w:r w:rsidR="001B7CE6">
        <w:rPr>
          <w:color w:val="000000" w:themeColor="text1"/>
        </w:rPr>
        <w:t>l adjudicatario de la planta de regasificación del Pacífico</w:t>
      </w:r>
      <w:r w:rsidRPr="00F766A9">
        <w:rPr>
          <w:color w:val="000000" w:themeColor="text1"/>
        </w:rPr>
        <w:t xml:space="preserve"> </w:t>
      </w:r>
      <w:r w:rsidR="00FB4D88">
        <w:rPr>
          <w:color w:val="000000" w:themeColor="text1"/>
        </w:rPr>
        <w:t xml:space="preserve">a las cantidades nominadas por los compradores, </w:t>
      </w:r>
      <w:r w:rsidRPr="00F766A9">
        <w:rPr>
          <w:color w:val="000000" w:themeColor="text1"/>
        </w:rPr>
        <w:t xml:space="preserve">deberá ser igual </w:t>
      </w:r>
      <w:r w:rsidR="004C019C">
        <w:rPr>
          <w:color w:val="000000" w:themeColor="text1"/>
        </w:rPr>
        <w:t xml:space="preserve">a la autorizada </w:t>
      </w:r>
      <w:r w:rsidRPr="00F766A9">
        <w:rPr>
          <w:color w:val="000000" w:themeColor="text1"/>
        </w:rPr>
        <w:t>en el punto de entrada</w:t>
      </w:r>
      <w:r w:rsidR="00A90404">
        <w:rPr>
          <w:color w:val="000000" w:themeColor="text1"/>
        </w:rPr>
        <w:t xml:space="preserve"> al</w:t>
      </w:r>
      <w:r w:rsidR="004C019C">
        <w:rPr>
          <w:color w:val="000000" w:themeColor="text1"/>
        </w:rPr>
        <w:t xml:space="preserve"> </w:t>
      </w:r>
      <w:r w:rsidR="00A90404">
        <w:rPr>
          <w:color w:val="000000" w:themeColor="text1"/>
        </w:rPr>
        <w:lastRenderedPageBreak/>
        <w:t>gasoducto Buenaventura - Yumbo</w:t>
      </w:r>
      <w:r w:rsidRPr="00F766A9">
        <w:rPr>
          <w:color w:val="000000" w:themeColor="text1"/>
        </w:rPr>
        <w:t xml:space="preserve">. Cualquier reducción en la cantidad de energía autorizada para dar cumplimiento a esta disposición, que </w:t>
      </w:r>
      <w:r w:rsidR="00A90404">
        <w:rPr>
          <w:color w:val="000000" w:themeColor="text1"/>
        </w:rPr>
        <w:t>conlleve</w:t>
      </w:r>
      <w:r w:rsidR="00A90404" w:rsidRPr="00F766A9">
        <w:rPr>
          <w:color w:val="000000" w:themeColor="text1"/>
        </w:rPr>
        <w:t xml:space="preserve"> </w:t>
      </w:r>
      <w:r w:rsidRPr="00F766A9">
        <w:rPr>
          <w:color w:val="000000" w:themeColor="text1"/>
        </w:rPr>
        <w:t xml:space="preserve">a que las cantidades </w:t>
      </w:r>
      <w:r w:rsidR="004024E0">
        <w:rPr>
          <w:color w:val="000000" w:themeColor="text1"/>
        </w:rPr>
        <w:t>autorizadas</w:t>
      </w:r>
      <w:r w:rsidRPr="00F766A9">
        <w:rPr>
          <w:color w:val="000000" w:themeColor="text1"/>
        </w:rPr>
        <w:t xml:space="preserve"> no sean iguales</w:t>
      </w:r>
      <w:r w:rsidR="004024E0">
        <w:rPr>
          <w:color w:val="000000" w:themeColor="text1"/>
        </w:rPr>
        <w:t xml:space="preserve"> a las nominadas</w:t>
      </w:r>
      <w:r w:rsidRPr="00F766A9">
        <w:rPr>
          <w:color w:val="000000" w:themeColor="text1"/>
        </w:rPr>
        <w:t xml:space="preserve">, no será considerada un incumplimiento por parte del </w:t>
      </w:r>
      <w:r w:rsidR="004C019C">
        <w:rPr>
          <w:color w:val="000000" w:themeColor="text1"/>
        </w:rPr>
        <w:t>adjudicatario</w:t>
      </w:r>
      <w:r w:rsidRPr="00F766A9">
        <w:rPr>
          <w:color w:val="000000" w:themeColor="text1"/>
        </w:rPr>
        <w:t>.</w:t>
      </w:r>
    </w:p>
    <w:p w14:paraId="704A2A62" w14:textId="57445EFE" w:rsidR="003F10A2" w:rsidRDefault="003F10A2" w:rsidP="003F10A2">
      <w:pPr>
        <w:pStyle w:val="ARTICULOS"/>
        <w:numPr>
          <w:ilvl w:val="0"/>
          <w:numId w:val="0"/>
        </w:numPr>
        <w:tabs>
          <w:tab w:val="left" w:pos="1560"/>
        </w:tabs>
        <w:rPr>
          <w:b/>
          <w:color w:val="000000" w:themeColor="text1"/>
        </w:rPr>
      </w:pPr>
    </w:p>
    <w:p w14:paraId="74FD1D86" w14:textId="7F9B5B2A" w:rsidR="00A90404" w:rsidRPr="00A90404" w:rsidRDefault="00A90404" w:rsidP="00A90404">
      <w:pPr>
        <w:pStyle w:val="Estilo1"/>
      </w:pPr>
      <w:r w:rsidRPr="00A90404">
        <w:rPr>
          <w:b/>
          <w:color w:val="000000" w:themeColor="text1"/>
        </w:rPr>
        <w:t>Parágrafo 3.</w:t>
      </w:r>
      <w:r>
        <w:rPr>
          <w:color w:val="000000" w:themeColor="text1"/>
        </w:rPr>
        <w:t xml:space="preserve"> </w:t>
      </w:r>
      <w:r w:rsidRPr="00F766A9">
        <w:rPr>
          <w:color w:val="000000" w:themeColor="text1"/>
        </w:rPr>
        <w:t>La cantidad de energía autorizada por parte de</w:t>
      </w:r>
      <w:r>
        <w:rPr>
          <w:color w:val="000000" w:themeColor="text1"/>
        </w:rPr>
        <w:t>l adjudicatario del gasoducto Buenaventura - Yumbo</w:t>
      </w:r>
      <w:r w:rsidRPr="00F766A9">
        <w:rPr>
          <w:color w:val="000000" w:themeColor="text1"/>
        </w:rPr>
        <w:t xml:space="preserve"> </w:t>
      </w:r>
      <w:r>
        <w:rPr>
          <w:color w:val="000000" w:themeColor="text1"/>
        </w:rPr>
        <w:t>a las cantidades nominadas por los compradores</w:t>
      </w:r>
      <w:r w:rsidR="00471F0F">
        <w:rPr>
          <w:color w:val="000000" w:themeColor="text1"/>
        </w:rPr>
        <w:t xml:space="preserve"> con destino al SNT</w:t>
      </w:r>
      <w:r>
        <w:rPr>
          <w:color w:val="000000" w:themeColor="text1"/>
        </w:rPr>
        <w:t xml:space="preserve">, </w:t>
      </w:r>
      <w:r w:rsidRPr="00F766A9">
        <w:rPr>
          <w:color w:val="000000" w:themeColor="text1"/>
        </w:rPr>
        <w:t xml:space="preserve">deberá ser igual </w:t>
      </w:r>
      <w:r>
        <w:rPr>
          <w:color w:val="000000" w:themeColor="text1"/>
        </w:rPr>
        <w:t xml:space="preserve">a la autorizada </w:t>
      </w:r>
      <w:r w:rsidRPr="00F766A9">
        <w:rPr>
          <w:color w:val="000000" w:themeColor="text1"/>
        </w:rPr>
        <w:t>en el punto de entrada</w:t>
      </w:r>
      <w:r>
        <w:rPr>
          <w:color w:val="000000" w:themeColor="text1"/>
        </w:rPr>
        <w:t xml:space="preserve"> del SNT</w:t>
      </w:r>
      <w:r w:rsidRPr="00F766A9">
        <w:rPr>
          <w:color w:val="000000" w:themeColor="text1"/>
        </w:rPr>
        <w:t xml:space="preserve">. Cualquier reducción en la cantidad de energía autorizada para dar cumplimiento a esta disposición, que </w:t>
      </w:r>
      <w:r>
        <w:rPr>
          <w:color w:val="000000" w:themeColor="text1"/>
        </w:rPr>
        <w:t>conlleve</w:t>
      </w:r>
      <w:r w:rsidRPr="00F766A9">
        <w:rPr>
          <w:color w:val="000000" w:themeColor="text1"/>
        </w:rPr>
        <w:t xml:space="preserve"> a que las cantidades </w:t>
      </w:r>
      <w:r w:rsidR="004024E0">
        <w:rPr>
          <w:color w:val="000000" w:themeColor="text1"/>
        </w:rPr>
        <w:t xml:space="preserve">autorizadas </w:t>
      </w:r>
      <w:r w:rsidRPr="00F766A9">
        <w:rPr>
          <w:color w:val="000000" w:themeColor="text1"/>
        </w:rPr>
        <w:t>no sean iguales</w:t>
      </w:r>
      <w:r w:rsidR="004024E0">
        <w:rPr>
          <w:color w:val="000000" w:themeColor="text1"/>
        </w:rPr>
        <w:t xml:space="preserve"> a las nominadas</w:t>
      </w:r>
      <w:r w:rsidRPr="00F766A9">
        <w:rPr>
          <w:color w:val="000000" w:themeColor="text1"/>
        </w:rPr>
        <w:t xml:space="preserve">, no será considerada un incumplimiento por parte del </w:t>
      </w:r>
      <w:r>
        <w:rPr>
          <w:color w:val="000000" w:themeColor="text1"/>
        </w:rPr>
        <w:t>adjudicatario</w:t>
      </w:r>
      <w:r w:rsidRPr="00F766A9">
        <w:rPr>
          <w:color w:val="000000" w:themeColor="text1"/>
        </w:rPr>
        <w:t>.</w:t>
      </w:r>
    </w:p>
    <w:p w14:paraId="5200F71E" w14:textId="77777777" w:rsidR="003F10A2" w:rsidRPr="00F766A9" w:rsidRDefault="003F10A2" w:rsidP="0032764B">
      <w:pPr>
        <w:autoSpaceDE w:val="0"/>
        <w:autoSpaceDN w:val="0"/>
        <w:adjustRightInd w:val="0"/>
        <w:ind w:left="0"/>
        <w:jc w:val="both"/>
        <w:rPr>
          <w:b/>
          <w:color w:val="000000" w:themeColor="text1"/>
        </w:rPr>
      </w:pPr>
    </w:p>
    <w:p w14:paraId="0A150C06" w14:textId="455FA5EC" w:rsidR="003F10A2" w:rsidRPr="00F766A9" w:rsidRDefault="003F10A2" w:rsidP="002A49F8">
      <w:pPr>
        <w:pStyle w:val="ARTICULOS"/>
        <w:ind w:left="0"/>
        <w:rPr>
          <w:b/>
        </w:rPr>
      </w:pPr>
      <w:bookmarkStart w:id="16" w:name="_Ref330309556"/>
      <w:r w:rsidRPr="00F766A9">
        <w:rPr>
          <w:b/>
        </w:rPr>
        <w:t xml:space="preserve">Compensaciones. </w:t>
      </w:r>
      <w:r w:rsidR="00565A54" w:rsidRPr="00565A54">
        <w:t xml:space="preserve">Si el adjudicatario de la </w:t>
      </w:r>
      <w:r w:rsidR="004C019C">
        <w:t xml:space="preserve">infraestructura </w:t>
      </w:r>
      <w:r w:rsidR="00946B69">
        <w:t xml:space="preserve">incurre en </w:t>
      </w:r>
      <w:r w:rsidRPr="00F766A9">
        <w:t xml:space="preserve">alguno de los incumplimientos definidos en </w:t>
      </w:r>
      <w:r w:rsidRPr="00282865">
        <w:t xml:space="preserve">el </w:t>
      </w:r>
      <w:r w:rsidR="00565A54">
        <w:t xml:space="preserve">artículo </w:t>
      </w:r>
      <w:r w:rsidR="00565A54">
        <w:fldChar w:fldCharType="begin"/>
      </w:r>
      <w:r w:rsidR="00565A54">
        <w:instrText xml:space="preserve"> REF _Ref334521088 \r \h \t</w:instrText>
      </w:r>
      <w:r w:rsidR="00565A54">
        <w:fldChar w:fldCharType="separate"/>
      </w:r>
      <w:r w:rsidR="00946B69">
        <w:t>14</w:t>
      </w:r>
      <w:r w:rsidR="00565A54">
        <w:fldChar w:fldCharType="end"/>
      </w:r>
      <w:r w:rsidRPr="00282865">
        <w:t xml:space="preserve"> de </w:t>
      </w:r>
      <w:r w:rsidR="00946B69">
        <w:t xml:space="preserve">la presente </w:t>
      </w:r>
      <w:r w:rsidR="00FF4EED">
        <w:t>r</w:t>
      </w:r>
      <w:r w:rsidRPr="00282865">
        <w:t>esolución, deberán pagarse únicamente las siguientes compensaciones:</w:t>
      </w:r>
      <w:bookmarkEnd w:id="16"/>
    </w:p>
    <w:p w14:paraId="647AF8A7" w14:textId="77777777" w:rsidR="003F10A2" w:rsidRPr="00F766A9" w:rsidRDefault="003F10A2" w:rsidP="003F10A2">
      <w:pPr>
        <w:pStyle w:val="ARTICULOS"/>
        <w:numPr>
          <w:ilvl w:val="0"/>
          <w:numId w:val="0"/>
        </w:numPr>
        <w:tabs>
          <w:tab w:val="left" w:pos="1560"/>
        </w:tabs>
        <w:rPr>
          <w:b/>
          <w:color w:val="000000" w:themeColor="text1"/>
        </w:rPr>
      </w:pPr>
    </w:p>
    <w:p w14:paraId="39E3CFFE" w14:textId="26AB867F" w:rsidR="001767F6" w:rsidRPr="00565A54" w:rsidRDefault="001767F6" w:rsidP="00CA5931">
      <w:pPr>
        <w:pStyle w:val="Estilo1"/>
        <w:numPr>
          <w:ilvl w:val="0"/>
          <w:numId w:val="29"/>
        </w:numPr>
        <w:spacing w:after="120"/>
        <w:rPr>
          <w:lang w:val="es-CO"/>
        </w:rPr>
      </w:pPr>
      <w:r w:rsidRPr="00565A54">
        <w:rPr>
          <w:lang w:val="es-CO"/>
        </w:rPr>
        <w:t xml:space="preserve">Cuando el incumplimiento no conlleve la interrupción del servicio a usuarios regulados, el valor que resulte de aplicar lo dispuesto en el numeral 3 del </w:t>
      </w:r>
      <w:r w:rsidR="00BB7212">
        <w:rPr>
          <w:lang w:val="es-CO"/>
        </w:rPr>
        <w:t xml:space="preserve">anexo </w:t>
      </w:r>
      <w:r w:rsidRPr="00565A54">
        <w:rPr>
          <w:lang w:val="es-CO"/>
        </w:rPr>
        <w:t>3 de la Resolución CREG 114 de 2017</w:t>
      </w:r>
      <w:r w:rsidR="00946B69">
        <w:rPr>
          <w:lang w:val="es-CO"/>
        </w:rPr>
        <w:t>, o aquellas que la modifiquen o sustituyan</w:t>
      </w:r>
      <w:r w:rsidRPr="00565A54">
        <w:rPr>
          <w:lang w:val="es-CO"/>
        </w:rPr>
        <w:t>.</w:t>
      </w:r>
    </w:p>
    <w:p w14:paraId="1FC335CC" w14:textId="5CC93B15" w:rsidR="001767F6" w:rsidRPr="00565A54" w:rsidRDefault="001767F6" w:rsidP="00CA5931">
      <w:pPr>
        <w:pStyle w:val="Estilo1"/>
        <w:numPr>
          <w:ilvl w:val="0"/>
          <w:numId w:val="29"/>
        </w:numPr>
        <w:spacing w:after="120"/>
        <w:ind w:left="714" w:hanging="357"/>
        <w:rPr>
          <w:lang w:val="es-CO"/>
        </w:rPr>
      </w:pPr>
      <w:r w:rsidRPr="00565A54">
        <w:rPr>
          <w:lang w:val="es-CO"/>
        </w:rPr>
        <w:t xml:space="preserve">Cuando el incumplimiento conlleve la interrupción del servicio a usuarios regulados, el valor que resulte de aplicar lo dispuesto en el numeral 4 del </w:t>
      </w:r>
      <w:r w:rsidR="00BB7212">
        <w:rPr>
          <w:lang w:val="es-CO"/>
        </w:rPr>
        <w:t>anexo</w:t>
      </w:r>
      <w:r w:rsidRPr="00565A54">
        <w:rPr>
          <w:lang w:val="es-CO"/>
        </w:rPr>
        <w:t xml:space="preserve"> 3 de la Resolución CREG 114 de 2017</w:t>
      </w:r>
      <w:r w:rsidR="00946B69">
        <w:rPr>
          <w:lang w:val="es-CO"/>
        </w:rPr>
        <w:t>, o aquellas que la modifiquen o sustituyan</w:t>
      </w:r>
      <w:r w:rsidRPr="00565A54">
        <w:rPr>
          <w:lang w:val="es-CO"/>
        </w:rPr>
        <w:t>.</w:t>
      </w:r>
    </w:p>
    <w:p w14:paraId="1EF38BFB" w14:textId="77777777" w:rsidR="003F10A2" w:rsidRPr="004B5A38" w:rsidRDefault="003F10A2" w:rsidP="004B5A38">
      <w:pPr>
        <w:ind w:left="0"/>
        <w:jc w:val="both"/>
        <w:rPr>
          <w:rFonts w:ascii="Bookman Old Style" w:hAnsi="Bookman Old Style" w:cs="Arial"/>
          <w:color w:val="000000" w:themeColor="text1"/>
        </w:rPr>
      </w:pPr>
    </w:p>
    <w:p w14:paraId="2EA72691" w14:textId="7530AC31" w:rsidR="00FF4EED" w:rsidRDefault="003F10A2" w:rsidP="002A49F8">
      <w:pPr>
        <w:autoSpaceDE w:val="0"/>
        <w:autoSpaceDN w:val="0"/>
        <w:adjustRightInd w:val="0"/>
        <w:ind w:left="0"/>
        <w:jc w:val="both"/>
        <w:rPr>
          <w:rFonts w:ascii="Bookman Old Style" w:hAnsi="Bookman Old Style" w:cs="Arial"/>
          <w:color w:val="000000" w:themeColor="text1"/>
        </w:rPr>
      </w:pPr>
      <w:r w:rsidRPr="001767F6">
        <w:rPr>
          <w:rFonts w:ascii="Bookman Old Style" w:hAnsi="Bookman Old Style" w:cs="Arial"/>
          <w:color w:val="000000" w:themeColor="text1"/>
        </w:rPr>
        <w:t xml:space="preserve">Si el comprador incumple su obligación de pagar </w:t>
      </w:r>
      <w:r w:rsidR="001767F6" w:rsidRPr="001767F6">
        <w:rPr>
          <w:rFonts w:ascii="Bookman Old Style" w:hAnsi="Bookman Old Style" w:cs="Arial"/>
          <w:color w:val="000000" w:themeColor="text1"/>
        </w:rPr>
        <w:t xml:space="preserve">capacidad </w:t>
      </w:r>
      <w:r w:rsidR="00946B69">
        <w:rPr>
          <w:rFonts w:ascii="Bookman Old Style" w:hAnsi="Bookman Old Style" w:cs="Arial"/>
          <w:color w:val="000000" w:themeColor="text1"/>
        </w:rPr>
        <w:t xml:space="preserve">contratada </w:t>
      </w:r>
      <w:r w:rsidR="001767F6" w:rsidRPr="001767F6">
        <w:rPr>
          <w:rFonts w:ascii="Bookman Old Style" w:hAnsi="Bookman Old Style" w:cs="Arial"/>
          <w:color w:val="000000" w:themeColor="text1"/>
        </w:rPr>
        <w:t xml:space="preserve">de la </w:t>
      </w:r>
      <w:r w:rsidR="00946B69">
        <w:rPr>
          <w:rFonts w:ascii="Bookman Old Style" w:hAnsi="Bookman Old Style" w:cs="Arial"/>
          <w:color w:val="000000" w:themeColor="text1"/>
        </w:rPr>
        <w:t>infraestructura de importación de gas del Pacífico</w:t>
      </w:r>
      <w:r w:rsidRPr="001767F6">
        <w:rPr>
          <w:rFonts w:ascii="Bookman Old Style" w:hAnsi="Bookman Old Style" w:cs="Arial"/>
          <w:color w:val="000000" w:themeColor="text1"/>
        </w:rPr>
        <w:t xml:space="preserve">, el </w:t>
      </w:r>
      <w:r w:rsidR="00282865">
        <w:rPr>
          <w:rFonts w:ascii="Bookman Old Style" w:hAnsi="Bookman Old Style" w:cs="Arial"/>
          <w:color w:val="000000" w:themeColor="text1"/>
        </w:rPr>
        <w:t xml:space="preserve">adjudicatario </w:t>
      </w:r>
      <w:r w:rsidR="008534FE">
        <w:rPr>
          <w:rFonts w:ascii="Bookman Old Style" w:hAnsi="Bookman Old Style" w:cs="Arial"/>
          <w:color w:val="000000" w:themeColor="text1"/>
        </w:rPr>
        <w:t>deberá</w:t>
      </w:r>
      <w:r w:rsidR="008534FE" w:rsidRPr="001767F6">
        <w:rPr>
          <w:rFonts w:ascii="Bookman Old Style" w:hAnsi="Bookman Old Style" w:cs="Arial"/>
          <w:color w:val="000000" w:themeColor="text1"/>
        </w:rPr>
        <w:t xml:space="preserve"> </w:t>
      </w:r>
      <w:r w:rsidRPr="001767F6">
        <w:rPr>
          <w:rFonts w:ascii="Bookman Old Style" w:hAnsi="Bookman Old Style" w:cs="Arial"/>
          <w:color w:val="000000" w:themeColor="text1"/>
        </w:rPr>
        <w:t>hacer efectivas las garantías que hayan sido pactadas en el contrato respectivo.</w:t>
      </w:r>
    </w:p>
    <w:p w14:paraId="660CF726" w14:textId="77777777" w:rsidR="00FF4EED" w:rsidRDefault="00FF4EED" w:rsidP="002A49F8">
      <w:pPr>
        <w:autoSpaceDE w:val="0"/>
        <w:autoSpaceDN w:val="0"/>
        <w:adjustRightInd w:val="0"/>
        <w:ind w:left="0"/>
        <w:jc w:val="both"/>
        <w:rPr>
          <w:rFonts w:ascii="Bookman Old Style" w:hAnsi="Bookman Old Style" w:cs="Arial"/>
          <w:color w:val="000000" w:themeColor="text1"/>
        </w:rPr>
      </w:pPr>
    </w:p>
    <w:p w14:paraId="004DF0DB" w14:textId="579A9E38" w:rsidR="003F10A2" w:rsidRDefault="00FF4EED" w:rsidP="002A49F8">
      <w:pPr>
        <w:autoSpaceDE w:val="0"/>
        <w:autoSpaceDN w:val="0"/>
        <w:adjustRightInd w:val="0"/>
        <w:ind w:left="0"/>
        <w:jc w:val="both"/>
        <w:rPr>
          <w:rFonts w:ascii="Bookman Old Style" w:hAnsi="Bookman Old Style" w:cs="Arial"/>
          <w:color w:val="000000" w:themeColor="text1"/>
        </w:rPr>
      </w:pPr>
      <w:r w:rsidRPr="0032764B">
        <w:rPr>
          <w:rFonts w:ascii="Bookman Old Style" w:hAnsi="Bookman Old Style" w:cs="Arial"/>
          <w:b/>
          <w:color w:val="000000" w:themeColor="text1"/>
        </w:rPr>
        <w:t>Parágrafo.</w:t>
      </w:r>
      <w:r>
        <w:rPr>
          <w:rFonts w:ascii="Bookman Old Style" w:hAnsi="Bookman Old Style" w:cs="Arial"/>
          <w:color w:val="000000" w:themeColor="text1"/>
        </w:rPr>
        <w:t xml:space="preserve"> </w:t>
      </w:r>
      <w:r w:rsidR="002928BD">
        <w:rPr>
          <w:rFonts w:ascii="Bookman Old Style" w:hAnsi="Bookman Old Style" w:cs="Arial"/>
          <w:color w:val="000000" w:themeColor="text1"/>
        </w:rPr>
        <w:t>Para el caso de la planta de regasificación el incumplimiento relacionado debe entenderse con respecto a la actividad de regasificación.</w:t>
      </w:r>
      <w:r w:rsidR="003F10A2" w:rsidRPr="001767F6">
        <w:rPr>
          <w:rFonts w:ascii="Bookman Old Style" w:hAnsi="Bookman Old Style" w:cs="Arial"/>
          <w:color w:val="000000" w:themeColor="text1"/>
        </w:rPr>
        <w:t xml:space="preserve"> </w:t>
      </w:r>
    </w:p>
    <w:p w14:paraId="711D0AD8" w14:textId="77777777" w:rsidR="00950AB7" w:rsidRDefault="00950AB7" w:rsidP="003D267D">
      <w:pPr>
        <w:pStyle w:val="Estilo1"/>
        <w:rPr>
          <w:lang w:val="es-CO"/>
        </w:rPr>
      </w:pPr>
    </w:p>
    <w:p w14:paraId="0235F4D6" w14:textId="77777777" w:rsidR="00BF0446" w:rsidRDefault="00F87804" w:rsidP="002A49F8">
      <w:pPr>
        <w:pStyle w:val="ARTICULOS"/>
        <w:ind w:left="0"/>
      </w:pPr>
      <w:r>
        <w:rPr>
          <w:b/>
        </w:rPr>
        <w:t xml:space="preserve">Cargo </w:t>
      </w:r>
      <w:r w:rsidR="00BF0446" w:rsidRPr="002A49F8">
        <w:rPr>
          <w:b/>
        </w:rPr>
        <w:t>para los usuarios beneficiarios.</w:t>
      </w:r>
      <w:r w:rsidR="00BF0446">
        <w:t xml:space="preserve"> </w:t>
      </w:r>
      <w:r>
        <w:t>El</w:t>
      </w:r>
      <w:r w:rsidR="00BF0446" w:rsidRPr="002A49F8">
        <w:t xml:space="preserve"> </w:t>
      </w:r>
      <w:r>
        <w:t>cargo</w:t>
      </w:r>
      <w:r w:rsidR="00BF0446" w:rsidRPr="002A49F8">
        <w:t xml:space="preserve"> que deberán pagar los usuarios identificados por la UPME como beneficiarios de la infraestructura</w:t>
      </w:r>
      <w:r w:rsidR="002A247A">
        <w:t xml:space="preserve"> </w:t>
      </w:r>
      <w:r w:rsidR="00CD3626">
        <w:t>se establecerá como</w:t>
      </w:r>
      <w:r w:rsidR="002A247A">
        <w:t xml:space="preserve"> parte de la metodología de remuneración de la actividad de transporte </w:t>
      </w:r>
      <w:r w:rsidR="00BE2910">
        <w:t xml:space="preserve">y este cargo será disminuido con </w:t>
      </w:r>
      <w:r w:rsidR="002A247A">
        <w:t>los valores que se recauden por los servicios de las instalaciones de la infraestructura.</w:t>
      </w:r>
    </w:p>
    <w:p w14:paraId="6AFE6CAA" w14:textId="77777777" w:rsidR="00935D0C" w:rsidRPr="002A49F8" w:rsidRDefault="00935D0C" w:rsidP="00935D0C">
      <w:pPr>
        <w:pStyle w:val="Estilo1"/>
      </w:pPr>
    </w:p>
    <w:p w14:paraId="3D9B9512" w14:textId="77777777" w:rsidR="00CA6FEA" w:rsidRDefault="00CA6FEA" w:rsidP="002A49F8">
      <w:pPr>
        <w:pStyle w:val="ARTICULOS"/>
        <w:ind w:left="0"/>
      </w:pPr>
      <w:r w:rsidRPr="002A49F8">
        <w:rPr>
          <w:b/>
        </w:rPr>
        <w:t xml:space="preserve">Cargo por uso </w:t>
      </w:r>
      <w:r>
        <w:rPr>
          <w:b/>
        </w:rPr>
        <w:t>a los compradores de los servicios.</w:t>
      </w:r>
      <w:r w:rsidR="006A61F1">
        <w:t xml:space="preserve"> Los compradores de </w:t>
      </w:r>
      <w:r w:rsidR="00394370">
        <w:t>servicios de las instalaciones de la infraestructura deberán pagar el cargo por uso que se obtiene de la aplicación de la siguiente expresión:</w:t>
      </w:r>
    </w:p>
    <w:p w14:paraId="14B29FE5" w14:textId="77777777" w:rsidR="008E289B" w:rsidRDefault="008E289B">
      <w:pPr>
        <w:pStyle w:val="Estilo1"/>
      </w:pPr>
    </w:p>
    <w:p w14:paraId="23ACCB31" w14:textId="77777777" w:rsidR="008E289B" w:rsidRDefault="008E289B">
      <w:pPr>
        <w:pStyle w:val="Estilo1"/>
      </w:pPr>
    </w:p>
    <w:p w14:paraId="36FBD6B7" w14:textId="77777777" w:rsidR="007D678A" w:rsidRPr="007D678A" w:rsidRDefault="00B4212D">
      <w:pPr>
        <w:pStyle w:val="Estilo1"/>
      </w:pPr>
      <m:oMathPara>
        <m:oMath>
          <m:sSub>
            <m:sSubPr>
              <m:ctrlPr>
                <w:rPr>
                  <w:rFonts w:ascii="Cambria Math" w:hAnsi="Cambria Math"/>
                  <w:i/>
                </w:rPr>
              </m:ctrlPr>
            </m:sSubPr>
            <m:e>
              <m:r>
                <w:rPr>
                  <w:rFonts w:ascii="Cambria Math" w:hAnsi="Cambria Math"/>
                </w:rPr>
                <m:t>PC</m:t>
              </m:r>
            </m:e>
            <m:sub>
              <m:r>
                <w:rPr>
                  <w:rFonts w:ascii="Cambria Math" w:hAnsi="Cambria Math"/>
                </w:rPr>
                <m:t>c,i,t</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CF</m:t>
                  </m:r>
                </m:e>
                <m:sub>
                  <m:r>
                    <w:rPr>
                      <w:rFonts w:ascii="Cambria Math" w:hAnsi="Cambria Math"/>
                    </w:rPr>
                    <m:t>c,i,t</m:t>
                  </m:r>
                </m:sub>
              </m:sSub>
              <m:r>
                <w:rPr>
                  <w:rFonts w:ascii="Cambria Math" w:hAnsi="Cambria Math"/>
                </w:rPr>
                <m:t xml:space="preserve"> × </m:t>
              </m:r>
              <m:sSub>
                <m:sSubPr>
                  <m:ctrlPr>
                    <w:rPr>
                      <w:rFonts w:ascii="Cambria Math" w:hAnsi="Cambria Math"/>
                      <w:i/>
                    </w:rPr>
                  </m:ctrlPr>
                </m:sSubPr>
                <m:e>
                  <m:r>
                    <w:rPr>
                      <w:rFonts w:ascii="Cambria Math" w:hAnsi="Cambria Math"/>
                    </w:rPr>
                    <m:t>CC</m:t>
                  </m:r>
                </m:e>
                <m:sub>
                  <m:r>
                    <w:rPr>
                      <w:rFonts w:ascii="Cambria Math" w:hAnsi="Cambria Math"/>
                    </w:rPr>
                    <m:t>c,i,t</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CV</m:t>
                  </m:r>
                </m:e>
                <m:sub>
                  <m:r>
                    <w:rPr>
                      <w:rFonts w:ascii="Cambria Math" w:hAnsi="Cambria Math"/>
                    </w:rPr>
                    <m:t>c,i,t</m:t>
                  </m:r>
                </m:sub>
              </m:sSub>
              <m:r>
                <w:rPr>
                  <w:rFonts w:ascii="Cambria Math" w:hAnsi="Cambria Math"/>
                </w:rPr>
                <m:t xml:space="preserve"> × </m:t>
              </m:r>
              <m:sSub>
                <m:sSubPr>
                  <m:ctrlPr>
                    <w:rPr>
                      <w:rFonts w:ascii="Cambria Math" w:hAnsi="Cambria Math"/>
                      <w:i/>
                    </w:rPr>
                  </m:ctrlPr>
                </m:sSubPr>
                <m:e>
                  <m:r>
                    <w:rPr>
                      <w:rFonts w:ascii="Cambria Math" w:hAnsi="Cambria Math"/>
                    </w:rPr>
                    <m:t>CD</m:t>
                  </m:r>
                </m:e>
                <m:sub>
                  <m:r>
                    <w:rPr>
                      <w:rFonts w:ascii="Cambria Math" w:hAnsi="Cambria Math"/>
                    </w:rPr>
                    <m:t>c,i,t</m:t>
                  </m:r>
                </m:sub>
              </m:sSub>
            </m:e>
          </m:d>
        </m:oMath>
      </m:oMathPara>
    </w:p>
    <w:p w14:paraId="766901FE" w14:textId="77777777" w:rsidR="007D678A" w:rsidRDefault="007D678A" w:rsidP="007D678A">
      <w:pPr>
        <w:pStyle w:val="Estilo1"/>
      </w:pPr>
    </w:p>
    <w:p w14:paraId="357E7379" w14:textId="77777777" w:rsidR="007D678A" w:rsidRDefault="00B4212D" w:rsidP="007D678A">
      <w:pPr>
        <w:pStyle w:val="Estilo1"/>
      </w:pPr>
      <m:oMathPara>
        <m:oMath>
          <m:sSub>
            <m:sSubPr>
              <m:ctrlPr>
                <w:rPr>
                  <w:rFonts w:ascii="Cambria Math" w:hAnsi="Cambria Math"/>
                  <w:i/>
                </w:rPr>
              </m:ctrlPr>
            </m:sSubPr>
            <m:e>
              <m:r>
                <w:rPr>
                  <w:rFonts w:ascii="Cambria Math" w:hAnsi="Cambria Math"/>
                </w:rPr>
                <m:t>CF</m:t>
              </m:r>
            </m:e>
            <m:sub>
              <m:r>
                <w:rPr>
                  <w:rFonts w:ascii="Cambria Math" w:hAnsi="Cambria Math"/>
                </w:rPr>
                <m:t>c,i,t</m:t>
              </m:r>
            </m:sub>
          </m:sSub>
          <m:r>
            <w:rPr>
              <w:rFonts w:ascii="Cambria Math" w:hAnsi="Cambria Math"/>
            </w:rPr>
            <m:t xml:space="preserve">= </m:t>
          </m:r>
          <m:f>
            <m:fPr>
              <m:ctrlPr>
                <w:rPr>
                  <w:rFonts w:ascii="Cambria Math" w:hAnsi="Cambria Math"/>
                  <w:i/>
                </w:rPr>
              </m:ctrlPr>
            </m:fPr>
            <m:num>
              <m:r>
                <w:rPr>
                  <w:rFonts w:ascii="Cambria Math" w:hAnsi="Cambria Math"/>
                </w:rPr>
                <m:t xml:space="preserve">θ × </m:t>
              </m:r>
              <m:sSub>
                <m:sSubPr>
                  <m:ctrlPr>
                    <w:rPr>
                      <w:rFonts w:ascii="Cambria Math" w:hAnsi="Cambria Math"/>
                      <w:i/>
                    </w:rPr>
                  </m:ctrlPr>
                </m:sSubPr>
                <m:e>
                  <m:r>
                    <w:rPr>
                      <w:rFonts w:ascii="Cambria Math" w:hAnsi="Cambria Math"/>
                    </w:rPr>
                    <m:t>IAE</m:t>
                  </m:r>
                </m:e>
                <m:sub>
                  <m:r>
                    <w:rPr>
                      <w:rFonts w:ascii="Cambria Math" w:hAnsi="Cambria Math"/>
                    </w:rPr>
                    <m:t>i,t</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c,i,t</m:t>
                  </m:r>
                </m:sub>
              </m:sSub>
            </m:num>
            <m:den>
              <m:sSub>
                <m:sSubPr>
                  <m:ctrlPr>
                    <w:rPr>
                      <w:rFonts w:ascii="Cambria Math" w:hAnsi="Cambria Math"/>
                      <w:i/>
                    </w:rPr>
                  </m:ctrlPr>
                </m:sSubPr>
                <m:e>
                  <m:r>
                    <w:rPr>
                      <w:rFonts w:ascii="Cambria Math" w:hAnsi="Cambria Math"/>
                    </w:rPr>
                    <m:t>CC</m:t>
                  </m:r>
                </m:e>
                <m:sub>
                  <m:r>
                    <w:rPr>
                      <w:rFonts w:ascii="Cambria Math" w:hAnsi="Cambria Math"/>
                    </w:rPr>
                    <m:t>c,i,t</m:t>
                  </m:r>
                </m:sub>
              </m:sSub>
            </m:den>
          </m:f>
        </m:oMath>
      </m:oMathPara>
    </w:p>
    <w:p w14:paraId="4F20A8B8" w14:textId="77777777" w:rsidR="008E289B" w:rsidRDefault="008E289B" w:rsidP="00DA702E">
      <w:pPr>
        <w:pStyle w:val="Estilo1"/>
      </w:pPr>
    </w:p>
    <w:p w14:paraId="32F58ACA" w14:textId="77777777" w:rsidR="00DA702E" w:rsidRPr="002A49F8" w:rsidRDefault="00B4212D">
      <w:pPr>
        <w:pStyle w:val="Estilo1"/>
      </w:pPr>
      <m:oMathPara>
        <m:oMath>
          <m:sSub>
            <m:sSubPr>
              <m:ctrlPr>
                <w:rPr>
                  <w:rFonts w:ascii="Cambria Math" w:hAnsi="Cambria Math"/>
                  <w:i/>
                </w:rPr>
              </m:ctrlPr>
            </m:sSubPr>
            <m:e>
              <m:r>
                <w:rPr>
                  <w:rFonts w:ascii="Cambria Math" w:hAnsi="Cambria Math"/>
                </w:rPr>
                <m:t>CV</m:t>
              </m:r>
            </m:e>
            <m:sub>
              <m:r>
                <w:rPr>
                  <w:rFonts w:ascii="Cambria Math" w:hAnsi="Cambria Math"/>
                </w:rPr>
                <m:t>c,i,t</m:t>
              </m:r>
            </m:sub>
          </m:sSub>
          <m:r>
            <w:rPr>
              <w:rFonts w:ascii="Cambria Math" w:hAnsi="Cambria Math"/>
            </w:rPr>
            <m:t xml:space="preserve">= </m:t>
          </m:r>
          <m:f>
            <m:fPr>
              <m:ctrlPr>
                <w:rPr>
                  <w:rFonts w:ascii="Cambria Math" w:hAnsi="Cambria Math"/>
                  <w:i/>
                </w:rPr>
              </m:ctrlPr>
            </m:fPr>
            <m:num>
              <m:d>
                <m:dPr>
                  <m:ctrlPr>
                    <w:rPr>
                      <w:rFonts w:ascii="Cambria Math" w:hAnsi="Cambria Math"/>
                      <w:i/>
                    </w:rPr>
                  </m:ctrlPr>
                </m:dPr>
                <m:e>
                  <m:r>
                    <w:rPr>
                      <w:rFonts w:ascii="Cambria Math" w:hAnsi="Cambria Math"/>
                    </w:rPr>
                    <m:t>1-θ</m:t>
                  </m:r>
                </m:e>
              </m:d>
              <m:r>
                <w:rPr>
                  <w:rFonts w:ascii="Cambria Math" w:hAnsi="Cambria Math"/>
                </w:rPr>
                <m:t xml:space="preserve"> × </m:t>
              </m:r>
              <m:sSub>
                <m:sSubPr>
                  <m:ctrlPr>
                    <w:rPr>
                      <w:rFonts w:ascii="Cambria Math" w:hAnsi="Cambria Math"/>
                      <w:i/>
                    </w:rPr>
                  </m:ctrlPr>
                </m:sSubPr>
                <m:e>
                  <m:r>
                    <w:rPr>
                      <w:rFonts w:ascii="Cambria Math" w:hAnsi="Cambria Math"/>
                    </w:rPr>
                    <m:t>IAE</m:t>
                  </m:r>
                </m:e>
                <m:sub>
                  <m:r>
                    <w:rPr>
                      <w:rFonts w:ascii="Cambria Math" w:hAnsi="Cambria Math"/>
                    </w:rPr>
                    <m:t>i,t</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c,i,t</m:t>
                  </m:r>
                </m:sub>
              </m:sSub>
            </m:num>
            <m:den>
              <m:sSub>
                <m:sSubPr>
                  <m:ctrlPr>
                    <w:rPr>
                      <w:rFonts w:ascii="Cambria Math" w:hAnsi="Cambria Math"/>
                      <w:i/>
                    </w:rPr>
                  </m:ctrlPr>
                </m:sSubPr>
                <m:e>
                  <m:r>
                    <w:rPr>
                      <w:rFonts w:ascii="Cambria Math" w:hAnsi="Cambria Math"/>
                    </w:rPr>
                    <m:t>CC</m:t>
                  </m:r>
                </m:e>
                <m:sub>
                  <m:r>
                    <w:rPr>
                      <w:rFonts w:ascii="Cambria Math" w:hAnsi="Cambria Math"/>
                    </w:rPr>
                    <m:t>c,i,t</m:t>
                  </m:r>
                </m:sub>
              </m:sSub>
            </m:den>
          </m:f>
        </m:oMath>
      </m:oMathPara>
    </w:p>
    <w:p w14:paraId="10DA2919" w14:textId="77777777" w:rsidR="00C35960" w:rsidRDefault="00C35960">
      <w:pPr>
        <w:pStyle w:val="Estilo1"/>
        <w:rPr>
          <w:lang w:val="es-CO"/>
        </w:rPr>
      </w:pPr>
    </w:p>
    <w:p w14:paraId="1C676306" w14:textId="77777777" w:rsidR="00583FCE" w:rsidRDefault="00583FCE" w:rsidP="00583FCE">
      <w:pPr>
        <w:pStyle w:val="Estilo1"/>
        <w:rPr>
          <w:lang w:val="es-CO"/>
        </w:rPr>
      </w:pPr>
      <w:r>
        <w:rPr>
          <w:lang w:val="es-CO"/>
        </w:rPr>
        <w:t>Donde:</w:t>
      </w:r>
    </w:p>
    <w:p w14:paraId="454EA6D6" w14:textId="77777777" w:rsidR="00583FCE" w:rsidRDefault="00583FCE" w:rsidP="00583FCE">
      <w:pPr>
        <w:pStyle w:val="Estilo1"/>
        <w:rPr>
          <w:lang w:val="es-CO"/>
        </w:rPr>
      </w:pPr>
    </w:p>
    <w:p w14:paraId="7563286B" w14:textId="77777777" w:rsidR="00583FCE" w:rsidRDefault="00465B23" w:rsidP="00583FCE">
      <w:pPr>
        <w:pStyle w:val="Estilo1"/>
        <w:spacing w:before="120"/>
        <w:ind w:left="1416" w:hanging="1416"/>
        <w:rPr>
          <w:i/>
          <w:lang w:val="es-CO"/>
        </w:rPr>
      </w:pPr>
      <w:proofErr w:type="spellStart"/>
      <w:proofErr w:type="gramStart"/>
      <w:r>
        <w:rPr>
          <w:i/>
          <w:lang w:val="es-CO"/>
        </w:rPr>
        <w:t>PC</w:t>
      </w:r>
      <w:r w:rsidR="00583FCE" w:rsidRPr="00AD1979">
        <w:rPr>
          <w:i/>
          <w:vertAlign w:val="subscript"/>
          <w:lang w:val="es-CO"/>
        </w:rPr>
        <w:t>,</w:t>
      </w:r>
      <w:r w:rsidR="00583FCE">
        <w:rPr>
          <w:i/>
          <w:vertAlign w:val="subscript"/>
          <w:lang w:val="es-CO"/>
        </w:rPr>
        <w:t>c</w:t>
      </w:r>
      <w:proofErr w:type="gramEnd"/>
      <w:r w:rsidR="00583FCE">
        <w:rPr>
          <w:i/>
          <w:vertAlign w:val="subscript"/>
          <w:lang w:val="es-CO"/>
        </w:rPr>
        <w:t>,</w:t>
      </w:r>
      <w:r w:rsidR="00583FCE" w:rsidRPr="00AD1979">
        <w:rPr>
          <w:i/>
          <w:vertAlign w:val="subscript"/>
          <w:lang w:val="es-CO"/>
        </w:rPr>
        <w:t>i</w:t>
      </w:r>
      <w:r w:rsidR="00583FCE">
        <w:rPr>
          <w:i/>
          <w:vertAlign w:val="subscript"/>
          <w:lang w:val="es-CO"/>
        </w:rPr>
        <w:t>,t</w:t>
      </w:r>
      <w:proofErr w:type="spellEnd"/>
      <w:r w:rsidR="00583FCE" w:rsidRPr="00AD1979">
        <w:rPr>
          <w:i/>
          <w:lang w:val="es-CO"/>
        </w:rPr>
        <w:t>:</w:t>
      </w:r>
      <w:r w:rsidR="00583FCE" w:rsidRPr="00AD1979">
        <w:rPr>
          <w:i/>
          <w:lang w:val="es-CO"/>
        </w:rPr>
        <w:tab/>
      </w:r>
      <w:r>
        <w:rPr>
          <w:lang w:val="es-CO"/>
        </w:rPr>
        <w:t xml:space="preserve">Pago total del comprador </w:t>
      </w:r>
      <w:r w:rsidRPr="004B5A38">
        <w:rPr>
          <w:i/>
          <w:lang w:val="es-CO"/>
        </w:rPr>
        <w:t>c</w:t>
      </w:r>
      <w:r>
        <w:rPr>
          <w:lang w:val="es-CO"/>
        </w:rPr>
        <w:t xml:space="preserve"> por el </w:t>
      </w:r>
      <w:r w:rsidR="00583FCE">
        <w:rPr>
          <w:lang w:val="es-CO"/>
        </w:rPr>
        <w:t xml:space="preserve">uso de la instalación </w:t>
      </w:r>
      <w:r w:rsidR="00583FCE" w:rsidRPr="002A49F8">
        <w:rPr>
          <w:i/>
          <w:lang w:val="es-CO"/>
        </w:rPr>
        <w:t>i</w:t>
      </w:r>
      <w:r w:rsidR="00583FCE">
        <w:rPr>
          <w:lang w:val="es-CO"/>
        </w:rPr>
        <w:t xml:space="preserve">, durante el año </w:t>
      </w:r>
      <w:r w:rsidR="00583FCE" w:rsidRPr="002A49F8">
        <w:rPr>
          <w:i/>
          <w:lang w:val="es-CO"/>
        </w:rPr>
        <w:t>t</w:t>
      </w:r>
      <w:r w:rsidR="00583FCE" w:rsidRPr="00C35960">
        <w:rPr>
          <w:lang w:val="es-CO"/>
        </w:rPr>
        <w:t>.</w:t>
      </w:r>
      <w:r w:rsidR="00583FCE">
        <w:rPr>
          <w:lang w:val="es-CO"/>
        </w:rPr>
        <w:t xml:space="preserve"> </w:t>
      </w:r>
      <w:r w:rsidR="00583FCE" w:rsidRPr="00AD1979">
        <w:rPr>
          <w:i/>
          <w:lang w:val="es-CO"/>
        </w:rPr>
        <w:t>[COP]</w:t>
      </w:r>
    </w:p>
    <w:p w14:paraId="7812986A" w14:textId="77777777" w:rsidR="0064389B" w:rsidRDefault="0064389B" w:rsidP="0064389B">
      <w:pPr>
        <w:pStyle w:val="Estilo1"/>
        <w:spacing w:before="120"/>
        <w:ind w:left="1416" w:hanging="1416"/>
        <w:rPr>
          <w:i/>
          <w:lang w:val="es-CO"/>
        </w:rPr>
      </w:pPr>
      <w:proofErr w:type="spellStart"/>
      <w:proofErr w:type="gramStart"/>
      <w:r>
        <w:rPr>
          <w:i/>
          <w:lang w:val="es-CO"/>
        </w:rPr>
        <w:t>CF</w:t>
      </w:r>
      <w:r w:rsidRPr="00AD1979">
        <w:rPr>
          <w:i/>
          <w:vertAlign w:val="subscript"/>
          <w:lang w:val="es-CO"/>
        </w:rPr>
        <w:t>,</w:t>
      </w:r>
      <w:r>
        <w:rPr>
          <w:i/>
          <w:vertAlign w:val="subscript"/>
          <w:lang w:val="es-CO"/>
        </w:rPr>
        <w:t>c</w:t>
      </w:r>
      <w:proofErr w:type="gramEnd"/>
      <w:r>
        <w:rPr>
          <w:i/>
          <w:vertAlign w:val="subscript"/>
          <w:lang w:val="es-CO"/>
        </w:rPr>
        <w:t>,</w:t>
      </w:r>
      <w:r w:rsidRPr="00AD1979">
        <w:rPr>
          <w:i/>
          <w:vertAlign w:val="subscript"/>
          <w:lang w:val="es-CO"/>
        </w:rPr>
        <w:t>i</w:t>
      </w:r>
      <w:r>
        <w:rPr>
          <w:i/>
          <w:vertAlign w:val="subscript"/>
          <w:lang w:val="es-CO"/>
        </w:rPr>
        <w:t>,t</w:t>
      </w:r>
      <w:proofErr w:type="spellEnd"/>
      <w:r w:rsidRPr="00AD1979">
        <w:rPr>
          <w:i/>
          <w:lang w:val="es-CO"/>
        </w:rPr>
        <w:t>:</w:t>
      </w:r>
      <w:r>
        <w:rPr>
          <w:i/>
          <w:lang w:val="es-CO"/>
        </w:rPr>
        <w:tab/>
      </w:r>
      <w:r>
        <w:rPr>
          <w:lang w:val="es-CO"/>
        </w:rPr>
        <w:t>Cargo fijo por unidad de capacidad contratada del</w:t>
      </w:r>
      <w:r w:rsidRPr="0064389B">
        <w:rPr>
          <w:lang w:val="es-CO"/>
        </w:rPr>
        <w:t xml:space="preserve"> </w:t>
      </w:r>
      <w:r>
        <w:rPr>
          <w:lang w:val="es-CO"/>
        </w:rPr>
        <w:t xml:space="preserve">comprador </w:t>
      </w:r>
      <w:r w:rsidRPr="004B5A38">
        <w:rPr>
          <w:i/>
          <w:lang w:val="es-CO"/>
        </w:rPr>
        <w:t>c</w:t>
      </w:r>
      <w:r>
        <w:rPr>
          <w:lang w:val="es-CO"/>
        </w:rPr>
        <w:t xml:space="preserve"> por el uso de la instalación </w:t>
      </w:r>
      <w:r w:rsidRPr="002A49F8">
        <w:rPr>
          <w:i/>
          <w:lang w:val="es-CO"/>
        </w:rPr>
        <w:t>i</w:t>
      </w:r>
      <w:r>
        <w:rPr>
          <w:lang w:val="es-CO"/>
        </w:rPr>
        <w:t xml:space="preserve">, durante el año </w:t>
      </w:r>
      <w:r w:rsidRPr="002A49F8">
        <w:rPr>
          <w:i/>
          <w:lang w:val="es-CO"/>
        </w:rPr>
        <w:t>t</w:t>
      </w:r>
      <w:r w:rsidRPr="00C35960">
        <w:rPr>
          <w:lang w:val="es-CO"/>
        </w:rPr>
        <w:t>.</w:t>
      </w:r>
      <w:r>
        <w:rPr>
          <w:lang w:val="es-CO"/>
        </w:rPr>
        <w:t xml:space="preserve"> </w:t>
      </w:r>
      <w:r w:rsidRPr="00AD1979">
        <w:rPr>
          <w:i/>
          <w:lang w:val="es-CO"/>
        </w:rPr>
        <w:t>[COP</w:t>
      </w:r>
      <w:r>
        <w:rPr>
          <w:i/>
          <w:lang w:val="es-CO"/>
        </w:rPr>
        <w:t xml:space="preserve"> / MPCD</w:t>
      </w:r>
      <w:r w:rsidRPr="00AD1979">
        <w:rPr>
          <w:i/>
          <w:lang w:val="es-CO"/>
        </w:rPr>
        <w:t>]</w:t>
      </w:r>
    </w:p>
    <w:p w14:paraId="7C6E0AF9" w14:textId="77777777" w:rsidR="0064389B" w:rsidRDefault="0064389B" w:rsidP="0064389B">
      <w:pPr>
        <w:pStyle w:val="Estilo1"/>
        <w:spacing w:before="120"/>
        <w:ind w:left="1416" w:hanging="1416"/>
        <w:rPr>
          <w:i/>
          <w:lang w:val="es-CO"/>
        </w:rPr>
      </w:pPr>
      <w:proofErr w:type="spellStart"/>
      <w:proofErr w:type="gramStart"/>
      <w:r>
        <w:rPr>
          <w:i/>
          <w:lang w:val="es-CO"/>
        </w:rPr>
        <w:t>CV</w:t>
      </w:r>
      <w:r w:rsidRPr="00AD1979">
        <w:rPr>
          <w:i/>
          <w:vertAlign w:val="subscript"/>
          <w:lang w:val="es-CO"/>
        </w:rPr>
        <w:t>,</w:t>
      </w:r>
      <w:r>
        <w:rPr>
          <w:i/>
          <w:vertAlign w:val="subscript"/>
          <w:lang w:val="es-CO"/>
        </w:rPr>
        <w:t>c</w:t>
      </w:r>
      <w:proofErr w:type="gramEnd"/>
      <w:r>
        <w:rPr>
          <w:i/>
          <w:vertAlign w:val="subscript"/>
          <w:lang w:val="es-CO"/>
        </w:rPr>
        <w:t>,</w:t>
      </w:r>
      <w:r w:rsidRPr="00AD1979">
        <w:rPr>
          <w:i/>
          <w:vertAlign w:val="subscript"/>
          <w:lang w:val="es-CO"/>
        </w:rPr>
        <w:t>i</w:t>
      </w:r>
      <w:r>
        <w:rPr>
          <w:i/>
          <w:vertAlign w:val="subscript"/>
          <w:lang w:val="es-CO"/>
        </w:rPr>
        <w:t>,t</w:t>
      </w:r>
      <w:proofErr w:type="spellEnd"/>
      <w:r w:rsidRPr="00AD1979">
        <w:rPr>
          <w:i/>
          <w:lang w:val="es-CO"/>
        </w:rPr>
        <w:t>:</w:t>
      </w:r>
      <w:r>
        <w:rPr>
          <w:i/>
          <w:lang w:val="es-CO"/>
        </w:rPr>
        <w:tab/>
      </w:r>
      <w:r>
        <w:rPr>
          <w:lang w:val="es-CO"/>
        </w:rPr>
        <w:t>Cargo variable por unidad de capacidad utilizada del</w:t>
      </w:r>
      <w:r w:rsidRPr="0064389B">
        <w:rPr>
          <w:lang w:val="es-CO"/>
        </w:rPr>
        <w:t xml:space="preserve"> </w:t>
      </w:r>
      <w:r>
        <w:rPr>
          <w:lang w:val="es-CO"/>
        </w:rPr>
        <w:t xml:space="preserve">comprador </w:t>
      </w:r>
      <w:r w:rsidRPr="004B5A38">
        <w:rPr>
          <w:i/>
          <w:lang w:val="es-CO"/>
        </w:rPr>
        <w:t>c</w:t>
      </w:r>
      <w:r>
        <w:rPr>
          <w:lang w:val="es-CO"/>
        </w:rPr>
        <w:t xml:space="preserve"> por el uso de la instalación </w:t>
      </w:r>
      <w:r w:rsidRPr="002A49F8">
        <w:rPr>
          <w:i/>
          <w:lang w:val="es-CO"/>
        </w:rPr>
        <w:t>i</w:t>
      </w:r>
      <w:r>
        <w:rPr>
          <w:lang w:val="es-CO"/>
        </w:rPr>
        <w:t xml:space="preserve">, durante el año </w:t>
      </w:r>
      <w:r w:rsidRPr="002A49F8">
        <w:rPr>
          <w:i/>
          <w:lang w:val="es-CO"/>
        </w:rPr>
        <w:t>t</w:t>
      </w:r>
      <w:r w:rsidRPr="00C35960">
        <w:rPr>
          <w:lang w:val="es-CO"/>
        </w:rPr>
        <w:t>.</w:t>
      </w:r>
      <w:r>
        <w:rPr>
          <w:lang w:val="es-CO"/>
        </w:rPr>
        <w:t xml:space="preserve"> </w:t>
      </w:r>
      <w:r w:rsidRPr="00AD1979">
        <w:rPr>
          <w:i/>
          <w:lang w:val="es-CO"/>
        </w:rPr>
        <w:t>[COP</w:t>
      </w:r>
      <w:r>
        <w:rPr>
          <w:i/>
          <w:lang w:val="es-CO"/>
        </w:rPr>
        <w:t xml:space="preserve"> / MPCD</w:t>
      </w:r>
      <w:r w:rsidRPr="00AD1979">
        <w:rPr>
          <w:i/>
          <w:lang w:val="es-CO"/>
        </w:rPr>
        <w:t>]</w:t>
      </w:r>
    </w:p>
    <w:p w14:paraId="24A7E506" w14:textId="77777777" w:rsidR="0064389B" w:rsidRDefault="0064389B" w:rsidP="0064389B">
      <w:pPr>
        <w:pStyle w:val="Estilo1"/>
        <w:spacing w:before="120"/>
        <w:ind w:left="1416" w:hanging="1416"/>
        <w:rPr>
          <w:i/>
          <w:lang w:val="es-CO"/>
        </w:rPr>
      </w:pPr>
      <w:proofErr w:type="spellStart"/>
      <w:proofErr w:type="gramStart"/>
      <w:r>
        <w:rPr>
          <w:i/>
          <w:lang w:val="es-CO"/>
        </w:rPr>
        <w:t>CD</w:t>
      </w:r>
      <w:r w:rsidRPr="00AD1979">
        <w:rPr>
          <w:i/>
          <w:vertAlign w:val="subscript"/>
          <w:lang w:val="es-CO"/>
        </w:rPr>
        <w:t>,</w:t>
      </w:r>
      <w:r>
        <w:rPr>
          <w:i/>
          <w:vertAlign w:val="subscript"/>
          <w:lang w:val="es-CO"/>
        </w:rPr>
        <w:t>c</w:t>
      </w:r>
      <w:proofErr w:type="gramEnd"/>
      <w:r>
        <w:rPr>
          <w:i/>
          <w:vertAlign w:val="subscript"/>
          <w:lang w:val="es-CO"/>
        </w:rPr>
        <w:t>,</w:t>
      </w:r>
      <w:r w:rsidRPr="00AD1979">
        <w:rPr>
          <w:i/>
          <w:vertAlign w:val="subscript"/>
          <w:lang w:val="es-CO"/>
        </w:rPr>
        <w:t>i</w:t>
      </w:r>
      <w:r>
        <w:rPr>
          <w:i/>
          <w:vertAlign w:val="subscript"/>
          <w:lang w:val="es-CO"/>
        </w:rPr>
        <w:t>,t</w:t>
      </w:r>
      <w:proofErr w:type="spellEnd"/>
      <w:r w:rsidRPr="00AD1979">
        <w:rPr>
          <w:i/>
          <w:lang w:val="es-CO"/>
        </w:rPr>
        <w:t>:</w:t>
      </w:r>
      <w:r>
        <w:rPr>
          <w:i/>
          <w:lang w:val="es-CO"/>
        </w:rPr>
        <w:tab/>
        <w:t>C</w:t>
      </w:r>
      <w:r>
        <w:rPr>
          <w:lang w:val="es-CO"/>
        </w:rPr>
        <w:t>apacidad utilizada del</w:t>
      </w:r>
      <w:r w:rsidRPr="0064389B">
        <w:rPr>
          <w:lang w:val="es-CO"/>
        </w:rPr>
        <w:t xml:space="preserve"> </w:t>
      </w:r>
      <w:r>
        <w:rPr>
          <w:lang w:val="es-CO"/>
        </w:rPr>
        <w:t xml:space="preserve">comprador </w:t>
      </w:r>
      <w:r w:rsidRPr="004B5A38">
        <w:rPr>
          <w:i/>
          <w:lang w:val="es-CO"/>
        </w:rPr>
        <w:t>c</w:t>
      </w:r>
      <w:r>
        <w:rPr>
          <w:lang w:val="es-CO"/>
        </w:rPr>
        <w:t xml:space="preserve"> por el uso de la instalación </w:t>
      </w:r>
      <w:r w:rsidRPr="002A49F8">
        <w:rPr>
          <w:i/>
          <w:lang w:val="es-CO"/>
        </w:rPr>
        <w:t>i</w:t>
      </w:r>
      <w:r>
        <w:rPr>
          <w:lang w:val="es-CO"/>
        </w:rPr>
        <w:t xml:space="preserve">, durante el año </w:t>
      </w:r>
      <w:r w:rsidRPr="002A49F8">
        <w:rPr>
          <w:i/>
          <w:lang w:val="es-CO"/>
        </w:rPr>
        <w:t>t</w:t>
      </w:r>
      <w:r w:rsidRPr="00C35960">
        <w:rPr>
          <w:lang w:val="es-CO"/>
        </w:rPr>
        <w:t>.</w:t>
      </w:r>
      <w:r>
        <w:rPr>
          <w:lang w:val="es-CO"/>
        </w:rPr>
        <w:t xml:space="preserve"> </w:t>
      </w:r>
      <w:r w:rsidRPr="00AD1979">
        <w:rPr>
          <w:i/>
          <w:lang w:val="es-CO"/>
        </w:rPr>
        <w:t>[COP</w:t>
      </w:r>
      <w:r>
        <w:rPr>
          <w:i/>
          <w:lang w:val="es-CO"/>
        </w:rPr>
        <w:t xml:space="preserve"> / MPCD</w:t>
      </w:r>
      <w:r w:rsidRPr="00AD1979">
        <w:rPr>
          <w:i/>
          <w:lang w:val="es-CO"/>
        </w:rPr>
        <w:t>]</w:t>
      </w:r>
    </w:p>
    <w:p w14:paraId="5809E6AD" w14:textId="2FA3F5EA" w:rsidR="0064389B" w:rsidRPr="0064389B" w:rsidRDefault="0064389B" w:rsidP="0064389B">
      <w:pPr>
        <w:pStyle w:val="Estilo1"/>
        <w:spacing w:before="120"/>
        <w:ind w:left="1416" w:hanging="1416"/>
        <w:rPr>
          <w:lang w:val="es-CO"/>
        </w:rPr>
      </w:pPr>
      <w:r>
        <w:rPr>
          <w:i/>
          <w:lang w:val="es-CO"/>
        </w:rPr>
        <w:t>θ</w:t>
      </w:r>
      <w:r w:rsidRPr="00AD1979">
        <w:rPr>
          <w:i/>
          <w:lang w:val="es-CO"/>
        </w:rPr>
        <w:t>:</w:t>
      </w:r>
      <w:r>
        <w:rPr>
          <w:i/>
          <w:lang w:val="es-CO"/>
        </w:rPr>
        <w:tab/>
      </w:r>
      <w:r>
        <w:rPr>
          <w:lang w:val="es-CO"/>
        </w:rPr>
        <w:t xml:space="preserve">Parte fija del cargo que corresponde a </w:t>
      </w:r>
      <w:r w:rsidR="004B5A38">
        <w:rPr>
          <w:lang w:val="es-CO"/>
        </w:rPr>
        <w:t xml:space="preserve">alguno de </w:t>
      </w:r>
      <w:r>
        <w:rPr>
          <w:lang w:val="es-CO"/>
        </w:rPr>
        <w:t>los siguientes valores 0,50; 0,60; 0,70; 0,80; 0,90 y 1.</w:t>
      </w:r>
    </w:p>
    <w:p w14:paraId="0EE37057" w14:textId="60EA0426" w:rsidR="00583FCE" w:rsidRDefault="00583FCE" w:rsidP="00583FCE">
      <w:pPr>
        <w:pStyle w:val="Estilo1"/>
        <w:spacing w:before="120"/>
        <w:ind w:left="1416" w:hanging="1416"/>
        <w:rPr>
          <w:lang w:val="es-CO"/>
        </w:rPr>
      </w:pPr>
      <w:proofErr w:type="spellStart"/>
      <w:proofErr w:type="gramStart"/>
      <w:r w:rsidRPr="00AD1979">
        <w:rPr>
          <w:i/>
          <w:lang w:val="es-CO"/>
        </w:rPr>
        <w:t>IAE</w:t>
      </w:r>
      <w:r w:rsidRPr="00AD1979">
        <w:rPr>
          <w:i/>
          <w:vertAlign w:val="subscript"/>
          <w:lang w:val="es-CO"/>
        </w:rPr>
        <w:t>i</w:t>
      </w:r>
      <w:r>
        <w:rPr>
          <w:i/>
          <w:vertAlign w:val="subscript"/>
          <w:lang w:val="es-CO"/>
        </w:rPr>
        <w:t>,t</w:t>
      </w:r>
      <w:proofErr w:type="spellEnd"/>
      <w:proofErr w:type="gramEnd"/>
      <w:r w:rsidRPr="00AD1979">
        <w:rPr>
          <w:i/>
          <w:lang w:val="es-CO"/>
        </w:rPr>
        <w:t>:</w:t>
      </w:r>
      <w:r w:rsidRPr="00AD1979">
        <w:rPr>
          <w:i/>
          <w:lang w:val="es-CO"/>
        </w:rPr>
        <w:tab/>
      </w:r>
      <w:r w:rsidR="004B5A38">
        <w:rPr>
          <w:lang w:val="es-CO"/>
        </w:rPr>
        <w:t>Ingreso anual e</w:t>
      </w:r>
      <w:r w:rsidRPr="00C35960">
        <w:rPr>
          <w:lang w:val="es-CO"/>
        </w:rPr>
        <w:t xml:space="preserve">sperado para la remuneración de la instalación </w:t>
      </w:r>
      <w:r w:rsidRPr="00AD1979">
        <w:rPr>
          <w:i/>
          <w:lang w:val="es-CO"/>
        </w:rPr>
        <w:t>i</w:t>
      </w:r>
      <w:r>
        <w:rPr>
          <w:i/>
          <w:lang w:val="es-CO"/>
        </w:rPr>
        <w:t xml:space="preserve">, </w:t>
      </w:r>
      <w:r w:rsidRPr="00AD1979">
        <w:rPr>
          <w:lang w:val="es-CO"/>
        </w:rPr>
        <w:t>durante el año</w:t>
      </w:r>
      <w:r>
        <w:rPr>
          <w:i/>
          <w:lang w:val="es-CO"/>
        </w:rPr>
        <w:t xml:space="preserve"> t</w:t>
      </w:r>
      <w:r w:rsidRPr="00C35960">
        <w:rPr>
          <w:lang w:val="es-CO"/>
        </w:rPr>
        <w:t>.</w:t>
      </w:r>
      <w:r>
        <w:rPr>
          <w:lang w:val="es-CO"/>
        </w:rPr>
        <w:t xml:space="preserve"> </w:t>
      </w:r>
      <w:r w:rsidR="0064389B">
        <w:rPr>
          <w:i/>
          <w:lang w:val="es-CO"/>
        </w:rPr>
        <w:t>[COP</w:t>
      </w:r>
      <w:r w:rsidRPr="00AD1979">
        <w:rPr>
          <w:i/>
          <w:lang w:val="es-CO"/>
        </w:rPr>
        <w:t>]</w:t>
      </w:r>
    </w:p>
    <w:p w14:paraId="465965E3" w14:textId="77777777" w:rsidR="00583FCE" w:rsidRPr="00C35960" w:rsidRDefault="00542AF2" w:rsidP="00583FCE">
      <w:pPr>
        <w:pStyle w:val="Estilo1"/>
        <w:spacing w:before="120"/>
        <w:ind w:left="1416" w:hanging="1416"/>
        <w:rPr>
          <w:lang w:val="es-CO"/>
        </w:rPr>
      </w:pPr>
      <w:r>
        <w:rPr>
          <w:rFonts w:ascii="Times New Roman" w:hAnsi="Times New Roman"/>
          <w:i/>
          <w:lang w:val="es-CO"/>
        </w:rPr>
        <w:t>β</w:t>
      </w:r>
      <w:proofErr w:type="spellStart"/>
      <w:proofErr w:type="gramStart"/>
      <w:r>
        <w:rPr>
          <w:i/>
          <w:vertAlign w:val="subscript"/>
          <w:lang w:val="es-CO"/>
        </w:rPr>
        <w:t>c,i</w:t>
      </w:r>
      <w:proofErr w:type="gramEnd"/>
      <w:r>
        <w:rPr>
          <w:i/>
          <w:vertAlign w:val="subscript"/>
          <w:lang w:val="es-CO"/>
        </w:rPr>
        <w:t>,t</w:t>
      </w:r>
      <w:proofErr w:type="spellEnd"/>
      <w:r w:rsidR="00583FCE">
        <w:rPr>
          <w:i/>
          <w:lang w:val="es-CO"/>
        </w:rPr>
        <w:t>:</w:t>
      </w:r>
      <w:r w:rsidR="00583FCE">
        <w:rPr>
          <w:i/>
          <w:lang w:val="es-CO"/>
        </w:rPr>
        <w:tab/>
      </w:r>
      <w:r>
        <w:rPr>
          <w:lang w:val="es-CO"/>
        </w:rPr>
        <w:t xml:space="preserve">Relación entre la capacidad contratada por el comprador </w:t>
      </w:r>
      <w:r w:rsidRPr="002A49F8">
        <w:rPr>
          <w:i/>
          <w:lang w:val="es-CO"/>
        </w:rPr>
        <w:t>c</w:t>
      </w:r>
      <w:r>
        <w:rPr>
          <w:lang w:val="es-CO"/>
        </w:rPr>
        <w:t xml:space="preserve">, durante el año </w:t>
      </w:r>
      <w:r w:rsidRPr="002A49F8">
        <w:rPr>
          <w:i/>
          <w:lang w:val="es-CO"/>
        </w:rPr>
        <w:t>t</w:t>
      </w:r>
      <w:r>
        <w:rPr>
          <w:lang w:val="es-CO"/>
        </w:rPr>
        <w:t xml:space="preserve"> y la capacidad total de la instalación.</w:t>
      </w:r>
    </w:p>
    <w:p w14:paraId="6EA69CB7" w14:textId="77777777" w:rsidR="00583FCE" w:rsidRDefault="00542AF2" w:rsidP="00583FCE">
      <w:pPr>
        <w:pStyle w:val="Estilo1"/>
        <w:spacing w:before="120"/>
        <w:ind w:left="1416" w:hanging="1416"/>
        <w:rPr>
          <w:i/>
          <w:lang w:val="es-CO"/>
        </w:rPr>
      </w:pPr>
      <w:proofErr w:type="spellStart"/>
      <w:proofErr w:type="gramStart"/>
      <w:r>
        <w:rPr>
          <w:i/>
          <w:lang w:val="es-CO"/>
        </w:rPr>
        <w:t>C</w:t>
      </w:r>
      <w:r w:rsidR="00583FCE" w:rsidRPr="00AD1979">
        <w:rPr>
          <w:i/>
          <w:lang w:val="es-CO"/>
        </w:rPr>
        <w:t>C</w:t>
      </w:r>
      <w:r>
        <w:rPr>
          <w:i/>
          <w:vertAlign w:val="subscript"/>
          <w:lang w:val="es-CO"/>
        </w:rPr>
        <w:t>c,i</w:t>
      </w:r>
      <w:proofErr w:type="gramEnd"/>
      <w:r w:rsidR="00583FCE">
        <w:rPr>
          <w:i/>
          <w:vertAlign w:val="subscript"/>
          <w:lang w:val="es-CO"/>
        </w:rPr>
        <w:t>,t</w:t>
      </w:r>
      <w:proofErr w:type="spellEnd"/>
      <w:r w:rsidR="00583FCE" w:rsidRPr="00AD1979">
        <w:rPr>
          <w:i/>
          <w:lang w:val="es-CO"/>
        </w:rPr>
        <w:t>:</w:t>
      </w:r>
      <w:r w:rsidR="00583FCE" w:rsidRPr="00AD1979">
        <w:rPr>
          <w:i/>
          <w:lang w:val="es-CO"/>
        </w:rPr>
        <w:tab/>
      </w:r>
      <w:r>
        <w:rPr>
          <w:lang w:val="es-CO"/>
        </w:rPr>
        <w:t xml:space="preserve">Capacidad contratada por el comprador </w:t>
      </w:r>
      <w:r w:rsidRPr="002A49F8">
        <w:rPr>
          <w:i/>
          <w:lang w:val="es-CO"/>
        </w:rPr>
        <w:t>c</w:t>
      </w:r>
      <w:r>
        <w:rPr>
          <w:lang w:val="es-CO"/>
        </w:rPr>
        <w:t>, con respecto a</w:t>
      </w:r>
      <w:r w:rsidR="00583FCE" w:rsidRPr="00C35960">
        <w:rPr>
          <w:lang w:val="es-CO"/>
        </w:rPr>
        <w:t xml:space="preserve"> la instalación </w:t>
      </w:r>
      <w:r w:rsidR="00583FCE" w:rsidRPr="00AD1979">
        <w:rPr>
          <w:i/>
          <w:lang w:val="es-CO"/>
        </w:rPr>
        <w:t>i</w:t>
      </w:r>
      <w:r w:rsidR="00583FCE">
        <w:rPr>
          <w:i/>
          <w:lang w:val="es-CO"/>
        </w:rPr>
        <w:t xml:space="preserve">, </w:t>
      </w:r>
      <w:r w:rsidR="00583FCE" w:rsidRPr="00AD1979">
        <w:rPr>
          <w:lang w:val="es-CO"/>
        </w:rPr>
        <w:t>durante el año</w:t>
      </w:r>
      <w:r w:rsidR="00583FCE">
        <w:rPr>
          <w:i/>
          <w:lang w:val="es-CO"/>
        </w:rPr>
        <w:t xml:space="preserve"> t.</w:t>
      </w:r>
      <w:r w:rsidR="00583FCE" w:rsidRPr="00AD1979">
        <w:rPr>
          <w:i/>
          <w:lang w:val="es-CO"/>
        </w:rPr>
        <w:t xml:space="preserve"> </w:t>
      </w:r>
      <w:r w:rsidR="00583FCE">
        <w:rPr>
          <w:i/>
          <w:lang w:val="es-CO"/>
        </w:rPr>
        <w:t>[</w:t>
      </w:r>
      <w:r w:rsidR="0064389B">
        <w:rPr>
          <w:i/>
          <w:lang w:val="es-CO"/>
        </w:rPr>
        <w:t>MPCD</w:t>
      </w:r>
      <w:r w:rsidR="00583FCE" w:rsidRPr="00E97E44">
        <w:rPr>
          <w:i/>
          <w:lang w:val="es-CO"/>
        </w:rPr>
        <w:t>]</w:t>
      </w:r>
    </w:p>
    <w:p w14:paraId="769D00AB" w14:textId="77777777" w:rsidR="001322BF" w:rsidRDefault="001322BF" w:rsidP="001322BF">
      <w:pPr>
        <w:pStyle w:val="Textoindependiente21"/>
        <w:widowControl w:val="0"/>
        <w:rPr>
          <w:rFonts w:cs="Arial"/>
          <w:color w:val="000000"/>
          <w:szCs w:val="24"/>
          <w:lang w:val="es-ES"/>
        </w:rPr>
      </w:pPr>
    </w:p>
    <w:p w14:paraId="002F9A09" w14:textId="50A71CD5" w:rsidR="001322BF" w:rsidRDefault="001322BF" w:rsidP="002A49F8">
      <w:pPr>
        <w:pStyle w:val="ARTICULOS"/>
        <w:ind w:left="0"/>
      </w:pPr>
      <w:r>
        <w:rPr>
          <w:b/>
        </w:rPr>
        <w:t xml:space="preserve">Mercado secundario. </w:t>
      </w:r>
      <w:r w:rsidR="00A673E6">
        <w:t xml:space="preserve">Los participantes del mercado primario con derechos de capacidad en la infraestructura podrán negociar sus contratos con otros agentes. </w:t>
      </w:r>
      <w:r>
        <w:t>En resolución aparte la CREG decidirá los siguientes aspectos del mercado secundario:</w:t>
      </w:r>
    </w:p>
    <w:p w14:paraId="3D34ECC3" w14:textId="77777777" w:rsidR="001322BF" w:rsidRDefault="001322BF" w:rsidP="001322BF">
      <w:pPr>
        <w:pStyle w:val="Estilo1"/>
      </w:pPr>
    </w:p>
    <w:p w14:paraId="326BD619" w14:textId="77777777" w:rsidR="001322BF" w:rsidRDefault="001322BF" w:rsidP="00CA5931">
      <w:pPr>
        <w:pStyle w:val="Estilo1"/>
        <w:numPr>
          <w:ilvl w:val="0"/>
          <w:numId w:val="30"/>
        </w:numPr>
        <w:spacing w:after="120"/>
        <w:ind w:left="714" w:hanging="357"/>
      </w:pPr>
      <w:r>
        <w:t>Participantes del mercado secundario</w:t>
      </w:r>
    </w:p>
    <w:p w14:paraId="6E015C77" w14:textId="77777777" w:rsidR="001322BF" w:rsidRDefault="001322BF" w:rsidP="00CA5931">
      <w:pPr>
        <w:pStyle w:val="Estilo1"/>
        <w:numPr>
          <w:ilvl w:val="0"/>
          <w:numId w:val="30"/>
        </w:numPr>
        <w:spacing w:after="120"/>
        <w:ind w:left="714" w:hanging="357"/>
      </w:pPr>
      <w:r>
        <w:t>Modalidades contractuales</w:t>
      </w:r>
    </w:p>
    <w:p w14:paraId="454523D6" w14:textId="05D9A074" w:rsidR="001322BF" w:rsidRDefault="00EF10FA" w:rsidP="00CA5931">
      <w:pPr>
        <w:pStyle w:val="Estilo1"/>
        <w:numPr>
          <w:ilvl w:val="0"/>
          <w:numId w:val="30"/>
        </w:numPr>
        <w:spacing w:after="120"/>
        <w:ind w:left="714" w:hanging="357"/>
      </w:pPr>
      <w:r>
        <w:t>Registro de contratos ante el G</w:t>
      </w:r>
      <w:r w:rsidR="001322BF">
        <w:t>estor del mercado</w:t>
      </w:r>
    </w:p>
    <w:p w14:paraId="087CA415" w14:textId="77777777" w:rsidR="001322BF" w:rsidRDefault="001322BF" w:rsidP="00CA5931">
      <w:pPr>
        <w:pStyle w:val="Estilo1"/>
        <w:numPr>
          <w:ilvl w:val="0"/>
          <w:numId w:val="30"/>
        </w:numPr>
        <w:spacing w:after="120"/>
        <w:ind w:left="714" w:hanging="357"/>
      </w:pPr>
      <w:r>
        <w:t>Mecanismos de negociación</w:t>
      </w:r>
    </w:p>
    <w:p w14:paraId="30AF7D37" w14:textId="77777777" w:rsidR="00161FDA" w:rsidRPr="003D267D" w:rsidRDefault="00161FDA" w:rsidP="003D267D">
      <w:pPr>
        <w:pStyle w:val="Estilo1"/>
        <w:rPr>
          <w:lang w:val="es-CO"/>
        </w:rPr>
      </w:pPr>
    </w:p>
    <w:p w14:paraId="3E671F13" w14:textId="73F5D6DE" w:rsidR="00217821" w:rsidRDefault="00D64416" w:rsidP="002A49F8">
      <w:pPr>
        <w:pStyle w:val="ARTICULOS"/>
        <w:ind w:left="0"/>
      </w:pPr>
      <w:r>
        <w:rPr>
          <w:b/>
          <w:color w:val="222222"/>
          <w:lang w:val="es-CO" w:eastAsia="es-CO"/>
        </w:rPr>
        <w:t>Cargos de transporte en el sentido Yumbo hacia Mariquita</w:t>
      </w:r>
      <w:r w:rsidR="00217821">
        <w:rPr>
          <w:b/>
          <w:color w:val="222222"/>
          <w:lang w:val="es-CO" w:eastAsia="es-CO"/>
        </w:rPr>
        <w:t xml:space="preserve">. </w:t>
      </w:r>
      <w:r w:rsidRPr="00D64416">
        <w:rPr>
          <w:color w:val="222222"/>
          <w:lang w:val="es-CO" w:eastAsia="es-CO"/>
        </w:rPr>
        <w:t>L</w:t>
      </w:r>
      <w:r>
        <w:t>a pareja de cargos</w:t>
      </w:r>
      <w:r w:rsidRPr="00D64416">
        <w:t xml:space="preserve"> </w:t>
      </w:r>
      <w:r>
        <w:t>de transporte, fijo y variable, en los tramos desde Yumbo hasta Mariquita tendrán una componente fija igual al 10%</w:t>
      </w:r>
      <w:r w:rsidRPr="002A49F8">
        <w:t>.</w:t>
      </w:r>
      <w:r>
        <w:t xml:space="preserve"> </w:t>
      </w:r>
    </w:p>
    <w:p w14:paraId="151FFBE3" w14:textId="77777777" w:rsidR="005A2A88" w:rsidRDefault="005A2A88" w:rsidP="002A49F8">
      <w:pPr>
        <w:pStyle w:val="Estilo1"/>
      </w:pPr>
    </w:p>
    <w:p w14:paraId="070F0118" w14:textId="060B8E7F" w:rsidR="005A2A88" w:rsidRDefault="00235ED9" w:rsidP="005A2A88">
      <w:pPr>
        <w:pStyle w:val="ARTICULOS"/>
        <w:ind w:left="0"/>
      </w:pPr>
      <w:r>
        <w:rPr>
          <w:b/>
          <w:color w:val="222222"/>
          <w:lang w:val="es-CO" w:eastAsia="es-CO"/>
        </w:rPr>
        <w:t>Remuneración del sistema de compresión en el sentido Yumbo hacia Mariquita</w:t>
      </w:r>
      <w:r w:rsidR="005A2A88">
        <w:rPr>
          <w:b/>
          <w:color w:val="222222"/>
          <w:lang w:val="es-CO" w:eastAsia="es-CO"/>
        </w:rPr>
        <w:t xml:space="preserve">. </w:t>
      </w:r>
      <w:r w:rsidR="005A2A88">
        <w:t>Los compradores</w:t>
      </w:r>
      <w:r w:rsidR="00CD12F0">
        <w:t xml:space="preserve"> de capacidad de la infraestructura </w:t>
      </w:r>
      <w:r w:rsidR="005A2A88">
        <w:t xml:space="preserve">que soliciten acceso </w:t>
      </w:r>
      <w:r>
        <w:t xml:space="preserve">en los tramos desde Yumbo hasta Mariquita deberán suscribir contratos firmes por el servicio de compresión </w:t>
      </w:r>
      <w:r w:rsidR="005A2A88">
        <w:t>de que trata el numeral iii del artículo 1 de la Resolución del Ministerio de Minas y Energía 40006 de enero de 2017</w:t>
      </w:r>
      <w:r>
        <w:t>, con una componente fija mínima del 50%.</w:t>
      </w:r>
    </w:p>
    <w:p w14:paraId="71FD6D7E" w14:textId="24042BE3" w:rsidR="007A05EA" w:rsidRPr="00EF36A0" w:rsidRDefault="007A05EA" w:rsidP="00B43DFD">
      <w:pPr>
        <w:pStyle w:val="Estilo1"/>
      </w:pPr>
    </w:p>
    <w:p w14:paraId="225E6F24" w14:textId="77777777" w:rsidR="00797364" w:rsidRPr="00EF36A0" w:rsidRDefault="00797364" w:rsidP="002A49F8">
      <w:pPr>
        <w:pStyle w:val="ARTICULOS"/>
        <w:ind w:left="0"/>
      </w:pPr>
      <w:r w:rsidRPr="00EF36A0">
        <w:rPr>
          <w:b/>
        </w:rPr>
        <w:lastRenderedPageBreak/>
        <w:t>Vigencia</w:t>
      </w:r>
      <w:r w:rsidRPr="00EF36A0">
        <w:t xml:space="preserve">. La presente resolución rige a partir de su publicación en el </w:t>
      </w:r>
      <w:r w:rsidRPr="00EF36A0">
        <w:rPr>
          <w:i/>
        </w:rPr>
        <w:t>Diario Oficial</w:t>
      </w:r>
      <w:r w:rsidRPr="00EF36A0">
        <w:t xml:space="preserve">. </w:t>
      </w:r>
    </w:p>
    <w:p w14:paraId="1BDA6F01" w14:textId="77777777" w:rsidR="00D91D82" w:rsidRPr="00EF36A0" w:rsidRDefault="00D91D82" w:rsidP="00684D42">
      <w:pPr>
        <w:pStyle w:val="Textoindependiente21"/>
        <w:widowControl w:val="0"/>
        <w:rPr>
          <w:rFonts w:cs="Arial"/>
          <w:color w:val="000000"/>
          <w:szCs w:val="24"/>
          <w:lang w:val="es-ES"/>
        </w:rPr>
      </w:pPr>
    </w:p>
    <w:p w14:paraId="4C1CDA2C" w14:textId="77777777" w:rsidR="00841BB7" w:rsidRPr="004B3B4B" w:rsidRDefault="00841BB7" w:rsidP="00841BB7">
      <w:pPr>
        <w:ind w:left="0"/>
        <w:jc w:val="center"/>
        <w:rPr>
          <w:rFonts w:ascii="Bookman Old Style" w:hAnsi="Bookman Old Style"/>
          <w:b/>
        </w:rPr>
      </w:pPr>
      <w:r w:rsidRPr="004B3B4B">
        <w:rPr>
          <w:rFonts w:ascii="Bookman Old Style" w:hAnsi="Bookman Old Style"/>
          <w:b/>
        </w:rPr>
        <w:t>PUBLÍQUESE Y CÚMPLASE</w:t>
      </w:r>
    </w:p>
    <w:p w14:paraId="25E13250" w14:textId="77777777" w:rsidR="00327900" w:rsidRPr="00EF36A0" w:rsidRDefault="00327900" w:rsidP="00684D42">
      <w:pPr>
        <w:pStyle w:val="Textoindependiente21"/>
        <w:widowControl w:val="0"/>
        <w:rPr>
          <w:rFonts w:cs="Arial"/>
          <w:color w:val="000000"/>
          <w:szCs w:val="24"/>
          <w:lang w:val="es-ES"/>
        </w:rPr>
      </w:pPr>
    </w:p>
    <w:p w14:paraId="4B53DC56" w14:textId="0067CE38" w:rsidR="00684D42" w:rsidRPr="00841BB7" w:rsidRDefault="0065401D" w:rsidP="00326BF3">
      <w:pPr>
        <w:pStyle w:val="Estilo8"/>
        <w:widowControl w:val="0"/>
        <w:rPr>
          <w:rFonts w:ascii="Bookman Old Style" w:hAnsi="Bookman Old Style"/>
          <w:color w:val="000000"/>
          <w:sz w:val="24"/>
          <w:szCs w:val="24"/>
        </w:rPr>
      </w:pPr>
      <w:r w:rsidRPr="00841BB7">
        <w:rPr>
          <w:rFonts w:ascii="Bookman Old Style" w:hAnsi="Bookman Old Style"/>
          <w:color w:val="000000"/>
          <w:sz w:val="24"/>
          <w:szCs w:val="24"/>
        </w:rPr>
        <w:t>Firma del proyecto</w:t>
      </w:r>
      <w:r w:rsidR="00841BB7">
        <w:rPr>
          <w:rFonts w:ascii="Bookman Old Style" w:hAnsi="Bookman Old Style"/>
          <w:color w:val="000000"/>
          <w:sz w:val="24"/>
          <w:szCs w:val="24"/>
        </w:rPr>
        <w:t>,</w:t>
      </w:r>
    </w:p>
    <w:p w14:paraId="6B38AEB3" w14:textId="426BED67" w:rsidR="001073F7" w:rsidRDefault="001073F7" w:rsidP="00326BF3">
      <w:pPr>
        <w:pStyle w:val="Estilo8"/>
        <w:widowControl w:val="0"/>
        <w:rPr>
          <w:rFonts w:ascii="Bookman Old Style" w:hAnsi="Bookman Old Style"/>
          <w:b/>
          <w:color w:val="000000"/>
          <w:sz w:val="24"/>
          <w:szCs w:val="24"/>
        </w:rPr>
      </w:pPr>
    </w:p>
    <w:p w14:paraId="417F5A3D" w14:textId="13A59D93" w:rsidR="002A49F8" w:rsidRDefault="002A49F8" w:rsidP="00326BF3">
      <w:pPr>
        <w:pStyle w:val="Estilo8"/>
        <w:widowControl w:val="0"/>
        <w:rPr>
          <w:rFonts w:ascii="Bookman Old Style" w:hAnsi="Bookman Old Style"/>
          <w:b/>
          <w:color w:val="000000"/>
          <w:sz w:val="24"/>
          <w:szCs w:val="24"/>
        </w:rPr>
      </w:pPr>
    </w:p>
    <w:p w14:paraId="539AD603" w14:textId="77777777" w:rsidR="002A49F8" w:rsidRDefault="002A49F8" w:rsidP="00326BF3">
      <w:pPr>
        <w:pStyle w:val="Estilo8"/>
        <w:widowControl w:val="0"/>
        <w:rPr>
          <w:rFonts w:ascii="Bookman Old Style" w:hAnsi="Bookman Old Style"/>
          <w:b/>
          <w:color w:val="000000"/>
          <w:sz w:val="24"/>
          <w:szCs w:val="24"/>
        </w:rPr>
      </w:pPr>
    </w:p>
    <w:p w14:paraId="7892F299" w14:textId="77777777" w:rsidR="001073F7" w:rsidRDefault="001073F7" w:rsidP="00326BF3">
      <w:pPr>
        <w:pStyle w:val="Estilo8"/>
        <w:widowControl w:val="0"/>
        <w:rPr>
          <w:rFonts w:ascii="Bookman Old Style" w:hAnsi="Bookman Old Style"/>
          <w:b/>
          <w:color w:val="000000"/>
          <w:sz w:val="24"/>
          <w:szCs w:val="24"/>
        </w:rPr>
      </w:pPr>
    </w:p>
    <w:p w14:paraId="3871D53D" w14:textId="77777777" w:rsidR="001073F7" w:rsidRDefault="001073F7" w:rsidP="00326BF3">
      <w:pPr>
        <w:pStyle w:val="Estilo8"/>
        <w:widowControl w:val="0"/>
        <w:rPr>
          <w:rFonts w:ascii="Bookman Old Style" w:hAnsi="Bookman Old Style"/>
          <w:b/>
          <w:color w:val="000000"/>
          <w:sz w:val="24"/>
          <w:szCs w:val="24"/>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1073F7" w:rsidRPr="00EF36A0" w14:paraId="5954C2EF" w14:textId="77777777" w:rsidTr="001073F7">
        <w:tc>
          <w:tcPr>
            <w:tcW w:w="4962" w:type="dxa"/>
            <w:hideMark/>
          </w:tcPr>
          <w:p w14:paraId="020E502B" w14:textId="77777777" w:rsidR="001073F7" w:rsidRPr="00EF36A0" w:rsidRDefault="001073F7" w:rsidP="001073F7">
            <w:pPr>
              <w:snapToGrid w:val="0"/>
              <w:ind w:left="0"/>
              <w:jc w:val="center"/>
              <w:rPr>
                <w:rFonts w:ascii="Bookman Old Style" w:hAnsi="Bookman Old Style" w:cs="Arial"/>
                <w:b/>
                <w:bCs/>
              </w:rPr>
            </w:pPr>
            <w:r w:rsidRPr="00EF36A0">
              <w:rPr>
                <w:rFonts w:ascii="Bookman Old Style" w:hAnsi="Bookman Old Style" w:cs="Arial"/>
                <w:b/>
                <w:bCs/>
              </w:rPr>
              <w:t xml:space="preserve">GERMÁN ARCE ZAPATA  </w:t>
            </w:r>
          </w:p>
          <w:p w14:paraId="7A262E46" w14:textId="77777777" w:rsidR="001073F7" w:rsidRPr="00EF36A0" w:rsidRDefault="001073F7" w:rsidP="001073F7">
            <w:pPr>
              <w:snapToGrid w:val="0"/>
              <w:ind w:left="0"/>
              <w:jc w:val="center"/>
              <w:rPr>
                <w:rFonts w:ascii="Bookman Old Style" w:hAnsi="Bookman Old Style" w:cs="Arial"/>
                <w:b/>
                <w:bCs/>
              </w:rPr>
            </w:pPr>
            <w:r w:rsidRPr="00EF36A0">
              <w:rPr>
                <w:rFonts w:ascii="Bookman Old Style" w:hAnsi="Bookman Old Style" w:cs="Arial"/>
              </w:rPr>
              <w:t>Ministro de Minas y Energía</w:t>
            </w:r>
          </w:p>
        </w:tc>
        <w:tc>
          <w:tcPr>
            <w:tcW w:w="4536" w:type="dxa"/>
            <w:hideMark/>
          </w:tcPr>
          <w:p w14:paraId="25CA3D87" w14:textId="77777777" w:rsidR="001073F7" w:rsidRPr="00EF36A0" w:rsidRDefault="001073F7" w:rsidP="001073F7">
            <w:pPr>
              <w:snapToGrid w:val="0"/>
              <w:ind w:left="0"/>
              <w:jc w:val="center"/>
              <w:rPr>
                <w:rFonts w:ascii="Bookman Old Style" w:hAnsi="Bookman Old Style" w:cs="Arial"/>
                <w:b/>
                <w:bCs/>
              </w:rPr>
            </w:pPr>
            <w:r w:rsidRPr="00EF36A0">
              <w:rPr>
                <w:rFonts w:ascii="Bookman Old Style" w:hAnsi="Bookman Old Style" w:cs="Arial"/>
                <w:b/>
                <w:bCs/>
              </w:rPr>
              <w:t>GERMÁN CASTRO FERREIRA</w:t>
            </w:r>
          </w:p>
          <w:p w14:paraId="5AA72574" w14:textId="77777777" w:rsidR="001073F7" w:rsidRPr="00EF36A0" w:rsidRDefault="001073F7" w:rsidP="001073F7">
            <w:pPr>
              <w:snapToGrid w:val="0"/>
              <w:ind w:left="0"/>
              <w:jc w:val="center"/>
              <w:rPr>
                <w:rFonts w:ascii="Bookman Old Style" w:hAnsi="Bookman Old Style" w:cs="Arial"/>
                <w:b/>
                <w:bCs/>
              </w:rPr>
            </w:pPr>
            <w:r w:rsidRPr="00EF36A0">
              <w:rPr>
                <w:rFonts w:ascii="Bookman Old Style" w:hAnsi="Bookman Old Style" w:cs="Arial"/>
              </w:rPr>
              <w:t>Director Ejecutivo</w:t>
            </w:r>
          </w:p>
        </w:tc>
      </w:tr>
      <w:tr w:rsidR="001073F7" w:rsidRPr="00C2343E" w14:paraId="59317FE9" w14:textId="77777777" w:rsidTr="001073F7">
        <w:tc>
          <w:tcPr>
            <w:tcW w:w="4962" w:type="dxa"/>
            <w:hideMark/>
          </w:tcPr>
          <w:p w14:paraId="23C724F7" w14:textId="77777777" w:rsidR="001073F7" w:rsidRPr="00C2343E" w:rsidRDefault="001073F7" w:rsidP="001073F7">
            <w:pPr>
              <w:snapToGrid w:val="0"/>
              <w:jc w:val="center"/>
              <w:rPr>
                <w:rFonts w:ascii="Bookman Old Style" w:hAnsi="Bookman Old Style" w:cs="Arial"/>
              </w:rPr>
            </w:pPr>
            <w:r w:rsidRPr="00EF36A0">
              <w:rPr>
                <w:rFonts w:ascii="Bookman Old Style" w:hAnsi="Bookman Old Style" w:cs="Arial"/>
              </w:rPr>
              <w:t>Presidente</w:t>
            </w:r>
          </w:p>
        </w:tc>
        <w:tc>
          <w:tcPr>
            <w:tcW w:w="4536" w:type="dxa"/>
            <w:hideMark/>
          </w:tcPr>
          <w:p w14:paraId="29E1DEEA" w14:textId="77777777" w:rsidR="001073F7" w:rsidRPr="00C2343E" w:rsidRDefault="001073F7" w:rsidP="001073F7">
            <w:pPr>
              <w:snapToGrid w:val="0"/>
              <w:jc w:val="both"/>
              <w:rPr>
                <w:rFonts w:ascii="Bookman Old Style" w:hAnsi="Bookman Old Style" w:cs="Arial"/>
              </w:rPr>
            </w:pPr>
          </w:p>
        </w:tc>
      </w:tr>
    </w:tbl>
    <w:p w14:paraId="5B0503BB" w14:textId="77777777" w:rsidR="001073F7" w:rsidRPr="00EF36A0" w:rsidRDefault="001073F7" w:rsidP="00326BF3">
      <w:pPr>
        <w:pStyle w:val="Estilo8"/>
        <w:widowControl w:val="0"/>
        <w:rPr>
          <w:rFonts w:ascii="Bookman Old Style" w:hAnsi="Bookman Old Style"/>
          <w:b/>
          <w:color w:val="000000"/>
          <w:sz w:val="24"/>
          <w:szCs w:val="24"/>
        </w:rPr>
      </w:pPr>
    </w:p>
    <w:p w14:paraId="6A6D00F6" w14:textId="77777777" w:rsidR="00684D42" w:rsidRDefault="00684D42" w:rsidP="00326BF3">
      <w:pPr>
        <w:pStyle w:val="Textoindependiente"/>
        <w:jc w:val="left"/>
        <w:rPr>
          <w:rFonts w:ascii="Bookman Old Style" w:hAnsi="Bookman Old Style"/>
          <w:color w:val="000000"/>
        </w:rPr>
      </w:pPr>
    </w:p>
    <w:p w14:paraId="72CACA03" w14:textId="77777777" w:rsidR="001073F7" w:rsidRDefault="001073F7" w:rsidP="001073F7">
      <w:pPr>
        <w:pStyle w:val="Textoindependiente"/>
        <w:jc w:val="left"/>
        <w:rPr>
          <w:rFonts w:ascii="Bookman Old Style" w:hAnsi="Bookman Old Style"/>
          <w:color w:val="000000"/>
        </w:rPr>
      </w:pPr>
    </w:p>
    <w:p w14:paraId="68B4BD76" w14:textId="77777777" w:rsidR="001073F7" w:rsidRDefault="001073F7">
      <w:pPr>
        <w:ind w:left="0"/>
        <w:rPr>
          <w:rFonts w:ascii="Bookman Old Style" w:hAnsi="Bookman Old Style" w:cs="Arial"/>
          <w:b/>
          <w:bCs/>
          <w:color w:val="000000"/>
        </w:rPr>
      </w:pPr>
      <w:r>
        <w:rPr>
          <w:rFonts w:ascii="Bookman Old Style" w:hAnsi="Bookman Old Style"/>
          <w:color w:val="000000"/>
        </w:rPr>
        <w:br w:type="page"/>
      </w:r>
    </w:p>
    <w:p w14:paraId="78D5591E" w14:textId="0AA79E85" w:rsidR="001073F7" w:rsidRDefault="001073F7" w:rsidP="001073F7">
      <w:pPr>
        <w:pStyle w:val="Textoindependiente"/>
        <w:rPr>
          <w:rFonts w:ascii="Bookman Old Style" w:hAnsi="Bookman Old Style"/>
          <w:color w:val="000000"/>
        </w:rPr>
      </w:pPr>
      <w:r>
        <w:rPr>
          <w:rFonts w:ascii="Bookman Old Style" w:hAnsi="Bookman Old Style"/>
          <w:color w:val="000000"/>
        </w:rPr>
        <w:lastRenderedPageBreak/>
        <w:t>Anexo</w:t>
      </w:r>
    </w:p>
    <w:p w14:paraId="2BC8BA67" w14:textId="199482A0" w:rsidR="001322BF" w:rsidRDefault="001322BF" w:rsidP="001322BF">
      <w:pPr>
        <w:pStyle w:val="Textoindependiente"/>
        <w:rPr>
          <w:rFonts w:ascii="Bookman Old Style" w:hAnsi="Bookman Old Style"/>
          <w:color w:val="000000"/>
        </w:rPr>
      </w:pPr>
      <w:r>
        <w:rPr>
          <w:rFonts w:ascii="Bookman Old Style" w:hAnsi="Bookman Old Style"/>
          <w:color w:val="000000"/>
        </w:rPr>
        <w:t xml:space="preserve">Garantías para poder adquirir los servicios de la infraestructura de </w:t>
      </w:r>
      <w:r w:rsidR="001950AE">
        <w:rPr>
          <w:rFonts w:ascii="Bookman Old Style" w:hAnsi="Bookman Old Style"/>
          <w:color w:val="000000"/>
        </w:rPr>
        <w:t>importación de gas</w:t>
      </w:r>
      <w:r>
        <w:rPr>
          <w:rFonts w:ascii="Bookman Old Style" w:hAnsi="Bookman Old Style"/>
          <w:color w:val="000000"/>
        </w:rPr>
        <w:t xml:space="preserve"> del Pacífico</w:t>
      </w:r>
    </w:p>
    <w:p w14:paraId="376738AB" w14:textId="77777777" w:rsidR="004049E2" w:rsidRDefault="004049E2" w:rsidP="001322BF">
      <w:pPr>
        <w:pStyle w:val="Textoindependiente"/>
        <w:rPr>
          <w:rFonts w:ascii="Bookman Old Style" w:hAnsi="Bookman Old Style"/>
          <w:color w:val="000000"/>
        </w:rPr>
      </w:pPr>
    </w:p>
    <w:p w14:paraId="35FDA563" w14:textId="77777777" w:rsidR="004049E2" w:rsidRPr="00E97E44" w:rsidRDefault="004049E2" w:rsidP="001322BF">
      <w:pPr>
        <w:pStyle w:val="Textoindependiente"/>
        <w:jc w:val="both"/>
        <w:rPr>
          <w:rFonts w:ascii="Bookman Old Style" w:hAnsi="Bookman Old Style"/>
          <w:b w:val="0"/>
          <w:color w:val="000000"/>
        </w:rPr>
      </w:pPr>
    </w:p>
    <w:p w14:paraId="7C2866C9" w14:textId="77777777" w:rsidR="001322BF" w:rsidRDefault="001322BF" w:rsidP="00CA5931">
      <w:pPr>
        <w:pStyle w:val="Prrafodelista"/>
        <w:numPr>
          <w:ilvl w:val="0"/>
          <w:numId w:val="19"/>
        </w:numPr>
        <w:tabs>
          <w:tab w:val="left" w:pos="567"/>
        </w:tabs>
        <w:ind w:left="0" w:firstLine="0"/>
        <w:jc w:val="both"/>
        <w:rPr>
          <w:rFonts w:ascii="Bookman Old Style" w:hAnsi="Bookman Old Style" w:cs="Arial"/>
          <w:b/>
          <w:color w:val="000000" w:themeColor="text1"/>
          <w:sz w:val="24"/>
          <w:szCs w:val="24"/>
        </w:rPr>
      </w:pPr>
      <w:bookmarkStart w:id="17" w:name="_Ref390416550"/>
      <w:r>
        <w:rPr>
          <w:rFonts w:ascii="Bookman Old Style" w:hAnsi="Bookman Old Style" w:cs="Arial"/>
          <w:b/>
          <w:color w:val="000000" w:themeColor="text1"/>
          <w:sz w:val="24"/>
          <w:szCs w:val="24"/>
        </w:rPr>
        <w:t>Criterios generales que deben cumplir las garantías</w:t>
      </w:r>
    </w:p>
    <w:p w14:paraId="34FC3A8F" w14:textId="77777777" w:rsidR="001322BF" w:rsidRDefault="001322BF" w:rsidP="001322BF">
      <w:pPr>
        <w:pStyle w:val="Prrafodelista"/>
        <w:tabs>
          <w:tab w:val="left" w:pos="567"/>
        </w:tabs>
        <w:ind w:left="0"/>
        <w:jc w:val="both"/>
        <w:rPr>
          <w:rFonts w:ascii="Bookman Old Style" w:hAnsi="Bookman Old Style" w:cs="Arial"/>
          <w:b/>
          <w:color w:val="000000" w:themeColor="text1"/>
          <w:sz w:val="24"/>
          <w:szCs w:val="24"/>
        </w:rPr>
      </w:pPr>
    </w:p>
    <w:p w14:paraId="4B5F5E6F" w14:textId="77777777" w:rsidR="001322BF" w:rsidRPr="008B3E3F" w:rsidRDefault="001322BF" w:rsidP="00CA5931">
      <w:pPr>
        <w:pStyle w:val="Estilo1"/>
        <w:numPr>
          <w:ilvl w:val="0"/>
          <w:numId w:val="31"/>
        </w:numPr>
        <w:spacing w:after="120"/>
      </w:pPr>
      <w:bookmarkStart w:id="18" w:name="_Ref410653176"/>
      <w:r w:rsidRPr="008B3E3F">
        <w:t>Cuando se trate de garantías otorgadas por una entidad financiera domiciliada en Colombia se deberá acreditar una calificación de riesgo crediticio de la deuda de largo plazo de grado de inversión por parte de una agencia calificadora de riesgos vigilada por la Superintendencia Financiera de Colombia.</w:t>
      </w:r>
      <w:bookmarkEnd w:id="18"/>
    </w:p>
    <w:p w14:paraId="0DBFD3B3" w14:textId="3F458297" w:rsidR="001322BF" w:rsidRPr="008B3E3F" w:rsidRDefault="001322BF" w:rsidP="00CA5931">
      <w:pPr>
        <w:pStyle w:val="Estilo1"/>
        <w:numPr>
          <w:ilvl w:val="0"/>
          <w:numId w:val="31"/>
        </w:numPr>
        <w:spacing w:after="120"/>
        <w:ind w:left="714" w:hanging="357"/>
      </w:pPr>
      <w:bookmarkStart w:id="19" w:name="_Ref410653183"/>
      <w:r w:rsidRPr="008B3E3F">
        <w:t>Cuando se trate de garantías otorgadas por una entidad financiera del exterior</w:t>
      </w:r>
      <w:r w:rsidR="008B3E3F" w:rsidRPr="008B3E3F">
        <w:t xml:space="preserve"> e</w:t>
      </w:r>
      <w:r w:rsidRPr="008B3E3F">
        <w:t xml:space="preserve">sta deberá estar incluida en el listado de entidades financieras del exterior contenido en el anexo No. 1 de la Circular Reglamentaria Externa DCIN-83 de 2003 del Banco de la República o en las normas que lo modifiquen, adicionen o sustituyan y acreditar una calificación de deuda de largo plazo de Standard &amp; </w:t>
      </w:r>
      <w:proofErr w:type="spellStart"/>
      <w:r w:rsidRPr="008B3E3F">
        <w:t>Poor’s</w:t>
      </w:r>
      <w:proofErr w:type="spellEnd"/>
      <w:r w:rsidRPr="008B3E3F">
        <w:t xml:space="preserve"> </w:t>
      </w:r>
      <w:proofErr w:type="spellStart"/>
      <w:r w:rsidRPr="008B3E3F">
        <w:t>Corporation</w:t>
      </w:r>
      <w:proofErr w:type="spellEnd"/>
      <w:r w:rsidRPr="008B3E3F">
        <w:t xml:space="preserve">, </w:t>
      </w:r>
      <w:proofErr w:type="spellStart"/>
      <w:r w:rsidRPr="008B3E3F">
        <w:t>Fitch</w:t>
      </w:r>
      <w:proofErr w:type="spellEnd"/>
      <w:r w:rsidRPr="008B3E3F">
        <w:t xml:space="preserve"> Ratings o de </w:t>
      </w:r>
      <w:proofErr w:type="spellStart"/>
      <w:r w:rsidRPr="008B3E3F">
        <w:t>Moody’s</w:t>
      </w:r>
      <w:proofErr w:type="spellEnd"/>
      <w:r w:rsidRPr="008B3E3F">
        <w:t xml:space="preserve"> </w:t>
      </w:r>
      <w:proofErr w:type="spellStart"/>
      <w:r w:rsidRPr="008B3E3F">
        <w:t>Investor’s</w:t>
      </w:r>
      <w:proofErr w:type="spellEnd"/>
      <w:r w:rsidRPr="008B3E3F">
        <w:t xml:space="preserve"> </w:t>
      </w:r>
      <w:proofErr w:type="spellStart"/>
      <w:r w:rsidRPr="008B3E3F">
        <w:t>Services</w:t>
      </w:r>
      <w:proofErr w:type="spellEnd"/>
      <w:r w:rsidRPr="008B3E3F">
        <w:t xml:space="preserve"> Inc., de al menos grado de inversión.</w:t>
      </w:r>
      <w:bookmarkEnd w:id="19"/>
    </w:p>
    <w:p w14:paraId="2F810B7E" w14:textId="77777777" w:rsidR="001322BF" w:rsidRPr="008B3E3F" w:rsidRDefault="001322BF" w:rsidP="00CA5931">
      <w:pPr>
        <w:pStyle w:val="Estilo1"/>
        <w:numPr>
          <w:ilvl w:val="0"/>
          <w:numId w:val="31"/>
        </w:numPr>
        <w:spacing w:after="120"/>
        <w:ind w:left="714" w:hanging="357"/>
      </w:pPr>
      <w:r w:rsidRPr="008B3E3F">
        <w:t>La entidad financiera otorgante de la garantía deberá pagar al primer requerimiento del beneficiario los correspondientes recursos en la cuenta bancaria de la entidad financiera en Colombia que para tales efectos se haya constituido.</w:t>
      </w:r>
    </w:p>
    <w:p w14:paraId="6E0F768C" w14:textId="77777777" w:rsidR="001322BF" w:rsidRPr="008B3E3F" w:rsidRDefault="001322BF" w:rsidP="00CA5931">
      <w:pPr>
        <w:pStyle w:val="Estilo1"/>
        <w:numPr>
          <w:ilvl w:val="0"/>
          <w:numId w:val="31"/>
        </w:numPr>
        <w:spacing w:after="120"/>
        <w:ind w:left="714" w:hanging="357"/>
      </w:pPr>
      <w:r w:rsidRPr="008B3E3F">
        <w:t>Las garantías deben ser otorgadas de manera irrevocable e incondicional a la orden del adjudicatario de la planta de regasificación del Pacífico y/o del gasoducto Buenaventura – Yumbo.</w:t>
      </w:r>
    </w:p>
    <w:p w14:paraId="5C7E5414" w14:textId="77777777" w:rsidR="001322BF" w:rsidRPr="008B3E3F" w:rsidRDefault="001322BF" w:rsidP="00CA5931">
      <w:pPr>
        <w:pStyle w:val="Estilo1"/>
        <w:numPr>
          <w:ilvl w:val="0"/>
          <w:numId w:val="31"/>
        </w:numPr>
        <w:spacing w:after="120"/>
        <w:ind w:left="714" w:hanging="357"/>
      </w:pPr>
      <w:r w:rsidRPr="008B3E3F">
        <w:t>Las garantías deben ser líquidas y fácilmente realizables en el momento en que deban hacerse efectivas.</w:t>
      </w:r>
    </w:p>
    <w:p w14:paraId="59E63ED9" w14:textId="77777777" w:rsidR="001322BF" w:rsidRPr="008B3E3F" w:rsidRDefault="001322BF" w:rsidP="00CA5931">
      <w:pPr>
        <w:pStyle w:val="Estilo1"/>
        <w:numPr>
          <w:ilvl w:val="0"/>
          <w:numId w:val="31"/>
        </w:numPr>
        <w:spacing w:after="120"/>
        <w:ind w:left="714" w:hanging="357"/>
      </w:pPr>
      <w:r w:rsidRPr="008B3E3F">
        <w:t>La entidad financiera otorgante deberá pagar dentro de los dos (2) días hábiles siguientes a la fecha en que se realice el primer requerimiento siempre que se trate de una entidad financiera domiciliada en Colombia, o dentro de los quince (15) días calendario siguientes a la fecha en que se realice el primer requerimiento, siempre que se trate de una entidad financiera del exterior.</w:t>
      </w:r>
    </w:p>
    <w:p w14:paraId="0DE280F7" w14:textId="77777777" w:rsidR="001322BF" w:rsidRPr="008B3E3F" w:rsidRDefault="001322BF" w:rsidP="00CA5931">
      <w:pPr>
        <w:pStyle w:val="Estilo1"/>
        <w:numPr>
          <w:ilvl w:val="0"/>
          <w:numId w:val="31"/>
        </w:numPr>
        <w:spacing w:after="120"/>
        <w:ind w:left="714" w:hanging="357"/>
      </w:pPr>
      <w:r w:rsidRPr="008B3E3F">
        <w:t>El valor pagado por la entidad financiera otorgante deberá ser igual al valor total de la cobertura conforme a lo indicado en el presente anexo. Por tanto, el valor pagado deberá ser neto, libre de cualquier tipo de deducción, depósito, comisión, encaje, impuesto, tasa, contribución, afectación o retención por parte de la entidad financiera otorgante y/o de las autoridades cambiarias, tributarias o de cualquier otra índole que pueda afectar el valor del desembolso de la garantía.</w:t>
      </w:r>
    </w:p>
    <w:p w14:paraId="7D45B6AE" w14:textId="77777777" w:rsidR="001322BF" w:rsidRPr="008B3E3F" w:rsidRDefault="001322BF" w:rsidP="00CA5931">
      <w:pPr>
        <w:pStyle w:val="Estilo1"/>
        <w:numPr>
          <w:ilvl w:val="0"/>
          <w:numId w:val="31"/>
        </w:numPr>
        <w:spacing w:after="120"/>
        <w:ind w:left="714" w:hanging="357"/>
      </w:pPr>
      <w:r w:rsidRPr="008B3E3F">
        <w:t>La entidad financiera otorgante de la garantía deberá renunciar a requerimientos judiciales, extrajudiciales o de cualquier otro tipo, para el pago de la obligación garantizada, tanto en Colombia como en el exterior.</w:t>
      </w:r>
    </w:p>
    <w:p w14:paraId="62124310" w14:textId="77777777" w:rsidR="001322BF" w:rsidRPr="008B3E3F" w:rsidRDefault="001322BF" w:rsidP="00CA5931">
      <w:pPr>
        <w:pStyle w:val="Estilo1"/>
        <w:numPr>
          <w:ilvl w:val="0"/>
          <w:numId w:val="31"/>
        </w:numPr>
        <w:spacing w:after="120"/>
        <w:ind w:left="714" w:hanging="357"/>
      </w:pPr>
      <w:r w:rsidRPr="008B3E3F">
        <w:t xml:space="preserve">Cuando se trate de garantías expedidas por entidades financieras domiciliadas en Colombia, el valor de la garantía constituida deberá estar </w:t>
      </w:r>
      <w:r w:rsidRPr="008B3E3F">
        <w:lastRenderedPageBreak/>
        <w:t>calculado en moneda nacional o en dólares de los Estados Unidos de América y ser exigible de acuerdo con la Ley Colombiana.</w:t>
      </w:r>
    </w:p>
    <w:p w14:paraId="2FB9E998" w14:textId="77777777" w:rsidR="001322BF" w:rsidRPr="008B3E3F" w:rsidRDefault="001322BF" w:rsidP="00CA5931">
      <w:pPr>
        <w:pStyle w:val="Estilo1"/>
        <w:numPr>
          <w:ilvl w:val="0"/>
          <w:numId w:val="31"/>
        </w:numPr>
        <w:spacing w:after="120"/>
        <w:ind w:left="714" w:hanging="357"/>
      </w:pPr>
      <w:r w:rsidRPr="008B3E3F">
        <w:t xml:space="preserve">Cuando se trate de garantías expedidas por entidades financieras del exterior, el valor de la garantía constituida deberá estar calculada en dólares de los Estados Unidos de América a la tasa representativa del mercado del último día hábil del mes anterior a su presentación, y ser exigible de acuerdo con las Normas RUU 600 de la Cámara de Comercio Internacional -CCI- (ICC </w:t>
      </w:r>
      <w:proofErr w:type="spellStart"/>
      <w:r w:rsidRPr="008B3E3F">
        <w:t>Uniform</w:t>
      </w:r>
      <w:proofErr w:type="spellEnd"/>
      <w:r w:rsidRPr="008B3E3F">
        <w:t xml:space="preserve"> </w:t>
      </w:r>
      <w:proofErr w:type="spellStart"/>
      <w:r w:rsidRPr="008B3E3F">
        <w:t>Customs</w:t>
      </w:r>
      <w:proofErr w:type="spellEnd"/>
      <w:r w:rsidRPr="008B3E3F">
        <w:t xml:space="preserve"> and </w:t>
      </w:r>
      <w:proofErr w:type="spellStart"/>
      <w:r w:rsidRPr="008B3E3F">
        <w:t>Practice</w:t>
      </w:r>
      <w:proofErr w:type="spellEnd"/>
      <w:r w:rsidRPr="008B3E3F">
        <w:t xml:space="preserve"> </w:t>
      </w:r>
      <w:proofErr w:type="spellStart"/>
      <w:r w:rsidRPr="008B3E3F">
        <w:t>for</w:t>
      </w:r>
      <w:proofErr w:type="spellEnd"/>
      <w:r w:rsidRPr="008B3E3F">
        <w:t xml:space="preserve"> </w:t>
      </w:r>
      <w:proofErr w:type="spellStart"/>
      <w:r w:rsidRPr="008B3E3F">
        <w:t>Documentary</w:t>
      </w:r>
      <w:proofErr w:type="spellEnd"/>
      <w:r w:rsidRPr="008B3E3F">
        <w:t xml:space="preserve"> </w:t>
      </w:r>
      <w:proofErr w:type="spellStart"/>
      <w:r w:rsidRPr="008B3E3F">
        <w:t>Credits</w:t>
      </w:r>
      <w:proofErr w:type="spellEnd"/>
      <w:r w:rsidRPr="008B3E3F">
        <w:t xml:space="preserve"> UCP 600) o aquellas Normas que las modifiquen, adicionan o sustituyan y con las normas del estado Nueva York de los Estados Unidos de América. Estas garantías deberán prever mecanismos expeditos y eficaces para resolver definitivamente cualquier disputa que pueda surgir en relación con la garantía entre el beneficiario y el otorgante aplicando las normas que rigen su exigibilidad, tales como la decisión definitiva bajo las reglas de conciliación y arbitraje de la Cámara de Comercio Internacional, CCI, por uno o más árbitros designados según lo establecen las mencionadas reglas, o a través de los jueces del Estado de Nueva York.</w:t>
      </w:r>
    </w:p>
    <w:p w14:paraId="0A433F2B" w14:textId="77777777" w:rsidR="001322BF" w:rsidRPr="00282A76" w:rsidRDefault="001322BF" w:rsidP="001322BF">
      <w:pPr>
        <w:pStyle w:val="Prrafodelista"/>
        <w:ind w:left="0"/>
        <w:jc w:val="both"/>
        <w:rPr>
          <w:rFonts w:ascii="Bookman Old Style" w:hAnsi="Bookman Old Style" w:cs="Arial"/>
          <w:color w:val="000000" w:themeColor="text1"/>
          <w:sz w:val="24"/>
          <w:szCs w:val="24"/>
          <w:lang w:val="es-ES"/>
        </w:rPr>
      </w:pPr>
    </w:p>
    <w:p w14:paraId="50DB0B05" w14:textId="0B972338" w:rsidR="001322BF" w:rsidRPr="00282A76" w:rsidRDefault="001322BF" w:rsidP="001322BF">
      <w:pPr>
        <w:pStyle w:val="ARTICULOS"/>
        <w:numPr>
          <w:ilvl w:val="0"/>
          <w:numId w:val="0"/>
        </w:numPr>
        <w:tabs>
          <w:tab w:val="left" w:pos="1560"/>
        </w:tabs>
        <w:rPr>
          <w:color w:val="000000" w:themeColor="text1"/>
        </w:rPr>
      </w:pPr>
      <w:r>
        <w:rPr>
          <w:b/>
          <w:color w:val="000000" w:themeColor="text1"/>
        </w:rPr>
        <w:t xml:space="preserve">Parágrafo 1. </w:t>
      </w:r>
      <w:r w:rsidRPr="00282A76">
        <w:rPr>
          <w:color w:val="000000" w:themeColor="text1"/>
        </w:rPr>
        <w:t xml:space="preserve">Para efectos de demostrar el cumplimiento de los criterios </w:t>
      </w:r>
      <w:r>
        <w:rPr>
          <w:color w:val="000000" w:themeColor="text1"/>
        </w:rPr>
        <w:fldChar w:fldCharType="begin"/>
      </w:r>
      <w:r>
        <w:rPr>
          <w:color w:val="000000" w:themeColor="text1"/>
        </w:rPr>
        <w:instrText xml:space="preserve"> REF _Ref410653176 \r \h </w:instrText>
      </w:r>
      <w:r>
        <w:rPr>
          <w:color w:val="000000" w:themeColor="text1"/>
        </w:rPr>
      </w:r>
      <w:r>
        <w:rPr>
          <w:color w:val="000000" w:themeColor="text1"/>
        </w:rPr>
        <w:fldChar w:fldCharType="separate"/>
      </w:r>
      <w:r w:rsidR="00BB7212">
        <w:rPr>
          <w:color w:val="000000" w:themeColor="text1"/>
        </w:rPr>
        <w:t>a)</w:t>
      </w:r>
      <w:r>
        <w:rPr>
          <w:color w:val="000000" w:themeColor="text1"/>
        </w:rPr>
        <w:fldChar w:fldCharType="end"/>
      </w:r>
      <w:r>
        <w:rPr>
          <w:color w:val="000000" w:themeColor="text1"/>
        </w:rPr>
        <w:t xml:space="preserve"> y </w:t>
      </w:r>
      <w:r>
        <w:rPr>
          <w:color w:val="000000" w:themeColor="text1"/>
        </w:rPr>
        <w:fldChar w:fldCharType="begin"/>
      </w:r>
      <w:r>
        <w:rPr>
          <w:color w:val="000000" w:themeColor="text1"/>
        </w:rPr>
        <w:instrText xml:space="preserve"> REF _Ref410653183 \r \h </w:instrText>
      </w:r>
      <w:r>
        <w:rPr>
          <w:color w:val="000000" w:themeColor="text1"/>
        </w:rPr>
      </w:r>
      <w:r>
        <w:rPr>
          <w:color w:val="000000" w:themeColor="text1"/>
        </w:rPr>
        <w:fldChar w:fldCharType="separate"/>
      </w:r>
      <w:r w:rsidR="00BB7212">
        <w:rPr>
          <w:color w:val="000000" w:themeColor="text1"/>
        </w:rPr>
        <w:t>b)</w:t>
      </w:r>
      <w:r>
        <w:rPr>
          <w:color w:val="000000" w:themeColor="text1"/>
        </w:rPr>
        <w:fldChar w:fldCharType="end"/>
      </w:r>
      <w:r>
        <w:rPr>
          <w:color w:val="000000" w:themeColor="text1"/>
        </w:rPr>
        <w:t xml:space="preserve"> </w:t>
      </w:r>
      <w:r w:rsidRPr="00282A76">
        <w:rPr>
          <w:color w:val="000000" w:themeColor="text1"/>
        </w:rPr>
        <w:t xml:space="preserve">del presente </w:t>
      </w:r>
      <w:r>
        <w:rPr>
          <w:color w:val="000000" w:themeColor="text1"/>
        </w:rPr>
        <w:t>anexo</w:t>
      </w:r>
      <w:r w:rsidRPr="00282A76">
        <w:rPr>
          <w:color w:val="000000" w:themeColor="text1"/>
        </w:rPr>
        <w:t xml:space="preserve">, los interesados deberán acreditar </w:t>
      </w:r>
      <w:r>
        <w:rPr>
          <w:color w:val="000000" w:themeColor="text1"/>
        </w:rPr>
        <w:t>al adjudicatario de la planta de regasificación del Pacífico y/o del gasoducto Buenaventura - Yumbo</w:t>
      </w:r>
      <w:r w:rsidRPr="00282A76">
        <w:rPr>
          <w:color w:val="000000" w:themeColor="text1"/>
        </w:rPr>
        <w:t>, que la entidad financiera otorgante satisface los requerimientos indicados en estos criterios.</w:t>
      </w:r>
    </w:p>
    <w:p w14:paraId="7E4293B5" w14:textId="77777777" w:rsidR="001322BF" w:rsidRPr="00282A76" w:rsidRDefault="001322BF" w:rsidP="001322BF">
      <w:pPr>
        <w:pStyle w:val="Prrafodelista"/>
        <w:ind w:left="0"/>
        <w:jc w:val="both"/>
        <w:rPr>
          <w:rFonts w:ascii="Bookman Old Style" w:hAnsi="Bookman Old Style" w:cs="Arial"/>
          <w:color w:val="000000" w:themeColor="text1"/>
          <w:sz w:val="24"/>
          <w:szCs w:val="24"/>
          <w:lang w:val="es-ES"/>
        </w:rPr>
      </w:pPr>
    </w:p>
    <w:p w14:paraId="5B297F3D" w14:textId="6A9014E3" w:rsidR="001322BF" w:rsidRPr="00282A76" w:rsidRDefault="001322BF" w:rsidP="001322BF">
      <w:pPr>
        <w:pStyle w:val="ARTICULOS"/>
        <w:numPr>
          <w:ilvl w:val="0"/>
          <w:numId w:val="0"/>
        </w:numPr>
        <w:tabs>
          <w:tab w:val="left" w:pos="1560"/>
        </w:tabs>
        <w:rPr>
          <w:color w:val="000000" w:themeColor="text1"/>
        </w:rPr>
      </w:pPr>
      <w:r>
        <w:rPr>
          <w:b/>
          <w:color w:val="000000" w:themeColor="text1"/>
        </w:rPr>
        <w:t xml:space="preserve">Parágrafo 2. </w:t>
      </w:r>
      <w:r>
        <w:rPr>
          <w:color w:val="000000" w:themeColor="text1"/>
        </w:rPr>
        <w:t>Los agentes compradores deben</w:t>
      </w:r>
      <w:r w:rsidRPr="00282A76">
        <w:rPr>
          <w:color w:val="000000" w:themeColor="text1"/>
        </w:rPr>
        <w:t xml:space="preserve"> informar </w:t>
      </w:r>
      <w:r>
        <w:rPr>
          <w:color w:val="000000" w:themeColor="text1"/>
        </w:rPr>
        <w:t>al adjudicatario de la planta de regasificación del Pacífico y/o del gasoducto Buenaventura - Yumbo</w:t>
      </w:r>
      <w:r w:rsidRPr="00282A76">
        <w:rPr>
          <w:color w:val="000000" w:themeColor="text1"/>
        </w:rPr>
        <w:t xml:space="preserve"> cualquier modificación en la calificación de que tratan los numerales </w:t>
      </w:r>
      <w:r>
        <w:rPr>
          <w:color w:val="000000" w:themeColor="text1"/>
        </w:rPr>
        <w:fldChar w:fldCharType="begin"/>
      </w:r>
      <w:r>
        <w:rPr>
          <w:color w:val="000000" w:themeColor="text1"/>
        </w:rPr>
        <w:instrText xml:space="preserve"> REF _Ref410653176 \r \h </w:instrText>
      </w:r>
      <w:r>
        <w:rPr>
          <w:color w:val="000000" w:themeColor="text1"/>
        </w:rPr>
      </w:r>
      <w:r>
        <w:rPr>
          <w:color w:val="000000" w:themeColor="text1"/>
        </w:rPr>
        <w:fldChar w:fldCharType="separate"/>
      </w:r>
      <w:r w:rsidR="00BB7212">
        <w:rPr>
          <w:color w:val="000000" w:themeColor="text1"/>
        </w:rPr>
        <w:t>a)</w:t>
      </w:r>
      <w:r>
        <w:rPr>
          <w:color w:val="000000" w:themeColor="text1"/>
        </w:rPr>
        <w:fldChar w:fldCharType="end"/>
      </w:r>
      <w:r>
        <w:rPr>
          <w:color w:val="000000" w:themeColor="text1"/>
        </w:rPr>
        <w:t xml:space="preserve"> y </w:t>
      </w:r>
      <w:r>
        <w:rPr>
          <w:color w:val="000000" w:themeColor="text1"/>
        </w:rPr>
        <w:fldChar w:fldCharType="begin"/>
      </w:r>
      <w:r>
        <w:rPr>
          <w:color w:val="000000" w:themeColor="text1"/>
        </w:rPr>
        <w:instrText xml:space="preserve"> REF _Ref410653183 \r \h </w:instrText>
      </w:r>
      <w:r>
        <w:rPr>
          <w:color w:val="000000" w:themeColor="text1"/>
        </w:rPr>
      </w:r>
      <w:r>
        <w:rPr>
          <w:color w:val="000000" w:themeColor="text1"/>
        </w:rPr>
        <w:fldChar w:fldCharType="separate"/>
      </w:r>
      <w:r w:rsidR="00BB7212">
        <w:rPr>
          <w:color w:val="000000" w:themeColor="text1"/>
        </w:rPr>
        <w:t>b)</w:t>
      </w:r>
      <w:r>
        <w:rPr>
          <w:color w:val="000000" w:themeColor="text1"/>
        </w:rPr>
        <w:fldChar w:fldCharType="end"/>
      </w:r>
      <w:r>
        <w:rPr>
          <w:color w:val="000000" w:themeColor="text1"/>
        </w:rPr>
        <w:t xml:space="preserve"> </w:t>
      </w:r>
      <w:r w:rsidRPr="00282A76">
        <w:rPr>
          <w:color w:val="000000" w:themeColor="text1"/>
        </w:rPr>
        <w:t xml:space="preserve">del presente </w:t>
      </w:r>
      <w:r>
        <w:rPr>
          <w:color w:val="000000" w:themeColor="text1"/>
        </w:rPr>
        <w:t>numeral</w:t>
      </w:r>
      <w:r w:rsidRPr="00282A76">
        <w:rPr>
          <w:color w:val="000000" w:themeColor="text1"/>
        </w:rPr>
        <w:t>, así como también toda circunstancia que afecte o pueda llegar a afectar en cualquier forma la garantía o la efectividad de la</w:t>
      </w:r>
      <w:r>
        <w:rPr>
          <w:color w:val="000000" w:themeColor="text1"/>
        </w:rPr>
        <w:t xml:space="preserve"> misma. Dicha información debe</w:t>
      </w:r>
      <w:r w:rsidRPr="00282A76">
        <w:rPr>
          <w:color w:val="000000" w:themeColor="text1"/>
        </w:rPr>
        <w:t xml:space="preserve"> ser comunicada a más tardar </w:t>
      </w:r>
      <w:r>
        <w:rPr>
          <w:color w:val="000000" w:themeColor="text1"/>
        </w:rPr>
        <w:t>cinco</w:t>
      </w:r>
      <w:r w:rsidRPr="00282A76">
        <w:rPr>
          <w:color w:val="000000" w:themeColor="text1"/>
        </w:rPr>
        <w:t xml:space="preserve"> (5) días hábiles después de ocurrido el hecho.</w:t>
      </w:r>
    </w:p>
    <w:p w14:paraId="620323FF" w14:textId="77777777" w:rsidR="001322BF" w:rsidRDefault="001322BF" w:rsidP="001322BF">
      <w:pPr>
        <w:pStyle w:val="ARTICULOS"/>
        <w:numPr>
          <w:ilvl w:val="0"/>
          <w:numId w:val="0"/>
        </w:numPr>
        <w:tabs>
          <w:tab w:val="left" w:pos="1560"/>
        </w:tabs>
        <w:ind w:left="360"/>
        <w:rPr>
          <w:b/>
          <w:color w:val="000000" w:themeColor="text1"/>
        </w:rPr>
      </w:pPr>
    </w:p>
    <w:p w14:paraId="2D88C980" w14:textId="77777777" w:rsidR="001322BF" w:rsidRPr="00282A76" w:rsidRDefault="001322BF" w:rsidP="001322BF">
      <w:pPr>
        <w:pStyle w:val="ARTICULOS"/>
        <w:numPr>
          <w:ilvl w:val="0"/>
          <w:numId w:val="0"/>
        </w:numPr>
        <w:tabs>
          <w:tab w:val="left" w:pos="1560"/>
        </w:tabs>
        <w:rPr>
          <w:color w:val="000000" w:themeColor="text1"/>
        </w:rPr>
      </w:pPr>
      <w:r>
        <w:rPr>
          <w:b/>
          <w:color w:val="000000" w:themeColor="text1"/>
        </w:rPr>
        <w:t xml:space="preserve">Parágrafo 3. </w:t>
      </w:r>
      <w:r w:rsidRPr="00282A76">
        <w:rPr>
          <w:color w:val="000000" w:themeColor="text1"/>
        </w:rPr>
        <w:t>Para la aceptación de una garantía otorgada por una entidad financiera del exterior, el agente o persona jurídica interesada deberá adjuntar los formularios debidamente diligenciados y registrados ante el Banco de la República y que, de acuerdo con las normas del mismo, sean necesarios para el cobro de la garantía por parte de la fiducia.</w:t>
      </w:r>
    </w:p>
    <w:p w14:paraId="73A7017F" w14:textId="77777777" w:rsidR="001322BF" w:rsidRDefault="001322BF" w:rsidP="001322BF">
      <w:pPr>
        <w:pStyle w:val="Prrafodelista"/>
        <w:tabs>
          <w:tab w:val="left" w:pos="567"/>
        </w:tabs>
        <w:ind w:left="0"/>
        <w:jc w:val="both"/>
        <w:rPr>
          <w:rFonts w:ascii="Bookman Old Style" w:hAnsi="Bookman Old Style" w:cs="Arial"/>
          <w:b/>
          <w:color w:val="000000" w:themeColor="text1"/>
          <w:sz w:val="24"/>
          <w:szCs w:val="24"/>
        </w:rPr>
      </w:pPr>
    </w:p>
    <w:p w14:paraId="68F168B5" w14:textId="77777777" w:rsidR="001322BF" w:rsidRDefault="001322BF" w:rsidP="00CA5931">
      <w:pPr>
        <w:pStyle w:val="Prrafodelista"/>
        <w:keepNext/>
        <w:numPr>
          <w:ilvl w:val="0"/>
          <w:numId w:val="19"/>
        </w:numPr>
        <w:tabs>
          <w:tab w:val="left" w:pos="567"/>
        </w:tabs>
        <w:ind w:left="0" w:firstLine="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Tipos de garantías</w:t>
      </w:r>
    </w:p>
    <w:p w14:paraId="104AE676" w14:textId="77777777" w:rsidR="001322BF" w:rsidRDefault="001322BF" w:rsidP="00C55808">
      <w:pPr>
        <w:keepNext/>
        <w:tabs>
          <w:tab w:val="left" w:pos="567"/>
        </w:tabs>
        <w:ind w:left="0"/>
        <w:jc w:val="both"/>
        <w:rPr>
          <w:rFonts w:ascii="Bookman Old Style" w:hAnsi="Bookman Old Style" w:cs="Arial"/>
          <w:color w:val="000000" w:themeColor="text1"/>
        </w:rPr>
      </w:pPr>
    </w:p>
    <w:p w14:paraId="2477F644" w14:textId="0CC0C233" w:rsidR="001322BF" w:rsidRDefault="001322BF" w:rsidP="001322BF">
      <w:pPr>
        <w:tabs>
          <w:tab w:val="left" w:pos="567"/>
        </w:tabs>
        <w:ind w:left="0"/>
        <w:jc w:val="both"/>
        <w:rPr>
          <w:rFonts w:ascii="Bookman Old Style" w:hAnsi="Bookman Old Style" w:cs="Arial"/>
          <w:color w:val="000000" w:themeColor="text1"/>
        </w:rPr>
      </w:pPr>
      <w:r>
        <w:rPr>
          <w:rFonts w:ascii="Bookman Old Style" w:hAnsi="Bookman Old Style" w:cs="Arial"/>
          <w:color w:val="000000" w:themeColor="text1"/>
        </w:rPr>
        <w:t>Los únicos tipos de garantías que serán aceptados para los efectos de poder</w:t>
      </w:r>
      <w:r w:rsidR="008B3E3F">
        <w:rPr>
          <w:rFonts w:ascii="Bookman Old Style" w:hAnsi="Bookman Old Style" w:cs="Arial"/>
          <w:color w:val="000000" w:themeColor="text1"/>
        </w:rPr>
        <w:t xml:space="preserve"> adquirir los servicios que el G</w:t>
      </w:r>
      <w:r>
        <w:rPr>
          <w:rFonts w:ascii="Bookman Old Style" w:hAnsi="Bookman Old Style" w:cs="Arial"/>
          <w:color w:val="000000" w:themeColor="text1"/>
        </w:rPr>
        <w:t>estor del mercado asignará de la infraestructura de importación del gas del Pacífico son los siguientes:</w:t>
      </w:r>
    </w:p>
    <w:p w14:paraId="292F476D" w14:textId="77777777" w:rsidR="001322BF" w:rsidRDefault="001322BF" w:rsidP="001322BF">
      <w:pPr>
        <w:tabs>
          <w:tab w:val="left" w:pos="567"/>
        </w:tabs>
        <w:ind w:left="0"/>
        <w:jc w:val="both"/>
        <w:rPr>
          <w:rFonts w:ascii="Bookman Old Style" w:hAnsi="Bookman Old Style" w:cs="Arial"/>
          <w:color w:val="000000" w:themeColor="text1"/>
        </w:rPr>
      </w:pPr>
    </w:p>
    <w:p w14:paraId="15D3E755" w14:textId="77777777" w:rsidR="001322BF" w:rsidRPr="00FD2000" w:rsidRDefault="001322BF" w:rsidP="00CA5931">
      <w:pPr>
        <w:pStyle w:val="Estilo1"/>
        <w:numPr>
          <w:ilvl w:val="0"/>
          <w:numId w:val="32"/>
        </w:numPr>
        <w:spacing w:after="120"/>
      </w:pPr>
      <w:bookmarkStart w:id="20" w:name="_Ref410740570"/>
      <w:r w:rsidRPr="00FD2000">
        <w:t xml:space="preserve">Garantía bancaria de una entidad financiera en Colombia: instrumento mediante el cual una institución financiera, debidamente autorizada por la Superintendencia Financiera, garantiza de forma incondicional e irrevocable el pago de las obligaciones indicadas en la presente resolución. La forma y perfeccionamiento de esta garantía se regirá por las normas del </w:t>
      </w:r>
      <w:r w:rsidRPr="00FD2000">
        <w:lastRenderedPageBreak/>
        <w:t>Código de Comercio que regulan la materia y por las demás disposiciones aplicables o aquellas que las modifiquen, adicionen o sustituyan.</w:t>
      </w:r>
      <w:bookmarkEnd w:id="20"/>
    </w:p>
    <w:p w14:paraId="2A9564B2" w14:textId="51372C0F" w:rsidR="001322BF" w:rsidRPr="00FD2000" w:rsidRDefault="001322BF" w:rsidP="00CA5931">
      <w:pPr>
        <w:pStyle w:val="Estilo1"/>
        <w:numPr>
          <w:ilvl w:val="0"/>
          <w:numId w:val="32"/>
        </w:numPr>
        <w:spacing w:after="120"/>
        <w:ind w:left="714" w:hanging="357"/>
      </w:pPr>
      <w:r w:rsidRPr="00FD2000">
        <w:t xml:space="preserve">Carta de crédito stand </w:t>
      </w:r>
      <w:proofErr w:type="spellStart"/>
      <w:r w:rsidRPr="00FD2000">
        <w:t>by</w:t>
      </w:r>
      <w:proofErr w:type="spellEnd"/>
      <w:r w:rsidRPr="00FD2000">
        <w:t xml:space="preserve"> de una entidad financiera en Colombia: crédito documental e irrevocable, mediante el cual una institución financiera, debidamente autorizada por la Superintendencia Financiera, se compromete directamente o por intermedio de un banco corresponsal, al pago de las obligaciones indicadas en la presente resolución, contra la previa presentación de la carta de crédito stand </w:t>
      </w:r>
      <w:proofErr w:type="spellStart"/>
      <w:r w:rsidRPr="00FD2000">
        <w:t>by</w:t>
      </w:r>
      <w:proofErr w:type="spellEnd"/>
      <w:r w:rsidRPr="00FD2000">
        <w:t>. La forma y perfeccionami</w:t>
      </w:r>
      <w:r w:rsidR="008B3E3F" w:rsidRPr="00FD2000">
        <w:t>ento de e</w:t>
      </w:r>
      <w:r w:rsidRPr="00FD2000">
        <w:t>sta se regirán por las normas del Código de Comercio que regulan la materia y por las demás disposiciones aplicables o aquellas que las modifiquen, adicionen o sustituyan.</w:t>
      </w:r>
    </w:p>
    <w:p w14:paraId="27F60CC9" w14:textId="77777777" w:rsidR="001322BF" w:rsidRPr="00FD2000" w:rsidRDefault="001322BF" w:rsidP="00CA5931">
      <w:pPr>
        <w:pStyle w:val="Estilo1"/>
        <w:numPr>
          <w:ilvl w:val="0"/>
          <w:numId w:val="32"/>
        </w:numPr>
        <w:spacing w:after="120"/>
        <w:ind w:left="714" w:hanging="357"/>
      </w:pPr>
      <w:r w:rsidRPr="00FD2000">
        <w:t xml:space="preserve">Carta de crédito stand </w:t>
      </w:r>
      <w:proofErr w:type="spellStart"/>
      <w:r w:rsidRPr="00FD2000">
        <w:t>by</w:t>
      </w:r>
      <w:proofErr w:type="spellEnd"/>
      <w:r w:rsidRPr="00FD2000">
        <w:t xml:space="preserve"> de una entidad financiera del exterior: crédito documental e irrevocable mediante el cual una institución financiera del exterior se compromete directamente o por intermedio de un banco corresponsal al pago de las obligaciones establecidas en la presente resolución, contra la previa presentación de la carta de crédito stand </w:t>
      </w:r>
      <w:proofErr w:type="spellStart"/>
      <w:r w:rsidRPr="00FD2000">
        <w:t>by</w:t>
      </w:r>
      <w:proofErr w:type="spellEnd"/>
      <w:r w:rsidRPr="00FD2000">
        <w:t>.</w:t>
      </w:r>
    </w:p>
    <w:p w14:paraId="521EB634" w14:textId="6C1D2D99" w:rsidR="001322BF" w:rsidRPr="00FD2000" w:rsidRDefault="008B3E3F" w:rsidP="00CA5931">
      <w:pPr>
        <w:pStyle w:val="Estilo1"/>
        <w:numPr>
          <w:ilvl w:val="0"/>
          <w:numId w:val="32"/>
        </w:numPr>
        <w:spacing w:after="120"/>
        <w:ind w:left="714" w:hanging="357"/>
      </w:pPr>
      <w:bookmarkStart w:id="21" w:name="_Ref410740577"/>
      <w:r w:rsidRPr="00FD2000">
        <w:t>Prepago:</w:t>
      </w:r>
      <w:r w:rsidR="001322BF" w:rsidRPr="00FD2000">
        <w:t xml:space="preserve"> </w:t>
      </w:r>
      <w:r w:rsidRPr="00FD2000">
        <w:t>r</w:t>
      </w:r>
      <w:r w:rsidR="001322BF" w:rsidRPr="00FD2000">
        <w:t xml:space="preserve">ecursos en moneda </w:t>
      </w:r>
      <w:r w:rsidR="00D458AF" w:rsidRPr="00FD2000">
        <w:t>colombiana</w:t>
      </w:r>
      <w:r w:rsidR="001322BF" w:rsidRPr="00FD2000">
        <w:t xml:space="preserve"> que cubren el 100% del valor de la garantía.</w:t>
      </w:r>
      <w:bookmarkEnd w:id="21"/>
    </w:p>
    <w:bookmarkEnd w:id="17"/>
    <w:p w14:paraId="70DD643A" w14:textId="77777777" w:rsidR="001322BF" w:rsidRPr="00D6595B" w:rsidRDefault="001322BF" w:rsidP="001322BF">
      <w:pPr>
        <w:pStyle w:val="Prrafodelista"/>
        <w:jc w:val="center"/>
        <w:rPr>
          <w:rFonts w:ascii="Bookman Old Style" w:hAnsi="Bookman Old Style" w:cs="Arial"/>
          <w:b/>
          <w:color w:val="000000" w:themeColor="text1"/>
          <w:sz w:val="14"/>
          <w:szCs w:val="24"/>
        </w:rPr>
      </w:pPr>
    </w:p>
    <w:p w14:paraId="785AF097" w14:textId="52F8689A" w:rsidR="001322BF" w:rsidRDefault="001322BF" w:rsidP="00CA5931">
      <w:pPr>
        <w:pStyle w:val="Prrafodelista"/>
        <w:numPr>
          <w:ilvl w:val="0"/>
          <w:numId w:val="19"/>
        </w:numPr>
        <w:tabs>
          <w:tab w:val="left" w:pos="567"/>
        </w:tabs>
        <w:ind w:left="0" w:firstLine="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Mecanismos de cobertura.</w:t>
      </w:r>
    </w:p>
    <w:p w14:paraId="53CCC3DF" w14:textId="77777777" w:rsidR="001322BF" w:rsidRDefault="001322BF" w:rsidP="001322BF">
      <w:pPr>
        <w:pStyle w:val="Prrafodelista"/>
        <w:tabs>
          <w:tab w:val="left" w:pos="567"/>
        </w:tabs>
        <w:ind w:left="0"/>
        <w:jc w:val="both"/>
        <w:rPr>
          <w:rFonts w:ascii="Bookman Old Style" w:hAnsi="Bookman Old Style" w:cs="Arial"/>
          <w:b/>
          <w:color w:val="000000" w:themeColor="text1"/>
          <w:sz w:val="24"/>
          <w:szCs w:val="24"/>
        </w:rPr>
      </w:pPr>
    </w:p>
    <w:p w14:paraId="718314F4" w14:textId="41BAC409" w:rsidR="00B40CC4" w:rsidRDefault="00B40CC4" w:rsidP="00B40CC4">
      <w:pPr>
        <w:tabs>
          <w:tab w:val="left" w:pos="567"/>
        </w:tabs>
        <w:ind w:left="0"/>
        <w:jc w:val="both"/>
        <w:rPr>
          <w:rFonts w:ascii="Bookman Old Style" w:hAnsi="Bookman Old Style" w:cs="Arial"/>
          <w:color w:val="000000" w:themeColor="text1"/>
        </w:rPr>
      </w:pPr>
      <w:r>
        <w:rPr>
          <w:rFonts w:ascii="Bookman Old Style" w:hAnsi="Bookman Old Style" w:cs="Arial"/>
          <w:color w:val="000000" w:themeColor="text1"/>
        </w:rPr>
        <w:t>Los únicos tipos de garantías que serán aceptados para los efectos de poder</w:t>
      </w:r>
      <w:r w:rsidR="00EF10FA">
        <w:rPr>
          <w:rFonts w:ascii="Bookman Old Style" w:hAnsi="Bookman Old Style" w:cs="Arial"/>
          <w:color w:val="000000" w:themeColor="text1"/>
        </w:rPr>
        <w:t xml:space="preserve"> adquirir los servicios que el G</w:t>
      </w:r>
      <w:r>
        <w:rPr>
          <w:rFonts w:ascii="Bookman Old Style" w:hAnsi="Bookman Old Style" w:cs="Arial"/>
          <w:color w:val="000000" w:themeColor="text1"/>
        </w:rPr>
        <w:t>estor del mercado asignará de la infraestructura de importación del gas del Pacífico son los siguientes:</w:t>
      </w:r>
    </w:p>
    <w:p w14:paraId="4CC7D7C4" w14:textId="77777777" w:rsidR="00B40CC4" w:rsidRPr="00D6595B" w:rsidRDefault="00B40CC4" w:rsidP="001322BF">
      <w:pPr>
        <w:pStyle w:val="Prrafodelista"/>
        <w:tabs>
          <w:tab w:val="left" w:pos="567"/>
        </w:tabs>
        <w:ind w:left="0"/>
        <w:jc w:val="both"/>
        <w:rPr>
          <w:rFonts w:ascii="Bookman Old Style" w:hAnsi="Bookman Old Style" w:cs="Arial"/>
          <w:b/>
          <w:color w:val="000000" w:themeColor="text1"/>
          <w:sz w:val="16"/>
          <w:szCs w:val="24"/>
        </w:rPr>
      </w:pPr>
    </w:p>
    <w:p w14:paraId="29AD4F40" w14:textId="77777777" w:rsidR="001322BF" w:rsidRPr="003702E2" w:rsidRDefault="001322BF" w:rsidP="00CA5931">
      <w:pPr>
        <w:pStyle w:val="Prrafodelista"/>
        <w:numPr>
          <w:ilvl w:val="1"/>
          <w:numId w:val="19"/>
        </w:numPr>
        <w:tabs>
          <w:tab w:val="left" w:pos="1478"/>
        </w:tabs>
        <w:ind w:left="72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Garantía de participación</w:t>
      </w:r>
    </w:p>
    <w:p w14:paraId="78C603F1" w14:textId="77777777" w:rsidR="001322BF" w:rsidRDefault="001322BF" w:rsidP="001322BF">
      <w:pPr>
        <w:pStyle w:val="Prrafodelista"/>
        <w:tabs>
          <w:tab w:val="left" w:pos="567"/>
        </w:tabs>
        <w:ind w:left="0"/>
        <w:jc w:val="both"/>
        <w:rPr>
          <w:rFonts w:ascii="Bookman Old Style" w:hAnsi="Bookman Old Style" w:cs="Arial"/>
          <w:b/>
          <w:color w:val="000000" w:themeColor="text1"/>
          <w:sz w:val="24"/>
          <w:szCs w:val="24"/>
        </w:rPr>
      </w:pPr>
    </w:p>
    <w:p w14:paraId="06356AEB" w14:textId="3D8D4F2D" w:rsidR="001322BF" w:rsidRPr="00FD2000" w:rsidRDefault="001322BF" w:rsidP="00CA5931">
      <w:pPr>
        <w:pStyle w:val="Estilo1"/>
        <w:numPr>
          <w:ilvl w:val="0"/>
          <w:numId w:val="33"/>
        </w:numPr>
        <w:spacing w:after="120"/>
      </w:pPr>
      <w:r w:rsidRPr="00FD2000">
        <w:t>Sujetos objeto de la constitución de la garantía de participación:</w:t>
      </w:r>
      <w:r w:rsidR="00142DB0">
        <w:t xml:space="preserve"> </w:t>
      </w:r>
      <w:r w:rsidRPr="00FD2000">
        <w:t xml:space="preserve">Es obligatoria para los </w:t>
      </w:r>
      <w:r w:rsidR="001950AE" w:rsidRPr="00FD2000">
        <w:t>compradores</w:t>
      </w:r>
      <w:r w:rsidRPr="00FD2000">
        <w:t xml:space="preserve"> indicados en el artículo </w:t>
      </w:r>
      <w:r w:rsidR="001950AE" w:rsidRPr="00FD2000">
        <w:fldChar w:fldCharType="begin"/>
      </w:r>
      <w:r w:rsidR="001950AE" w:rsidRPr="00FD2000">
        <w:instrText xml:space="preserve"> REF _Ref501639282 \r \h\t  \* MERGEFORMAT </w:instrText>
      </w:r>
      <w:r w:rsidR="001950AE" w:rsidRPr="00FD2000">
        <w:fldChar w:fldCharType="separate"/>
      </w:r>
      <w:r w:rsidR="00BB7212">
        <w:t>4</w:t>
      </w:r>
      <w:r w:rsidR="001950AE" w:rsidRPr="00FD2000">
        <w:fldChar w:fldCharType="end"/>
      </w:r>
      <w:r w:rsidR="001950AE" w:rsidRPr="00FD2000">
        <w:t xml:space="preserve"> de esta resolución</w:t>
      </w:r>
      <w:r w:rsidRPr="00FD2000">
        <w:t xml:space="preserve"> que quieran acceder a los servicios de la infraestructura, cuya asignación está a cargo del </w:t>
      </w:r>
      <w:r w:rsidR="00142DB0">
        <w:t>G</w:t>
      </w:r>
      <w:r w:rsidRPr="00FD2000">
        <w:t>estor del mercado de gas natural</w:t>
      </w:r>
      <w:r w:rsidR="001950AE" w:rsidRPr="00FD2000">
        <w:t xml:space="preserve"> y solo en los casos en que la asignación de contratos se realice a través de subastas</w:t>
      </w:r>
      <w:r w:rsidRPr="00FD2000">
        <w:t>.</w:t>
      </w:r>
    </w:p>
    <w:p w14:paraId="7BBA8710" w14:textId="77777777" w:rsidR="001322BF" w:rsidRPr="00FD2000" w:rsidRDefault="001322BF" w:rsidP="00CA5931">
      <w:pPr>
        <w:pStyle w:val="Estilo1"/>
        <w:numPr>
          <w:ilvl w:val="0"/>
          <w:numId w:val="33"/>
        </w:numPr>
        <w:spacing w:after="120"/>
        <w:ind w:left="714" w:hanging="357"/>
      </w:pPr>
      <w:r w:rsidRPr="00FD2000">
        <w:t>Beneficiario de la garantía: El beneficiario de la garantía es el adjudicatario de la planta de regasificación del Pacífico y/o del gasoducto Buenaventura – Yumbo, según corresponda.</w:t>
      </w:r>
    </w:p>
    <w:p w14:paraId="4D4D13BF" w14:textId="060BE350" w:rsidR="001322BF" w:rsidRPr="00FD2000" w:rsidRDefault="001322BF" w:rsidP="00CA5931">
      <w:pPr>
        <w:pStyle w:val="Estilo1"/>
        <w:numPr>
          <w:ilvl w:val="0"/>
          <w:numId w:val="33"/>
        </w:numPr>
        <w:spacing w:after="120"/>
        <w:ind w:left="714" w:hanging="357"/>
      </w:pPr>
      <w:r w:rsidRPr="00FD2000">
        <w:t xml:space="preserve">Beneficiario de los recursos que resulten de la ejecución de la garantía de participación: Cuando haya lugar a la ejecución de la garantía de participación los recursos que resulten de </w:t>
      </w:r>
      <w:r w:rsidR="006B21FB" w:rsidRPr="00FD2000">
        <w:t xml:space="preserve">la ejecución de la misma serán para </w:t>
      </w:r>
      <w:r w:rsidRPr="00FD2000">
        <w:t>e</w:t>
      </w:r>
      <w:r w:rsidR="00D458AF" w:rsidRPr="00FD2000">
        <w:t>l adjudicatario de</w:t>
      </w:r>
      <w:r w:rsidRPr="00FD2000">
        <w:t xml:space="preserve"> la planta de regasificación del Pacífico y/o del gasoducto Buenaventura – Yumbo, según corresponda</w:t>
      </w:r>
      <w:r w:rsidR="002C64F7" w:rsidRPr="00FD2000">
        <w:t>.</w:t>
      </w:r>
    </w:p>
    <w:p w14:paraId="6A0E5B8E" w14:textId="7E02591C" w:rsidR="001322BF" w:rsidRPr="00FD2000" w:rsidRDefault="001322BF" w:rsidP="00CA5931">
      <w:pPr>
        <w:pStyle w:val="Estilo1"/>
        <w:numPr>
          <w:ilvl w:val="0"/>
          <w:numId w:val="33"/>
        </w:numPr>
        <w:spacing w:after="120"/>
        <w:ind w:left="714" w:hanging="357"/>
      </w:pPr>
      <w:r w:rsidRPr="00FD2000">
        <w:t>Fecha de entrega de la garantía: De acuerdo con el cronograma que la CREG defina</w:t>
      </w:r>
      <w:r w:rsidR="00142DB0">
        <w:t>,</w:t>
      </w:r>
      <w:r w:rsidRPr="00FD2000">
        <w:t xml:space="preserve"> el </w:t>
      </w:r>
      <w:r w:rsidR="00142DB0">
        <w:t>G</w:t>
      </w:r>
      <w:r w:rsidRPr="00FD2000">
        <w:t>estor del mercado de gas natural indicará la fecha en la que los agentes interesados en acceder a los servicios de la infraestructura de importación de gas del Pacífico deberán entregar la garantía.</w:t>
      </w:r>
    </w:p>
    <w:p w14:paraId="4D645A2C" w14:textId="77777777" w:rsidR="001322BF" w:rsidRPr="00FD2000" w:rsidRDefault="001322BF" w:rsidP="00CA5931">
      <w:pPr>
        <w:pStyle w:val="Estilo1"/>
        <w:numPr>
          <w:ilvl w:val="0"/>
          <w:numId w:val="33"/>
        </w:numPr>
        <w:spacing w:after="120"/>
        <w:ind w:left="714" w:hanging="357"/>
      </w:pPr>
      <w:r w:rsidRPr="00FD2000">
        <w:t xml:space="preserve">Vigencia de la garantía: El plazo que cubre la garantía corresponderá al número de días calendario desde la entrega de la garantía hasta el último </w:t>
      </w:r>
      <w:r w:rsidRPr="00FD2000">
        <w:lastRenderedPageBreak/>
        <w:t>día hábil previo al primer mes de inicio del compromiso más un (1) día hábil.</w:t>
      </w:r>
    </w:p>
    <w:p w14:paraId="5333D35A" w14:textId="77777777" w:rsidR="001322BF" w:rsidRPr="00FD2000" w:rsidRDefault="001322BF" w:rsidP="00CA5931">
      <w:pPr>
        <w:pStyle w:val="Estilo1"/>
        <w:numPr>
          <w:ilvl w:val="0"/>
          <w:numId w:val="33"/>
        </w:numPr>
        <w:spacing w:after="120"/>
        <w:ind w:left="714" w:hanging="357"/>
      </w:pPr>
      <w:r w:rsidRPr="00FD2000">
        <w:t>Valor de la garantía para los compradores: La garantía de participación debe cubrir el siguiente valor:</w:t>
      </w:r>
    </w:p>
    <w:p w14:paraId="063FFCB7" w14:textId="77777777" w:rsidR="001322BF" w:rsidRDefault="001322BF" w:rsidP="001322BF">
      <w:pPr>
        <w:pStyle w:val="Prrafodelista"/>
        <w:tabs>
          <w:tab w:val="left" w:pos="567"/>
        </w:tabs>
        <w:ind w:left="1080"/>
        <w:jc w:val="both"/>
        <w:rPr>
          <w:rFonts w:ascii="Bookman Old Style" w:hAnsi="Bookman Old Style" w:cs="Arial"/>
          <w:color w:val="000000" w:themeColor="text1"/>
          <w:sz w:val="24"/>
          <w:szCs w:val="24"/>
        </w:rPr>
      </w:pPr>
    </w:p>
    <w:p w14:paraId="157135A5" w14:textId="77777777" w:rsidR="001322BF" w:rsidRPr="00FC37D0" w:rsidRDefault="00B4212D" w:rsidP="001322BF">
      <w:pPr>
        <w:pStyle w:val="Prrafodelista"/>
        <w:tabs>
          <w:tab w:val="left" w:pos="567"/>
        </w:tabs>
        <w:ind w:left="1080"/>
        <w:jc w:val="both"/>
        <w:rPr>
          <w:rFonts w:ascii="Bookman Old Style" w:hAnsi="Bookman Old Style" w:cs="Arial"/>
          <w:color w:val="000000" w:themeColor="text1"/>
          <w:sz w:val="24"/>
          <w:szCs w:val="24"/>
          <w:highlight w:val="yellow"/>
        </w:rPr>
      </w:pPr>
      <m:oMathPara>
        <m:oMathParaPr>
          <m:jc m:val="center"/>
        </m:oMathPara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ValorP</m:t>
              </m:r>
            </m:e>
            <m:sub>
              <m:r>
                <w:rPr>
                  <w:rFonts w:ascii="Cambria Math" w:hAnsi="Cambria Math" w:cs="Arial"/>
                  <w:color w:val="000000" w:themeColor="text1"/>
                  <w:sz w:val="24"/>
                  <w:szCs w:val="24"/>
                </w:rPr>
                <m:t>c =</m:t>
              </m:r>
            </m:sub>
          </m:sSub>
          <m:r>
            <w:rPr>
              <w:rFonts w:ascii="Cambria Math" w:hAnsi="Cambria Math" w:cs="Arial"/>
              <w:color w:val="000000" w:themeColor="text1"/>
              <w:sz w:val="24"/>
              <w:szCs w:val="24"/>
            </w:rPr>
            <m:t xml:space="preserve"> 0,05 ×30 ×</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Demanda</m:t>
              </m:r>
            </m:e>
            <m:sub>
              <m:r>
                <w:rPr>
                  <w:rFonts w:ascii="Cambria Math" w:hAnsi="Cambria Math" w:cs="Arial"/>
                  <w:color w:val="000000" w:themeColor="text1"/>
                  <w:sz w:val="24"/>
                  <w:szCs w:val="24"/>
                </w:rPr>
                <m:t>c</m:t>
              </m:r>
            </m:sub>
          </m:sSub>
          <m:r>
            <w:rPr>
              <w:rFonts w:ascii="Cambria Math" w:hAnsi="Cambria Math" w:cs="Arial"/>
              <w:color w:val="000000" w:themeColor="text1"/>
              <w:sz w:val="24"/>
              <w:szCs w:val="24"/>
            </w:rPr>
            <m:t xml:space="preserve"> ×p ×TRM</m:t>
          </m:r>
        </m:oMath>
      </m:oMathPara>
    </w:p>
    <w:p w14:paraId="3323C50C" w14:textId="77777777" w:rsidR="001322BF" w:rsidRDefault="001322BF" w:rsidP="001322BF">
      <w:pPr>
        <w:pStyle w:val="Prrafodelista"/>
        <w:rPr>
          <w:rFonts w:ascii="Bookman Old Style" w:hAnsi="Bookman Old Style" w:cs="Arial"/>
          <w:color w:val="000000" w:themeColor="text1"/>
          <w:sz w:val="24"/>
          <w:szCs w:val="24"/>
          <w:highlight w:val="yellow"/>
        </w:rPr>
      </w:pPr>
    </w:p>
    <w:p w14:paraId="248368DE" w14:textId="77777777" w:rsidR="001322BF" w:rsidRPr="00690670" w:rsidRDefault="001322BF" w:rsidP="00690670">
      <w:pPr>
        <w:tabs>
          <w:tab w:val="left" w:pos="567"/>
        </w:tabs>
        <w:jc w:val="both"/>
        <w:rPr>
          <w:rFonts w:ascii="Bookman Old Style" w:hAnsi="Bookman Old Style" w:cs="Arial"/>
          <w:color w:val="000000" w:themeColor="text1"/>
        </w:rPr>
      </w:pPr>
      <w:r w:rsidRPr="00690670">
        <w:rPr>
          <w:rFonts w:ascii="Bookman Old Style" w:hAnsi="Bookman Old Style" w:cs="Arial"/>
          <w:color w:val="000000" w:themeColor="text1"/>
        </w:rPr>
        <w:t>Donde:</w:t>
      </w:r>
    </w:p>
    <w:p w14:paraId="605AD900" w14:textId="77777777" w:rsidR="001322BF" w:rsidRDefault="001322BF" w:rsidP="001322BF">
      <w:pPr>
        <w:pStyle w:val="Prrafodelista"/>
        <w:tabs>
          <w:tab w:val="left" w:pos="567"/>
        </w:tabs>
        <w:ind w:left="1080"/>
        <w:jc w:val="both"/>
        <w:rPr>
          <w:rFonts w:ascii="Bookman Old Style" w:hAnsi="Bookman Old Style" w:cs="Arial"/>
          <w:color w:val="000000" w:themeColor="text1"/>
          <w:sz w:val="24"/>
          <w:szCs w:val="24"/>
        </w:rPr>
      </w:pPr>
    </w:p>
    <w:tbl>
      <w:tblPr>
        <w:tblStyle w:val="Tablaconcuadrcula"/>
        <w:tblW w:w="0" w:type="auto"/>
        <w:tblInd w:w="421"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60"/>
        <w:gridCol w:w="6775"/>
      </w:tblGrid>
      <w:tr w:rsidR="001322BF" w14:paraId="7A4F5753" w14:textId="77777777" w:rsidTr="00690670">
        <w:tc>
          <w:tcPr>
            <w:tcW w:w="1560" w:type="dxa"/>
          </w:tcPr>
          <w:p w14:paraId="1843B25D" w14:textId="77777777" w:rsidR="001322BF" w:rsidRPr="0016383D" w:rsidRDefault="001322BF" w:rsidP="003D5C1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c</m:t>
              </m:r>
            </m:oMath>
            <w:r>
              <w:rPr>
                <w:rFonts w:ascii="Bookman Old Style" w:hAnsi="Bookman Old Style" w:cs="Arial"/>
                <w:color w:val="000000" w:themeColor="text1"/>
                <w:sz w:val="24"/>
                <w:szCs w:val="24"/>
              </w:rPr>
              <w:t>:</w:t>
            </w:r>
          </w:p>
        </w:tc>
        <w:tc>
          <w:tcPr>
            <w:tcW w:w="6775" w:type="dxa"/>
          </w:tcPr>
          <w:p w14:paraId="781E59B2" w14:textId="77777777" w:rsidR="001322BF" w:rsidRDefault="001322BF" w:rsidP="003D5C1D">
            <w:pPr>
              <w:pStyle w:val="Prrafodelista"/>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Comprador</w:t>
            </w:r>
          </w:p>
          <w:p w14:paraId="3F63FF8B" w14:textId="77777777" w:rsidR="001322BF" w:rsidRDefault="001322BF" w:rsidP="003D5C1D">
            <w:pPr>
              <w:pStyle w:val="Prrafodelista"/>
              <w:ind w:left="0"/>
              <w:jc w:val="both"/>
              <w:rPr>
                <w:rFonts w:ascii="Bookman Old Style" w:hAnsi="Bookman Old Style" w:cs="Arial"/>
                <w:color w:val="000000" w:themeColor="text1"/>
                <w:sz w:val="24"/>
                <w:szCs w:val="24"/>
              </w:rPr>
            </w:pPr>
          </w:p>
        </w:tc>
      </w:tr>
      <w:tr w:rsidR="001322BF" w14:paraId="1D86F28C" w14:textId="77777777" w:rsidTr="00690670">
        <w:tc>
          <w:tcPr>
            <w:tcW w:w="1560" w:type="dxa"/>
          </w:tcPr>
          <w:p w14:paraId="50D61791" w14:textId="77777777" w:rsidR="001322BF" w:rsidRPr="00FE3867" w:rsidRDefault="00B4212D" w:rsidP="003D5C1D">
            <w:pPr>
              <w:pStyle w:val="Prrafodelista"/>
              <w:tabs>
                <w:tab w:val="left" w:pos="567"/>
              </w:tabs>
              <w:ind w:left="0"/>
              <w:jc w:val="both"/>
              <w:rPr>
                <w:rFonts w:ascii="Bookman Old Style" w:hAnsi="Bookman Old Style" w:cs="Arial"/>
                <w:color w:val="000000" w:themeColor="text1"/>
                <w:sz w:val="24"/>
                <w:szCs w:val="24"/>
              </w:rPr>
            </w:pPr>
            <m:oMathPara>
              <m:oMathParaPr>
                <m:jc m:val="left"/>
              </m:oMathPara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ValorP</m:t>
                    </m:r>
                  </m:e>
                  <m:sub>
                    <m:r>
                      <w:rPr>
                        <w:rFonts w:ascii="Cambria Math" w:hAnsi="Cambria Math" w:cs="Arial"/>
                        <w:color w:val="000000" w:themeColor="text1"/>
                        <w:sz w:val="24"/>
                        <w:szCs w:val="24"/>
                      </w:rPr>
                      <m:t>c</m:t>
                    </m:r>
                  </m:sub>
                </m:sSub>
                <m:r>
                  <w:rPr>
                    <w:rFonts w:ascii="Cambria Math" w:hAnsi="Cambria Math" w:cs="Arial"/>
                    <w:color w:val="000000" w:themeColor="text1"/>
                    <w:sz w:val="24"/>
                    <w:szCs w:val="24"/>
                  </w:rPr>
                  <m:t>:</m:t>
                </m:r>
              </m:oMath>
            </m:oMathPara>
          </w:p>
          <w:p w14:paraId="4052FECD" w14:textId="77777777" w:rsidR="001322BF" w:rsidRDefault="001322BF" w:rsidP="003D5C1D">
            <w:pPr>
              <w:pStyle w:val="Prrafodelista"/>
              <w:tabs>
                <w:tab w:val="left" w:pos="567"/>
              </w:tabs>
              <w:ind w:left="0"/>
              <w:jc w:val="both"/>
              <w:rPr>
                <w:color w:val="000000" w:themeColor="text1"/>
                <w:sz w:val="24"/>
                <w:szCs w:val="24"/>
              </w:rPr>
            </w:pPr>
          </w:p>
        </w:tc>
        <w:tc>
          <w:tcPr>
            <w:tcW w:w="6775" w:type="dxa"/>
          </w:tcPr>
          <w:p w14:paraId="4B05D23E" w14:textId="77777777" w:rsidR="001322BF" w:rsidRDefault="001322BF" w:rsidP="003D5C1D">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Valor de la garantía </w:t>
            </w:r>
            <w:r w:rsidR="003D5C1D">
              <w:rPr>
                <w:rFonts w:ascii="Bookman Old Style" w:hAnsi="Bookman Old Style" w:cs="Arial"/>
                <w:sz w:val="24"/>
                <w:szCs w:val="24"/>
              </w:rPr>
              <w:t xml:space="preserve">de participación </w:t>
            </w:r>
            <w:r>
              <w:rPr>
                <w:rFonts w:ascii="Bookman Old Style" w:hAnsi="Bookman Old Style" w:cs="Arial"/>
                <w:sz w:val="24"/>
                <w:szCs w:val="24"/>
              </w:rPr>
              <w:t xml:space="preserve">en pesos </w:t>
            </w:r>
            <w:r w:rsidR="003D5C1D">
              <w:rPr>
                <w:rFonts w:ascii="Bookman Old Style" w:hAnsi="Bookman Old Style" w:cs="Arial"/>
                <w:sz w:val="24"/>
                <w:szCs w:val="24"/>
              </w:rPr>
              <w:t>colombianos</w:t>
            </w:r>
            <w:r>
              <w:rPr>
                <w:rFonts w:ascii="Bookman Old Style" w:hAnsi="Bookman Old Style" w:cs="Arial"/>
                <w:sz w:val="24"/>
                <w:szCs w:val="24"/>
              </w:rPr>
              <w:t>.</w:t>
            </w:r>
          </w:p>
          <w:p w14:paraId="395F7136" w14:textId="77777777" w:rsidR="001322BF" w:rsidRDefault="001322BF" w:rsidP="003D5C1D">
            <w:pPr>
              <w:pStyle w:val="Prrafodelista"/>
              <w:ind w:left="0"/>
              <w:jc w:val="both"/>
              <w:rPr>
                <w:rFonts w:ascii="Bookman Old Style" w:hAnsi="Bookman Old Style" w:cs="Arial"/>
                <w:color w:val="000000" w:themeColor="text1"/>
                <w:sz w:val="24"/>
                <w:szCs w:val="24"/>
              </w:rPr>
            </w:pPr>
          </w:p>
        </w:tc>
      </w:tr>
      <w:tr w:rsidR="001322BF" w14:paraId="6F255B8B" w14:textId="77777777" w:rsidTr="00690670">
        <w:tc>
          <w:tcPr>
            <w:tcW w:w="1560" w:type="dxa"/>
          </w:tcPr>
          <w:p w14:paraId="5D1394BD" w14:textId="77777777" w:rsidR="001322BF" w:rsidRDefault="001322BF" w:rsidP="003D5C1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p</m:t>
              </m:r>
            </m:oMath>
            <w:r>
              <w:rPr>
                <w:rFonts w:ascii="Bookman Old Style" w:hAnsi="Bookman Old Style" w:cs="Arial"/>
                <w:color w:val="000000" w:themeColor="text1"/>
                <w:sz w:val="24"/>
                <w:szCs w:val="24"/>
              </w:rPr>
              <w:t>:</w:t>
            </w:r>
          </w:p>
        </w:tc>
        <w:tc>
          <w:tcPr>
            <w:tcW w:w="6775" w:type="dxa"/>
          </w:tcPr>
          <w:p w14:paraId="533DF31F" w14:textId="77777777" w:rsidR="001322BF" w:rsidRDefault="001978D8" w:rsidP="003D5C1D">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0,24 </w:t>
            </w:r>
            <w:r w:rsidR="001322BF">
              <w:rPr>
                <w:rFonts w:ascii="Bookman Old Style" w:hAnsi="Bookman Old Style" w:cs="Arial"/>
                <w:sz w:val="24"/>
                <w:szCs w:val="24"/>
              </w:rPr>
              <w:t>dólares de</w:t>
            </w:r>
            <w:r>
              <w:rPr>
                <w:rFonts w:ascii="Bookman Old Style" w:hAnsi="Bookman Old Style" w:cs="Arial"/>
                <w:sz w:val="24"/>
                <w:szCs w:val="24"/>
              </w:rPr>
              <w:t xml:space="preserve"> los Estados Unidos de América por MBTU.</w:t>
            </w:r>
          </w:p>
          <w:p w14:paraId="0AA4CBA6" w14:textId="77777777" w:rsidR="001322BF" w:rsidRPr="00CB46CD" w:rsidRDefault="001322BF" w:rsidP="003D5C1D">
            <w:pPr>
              <w:pStyle w:val="Prrafodelista"/>
              <w:ind w:left="0"/>
              <w:jc w:val="both"/>
              <w:rPr>
                <w:rFonts w:ascii="Bookman Old Style" w:hAnsi="Bookman Old Style" w:cs="Arial"/>
                <w:sz w:val="24"/>
                <w:szCs w:val="24"/>
              </w:rPr>
            </w:pPr>
          </w:p>
        </w:tc>
      </w:tr>
      <w:tr w:rsidR="001322BF" w14:paraId="54E4340B" w14:textId="77777777" w:rsidTr="00690670">
        <w:tc>
          <w:tcPr>
            <w:tcW w:w="1560" w:type="dxa"/>
          </w:tcPr>
          <w:p w14:paraId="0735E533" w14:textId="77777777" w:rsidR="001322BF" w:rsidRDefault="001322BF" w:rsidP="003D5C1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TRM</m:t>
              </m:r>
            </m:oMath>
            <w:r>
              <w:rPr>
                <w:rFonts w:ascii="Bookman Old Style" w:hAnsi="Bookman Old Style" w:cs="Arial"/>
                <w:color w:val="000000" w:themeColor="text1"/>
                <w:sz w:val="24"/>
                <w:szCs w:val="24"/>
              </w:rPr>
              <w:t>:</w:t>
            </w:r>
          </w:p>
        </w:tc>
        <w:tc>
          <w:tcPr>
            <w:tcW w:w="6775" w:type="dxa"/>
          </w:tcPr>
          <w:p w14:paraId="39A69930" w14:textId="77777777" w:rsidR="001322BF" w:rsidRDefault="001322BF" w:rsidP="003D5C1D">
            <w:pPr>
              <w:pStyle w:val="Prrafodelista"/>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Valor de la Tasa Representativa del Mercado en pesos </w:t>
            </w:r>
            <w:proofErr w:type="gramStart"/>
            <w:r>
              <w:rPr>
                <w:rFonts w:ascii="Bookman Old Style" w:hAnsi="Bookman Old Style" w:cs="Arial"/>
                <w:color w:val="000000" w:themeColor="text1"/>
                <w:sz w:val="24"/>
                <w:szCs w:val="24"/>
              </w:rPr>
              <w:t>Colombianos</w:t>
            </w:r>
            <w:proofErr w:type="gramEnd"/>
            <w:r>
              <w:rPr>
                <w:rFonts w:ascii="Bookman Old Style" w:hAnsi="Bookman Old Style" w:cs="Arial"/>
                <w:color w:val="000000" w:themeColor="text1"/>
                <w:sz w:val="24"/>
                <w:szCs w:val="24"/>
              </w:rPr>
              <w:t xml:space="preserve"> por dólar de los Estados Unidos de América, del último día hábil del mes anterior a la estimación de la garantía, certificado por la Superintendencia Financiera de Colombia.</w:t>
            </w:r>
          </w:p>
          <w:p w14:paraId="474FA11A" w14:textId="77777777" w:rsidR="001322BF" w:rsidRDefault="001322BF" w:rsidP="003D5C1D">
            <w:pPr>
              <w:pStyle w:val="Prrafodelista"/>
              <w:ind w:left="0"/>
              <w:jc w:val="both"/>
              <w:rPr>
                <w:rFonts w:ascii="Bookman Old Style" w:hAnsi="Bookman Old Style" w:cs="Arial"/>
                <w:color w:val="000000" w:themeColor="text1"/>
                <w:sz w:val="24"/>
                <w:szCs w:val="24"/>
              </w:rPr>
            </w:pPr>
          </w:p>
        </w:tc>
      </w:tr>
      <w:tr w:rsidR="001322BF" w14:paraId="6F6E5AB5" w14:textId="77777777" w:rsidTr="00690670">
        <w:tc>
          <w:tcPr>
            <w:tcW w:w="1560" w:type="dxa"/>
          </w:tcPr>
          <w:p w14:paraId="51AD5C6B" w14:textId="77777777" w:rsidR="001322BF" w:rsidRPr="002705E0" w:rsidRDefault="00B4212D" w:rsidP="003D5C1D">
            <w:pPr>
              <w:pStyle w:val="Prrafodelista"/>
              <w:ind w:left="0"/>
              <w:rPr>
                <w:rFonts w:ascii="Bookman Old Style" w:hAnsi="Bookman Old Style" w:cs="Arial"/>
                <w:color w:val="000000" w:themeColor="text1"/>
                <w:sz w:val="24"/>
                <w:szCs w:val="24"/>
              </w:rPr>
            </w:p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Demanda</m:t>
                  </m:r>
                </m:e>
                <m:sub>
                  <m:r>
                    <w:rPr>
                      <w:rFonts w:ascii="Cambria Math" w:hAnsi="Cambria Math" w:cs="Arial"/>
                      <w:color w:val="000000" w:themeColor="text1"/>
                      <w:sz w:val="24"/>
                      <w:szCs w:val="24"/>
                    </w:rPr>
                    <m:t>c</m:t>
                  </m:r>
                </m:sub>
              </m:sSub>
            </m:oMath>
            <w:r w:rsidR="001322BF">
              <w:rPr>
                <w:rFonts w:ascii="Bookman Old Style" w:hAnsi="Bookman Old Style" w:cs="Arial"/>
                <w:color w:val="000000" w:themeColor="text1"/>
                <w:sz w:val="24"/>
                <w:szCs w:val="24"/>
              </w:rPr>
              <w:t>:</w:t>
            </w:r>
          </w:p>
        </w:tc>
        <w:tc>
          <w:tcPr>
            <w:tcW w:w="6775" w:type="dxa"/>
          </w:tcPr>
          <w:p w14:paraId="02BF4739" w14:textId="77777777" w:rsidR="001322BF" w:rsidRDefault="001978D8" w:rsidP="003D5C1D">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V</w:t>
            </w:r>
            <w:r w:rsidR="001322BF">
              <w:rPr>
                <w:rFonts w:ascii="Bookman Old Style" w:hAnsi="Bookman Old Style" w:cs="Arial"/>
                <w:color w:val="000000" w:themeColor="text1"/>
                <w:sz w:val="24"/>
                <w:szCs w:val="24"/>
              </w:rPr>
              <w:t xml:space="preserve">alor de la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Demanda</m:t>
                  </m:r>
                </m:e>
                <m:sub>
                  <m:r>
                    <w:rPr>
                      <w:rFonts w:ascii="Cambria Math" w:hAnsi="Cambria Math" w:cs="Arial"/>
                      <w:color w:val="000000" w:themeColor="text1"/>
                      <w:sz w:val="24"/>
                      <w:szCs w:val="24"/>
                    </w:rPr>
                    <m:t>c</m:t>
                  </m:r>
                </m:sub>
              </m:sSub>
            </m:oMath>
            <w:r w:rsidR="001322BF">
              <w:rPr>
                <w:rFonts w:ascii="Bookman Old Style" w:hAnsi="Bookman Old Style" w:cs="Arial"/>
                <w:color w:val="000000" w:themeColor="text1"/>
                <w:sz w:val="24"/>
                <w:szCs w:val="24"/>
              </w:rPr>
              <w:t xml:space="preserve"> </w:t>
            </w:r>
            <w:r>
              <w:rPr>
                <w:rFonts w:ascii="Bookman Old Style" w:hAnsi="Bookman Old Style" w:cs="Arial"/>
                <w:color w:val="000000" w:themeColor="text1"/>
                <w:sz w:val="24"/>
                <w:szCs w:val="24"/>
              </w:rPr>
              <w:t>del comprador c interesado en participar en la subasta.</w:t>
            </w:r>
          </w:p>
          <w:p w14:paraId="7F1BFAB8" w14:textId="77777777" w:rsidR="001322BF" w:rsidRPr="0016383D" w:rsidRDefault="001322BF" w:rsidP="003D5C1D">
            <w:pPr>
              <w:pStyle w:val="Prrafodelista"/>
              <w:tabs>
                <w:tab w:val="left" w:pos="567"/>
              </w:tabs>
              <w:ind w:left="0"/>
              <w:jc w:val="both"/>
              <w:rPr>
                <w:rFonts w:ascii="Bookman Old Style" w:hAnsi="Bookman Old Style" w:cs="Arial"/>
                <w:color w:val="000000" w:themeColor="text1"/>
              </w:rPr>
            </w:pPr>
            <w:r>
              <w:rPr>
                <w:rFonts w:ascii="Bookman Old Style" w:hAnsi="Bookman Old Style" w:cs="Arial"/>
                <w:color w:val="000000" w:themeColor="text1"/>
                <w:sz w:val="24"/>
                <w:szCs w:val="24"/>
              </w:rPr>
              <w:t xml:space="preserve"> </w:t>
            </w:r>
          </w:p>
        </w:tc>
      </w:tr>
      <w:tr w:rsidR="001322BF" w14:paraId="1BB60096" w14:textId="77777777" w:rsidTr="00690670">
        <w:tc>
          <w:tcPr>
            <w:tcW w:w="1560" w:type="dxa"/>
          </w:tcPr>
          <w:p w14:paraId="779AB7E1" w14:textId="03E62786" w:rsidR="001322BF" w:rsidRDefault="00B4212D" w:rsidP="003D5C1D">
            <w:pPr>
              <w:pStyle w:val="Prrafodelista"/>
              <w:ind w:left="0"/>
              <w:rPr>
                <w:rFonts w:ascii="Bookman Old Style" w:hAnsi="Bookman Old Style" w:cs="Arial"/>
                <w:color w:val="000000" w:themeColor="text1"/>
                <w:sz w:val="24"/>
                <w:szCs w:val="24"/>
              </w:rPr>
            </w:pPr>
            <m:oMathPara>
              <m:oMath>
                <m:sSubSup>
                  <m:sSubSupPr>
                    <m:ctrlPr>
                      <w:rPr>
                        <w:rFonts w:ascii="Cambria Math" w:hAnsi="Cambria Math" w:cs="Arial"/>
                        <w:i/>
                        <w:color w:val="000000" w:themeColor="text1"/>
                        <w:sz w:val="24"/>
                        <w:szCs w:val="24"/>
                      </w:rPr>
                    </m:ctrlPr>
                  </m:sSubSupPr>
                  <m:e>
                    <m:r>
                      <w:rPr>
                        <w:rFonts w:ascii="Cambria Math" w:hAnsi="Cambria Math" w:cs="Arial"/>
                        <w:color w:val="000000" w:themeColor="text1"/>
                        <w:sz w:val="24"/>
                        <w:szCs w:val="24"/>
                      </w:rPr>
                      <m:t>Demanda</m:t>
                    </m:r>
                  </m:e>
                  <m:sub>
                    <m:r>
                      <w:rPr>
                        <w:rFonts w:ascii="Cambria Math" w:hAnsi="Cambria Math" w:cs="Arial"/>
                        <w:color w:val="000000" w:themeColor="text1"/>
                        <w:sz w:val="24"/>
                        <w:szCs w:val="24"/>
                      </w:rPr>
                      <m:t>c</m:t>
                    </m:r>
                  </m:sub>
                  <m:sup>
                    <m:r>
                      <w:rPr>
                        <w:rFonts w:ascii="Cambria Math" w:hAnsi="Cambria Math" w:cs="Arial"/>
                        <w:color w:val="000000" w:themeColor="text1"/>
                        <w:sz w:val="24"/>
                        <w:szCs w:val="24"/>
                      </w:rPr>
                      <m:t>'</m:t>
                    </m:r>
                  </m:sup>
                </m:sSubSup>
                <m:r>
                  <w:rPr>
                    <w:rFonts w:ascii="Cambria Math" w:hAnsi="Cambria Math" w:cs="Arial"/>
                    <w:color w:val="000000" w:themeColor="text1"/>
                    <w:sz w:val="24"/>
                    <w:szCs w:val="24"/>
                  </w:rPr>
                  <m:t>:</m:t>
                </m:r>
              </m:oMath>
            </m:oMathPara>
          </w:p>
        </w:tc>
        <w:tc>
          <w:tcPr>
            <w:tcW w:w="6775" w:type="dxa"/>
          </w:tcPr>
          <w:p w14:paraId="058D22C3" w14:textId="77777777" w:rsidR="001322BF" w:rsidRDefault="001322BF" w:rsidP="003D5C1D">
            <w:pPr>
              <w:pStyle w:val="Prrafodelista"/>
              <w:ind w:left="0"/>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Cantidad de energía que el comprador </w:t>
            </w:r>
            <m:oMath>
              <m:r>
                <w:rPr>
                  <w:rFonts w:ascii="Cambria Math" w:hAnsi="Cambria Math" w:cs="Arial"/>
                  <w:color w:val="000000" w:themeColor="text1"/>
                  <w:sz w:val="24"/>
                  <w:szCs w:val="24"/>
                </w:rPr>
                <m:t>c</m:t>
              </m:r>
            </m:oMath>
            <w:r>
              <w:rPr>
                <w:rFonts w:ascii="Bookman Old Style" w:hAnsi="Bookman Old Style" w:cs="Arial"/>
                <w:color w:val="000000" w:themeColor="text1"/>
                <w:sz w:val="24"/>
                <w:szCs w:val="24"/>
              </w:rPr>
              <w:t xml:space="preserve"> declara en la subasta.</w:t>
            </w:r>
          </w:p>
          <w:p w14:paraId="127B353C" w14:textId="77777777" w:rsidR="001322BF" w:rsidRDefault="001322BF" w:rsidP="003D5C1D">
            <w:pPr>
              <w:pStyle w:val="Prrafodelista"/>
              <w:ind w:left="0"/>
              <w:rPr>
                <w:rFonts w:ascii="Bookman Old Style" w:hAnsi="Bookman Old Style" w:cs="Arial"/>
                <w:color w:val="000000" w:themeColor="text1"/>
                <w:sz w:val="24"/>
                <w:szCs w:val="24"/>
              </w:rPr>
            </w:pPr>
          </w:p>
        </w:tc>
      </w:tr>
    </w:tbl>
    <w:p w14:paraId="30414067" w14:textId="77777777" w:rsidR="001322BF" w:rsidRPr="00FD2000" w:rsidRDefault="001322BF" w:rsidP="00CA5931">
      <w:pPr>
        <w:pStyle w:val="Estilo1"/>
        <w:numPr>
          <w:ilvl w:val="0"/>
          <w:numId w:val="33"/>
        </w:numPr>
        <w:spacing w:after="120"/>
        <w:ind w:left="714" w:hanging="357"/>
      </w:pPr>
      <w:r w:rsidRPr="00FD2000">
        <w:t xml:space="preserve">Evento que da lugar a la ejecución de la garantía de participación: </w:t>
      </w:r>
      <w:r w:rsidR="00791498" w:rsidRPr="00FD2000">
        <w:t>El evento que da lugar a la ejecución de la garantía de participación es la no entrega de la garantía de cumplimiento</w:t>
      </w:r>
      <w:r w:rsidR="00B16246" w:rsidRPr="00FD2000">
        <w:t>.</w:t>
      </w:r>
    </w:p>
    <w:p w14:paraId="525074F3" w14:textId="77777777" w:rsidR="001322BF" w:rsidRPr="00977AB1" w:rsidRDefault="001322BF" w:rsidP="001322BF">
      <w:pPr>
        <w:tabs>
          <w:tab w:val="left" w:pos="567"/>
        </w:tabs>
        <w:ind w:left="360"/>
        <w:jc w:val="both"/>
        <w:rPr>
          <w:rFonts w:ascii="Bookman Old Style" w:hAnsi="Bookman Old Style" w:cs="Arial"/>
          <w:color w:val="000000" w:themeColor="text1"/>
          <w:lang w:val="es-CO"/>
        </w:rPr>
      </w:pPr>
    </w:p>
    <w:p w14:paraId="73A37DB1" w14:textId="77777777" w:rsidR="001322BF" w:rsidRPr="003702E2" w:rsidRDefault="001322BF" w:rsidP="00CA5931">
      <w:pPr>
        <w:pStyle w:val="Prrafodelista"/>
        <w:numPr>
          <w:ilvl w:val="1"/>
          <w:numId w:val="19"/>
        </w:numPr>
        <w:tabs>
          <w:tab w:val="left" w:pos="1478"/>
        </w:tabs>
        <w:ind w:left="72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Garantía de cumplimiento</w:t>
      </w:r>
    </w:p>
    <w:p w14:paraId="6219F353" w14:textId="77777777" w:rsidR="001322BF" w:rsidRDefault="001322BF" w:rsidP="001322BF">
      <w:pPr>
        <w:pStyle w:val="Prrafodelista"/>
        <w:tabs>
          <w:tab w:val="left" w:pos="567"/>
        </w:tabs>
        <w:ind w:left="0"/>
        <w:jc w:val="both"/>
        <w:rPr>
          <w:rFonts w:ascii="Bookman Old Style" w:hAnsi="Bookman Old Style" w:cs="Arial"/>
          <w:b/>
          <w:color w:val="000000" w:themeColor="text1"/>
          <w:sz w:val="24"/>
          <w:szCs w:val="24"/>
        </w:rPr>
      </w:pPr>
    </w:p>
    <w:p w14:paraId="304FAE53" w14:textId="37C4C012" w:rsidR="00B16246" w:rsidRPr="00FD2000" w:rsidRDefault="001322BF" w:rsidP="00CA5931">
      <w:pPr>
        <w:pStyle w:val="Estilo1"/>
        <w:numPr>
          <w:ilvl w:val="0"/>
          <w:numId w:val="34"/>
        </w:numPr>
        <w:spacing w:after="120"/>
        <w:ind w:left="714" w:hanging="357"/>
      </w:pPr>
      <w:bookmarkStart w:id="22" w:name="_Ref410740913"/>
      <w:r w:rsidRPr="00FD2000">
        <w:t>Sujetos objeto de la constitución de la garantía de cumplimiento:</w:t>
      </w:r>
      <w:bookmarkEnd w:id="22"/>
      <w:r w:rsidR="00142DB0">
        <w:t xml:space="preserve"> </w:t>
      </w:r>
      <w:r w:rsidR="00306B23" w:rsidRPr="00FD2000">
        <w:t>Cuando hay subasta la constitución de la garantía de cumplimiento es obligatoria para aquellos agentes que resultaron con asignaciones.</w:t>
      </w:r>
    </w:p>
    <w:p w14:paraId="7BDF7F3D" w14:textId="5B79095D" w:rsidR="00306B23" w:rsidRPr="00FD2000" w:rsidRDefault="00306B23" w:rsidP="00142DB0">
      <w:pPr>
        <w:pStyle w:val="Estilo1"/>
        <w:spacing w:after="120"/>
        <w:ind w:left="714"/>
      </w:pPr>
      <w:r w:rsidRPr="00FD2000">
        <w:t>Cuando no hay subasta la constitución de la garantía de cumplimiento es obligatoria para</w:t>
      </w:r>
      <w:r w:rsidR="001950AE" w:rsidRPr="00FD2000">
        <w:t xml:space="preserve"> los compradores</w:t>
      </w:r>
      <w:r w:rsidRPr="00FD2000">
        <w:t xml:space="preserve"> </w:t>
      </w:r>
      <w:r w:rsidR="001950AE" w:rsidRPr="00FD2000">
        <w:t>indicados en el artículo 3 de esta resolución</w:t>
      </w:r>
      <w:r w:rsidRPr="00FD2000">
        <w:t xml:space="preserve"> que quieran acceder a los servicios de la infraestructura y cuya asignación está a cargo del </w:t>
      </w:r>
      <w:r w:rsidR="002928BD">
        <w:t>G</w:t>
      </w:r>
      <w:r w:rsidRPr="00FD2000">
        <w:t>estor del mercado de gas natural.</w:t>
      </w:r>
    </w:p>
    <w:p w14:paraId="3F906E66" w14:textId="77777777" w:rsidR="001322BF" w:rsidRPr="00FD2000" w:rsidRDefault="001322BF" w:rsidP="00CA5931">
      <w:pPr>
        <w:pStyle w:val="Estilo1"/>
        <w:numPr>
          <w:ilvl w:val="0"/>
          <w:numId w:val="34"/>
        </w:numPr>
        <w:spacing w:after="120"/>
        <w:ind w:left="714" w:hanging="357"/>
      </w:pPr>
      <w:r w:rsidRPr="00FD2000">
        <w:t xml:space="preserve">Beneficiario de la garantía: </w:t>
      </w:r>
      <w:r w:rsidR="002C64F7" w:rsidRPr="00FD2000">
        <w:t>El beneficiario de la garantía es el adjudicatario de la planta de regasificación del Pacífico y/o del gasoducto Buenaventura – Yumbo, según corresponda.</w:t>
      </w:r>
    </w:p>
    <w:p w14:paraId="3AC29560" w14:textId="29CA1687" w:rsidR="001322BF" w:rsidRPr="00FD2000" w:rsidRDefault="001322BF" w:rsidP="00CA5931">
      <w:pPr>
        <w:pStyle w:val="Estilo1"/>
        <w:numPr>
          <w:ilvl w:val="0"/>
          <w:numId w:val="34"/>
        </w:numPr>
        <w:spacing w:after="120"/>
        <w:ind w:left="714" w:hanging="357"/>
      </w:pPr>
      <w:r w:rsidRPr="00FD2000">
        <w:t xml:space="preserve">Beneficiario de los recursos que resulten de la ejecución de la garantía de cumplimiento: </w:t>
      </w:r>
      <w:r w:rsidR="002C64F7" w:rsidRPr="00FD2000">
        <w:t xml:space="preserve">Cuando haya lugar a la ejecución de la garantía de </w:t>
      </w:r>
      <w:r w:rsidR="003D5C1D" w:rsidRPr="00FD2000">
        <w:lastRenderedPageBreak/>
        <w:t>cumplimiento</w:t>
      </w:r>
      <w:r w:rsidR="002C64F7" w:rsidRPr="00FD2000">
        <w:t xml:space="preserve"> los recursos que resulten de la ejecución de la misma serán </w:t>
      </w:r>
      <w:r w:rsidR="006156B1" w:rsidRPr="00FD2000">
        <w:t xml:space="preserve">para el adjudicatario </w:t>
      </w:r>
      <w:r w:rsidR="002C64F7" w:rsidRPr="00FD2000">
        <w:t>de la planta de regasificación del Pacífico y/o del gasoducto Buenaventura – Yumbo, según corresponda.</w:t>
      </w:r>
    </w:p>
    <w:p w14:paraId="74CB6681" w14:textId="32ACAD7C" w:rsidR="003D5C1D" w:rsidRPr="00FD2000" w:rsidRDefault="001322BF" w:rsidP="00CA5931">
      <w:pPr>
        <w:pStyle w:val="Estilo1"/>
        <w:numPr>
          <w:ilvl w:val="0"/>
          <w:numId w:val="34"/>
        </w:numPr>
        <w:spacing w:after="120"/>
        <w:ind w:left="714" w:hanging="357"/>
      </w:pPr>
      <w:r w:rsidRPr="00FD2000">
        <w:t>Fecha de entrega de la garantía</w:t>
      </w:r>
      <w:r w:rsidR="003D5C1D" w:rsidRPr="00FD2000">
        <w:t xml:space="preserve"> para cubrir los 12 meses del</w:t>
      </w:r>
      <w:r w:rsidRPr="00FD2000">
        <w:t xml:space="preserve"> contrato: </w:t>
      </w:r>
      <w:r w:rsidR="003D5C1D" w:rsidRPr="00FD2000">
        <w:t>De acuerdo con el cronograma que la CREG defina el</w:t>
      </w:r>
      <w:r w:rsidR="00142DB0">
        <w:t xml:space="preserve"> G</w:t>
      </w:r>
      <w:r w:rsidR="003D5C1D" w:rsidRPr="00FD2000">
        <w:t>estor del mercado de gas natural indicará la fecha en la que los agentes interesados en acceder a los servicios de la infraestructura deberán entregar la garantía.</w:t>
      </w:r>
    </w:p>
    <w:p w14:paraId="37459957" w14:textId="77777777" w:rsidR="001322BF" w:rsidRPr="00FD2000" w:rsidRDefault="001322BF" w:rsidP="00CA5931">
      <w:pPr>
        <w:pStyle w:val="Estilo1"/>
        <w:numPr>
          <w:ilvl w:val="0"/>
          <w:numId w:val="34"/>
        </w:numPr>
        <w:spacing w:after="120"/>
        <w:ind w:left="714" w:hanging="357"/>
      </w:pPr>
      <w:r w:rsidRPr="00FD2000">
        <w:t xml:space="preserve">Vigencia de la garantía: Número de días calendario </w:t>
      </w:r>
      <w:r w:rsidR="003D5C1D" w:rsidRPr="00FD2000">
        <w:t>de los 12 meses del contrato</w:t>
      </w:r>
      <w:r w:rsidRPr="00FD2000">
        <w:t>, más el número de días de plazo para el pago de la factura más 1 día hábil a partir de la entrega de la garantía.</w:t>
      </w:r>
    </w:p>
    <w:p w14:paraId="1DD5404C" w14:textId="77777777" w:rsidR="001322BF" w:rsidRPr="00FD2000" w:rsidRDefault="001322BF" w:rsidP="00CA5931">
      <w:pPr>
        <w:pStyle w:val="Estilo1"/>
        <w:numPr>
          <w:ilvl w:val="0"/>
          <w:numId w:val="34"/>
        </w:numPr>
        <w:spacing w:after="120"/>
        <w:ind w:left="714" w:hanging="357"/>
      </w:pPr>
      <w:r w:rsidRPr="00FD2000">
        <w:t>Valor de la garantía para los compradores:</w:t>
      </w:r>
    </w:p>
    <w:p w14:paraId="191065C6" w14:textId="77777777" w:rsidR="001322BF" w:rsidRDefault="001322BF" w:rsidP="001322BF">
      <w:pPr>
        <w:pStyle w:val="Prrafodelista"/>
        <w:rPr>
          <w:rFonts w:ascii="Bookman Old Style" w:hAnsi="Bookman Old Style" w:cs="Arial"/>
          <w:color w:val="000000" w:themeColor="text1"/>
          <w:sz w:val="24"/>
          <w:szCs w:val="24"/>
        </w:rPr>
      </w:pPr>
    </w:p>
    <w:p w14:paraId="251D1F51" w14:textId="77777777" w:rsidR="001322BF" w:rsidRPr="00B13026" w:rsidRDefault="00B4212D" w:rsidP="001322BF">
      <w:pPr>
        <w:pStyle w:val="Prrafodelista"/>
        <w:rPr>
          <w:rFonts w:ascii="Bookman Old Style" w:hAnsi="Bookman Old Style"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ValorC</m:t>
              </m:r>
            </m:e>
            <m:sub>
              <m:r>
                <w:rPr>
                  <w:rFonts w:ascii="Cambria Math" w:hAnsi="Cambria Math" w:cs="Arial"/>
                  <w:color w:val="000000" w:themeColor="text1"/>
                  <w:sz w:val="24"/>
                  <w:szCs w:val="24"/>
                </w:rPr>
                <m:t xml:space="preserve">c </m:t>
              </m:r>
            </m:sub>
          </m:sSub>
          <m:r>
            <w:rPr>
              <w:rFonts w:ascii="Cambria Math" w:hAnsi="Cambria Math" w:cs="Arial"/>
              <w:color w:val="000000" w:themeColor="text1"/>
              <w:sz w:val="24"/>
              <w:szCs w:val="24"/>
            </w:rPr>
            <m:t xml:space="preserve">= </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Asig</m:t>
              </m:r>
            </m:e>
            <m:sub>
              <m:r>
                <w:rPr>
                  <w:rFonts w:ascii="Cambria Math" w:hAnsi="Cambria Math" w:cs="Arial"/>
                  <w:color w:val="000000" w:themeColor="text1"/>
                  <w:sz w:val="24"/>
                  <w:szCs w:val="24"/>
                </w:rPr>
                <m:t xml:space="preserve">c </m:t>
              </m:r>
            </m:sub>
          </m:sSub>
          <m:r>
            <w:rPr>
              <w:rFonts w:ascii="Cambria Math" w:hAnsi="Cambria Math" w:cs="Arial"/>
              <w:color w:val="000000" w:themeColor="text1"/>
              <w:sz w:val="24"/>
              <w:szCs w:val="24"/>
            </w:rPr>
            <m:t>×D ×p ×TRM</m:t>
          </m:r>
        </m:oMath>
      </m:oMathPara>
    </w:p>
    <w:p w14:paraId="69473DB7" w14:textId="77777777" w:rsidR="001322BF" w:rsidRDefault="001322BF" w:rsidP="001322BF">
      <w:pPr>
        <w:tabs>
          <w:tab w:val="left" w:pos="567"/>
        </w:tabs>
        <w:ind w:left="360"/>
        <w:jc w:val="both"/>
        <w:rPr>
          <w:rFonts w:ascii="Bookman Old Style" w:hAnsi="Bookman Old Style" w:cs="Arial"/>
          <w:color w:val="000000" w:themeColor="text1"/>
        </w:rPr>
      </w:pPr>
    </w:p>
    <w:p w14:paraId="6D1786C5" w14:textId="77777777" w:rsidR="001322BF" w:rsidRDefault="001322BF" w:rsidP="001322BF">
      <w:pPr>
        <w:pStyle w:val="Prrafodelista"/>
        <w:rPr>
          <w:rFonts w:ascii="Bookman Old Style" w:hAnsi="Bookman Old Style" w:cs="Arial"/>
          <w:color w:val="000000" w:themeColor="text1"/>
          <w:sz w:val="24"/>
          <w:szCs w:val="24"/>
        </w:rPr>
      </w:pPr>
      <w:r>
        <w:rPr>
          <w:rFonts w:ascii="Bookman Old Style" w:hAnsi="Bookman Old Style" w:cs="Arial"/>
          <w:color w:val="000000" w:themeColor="text1"/>
          <w:sz w:val="24"/>
          <w:szCs w:val="24"/>
        </w:rPr>
        <w:t>Donde:</w:t>
      </w:r>
    </w:p>
    <w:p w14:paraId="3A9A25FC" w14:textId="77777777" w:rsidR="001322BF" w:rsidRDefault="001322BF" w:rsidP="001322BF">
      <w:pPr>
        <w:pStyle w:val="Prrafodelista"/>
        <w:rPr>
          <w:rFonts w:ascii="Bookman Old Style" w:hAnsi="Bookman Old Style" w:cs="Arial"/>
          <w:color w:val="000000" w:themeColor="text1"/>
          <w:sz w:val="24"/>
          <w:szCs w:val="24"/>
        </w:rPr>
      </w:pPr>
    </w:p>
    <w:tbl>
      <w:tblPr>
        <w:tblStyle w:val="Tablaconcuadrcula"/>
        <w:tblW w:w="0" w:type="auto"/>
        <w:tblInd w:w="817"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1124"/>
        <w:gridCol w:w="7415"/>
      </w:tblGrid>
      <w:tr w:rsidR="001322BF" w14:paraId="15DE59D7" w14:textId="77777777" w:rsidTr="003D5C1D">
        <w:tc>
          <w:tcPr>
            <w:tcW w:w="1134" w:type="dxa"/>
          </w:tcPr>
          <w:p w14:paraId="46AFF61C" w14:textId="77777777" w:rsidR="001322BF" w:rsidRDefault="001322BF" w:rsidP="003D5C1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p</m:t>
              </m:r>
            </m:oMath>
            <w:r>
              <w:rPr>
                <w:rFonts w:ascii="Bookman Old Style" w:hAnsi="Bookman Old Style" w:cs="Arial"/>
                <w:color w:val="000000" w:themeColor="text1"/>
                <w:sz w:val="24"/>
                <w:szCs w:val="24"/>
              </w:rPr>
              <w:t>:</w:t>
            </w:r>
          </w:p>
        </w:tc>
        <w:tc>
          <w:tcPr>
            <w:tcW w:w="7626" w:type="dxa"/>
          </w:tcPr>
          <w:p w14:paraId="67816789" w14:textId="1438A8BA" w:rsidR="001322BF" w:rsidRDefault="001322BF" w:rsidP="003D5C1D">
            <w:pPr>
              <w:pStyle w:val="Prrafodelista"/>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Precio de cierre de la subasta en</w:t>
            </w:r>
            <w:r w:rsidR="006156B1">
              <w:rPr>
                <w:rFonts w:ascii="Bookman Old Style" w:hAnsi="Bookman Old Style" w:cs="Arial"/>
                <w:color w:val="000000" w:themeColor="text1"/>
                <w:sz w:val="24"/>
                <w:szCs w:val="24"/>
              </w:rPr>
              <w:t xml:space="preserve"> pesos</w:t>
            </w:r>
            <w:r w:rsidR="00A22ADA">
              <w:rPr>
                <w:rFonts w:ascii="Bookman Old Style" w:hAnsi="Bookman Old Style" w:cs="Arial"/>
                <w:color w:val="000000" w:themeColor="text1"/>
                <w:sz w:val="24"/>
                <w:szCs w:val="24"/>
              </w:rPr>
              <w:t xml:space="preserve"> colombianos</w:t>
            </w:r>
            <w:r w:rsidR="006156B1">
              <w:rPr>
                <w:rFonts w:ascii="Bookman Old Style" w:hAnsi="Bookman Old Style" w:cs="Arial"/>
                <w:color w:val="000000" w:themeColor="text1"/>
                <w:sz w:val="24"/>
                <w:szCs w:val="24"/>
              </w:rPr>
              <w:t xml:space="preserve"> o en</w:t>
            </w:r>
            <w:r>
              <w:rPr>
                <w:rFonts w:ascii="Bookman Old Style" w:hAnsi="Bookman Old Style" w:cs="Arial"/>
                <w:color w:val="000000" w:themeColor="text1"/>
                <w:sz w:val="24"/>
                <w:szCs w:val="24"/>
              </w:rPr>
              <w:t xml:space="preserve"> dólares de los Estados Unidos de América por </w:t>
            </w:r>
            <w:proofErr w:type="spellStart"/>
            <w:r w:rsidR="006156B1">
              <w:rPr>
                <w:rFonts w:ascii="Bookman Old Style" w:hAnsi="Bookman Old Style" w:cs="Arial"/>
                <w:color w:val="000000" w:themeColor="text1"/>
                <w:sz w:val="24"/>
                <w:szCs w:val="24"/>
              </w:rPr>
              <w:t>kPCD</w:t>
            </w:r>
            <w:proofErr w:type="spellEnd"/>
            <w:r w:rsidR="006156B1">
              <w:rPr>
                <w:rFonts w:ascii="Bookman Old Style" w:hAnsi="Bookman Old Style" w:cs="Arial"/>
                <w:color w:val="000000" w:themeColor="text1"/>
                <w:sz w:val="24"/>
                <w:szCs w:val="24"/>
              </w:rPr>
              <w:t xml:space="preserve">, según sea el caso, </w:t>
            </w:r>
            <w:r w:rsidR="00A261A8">
              <w:rPr>
                <w:rFonts w:ascii="Bookman Old Style" w:hAnsi="Bookman Old Style" w:cs="Arial"/>
                <w:color w:val="000000" w:themeColor="text1"/>
                <w:sz w:val="24"/>
                <w:szCs w:val="24"/>
              </w:rPr>
              <w:t>o</w:t>
            </w:r>
            <w:r w:rsidR="003F5491">
              <w:rPr>
                <w:rFonts w:ascii="Bookman Old Style" w:hAnsi="Bookman Old Style" w:cs="Arial"/>
                <w:color w:val="000000" w:themeColor="text1"/>
                <w:sz w:val="24"/>
                <w:szCs w:val="24"/>
              </w:rPr>
              <w:t xml:space="preserve"> el</w:t>
            </w:r>
            <w:r w:rsidR="00A261A8">
              <w:rPr>
                <w:rFonts w:ascii="Bookman Old Style" w:hAnsi="Bookman Old Style" w:cs="Arial"/>
                <w:color w:val="000000" w:themeColor="text1"/>
                <w:sz w:val="24"/>
                <w:szCs w:val="24"/>
              </w:rPr>
              <w:t xml:space="preserve"> precio de la asignaci</w:t>
            </w:r>
            <w:r w:rsidR="00EF10FA">
              <w:rPr>
                <w:rFonts w:ascii="Bookman Old Style" w:hAnsi="Bookman Old Style" w:cs="Arial"/>
                <w:color w:val="000000" w:themeColor="text1"/>
                <w:sz w:val="24"/>
                <w:szCs w:val="24"/>
              </w:rPr>
              <w:t>ón de la capacidad a cargo del G</w:t>
            </w:r>
            <w:r w:rsidR="00A261A8">
              <w:rPr>
                <w:rFonts w:ascii="Bookman Old Style" w:hAnsi="Bookman Old Style" w:cs="Arial"/>
                <w:color w:val="000000" w:themeColor="text1"/>
                <w:sz w:val="24"/>
                <w:szCs w:val="24"/>
              </w:rPr>
              <w:t>estor del mercado de gas natural</w:t>
            </w:r>
            <w:r w:rsidR="00010488">
              <w:rPr>
                <w:rFonts w:ascii="Bookman Old Style" w:hAnsi="Bookman Old Style" w:cs="Arial"/>
                <w:color w:val="000000" w:themeColor="text1"/>
                <w:sz w:val="24"/>
                <w:szCs w:val="24"/>
              </w:rPr>
              <w:t>, según corresponda</w:t>
            </w:r>
            <w:r>
              <w:rPr>
                <w:rFonts w:ascii="Bookman Old Style" w:hAnsi="Bookman Old Style" w:cs="Arial"/>
                <w:color w:val="000000" w:themeColor="text1"/>
                <w:sz w:val="24"/>
                <w:szCs w:val="24"/>
              </w:rPr>
              <w:t>.</w:t>
            </w:r>
          </w:p>
          <w:p w14:paraId="6A6DEB07" w14:textId="77777777" w:rsidR="001322BF" w:rsidRDefault="001322BF" w:rsidP="003D5C1D">
            <w:pPr>
              <w:pStyle w:val="Prrafodelista"/>
              <w:ind w:left="0"/>
              <w:jc w:val="both"/>
              <w:rPr>
                <w:rFonts w:ascii="Bookman Old Style" w:hAnsi="Bookman Old Style" w:cs="Arial"/>
                <w:color w:val="000000" w:themeColor="text1"/>
                <w:sz w:val="24"/>
                <w:szCs w:val="24"/>
              </w:rPr>
            </w:pPr>
          </w:p>
        </w:tc>
      </w:tr>
      <w:tr w:rsidR="001322BF" w14:paraId="077B0D72" w14:textId="77777777" w:rsidTr="003D5C1D">
        <w:tc>
          <w:tcPr>
            <w:tcW w:w="1134" w:type="dxa"/>
          </w:tcPr>
          <w:p w14:paraId="0E294EF9" w14:textId="77777777" w:rsidR="001322BF" w:rsidRDefault="001322BF" w:rsidP="003D5C1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TRM</m:t>
              </m:r>
            </m:oMath>
            <w:r>
              <w:rPr>
                <w:rFonts w:ascii="Bookman Old Style" w:hAnsi="Bookman Old Style" w:cs="Arial"/>
                <w:color w:val="000000" w:themeColor="text1"/>
                <w:sz w:val="24"/>
                <w:szCs w:val="24"/>
              </w:rPr>
              <w:t>:</w:t>
            </w:r>
          </w:p>
        </w:tc>
        <w:tc>
          <w:tcPr>
            <w:tcW w:w="7626" w:type="dxa"/>
          </w:tcPr>
          <w:p w14:paraId="61C74CF8" w14:textId="4358ED6D" w:rsidR="001322BF" w:rsidRDefault="006156B1" w:rsidP="003D5C1D">
            <w:pPr>
              <w:pStyle w:val="Prrafodelista"/>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En caso de</w:t>
            </w:r>
            <w:r w:rsidR="00A22ADA">
              <w:rPr>
                <w:rFonts w:ascii="Bookman Old Style" w:hAnsi="Bookman Old Style" w:cs="Arial"/>
                <w:color w:val="000000" w:themeColor="text1"/>
                <w:sz w:val="24"/>
                <w:szCs w:val="24"/>
              </w:rPr>
              <w:t xml:space="preserve"> que</w:t>
            </w:r>
            <w:r>
              <w:rPr>
                <w:rFonts w:ascii="Bookman Old Style" w:hAnsi="Bookman Old Style" w:cs="Arial"/>
                <w:color w:val="000000" w:themeColor="text1"/>
                <w:sz w:val="24"/>
                <w:szCs w:val="24"/>
              </w:rPr>
              <w:t xml:space="preserve"> la subasta se haya cerrado total o parcialmente en dólares, el v</w:t>
            </w:r>
            <w:r w:rsidR="001322BF">
              <w:rPr>
                <w:rFonts w:ascii="Bookman Old Style" w:hAnsi="Bookman Old Style" w:cs="Arial"/>
                <w:color w:val="000000" w:themeColor="text1"/>
                <w:sz w:val="24"/>
                <w:szCs w:val="24"/>
              </w:rPr>
              <w:t>alor de la Tasa Repre</w:t>
            </w:r>
            <w:r>
              <w:rPr>
                <w:rFonts w:ascii="Bookman Old Style" w:hAnsi="Bookman Old Style" w:cs="Arial"/>
                <w:color w:val="000000" w:themeColor="text1"/>
                <w:sz w:val="24"/>
                <w:szCs w:val="24"/>
              </w:rPr>
              <w:t>sentativa del Mercado en pesos c</w:t>
            </w:r>
            <w:r w:rsidR="001322BF">
              <w:rPr>
                <w:rFonts w:ascii="Bookman Old Style" w:hAnsi="Bookman Old Style" w:cs="Arial"/>
                <w:color w:val="000000" w:themeColor="text1"/>
                <w:sz w:val="24"/>
                <w:szCs w:val="24"/>
              </w:rPr>
              <w:t>olombianos por dólar de</w:t>
            </w:r>
            <w:r>
              <w:rPr>
                <w:rFonts w:ascii="Bookman Old Style" w:hAnsi="Bookman Old Style" w:cs="Arial"/>
                <w:color w:val="000000" w:themeColor="text1"/>
                <w:sz w:val="24"/>
                <w:szCs w:val="24"/>
              </w:rPr>
              <w:t xml:space="preserve"> los Estados Unidos de América corresponderá a la del</w:t>
            </w:r>
            <w:r w:rsidR="001322BF">
              <w:rPr>
                <w:rFonts w:ascii="Bookman Old Style" w:hAnsi="Bookman Old Style" w:cs="Arial"/>
                <w:color w:val="000000" w:themeColor="text1"/>
                <w:sz w:val="24"/>
                <w:szCs w:val="24"/>
              </w:rPr>
              <w:t xml:space="preserve"> último día hábil del mes anterior a la estimación de la garantía, certificado por la Superintendencia Financiera de Colombia.</w:t>
            </w:r>
            <w:r w:rsidR="00A22ADA">
              <w:rPr>
                <w:rFonts w:ascii="Bookman Old Style" w:hAnsi="Bookman Old Style" w:cs="Arial"/>
                <w:color w:val="000000" w:themeColor="text1"/>
                <w:sz w:val="24"/>
                <w:szCs w:val="24"/>
              </w:rPr>
              <w:t xml:space="preserve"> En caso de que la subasta se haya cerrado en pesos colombianos este valor será igual a 1.</w:t>
            </w:r>
          </w:p>
          <w:p w14:paraId="35E0ADDF" w14:textId="77777777" w:rsidR="001322BF" w:rsidRDefault="001322BF" w:rsidP="003D5C1D">
            <w:pPr>
              <w:pStyle w:val="Prrafodelista"/>
              <w:ind w:left="0"/>
              <w:jc w:val="both"/>
              <w:rPr>
                <w:rFonts w:ascii="Bookman Old Style" w:hAnsi="Bookman Old Style" w:cs="Arial"/>
                <w:color w:val="000000" w:themeColor="text1"/>
                <w:sz w:val="24"/>
                <w:szCs w:val="24"/>
              </w:rPr>
            </w:pPr>
          </w:p>
        </w:tc>
      </w:tr>
      <w:tr w:rsidR="001322BF" w14:paraId="318225DE" w14:textId="77777777" w:rsidTr="003D5C1D">
        <w:tc>
          <w:tcPr>
            <w:tcW w:w="1134" w:type="dxa"/>
          </w:tcPr>
          <w:p w14:paraId="16BF8231" w14:textId="77777777" w:rsidR="001322BF" w:rsidRDefault="00B4212D" w:rsidP="003D5C1D">
            <w:pPr>
              <w:pStyle w:val="Prrafodelista"/>
              <w:ind w:left="0"/>
              <w:rPr>
                <w:rFonts w:ascii="Bookman Old Style" w:hAnsi="Bookman Old Style" w:cs="Arial"/>
                <w:color w:val="000000" w:themeColor="text1"/>
                <w:sz w:val="24"/>
                <w:szCs w:val="24"/>
              </w:rPr>
            </w:p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Asig</m:t>
                  </m:r>
                </m:e>
                <m:sub>
                  <m:r>
                    <w:rPr>
                      <w:rFonts w:ascii="Cambria Math" w:hAnsi="Cambria Math" w:cs="Arial"/>
                      <w:color w:val="000000" w:themeColor="text1"/>
                      <w:sz w:val="24"/>
                      <w:szCs w:val="24"/>
                    </w:rPr>
                    <m:t>c</m:t>
                  </m:r>
                </m:sub>
              </m:sSub>
            </m:oMath>
            <w:r w:rsidR="001322BF">
              <w:rPr>
                <w:rFonts w:ascii="Bookman Old Style" w:hAnsi="Bookman Old Style" w:cs="Arial"/>
                <w:color w:val="000000" w:themeColor="text1"/>
                <w:sz w:val="24"/>
                <w:szCs w:val="24"/>
              </w:rPr>
              <w:t>:</w:t>
            </w:r>
          </w:p>
        </w:tc>
        <w:tc>
          <w:tcPr>
            <w:tcW w:w="7626" w:type="dxa"/>
          </w:tcPr>
          <w:p w14:paraId="4BF258FB" w14:textId="597E064C" w:rsidR="001322BF" w:rsidRDefault="001322BF" w:rsidP="003D5C1D">
            <w:pPr>
              <w:pStyle w:val="Prrafodelista"/>
              <w:tabs>
                <w:tab w:val="left" w:pos="567"/>
              </w:tabs>
              <w:ind w:left="0"/>
              <w:jc w:val="both"/>
              <w:rPr>
                <w:rFonts w:ascii="Bookman Old Style" w:hAnsi="Bookman Old Style" w:cs="Arial"/>
                <w:color w:val="000000" w:themeColor="text1"/>
                <w:sz w:val="24"/>
                <w:szCs w:val="24"/>
              </w:rPr>
            </w:pPr>
            <w:r w:rsidRPr="002A67A5">
              <w:rPr>
                <w:rFonts w:ascii="Bookman Old Style" w:hAnsi="Bookman Old Style" w:cs="Arial"/>
                <w:color w:val="000000" w:themeColor="text1"/>
                <w:sz w:val="24"/>
                <w:szCs w:val="24"/>
              </w:rPr>
              <w:t>Asignación</w:t>
            </w:r>
            <w:r w:rsidR="00A75685">
              <w:rPr>
                <w:rFonts w:ascii="Bookman Old Style" w:hAnsi="Bookman Old Style" w:cs="Arial"/>
                <w:color w:val="000000" w:themeColor="text1"/>
                <w:sz w:val="24"/>
                <w:szCs w:val="24"/>
              </w:rPr>
              <w:t xml:space="preserve"> </w:t>
            </w:r>
            <w:r w:rsidRPr="002A67A5">
              <w:rPr>
                <w:rFonts w:ascii="Bookman Old Style" w:hAnsi="Bookman Old Style" w:cs="Arial"/>
                <w:color w:val="000000" w:themeColor="text1"/>
                <w:sz w:val="24"/>
                <w:szCs w:val="24"/>
              </w:rPr>
              <w:t>de</w:t>
            </w:r>
            <w:r>
              <w:rPr>
                <w:rFonts w:ascii="Bookman Old Style" w:hAnsi="Bookman Old Style" w:cs="Arial"/>
                <w:color w:val="000000" w:themeColor="text1"/>
                <w:sz w:val="24"/>
                <w:szCs w:val="24"/>
              </w:rPr>
              <w:t xml:space="preserve"> </w:t>
            </w:r>
            <w:r w:rsidR="003F5491">
              <w:rPr>
                <w:rFonts w:ascii="Bookman Old Style" w:hAnsi="Bookman Old Style" w:cs="Arial"/>
                <w:color w:val="000000" w:themeColor="text1"/>
                <w:sz w:val="24"/>
                <w:szCs w:val="24"/>
              </w:rPr>
              <w:t>capacidad</w:t>
            </w:r>
            <w:r w:rsidR="00A75685">
              <w:rPr>
                <w:rFonts w:ascii="Bookman Old Style" w:hAnsi="Bookman Old Style" w:cs="Arial"/>
                <w:color w:val="000000" w:themeColor="text1"/>
                <w:sz w:val="24"/>
                <w:szCs w:val="24"/>
              </w:rPr>
              <w:t>,</w:t>
            </w:r>
            <w:r>
              <w:rPr>
                <w:rFonts w:ascii="Bookman Old Style" w:hAnsi="Bookman Old Style" w:cs="Arial"/>
                <w:color w:val="000000" w:themeColor="text1"/>
                <w:sz w:val="24"/>
                <w:szCs w:val="24"/>
              </w:rPr>
              <w:t xml:space="preserve"> </w:t>
            </w:r>
            <w:r w:rsidR="00A75685">
              <w:rPr>
                <w:rFonts w:ascii="Bookman Old Style" w:hAnsi="Bookman Old Style" w:cs="Arial"/>
                <w:color w:val="000000" w:themeColor="text1"/>
                <w:sz w:val="24"/>
                <w:szCs w:val="24"/>
              </w:rPr>
              <w:t xml:space="preserve">en </w:t>
            </w:r>
            <w:proofErr w:type="spellStart"/>
            <w:r w:rsidR="00A75685">
              <w:rPr>
                <w:rFonts w:ascii="Bookman Old Style" w:hAnsi="Bookman Old Style" w:cs="Arial"/>
                <w:color w:val="000000" w:themeColor="text1"/>
                <w:sz w:val="24"/>
                <w:szCs w:val="24"/>
              </w:rPr>
              <w:t>kPCD</w:t>
            </w:r>
            <w:proofErr w:type="spellEnd"/>
            <w:r w:rsidR="00A75685">
              <w:rPr>
                <w:rFonts w:ascii="Bookman Old Style" w:hAnsi="Bookman Old Style" w:cs="Arial"/>
                <w:color w:val="000000" w:themeColor="text1"/>
                <w:sz w:val="24"/>
                <w:szCs w:val="24"/>
              </w:rPr>
              <w:t xml:space="preserve">, </w:t>
            </w:r>
            <w:r>
              <w:rPr>
                <w:rFonts w:ascii="Bookman Old Style" w:hAnsi="Bookman Old Style" w:cs="Arial"/>
                <w:color w:val="000000" w:themeColor="text1"/>
                <w:sz w:val="24"/>
                <w:szCs w:val="24"/>
              </w:rPr>
              <w:t xml:space="preserve">al comprador </w:t>
            </w:r>
            <m:oMath>
              <m:r>
                <w:rPr>
                  <w:rFonts w:ascii="Cambria Math" w:hAnsi="Cambria Math" w:cs="Arial"/>
                  <w:color w:val="000000" w:themeColor="text1"/>
                  <w:sz w:val="24"/>
                  <w:szCs w:val="24"/>
                </w:rPr>
                <m:t>c</m:t>
              </m:r>
            </m:oMath>
            <w:r w:rsidRPr="002A67A5">
              <w:rPr>
                <w:rFonts w:ascii="Bookman Old Style" w:hAnsi="Bookman Old Style" w:cs="Arial"/>
                <w:color w:val="000000" w:themeColor="text1"/>
                <w:sz w:val="24"/>
                <w:szCs w:val="24"/>
              </w:rPr>
              <w:t xml:space="preserve"> en la subasta </w:t>
            </w:r>
            <w:r w:rsidR="00A75685">
              <w:rPr>
                <w:rFonts w:ascii="Bookman Old Style" w:hAnsi="Bookman Old Style" w:cs="Arial"/>
                <w:color w:val="000000" w:themeColor="text1"/>
                <w:sz w:val="24"/>
                <w:szCs w:val="24"/>
              </w:rPr>
              <w:t>o</w:t>
            </w:r>
            <w:r w:rsidR="003F5491">
              <w:rPr>
                <w:rFonts w:ascii="Bookman Old Style" w:hAnsi="Bookman Old Style" w:cs="Arial"/>
                <w:color w:val="000000" w:themeColor="text1"/>
                <w:sz w:val="24"/>
                <w:szCs w:val="24"/>
              </w:rPr>
              <w:t xml:space="preserve"> en la asignaci</w:t>
            </w:r>
            <w:r w:rsidR="00A75685">
              <w:rPr>
                <w:rFonts w:ascii="Bookman Old Style" w:hAnsi="Bookman Old Style" w:cs="Arial"/>
                <w:color w:val="000000" w:themeColor="text1"/>
                <w:sz w:val="24"/>
                <w:szCs w:val="24"/>
              </w:rPr>
              <w:t>ón de la capacidad a cargo del G</w:t>
            </w:r>
            <w:r w:rsidR="003F5491">
              <w:rPr>
                <w:rFonts w:ascii="Bookman Old Style" w:hAnsi="Bookman Old Style" w:cs="Arial"/>
                <w:color w:val="000000" w:themeColor="text1"/>
                <w:sz w:val="24"/>
                <w:szCs w:val="24"/>
              </w:rPr>
              <w:t>estor del mercado de gas natural, según corresponda</w:t>
            </w:r>
            <w:r w:rsidRPr="002A67A5">
              <w:rPr>
                <w:rFonts w:ascii="Bookman Old Style" w:hAnsi="Bookman Old Style" w:cs="Arial"/>
                <w:color w:val="000000" w:themeColor="text1"/>
                <w:sz w:val="24"/>
                <w:szCs w:val="24"/>
              </w:rPr>
              <w:t>.</w:t>
            </w:r>
          </w:p>
          <w:p w14:paraId="2B4C8474" w14:textId="77777777" w:rsidR="001322BF" w:rsidRDefault="001322BF" w:rsidP="003D5C1D">
            <w:pPr>
              <w:pStyle w:val="Prrafodelista"/>
              <w:tabs>
                <w:tab w:val="left" w:pos="567"/>
              </w:tabs>
              <w:ind w:left="0"/>
              <w:jc w:val="both"/>
              <w:rPr>
                <w:rFonts w:ascii="Bookman Old Style" w:hAnsi="Bookman Old Style" w:cs="Arial"/>
                <w:color w:val="000000" w:themeColor="text1"/>
                <w:sz w:val="24"/>
                <w:szCs w:val="24"/>
              </w:rPr>
            </w:pPr>
          </w:p>
        </w:tc>
      </w:tr>
      <w:tr w:rsidR="001322BF" w14:paraId="15D6F822" w14:textId="77777777" w:rsidTr="003D5C1D">
        <w:tc>
          <w:tcPr>
            <w:tcW w:w="1134" w:type="dxa"/>
          </w:tcPr>
          <w:p w14:paraId="68F37350" w14:textId="77777777" w:rsidR="001322BF" w:rsidRDefault="001322BF" w:rsidP="003D5C1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D</m:t>
              </m:r>
            </m:oMath>
            <w:r>
              <w:rPr>
                <w:rFonts w:ascii="Bookman Old Style" w:hAnsi="Bookman Old Style" w:cs="Arial"/>
                <w:color w:val="000000" w:themeColor="text1"/>
                <w:sz w:val="24"/>
                <w:szCs w:val="24"/>
              </w:rPr>
              <w:t>:</w:t>
            </w:r>
          </w:p>
        </w:tc>
        <w:tc>
          <w:tcPr>
            <w:tcW w:w="7626" w:type="dxa"/>
          </w:tcPr>
          <w:p w14:paraId="5E9BB0B5" w14:textId="77777777" w:rsidR="001322BF" w:rsidRDefault="001322BF" w:rsidP="003D5C1D">
            <w:pPr>
              <w:pStyle w:val="Prrafodelista"/>
              <w:ind w:left="0"/>
              <w:jc w:val="both"/>
              <w:rPr>
                <w:rFonts w:ascii="Bookman Old Style" w:hAnsi="Bookman Old Style" w:cs="Arial"/>
                <w:sz w:val="24"/>
                <w:szCs w:val="24"/>
              </w:rPr>
            </w:pPr>
            <w:r>
              <w:rPr>
                <w:rFonts w:ascii="Bookman Old Style" w:hAnsi="Bookman Old Style" w:cs="Arial"/>
                <w:color w:val="000000" w:themeColor="text1"/>
                <w:sz w:val="24"/>
                <w:szCs w:val="24"/>
              </w:rPr>
              <w:t>Número de días calendario del mes a cubrir con la garantía.</w:t>
            </w:r>
          </w:p>
        </w:tc>
      </w:tr>
    </w:tbl>
    <w:p w14:paraId="72F9E4CC" w14:textId="77777777" w:rsidR="001322BF" w:rsidRDefault="001322BF" w:rsidP="001322BF">
      <w:pPr>
        <w:pStyle w:val="Prrafodelista"/>
        <w:tabs>
          <w:tab w:val="left" w:pos="567"/>
        </w:tabs>
        <w:ind w:left="1080"/>
        <w:jc w:val="both"/>
        <w:rPr>
          <w:rFonts w:ascii="Bookman Old Style" w:hAnsi="Bookman Old Style" w:cs="Arial"/>
          <w:color w:val="000000" w:themeColor="text1"/>
          <w:sz w:val="24"/>
          <w:szCs w:val="24"/>
        </w:rPr>
      </w:pPr>
    </w:p>
    <w:p w14:paraId="77CB6C01" w14:textId="1F4CCFC9" w:rsidR="001322BF" w:rsidRPr="00FD2000" w:rsidRDefault="001322BF" w:rsidP="00CA5931">
      <w:pPr>
        <w:pStyle w:val="Estilo1"/>
        <w:numPr>
          <w:ilvl w:val="0"/>
          <w:numId w:val="34"/>
        </w:numPr>
        <w:spacing w:after="120"/>
        <w:ind w:left="714" w:hanging="357"/>
      </w:pPr>
      <w:bookmarkStart w:id="23" w:name="_Ref410807779"/>
      <w:r w:rsidRPr="00FD2000">
        <w:t xml:space="preserve">Eventos que dan lugar a la ejecución de la garantía de cumplimiento para un comprador </w:t>
      </w:r>
      <m:oMath>
        <m:r>
          <w:rPr>
            <w:rFonts w:ascii="Cambria Math" w:hAnsi="Cambria Math"/>
          </w:rPr>
          <m:t>c</m:t>
        </m:r>
      </m:oMath>
      <w:r w:rsidRPr="00FD2000">
        <w:t xml:space="preserve">: Los eventos que dan lugar a la ejecución de la garantía son el no pago de la factura mensual en el tiempo previsto en la regulación vigente o cuando el comprador no entregue </w:t>
      </w:r>
      <w:bookmarkEnd w:id="23"/>
      <w:r w:rsidR="00A75685" w:rsidRPr="00FD2000">
        <w:t xml:space="preserve">la </w:t>
      </w:r>
      <w:r w:rsidR="00BB7D76" w:rsidRPr="00FD2000">
        <w:t>garantía de cumplimiento</w:t>
      </w:r>
      <w:r w:rsidR="00A75685" w:rsidRPr="00FD2000">
        <w:t xml:space="preserve"> del periodo siguiente</w:t>
      </w:r>
      <w:r w:rsidR="00BB7D76" w:rsidRPr="00FD2000">
        <w:t xml:space="preserve"> </w:t>
      </w:r>
      <w:r w:rsidR="00A75685" w:rsidRPr="00FD2000">
        <w:t>para los contratos con duración superior a un año</w:t>
      </w:r>
      <w:r w:rsidR="00BB7D76" w:rsidRPr="00FD2000">
        <w:t>.</w:t>
      </w:r>
    </w:p>
    <w:p w14:paraId="51FB52FB" w14:textId="77777777" w:rsidR="001322BF" w:rsidRPr="00E97E44" w:rsidRDefault="001322BF" w:rsidP="001322BF">
      <w:pPr>
        <w:tabs>
          <w:tab w:val="left" w:pos="567"/>
        </w:tabs>
        <w:ind w:left="360"/>
        <w:jc w:val="both"/>
        <w:rPr>
          <w:rFonts w:ascii="Bookman Old Style" w:hAnsi="Bookman Old Style"/>
          <w:color w:val="000000"/>
          <w:lang w:val="es-CO"/>
        </w:rPr>
      </w:pPr>
    </w:p>
    <w:p w14:paraId="1EDFB026" w14:textId="77777777" w:rsidR="001073F7" w:rsidRPr="00D6595B" w:rsidRDefault="001073F7" w:rsidP="001073F7">
      <w:pPr>
        <w:ind w:left="0"/>
        <w:jc w:val="both"/>
        <w:rPr>
          <w:rFonts w:ascii="Bookman Old Style" w:hAnsi="Bookman Old Style"/>
          <w:color w:val="000000" w:themeColor="text1"/>
          <w:sz w:val="20"/>
        </w:rPr>
      </w:pPr>
    </w:p>
    <w:p w14:paraId="06757188" w14:textId="77777777" w:rsidR="001073F7" w:rsidRPr="00F766A9" w:rsidRDefault="001073F7" w:rsidP="001073F7">
      <w:pPr>
        <w:pStyle w:val="Textoindependiente"/>
        <w:rPr>
          <w:rFonts w:ascii="Bookman Old Style" w:hAnsi="Bookman Old Style"/>
          <w:color w:val="000000" w:themeColor="text1"/>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1073F7" w:rsidRPr="00F766A9" w14:paraId="26D24274" w14:textId="77777777" w:rsidTr="001073F7">
        <w:tc>
          <w:tcPr>
            <w:tcW w:w="4491" w:type="dxa"/>
            <w:tcBorders>
              <w:top w:val="nil"/>
              <w:left w:val="nil"/>
              <w:bottom w:val="nil"/>
              <w:right w:val="nil"/>
            </w:tcBorders>
            <w:vAlign w:val="center"/>
          </w:tcPr>
          <w:p w14:paraId="62912C12" w14:textId="77777777" w:rsidR="001073F7" w:rsidRPr="00F766A9" w:rsidRDefault="001073F7" w:rsidP="001073F7">
            <w:pPr>
              <w:suppressAutoHyphens/>
              <w:ind w:left="0"/>
              <w:jc w:val="center"/>
              <w:rPr>
                <w:rFonts w:ascii="Bookman Old Style" w:hAnsi="Bookman Old Style" w:cs="Arial"/>
                <w:b/>
                <w:bCs/>
                <w:color w:val="000000" w:themeColor="text1"/>
                <w:spacing w:val="-3"/>
              </w:rPr>
            </w:pPr>
            <w:r w:rsidRPr="00F766A9">
              <w:rPr>
                <w:rFonts w:ascii="Bookman Old Style" w:hAnsi="Bookman Old Style" w:cs="Arial"/>
                <w:b/>
                <w:bCs/>
                <w:color w:val="000000" w:themeColor="text1"/>
              </w:rPr>
              <w:t>GERMÁN ARCE ZAPATA</w:t>
            </w:r>
          </w:p>
        </w:tc>
        <w:tc>
          <w:tcPr>
            <w:tcW w:w="4491" w:type="dxa"/>
            <w:tcBorders>
              <w:top w:val="nil"/>
              <w:left w:val="nil"/>
              <w:bottom w:val="nil"/>
              <w:right w:val="nil"/>
            </w:tcBorders>
            <w:vAlign w:val="center"/>
          </w:tcPr>
          <w:p w14:paraId="76549B2F" w14:textId="77777777" w:rsidR="001073F7" w:rsidRPr="00F766A9" w:rsidRDefault="001073F7" w:rsidP="001073F7">
            <w:pPr>
              <w:suppressAutoHyphens/>
              <w:ind w:left="577"/>
              <w:jc w:val="center"/>
              <w:rPr>
                <w:rFonts w:ascii="Bookman Old Style" w:hAnsi="Bookman Old Style" w:cs="Arial"/>
                <w:b/>
                <w:bCs/>
                <w:color w:val="000000" w:themeColor="text1"/>
                <w:spacing w:val="-3"/>
              </w:rPr>
            </w:pPr>
            <w:r w:rsidRPr="00F766A9">
              <w:rPr>
                <w:rFonts w:ascii="Bookman Old Style" w:hAnsi="Bookman Old Style" w:cs="Arial"/>
                <w:b/>
                <w:bCs/>
                <w:color w:val="000000" w:themeColor="text1"/>
                <w:spacing w:val="-3"/>
              </w:rPr>
              <w:t>GERM</w:t>
            </w:r>
            <w:r>
              <w:rPr>
                <w:rFonts w:ascii="Bookman Old Style" w:hAnsi="Bookman Old Style" w:cs="Arial"/>
                <w:b/>
                <w:bCs/>
                <w:color w:val="000000" w:themeColor="text1"/>
                <w:spacing w:val="-3"/>
              </w:rPr>
              <w:t>Á</w:t>
            </w:r>
            <w:r w:rsidRPr="00F766A9">
              <w:rPr>
                <w:rFonts w:ascii="Bookman Old Style" w:hAnsi="Bookman Old Style" w:cs="Arial"/>
                <w:b/>
                <w:bCs/>
                <w:color w:val="000000" w:themeColor="text1"/>
                <w:spacing w:val="-3"/>
              </w:rPr>
              <w:t>N CASTRO FERREIRA</w:t>
            </w:r>
          </w:p>
        </w:tc>
      </w:tr>
      <w:tr w:rsidR="001073F7" w:rsidRPr="00F766A9" w14:paraId="00D04067" w14:textId="77777777" w:rsidTr="001073F7">
        <w:tc>
          <w:tcPr>
            <w:tcW w:w="4491" w:type="dxa"/>
            <w:tcBorders>
              <w:top w:val="nil"/>
              <w:left w:val="nil"/>
              <w:bottom w:val="nil"/>
              <w:right w:val="nil"/>
            </w:tcBorders>
            <w:vAlign w:val="center"/>
          </w:tcPr>
          <w:p w14:paraId="6B4C10AA" w14:textId="77777777" w:rsidR="001073F7" w:rsidRPr="00F766A9" w:rsidRDefault="001073F7" w:rsidP="001073F7">
            <w:pPr>
              <w:suppressAutoHyphens/>
              <w:ind w:left="0"/>
              <w:jc w:val="center"/>
              <w:rPr>
                <w:rFonts w:ascii="Bookman Old Style" w:hAnsi="Bookman Old Style" w:cs="Arial"/>
                <w:color w:val="000000" w:themeColor="text1"/>
                <w:spacing w:val="-3"/>
              </w:rPr>
            </w:pPr>
            <w:r w:rsidRPr="00F766A9">
              <w:rPr>
                <w:rFonts w:ascii="Bookman Old Style" w:hAnsi="Bookman Old Style" w:cs="Arial"/>
                <w:color w:val="000000" w:themeColor="text1"/>
                <w:spacing w:val="-3"/>
              </w:rPr>
              <w:t>Ministro de Minas y Energía</w:t>
            </w:r>
          </w:p>
        </w:tc>
        <w:tc>
          <w:tcPr>
            <w:tcW w:w="4491" w:type="dxa"/>
            <w:tcBorders>
              <w:top w:val="nil"/>
              <w:left w:val="nil"/>
              <w:bottom w:val="nil"/>
              <w:right w:val="nil"/>
            </w:tcBorders>
            <w:vAlign w:val="center"/>
          </w:tcPr>
          <w:p w14:paraId="60283042" w14:textId="77777777" w:rsidR="001073F7" w:rsidRPr="00F766A9" w:rsidRDefault="001073F7" w:rsidP="001073F7">
            <w:pPr>
              <w:tabs>
                <w:tab w:val="left" w:pos="-720"/>
              </w:tabs>
              <w:suppressAutoHyphens/>
              <w:jc w:val="center"/>
              <w:rPr>
                <w:rFonts w:ascii="Bookman Old Style" w:hAnsi="Bookman Old Style" w:cs="Arial"/>
                <w:color w:val="000000" w:themeColor="text1"/>
                <w:spacing w:val="-3"/>
              </w:rPr>
            </w:pPr>
            <w:r w:rsidRPr="00F766A9">
              <w:rPr>
                <w:rFonts w:ascii="Bookman Old Style" w:hAnsi="Bookman Old Style" w:cs="Arial"/>
                <w:color w:val="000000" w:themeColor="text1"/>
                <w:spacing w:val="-3"/>
              </w:rPr>
              <w:t>Director Ejecutivo</w:t>
            </w:r>
          </w:p>
        </w:tc>
      </w:tr>
      <w:tr w:rsidR="001073F7" w:rsidRPr="00F766A9" w14:paraId="3F3A266F" w14:textId="77777777" w:rsidTr="001073F7">
        <w:tc>
          <w:tcPr>
            <w:tcW w:w="4491" w:type="dxa"/>
            <w:tcBorders>
              <w:top w:val="nil"/>
              <w:left w:val="nil"/>
              <w:bottom w:val="nil"/>
              <w:right w:val="nil"/>
            </w:tcBorders>
            <w:vAlign w:val="center"/>
          </w:tcPr>
          <w:p w14:paraId="50435C86" w14:textId="77777777" w:rsidR="001073F7" w:rsidRPr="00F766A9" w:rsidRDefault="001073F7" w:rsidP="001073F7">
            <w:pPr>
              <w:suppressAutoHyphens/>
              <w:ind w:left="0"/>
              <w:jc w:val="center"/>
              <w:rPr>
                <w:rFonts w:ascii="Bookman Old Style" w:hAnsi="Bookman Old Style" w:cs="Arial"/>
                <w:color w:val="000000" w:themeColor="text1"/>
                <w:spacing w:val="-3"/>
              </w:rPr>
            </w:pPr>
            <w:r w:rsidRPr="00F766A9">
              <w:rPr>
                <w:rFonts w:ascii="Bookman Old Style" w:hAnsi="Bookman Old Style" w:cs="Arial"/>
                <w:color w:val="000000" w:themeColor="text1"/>
                <w:spacing w:val="-3"/>
              </w:rPr>
              <w:t>Presidente</w:t>
            </w:r>
          </w:p>
        </w:tc>
        <w:tc>
          <w:tcPr>
            <w:tcW w:w="4491" w:type="dxa"/>
            <w:tcBorders>
              <w:top w:val="nil"/>
              <w:left w:val="nil"/>
              <w:bottom w:val="nil"/>
              <w:right w:val="nil"/>
            </w:tcBorders>
            <w:vAlign w:val="center"/>
          </w:tcPr>
          <w:p w14:paraId="434167DB" w14:textId="77777777" w:rsidR="001073F7" w:rsidRPr="00F766A9" w:rsidRDefault="001073F7" w:rsidP="001073F7">
            <w:pPr>
              <w:tabs>
                <w:tab w:val="left" w:pos="-720"/>
              </w:tabs>
              <w:suppressAutoHyphens/>
              <w:jc w:val="center"/>
              <w:rPr>
                <w:rFonts w:ascii="Bookman Old Style" w:hAnsi="Bookman Old Style" w:cs="Arial"/>
                <w:color w:val="000000" w:themeColor="text1"/>
                <w:spacing w:val="-3"/>
              </w:rPr>
            </w:pPr>
          </w:p>
        </w:tc>
      </w:tr>
    </w:tbl>
    <w:p w14:paraId="3FEFF590" w14:textId="18FCB1B6" w:rsidR="0065401D" w:rsidRPr="00FB52DC" w:rsidRDefault="0065401D" w:rsidP="00326BF3">
      <w:pPr>
        <w:widowControl w:val="0"/>
        <w:ind w:left="0"/>
        <w:rPr>
          <w:rFonts w:ascii="Bookman Old Style" w:hAnsi="Bookman Old Style"/>
          <w:bCs/>
          <w:sz w:val="2"/>
          <w:lang w:val="es-CO"/>
        </w:rPr>
      </w:pPr>
    </w:p>
    <w:sectPr w:rsidR="0065401D" w:rsidRPr="00FB52DC" w:rsidSect="002F7192">
      <w:headerReference w:type="default" r:id="rId10"/>
      <w:headerReference w:type="first" r:id="rId11"/>
      <w:type w:val="continuous"/>
      <w:pgSz w:w="12242" w:h="18722" w:code="123"/>
      <w:pgMar w:top="2342" w:right="1185" w:bottom="1758" w:left="1701"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8B71B" w14:textId="77777777" w:rsidR="004E55E5" w:rsidRDefault="004E55E5">
      <w:r>
        <w:separator/>
      </w:r>
    </w:p>
    <w:p w14:paraId="6A856477" w14:textId="77777777" w:rsidR="004E55E5" w:rsidRDefault="004E55E5"/>
    <w:p w14:paraId="1A6C2B62" w14:textId="77777777" w:rsidR="004E55E5" w:rsidRDefault="004E55E5" w:rsidP="0024713D"/>
  </w:endnote>
  <w:endnote w:type="continuationSeparator" w:id="0">
    <w:p w14:paraId="374FC92F" w14:textId="77777777" w:rsidR="004E55E5" w:rsidRDefault="004E55E5">
      <w:r>
        <w:continuationSeparator/>
      </w:r>
    </w:p>
    <w:p w14:paraId="0AE5E80B" w14:textId="77777777" w:rsidR="004E55E5" w:rsidRDefault="004E55E5"/>
    <w:p w14:paraId="3103AAEA" w14:textId="77777777" w:rsidR="004E55E5" w:rsidRDefault="004E55E5" w:rsidP="00247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3BA8F" w14:textId="77777777" w:rsidR="004E55E5" w:rsidRDefault="004E55E5">
      <w:r>
        <w:separator/>
      </w:r>
    </w:p>
    <w:p w14:paraId="3268C1AA" w14:textId="77777777" w:rsidR="004E55E5" w:rsidRDefault="004E55E5"/>
    <w:p w14:paraId="77DA55B2" w14:textId="77777777" w:rsidR="004E55E5" w:rsidRDefault="004E55E5" w:rsidP="0024713D"/>
  </w:footnote>
  <w:footnote w:type="continuationSeparator" w:id="0">
    <w:p w14:paraId="0FE06B55" w14:textId="77777777" w:rsidR="004E55E5" w:rsidRDefault="004E55E5">
      <w:r>
        <w:continuationSeparator/>
      </w:r>
    </w:p>
    <w:p w14:paraId="2F825DAB" w14:textId="77777777" w:rsidR="004E55E5" w:rsidRDefault="004E55E5"/>
    <w:p w14:paraId="37502F08" w14:textId="77777777" w:rsidR="004E55E5" w:rsidRDefault="004E55E5" w:rsidP="0024713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AD93" w14:textId="77777777" w:rsidR="00B20A3F" w:rsidRDefault="00B20A3F" w:rsidP="00A974C9">
    <w:pPr>
      <w:pStyle w:val="Ttulo1"/>
    </w:pPr>
  </w:p>
  <w:p w14:paraId="31C5D25F" w14:textId="10944C51" w:rsidR="00B20A3F" w:rsidRPr="00541266" w:rsidRDefault="00B20A3F" w:rsidP="00A974C9">
    <w:pPr>
      <w:pStyle w:val="Ttulo1"/>
      <w:rPr>
        <w:b w:val="0"/>
        <w:sz w:val="22"/>
      </w:rPr>
    </w:pPr>
    <w:r w:rsidRPr="00541266">
      <w:rPr>
        <w:b w:val="0"/>
        <w:sz w:val="22"/>
      </w:rPr>
      <w:t>RESOLUCIÓN No.  ________________</w:t>
    </w:r>
    <w:r w:rsidRPr="00541266">
      <w:rPr>
        <w:b w:val="0"/>
        <w:sz w:val="22"/>
      </w:rPr>
      <w:tab/>
      <w:t>DE ________________</w:t>
    </w:r>
    <w:r w:rsidRPr="00541266">
      <w:rPr>
        <w:b w:val="0"/>
        <w:sz w:val="22"/>
      </w:rPr>
      <w:tab/>
      <w:t xml:space="preserve">HOJA No. </w:t>
    </w:r>
    <w:r w:rsidRPr="00541266">
      <w:rPr>
        <w:b w:val="0"/>
        <w:sz w:val="22"/>
      </w:rPr>
      <w:fldChar w:fldCharType="begin"/>
    </w:r>
    <w:r w:rsidRPr="00541266">
      <w:rPr>
        <w:b w:val="0"/>
        <w:sz w:val="22"/>
      </w:rPr>
      <w:instrText xml:space="preserve"> PAGE   \* MERGEFORMAT </w:instrText>
    </w:r>
    <w:r w:rsidRPr="00541266">
      <w:rPr>
        <w:b w:val="0"/>
        <w:sz w:val="22"/>
      </w:rPr>
      <w:fldChar w:fldCharType="separate"/>
    </w:r>
    <w:r w:rsidR="00B4212D">
      <w:rPr>
        <w:b w:val="0"/>
        <w:noProof/>
        <w:sz w:val="22"/>
      </w:rPr>
      <w:t>19</w:t>
    </w:r>
    <w:r w:rsidRPr="00541266">
      <w:rPr>
        <w:b w:val="0"/>
        <w:sz w:val="22"/>
      </w:rPr>
      <w:fldChar w:fldCharType="end"/>
    </w:r>
    <w:r w:rsidRPr="00541266">
      <w:rPr>
        <w:b w:val="0"/>
        <w:sz w:val="22"/>
      </w:rPr>
      <w:t>/</w:t>
    </w:r>
    <w:r w:rsidRPr="00541266">
      <w:rPr>
        <w:b w:val="0"/>
        <w:sz w:val="22"/>
      </w:rPr>
      <w:fldChar w:fldCharType="begin"/>
    </w:r>
    <w:r w:rsidRPr="00541266">
      <w:rPr>
        <w:b w:val="0"/>
        <w:sz w:val="22"/>
      </w:rPr>
      <w:instrText xml:space="preserve"> NUMPAGES  \* MERGEFORMAT </w:instrText>
    </w:r>
    <w:r w:rsidRPr="00541266">
      <w:rPr>
        <w:b w:val="0"/>
        <w:sz w:val="22"/>
      </w:rPr>
      <w:fldChar w:fldCharType="separate"/>
    </w:r>
    <w:r w:rsidR="00B4212D">
      <w:rPr>
        <w:b w:val="0"/>
        <w:noProof/>
        <w:sz w:val="22"/>
      </w:rPr>
      <w:t>19</w:t>
    </w:r>
    <w:r w:rsidRPr="00541266">
      <w:rPr>
        <w:b w:val="0"/>
        <w:noProof/>
        <w:sz w:val="22"/>
      </w:rPr>
      <w:fldChar w:fldCharType="end"/>
    </w:r>
  </w:p>
  <w:p w14:paraId="0D2444A1" w14:textId="77777777" w:rsidR="00B20A3F" w:rsidRDefault="00B20A3F"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BD69E56" wp14:editId="7385392F">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9B65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43699E38" w14:textId="4C4C2232" w:rsidR="00B20A3F" w:rsidRPr="001B1E36" w:rsidRDefault="00B20A3F" w:rsidP="001B1E36">
    <w:pPr>
      <w:ind w:left="0"/>
      <w:jc w:val="both"/>
      <w:rPr>
        <w:rFonts w:ascii="Bookman Old Style" w:hAnsi="Bookman Old Style"/>
        <w:sz w:val="22"/>
        <w:szCs w:val="22"/>
        <w:lang w:val="es-419"/>
      </w:rPr>
    </w:pPr>
    <w:r w:rsidRPr="001B1E36">
      <w:rPr>
        <w:rFonts w:ascii="Bookman Old Style" w:hAnsi="Bookman Old Style"/>
        <w:sz w:val="22"/>
        <w:szCs w:val="22"/>
      </w:rPr>
      <w:t xml:space="preserve">Por la cual se ordena hacer público un proyecto de resolución de carácter general, </w:t>
    </w:r>
    <w:r w:rsidRPr="001B1E36">
      <w:rPr>
        <w:rFonts w:ascii="Bookman Old Style" w:hAnsi="Bookman Old Style"/>
        <w:sz w:val="22"/>
        <w:szCs w:val="22"/>
        <w:lang w:val="es-419"/>
      </w:rPr>
      <w:t>“</w:t>
    </w:r>
    <w:r w:rsidRPr="001B1E36">
      <w:rPr>
        <w:rFonts w:ascii="Bookman Old Style" w:hAnsi="Bookman Old Style"/>
        <w:sz w:val="22"/>
        <w:szCs w:val="22"/>
      </w:rPr>
      <w:t xml:space="preserve">Por la cual se establecen los criterios de asignación de los servicios </w:t>
    </w:r>
    <w:r>
      <w:rPr>
        <w:rFonts w:ascii="Bookman Old Style" w:hAnsi="Bookman Old Style"/>
        <w:sz w:val="22"/>
        <w:szCs w:val="22"/>
      </w:rPr>
      <w:t xml:space="preserve">asociados a </w:t>
    </w:r>
    <w:r w:rsidRPr="001B1E36">
      <w:rPr>
        <w:rFonts w:ascii="Bookman Old Style" w:hAnsi="Bookman Old Style"/>
        <w:sz w:val="22"/>
        <w:szCs w:val="22"/>
      </w:rPr>
      <w:t>la infraestructura de importación de gas del Pacífico</w:t>
    </w:r>
    <w:r w:rsidRPr="001B1E36">
      <w:rPr>
        <w:rFonts w:ascii="Bookman Old Style" w:hAnsi="Bookman Old Style"/>
        <w:sz w:val="22"/>
        <w:szCs w:val="22"/>
        <w:lang w:val="es-419"/>
      </w:rPr>
      <w:t>”</w:t>
    </w:r>
  </w:p>
  <w:p w14:paraId="45E799FE" w14:textId="77777777" w:rsidR="00B20A3F" w:rsidRPr="00541266" w:rsidRDefault="00B20A3F" w:rsidP="00AD01E4">
    <w:pPr>
      <w:pBdr>
        <w:bottom w:val="single" w:sz="4" w:space="1" w:color="auto"/>
      </w:pBdr>
      <w:ind w:left="142" w:right="148"/>
      <w:rPr>
        <w:b/>
        <w:lang w:val="es-419"/>
      </w:rPr>
    </w:pPr>
  </w:p>
  <w:p w14:paraId="610B8255" w14:textId="77777777" w:rsidR="00B20A3F" w:rsidRDefault="00B20A3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DD7E2" w14:textId="77777777" w:rsidR="00B20A3F" w:rsidRDefault="00B20A3F"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41FFED51" w14:textId="77777777" w:rsidR="00B20A3F" w:rsidRDefault="00B20A3F">
    <w:pPr>
      <w:pStyle w:val="Encabezado"/>
      <w:jc w:val="center"/>
      <w:rPr>
        <w:rFonts w:ascii="Arial" w:hAnsi="Arial" w:cs="Arial"/>
        <w:spacing w:val="20"/>
        <w:sz w:val="20"/>
      </w:rPr>
    </w:pPr>
  </w:p>
  <w:p w14:paraId="12400BB4" w14:textId="77777777" w:rsidR="00B20A3F" w:rsidRDefault="00B20A3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8EFA84C" wp14:editId="7D185EEC">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5CD1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FA10E2"/>
    <w:multiLevelType w:val="hybridMultilevel"/>
    <w:tmpl w:val="BBA084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2D3157F"/>
    <w:multiLevelType w:val="hybridMultilevel"/>
    <w:tmpl w:val="2BA22C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4C22D70"/>
    <w:multiLevelType w:val="multilevel"/>
    <w:tmpl w:val="F0F8F68C"/>
    <w:name w:val="Anexo"/>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6B033D1"/>
    <w:multiLevelType w:val="hybridMultilevel"/>
    <w:tmpl w:val="0B947DE6"/>
    <w:lvl w:ilvl="0" w:tplc="240A0017">
      <w:start w:val="1"/>
      <w:numFmt w:val="lowerLetter"/>
      <w:lvlText w:val="%1)"/>
      <w:lvlJc w:val="left"/>
      <w:pPr>
        <w:ind w:left="-415" w:hanging="360"/>
      </w:pPr>
    </w:lvl>
    <w:lvl w:ilvl="1" w:tplc="240A0019" w:tentative="1">
      <w:start w:val="1"/>
      <w:numFmt w:val="lowerLetter"/>
      <w:lvlText w:val="%2."/>
      <w:lvlJc w:val="left"/>
      <w:pPr>
        <w:ind w:left="305" w:hanging="360"/>
      </w:pPr>
    </w:lvl>
    <w:lvl w:ilvl="2" w:tplc="240A001B" w:tentative="1">
      <w:start w:val="1"/>
      <w:numFmt w:val="lowerRoman"/>
      <w:lvlText w:val="%3."/>
      <w:lvlJc w:val="right"/>
      <w:pPr>
        <w:ind w:left="1025" w:hanging="180"/>
      </w:pPr>
    </w:lvl>
    <w:lvl w:ilvl="3" w:tplc="240A000F" w:tentative="1">
      <w:start w:val="1"/>
      <w:numFmt w:val="decimal"/>
      <w:lvlText w:val="%4."/>
      <w:lvlJc w:val="left"/>
      <w:pPr>
        <w:ind w:left="1745" w:hanging="360"/>
      </w:pPr>
    </w:lvl>
    <w:lvl w:ilvl="4" w:tplc="240A0019" w:tentative="1">
      <w:start w:val="1"/>
      <w:numFmt w:val="lowerLetter"/>
      <w:lvlText w:val="%5."/>
      <w:lvlJc w:val="left"/>
      <w:pPr>
        <w:ind w:left="2465" w:hanging="360"/>
      </w:pPr>
    </w:lvl>
    <w:lvl w:ilvl="5" w:tplc="240A001B" w:tentative="1">
      <w:start w:val="1"/>
      <w:numFmt w:val="lowerRoman"/>
      <w:lvlText w:val="%6."/>
      <w:lvlJc w:val="right"/>
      <w:pPr>
        <w:ind w:left="3185" w:hanging="180"/>
      </w:pPr>
    </w:lvl>
    <w:lvl w:ilvl="6" w:tplc="240A000F" w:tentative="1">
      <w:start w:val="1"/>
      <w:numFmt w:val="decimal"/>
      <w:lvlText w:val="%7."/>
      <w:lvlJc w:val="left"/>
      <w:pPr>
        <w:ind w:left="3905" w:hanging="360"/>
      </w:pPr>
    </w:lvl>
    <w:lvl w:ilvl="7" w:tplc="240A0019" w:tentative="1">
      <w:start w:val="1"/>
      <w:numFmt w:val="lowerLetter"/>
      <w:lvlText w:val="%8."/>
      <w:lvlJc w:val="left"/>
      <w:pPr>
        <w:ind w:left="4625" w:hanging="360"/>
      </w:pPr>
    </w:lvl>
    <w:lvl w:ilvl="8" w:tplc="240A001B" w:tentative="1">
      <w:start w:val="1"/>
      <w:numFmt w:val="lowerRoman"/>
      <w:lvlText w:val="%9."/>
      <w:lvlJc w:val="right"/>
      <w:pPr>
        <w:ind w:left="5345" w:hanging="180"/>
      </w:pPr>
    </w:lvl>
  </w:abstractNum>
  <w:abstractNum w:abstractNumId="8" w15:restartNumberingAfterBreak="0">
    <w:nsid w:val="07E761CB"/>
    <w:multiLevelType w:val="hybridMultilevel"/>
    <w:tmpl w:val="CDFCE9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3" w15:restartNumberingAfterBreak="0">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6311A02"/>
    <w:multiLevelType w:val="hybridMultilevel"/>
    <w:tmpl w:val="05029C3C"/>
    <w:name w:val="WW8Num642322223"/>
    <w:lvl w:ilvl="0" w:tplc="B1C0AF80">
      <w:start w:val="1"/>
      <w:numFmt w:val="decimal"/>
      <w:lvlText w:val="%1."/>
      <w:lvlJc w:val="left"/>
      <w:pPr>
        <w:ind w:left="786"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16B97C07"/>
    <w:multiLevelType w:val="hybridMultilevel"/>
    <w:tmpl w:val="BBA084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0B50620"/>
    <w:multiLevelType w:val="multilevel"/>
    <w:tmpl w:val="4DE26D66"/>
    <w:name w:val="Anexo2"/>
    <w:lvl w:ilvl="0">
      <w:start w:val="6"/>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5E74006"/>
    <w:multiLevelType w:val="multilevel"/>
    <w:tmpl w:val="0A047AE2"/>
    <w:name w:val="WW8Num64232232"/>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7440DF6"/>
    <w:multiLevelType w:val="multilevel"/>
    <w:tmpl w:val="1828FA58"/>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323C04"/>
    <w:multiLevelType w:val="hybridMultilevel"/>
    <w:tmpl w:val="2BA22C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8F13D4"/>
    <w:multiLevelType w:val="multilevel"/>
    <w:tmpl w:val="5DAE7962"/>
    <w:lvl w:ilvl="0">
      <w:start w:val="1"/>
      <w:numFmt w:val="decimal"/>
      <w:pStyle w:val="ARTICULOS"/>
      <w:suff w:val="space"/>
      <w:lvlText w:val="Artículo %1."/>
      <w:lvlJc w:val="left"/>
      <w:pPr>
        <w:ind w:left="1702"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23" w15:restartNumberingAfterBreak="0">
    <w:nsid w:val="36947D46"/>
    <w:multiLevelType w:val="hybridMultilevel"/>
    <w:tmpl w:val="2BA22C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25" w15:restartNumberingAfterBreak="0">
    <w:nsid w:val="38D20CFD"/>
    <w:multiLevelType w:val="hybridMultilevel"/>
    <w:tmpl w:val="2BA22C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CB81FEB"/>
    <w:multiLevelType w:val="hybridMultilevel"/>
    <w:tmpl w:val="9EC0B1CE"/>
    <w:lvl w:ilvl="0" w:tplc="C41C0BF0">
      <w:start w:val="1"/>
      <w:numFmt w:val="upperLetter"/>
      <w:pStyle w:val="Ttulo2"/>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27"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6015D7B"/>
    <w:multiLevelType w:val="hybridMultilevel"/>
    <w:tmpl w:val="BBA084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7A242CB"/>
    <w:multiLevelType w:val="multilevel"/>
    <w:tmpl w:val="CD641A08"/>
    <w:lvl w:ilvl="0">
      <w:start w:val="1"/>
      <w:numFmt w:val="decimal"/>
      <w:lvlText w:val="%1."/>
      <w:lvlJc w:val="left"/>
      <w:pPr>
        <w:ind w:left="720" w:hanging="360"/>
      </w:pPr>
      <w:rPr>
        <w:rFonts w:hint="default"/>
        <w:sz w:val="24"/>
        <w:szCs w:val="24"/>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A544E2E"/>
    <w:multiLevelType w:val="hybridMultilevel"/>
    <w:tmpl w:val="01904D34"/>
    <w:lvl w:ilvl="0" w:tplc="240A0017">
      <w:start w:val="1"/>
      <w:numFmt w:val="lowerLetter"/>
      <w:lvlText w:val="%1)"/>
      <w:lvlJc w:val="left"/>
      <w:pPr>
        <w:ind w:left="792" w:hanging="360"/>
      </w:pPr>
    </w:lvl>
    <w:lvl w:ilvl="1" w:tplc="240A0019" w:tentative="1">
      <w:start w:val="1"/>
      <w:numFmt w:val="lowerLetter"/>
      <w:lvlText w:val="%2."/>
      <w:lvlJc w:val="left"/>
      <w:pPr>
        <w:ind w:left="1512" w:hanging="360"/>
      </w:pPr>
    </w:lvl>
    <w:lvl w:ilvl="2" w:tplc="240A001B" w:tentative="1">
      <w:start w:val="1"/>
      <w:numFmt w:val="lowerRoman"/>
      <w:lvlText w:val="%3."/>
      <w:lvlJc w:val="right"/>
      <w:pPr>
        <w:ind w:left="2232" w:hanging="180"/>
      </w:pPr>
    </w:lvl>
    <w:lvl w:ilvl="3" w:tplc="240A000F" w:tentative="1">
      <w:start w:val="1"/>
      <w:numFmt w:val="decimal"/>
      <w:lvlText w:val="%4."/>
      <w:lvlJc w:val="left"/>
      <w:pPr>
        <w:ind w:left="2952" w:hanging="360"/>
      </w:pPr>
    </w:lvl>
    <w:lvl w:ilvl="4" w:tplc="240A0019" w:tentative="1">
      <w:start w:val="1"/>
      <w:numFmt w:val="lowerLetter"/>
      <w:lvlText w:val="%5."/>
      <w:lvlJc w:val="left"/>
      <w:pPr>
        <w:ind w:left="3672" w:hanging="360"/>
      </w:pPr>
    </w:lvl>
    <w:lvl w:ilvl="5" w:tplc="240A001B" w:tentative="1">
      <w:start w:val="1"/>
      <w:numFmt w:val="lowerRoman"/>
      <w:lvlText w:val="%6."/>
      <w:lvlJc w:val="right"/>
      <w:pPr>
        <w:ind w:left="4392" w:hanging="180"/>
      </w:pPr>
    </w:lvl>
    <w:lvl w:ilvl="6" w:tplc="240A000F" w:tentative="1">
      <w:start w:val="1"/>
      <w:numFmt w:val="decimal"/>
      <w:lvlText w:val="%7."/>
      <w:lvlJc w:val="left"/>
      <w:pPr>
        <w:ind w:left="5112" w:hanging="360"/>
      </w:pPr>
    </w:lvl>
    <w:lvl w:ilvl="7" w:tplc="240A0019" w:tentative="1">
      <w:start w:val="1"/>
      <w:numFmt w:val="lowerLetter"/>
      <w:lvlText w:val="%8."/>
      <w:lvlJc w:val="left"/>
      <w:pPr>
        <w:ind w:left="5832" w:hanging="360"/>
      </w:pPr>
    </w:lvl>
    <w:lvl w:ilvl="8" w:tplc="240A001B" w:tentative="1">
      <w:start w:val="1"/>
      <w:numFmt w:val="lowerRoman"/>
      <w:lvlText w:val="%9."/>
      <w:lvlJc w:val="right"/>
      <w:pPr>
        <w:ind w:left="6552" w:hanging="180"/>
      </w:pPr>
    </w:lvl>
  </w:abstractNum>
  <w:abstractNum w:abstractNumId="32" w15:restartNumberingAfterBreak="0">
    <w:nsid w:val="4E973C5F"/>
    <w:multiLevelType w:val="hybridMultilevel"/>
    <w:tmpl w:val="BBA084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36" w15:restartNumberingAfterBreak="0">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6327E7E"/>
    <w:multiLevelType w:val="hybridMultilevel"/>
    <w:tmpl w:val="E9CCF1B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9"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1A84524"/>
    <w:multiLevelType w:val="multilevel"/>
    <w:tmpl w:val="73666B2A"/>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42"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44"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062160"/>
    <w:multiLevelType w:val="hybridMultilevel"/>
    <w:tmpl w:val="BBA084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EE1426E"/>
    <w:multiLevelType w:val="hybridMultilevel"/>
    <w:tmpl w:val="2BA22C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6"/>
  </w:num>
  <w:num w:numId="2">
    <w:abstractNumId w:val="27"/>
  </w:num>
  <w:num w:numId="3">
    <w:abstractNumId w:val="0"/>
  </w:num>
  <w:num w:numId="4">
    <w:abstractNumId w:val="1"/>
  </w:num>
  <w:num w:numId="5">
    <w:abstractNumId w:val="41"/>
  </w:num>
  <w:num w:numId="6">
    <w:abstractNumId w:val="4"/>
  </w:num>
  <w:num w:numId="7">
    <w:abstractNumId w:val="42"/>
    <w:lvlOverride w:ilvl="0">
      <w:startOverride w:val="1"/>
    </w:lvlOverride>
  </w:num>
  <w:num w:numId="8">
    <w:abstractNumId w:val="36"/>
  </w:num>
  <w:num w:numId="9">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4"/>
  </w:num>
  <w:num w:numId="12">
    <w:abstractNumId w:val="33"/>
  </w:num>
  <w:num w:numId="13">
    <w:abstractNumId w:val="19"/>
  </w:num>
  <w:num w:numId="14">
    <w:abstractNumId w:val="34"/>
  </w:num>
  <w:num w:numId="15">
    <w:abstractNumId w:val="40"/>
  </w:num>
  <w:num w:numId="16">
    <w:abstractNumId w:val="18"/>
  </w:num>
  <w:num w:numId="17">
    <w:abstractNumId w:val="20"/>
  </w:num>
  <w:num w:numId="18">
    <w:abstractNumId w:val="13"/>
  </w:num>
  <w:num w:numId="19">
    <w:abstractNumId w:val="30"/>
  </w:num>
  <w:num w:numId="20">
    <w:abstractNumId w:val="31"/>
  </w:num>
  <w:num w:numId="21">
    <w:abstractNumId w:val="21"/>
  </w:num>
  <w:num w:numId="22">
    <w:abstractNumId w:val="37"/>
  </w:num>
  <w:num w:numId="23">
    <w:abstractNumId w:val="39"/>
  </w:num>
  <w:num w:numId="24">
    <w:abstractNumId w:val="3"/>
  </w:num>
  <w:num w:numId="25">
    <w:abstractNumId w:val="46"/>
  </w:num>
  <w:num w:numId="26">
    <w:abstractNumId w:val="8"/>
  </w:num>
  <w:num w:numId="27">
    <w:abstractNumId w:val="7"/>
  </w:num>
  <w:num w:numId="28">
    <w:abstractNumId w:val="23"/>
  </w:num>
  <w:num w:numId="29">
    <w:abstractNumId w:val="25"/>
  </w:num>
  <w:num w:numId="30">
    <w:abstractNumId w:val="2"/>
  </w:num>
  <w:num w:numId="31">
    <w:abstractNumId w:val="32"/>
  </w:num>
  <w:num w:numId="32">
    <w:abstractNumId w:val="28"/>
  </w:num>
  <w:num w:numId="33">
    <w:abstractNumId w:val="15"/>
  </w:num>
  <w:num w:numId="34">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058"/>
    <w:rsid w:val="000014B5"/>
    <w:rsid w:val="000017D8"/>
    <w:rsid w:val="000020CF"/>
    <w:rsid w:val="00002B90"/>
    <w:rsid w:val="000030AD"/>
    <w:rsid w:val="00003DB0"/>
    <w:rsid w:val="00004DDD"/>
    <w:rsid w:val="0000536D"/>
    <w:rsid w:val="00006A0F"/>
    <w:rsid w:val="00006AE2"/>
    <w:rsid w:val="00006EF1"/>
    <w:rsid w:val="000070D1"/>
    <w:rsid w:val="000074C7"/>
    <w:rsid w:val="0000762A"/>
    <w:rsid w:val="000076A1"/>
    <w:rsid w:val="00010073"/>
    <w:rsid w:val="00010488"/>
    <w:rsid w:val="00011493"/>
    <w:rsid w:val="00012156"/>
    <w:rsid w:val="00012259"/>
    <w:rsid w:val="00013DC1"/>
    <w:rsid w:val="000143BD"/>
    <w:rsid w:val="00015041"/>
    <w:rsid w:val="000166AB"/>
    <w:rsid w:val="000178E1"/>
    <w:rsid w:val="00022D04"/>
    <w:rsid w:val="00025287"/>
    <w:rsid w:val="0002528B"/>
    <w:rsid w:val="00025383"/>
    <w:rsid w:val="00025CF8"/>
    <w:rsid w:val="00025F77"/>
    <w:rsid w:val="000267DF"/>
    <w:rsid w:val="000268CF"/>
    <w:rsid w:val="00026C4E"/>
    <w:rsid w:val="000303F3"/>
    <w:rsid w:val="00030757"/>
    <w:rsid w:val="00030CFA"/>
    <w:rsid w:val="000332C2"/>
    <w:rsid w:val="00033403"/>
    <w:rsid w:val="000338C5"/>
    <w:rsid w:val="000345DB"/>
    <w:rsid w:val="00035412"/>
    <w:rsid w:val="000358AD"/>
    <w:rsid w:val="00037497"/>
    <w:rsid w:val="00040132"/>
    <w:rsid w:val="00040AAA"/>
    <w:rsid w:val="000425B3"/>
    <w:rsid w:val="00043CBD"/>
    <w:rsid w:val="00043E01"/>
    <w:rsid w:val="00045EEA"/>
    <w:rsid w:val="00046413"/>
    <w:rsid w:val="00046E10"/>
    <w:rsid w:val="000475FB"/>
    <w:rsid w:val="00050E91"/>
    <w:rsid w:val="00051E24"/>
    <w:rsid w:val="00052660"/>
    <w:rsid w:val="0005283A"/>
    <w:rsid w:val="00054C44"/>
    <w:rsid w:val="0005680C"/>
    <w:rsid w:val="00057C90"/>
    <w:rsid w:val="000618C0"/>
    <w:rsid w:val="00063120"/>
    <w:rsid w:val="00063657"/>
    <w:rsid w:val="00064495"/>
    <w:rsid w:val="0006527F"/>
    <w:rsid w:val="000671E8"/>
    <w:rsid w:val="000738BF"/>
    <w:rsid w:val="000758FA"/>
    <w:rsid w:val="00076680"/>
    <w:rsid w:val="0007686B"/>
    <w:rsid w:val="00076CC4"/>
    <w:rsid w:val="00077990"/>
    <w:rsid w:val="00077FFE"/>
    <w:rsid w:val="0008073E"/>
    <w:rsid w:val="00081EB2"/>
    <w:rsid w:val="00083537"/>
    <w:rsid w:val="000847DF"/>
    <w:rsid w:val="00084954"/>
    <w:rsid w:val="00084EA5"/>
    <w:rsid w:val="000851FB"/>
    <w:rsid w:val="0008757C"/>
    <w:rsid w:val="0008779B"/>
    <w:rsid w:val="0008797B"/>
    <w:rsid w:val="00087E97"/>
    <w:rsid w:val="00087ECA"/>
    <w:rsid w:val="00091CDB"/>
    <w:rsid w:val="0009229F"/>
    <w:rsid w:val="000924B2"/>
    <w:rsid w:val="00092D3E"/>
    <w:rsid w:val="000931CA"/>
    <w:rsid w:val="000948A1"/>
    <w:rsid w:val="00097E20"/>
    <w:rsid w:val="000A006C"/>
    <w:rsid w:val="000A19AC"/>
    <w:rsid w:val="000A1DF5"/>
    <w:rsid w:val="000A2FCE"/>
    <w:rsid w:val="000A34F9"/>
    <w:rsid w:val="000A6065"/>
    <w:rsid w:val="000A6175"/>
    <w:rsid w:val="000A6475"/>
    <w:rsid w:val="000A76FF"/>
    <w:rsid w:val="000B08F8"/>
    <w:rsid w:val="000B2A23"/>
    <w:rsid w:val="000B5DFD"/>
    <w:rsid w:val="000C0E6A"/>
    <w:rsid w:val="000C2A33"/>
    <w:rsid w:val="000C30C3"/>
    <w:rsid w:val="000C3557"/>
    <w:rsid w:val="000C362A"/>
    <w:rsid w:val="000C446B"/>
    <w:rsid w:val="000D1602"/>
    <w:rsid w:val="000D1687"/>
    <w:rsid w:val="000D26F8"/>
    <w:rsid w:val="000D425F"/>
    <w:rsid w:val="000D4E8F"/>
    <w:rsid w:val="000D5C38"/>
    <w:rsid w:val="000D6382"/>
    <w:rsid w:val="000D6B2E"/>
    <w:rsid w:val="000D76EF"/>
    <w:rsid w:val="000D7B34"/>
    <w:rsid w:val="000E43E1"/>
    <w:rsid w:val="000E5E39"/>
    <w:rsid w:val="000E7045"/>
    <w:rsid w:val="000F1021"/>
    <w:rsid w:val="000F1710"/>
    <w:rsid w:val="000F2616"/>
    <w:rsid w:val="000F2795"/>
    <w:rsid w:val="000F2B3A"/>
    <w:rsid w:val="000F2DD4"/>
    <w:rsid w:val="000F6A39"/>
    <w:rsid w:val="000F6DBF"/>
    <w:rsid w:val="000F78D2"/>
    <w:rsid w:val="001037E4"/>
    <w:rsid w:val="00104810"/>
    <w:rsid w:val="00104E22"/>
    <w:rsid w:val="00104E83"/>
    <w:rsid w:val="001053F6"/>
    <w:rsid w:val="00105B01"/>
    <w:rsid w:val="00106707"/>
    <w:rsid w:val="00106F38"/>
    <w:rsid w:val="001073F7"/>
    <w:rsid w:val="00110CC4"/>
    <w:rsid w:val="00110F56"/>
    <w:rsid w:val="00111F55"/>
    <w:rsid w:val="00111FD2"/>
    <w:rsid w:val="00112052"/>
    <w:rsid w:val="00115711"/>
    <w:rsid w:val="001161E7"/>
    <w:rsid w:val="00117425"/>
    <w:rsid w:val="001179C9"/>
    <w:rsid w:val="00117A92"/>
    <w:rsid w:val="00121723"/>
    <w:rsid w:val="00121B18"/>
    <w:rsid w:val="00122CA6"/>
    <w:rsid w:val="001231A4"/>
    <w:rsid w:val="00123302"/>
    <w:rsid w:val="001249A9"/>
    <w:rsid w:val="00125361"/>
    <w:rsid w:val="001319BD"/>
    <w:rsid w:val="001322BF"/>
    <w:rsid w:val="0013406E"/>
    <w:rsid w:val="00134A58"/>
    <w:rsid w:val="0013714C"/>
    <w:rsid w:val="00137943"/>
    <w:rsid w:val="001405C6"/>
    <w:rsid w:val="00141013"/>
    <w:rsid w:val="001417B2"/>
    <w:rsid w:val="00142DB0"/>
    <w:rsid w:val="00143047"/>
    <w:rsid w:val="001459B9"/>
    <w:rsid w:val="00146135"/>
    <w:rsid w:val="00147D1D"/>
    <w:rsid w:val="00151E86"/>
    <w:rsid w:val="0015316A"/>
    <w:rsid w:val="00153FC0"/>
    <w:rsid w:val="00157F28"/>
    <w:rsid w:val="00160E3E"/>
    <w:rsid w:val="00161FDA"/>
    <w:rsid w:val="00166D59"/>
    <w:rsid w:val="00172C7D"/>
    <w:rsid w:val="00175AC3"/>
    <w:rsid w:val="001767F6"/>
    <w:rsid w:val="00176FB4"/>
    <w:rsid w:val="001772C2"/>
    <w:rsid w:val="00177666"/>
    <w:rsid w:val="00177AD0"/>
    <w:rsid w:val="0018193B"/>
    <w:rsid w:val="001831D3"/>
    <w:rsid w:val="00183613"/>
    <w:rsid w:val="00184EDA"/>
    <w:rsid w:val="001850B5"/>
    <w:rsid w:val="001879F8"/>
    <w:rsid w:val="00187A25"/>
    <w:rsid w:val="00190722"/>
    <w:rsid w:val="001913E9"/>
    <w:rsid w:val="00192CBF"/>
    <w:rsid w:val="00192FF1"/>
    <w:rsid w:val="00193483"/>
    <w:rsid w:val="00193A1B"/>
    <w:rsid w:val="00193AFD"/>
    <w:rsid w:val="00193BD8"/>
    <w:rsid w:val="00194946"/>
    <w:rsid w:val="001950AE"/>
    <w:rsid w:val="00196942"/>
    <w:rsid w:val="001973AD"/>
    <w:rsid w:val="001978D8"/>
    <w:rsid w:val="001A0337"/>
    <w:rsid w:val="001A0FBC"/>
    <w:rsid w:val="001A3D7E"/>
    <w:rsid w:val="001A46B9"/>
    <w:rsid w:val="001A55AD"/>
    <w:rsid w:val="001A5843"/>
    <w:rsid w:val="001A5F1B"/>
    <w:rsid w:val="001B033B"/>
    <w:rsid w:val="001B1C22"/>
    <w:rsid w:val="001B1E36"/>
    <w:rsid w:val="001B231A"/>
    <w:rsid w:val="001B250C"/>
    <w:rsid w:val="001B2B6A"/>
    <w:rsid w:val="001B34C6"/>
    <w:rsid w:val="001B3875"/>
    <w:rsid w:val="001B5BA5"/>
    <w:rsid w:val="001B73C3"/>
    <w:rsid w:val="001B7CE6"/>
    <w:rsid w:val="001C0C00"/>
    <w:rsid w:val="001C3C58"/>
    <w:rsid w:val="001C4A24"/>
    <w:rsid w:val="001C5813"/>
    <w:rsid w:val="001D0619"/>
    <w:rsid w:val="001D44CD"/>
    <w:rsid w:val="001D5773"/>
    <w:rsid w:val="001D6FD4"/>
    <w:rsid w:val="001D7832"/>
    <w:rsid w:val="001D7CF3"/>
    <w:rsid w:val="001D7ED7"/>
    <w:rsid w:val="001E01FB"/>
    <w:rsid w:val="001E1102"/>
    <w:rsid w:val="001E1C5B"/>
    <w:rsid w:val="001E1E6A"/>
    <w:rsid w:val="001E4A38"/>
    <w:rsid w:val="001E7CAD"/>
    <w:rsid w:val="001F2313"/>
    <w:rsid w:val="001F2C7D"/>
    <w:rsid w:val="001F42F8"/>
    <w:rsid w:val="001F582D"/>
    <w:rsid w:val="001F5E01"/>
    <w:rsid w:val="001F6651"/>
    <w:rsid w:val="001F6BDB"/>
    <w:rsid w:val="001F6EE4"/>
    <w:rsid w:val="001F71B4"/>
    <w:rsid w:val="001F784F"/>
    <w:rsid w:val="001F7DC0"/>
    <w:rsid w:val="00200B18"/>
    <w:rsid w:val="0020110E"/>
    <w:rsid w:val="00205145"/>
    <w:rsid w:val="00206FC6"/>
    <w:rsid w:val="00207021"/>
    <w:rsid w:val="00207743"/>
    <w:rsid w:val="00210694"/>
    <w:rsid w:val="00211D34"/>
    <w:rsid w:val="00214B83"/>
    <w:rsid w:val="00214F04"/>
    <w:rsid w:val="00216E12"/>
    <w:rsid w:val="00217298"/>
    <w:rsid w:val="00217821"/>
    <w:rsid w:val="00223199"/>
    <w:rsid w:val="00223C60"/>
    <w:rsid w:val="0022428F"/>
    <w:rsid w:val="00224C4E"/>
    <w:rsid w:val="002258CF"/>
    <w:rsid w:val="00225DDB"/>
    <w:rsid w:val="002304D6"/>
    <w:rsid w:val="00231A93"/>
    <w:rsid w:val="00231C48"/>
    <w:rsid w:val="00231F5A"/>
    <w:rsid w:val="00233641"/>
    <w:rsid w:val="00235E85"/>
    <w:rsid w:val="00235ED9"/>
    <w:rsid w:val="00236966"/>
    <w:rsid w:val="002406F1"/>
    <w:rsid w:val="00242BDB"/>
    <w:rsid w:val="00244179"/>
    <w:rsid w:val="00245FC6"/>
    <w:rsid w:val="00247088"/>
    <w:rsid w:val="0024713D"/>
    <w:rsid w:val="00247D60"/>
    <w:rsid w:val="002502C9"/>
    <w:rsid w:val="0025046A"/>
    <w:rsid w:val="00250BED"/>
    <w:rsid w:val="00250D8F"/>
    <w:rsid w:val="00252577"/>
    <w:rsid w:val="00254093"/>
    <w:rsid w:val="0025614F"/>
    <w:rsid w:val="00256595"/>
    <w:rsid w:val="0026165E"/>
    <w:rsid w:val="0026237D"/>
    <w:rsid w:val="00263E19"/>
    <w:rsid w:val="00264AF6"/>
    <w:rsid w:val="00266210"/>
    <w:rsid w:val="0026627F"/>
    <w:rsid w:val="00266730"/>
    <w:rsid w:val="00266CD6"/>
    <w:rsid w:val="002671AD"/>
    <w:rsid w:val="0027060D"/>
    <w:rsid w:val="00270629"/>
    <w:rsid w:val="002744FD"/>
    <w:rsid w:val="00275DAB"/>
    <w:rsid w:val="002806A3"/>
    <w:rsid w:val="00282865"/>
    <w:rsid w:val="00282CE5"/>
    <w:rsid w:val="00282E89"/>
    <w:rsid w:val="00283266"/>
    <w:rsid w:val="00283B40"/>
    <w:rsid w:val="00283E69"/>
    <w:rsid w:val="00284DE7"/>
    <w:rsid w:val="00285D57"/>
    <w:rsid w:val="00286865"/>
    <w:rsid w:val="00287D4B"/>
    <w:rsid w:val="00287F6A"/>
    <w:rsid w:val="0029053D"/>
    <w:rsid w:val="002905E6"/>
    <w:rsid w:val="00290FC3"/>
    <w:rsid w:val="002928BD"/>
    <w:rsid w:val="00294FB6"/>
    <w:rsid w:val="00295934"/>
    <w:rsid w:val="00295F0D"/>
    <w:rsid w:val="00296523"/>
    <w:rsid w:val="00297DB0"/>
    <w:rsid w:val="002A19AC"/>
    <w:rsid w:val="002A247A"/>
    <w:rsid w:val="002A49F8"/>
    <w:rsid w:val="002A4BCF"/>
    <w:rsid w:val="002A4D80"/>
    <w:rsid w:val="002A78AC"/>
    <w:rsid w:val="002A7B9F"/>
    <w:rsid w:val="002B11E2"/>
    <w:rsid w:val="002B12D3"/>
    <w:rsid w:val="002B1AF9"/>
    <w:rsid w:val="002B24B8"/>
    <w:rsid w:val="002B3249"/>
    <w:rsid w:val="002B372A"/>
    <w:rsid w:val="002B3EF8"/>
    <w:rsid w:val="002B4689"/>
    <w:rsid w:val="002B4CB7"/>
    <w:rsid w:val="002B71F6"/>
    <w:rsid w:val="002B740E"/>
    <w:rsid w:val="002C19AF"/>
    <w:rsid w:val="002C39F3"/>
    <w:rsid w:val="002C450C"/>
    <w:rsid w:val="002C5BAD"/>
    <w:rsid w:val="002C64F7"/>
    <w:rsid w:val="002C6906"/>
    <w:rsid w:val="002C6E76"/>
    <w:rsid w:val="002D00ED"/>
    <w:rsid w:val="002D0133"/>
    <w:rsid w:val="002D3AE9"/>
    <w:rsid w:val="002D3DD7"/>
    <w:rsid w:val="002D4440"/>
    <w:rsid w:val="002D4510"/>
    <w:rsid w:val="002D4D47"/>
    <w:rsid w:val="002D589B"/>
    <w:rsid w:val="002D65B0"/>
    <w:rsid w:val="002D7469"/>
    <w:rsid w:val="002D7699"/>
    <w:rsid w:val="002D7A11"/>
    <w:rsid w:val="002D7C88"/>
    <w:rsid w:val="002E3E06"/>
    <w:rsid w:val="002E47A6"/>
    <w:rsid w:val="002E56AC"/>
    <w:rsid w:val="002E5DD4"/>
    <w:rsid w:val="002E620E"/>
    <w:rsid w:val="002F0464"/>
    <w:rsid w:val="002F0734"/>
    <w:rsid w:val="002F1284"/>
    <w:rsid w:val="002F3B2D"/>
    <w:rsid w:val="002F3DB4"/>
    <w:rsid w:val="002F46E7"/>
    <w:rsid w:val="002F7192"/>
    <w:rsid w:val="002F7809"/>
    <w:rsid w:val="00300129"/>
    <w:rsid w:val="003002B0"/>
    <w:rsid w:val="003005E5"/>
    <w:rsid w:val="00301E04"/>
    <w:rsid w:val="00302297"/>
    <w:rsid w:val="00302C6F"/>
    <w:rsid w:val="00304341"/>
    <w:rsid w:val="00306B23"/>
    <w:rsid w:val="003101DA"/>
    <w:rsid w:val="003131E5"/>
    <w:rsid w:val="0031321A"/>
    <w:rsid w:val="003143C2"/>
    <w:rsid w:val="00314757"/>
    <w:rsid w:val="003157DA"/>
    <w:rsid w:val="003159DC"/>
    <w:rsid w:val="00320B01"/>
    <w:rsid w:val="003211CE"/>
    <w:rsid w:val="00321393"/>
    <w:rsid w:val="00322E12"/>
    <w:rsid w:val="003231F1"/>
    <w:rsid w:val="00323F5F"/>
    <w:rsid w:val="0032452A"/>
    <w:rsid w:val="00326BF3"/>
    <w:rsid w:val="00326EF0"/>
    <w:rsid w:val="0032764B"/>
    <w:rsid w:val="00327900"/>
    <w:rsid w:val="00331082"/>
    <w:rsid w:val="00331490"/>
    <w:rsid w:val="00332D0A"/>
    <w:rsid w:val="00333510"/>
    <w:rsid w:val="00334FB0"/>
    <w:rsid w:val="00337C29"/>
    <w:rsid w:val="0034140F"/>
    <w:rsid w:val="00341F46"/>
    <w:rsid w:val="00343A76"/>
    <w:rsid w:val="00343AEE"/>
    <w:rsid w:val="00343F8A"/>
    <w:rsid w:val="00344009"/>
    <w:rsid w:val="003441AD"/>
    <w:rsid w:val="0035036E"/>
    <w:rsid w:val="003523BC"/>
    <w:rsid w:val="0035364D"/>
    <w:rsid w:val="0035403A"/>
    <w:rsid w:val="00354FBF"/>
    <w:rsid w:val="00357B32"/>
    <w:rsid w:val="0036018D"/>
    <w:rsid w:val="003604F6"/>
    <w:rsid w:val="00361CAF"/>
    <w:rsid w:val="00362DD8"/>
    <w:rsid w:val="0036394B"/>
    <w:rsid w:val="00364973"/>
    <w:rsid w:val="00364F4B"/>
    <w:rsid w:val="0036563F"/>
    <w:rsid w:val="003665E8"/>
    <w:rsid w:val="003668DA"/>
    <w:rsid w:val="00367457"/>
    <w:rsid w:val="00367C1C"/>
    <w:rsid w:val="0037021A"/>
    <w:rsid w:val="00370929"/>
    <w:rsid w:val="003709B5"/>
    <w:rsid w:val="00373437"/>
    <w:rsid w:val="003752D0"/>
    <w:rsid w:val="003759C2"/>
    <w:rsid w:val="003766EF"/>
    <w:rsid w:val="00377BBF"/>
    <w:rsid w:val="003801BD"/>
    <w:rsid w:val="00380DEC"/>
    <w:rsid w:val="00381A6A"/>
    <w:rsid w:val="0038204A"/>
    <w:rsid w:val="00383C36"/>
    <w:rsid w:val="00384C21"/>
    <w:rsid w:val="00384EC3"/>
    <w:rsid w:val="00385562"/>
    <w:rsid w:val="00385D92"/>
    <w:rsid w:val="003867CF"/>
    <w:rsid w:val="00386E98"/>
    <w:rsid w:val="003873DA"/>
    <w:rsid w:val="003908C2"/>
    <w:rsid w:val="00394370"/>
    <w:rsid w:val="003959F5"/>
    <w:rsid w:val="003970E3"/>
    <w:rsid w:val="00397322"/>
    <w:rsid w:val="00397365"/>
    <w:rsid w:val="003A129D"/>
    <w:rsid w:val="003A2109"/>
    <w:rsid w:val="003A31F6"/>
    <w:rsid w:val="003A3F4A"/>
    <w:rsid w:val="003A5198"/>
    <w:rsid w:val="003A61D7"/>
    <w:rsid w:val="003B216C"/>
    <w:rsid w:val="003B2DCF"/>
    <w:rsid w:val="003B2F59"/>
    <w:rsid w:val="003B3161"/>
    <w:rsid w:val="003B341F"/>
    <w:rsid w:val="003B3AA8"/>
    <w:rsid w:val="003B448E"/>
    <w:rsid w:val="003B554D"/>
    <w:rsid w:val="003B76AC"/>
    <w:rsid w:val="003B7F6C"/>
    <w:rsid w:val="003B7FCD"/>
    <w:rsid w:val="003C27FC"/>
    <w:rsid w:val="003C2C86"/>
    <w:rsid w:val="003C3447"/>
    <w:rsid w:val="003D076C"/>
    <w:rsid w:val="003D09CE"/>
    <w:rsid w:val="003D267D"/>
    <w:rsid w:val="003D3FD6"/>
    <w:rsid w:val="003D47E5"/>
    <w:rsid w:val="003D4A07"/>
    <w:rsid w:val="003D5C1D"/>
    <w:rsid w:val="003E067F"/>
    <w:rsid w:val="003E2B5E"/>
    <w:rsid w:val="003E2E60"/>
    <w:rsid w:val="003E7AC8"/>
    <w:rsid w:val="003E7D1D"/>
    <w:rsid w:val="003F10A2"/>
    <w:rsid w:val="003F1321"/>
    <w:rsid w:val="003F149E"/>
    <w:rsid w:val="003F1587"/>
    <w:rsid w:val="003F1903"/>
    <w:rsid w:val="003F1DCF"/>
    <w:rsid w:val="003F2610"/>
    <w:rsid w:val="003F2C6C"/>
    <w:rsid w:val="003F3022"/>
    <w:rsid w:val="003F5491"/>
    <w:rsid w:val="003F5F5B"/>
    <w:rsid w:val="003F73B5"/>
    <w:rsid w:val="004024E0"/>
    <w:rsid w:val="00402642"/>
    <w:rsid w:val="00402F2A"/>
    <w:rsid w:val="004031BC"/>
    <w:rsid w:val="00403289"/>
    <w:rsid w:val="004049E2"/>
    <w:rsid w:val="00405316"/>
    <w:rsid w:val="00405A93"/>
    <w:rsid w:val="004079CE"/>
    <w:rsid w:val="00410A23"/>
    <w:rsid w:val="00412E59"/>
    <w:rsid w:val="004144AE"/>
    <w:rsid w:val="00415BAB"/>
    <w:rsid w:val="00415ED2"/>
    <w:rsid w:val="00415EF4"/>
    <w:rsid w:val="00416B7D"/>
    <w:rsid w:val="00416FE8"/>
    <w:rsid w:val="004175BE"/>
    <w:rsid w:val="00417BFA"/>
    <w:rsid w:val="004201C3"/>
    <w:rsid w:val="004202F0"/>
    <w:rsid w:val="0042068C"/>
    <w:rsid w:val="004209DB"/>
    <w:rsid w:val="00421ACC"/>
    <w:rsid w:val="00422A21"/>
    <w:rsid w:val="00424815"/>
    <w:rsid w:val="00425DAD"/>
    <w:rsid w:val="0043089C"/>
    <w:rsid w:val="00430C3D"/>
    <w:rsid w:val="00431865"/>
    <w:rsid w:val="0043288F"/>
    <w:rsid w:val="00432BD4"/>
    <w:rsid w:val="00432D42"/>
    <w:rsid w:val="00433175"/>
    <w:rsid w:val="004341BD"/>
    <w:rsid w:val="004353F5"/>
    <w:rsid w:val="00440100"/>
    <w:rsid w:val="004405EF"/>
    <w:rsid w:val="004417B6"/>
    <w:rsid w:val="004437F7"/>
    <w:rsid w:val="00443C55"/>
    <w:rsid w:val="004450A1"/>
    <w:rsid w:val="00446FC8"/>
    <w:rsid w:val="00450110"/>
    <w:rsid w:val="00450ECB"/>
    <w:rsid w:val="00452138"/>
    <w:rsid w:val="004526BD"/>
    <w:rsid w:val="00453C72"/>
    <w:rsid w:val="00453E18"/>
    <w:rsid w:val="0045429D"/>
    <w:rsid w:val="0045532A"/>
    <w:rsid w:val="00455924"/>
    <w:rsid w:val="00457320"/>
    <w:rsid w:val="00460069"/>
    <w:rsid w:val="00460E2F"/>
    <w:rsid w:val="0046289C"/>
    <w:rsid w:val="004631C7"/>
    <w:rsid w:val="00465B23"/>
    <w:rsid w:val="00470369"/>
    <w:rsid w:val="004710C0"/>
    <w:rsid w:val="0047122B"/>
    <w:rsid w:val="00471F0F"/>
    <w:rsid w:val="004724A0"/>
    <w:rsid w:val="00473B7A"/>
    <w:rsid w:val="004741F7"/>
    <w:rsid w:val="00477200"/>
    <w:rsid w:val="00480A4C"/>
    <w:rsid w:val="00482D46"/>
    <w:rsid w:val="0048416F"/>
    <w:rsid w:val="004845DC"/>
    <w:rsid w:val="00485D9E"/>
    <w:rsid w:val="0049064F"/>
    <w:rsid w:val="00490C8B"/>
    <w:rsid w:val="00491694"/>
    <w:rsid w:val="00492F09"/>
    <w:rsid w:val="00493DA6"/>
    <w:rsid w:val="00493E9A"/>
    <w:rsid w:val="00494941"/>
    <w:rsid w:val="004960B9"/>
    <w:rsid w:val="004960E9"/>
    <w:rsid w:val="00497AA2"/>
    <w:rsid w:val="00497ADD"/>
    <w:rsid w:val="00497FDC"/>
    <w:rsid w:val="004A08A3"/>
    <w:rsid w:val="004A09BE"/>
    <w:rsid w:val="004A1ED4"/>
    <w:rsid w:val="004A21E7"/>
    <w:rsid w:val="004A2E88"/>
    <w:rsid w:val="004A3E64"/>
    <w:rsid w:val="004A4A82"/>
    <w:rsid w:val="004A5305"/>
    <w:rsid w:val="004A53B7"/>
    <w:rsid w:val="004A59A6"/>
    <w:rsid w:val="004A792D"/>
    <w:rsid w:val="004A7C2B"/>
    <w:rsid w:val="004B098C"/>
    <w:rsid w:val="004B1A73"/>
    <w:rsid w:val="004B272D"/>
    <w:rsid w:val="004B53AB"/>
    <w:rsid w:val="004B5A38"/>
    <w:rsid w:val="004B6B7B"/>
    <w:rsid w:val="004B7012"/>
    <w:rsid w:val="004B72D2"/>
    <w:rsid w:val="004B7A5A"/>
    <w:rsid w:val="004C019C"/>
    <w:rsid w:val="004C183C"/>
    <w:rsid w:val="004C3337"/>
    <w:rsid w:val="004C42EF"/>
    <w:rsid w:val="004C498B"/>
    <w:rsid w:val="004C4C81"/>
    <w:rsid w:val="004C7E17"/>
    <w:rsid w:val="004D0363"/>
    <w:rsid w:val="004D22EC"/>
    <w:rsid w:val="004D2604"/>
    <w:rsid w:val="004D2943"/>
    <w:rsid w:val="004D2C27"/>
    <w:rsid w:val="004D5997"/>
    <w:rsid w:val="004D7634"/>
    <w:rsid w:val="004E1933"/>
    <w:rsid w:val="004E306C"/>
    <w:rsid w:val="004E44C9"/>
    <w:rsid w:val="004E4726"/>
    <w:rsid w:val="004E55E5"/>
    <w:rsid w:val="004E6A11"/>
    <w:rsid w:val="004E6C7B"/>
    <w:rsid w:val="004E784A"/>
    <w:rsid w:val="004E79AE"/>
    <w:rsid w:val="004F1AED"/>
    <w:rsid w:val="004F25F8"/>
    <w:rsid w:val="004F29EB"/>
    <w:rsid w:val="004F313A"/>
    <w:rsid w:val="004F316F"/>
    <w:rsid w:val="004F3D47"/>
    <w:rsid w:val="004F4944"/>
    <w:rsid w:val="00500BDA"/>
    <w:rsid w:val="00500D7F"/>
    <w:rsid w:val="00500DC6"/>
    <w:rsid w:val="005030C9"/>
    <w:rsid w:val="00503503"/>
    <w:rsid w:val="00504523"/>
    <w:rsid w:val="00504FCD"/>
    <w:rsid w:val="00505316"/>
    <w:rsid w:val="00505685"/>
    <w:rsid w:val="00506974"/>
    <w:rsid w:val="005074A1"/>
    <w:rsid w:val="00510D33"/>
    <w:rsid w:val="00512FD5"/>
    <w:rsid w:val="00513CB9"/>
    <w:rsid w:val="005141E4"/>
    <w:rsid w:val="0051526E"/>
    <w:rsid w:val="005155E3"/>
    <w:rsid w:val="00515FC8"/>
    <w:rsid w:val="00515FD5"/>
    <w:rsid w:val="00517191"/>
    <w:rsid w:val="00520724"/>
    <w:rsid w:val="00522AFB"/>
    <w:rsid w:val="00523FC3"/>
    <w:rsid w:val="00524CA0"/>
    <w:rsid w:val="0052580B"/>
    <w:rsid w:val="00526E32"/>
    <w:rsid w:val="00527C89"/>
    <w:rsid w:val="005300D3"/>
    <w:rsid w:val="00532DA4"/>
    <w:rsid w:val="005332B0"/>
    <w:rsid w:val="005333BE"/>
    <w:rsid w:val="005367DD"/>
    <w:rsid w:val="00537A26"/>
    <w:rsid w:val="00541266"/>
    <w:rsid w:val="00542A22"/>
    <w:rsid w:val="00542AF2"/>
    <w:rsid w:val="00544F7B"/>
    <w:rsid w:val="00544F82"/>
    <w:rsid w:val="0054519C"/>
    <w:rsid w:val="00551731"/>
    <w:rsid w:val="00552831"/>
    <w:rsid w:val="00554A34"/>
    <w:rsid w:val="00555CD0"/>
    <w:rsid w:val="00563F8E"/>
    <w:rsid w:val="00565A54"/>
    <w:rsid w:val="005709AE"/>
    <w:rsid w:val="00571C1E"/>
    <w:rsid w:val="0057262F"/>
    <w:rsid w:val="00572A75"/>
    <w:rsid w:val="005753C0"/>
    <w:rsid w:val="005754D5"/>
    <w:rsid w:val="00580014"/>
    <w:rsid w:val="00580349"/>
    <w:rsid w:val="0058177A"/>
    <w:rsid w:val="005833CD"/>
    <w:rsid w:val="005838EB"/>
    <w:rsid w:val="00583FCE"/>
    <w:rsid w:val="00584338"/>
    <w:rsid w:val="00584DAF"/>
    <w:rsid w:val="005853AB"/>
    <w:rsid w:val="005853E9"/>
    <w:rsid w:val="00585620"/>
    <w:rsid w:val="00591471"/>
    <w:rsid w:val="00591F35"/>
    <w:rsid w:val="00593AF9"/>
    <w:rsid w:val="00593C4F"/>
    <w:rsid w:val="00593DAD"/>
    <w:rsid w:val="00593F94"/>
    <w:rsid w:val="005946A8"/>
    <w:rsid w:val="005969C3"/>
    <w:rsid w:val="005A13CA"/>
    <w:rsid w:val="005A2A88"/>
    <w:rsid w:val="005A369C"/>
    <w:rsid w:val="005A4407"/>
    <w:rsid w:val="005A59EF"/>
    <w:rsid w:val="005A63A2"/>
    <w:rsid w:val="005A7E55"/>
    <w:rsid w:val="005B0B23"/>
    <w:rsid w:val="005B3531"/>
    <w:rsid w:val="005B70F8"/>
    <w:rsid w:val="005B72DC"/>
    <w:rsid w:val="005B7393"/>
    <w:rsid w:val="005B7A9C"/>
    <w:rsid w:val="005C0958"/>
    <w:rsid w:val="005C0E55"/>
    <w:rsid w:val="005C2975"/>
    <w:rsid w:val="005C341A"/>
    <w:rsid w:val="005C39BB"/>
    <w:rsid w:val="005C403B"/>
    <w:rsid w:val="005C551F"/>
    <w:rsid w:val="005C6668"/>
    <w:rsid w:val="005C6D1E"/>
    <w:rsid w:val="005C7558"/>
    <w:rsid w:val="005C7C75"/>
    <w:rsid w:val="005D1345"/>
    <w:rsid w:val="005D4FCE"/>
    <w:rsid w:val="005D534B"/>
    <w:rsid w:val="005D6BA7"/>
    <w:rsid w:val="005E0291"/>
    <w:rsid w:val="005E1039"/>
    <w:rsid w:val="005E182C"/>
    <w:rsid w:val="005E1E9A"/>
    <w:rsid w:val="005E2677"/>
    <w:rsid w:val="005E383A"/>
    <w:rsid w:val="005E4D29"/>
    <w:rsid w:val="005E564B"/>
    <w:rsid w:val="005E5E3B"/>
    <w:rsid w:val="005E61DC"/>
    <w:rsid w:val="005F0F5A"/>
    <w:rsid w:val="005F13C3"/>
    <w:rsid w:val="005F1AA3"/>
    <w:rsid w:val="005F2CAD"/>
    <w:rsid w:val="005F39A0"/>
    <w:rsid w:val="005F4541"/>
    <w:rsid w:val="005F6B9C"/>
    <w:rsid w:val="00602082"/>
    <w:rsid w:val="00602276"/>
    <w:rsid w:val="00604069"/>
    <w:rsid w:val="0060509D"/>
    <w:rsid w:val="00607255"/>
    <w:rsid w:val="00610A26"/>
    <w:rsid w:val="006128CA"/>
    <w:rsid w:val="006129C2"/>
    <w:rsid w:val="006135CB"/>
    <w:rsid w:val="00614643"/>
    <w:rsid w:val="006156B1"/>
    <w:rsid w:val="00616F42"/>
    <w:rsid w:val="00620838"/>
    <w:rsid w:val="00623380"/>
    <w:rsid w:val="00624CE1"/>
    <w:rsid w:val="00625DC6"/>
    <w:rsid w:val="00626B92"/>
    <w:rsid w:val="00627CB7"/>
    <w:rsid w:val="00633C79"/>
    <w:rsid w:val="00634719"/>
    <w:rsid w:val="00635DA4"/>
    <w:rsid w:val="00635EDC"/>
    <w:rsid w:val="00637B9D"/>
    <w:rsid w:val="00637E3E"/>
    <w:rsid w:val="006405F6"/>
    <w:rsid w:val="00640D68"/>
    <w:rsid w:val="0064144F"/>
    <w:rsid w:val="0064220C"/>
    <w:rsid w:val="0064389B"/>
    <w:rsid w:val="0064504C"/>
    <w:rsid w:val="00645B9F"/>
    <w:rsid w:val="00645C0C"/>
    <w:rsid w:val="00645D94"/>
    <w:rsid w:val="00646944"/>
    <w:rsid w:val="006476AB"/>
    <w:rsid w:val="00650EBD"/>
    <w:rsid w:val="00651821"/>
    <w:rsid w:val="00652DDB"/>
    <w:rsid w:val="00653105"/>
    <w:rsid w:val="0065401D"/>
    <w:rsid w:val="00654384"/>
    <w:rsid w:val="00654512"/>
    <w:rsid w:val="00654FA0"/>
    <w:rsid w:val="00655713"/>
    <w:rsid w:val="00655CDB"/>
    <w:rsid w:val="00656257"/>
    <w:rsid w:val="00663DC0"/>
    <w:rsid w:val="00666C5D"/>
    <w:rsid w:val="006671B3"/>
    <w:rsid w:val="006675CD"/>
    <w:rsid w:val="00671D28"/>
    <w:rsid w:val="00675DE2"/>
    <w:rsid w:val="00683FDB"/>
    <w:rsid w:val="006845A9"/>
    <w:rsid w:val="00684D42"/>
    <w:rsid w:val="00684D9B"/>
    <w:rsid w:val="00685208"/>
    <w:rsid w:val="00686AF4"/>
    <w:rsid w:val="00687D38"/>
    <w:rsid w:val="00690670"/>
    <w:rsid w:val="0069136E"/>
    <w:rsid w:val="0069186A"/>
    <w:rsid w:val="00692F2E"/>
    <w:rsid w:val="0069305E"/>
    <w:rsid w:val="0069734D"/>
    <w:rsid w:val="00697556"/>
    <w:rsid w:val="006A3AFC"/>
    <w:rsid w:val="006A5A3D"/>
    <w:rsid w:val="006A61F1"/>
    <w:rsid w:val="006A6E70"/>
    <w:rsid w:val="006A6FA2"/>
    <w:rsid w:val="006A717A"/>
    <w:rsid w:val="006A7EFA"/>
    <w:rsid w:val="006A7FD3"/>
    <w:rsid w:val="006B0A0F"/>
    <w:rsid w:val="006B1D5B"/>
    <w:rsid w:val="006B21FB"/>
    <w:rsid w:val="006B3EB8"/>
    <w:rsid w:val="006B4C2B"/>
    <w:rsid w:val="006B4EE4"/>
    <w:rsid w:val="006B54BD"/>
    <w:rsid w:val="006B6D47"/>
    <w:rsid w:val="006C0523"/>
    <w:rsid w:val="006C2747"/>
    <w:rsid w:val="006C2B54"/>
    <w:rsid w:val="006C3975"/>
    <w:rsid w:val="006C673A"/>
    <w:rsid w:val="006C6C06"/>
    <w:rsid w:val="006C6CD7"/>
    <w:rsid w:val="006C7E25"/>
    <w:rsid w:val="006D09E4"/>
    <w:rsid w:val="006D0A36"/>
    <w:rsid w:val="006D1581"/>
    <w:rsid w:val="006D244A"/>
    <w:rsid w:val="006D2D47"/>
    <w:rsid w:val="006D2E01"/>
    <w:rsid w:val="006D2E35"/>
    <w:rsid w:val="006D5305"/>
    <w:rsid w:val="006D5367"/>
    <w:rsid w:val="006D646E"/>
    <w:rsid w:val="006D71A9"/>
    <w:rsid w:val="006D7BE5"/>
    <w:rsid w:val="006E0920"/>
    <w:rsid w:val="006E0FB8"/>
    <w:rsid w:val="006E1777"/>
    <w:rsid w:val="006E2ECB"/>
    <w:rsid w:val="006E409A"/>
    <w:rsid w:val="006E6446"/>
    <w:rsid w:val="006E7087"/>
    <w:rsid w:val="006F10EE"/>
    <w:rsid w:val="006F202D"/>
    <w:rsid w:val="006F3512"/>
    <w:rsid w:val="006F42C1"/>
    <w:rsid w:val="006F44C7"/>
    <w:rsid w:val="006F4502"/>
    <w:rsid w:val="006F49D6"/>
    <w:rsid w:val="006F4ACA"/>
    <w:rsid w:val="006F6844"/>
    <w:rsid w:val="006F6D95"/>
    <w:rsid w:val="007009C8"/>
    <w:rsid w:val="00701D95"/>
    <w:rsid w:val="0070232D"/>
    <w:rsid w:val="007035EB"/>
    <w:rsid w:val="00703F27"/>
    <w:rsid w:val="00706F13"/>
    <w:rsid w:val="007072E8"/>
    <w:rsid w:val="00707E35"/>
    <w:rsid w:val="00710C27"/>
    <w:rsid w:val="007114D3"/>
    <w:rsid w:val="007122EA"/>
    <w:rsid w:val="0071497E"/>
    <w:rsid w:val="00714C8E"/>
    <w:rsid w:val="0071618D"/>
    <w:rsid w:val="00720309"/>
    <w:rsid w:val="007225BF"/>
    <w:rsid w:val="00724C4F"/>
    <w:rsid w:val="00725FA4"/>
    <w:rsid w:val="007268DB"/>
    <w:rsid w:val="00727ABF"/>
    <w:rsid w:val="0073017E"/>
    <w:rsid w:val="00731FA6"/>
    <w:rsid w:val="00732B64"/>
    <w:rsid w:val="0073348B"/>
    <w:rsid w:val="00733A38"/>
    <w:rsid w:val="00735715"/>
    <w:rsid w:val="00736BEB"/>
    <w:rsid w:val="00737145"/>
    <w:rsid w:val="00737580"/>
    <w:rsid w:val="00740446"/>
    <w:rsid w:val="00740D1F"/>
    <w:rsid w:val="00741360"/>
    <w:rsid w:val="00741BF9"/>
    <w:rsid w:val="00741CDF"/>
    <w:rsid w:val="007427E3"/>
    <w:rsid w:val="00742E18"/>
    <w:rsid w:val="007438A9"/>
    <w:rsid w:val="0074491E"/>
    <w:rsid w:val="0074798D"/>
    <w:rsid w:val="00747B90"/>
    <w:rsid w:val="00747C6D"/>
    <w:rsid w:val="00752364"/>
    <w:rsid w:val="00752F55"/>
    <w:rsid w:val="0075577B"/>
    <w:rsid w:val="00755A12"/>
    <w:rsid w:val="00755D67"/>
    <w:rsid w:val="00763A6A"/>
    <w:rsid w:val="007650DA"/>
    <w:rsid w:val="00767630"/>
    <w:rsid w:val="00770B85"/>
    <w:rsid w:val="007710BE"/>
    <w:rsid w:val="00771AA5"/>
    <w:rsid w:val="00772113"/>
    <w:rsid w:val="00773651"/>
    <w:rsid w:val="00775964"/>
    <w:rsid w:val="00781A7E"/>
    <w:rsid w:val="00782146"/>
    <w:rsid w:val="00782181"/>
    <w:rsid w:val="00783F2E"/>
    <w:rsid w:val="00785B87"/>
    <w:rsid w:val="007863D9"/>
    <w:rsid w:val="00791498"/>
    <w:rsid w:val="00795BFB"/>
    <w:rsid w:val="00796954"/>
    <w:rsid w:val="00796B11"/>
    <w:rsid w:val="00797364"/>
    <w:rsid w:val="007A05EA"/>
    <w:rsid w:val="007A1721"/>
    <w:rsid w:val="007A2507"/>
    <w:rsid w:val="007A3A5D"/>
    <w:rsid w:val="007A5AF7"/>
    <w:rsid w:val="007A62DE"/>
    <w:rsid w:val="007B0A94"/>
    <w:rsid w:val="007B0D28"/>
    <w:rsid w:val="007B19A6"/>
    <w:rsid w:val="007B1F82"/>
    <w:rsid w:val="007B2760"/>
    <w:rsid w:val="007B3129"/>
    <w:rsid w:val="007B7B7C"/>
    <w:rsid w:val="007B7C36"/>
    <w:rsid w:val="007C0434"/>
    <w:rsid w:val="007C2B2C"/>
    <w:rsid w:val="007C373A"/>
    <w:rsid w:val="007C61CC"/>
    <w:rsid w:val="007D01F1"/>
    <w:rsid w:val="007D0697"/>
    <w:rsid w:val="007D128C"/>
    <w:rsid w:val="007D2724"/>
    <w:rsid w:val="007D37EB"/>
    <w:rsid w:val="007D4128"/>
    <w:rsid w:val="007D561B"/>
    <w:rsid w:val="007D5A91"/>
    <w:rsid w:val="007D5F31"/>
    <w:rsid w:val="007D678A"/>
    <w:rsid w:val="007D6F02"/>
    <w:rsid w:val="007D7AD3"/>
    <w:rsid w:val="007E0124"/>
    <w:rsid w:val="007E1250"/>
    <w:rsid w:val="007E66FE"/>
    <w:rsid w:val="007E783F"/>
    <w:rsid w:val="007F29C3"/>
    <w:rsid w:val="007F4155"/>
    <w:rsid w:val="007F4673"/>
    <w:rsid w:val="007F55B5"/>
    <w:rsid w:val="007F6336"/>
    <w:rsid w:val="007F634A"/>
    <w:rsid w:val="007F6659"/>
    <w:rsid w:val="007F6B5C"/>
    <w:rsid w:val="00800020"/>
    <w:rsid w:val="00800169"/>
    <w:rsid w:val="008020AA"/>
    <w:rsid w:val="00802249"/>
    <w:rsid w:val="008026A2"/>
    <w:rsid w:val="00803163"/>
    <w:rsid w:val="00804C95"/>
    <w:rsid w:val="00804F00"/>
    <w:rsid w:val="008053AC"/>
    <w:rsid w:val="008054FD"/>
    <w:rsid w:val="00805C68"/>
    <w:rsid w:val="00806C01"/>
    <w:rsid w:val="0080706E"/>
    <w:rsid w:val="00807E2D"/>
    <w:rsid w:val="00812078"/>
    <w:rsid w:val="00812402"/>
    <w:rsid w:val="008148CC"/>
    <w:rsid w:val="00815B9B"/>
    <w:rsid w:val="00817F39"/>
    <w:rsid w:val="00820BE0"/>
    <w:rsid w:val="008211A4"/>
    <w:rsid w:val="00822565"/>
    <w:rsid w:val="00822DFD"/>
    <w:rsid w:val="00823A8C"/>
    <w:rsid w:val="00825DC6"/>
    <w:rsid w:val="00830443"/>
    <w:rsid w:val="008316F2"/>
    <w:rsid w:val="008336A9"/>
    <w:rsid w:val="00836AA1"/>
    <w:rsid w:val="00840EA1"/>
    <w:rsid w:val="00840EE8"/>
    <w:rsid w:val="0084118B"/>
    <w:rsid w:val="00841BB7"/>
    <w:rsid w:val="0084203F"/>
    <w:rsid w:val="008447D6"/>
    <w:rsid w:val="00844D15"/>
    <w:rsid w:val="00844FD0"/>
    <w:rsid w:val="00846333"/>
    <w:rsid w:val="0084696F"/>
    <w:rsid w:val="00846F87"/>
    <w:rsid w:val="008475AF"/>
    <w:rsid w:val="00847805"/>
    <w:rsid w:val="008528C2"/>
    <w:rsid w:val="00852C20"/>
    <w:rsid w:val="008534FE"/>
    <w:rsid w:val="00856C70"/>
    <w:rsid w:val="00856DF7"/>
    <w:rsid w:val="00856FF9"/>
    <w:rsid w:val="008574DD"/>
    <w:rsid w:val="00863F5D"/>
    <w:rsid w:val="008652D4"/>
    <w:rsid w:val="008668BA"/>
    <w:rsid w:val="00866B76"/>
    <w:rsid w:val="00873150"/>
    <w:rsid w:val="0087574B"/>
    <w:rsid w:val="00875E0D"/>
    <w:rsid w:val="0087657D"/>
    <w:rsid w:val="00876C42"/>
    <w:rsid w:val="008774D4"/>
    <w:rsid w:val="00877ABE"/>
    <w:rsid w:val="008807D5"/>
    <w:rsid w:val="00880832"/>
    <w:rsid w:val="00880AD7"/>
    <w:rsid w:val="00882275"/>
    <w:rsid w:val="00882EED"/>
    <w:rsid w:val="00884994"/>
    <w:rsid w:val="00885672"/>
    <w:rsid w:val="00886EE1"/>
    <w:rsid w:val="0088727D"/>
    <w:rsid w:val="008900D7"/>
    <w:rsid w:val="00891890"/>
    <w:rsid w:val="00891A35"/>
    <w:rsid w:val="00892A8E"/>
    <w:rsid w:val="00893366"/>
    <w:rsid w:val="00894974"/>
    <w:rsid w:val="00894D61"/>
    <w:rsid w:val="00895C96"/>
    <w:rsid w:val="00896F42"/>
    <w:rsid w:val="00897784"/>
    <w:rsid w:val="00897BB3"/>
    <w:rsid w:val="00897C75"/>
    <w:rsid w:val="008A0D7A"/>
    <w:rsid w:val="008A0DDF"/>
    <w:rsid w:val="008A31C5"/>
    <w:rsid w:val="008A3E51"/>
    <w:rsid w:val="008A5166"/>
    <w:rsid w:val="008A5CBA"/>
    <w:rsid w:val="008A6D65"/>
    <w:rsid w:val="008B0647"/>
    <w:rsid w:val="008B21A6"/>
    <w:rsid w:val="008B380F"/>
    <w:rsid w:val="008B3CCD"/>
    <w:rsid w:val="008B3DCB"/>
    <w:rsid w:val="008B3E3F"/>
    <w:rsid w:val="008B53A8"/>
    <w:rsid w:val="008B657E"/>
    <w:rsid w:val="008B6BA3"/>
    <w:rsid w:val="008B70BC"/>
    <w:rsid w:val="008C02B6"/>
    <w:rsid w:val="008C104F"/>
    <w:rsid w:val="008C1130"/>
    <w:rsid w:val="008C25C5"/>
    <w:rsid w:val="008C4CD6"/>
    <w:rsid w:val="008D01DA"/>
    <w:rsid w:val="008D01DD"/>
    <w:rsid w:val="008D14C3"/>
    <w:rsid w:val="008D18E6"/>
    <w:rsid w:val="008D23F4"/>
    <w:rsid w:val="008D443E"/>
    <w:rsid w:val="008D5FF8"/>
    <w:rsid w:val="008D7A9B"/>
    <w:rsid w:val="008D7D48"/>
    <w:rsid w:val="008E2390"/>
    <w:rsid w:val="008E26D0"/>
    <w:rsid w:val="008E289B"/>
    <w:rsid w:val="008E61A7"/>
    <w:rsid w:val="008E64B8"/>
    <w:rsid w:val="008E76AC"/>
    <w:rsid w:val="008E79A1"/>
    <w:rsid w:val="008E7E9A"/>
    <w:rsid w:val="008F21F6"/>
    <w:rsid w:val="008F5118"/>
    <w:rsid w:val="008F5562"/>
    <w:rsid w:val="008F5D76"/>
    <w:rsid w:val="008F6CE2"/>
    <w:rsid w:val="00904826"/>
    <w:rsid w:val="00904BE2"/>
    <w:rsid w:val="00906102"/>
    <w:rsid w:val="009102D0"/>
    <w:rsid w:val="009122DE"/>
    <w:rsid w:val="009130D6"/>
    <w:rsid w:val="00914954"/>
    <w:rsid w:val="00915115"/>
    <w:rsid w:val="0091551E"/>
    <w:rsid w:val="00915CE0"/>
    <w:rsid w:val="00922208"/>
    <w:rsid w:val="0092711E"/>
    <w:rsid w:val="009313A6"/>
    <w:rsid w:val="00934826"/>
    <w:rsid w:val="0093560B"/>
    <w:rsid w:val="00935D0C"/>
    <w:rsid w:val="00937536"/>
    <w:rsid w:val="009415F8"/>
    <w:rsid w:val="009426AF"/>
    <w:rsid w:val="00943185"/>
    <w:rsid w:val="00943E2D"/>
    <w:rsid w:val="009468ED"/>
    <w:rsid w:val="00946B69"/>
    <w:rsid w:val="009471A6"/>
    <w:rsid w:val="00950AB7"/>
    <w:rsid w:val="009519A5"/>
    <w:rsid w:val="00951F79"/>
    <w:rsid w:val="00954675"/>
    <w:rsid w:val="00954939"/>
    <w:rsid w:val="00954A12"/>
    <w:rsid w:val="00956C52"/>
    <w:rsid w:val="009605E8"/>
    <w:rsid w:val="00962C1E"/>
    <w:rsid w:val="00965F94"/>
    <w:rsid w:val="0097053F"/>
    <w:rsid w:val="00970F70"/>
    <w:rsid w:val="00971B8C"/>
    <w:rsid w:val="00973B8B"/>
    <w:rsid w:val="00974AB5"/>
    <w:rsid w:val="00977318"/>
    <w:rsid w:val="00980348"/>
    <w:rsid w:val="0098042E"/>
    <w:rsid w:val="009827E3"/>
    <w:rsid w:val="00985EF3"/>
    <w:rsid w:val="0098706D"/>
    <w:rsid w:val="009935FB"/>
    <w:rsid w:val="00993855"/>
    <w:rsid w:val="00993B5B"/>
    <w:rsid w:val="00996122"/>
    <w:rsid w:val="009968AE"/>
    <w:rsid w:val="009A14C1"/>
    <w:rsid w:val="009A15E6"/>
    <w:rsid w:val="009A178E"/>
    <w:rsid w:val="009A269F"/>
    <w:rsid w:val="009A3DC7"/>
    <w:rsid w:val="009A70D7"/>
    <w:rsid w:val="009B0B7E"/>
    <w:rsid w:val="009B227C"/>
    <w:rsid w:val="009B3FCC"/>
    <w:rsid w:val="009B6AEF"/>
    <w:rsid w:val="009B6D42"/>
    <w:rsid w:val="009B7533"/>
    <w:rsid w:val="009B7DF6"/>
    <w:rsid w:val="009C0583"/>
    <w:rsid w:val="009C1F6F"/>
    <w:rsid w:val="009C32C0"/>
    <w:rsid w:val="009C6ADF"/>
    <w:rsid w:val="009C7F0C"/>
    <w:rsid w:val="009D5C09"/>
    <w:rsid w:val="009D661E"/>
    <w:rsid w:val="009D664D"/>
    <w:rsid w:val="009D6C3B"/>
    <w:rsid w:val="009D7D2C"/>
    <w:rsid w:val="009E0A9C"/>
    <w:rsid w:val="009E3024"/>
    <w:rsid w:val="009E3195"/>
    <w:rsid w:val="009E39FE"/>
    <w:rsid w:val="009E4122"/>
    <w:rsid w:val="009E47D0"/>
    <w:rsid w:val="009E5EE1"/>
    <w:rsid w:val="009F01F9"/>
    <w:rsid w:val="009F0271"/>
    <w:rsid w:val="009F128D"/>
    <w:rsid w:val="009F1FA1"/>
    <w:rsid w:val="009F4A54"/>
    <w:rsid w:val="009F4BEC"/>
    <w:rsid w:val="009F7841"/>
    <w:rsid w:val="00A02FD0"/>
    <w:rsid w:val="00A031EA"/>
    <w:rsid w:val="00A031F3"/>
    <w:rsid w:val="00A03A53"/>
    <w:rsid w:val="00A060EE"/>
    <w:rsid w:val="00A10A76"/>
    <w:rsid w:val="00A11EC1"/>
    <w:rsid w:val="00A12876"/>
    <w:rsid w:val="00A14210"/>
    <w:rsid w:val="00A15BC2"/>
    <w:rsid w:val="00A16897"/>
    <w:rsid w:val="00A17728"/>
    <w:rsid w:val="00A17ED4"/>
    <w:rsid w:val="00A2048D"/>
    <w:rsid w:val="00A215FB"/>
    <w:rsid w:val="00A218B0"/>
    <w:rsid w:val="00A22ADA"/>
    <w:rsid w:val="00A22CFB"/>
    <w:rsid w:val="00A23ABA"/>
    <w:rsid w:val="00A24FA7"/>
    <w:rsid w:val="00A25E3B"/>
    <w:rsid w:val="00A25FD7"/>
    <w:rsid w:val="00A261A8"/>
    <w:rsid w:val="00A27B59"/>
    <w:rsid w:val="00A27DE0"/>
    <w:rsid w:val="00A30A94"/>
    <w:rsid w:val="00A34596"/>
    <w:rsid w:val="00A348ED"/>
    <w:rsid w:val="00A35898"/>
    <w:rsid w:val="00A35F29"/>
    <w:rsid w:val="00A3727F"/>
    <w:rsid w:val="00A377BA"/>
    <w:rsid w:val="00A41238"/>
    <w:rsid w:val="00A426D3"/>
    <w:rsid w:val="00A43AFF"/>
    <w:rsid w:val="00A446A0"/>
    <w:rsid w:val="00A45419"/>
    <w:rsid w:val="00A458DC"/>
    <w:rsid w:val="00A45F19"/>
    <w:rsid w:val="00A51E7F"/>
    <w:rsid w:val="00A52244"/>
    <w:rsid w:val="00A53284"/>
    <w:rsid w:val="00A56FF9"/>
    <w:rsid w:val="00A57DCE"/>
    <w:rsid w:val="00A6519E"/>
    <w:rsid w:val="00A673E6"/>
    <w:rsid w:val="00A710E8"/>
    <w:rsid w:val="00A71279"/>
    <w:rsid w:val="00A71942"/>
    <w:rsid w:val="00A75685"/>
    <w:rsid w:val="00A76741"/>
    <w:rsid w:val="00A7793A"/>
    <w:rsid w:val="00A77E68"/>
    <w:rsid w:val="00A800AB"/>
    <w:rsid w:val="00A8055A"/>
    <w:rsid w:val="00A8318A"/>
    <w:rsid w:val="00A84DF2"/>
    <w:rsid w:val="00A85C4E"/>
    <w:rsid w:val="00A85E5A"/>
    <w:rsid w:val="00A86ADB"/>
    <w:rsid w:val="00A90190"/>
    <w:rsid w:val="00A90404"/>
    <w:rsid w:val="00A9148D"/>
    <w:rsid w:val="00A91B62"/>
    <w:rsid w:val="00A9264D"/>
    <w:rsid w:val="00A930B8"/>
    <w:rsid w:val="00A93925"/>
    <w:rsid w:val="00A946BB"/>
    <w:rsid w:val="00A94948"/>
    <w:rsid w:val="00A9583E"/>
    <w:rsid w:val="00A974C9"/>
    <w:rsid w:val="00A9764E"/>
    <w:rsid w:val="00A97F9A"/>
    <w:rsid w:val="00AA00CA"/>
    <w:rsid w:val="00AA0369"/>
    <w:rsid w:val="00AA049F"/>
    <w:rsid w:val="00AA1043"/>
    <w:rsid w:val="00AA13A9"/>
    <w:rsid w:val="00AA24E0"/>
    <w:rsid w:val="00AA369F"/>
    <w:rsid w:val="00AA46A2"/>
    <w:rsid w:val="00AA4711"/>
    <w:rsid w:val="00AA7B93"/>
    <w:rsid w:val="00AB0D04"/>
    <w:rsid w:val="00AB1FEB"/>
    <w:rsid w:val="00AB3275"/>
    <w:rsid w:val="00AB33F7"/>
    <w:rsid w:val="00AB5909"/>
    <w:rsid w:val="00AB6CA7"/>
    <w:rsid w:val="00AB7958"/>
    <w:rsid w:val="00AC09DE"/>
    <w:rsid w:val="00AC14DF"/>
    <w:rsid w:val="00AC2EFA"/>
    <w:rsid w:val="00AC349E"/>
    <w:rsid w:val="00AC4BB7"/>
    <w:rsid w:val="00AC5B83"/>
    <w:rsid w:val="00AC6A1F"/>
    <w:rsid w:val="00AD01E4"/>
    <w:rsid w:val="00AD0858"/>
    <w:rsid w:val="00AD58ED"/>
    <w:rsid w:val="00AD666B"/>
    <w:rsid w:val="00AE26AE"/>
    <w:rsid w:val="00AE2B9C"/>
    <w:rsid w:val="00AE41D7"/>
    <w:rsid w:val="00AE4377"/>
    <w:rsid w:val="00AE5BB5"/>
    <w:rsid w:val="00AE7340"/>
    <w:rsid w:val="00AF1386"/>
    <w:rsid w:val="00AF1BBD"/>
    <w:rsid w:val="00AF224A"/>
    <w:rsid w:val="00AF22E2"/>
    <w:rsid w:val="00AF619B"/>
    <w:rsid w:val="00AF7094"/>
    <w:rsid w:val="00B004C3"/>
    <w:rsid w:val="00B01220"/>
    <w:rsid w:val="00B01F18"/>
    <w:rsid w:val="00B023D2"/>
    <w:rsid w:val="00B0364E"/>
    <w:rsid w:val="00B03D29"/>
    <w:rsid w:val="00B10207"/>
    <w:rsid w:val="00B141E7"/>
    <w:rsid w:val="00B1446D"/>
    <w:rsid w:val="00B14AE1"/>
    <w:rsid w:val="00B16246"/>
    <w:rsid w:val="00B170A6"/>
    <w:rsid w:val="00B17E11"/>
    <w:rsid w:val="00B20A3F"/>
    <w:rsid w:val="00B20F87"/>
    <w:rsid w:val="00B2564B"/>
    <w:rsid w:val="00B27317"/>
    <w:rsid w:val="00B27CF8"/>
    <w:rsid w:val="00B27D14"/>
    <w:rsid w:val="00B3092A"/>
    <w:rsid w:val="00B310D0"/>
    <w:rsid w:val="00B31666"/>
    <w:rsid w:val="00B349EE"/>
    <w:rsid w:val="00B351B4"/>
    <w:rsid w:val="00B37861"/>
    <w:rsid w:val="00B4018D"/>
    <w:rsid w:val="00B40503"/>
    <w:rsid w:val="00B40CC4"/>
    <w:rsid w:val="00B4212D"/>
    <w:rsid w:val="00B423DA"/>
    <w:rsid w:val="00B42974"/>
    <w:rsid w:val="00B430DD"/>
    <w:rsid w:val="00B43DFD"/>
    <w:rsid w:val="00B4584D"/>
    <w:rsid w:val="00B4607E"/>
    <w:rsid w:val="00B46154"/>
    <w:rsid w:val="00B46BCA"/>
    <w:rsid w:val="00B4774A"/>
    <w:rsid w:val="00B500CB"/>
    <w:rsid w:val="00B52278"/>
    <w:rsid w:val="00B544C7"/>
    <w:rsid w:val="00B56450"/>
    <w:rsid w:val="00B56D10"/>
    <w:rsid w:val="00B602E9"/>
    <w:rsid w:val="00B62760"/>
    <w:rsid w:val="00B662C8"/>
    <w:rsid w:val="00B66CC7"/>
    <w:rsid w:val="00B678E8"/>
    <w:rsid w:val="00B67E8E"/>
    <w:rsid w:val="00B704EB"/>
    <w:rsid w:val="00B70E3B"/>
    <w:rsid w:val="00B716DE"/>
    <w:rsid w:val="00B71FF0"/>
    <w:rsid w:val="00B72E50"/>
    <w:rsid w:val="00B75CC3"/>
    <w:rsid w:val="00B75CDB"/>
    <w:rsid w:val="00B777AA"/>
    <w:rsid w:val="00B77FF9"/>
    <w:rsid w:val="00B8169E"/>
    <w:rsid w:val="00B82006"/>
    <w:rsid w:val="00B85247"/>
    <w:rsid w:val="00B85422"/>
    <w:rsid w:val="00B8543D"/>
    <w:rsid w:val="00B865BA"/>
    <w:rsid w:val="00B87806"/>
    <w:rsid w:val="00B8787E"/>
    <w:rsid w:val="00B87EC9"/>
    <w:rsid w:val="00B90A0A"/>
    <w:rsid w:val="00B919C3"/>
    <w:rsid w:val="00B9388A"/>
    <w:rsid w:val="00BA1641"/>
    <w:rsid w:val="00BA20B7"/>
    <w:rsid w:val="00BA3859"/>
    <w:rsid w:val="00BA4332"/>
    <w:rsid w:val="00BA63DE"/>
    <w:rsid w:val="00BA739E"/>
    <w:rsid w:val="00BB3443"/>
    <w:rsid w:val="00BB3452"/>
    <w:rsid w:val="00BB377E"/>
    <w:rsid w:val="00BB3CD2"/>
    <w:rsid w:val="00BB4CA2"/>
    <w:rsid w:val="00BB5DE9"/>
    <w:rsid w:val="00BB684B"/>
    <w:rsid w:val="00BB6940"/>
    <w:rsid w:val="00BB7212"/>
    <w:rsid w:val="00BB7B7E"/>
    <w:rsid w:val="00BB7D76"/>
    <w:rsid w:val="00BC0775"/>
    <w:rsid w:val="00BC21F3"/>
    <w:rsid w:val="00BC2C0B"/>
    <w:rsid w:val="00BC38FD"/>
    <w:rsid w:val="00BC599F"/>
    <w:rsid w:val="00BC6EF9"/>
    <w:rsid w:val="00BC749E"/>
    <w:rsid w:val="00BC7675"/>
    <w:rsid w:val="00BC7E4B"/>
    <w:rsid w:val="00BD4D2E"/>
    <w:rsid w:val="00BE0099"/>
    <w:rsid w:val="00BE0B51"/>
    <w:rsid w:val="00BE2102"/>
    <w:rsid w:val="00BE2910"/>
    <w:rsid w:val="00BE2D25"/>
    <w:rsid w:val="00BE3179"/>
    <w:rsid w:val="00BE3F84"/>
    <w:rsid w:val="00BE4D78"/>
    <w:rsid w:val="00BE5489"/>
    <w:rsid w:val="00BE6344"/>
    <w:rsid w:val="00BE6F3B"/>
    <w:rsid w:val="00BF015F"/>
    <w:rsid w:val="00BF0446"/>
    <w:rsid w:val="00BF0A15"/>
    <w:rsid w:val="00BF2871"/>
    <w:rsid w:val="00BF3A07"/>
    <w:rsid w:val="00C00D96"/>
    <w:rsid w:val="00C01DF3"/>
    <w:rsid w:val="00C02CB5"/>
    <w:rsid w:val="00C031B9"/>
    <w:rsid w:val="00C034CB"/>
    <w:rsid w:val="00C051A8"/>
    <w:rsid w:val="00C054BC"/>
    <w:rsid w:val="00C1316E"/>
    <w:rsid w:val="00C14491"/>
    <w:rsid w:val="00C16D9F"/>
    <w:rsid w:val="00C17897"/>
    <w:rsid w:val="00C17D17"/>
    <w:rsid w:val="00C24917"/>
    <w:rsid w:val="00C26BBC"/>
    <w:rsid w:val="00C27C5C"/>
    <w:rsid w:val="00C334D5"/>
    <w:rsid w:val="00C35960"/>
    <w:rsid w:val="00C36D04"/>
    <w:rsid w:val="00C403A6"/>
    <w:rsid w:val="00C409D5"/>
    <w:rsid w:val="00C423D0"/>
    <w:rsid w:val="00C435C3"/>
    <w:rsid w:val="00C43E4A"/>
    <w:rsid w:val="00C4684A"/>
    <w:rsid w:val="00C468C2"/>
    <w:rsid w:val="00C46AB5"/>
    <w:rsid w:val="00C470FC"/>
    <w:rsid w:val="00C5035F"/>
    <w:rsid w:val="00C5133A"/>
    <w:rsid w:val="00C5167C"/>
    <w:rsid w:val="00C5194F"/>
    <w:rsid w:val="00C5276F"/>
    <w:rsid w:val="00C52AB0"/>
    <w:rsid w:val="00C52B13"/>
    <w:rsid w:val="00C52EC9"/>
    <w:rsid w:val="00C53368"/>
    <w:rsid w:val="00C5474F"/>
    <w:rsid w:val="00C54B86"/>
    <w:rsid w:val="00C5504A"/>
    <w:rsid w:val="00C55808"/>
    <w:rsid w:val="00C57780"/>
    <w:rsid w:val="00C57A5B"/>
    <w:rsid w:val="00C6004F"/>
    <w:rsid w:val="00C609DD"/>
    <w:rsid w:val="00C60DC3"/>
    <w:rsid w:val="00C6234B"/>
    <w:rsid w:val="00C627FC"/>
    <w:rsid w:val="00C63EAE"/>
    <w:rsid w:val="00C64A4B"/>
    <w:rsid w:val="00C64D4F"/>
    <w:rsid w:val="00C65872"/>
    <w:rsid w:val="00C66676"/>
    <w:rsid w:val="00C672CA"/>
    <w:rsid w:val="00C67672"/>
    <w:rsid w:val="00C70958"/>
    <w:rsid w:val="00C7106E"/>
    <w:rsid w:val="00C75FAA"/>
    <w:rsid w:val="00C7629F"/>
    <w:rsid w:val="00C77F3A"/>
    <w:rsid w:val="00C823A2"/>
    <w:rsid w:val="00C82724"/>
    <w:rsid w:val="00C82E51"/>
    <w:rsid w:val="00C85783"/>
    <w:rsid w:val="00C8661B"/>
    <w:rsid w:val="00C87591"/>
    <w:rsid w:val="00C877C0"/>
    <w:rsid w:val="00C87CB2"/>
    <w:rsid w:val="00C87ECC"/>
    <w:rsid w:val="00C902FD"/>
    <w:rsid w:val="00C908CF"/>
    <w:rsid w:val="00C90A37"/>
    <w:rsid w:val="00C90B49"/>
    <w:rsid w:val="00C90C18"/>
    <w:rsid w:val="00C92533"/>
    <w:rsid w:val="00C942C8"/>
    <w:rsid w:val="00C94A36"/>
    <w:rsid w:val="00C95D98"/>
    <w:rsid w:val="00C96520"/>
    <w:rsid w:val="00C968C9"/>
    <w:rsid w:val="00C96C91"/>
    <w:rsid w:val="00C97246"/>
    <w:rsid w:val="00C97CF9"/>
    <w:rsid w:val="00CA139A"/>
    <w:rsid w:val="00CA2899"/>
    <w:rsid w:val="00CA394B"/>
    <w:rsid w:val="00CA3B93"/>
    <w:rsid w:val="00CA5931"/>
    <w:rsid w:val="00CA678C"/>
    <w:rsid w:val="00CA6FEA"/>
    <w:rsid w:val="00CA77FB"/>
    <w:rsid w:val="00CB079A"/>
    <w:rsid w:val="00CB287E"/>
    <w:rsid w:val="00CB2CD6"/>
    <w:rsid w:val="00CB2F57"/>
    <w:rsid w:val="00CB379B"/>
    <w:rsid w:val="00CB3844"/>
    <w:rsid w:val="00CB5DD0"/>
    <w:rsid w:val="00CB5E78"/>
    <w:rsid w:val="00CC0381"/>
    <w:rsid w:val="00CC0E00"/>
    <w:rsid w:val="00CC11EB"/>
    <w:rsid w:val="00CC1A43"/>
    <w:rsid w:val="00CC28B0"/>
    <w:rsid w:val="00CC3280"/>
    <w:rsid w:val="00CC3575"/>
    <w:rsid w:val="00CC3F4D"/>
    <w:rsid w:val="00CC51D4"/>
    <w:rsid w:val="00CC65DA"/>
    <w:rsid w:val="00CD12F0"/>
    <w:rsid w:val="00CD1A83"/>
    <w:rsid w:val="00CD2ED2"/>
    <w:rsid w:val="00CD3626"/>
    <w:rsid w:val="00CD56D4"/>
    <w:rsid w:val="00CD5C77"/>
    <w:rsid w:val="00CD5F2A"/>
    <w:rsid w:val="00CD7162"/>
    <w:rsid w:val="00CD73FD"/>
    <w:rsid w:val="00CE11D0"/>
    <w:rsid w:val="00CE15A5"/>
    <w:rsid w:val="00CE20AE"/>
    <w:rsid w:val="00CE3253"/>
    <w:rsid w:val="00CE3913"/>
    <w:rsid w:val="00CE5C79"/>
    <w:rsid w:val="00CF0900"/>
    <w:rsid w:val="00CF0F27"/>
    <w:rsid w:val="00CF19FC"/>
    <w:rsid w:val="00CF21B9"/>
    <w:rsid w:val="00CF6865"/>
    <w:rsid w:val="00CF6BF9"/>
    <w:rsid w:val="00D02EC1"/>
    <w:rsid w:val="00D03800"/>
    <w:rsid w:val="00D05769"/>
    <w:rsid w:val="00D065D3"/>
    <w:rsid w:val="00D116C4"/>
    <w:rsid w:val="00D12A0F"/>
    <w:rsid w:val="00D12B32"/>
    <w:rsid w:val="00D12DE1"/>
    <w:rsid w:val="00D14C94"/>
    <w:rsid w:val="00D14F21"/>
    <w:rsid w:val="00D1611A"/>
    <w:rsid w:val="00D162D5"/>
    <w:rsid w:val="00D16B85"/>
    <w:rsid w:val="00D20D7B"/>
    <w:rsid w:val="00D232E7"/>
    <w:rsid w:val="00D245A5"/>
    <w:rsid w:val="00D247A9"/>
    <w:rsid w:val="00D27FBA"/>
    <w:rsid w:val="00D3218C"/>
    <w:rsid w:val="00D33105"/>
    <w:rsid w:val="00D342A6"/>
    <w:rsid w:val="00D35216"/>
    <w:rsid w:val="00D35C73"/>
    <w:rsid w:val="00D35E47"/>
    <w:rsid w:val="00D35E49"/>
    <w:rsid w:val="00D43E10"/>
    <w:rsid w:val="00D458AF"/>
    <w:rsid w:val="00D464BF"/>
    <w:rsid w:val="00D51FB0"/>
    <w:rsid w:val="00D52B83"/>
    <w:rsid w:val="00D53586"/>
    <w:rsid w:val="00D53677"/>
    <w:rsid w:val="00D53E26"/>
    <w:rsid w:val="00D54A00"/>
    <w:rsid w:val="00D5505E"/>
    <w:rsid w:val="00D5523B"/>
    <w:rsid w:val="00D56811"/>
    <w:rsid w:val="00D569F6"/>
    <w:rsid w:val="00D57492"/>
    <w:rsid w:val="00D6175C"/>
    <w:rsid w:val="00D61966"/>
    <w:rsid w:val="00D62684"/>
    <w:rsid w:val="00D62B41"/>
    <w:rsid w:val="00D62C99"/>
    <w:rsid w:val="00D64416"/>
    <w:rsid w:val="00D645B0"/>
    <w:rsid w:val="00D65896"/>
    <w:rsid w:val="00D6595B"/>
    <w:rsid w:val="00D66B3D"/>
    <w:rsid w:val="00D67A3A"/>
    <w:rsid w:val="00D710B4"/>
    <w:rsid w:val="00D716FE"/>
    <w:rsid w:val="00D73D0F"/>
    <w:rsid w:val="00D7466A"/>
    <w:rsid w:val="00D76482"/>
    <w:rsid w:val="00D7729B"/>
    <w:rsid w:val="00D772B5"/>
    <w:rsid w:val="00D779CF"/>
    <w:rsid w:val="00D77BF2"/>
    <w:rsid w:val="00D77E81"/>
    <w:rsid w:val="00D801D7"/>
    <w:rsid w:val="00D81214"/>
    <w:rsid w:val="00D83A8B"/>
    <w:rsid w:val="00D85140"/>
    <w:rsid w:val="00D87DD5"/>
    <w:rsid w:val="00D9000A"/>
    <w:rsid w:val="00D91D82"/>
    <w:rsid w:val="00D9344A"/>
    <w:rsid w:val="00D94260"/>
    <w:rsid w:val="00D94E8D"/>
    <w:rsid w:val="00D9569E"/>
    <w:rsid w:val="00D976DE"/>
    <w:rsid w:val="00DA098A"/>
    <w:rsid w:val="00DA196E"/>
    <w:rsid w:val="00DA2B25"/>
    <w:rsid w:val="00DA31A6"/>
    <w:rsid w:val="00DA6198"/>
    <w:rsid w:val="00DA702E"/>
    <w:rsid w:val="00DA793D"/>
    <w:rsid w:val="00DB019D"/>
    <w:rsid w:val="00DB0961"/>
    <w:rsid w:val="00DB0E08"/>
    <w:rsid w:val="00DB35A9"/>
    <w:rsid w:val="00DB38EF"/>
    <w:rsid w:val="00DB3B68"/>
    <w:rsid w:val="00DC1597"/>
    <w:rsid w:val="00DC29E4"/>
    <w:rsid w:val="00DC3A56"/>
    <w:rsid w:val="00DC3B86"/>
    <w:rsid w:val="00DC6634"/>
    <w:rsid w:val="00DC6890"/>
    <w:rsid w:val="00DD1DF9"/>
    <w:rsid w:val="00DD4F0E"/>
    <w:rsid w:val="00DD67BE"/>
    <w:rsid w:val="00DD79DC"/>
    <w:rsid w:val="00DE105E"/>
    <w:rsid w:val="00DE1419"/>
    <w:rsid w:val="00DE15BB"/>
    <w:rsid w:val="00DE3C91"/>
    <w:rsid w:val="00DE5C89"/>
    <w:rsid w:val="00DE77AB"/>
    <w:rsid w:val="00DE7A9F"/>
    <w:rsid w:val="00DF1B66"/>
    <w:rsid w:val="00DF2576"/>
    <w:rsid w:val="00DF2CC3"/>
    <w:rsid w:val="00DF5FFD"/>
    <w:rsid w:val="00DF63C3"/>
    <w:rsid w:val="00DF7A36"/>
    <w:rsid w:val="00E0323E"/>
    <w:rsid w:val="00E05239"/>
    <w:rsid w:val="00E05533"/>
    <w:rsid w:val="00E05E0A"/>
    <w:rsid w:val="00E0624C"/>
    <w:rsid w:val="00E06BD6"/>
    <w:rsid w:val="00E100D4"/>
    <w:rsid w:val="00E112AC"/>
    <w:rsid w:val="00E12427"/>
    <w:rsid w:val="00E12790"/>
    <w:rsid w:val="00E129BE"/>
    <w:rsid w:val="00E132CD"/>
    <w:rsid w:val="00E151C1"/>
    <w:rsid w:val="00E15805"/>
    <w:rsid w:val="00E207CE"/>
    <w:rsid w:val="00E20BE4"/>
    <w:rsid w:val="00E21ED4"/>
    <w:rsid w:val="00E22F2E"/>
    <w:rsid w:val="00E2313B"/>
    <w:rsid w:val="00E234F0"/>
    <w:rsid w:val="00E24E35"/>
    <w:rsid w:val="00E26055"/>
    <w:rsid w:val="00E27432"/>
    <w:rsid w:val="00E27D7A"/>
    <w:rsid w:val="00E30152"/>
    <w:rsid w:val="00E31166"/>
    <w:rsid w:val="00E314C1"/>
    <w:rsid w:val="00E32DDE"/>
    <w:rsid w:val="00E348E1"/>
    <w:rsid w:val="00E375F4"/>
    <w:rsid w:val="00E37A94"/>
    <w:rsid w:val="00E40093"/>
    <w:rsid w:val="00E406F0"/>
    <w:rsid w:val="00E41013"/>
    <w:rsid w:val="00E424E6"/>
    <w:rsid w:val="00E43477"/>
    <w:rsid w:val="00E4514D"/>
    <w:rsid w:val="00E46850"/>
    <w:rsid w:val="00E5289F"/>
    <w:rsid w:val="00E52A62"/>
    <w:rsid w:val="00E534CF"/>
    <w:rsid w:val="00E659EC"/>
    <w:rsid w:val="00E70349"/>
    <w:rsid w:val="00E70F79"/>
    <w:rsid w:val="00E71096"/>
    <w:rsid w:val="00E71BE1"/>
    <w:rsid w:val="00E724C7"/>
    <w:rsid w:val="00E731D0"/>
    <w:rsid w:val="00E7340B"/>
    <w:rsid w:val="00E7399A"/>
    <w:rsid w:val="00E73F5E"/>
    <w:rsid w:val="00E754D6"/>
    <w:rsid w:val="00E75903"/>
    <w:rsid w:val="00E765C5"/>
    <w:rsid w:val="00E76F68"/>
    <w:rsid w:val="00E77BEA"/>
    <w:rsid w:val="00E81CB4"/>
    <w:rsid w:val="00E8215A"/>
    <w:rsid w:val="00E84CDF"/>
    <w:rsid w:val="00E84DC4"/>
    <w:rsid w:val="00E856A7"/>
    <w:rsid w:val="00E8585B"/>
    <w:rsid w:val="00E8671C"/>
    <w:rsid w:val="00E86E56"/>
    <w:rsid w:val="00E9041E"/>
    <w:rsid w:val="00E911FB"/>
    <w:rsid w:val="00E9165F"/>
    <w:rsid w:val="00E91ED0"/>
    <w:rsid w:val="00E9548A"/>
    <w:rsid w:val="00E95FCF"/>
    <w:rsid w:val="00E97739"/>
    <w:rsid w:val="00EA0252"/>
    <w:rsid w:val="00EA2BC5"/>
    <w:rsid w:val="00EA311E"/>
    <w:rsid w:val="00EA3F15"/>
    <w:rsid w:val="00EA6539"/>
    <w:rsid w:val="00EA6C3A"/>
    <w:rsid w:val="00EA7298"/>
    <w:rsid w:val="00EA7847"/>
    <w:rsid w:val="00EB1430"/>
    <w:rsid w:val="00EB1CF0"/>
    <w:rsid w:val="00EB5B3C"/>
    <w:rsid w:val="00EB5BF9"/>
    <w:rsid w:val="00EC055C"/>
    <w:rsid w:val="00EC1AC5"/>
    <w:rsid w:val="00EC629C"/>
    <w:rsid w:val="00ED1452"/>
    <w:rsid w:val="00ED3657"/>
    <w:rsid w:val="00ED5AE6"/>
    <w:rsid w:val="00ED670D"/>
    <w:rsid w:val="00ED6777"/>
    <w:rsid w:val="00ED7449"/>
    <w:rsid w:val="00EE06FE"/>
    <w:rsid w:val="00EE2ACB"/>
    <w:rsid w:val="00EE2E6E"/>
    <w:rsid w:val="00EE3B0C"/>
    <w:rsid w:val="00EE4113"/>
    <w:rsid w:val="00EE51A1"/>
    <w:rsid w:val="00EF10FA"/>
    <w:rsid w:val="00EF1E6F"/>
    <w:rsid w:val="00EF3444"/>
    <w:rsid w:val="00EF36A0"/>
    <w:rsid w:val="00EF5C04"/>
    <w:rsid w:val="00F00CEE"/>
    <w:rsid w:val="00F01A01"/>
    <w:rsid w:val="00F02BCA"/>
    <w:rsid w:val="00F037C6"/>
    <w:rsid w:val="00F03974"/>
    <w:rsid w:val="00F0560E"/>
    <w:rsid w:val="00F05C91"/>
    <w:rsid w:val="00F070C8"/>
    <w:rsid w:val="00F0759E"/>
    <w:rsid w:val="00F10438"/>
    <w:rsid w:val="00F1165A"/>
    <w:rsid w:val="00F12FA0"/>
    <w:rsid w:val="00F135B8"/>
    <w:rsid w:val="00F13B6B"/>
    <w:rsid w:val="00F15910"/>
    <w:rsid w:val="00F15DF7"/>
    <w:rsid w:val="00F20E38"/>
    <w:rsid w:val="00F21CBC"/>
    <w:rsid w:val="00F250BD"/>
    <w:rsid w:val="00F315CC"/>
    <w:rsid w:val="00F31E3B"/>
    <w:rsid w:val="00F33793"/>
    <w:rsid w:val="00F33C68"/>
    <w:rsid w:val="00F352CB"/>
    <w:rsid w:val="00F358A1"/>
    <w:rsid w:val="00F36A77"/>
    <w:rsid w:val="00F37362"/>
    <w:rsid w:val="00F37836"/>
    <w:rsid w:val="00F40076"/>
    <w:rsid w:val="00F401DA"/>
    <w:rsid w:val="00F40631"/>
    <w:rsid w:val="00F41309"/>
    <w:rsid w:val="00F41386"/>
    <w:rsid w:val="00F449C2"/>
    <w:rsid w:val="00F45370"/>
    <w:rsid w:val="00F469C7"/>
    <w:rsid w:val="00F477DE"/>
    <w:rsid w:val="00F50E8D"/>
    <w:rsid w:val="00F51F18"/>
    <w:rsid w:val="00F52706"/>
    <w:rsid w:val="00F55DA1"/>
    <w:rsid w:val="00F5651A"/>
    <w:rsid w:val="00F6115F"/>
    <w:rsid w:val="00F61B9F"/>
    <w:rsid w:val="00F64F68"/>
    <w:rsid w:val="00F67A12"/>
    <w:rsid w:val="00F67BE9"/>
    <w:rsid w:val="00F703A4"/>
    <w:rsid w:val="00F72C6B"/>
    <w:rsid w:val="00F76594"/>
    <w:rsid w:val="00F8063D"/>
    <w:rsid w:val="00F80894"/>
    <w:rsid w:val="00F8107B"/>
    <w:rsid w:val="00F81C97"/>
    <w:rsid w:val="00F821A3"/>
    <w:rsid w:val="00F83000"/>
    <w:rsid w:val="00F8567E"/>
    <w:rsid w:val="00F861E5"/>
    <w:rsid w:val="00F86DB6"/>
    <w:rsid w:val="00F86F50"/>
    <w:rsid w:val="00F877C8"/>
    <w:rsid w:val="00F87804"/>
    <w:rsid w:val="00F87DC8"/>
    <w:rsid w:val="00F9033E"/>
    <w:rsid w:val="00F91762"/>
    <w:rsid w:val="00F919A8"/>
    <w:rsid w:val="00F91AFD"/>
    <w:rsid w:val="00F91E0B"/>
    <w:rsid w:val="00F92C99"/>
    <w:rsid w:val="00F9314A"/>
    <w:rsid w:val="00F94C77"/>
    <w:rsid w:val="00F9626E"/>
    <w:rsid w:val="00F96A33"/>
    <w:rsid w:val="00F974D3"/>
    <w:rsid w:val="00FA2854"/>
    <w:rsid w:val="00FA3100"/>
    <w:rsid w:val="00FA3F80"/>
    <w:rsid w:val="00FA6B91"/>
    <w:rsid w:val="00FA71C6"/>
    <w:rsid w:val="00FB0296"/>
    <w:rsid w:val="00FB47C3"/>
    <w:rsid w:val="00FB4D88"/>
    <w:rsid w:val="00FB52DC"/>
    <w:rsid w:val="00FB5FE4"/>
    <w:rsid w:val="00FB7F13"/>
    <w:rsid w:val="00FC074A"/>
    <w:rsid w:val="00FC0B8D"/>
    <w:rsid w:val="00FC1E5C"/>
    <w:rsid w:val="00FC2984"/>
    <w:rsid w:val="00FC2CC4"/>
    <w:rsid w:val="00FC38F2"/>
    <w:rsid w:val="00FC4AA0"/>
    <w:rsid w:val="00FC504D"/>
    <w:rsid w:val="00FC58EF"/>
    <w:rsid w:val="00FC5F84"/>
    <w:rsid w:val="00FC664A"/>
    <w:rsid w:val="00FC73DE"/>
    <w:rsid w:val="00FC78AD"/>
    <w:rsid w:val="00FD1A3E"/>
    <w:rsid w:val="00FD2000"/>
    <w:rsid w:val="00FD2A29"/>
    <w:rsid w:val="00FD2BDA"/>
    <w:rsid w:val="00FD2E7D"/>
    <w:rsid w:val="00FD33DF"/>
    <w:rsid w:val="00FD38FC"/>
    <w:rsid w:val="00FD3A4E"/>
    <w:rsid w:val="00FD62E3"/>
    <w:rsid w:val="00FE39D7"/>
    <w:rsid w:val="00FE3BBA"/>
    <w:rsid w:val="00FE5BBE"/>
    <w:rsid w:val="00FE5CFF"/>
    <w:rsid w:val="00FE6353"/>
    <w:rsid w:val="00FF14D3"/>
    <w:rsid w:val="00FF2A0A"/>
    <w:rsid w:val="00FF3586"/>
    <w:rsid w:val="00FF4EED"/>
    <w:rsid w:val="00FF5DFD"/>
    <w:rsid w:val="00FF6A64"/>
    <w:rsid w:val="00FF73AA"/>
    <w:rsid w:val="00FF75FF"/>
    <w:rsid w:val="00FF7B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BBF783"/>
  <w15:docId w15:val="{40A42CF9-1160-4B0C-85D2-DCCF1B2A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Estilo4"/>
    <w:next w:val="Normal"/>
    <w:link w:val="Ttulo1Car"/>
    <w:qFormat/>
    <w:rsid w:val="00A974C9"/>
    <w:pPr>
      <w:keepNext w:val="0"/>
      <w:widowControl w:val="0"/>
    </w:pPr>
    <w:rPr>
      <w:rFonts w:ascii="Bookman Old Style" w:hAnsi="Bookman Old Style"/>
      <w:color w:val="000000"/>
      <w:sz w:val="24"/>
      <w:szCs w:val="24"/>
    </w:rPr>
  </w:style>
  <w:style w:type="paragraph" w:styleId="Ttulo2">
    <w:name w:val="heading 2"/>
    <w:aliases w:val="Neg"/>
    <w:basedOn w:val="Normal"/>
    <w:next w:val="Normal"/>
    <w:link w:val="Ttulo2Car"/>
    <w:uiPriority w:val="9"/>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A974C9"/>
    <w:pPr>
      <w:ind w:left="0"/>
      <w:jc w:val="both"/>
    </w:pPr>
    <w:rPr>
      <w:rFonts w:ascii="Bookman Old Style" w:hAnsi="Bookman Old Styl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link w:val="Ttulo2"/>
    <w:uiPriority w:val="9"/>
    <w:rsid w:val="00B82006"/>
    <w:rPr>
      <w:b/>
      <w:bCs/>
      <w:sz w:val="24"/>
      <w:szCs w:val="24"/>
      <w:lang w:val="es-ES" w:eastAsia="es-ES"/>
    </w:rPr>
  </w:style>
  <w:style w:type="character" w:customStyle="1" w:styleId="Ttulo7Car">
    <w:name w:val="Título 7 Car"/>
    <w:link w:val="Ttulo7"/>
    <w:uiPriority w:val="9"/>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A974C9"/>
    <w:rPr>
      <w:rFonts w:ascii="Bookman Old Style" w:hAnsi="Bookman Old Style"/>
      <w:b/>
      <w:color w:val="000000"/>
      <w:kern w:val="28"/>
      <w:sz w:val="24"/>
      <w:szCs w:val="24"/>
      <w:lang w:val="es-ES_tradnl"/>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ind w:left="0"/>
      <w:textAlignment w:val="baseline"/>
    </w:pPr>
    <w:rPr>
      <w:b/>
      <w:bCs/>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uiPriority w:val="99"/>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link w:val="Sangra2detindependiente"/>
    <w:uiPriority w:val="99"/>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aliases w:val="fn,footnote text"/>
    <w:basedOn w:val="Normal"/>
    <w:link w:val="TextonotapieCar"/>
    <w:uiPriority w:val="99"/>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aliases w:val="fn Car,footnote text Car"/>
    <w:link w:val="Textonotapie"/>
    <w:uiPriority w:val="99"/>
    <w:rsid w:val="00B82006"/>
    <w:rPr>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uiPriority w:val="99"/>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B82006"/>
    <w:rPr>
      <w:lang w:val="es-ES" w:eastAsia="es-ES"/>
    </w:rPr>
  </w:style>
  <w:style w:type="paragraph" w:styleId="TDC4">
    <w:name w:val="toc 4"/>
    <w:basedOn w:val="Normal"/>
    <w:next w:val="Normal"/>
    <w:autoRedefine/>
    <w:uiPriority w:val="39"/>
    <w:rsid w:val="00B82006"/>
    <w:pPr>
      <w:widowControl w:val="0"/>
      <w:adjustRightInd w:val="0"/>
      <w:spacing w:line="360" w:lineRule="atLeast"/>
      <w:ind w:left="480"/>
      <w:textAlignment w:val="baseline"/>
    </w:pPr>
  </w:style>
  <w:style w:type="paragraph" w:styleId="TDC5">
    <w:name w:val="toc 5"/>
    <w:basedOn w:val="Normal"/>
    <w:next w:val="Normal"/>
    <w:autoRedefine/>
    <w:uiPriority w:val="39"/>
    <w:rsid w:val="00B82006"/>
    <w:pPr>
      <w:widowControl w:val="0"/>
      <w:adjustRightInd w:val="0"/>
      <w:spacing w:line="360" w:lineRule="atLeast"/>
      <w:ind w:left="720"/>
      <w:textAlignment w:val="baseline"/>
    </w:pPr>
  </w:style>
  <w:style w:type="paragraph" w:styleId="TDC6">
    <w:name w:val="toc 6"/>
    <w:basedOn w:val="Normal"/>
    <w:next w:val="Normal"/>
    <w:autoRedefine/>
    <w:uiPriority w:val="39"/>
    <w:rsid w:val="00B82006"/>
    <w:pPr>
      <w:widowControl w:val="0"/>
      <w:adjustRightInd w:val="0"/>
      <w:spacing w:line="360" w:lineRule="atLeast"/>
      <w:ind w:left="960"/>
      <w:textAlignment w:val="baseline"/>
    </w:pPr>
  </w:style>
  <w:style w:type="paragraph" w:styleId="TDC7">
    <w:name w:val="toc 7"/>
    <w:basedOn w:val="Normal"/>
    <w:next w:val="Normal"/>
    <w:autoRedefine/>
    <w:uiPriority w:val="39"/>
    <w:rsid w:val="00B82006"/>
    <w:pPr>
      <w:widowControl w:val="0"/>
      <w:adjustRightInd w:val="0"/>
      <w:spacing w:line="360" w:lineRule="atLeast"/>
      <w:ind w:left="1200"/>
      <w:textAlignment w:val="baseline"/>
    </w:pPr>
  </w:style>
  <w:style w:type="paragraph" w:styleId="TDC8">
    <w:name w:val="toc 8"/>
    <w:basedOn w:val="Normal"/>
    <w:next w:val="Normal"/>
    <w:autoRedefine/>
    <w:uiPriority w:val="39"/>
    <w:rsid w:val="00B82006"/>
    <w:pPr>
      <w:widowControl w:val="0"/>
      <w:adjustRightInd w:val="0"/>
      <w:spacing w:line="360" w:lineRule="atLeast"/>
      <w:ind w:left="1440"/>
      <w:textAlignment w:val="baseline"/>
    </w:pPr>
  </w:style>
  <w:style w:type="paragraph" w:styleId="TDC9">
    <w:name w:val="toc 9"/>
    <w:basedOn w:val="Normal"/>
    <w:next w:val="Normal"/>
    <w:autoRedefine/>
    <w:uiPriority w:val="39"/>
    <w:rsid w:val="00B82006"/>
    <w:pPr>
      <w:widowControl w:val="0"/>
      <w:adjustRightInd w:val="0"/>
      <w:spacing w:line="360" w:lineRule="atLeast"/>
      <w:ind w:left="1680"/>
      <w:textAlignment w:val="baseline"/>
    </w:p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link w:val="Estilo2Car"/>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link w:val="Estilo1"/>
    <w:rsid w:val="00A974C9"/>
    <w:rPr>
      <w:rFonts w:ascii="Bookman Old Style" w:hAnsi="Bookman Old Style"/>
      <w:sz w:val="24"/>
      <w:szCs w:val="24"/>
      <w:lang w:val="es-ES" w:eastAsia="es-ES"/>
    </w:rPr>
  </w:style>
  <w:style w:type="paragraph" w:styleId="Mapadeldocumento">
    <w:name w:val="Document Map"/>
    <w:basedOn w:val="Normal"/>
    <w:link w:val="MapadeldocumentoCar"/>
    <w:uiPriority w:val="99"/>
    <w:unhideWhenUsed/>
    <w:rsid w:val="00B82006"/>
    <w:pPr>
      <w:ind w:left="0"/>
    </w:pPr>
    <w:rPr>
      <w:rFonts w:ascii="Tahoma" w:hAnsi="Tahoma" w:cs="Tahoma"/>
      <w:sz w:val="16"/>
      <w:szCs w:val="16"/>
      <w:lang w:val="es-ES_tradnl" w:eastAsia="es-CO"/>
    </w:rPr>
  </w:style>
  <w:style w:type="character" w:customStyle="1" w:styleId="MapadeldocumentoCar">
    <w:name w:val="Mapa del documento Car"/>
    <w:link w:val="Mapadeldocumento"/>
    <w:uiPriority w:val="99"/>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pacing w:before="240" w:after="60"/>
      <w:outlineLvl w:val="0"/>
    </w:pPr>
    <w:rPr>
      <w:rFonts w:ascii="Arial" w:hAnsi="Arial"/>
      <w:b/>
      <w:kern w:val="28"/>
      <w:sz w:val="22"/>
      <w:szCs w:val="22"/>
      <w:lang w:val="es-ES_tradnl" w:eastAsia="es-CO"/>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val="0"/>
      <w:color w:val="0000FF"/>
      <w:sz w:val="36"/>
      <w:szCs w:val="24"/>
      <w:shd w:val="clear" w:color="auto" w:fill="C0C0C0"/>
      <w:lang w:val="es-ES"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11"/>
      </w:numPr>
    </w:pPr>
  </w:style>
  <w:style w:type="numbering" w:customStyle="1" w:styleId="Transporte">
    <w:name w:val="Transporte"/>
    <w:uiPriority w:val="99"/>
    <w:rsid w:val="00B82006"/>
    <w:pPr>
      <w:numPr>
        <w:numId w:val="12"/>
      </w:numPr>
    </w:pPr>
  </w:style>
  <w:style w:type="numbering" w:customStyle="1" w:styleId="Estilo12">
    <w:name w:val="Estilo12"/>
    <w:uiPriority w:val="99"/>
    <w:rsid w:val="00B82006"/>
    <w:pPr>
      <w:numPr>
        <w:numId w:val="13"/>
      </w:numPr>
    </w:pPr>
  </w:style>
  <w:style w:type="numbering" w:customStyle="1" w:styleId="Estilo13">
    <w:name w:val="Estilo13"/>
    <w:uiPriority w:val="99"/>
    <w:rsid w:val="00B82006"/>
    <w:pPr>
      <w:numPr>
        <w:numId w:val="14"/>
      </w:numPr>
    </w:pPr>
  </w:style>
  <w:style w:type="numbering" w:customStyle="1" w:styleId="Estilo14">
    <w:name w:val="Estilo14"/>
    <w:uiPriority w:val="99"/>
    <w:rsid w:val="00B82006"/>
    <w:pPr>
      <w:numPr>
        <w:numId w:val="15"/>
      </w:numPr>
    </w:pPr>
  </w:style>
  <w:style w:type="numbering" w:customStyle="1" w:styleId="Estilo15">
    <w:name w:val="Estilo15"/>
    <w:uiPriority w:val="99"/>
    <w:rsid w:val="00B82006"/>
    <w:pPr>
      <w:numPr>
        <w:numId w:val="16"/>
      </w:numPr>
    </w:pPr>
  </w:style>
  <w:style w:type="numbering" w:customStyle="1" w:styleId="TGas">
    <w:name w:val="T Gas"/>
    <w:uiPriority w:val="99"/>
    <w:rsid w:val="00B82006"/>
    <w:pPr>
      <w:numPr>
        <w:numId w:val="17"/>
      </w:numPr>
    </w:pPr>
  </w:style>
  <w:style w:type="numbering" w:customStyle="1" w:styleId="Estilo16">
    <w:name w:val="Estilo16"/>
    <w:uiPriority w:val="99"/>
    <w:rsid w:val="00B82006"/>
    <w:pPr>
      <w:numPr>
        <w:numId w:val="18"/>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ind w:left="0"/>
      <w:jc w:val="both"/>
    </w:pPr>
    <w:rPr>
      <w:rFonts w:ascii="Arial" w:eastAsia="Calibri" w:hAnsi="Arial" w:cs="Arial"/>
      <w:sz w:val="22"/>
      <w:szCs w:val="22"/>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ind w:left="0"/>
      <w:jc w:val="both"/>
    </w:pPr>
    <w:rPr>
      <w:rFonts w:ascii="Arial" w:hAnsi="Arial"/>
      <w:sz w:val="20"/>
      <w:szCs w:val="20"/>
      <w:lang w:val="es-ES_tradnl"/>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pPr>
    <w:rPr>
      <w:rFonts w:ascii="Calibri" w:hAnsi="Calibri"/>
      <w:sz w:val="22"/>
      <w:szCs w:val="22"/>
      <w:lang w:val="es-CO" w:eastAsia="en-US"/>
    </w:rPr>
  </w:style>
  <w:style w:type="paragraph" w:customStyle="1" w:styleId="Artculo">
    <w:name w:val="Artículo"/>
    <w:basedOn w:val="Normal"/>
    <w:link w:val="ArtculoCar"/>
    <w:autoRedefine/>
    <w:rsid w:val="00030CFA"/>
    <w:pPr>
      <w:ind w:left="0"/>
      <w:jc w:val="both"/>
    </w:pPr>
    <w:rPr>
      <w:rFonts w:ascii="Bookman Old Style" w:hAnsi="Bookman Old Style" w:cs="Arial"/>
    </w:rPr>
  </w:style>
  <w:style w:type="character" w:customStyle="1" w:styleId="ArtculoCar">
    <w:name w:val="Artículo Car"/>
    <w:link w:val="Artculo"/>
    <w:rsid w:val="00030CFA"/>
    <w:rPr>
      <w:rFonts w:ascii="Bookman Old Style" w:hAnsi="Bookman Old Style" w:cs="Arial"/>
      <w:sz w:val="24"/>
      <w:szCs w:val="24"/>
      <w:lang w:val="es-ES" w:eastAsia="es-ES"/>
    </w:rPr>
  </w:style>
  <w:style w:type="paragraph" w:styleId="Bibliografa">
    <w:name w:val="Bibliography"/>
    <w:basedOn w:val="Normal"/>
    <w:next w:val="Normal"/>
    <w:uiPriority w:val="37"/>
    <w:unhideWhenUsed/>
    <w:rsid w:val="004710C0"/>
    <w:pPr>
      <w:spacing w:line="276" w:lineRule="auto"/>
      <w:ind w:left="0"/>
    </w:pPr>
    <w:rPr>
      <w:rFonts w:ascii="Arial" w:eastAsia="Arial" w:hAnsi="Arial" w:cs="Arial"/>
      <w:color w:val="000000"/>
      <w:sz w:val="22"/>
      <w:szCs w:val="22"/>
      <w:lang w:val="es-CO"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pPr>
    <w:rPr>
      <w:sz w:val="20"/>
      <w:szCs w:val="20"/>
      <w:lang w:val="es-CO"/>
    </w:rPr>
  </w:style>
  <w:style w:type="character" w:customStyle="1" w:styleId="Cuadrculamediana1-nfasis2Car">
    <w:name w:val="Cuadrícula mediana 1 - Énfasis 2 Car"/>
    <w:link w:val="Cuadrculamediana1-nfasis21"/>
    <w:uiPriority w:val="34"/>
    <w:rsid w:val="004710C0"/>
    <w:rPr>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left="0" w:hanging="540"/>
    </w:pPr>
    <w:rPr>
      <w:rFonts w:ascii="Arial" w:hAnsi="Arial" w:cs="Arial"/>
      <w:sz w:val="13"/>
      <w:szCs w:val="13"/>
      <w:lang w:val="es-CO"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pPr>
    <w:rPr>
      <w:sz w:val="20"/>
      <w:szCs w:val="20"/>
      <w:lang w:val="es-CO"/>
    </w:rPr>
  </w:style>
  <w:style w:type="character" w:customStyle="1" w:styleId="Listamulticolor-nfasis1Car">
    <w:name w:val="Lista multicolor - Énfasis 1 Car"/>
    <w:link w:val="Listamulticolor-nfasis11"/>
    <w:uiPriority w:val="34"/>
    <w:rsid w:val="004710C0"/>
    <w:rPr>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Estilo1"/>
    <w:next w:val="Estilo1"/>
    <w:link w:val="ARTICULOSCar"/>
    <w:qFormat/>
    <w:rsid w:val="00A974C9"/>
    <w:pPr>
      <w:widowControl w:val="0"/>
      <w:numPr>
        <w:numId w:val="10"/>
      </w:numPr>
      <w:outlineLvl w:val="1"/>
    </w:pPr>
    <w:rPr>
      <w:rFonts w:cs="Arial"/>
      <w:color w:val="000000"/>
    </w:rPr>
  </w:style>
  <w:style w:type="character" w:customStyle="1" w:styleId="ARTICULOSCar">
    <w:name w:val="ARTICULOS Car"/>
    <w:link w:val="ARTICULOS"/>
    <w:rsid w:val="00A974C9"/>
    <w:rPr>
      <w:rFonts w:ascii="Bookman Old Style" w:hAnsi="Bookman Old Style" w:cs="Arial"/>
      <w:color w:val="000000"/>
      <w:sz w:val="24"/>
      <w:szCs w:val="24"/>
      <w:lang w:val="es-ES" w:eastAsia="es-ES"/>
    </w:rPr>
  </w:style>
  <w:style w:type="paragraph" w:customStyle="1" w:styleId="CAPTULO">
    <w:name w:val="CAPÍTULO"/>
    <w:basedOn w:val="Ttulo1"/>
    <w:next w:val="Normal"/>
    <w:link w:val="CAPTULOCar"/>
    <w:qFormat/>
    <w:rsid w:val="00497ADD"/>
    <w:pPr>
      <w:spacing w:before="240" w:after="240"/>
      <w:ind w:hanging="6"/>
    </w:pPr>
    <w:rPr>
      <w:spacing w:val="4"/>
      <w:szCs w:val="22"/>
      <w:lang w:val="es-ES"/>
    </w:rPr>
  </w:style>
  <w:style w:type="character" w:customStyle="1" w:styleId="CAPTULOCar">
    <w:name w:val="CAPÍTULO Car"/>
    <w:basedOn w:val="Fuentedeprrafopredeter"/>
    <w:link w:val="CAPTULO"/>
    <w:rsid w:val="00497ADD"/>
    <w:rPr>
      <w:rFonts w:ascii="Bookman Old Style" w:hAnsi="Bookman Old Style"/>
      <w:b/>
      <w:spacing w:val="4"/>
      <w:sz w:val="24"/>
      <w:szCs w:val="22"/>
      <w:lang w:val="es-ES" w:eastAsia="es-ES"/>
    </w:rPr>
  </w:style>
  <w:style w:type="paragraph" w:customStyle="1" w:styleId="Comentarios">
    <w:name w:val="Comentarios"/>
    <w:basedOn w:val="Textoindependiente"/>
    <w:rsid w:val="003F10A2"/>
    <w:pPr>
      <w:numPr>
        <w:numId w:val="23"/>
      </w:numPr>
      <w:jc w:val="both"/>
    </w:pPr>
    <w:rPr>
      <w:rFonts w:cs="Times New Roman"/>
      <w:b w:val="0"/>
      <w:bCs w:val="0"/>
      <w:sz w:val="22"/>
      <w:szCs w:val="20"/>
      <w:lang w:val="x-none" w:eastAsia="x-none"/>
    </w:rPr>
  </w:style>
  <w:style w:type="paragraph" w:customStyle="1" w:styleId="xl28">
    <w:name w:val="xl28"/>
    <w:basedOn w:val="Normal"/>
    <w:rsid w:val="001073F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1073F7"/>
    <w:pPr>
      <w:pBdr>
        <w:left w:val="single" w:sz="4" w:space="0" w:color="auto"/>
        <w:right w:val="single" w:sz="4" w:space="0" w:color="auto"/>
      </w:pBdr>
      <w:spacing w:before="100" w:after="100"/>
      <w:ind w:left="0"/>
      <w:jc w:val="center"/>
    </w:pPr>
    <w:rPr>
      <w:rFonts w:ascii="Arial" w:hAnsi="Arial"/>
      <w:sz w:val="22"/>
      <w:szCs w:val="20"/>
      <w:lang w:eastAsia="es-MX"/>
    </w:rPr>
  </w:style>
  <w:style w:type="character" w:customStyle="1" w:styleId="Estilo2Car">
    <w:name w:val="Estilo2 Car"/>
    <w:link w:val="Estilo2"/>
    <w:rsid w:val="001073F7"/>
    <w:rPr>
      <w:rFonts w:ascii="Bookman Old Style" w:hAnsi="Bookman Old Style"/>
      <w:b/>
      <w:bCs/>
      <w:sz w:val="24"/>
      <w:szCs w:val="24"/>
      <w:lang w:val="es-ES" w:eastAsia="ar-SA"/>
    </w:rPr>
  </w:style>
  <w:style w:type="character" w:customStyle="1" w:styleId="TextocomentarioCar1">
    <w:name w:val="Texto comentario Car1"/>
    <w:uiPriority w:val="99"/>
    <w:semiHidden/>
    <w:rsid w:val="001073F7"/>
    <w:rPr>
      <w:rFonts w:ascii="Arial" w:hAnsi="Arial"/>
      <w:lang w:val="es-ES_tradnl"/>
    </w:rPr>
  </w:style>
  <w:style w:type="paragraph" w:customStyle="1" w:styleId="CM29">
    <w:name w:val="CM29"/>
    <w:basedOn w:val="Default"/>
    <w:next w:val="Default"/>
    <w:uiPriority w:val="99"/>
    <w:rsid w:val="001073F7"/>
    <w:rPr>
      <w:color w:val="auto"/>
    </w:rPr>
  </w:style>
  <w:style w:type="character" w:customStyle="1" w:styleId="textonavy1">
    <w:name w:val="texto_navy1"/>
    <w:basedOn w:val="Fuentedeprrafopredeter"/>
    <w:rsid w:val="001073F7"/>
    <w:rPr>
      <w:color w:val="000080"/>
    </w:rPr>
  </w:style>
  <w:style w:type="paragraph" w:customStyle="1" w:styleId="CM9">
    <w:name w:val="CM9"/>
    <w:basedOn w:val="Default"/>
    <w:next w:val="Default"/>
    <w:uiPriority w:val="99"/>
    <w:rsid w:val="001073F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71334">
      <w:bodyDiv w:val="1"/>
      <w:marLeft w:val="0"/>
      <w:marRight w:val="0"/>
      <w:marTop w:val="0"/>
      <w:marBottom w:val="0"/>
      <w:divBdr>
        <w:top w:val="none" w:sz="0" w:space="0" w:color="auto"/>
        <w:left w:val="none" w:sz="0" w:space="0" w:color="auto"/>
        <w:bottom w:val="none" w:sz="0" w:space="0" w:color="auto"/>
        <w:right w:val="none" w:sz="0" w:space="0" w:color="auto"/>
      </w:divBdr>
    </w:div>
    <w:div w:id="706105315">
      <w:bodyDiv w:val="1"/>
      <w:marLeft w:val="0"/>
      <w:marRight w:val="0"/>
      <w:marTop w:val="0"/>
      <w:marBottom w:val="0"/>
      <w:divBdr>
        <w:top w:val="none" w:sz="0" w:space="0" w:color="auto"/>
        <w:left w:val="none" w:sz="0" w:space="0" w:color="auto"/>
        <w:bottom w:val="none" w:sz="0" w:space="0" w:color="auto"/>
        <w:right w:val="none" w:sz="0" w:space="0" w:color="auto"/>
      </w:divBdr>
      <w:divsChild>
        <w:div w:id="195891482">
          <w:marLeft w:val="1267"/>
          <w:marRight w:val="0"/>
          <w:marTop w:val="0"/>
          <w:marBottom w:val="0"/>
          <w:divBdr>
            <w:top w:val="none" w:sz="0" w:space="0" w:color="auto"/>
            <w:left w:val="none" w:sz="0" w:space="0" w:color="auto"/>
            <w:bottom w:val="none" w:sz="0" w:space="0" w:color="auto"/>
            <w:right w:val="none" w:sz="0" w:space="0" w:color="auto"/>
          </w:divBdr>
        </w:div>
        <w:div w:id="263851951">
          <w:marLeft w:val="1267"/>
          <w:marRight w:val="0"/>
          <w:marTop w:val="0"/>
          <w:marBottom w:val="0"/>
          <w:divBdr>
            <w:top w:val="none" w:sz="0" w:space="0" w:color="auto"/>
            <w:left w:val="none" w:sz="0" w:space="0" w:color="auto"/>
            <w:bottom w:val="none" w:sz="0" w:space="0" w:color="auto"/>
            <w:right w:val="none" w:sz="0" w:space="0" w:color="auto"/>
          </w:divBdr>
        </w:div>
        <w:div w:id="461077117">
          <w:marLeft w:val="1267"/>
          <w:marRight w:val="0"/>
          <w:marTop w:val="0"/>
          <w:marBottom w:val="0"/>
          <w:divBdr>
            <w:top w:val="none" w:sz="0" w:space="0" w:color="auto"/>
            <w:left w:val="none" w:sz="0" w:space="0" w:color="auto"/>
            <w:bottom w:val="none" w:sz="0" w:space="0" w:color="auto"/>
            <w:right w:val="none" w:sz="0" w:space="0" w:color="auto"/>
          </w:divBdr>
        </w:div>
        <w:div w:id="987133627">
          <w:marLeft w:val="1267"/>
          <w:marRight w:val="0"/>
          <w:marTop w:val="0"/>
          <w:marBottom w:val="0"/>
          <w:divBdr>
            <w:top w:val="none" w:sz="0" w:space="0" w:color="auto"/>
            <w:left w:val="none" w:sz="0" w:space="0" w:color="auto"/>
            <w:bottom w:val="none" w:sz="0" w:space="0" w:color="auto"/>
            <w:right w:val="none" w:sz="0" w:space="0" w:color="auto"/>
          </w:divBdr>
        </w:div>
      </w:divsChild>
    </w:div>
    <w:div w:id="1989046495">
      <w:bodyDiv w:val="1"/>
      <w:marLeft w:val="0"/>
      <w:marRight w:val="0"/>
      <w:marTop w:val="0"/>
      <w:marBottom w:val="0"/>
      <w:divBdr>
        <w:top w:val="none" w:sz="0" w:space="0" w:color="auto"/>
        <w:left w:val="none" w:sz="0" w:space="0" w:color="auto"/>
        <w:bottom w:val="none" w:sz="0" w:space="0" w:color="auto"/>
        <w:right w:val="none" w:sz="0" w:space="0" w:color="auto"/>
      </w:divBdr>
      <w:divsChild>
        <w:div w:id="1386878671">
          <w:marLeft w:val="1267"/>
          <w:marRight w:val="0"/>
          <w:marTop w:val="0"/>
          <w:marBottom w:val="0"/>
          <w:divBdr>
            <w:top w:val="none" w:sz="0" w:space="0" w:color="auto"/>
            <w:left w:val="none" w:sz="0" w:space="0" w:color="auto"/>
            <w:bottom w:val="none" w:sz="0" w:space="0" w:color="auto"/>
            <w:right w:val="none" w:sz="0" w:space="0" w:color="auto"/>
          </w:divBdr>
        </w:div>
        <w:div w:id="1540818951">
          <w:marLeft w:val="1267"/>
          <w:marRight w:val="0"/>
          <w:marTop w:val="0"/>
          <w:marBottom w:val="0"/>
          <w:divBdr>
            <w:top w:val="none" w:sz="0" w:space="0" w:color="auto"/>
            <w:left w:val="none" w:sz="0" w:space="0" w:color="auto"/>
            <w:bottom w:val="none" w:sz="0" w:space="0" w:color="auto"/>
            <w:right w:val="none" w:sz="0" w:space="0" w:color="auto"/>
          </w:divBdr>
        </w:div>
        <w:div w:id="1547836858">
          <w:marLeft w:val="1267"/>
          <w:marRight w:val="0"/>
          <w:marTop w:val="0"/>
          <w:marBottom w:val="0"/>
          <w:divBdr>
            <w:top w:val="none" w:sz="0" w:space="0" w:color="auto"/>
            <w:left w:val="none" w:sz="0" w:space="0" w:color="auto"/>
            <w:bottom w:val="none" w:sz="0" w:space="0" w:color="auto"/>
            <w:right w:val="none" w:sz="0" w:space="0" w:color="auto"/>
          </w:divBdr>
        </w:div>
        <w:div w:id="17133108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1258-71D8-4047-949B-91543993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19</Pages>
  <Words>6750</Words>
  <Characters>35961</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Infraestrucura de regasificación</cp:keywords>
  <dc:description/>
  <cp:lastModifiedBy>Luz Stella Rojas Macias</cp:lastModifiedBy>
  <cp:revision>2</cp:revision>
  <cp:lastPrinted>2017-07-31T20:57:00Z</cp:lastPrinted>
  <dcterms:created xsi:type="dcterms:W3CDTF">2018-01-04T15:54:00Z</dcterms:created>
  <dcterms:modified xsi:type="dcterms:W3CDTF">2018-01-04T15:54:00Z</dcterms:modified>
</cp:coreProperties>
</file>