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2775" w14:textId="31D22C19" w:rsidR="00625DC6" w:rsidRPr="003F7981" w:rsidRDefault="00651B7A" w:rsidP="00CF067A">
      <w:pPr>
        <w:pStyle w:val="Encabezado"/>
        <w:ind w:left="284" w:right="6"/>
        <w:contextualSpacing/>
        <w:jc w:val="both"/>
        <w:rPr>
          <w:rFonts w:ascii="Bookman Old Style" w:hAnsi="Bookman Old Style"/>
        </w:rPr>
      </w:pPr>
      <w:r>
        <w:rPr>
          <w:rFonts w:ascii="Bookman Old Style" w:hAnsi="Bookman Old Style"/>
          <w:noProof/>
          <w:szCs w:val="24"/>
        </w:rPr>
        <w:object w:dxaOrig="1440" w:dyaOrig="1440" w14:anchorId="52033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21.9pt;margin-top:-24.85pt;width:52.5pt;height:48.75pt;z-index:251658240;mso-wrap-edited:f;mso-width-percent:0;mso-height-percent:0;mso-width-percent:0;mso-height-percent:0" fillcolor="#0c9">
            <v:imagedata r:id="rId11" o:title=""/>
          </v:shape>
          <o:OLEObject Type="Embed" ProgID="PBrush" ShapeID="_x0000_s1026" DrawAspect="Content" ObjectID="_1721138409" r:id="rId12"/>
        </w:object>
      </w:r>
    </w:p>
    <w:p w14:paraId="43C69AFB" w14:textId="77777777" w:rsidR="00625DC6" w:rsidRPr="003F7981" w:rsidRDefault="00625DC6" w:rsidP="00CF067A">
      <w:pPr>
        <w:pStyle w:val="Encabezado"/>
        <w:ind w:left="284" w:right="6"/>
        <w:contextualSpacing/>
        <w:jc w:val="both"/>
        <w:rPr>
          <w:rFonts w:ascii="Bookman Old Style" w:hAnsi="Bookman Old Style"/>
          <w:szCs w:val="24"/>
        </w:rPr>
      </w:pPr>
    </w:p>
    <w:p w14:paraId="3534631B" w14:textId="77777777" w:rsidR="00625DC6" w:rsidRPr="003F7981" w:rsidRDefault="00625DC6" w:rsidP="00CF067A">
      <w:pPr>
        <w:pStyle w:val="Encabezado"/>
        <w:ind w:left="284" w:right="6"/>
        <w:contextualSpacing/>
        <w:jc w:val="both"/>
        <w:rPr>
          <w:rFonts w:ascii="Bookman Old Style" w:hAnsi="Bookman Old Style"/>
          <w:szCs w:val="24"/>
        </w:rPr>
      </w:pPr>
    </w:p>
    <w:p w14:paraId="35CAC712" w14:textId="77777777" w:rsidR="00CA77FB" w:rsidRPr="003F7981" w:rsidRDefault="00CA77FB" w:rsidP="00CF067A">
      <w:pPr>
        <w:pStyle w:val="Ttulo4"/>
        <w:ind w:left="284" w:right="6"/>
        <w:contextualSpacing/>
        <w:rPr>
          <w:rFonts w:ascii="Bookman Old Style" w:hAnsi="Bookman Old Style"/>
          <w:b w:val="0"/>
          <w:bCs/>
          <w:noProof/>
          <w:sz w:val="24"/>
          <w:szCs w:val="24"/>
          <w:lang w:val="es-ES"/>
        </w:rPr>
      </w:pPr>
      <w:r w:rsidRPr="003F7981">
        <w:rPr>
          <w:rFonts w:ascii="Bookman Old Style" w:hAnsi="Bookman Old Style"/>
          <w:b w:val="0"/>
          <w:bCs/>
          <w:sz w:val="24"/>
          <w:szCs w:val="24"/>
        </w:rPr>
        <w:t>Ministerio de Minas y Energía</w:t>
      </w:r>
    </w:p>
    <w:p w14:paraId="3F43C339" w14:textId="77777777" w:rsidR="00CA77FB" w:rsidRPr="003F7981" w:rsidRDefault="00CA77FB" w:rsidP="00CF067A">
      <w:pPr>
        <w:pStyle w:val="Ttulo4"/>
        <w:ind w:left="284" w:right="6"/>
        <w:contextualSpacing/>
        <w:rPr>
          <w:rFonts w:ascii="Bookman Old Style" w:hAnsi="Bookman Old Style"/>
          <w:b w:val="0"/>
          <w:bCs/>
          <w:sz w:val="24"/>
          <w:szCs w:val="24"/>
        </w:rPr>
      </w:pPr>
    </w:p>
    <w:p w14:paraId="25A538B3" w14:textId="77777777" w:rsidR="00CA77FB" w:rsidRPr="003F7981" w:rsidRDefault="00CA77FB" w:rsidP="00CF067A">
      <w:pPr>
        <w:pStyle w:val="Ttulo4"/>
        <w:ind w:right="6"/>
        <w:contextualSpacing/>
        <w:rPr>
          <w:rFonts w:ascii="Bookman Old Style" w:hAnsi="Bookman Old Style"/>
          <w:sz w:val="24"/>
          <w:szCs w:val="24"/>
        </w:rPr>
      </w:pPr>
      <w:r w:rsidRPr="003F7981">
        <w:rPr>
          <w:rFonts w:ascii="Bookman Old Style" w:hAnsi="Bookman Old Style"/>
          <w:sz w:val="24"/>
          <w:szCs w:val="24"/>
        </w:rPr>
        <w:t>COMISIÓN DE REGULACIÓN DE ENERGÍA Y GAS</w:t>
      </w:r>
    </w:p>
    <w:p w14:paraId="4E7D0072" w14:textId="77777777" w:rsidR="00CA77FB" w:rsidRPr="003F7981" w:rsidRDefault="00CA77FB" w:rsidP="00CF067A">
      <w:pPr>
        <w:pStyle w:val="Ttulo4"/>
        <w:ind w:right="6"/>
        <w:contextualSpacing/>
        <w:rPr>
          <w:rFonts w:ascii="Bookman Old Style" w:hAnsi="Bookman Old Style"/>
          <w:sz w:val="24"/>
          <w:szCs w:val="24"/>
        </w:rPr>
      </w:pPr>
    </w:p>
    <w:p w14:paraId="4FFCDDA1" w14:textId="5D40A3A5" w:rsidR="00CA77FB" w:rsidRPr="003F7981" w:rsidRDefault="00CA77FB" w:rsidP="00CF067A">
      <w:pPr>
        <w:pStyle w:val="Ttulo4"/>
        <w:ind w:right="6"/>
        <w:contextualSpacing/>
        <w:rPr>
          <w:rFonts w:ascii="Bookman Old Style" w:hAnsi="Bookman Old Style"/>
          <w:sz w:val="24"/>
          <w:szCs w:val="24"/>
        </w:rPr>
      </w:pPr>
      <w:r w:rsidRPr="003F7981">
        <w:rPr>
          <w:rFonts w:ascii="Bookman Old Style" w:hAnsi="Bookman Old Style"/>
          <w:sz w:val="24"/>
          <w:szCs w:val="24"/>
        </w:rPr>
        <w:t xml:space="preserve">RESOLUCIÓN </w:t>
      </w:r>
      <w:proofErr w:type="gramStart"/>
      <w:r w:rsidRPr="003F7981">
        <w:rPr>
          <w:rFonts w:ascii="Bookman Old Style" w:hAnsi="Bookman Old Style"/>
          <w:sz w:val="24"/>
          <w:szCs w:val="24"/>
        </w:rPr>
        <w:t>No.</w:t>
      </w:r>
      <w:r w:rsidRPr="003F7981">
        <w:rPr>
          <w:rFonts w:ascii="Bookman Old Style" w:hAnsi="Bookman Old Style"/>
          <w:sz w:val="32"/>
          <w:szCs w:val="32"/>
        </w:rPr>
        <w:t xml:space="preserve"> </w:t>
      </w:r>
      <w:r w:rsidR="00795BFB" w:rsidRPr="003F7981">
        <w:rPr>
          <w:rFonts w:ascii="Bookman Old Style" w:hAnsi="Bookman Old Style"/>
          <w:sz w:val="32"/>
          <w:szCs w:val="32"/>
        </w:rPr>
        <w:t xml:space="preserve"> </w:t>
      </w:r>
      <w:r w:rsidR="00E03E72" w:rsidRPr="003F7981">
        <w:rPr>
          <w:rFonts w:ascii="Bookman Old Style" w:hAnsi="Bookman Old Style"/>
          <w:color w:val="000000" w:themeColor="text1"/>
          <w:sz w:val="32"/>
          <w:szCs w:val="32"/>
        </w:rPr>
        <w:t>501</w:t>
      </w:r>
      <w:proofErr w:type="gramEnd"/>
      <w:r w:rsidR="00795BFB" w:rsidRPr="003F7981">
        <w:rPr>
          <w:rFonts w:ascii="Bookman Old Style" w:hAnsi="Bookman Old Style"/>
          <w:sz w:val="24"/>
          <w:szCs w:val="24"/>
        </w:rPr>
        <w:t xml:space="preserve"> </w:t>
      </w:r>
      <w:r w:rsidR="00C7153E">
        <w:rPr>
          <w:rFonts w:ascii="Bookman Old Style" w:hAnsi="Bookman Old Style"/>
          <w:sz w:val="32"/>
          <w:szCs w:val="32"/>
        </w:rPr>
        <w:t>059</w:t>
      </w:r>
      <w:r w:rsidR="00795BFB" w:rsidRPr="003F7981">
        <w:rPr>
          <w:rFonts w:ascii="Bookman Old Style" w:hAnsi="Bookman Old Style"/>
          <w:sz w:val="32"/>
          <w:szCs w:val="32"/>
        </w:rPr>
        <w:t xml:space="preserve"> </w:t>
      </w:r>
      <w:r w:rsidR="00795BFB" w:rsidRPr="003F7981">
        <w:rPr>
          <w:rFonts w:ascii="Bookman Old Style" w:hAnsi="Bookman Old Style"/>
          <w:sz w:val="24"/>
          <w:szCs w:val="24"/>
        </w:rPr>
        <w:t xml:space="preserve">   </w:t>
      </w:r>
      <w:r w:rsidRPr="003F7981">
        <w:rPr>
          <w:rFonts w:ascii="Bookman Old Style" w:hAnsi="Bookman Old Style"/>
          <w:sz w:val="24"/>
          <w:szCs w:val="24"/>
        </w:rPr>
        <w:t xml:space="preserve">DE </w:t>
      </w:r>
      <w:r w:rsidR="00D451C0" w:rsidRPr="003F7981">
        <w:rPr>
          <w:rFonts w:ascii="Bookman Old Style" w:hAnsi="Bookman Old Style"/>
          <w:sz w:val="24"/>
          <w:szCs w:val="24"/>
        </w:rPr>
        <w:t>20</w:t>
      </w:r>
      <w:r w:rsidR="00FD1664" w:rsidRPr="003F7981">
        <w:rPr>
          <w:rFonts w:ascii="Bookman Old Style" w:hAnsi="Bookman Old Style"/>
          <w:sz w:val="24"/>
          <w:szCs w:val="24"/>
        </w:rPr>
        <w:t>2</w:t>
      </w:r>
      <w:r w:rsidR="00F314C2" w:rsidRPr="003F7981">
        <w:rPr>
          <w:rFonts w:ascii="Bookman Old Style" w:hAnsi="Bookman Old Style"/>
          <w:sz w:val="24"/>
          <w:szCs w:val="24"/>
        </w:rPr>
        <w:t>2</w:t>
      </w:r>
    </w:p>
    <w:p w14:paraId="32CF47F9" w14:textId="77777777" w:rsidR="00CA77FB" w:rsidRPr="003F7981" w:rsidRDefault="00CA77FB" w:rsidP="00CF067A">
      <w:pPr>
        <w:pStyle w:val="Ttulo4"/>
        <w:ind w:right="6"/>
        <w:contextualSpacing/>
        <w:rPr>
          <w:rFonts w:ascii="Bookman Old Style" w:hAnsi="Bookman Old Style"/>
          <w:sz w:val="24"/>
          <w:szCs w:val="24"/>
        </w:rPr>
      </w:pPr>
    </w:p>
    <w:p w14:paraId="5508F72B" w14:textId="581AB1B3" w:rsidR="00CA77FB" w:rsidRPr="003F7981" w:rsidRDefault="00CA77FB" w:rsidP="00CF067A">
      <w:pPr>
        <w:pStyle w:val="Ttulo4"/>
        <w:ind w:right="6"/>
        <w:contextualSpacing/>
        <w:rPr>
          <w:rFonts w:ascii="Bookman Old Style" w:hAnsi="Bookman Old Style"/>
          <w:sz w:val="24"/>
          <w:szCs w:val="24"/>
        </w:rPr>
      </w:pPr>
      <w:proofErr w:type="gramStart"/>
      <w:r w:rsidRPr="003F7981">
        <w:rPr>
          <w:rFonts w:ascii="Bookman Old Style" w:hAnsi="Bookman Old Style"/>
          <w:sz w:val="24"/>
          <w:szCs w:val="24"/>
        </w:rPr>
        <w:t xml:space="preserve">( </w:t>
      </w:r>
      <w:r w:rsidR="00C7153E" w:rsidRPr="00C7153E">
        <w:rPr>
          <w:rFonts w:ascii="Bookman Old Style" w:hAnsi="Bookman Old Style"/>
          <w:sz w:val="32"/>
          <w:szCs w:val="32"/>
        </w:rPr>
        <w:t>15</w:t>
      </w:r>
      <w:proofErr w:type="gramEnd"/>
      <w:r w:rsidR="00AD369B" w:rsidRPr="00C7153E">
        <w:rPr>
          <w:rFonts w:ascii="Bookman Old Style" w:hAnsi="Bookman Old Style"/>
          <w:sz w:val="32"/>
          <w:szCs w:val="32"/>
        </w:rPr>
        <w:t xml:space="preserve"> </w:t>
      </w:r>
      <w:r w:rsidR="00E03E72" w:rsidRPr="00C7153E">
        <w:rPr>
          <w:rFonts w:ascii="Bookman Old Style" w:hAnsi="Bookman Old Style"/>
          <w:sz w:val="32"/>
          <w:szCs w:val="32"/>
        </w:rPr>
        <w:t>JU</w:t>
      </w:r>
      <w:r w:rsidR="003F7981" w:rsidRPr="00C7153E">
        <w:rPr>
          <w:rFonts w:ascii="Bookman Old Style" w:hAnsi="Bookman Old Style"/>
          <w:sz w:val="32"/>
          <w:szCs w:val="32"/>
        </w:rPr>
        <w:t>L</w:t>
      </w:r>
      <w:r w:rsidR="00AD369B" w:rsidRPr="00C7153E">
        <w:rPr>
          <w:rFonts w:ascii="Bookman Old Style" w:hAnsi="Bookman Old Style"/>
          <w:sz w:val="32"/>
          <w:szCs w:val="32"/>
        </w:rPr>
        <w:t>. 202</w:t>
      </w:r>
      <w:r w:rsidR="00F314C2" w:rsidRPr="00C7153E">
        <w:rPr>
          <w:rFonts w:ascii="Bookman Old Style" w:hAnsi="Bookman Old Style"/>
          <w:sz w:val="32"/>
          <w:szCs w:val="32"/>
        </w:rPr>
        <w:t>2</w:t>
      </w:r>
      <w:r w:rsidRPr="003F7981">
        <w:rPr>
          <w:rFonts w:ascii="Bookman Old Style" w:hAnsi="Bookman Old Style"/>
          <w:sz w:val="24"/>
          <w:szCs w:val="24"/>
        </w:rPr>
        <w:t xml:space="preserve"> )</w:t>
      </w:r>
    </w:p>
    <w:p w14:paraId="53FF130C" w14:textId="77777777" w:rsidR="00CA77FB" w:rsidRPr="003F7981" w:rsidRDefault="00CA77FB" w:rsidP="00CF067A">
      <w:pPr>
        <w:ind w:left="284" w:right="6"/>
        <w:contextualSpacing/>
        <w:jc w:val="center"/>
        <w:rPr>
          <w:rFonts w:ascii="Bookman Old Style" w:hAnsi="Bookman Old Style"/>
          <w:lang w:val="es-ES_tradnl"/>
        </w:rPr>
      </w:pPr>
    </w:p>
    <w:p w14:paraId="1FEF4395" w14:textId="77777777" w:rsidR="00AD369B" w:rsidRPr="003F7981" w:rsidRDefault="00AD369B" w:rsidP="00CF067A">
      <w:pPr>
        <w:pStyle w:val="Textodebloque"/>
        <w:spacing w:after="0"/>
        <w:ind w:left="284" w:right="6"/>
        <w:contextualSpacing/>
        <w:rPr>
          <w:rFonts w:ascii="Bookman Old Style" w:hAnsi="Bookman Old Style"/>
          <w:szCs w:val="24"/>
        </w:rPr>
      </w:pPr>
      <w:bookmarkStart w:id="0" w:name="_Hlk40445094"/>
    </w:p>
    <w:p w14:paraId="4E53C93B" w14:textId="1596AF77" w:rsidR="002E5821" w:rsidRPr="00AD369B" w:rsidRDefault="002E5821" w:rsidP="00CF067A">
      <w:pPr>
        <w:pStyle w:val="Textodebloque"/>
        <w:spacing w:after="0"/>
        <w:ind w:left="284" w:right="6"/>
        <w:contextualSpacing/>
        <w:rPr>
          <w:rFonts w:ascii="Bookman Old Style" w:hAnsi="Bookman Old Style"/>
        </w:rPr>
      </w:pPr>
      <w:r w:rsidRPr="4C17CD0A">
        <w:rPr>
          <w:rFonts w:ascii="Bookman Old Style" w:hAnsi="Bookman Old Style"/>
        </w:rPr>
        <w:t xml:space="preserve">Por la cual se determina el cargo máximo de generación para el mercado relevante de comercialización de la cabecera municipal de </w:t>
      </w:r>
      <w:r w:rsidR="00B44709" w:rsidRPr="4C17CD0A">
        <w:rPr>
          <w:rFonts w:ascii="Bookman Old Style" w:hAnsi="Bookman Old Style"/>
        </w:rPr>
        <w:t>Puerto Carreño</w:t>
      </w:r>
      <w:r w:rsidRPr="4C17CD0A">
        <w:rPr>
          <w:rFonts w:ascii="Bookman Old Style" w:hAnsi="Bookman Old Style"/>
        </w:rPr>
        <w:t xml:space="preserve"> en el </w:t>
      </w:r>
      <w:r w:rsidR="0032687B" w:rsidRPr="4C17CD0A">
        <w:rPr>
          <w:rFonts w:ascii="Bookman Old Style" w:hAnsi="Bookman Old Style"/>
        </w:rPr>
        <w:t>D</w:t>
      </w:r>
      <w:r w:rsidRPr="4C17CD0A">
        <w:rPr>
          <w:rFonts w:ascii="Bookman Old Style" w:hAnsi="Bookman Old Style"/>
        </w:rPr>
        <w:t xml:space="preserve">epartamento del </w:t>
      </w:r>
      <w:r w:rsidR="00B44709" w:rsidRPr="4C17CD0A">
        <w:rPr>
          <w:rFonts w:ascii="Bookman Old Style" w:hAnsi="Bookman Old Style"/>
        </w:rPr>
        <w:t>Vichada</w:t>
      </w:r>
      <w:r w:rsidRPr="4C17CD0A">
        <w:rPr>
          <w:rFonts w:ascii="Bookman Old Style" w:hAnsi="Bookman Old Style"/>
        </w:rPr>
        <w:t>.</w:t>
      </w:r>
    </w:p>
    <w:bookmarkEnd w:id="0"/>
    <w:p w14:paraId="04D65D06" w14:textId="2EBB510C" w:rsidR="002E5821" w:rsidRPr="003F7981" w:rsidRDefault="002E5821" w:rsidP="00CF067A">
      <w:pPr>
        <w:pStyle w:val="Textodebloque"/>
        <w:spacing w:after="0"/>
        <w:ind w:left="284" w:right="6"/>
        <w:contextualSpacing/>
        <w:rPr>
          <w:rFonts w:ascii="Bookman Old Style" w:hAnsi="Bookman Old Style" w:cs="Arial"/>
          <w:szCs w:val="24"/>
          <w:highlight w:val="green"/>
        </w:rPr>
      </w:pPr>
    </w:p>
    <w:p w14:paraId="3C8B2E0C" w14:textId="77777777" w:rsidR="00A33177" w:rsidRPr="003F7981" w:rsidRDefault="00A33177" w:rsidP="00CF067A">
      <w:pPr>
        <w:pStyle w:val="Textodebloque"/>
        <w:spacing w:after="0"/>
        <w:ind w:left="284" w:right="6"/>
        <w:contextualSpacing/>
        <w:rPr>
          <w:rFonts w:ascii="Bookman Old Style" w:hAnsi="Bookman Old Style" w:cs="Arial"/>
          <w:szCs w:val="24"/>
        </w:rPr>
      </w:pPr>
    </w:p>
    <w:p w14:paraId="427244E5" w14:textId="77777777" w:rsidR="00DE4BF8" w:rsidRPr="003F7981" w:rsidRDefault="00DE4BF8" w:rsidP="00CF067A">
      <w:pPr>
        <w:pStyle w:val="Textoindependiente2"/>
        <w:spacing w:after="0" w:line="240" w:lineRule="auto"/>
        <w:ind w:left="284" w:right="6"/>
        <w:contextualSpacing/>
        <w:jc w:val="center"/>
        <w:rPr>
          <w:rFonts w:ascii="Bookman Old Style" w:hAnsi="Bookman Old Style" w:cs="Arial"/>
          <w:b/>
          <w:bCs/>
        </w:rPr>
      </w:pPr>
      <w:r w:rsidRPr="003F7981">
        <w:rPr>
          <w:rFonts w:ascii="Bookman Old Style" w:hAnsi="Bookman Old Style" w:cs="Arial"/>
          <w:b/>
          <w:bCs/>
        </w:rPr>
        <w:t>LA COMISIÓN DE REGULACIÓN DE ENERGÍA Y GAS</w:t>
      </w:r>
    </w:p>
    <w:p w14:paraId="34C9EA6C" w14:textId="77777777" w:rsidR="00A33177" w:rsidRPr="003F7981" w:rsidRDefault="00A33177" w:rsidP="00CF067A">
      <w:pPr>
        <w:pStyle w:val="Textoindependiente2"/>
        <w:spacing w:after="0" w:line="240" w:lineRule="auto"/>
        <w:ind w:left="284" w:right="6"/>
        <w:contextualSpacing/>
        <w:jc w:val="center"/>
        <w:rPr>
          <w:rFonts w:ascii="Bookman Old Style" w:hAnsi="Bookman Old Style" w:cs="Arial"/>
          <w:b/>
          <w:bCs/>
          <w:lang w:val="es-CO"/>
        </w:rPr>
      </w:pPr>
    </w:p>
    <w:p w14:paraId="4132F3EC" w14:textId="77777777" w:rsidR="005F5CDB" w:rsidRPr="003F7981" w:rsidRDefault="005F5CDB" w:rsidP="00CF067A">
      <w:pPr>
        <w:pStyle w:val="Textoindependiente2"/>
        <w:spacing w:after="0" w:line="240" w:lineRule="auto"/>
        <w:ind w:left="284" w:right="6"/>
        <w:contextualSpacing/>
        <w:jc w:val="center"/>
        <w:rPr>
          <w:rFonts w:ascii="Bookman Old Style" w:hAnsi="Bookman Old Style" w:cs="Arial"/>
          <w:b/>
          <w:bCs/>
          <w:lang w:val="es-CO"/>
        </w:rPr>
      </w:pPr>
    </w:p>
    <w:p w14:paraId="136F639D" w14:textId="14866D5B" w:rsidR="5A4700E7" w:rsidRPr="003F7981" w:rsidRDefault="5A4700E7" w:rsidP="00CF067A">
      <w:pPr>
        <w:ind w:left="284" w:right="6"/>
        <w:jc w:val="both"/>
        <w:rPr>
          <w:rFonts w:ascii="Bookman Old Style" w:eastAsia="Bookman Old Style" w:hAnsi="Bookman Old Style" w:cs="Bookman Old Style"/>
          <w:lang w:val="es"/>
        </w:rPr>
      </w:pPr>
      <w:r w:rsidRPr="003F7981">
        <w:rPr>
          <w:rFonts w:ascii="Bookman Old Style" w:eastAsia="Bookman Old Style" w:hAnsi="Bookman Old Style" w:cs="Bookman Old Style"/>
          <w:lang w:val="es"/>
        </w:rPr>
        <w:t>En ejercicio de sus atribuciones constitucionales y legales, en especial las conferidas por las leyes 142 y 143 de 1994, y los decretos 1524 y 2253 de 1994, 1260 de 2013</w:t>
      </w:r>
      <w:r w:rsidR="00F57710">
        <w:rPr>
          <w:rFonts w:ascii="Bookman Old Style" w:eastAsia="Bookman Old Style" w:hAnsi="Bookman Old Style" w:cs="Bookman Old Style"/>
          <w:lang w:val="es"/>
        </w:rPr>
        <w:t>,</w:t>
      </w:r>
      <w:r w:rsidRPr="003F7981">
        <w:rPr>
          <w:rFonts w:ascii="Bookman Old Style" w:eastAsia="Bookman Old Style" w:hAnsi="Bookman Old Style" w:cs="Bookman Old Style"/>
          <w:lang w:val="es"/>
        </w:rPr>
        <w:t xml:space="preserve"> y en especial lo dispuesto en el literal d del artículo 22 y el numeral 24.5 del artículo 24 de la Resolución CREG 091 de 2007.</w:t>
      </w:r>
    </w:p>
    <w:p w14:paraId="3D447594" w14:textId="496DA342" w:rsidR="00DE4BF8" w:rsidRPr="003F7981" w:rsidRDefault="00DE4BF8" w:rsidP="00CF067A">
      <w:pPr>
        <w:ind w:left="284" w:right="6"/>
        <w:contextualSpacing/>
        <w:jc w:val="both"/>
        <w:rPr>
          <w:rFonts w:ascii="Bookman Old Style" w:hAnsi="Bookman Old Style" w:cs="Arial"/>
        </w:rPr>
      </w:pPr>
    </w:p>
    <w:p w14:paraId="065F7C52" w14:textId="77777777" w:rsidR="009C209F" w:rsidRPr="003F7981" w:rsidRDefault="009C209F" w:rsidP="00CF067A">
      <w:pPr>
        <w:ind w:left="284" w:right="6"/>
        <w:contextualSpacing/>
        <w:jc w:val="both"/>
        <w:rPr>
          <w:rFonts w:ascii="Bookman Old Style" w:hAnsi="Bookman Old Style" w:cs="Arial"/>
        </w:rPr>
      </w:pPr>
    </w:p>
    <w:p w14:paraId="18310931" w14:textId="77777777" w:rsidR="00DE4BF8" w:rsidRPr="003F7981" w:rsidRDefault="00DE4BF8" w:rsidP="00CF067A">
      <w:pPr>
        <w:ind w:left="284" w:right="6"/>
        <w:contextualSpacing/>
        <w:jc w:val="center"/>
        <w:rPr>
          <w:rFonts w:ascii="Bookman Old Style" w:hAnsi="Bookman Old Style" w:cs="Arial"/>
          <w:b/>
        </w:rPr>
      </w:pPr>
      <w:r w:rsidRPr="003F7981">
        <w:rPr>
          <w:rFonts w:ascii="Bookman Old Style" w:hAnsi="Bookman Old Style" w:cs="Arial"/>
          <w:b/>
          <w:spacing w:val="80"/>
        </w:rPr>
        <w:t>CONSIDERANDO QUE</w:t>
      </w:r>
      <w:r w:rsidRPr="003F7981">
        <w:rPr>
          <w:rFonts w:ascii="Bookman Old Style" w:hAnsi="Bookman Old Style" w:cs="Arial"/>
          <w:b/>
        </w:rPr>
        <w:t>:</w:t>
      </w:r>
    </w:p>
    <w:p w14:paraId="57A19D5F" w14:textId="6E0B0177" w:rsidR="009C209F" w:rsidRPr="003F7981" w:rsidRDefault="009C209F" w:rsidP="00CF067A">
      <w:pPr>
        <w:ind w:left="284" w:right="6"/>
        <w:contextualSpacing/>
        <w:jc w:val="center"/>
        <w:rPr>
          <w:rFonts w:ascii="Bookman Old Style" w:hAnsi="Bookman Old Style" w:cs="Arial"/>
          <w:b/>
          <w:bCs/>
        </w:rPr>
      </w:pPr>
    </w:p>
    <w:p w14:paraId="6E1F39B9" w14:textId="77777777" w:rsidR="00B54D44" w:rsidRPr="003F7981" w:rsidRDefault="00B54D44" w:rsidP="00CF067A">
      <w:pPr>
        <w:ind w:left="284" w:right="6"/>
        <w:contextualSpacing/>
        <w:jc w:val="center"/>
        <w:rPr>
          <w:rFonts w:ascii="Bookman Old Style" w:hAnsi="Bookman Old Style" w:cs="Arial"/>
          <w:b/>
        </w:rPr>
      </w:pPr>
    </w:p>
    <w:p w14:paraId="3EF663D8" w14:textId="766EC096" w:rsidR="005F2B6B" w:rsidRPr="003F7981" w:rsidRDefault="005878BF" w:rsidP="00CF067A">
      <w:pPr>
        <w:numPr>
          <w:ilvl w:val="0"/>
          <w:numId w:val="8"/>
        </w:numPr>
        <w:ind w:right="6"/>
        <w:contextualSpacing/>
        <w:jc w:val="both"/>
        <w:rPr>
          <w:rFonts w:ascii="Bookman Old Style" w:hAnsi="Bookman Old Style" w:cs="Arial"/>
          <w:b/>
        </w:rPr>
      </w:pPr>
      <w:r w:rsidRPr="003F7981">
        <w:rPr>
          <w:rFonts w:ascii="Bookman Old Style" w:hAnsi="Bookman Old Style" w:cs="Arial"/>
          <w:b/>
        </w:rPr>
        <w:t xml:space="preserve"> </w:t>
      </w:r>
      <w:r w:rsidR="005F2B6B" w:rsidRPr="003F7981">
        <w:rPr>
          <w:rFonts w:ascii="Bookman Old Style" w:hAnsi="Bookman Old Style" w:cs="Arial"/>
          <w:b/>
        </w:rPr>
        <w:t>ANTECEDENTES</w:t>
      </w:r>
    </w:p>
    <w:p w14:paraId="0D613634" w14:textId="77777777" w:rsidR="009B5A32" w:rsidRPr="003F7981" w:rsidRDefault="009B5A32" w:rsidP="00CF067A">
      <w:pPr>
        <w:ind w:left="284" w:right="6"/>
        <w:contextualSpacing/>
        <w:jc w:val="both"/>
        <w:rPr>
          <w:rFonts w:ascii="Bookman Old Style" w:hAnsi="Bookman Old Style" w:cs="Arial"/>
        </w:rPr>
      </w:pPr>
    </w:p>
    <w:p w14:paraId="65692F79" w14:textId="75DBC87E" w:rsidR="00941D3F" w:rsidRPr="003F7981" w:rsidRDefault="00941D3F" w:rsidP="00CF067A">
      <w:pPr>
        <w:pStyle w:val="Textoindependiente"/>
        <w:ind w:left="284" w:right="6"/>
        <w:contextualSpacing/>
        <w:jc w:val="both"/>
        <w:rPr>
          <w:rFonts w:ascii="Bookman Old Style" w:hAnsi="Bookman Old Style"/>
          <w:b w:val="0"/>
          <w:bCs w:val="0"/>
          <w:iCs/>
        </w:rPr>
      </w:pPr>
      <w:r w:rsidRPr="003F7981">
        <w:rPr>
          <w:rFonts w:ascii="Bookman Old Style" w:hAnsi="Bookman Old Style"/>
          <w:b w:val="0"/>
          <w:bCs w:val="0"/>
          <w:iCs/>
        </w:rPr>
        <w:t>El artículo 87 de la Ley 142 de 1994 estableció que el régimen tarifario estará orientado por los criterios de eficiencia económica, neutralidad, solidaridad, redistribución, suficiencia financiera, simplicidad y transparencia.</w:t>
      </w:r>
    </w:p>
    <w:p w14:paraId="0F4F12D8" w14:textId="77777777" w:rsidR="00941D3F" w:rsidRPr="003F7981" w:rsidRDefault="00941D3F" w:rsidP="00CF067A">
      <w:pPr>
        <w:pStyle w:val="Textoindependiente"/>
        <w:ind w:left="284" w:right="6"/>
        <w:contextualSpacing/>
        <w:jc w:val="both"/>
        <w:rPr>
          <w:rFonts w:ascii="Bookman Old Style" w:hAnsi="Bookman Old Style"/>
          <w:b w:val="0"/>
          <w:bCs w:val="0"/>
          <w:iCs/>
        </w:rPr>
      </w:pPr>
    </w:p>
    <w:p w14:paraId="6792B2CC" w14:textId="77777777" w:rsidR="00727040" w:rsidRPr="003F7981" w:rsidRDefault="00727040" w:rsidP="00CF067A">
      <w:pPr>
        <w:pStyle w:val="Textoindependiente"/>
        <w:ind w:left="284" w:right="6"/>
        <w:contextualSpacing/>
        <w:jc w:val="both"/>
        <w:rPr>
          <w:rFonts w:ascii="Bookman Old Style" w:hAnsi="Bookman Old Style"/>
          <w:b w:val="0"/>
          <w:bCs w:val="0"/>
          <w:iCs/>
        </w:rPr>
      </w:pPr>
      <w:r w:rsidRPr="003F7981">
        <w:rPr>
          <w:rFonts w:ascii="Bookman Old Style" w:hAnsi="Bookman Old Style"/>
          <w:b w:val="0"/>
          <w:bCs w:val="0"/>
          <w:iCs/>
        </w:rPr>
        <w:t xml:space="preserve">De acuerdo con lo previsto en el </w:t>
      </w:r>
      <w:r w:rsidR="00941D3F" w:rsidRPr="003F7981">
        <w:rPr>
          <w:rFonts w:ascii="Bookman Old Style" w:hAnsi="Bookman Old Style"/>
          <w:b w:val="0"/>
          <w:bCs w:val="0"/>
          <w:iCs/>
        </w:rPr>
        <w:t>literal e)</w:t>
      </w:r>
      <w:r w:rsidR="00941D3F" w:rsidRPr="003F7981">
        <w:rPr>
          <w:rFonts w:ascii="Bookman Old Style" w:hAnsi="Bookman Old Style"/>
          <w:b w:val="0"/>
          <w:bCs w:val="0"/>
          <w:iCs/>
          <w:lang w:val="es-MX"/>
        </w:rPr>
        <w:t xml:space="preserve"> del</w:t>
      </w:r>
      <w:r w:rsidR="00941D3F" w:rsidRPr="003F7981">
        <w:rPr>
          <w:rFonts w:ascii="Bookman Old Style" w:hAnsi="Bookman Old Style"/>
          <w:b w:val="0"/>
          <w:bCs w:val="0"/>
          <w:iCs/>
        </w:rPr>
        <w:t xml:space="preserve"> artículo 23 de </w:t>
      </w:r>
      <w:r w:rsidRPr="003F7981">
        <w:rPr>
          <w:rFonts w:ascii="Bookman Old Style" w:hAnsi="Bookman Old Style"/>
          <w:b w:val="0"/>
          <w:bCs w:val="0"/>
          <w:iCs/>
        </w:rPr>
        <w:t>la Ley 143 de 1994, es función de la Comisión de Regulación de Energía y Gas aprobar las fórmulas tarifarias y las metodologías para el cálculo de las tarifas para usuarios regulados.</w:t>
      </w:r>
    </w:p>
    <w:p w14:paraId="01E21D25" w14:textId="77777777" w:rsidR="000C5DD0" w:rsidRPr="003F7981" w:rsidRDefault="000C5DD0" w:rsidP="00CF067A">
      <w:pPr>
        <w:pStyle w:val="Textoindependiente"/>
        <w:ind w:left="284" w:right="6"/>
        <w:contextualSpacing/>
        <w:jc w:val="both"/>
        <w:rPr>
          <w:rFonts w:ascii="Bookman Old Style" w:hAnsi="Bookman Old Style"/>
          <w:b w:val="0"/>
          <w:bCs w:val="0"/>
          <w:iCs/>
        </w:rPr>
      </w:pPr>
    </w:p>
    <w:p w14:paraId="5A84D088" w14:textId="22179065" w:rsidR="00727040" w:rsidRPr="003F7981" w:rsidRDefault="00727040" w:rsidP="00CF067A">
      <w:pPr>
        <w:pStyle w:val="Textoindependiente"/>
        <w:ind w:left="284" w:right="6"/>
        <w:contextualSpacing/>
        <w:jc w:val="both"/>
        <w:rPr>
          <w:rFonts w:ascii="Bookman Old Style" w:hAnsi="Bookman Old Style"/>
          <w:b w:val="0"/>
          <w:bCs w:val="0"/>
          <w:iCs/>
        </w:rPr>
      </w:pPr>
      <w:r w:rsidRPr="003F7981">
        <w:rPr>
          <w:rFonts w:ascii="Bookman Old Style" w:hAnsi="Bookman Old Style"/>
          <w:b w:val="0"/>
          <w:bCs w:val="0"/>
          <w:iCs/>
        </w:rPr>
        <w:t>El artículo 6 de la Ley 143 de 1994, entre otros aspectos, establece que las actividades relacionadas con el servicio de electricidad se regirán por el principio de adaptabilidad</w:t>
      </w:r>
      <w:r w:rsidR="003B0A64" w:rsidRPr="003F7981">
        <w:rPr>
          <w:rFonts w:ascii="Bookman Old Style" w:hAnsi="Bookman Old Style"/>
          <w:b w:val="0"/>
          <w:bCs w:val="0"/>
          <w:iCs/>
          <w:lang w:val="es-CO"/>
        </w:rPr>
        <w:t>,</w:t>
      </w:r>
      <w:r w:rsidRPr="003F7981">
        <w:rPr>
          <w:rFonts w:ascii="Bookman Old Style" w:hAnsi="Bookman Old Style"/>
          <w:b w:val="0"/>
          <w:bCs w:val="0"/>
          <w:iCs/>
        </w:rPr>
        <w:t xml:space="preserve"> que conduce a la incorporación de los avances de la ciencia y la tecnología que aporten mayor calidad y eficiencia en la prestación del servicio</w:t>
      </w:r>
      <w:r w:rsidR="003B0A64" w:rsidRPr="003F7981">
        <w:rPr>
          <w:rFonts w:ascii="Bookman Old Style" w:hAnsi="Bookman Old Style"/>
          <w:b w:val="0"/>
          <w:bCs w:val="0"/>
          <w:iCs/>
          <w:lang w:val="es-CO"/>
        </w:rPr>
        <w:t>,</w:t>
      </w:r>
      <w:r w:rsidRPr="003F7981">
        <w:rPr>
          <w:rFonts w:ascii="Bookman Old Style" w:hAnsi="Bookman Old Style"/>
          <w:b w:val="0"/>
          <w:bCs w:val="0"/>
          <w:iCs/>
        </w:rPr>
        <w:t xml:space="preserve"> al menor costo económico;</w:t>
      </w:r>
    </w:p>
    <w:p w14:paraId="3440E52D" w14:textId="77777777" w:rsidR="00727040" w:rsidRPr="003F7981" w:rsidRDefault="00727040" w:rsidP="00CF067A">
      <w:pPr>
        <w:pStyle w:val="Textoindependiente"/>
        <w:ind w:left="284" w:right="6"/>
        <w:contextualSpacing/>
        <w:jc w:val="both"/>
        <w:rPr>
          <w:rFonts w:ascii="Bookman Old Style" w:hAnsi="Bookman Old Style"/>
          <w:b w:val="0"/>
          <w:bCs w:val="0"/>
          <w:iCs/>
        </w:rPr>
      </w:pPr>
    </w:p>
    <w:p w14:paraId="60DDB396" w14:textId="06B5B36D" w:rsidR="00AD369B" w:rsidRPr="003F7981" w:rsidRDefault="009B5A32" w:rsidP="00CF067A">
      <w:pPr>
        <w:pStyle w:val="Textoindependiente"/>
        <w:ind w:left="284" w:right="6"/>
        <w:contextualSpacing/>
        <w:jc w:val="both"/>
        <w:rPr>
          <w:rFonts w:ascii="Bookman Old Style" w:eastAsia="Calibri" w:hAnsi="Bookman Old Style"/>
          <w:b w:val="0"/>
          <w:color w:val="000000"/>
        </w:rPr>
      </w:pPr>
      <w:r w:rsidRPr="003F7981">
        <w:rPr>
          <w:rFonts w:ascii="Bookman Old Style" w:hAnsi="Bookman Old Style"/>
          <w:b w:val="0"/>
          <w:bCs w:val="0"/>
        </w:rPr>
        <w:t>La Comisión de Regulación de Energía y Gas, CREG, mediante la Resolución CREG 091 de 2007, estableció las metodologías generales para remunerar las actividades de generación, distribución y comercialización de energía eléctrica, y las fórmulas tarifarias generales para determinar el costo unitario de prestación del servicio p</w:t>
      </w:r>
      <w:r w:rsidR="00F0393C" w:rsidRPr="003F7981">
        <w:rPr>
          <w:rFonts w:ascii="Bookman Old Style" w:hAnsi="Bookman Old Style"/>
          <w:b w:val="0"/>
          <w:bCs w:val="0"/>
        </w:rPr>
        <w:t xml:space="preserve">úblico de energía eléctrica en </w:t>
      </w:r>
      <w:r w:rsidR="00376976" w:rsidRPr="003F7981">
        <w:rPr>
          <w:rFonts w:ascii="Bookman Old Style" w:hAnsi="Bookman Old Style"/>
          <w:b w:val="0"/>
          <w:bCs w:val="0"/>
          <w:lang w:val="es-CO"/>
        </w:rPr>
        <w:t>Zonas</w:t>
      </w:r>
      <w:r w:rsidR="00911656" w:rsidRPr="003F7981">
        <w:rPr>
          <w:rFonts w:ascii="Bookman Old Style" w:hAnsi="Bookman Old Style"/>
          <w:b w:val="0"/>
          <w:bCs w:val="0"/>
          <w:lang w:val="es-MX"/>
        </w:rPr>
        <w:t xml:space="preserve"> </w:t>
      </w:r>
      <w:r w:rsidR="00C21AD5" w:rsidRPr="003F7981">
        <w:rPr>
          <w:rFonts w:ascii="Bookman Old Style" w:hAnsi="Bookman Old Style"/>
          <w:b w:val="0"/>
          <w:bCs w:val="0"/>
          <w:lang w:val="es-CO"/>
        </w:rPr>
        <w:t>N</w:t>
      </w:r>
      <w:r w:rsidR="00C21AD5" w:rsidRPr="003F7981">
        <w:rPr>
          <w:rFonts w:ascii="Bookman Old Style" w:hAnsi="Bookman Old Style"/>
          <w:b w:val="0"/>
          <w:bCs w:val="0"/>
        </w:rPr>
        <w:t xml:space="preserve">o </w:t>
      </w:r>
      <w:r w:rsidR="00376976" w:rsidRPr="003F7981">
        <w:rPr>
          <w:rFonts w:ascii="Bookman Old Style" w:hAnsi="Bookman Old Style"/>
          <w:b w:val="0"/>
          <w:bCs w:val="0"/>
          <w:lang w:val="es-CO"/>
        </w:rPr>
        <w:t>Interconectadas</w:t>
      </w:r>
      <w:r w:rsidRPr="003F7981">
        <w:rPr>
          <w:rFonts w:ascii="Bookman Old Style" w:hAnsi="Bookman Old Style"/>
          <w:b w:val="0"/>
          <w:bCs w:val="0"/>
          <w:i/>
          <w:iCs/>
        </w:rPr>
        <w:t>.</w:t>
      </w:r>
      <w:r w:rsidRPr="003F7981">
        <w:rPr>
          <w:rFonts w:ascii="Bookman Old Style" w:hAnsi="Bookman Old Style"/>
          <w:b w:val="0"/>
          <w:bCs w:val="0"/>
          <w:i/>
          <w:iCs/>
          <w:lang w:val="es-CO"/>
        </w:rPr>
        <w:t xml:space="preserve"> </w:t>
      </w:r>
    </w:p>
    <w:p w14:paraId="7E939531" w14:textId="77777777" w:rsidR="00004A66" w:rsidRPr="003F7981" w:rsidRDefault="00004A66" w:rsidP="00CF067A">
      <w:pPr>
        <w:pStyle w:val="Textoindependiente"/>
        <w:ind w:left="284" w:right="6"/>
        <w:contextualSpacing/>
        <w:jc w:val="both"/>
        <w:rPr>
          <w:rFonts w:ascii="Bookman Old Style" w:eastAsia="Calibri" w:hAnsi="Bookman Old Style"/>
          <w:b w:val="0"/>
          <w:color w:val="000000"/>
        </w:rPr>
      </w:pPr>
    </w:p>
    <w:p w14:paraId="390C8D72" w14:textId="041E0185" w:rsidR="00011D74" w:rsidRPr="003F7981" w:rsidRDefault="00C65126" w:rsidP="00CF067A">
      <w:pPr>
        <w:pStyle w:val="Style2"/>
        <w:ind w:left="284" w:right="6" w:hanging="5"/>
        <w:contextualSpacing/>
        <w:jc w:val="both"/>
        <w:rPr>
          <w:rFonts w:ascii="Bookman Old Style" w:hAnsi="Bookman Old Style"/>
          <w:sz w:val="24"/>
          <w:szCs w:val="24"/>
        </w:rPr>
      </w:pPr>
      <w:bookmarkStart w:id="1" w:name="_Hlk35354097"/>
      <w:r w:rsidRPr="003F7981">
        <w:rPr>
          <w:rFonts w:ascii="Bookman Old Style" w:hAnsi="Bookman Old Style"/>
          <w:sz w:val="24"/>
          <w:szCs w:val="24"/>
        </w:rPr>
        <w:t xml:space="preserve">Mediante comunicación con número de radicado CREG </w:t>
      </w:r>
      <w:r w:rsidR="00011D74" w:rsidRPr="003F7981">
        <w:rPr>
          <w:rFonts w:ascii="Bookman Old Style" w:hAnsi="Bookman Old Style"/>
          <w:sz w:val="24"/>
          <w:szCs w:val="24"/>
        </w:rPr>
        <w:t>E-2021-000504</w:t>
      </w:r>
      <w:r w:rsidRPr="003F7981">
        <w:rPr>
          <w:rFonts w:ascii="Bookman Old Style" w:hAnsi="Bookman Old Style"/>
          <w:sz w:val="24"/>
          <w:szCs w:val="24"/>
        </w:rPr>
        <w:t xml:space="preserve"> </w:t>
      </w:r>
      <w:r w:rsidR="00011D74" w:rsidRPr="003F7981">
        <w:rPr>
          <w:rFonts w:ascii="Bookman Old Style" w:hAnsi="Bookman Old Style"/>
          <w:sz w:val="24"/>
          <w:szCs w:val="24"/>
        </w:rPr>
        <w:t xml:space="preserve">del </w:t>
      </w:r>
      <w:r w:rsidR="00011D74" w:rsidRPr="003F7981">
        <w:rPr>
          <w:rFonts w:ascii="Bookman Old Style" w:hAnsi="Bookman Old Style"/>
          <w:sz w:val="24"/>
          <w:szCs w:val="24"/>
        </w:rPr>
        <w:lastRenderedPageBreak/>
        <w:t>15 de enero de 2021, complementada con las comunicaciones con número de radicado CREG E-2021-000885 del 20 de enero de 2021, CREG E-2021-005919, E-2021-005920 y E-2021-005921 del 20 de mayo de 2021, CREG E-2021-007536 del 30 de junio de 2021 y CREG E-2021-007788, E-2021-007789, E-2021-007790, E-2021-007791, E-2021-007792, E-2021-007793, E-2021-007794, E-2021-007797, E2021-007798, E-2021-007799, E-2021-007800, E-2021-007801, E-2021-007802, E-2021-007803, E-2021-007804, E-2021-007806, E-2021-007807, E-2021-007808, E-2021-007809, E-2021-007810 y E-2021-007819 del 08 de julio de 2021</w:t>
      </w:r>
      <w:r w:rsidRPr="003F7981">
        <w:rPr>
          <w:rFonts w:ascii="Bookman Old Style" w:hAnsi="Bookman Old Style"/>
          <w:sz w:val="24"/>
          <w:szCs w:val="24"/>
        </w:rPr>
        <w:t xml:space="preserve">, y de acuerdo con lo previsto en el literal d del artículo 22, y los artículos 24 y 25 de la Resolución CREG 091 de 2007, la Empresa </w:t>
      </w:r>
      <w:r w:rsidR="00011D74" w:rsidRPr="003F7981">
        <w:rPr>
          <w:rFonts w:ascii="Bookman Old Style" w:hAnsi="Bookman Old Style"/>
          <w:sz w:val="24"/>
          <w:szCs w:val="24"/>
        </w:rPr>
        <w:t>REFOENERGY BITA S.A.S.</w:t>
      </w:r>
      <w:r w:rsidRPr="003F7981">
        <w:rPr>
          <w:rFonts w:ascii="Bookman Old Style" w:hAnsi="Bookman Old Style"/>
          <w:sz w:val="24"/>
          <w:szCs w:val="24"/>
        </w:rPr>
        <w:t xml:space="preserve"> E.S.P., en </w:t>
      </w:r>
      <w:r w:rsidR="387C1773" w:rsidRPr="003F7981">
        <w:rPr>
          <w:rFonts w:ascii="Bookman Old Style" w:hAnsi="Bookman Old Style"/>
          <w:sz w:val="24"/>
          <w:szCs w:val="24"/>
        </w:rPr>
        <w:t xml:space="preserve">nombre y  </w:t>
      </w:r>
      <w:r w:rsidRPr="003F7981">
        <w:rPr>
          <w:rFonts w:ascii="Bookman Old Style" w:hAnsi="Bookman Old Style"/>
          <w:sz w:val="24"/>
          <w:szCs w:val="24"/>
        </w:rPr>
        <w:t>representación de ELECTROVICHADA S</w:t>
      </w:r>
      <w:r w:rsidR="003F7981">
        <w:rPr>
          <w:rFonts w:ascii="Bookman Old Style" w:hAnsi="Bookman Old Style"/>
          <w:sz w:val="24"/>
          <w:szCs w:val="24"/>
        </w:rPr>
        <w:t>.</w:t>
      </w:r>
      <w:r w:rsidRPr="003F7981">
        <w:rPr>
          <w:rFonts w:ascii="Bookman Old Style" w:hAnsi="Bookman Old Style"/>
          <w:sz w:val="24"/>
          <w:szCs w:val="24"/>
        </w:rPr>
        <w:t>A</w:t>
      </w:r>
      <w:r w:rsidR="003F7981">
        <w:rPr>
          <w:rFonts w:ascii="Bookman Old Style" w:hAnsi="Bookman Old Style"/>
          <w:sz w:val="24"/>
          <w:szCs w:val="24"/>
        </w:rPr>
        <w:t>.</w:t>
      </w:r>
      <w:r w:rsidRPr="003F7981">
        <w:rPr>
          <w:rFonts w:ascii="Bookman Old Style" w:hAnsi="Bookman Old Style"/>
          <w:sz w:val="24"/>
          <w:szCs w:val="24"/>
        </w:rPr>
        <w:t>S</w:t>
      </w:r>
      <w:r w:rsidR="003F7981">
        <w:rPr>
          <w:rFonts w:ascii="Bookman Old Style" w:hAnsi="Bookman Old Style"/>
          <w:sz w:val="24"/>
          <w:szCs w:val="24"/>
        </w:rPr>
        <w:t>.</w:t>
      </w:r>
      <w:r w:rsidRPr="003F7981">
        <w:rPr>
          <w:rFonts w:ascii="Bookman Old Style" w:hAnsi="Bookman Old Style"/>
          <w:sz w:val="24"/>
          <w:szCs w:val="24"/>
        </w:rPr>
        <w:t xml:space="preserve"> E</w:t>
      </w:r>
      <w:r w:rsidR="003F7981">
        <w:rPr>
          <w:rFonts w:ascii="Bookman Old Style" w:hAnsi="Bookman Old Style"/>
          <w:sz w:val="24"/>
          <w:szCs w:val="24"/>
        </w:rPr>
        <w:t>.</w:t>
      </w:r>
      <w:r w:rsidRPr="003F7981">
        <w:rPr>
          <w:rFonts w:ascii="Bookman Old Style" w:hAnsi="Bookman Old Style"/>
          <w:sz w:val="24"/>
          <w:szCs w:val="24"/>
        </w:rPr>
        <w:t>S</w:t>
      </w:r>
      <w:r w:rsidR="003F7981">
        <w:rPr>
          <w:rFonts w:ascii="Bookman Old Style" w:hAnsi="Bookman Old Style"/>
          <w:sz w:val="24"/>
          <w:szCs w:val="24"/>
        </w:rPr>
        <w:t>.</w:t>
      </w:r>
      <w:r w:rsidRPr="003F7981">
        <w:rPr>
          <w:rFonts w:ascii="Bookman Old Style" w:hAnsi="Bookman Old Style"/>
          <w:sz w:val="24"/>
          <w:szCs w:val="24"/>
        </w:rPr>
        <w:t>P</w:t>
      </w:r>
      <w:r w:rsidR="003F7981">
        <w:rPr>
          <w:rFonts w:ascii="Bookman Old Style" w:hAnsi="Bookman Old Style"/>
          <w:sz w:val="24"/>
          <w:szCs w:val="24"/>
        </w:rPr>
        <w:t>.</w:t>
      </w:r>
      <w:r w:rsidRPr="003F7981">
        <w:rPr>
          <w:rFonts w:ascii="Bookman Old Style" w:hAnsi="Bookman Old Style"/>
          <w:sz w:val="24"/>
          <w:szCs w:val="24"/>
        </w:rPr>
        <w:t>,</w:t>
      </w:r>
      <w:r w:rsidR="5A4700E7" w:rsidRPr="003F7981">
        <w:rPr>
          <w:rFonts w:ascii="Bookman Old Style" w:hAnsi="Bookman Old Style"/>
          <w:sz w:val="24"/>
          <w:szCs w:val="24"/>
        </w:rPr>
        <w:t xml:space="preserve"> según consta en el mandato  otorgado en el parágrafo primero del numeral 3 del acuerdo de transacción suscrito el 14 de diciembre de 2020</w:t>
      </w:r>
      <w:r w:rsidRPr="003F7981">
        <w:rPr>
          <w:rFonts w:ascii="Bookman Old Style" w:hAnsi="Bookman Old Style"/>
          <w:sz w:val="24"/>
          <w:szCs w:val="24"/>
        </w:rPr>
        <w:t xml:space="preserve"> en adelante </w:t>
      </w:r>
      <w:r w:rsidRPr="003F7981">
        <w:rPr>
          <w:rFonts w:ascii="Bookman Old Style" w:hAnsi="Bookman Old Style"/>
          <w:b/>
          <w:bCs/>
          <w:sz w:val="24"/>
          <w:szCs w:val="24"/>
        </w:rPr>
        <w:t>REFOENERGY,</w:t>
      </w:r>
      <w:r w:rsidRPr="003F7981">
        <w:rPr>
          <w:rFonts w:ascii="Bookman Old Style" w:hAnsi="Bookman Old Style"/>
          <w:sz w:val="24"/>
          <w:szCs w:val="24"/>
        </w:rPr>
        <w:t xml:space="preserve"> </w:t>
      </w:r>
      <w:r w:rsidR="00011D74" w:rsidRPr="003F7981">
        <w:rPr>
          <w:rFonts w:ascii="Bookman Old Style" w:hAnsi="Bookman Old Style"/>
          <w:sz w:val="24"/>
          <w:szCs w:val="24"/>
        </w:rPr>
        <w:t>presentó “Solicitud inicio trámite administrativo determinación cargo máximo de generación</w:t>
      </w:r>
      <w:r w:rsidR="009302A6" w:rsidRPr="003F7981">
        <w:rPr>
          <w:rFonts w:ascii="Bookman Old Style" w:hAnsi="Bookman Old Style"/>
          <w:sz w:val="24"/>
          <w:szCs w:val="24"/>
        </w:rPr>
        <w:t>”,</w:t>
      </w:r>
      <w:r w:rsidR="009302A6" w:rsidRPr="003F7981">
        <w:rPr>
          <w:rFonts w:ascii="Bookman Old Style" w:hAnsi="Bookman Old Style"/>
        </w:rPr>
        <w:t xml:space="preserve"> </w:t>
      </w:r>
      <w:r w:rsidR="009302A6" w:rsidRPr="003F7981">
        <w:rPr>
          <w:rFonts w:ascii="Bookman Old Style" w:hAnsi="Bookman Old Style"/>
          <w:sz w:val="24"/>
          <w:szCs w:val="24"/>
        </w:rPr>
        <w:t xml:space="preserve">en nombre y representación de la Empresa de Energía del Departamento del Vichada, </w:t>
      </w:r>
      <w:r w:rsidR="003F7981" w:rsidRPr="003F7981">
        <w:rPr>
          <w:rFonts w:ascii="Bookman Old Style" w:hAnsi="Bookman Old Style"/>
          <w:sz w:val="24"/>
          <w:szCs w:val="24"/>
        </w:rPr>
        <w:t>ELECTROVICHADA</w:t>
      </w:r>
      <w:r w:rsidR="009302A6" w:rsidRPr="003F7981">
        <w:rPr>
          <w:rFonts w:ascii="Bookman Old Style" w:hAnsi="Bookman Old Style"/>
          <w:sz w:val="24"/>
          <w:szCs w:val="24"/>
        </w:rPr>
        <w:t xml:space="preserve"> S.A. E.S.P.,</w:t>
      </w:r>
      <w:r w:rsidR="003F7981">
        <w:rPr>
          <w:rFonts w:ascii="Bookman Old Style" w:hAnsi="Bookman Old Style"/>
          <w:sz w:val="24"/>
          <w:szCs w:val="24"/>
        </w:rPr>
        <w:t xml:space="preserve"> </w:t>
      </w:r>
      <w:r w:rsidR="003F7981" w:rsidRPr="003F7981">
        <w:rPr>
          <w:rFonts w:ascii="Bookman Old Style" w:hAnsi="Bookman Old Style"/>
          <w:sz w:val="24"/>
          <w:szCs w:val="24"/>
        </w:rPr>
        <w:t>en adelante</w:t>
      </w:r>
      <w:r w:rsidR="003F7981">
        <w:rPr>
          <w:rFonts w:ascii="Bookman Old Style" w:hAnsi="Bookman Old Style"/>
          <w:sz w:val="24"/>
          <w:szCs w:val="24"/>
        </w:rPr>
        <w:t xml:space="preserve"> </w:t>
      </w:r>
      <w:r w:rsidR="003F7981" w:rsidRPr="003F7981">
        <w:rPr>
          <w:rFonts w:ascii="Bookman Old Style" w:hAnsi="Bookman Old Style"/>
          <w:b/>
          <w:bCs/>
          <w:sz w:val="24"/>
          <w:szCs w:val="24"/>
        </w:rPr>
        <w:t>ELECTROVICHADA</w:t>
      </w:r>
      <w:r w:rsidR="00F57710">
        <w:rPr>
          <w:rFonts w:ascii="Bookman Old Style" w:hAnsi="Bookman Old Style"/>
          <w:b/>
          <w:bCs/>
          <w:sz w:val="24"/>
          <w:szCs w:val="24"/>
        </w:rPr>
        <w:t>,</w:t>
      </w:r>
      <w:r w:rsidR="009302A6" w:rsidRPr="003F7981">
        <w:rPr>
          <w:rFonts w:ascii="Bookman Old Style" w:hAnsi="Bookman Old Style"/>
          <w:sz w:val="24"/>
          <w:szCs w:val="24"/>
        </w:rPr>
        <w:t xml:space="preserve"> según mandato otorgado en el parágrafo primero del numeral 3 del acuerdo de transacción suscrito el 14 de diciembre de 2020, entre estas dos partes. La solicitud del trámite administrativo para la determinación del cargo máximo de generación es para remunerar un sistema híbrido de generación de energía con fuente convencional de energía y fuente no convencional de energía renovable de BIOMASA-DIÉSEL, que entrega al punto de inicio de la red de distribución local del municipio de Puerto Carreño, Vichada. </w:t>
      </w:r>
    </w:p>
    <w:p w14:paraId="5938D144" w14:textId="77777777" w:rsidR="00011D74" w:rsidRPr="003F7981" w:rsidRDefault="00011D74" w:rsidP="00CF067A">
      <w:pPr>
        <w:pStyle w:val="Style2"/>
        <w:ind w:left="284" w:right="6" w:firstLine="0"/>
        <w:contextualSpacing/>
        <w:jc w:val="both"/>
        <w:rPr>
          <w:rFonts w:ascii="Bookman Old Style" w:hAnsi="Bookman Old Style"/>
          <w:sz w:val="24"/>
          <w:szCs w:val="24"/>
        </w:rPr>
      </w:pPr>
    </w:p>
    <w:bookmarkEnd w:id="1"/>
    <w:p w14:paraId="3447DA0E" w14:textId="131F523B" w:rsidR="00DE4BF8" w:rsidRPr="003F7981" w:rsidRDefault="005878BF" w:rsidP="00CF067A">
      <w:pPr>
        <w:numPr>
          <w:ilvl w:val="0"/>
          <w:numId w:val="8"/>
        </w:numPr>
        <w:ind w:right="6"/>
        <w:contextualSpacing/>
        <w:jc w:val="both"/>
        <w:rPr>
          <w:rFonts w:ascii="Bookman Old Style" w:hAnsi="Bookman Old Style" w:cs="Arial"/>
          <w:b/>
        </w:rPr>
      </w:pPr>
      <w:r w:rsidRPr="003F7981">
        <w:rPr>
          <w:rFonts w:ascii="Bookman Old Style" w:hAnsi="Bookman Old Style" w:cs="Arial"/>
          <w:b/>
        </w:rPr>
        <w:t>LA SOLICITUD</w:t>
      </w:r>
    </w:p>
    <w:p w14:paraId="4385163D" w14:textId="77777777" w:rsidR="005878BF" w:rsidRPr="003F7981" w:rsidRDefault="005878BF" w:rsidP="00CF067A">
      <w:pPr>
        <w:ind w:left="284" w:right="6"/>
        <w:contextualSpacing/>
        <w:jc w:val="both"/>
        <w:rPr>
          <w:rFonts w:ascii="Bookman Old Style" w:hAnsi="Bookman Old Style" w:cs="Arial"/>
        </w:rPr>
      </w:pPr>
    </w:p>
    <w:p w14:paraId="63B3031E" w14:textId="0E2D0D68" w:rsidR="00D451C0" w:rsidRPr="003F7981" w:rsidRDefault="00102975" w:rsidP="00CF067A">
      <w:pPr>
        <w:ind w:left="284" w:right="6"/>
        <w:contextualSpacing/>
        <w:jc w:val="both"/>
        <w:rPr>
          <w:rFonts w:ascii="Bookman Old Style" w:hAnsi="Bookman Old Style" w:cs="Arial"/>
        </w:rPr>
      </w:pPr>
      <w:r w:rsidRPr="003F7981">
        <w:rPr>
          <w:rFonts w:ascii="Bookman Old Style" w:hAnsi="Bookman Old Style" w:cs="Arial"/>
        </w:rPr>
        <w:t>El</w:t>
      </w:r>
      <w:r w:rsidR="00F0393C" w:rsidRPr="003F7981">
        <w:rPr>
          <w:rFonts w:ascii="Bookman Old Style" w:hAnsi="Bookman Old Style" w:cs="Arial"/>
        </w:rPr>
        <w:t xml:space="preserve"> representante l</w:t>
      </w:r>
      <w:r w:rsidR="006203BF" w:rsidRPr="003F7981">
        <w:rPr>
          <w:rFonts w:ascii="Bookman Old Style" w:hAnsi="Bookman Old Style" w:cs="Arial"/>
        </w:rPr>
        <w:t>egal de la empresa</w:t>
      </w:r>
      <w:r w:rsidR="00C65126" w:rsidRPr="003F7981">
        <w:rPr>
          <w:rFonts w:ascii="Bookman Old Style" w:hAnsi="Bookman Old Style"/>
        </w:rPr>
        <w:t xml:space="preserve"> </w:t>
      </w:r>
      <w:r w:rsidR="009302A6" w:rsidRPr="003F7981">
        <w:rPr>
          <w:rFonts w:ascii="Bookman Old Style" w:hAnsi="Bookman Old Style"/>
        </w:rPr>
        <w:t>REFOENERGY</w:t>
      </w:r>
      <w:r w:rsidR="00C65126" w:rsidRPr="003F7981">
        <w:rPr>
          <w:rFonts w:ascii="Bookman Old Style" w:hAnsi="Bookman Old Style"/>
        </w:rPr>
        <w:t xml:space="preserve"> </w:t>
      </w:r>
      <w:r w:rsidR="006203BF" w:rsidRPr="003F7981">
        <w:rPr>
          <w:rFonts w:ascii="Bookman Old Style" w:hAnsi="Bookman Old Style" w:cs="Arial"/>
        </w:rPr>
        <w:t>realiz</w:t>
      </w:r>
      <w:r w:rsidR="00573344" w:rsidRPr="003F7981">
        <w:rPr>
          <w:rFonts w:ascii="Bookman Old Style" w:hAnsi="Bookman Old Style" w:cs="Arial"/>
        </w:rPr>
        <w:t>ó</w:t>
      </w:r>
      <w:r w:rsidR="006203BF" w:rsidRPr="003F7981">
        <w:rPr>
          <w:rFonts w:ascii="Bookman Old Style" w:hAnsi="Bookman Old Style" w:cs="Arial"/>
        </w:rPr>
        <w:t xml:space="preserve"> </w:t>
      </w:r>
      <w:r w:rsidR="0047432C" w:rsidRPr="003F7981">
        <w:rPr>
          <w:rFonts w:ascii="Bookman Old Style" w:hAnsi="Bookman Old Style" w:cs="Arial"/>
        </w:rPr>
        <w:t xml:space="preserve">la </w:t>
      </w:r>
      <w:r w:rsidR="009302A6" w:rsidRPr="003F7981">
        <w:rPr>
          <w:rFonts w:ascii="Bookman Old Style" w:hAnsi="Bookman Old Style" w:cs="Arial"/>
        </w:rPr>
        <w:t>solicitud del trámite administrativo para la determinación del cargo máximo en los siguientes términos</w:t>
      </w:r>
      <w:r w:rsidR="006203BF" w:rsidRPr="003F7981">
        <w:rPr>
          <w:rFonts w:ascii="Bookman Old Style" w:hAnsi="Bookman Old Style" w:cs="Arial"/>
        </w:rPr>
        <w:t>:</w:t>
      </w:r>
    </w:p>
    <w:p w14:paraId="0DA8114E" w14:textId="31B914CB" w:rsidR="002E62ED" w:rsidRPr="003F7981" w:rsidRDefault="002E62ED" w:rsidP="00CF067A">
      <w:pPr>
        <w:ind w:left="284" w:right="6"/>
        <w:contextualSpacing/>
        <w:jc w:val="both"/>
        <w:rPr>
          <w:rFonts w:ascii="Bookman Old Style" w:hAnsi="Bookman Old Style" w:cs="Arial"/>
        </w:rPr>
      </w:pPr>
    </w:p>
    <w:p w14:paraId="1B3D26E5" w14:textId="1A8DE380" w:rsidR="002E62ED" w:rsidRPr="003F7981" w:rsidRDefault="002E62ED" w:rsidP="00CF067A">
      <w:pPr>
        <w:ind w:left="567" w:right="6"/>
        <w:contextualSpacing/>
        <w:jc w:val="both"/>
        <w:rPr>
          <w:rFonts w:ascii="Bookman Old Style" w:hAnsi="Bookman Old Style" w:cs="Arial"/>
          <w:i/>
          <w:sz w:val="22"/>
          <w:szCs w:val="22"/>
        </w:rPr>
      </w:pPr>
      <w:r w:rsidRPr="003F7981">
        <w:rPr>
          <w:rFonts w:ascii="Bookman Old Style" w:hAnsi="Bookman Old Style" w:cs="Arial"/>
          <w:i/>
          <w:sz w:val="22"/>
          <w:szCs w:val="22"/>
        </w:rPr>
        <w:t xml:space="preserve">“Con el presente documento REFOENERGY BITA S.A.S. E.S.P NIT. 900.983.821-2 en nombre y representación de ELECTROVICHADA SAS ESP (Conforme a MANDATO adjunto otorgado en Acuerdo de transacción suscrito el 12 de diciembre de 2020) solicita a la CREG el inicio de trámite administrativo para la determinación del CARGO MÁXIMO DE GENERACIÓN para sistema híbrido de generación que remunere el proyecto de energía renovable BIOMASA – DIÉSEL que entrega al punto de inicio de la red de distribución local del municipio de Puerto Carreño (ZNI), con una capacidad de generación de 4.0 </w:t>
      </w:r>
      <w:proofErr w:type="spellStart"/>
      <w:r w:rsidRPr="003F7981">
        <w:rPr>
          <w:rFonts w:ascii="Bookman Old Style" w:hAnsi="Bookman Old Style" w:cs="Arial"/>
          <w:i/>
          <w:sz w:val="22"/>
          <w:szCs w:val="22"/>
        </w:rPr>
        <w:t>MWp</w:t>
      </w:r>
      <w:proofErr w:type="spellEnd"/>
      <w:r w:rsidRPr="003F7981">
        <w:rPr>
          <w:rFonts w:ascii="Bookman Old Style" w:hAnsi="Bookman Old Style" w:cs="Arial"/>
          <w:i/>
          <w:sz w:val="22"/>
          <w:szCs w:val="22"/>
        </w:rPr>
        <w:t>, con fundamento en el literal d del artículo 22 de la Resolución CREG 091 de 2007</w:t>
      </w:r>
    </w:p>
    <w:p w14:paraId="4CB61B22" w14:textId="77777777" w:rsidR="002E62ED" w:rsidRPr="003F7981" w:rsidRDefault="002E62ED" w:rsidP="00CF067A">
      <w:pPr>
        <w:ind w:left="567" w:right="6"/>
        <w:contextualSpacing/>
        <w:jc w:val="both"/>
        <w:rPr>
          <w:rFonts w:ascii="Bookman Old Style" w:hAnsi="Bookman Old Style" w:cs="Arial"/>
          <w:i/>
          <w:sz w:val="22"/>
          <w:szCs w:val="22"/>
        </w:rPr>
      </w:pPr>
    </w:p>
    <w:p w14:paraId="1409D811" w14:textId="50DE9CF5" w:rsidR="002E62ED" w:rsidRPr="003F7981" w:rsidRDefault="002E62ED" w:rsidP="00CF067A">
      <w:pPr>
        <w:ind w:left="567" w:right="6"/>
        <w:contextualSpacing/>
        <w:jc w:val="both"/>
        <w:rPr>
          <w:rFonts w:ascii="Bookman Old Style" w:hAnsi="Bookman Old Style" w:cs="Arial"/>
          <w:i/>
          <w:sz w:val="22"/>
          <w:szCs w:val="22"/>
        </w:rPr>
      </w:pPr>
      <w:r w:rsidRPr="003F7981">
        <w:rPr>
          <w:rFonts w:ascii="Bookman Old Style" w:hAnsi="Bookman Old Style" w:cs="Arial"/>
          <w:i/>
          <w:sz w:val="22"/>
          <w:szCs w:val="22"/>
        </w:rPr>
        <w:t>1. ANTECEDENTE</w:t>
      </w:r>
    </w:p>
    <w:p w14:paraId="07383AD3" w14:textId="77777777" w:rsidR="002E62ED" w:rsidRPr="003F7981" w:rsidRDefault="002E62ED" w:rsidP="00CF067A">
      <w:pPr>
        <w:ind w:left="567" w:right="6"/>
        <w:contextualSpacing/>
        <w:jc w:val="both"/>
        <w:rPr>
          <w:rFonts w:ascii="Bookman Old Style" w:hAnsi="Bookman Old Style" w:cs="Arial"/>
          <w:i/>
          <w:sz w:val="22"/>
          <w:szCs w:val="22"/>
        </w:rPr>
      </w:pPr>
    </w:p>
    <w:p w14:paraId="58B2B27B" w14:textId="0E4B6279" w:rsidR="002E62ED" w:rsidRPr="003F7981" w:rsidRDefault="002E62ED" w:rsidP="00CF067A">
      <w:pPr>
        <w:ind w:left="567" w:right="6"/>
        <w:contextualSpacing/>
        <w:jc w:val="both"/>
        <w:rPr>
          <w:rFonts w:ascii="Bookman Old Style" w:hAnsi="Bookman Old Style" w:cs="Arial"/>
          <w:i/>
          <w:sz w:val="22"/>
          <w:szCs w:val="22"/>
        </w:rPr>
      </w:pPr>
      <w:r w:rsidRPr="003F7981">
        <w:rPr>
          <w:rFonts w:ascii="Bookman Old Style" w:hAnsi="Bookman Old Style" w:cs="Arial"/>
          <w:i/>
          <w:sz w:val="22"/>
          <w:szCs w:val="22"/>
        </w:rPr>
        <w:t xml:space="preserve">REFOENERGY BITA S.A.S. desarrolla la actividad complementaria de generación de energía en el municipio de Puerto Carreño, Departamento del Vichada, y desde el 19 de diciembre de 2020 es proveedor de más del 90% de la energía suministrada por los usuarios atendidos por </w:t>
      </w:r>
      <w:proofErr w:type="spellStart"/>
      <w:r w:rsidRPr="003F7981">
        <w:rPr>
          <w:rFonts w:ascii="Bookman Old Style" w:hAnsi="Bookman Old Style" w:cs="Arial"/>
          <w:i/>
          <w:sz w:val="22"/>
          <w:szCs w:val="22"/>
        </w:rPr>
        <w:t>Electrovichada</w:t>
      </w:r>
      <w:proofErr w:type="spellEnd"/>
      <w:r w:rsidRPr="003F7981">
        <w:rPr>
          <w:rFonts w:ascii="Bookman Old Style" w:hAnsi="Bookman Old Style" w:cs="Arial"/>
          <w:i/>
          <w:sz w:val="22"/>
          <w:szCs w:val="22"/>
        </w:rPr>
        <w:t xml:space="preserve"> S.A.S. E.S.P., en Puerto Carreño; obligación que asume en el marco del contrato de compraventa de energía No 084 de 2016 que finaliza en el año 2040.</w:t>
      </w:r>
    </w:p>
    <w:p w14:paraId="7D0D6BC2" w14:textId="77777777" w:rsidR="00CF067A" w:rsidRPr="003F7981" w:rsidRDefault="00CF067A" w:rsidP="00CF067A">
      <w:pPr>
        <w:ind w:left="567" w:right="6"/>
        <w:contextualSpacing/>
        <w:jc w:val="both"/>
        <w:rPr>
          <w:rFonts w:ascii="Bookman Old Style" w:hAnsi="Bookman Old Style" w:cs="Arial"/>
          <w:i/>
          <w:sz w:val="22"/>
          <w:szCs w:val="22"/>
        </w:rPr>
      </w:pPr>
    </w:p>
    <w:p w14:paraId="5A75FC43" w14:textId="06EBED56" w:rsidR="002E62ED" w:rsidRPr="003F7981" w:rsidRDefault="002E62ED" w:rsidP="00CF067A">
      <w:pPr>
        <w:ind w:left="567" w:right="6"/>
        <w:contextualSpacing/>
        <w:jc w:val="both"/>
        <w:rPr>
          <w:rFonts w:ascii="Bookman Old Style" w:hAnsi="Bookman Old Style" w:cs="Arial"/>
          <w:i/>
          <w:sz w:val="22"/>
          <w:szCs w:val="22"/>
        </w:rPr>
      </w:pPr>
      <w:r w:rsidRPr="003F7981">
        <w:rPr>
          <w:rFonts w:ascii="Bookman Old Style" w:hAnsi="Bookman Old Style" w:cs="Arial"/>
          <w:i/>
          <w:sz w:val="22"/>
          <w:szCs w:val="22"/>
        </w:rPr>
        <w:lastRenderedPageBreak/>
        <w:t xml:space="preserve">Desde el punto de vista de la fuente de generación, hasta diciembre del año 2020 en Puerto Carreño se venía utilizando en un 75% la energía provista por Venezuela (diésel) y en un 25% el combustible diésel como energético de origen Colombia en plantas diésel propias o alquiladas. No obstante, desde el año 2016 REFOENERGY BITA S.A.S. E.S.P. (antes denominada Eco – Energía), viene desarrollando un proyecto de generación de energía con tecnología BIOMASA cuyo objetivo contractual es responder en unas cantidades de energía establecidas por contrato a la demanda de energía del municipio de Puerto Carreño, con entrega continua 24/7 en tanto el factor de planta de la generadora Biomasa es de 92% y para asegurar la entrega total de la energía vendida en firme para un futuro de largo plazo (20 años - contrato CPLC) a </w:t>
      </w:r>
      <w:proofErr w:type="spellStart"/>
      <w:r w:rsidRPr="003F7981">
        <w:rPr>
          <w:rFonts w:ascii="Bookman Old Style" w:hAnsi="Bookman Old Style" w:cs="Arial"/>
          <w:i/>
          <w:sz w:val="22"/>
          <w:szCs w:val="22"/>
        </w:rPr>
        <w:t>Electrovichada</w:t>
      </w:r>
      <w:proofErr w:type="spellEnd"/>
      <w:r w:rsidRPr="003F7981">
        <w:rPr>
          <w:rFonts w:ascii="Bookman Old Style" w:hAnsi="Bookman Old Style" w:cs="Arial"/>
          <w:i/>
          <w:sz w:val="22"/>
          <w:szCs w:val="22"/>
        </w:rPr>
        <w:t>, el proyecto se diseñó con planta de respaldo/alternancia Diésel (adjuntos documentos de diseño y construcción).</w:t>
      </w:r>
    </w:p>
    <w:p w14:paraId="23FCB976" w14:textId="77777777" w:rsidR="00CF067A" w:rsidRPr="003F7981" w:rsidRDefault="00CF067A" w:rsidP="00CF067A">
      <w:pPr>
        <w:ind w:left="567" w:right="6"/>
        <w:contextualSpacing/>
        <w:jc w:val="both"/>
        <w:rPr>
          <w:rFonts w:ascii="Bookman Old Style" w:hAnsi="Bookman Old Style" w:cs="Arial"/>
          <w:i/>
          <w:sz w:val="22"/>
          <w:szCs w:val="22"/>
        </w:rPr>
      </w:pPr>
    </w:p>
    <w:p w14:paraId="7B5B7F89" w14:textId="77777777" w:rsidR="002E62ED" w:rsidRPr="003F7981" w:rsidRDefault="002E62ED" w:rsidP="00CF067A">
      <w:pPr>
        <w:ind w:left="567" w:right="6"/>
        <w:contextualSpacing/>
        <w:jc w:val="both"/>
        <w:rPr>
          <w:rFonts w:ascii="Bookman Old Style" w:hAnsi="Bookman Old Style" w:cs="Arial"/>
          <w:i/>
          <w:sz w:val="22"/>
          <w:szCs w:val="22"/>
        </w:rPr>
      </w:pPr>
      <w:r w:rsidRPr="003F7981">
        <w:rPr>
          <w:rFonts w:ascii="Bookman Old Style" w:hAnsi="Bookman Old Style" w:cs="Arial"/>
          <w:i/>
          <w:sz w:val="22"/>
          <w:szCs w:val="22"/>
        </w:rPr>
        <w:t>El sistema hibrido desarrollado acopla los siguientes beneficios:</w:t>
      </w:r>
    </w:p>
    <w:p w14:paraId="0038ABE0" w14:textId="77777777" w:rsidR="002E62ED" w:rsidRPr="003F7981" w:rsidRDefault="002E62ED" w:rsidP="00604901">
      <w:pPr>
        <w:pStyle w:val="Prrafodelista"/>
        <w:numPr>
          <w:ilvl w:val="0"/>
          <w:numId w:val="46"/>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BIOMASA: FNCE - Renovable</w:t>
      </w:r>
    </w:p>
    <w:p w14:paraId="192662A8" w14:textId="1D0029E3" w:rsidR="002E62ED" w:rsidRPr="003F7981" w:rsidRDefault="002E62ED" w:rsidP="00604901">
      <w:pPr>
        <w:pStyle w:val="Prrafodelista"/>
        <w:numPr>
          <w:ilvl w:val="0"/>
          <w:numId w:val="46"/>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No contaminante</w:t>
      </w:r>
    </w:p>
    <w:p w14:paraId="70A375EF" w14:textId="6967454B" w:rsidR="002E62ED" w:rsidRPr="003F7981" w:rsidRDefault="002E62ED" w:rsidP="00604901">
      <w:pPr>
        <w:pStyle w:val="Prrafodelista"/>
        <w:numPr>
          <w:ilvl w:val="0"/>
          <w:numId w:val="46"/>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Relación (O-GEI) Positiva. La generación de oxígeno en el cultivo de bosque es MUY superior a la generación de gases efectos invernadero de la planta de Biomasa</w:t>
      </w:r>
    </w:p>
    <w:p w14:paraId="49F05528" w14:textId="025D38DD" w:rsidR="002E62ED" w:rsidRPr="003F7981" w:rsidRDefault="002E62ED" w:rsidP="00604901">
      <w:pPr>
        <w:pStyle w:val="Prrafodelista"/>
        <w:numPr>
          <w:ilvl w:val="0"/>
          <w:numId w:val="46"/>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Una vez en operación la planta de Biomasa se minimiza el tiempo de funcionamiento de equipos diésel para la atención de la demanda de Puerto Carreño.</w:t>
      </w:r>
    </w:p>
    <w:p w14:paraId="23FFAAD6" w14:textId="3F66381B" w:rsidR="002E62ED" w:rsidRPr="003F7981" w:rsidRDefault="002E62ED" w:rsidP="00604901">
      <w:pPr>
        <w:pStyle w:val="Prrafodelista"/>
        <w:numPr>
          <w:ilvl w:val="0"/>
          <w:numId w:val="46"/>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Reduce la generación de residuos peligrosos derivado de la generación diésel.</w:t>
      </w:r>
    </w:p>
    <w:p w14:paraId="22499C46" w14:textId="79B59167" w:rsidR="002E62ED" w:rsidRPr="003F7981" w:rsidRDefault="002E62ED" w:rsidP="00604901">
      <w:pPr>
        <w:pStyle w:val="Prrafodelista"/>
        <w:numPr>
          <w:ilvl w:val="0"/>
          <w:numId w:val="46"/>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Contribuye al desarrollo sostenible.</w:t>
      </w:r>
    </w:p>
    <w:p w14:paraId="7CFCFCAC" w14:textId="5A888E65" w:rsidR="002E62ED" w:rsidRPr="003F7981" w:rsidRDefault="002E62ED" w:rsidP="00604901">
      <w:pPr>
        <w:pStyle w:val="Prrafodelista"/>
        <w:numPr>
          <w:ilvl w:val="0"/>
          <w:numId w:val="46"/>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El esquema hibrido con alternancia Diésel es eficiente, transitorio, modular y muy versátil, adaptable a diferentes situaciones y necesidades de generación y permite disminución en pico bajos para restringir perdidas de generación en planta.</w:t>
      </w:r>
    </w:p>
    <w:p w14:paraId="784A88D4" w14:textId="77777777" w:rsidR="00CF067A" w:rsidRPr="003F7981" w:rsidRDefault="00CF067A" w:rsidP="00CF067A">
      <w:pPr>
        <w:ind w:left="567" w:right="6"/>
        <w:contextualSpacing/>
        <w:jc w:val="both"/>
        <w:rPr>
          <w:rFonts w:ascii="Bookman Old Style" w:hAnsi="Bookman Old Style" w:cs="Arial"/>
          <w:i/>
          <w:sz w:val="22"/>
          <w:szCs w:val="22"/>
        </w:rPr>
      </w:pPr>
    </w:p>
    <w:p w14:paraId="10764B1F" w14:textId="43CBB0CD" w:rsidR="002E62ED" w:rsidRPr="003F7981" w:rsidRDefault="002E62ED" w:rsidP="00CF067A">
      <w:pPr>
        <w:ind w:left="567" w:right="6"/>
        <w:contextualSpacing/>
        <w:jc w:val="both"/>
        <w:rPr>
          <w:rFonts w:ascii="Bookman Old Style" w:hAnsi="Bookman Old Style" w:cs="Arial"/>
          <w:i/>
          <w:sz w:val="22"/>
          <w:szCs w:val="22"/>
        </w:rPr>
      </w:pPr>
      <w:r w:rsidRPr="003F7981">
        <w:rPr>
          <w:rFonts w:ascii="Bookman Old Style" w:hAnsi="Bookman Old Style" w:cs="Arial"/>
          <w:i/>
          <w:sz w:val="22"/>
          <w:szCs w:val="22"/>
        </w:rPr>
        <w:t>Además, el proyecto cuenta con:</w:t>
      </w:r>
    </w:p>
    <w:p w14:paraId="252CA8D3" w14:textId="5E701D7B" w:rsidR="002E62ED" w:rsidRPr="003F7981" w:rsidRDefault="002E62ED" w:rsidP="00604901">
      <w:pPr>
        <w:pStyle w:val="Prrafodelista"/>
        <w:numPr>
          <w:ilvl w:val="0"/>
          <w:numId w:val="47"/>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Firmeza en el suministro de energía para cubrir compromisos de demanda futura, asumiendo riesgo O en la variación de la demanda contratada, con fundamento en el análisis histórico de curvas de demanda consolidada. (ver documento análisis condiciones financieras CPLC LARGO PLAZO adjunto)</w:t>
      </w:r>
    </w:p>
    <w:p w14:paraId="3D5561D9" w14:textId="0E27EA41" w:rsidR="002E62ED" w:rsidRPr="003F7981" w:rsidRDefault="002E62ED" w:rsidP="00604901">
      <w:pPr>
        <w:pStyle w:val="Prrafodelista"/>
        <w:numPr>
          <w:ilvl w:val="0"/>
          <w:numId w:val="47"/>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La remuneración que se propone busca cubrir el riesgo de variaciones (volatilidad) de precios en el largo plazo; (ver documento análisis condiciones financieras CPLC LARGO PLAZO adjunto).</w:t>
      </w:r>
    </w:p>
    <w:p w14:paraId="0F978858" w14:textId="2C5268AD" w:rsidR="002E62ED" w:rsidRPr="003F7981" w:rsidRDefault="002E62ED" w:rsidP="00604901">
      <w:pPr>
        <w:pStyle w:val="Prrafodelista"/>
        <w:numPr>
          <w:ilvl w:val="0"/>
          <w:numId w:val="47"/>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 xml:space="preserve">Cobertura del margen de pérdidas técnicas de energía desde el punto de generación hasta la barra de entrega de energía al sistema de distribución de </w:t>
      </w:r>
      <w:proofErr w:type="spellStart"/>
      <w:r w:rsidRPr="003F7981">
        <w:rPr>
          <w:rFonts w:ascii="Bookman Old Style" w:hAnsi="Bookman Old Style" w:cs="Arial"/>
          <w:i/>
          <w:sz w:val="22"/>
          <w:szCs w:val="22"/>
        </w:rPr>
        <w:t>Electrovichada</w:t>
      </w:r>
      <w:proofErr w:type="spellEnd"/>
      <w:r w:rsidRPr="003F7981">
        <w:rPr>
          <w:rFonts w:ascii="Bookman Old Style" w:hAnsi="Bookman Old Style" w:cs="Arial"/>
          <w:i/>
          <w:sz w:val="22"/>
          <w:szCs w:val="22"/>
        </w:rPr>
        <w:t xml:space="preserve"> en Puerto Carreño.</w:t>
      </w:r>
    </w:p>
    <w:p w14:paraId="43564886" w14:textId="70867D00" w:rsidR="002E62ED" w:rsidRPr="003F7981" w:rsidRDefault="002E62ED" w:rsidP="00604901">
      <w:pPr>
        <w:pStyle w:val="Prrafodelista"/>
        <w:numPr>
          <w:ilvl w:val="0"/>
          <w:numId w:val="47"/>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Cobertura del riesgo de construcción, implementación, actualización, reposición y operación de sistemas FNCER/Biomasa.</w:t>
      </w:r>
    </w:p>
    <w:p w14:paraId="60290B21" w14:textId="72766621" w:rsidR="002E62ED" w:rsidRPr="003F7981" w:rsidRDefault="002E62ED" w:rsidP="00604901">
      <w:pPr>
        <w:pStyle w:val="Prrafodelista"/>
        <w:numPr>
          <w:ilvl w:val="0"/>
          <w:numId w:val="47"/>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Cobertura de flujo de caja de inversiones y operacional, a través de contrato de crédito y garantía Fiduciaria.</w:t>
      </w:r>
    </w:p>
    <w:p w14:paraId="219CD1A6" w14:textId="474F1A57" w:rsidR="002E62ED" w:rsidRPr="003F7981" w:rsidRDefault="002E62ED" w:rsidP="00604901">
      <w:pPr>
        <w:pStyle w:val="Prrafodelista"/>
        <w:numPr>
          <w:ilvl w:val="0"/>
          <w:numId w:val="47"/>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Cobertura de continuidad de entrega de energía al usuario y la satisfacción de la demanda en picos altos y bajos de la curva de demanda energética, se entrega la cantidad máxima contratada anual de acuerdo a la variación de la demanda, sin topes o límites máximos o mínimos; por hora. día o mes.</w:t>
      </w:r>
    </w:p>
    <w:p w14:paraId="18238CEC" w14:textId="63A41A70" w:rsidR="002E62ED" w:rsidRPr="003F7981" w:rsidRDefault="002E62ED" w:rsidP="00604901">
      <w:pPr>
        <w:pStyle w:val="Prrafodelista"/>
        <w:numPr>
          <w:ilvl w:val="0"/>
          <w:numId w:val="47"/>
        </w:numPr>
        <w:ind w:left="1134" w:right="6"/>
        <w:contextualSpacing/>
        <w:jc w:val="both"/>
        <w:rPr>
          <w:rFonts w:ascii="Bookman Old Style" w:hAnsi="Bookman Old Style" w:cs="Arial"/>
          <w:i/>
          <w:sz w:val="22"/>
          <w:szCs w:val="22"/>
        </w:rPr>
      </w:pPr>
      <w:r w:rsidRPr="003F7981">
        <w:rPr>
          <w:rFonts w:ascii="Bookman Old Style" w:hAnsi="Bookman Old Style" w:cs="Arial"/>
          <w:i/>
          <w:sz w:val="22"/>
          <w:szCs w:val="22"/>
        </w:rPr>
        <w:t>Certificación RETIE 615749 (ver documento adjunto)</w:t>
      </w:r>
    </w:p>
    <w:p w14:paraId="767AE4B0" w14:textId="77777777" w:rsidR="00CF067A" w:rsidRPr="003F7981" w:rsidRDefault="00CF067A" w:rsidP="00CF067A">
      <w:pPr>
        <w:ind w:left="708" w:right="6"/>
        <w:contextualSpacing/>
        <w:jc w:val="both"/>
        <w:rPr>
          <w:rFonts w:ascii="Bookman Old Style" w:hAnsi="Bookman Old Style" w:cs="Arial"/>
          <w:i/>
          <w:sz w:val="20"/>
        </w:rPr>
      </w:pPr>
    </w:p>
    <w:p w14:paraId="6EA12BDA" w14:textId="7FDC1186" w:rsidR="00CD195F" w:rsidRPr="003F7981" w:rsidRDefault="00CF067A" w:rsidP="00CF067A">
      <w:pPr>
        <w:ind w:left="284" w:right="6"/>
        <w:contextualSpacing/>
        <w:jc w:val="both"/>
        <w:rPr>
          <w:rFonts w:ascii="Bookman Old Style" w:hAnsi="Bookman Old Style" w:cs="Arial"/>
        </w:rPr>
      </w:pPr>
      <w:r w:rsidRPr="003F7981">
        <w:rPr>
          <w:rFonts w:ascii="Bookman Old Style" w:hAnsi="Bookman Old Style" w:cs="Arial"/>
        </w:rPr>
        <w:t>REFOENERGY</w:t>
      </w:r>
      <w:r w:rsidR="000D20E4" w:rsidRPr="003F7981">
        <w:rPr>
          <w:rFonts w:ascii="Bookman Old Style" w:hAnsi="Bookman Old Style" w:cs="Arial"/>
        </w:rPr>
        <w:t xml:space="preserve"> manifiesta que su solicitud se fundamenta</w:t>
      </w:r>
      <w:r w:rsidR="006203BF" w:rsidRPr="003F7981">
        <w:rPr>
          <w:rFonts w:ascii="Bookman Old Style" w:hAnsi="Bookman Old Style" w:cs="Arial"/>
        </w:rPr>
        <w:t xml:space="preserve"> en lo</w:t>
      </w:r>
      <w:r w:rsidR="00CD195F" w:rsidRPr="003F7981">
        <w:rPr>
          <w:rFonts w:ascii="Bookman Old Style" w:hAnsi="Bookman Old Style" w:cs="Arial"/>
        </w:rPr>
        <w:t xml:space="preserve"> siguiente</w:t>
      </w:r>
      <w:r w:rsidR="006203BF" w:rsidRPr="003F7981">
        <w:rPr>
          <w:rFonts w:ascii="Bookman Old Style" w:hAnsi="Bookman Old Style" w:cs="Arial"/>
        </w:rPr>
        <w:t>:</w:t>
      </w:r>
      <w:r w:rsidR="00CD195F" w:rsidRPr="003F7981">
        <w:rPr>
          <w:rFonts w:ascii="Bookman Old Style" w:hAnsi="Bookman Old Style" w:cs="Arial"/>
        </w:rPr>
        <w:t xml:space="preserve"> </w:t>
      </w:r>
    </w:p>
    <w:p w14:paraId="3EFBC8DC" w14:textId="5C5569E0" w:rsidR="004E5E63" w:rsidRPr="003F7981" w:rsidRDefault="004E5E63" w:rsidP="00CF067A">
      <w:pPr>
        <w:ind w:left="284" w:right="6"/>
        <w:contextualSpacing/>
        <w:jc w:val="both"/>
        <w:rPr>
          <w:rFonts w:ascii="Bookman Old Style" w:hAnsi="Bookman Old Style" w:cs="Arial"/>
        </w:rPr>
      </w:pPr>
    </w:p>
    <w:p w14:paraId="3A6F76CD" w14:textId="322EE4BE" w:rsidR="0065201C" w:rsidRPr="003F7981" w:rsidRDefault="00E86530" w:rsidP="00CF067A">
      <w:pPr>
        <w:ind w:left="567" w:right="6"/>
        <w:contextualSpacing/>
        <w:jc w:val="both"/>
        <w:rPr>
          <w:rFonts w:ascii="Bookman Old Style" w:hAnsi="Bookman Old Style" w:cs="Arial"/>
          <w:i/>
          <w:iCs/>
          <w:sz w:val="22"/>
          <w:szCs w:val="22"/>
        </w:rPr>
      </w:pPr>
      <w:r w:rsidRPr="003F7981">
        <w:rPr>
          <w:rFonts w:ascii="Bookman Old Style" w:hAnsi="Bookman Old Style" w:cs="Arial"/>
          <w:i/>
          <w:iCs/>
          <w:sz w:val="22"/>
          <w:szCs w:val="22"/>
        </w:rPr>
        <w:t>“</w:t>
      </w:r>
      <w:r w:rsidR="0065201C" w:rsidRPr="003F7981">
        <w:rPr>
          <w:rFonts w:ascii="Bookman Old Style" w:hAnsi="Bookman Old Style" w:cs="Arial"/>
          <w:i/>
          <w:iCs/>
          <w:sz w:val="22"/>
          <w:szCs w:val="22"/>
        </w:rPr>
        <w:t xml:space="preserve">Esta solicitud se fundamenta en que la actual regulación aplicable para las Zonas No Interconectadas NO HA REGLAMENTADO la remuneración de la actividad de </w:t>
      </w:r>
      <w:r w:rsidR="0065201C" w:rsidRPr="003F7981">
        <w:rPr>
          <w:rFonts w:ascii="Bookman Old Style" w:hAnsi="Bookman Old Style" w:cs="Arial"/>
          <w:i/>
          <w:iCs/>
          <w:sz w:val="22"/>
          <w:szCs w:val="22"/>
        </w:rPr>
        <w:lastRenderedPageBreak/>
        <w:t>generación con tecnología FNCE BIOMASA. Hasta este momento no se han fijado los cargos máximos degeneración para sistemas híbridos BIOMASA DIESEL 4.5 MW. como es el caso concreto. El proyecto de resolución puesto a consideración del público mediante Resolución CREG 004 de 2014 aún se haya en análisis y ajuste para el cumplimiento del art. 9 de la ley 1715 de 2014. A partir del 22 de julio de 2020, la CREG "se encuentra adelantando un estudio para obtener un modelo que permita realizar el costeo de soluciones aisladas centralizadas o individuales. como unidades constructivas a partir de la definición del nivel del servicio, los componentes típicos de dichas soluciones. los costos de transporte de los equipos. costos de inversión y AOM. entre otros. Los resultados del estudio contratado serán divulgados y sometidos a consideración y comentarios de todos los interesados, con la finalidad de garantizar la participación de los agentes y que los análisis que de ello se deriven puedan ser adoptados e incorporados como parte de la información base de la metodología propuesta</w:t>
      </w:r>
      <w:r w:rsidR="00CF067A" w:rsidRPr="003F7981">
        <w:rPr>
          <w:rFonts w:ascii="Bookman Old Style" w:hAnsi="Bookman Old Style" w:cs="Arial"/>
          <w:i/>
          <w:iCs/>
          <w:sz w:val="22"/>
          <w:szCs w:val="22"/>
        </w:rPr>
        <w:t>.</w:t>
      </w:r>
      <w:r w:rsidR="0065201C" w:rsidRPr="003F7981">
        <w:rPr>
          <w:rFonts w:ascii="Bookman Old Style" w:hAnsi="Bookman Old Style" w:cs="Arial"/>
          <w:i/>
          <w:iCs/>
          <w:sz w:val="22"/>
          <w:szCs w:val="22"/>
        </w:rPr>
        <w:t xml:space="preserve"> </w:t>
      </w:r>
    </w:p>
    <w:p w14:paraId="612D70AF" w14:textId="77777777" w:rsidR="0065201C" w:rsidRPr="003F7981" w:rsidRDefault="0065201C" w:rsidP="00CF067A">
      <w:pPr>
        <w:ind w:left="567" w:right="6"/>
        <w:contextualSpacing/>
        <w:jc w:val="both"/>
        <w:rPr>
          <w:rFonts w:ascii="Bookman Old Style" w:hAnsi="Bookman Old Style" w:cs="Arial"/>
          <w:i/>
          <w:iCs/>
          <w:sz w:val="22"/>
          <w:szCs w:val="22"/>
        </w:rPr>
      </w:pPr>
    </w:p>
    <w:p w14:paraId="437B1C40" w14:textId="33839D8A" w:rsidR="00C65126" w:rsidRPr="003F7981" w:rsidRDefault="0065201C" w:rsidP="00CF067A">
      <w:pPr>
        <w:ind w:left="567" w:right="6"/>
        <w:contextualSpacing/>
        <w:jc w:val="both"/>
        <w:rPr>
          <w:rFonts w:ascii="Bookman Old Style" w:hAnsi="Bookman Old Style" w:cs="Arial"/>
          <w:i/>
          <w:iCs/>
          <w:sz w:val="22"/>
          <w:szCs w:val="22"/>
        </w:rPr>
      </w:pPr>
      <w:r w:rsidRPr="003F7981">
        <w:rPr>
          <w:rFonts w:ascii="Bookman Old Style" w:hAnsi="Bookman Old Style" w:cs="Arial"/>
          <w:i/>
          <w:iCs/>
          <w:sz w:val="22"/>
          <w:szCs w:val="22"/>
        </w:rPr>
        <w:t>No obstante. lo anterior, el artículo 22 literal d) de la Resolución 091 de 2007 estableció la posibilidad de presentar a la CREG la solicitud de determinación de cargo máximo de generación para proyectos de generación de este tipo</w:t>
      </w:r>
      <w:r w:rsidR="00C65126" w:rsidRPr="003F7981">
        <w:rPr>
          <w:rFonts w:ascii="Bookman Old Style" w:hAnsi="Bookman Old Style" w:cs="Arial"/>
          <w:i/>
          <w:iCs/>
          <w:sz w:val="22"/>
          <w:szCs w:val="22"/>
        </w:rPr>
        <w:t>.</w:t>
      </w:r>
      <w:r w:rsidR="00CF067A" w:rsidRPr="003F7981">
        <w:rPr>
          <w:rFonts w:ascii="Bookman Old Style" w:hAnsi="Bookman Old Style" w:cs="Arial"/>
          <w:i/>
          <w:iCs/>
          <w:sz w:val="22"/>
          <w:szCs w:val="22"/>
        </w:rPr>
        <w:t>”</w:t>
      </w:r>
    </w:p>
    <w:p w14:paraId="07A90BAE" w14:textId="77777777" w:rsidR="00C65126" w:rsidRPr="003F7981" w:rsidRDefault="00C65126" w:rsidP="00CF067A">
      <w:pPr>
        <w:ind w:left="644" w:right="6"/>
        <w:contextualSpacing/>
        <w:jc w:val="both"/>
        <w:rPr>
          <w:rFonts w:ascii="Bookman Old Style" w:hAnsi="Bookman Old Style" w:cs="Arial"/>
          <w:i/>
          <w:iCs/>
        </w:rPr>
      </w:pPr>
    </w:p>
    <w:p w14:paraId="5D7A82A6" w14:textId="04E19159" w:rsidR="001A74A7" w:rsidRPr="003F7981" w:rsidRDefault="001A74A7" w:rsidP="00CF067A">
      <w:pPr>
        <w:pStyle w:val="Prrafodelista"/>
        <w:numPr>
          <w:ilvl w:val="0"/>
          <w:numId w:val="8"/>
        </w:numPr>
        <w:ind w:right="6"/>
        <w:contextualSpacing/>
        <w:jc w:val="both"/>
        <w:rPr>
          <w:rFonts w:ascii="Bookman Old Style" w:hAnsi="Bookman Old Style" w:cs="Arial"/>
          <w:b/>
          <w:sz w:val="24"/>
          <w:szCs w:val="24"/>
        </w:rPr>
      </w:pPr>
      <w:r w:rsidRPr="003F7981">
        <w:rPr>
          <w:rFonts w:ascii="Bookman Old Style" w:hAnsi="Bookman Old Style" w:cs="Arial"/>
          <w:b/>
          <w:sz w:val="24"/>
          <w:szCs w:val="24"/>
        </w:rPr>
        <w:t>EL</w:t>
      </w:r>
      <w:r w:rsidR="005F2B6B" w:rsidRPr="003F7981">
        <w:rPr>
          <w:rFonts w:ascii="Bookman Old Style" w:hAnsi="Bookman Old Style" w:cs="Arial"/>
          <w:b/>
          <w:sz w:val="24"/>
          <w:szCs w:val="24"/>
        </w:rPr>
        <w:t xml:space="preserve"> </w:t>
      </w:r>
      <w:r w:rsidRPr="003F7981">
        <w:rPr>
          <w:rFonts w:ascii="Bookman Old Style" w:hAnsi="Bookman Old Style" w:cs="Arial"/>
          <w:b/>
          <w:sz w:val="24"/>
          <w:szCs w:val="24"/>
        </w:rPr>
        <w:t>TRÁMITE ADELANTADO</w:t>
      </w:r>
    </w:p>
    <w:p w14:paraId="3FF2FDCF" w14:textId="77777777" w:rsidR="00D127D0" w:rsidRPr="003F7981" w:rsidRDefault="00D127D0" w:rsidP="00CF067A">
      <w:pPr>
        <w:ind w:left="284" w:right="6"/>
        <w:contextualSpacing/>
        <w:jc w:val="both"/>
        <w:rPr>
          <w:rFonts w:ascii="Bookman Old Style" w:hAnsi="Bookman Old Style" w:cs="Arial"/>
          <w:b/>
        </w:rPr>
      </w:pPr>
    </w:p>
    <w:p w14:paraId="45F5D5AC" w14:textId="71680A32" w:rsidR="5A4700E7" w:rsidRPr="003F7981" w:rsidRDefault="5A4700E7" w:rsidP="00CF067A">
      <w:pPr>
        <w:ind w:left="284" w:right="6"/>
        <w:contextualSpacing/>
        <w:jc w:val="both"/>
        <w:rPr>
          <w:rFonts w:ascii="Bookman Old Style" w:eastAsia="Arial" w:hAnsi="Bookman Old Style" w:cs="Arial"/>
          <w:color w:val="000000" w:themeColor="text1"/>
          <w:lang w:val="es-MX"/>
        </w:rPr>
      </w:pPr>
      <w:r w:rsidRPr="003F7981">
        <w:rPr>
          <w:rFonts w:ascii="Bookman Old Style" w:eastAsia="Arial" w:hAnsi="Bookman Old Style" w:cs="Arial"/>
          <w:color w:val="000000" w:themeColor="text1"/>
        </w:rPr>
        <w:t xml:space="preserve">Mediante comunicación con número de radicado CREG E-2021-000504 del 15 de enero de 2021, complementada con las comunicaciones con números de radicado CREG </w:t>
      </w:r>
      <w:r w:rsidRPr="003F7981">
        <w:rPr>
          <w:rFonts w:ascii="Bookman Old Style" w:eastAsia="Arial" w:hAnsi="Bookman Old Style" w:cs="Arial"/>
          <w:color w:val="000000" w:themeColor="text1"/>
          <w:lang w:val="es-MX"/>
        </w:rPr>
        <w:t>E-2021-000885</w:t>
      </w:r>
      <w:r w:rsidRPr="003F7981">
        <w:rPr>
          <w:rFonts w:ascii="Bookman Old Style" w:eastAsia="Arial" w:hAnsi="Bookman Old Style" w:cs="Arial"/>
          <w:color w:val="000000" w:themeColor="text1"/>
        </w:rPr>
        <w:t xml:space="preserve"> del 20 de enero de 2021, CREG </w:t>
      </w:r>
      <w:r w:rsidRPr="003F7981">
        <w:rPr>
          <w:rFonts w:ascii="Bookman Old Style" w:eastAsia="Arial" w:hAnsi="Bookman Old Style" w:cs="Arial"/>
          <w:color w:val="000000" w:themeColor="text1"/>
          <w:lang w:val="es-MX"/>
        </w:rPr>
        <w:t xml:space="preserve">E-2021-005919, E-2021-005920 y E-2021-005921 del 20 de mayo de 2021, CREG E-2021-007536 del 30 de junio de 2021 y CREG E-2021-007788, E-2021-007789, E-2021-007790, E-2021-007791, E-2021-007792, E-2021-007793, E-2021-007794, E-2021-007797, E-2021-007798, E-2021-007799, E-2021-007800, E-2021-007801, E-2021-007802, E-2021-007803, E-2021-007804, E-2021-007806, E-2021-007807, E-2021-007808, E-2021-007809, E-2021-007810 y E-2021-007819 del 08 de julio de </w:t>
      </w:r>
      <w:r w:rsidRPr="003F7981">
        <w:rPr>
          <w:rFonts w:ascii="Bookman Old Style" w:eastAsia="Arial" w:hAnsi="Bookman Old Style" w:cs="Arial"/>
          <w:color w:val="000000" w:themeColor="text1"/>
        </w:rPr>
        <w:t xml:space="preserve">2021, y de acuerdo con lo previsto en el literal d del artículo 22, y los artículos 24 y 25 de la Resolución CREG 091 de 2007, la empresa REFOENERGY BITA S.A.S. E.S.P., en nombre y representación de la Empresa de Energía Eléctrica del Departamento del Vichada, </w:t>
      </w:r>
      <w:r w:rsidR="003F7981" w:rsidRPr="003F7981">
        <w:rPr>
          <w:rFonts w:ascii="Bookman Old Style" w:hAnsi="Bookman Old Style"/>
        </w:rPr>
        <w:t>ELECTROVICHADA</w:t>
      </w:r>
      <w:r w:rsidRPr="003F7981">
        <w:rPr>
          <w:rFonts w:ascii="Bookman Old Style" w:eastAsia="Arial" w:hAnsi="Bookman Old Style" w:cs="Arial"/>
          <w:color w:val="000000" w:themeColor="text1"/>
        </w:rPr>
        <w:t xml:space="preserve"> S.A. E.S.P., según mandato otorgado en el parágrafo primero del numeral 3 del acuerdo de transacción suscrito el 14 de diciembre de 2020</w:t>
      </w:r>
      <w:r w:rsidR="4F430317" w:rsidRPr="003F7981">
        <w:rPr>
          <w:rFonts w:ascii="Bookman Old Style" w:eastAsia="Arial" w:hAnsi="Bookman Old Style" w:cs="Arial"/>
          <w:color w:val="000000" w:themeColor="text1"/>
        </w:rPr>
        <w:t>,</w:t>
      </w:r>
      <w:r w:rsidR="00F57710">
        <w:rPr>
          <w:rFonts w:ascii="Bookman Old Style" w:eastAsia="Arial" w:hAnsi="Bookman Old Style" w:cs="Arial"/>
          <w:color w:val="000000" w:themeColor="text1"/>
        </w:rPr>
        <w:t xml:space="preserve"> </w:t>
      </w:r>
      <w:r w:rsidRPr="003F7981">
        <w:rPr>
          <w:rFonts w:ascii="Bookman Old Style" w:eastAsia="Arial" w:hAnsi="Bookman Old Style" w:cs="Arial"/>
          <w:color w:val="000000" w:themeColor="text1"/>
        </w:rPr>
        <w:t>solicitó dar inicio al trámite administrativo para la determinación del cargo máximo de generación para sistema híbrido de generación que remunere el proyecto de energía con fuente convencional de energía y fuente no convencional de energía renovable BIOMASA-DIÉSEL que entrega al punto de inicio de la red de distribución local del municipio de Puerto Carreño, Vichada.</w:t>
      </w:r>
    </w:p>
    <w:p w14:paraId="3C6506BE" w14:textId="6037F49F" w:rsidR="5A4700E7" w:rsidRPr="003F7981" w:rsidRDefault="5A4700E7" w:rsidP="00CF067A">
      <w:pPr>
        <w:ind w:left="284" w:right="6"/>
        <w:contextualSpacing/>
        <w:jc w:val="both"/>
        <w:rPr>
          <w:rFonts w:ascii="Bookman Old Style" w:eastAsia="Arial" w:hAnsi="Bookman Old Style" w:cs="Arial"/>
          <w:color w:val="000000" w:themeColor="text1"/>
          <w:lang w:val="es-MX"/>
        </w:rPr>
      </w:pPr>
    </w:p>
    <w:p w14:paraId="676BEF53" w14:textId="6A1902DC" w:rsidR="5A4700E7" w:rsidRPr="003F7981" w:rsidRDefault="5A4700E7" w:rsidP="00CF067A">
      <w:pPr>
        <w:ind w:left="284" w:right="6"/>
        <w:contextualSpacing/>
        <w:jc w:val="both"/>
        <w:rPr>
          <w:rFonts w:ascii="Bookman Old Style" w:eastAsia="Arial" w:hAnsi="Bookman Old Style" w:cs="Arial"/>
          <w:color w:val="000000" w:themeColor="text1"/>
          <w:lang w:val="es-MX"/>
        </w:rPr>
      </w:pPr>
      <w:r w:rsidRPr="003F7981">
        <w:rPr>
          <w:rFonts w:ascii="Bookman Old Style" w:eastAsia="Arial" w:hAnsi="Bookman Old Style" w:cs="Arial"/>
          <w:color w:val="000000" w:themeColor="text1"/>
        </w:rPr>
        <w:t xml:space="preserve">Mediante las comunicaciones con radicados CREG S-2021-000969 del 8 de marzo de 2021, S-2021-002641 del 18 de junio de 2021 y S-2021-002878 del 6 de julio de 2021, esta Comisión solicitó información relacionada con el </w:t>
      </w:r>
      <w:bookmarkStart w:id="2" w:name="OLE_LINK5"/>
      <w:bookmarkStart w:id="3" w:name="OLE_LINK6"/>
      <w:bookmarkStart w:id="4" w:name="OLE_LINK7"/>
      <w:r w:rsidRPr="003F7981">
        <w:rPr>
          <w:rFonts w:ascii="Bookman Old Style" w:eastAsia="Arial" w:hAnsi="Bookman Old Style" w:cs="Arial"/>
          <w:color w:val="000000" w:themeColor="text1"/>
        </w:rPr>
        <w:t>proyecto de generación híbrid</w:t>
      </w:r>
      <w:r w:rsidR="00CF067A" w:rsidRPr="003F7981">
        <w:rPr>
          <w:rFonts w:ascii="Bookman Old Style" w:eastAsia="Arial" w:hAnsi="Bookman Old Style" w:cs="Arial"/>
          <w:color w:val="000000" w:themeColor="text1"/>
        </w:rPr>
        <w:t>o</w:t>
      </w:r>
      <w:r w:rsidRPr="003F7981">
        <w:rPr>
          <w:rFonts w:ascii="Bookman Old Style" w:eastAsia="Arial" w:hAnsi="Bookman Old Style" w:cs="Arial"/>
          <w:color w:val="000000" w:themeColor="text1"/>
        </w:rPr>
        <w:t xml:space="preserve"> </w:t>
      </w:r>
      <w:bookmarkEnd w:id="2"/>
      <w:bookmarkEnd w:id="3"/>
      <w:bookmarkEnd w:id="4"/>
      <w:r w:rsidRPr="003F7981">
        <w:rPr>
          <w:rFonts w:ascii="Bookman Old Style" w:eastAsia="Arial" w:hAnsi="Bookman Old Style" w:cs="Arial"/>
          <w:color w:val="000000" w:themeColor="text1"/>
        </w:rPr>
        <w:t>presentado por REFOENERGY.</w:t>
      </w:r>
    </w:p>
    <w:p w14:paraId="5C8FAC47" w14:textId="77777777" w:rsidR="00CF067A" w:rsidRPr="003F7981" w:rsidRDefault="00CF067A" w:rsidP="00CF067A">
      <w:pPr>
        <w:ind w:left="284" w:right="6"/>
        <w:contextualSpacing/>
        <w:jc w:val="both"/>
        <w:rPr>
          <w:rFonts w:ascii="Bookman Old Style" w:eastAsia="Arial" w:hAnsi="Bookman Old Style" w:cs="Arial"/>
          <w:color w:val="000000" w:themeColor="text1"/>
          <w:lang w:val="es-MX"/>
        </w:rPr>
      </w:pPr>
    </w:p>
    <w:p w14:paraId="7C09E5D2" w14:textId="56B7B780" w:rsidR="00CF067A" w:rsidRPr="003F7981" w:rsidRDefault="00CF067A" w:rsidP="00CF067A">
      <w:pPr>
        <w:widowControl w:val="0"/>
        <w:ind w:left="284" w:right="51"/>
        <w:contextualSpacing/>
        <w:jc w:val="both"/>
        <w:rPr>
          <w:rFonts w:ascii="Bookman Old Style" w:eastAsia="Calibri" w:hAnsi="Bookman Old Style" w:cs="Arial"/>
          <w:lang w:eastAsia="en-US"/>
        </w:rPr>
      </w:pPr>
      <w:r w:rsidRPr="003F7981">
        <w:rPr>
          <w:rFonts w:ascii="Bookman Old Style" w:eastAsia="Calibri" w:hAnsi="Bookman Old Style" w:cs="Arial"/>
          <w:lang w:eastAsia="en-US"/>
        </w:rPr>
        <w:t xml:space="preserve">Con Auto </w:t>
      </w:r>
      <w:r w:rsidRPr="003F7981">
        <w:rPr>
          <w:rFonts w:ascii="Bookman Old Style" w:eastAsia="Arial" w:hAnsi="Bookman Old Style" w:cs="Arial"/>
          <w:color w:val="000000" w:themeColor="text1"/>
          <w:lang w:val="es-CO"/>
        </w:rPr>
        <w:t>I-2021-002222 del 17 de agosto de 2021</w:t>
      </w:r>
      <w:r w:rsidRPr="003F7981">
        <w:rPr>
          <w:rFonts w:ascii="Bookman Old Style" w:eastAsia="Calibri" w:hAnsi="Bookman Old Style" w:cs="Arial"/>
          <w:lang w:eastAsia="en-US"/>
        </w:rPr>
        <w:t xml:space="preserve">, la Dirección Ejecutiva de la CREG ordenó el inicio de la actuación administrativa y la formación del expediente administrativo </w:t>
      </w:r>
      <w:r w:rsidR="00F225AF" w:rsidRPr="003F7981">
        <w:rPr>
          <w:rFonts w:ascii="Bookman Old Style" w:eastAsia="Calibri" w:hAnsi="Bookman Old Style" w:cs="Arial"/>
          <w:lang w:eastAsia="en-US"/>
        </w:rPr>
        <w:t xml:space="preserve">CREG-2021-109, </w:t>
      </w:r>
      <w:r w:rsidRPr="003F7981">
        <w:rPr>
          <w:rFonts w:ascii="Bookman Old Style" w:eastAsia="Calibri" w:hAnsi="Bookman Old Style" w:cs="Arial"/>
          <w:lang w:eastAsia="en-US"/>
        </w:rPr>
        <w:t xml:space="preserve">con el objeto de decidir sobre la </w:t>
      </w:r>
      <w:r w:rsidRPr="003F7981">
        <w:rPr>
          <w:rFonts w:ascii="Bookman Old Style" w:eastAsia="Calibri" w:hAnsi="Bookman Old Style" w:cs="Arial"/>
          <w:lang w:eastAsia="en-US"/>
        </w:rPr>
        <w:lastRenderedPageBreak/>
        <w:t xml:space="preserve">propuesta de remuneración para </w:t>
      </w:r>
      <w:r w:rsidRPr="003F7981">
        <w:rPr>
          <w:rFonts w:ascii="Bookman Old Style" w:eastAsia="Arial" w:hAnsi="Bookman Old Style" w:cs="Arial"/>
          <w:color w:val="000000" w:themeColor="text1"/>
        </w:rPr>
        <w:t>proyecto de generación híbrido</w:t>
      </w:r>
      <w:r w:rsidRPr="003F7981">
        <w:rPr>
          <w:rFonts w:ascii="Bookman Old Style" w:eastAsia="Calibri" w:hAnsi="Bookman Old Style" w:cs="Arial"/>
          <w:lang w:eastAsia="en-US"/>
        </w:rPr>
        <w:t xml:space="preserve"> ubicado en Puerto Carreño, Inírida, presentada por </w:t>
      </w:r>
      <w:r w:rsidRPr="003F7981">
        <w:rPr>
          <w:rFonts w:ascii="Bookman Old Style" w:hAnsi="Bookman Old Style"/>
        </w:rPr>
        <w:t>REFOENERGY</w:t>
      </w:r>
      <w:r w:rsidRPr="003F7981">
        <w:rPr>
          <w:rFonts w:ascii="Bookman Old Style" w:eastAsia="Calibri" w:hAnsi="Bookman Old Style" w:cs="Arial"/>
          <w:lang w:eastAsia="en-US"/>
        </w:rPr>
        <w:t>.</w:t>
      </w:r>
    </w:p>
    <w:p w14:paraId="22C2A54C" w14:textId="77777777" w:rsidR="00CF067A" w:rsidRPr="003F7981" w:rsidRDefault="00CF067A" w:rsidP="00CF067A">
      <w:pPr>
        <w:widowControl w:val="0"/>
        <w:ind w:left="284" w:right="51"/>
        <w:contextualSpacing/>
        <w:jc w:val="both"/>
        <w:rPr>
          <w:rFonts w:ascii="Bookman Old Style" w:eastAsia="Calibri" w:hAnsi="Bookman Old Style" w:cs="Arial"/>
          <w:lang w:eastAsia="en-US"/>
        </w:rPr>
      </w:pPr>
    </w:p>
    <w:p w14:paraId="6749E861" w14:textId="3F5C21F1" w:rsidR="00CF067A" w:rsidRPr="003F7981" w:rsidRDefault="00CF067A" w:rsidP="00CF067A">
      <w:pPr>
        <w:widowControl w:val="0"/>
        <w:ind w:left="284" w:right="51"/>
        <w:contextualSpacing/>
        <w:jc w:val="both"/>
        <w:rPr>
          <w:rFonts w:ascii="Bookman Old Style" w:hAnsi="Bookman Old Style" w:cs="Arial"/>
        </w:rPr>
      </w:pPr>
      <w:r w:rsidRPr="003F7981">
        <w:rPr>
          <w:rFonts w:ascii="Bookman Old Style" w:eastAsia="Calibri" w:hAnsi="Bookman Old Style" w:cs="Arial"/>
          <w:lang w:eastAsia="en-US"/>
        </w:rPr>
        <w:t xml:space="preserve">Mediante comunicación con radicado </w:t>
      </w:r>
      <w:r w:rsidR="00F225AF" w:rsidRPr="003F7981">
        <w:rPr>
          <w:rFonts w:ascii="Bookman Old Style" w:eastAsia="Calibri" w:hAnsi="Bookman Old Style" w:cs="Arial"/>
          <w:lang w:eastAsia="en-US"/>
        </w:rPr>
        <w:t>CREG-</w:t>
      </w:r>
      <w:r w:rsidRPr="003F7981">
        <w:rPr>
          <w:rFonts w:ascii="Bookman Old Style" w:eastAsia="Arial" w:hAnsi="Bookman Old Style" w:cs="Arial"/>
          <w:color w:val="000000" w:themeColor="text1"/>
          <w:lang w:val="es-CO"/>
        </w:rPr>
        <w:t>S-2021-003593 del 17 de agosto de 2021</w:t>
      </w:r>
      <w:r w:rsidRPr="003F7981">
        <w:rPr>
          <w:rFonts w:ascii="Bookman Old Style" w:eastAsia="Calibri" w:hAnsi="Bookman Old Style" w:cs="Arial"/>
          <w:lang w:eastAsia="en-US"/>
        </w:rPr>
        <w:t xml:space="preserve">, se le informó a </w:t>
      </w:r>
      <w:r w:rsidRPr="003F7981">
        <w:rPr>
          <w:rFonts w:ascii="Bookman Old Style" w:hAnsi="Bookman Old Style"/>
        </w:rPr>
        <w:t>REFOENERGY</w:t>
      </w:r>
      <w:r w:rsidRPr="003F7981">
        <w:rPr>
          <w:rFonts w:ascii="Bookman Old Style" w:eastAsia="Calibri" w:hAnsi="Bookman Old Style" w:cs="Arial"/>
          <w:lang w:eastAsia="en-US"/>
        </w:rPr>
        <w:t xml:space="preserve"> del inicio de la actuación administrativa </w:t>
      </w:r>
      <w:r w:rsidRPr="003F7981">
        <w:rPr>
          <w:rFonts w:ascii="Bookman Old Style" w:hAnsi="Bookman Old Style" w:cs="Arial"/>
        </w:rPr>
        <w:t>y se le remitió copia del respectivo auto de inicio.</w:t>
      </w:r>
    </w:p>
    <w:p w14:paraId="39AAF121" w14:textId="6DF15B13" w:rsidR="0016198F" w:rsidRPr="003F7981" w:rsidRDefault="0016198F" w:rsidP="00CF067A">
      <w:pPr>
        <w:widowControl w:val="0"/>
        <w:ind w:left="284" w:right="51"/>
        <w:contextualSpacing/>
        <w:jc w:val="both"/>
        <w:rPr>
          <w:rFonts w:ascii="Bookman Old Style" w:hAnsi="Bookman Old Style" w:cs="Arial"/>
        </w:rPr>
      </w:pPr>
    </w:p>
    <w:p w14:paraId="2D54380C" w14:textId="4C8EE51B" w:rsidR="0016198F" w:rsidRPr="003F7981" w:rsidRDefault="0016198F" w:rsidP="0016198F">
      <w:pPr>
        <w:widowControl w:val="0"/>
        <w:ind w:left="284" w:right="51"/>
        <w:contextualSpacing/>
        <w:jc w:val="both"/>
        <w:rPr>
          <w:rFonts w:ascii="Bookman Old Style" w:hAnsi="Bookman Old Style" w:cs="Arial"/>
        </w:rPr>
      </w:pPr>
      <w:r w:rsidRPr="003F7981">
        <w:rPr>
          <w:rFonts w:ascii="Bookman Old Style" w:hAnsi="Bookman Old Style" w:cs="Arial"/>
        </w:rPr>
        <w:t>Mediante oficio con radicado CREG S-2021-003591 del 17 de agosto de 2021 se le comunicó a la Alcaldía Municipal de Puerto Carreño del inicio de la actuación administrativa, para los fines previstos en el artículo 37 del Código de Procedimiento Administrativo y de lo Contencioso Administrativo.</w:t>
      </w:r>
    </w:p>
    <w:p w14:paraId="49AFE5A6" w14:textId="77777777" w:rsidR="00CF067A" w:rsidRPr="003F7981" w:rsidRDefault="00CF067A" w:rsidP="002F59F8">
      <w:pPr>
        <w:ind w:right="6"/>
        <w:contextualSpacing/>
        <w:jc w:val="both"/>
        <w:rPr>
          <w:rFonts w:ascii="Bookman Old Style" w:eastAsia="Arial" w:hAnsi="Bookman Old Style" w:cs="Arial"/>
          <w:color w:val="000000" w:themeColor="text1"/>
          <w:lang w:val="es-CO"/>
        </w:rPr>
      </w:pPr>
    </w:p>
    <w:p w14:paraId="74B1E1C8" w14:textId="77777777" w:rsidR="0016198F" w:rsidRPr="003F7981" w:rsidRDefault="5A4700E7" w:rsidP="0016198F">
      <w:pPr>
        <w:ind w:left="284" w:right="6"/>
        <w:contextualSpacing/>
        <w:jc w:val="both"/>
        <w:rPr>
          <w:rFonts w:ascii="Bookman Old Style" w:eastAsia="Arial" w:hAnsi="Bookman Old Style" w:cs="Arial"/>
          <w:color w:val="000000" w:themeColor="text1"/>
          <w:lang w:val="es-CO"/>
        </w:rPr>
      </w:pPr>
      <w:r w:rsidRPr="003F7981">
        <w:rPr>
          <w:rFonts w:ascii="Bookman Old Style" w:eastAsia="Arial" w:hAnsi="Bookman Old Style" w:cs="Arial"/>
          <w:color w:val="000000" w:themeColor="text1"/>
          <w:lang w:val="es-CO"/>
        </w:rPr>
        <w:t xml:space="preserve">Con Auto I-2021-003180 del 27 de octubre de 2021, la Dirección Ejecutiva de la CREG </w:t>
      </w:r>
      <w:r w:rsidRPr="003F7981">
        <w:rPr>
          <w:rFonts w:ascii="Bookman Old Style" w:eastAsia="Arial" w:hAnsi="Bookman Old Style" w:cs="Arial"/>
          <w:color w:val="000000" w:themeColor="text1"/>
        </w:rPr>
        <w:t xml:space="preserve">decretó la práctica de pruebas de oficio tendientes a aclarar y complementar la información </w:t>
      </w:r>
      <w:r w:rsidR="4F430317" w:rsidRPr="003F7981">
        <w:rPr>
          <w:rFonts w:ascii="Bookman Old Style" w:eastAsia="Arial" w:hAnsi="Bookman Old Style" w:cs="Arial"/>
          <w:color w:val="000000" w:themeColor="text1"/>
        </w:rPr>
        <w:t>con el</w:t>
      </w:r>
      <w:r w:rsidRPr="003F7981">
        <w:rPr>
          <w:rFonts w:ascii="Bookman Old Style" w:eastAsia="Arial" w:hAnsi="Bookman Old Style" w:cs="Arial"/>
          <w:color w:val="000000" w:themeColor="text1"/>
          <w:lang w:val="es-CO"/>
        </w:rPr>
        <w:t xml:space="preserve"> objeto decidir sobre la solicitud presentada por la empresa REFOENERGY</w:t>
      </w:r>
      <w:r w:rsidR="00F225AF" w:rsidRPr="003F7981">
        <w:rPr>
          <w:rFonts w:ascii="Bookman Old Style" w:eastAsia="Arial" w:hAnsi="Bookman Old Style" w:cs="Arial"/>
          <w:color w:val="000000" w:themeColor="text1"/>
          <w:lang w:val="es-CO"/>
        </w:rPr>
        <w:t xml:space="preserve">. </w:t>
      </w:r>
    </w:p>
    <w:p w14:paraId="2D54DF9A" w14:textId="77777777" w:rsidR="0016198F" w:rsidRPr="003F7981" w:rsidRDefault="0016198F" w:rsidP="0016198F">
      <w:pPr>
        <w:ind w:left="284" w:right="6"/>
        <w:contextualSpacing/>
        <w:jc w:val="both"/>
        <w:rPr>
          <w:rFonts w:ascii="Bookman Old Style" w:eastAsia="Arial" w:hAnsi="Bookman Old Style" w:cs="Arial"/>
          <w:color w:val="000000" w:themeColor="text1"/>
          <w:lang w:val="es-CO"/>
        </w:rPr>
      </w:pPr>
    </w:p>
    <w:p w14:paraId="37B71DEE" w14:textId="2D5D949F" w:rsidR="0016198F" w:rsidRPr="003F7981" w:rsidRDefault="0016198F" w:rsidP="0083085F">
      <w:pPr>
        <w:ind w:left="284" w:right="6"/>
        <w:contextualSpacing/>
        <w:jc w:val="both"/>
        <w:rPr>
          <w:rFonts w:ascii="Bookman Old Style" w:eastAsia="Segoe UI" w:hAnsi="Bookman Old Style" w:cs="Segoe UI"/>
          <w:color w:val="000000" w:themeColor="text1"/>
          <w:lang w:val="es-MX"/>
        </w:rPr>
      </w:pPr>
      <w:r w:rsidRPr="003F7981">
        <w:rPr>
          <w:rFonts w:ascii="Bookman Old Style" w:hAnsi="Bookman Old Style" w:cs="Arial"/>
        </w:rPr>
        <w:t xml:space="preserve">En el marco de lo expuesto, el precitado auto de pruebas fue comunicado a las empresas </w:t>
      </w:r>
      <w:r w:rsidRPr="003F7981">
        <w:rPr>
          <w:rFonts w:ascii="Bookman Old Style" w:eastAsia="Calibri" w:hAnsi="Bookman Old Style" w:cs="Arial"/>
          <w:lang w:eastAsia="en-US"/>
        </w:rPr>
        <w:t xml:space="preserve">REFONERGY </w:t>
      </w:r>
      <w:r w:rsidRPr="003F7981">
        <w:rPr>
          <w:rFonts w:ascii="Bookman Old Style" w:hAnsi="Bookman Old Style" w:cs="Arial"/>
        </w:rPr>
        <w:t xml:space="preserve">y a </w:t>
      </w:r>
      <w:r w:rsidRPr="003F7981">
        <w:rPr>
          <w:rFonts w:ascii="Bookman Old Style" w:hAnsi="Bookman Old Style" w:cs="Arial"/>
          <w:lang w:val="es-MX"/>
        </w:rPr>
        <w:t xml:space="preserve">ELECTROVICHADA, </w:t>
      </w:r>
      <w:r w:rsidRPr="003F7981">
        <w:rPr>
          <w:rFonts w:ascii="Bookman Old Style" w:hAnsi="Bookman Old Style" w:cs="Arial"/>
        </w:rPr>
        <w:t xml:space="preserve">mediante radicados CREG </w:t>
      </w:r>
      <w:r w:rsidRPr="003F7981">
        <w:rPr>
          <w:rFonts w:ascii="Bookman Old Style" w:hAnsi="Bookman Old Style" w:cs="Arial"/>
          <w:lang w:val="es-MX"/>
        </w:rPr>
        <w:t>S</w:t>
      </w:r>
      <w:r w:rsidRPr="003F7981">
        <w:rPr>
          <w:rFonts w:ascii="Bookman Old Style" w:hAnsi="Bookman Old Style" w:cs="Arial"/>
          <w:lang w:val="es-MX"/>
        </w:rPr>
        <w:noBreakHyphen/>
        <w:t>2021-004783 y S-2021-004782, respectivamente.</w:t>
      </w:r>
    </w:p>
    <w:p w14:paraId="4D08D445" w14:textId="7AF9FFBF" w:rsidR="2290A195" w:rsidRPr="003F7981" w:rsidRDefault="2290A195" w:rsidP="0016198F">
      <w:pPr>
        <w:ind w:left="284" w:right="6"/>
        <w:contextualSpacing/>
        <w:jc w:val="both"/>
        <w:rPr>
          <w:rFonts w:ascii="Bookman Old Style" w:eastAsia="Arial" w:hAnsi="Bookman Old Style" w:cs="Arial"/>
          <w:color w:val="000000" w:themeColor="text1"/>
          <w:lang w:val="es-CO"/>
        </w:rPr>
      </w:pPr>
    </w:p>
    <w:p w14:paraId="37CAF9EE" w14:textId="07A854AC" w:rsidR="00CF067A" w:rsidRPr="003F7981" w:rsidRDefault="5A4700E7" w:rsidP="6929D866">
      <w:pPr>
        <w:ind w:left="284" w:right="6"/>
        <w:contextualSpacing/>
        <w:jc w:val="both"/>
        <w:rPr>
          <w:rFonts w:ascii="Bookman Old Style" w:eastAsia="Arial" w:hAnsi="Bookman Old Style" w:cs="Arial"/>
          <w:color w:val="000000" w:themeColor="text1"/>
          <w:lang w:val="es-MX"/>
        </w:rPr>
      </w:pPr>
      <w:r w:rsidRPr="003F7981">
        <w:rPr>
          <w:rFonts w:ascii="Bookman Old Style" w:eastAsia="Arial" w:hAnsi="Bookman Old Style" w:cs="Arial"/>
          <w:color w:val="000000" w:themeColor="text1"/>
          <w:lang w:val="es-CO"/>
        </w:rPr>
        <w:t>Mediante radicados CREG E-2021-013701 y CREG E-2021-013766, del 22 de noviembre de 2021, la empresa REFOENERGY remitió respuesta al Auto I</w:t>
      </w:r>
      <w:r w:rsidR="00F57710">
        <w:rPr>
          <w:rFonts w:ascii="Bookman Old Style" w:eastAsia="Arial" w:hAnsi="Bookman Old Style" w:cs="Arial"/>
          <w:color w:val="000000" w:themeColor="text1"/>
          <w:lang w:val="es-CO"/>
        </w:rPr>
        <w:noBreakHyphen/>
      </w:r>
      <w:r w:rsidRPr="003F7981">
        <w:rPr>
          <w:rFonts w:ascii="Bookman Old Style" w:eastAsia="Arial" w:hAnsi="Bookman Old Style" w:cs="Arial"/>
          <w:color w:val="000000" w:themeColor="text1"/>
          <w:lang w:val="es-CO"/>
        </w:rPr>
        <w:t xml:space="preserve">2021-003180. Una vez revisada la información presentada por la empresa </w:t>
      </w:r>
      <w:r w:rsidRPr="003F7981">
        <w:rPr>
          <w:rFonts w:ascii="Bookman Old Style" w:eastAsia="Arial" w:hAnsi="Bookman Old Style" w:cs="Arial"/>
          <w:color w:val="000000" w:themeColor="text1"/>
        </w:rPr>
        <w:t>REFOENERGY e incorporada en el expediente administrativo, como parte del desarrollo de la presente actuación administrativa y del análisis que adelanta esta Comisión,</w:t>
      </w:r>
      <w:r w:rsidR="002D609B" w:rsidRPr="003F7981">
        <w:rPr>
          <w:rFonts w:ascii="Bookman Old Style" w:eastAsia="Arial" w:hAnsi="Bookman Old Style" w:cs="Arial"/>
          <w:color w:val="000000" w:themeColor="text1"/>
        </w:rPr>
        <w:t xml:space="preserve"> </w:t>
      </w:r>
      <w:r w:rsidRPr="003F7981">
        <w:rPr>
          <w:rFonts w:ascii="Bookman Old Style" w:eastAsia="Arial" w:hAnsi="Bookman Old Style" w:cs="Arial"/>
          <w:color w:val="000000" w:themeColor="text1"/>
        </w:rPr>
        <w:t>se decidió decretar la práctica de prueba</w:t>
      </w:r>
      <w:r w:rsidR="002D609B" w:rsidRPr="003F7981">
        <w:rPr>
          <w:rFonts w:ascii="Bookman Old Style" w:eastAsia="Arial" w:hAnsi="Bookman Old Style" w:cs="Arial"/>
          <w:color w:val="000000" w:themeColor="text1"/>
        </w:rPr>
        <w:t>s a través del Auto I</w:t>
      </w:r>
      <w:r w:rsidR="00F57710">
        <w:rPr>
          <w:rFonts w:ascii="Bookman Old Style" w:eastAsia="Arial" w:hAnsi="Bookman Old Style" w:cs="Arial"/>
          <w:color w:val="000000" w:themeColor="text1"/>
        </w:rPr>
        <w:noBreakHyphen/>
      </w:r>
      <w:r w:rsidR="002D609B" w:rsidRPr="003F7981">
        <w:rPr>
          <w:rFonts w:ascii="Bookman Old Style" w:eastAsia="Arial" w:hAnsi="Bookman Old Style" w:cs="Arial"/>
          <w:color w:val="000000" w:themeColor="text1"/>
        </w:rPr>
        <w:t>2021-004254 del 3</w:t>
      </w:r>
      <w:r w:rsidR="00A5529C" w:rsidRPr="003F7981">
        <w:rPr>
          <w:rFonts w:ascii="Bookman Old Style" w:eastAsia="Arial" w:hAnsi="Bookman Old Style" w:cs="Arial"/>
          <w:color w:val="000000" w:themeColor="text1"/>
        </w:rPr>
        <w:t>0</w:t>
      </w:r>
      <w:r w:rsidR="002D609B" w:rsidRPr="003F7981">
        <w:rPr>
          <w:rFonts w:ascii="Bookman Old Style" w:eastAsia="Arial" w:hAnsi="Bookman Old Style" w:cs="Arial"/>
          <w:color w:val="000000" w:themeColor="text1"/>
        </w:rPr>
        <w:t xml:space="preserve"> de diciembre </w:t>
      </w:r>
      <w:proofErr w:type="spellStart"/>
      <w:r w:rsidR="002D609B" w:rsidRPr="003F7981">
        <w:rPr>
          <w:rFonts w:ascii="Bookman Old Style" w:eastAsia="Arial" w:hAnsi="Bookman Old Style" w:cs="Arial"/>
          <w:color w:val="000000" w:themeColor="text1"/>
        </w:rPr>
        <w:t>e</w:t>
      </w:r>
      <w:proofErr w:type="spellEnd"/>
      <w:r w:rsidR="002D609B" w:rsidRPr="003F7981">
        <w:rPr>
          <w:rFonts w:ascii="Bookman Old Style" w:eastAsia="Arial" w:hAnsi="Bookman Old Style" w:cs="Arial"/>
          <w:color w:val="000000" w:themeColor="text1"/>
        </w:rPr>
        <w:t xml:space="preserve"> 2021, tendientes a ampliar información requerida anteriormente.</w:t>
      </w:r>
    </w:p>
    <w:p w14:paraId="38228A8A" w14:textId="082110B1" w:rsidR="6929D866" w:rsidRPr="003F7981" w:rsidRDefault="6929D866" w:rsidP="6929D866">
      <w:pPr>
        <w:ind w:left="284" w:right="6"/>
        <w:contextualSpacing/>
        <w:jc w:val="both"/>
        <w:rPr>
          <w:rFonts w:ascii="Bookman Old Style" w:eastAsia="Arial" w:hAnsi="Bookman Old Style" w:cs="Arial"/>
          <w:color w:val="000000" w:themeColor="text1"/>
        </w:rPr>
      </w:pPr>
    </w:p>
    <w:p w14:paraId="5230F75A" w14:textId="6F52F8DD" w:rsidR="5A4700E7" w:rsidRPr="003F7981" w:rsidRDefault="5A4700E7" w:rsidP="00CF067A">
      <w:pPr>
        <w:ind w:left="284" w:right="6"/>
        <w:contextualSpacing/>
        <w:jc w:val="both"/>
        <w:rPr>
          <w:rFonts w:ascii="Bookman Old Style" w:eastAsia="Arial" w:hAnsi="Bookman Old Style" w:cs="Arial"/>
          <w:color w:val="000000" w:themeColor="text1"/>
          <w:lang w:val="es-MX"/>
        </w:rPr>
      </w:pPr>
      <w:r w:rsidRPr="003F7981">
        <w:rPr>
          <w:rFonts w:ascii="Bookman Old Style" w:eastAsia="Arial" w:hAnsi="Bookman Old Style" w:cs="Arial"/>
          <w:color w:val="000000" w:themeColor="text1"/>
        </w:rPr>
        <w:t xml:space="preserve">Mediante comunicación </w:t>
      </w:r>
      <w:r w:rsidR="4F430317" w:rsidRPr="003F7981">
        <w:rPr>
          <w:rFonts w:ascii="Bookman Old Style" w:eastAsia="Arial" w:hAnsi="Bookman Old Style" w:cs="Arial"/>
          <w:color w:val="000000" w:themeColor="text1"/>
        </w:rPr>
        <w:t>radicada</w:t>
      </w:r>
      <w:r w:rsidRPr="003F7981">
        <w:rPr>
          <w:rFonts w:ascii="Bookman Old Style" w:eastAsia="Arial" w:hAnsi="Bookman Old Style" w:cs="Arial"/>
          <w:color w:val="000000" w:themeColor="text1"/>
        </w:rPr>
        <w:t xml:space="preserve"> CREG E-2022-000935 del 21 de enero de 2022, la empresa REFOENERGY solicitó plazo adicional para la entrega de la información</w:t>
      </w:r>
      <w:r w:rsidR="00DC39E2">
        <w:rPr>
          <w:rFonts w:ascii="Bookman Old Style" w:eastAsia="Arial" w:hAnsi="Bookman Old Style" w:cs="Arial"/>
          <w:color w:val="000000" w:themeColor="text1"/>
        </w:rPr>
        <w:t>. D</w:t>
      </w:r>
      <w:r w:rsidR="4F430317" w:rsidRPr="003F7981">
        <w:rPr>
          <w:rFonts w:ascii="Bookman Old Style" w:eastAsia="Arial" w:hAnsi="Bookman Old Style" w:cs="Arial"/>
          <w:color w:val="000000" w:themeColor="text1"/>
        </w:rPr>
        <w:t>icho</w:t>
      </w:r>
      <w:r w:rsidRPr="003F7981">
        <w:rPr>
          <w:rFonts w:ascii="Bookman Old Style" w:eastAsia="Arial" w:hAnsi="Bookman Old Style" w:cs="Arial"/>
          <w:color w:val="000000" w:themeColor="text1"/>
        </w:rPr>
        <w:t xml:space="preserve"> plazo fue otorgado mediante Auto radicado CREG I-2022-004462</w:t>
      </w:r>
      <w:r w:rsidR="00DC39E2">
        <w:rPr>
          <w:rFonts w:ascii="Bookman Old Style" w:eastAsia="Arial" w:hAnsi="Bookman Old Style" w:cs="Arial"/>
          <w:color w:val="000000" w:themeColor="text1"/>
        </w:rPr>
        <w:t>,</w:t>
      </w:r>
      <w:r w:rsidR="4F430317" w:rsidRPr="003F7981">
        <w:rPr>
          <w:rFonts w:ascii="Bookman Old Style" w:eastAsia="Arial" w:hAnsi="Bookman Old Style" w:cs="Arial"/>
          <w:color w:val="000000" w:themeColor="text1"/>
        </w:rPr>
        <w:t xml:space="preserve"> y</w:t>
      </w:r>
      <w:r w:rsidRPr="003F7981">
        <w:rPr>
          <w:rFonts w:ascii="Bookman Old Style" w:eastAsia="Arial" w:hAnsi="Bookman Old Style" w:cs="Arial"/>
          <w:color w:val="000000" w:themeColor="text1"/>
        </w:rPr>
        <w:t xml:space="preserve"> comunicado a la empresa con radicado CREG S-2022-000337 del 21 de enero del 2022.</w:t>
      </w:r>
    </w:p>
    <w:p w14:paraId="26AB7F3C" w14:textId="53B0204C" w:rsidR="5A4700E7" w:rsidRPr="003F7981" w:rsidRDefault="5A4700E7" w:rsidP="00CF067A">
      <w:pPr>
        <w:ind w:left="284" w:right="6"/>
        <w:contextualSpacing/>
        <w:jc w:val="both"/>
        <w:rPr>
          <w:rFonts w:ascii="Bookman Old Style" w:eastAsia="Arial" w:hAnsi="Bookman Old Style" w:cs="Arial"/>
          <w:color w:val="000000" w:themeColor="text1"/>
          <w:lang w:val="es-MX"/>
        </w:rPr>
      </w:pPr>
    </w:p>
    <w:p w14:paraId="1E95761A" w14:textId="5D222241" w:rsidR="5A4700E7" w:rsidRPr="003F7981" w:rsidRDefault="4F430317" w:rsidP="00CF067A">
      <w:pPr>
        <w:ind w:left="284" w:right="6"/>
        <w:contextualSpacing/>
        <w:jc w:val="both"/>
        <w:rPr>
          <w:rFonts w:ascii="Bookman Old Style" w:eastAsia="Arial" w:hAnsi="Bookman Old Style" w:cs="Arial"/>
          <w:color w:val="000000" w:themeColor="text1"/>
        </w:rPr>
      </w:pPr>
      <w:r w:rsidRPr="003F7981">
        <w:rPr>
          <w:rFonts w:ascii="Bookman Old Style" w:eastAsia="Arial" w:hAnsi="Bookman Old Style" w:cs="Arial"/>
          <w:color w:val="000000" w:themeColor="text1"/>
        </w:rPr>
        <w:t>En</w:t>
      </w:r>
      <w:r w:rsidR="5A4700E7" w:rsidRPr="003F7981">
        <w:rPr>
          <w:rFonts w:ascii="Bookman Old Style" w:eastAsia="Arial" w:hAnsi="Bookman Old Style" w:cs="Arial"/>
          <w:color w:val="000000" w:themeColor="text1"/>
        </w:rPr>
        <w:t xml:space="preserve"> atención a la solicitud que efectuó la empresa REFOENERGY</w:t>
      </w:r>
      <w:r w:rsidR="00DC39E2">
        <w:rPr>
          <w:rFonts w:ascii="Bookman Old Style" w:eastAsia="Arial" w:hAnsi="Bookman Old Style" w:cs="Arial"/>
          <w:color w:val="000000" w:themeColor="text1"/>
        </w:rPr>
        <w:t>,</w:t>
      </w:r>
      <w:r w:rsidR="5A4700E7" w:rsidRPr="003F7981">
        <w:rPr>
          <w:rFonts w:ascii="Bookman Old Style" w:eastAsia="Arial" w:hAnsi="Bookman Old Style" w:cs="Arial"/>
          <w:color w:val="000000" w:themeColor="text1"/>
        </w:rPr>
        <w:t xml:space="preserve"> </w:t>
      </w:r>
      <w:r w:rsidRPr="003F7981">
        <w:rPr>
          <w:rFonts w:ascii="Bookman Old Style" w:eastAsia="Arial" w:hAnsi="Bookman Old Style" w:cs="Arial"/>
          <w:color w:val="000000" w:themeColor="text1"/>
        </w:rPr>
        <w:t xml:space="preserve">se realizó </w:t>
      </w:r>
      <w:r w:rsidR="5A4700E7" w:rsidRPr="003F7981">
        <w:rPr>
          <w:rFonts w:ascii="Bookman Old Style" w:eastAsia="Arial" w:hAnsi="Bookman Old Style" w:cs="Arial"/>
          <w:color w:val="000000" w:themeColor="text1"/>
        </w:rPr>
        <w:t xml:space="preserve">una audiencia </w:t>
      </w:r>
      <w:r w:rsidRPr="003F7981">
        <w:rPr>
          <w:rFonts w:ascii="Bookman Old Style" w:eastAsia="Arial" w:hAnsi="Bookman Old Style" w:cs="Arial"/>
          <w:color w:val="000000" w:themeColor="text1"/>
        </w:rPr>
        <w:t xml:space="preserve">virtual </w:t>
      </w:r>
      <w:r w:rsidR="5A4700E7" w:rsidRPr="003F7981">
        <w:rPr>
          <w:rFonts w:ascii="Bookman Old Style" w:eastAsia="Arial" w:hAnsi="Bookman Old Style" w:cs="Arial"/>
          <w:color w:val="000000" w:themeColor="text1"/>
        </w:rPr>
        <w:t xml:space="preserve">aclaratoria </w:t>
      </w:r>
      <w:r w:rsidRPr="003F7981">
        <w:rPr>
          <w:rFonts w:ascii="Bookman Old Style" w:eastAsia="Arial" w:hAnsi="Bookman Old Style" w:cs="Arial"/>
          <w:color w:val="000000" w:themeColor="text1"/>
        </w:rPr>
        <w:t xml:space="preserve">de fecha 15 de febrero de 2022, </w:t>
      </w:r>
      <w:r w:rsidR="5A4700E7" w:rsidRPr="003F7981">
        <w:rPr>
          <w:rFonts w:ascii="Bookman Old Style" w:eastAsia="Arial" w:hAnsi="Bookman Old Style" w:cs="Arial"/>
          <w:color w:val="000000" w:themeColor="text1"/>
        </w:rPr>
        <w:t>para dilucidar algunos aspectos</w:t>
      </w:r>
      <w:r w:rsidRPr="003F7981">
        <w:rPr>
          <w:rFonts w:ascii="Bookman Old Style" w:eastAsia="Arial" w:hAnsi="Bookman Old Style" w:cs="Arial"/>
          <w:color w:val="000000" w:themeColor="text1"/>
        </w:rPr>
        <w:t>.</w:t>
      </w:r>
    </w:p>
    <w:p w14:paraId="6CEF2A53" w14:textId="2E3796B5" w:rsidR="00A5529C" w:rsidRPr="003F7981" w:rsidRDefault="00A5529C" w:rsidP="00CF067A">
      <w:pPr>
        <w:ind w:left="284" w:right="6"/>
        <w:contextualSpacing/>
        <w:jc w:val="both"/>
        <w:rPr>
          <w:rFonts w:ascii="Bookman Old Style" w:eastAsia="Arial" w:hAnsi="Bookman Old Style" w:cs="Arial"/>
          <w:color w:val="000000" w:themeColor="text1"/>
        </w:rPr>
      </w:pPr>
    </w:p>
    <w:p w14:paraId="23A8E369" w14:textId="01890E14" w:rsidR="00A5529C" w:rsidRPr="003F7981" w:rsidRDefault="00A5529C" w:rsidP="00A5529C">
      <w:pPr>
        <w:spacing w:before="120" w:after="120"/>
        <w:ind w:left="270"/>
        <w:contextualSpacing/>
        <w:jc w:val="both"/>
        <w:rPr>
          <w:rFonts w:ascii="Bookman Old Style" w:hAnsi="Bookman Old Style" w:cs="Arial"/>
          <w:lang w:val="es-MX"/>
        </w:rPr>
      </w:pPr>
      <w:r w:rsidRPr="003F7981">
        <w:rPr>
          <w:rFonts w:ascii="Bookman Old Style" w:hAnsi="Bookman Old Style" w:cs="Arial"/>
          <w:lang w:val="es-MX"/>
        </w:rPr>
        <w:t xml:space="preserve">Mediante </w:t>
      </w:r>
      <w:r w:rsidRPr="003F7981">
        <w:rPr>
          <w:rFonts w:ascii="Bookman Old Style" w:hAnsi="Bookman Old Style" w:cs="Arial"/>
        </w:rPr>
        <w:t>la Resolución Administrativa CREG 99 005 del 15 de febrero de 2022,</w:t>
      </w:r>
      <w:r w:rsidRPr="003F7981">
        <w:rPr>
          <w:rFonts w:ascii="Bookman Old Style" w:hAnsi="Bookman Old Style" w:cs="Arial"/>
          <w:lang w:val="es-MX"/>
        </w:rPr>
        <w:t xml:space="preserve"> se delegaron las funciones de dirección, trámite y demás atribuciones que correspondan, a fin de llevar a cabo la audiencia de aclaración del auto de pruebas I-2021-004254 del 30 de diciembre de 2021 dentro del Expediente 2021-00109.</w:t>
      </w:r>
    </w:p>
    <w:p w14:paraId="259D6E9A" w14:textId="77777777" w:rsidR="00A5529C" w:rsidRPr="003F7981" w:rsidRDefault="00A5529C" w:rsidP="00CF067A">
      <w:pPr>
        <w:ind w:left="284" w:right="6"/>
        <w:contextualSpacing/>
        <w:jc w:val="both"/>
        <w:rPr>
          <w:rFonts w:ascii="Bookman Old Style" w:eastAsia="Arial" w:hAnsi="Bookman Old Style" w:cs="Arial"/>
          <w:color w:val="000000" w:themeColor="text1"/>
          <w:lang w:val="es-MX"/>
        </w:rPr>
      </w:pPr>
    </w:p>
    <w:p w14:paraId="31E98A83" w14:textId="01EDCF6A" w:rsidR="00A5529C" w:rsidRPr="003F7981" w:rsidRDefault="00A5529C" w:rsidP="00A5529C">
      <w:pPr>
        <w:ind w:left="284"/>
        <w:contextualSpacing/>
        <w:jc w:val="both"/>
        <w:rPr>
          <w:rFonts w:ascii="Bookman Old Style" w:hAnsi="Bookman Old Style" w:cs="Arial"/>
          <w:lang w:val="es-MX"/>
        </w:rPr>
      </w:pPr>
      <w:r w:rsidRPr="003F7981">
        <w:rPr>
          <w:rFonts w:ascii="Bookman Old Style" w:hAnsi="Bookman Old Style" w:cs="Arial"/>
          <w:lang w:val="es-MX"/>
        </w:rPr>
        <w:t>Mediante radicado CREG I-2022-004740 del 15 de febrero de 2022, se asoció al expediente 2021-0109 el acta de reunión y la grabación de la sesión virtual, a través de la cual se realizó la audiencia aclaratoria en el marco de la información requerida en el Auto I- 2021-004254 del 30 de diciembre de 2021.</w:t>
      </w:r>
    </w:p>
    <w:p w14:paraId="62222F79" w14:textId="1BE1723E" w:rsidR="2290A195" w:rsidRPr="003F7981" w:rsidRDefault="2290A195" w:rsidP="006542BA">
      <w:pPr>
        <w:ind w:right="6"/>
        <w:contextualSpacing/>
        <w:jc w:val="both"/>
        <w:rPr>
          <w:rFonts w:ascii="Bookman Old Style" w:eastAsia="Arial" w:hAnsi="Bookman Old Style" w:cs="Arial"/>
          <w:color w:val="000000" w:themeColor="text1"/>
          <w:lang w:val="es-MX"/>
        </w:rPr>
      </w:pPr>
    </w:p>
    <w:p w14:paraId="47A0F867" w14:textId="38F84BD3" w:rsidR="5A4700E7" w:rsidRPr="003F7981" w:rsidRDefault="4F430317" w:rsidP="00CF067A">
      <w:pPr>
        <w:ind w:left="284" w:right="6"/>
        <w:contextualSpacing/>
        <w:jc w:val="both"/>
        <w:rPr>
          <w:rFonts w:ascii="Bookman Old Style" w:eastAsia="Arial" w:hAnsi="Bookman Old Style" w:cs="Arial"/>
          <w:color w:val="000000" w:themeColor="text1"/>
        </w:rPr>
      </w:pPr>
      <w:r w:rsidRPr="003F7981">
        <w:rPr>
          <w:rFonts w:ascii="Bookman Old Style" w:eastAsia="Arial" w:hAnsi="Bookman Old Style" w:cs="Arial"/>
          <w:color w:val="000000" w:themeColor="text1"/>
        </w:rPr>
        <w:t>Mediante comunicación radicada CREG E-0022-001856</w:t>
      </w:r>
      <w:r w:rsidR="001F6946" w:rsidRPr="003F7981">
        <w:rPr>
          <w:rFonts w:ascii="Bookman Old Style" w:eastAsia="Arial" w:hAnsi="Bookman Old Style" w:cs="Arial"/>
          <w:color w:val="000000" w:themeColor="text1"/>
        </w:rPr>
        <w:t xml:space="preserve"> del 15 de febrero de 2022</w:t>
      </w:r>
      <w:r w:rsidR="00DC39E2">
        <w:rPr>
          <w:rFonts w:ascii="Bookman Old Style" w:eastAsia="Arial" w:hAnsi="Bookman Old Style" w:cs="Arial"/>
          <w:color w:val="000000" w:themeColor="text1"/>
        </w:rPr>
        <w:t>,</w:t>
      </w:r>
      <w:r w:rsidRPr="003F7981">
        <w:rPr>
          <w:rFonts w:ascii="Bookman Old Style" w:eastAsia="Arial" w:hAnsi="Bookman Old Style" w:cs="Arial"/>
          <w:color w:val="000000" w:themeColor="text1"/>
        </w:rPr>
        <w:t xml:space="preserve"> la empresa REFOENERGY solicitó plazo adicional para la entrega de la información.</w:t>
      </w:r>
    </w:p>
    <w:p w14:paraId="0104B961" w14:textId="6F18320F" w:rsidR="5A4700E7" w:rsidRPr="003F7981" w:rsidRDefault="5A4700E7" w:rsidP="00CF067A">
      <w:pPr>
        <w:ind w:left="284" w:right="6"/>
        <w:contextualSpacing/>
        <w:jc w:val="both"/>
        <w:rPr>
          <w:rFonts w:ascii="Bookman Old Style" w:eastAsia="Arial" w:hAnsi="Bookman Old Style" w:cs="Arial"/>
          <w:color w:val="000000" w:themeColor="text1"/>
        </w:rPr>
      </w:pPr>
    </w:p>
    <w:p w14:paraId="110EED96" w14:textId="5FE2FC6B" w:rsidR="001F6946" w:rsidRPr="003F7981" w:rsidRDefault="4F430317" w:rsidP="001F6946">
      <w:pPr>
        <w:ind w:left="284" w:right="6"/>
        <w:contextualSpacing/>
        <w:jc w:val="both"/>
        <w:rPr>
          <w:rFonts w:ascii="Bookman Old Style" w:eastAsia="Segoe UI" w:hAnsi="Bookman Old Style" w:cs="Segoe UI"/>
          <w:color w:val="000000" w:themeColor="text1"/>
          <w:lang w:val="es-MX"/>
        </w:rPr>
      </w:pPr>
      <w:r w:rsidRPr="003F7981">
        <w:rPr>
          <w:rFonts w:ascii="Bookman Old Style" w:eastAsia="Arial" w:hAnsi="Bookman Old Style" w:cs="Arial"/>
          <w:color w:val="000000" w:themeColor="text1"/>
        </w:rPr>
        <w:t>Por lo anterior, esta comisión concede el t</w:t>
      </w:r>
      <w:r w:rsidR="003F7981">
        <w:rPr>
          <w:rFonts w:ascii="Bookman Old Style" w:eastAsia="Arial" w:hAnsi="Bookman Old Style" w:cs="Arial"/>
          <w:color w:val="000000" w:themeColor="text1"/>
        </w:rPr>
        <w:t>é</w:t>
      </w:r>
      <w:r w:rsidRPr="003F7981">
        <w:rPr>
          <w:rFonts w:ascii="Bookman Old Style" w:eastAsia="Arial" w:hAnsi="Bookman Old Style" w:cs="Arial"/>
          <w:color w:val="000000" w:themeColor="text1"/>
        </w:rPr>
        <w:t>rmino adicional solicitado por REFOENERGY, mediante auto CREG I-2022-004789 del 16 de febrero de 2022.</w:t>
      </w:r>
      <w:r w:rsidR="001F6946" w:rsidRPr="003F7981">
        <w:rPr>
          <w:rFonts w:ascii="Bookman Old Style" w:eastAsia="Arial" w:hAnsi="Bookman Old Style" w:cs="Arial"/>
          <w:color w:val="000000" w:themeColor="text1"/>
        </w:rPr>
        <w:t xml:space="preserve"> El plazo fijado se estableció dentro de los cinco</w:t>
      </w:r>
      <w:r w:rsidR="006542BA" w:rsidRPr="003F7981">
        <w:rPr>
          <w:rFonts w:ascii="Bookman Old Style" w:eastAsia="Arial" w:hAnsi="Bookman Old Style" w:cs="Arial"/>
          <w:color w:val="000000" w:themeColor="text1"/>
        </w:rPr>
        <w:t xml:space="preserve"> </w:t>
      </w:r>
      <w:r w:rsidR="001F6946" w:rsidRPr="003F7981">
        <w:rPr>
          <w:rFonts w:ascii="Bookman Old Style" w:eastAsia="Arial" w:hAnsi="Bookman Old Style" w:cs="Arial"/>
          <w:color w:val="000000" w:themeColor="text1"/>
        </w:rPr>
        <w:t>(5) días calendarios siguientes al recibo de la comunicación del precitado auto, y remitido</w:t>
      </w:r>
      <w:r w:rsidR="001F6946" w:rsidRPr="003F7981">
        <w:rPr>
          <w:rFonts w:ascii="Bookman Old Style" w:hAnsi="Bookman Old Style" w:cs="Arial"/>
        </w:rPr>
        <w:t xml:space="preserve"> el 17 de febrero de 2022 a las empresas </w:t>
      </w:r>
      <w:r w:rsidR="001F6946" w:rsidRPr="003F7981">
        <w:rPr>
          <w:rFonts w:ascii="Bookman Old Style" w:eastAsia="Calibri" w:hAnsi="Bookman Old Style" w:cs="Arial"/>
          <w:lang w:eastAsia="en-US"/>
        </w:rPr>
        <w:t xml:space="preserve">REFONERGY </w:t>
      </w:r>
      <w:r w:rsidR="001F6946" w:rsidRPr="003F7981">
        <w:rPr>
          <w:rFonts w:ascii="Bookman Old Style" w:hAnsi="Bookman Old Style" w:cs="Arial"/>
        </w:rPr>
        <w:t xml:space="preserve">y a </w:t>
      </w:r>
      <w:r w:rsidR="001F6946" w:rsidRPr="003F7981">
        <w:rPr>
          <w:rFonts w:ascii="Bookman Old Style" w:hAnsi="Bookman Old Style" w:cs="Arial"/>
          <w:lang w:val="es-MX"/>
        </w:rPr>
        <w:t xml:space="preserve">ELECTROVICHADA, </w:t>
      </w:r>
      <w:r w:rsidR="001F6946" w:rsidRPr="003F7981">
        <w:rPr>
          <w:rFonts w:ascii="Bookman Old Style" w:hAnsi="Bookman Old Style" w:cs="Arial"/>
        </w:rPr>
        <w:t xml:space="preserve">mediante radicados CREG </w:t>
      </w:r>
      <w:r w:rsidR="001F6946" w:rsidRPr="003F7981">
        <w:rPr>
          <w:rFonts w:ascii="Bookman Old Style" w:hAnsi="Bookman Old Style" w:cs="Arial"/>
          <w:lang w:val="es-MX"/>
        </w:rPr>
        <w:t>S</w:t>
      </w:r>
      <w:r w:rsidR="001F6946" w:rsidRPr="003F7981">
        <w:rPr>
          <w:rFonts w:ascii="Bookman Old Style" w:hAnsi="Bookman Old Style" w:cs="Arial"/>
          <w:lang w:val="es-MX"/>
        </w:rPr>
        <w:noBreakHyphen/>
      </w:r>
      <w:r w:rsidR="001F6946" w:rsidRPr="003F7981">
        <w:rPr>
          <w:rFonts w:ascii="Bookman Old Style" w:eastAsia="Arial" w:hAnsi="Bookman Old Style" w:cs="Arial"/>
          <w:color w:val="000000" w:themeColor="text1"/>
        </w:rPr>
        <w:t xml:space="preserve"> 2022-00575 y S-2022-00574</w:t>
      </w:r>
      <w:r w:rsidR="001F6946" w:rsidRPr="003F7981">
        <w:rPr>
          <w:rFonts w:ascii="Bookman Old Style" w:hAnsi="Bookman Old Style" w:cs="Arial"/>
          <w:lang w:val="es-MX"/>
        </w:rPr>
        <w:t>, respectivamente.</w:t>
      </w:r>
    </w:p>
    <w:p w14:paraId="50F512E1" w14:textId="389E8B55" w:rsidR="5A4700E7" w:rsidRPr="003F7981" w:rsidRDefault="001F6946" w:rsidP="00CF067A">
      <w:pPr>
        <w:ind w:left="284" w:right="6"/>
        <w:contextualSpacing/>
        <w:rPr>
          <w:rFonts w:ascii="Bookman Old Style" w:eastAsia="Arial" w:hAnsi="Bookman Old Style" w:cs="Arial"/>
          <w:color w:val="000000" w:themeColor="text1"/>
        </w:rPr>
      </w:pPr>
      <w:r w:rsidRPr="003F7981">
        <w:rPr>
          <w:rFonts w:ascii="Bookman Old Style" w:eastAsia="Arial" w:hAnsi="Bookman Old Style" w:cs="Arial"/>
          <w:color w:val="000000" w:themeColor="text1"/>
        </w:rPr>
        <w:t xml:space="preserve"> </w:t>
      </w:r>
    </w:p>
    <w:p w14:paraId="6BB676D0" w14:textId="28819E81" w:rsidR="001F6946" w:rsidRPr="003F7981" w:rsidRDefault="001F6946" w:rsidP="001F6946">
      <w:pPr>
        <w:ind w:left="284"/>
        <w:contextualSpacing/>
        <w:jc w:val="both"/>
        <w:rPr>
          <w:rFonts w:ascii="Bookman Old Style" w:hAnsi="Bookman Old Style" w:cs="Arial"/>
        </w:rPr>
      </w:pPr>
      <w:r w:rsidRPr="003F7981">
        <w:rPr>
          <w:rFonts w:ascii="Bookman Old Style" w:hAnsi="Bookman Old Style" w:cs="Arial"/>
        </w:rPr>
        <w:t>A través de radicado CREG</w:t>
      </w:r>
      <w:r w:rsidRPr="003F7981">
        <w:rPr>
          <w:rFonts w:ascii="Bookman Old Style" w:hAnsi="Bookman Old Style" w:cs="Arial"/>
          <w:lang w:val="es-MX"/>
        </w:rPr>
        <w:t xml:space="preserve"> E-2022-002120, </w:t>
      </w:r>
      <w:r w:rsidRPr="003F7981">
        <w:rPr>
          <w:rFonts w:ascii="Bookman Old Style" w:hAnsi="Bookman Old Style" w:cs="Arial"/>
        </w:rPr>
        <w:t>y radicado CREG E-2022-002121, amb</w:t>
      </w:r>
      <w:r w:rsidR="00C06FD4" w:rsidRPr="003F7981">
        <w:rPr>
          <w:rFonts w:ascii="Bookman Old Style" w:hAnsi="Bookman Old Style" w:cs="Arial"/>
        </w:rPr>
        <w:t>o</w:t>
      </w:r>
      <w:r w:rsidRPr="003F7981">
        <w:rPr>
          <w:rFonts w:ascii="Bookman Old Style" w:hAnsi="Bookman Old Style" w:cs="Arial"/>
        </w:rPr>
        <w:t xml:space="preserve">s del 17 de febrero de 2022, </w:t>
      </w:r>
      <w:r w:rsidRPr="003F7981">
        <w:rPr>
          <w:rFonts w:ascii="Bookman Old Style" w:eastAsia="Calibri" w:hAnsi="Bookman Old Style"/>
        </w:rPr>
        <w:t>REFOENERGY</w:t>
      </w:r>
      <w:r w:rsidRPr="003F7981">
        <w:rPr>
          <w:rFonts w:ascii="Bookman Old Style" w:eastAsia="Calibri" w:hAnsi="Bookman Old Style" w:cs="Arial"/>
        </w:rPr>
        <w:t xml:space="preserve"> </w:t>
      </w:r>
      <w:r w:rsidRPr="003F7981">
        <w:rPr>
          <w:rFonts w:ascii="Bookman Old Style" w:hAnsi="Bookman Old Style" w:cs="Arial"/>
        </w:rPr>
        <w:t xml:space="preserve">presentó la información requerida en los autos de pruebas </w:t>
      </w:r>
      <w:r w:rsidRPr="003F7981">
        <w:rPr>
          <w:rFonts w:ascii="Bookman Old Style" w:eastAsia="Calibri" w:hAnsi="Bookman Old Style" w:cs="Arial"/>
          <w:lang w:eastAsia="en-US"/>
        </w:rPr>
        <w:t>Auto I-2021-003</w:t>
      </w:r>
      <w:r w:rsidR="00BF278D" w:rsidRPr="003F7981">
        <w:rPr>
          <w:rFonts w:ascii="Bookman Old Style" w:eastAsia="Calibri" w:hAnsi="Bookman Old Style" w:cs="Arial"/>
          <w:lang w:eastAsia="en-US"/>
        </w:rPr>
        <w:t>180</w:t>
      </w:r>
      <w:r w:rsidRPr="003F7981">
        <w:rPr>
          <w:rFonts w:ascii="Bookman Old Style" w:eastAsia="Calibri" w:hAnsi="Bookman Old Style" w:cs="Arial"/>
          <w:lang w:eastAsia="en-US"/>
        </w:rPr>
        <w:t xml:space="preserve"> y I-2022-004</w:t>
      </w:r>
      <w:r w:rsidR="00BF278D" w:rsidRPr="003F7981">
        <w:rPr>
          <w:rFonts w:ascii="Bookman Old Style" w:eastAsia="Calibri" w:hAnsi="Bookman Old Style" w:cs="Arial"/>
          <w:lang w:eastAsia="en-US"/>
        </w:rPr>
        <w:t>254</w:t>
      </w:r>
      <w:r w:rsidRPr="003F7981">
        <w:rPr>
          <w:rFonts w:ascii="Bookman Old Style" w:hAnsi="Bookman Old Style" w:cs="Arial"/>
        </w:rPr>
        <w:t>. Dentro de las consideraciones realizadas por la empresa en su comunicación, se aclaran elementos del diagrama unifilar, se actualizan y detallan costos unitarios en presupuestos y en los soportes económicos de las actividades costeadas, justificación frente a la actividad de interconexión del sistema, entre otros aspectos requeridos a través de los precitados autos de pruebas.</w:t>
      </w:r>
    </w:p>
    <w:p w14:paraId="38F3752F" w14:textId="419613F8" w:rsidR="5A4700E7" w:rsidRPr="003F7981" w:rsidRDefault="5A4700E7" w:rsidP="002B2E01">
      <w:pPr>
        <w:ind w:right="6"/>
        <w:contextualSpacing/>
        <w:jc w:val="both"/>
        <w:rPr>
          <w:rFonts w:ascii="Bookman Old Style" w:eastAsia="Arial Nova" w:hAnsi="Bookman Old Style" w:cs="Arial Nova"/>
          <w:lang w:val="es"/>
        </w:rPr>
      </w:pPr>
    </w:p>
    <w:p w14:paraId="024C6480" w14:textId="0FAA898B" w:rsidR="00BF278D" w:rsidRPr="003F7981" w:rsidRDefault="00BF278D" w:rsidP="00BF278D">
      <w:pPr>
        <w:ind w:left="284"/>
        <w:contextualSpacing/>
        <w:jc w:val="both"/>
        <w:rPr>
          <w:rFonts w:ascii="Bookman Old Style" w:hAnsi="Bookman Old Style" w:cs="Arial"/>
        </w:rPr>
      </w:pPr>
      <w:r w:rsidRPr="003F7981">
        <w:rPr>
          <w:rFonts w:ascii="Bookman Old Style" w:hAnsi="Bookman Old Style" w:cs="Arial"/>
        </w:rPr>
        <w:t xml:space="preserve">Mediante certificación de fijación el 24 de junio de 2022 y </w:t>
      </w:r>
      <w:proofErr w:type="spellStart"/>
      <w:r w:rsidRPr="003F7981">
        <w:rPr>
          <w:rFonts w:ascii="Bookman Old Style" w:hAnsi="Bookman Old Style" w:cs="Arial"/>
        </w:rPr>
        <w:t>desfi</w:t>
      </w:r>
      <w:r w:rsidR="002D3809" w:rsidRPr="003F7981">
        <w:rPr>
          <w:rFonts w:ascii="Bookman Old Style" w:hAnsi="Bookman Old Style" w:cs="Arial"/>
        </w:rPr>
        <w:t>j</w:t>
      </w:r>
      <w:r w:rsidRPr="003F7981">
        <w:rPr>
          <w:rFonts w:ascii="Bookman Old Style" w:hAnsi="Bookman Old Style" w:cs="Arial"/>
        </w:rPr>
        <w:t>ación</w:t>
      </w:r>
      <w:proofErr w:type="spellEnd"/>
      <w:r w:rsidRPr="003F7981">
        <w:rPr>
          <w:rFonts w:ascii="Bookman Old Style" w:hAnsi="Bookman Old Style" w:cs="Arial"/>
        </w:rPr>
        <w:t xml:space="preserve"> el 01 de julio de 2022, la Alcaldía de </w:t>
      </w:r>
      <w:r w:rsidR="004F017B">
        <w:rPr>
          <w:rFonts w:ascii="Bookman Old Style" w:hAnsi="Bookman Old Style" w:cs="Arial"/>
        </w:rPr>
        <w:t>puerto Carreño</w:t>
      </w:r>
      <w:r w:rsidRPr="003F7981">
        <w:rPr>
          <w:rFonts w:ascii="Bookman Old Style" w:hAnsi="Bookman Old Style" w:cs="Arial"/>
        </w:rPr>
        <w:t xml:space="preserve"> publicó el aviso No. 112, de la actuación administrativa iniciada con base en la propuesta de remuneración para </w:t>
      </w:r>
      <w:r w:rsidRPr="003F7981">
        <w:rPr>
          <w:rFonts w:ascii="Bookman Old Style" w:eastAsia="Arial" w:hAnsi="Bookman Old Style" w:cs="Arial"/>
          <w:color w:val="000000" w:themeColor="text1"/>
        </w:rPr>
        <w:t>proyecto de generación híbrido presentado por REFOENERGY</w:t>
      </w:r>
      <w:r w:rsidRPr="003F7981">
        <w:rPr>
          <w:rFonts w:ascii="Bookman Old Style" w:hAnsi="Bookman Old Style" w:cs="Arial"/>
        </w:rPr>
        <w:t>, dando aplicación a la comunicación y publicidad determinada en el CPACA.</w:t>
      </w:r>
    </w:p>
    <w:p w14:paraId="72A3782B" w14:textId="18F471F4" w:rsidR="28A26C74" w:rsidRDefault="28A26C74" w:rsidP="00604901">
      <w:pPr>
        <w:contextualSpacing/>
        <w:jc w:val="both"/>
        <w:rPr>
          <w:rFonts w:ascii="Bookman Old Style" w:hAnsi="Bookman Old Style" w:cs="Arial"/>
        </w:rPr>
      </w:pPr>
    </w:p>
    <w:p w14:paraId="611933DC" w14:textId="4F3A06CE" w:rsidR="007A5599" w:rsidRPr="003F7981" w:rsidRDefault="2290A195" w:rsidP="00CF067A">
      <w:pPr>
        <w:ind w:left="284" w:right="6"/>
        <w:contextualSpacing/>
        <w:jc w:val="both"/>
        <w:rPr>
          <w:rFonts w:ascii="Bookman Old Style" w:eastAsia="Arial Nova" w:hAnsi="Bookman Old Style" w:cs="Arial Nova"/>
          <w:lang w:val="es"/>
        </w:rPr>
      </w:pPr>
      <w:r w:rsidRPr="003F7981">
        <w:rPr>
          <w:rFonts w:ascii="Bookman Old Style" w:eastAsia="Arial Nova" w:hAnsi="Bookman Old Style" w:cs="Arial Nova"/>
          <w:lang w:val="es"/>
        </w:rPr>
        <w:t>Esta información hace parte de los expedientes administrativos dentro del trámite de la actuación administrativa en el marco del debido proceso y el derecho de defensa.</w:t>
      </w:r>
    </w:p>
    <w:p w14:paraId="4F24B7B1" w14:textId="74978B3C" w:rsidR="007A5599" w:rsidRPr="003F7981" w:rsidRDefault="007A5599" w:rsidP="00CF067A">
      <w:pPr>
        <w:pStyle w:val="Textoindependiente2"/>
        <w:spacing w:after="0" w:line="240" w:lineRule="auto"/>
        <w:ind w:left="284" w:right="6"/>
        <w:contextualSpacing/>
        <w:jc w:val="both"/>
        <w:rPr>
          <w:rFonts w:ascii="Bookman Old Style" w:hAnsi="Bookman Old Style" w:cs="Arial"/>
          <w:lang w:val="es-MX"/>
        </w:rPr>
      </w:pPr>
    </w:p>
    <w:p w14:paraId="4812C1C0" w14:textId="42533097" w:rsidR="001A74A7" w:rsidRPr="003F7981" w:rsidRDefault="001A74A7" w:rsidP="00CF067A">
      <w:pPr>
        <w:numPr>
          <w:ilvl w:val="0"/>
          <w:numId w:val="8"/>
        </w:numPr>
        <w:ind w:right="6"/>
        <w:contextualSpacing/>
        <w:jc w:val="both"/>
        <w:rPr>
          <w:rFonts w:ascii="Bookman Old Style" w:hAnsi="Bookman Old Style" w:cs="Arial"/>
          <w:b/>
        </w:rPr>
      </w:pPr>
      <w:r w:rsidRPr="003F7981">
        <w:rPr>
          <w:rFonts w:ascii="Bookman Old Style" w:hAnsi="Bookman Old Style" w:cs="Arial"/>
          <w:b/>
        </w:rPr>
        <w:t>ANÁLISIS DE LA SOLICITUD</w:t>
      </w:r>
    </w:p>
    <w:p w14:paraId="129FB39A" w14:textId="77777777" w:rsidR="005F2B6B" w:rsidRPr="003F7981" w:rsidRDefault="005F2B6B" w:rsidP="00CF067A">
      <w:pPr>
        <w:ind w:left="284" w:right="6"/>
        <w:contextualSpacing/>
        <w:jc w:val="both"/>
        <w:rPr>
          <w:rFonts w:ascii="Bookman Old Style" w:hAnsi="Bookman Old Style" w:cs="Arial"/>
          <w:b/>
        </w:rPr>
      </w:pPr>
    </w:p>
    <w:p w14:paraId="13B9CE0D" w14:textId="77777777" w:rsidR="00D451C0" w:rsidRPr="003F7981" w:rsidRDefault="00D451C0" w:rsidP="00CF067A">
      <w:pPr>
        <w:pStyle w:val="Prrafodelista"/>
        <w:numPr>
          <w:ilvl w:val="1"/>
          <w:numId w:val="8"/>
        </w:numPr>
        <w:ind w:right="6"/>
        <w:contextualSpacing/>
        <w:jc w:val="both"/>
        <w:rPr>
          <w:rFonts w:ascii="Bookman Old Style" w:hAnsi="Bookman Old Style"/>
          <w:b/>
          <w:sz w:val="24"/>
          <w:szCs w:val="24"/>
        </w:rPr>
      </w:pPr>
      <w:r w:rsidRPr="003F7981">
        <w:rPr>
          <w:rFonts w:ascii="Bookman Old Style" w:hAnsi="Bookman Old Style"/>
          <w:b/>
          <w:sz w:val="24"/>
          <w:szCs w:val="24"/>
        </w:rPr>
        <w:t>CONSIDERACIÓN JURÍDICA</w:t>
      </w:r>
    </w:p>
    <w:p w14:paraId="5A22778D" w14:textId="77777777" w:rsidR="0007678D" w:rsidRPr="003F7981" w:rsidRDefault="0007678D" w:rsidP="00CF067A">
      <w:pPr>
        <w:ind w:left="284" w:right="6"/>
        <w:contextualSpacing/>
        <w:jc w:val="both"/>
        <w:rPr>
          <w:rFonts w:ascii="Bookman Old Style" w:hAnsi="Bookman Old Style"/>
          <w:b/>
        </w:rPr>
      </w:pPr>
    </w:p>
    <w:p w14:paraId="77514A37" w14:textId="59EAA43C" w:rsidR="00727040" w:rsidRPr="003F7981" w:rsidRDefault="00727040" w:rsidP="00CF067A">
      <w:pPr>
        <w:ind w:left="284" w:right="6"/>
        <w:contextualSpacing/>
        <w:jc w:val="both"/>
        <w:rPr>
          <w:rFonts w:ascii="Bookman Old Style" w:hAnsi="Bookman Old Style" w:cs="Arial"/>
        </w:rPr>
      </w:pPr>
      <w:r w:rsidRPr="003F7981">
        <w:rPr>
          <w:rFonts w:ascii="Bookman Old Style" w:hAnsi="Bookman Old Style" w:cs="Arial"/>
        </w:rPr>
        <w:t xml:space="preserve">Mediante la Resolución CREG 091 de 2007 se establecen las metodologías generales para remunerar las actividades de generación, distribución y comercialización de energía eléctrica, y las fórmulas tarifarias generales para establecer el costo unitario de prestación del servicio público de energía eléctrica en </w:t>
      </w:r>
      <w:r w:rsidR="00C21AD5" w:rsidRPr="003F7981">
        <w:rPr>
          <w:rFonts w:ascii="Bookman Old Style" w:hAnsi="Bookman Old Style" w:cs="Arial"/>
        </w:rPr>
        <w:t>Zonas No Interconectadas</w:t>
      </w:r>
      <w:r w:rsidRPr="003F7981">
        <w:rPr>
          <w:rFonts w:ascii="Bookman Old Style" w:hAnsi="Bookman Old Style" w:cs="Arial"/>
        </w:rPr>
        <w:t>.</w:t>
      </w:r>
    </w:p>
    <w:p w14:paraId="049912B3" w14:textId="77777777" w:rsidR="00A0381B" w:rsidRPr="003F7981" w:rsidRDefault="00A0381B" w:rsidP="00CF067A">
      <w:pPr>
        <w:ind w:left="284" w:right="6"/>
        <w:contextualSpacing/>
        <w:jc w:val="both"/>
        <w:rPr>
          <w:rFonts w:ascii="Bookman Old Style" w:hAnsi="Bookman Old Style" w:cs="Arial"/>
        </w:rPr>
      </w:pPr>
    </w:p>
    <w:p w14:paraId="7F6F1419" w14:textId="32A812DF" w:rsidR="00727040" w:rsidRPr="003F7981" w:rsidRDefault="00727040" w:rsidP="00CF067A">
      <w:pPr>
        <w:ind w:left="284" w:right="6"/>
        <w:contextualSpacing/>
        <w:jc w:val="both"/>
        <w:rPr>
          <w:rFonts w:ascii="Bookman Old Style" w:hAnsi="Bookman Old Style" w:cs="Arial"/>
        </w:rPr>
      </w:pPr>
      <w:r w:rsidRPr="003F7981">
        <w:rPr>
          <w:rFonts w:ascii="Bookman Old Style" w:hAnsi="Bookman Old Style" w:cs="Arial"/>
        </w:rPr>
        <w:t>Mediante las Resoluciones CREG 161 de 2008, 057, 074, 097 de 2009 y 072 de 2013</w:t>
      </w:r>
      <w:r w:rsidR="00C21AD5" w:rsidRPr="003F7981">
        <w:rPr>
          <w:rFonts w:ascii="Bookman Old Style" w:hAnsi="Bookman Old Style" w:cs="Arial"/>
        </w:rPr>
        <w:t>,</w:t>
      </w:r>
      <w:r w:rsidRPr="003F7981">
        <w:rPr>
          <w:rFonts w:ascii="Bookman Old Style" w:hAnsi="Bookman Old Style" w:cs="Arial"/>
        </w:rPr>
        <w:t xml:space="preserve"> se modificó la Resolución CREG 091 de 2007.</w:t>
      </w:r>
    </w:p>
    <w:p w14:paraId="7D9DAAF0" w14:textId="77777777" w:rsidR="00834F8E" w:rsidRPr="003F7981" w:rsidRDefault="00834F8E" w:rsidP="00CF067A">
      <w:pPr>
        <w:ind w:right="6"/>
        <w:jc w:val="both"/>
        <w:rPr>
          <w:rFonts w:ascii="Bookman Old Style" w:hAnsi="Bookman Old Style"/>
          <w:lang w:val="es-MX"/>
        </w:rPr>
      </w:pPr>
    </w:p>
    <w:p w14:paraId="24B3A3AA" w14:textId="449F1011" w:rsidR="00834F8E" w:rsidRPr="003F7981" w:rsidRDefault="00834F8E" w:rsidP="00CF067A">
      <w:pPr>
        <w:tabs>
          <w:tab w:val="left" w:pos="1477"/>
        </w:tabs>
        <w:spacing w:after="160" w:line="259" w:lineRule="auto"/>
        <w:ind w:left="284" w:right="6"/>
        <w:jc w:val="both"/>
        <w:rPr>
          <w:rFonts w:ascii="Bookman Old Style" w:hAnsi="Bookman Old Style"/>
          <w:lang w:val="es-CO"/>
        </w:rPr>
      </w:pPr>
      <w:r w:rsidRPr="003F7981">
        <w:rPr>
          <w:rFonts w:ascii="Bookman Old Style" w:hAnsi="Bookman Old Style"/>
        </w:rPr>
        <w:t xml:space="preserve">Debe resaltarse que </w:t>
      </w:r>
      <w:r w:rsidRPr="003F7981">
        <w:rPr>
          <w:rFonts w:ascii="Bookman Old Style" w:hAnsi="Bookman Old Style"/>
          <w:lang w:val="es-CO"/>
        </w:rPr>
        <w:t xml:space="preserve">el municipio de </w:t>
      </w:r>
      <w:r w:rsidR="000D3C37" w:rsidRPr="003F7981">
        <w:rPr>
          <w:rFonts w:ascii="Bookman Old Style" w:hAnsi="Bookman Old Style"/>
          <w:lang w:val="es-CO"/>
        </w:rPr>
        <w:t>Puerto Carreño</w:t>
      </w:r>
      <w:r w:rsidRPr="003F7981">
        <w:rPr>
          <w:rFonts w:ascii="Bookman Old Style" w:hAnsi="Bookman Old Style"/>
          <w:lang w:val="es-CO"/>
        </w:rPr>
        <w:t xml:space="preserve">, </w:t>
      </w:r>
      <w:r w:rsidR="000D3C37" w:rsidRPr="003F7981">
        <w:rPr>
          <w:rFonts w:ascii="Bookman Old Style" w:hAnsi="Bookman Old Style"/>
          <w:lang w:val="es-CO"/>
        </w:rPr>
        <w:t>Vichada</w:t>
      </w:r>
      <w:r w:rsidRPr="003F7981">
        <w:rPr>
          <w:rFonts w:ascii="Bookman Old Style" w:hAnsi="Bookman Old Style"/>
          <w:lang w:val="es-CO"/>
        </w:rPr>
        <w:t>, no hace parte de ninguna área de servicio exclusivo</w:t>
      </w:r>
      <w:r w:rsidRPr="003F7981">
        <w:rPr>
          <w:rFonts w:ascii="Bookman Old Style" w:hAnsi="Bookman Old Style"/>
          <w:vertAlign w:val="superscript"/>
        </w:rPr>
        <w:t xml:space="preserve"> </w:t>
      </w:r>
      <w:r w:rsidRPr="003F7981">
        <w:rPr>
          <w:rFonts w:ascii="Bookman Old Style" w:hAnsi="Bookman Old Style"/>
          <w:lang w:val="es-CO"/>
        </w:rPr>
        <w:t>para la prestación del servicio público domiciliario de energía eléctrica o sus actividades complementarias</w:t>
      </w:r>
      <w:r w:rsidRPr="003F7981">
        <w:rPr>
          <w:rFonts w:ascii="Bookman Old Style" w:hAnsi="Bookman Old Style"/>
        </w:rPr>
        <w:t xml:space="preserve">, en los términos del artículo 40 de la </w:t>
      </w:r>
      <w:r w:rsidR="006C40CE" w:rsidRPr="003F7981">
        <w:rPr>
          <w:rFonts w:ascii="Bookman Old Style" w:hAnsi="Bookman Old Style"/>
        </w:rPr>
        <w:t>L</w:t>
      </w:r>
      <w:r w:rsidRPr="003F7981">
        <w:rPr>
          <w:rFonts w:ascii="Bookman Old Style" w:hAnsi="Bookman Old Style"/>
        </w:rPr>
        <w:t xml:space="preserve">ey 142 de 1994 </w:t>
      </w:r>
      <w:r w:rsidRPr="003F7981">
        <w:rPr>
          <w:rFonts w:ascii="Bookman Old Style" w:hAnsi="Bookman Old Style"/>
          <w:lang w:val="es-CO"/>
        </w:rPr>
        <w:t>y</w:t>
      </w:r>
      <w:r w:rsidR="00EB5E0B" w:rsidRPr="003F7981">
        <w:rPr>
          <w:rFonts w:ascii="Bookman Old Style" w:hAnsi="Bookman Old Style"/>
          <w:lang w:val="es-CO"/>
        </w:rPr>
        <w:t>,</w:t>
      </w:r>
      <w:r w:rsidRPr="003F7981">
        <w:rPr>
          <w:rFonts w:ascii="Bookman Old Style" w:hAnsi="Bookman Old Style"/>
          <w:lang w:val="es-CO"/>
        </w:rPr>
        <w:t xml:space="preserve"> por tanto</w:t>
      </w:r>
      <w:r w:rsidR="00EB5E0B" w:rsidRPr="003F7981">
        <w:rPr>
          <w:rFonts w:ascii="Bookman Old Style" w:hAnsi="Bookman Old Style"/>
          <w:lang w:val="es-CO"/>
        </w:rPr>
        <w:t>,</w:t>
      </w:r>
      <w:r w:rsidRPr="003F7981">
        <w:rPr>
          <w:rFonts w:ascii="Bookman Old Style" w:hAnsi="Bookman Old Style"/>
        </w:rPr>
        <w:t xml:space="preserve"> </w:t>
      </w:r>
      <w:r w:rsidRPr="003F7981">
        <w:rPr>
          <w:rFonts w:ascii="Bookman Old Style" w:hAnsi="Bookman Old Style"/>
          <w:lang w:val="es-CO"/>
        </w:rPr>
        <w:t xml:space="preserve">en dicha área </w:t>
      </w:r>
      <w:r w:rsidRPr="003F7981">
        <w:rPr>
          <w:rFonts w:ascii="Bookman Old Style" w:hAnsi="Bookman Old Style"/>
          <w:lang w:val="es-CO"/>
        </w:rPr>
        <w:lastRenderedPageBreak/>
        <w:t xml:space="preserve">geográfica no existe exclusividad en la prestación del servicio público de energía eléctrica o sus actividades complementarías. </w:t>
      </w:r>
    </w:p>
    <w:p w14:paraId="65607592" w14:textId="344F6A14" w:rsidR="00B404D2" w:rsidRPr="003F7981" w:rsidRDefault="00B404D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En el artículo 2 de la Resolución CREG 091 de 2007 </w:t>
      </w:r>
      <w:r w:rsidR="00EB5E0B" w:rsidRPr="003F7981">
        <w:rPr>
          <w:rFonts w:ascii="Bookman Old Style" w:hAnsi="Bookman Old Style"/>
          <w:sz w:val="24"/>
          <w:szCs w:val="24"/>
        </w:rPr>
        <w:t xml:space="preserve">se </w:t>
      </w:r>
      <w:r w:rsidR="00E25C2E" w:rsidRPr="003F7981">
        <w:rPr>
          <w:rFonts w:ascii="Bookman Old Style" w:hAnsi="Bookman Old Style"/>
          <w:sz w:val="24"/>
          <w:szCs w:val="24"/>
        </w:rPr>
        <w:t>define</w:t>
      </w:r>
      <w:r w:rsidR="00DA1850" w:rsidRPr="003F7981">
        <w:rPr>
          <w:rFonts w:ascii="Bookman Old Style" w:hAnsi="Bookman Old Style"/>
          <w:sz w:val="24"/>
          <w:szCs w:val="24"/>
        </w:rPr>
        <w:t xml:space="preserve"> </w:t>
      </w:r>
      <w:r w:rsidR="009C0229" w:rsidRPr="003F7981">
        <w:rPr>
          <w:rFonts w:ascii="Bookman Old Style" w:hAnsi="Bookman Old Style"/>
          <w:sz w:val="24"/>
          <w:szCs w:val="24"/>
        </w:rPr>
        <w:t>el mercado de relevante de comercialización y el parque de generación de la siguiente manera</w:t>
      </w:r>
      <w:r w:rsidRPr="003F7981">
        <w:rPr>
          <w:rFonts w:ascii="Bookman Old Style" w:hAnsi="Bookman Old Style"/>
          <w:sz w:val="24"/>
          <w:szCs w:val="24"/>
        </w:rPr>
        <w:t>:</w:t>
      </w:r>
    </w:p>
    <w:p w14:paraId="408B58F3" w14:textId="77777777" w:rsidR="00B404D2" w:rsidRPr="003F7981" w:rsidRDefault="00B404D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2F32B1E" w14:textId="721B4409" w:rsidR="00B404D2" w:rsidRPr="003F7981" w:rsidRDefault="00B404D2" w:rsidP="00CF067A">
      <w:pPr>
        <w:pStyle w:val="Style2"/>
        <w:spacing w:before="0" w:line="240" w:lineRule="auto"/>
        <w:ind w:left="567" w:right="6" w:firstLine="0"/>
        <w:contextualSpacing/>
        <w:jc w:val="both"/>
        <w:rPr>
          <w:rFonts w:ascii="Bookman Old Style" w:hAnsi="Bookman Old Style"/>
          <w:i/>
          <w:iCs/>
          <w:sz w:val="22"/>
          <w:szCs w:val="22"/>
        </w:rPr>
      </w:pPr>
      <w:r w:rsidRPr="003F7981">
        <w:rPr>
          <w:rFonts w:ascii="Bookman Old Style" w:hAnsi="Bookman Old Style"/>
          <w:i/>
          <w:iCs/>
          <w:sz w:val="22"/>
          <w:szCs w:val="22"/>
        </w:rPr>
        <w:t>“</w:t>
      </w:r>
      <w:r w:rsidRPr="003F7981">
        <w:rPr>
          <w:rFonts w:ascii="Bookman Old Style" w:hAnsi="Bookman Old Style"/>
          <w:b/>
          <w:bCs/>
          <w:i/>
          <w:iCs/>
          <w:sz w:val="22"/>
          <w:szCs w:val="22"/>
        </w:rPr>
        <w:t>Artículo 2. Definiciones.</w:t>
      </w:r>
      <w:r w:rsidRPr="003F7981">
        <w:rPr>
          <w:rFonts w:ascii="Bookman Old Style" w:hAnsi="Bookman Old Style"/>
          <w:i/>
          <w:iCs/>
          <w:sz w:val="22"/>
          <w:szCs w:val="22"/>
        </w:rPr>
        <w:t xml:space="preserve"> Para la interpretación y aplicación de esta Resolución se tendrán en cuenta, además de las definiciones contenidas en las Leyes 142 y 143 de 1994 y en las resoluciones vigentes de la CREG, las siguientes: (…)</w:t>
      </w:r>
    </w:p>
    <w:p w14:paraId="3B1514EF" w14:textId="77777777" w:rsidR="00AD369B" w:rsidRPr="003F7981" w:rsidRDefault="00AD369B" w:rsidP="00CF067A">
      <w:pPr>
        <w:pStyle w:val="Style2"/>
        <w:spacing w:before="0" w:line="240" w:lineRule="auto"/>
        <w:ind w:left="567" w:right="6" w:firstLine="0"/>
        <w:contextualSpacing/>
        <w:jc w:val="both"/>
        <w:rPr>
          <w:rFonts w:ascii="Bookman Old Style" w:hAnsi="Bookman Old Style"/>
          <w:i/>
          <w:iCs/>
          <w:sz w:val="22"/>
          <w:szCs w:val="22"/>
        </w:rPr>
      </w:pPr>
    </w:p>
    <w:p w14:paraId="45C9BDAB" w14:textId="3B1CD56F" w:rsidR="00B404D2" w:rsidRPr="003F7981" w:rsidRDefault="00B404D2" w:rsidP="00CF067A">
      <w:pPr>
        <w:pStyle w:val="Style2"/>
        <w:spacing w:before="0" w:line="240" w:lineRule="auto"/>
        <w:ind w:left="567" w:right="6" w:firstLine="0"/>
        <w:contextualSpacing/>
        <w:jc w:val="both"/>
        <w:rPr>
          <w:rFonts w:ascii="Bookman Old Style" w:hAnsi="Bookman Old Style"/>
          <w:i/>
          <w:iCs/>
          <w:sz w:val="22"/>
          <w:szCs w:val="22"/>
        </w:rPr>
      </w:pPr>
      <w:r w:rsidRPr="003F7981">
        <w:rPr>
          <w:rFonts w:ascii="Bookman Old Style" w:hAnsi="Bookman Old Style"/>
          <w:b/>
          <w:bCs/>
          <w:i/>
          <w:iCs/>
          <w:sz w:val="22"/>
          <w:szCs w:val="22"/>
        </w:rPr>
        <w:t>Mercado Relevante de Comercialización:</w:t>
      </w:r>
      <w:r w:rsidRPr="003F7981">
        <w:rPr>
          <w:rFonts w:ascii="Bookman Old Style" w:hAnsi="Bookman Old Style"/>
          <w:i/>
          <w:iCs/>
          <w:sz w:val="22"/>
          <w:szCs w:val="22"/>
        </w:rPr>
        <w:t xml:space="preserve"> Conjunto de usuarios conectados a un</w:t>
      </w:r>
      <w:r w:rsidRPr="003F7981">
        <w:rPr>
          <w:rFonts w:ascii="Bookman Old Style" w:hAnsi="Bookman Old Style"/>
          <w:i/>
          <w:sz w:val="22"/>
          <w:szCs w:val="22"/>
        </w:rPr>
        <w:t xml:space="preserve"> mismo</w:t>
      </w:r>
      <w:r w:rsidRPr="003F7981">
        <w:rPr>
          <w:rFonts w:ascii="Bookman Old Style" w:hAnsi="Bookman Old Style"/>
          <w:i/>
          <w:iCs/>
          <w:sz w:val="22"/>
          <w:szCs w:val="22"/>
        </w:rPr>
        <w:t xml:space="preserve"> Sistema de Distribución Local o atendido sin red física por un Distribuidor. (…)”</w:t>
      </w:r>
    </w:p>
    <w:p w14:paraId="2ACD3310" w14:textId="77777777" w:rsidR="00053032" w:rsidRPr="003F7981" w:rsidRDefault="00053032" w:rsidP="00CF067A">
      <w:pPr>
        <w:pStyle w:val="Style2"/>
        <w:spacing w:before="0" w:line="240" w:lineRule="auto"/>
        <w:ind w:left="567" w:right="6" w:firstLine="0"/>
        <w:contextualSpacing/>
        <w:jc w:val="both"/>
        <w:rPr>
          <w:rFonts w:ascii="Bookman Old Style" w:hAnsi="Bookman Old Style"/>
          <w:b/>
          <w:bCs/>
          <w:i/>
          <w:iCs/>
          <w:sz w:val="22"/>
          <w:szCs w:val="22"/>
        </w:rPr>
      </w:pPr>
    </w:p>
    <w:p w14:paraId="5C34C928" w14:textId="5A8B3DC2" w:rsidR="00053032" w:rsidRPr="003F7981" w:rsidRDefault="00053032" w:rsidP="00CF067A">
      <w:pPr>
        <w:pStyle w:val="Style2"/>
        <w:spacing w:before="0" w:line="240" w:lineRule="auto"/>
        <w:ind w:left="567" w:right="6" w:firstLine="0"/>
        <w:contextualSpacing/>
        <w:jc w:val="both"/>
        <w:rPr>
          <w:rFonts w:ascii="Bookman Old Style" w:hAnsi="Bookman Old Style"/>
          <w:i/>
          <w:iCs/>
          <w:sz w:val="22"/>
          <w:szCs w:val="22"/>
        </w:rPr>
      </w:pPr>
      <w:r w:rsidRPr="003F7981">
        <w:rPr>
          <w:rFonts w:ascii="Bookman Old Style" w:hAnsi="Bookman Old Style"/>
          <w:b/>
          <w:bCs/>
          <w:i/>
          <w:iCs/>
          <w:sz w:val="22"/>
          <w:szCs w:val="22"/>
        </w:rPr>
        <w:t>Parque de Generación: </w:t>
      </w:r>
      <w:r w:rsidRPr="003F7981">
        <w:rPr>
          <w:rFonts w:ascii="Bookman Old Style" w:hAnsi="Bookman Old Style"/>
          <w:i/>
          <w:iCs/>
          <w:sz w:val="22"/>
          <w:szCs w:val="22"/>
        </w:rPr>
        <w:t>Conjunto de unidades de generación con el que se atiende un Mercado Relevante de Comercialización.</w:t>
      </w:r>
    </w:p>
    <w:p w14:paraId="1383C40C" w14:textId="4104B76F" w:rsidR="00053032" w:rsidRPr="003F7981" w:rsidRDefault="00053032" w:rsidP="00CF067A">
      <w:pPr>
        <w:pStyle w:val="Style2"/>
        <w:spacing w:before="0" w:line="240" w:lineRule="auto"/>
        <w:ind w:left="567" w:right="6" w:firstLine="0"/>
        <w:contextualSpacing/>
        <w:jc w:val="both"/>
        <w:rPr>
          <w:rFonts w:ascii="Bookman Old Style" w:hAnsi="Bookman Old Style"/>
          <w:i/>
          <w:iCs/>
          <w:sz w:val="24"/>
          <w:szCs w:val="24"/>
          <w:highlight w:val="yellow"/>
        </w:rPr>
      </w:pPr>
    </w:p>
    <w:p w14:paraId="65AA9A0F" w14:textId="556E4EA2" w:rsidR="005006B9" w:rsidRPr="003F7981" w:rsidRDefault="005006B9"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El</w:t>
      </w:r>
      <w:r w:rsidR="00A0381B" w:rsidRPr="003F7981">
        <w:rPr>
          <w:rFonts w:ascii="Bookman Old Style" w:hAnsi="Bookman Old Style"/>
          <w:sz w:val="24"/>
          <w:szCs w:val="24"/>
        </w:rPr>
        <w:t xml:space="preserve"> literal d</w:t>
      </w:r>
      <w:r w:rsidR="00C06FD4" w:rsidRPr="003F7981">
        <w:rPr>
          <w:rFonts w:ascii="Bookman Old Style" w:hAnsi="Bookman Old Style"/>
          <w:sz w:val="24"/>
          <w:szCs w:val="24"/>
        </w:rPr>
        <w:t>)</w:t>
      </w:r>
      <w:r w:rsidR="00A0381B" w:rsidRPr="003F7981">
        <w:rPr>
          <w:rFonts w:ascii="Bookman Old Style" w:hAnsi="Bookman Old Style"/>
          <w:sz w:val="24"/>
          <w:szCs w:val="24"/>
        </w:rPr>
        <w:t xml:space="preserve"> del</w:t>
      </w:r>
      <w:r w:rsidRPr="003F7981">
        <w:rPr>
          <w:rFonts w:ascii="Bookman Old Style" w:hAnsi="Bookman Old Style"/>
          <w:sz w:val="24"/>
          <w:szCs w:val="24"/>
        </w:rPr>
        <w:t xml:space="preserve"> art</w:t>
      </w:r>
      <w:r w:rsidR="00967D8F" w:rsidRPr="003F7981">
        <w:rPr>
          <w:rFonts w:ascii="Bookman Old Style" w:hAnsi="Bookman Old Style"/>
          <w:sz w:val="24"/>
          <w:szCs w:val="24"/>
        </w:rPr>
        <w:t xml:space="preserve">ículo </w:t>
      </w:r>
      <w:r w:rsidR="00A0381B" w:rsidRPr="003F7981">
        <w:rPr>
          <w:rFonts w:ascii="Bookman Old Style" w:hAnsi="Bookman Old Style"/>
          <w:sz w:val="24"/>
          <w:szCs w:val="24"/>
        </w:rPr>
        <w:t>22</w:t>
      </w:r>
      <w:r w:rsidR="00967D8F" w:rsidRPr="003F7981">
        <w:rPr>
          <w:rFonts w:ascii="Bookman Old Style" w:hAnsi="Bookman Old Style"/>
          <w:sz w:val="24"/>
          <w:szCs w:val="24"/>
        </w:rPr>
        <w:t xml:space="preserve"> de la </w:t>
      </w:r>
      <w:r w:rsidR="00A0381B" w:rsidRPr="003F7981">
        <w:rPr>
          <w:rFonts w:ascii="Bookman Old Style" w:hAnsi="Bookman Old Style"/>
          <w:sz w:val="24"/>
          <w:szCs w:val="24"/>
        </w:rPr>
        <w:t>Resolución CREG 091 de 2007</w:t>
      </w:r>
      <w:r w:rsidR="00967D8F" w:rsidRPr="003F7981">
        <w:rPr>
          <w:rFonts w:ascii="Bookman Old Style" w:hAnsi="Bookman Old Style"/>
          <w:sz w:val="24"/>
          <w:szCs w:val="24"/>
        </w:rPr>
        <w:t xml:space="preserve">, invocado como fundamento de la solicitud, </w:t>
      </w:r>
      <w:r w:rsidR="006926AA" w:rsidRPr="003F7981">
        <w:rPr>
          <w:rFonts w:ascii="Bookman Old Style" w:hAnsi="Bookman Old Style"/>
          <w:sz w:val="24"/>
          <w:szCs w:val="24"/>
        </w:rPr>
        <w:t>señala lo siguiente</w:t>
      </w:r>
      <w:r w:rsidR="00967D8F" w:rsidRPr="003F7981">
        <w:rPr>
          <w:rFonts w:ascii="Bookman Old Style" w:hAnsi="Bookman Old Style"/>
          <w:sz w:val="24"/>
          <w:szCs w:val="24"/>
        </w:rPr>
        <w:t xml:space="preserve">: </w:t>
      </w:r>
    </w:p>
    <w:p w14:paraId="5CE51F98" w14:textId="77777777" w:rsidR="005006B9" w:rsidRPr="003F7981" w:rsidRDefault="005006B9"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5B3F2AFE" w14:textId="2996525C" w:rsidR="00A0381B" w:rsidRPr="003F7981" w:rsidRDefault="005A522D" w:rsidP="00CF067A">
      <w:pPr>
        <w:ind w:left="567" w:right="6"/>
        <w:contextualSpacing/>
        <w:jc w:val="both"/>
        <w:rPr>
          <w:rFonts w:ascii="Bookman Old Style" w:hAnsi="Bookman Old Style" w:cs="Arial"/>
          <w:i/>
          <w:sz w:val="22"/>
          <w:szCs w:val="22"/>
          <w:lang w:eastAsia="es-CO"/>
        </w:rPr>
      </w:pPr>
      <w:r w:rsidRPr="003F7981">
        <w:rPr>
          <w:rFonts w:ascii="Bookman Old Style" w:hAnsi="Bookman Old Style" w:cs="Arial"/>
          <w:i/>
          <w:sz w:val="22"/>
          <w:szCs w:val="22"/>
          <w:lang w:eastAsia="es-CO"/>
        </w:rPr>
        <w:t>“</w:t>
      </w:r>
      <w:r w:rsidR="00A0381B" w:rsidRPr="003F7981">
        <w:rPr>
          <w:rFonts w:ascii="Bookman Old Style" w:hAnsi="Bookman Old Style" w:cs="Arial"/>
          <w:b/>
          <w:bCs/>
          <w:i/>
          <w:sz w:val="22"/>
          <w:szCs w:val="22"/>
          <w:lang w:eastAsia="es-CO"/>
        </w:rPr>
        <w:t>Artículo 22. Remuneración de la componente de inversión y mantenimiento de tecnologías de Generación</w:t>
      </w:r>
      <w:r w:rsidR="00A0381B" w:rsidRPr="003F7981">
        <w:rPr>
          <w:rFonts w:ascii="Bookman Old Style" w:hAnsi="Bookman Old Style" w:cs="Arial"/>
          <w:i/>
          <w:sz w:val="22"/>
          <w:szCs w:val="22"/>
          <w:lang w:eastAsia="es-CO"/>
        </w:rPr>
        <w:t xml:space="preserve">. La componente de inversión de los Cargos Regulados de Generación, expresada en ($/kWh), incluye los costos de adquisición, transporte, instalación, diseños, permisos ambientales, almacenamiento de combustible, transformadores elevadores, equipos de telemedida y los necesarios para la puesta en operación de una central de generación, y dependerá del tamaño, tecnología, horas de prestación del servicio y el tipo de combustible de cada unidad de generación, </w:t>
      </w:r>
      <w:r w:rsidR="005E673E" w:rsidRPr="003F7981">
        <w:rPr>
          <w:rFonts w:ascii="Bookman Old Style" w:hAnsi="Bookman Old Style" w:cs="Arial"/>
          <w:i/>
          <w:sz w:val="22"/>
          <w:szCs w:val="22"/>
          <w:lang w:eastAsia="es-CO"/>
        </w:rPr>
        <w:t>como se muestra a continuación:</w:t>
      </w:r>
      <w:r w:rsidR="00D70AC1" w:rsidRPr="003F7981">
        <w:rPr>
          <w:rFonts w:ascii="Bookman Old Style" w:hAnsi="Bookman Old Style" w:cs="Arial"/>
          <w:i/>
          <w:sz w:val="22"/>
          <w:szCs w:val="22"/>
          <w:lang w:eastAsia="es-CO"/>
        </w:rPr>
        <w:t xml:space="preserve"> </w:t>
      </w:r>
      <w:r w:rsidR="00A0381B" w:rsidRPr="003F7981">
        <w:rPr>
          <w:rFonts w:ascii="Bookman Old Style" w:hAnsi="Bookman Old Style" w:cs="Arial"/>
          <w:i/>
          <w:sz w:val="22"/>
          <w:szCs w:val="22"/>
          <w:lang w:eastAsia="es-CO"/>
        </w:rPr>
        <w:t>(…)</w:t>
      </w:r>
    </w:p>
    <w:p w14:paraId="21614930" w14:textId="77777777" w:rsidR="00A0381B" w:rsidRPr="003F7981" w:rsidRDefault="00A0381B" w:rsidP="00CF067A">
      <w:pPr>
        <w:ind w:left="567" w:right="6"/>
        <w:contextualSpacing/>
        <w:jc w:val="both"/>
        <w:rPr>
          <w:rFonts w:ascii="Bookman Old Style" w:hAnsi="Bookman Old Style" w:cs="Arial"/>
          <w:i/>
          <w:sz w:val="22"/>
          <w:szCs w:val="22"/>
          <w:lang w:eastAsia="es-CO"/>
        </w:rPr>
      </w:pPr>
    </w:p>
    <w:p w14:paraId="2C417408" w14:textId="77777777" w:rsidR="005E673E" w:rsidRPr="003F7981" w:rsidRDefault="00A0381B" w:rsidP="00CF067A">
      <w:pPr>
        <w:ind w:left="567" w:right="6"/>
        <w:contextualSpacing/>
        <w:jc w:val="both"/>
        <w:rPr>
          <w:rFonts w:ascii="Bookman Old Style" w:hAnsi="Bookman Old Style" w:cs="Arial"/>
          <w:b/>
          <w:bCs/>
          <w:i/>
          <w:sz w:val="22"/>
          <w:szCs w:val="22"/>
          <w:lang w:eastAsia="es-CO"/>
        </w:rPr>
      </w:pPr>
      <w:r w:rsidRPr="003F7981">
        <w:rPr>
          <w:rFonts w:ascii="Bookman Old Style" w:hAnsi="Bookman Old Style" w:cs="Arial"/>
          <w:b/>
          <w:bCs/>
          <w:i/>
          <w:sz w:val="22"/>
          <w:szCs w:val="22"/>
          <w:lang w:eastAsia="es-CO"/>
        </w:rPr>
        <w:t>d) Costo de inversión de sistemas híbridos y otras tecnologías de generación</w:t>
      </w:r>
    </w:p>
    <w:p w14:paraId="660D1638" w14:textId="77777777" w:rsidR="005E673E" w:rsidRPr="003F7981" w:rsidRDefault="005E673E" w:rsidP="00CF067A">
      <w:pPr>
        <w:ind w:left="567" w:right="6"/>
        <w:contextualSpacing/>
        <w:jc w:val="both"/>
        <w:rPr>
          <w:rFonts w:ascii="Bookman Old Style" w:hAnsi="Bookman Old Style" w:cs="Arial"/>
          <w:i/>
          <w:sz w:val="22"/>
          <w:szCs w:val="22"/>
          <w:lang w:eastAsia="es-CO"/>
        </w:rPr>
      </w:pPr>
    </w:p>
    <w:p w14:paraId="1F1A4ED8" w14:textId="77777777" w:rsidR="00A0381B" w:rsidRPr="003F7981" w:rsidRDefault="00A0381B" w:rsidP="00CF067A">
      <w:pPr>
        <w:ind w:left="567" w:right="6"/>
        <w:contextualSpacing/>
        <w:jc w:val="both"/>
        <w:rPr>
          <w:rFonts w:ascii="Bookman Old Style" w:hAnsi="Bookman Old Style" w:cs="Arial"/>
          <w:i/>
          <w:sz w:val="22"/>
          <w:szCs w:val="22"/>
          <w:lang w:eastAsia="es-CO"/>
        </w:rPr>
      </w:pPr>
      <w:r w:rsidRPr="003F7981">
        <w:rPr>
          <w:rFonts w:ascii="Bookman Old Style" w:hAnsi="Bookman Old Style" w:cs="Arial"/>
          <w:i/>
          <w:sz w:val="22"/>
          <w:szCs w:val="22"/>
          <w:lang w:eastAsia="es-CO"/>
        </w:rPr>
        <w:t>Los costos unitarios de inversión para sistemas híbridos y otras tecnologías de generación no definidos en la presente resolución, podrán proponerse a la Comisión quién definirá en Resolución particula</w:t>
      </w:r>
      <w:r w:rsidR="005E673E" w:rsidRPr="003F7981">
        <w:rPr>
          <w:rFonts w:ascii="Bookman Old Style" w:hAnsi="Bookman Old Style" w:cs="Arial"/>
          <w:i/>
          <w:sz w:val="22"/>
          <w:szCs w:val="22"/>
          <w:lang w:eastAsia="es-CO"/>
        </w:rPr>
        <w:t>r los costos correspondientes.”</w:t>
      </w:r>
    </w:p>
    <w:p w14:paraId="4F4F688B" w14:textId="77777777" w:rsidR="005E673E" w:rsidRPr="003F7981" w:rsidRDefault="005E673E"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346A7F8D" w14:textId="5986D733"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En el artículo 22 se define la remuneración de la componente de inversión y mantenimiento de tecnologías de generación, componente expresada en pesos por kilovatio hora ($/kWh), la cual incluye los costos de adquisición, transporte, instalación, diseños, permisos ambientales, almacenamiento de combustible, transformadores elevadores, equipos de telemedida</w:t>
      </w:r>
      <w:r w:rsidR="00A93715" w:rsidRPr="003F7981">
        <w:rPr>
          <w:rFonts w:ascii="Bookman Old Style" w:hAnsi="Bookman Old Style"/>
          <w:sz w:val="24"/>
          <w:szCs w:val="24"/>
        </w:rPr>
        <w:t>,</w:t>
      </w:r>
      <w:r w:rsidRPr="003F7981">
        <w:rPr>
          <w:rFonts w:ascii="Bookman Old Style" w:hAnsi="Bookman Old Style"/>
          <w:sz w:val="24"/>
          <w:szCs w:val="24"/>
        </w:rPr>
        <w:t xml:space="preserve"> y los necesarios para la puesta en operación de una central de generación.</w:t>
      </w:r>
    </w:p>
    <w:p w14:paraId="74AC2301"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AC7D4F4" w14:textId="77777777" w:rsidR="00E63E5A" w:rsidRPr="003F7981" w:rsidRDefault="00660EA5"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w:t>
      </w:r>
      <w:r w:rsidR="00E63E5A" w:rsidRPr="003F7981">
        <w:rPr>
          <w:rFonts w:ascii="Bookman Old Style" w:hAnsi="Bookman Old Style"/>
          <w:sz w:val="24"/>
          <w:szCs w:val="24"/>
        </w:rPr>
        <w:t>n dicho artículo se establecen las metodologías para determinar:</w:t>
      </w:r>
    </w:p>
    <w:p w14:paraId="2F414439"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75E2FF4B" w14:textId="77777777" w:rsidR="00E63E5A" w:rsidRPr="003F7981" w:rsidRDefault="00E63E5A" w:rsidP="00CF067A">
      <w:pPr>
        <w:pStyle w:val="Style2"/>
        <w:shd w:val="clear" w:color="auto" w:fill="auto"/>
        <w:spacing w:before="0" w:line="240" w:lineRule="auto"/>
        <w:ind w:left="567" w:right="6" w:hanging="283"/>
        <w:contextualSpacing/>
        <w:jc w:val="both"/>
        <w:rPr>
          <w:rFonts w:ascii="Bookman Old Style" w:hAnsi="Bookman Old Style"/>
          <w:sz w:val="24"/>
          <w:szCs w:val="24"/>
        </w:rPr>
      </w:pPr>
      <w:r w:rsidRPr="003F7981">
        <w:rPr>
          <w:rFonts w:ascii="Bookman Old Style" w:hAnsi="Bookman Old Style"/>
          <w:sz w:val="24"/>
          <w:szCs w:val="24"/>
        </w:rPr>
        <w:t>a) Costos de inversión y mantenimiento de generadores diésel operando con ACPM.</w:t>
      </w:r>
    </w:p>
    <w:p w14:paraId="2068D01E"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b) Costo de inversión de centrales hidroeléctricas a pequeña escala.</w:t>
      </w:r>
    </w:p>
    <w:p w14:paraId="7004C9B7"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c) Costo de inversión para soluciones individuales.</w:t>
      </w:r>
    </w:p>
    <w:p w14:paraId="02BB61E1"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d) Costo de inversión de sistemas híbridos y otras tecnologías de generación.</w:t>
      </w:r>
    </w:p>
    <w:p w14:paraId="69A69388"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3676BB59" w14:textId="77777777"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En el literal d) se determina: </w:t>
      </w:r>
      <w:r w:rsidRPr="003F7981">
        <w:rPr>
          <w:rFonts w:ascii="Bookman Old Style" w:hAnsi="Bookman Old Style"/>
          <w:i/>
          <w:sz w:val="24"/>
          <w:szCs w:val="24"/>
        </w:rPr>
        <w:t>“</w:t>
      </w:r>
      <w:r w:rsidR="00BE466D" w:rsidRPr="003F7981">
        <w:rPr>
          <w:rFonts w:ascii="Bookman Old Style" w:hAnsi="Bookman Old Style"/>
          <w:i/>
          <w:sz w:val="24"/>
          <w:szCs w:val="24"/>
        </w:rPr>
        <w:t>l</w:t>
      </w:r>
      <w:r w:rsidRPr="003F7981">
        <w:rPr>
          <w:rFonts w:ascii="Bookman Old Style" w:hAnsi="Bookman Old Style"/>
          <w:i/>
          <w:sz w:val="24"/>
          <w:szCs w:val="24"/>
        </w:rPr>
        <w:t xml:space="preserve">os costos unitarios de inversión para sistemas </w:t>
      </w:r>
      <w:r w:rsidRPr="003F7981">
        <w:rPr>
          <w:rFonts w:ascii="Bookman Old Style" w:hAnsi="Bookman Old Style"/>
          <w:i/>
          <w:sz w:val="24"/>
          <w:szCs w:val="24"/>
        </w:rPr>
        <w:lastRenderedPageBreak/>
        <w:t xml:space="preserve">híbridos y otras tecnologías de generación no definidos en la presente resolución, podrán proponerse a la Comisión quién definirá en </w:t>
      </w:r>
      <w:r w:rsidR="00ED7F05" w:rsidRPr="003F7981">
        <w:rPr>
          <w:rFonts w:ascii="Bookman Old Style" w:hAnsi="Bookman Old Style"/>
          <w:i/>
          <w:sz w:val="24"/>
          <w:szCs w:val="24"/>
        </w:rPr>
        <w:t>r</w:t>
      </w:r>
      <w:r w:rsidRPr="003F7981">
        <w:rPr>
          <w:rFonts w:ascii="Bookman Old Style" w:hAnsi="Bookman Old Style"/>
          <w:i/>
          <w:sz w:val="24"/>
          <w:szCs w:val="24"/>
        </w:rPr>
        <w:t>esolución particular los costos correspondientes”</w:t>
      </w:r>
      <w:r w:rsidR="004D28B1" w:rsidRPr="003F7981">
        <w:rPr>
          <w:rFonts w:ascii="Bookman Old Style" w:hAnsi="Bookman Old Style"/>
          <w:i/>
          <w:sz w:val="24"/>
          <w:szCs w:val="24"/>
        </w:rPr>
        <w:t>.</w:t>
      </w:r>
    </w:p>
    <w:p w14:paraId="03FE283E" w14:textId="77777777" w:rsidR="00BE466D" w:rsidRPr="003F7981" w:rsidRDefault="00BE466D"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485A7D02" w14:textId="1B0E0ED3" w:rsidR="00B85F36" w:rsidRPr="003F7981" w:rsidRDefault="005F39B6"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Dado </w:t>
      </w:r>
      <w:r w:rsidR="00E63E5A" w:rsidRPr="003F7981">
        <w:rPr>
          <w:rFonts w:ascii="Bookman Old Style" w:hAnsi="Bookman Old Style"/>
          <w:sz w:val="24"/>
          <w:szCs w:val="24"/>
        </w:rPr>
        <w:t xml:space="preserve">que </w:t>
      </w:r>
      <w:r w:rsidR="00ED2AF3" w:rsidRPr="003F7981">
        <w:rPr>
          <w:rFonts w:ascii="Bookman Old Style" w:hAnsi="Bookman Old Style"/>
          <w:sz w:val="24"/>
          <w:szCs w:val="24"/>
        </w:rPr>
        <w:t>la solicitud presentada</w:t>
      </w:r>
      <w:r w:rsidR="00E63E5A" w:rsidRPr="003F7981">
        <w:rPr>
          <w:rFonts w:ascii="Bookman Old Style" w:hAnsi="Bookman Old Style"/>
          <w:sz w:val="24"/>
          <w:szCs w:val="24"/>
        </w:rPr>
        <w:t xml:space="preserve"> por </w:t>
      </w:r>
      <w:r w:rsidR="00B61BCF" w:rsidRPr="003F7981">
        <w:rPr>
          <w:rFonts w:ascii="Bookman Old Style" w:hAnsi="Bookman Old Style"/>
          <w:sz w:val="24"/>
          <w:szCs w:val="24"/>
        </w:rPr>
        <w:t>REFOENERGY</w:t>
      </w:r>
      <w:r w:rsidR="006C40CE" w:rsidRPr="003F7981">
        <w:rPr>
          <w:rFonts w:ascii="Bookman Old Style" w:hAnsi="Bookman Old Style"/>
          <w:sz w:val="24"/>
          <w:szCs w:val="24"/>
        </w:rPr>
        <w:t xml:space="preserve"> </w:t>
      </w:r>
      <w:r w:rsidR="00ED2AF3" w:rsidRPr="003F7981">
        <w:rPr>
          <w:rFonts w:ascii="Bookman Old Style" w:hAnsi="Bookman Old Style"/>
          <w:sz w:val="24"/>
          <w:szCs w:val="24"/>
        </w:rPr>
        <w:t xml:space="preserve">se refiere a la definición de un cargo de generación para </w:t>
      </w:r>
      <w:r w:rsidR="00C6049E" w:rsidRPr="003F7981">
        <w:rPr>
          <w:rFonts w:ascii="Bookman Old Style" w:hAnsi="Bookman Old Style"/>
          <w:sz w:val="24"/>
          <w:szCs w:val="24"/>
        </w:rPr>
        <w:t>un sistema h</w:t>
      </w:r>
      <w:r w:rsidR="007A5599" w:rsidRPr="003F7981">
        <w:rPr>
          <w:rFonts w:ascii="Bookman Old Style" w:hAnsi="Bookman Old Style"/>
          <w:sz w:val="24"/>
          <w:szCs w:val="24"/>
        </w:rPr>
        <w:t>í</w:t>
      </w:r>
      <w:r w:rsidR="00C6049E" w:rsidRPr="003F7981">
        <w:rPr>
          <w:rFonts w:ascii="Bookman Old Style" w:hAnsi="Bookman Old Style"/>
          <w:sz w:val="24"/>
          <w:szCs w:val="24"/>
        </w:rPr>
        <w:t xml:space="preserve">brido </w:t>
      </w:r>
      <w:r w:rsidR="00A33D94" w:rsidRPr="003F7981">
        <w:rPr>
          <w:rFonts w:ascii="Bookman Old Style" w:hAnsi="Bookman Old Style"/>
          <w:sz w:val="24"/>
          <w:szCs w:val="24"/>
        </w:rPr>
        <w:t>DIÉSEL - BIOMASA</w:t>
      </w:r>
      <w:r w:rsidR="00C6049E" w:rsidRPr="003F7981">
        <w:rPr>
          <w:rFonts w:ascii="Bookman Old Style" w:hAnsi="Bookman Old Style"/>
          <w:sz w:val="24"/>
          <w:szCs w:val="24"/>
        </w:rPr>
        <w:t xml:space="preserve"> </w:t>
      </w:r>
      <w:r w:rsidR="00ED2AF3" w:rsidRPr="003F7981">
        <w:rPr>
          <w:rFonts w:ascii="Bookman Old Style" w:hAnsi="Bookman Old Style"/>
          <w:sz w:val="24"/>
          <w:szCs w:val="24"/>
        </w:rPr>
        <w:t xml:space="preserve">ubicado en </w:t>
      </w:r>
      <w:r w:rsidR="00C6049E" w:rsidRPr="003F7981">
        <w:rPr>
          <w:rFonts w:ascii="Bookman Old Style" w:hAnsi="Bookman Old Style"/>
          <w:sz w:val="24"/>
          <w:szCs w:val="24"/>
        </w:rPr>
        <w:t xml:space="preserve">la cabecera municipal de </w:t>
      </w:r>
      <w:r w:rsidR="00A33D94" w:rsidRPr="003F7981">
        <w:rPr>
          <w:rFonts w:ascii="Bookman Old Style" w:hAnsi="Bookman Old Style"/>
          <w:sz w:val="24"/>
          <w:szCs w:val="24"/>
        </w:rPr>
        <w:t>Puerto Carreño</w:t>
      </w:r>
      <w:r w:rsidR="005E673E" w:rsidRPr="003F7981">
        <w:rPr>
          <w:rFonts w:ascii="Bookman Old Style" w:hAnsi="Bookman Old Style"/>
          <w:sz w:val="24"/>
          <w:szCs w:val="24"/>
        </w:rPr>
        <w:t>,</w:t>
      </w:r>
      <w:r w:rsidR="00ED2AF3" w:rsidRPr="003F7981">
        <w:rPr>
          <w:rFonts w:ascii="Bookman Old Style" w:hAnsi="Bookman Old Style"/>
          <w:sz w:val="24"/>
          <w:szCs w:val="24"/>
        </w:rPr>
        <w:t xml:space="preserve"> y que </w:t>
      </w:r>
      <w:r w:rsidR="00B031BD" w:rsidRPr="003F7981">
        <w:rPr>
          <w:rFonts w:ascii="Bookman Old Style" w:hAnsi="Bookman Old Style"/>
          <w:sz w:val="24"/>
          <w:szCs w:val="24"/>
        </w:rPr>
        <w:t>el mismo</w:t>
      </w:r>
      <w:r w:rsidR="00ED2AF3" w:rsidRPr="003F7981">
        <w:rPr>
          <w:rFonts w:ascii="Bookman Old Style" w:hAnsi="Bookman Old Style"/>
          <w:sz w:val="24"/>
          <w:szCs w:val="24"/>
        </w:rPr>
        <w:t xml:space="preserve"> </w:t>
      </w:r>
      <w:r w:rsidR="00E63E5A" w:rsidRPr="003F7981">
        <w:rPr>
          <w:rFonts w:ascii="Bookman Old Style" w:hAnsi="Bookman Old Style"/>
          <w:sz w:val="24"/>
          <w:szCs w:val="24"/>
        </w:rPr>
        <w:t xml:space="preserve">no corresponde a ninguno de los casos previstos en los literales a, b o c del precitado artículo, encuentra </w:t>
      </w:r>
      <w:r w:rsidR="00B85F36" w:rsidRPr="003F7981">
        <w:rPr>
          <w:rFonts w:ascii="Bookman Old Style" w:hAnsi="Bookman Old Style"/>
          <w:sz w:val="24"/>
          <w:szCs w:val="24"/>
        </w:rPr>
        <w:t xml:space="preserve">esta Comisión </w:t>
      </w:r>
      <w:r w:rsidR="00E63E5A" w:rsidRPr="003F7981">
        <w:rPr>
          <w:rFonts w:ascii="Bookman Old Style" w:hAnsi="Bookman Old Style"/>
          <w:sz w:val="24"/>
          <w:szCs w:val="24"/>
        </w:rPr>
        <w:t xml:space="preserve">que </w:t>
      </w:r>
      <w:r w:rsidR="00B85F36" w:rsidRPr="003F7981">
        <w:rPr>
          <w:rFonts w:ascii="Bookman Old Style" w:hAnsi="Bookman Old Style"/>
          <w:sz w:val="24"/>
          <w:szCs w:val="24"/>
        </w:rPr>
        <w:t>tiene la competencia para definir</w:t>
      </w:r>
      <w:r w:rsidR="00A93715" w:rsidRPr="003F7981">
        <w:rPr>
          <w:rFonts w:ascii="Bookman Old Style" w:hAnsi="Bookman Old Style"/>
          <w:sz w:val="24"/>
          <w:szCs w:val="24"/>
        </w:rPr>
        <w:t>,</w:t>
      </w:r>
      <w:r w:rsidR="00B85F36" w:rsidRPr="003F7981">
        <w:rPr>
          <w:rFonts w:ascii="Bookman Old Style" w:hAnsi="Bookman Old Style"/>
          <w:sz w:val="24"/>
          <w:szCs w:val="24"/>
        </w:rPr>
        <w:t xml:space="preserve"> mediante resolución particular</w:t>
      </w:r>
      <w:r w:rsidR="00A93715" w:rsidRPr="003F7981">
        <w:rPr>
          <w:rFonts w:ascii="Bookman Old Style" w:hAnsi="Bookman Old Style"/>
          <w:sz w:val="24"/>
          <w:szCs w:val="24"/>
        </w:rPr>
        <w:t>,</w:t>
      </w:r>
      <w:r w:rsidR="00B85F36" w:rsidRPr="003F7981">
        <w:rPr>
          <w:rFonts w:ascii="Bookman Old Style" w:hAnsi="Bookman Old Style"/>
          <w:sz w:val="24"/>
          <w:szCs w:val="24"/>
        </w:rPr>
        <w:t xml:space="preserve"> los costos unitarios de inversión para sistemas híbridos y otras tecnologías de generación que no se encuentren definidos en la Resolución CREG 091 de 2007.</w:t>
      </w:r>
    </w:p>
    <w:p w14:paraId="527A8F31" w14:textId="77777777" w:rsidR="000C5DD0" w:rsidRPr="003F7981" w:rsidRDefault="000C5DD0"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42D41FFF" w14:textId="0BBB9C8B" w:rsidR="00E63E5A" w:rsidRPr="003F7981" w:rsidRDefault="00E63E5A"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Así mismo, con respecto a los gastos de administración, operación y mantenimiento, en el artículo 24 de la Resolución CREG 091 de 2007 se establece lo siguiente:</w:t>
      </w:r>
    </w:p>
    <w:p w14:paraId="414A93FA" w14:textId="77777777" w:rsidR="00CB22F6" w:rsidRPr="003F7981" w:rsidRDefault="00CB22F6"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42C0C06B" w14:textId="77777777" w:rsidR="00E63E5A" w:rsidRPr="00560ACC" w:rsidRDefault="00E63E5A"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560ACC">
        <w:rPr>
          <w:rFonts w:ascii="Bookman Old Style" w:hAnsi="Bookman Old Style"/>
          <w:b/>
          <w:bCs/>
          <w:i/>
          <w:sz w:val="22"/>
          <w:szCs w:val="22"/>
        </w:rPr>
        <w:t>“Artículo 24. Remuneración de Gastos de Administración, Operación y Mantenimiento (AOM) para diferentes tecnologías de generación.</w:t>
      </w:r>
      <w:r w:rsidRPr="00560ACC">
        <w:rPr>
          <w:rFonts w:ascii="Bookman Old Style" w:hAnsi="Bookman Old Style"/>
          <w:i/>
          <w:sz w:val="22"/>
          <w:szCs w:val="22"/>
        </w:rPr>
        <w:t xml:space="preserve"> Los gastos de administración, operación y mantenimiento (AOM) para cada tecnología de generación se determinarán como se indica a continuación:</w:t>
      </w:r>
    </w:p>
    <w:p w14:paraId="77A2A63B" w14:textId="77777777" w:rsidR="00E63E5A" w:rsidRPr="00560ACC" w:rsidRDefault="00E63E5A"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p>
    <w:p w14:paraId="35D00BB6"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24.1 Gastos de administración y operación de generadores diésel operando con ACPM.</w:t>
      </w:r>
    </w:p>
    <w:p w14:paraId="095E1CB6"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 xml:space="preserve">24.2 Gastos de administración y operación de generadores diésel operando con fuel </w:t>
      </w:r>
      <w:proofErr w:type="spellStart"/>
      <w:r w:rsidRPr="00560ACC">
        <w:rPr>
          <w:rFonts w:ascii="Bookman Old Style" w:hAnsi="Bookman Old Style"/>
          <w:i/>
          <w:sz w:val="22"/>
          <w:szCs w:val="22"/>
        </w:rPr>
        <w:t>oil</w:t>
      </w:r>
      <w:proofErr w:type="spellEnd"/>
      <w:r w:rsidRPr="00560ACC">
        <w:rPr>
          <w:rFonts w:ascii="Bookman Old Style" w:hAnsi="Bookman Old Style"/>
          <w:i/>
          <w:sz w:val="22"/>
          <w:szCs w:val="22"/>
        </w:rPr>
        <w:t xml:space="preserve"> No. 6.</w:t>
      </w:r>
    </w:p>
    <w:p w14:paraId="7A80328D"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24.3 Gastos de administración, operación y mantenimiento de centrales hidroeléctricas a pequeña escala</w:t>
      </w:r>
    </w:p>
    <w:p w14:paraId="23205385" w14:textId="77777777"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24.4 Gastos de Administración, Operación y Mantenimiento de Sistemas Solares Fotovoltaicos.</w:t>
      </w:r>
    </w:p>
    <w:p w14:paraId="2A30D861" w14:textId="20CB4969" w:rsidR="00E63E5A" w:rsidRPr="00560ACC" w:rsidRDefault="00E63E5A" w:rsidP="005E6450">
      <w:pPr>
        <w:pStyle w:val="Style2"/>
        <w:shd w:val="clear" w:color="auto" w:fill="auto"/>
        <w:spacing w:before="0" w:line="240" w:lineRule="auto"/>
        <w:ind w:left="993" w:right="6" w:hanging="567"/>
        <w:contextualSpacing/>
        <w:jc w:val="both"/>
        <w:rPr>
          <w:rFonts w:ascii="Bookman Old Style" w:hAnsi="Bookman Old Style"/>
          <w:i/>
          <w:sz w:val="22"/>
          <w:szCs w:val="22"/>
        </w:rPr>
      </w:pPr>
      <w:r w:rsidRPr="00560ACC">
        <w:rPr>
          <w:rFonts w:ascii="Bookman Old Style" w:hAnsi="Bookman Old Style"/>
          <w:i/>
          <w:sz w:val="22"/>
          <w:szCs w:val="22"/>
        </w:rPr>
        <w:t>24.5 Gastos de Administración, Operación y Mantenimiento para otras tecnologías de conversión”.</w:t>
      </w:r>
    </w:p>
    <w:p w14:paraId="0041FFD8" w14:textId="77777777" w:rsidR="00CB22F6" w:rsidRPr="003F7981" w:rsidRDefault="00CB22F6"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5A0B1C84" w14:textId="03376C4A" w:rsidR="00E63E5A" w:rsidRPr="003F7981" w:rsidRDefault="00ED7F05"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De acuerdo con</w:t>
      </w:r>
      <w:r w:rsidR="00E63E5A" w:rsidRPr="003F7981">
        <w:rPr>
          <w:rFonts w:ascii="Bookman Old Style" w:hAnsi="Bookman Old Style"/>
          <w:sz w:val="24"/>
          <w:szCs w:val="24"/>
        </w:rPr>
        <w:t xml:space="preserve"> el numeral 24.5</w:t>
      </w:r>
      <w:r w:rsidRPr="003F7981">
        <w:rPr>
          <w:rFonts w:ascii="Bookman Old Style" w:hAnsi="Bookman Old Style"/>
          <w:sz w:val="24"/>
          <w:szCs w:val="24"/>
        </w:rPr>
        <w:t xml:space="preserve"> “</w:t>
      </w:r>
      <w:r w:rsidRPr="003F7981">
        <w:rPr>
          <w:rFonts w:ascii="Bookman Old Style" w:hAnsi="Bookman Old Style"/>
          <w:i/>
          <w:iCs/>
          <w:sz w:val="24"/>
          <w:szCs w:val="24"/>
        </w:rPr>
        <w:t>l</w:t>
      </w:r>
      <w:r w:rsidR="00E63E5A" w:rsidRPr="003F7981">
        <w:rPr>
          <w:rFonts w:ascii="Bookman Old Style" w:hAnsi="Bookman Old Style"/>
          <w:i/>
          <w:iCs/>
          <w:sz w:val="24"/>
          <w:szCs w:val="24"/>
        </w:rPr>
        <w:t xml:space="preserve">os costos unitarios de </w:t>
      </w:r>
      <w:r w:rsidRPr="003F7981">
        <w:rPr>
          <w:rFonts w:ascii="Bookman Old Style" w:hAnsi="Bookman Old Style"/>
          <w:i/>
          <w:iCs/>
          <w:sz w:val="24"/>
          <w:szCs w:val="24"/>
        </w:rPr>
        <w:t>a</w:t>
      </w:r>
      <w:r w:rsidR="00E63E5A" w:rsidRPr="003F7981">
        <w:rPr>
          <w:rFonts w:ascii="Bookman Old Style" w:hAnsi="Bookman Old Style"/>
          <w:i/>
          <w:iCs/>
          <w:sz w:val="24"/>
          <w:szCs w:val="24"/>
        </w:rPr>
        <w:t xml:space="preserve">dministración, </w:t>
      </w:r>
      <w:r w:rsidRPr="003F7981">
        <w:rPr>
          <w:rFonts w:ascii="Bookman Old Style" w:hAnsi="Bookman Old Style"/>
          <w:i/>
          <w:iCs/>
          <w:sz w:val="24"/>
          <w:szCs w:val="24"/>
        </w:rPr>
        <w:t>o</w:t>
      </w:r>
      <w:r w:rsidR="00E63E5A" w:rsidRPr="003F7981">
        <w:rPr>
          <w:rFonts w:ascii="Bookman Old Style" w:hAnsi="Bookman Old Style"/>
          <w:i/>
          <w:iCs/>
          <w:sz w:val="24"/>
          <w:szCs w:val="24"/>
        </w:rPr>
        <w:t xml:space="preserve">peración y </w:t>
      </w:r>
      <w:r w:rsidRPr="003F7981">
        <w:rPr>
          <w:rFonts w:ascii="Bookman Old Style" w:hAnsi="Bookman Old Style"/>
          <w:i/>
          <w:iCs/>
          <w:sz w:val="24"/>
          <w:szCs w:val="24"/>
        </w:rPr>
        <w:t>m</w:t>
      </w:r>
      <w:r w:rsidR="00E63E5A" w:rsidRPr="003F7981">
        <w:rPr>
          <w:rFonts w:ascii="Bookman Old Style" w:hAnsi="Bookman Old Style"/>
          <w:i/>
          <w:iCs/>
          <w:sz w:val="24"/>
          <w:szCs w:val="24"/>
        </w:rPr>
        <w:t xml:space="preserve">antenimiento para tecnologías de generación no definidos en la presente </w:t>
      </w:r>
      <w:r w:rsidR="000360EB" w:rsidRPr="003F7981">
        <w:rPr>
          <w:rFonts w:ascii="Bookman Old Style" w:hAnsi="Bookman Old Style"/>
          <w:i/>
          <w:iCs/>
          <w:sz w:val="24"/>
          <w:szCs w:val="24"/>
        </w:rPr>
        <w:t>resolución</w:t>
      </w:r>
      <w:r w:rsidR="00E63E5A" w:rsidRPr="003F7981">
        <w:rPr>
          <w:rFonts w:ascii="Bookman Old Style" w:hAnsi="Bookman Old Style"/>
          <w:i/>
          <w:iCs/>
          <w:sz w:val="24"/>
          <w:szCs w:val="24"/>
        </w:rPr>
        <w:t xml:space="preserve"> podrán solicitarse a la Comisión, quien los definirá en Resolución particular</w:t>
      </w:r>
      <w:r w:rsidR="00E63E5A" w:rsidRPr="003F7981">
        <w:rPr>
          <w:rFonts w:ascii="Bookman Old Style" w:hAnsi="Bookman Old Style"/>
          <w:sz w:val="24"/>
          <w:szCs w:val="24"/>
        </w:rPr>
        <w:t>”</w:t>
      </w:r>
      <w:r w:rsidR="004D28B1" w:rsidRPr="003F7981">
        <w:rPr>
          <w:rFonts w:ascii="Bookman Old Style" w:hAnsi="Bookman Old Style"/>
          <w:sz w:val="24"/>
          <w:szCs w:val="24"/>
        </w:rPr>
        <w:t>.</w:t>
      </w:r>
    </w:p>
    <w:p w14:paraId="7751E9BD" w14:textId="77777777" w:rsidR="00BE466D" w:rsidRPr="003F7981" w:rsidRDefault="00BE466D"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1C80E62F" w14:textId="2A3E6D52" w:rsidR="00ED7F05" w:rsidRPr="003F7981" w:rsidRDefault="00ED7F05"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Revisado lo anterior, </w:t>
      </w:r>
      <w:r w:rsidR="00542B7F" w:rsidRPr="003F7981">
        <w:rPr>
          <w:rFonts w:ascii="Bookman Old Style" w:hAnsi="Bookman Old Style"/>
          <w:sz w:val="24"/>
          <w:szCs w:val="24"/>
        </w:rPr>
        <w:t>se evidencia</w:t>
      </w:r>
      <w:r w:rsidRPr="003F7981">
        <w:rPr>
          <w:rFonts w:ascii="Bookman Old Style" w:hAnsi="Bookman Old Style"/>
          <w:sz w:val="24"/>
          <w:szCs w:val="24"/>
        </w:rPr>
        <w:t xml:space="preserve"> </w:t>
      </w:r>
      <w:r w:rsidR="00542B7F" w:rsidRPr="003F7981">
        <w:rPr>
          <w:rFonts w:ascii="Bookman Old Style" w:hAnsi="Bookman Old Style"/>
          <w:sz w:val="24"/>
          <w:szCs w:val="24"/>
        </w:rPr>
        <w:t xml:space="preserve">que </w:t>
      </w:r>
      <w:r w:rsidR="000360EB" w:rsidRPr="003F7981">
        <w:rPr>
          <w:rFonts w:ascii="Bookman Old Style" w:hAnsi="Bookman Old Style"/>
          <w:sz w:val="24"/>
          <w:szCs w:val="24"/>
        </w:rPr>
        <w:t xml:space="preserve">el </w:t>
      </w:r>
      <w:r w:rsidR="00542B7F" w:rsidRPr="003F7981">
        <w:rPr>
          <w:rFonts w:ascii="Bookman Old Style" w:hAnsi="Bookman Old Style"/>
          <w:sz w:val="24"/>
          <w:szCs w:val="24"/>
        </w:rPr>
        <w:t xml:space="preserve">sistema </w:t>
      </w:r>
      <w:r w:rsidR="006C40CE" w:rsidRPr="003F7981">
        <w:rPr>
          <w:rFonts w:ascii="Bookman Old Style" w:hAnsi="Bookman Old Style"/>
          <w:sz w:val="24"/>
          <w:szCs w:val="24"/>
        </w:rPr>
        <w:t xml:space="preserve">de </w:t>
      </w:r>
      <w:r w:rsidR="00D1141B">
        <w:rPr>
          <w:rFonts w:ascii="Bookman Old Style" w:hAnsi="Bookman Old Style"/>
          <w:sz w:val="24"/>
          <w:szCs w:val="24"/>
        </w:rPr>
        <w:t>generación con BIOMASA</w:t>
      </w:r>
      <w:r w:rsidR="006C40CE" w:rsidRPr="003F7981">
        <w:rPr>
          <w:rFonts w:ascii="Bookman Old Style" w:hAnsi="Bookman Old Style"/>
          <w:sz w:val="24"/>
          <w:szCs w:val="24"/>
        </w:rPr>
        <w:t>,</w:t>
      </w:r>
      <w:r w:rsidR="00542B7F" w:rsidRPr="003F7981">
        <w:rPr>
          <w:rFonts w:ascii="Bookman Old Style" w:hAnsi="Bookman Old Style"/>
          <w:sz w:val="24"/>
          <w:szCs w:val="24"/>
        </w:rPr>
        <w:t xml:space="preserve"> presentado en la solicitud de </w:t>
      </w:r>
      <w:r w:rsidR="00B61BCF" w:rsidRPr="003F7981">
        <w:rPr>
          <w:rFonts w:ascii="Bookman Old Style" w:hAnsi="Bookman Old Style"/>
          <w:sz w:val="24"/>
          <w:szCs w:val="24"/>
        </w:rPr>
        <w:t>REFOENERGY</w:t>
      </w:r>
      <w:r w:rsidR="006C40CE" w:rsidRPr="003F7981">
        <w:rPr>
          <w:rFonts w:ascii="Bookman Old Style" w:hAnsi="Bookman Old Style"/>
          <w:sz w:val="24"/>
          <w:szCs w:val="24"/>
        </w:rPr>
        <w:t xml:space="preserve"> S.A. E.S.P.</w:t>
      </w:r>
      <w:r w:rsidR="00D1141B">
        <w:rPr>
          <w:rFonts w:ascii="Bookman Old Style" w:hAnsi="Bookman Old Style"/>
          <w:sz w:val="24"/>
          <w:szCs w:val="24"/>
        </w:rPr>
        <w:t>,</w:t>
      </w:r>
      <w:r w:rsidR="00A93715" w:rsidRPr="003F7981">
        <w:rPr>
          <w:rFonts w:ascii="Bookman Old Style" w:hAnsi="Bookman Old Style"/>
          <w:sz w:val="24"/>
          <w:szCs w:val="24"/>
        </w:rPr>
        <w:t xml:space="preserve"> </w:t>
      </w:r>
      <w:r w:rsidR="00E63E5A" w:rsidRPr="003F7981">
        <w:rPr>
          <w:rFonts w:ascii="Bookman Old Style" w:hAnsi="Bookman Old Style"/>
          <w:sz w:val="24"/>
          <w:szCs w:val="24"/>
        </w:rPr>
        <w:t xml:space="preserve">no </w:t>
      </w:r>
      <w:r w:rsidRPr="003F7981">
        <w:rPr>
          <w:rFonts w:ascii="Bookman Old Style" w:hAnsi="Bookman Old Style"/>
          <w:sz w:val="24"/>
          <w:szCs w:val="24"/>
        </w:rPr>
        <w:t xml:space="preserve">corresponde a </w:t>
      </w:r>
      <w:r w:rsidR="00D82A48" w:rsidRPr="003F7981">
        <w:rPr>
          <w:rFonts w:ascii="Bookman Old Style" w:hAnsi="Bookman Old Style"/>
          <w:sz w:val="24"/>
          <w:szCs w:val="24"/>
        </w:rPr>
        <w:t xml:space="preserve">los casos previstos </w:t>
      </w:r>
      <w:r w:rsidR="00E63E5A" w:rsidRPr="003F7981">
        <w:rPr>
          <w:rFonts w:ascii="Bookman Old Style" w:hAnsi="Bookman Old Style"/>
          <w:sz w:val="24"/>
          <w:szCs w:val="24"/>
        </w:rPr>
        <w:t>en la Resolución CREG 091</w:t>
      </w:r>
      <w:r w:rsidRPr="003F7981">
        <w:rPr>
          <w:rFonts w:ascii="Bookman Old Style" w:hAnsi="Bookman Old Style"/>
          <w:sz w:val="24"/>
          <w:szCs w:val="24"/>
        </w:rPr>
        <w:t xml:space="preserve"> de 2007</w:t>
      </w:r>
      <w:r w:rsidR="00E63E5A" w:rsidRPr="003F7981">
        <w:rPr>
          <w:rFonts w:ascii="Bookman Old Style" w:hAnsi="Bookman Old Style"/>
          <w:sz w:val="24"/>
          <w:szCs w:val="24"/>
        </w:rPr>
        <w:t xml:space="preserve">, al no encontrarse </w:t>
      </w:r>
      <w:r w:rsidRPr="003F7981">
        <w:rPr>
          <w:rFonts w:ascii="Bookman Old Style" w:hAnsi="Bookman Old Style"/>
          <w:sz w:val="24"/>
          <w:szCs w:val="24"/>
        </w:rPr>
        <w:t xml:space="preserve">definidos </w:t>
      </w:r>
      <w:r w:rsidR="00E63E5A" w:rsidRPr="003F7981">
        <w:rPr>
          <w:rFonts w:ascii="Bookman Old Style" w:hAnsi="Bookman Old Style"/>
          <w:sz w:val="24"/>
          <w:szCs w:val="24"/>
        </w:rPr>
        <w:t xml:space="preserve">los </w:t>
      </w:r>
      <w:r w:rsidR="00E54BB6" w:rsidRPr="003F7981">
        <w:rPr>
          <w:rFonts w:ascii="Bookman Old Style" w:hAnsi="Bookman Old Style"/>
          <w:sz w:val="24"/>
          <w:szCs w:val="24"/>
        </w:rPr>
        <w:t xml:space="preserve">gastos </w:t>
      </w:r>
      <w:r w:rsidR="00E63E5A" w:rsidRPr="003F7981">
        <w:rPr>
          <w:rFonts w:ascii="Bookman Old Style" w:hAnsi="Bookman Old Style"/>
          <w:sz w:val="24"/>
          <w:szCs w:val="24"/>
        </w:rPr>
        <w:t xml:space="preserve">de </w:t>
      </w:r>
      <w:r w:rsidR="00E54BB6" w:rsidRPr="003F7981">
        <w:rPr>
          <w:rFonts w:ascii="Bookman Old Style" w:hAnsi="Bookman Old Style"/>
          <w:sz w:val="24"/>
          <w:szCs w:val="24"/>
        </w:rPr>
        <w:t xml:space="preserve">administración, operación </w:t>
      </w:r>
      <w:r w:rsidR="00E63E5A" w:rsidRPr="003F7981">
        <w:rPr>
          <w:rFonts w:ascii="Bookman Old Style" w:hAnsi="Bookman Old Style"/>
          <w:sz w:val="24"/>
          <w:szCs w:val="24"/>
        </w:rPr>
        <w:t xml:space="preserve">y mantenimiento de </w:t>
      </w:r>
      <w:r w:rsidRPr="003F7981">
        <w:rPr>
          <w:rFonts w:ascii="Bookman Old Style" w:hAnsi="Bookman Old Style"/>
          <w:sz w:val="24"/>
          <w:szCs w:val="24"/>
        </w:rPr>
        <w:t xml:space="preserve">la </w:t>
      </w:r>
      <w:r w:rsidR="00E63E5A" w:rsidRPr="003F7981">
        <w:rPr>
          <w:rFonts w:ascii="Bookman Old Style" w:hAnsi="Bookman Old Style"/>
          <w:sz w:val="24"/>
          <w:szCs w:val="24"/>
        </w:rPr>
        <w:t>tecnología</w:t>
      </w:r>
      <w:r w:rsidRPr="003F7981">
        <w:rPr>
          <w:rFonts w:ascii="Bookman Old Style" w:hAnsi="Bookman Old Style"/>
          <w:sz w:val="24"/>
          <w:szCs w:val="24"/>
        </w:rPr>
        <w:t xml:space="preserve"> </w:t>
      </w:r>
      <w:r w:rsidR="006C40CE" w:rsidRPr="003F7981">
        <w:rPr>
          <w:rFonts w:ascii="Bookman Old Style" w:hAnsi="Bookman Old Style"/>
          <w:sz w:val="24"/>
          <w:szCs w:val="24"/>
        </w:rPr>
        <w:t xml:space="preserve">de </w:t>
      </w:r>
      <w:r w:rsidR="00D1141B">
        <w:rPr>
          <w:rFonts w:ascii="Bookman Old Style" w:hAnsi="Bookman Old Style"/>
          <w:sz w:val="24"/>
          <w:szCs w:val="24"/>
        </w:rPr>
        <w:t>generación con este insumo</w:t>
      </w:r>
      <w:r w:rsidRPr="003F7981">
        <w:rPr>
          <w:rFonts w:ascii="Bookman Old Style" w:hAnsi="Bookman Old Style"/>
          <w:sz w:val="24"/>
          <w:szCs w:val="24"/>
        </w:rPr>
        <w:t xml:space="preserve">. </w:t>
      </w:r>
    </w:p>
    <w:p w14:paraId="180B498E" w14:textId="77777777"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4119412" w14:textId="4FF4BAEB"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Por otra parte, la precitada resolución</w:t>
      </w:r>
      <w:r w:rsidR="00A93715" w:rsidRPr="003F7981">
        <w:rPr>
          <w:rFonts w:ascii="Bookman Old Style" w:hAnsi="Bookman Old Style"/>
          <w:sz w:val="24"/>
          <w:szCs w:val="24"/>
        </w:rPr>
        <w:t>,</w:t>
      </w:r>
      <w:r w:rsidRPr="003F7981">
        <w:rPr>
          <w:rFonts w:ascii="Bookman Old Style" w:hAnsi="Bookman Old Style"/>
          <w:sz w:val="24"/>
          <w:szCs w:val="24"/>
        </w:rPr>
        <w:t xml:space="preserve"> en su artículo 25</w:t>
      </w:r>
      <w:r w:rsidR="00A93715" w:rsidRPr="003F7981">
        <w:rPr>
          <w:rFonts w:ascii="Bookman Old Style" w:hAnsi="Bookman Old Style"/>
          <w:sz w:val="24"/>
          <w:szCs w:val="24"/>
        </w:rPr>
        <w:t>,</w:t>
      </w:r>
      <w:r w:rsidRPr="003F7981">
        <w:rPr>
          <w:rFonts w:ascii="Bookman Old Style" w:hAnsi="Bookman Old Style"/>
          <w:sz w:val="24"/>
          <w:szCs w:val="24"/>
        </w:rPr>
        <w:t xml:space="preserve"> establece lo siguiente:</w:t>
      </w:r>
    </w:p>
    <w:p w14:paraId="316A34F5" w14:textId="77777777"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527E5A3E" w14:textId="77777777" w:rsidR="00065952"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t>“</w:t>
      </w:r>
      <w:r w:rsidRPr="003F7981">
        <w:rPr>
          <w:rFonts w:ascii="Bookman Old Style" w:hAnsi="Bookman Old Style"/>
          <w:b/>
          <w:bCs/>
          <w:i/>
          <w:sz w:val="22"/>
          <w:szCs w:val="22"/>
        </w:rPr>
        <w:t>Artículo 25. Fórmula de Actualización de Cargos Máximos de Generación.</w:t>
      </w:r>
      <w:r w:rsidRPr="003F7981">
        <w:rPr>
          <w:rFonts w:ascii="Bookman Old Style" w:hAnsi="Bookman Old Style"/>
          <w:i/>
          <w:sz w:val="22"/>
          <w:szCs w:val="22"/>
        </w:rPr>
        <w:t> Los Cargos Máximos de Generación expresados en pesos de la Fecha Base, se actualizarán con las siguientes fórmulas generales:</w:t>
      </w:r>
    </w:p>
    <w:p w14:paraId="5458E20D" w14:textId="77777777" w:rsidR="00593565" w:rsidRPr="003F7981" w:rsidRDefault="00593565"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p>
    <w:p w14:paraId="70E4EB48" w14:textId="77777777" w:rsidR="00065952"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lastRenderedPageBreak/>
        <w:t>a) Fórmula de Actualización de Cargos Máximos para Generación Diésel</w:t>
      </w:r>
    </w:p>
    <w:p w14:paraId="531F75C5" w14:textId="4CA3DA7B" w:rsidR="00AD369B"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t>b) Fórmula de Actualización de Cargos Máximos de Generación para Centrales Hidroeléctricas a Pequeña Escala</w:t>
      </w:r>
    </w:p>
    <w:p w14:paraId="7089F31F" w14:textId="77777777" w:rsidR="00065952" w:rsidRPr="003F7981" w:rsidRDefault="00065952" w:rsidP="00CF067A">
      <w:pPr>
        <w:pStyle w:val="Style2"/>
        <w:shd w:val="clear" w:color="auto" w:fill="auto"/>
        <w:spacing w:before="0" w:line="240" w:lineRule="auto"/>
        <w:ind w:left="567" w:right="6" w:firstLine="0"/>
        <w:contextualSpacing/>
        <w:jc w:val="both"/>
        <w:rPr>
          <w:rFonts w:ascii="Bookman Old Style" w:hAnsi="Bookman Old Style"/>
          <w:i/>
          <w:sz w:val="22"/>
          <w:szCs w:val="22"/>
        </w:rPr>
      </w:pPr>
      <w:r w:rsidRPr="003F7981">
        <w:rPr>
          <w:rFonts w:ascii="Bookman Old Style" w:hAnsi="Bookman Old Style"/>
          <w:i/>
          <w:sz w:val="22"/>
          <w:szCs w:val="22"/>
        </w:rPr>
        <w:t>c) Fórmula de Actualización de Cargos Máximos de Generación para Soluciones Fotovoltaicas Individuales”</w:t>
      </w:r>
      <w:r w:rsidR="004D28B1" w:rsidRPr="003F7981">
        <w:rPr>
          <w:rFonts w:ascii="Bookman Old Style" w:hAnsi="Bookman Old Style"/>
          <w:i/>
          <w:sz w:val="22"/>
          <w:szCs w:val="22"/>
        </w:rPr>
        <w:t>.</w:t>
      </w:r>
    </w:p>
    <w:p w14:paraId="7740D90E" w14:textId="77777777"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i/>
          <w:sz w:val="24"/>
          <w:szCs w:val="24"/>
        </w:rPr>
      </w:pPr>
    </w:p>
    <w:p w14:paraId="0DD3E467" w14:textId="01FEFBE4" w:rsidR="00065952" w:rsidRPr="003F7981" w:rsidRDefault="0006595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En este contexto</w:t>
      </w:r>
      <w:r w:rsidR="00A93715" w:rsidRPr="003F7981">
        <w:rPr>
          <w:rFonts w:ascii="Bookman Old Style" w:hAnsi="Bookman Old Style"/>
          <w:sz w:val="24"/>
          <w:szCs w:val="24"/>
        </w:rPr>
        <w:t>,</w:t>
      </w:r>
      <w:r w:rsidRPr="003F7981">
        <w:rPr>
          <w:rFonts w:ascii="Bookman Old Style" w:hAnsi="Bookman Old Style"/>
          <w:sz w:val="24"/>
          <w:szCs w:val="24"/>
        </w:rPr>
        <w:t xml:space="preserve"> se identifica que las fórmulas de actualización de cargos máximos de generación definidas en el artículo 25, tampoco considera</w:t>
      </w:r>
      <w:r w:rsidR="00ED2AF3" w:rsidRPr="003F7981">
        <w:rPr>
          <w:rFonts w:ascii="Bookman Old Style" w:hAnsi="Bookman Old Style"/>
          <w:sz w:val="24"/>
          <w:szCs w:val="24"/>
        </w:rPr>
        <w:t>n</w:t>
      </w:r>
      <w:r w:rsidRPr="003F7981">
        <w:rPr>
          <w:rFonts w:ascii="Bookman Old Style" w:hAnsi="Bookman Old Style"/>
          <w:sz w:val="24"/>
          <w:szCs w:val="24"/>
        </w:rPr>
        <w:t xml:space="preserve"> una f</w:t>
      </w:r>
      <w:r w:rsidR="00660EA5" w:rsidRPr="003F7981">
        <w:rPr>
          <w:rFonts w:ascii="Bookman Old Style" w:hAnsi="Bookman Old Style"/>
          <w:sz w:val="24"/>
          <w:szCs w:val="24"/>
        </w:rPr>
        <w:t>orma</w:t>
      </w:r>
      <w:r w:rsidRPr="003F7981">
        <w:rPr>
          <w:rFonts w:ascii="Bookman Old Style" w:hAnsi="Bookman Old Style"/>
          <w:sz w:val="24"/>
          <w:szCs w:val="24"/>
        </w:rPr>
        <w:t xml:space="preserve"> de actualización para el tipo </w:t>
      </w:r>
      <w:r w:rsidR="00ED2AF3" w:rsidRPr="003F7981">
        <w:rPr>
          <w:rFonts w:ascii="Bookman Old Style" w:hAnsi="Bookman Old Style"/>
          <w:sz w:val="24"/>
          <w:szCs w:val="24"/>
        </w:rPr>
        <w:t xml:space="preserve">de generación </w:t>
      </w:r>
      <w:r w:rsidR="000973AA" w:rsidRPr="003F7981">
        <w:rPr>
          <w:rFonts w:ascii="Bookman Old Style" w:hAnsi="Bookman Old Style"/>
          <w:sz w:val="24"/>
          <w:szCs w:val="24"/>
        </w:rPr>
        <w:t>enunciada</w:t>
      </w:r>
      <w:r w:rsidR="00ED2AF3" w:rsidRPr="003F7981">
        <w:rPr>
          <w:rFonts w:ascii="Bookman Old Style" w:hAnsi="Bookman Old Style"/>
          <w:sz w:val="24"/>
          <w:szCs w:val="24"/>
        </w:rPr>
        <w:t xml:space="preserve"> en la solicitud </w:t>
      </w:r>
      <w:r w:rsidR="000973AA" w:rsidRPr="003F7981">
        <w:rPr>
          <w:rFonts w:ascii="Bookman Old Style" w:hAnsi="Bookman Old Style"/>
          <w:sz w:val="24"/>
          <w:szCs w:val="24"/>
        </w:rPr>
        <w:t>presentada por la empresa</w:t>
      </w:r>
      <w:r w:rsidR="006C40CE" w:rsidRPr="003F7981">
        <w:rPr>
          <w:rFonts w:ascii="Bookman Old Style" w:hAnsi="Bookman Old Style"/>
        </w:rPr>
        <w:t xml:space="preserve"> </w:t>
      </w:r>
      <w:r w:rsidR="00B61BCF" w:rsidRPr="003F7981">
        <w:rPr>
          <w:rFonts w:ascii="Bookman Old Style" w:hAnsi="Bookman Old Style"/>
          <w:sz w:val="24"/>
          <w:szCs w:val="24"/>
        </w:rPr>
        <w:t>REFOENERGY</w:t>
      </w:r>
      <w:r w:rsidR="528F7846" w:rsidRPr="003F7981">
        <w:rPr>
          <w:rFonts w:ascii="Bookman Old Style" w:hAnsi="Bookman Old Style"/>
          <w:sz w:val="24"/>
          <w:szCs w:val="24"/>
        </w:rPr>
        <w:t>,</w:t>
      </w:r>
      <w:r w:rsidRPr="003F7981">
        <w:rPr>
          <w:rFonts w:ascii="Bookman Old Style" w:hAnsi="Bookman Old Style"/>
          <w:sz w:val="24"/>
          <w:szCs w:val="24"/>
        </w:rPr>
        <w:t xml:space="preserve"> lo cual será objeto de análisis en la presente resolución. </w:t>
      </w:r>
    </w:p>
    <w:p w14:paraId="1F681A06" w14:textId="77777777" w:rsidR="00061839" w:rsidRPr="003F7981" w:rsidRDefault="00061839"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7118D48" w14:textId="4E8EF5D3" w:rsidR="00ED7F05" w:rsidRPr="003F7981" w:rsidRDefault="00E54BB6"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En aras de garantizar los principios de eficacia y celeridad previstos en el artículo 3° del Código de Procedimiento Administrativo y de lo Contencioso Administrativo, considera esta Comisión necesari</w:t>
      </w:r>
      <w:r w:rsidR="00E41921" w:rsidRPr="003F7981">
        <w:rPr>
          <w:rFonts w:ascii="Bookman Old Style" w:hAnsi="Bookman Old Style"/>
          <w:sz w:val="24"/>
          <w:szCs w:val="24"/>
        </w:rPr>
        <w:t>o definir</w:t>
      </w:r>
      <w:r w:rsidR="00A93715" w:rsidRPr="003F7981">
        <w:rPr>
          <w:rFonts w:ascii="Bookman Old Style" w:hAnsi="Bookman Old Style"/>
          <w:sz w:val="24"/>
          <w:szCs w:val="24"/>
        </w:rPr>
        <w:t>,</w:t>
      </w:r>
      <w:r w:rsidR="00E41921" w:rsidRPr="003F7981">
        <w:rPr>
          <w:rFonts w:ascii="Bookman Old Style" w:hAnsi="Bookman Old Style"/>
          <w:sz w:val="24"/>
          <w:szCs w:val="24"/>
        </w:rPr>
        <w:t xml:space="preserve"> </w:t>
      </w:r>
      <w:r w:rsidR="00ED2AF3" w:rsidRPr="003F7981">
        <w:rPr>
          <w:rFonts w:ascii="Bookman Old Style" w:hAnsi="Bookman Old Style"/>
          <w:sz w:val="24"/>
          <w:szCs w:val="24"/>
        </w:rPr>
        <w:t xml:space="preserve">no solo </w:t>
      </w:r>
      <w:r w:rsidR="00E41921" w:rsidRPr="003F7981">
        <w:rPr>
          <w:rFonts w:ascii="Bookman Old Style" w:hAnsi="Bookman Old Style"/>
          <w:sz w:val="24"/>
          <w:szCs w:val="24"/>
        </w:rPr>
        <w:t>los gastos de administra</w:t>
      </w:r>
      <w:r w:rsidR="00643867" w:rsidRPr="003F7981">
        <w:rPr>
          <w:rFonts w:ascii="Bookman Old Style" w:hAnsi="Bookman Old Style"/>
          <w:sz w:val="24"/>
          <w:szCs w:val="24"/>
        </w:rPr>
        <w:t>ción, operación y mantenimiento</w:t>
      </w:r>
      <w:r w:rsidR="00A93715" w:rsidRPr="003F7981">
        <w:rPr>
          <w:rFonts w:ascii="Bookman Old Style" w:hAnsi="Bookman Old Style"/>
          <w:sz w:val="24"/>
          <w:szCs w:val="24"/>
        </w:rPr>
        <w:t>,</w:t>
      </w:r>
      <w:r w:rsidR="00643867" w:rsidRPr="003F7981">
        <w:rPr>
          <w:rFonts w:ascii="Bookman Old Style" w:hAnsi="Bookman Old Style"/>
          <w:sz w:val="24"/>
          <w:szCs w:val="24"/>
        </w:rPr>
        <w:t xml:space="preserve"> </w:t>
      </w:r>
      <w:r w:rsidR="00ED2AF3" w:rsidRPr="003F7981">
        <w:rPr>
          <w:rFonts w:ascii="Bookman Old Style" w:hAnsi="Bookman Old Style"/>
          <w:sz w:val="24"/>
          <w:szCs w:val="24"/>
        </w:rPr>
        <w:t xml:space="preserve">sino también </w:t>
      </w:r>
      <w:r w:rsidR="00065952" w:rsidRPr="003F7981">
        <w:rPr>
          <w:rFonts w:ascii="Bookman Old Style" w:hAnsi="Bookman Old Style"/>
          <w:sz w:val="24"/>
          <w:szCs w:val="24"/>
        </w:rPr>
        <w:t>la f</w:t>
      </w:r>
      <w:r w:rsidR="00660EA5" w:rsidRPr="003F7981">
        <w:rPr>
          <w:rFonts w:ascii="Bookman Old Style" w:hAnsi="Bookman Old Style"/>
          <w:sz w:val="24"/>
          <w:szCs w:val="24"/>
        </w:rPr>
        <w:t>orma</w:t>
      </w:r>
      <w:r w:rsidR="00065952" w:rsidRPr="003F7981">
        <w:rPr>
          <w:rFonts w:ascii="Bookman Old Style" w:hAnsi="Bookman Old Style"/>
          <w:sz w:val="24"/>
          <w:szCs w:val="24"/>
        </w:rPr>
        <w:t xml:space="preserve"> de actualización de los cargos máximos de generación</w:t>
      </w:r>
      <w:r w:rsidR="00B63A12" w:rsidRPr="003F7981">
        <w:rPr>
          <w:rFonts w:ascii="Bookman Old Style" w:hAnsi="Bookman Old Style"/>
          <w:sz w:val="24"/>
          <w:szCs w:val="24"/>
        </w:rPr>
        <w:t xml:space="preserve"> aplicables al mercado de comercialización </w:t>
      </w:r>
      <w:r w:rsidR="00442E69" w:rsidRPr="003F7981">
        <w:rPr>
          <w:rFonts w:ascii="Bookman Old Style" w:hAnsi="Bookman Old Style"/>
          <w:sz w:val="24"/>
          <w:szCs w:val="24"/>
        </w:rPr>
        <w:t xml:space="preserve">de la cabecera municipal de </w:t>
      </w:r>
      <w:r w:rsidR="00A33D94" w:rsidRPr="003F7981">
        <w:rPr>
          <w:rFonts w:ascii="Bookman Old Style" w:hAnsi="Bookman Old Style"/>
          <w:sz w:val="24"/>
          <w:szCs w:val="24"/>
        </w:rPr>
        <w:t>Puerto Carreño en el d</w:t>
      </w:r>
      <w:r w:rsidR="00442E69" w:rsidRPr="003F7981">
        <w:rPr>
          <w:rFonts w:ascii="Bookman Old Style" w:hAnsi="Bookman Old Style"/>
          <w:sz w:val="24"/>
          <w:szCs w:val="24"/>
        </w:rPr>
        <w:t xml:space="preserve">epartamento del </w:t>
      </w:r>
      <w:r w:rsidR="00A33D94" w:rsidRPr="003F7981">
        <w:rPr>
          <w:rFonts w:ascii="Bookman Old Style" w:hAnsi="Bookman Old Style"/>
          <w:sz w:val="24"/>
          <w:szCs w:val="24"/>
        </w:rPr>
        <w:t>Vichada</w:t>
      </w:r>
      <w:r w:rsidR="00E41921" w:rsidRPr="003F7981">
        <w:rPr>
          <w:rFonts w:ascii="Bookman Old Style" w:hAnsi="Bookman Old Style"/>
          <w:sz w:val="24"/>
          <w:szCs w:val="24"/>
        </w:rPr>
        <w:t>.</w:t>
      </w:r>
    </w:p>
    <w:p w14:paraId="39942309" w14:textId="77777777" w:rsidR="00A558DD" w:rsidRPr="003F7981" w:rsidRDefault="00A558DD"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16315E4D" w14:textId="5BE8170A" w:rsidR="004175D5" w:rsidRPr="003F7981" w:rsidRDefault="009871F8"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D</w:t>
      </w:r>
      <w:r w:rsidR="004175D5" w:rsidRPr="003F7981">
        <w:rPr>
          <w:rFonts w:ascii="Bookman Old Style" w:hAnsi="Bookman Old Style"/>
          <w:sz w:val="24"/>
          <w:szCs w:val="24"/>
        </w:rPr>
        <w:t>e acuerdo con las competencias de esta Comisión</w:t>
      </w:r>
      <w:r w:rsidR="00EE5170" w:rsidRPr="003F7981">
        <w:rPr>
          <w:rFonts w:ascii="Bookman Old Style" w:hAnsi="Bookman Old Style"/>
          <w:sz w:val="24"/>
          <w:szCs w:val="24"/>
        </w:rPr>
        <w:t>,</w:t>
      </w:r>
      <w:r w:rsidR="004175D5" w:rsidRPr="003F7981">
        <w:rPr>
          <w:rFonts w:ascii="Bookman Old Style" w:hAnsi="Bookman Old Style"/>
          <w:sz w:val="24"/>
          <w:szCs w:val="24"/>
        </w:rPr>
        <w:t xml:space="preserve"> </w:t>
      </w:r>
      <w:r w:rsidR="00A366C7" w:rsidRPr="003F7981">
        <w:rPr>
          <w:rFonts w:ascii="Bookman Old Style" w:hAnsi="Bookman Old Style"/>
          <w:sz w:val="24"/>
          <w:szCs w:val="24"/>
        </w:rPr>
        <w:t xml:space="preserve">y teniendo en cuenta los criterios tarifarios definidos en el artículo 87 de la Ley 142 de 1994, en particular </w:t>
      </w:r>
      <w:r w:rsidR="000973AA" w:rsidRPr="003F7981">
        <w:rPr>
          <w:rFonts w:ascii="Bookman Old Style" w:hAnsi="Bookman Old Style"/>
          <w:sz w:val="24"/>
          <w:szCs w:val="24"/>
        </w:rPr>
        <w:t xml:space="preserve">los </w:t>
      </w:r>
      <w:r w:rsidR="00A366C7" w:rsidRPr="003F7981">
        <w:rPr>
          <w:rFonts w:ascii="Bookman Old Style" w:hAnsi="Bookman Old Style"/>
          <w:sz w:val="24"/>
          <w:szCs w:val="24"/>
        </w:rPr>
        <w:t>de eficiencia económica</w:t>
      </w:r>
      <w:r w:rsidR="000973AA" w:rsidRPr="003F7981">
        <w:rPr>
          <w:rFonts w:ascii="Bookman Old Style" w:hAnsi="Bookman Old Style"/>
          <w:sz w:val="24"/>
          <w:szCs w:val="24"/>
        </w:rPr>
        <w:t xml:space="preserve"> y suficiencia financiera</w:t>
      </w:r>
      <w:r w:rsidR="00A366C7" w:rsidRPr="003F7981">
        <w:rPr>
          <w:rFonts w:ascii="Bookman Old Style" w:hAnsi="Bookman Old Style"/>
          <w:sz w:val="24"/>
          <w:szCs w:val="24"/>
        </w:rPr>
        <w:t xml:space="preserve">, </w:t>
      </w:r>
      <w:r w:rsidR="0037544D" w:rsidRPr="003F7981">
        <w:rPr>
          <w:rFonts w:ascii="Bookman Old Style" w:hAnsi="Bookman Old Style"/>
          <w:sz w:val="24"/>
          <w:szCs w:val="24"/>
        </w:rPr>
        <w:t>en</w:t>
      </w:r>
      <w:r w:rsidR="00A366C7" w:rsidRPr="003F7981">
        <w:rPr>
          <w:rFonts w:ascii="Bookman Old Style" w:hAnsi="Bookman Old Style"/>
          <w:sz w:val="24"/>
          <w:szCs w:val="24"/>
        </w:rPr>
        <w:t xml:space="preserve"> esta actuación administrativa</w:t>
      </w:r>
      <w:r w:rsidR="000973AA" w:rsidRPr="003F7981">
        <w:rPr>
          <w:rFonts w:ascii="Bookman Old Style" w:hAnsi="Bookman Old Style"/>
          <w:sz w:val="24"/>
          <w:szCs w:val="24"/>
        </w:rPr>
        <w:t xml:space="preserve"> se definirá</w:t>
      </w:r>
      <w:r w:rsidR="00A366C7" w:rsidRPr="003F7981">
        <w:rPr>
          <w:rFonts w:ascii="Bookman Old Style" w:hAnsi="Bookman Old Style"/>
          <w:sz w:val="24"/>
          <w:szCs w:val="24"/>
        </w:rPr>
        <w:t xml:space="preserve"> el cargo de generación en su totalidad, incluyendo el costo de inversión y </w:t>
      </w:r>
      <w:r w:rsidR="00A93715" w:rsidRPr="003F7981">
        <w:rPr>
          <w:rFonts w:ascii="Bookman Old Style" w:hAnsi="Bookman Old Style"/>
          <w:sz w:val="24"/>
          <w:szCs w:val="24"/>
        </w:rPr>
        <w:t xml:space="preserve">los </w:t>
      </w:r>
      <w:r w:rsidR="00A366C7" w:rsidRPr="003F7981">
        <w:rPr>
          <w:rFonts w:ascii="Bookman Old Style" w:hAnsi="Bookman Old Style"/>
          <w:sz w:val="24"/>
          <w:szCs w:val="24"/>
        </w:rPr>
        <w:t>gastos de</w:t>
      </w:r>
      <w:r w:rsidR="00643867" w:rsidRPr="003F7981">
        <w:rPr>
          <w:rFonts w:ascii="Bookman Old Style" w:hAnsi="Bookman Old Style"/>
          <w:sz w:val="24"/>
          <w:szCs w:val="24"/>
        </w:rPr>
        <w:t xml:space="preserve"> administración, operación y mantenimiento</w:t>
      </w:r>
      <w:r w:rsidR="00A93715" w:rsidRPr="003F7981">
        <w:rPr>
          <w:rFonts w:ascii="Bookman Old Style" w:hAnsi="Bookman Old Style"/>
          <w:sz w:val="24"/>
          <w:szCs w:val="24"/>
        </w:rPr>
        <w:t>,</w:t>
      </w:r>
      <w:r w:rsidR="0029263A" w:rsidRPr="003F7981">
        <w:rPr>
          <w:rFonts w:ascii="Bookman Old Style" w:hAnsi="Bookman Old Style"/>
          <w:sz w:val="24"/>
          <w:szCs w:val="24"/>
        </w:rPr>
        <w:t xml:space="preserve"> aplicable para el cálculo de costo unitario de prestación del servicio de los usuarios ubicados en el mercado de </w:t>
      </w:r>
      <w:r w:rsidR="002A193A" w:rsidRPr="003F7981">
        <w:rPr>
          <w:rFonts w:ascii="Bookman Old Style" w:hAnsi="Bookman Old Style"/>
          <w:sz w:val="24"/>
          <w:szCs w:val="24"/>
        </w:rPr>
        <w:t>comercialización relevante</w:t>
      </w:r>
      <w:r w:rsidR="0029263A" w:rsidRPr="003F7981">
        <w:rPr>
          <w:rFonts w:ascii="Bookman Old Style" w:hAnsi="Bookman Old Style"/>
          <w:sz w:val="24"/>
          <w:szCs w:val="24"/>
        </w:rPr>
        <w:t xml:space="preserve"> de </w:t>
      </w:r>
      <w:r w:rsidR="002A193A" w:rsidRPr="003F7981">
        <w:rPr>
          <w:rFonts w:ascii="Bookman Old Style" w:hAnsi="Bookman Old Style"/>
          <w:sz w:val="24"/>
          <w:szCs w:val="24"/>
        </w:rPr>
        <w:t xml:space="preserve">la cabecera municipal de </w:t>
      </w:r>
      <w:r w:rsidR="000D3C37" w:rsidRPr="003F7981">
        <w:rPr>
          <w:rFonts w:ascii="Bookman Old Style" w:hAnsi="Bookman Old Style"/>
          <w:sz w:val="24"/>
          <w:szCs w:val="24"/>
        </w:rPr>
        <w:t>Puerto Carreño</w:t>
      </w:r>
      <w:r w:rsidR="0029263A" w:rsidRPr="003F7981">
        <w:rPr>
          <w:rFonts w:ascii="Bookman Old Style" w:hAnsi="Bookman Old Style"/>
          <w:sz w:val="24"/>
          <w:szCs w:val="24"/>
        </w:rPr>
        <w:t>,</w:t>
      </w:r>
      <w:r w:rsidR="006B25AF" w:rsidRPr="003F7981">
        <w:rPr>
          <w:rFonts w:ascii="Bookman Old Style" w:hAnsi="Bookman Old Style"/>
          <w:sz w:val="24"/>
          <w:szCs w:val="24"/>
        </w:rPr>
        <w:t xml:space="preserve"> a partir de la mejor información disponible</w:t>
      </w:r>
      <w:r w:rsidR="00A366C7" w:rsidRPr="003F7981">
        <w:rPr>
          <w:rFonts w:ascii="Bookman Old Style" w:hAnsi="Bookman Old Style"/>
          <w:sz w:val="24"/>
          <w:szCs w:val="24"/>
        </w:rPr>
        <w:t xml:space="preserve">, con el fin de dar señales adecuadas que </w:t>
      </w:r>
      <w:r w:rsidR="00D24427" w:rsidRPr="003F7981">
        <w:rPr>
          <w:rFonts w:ascii="Bookman Old Style" w:hAnsi="Bookman Old Style"/>
          <w:sz w:val="24"/>
          <w:szCs w:val="24"/>
        </w:rPr>
        <w:t>reflejen la estructura de costos económicos que acarrea la prestación del servicio</w:t>
      </w:r>
      <w:r w:rsidR="004A0B3B" w:rsidRPr="003F7981">
        <w:rPr>
          <w:rFonts w:ascii="Bookman Old Style" w:hAnsi="Bookman Old Style"/>
          <w:sz w:val="24"/>
          <w:szCs w:val="24"/>
        </w:rPr>
        <w:t xml:space="preserve">, </w:t>
      </w:r>
      <w:r w:rsidR="00EE3EA3" w:rsidRPr="003F7981">
        <w:rPr>
          <w:rFonts w:ascii="Bookman Old Style" w:hAnsi="Bookman Old Style"/>
          <w:sz w:val="24"/>
          <w:szCs w:val="24"/>
        </w:rPr>
        <w:t>junto con que se permita utilizar las tecnologías y sistemas administrativos que garanticen la mejor calidad, continuidad y seguridad a los usuarios</w:t>
      </w:r>
      <w:r w:rsidR="00D24427" w:rsidRPr="003F7981">
        <w:rPr>
          <w:rFonts w:ascii="Bookman Old Style" w:hAnsi="Bookman Old Style"/>
          <w:sz w:val="24"/>
          <w:szCs w:val="24"/>
        </w:rPr>
        <w:t>.</w:t>
      </w:r>
    </w:p>
    <w:p w14:paraId="6E172DD2" w14:textId="1276D0FE" w:rsidR="2CB5FD44" w:rsidRPr="003F7981" w:rsidRDefault="2CB5FD44" w:rsidP="004D377E">
      <w:pPr>
        <w:pStyle w:val="Style2"/>
        <w:shd w:val="clear" w:color="auto" w:fill="auto"/>
        <w:spacing w:before="0" w:line="240" w:lineRule="auto"/>
        <w:ind w:right="6" w:firstLine="0"/>
        <w:contextualSpacing/>
        <w:jc w:val="both"/>
        <w:rPr>
          <w:rFonts w:ascii="Bookman Old Style" w:hAnsi="Bookman Old Style"/>
          <w:sz w:val="24"/>
          <w:szCs w:val="24"/>
        </w:rPr>
      </w:pPr>
    </w:p>
    <w:p w14:paraId="3737A44B" w14:textId="71E85C61" w:rsidR="2CB5FD44" w:rsidRPr="003F7981" w:rsidRDefault="2CB5FD44" w:rsidP="2CB5FD44">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Por otra parte, es importante resaltar que un cargo de generación es simplemente la aplicabilidad de la metodología tarifaria de carácter general que fija un precio máximo dirigido a los usuarios y</w:t>
      </w:r>
      <w:r w:rsidR="00D1141B">
        <w:rPr>
          <w:rFonts w:ascii="Bookman Old Style" w:hAnsi="Bookman Old Style"/>
          <w:sz w:val="24"/>
          <w:szCs w:val="24"/>
        </w:rPr>
        <w:t>,</w:t>
      </w:r>
      <w:r w:rsidRPr="003F7981">
        <w:rPr>
          <w:rFonts w:ascii="Bookman Old Style" w:hAnsi="Bookman Old Style"/>
          <w:sz w:val="24"/>
          <w:szCs w:val="24"/>
        </w:rPr>
        <w:t xml:space="preserve"> por tanto</w:t>
      </w:r>
      <w:r w:rsidR="00D1141B">
        <w:rPr>
          <w:rFonts w:ascii="Bookman Old Style" w:hAnsi="Bookman Old Style"/>
          <w:sz w:val="24"/>
          <w:szCs w:val="24"/>
        </w:rPr>
        <w:t>,</w:t>
      </w:r>
      <w:r w:rsidRPr="003F7981">
        <w:rPr>
          <w:rFonts w:ascii="Bookman Old Style" w:hAnsi="Bookman Old Style"/>
          <w:sz w:val="24"/>
          <w:szCs w:val="24"/>
        </w:rPr>
        <w:t xml:space="preserve"> no se constituye en un derecho adquirido</w:t>
      </w:r>
      <w:r w:rsidR="00D1141B">
        <w:rPr>
          <w:rFonts w:ascii="Bookman Old Style" w:hAnsi="Bookman Old Style"/>
          <w:sz w:val="24"/>
          <w:szCs w:val="24"/>
        </w:rPr>
        <w:t>.</w:t>
      </w:r>
      <w:r w:rsidRPr="003F7981">
        <w:rPr>
          <w:rFonts w:ascii="Bookman Old Style" w:hAnsi="Bookman Old Style"/>
          <w:sz w:val="24"/>
          <w:szCs w:val="24"/>
        </w:rPr>
        <w:t xml:space="preserve"> En este mismo sentido</w:t>
      </w:r>
      <w:r w:rsidR="00D1141B">
        <w:rPr>
          <w:rFonts w:ascii="Bookman Old Style" w:hAnsi="Bookman Old Style"/>
          <w:sz w:val="24"/>
          <w:szCs w:val="24"/>
        </w:rPr>
        <w:t>,</w:t>
      </w:r>
      <w:r w:rsidRPr="003F7981">
        <w:rPr>
          <w:rFonts w:ascii="Bookman Old Style" w:hAnsi="Bookman Old Style"/>
          <w:sz w:val="24"/>
          <w:szCs w:val="24"/>
        </w:rPr>
        <w:t xml:space="preserve"> se señala que la elección del prestador del servicio es libre y de escogencia en el mercado, por cuanto la zona solicitada no corresponde a un área de servicio exclusivo, tal y como se mencionó anteriormente.        </w:t>
      </w:r>
    </w:p>
    <w:p w14:paraId="10D447E5" w14:textId="31D9BCE4" w:rsidR="2CB5FD44" w:rsidRPr="003F7981" w:rsidRDefault="2CB5FD44" w:rsidP="2CB5FD44">
      <w:pPr>
        <w:pStyle w:val="Style2"/>
        <w:shd w:val="clear" w:color="auto" w:fill="auto"/>
        <w:spacing w:before="0" w:line="240" w:lineRule="auto"/>
        <w:ind w:left="284" w:right="6" w:firstLine="0"/>
        <w:contextualSpacing/>
        <w:jc w:val="both"/>
        <w:rPr>
          <w:rFonts w:ascii="Bookman Old Style" w:hAnsi="Bookman Old Style"/>
          <w:sz w:val="24"/>
          <w:szCs w:val="24"/>
        </w:rPr>
      </w:pPr>
    </w:p>
    <w:p w14:paraId="254F2C6F" w14:textId="408EA047" w:rsidR="00536BD9" w:rsidRPr="003F7981" w:rsidRDefault="00031A48" w:rsidP="00CF067A">
      <w:pPr>
        <w:pStyle w:val="Style2"/>
        <w:shd w:val="clear" w:color="auto" w:fill="auto"/>
        <w:spacing w:before="0" w:line="240" w:lineRule="auto"/>
        <w:ind w:left="284" w:right="6" w:firstLine="0"/>
        <w:contextualSpacing/>
        <w:jc w:val="both"/>
        <w:rPr>
          <w:rFonts w:ascii="Bookman Old Style" w:hAnsi="Bookman Old Style"/>
          <w:sz w:val="24"/>
          <w:szCs w:val="24"/>
          <w:lang w:val="es-MX"/>
        </w:rPr>
      </w:pPr>
      <w:r w:rsidRPr="003F7981">
        <w:rPr>
          <w:rFonts w:ascii="Bookman Old Style" w:hAnsi="Bookman Old Style"/>
          <w:sz w:val="24"/>
          <w:szCs w:val="24"/>
          <w:lang w:val="es-MX"/>
        </w:rPr>
        <w:t xml:space="preserve">Así las cosas, el </w:t>
      </w:r>
      <w:r w:rsidR="00536BD9" w:rsidRPr="003F7981">
        <w:rPr>
          <w:rFonts w:ascii="Bookman Old Style" w:hAnsi="Bookman Old Style"/>
          <w:sz w:val="24"/>
          <w:szCs w:val="24"/>
          <w:lang w:val="es-MX"/>
        </w:rPr>
        <w:t>cargo</w:t>
      </w:r>
      <w:r w:rsidR="00801F28" w:rsidRPr="003F7981">
        <w:rPr>
          <w:rFonts w:ascii="Bookman Old Style" w:hAnsi="Bookman Old Style"/>
          <w:sz w:val="24"/>
          <w:szCs w:val="24"/>
          <w:lang w:val="es-MX"/>
        </w:rPr>
        <w:t xml:space="preserve"> de generación</w:t>
      </w:r>
      <w:r w:rsidR="00536BD9" w:rsidRPr="003F7981">
        <w:rPr>
          <w:rFonts w:ascii="Bookman Old Style" w:hAnsi="Bookman Old Style"/>
          <w:sz w:val="24"/>
          <w:szCs w:val="24"/>
          <w:lang w:val="es-MX"/>
        </w:rPr>
        <w:t xml:space="preserve"> aprobado</w:t>
      </w:r>
      <w:r w:rsidR="00707C70" w:rsidRPr="003F7981">
        <w:rPr>
          <w:rFonts w:ascii="Bookman Old Style" w:hAnsi="Bookman Old Style"/>
          <w:sz w:val="24"/>
          <w:szCs w:val="24"/>
          <w:lang w:val="es-MX"/>
        </w:rPr>
        <w:t xml:space="preserve"> en el presente acto administrativo</w:t>
      </w:r>
      <w:r w:rsidR="00536BD9" w:rsidRPr="003F7981">
        <w:rPr>
          <w:rFonts w:ascii="Bookman Old Style" w:hAnsi="Bookman Old Style"/>
          <w:sz w:val="24"/>
          <w:szCs w:val="24"/>
          <w:lang w:val="es-MX"/>
        </w:rPr>
        <w:t xml:space="preserve"> </w:t>
      </w:r>
      <w:r w:rsidR="00DE0C57" w:rsidRPr="003F7981">
        <w:rPr>
          <w:rFonts w:ascii="Bookman Old Style" w:hAnsi="Bookman Old Style"/>
          <w:sz w:val="24"/>
          <w:szCs w:val="24"/>
          <w:lang w:val="es-MX"/>
        </w:rPr>
        <w:t xml:space="preserve">corresponde al precio máximo que puede trasladar un prestador del servicio a los usuarios finales, sin importar a cuál generador le compra la energía para </w:t>
      </w:r>
      <w:r w:rsidR="00536BD9" w:rsidRPr="003F7981">
        <w:rPr>
          <w:rFonts w:ascii="Bookman Old Style" w:hAnsi="Bookman Old Style"/>
          <w:sz w:val="24"/>
          <w:szCs w:val="24"/>
          <w:lang w:val="es-MX"/>
        </w:rPr>
        <w:t xml:space="preserve">prestar el servicio en el mercado </w:t>
      </w:r>
      <w:r w:rsidR="00DA5A0E" w:rsidRPr="003F7981">
        <w:rPr>
          <w:rFonts w:ascii="Bookman Old Style" w:hAnsi="Bookman Old Style"/>
          <w:sz w:val="24"/>
          <w:szCs w:val="24"/>
          <w:lang w:val="es-MX"/>
        </w:rPr>
        <w:t xml:space="preserve">de </w:t>
      </w:r>
      <w:r w:rsidR="000D3C37" w:rsidRPr="003F7981">
        <w:rPr>
          <w:rFonts w:ascii="Bookman Old Style" w:hAnsi="Bookman Old Style"/>
          <w:sz w:val="24"/>
          <w:szCs w:val="24"/>
          <w:lang w:val="es-MX"/>
        </w:rPr>
        <w:t>Puerto Carreño</w:t>
      </w:r>
      <w:r w:rsidR="00DE0C57" w:rsidRPr="003F7981">
        <w:rPr>
          <w:rFonts w:ascii="Bookman Old Style" w:hAnsi="Bookman Old Style"/>
          <w:sz w:val="24"/>
          <w:szCs w:val="24"/>
          <w:lang w:val="es-MX"/>
        </w:rPr>
        <w:t xml:space="preserve">. Tanto el prestador del servicio, como los generadores a los que compre la energía, deben estar debidamente </w:t>
      </w:r>
      <w:r w:rsidR="00FD3F8F" w:rsidRPr="003F7981">
        <w:rPr>
          <w:rFonts w:ascii="Bookman Old Style" w:hAnsi="Bookman Old Style"/>
          <w:sz w:val="24"/>
          <w:szCs w:val="24"/>
          <w:lang w:val="es-MX"/>
        </w:rPr>
        <w:t>registrado</w:t>
      </w:r>
      <w:r w:rsidR="00DE0C57" w:rsidRPr="003F7981">
        <w:rPr>
          <w:rFonts w:ascii="Bookman Old Style" w:hAnsi="Bookman Old Style"/>
          <w:sz w:val="24"/>
          <w:szCs w:val="24"/>
          <w:lang w:val="es-MX"/>
        </w:rPr>
        <w:t>s</w:t>
      </w:r>
      <w:r w:rsidR="00FD3F8F" w:rsidRPr="003F7981">
        <w:rPr>
          <w:rFonts w:ascii="Bookman Old Style" w:hAnsi="Bookman Old Style"/>
          <w:sz w:val="24"/>
          <w:szCs w:val="24"/>
          <w:lang w:val="es-MX"/>
        </w:rPr>
        <w:t xml:space="preserve"> como prestador</w:t>
      </w:r>
      <w:r w:rsidR="00DE0C57" w:rsidRPr="003F7981">
        <w:rPr>
          <w:rFonts w:ascii="Bookman Old Style" w:hAnsi="Bookman Old Style"/>
          <w:sz w:val="24"/>
          <w:szCs w:val="24"/>
          <w:lang w:val="es-MX"/>
        </w:rPr>
        <w:t>es</w:t>
      </w:r>
      <w:r w:rsidR="00FD3F8F" w:rsidRPr="003F7981">
        <w:rPr>
          <w:rFonts w:ascii="Bookman Old Style" w:hAnsi="Bookman Old Style"/>
          <w:sz w:val="24"/>
          <w:szCs w:val="24"/>
          <w:lang w:val="es-MX"/>
        </w:rPr>
        <w:t xml:space="preserve"> del servicio </w:t>
      </w:r>
      <w:r w:rsidR="00727B77" w:rsidRPr="003F7981">
        <w:rPr>
          <w:rFonts w:ascii="Bookman Old Style" w:hAnsi="Bookman Old Style"/>
          <w:sz w:val="24"/>
          <w:szCs w:val="24"/>
          <w:lang w:val="es-MX"/>
        </w:rPr>
        <w:t>en el Registro Único de Prestadores</w:t>
      </w:r>
      <w:r w:rsidR="0052432E" w:rsidRPr="003F7981">
        <w:rPr>
          <w:rFonts w:ascii="Bookman Old Style" w:hAnsi="Bookman Old Style"/>
          <w:sz w:val="24"/>
          <w:szCs w:val="24"/>
          <w:lang w:val="es-MX"/>
        </w:rPr>
        <w:t>, RUPS,</w:t>
      </w:r>
      <w:r w:rsidR="00727B77" w:rsidRPr="003F7981">
        <w:rPr>
          <w:rFonts w:ascii="Bookman Old Style" w:hAnsi="Bookman Old Style"/>
          <w:sz w:val="24"/>
          <w:szCs w:val="24"/>
          <w:lang w:val="es-MX"/>
        </w:rPr>
        <w:t xml:space="preserve"> a cargo de la Superintendencia de Servicios Públicos Domiciliarios, </w:t>
      </w:r>
      <w:r w:rsidR="0043541E" w:rsidRPr="003F7981">
        <w:rPr>
          <w:rFonts w:ascii="Bookman Old Style" w:hAnsi="Bookman Old Style"/>
          <w:sz w:val="24"/>
          <w:szCs w:val="24"/>
          <w:lang w:val="es-MX"/>
        </w:rPr>
        <w:t>cumpl</w:t>
      </w:r>
      <w:r w:rsidR="00727B77" w:rsidRPr="003F7981">
        <w:rPr>
          <w:rFonts w:ascii="Bookman Old Style" w:hAnsi="Bookman Old Style"/>
          <w:sz w:val="24"/>
          <w:szCs w:val="24"/>
          <w:lang w:val="es-MX"/>
        </w:rPr>
        <w:t>iendo</w:t>
      </w:r>
      <w:r w:rsidR="0043541E" w:rsidRPr="003F7981">
        <w:rPr>
          <w:rFonts w:ascii="Bookman Old Style" w:hAnsi="Bookman Old Style"/>
          <w:sz w:val="24"/>
          <w:szCs w:val="24"/>
          <w:lang w:val="es-MX"/>
        </w:rPr>
        <w:t xml:space="preserve"> con </w:t>
      </w:r>
      <w:r w:rsidR="0052432E" w:rsidRPr="003F7981">
        <w:rPr>
          <w:rFonts w:ascii="Bookman Old Style" w:hAnsi="Bookman Old Style"/>
          <w:sz w:val="24"/>
          <w:szCs w:val="24"/>
          <w:lang w:val="es-MX"/>
        </w:rPr>
        <w:t xml:space="preserve">lo previsto en los </w:t>
      </w:r>
      <w:r w:rsidR="0043541E" w:rsidRPr="003F7981">
        <w:rPr>
          <w:rFonts w:ascii="Bookman Old Style" w:hAnsi="Bookman Old Style"/>
          <w:sz w:val="24"/>
          <w:szCs w:val="24"/>
          <w:lang w:val="es-MX"/>
        </w:rPr>
        <w:t>artículo</w:t>
      </w:r>
      <w:r w:rsidR="0052432E" w:rsidRPr="003F7981">
        <w:rPr>
          <w:rFonts w:ascii="Bookman Old Style" w:hAnsi="Bookman Old Style"/>
          <w:sz w:val="24"/>
          <w:szCs w:val="24"/>
          <w:lang w:val="es-MX"/>
        </w:rPr>
        <w:t>s 15, 17, 18 y 26</w:t>
      </w:r>
      <w:r w:rsidR="0093232B" w:rsidRPr="003F7981">
        <w:rPr>
          <w:rFonts w:ascii="Bookman Old Style" w:hAnsi="Bookman Old Style"/>
          <w:sz w:val="24"/>
          <w:szCs w:val="24"/>
          <w:lang w:val="es-MX"/>
        </w:rPr>
        <w:t xml:space="preserve"> </w:t>
      </w:r>
      <w:r w:rsidR="0043541E" w:rsidRPr="003F7981">
        <w:rPr>
          <w:rFonts w:ascii="Bookman Old Style" w:hAnsi="Bookman Old Style"/>
          <w:sz w:val="24"/>
          <w:szCs w:val="24"/>
          <w:lang w:val="es-MX"/>
        </w:rPr>
        <w:t>de la Ley 142 de 1994</w:t>
      </w:r>
      <w:r w:rsidR="00801F28" w:rsidRPr="003F7981">
        <w:rPr>
          <w:rFonts w:ascii="Bookman Old Style" w:hAnsi="Bookman Old Style"/>
          <w:sz w:val="24"/>
          <w:szCs w:val="24"/>
          <w:lang w:val="es-MX"/>
        </w:rPr>
        <w:t>.</w:t>
      </w:r>
      <w:r w:rsidR="00EB7106" w:rsidRPr="003F7981">
        <w:rPr>
          <w:rFonts w:ascii="Bookman Old Style" w:hAnsi="Bookman Old Style"/>
          <w:sz w:val="24"/>
          <w:szCs w:val="24"/>
          <w:lang w:val="es-MX"/>
        </w:rPr>
        <w:t xml:space="preserve"> </w:t>
      </w:r>
    </w:p>
    <w:p w14:paraId="1D7DC037" w14:textId="77777777" w:rsidR="00536BD9" w:rsidRPr="003F7981" w:rsidRDefault="00536BD9" w:rsidP="00CF067A">
      <w:pPr>
        <w:pStyle w:val="Style2"/>
        <w:shd w:val="clear" w:color="auto" w:fill="auto"/>
        <w:spacing w:before="0" w:line="240" w:lineRule="auto"/>
        <w:ind w:left="284" w:right="6" w:firstLine="0"/>
        <w:contextualSpacing/>
        <w:jc w:val="both"/>
        <w:rPr>
          <w:rFonts w:ascii="Bookman Old Style" w:hAnsi="Bookman Old Style"/>
          <w:sz w:val="24"/>
          <w:szCs w:val="24"/>
          <w:lang w:val="es-MX"/>
        </w:rPr>
      </w:pPr>
    </w:p>
    <w:p w14:paraId="50C3EDCE" w14:textId="51F25973" w:rsidR="00554656" w:rsidRPr="003F7981" w:rsidRDefault="00801F28"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De otra parte</w:t>
      </w:r>
      <w:r w:rsidR="00930B31" w:rsidRPr="003F7981">
        <w:rPr>
          <w:rFonts w:ascii="Bookman Old Style" w:hAnsi="Bookman Old Style"/>
          <w:sz w:val="24"/>
          <w:szCs w:val="24"/>
        </w:rPr>
        <w:t>,</w:t>
      </w:r>
      <w:r w:rsidRPr="003F7981">
        <w:rPr>
          <w:rFonts w:ascii="Bookman Old Style" w:hAnsi="Bookman Old Style"/>
          <w:sz w:val="24"/>
          <w:szCs w:val="24"/>
        </w:rPr>
        <w:t xml:space="preserve"> debe resaltarse que</w:t>
      </w:r>
      <w:r w:rsidR="00EE5170" w:rsidRPr="003F7981">
        <w:rPr>
          <w:rFonts w:ascii="Bookman Old Style" w:hAnsi="Bookman Old Style"/>
          <w:sz w:val="24"/>
          <w:szCs w:val="24"/>
        </w:rPr>
        <w:t>,</w:t>
      </w:r>
      <w:r w:rsidRPr="003F7981">
        <w:rPr>
          <w:rFonts w:ascii="Bookman Old Style" w:hAnsi="Bookman Old Style"/>
          <w:sz w:val="24"/>
          <w:szCs w:val="24"/>
        </w:rPr>
        <w:t xml:space="preserve"> si bien a la fecha </w:t>
      </w:r>
      <w:r w:rsidR="00D1141B">
        <w:rPr>
          <w:rFonts w:ascii="Bookman Old Style" w:hAnsi="Bookman Old Style"/>
          <w:sz w:val="24"/>
          <w:szCs w:val="24"/>
        </w:rPr>
        <w:t xml:space="preserve">está en proceso de aprobación </w:t>
      </w:r>
      <w:r w:rsidRPr="003F7981">
        <w:rPr>
          <w:rFonts w:ascii="Bookman Old Style" w:hAnsi="Bookman Old Style"/>
          <w:sz w:val="24"/>
          <w:szCs w:val="24"/>
        </w:rPr>
        <w:t xml:space="preserve">un mecanismo de compra de energía aplicable para las </w:t>
      </w:r>
      <w:r w:rsidR="00EE5170" w:rsidRPr="003F7981">
        <w:rPr>
          <w:rFonts w:ascii="Bookman Old Style" w:hAnsi="Bookman Old Style"/>
          <w:sz w:val="24"/>
          <w:szCs w:val="24"/>
        </w:rPr>
        <w:t>Z</w:t>
      </w:r>
      <w:r w:rsidRPr="003F7981">
        <w:rPr>
          <w:rFonts w:ascii="Bookman Old Style" w:hAnsi="Bookman Old Style"/>
          <w:sz w:val="24"/>
          <w:szCs w:val="24"/>
        </w:rPr>
        <w:t xml:space="preserve">onas </w:t>
      </w:r>
      <w:r w:rsidR="00EE5170" w:rsidRPr="003F7981">
        <w:rPr>
          <w:rFonts w:ascii="Bookman Old Style" w:hAnsi="Bookman Old Style"/>
          <w:sz w:val="24"/>
          <w:szCs w:val="24"/>
        </w:rPr>
        <w:t>N</w:t>
      </w:r>
      <w:r w:rsidRPr="003F7981">
        <w:rPr>
          <w:rFonts w:ascii="Bookman Old Style" w:hAnsi="Bookman Old Style"/>
          <w:sz w:val="24"/>
          <w:szCs w:val="24"/>
        </w:rPr>
        <w:t xml:space="preserve">o </w:t>
      </w:r>
      <w:r w:rsidR="00EE5170" w:rsidRPr="003F7981">
        <w:rPr>
          <w:rFonts w:ascii="Bookman Old Style" w:hAnsi="Bookman Old Style"/>
          <w:sz w:val="24"/>
          <w:szCs w:val="24"/>
        </w:rPr>
        <w:t>I</w:t>
      </w:r>
      <w:r w:rsidR="009632EE" w:rsidRPr="003F7981">
        <w:rPr>
          <w:rFonts w:ascii="Bookman Old Style" w:hAnsi="Bookman Old Style"/>
          <w:sz w:val="24"/>
          <w:szCs w:val="24"/>
        </w:rPr>
        <w:t xml:space="preserve">nterconectadas, </w:t>
      </w:r>
      <w:r w:rsidR="00F04930" w:rsidRPr="003F7981">
        <w:rPr>
          <w:rFonts w:ascii="Bookman Old Style" w:hAnsi="Bookman Old Style"/>
          <w:sz w:val="24"/>
          <w:szCs w:val="24"/>
        </w:rPr>
        <w:t>los prestadores del servicio deberán</w:t>
      </w:r>
      <w:r w:rsidR="004256BB" w:rsidRPr="003F7981">
        <w:rPr>
          <w:rFonts w:ascii="Bookman Old Style" w:hAnsi="Bookman Old Style"/>
          <w:sz w:val="24"/>
          <w:szCs w:val="24"/>
        </w:rPr>
        <w:t xml:space="preserve"> garantiza</w:t>
      </w:r>
      <w:r w:rsidR="00F04930" w:rsidRPr="003F7981">
        <w:rPr>
          <w:rFonts w:ascii="Bookman Old Style" w:hAnsi="Bookman Old Style"/>
          <w:sz w:val="24"/>
          <w:szCs w:val="24"/>
        </w:rPr>
        <w:t xml:space="preserve">r </w:t>
      </w:r>
      <w:r w:rsidR="004256BB" w:rsidRPr="003F7981">
        <w:rPr>
          <w:rFonts w:ascii="Bookman Old Style" w:hAnsi="Bookman Old Style"/>
          <w:sz w:val="24"/>
          <w:szCs w:val="24"/>
        </w:rPr>
        <w:t>que</w:t>
      </w:r>
      <w:r w:rsidR="008D14D1" w:rsidRPr="003F7981">
        <w:rPr>
          <w:rFonts w:ascii="Bookman Old Style" w:hAnsi="Bookman Old Style"/>
          <w:sz w:val="24"/>
          <w:szCs w:val="24"/>
        </w:rPr>
        <w:t xml:space="preserve"> no se </w:t>
      </w:r>
      <w:r w:rsidR="0052432E" w:rsidRPr="003F7981">
        <w:rPr>
          <w:rFonts w:ascii="Bookman Old Style" w:hAnsi="Bookman Old Style"/>
          <w:sz w:val="24"/>
          <w:szCs w:val="24"/>
        </w:rPr>
        <w:t>les</w:t>
      </w:r>
      <w:r w:rsidR="008D14D1" w:rsidRPr="003F7981">
        <w:rPr>
          <w:rFonts w:ascii="Bookman Old Style" w:hAnsi="Bookman Old Style"/>
          <w:sz w:val="24"/>
          <w:szCs w:val="24"/>
        </w:rPr>
        <w:t xml:space="preserve"> traslade a los usuarios los costos de una gestión ineficiente</w:t>
      </w:r>
      <w:r w:rsidR="00604859" w:rsidRPr="003F7981">
        <w:rPr>
          <w:rFonts w:ascii="Bookman Old Style" w:hAnsi="Bookman Old Style"/>
          <w:sz w:val="24"/>
          <w:szCs w:val="24"/>
        </w:rPr>
        <w:t>.</w:t>
      </w:r>
    </w:p>
    <w:p w14:paraId="4A326259" w14:textId="77777777" w:rsidR="00EB2450" w:rsidRPr="003F7981" w:rsidRDefault="00EB2450"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0D25E453" w14:textId="79E8F3BE" w:rsidR="00D24427" w:rsidRPr="003F7981" w:rsidRDefault="00D24427"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En el capítulo VII de la Resolución CREG 091 de 2007 se establecen las fórmulas tarifarias generales para usuarios regulados del servicio público de energía eléctrica en las </w:t>
      </w:r>
      <w:r w:rsidR="00A93715" w:rsidRPr="003F7981">
        <w:rPr>
          <w:rFonts w:ascii="Bookman Old Style" w:hAnsi="Bookman Old Style"/>
          <w:sz w:val="24"/>
          <w:szCs w:val="24"/>
        </w:rPr>
        <w:t>Zonas No Interconectadas</w:t>
      </w:r>
      <w:r w:rsidRPr="003F7981">
        <w:rPr>
          <w:rFonts w:ascii="Bookman Old Style" w:hAnsi="Bookman Old Style"/>
          <w:sz w:val="24"/>
          <w:szCs w:val="24"/>
        </w:rPr>
        <w:t>, diferenciando entre la aplicable a usuarios regulados del servicio de energía eléctrica con red y sin red, artículos 40 y 41 de la precitada resolución</w:t>
      </w:r>
      <w:r w:rsidR="00A93715" w:rsidRPr="003F7981">
        <w:rPr>
          <w:rFonts w:ascii="Bookman Old Style" w:hAnsi="Bookman Old Style"/>
          <w:sz w:val="24"/>
          <w:szCs w:val="24"/>
        </w:rPr>
        <w:t>,</w:t>
      </w:r>
      <w:r w:rsidRPr="003F7981">
        <w:rPr>
          <w:rFonts w:ascii="Bookman Old Style" w:hAnsi="Bookman Old Style"/>
          <w:sz w:val="24"/>
          <w:szCs w:val="24"/>
        </w:rPr>
        <w:t xml:space="preserve"> respectivamente. </w:t>
      </w:r>
    </w:p>
    <w:p w14:paraId="01B4F323" w14:textId="77777777" w:rsidR="00D24427" w:rsidRPr="003F7981" w:rsidRDefault="00D24427"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15E034EC" w14:textId="4B6E207D" w:rsidR="00873392" w:rsidRPr="003F7981" w:rsidRDefault="0000214C"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 xml:space="preserve">Bajo el entendido </w:t>
      </w:r>
      <w:r w:rsidR="00E133A6" w:rsidRPr="003F7981">
        <w:rPr>
          <w:rFonts w:ascii="Bookman Old Style" w:hAnsi="Bookman Old Style"/>
          <w:sz w:val="24"/>
          <w:szCs w:val="24"/>
        </w:rPr>
        <w:t xml:space="preserve">de </w:t>
      </w:r>
      <w:r w:rsidRPr="003F7981">
        <w:rPr>
          <w:rFonts w:ascii="Bookman Old Style" w:hAnsi="Bookman Old Style"/>
          <w:sz w:val="24"/>
          <w:szCs w:val="24"/>
        </w:rPr>
        <w:t xml:space="preserve">que </w:t>
      </w:r>
      <w:r w:rsidR="00F4192E" w:rsidRPr="003F7981">
        <w:rPr>
          <w:rFonts w:ascii="Bookman Old Style" w:hAnsi="Bookman Old Style"/>
          <w:sz w:val="24"/>
          <w:szCs w:val="24"/>
        </w:rPr>
        <w:t xml:space="preserve">el mercado relevante </w:t>
      </w:r>
      <w:r w:rsidR="0072306A" w:rsidRPr="003F7981">
        <w:rPr>
          <w:rFonts w:ascii="Bookman Old Style" w:hAnsi="Bookman Old Style"/>
          <w:sz w:val="24"/>
          <w:szCs w:val="24"/>
        </w:rPr>
        <w:t>de comercialización</w:t>
      </w:r>
      <w:r w:rsidR="00BA36A1" w:rsidRPr="003F7981">
        <w:rPr>
          <w:rFonts w:ascii="Bookman Old Style" w:hAnsi="Bookman Old Style"/>
          <w:sz w:val="24"/>
          <w:szCs w:val="24"/>
        </w:rPr>
        <w:t xml:space="preserve"> de la cabecera municipal de </w:t>
      </w:r>
      <w:r w:rsidR="000D3C37" w:rsidRPr="003F7981">
        <w:rPr>
          <w:rFonts w:ascii="Bookman Old Style" w:hAnsi="Bookman Old Style"/>
          <w:sz w:val="24"/>
          <w:szCs w:val="24"/>
        </w:rPr>
        <w:t>Puerto Carreño</w:t>
      </w:r>
      <w:r w:rsidR="009D2EC9" w:rsidRPr="003F7981">
        <w:rPr>
          <w:rFonts w:ascii="Bookman Old Style" w:hAnsi="Bookman Old Style"/>
          <w:sz w:val="24"/>
          <w:szCs w:val="24"/>
        </w:rPr>
        <w:t xml:space="preserve"> es atendido mediante el uso de redes, </w:t>
      </w:r>
      <w:r w:rsidR="004C39CF" w:rsidRPr="003F7981">
        <w:rPr>
          <w:rFonts w:ascii="Bookman Old Style" w:hAnsi="Bookman Old Style"/>
          <w:sz w:val="24"/>
          <w:szCs w:val="24"/>
        </w:rPr>
        <w:t xml:space="preserve">dentro de la presente actuación administrativa se considerará </w:t>
      </w:r>
      <w:r w:rsidR="00F767B8" w:rsidRPr="003F7981">
        <w:rPr>
          <w:rFonts w:ascii="Bookman Old Style" w:hAnsi="Bookman Old Style"/>
          <w:sz w:val="24"/>
          <w:szCs w:val="24"/>
        </w:rPr>
        <w:t xml:space="preserve">que </w:t>
      </w:r>
      <w:r w:rsidR="00E41921" w:rsidRPr="003F7981">
        <w:rPr>
          <w:rFonts w:ascii="Bookman Old Style" w:hAnsi="Bookman Old Style"/>
          <w:sz w:val="24"/>
          <w:szCs w:val="24"/>
        </w:rPr>
        <w:t xml:space="preserve">la fórmula tarifaria </w:t>
      </w:r>
      <w:r w:rsidR="008B415B" w:rsidRPr="003F7981">
        <w:rPr>
          <w:rFonts w:ascii="Bookman Old Style" w:hAnsi="Bookman Old Style"/>
          <w:sz w:val="24"/>
          <w:szCs w:val="24"/>
        </w:rPr>
        <w:t xml:space="preserve">aplicable </w:t>
      </w:r>
      <w:r w:rsidR="001758F9" w:rsidRPr="003F7981">
        <w:rPr>
          <w:rFonts w:ascii="Bookman Old Style" w:hAnsi="Bookman Old Style"/>
          <w:sz w:val="24"/>
          <w:szCs w:val="24"/>
        </w:rPr>
        <w:t>para</w:t>
      </w:r>
      <w:r w:rsidR="008954AA" w:rsidRPr="003F7981">
        <w:rPr>
          <w:rFonts w:ascii="Bookman Old Style" w:hAnsi="Bookman Old Style"/>
          <w:sz w:val="24"/>
          <w:szCs w:val="24"/>
        </w:rPr>
        <w:t xml:space="preserve"> el cálculo del costo del servicio de energía eléctrica</w:t>
      </w:r>
      <w:r w:rsidR="008B415B" w:rsidRPr="003F7981">
        <w:rPr>
          <w:rFonts w:ascii="Bookman Old Style" w:hAnsi="Bookman Old Style"/>
          <w:sz w:val="24"/>
          <w:szCs w:val="24"/>
        </w:rPr>
        <w:t xml:space="preserve"> de </w:t>
      </w:r>
      <w:r w:rsidR="001758F9" w:rsidRPr="003F7981">
        <w:rPr>
          <w:rFonts w:ascii="Bookman Old Style" w:hAnsi="Bookman Old Style"/>
          <w:sz w:val="24"/>
          <w:szCs w:val="24"/>
        </w:rPr>
        <w:t xml:space="preserve">usuarios regulados </w:t>
      </w:r>
      <w:r w:rsidR="00E41921" w:rsidRPr="003F7981">
        <w:rPr>
          <w:rFonts w:ascii="Bookman Old Style" w:hAnsi="Bookman Old Style"/>
          <w:sz w:val="24"/>
          <w:szCs w:val="24"/>
        </w:rPr>
        <w:t xml:space="preserve">corresponde a la </w:t>
      </w:r>
      <w:r w:rsidR="00F767B8" w:rsidRPr="003F7981">
        <w:rPr>
          <w:rFonts w:ascii="Bookman Old Style" w:hAnsi="Bookman Old Style"/>
          <w:sz w:val="24"/>
          <w:szCs w:val="24"/>
        </w:rPr>
        <w:t xml:space="preserve">prevista en el </w:t>
      </w:r>
      <w:r w:rsidR="00E41921" w:rsidRPr="003F7981">
        <w:rPr>
          <w:rFonts w:ascii="Bookman Old Style" w:hAnsi="Bookman Old Style"/>
          <w:sz w:val="24"/>
          <w:szCs w:val="24"/>
        </w:rPr>
        <w:t>artículo 40</w:t>
      </w:r>
      <w:r w:rsidR="00E929F5" w:rsidRPr="003F7981">
        <w:rPr>
          <w:rFonts w:ascii="Bookman Old Style" w:hAnsi="Bookman Old Style"/>
          <w:sz w:val="24"/>
          <w:szCs w:val="24"/>
        </w:rPr>
        <w:t xml:space="preserve"> de la </w:t>
      </w:r>
      <w:r w:rsidR="00A6610A" w:rsidRPr="003F7981">
        <w:rPr>
          <w:rFonts w:ascii="Bookman Old Style" w:hAnsi="Bookman Old Style"/>
          <w:sz w:val="24"/>
          <w:szCs w:val="24"/>
        </w:rPr>
        <w:t>Resolución CREG 091 de 2007</w:t>
      </w:r>
      <w:r w:rsidR="00E41921" w:rsidRPr="003F7981">
        <w:rPr>
          <w:rFonts w:ascii="Bookman Old Style" w:hAnsi="Bookman Old Style"/>
          <w:sz w:val="24"/>
          <w:szCs w:val="24"/>
        </w:rPr>
        <w:t xml:space="preserve">. </w:t>
      </w:r>
    </w:p>
    <w:p w14:paraId="555B05D8" w14:textId="77777777" w:rsidR="00873392" w:rsidRPr="003F7981" w:rsidRDefault="00873392" w:rsidP="00CF067A">
      <w:pPr>
        <w:pStyle w:val="Style2"/>
        <w:shd w:val="clear" w:color="auto" w:fill="auto"/>
        <w:spacing w:before="0" w:line="240" w:lineRule="auto"/>
        <w:ind w:left="284" w:right="6" w:firstLine="0"/>
        <w:contextualSpacing/>
        <w:jc w:val="both"/>
        <w:rPr>
          <w:rFonts w:ascii="Bookman Old Style" w:hAnsi="Bookman Old Style"/>
          <w:sz w:val="24"/>
          <w:szCs w:val="24"/>
        </w:rPr>
      </w:pPr>
    </w:p>
    <w:p w14:paraId="1FFC2495" w14:textId="2733EB88" w:rsidR="00E41921" w:rsidRPr="003F7981" w:rsidRDefault="00D24427" w:rsidP="00CF067A">
      <w:pPr>
        <w:pStyle w:val="Style2"/>
        <w:shd w:val="clear" w:color="auto" w:fill="auto"/>
        <w:spacing w:before="0" w:line="240" w:lineRule="auto"/>
        <w:ind w:left="284" w:right="6" w:firstLine="0"/>
        <w:contextualSpacing/>
        <w:jc w:val="both"/>
        <w:rPr>
          <w:rFonts w:ascii="Bookman Old Style" w:hAnsi="Bookman Old Style"/>
          <w:sz w:val="24"/>
          <w:szCs w:val="24"/>
        </w:rPr>
      </w:pPr>
      <w:r w:rsidRPr="003F7981">
        <w:rPr>
          <w:rFonts w:ascii="Bookman Old Style" w:hAnsi="Bookman Old Style"/>
          <w:sz w:val="24"/>
          <w:szCs w:val="24"/>
        </w:rPr>
        <w:t>Así las cosas, t</w:t>
      </w:r>
      <w:r w:rsidR="00BB0F1B" w:rsidRPr="003F7981">
        <w:rPr>
          <w:rFonts w:ascii="Bookman Old Style" w:hAnsi="Bookman Old Style"/>
          <w:sz w:val="24"/>
          <w:szCs w:val="24"/>
        </w:rPr>
        <w:t>eniendo en cuenta que en la regulación vigente</w:t>
      </w:r>
      <w:r w:rsidR="00873392" w:rsidRPr="003F7981">
        <w:rPr>
          <w:rFonts w:ascii="Bookman Old Style" w:hAnsi="Bookman Old Style"/>
          <w:sz w:val="24"/>
          <w:szCs w:val="24"/>
        </w:rPr>
        <w:t xml:space="preserve"> </w:t>
      </w:r>
      <w:r w:rsidR="00E41921" w:rsidRPr="003F7981">
        <w:rPr>
          <w:rFonts w:ascii="Bookman Old Style" w:hAnsi="Bookman Old Style"/>
          <w:sz w:val="24"/>
          <w:szCs w:val="24"/>
        </w:rPr>
        <w:t>no se encuentran tipificados los costos</w:t>
      </w:r>
      <w:r w:rsidR="00BB0F1B" w:rsidRPr="003F7981">
        <w:rPr>
          <w:rFonts w:ascii="Bookman Old Style" w:hAnsi="Bookman Old Style"/>
          <w:sz w:val="24"/>
          <w:szCs w:val="24"/>
        </w:rPr>
        <w:t xml:space="preserve"> de generación</w:t>
      </w:r>
      <w:r w:rsidR="00E41921" w:rsidRPr="003F7981">
        <w:rPr>
          <w:rFonts w:ascii="Bookman Old Style" w:hAnsi="Bookman Old Style"/>
          <w:sz w:val="24"/>
          <w:szCs w:val="24"/>
        </w:rPr>
        <w:t xml:space="preserve"> para </w:t>
      </w:r>
      <w:r w:rsidR="007915E0" w:rsidRPr="003F7981">
        <w:rPr>
          <w:rFonts w:ascii="Bookman Old Style" w:hAnsi="Bookman Old Style"/>
          <w:sz w:val="24"/>
          <w:szCs w:val="24"/>
        </w:rPr>
        <w:t xml:space="preserve">sistemas </w:t>
      </w:r>
      <w:r w:rsidR="00A33D94" w:rsidRPr="003F7981">
        <w:rPr>
          <w:rFonts w:ascii="Bookman Old Style" w:hAnsi="Bookman Old Style"/>
          <w:sz w:val="24"/>
          <w:szCs w:val="24"/>
        </w:rPr>
        <w:t>híbridos de generación diésel - biomasa</w:t>
      </w:r>
      <w:r w:rsidR="005B7B83" w:rsidRPr="003F7981">
        <w:rPr>
          <w:rFonts w:ascii="Bookman Old Style" w:hAnsi="Bookman Old Style"/>
          <w:sz w:val="24"/>
          <w:szCs w:val="24"/>
        </w:rPr>
        <w:t xml:space="preserve">, </w:t>
      </w:r>
      <w:r w:rsidR="007915E0" w:rsidRPr="003F7981">
        <w:rPr>
          <w:rFonts w:ascii="Bookman Old Style" w:hAnsi="Bookman Old Style"/>
          <w:sz w:val="24"/>
          <w:szCs w:val="24"/>
        </w:rPr>
        <w:t>como</w:t>
      </w:r>
      <w:r w:rsidR="00E41921" w:rsidRPr="003F7981">
        <w:rPr>
          <w:rFonts w:ascii="Bookman Old Style" w:hAnsi="Bookman Old Style"/>
          <w:sz w:val="24"/>
          <w:szCs w:val="24"/>
        </w:rPr>
        <w:t xml:space="preserve"> e</w:t>
      </w:r>
      <w:r w:rsidR="00873392" w:rsidRPr="003F7981">
        <w:rPr>
          <w:rFonts w:ascii="Bookman Old Style" w:hAnsi="Bookman Old Style"/>
          <w:sz w:val="24"/>
          <w:szCs w:val="24"/>
        </w:rPr>
        <w:t xml:space="preserve">l presentado </w:t>
      </w:r>
      <w:r w:rsidR="007915E0" w:rsidRPr="003F7981">
        <w:rPr>
          <w:rFonts w:ascii="Bookman Old Style" w:hAnsi="Bookman Old Style"/>
          <w:sz w:val="24"/>
          <w:szCs w:val="24"/>
        </w:rPr>
        <w:t xml:space="preserve">por </w:t>
      </w:r>
      <w:r w:rsidR="00B61BCF" w:rsidRPr="003F7981">
        <w:rPr>
          <w:rFonts w:ascii="Bookman Old Style" w:hAnsi="Bookman Old Style"/>
          <w:sz w:val="24"/>
          <w:szCs w:val="24"/>
        </w:rPr>
        <w:t>REFOENERGY</w:t>
      </w:r>
      <w:r w:rsidR="005B7B83" w:rsidRPr="003F7981">
        <w:rPr>
          <w:rFonts w:ascii="Bookman Old Style" w:hAnsi="Bookman Old Style"/>
          <w:sz w:val="24"/>
          <w:szCs w:val="24"/>
        </w:rPr>
        <w:t xml:space="preserve"> </w:t>
      </w:r>
      <w:r w:rsidR="00BB0F1B" w:rsidRPr="003F7981">
        <w:rPr>
          <w:rFonts w:ascii="Bookman Old Style" w:hAnsi="Bookman Old Style"/>
          <w:sz w:val="24"/>
          <w:szCs w:val="24"/>
        </w:rPr>
        <w:t>en su solicitud</w:t>
      </w:r>
      <w:r w:rsidR="00E41921" w:rsidRPr="003F7981">
        <w:rPr>
          <w:rFonts w:ascii="Bookman Old Style" w:hAnsi="Bookman Old Style"/>
          <w:sz w:val="24"/>
          <w:szCs w:val="24"/>
        </w:rPr>
        <w:t xml:space="preserve">, </w:t>
      </w:r>
      <w:r w:rsidRPr="003F7981">
        <w:rPr>
          <w:rFonts w:ascii="Bookman Old Style" w:hAnsi="Bookman Old Style"/>
          <w:sz w:val="24"/>
          <w:szCs w:val="24"/>
        </w:rPr>
        <w:t>procede</w:t>
      </w:r>
      <w:r w:rsidR="00A6610A" w:rsidRPr="003F7981">
        <w:rPr>
          <w:rFonts w:ascii="Bookman Old Style" w:hAnsi="Bookman Old Style"/>
          <w:sz w:val="24"/>
          <w:szCs w:val="24"/>
        </w:rPr>
        <w:t xml:space="preserve"> la</w:t>
      </w:r>
      <w:r w:rsidRPr="003F7981">
        <w:rPr>
          <w:rFonts w:ascii="Bookman Old Style" w:hAnsi="Bookman Old Style"/>
          <w:sz w:val="24"/>
          <w:szCs w:val="24"/>
        </w:rPr>
        <w:t xml:space="preserve"> </w:t>
      </w:r>
      <w:r w:rsidR="00A6610A" w:rsidRPr="003F7981">
        <w:rPr>
          <w:rFonts w:ascii="Bookman Old Style" w:hAnsi="Bookman Old Style"/>
          <w:sz w:val="24"/>
          <w:szCs w:val="24"/>
        </w:rPr>
        <w:t>determinación d</w:t>
      </w:r>
      <w:r w:rsidR="00E41921" w:rsidRPr="003F7981">
        <w:rPr>
          <w:rFonts w:ascii="Bookman Old Style" w:hAnsi="Bookman Old Style"/>
          <w:sz w:val="24"/>
          <w:szCs w:val="24"/>
        </w:rPr>
        <w:t xml:space="preserve">el costo de inversión </w:t>
      </w:r>
      <w:r w:rsidR="00873392" w:rsidRPr="003F7981">
        <w:rPr>
          <w:rFonts w:ascii="Bookman Old Style" w:hAnsi="Bookman Old Style"/>
          <w:sz w:val="24"/>
          <w:szCs w:val="24"/>
        </w:rPr>
        <w:t>y los gastos de administración, operación y mantenimiento</w:t>
      </w:r>
      <w:r w:rsidR="00A93715" w:rsidRPr="003F7981">
        <w:rPr>
          <w:rFonts w:ascii="Bookman Old Style" w:hAnsi="Bookman Old Style"/>
          <w:sz w:val="24"/>
          <w:szCs w:val="24"/>
        </w:rPr>
        <w:t>,</w:t>
      </w:r>
      <w:r w:rsidR="00873392" w:rsidRPr="003F7981">
        <w:rPr>
          <w:rFonts w:ascii="Bookman Old Style" w:hAnsi="Bookman Old Style"/>
          <w:sz w:val="24"/>
          <w:szCs w:val="24"/>
        </w:rPr>
        <w:t xml:space="preserve"> </w:t>
      </w:r>
      <w:r w:rsidR="00E41921" w:rsidRPr="003F7981">
        <w:rPr>
          <w:rFonts w:ascii="Bookman Old Style" w:hAnsi="Bookman Old Style"/>
          <w:sz w:val="24"/>
          <w:szCs w:val="24"/>
        </w:rPr>
        <w:t>en los términos definidos en la fórmula aplicable, esto es, en pesos por kilovatio hora ($/kWh)</w:t>
      </w:r>
      <w:r w:rsidR="004843D0" w:rsidRPr="003F7981">
        <w:rPr>
          <w:rFonts w:ascii="Bookman Old Style" w:hAnsi="Bookman Old Style"/>
          <w:sz w:val="24"/>
          <w:szCs w:val="24"/>
        </w:rPr>
        <w:t xml:space="preserve"> para el mercado</w:t>
      </w:r>
      <w:r w:rsidR="00A14495" w:rsidRPr="003F7981">
        <w:rPr>
          <w:rFonts w:ascii="Bookman Old Style" w:hAnsi="Bookman Old Style"/>
          <w:sz w:val="24"/>
          <w:szCs w:val="24"/>
        </w:rPr>
        <w:t xml:space="preserve"> de comercialización de la cabecera municipal</w:t>
      </w:r>
      <w:r w:rsidR="004843D0" w:rsidRPr="003F7981">
        <w:rPr>
          <w:rFonts w:ascii="Bookman Old Style" w:hAnsi="Bookman Old Style"/>
          <w:sz w:val="24"/>
          <w:szCs w:val="24"/>
        </w:rPr>
        <w:t xml:space="preserve"> de </w:t>
      </w:r>
      <w:r w:rsidR="00A33D94" w:rsidRPr="003F7981">
        <w:rPr>
          <w:rFonts w:ascii="Bookman Old Style" w:hAnsi="Bookman Old Style"/>
          <w:sz w:val="24"/>
          <w:szCs w:val="24"/>
        </w:rPr>
        <w:t>Puerto Carreño.</w:t>
      </w:r>
      <w:r w:rsidR="00E41921" w:rsidRPr="003F7981">
        <w:rPr>
          <w:rFonts w:ascii="Bookman Old Style" w:hAnsi="Bookman Old Style"/>
          <w:sz w:val="24"/>
          <w:szCs w:val="24"/>
        </w:rPr>
        <w:t xml:space="preserve"> </w:t>
      </w:r>
    </w:p>
    <w:p w14:paraId="065697C7" w14:textId="6F52EE3A" w:rsidR="00AD369B" w:rsidRPr="003F7981" w:rsidRDefault="00AD369B" w:rsidP="00CF067A">
      <w:pPr>
        <w:pStyle w:val="Style2"/>
        <w:shd w:val="clear" w:color="auto" w:fill="auto"/>
        <w:spacing w:before="0" w:line="240" w:lineRule="auto"/>
        <w:ind w:left="284" w:right="6" w:firstLine="0"/>
        <w:contextualSpacing/>
        <w:jc w:val="both"/>
        <w:rPr>
          <w:rFonts w:ascii="Bookman Old Style" w:eastAsia="Calibri" w:hAnsi="Bookman Old Style"/>
          <w:sz w:val="24"/>
          <w:szCs w:val="24"/>
          <w:lang w:eastAsia="en-US"/>
        </w:rPr>
      </w:pPr>
    </w:p>
    <w:p w14:paraId="4EA6BF1A" w14:textId="04B6FC13" w:rsidR="00D451C0" w:rsidRPr="003F7981" w:rsidRDefault="411BDD15" w:rsidP="00CF067A">
      <w:pPr>
        <w:pStyle w:val="Textoindependiente"/>
        <w:ind w:left="284" w:right="6"/>
        <w:contextualSpacing/>
        <w:jc w:val="both"/>
        <w:rPr>
          <w:rFonts w:ascii="Bookman Old Style" w:hAnsi="Bookman Old Style"/>
        </w:rPr>
      </w:pPr>
      <w:r w:rsidRPr="003F7981">
        <w:rPr>
          <w:rFonts w:ascii="Bookman Old Style" w:hAnsi="Bookman Old Style"/>
          <w:lang w:val="es-ES"/>
        </w:rPr>
        <w:t>4</w:t>
      </w:r>
      <w:r w:rsidR="6610E320" w:rsidRPr="003F7981">
        <w:rPr>
          <w:rFonts w:ascii="Bookman Old Style" w:hAnsi="Bookman Old Style"/>
        </w:rPr>
        <w:t>.2</w:t>
      </w:r>
      <w:r w:rsidR="00C06FD4" w:rsidRPr="003F7981">
        <w:rPr>
          <w:rFonts w:ascii="Bookman Old Style" w:hAnsi="Bookman Old Style"/>
        </w:rPr>
        <w:tab/>
      </w:r>
      <w:r w:rsidR="6610E320" w:rsidRPr="003F7981">
        <w:rPr>
          <w:rFonts w:ascii="Bookman Old Style" w:hAnsi="Bookman Old Style"/>
          <w:lang w:val="es-CO"/>
        </w:rPr>
        <w:t xml:space="preserve"> </w:t>
      </w:r>
      <w:r w:rsidR="6610E320" w:rsidRPr="003F7981">
        <w:rPr>
          <w:rFonts w:ascii="Bookman Old Style" w:hAnsi="Bookman Old Style"/>
        </w:rPr>
        <w:t>ANÁLISIS TÉCNICO</w:t>
      </w:r>
    </w:p>
    <w:p w14:paraId="6DFE2BF3" w14:textId="77777777" w:rsidR="00D238B3" w:rsidRPr="003F7981" w:rsidRDefault="00D238B3" w:rsidP="00CF067A">
      <w:pPr>
        <w:pStyle w:val="Textoindependiente21"/>
        <w:ind w:left="284" w:right="6"/>
        <w:contextualSpacing/>
        <w:rPr>
          <w:rFonts w:ascii="Bookman Old Style" w:hAnsi="Bookman Old Style" w:cs="Arial"/>
          <w:sz w:val="24"/>
          <w:szCs w:val="24"/>
        </w:rPr>
      </w:pPr>
    </w:p>
    <w:p w14:paraId="7E520756" w14:textId="77BE4806" w:rsidR="009E3606" w:rsidRPr="003F7981" w:rsidRDefault="009E3606" w:rsidP="00EB2450">
      <w:pPr>
        <w:pStyle w:val="Textoindependiente21"/>
        <w:ind w:left="284" w:right="6"/>
        <w:rPr>
          <w:rFonts w:ascii="Bookman Old Style" w:hAnsi="Bookman Old Style" w:cs="Arial"/>
          <w:sz w:val="24"/>
          <w:szCs w:val="24"/>
        </w:rPr>
      </w:pPr>
      <w:r w:rsidRPr="003F7981">
        <w:rPr>
          <w:rFonts w:ascii="Bookman Old Style" w:hAnsi="Bookman Old Style" w:cs="Arial"/>
          <w:sz w:val="24"/>
          <w:szCs w:val="24"/>
        </w:rPr>
        <w:t xml:space="preserve">Teniendo en cuenta lo previsto en los artículos 22, 24, 25 y 40 de la Resolución CREG 091 de 2007, se procede a revisar la información allegada por la empresa </w:t>
      </w:r>
      <w:r w:rsidR="00B61BCF" w:rsidRPr="003F7981">
        <w:rPr>
          <w:rFonts w:ascii="Bookman Old Style" w:hAnsi="Bookman Old Style"/>
          <w:sz w:val="24"/>
          <w:szCs w:val="24"/>
        </w:rPr>
        <w:t>REFOENERGY</w:t>
      </w:r>
      <w:r w:rsidR="034A1D7C" w:rsidRPr="003F7981">
        <w:rPr>
          <w:rFonts w:ascii="Bookman Old Style" w:hAnsi="Bookman Old Style" w:cs="Arial"/>
          <w:sz w:val="24"/>
          <w:szCs w:val="24"/>
        </w:rPr>
        <w:t>,</w:t>
      </w:r>
      <w:r w:rsidRPr="003F7981">
        <w:rPr>
          <w:rFonts w:ascii="Bookman Old Style" w:hAnsi="Bookman Old Style" w:cs="Arial"/>
          <w:sz w:val="24"/>
          <w:szCs w:val="24"/>
        </w:rPr>
        <w:t xml:space="preserve"> en términos de costos de inversión y gastos administración, operación y mantenimiento, así como también se analizan los datos de proyección de energía a generar y de la demanda a atender, presentados en la solicitud.</w:t>
      </w:r>
    </w:p>
    <w:p w14:paraId="5188D939" w14:textId="1BB374AF" w:rsidR="00C33F5F" w:rsidRPr="003F7981" w:rsidRDefault="00C33F5F" w:rsidP="00C06FD4">
      <w:pPr>
        <w:pStyle w:val="Textoindependiente21"/>
        <w:ind w:left="284" w:right="6"/>
        <w:contextualSpacing/>
        <w:rPr>
          <w:rFonts w:ascii="Bookman Old Style" w:hAnsi="Bookman Old Style" w:cs="Arial"/>
          <w:sz w:val="24"/>
          <w:szCs w:val="24"/>
        </w:rPr>
      </w:pPr>
    </w:p>
    <w:p w14:paraId="4A02E677" w14:textId="0D826164" w:rsidR="005A1E93" w:rsidRPr="003F7981" w:rsidRDefault="00283DEE" w:rsidP="00EB2450">
      <w:pPr>
        <w:pStyle w:val="Textoindependiente21"/>
        <w:ind w:left="284" w:right="6"/>
        <w:contextualSpacing/>
        <w:rPr>
          <w:rFonts w:ascii="Bookman Old Style" w:hAnsi="Bookman Old Style" w:cs="Arial"/>
          <w:sz w:val="24"/>
          <w:szCs w:val="24"/>
        </w:rPr>
      </w:pPr>
      <w:r w:rsidRPr="003F7981">
        <w:rPr>
          <w:rFonts w:ascii="Bookman Old Style" w:hAnsi="Bookman Old Style" w:cs="Arial"/>
          <w:sz w:val="24"/>
          <w:szCs w:val="24"/>
        </w:rPr>
        <w:t xml:space="preserve">Atendiendo los criterios tarifarios de eficiencia económica y suficiencia financiera, esta Comisión resuelve la solicitud definiendo la remuneración a partir de </w:t>
      </w:r>
      <w:r w:rsidR="005A1E93" w:rsidRPr="003F7981">
        <w:rPr>
          <w:rFonts w:ascii="Bookman Old Style" w:hAnsi="Bookman Old Style" w:cs="Arial"/>
          <w:sz w:val="24"/>
          <w:szCs w:val="24"/>
        </w:rPr>
        <w:t xml:space="preserve">costos eficientes de referencia, ajustados a las condiciones de prestación del servicio en </w:t>
      </w:r>
      <w:r w:rsidR="000360EB" w:rsidRPr="003F7981">
        <w:rPr>
          <w:rFonts w:ascii="Bookman Old Style" w:hAnsi="Bookman Old Style" w:cs="Arial"/>
          <w:sz w:val="24"/>
          <w:szCs w:val="24"/>
        </w:rPr>
        <w:t>el mercado de</w:t>
      </w:r>
      <w:r w:rsidR="007414F7" w:rsidRPr="003F7981">
        <w:rPr>
          <w:rFonts w:ascii="Bookman Old Style" w:hAnsi="Bookman Old Style" w:cs="Arial"/>
          <w:sz w:val="24"/>
          <w:szCs w:val="24"/>
        </w:rPr>
        <w:t xml:space="preserve"> comercialización de la cabecera municipal de</w:t>
      </w:r>
      <w:r w:rsidR="000360EB" w:rsidRPr="003F7981">
        <w:rPr>
          <w:rFonts w:ascii="Bookman Old Style" w:hAnsi="Bookman Old Style" w:cs="Arial"/>
          <w:sz w:val="24"/>
          <w:szCs w:val="24"/>
        </w:rPr>
        <w:t xml:space="preserve"> </w:t>
      </w:r>
      <w:r w:rsidR="000D3C37" w:rsidRPr="003F7981">
        <w:rPr>
          <w:rFonts w:ascii="Bookman Old Style" w:hAnsi="Bookman Old Style" w:cs="Arial"/>
          <w:sz w:val="24"/>
          <w:szCs w:val="24"/>
        </w:rPr>
        <w:t>Puerto Carreño</w:t>
      </w:r>
      <w:r w:rsidR="000360EB" w:rsidRPr="003F7981">
        <w:rPr>
          <w:rFonts w:ascii="Bookman Old Style" w:hAnsi="Bookman Old Style" w:cs="Arial"/>
          <w:sz w:val="24"/>
          <w:szCs w:val="24"/>
        </w:rPr>
        <w:t xml:space="preserve">. </w:t>
      </w:r>
    </w:p>
    <w:p w14:paraId="42CC45DC" w14:textId="77777777" w:rsidR="005A1E93" w:rsidRPr="003F7981" w:rsidRDefault="005A1E93" w:rsidP="00C06FD4">
      <w:pPr>
        <w:pStyle w:val="Textoindependiente21"/>
        <w:ind w:left="284" w:right="6"/>
        <w:contextualSpacing/>
        <w:rPr>
          <w:rFonts w:ascii="Bookman Old Style" w:hAnsi="Bookman Old Style" w:cs="Arial"/>
          <w:sz w:val="24"/>
          <w:szCs w:val="24"/>
        </w:rPr>
      </w:pPr>
    </w:p>
    <w:p w14:paraId="5E8F390D" w14:textId="64420B53" w:rsidR="00A6610A" w:rsidRDefault="00A6610A" w:rsidP="00BA4EAA">
      <w:pPr>
        <w:pStyle w:val="Textoindependiente21"/>
        <w:ind w:left="284" w:right="6"/>
        <w:contextualSpacing/>
        <w:rPr>
          <w:rFonts w:ascii="Bookman Old Style" w:hAnsi="Bookman Old Style" w:cs="Arial"/>
          <w:sz w:val="24"/>
          <w:szCs w:val="24"/>
        </w:rPr>
      </w:pPr>
      <w:r w:rsidRPr="003F7981">
        <w:rPr>
          <w:rFonts w:ascii="Bookman Old Style" w:hAnsi="Bookman Old Style" w:cs="Arial"/>
          <w:sz w:val="24"/>
          <w:szCs w:val="24"/>
        </w:rPr>
        <w:t xml:space="preserve">El </w:t>
      </w:r>
      <w:r w:rsidRPr="00C7153E">
        <w:rPr>
          <w:rFonts w:ascii="Bookman Old Style" w:hAnsi="Bookman Old Style" w:cs="Arial"/>
          <w:sz w:val="24"/>
          <w:szCs w:val="24"/>
        </w:rPr>
        <w:t xml:space="preserve">documento </w:t>
      </w:r>
      <w:r w:rsidR="004F017B" w:rsidRPr="00C7153E">
        <w:rPr>
          <w:rFonts w:ascii="Bookman Old Style" w:hAnsi="Bookman Old Style" w:cs="Arial"/>
          <w:sz w:val="24"/>
          <w:szCs w:val="24"/>
        </w:rPr>
        <w:t xml:space="preserve">técnico </w:t>
      </w:r>
      <w:r w:rsidRPr="00C7153E">
        <w:rPr>
          <w:rFonts w:ascii="Bookman Old Style" w:hAnsi="Bookman Old Style" w:cs="Arial"/>
          <w:sz w:val="24"/>
          <w:szCs w:val="24"/>
        </w:rPr>
        <w:t xml:space="preserve">CREG </w:t>
      </w:r>
      <w:r w:rsidR="00C7153E" w:rsidRPr="00C7153E">
        <w:rPr>
          <w:rFonts w:ascii="Bookman Old Style" w:hAnsi="Bookman Old Style" w:cs="Arial"/>
          <w:sz w:val="24"/>
          <w:szCs w:val="24"/>
        </w:rPr>
        <w:t>501 015</w:t>
      </w:r>
      <w:r w:rsidRPr="00C7153E">
        <w:rPr>
          <w:rFonts w:ascii="Bookman Old Style" w:hAnsi="Bookman Old Style" w:cs="Arial"/>
          <w:sz w:val="24"/>
          <w:szCs w:val="24"/>
        </w:rPr>
        <w:t xml:space="preserve"> de 202</w:t>
      </w:r>
      <w:r w:rsidR="000C7E0E" w:rsidRPr="00C7153E">
        <w:rPr>
          <w:rFonts w:ascii="Bookman Old Style" w:hAnsi="Bookman Old Style" w:cs="Arial"/>
          <w:sz w:val="24"/>
          <w:szCs w:val="24"/>
        </w:rPr>
        <w:t>2</w:t>
      </w:r>
      <w:r w:rsidRPr="00C7153E">
        <w:rPr>
          <w:rFonts w:ascii="Bookman Old Style" w:hAnsi="Bookman Old Style" w:cs="Arial"/>
          <w:sz w:val="24"/>
          <w:szCs w:val="24"/>
        </w:rPr>
        <w:t>, soporte</w:t>
      </w:r>
      <w:r w:rsidRPr="003F7981">
        <w:rPr>
          <w:rFonts w:ascii="Bookman Old Style" w:hAnsi="Bookman Old Style" w:cs="Arial"/>
          <w:sz w:val="24"/>
          <w:szCs w:val="24"/>
        </w:rPr>
        <w:t xml:space="preserve"> de la presente </w:t>
      </w:r>
      <w:r w:rsidR="00EB2450" w:rsidRPr="003F7981">
        <w:rPr>
          <w:rFonts w:ascii="Bookman Old Style" w:hAnsi="Bookman Old Style" w:cs="Arial"/>
          <w:sz w:val="24"/>
          <w:szCs w:val="24"/>
        </w:rPr>
        <w:t>r</w:t>
      </w:r>
      <w:r w:rsidRPr="003F7981">
        <w:rPr>
          <w:rFonts w:ascii="Bookman Old Style" w:hAnsi="Bookman Old Style" w:cs="Arial"/>
          <w:sz w:val="24"/>
          <w:szCs w:val="24"/>
        </w:rPr>
        <w:t xml:space="preserve">esolución, detalla el análisis técnico realizado para resolver la solicitud de la empresa en cuestión. </w:t>
      </w:r>
    </w:p>
    <w:p w14:paraId="77960D83" w14:textId="77777777" w:rsidR="00604901" w:rsidRPr="003F7981" w:rsidRDefault="00604901" w:rsidP="00BA4EAA">
      <w:pPr>
        <w:pStyle w:val="Textoindependiente21"/>
        <w:ind w:left="284" w:right="6"/>
        <w:contextualSpacing/>
        <w:rPr>
          <w:rFonts w:ascii="Bookman Old Style" w:hAnsi="Bookman Old Style" w:cs="Arial"/>
          <w:sz w:val="24"/>
          <w:szCs w:val="24"/>
        </w:rPr>
      </w:pPr>
    </w:p>
    <w:p w14:paraId="378C9BCA" w14:textId="760F1EB2" w:rsidR="00D238B3" w:rsidRDefault="00604901" w:rsidP="00C06FD4">
      <w:pPr>
        <w:pStyle w:val="Textoindependiente21"/>
        <w:ind w:left="284" w:right="6"/>
        <w:contextualSpacing/>
        <w:rPr>
          <w:rFonts w:ascii="Bookman Old Style" w:hAnsi="Bookman Old Style" w:cs="Arial"/>
          <w:sz w:val="24"/>
          <w:szCs w:val="24"/>
        </w:rPr>
      </w:pPr>
      <w:r w:rsidRPr="00604901">
        <w:rPr>
          <w:rFonts w:ascii="Bookman Old Style" w:hAnsi="Bookman Old Style" w:cs="Arial"/>
          <w:sz w:val="24"/>
          <w:szCs w:val="24"/>
        </w:rPr>
        <w:t>En desarrollo del análisis se identificó que en el mercado relevante de Puerto Carreño existirían activos de distribución del nivel de tensión 3 y que</w:t>
      </w:r>
      <w:r w:rsidR="00395400">
        <w:rPr>
          <w:rFonts w:ascii="Bookman Old Style" w:hAnsi="Bookman Old Style" w:cs="Arial"/>
          <w:sz w:val="24"/>
          <w:szCs w:val="24"/>
        </w:rPr>
        <w:t>,</w:t>
      </w:r>
      <w:r w:rsidRPr="00604901">
        <w:rPr>
          <w:rFonts w:ascii="Bookman Old Style" w:hAnsi="Bookman Old Style" w:cs="Arial"/>
          <w:sz w:val="24"/>
          <w:szCs w:val="24"/>
        </w:rPr>
        <w:t xml:space="preserve"> según el marco tarifario vigente, </w:t>
      </w:r>
      <w:r>
        <w:rPr>
          <w:rFonts w:ascii="Bookman Old Style" w:hAnsi="Bookman Old Style" w:cs="Arial"/>
          <w:sz w:val="24"/>
          <w:szCs w:val="24"/>
        </w:rPr>
        <w:t xml:space="preserve">del Parágrafo 1 del </w:t>
      </w:r>
      <w:r w:rsidRPr="00604901">
        <w:rPr>
          <w:rFonts w:ascii="Bookman Old Style" w:hAnsi="Bookman Old Style" w:cs="Arial"/>
          <w:sz w:val="24"/>
          <w:szCs w:val="24"/>
        </w:rPr>
        <w:t xml:space="preserve">Artículo </w:t>
      </w:r>
      <w:r>
        <w:rPr>
          <w:rFonts w:ascii="Bookman Old Style" w:hAnsi="Bookman Old Style" w:cs="Arial"/>
          <w:sz w:val="24"/>
          <w:szCs w:val="24"/>
        </w:rPr>
        <w:t>29</w:t>
      </w:r>
      <w:r w:rsidRPr="00604901">
        <w:rPr>
          <w:rFonts w:ascii="Bookman Old Style" w:hAnsi="Bookman Old Style" w:cs="Arial"/>
          <w:sz w:val="24"/>
          <w:szCs w:val="24"/>
        </w:rPr>
        <w:t xml:space="preserve"> de la Resolución CREG 091 de 2007, los mismos serán determinados por la CREG en </w:t>
      </w:r>
      <w:r w:rsidRPr="00604901">
        <w:rPr>
          <w:rFonts w:ascii="Bookman Old Style" w:hAnsi="Bookman Old Style" w:cs="Arial"/>
          <w:sz w:val="24"/>
          <w:szCs w:val="24"/>
        </w:rPr>
        <w:lastRenderedPageBreak/>
        <w:t>resolución de car</w:t>
      </w:r>
      <w:r>
        <w:rPr>
          <w:rFonts w:ascii="Bookman Old Style" w:hAnsi="Bookman Old Style" w:cs="Arial"/>
          <w:sz w:val="24"/>
          <w:szCs w:val="24"/>
        </w:rPr>
        <w:t>á</w:t>
      </w:r>
      <w:r w:rsidRPr="00604901">
        <w:rPr>
          <w:rFonts w:ascii="Bookman Old Style" w:hAnsi="Bookman Old Style" w:cs="Arial"/>
          <w:sz w:val="24"/>
          <w:szCs w:val="24"/>
        </w:rPr>
        <w:t>cter particular. Atendiendo lo anterior, la CREG</w:t>
      </w:r>
      <w:r w:rsidR="00395400">
        <w:rPr>
          <w:rFonts w:ascii="Bookman Old Style" w:hAnsi="Bookman Old Style" w:cs="Arial"/>
          <w:sz w:val="24"/>
          <w:szCs w:val="24"/>
        </w:rPr>
        <w:t>,</w:t>
      </w:r>
      <w:r w:rsidRPr="00604901">
        <w:rPr>
          <w:rFonts w:ascii="Bookman Old Style" w:hAnsi="Bookman Old Style" w:cs="Arial"/>
          <w:sz w:val="24"/>
          <w:szCs w:val="24"/>
        </w:rPr>
        <w:t xml:space="preserve"> de oficio, iniciará la respectiva actuación, aplicando lo señalado en el Decreto 1260 de 2013</w:t>
      </w:r>
      <w:r w:rsidR="00560ACC">
        <w:rPr>
          <w:rFonts w:ascii="Bookman Old Style" w:hAnsi="Bookman Old Style" w:cs="Arial"/>
          <w:sz w:val="24"/>
          <w:szCs w:val="24"/>
        </w:rPr>
        <w:t>.</w:t>
      </w:r>
    </w:p>
    <w:p w14:paraId="3D198947" w14:textId="17B430F4" w:rsidR="00CB7FBF" w:rsidRDefault="00CB7FBF" w:rsidP="00C06FD4">
      <w:pPr>
        <w:pStyle w:val="Textoindependiente21"/>
        <w:ind w:left="284" w:right="6"/>
        <w:contextualSpacing/>
        <w:rPr>
          <w:rFonts w:ascii="Bookman Old Style" w:hAnsi="Bookman Old Style" w:cs="Arial"/>
          <w:sz w:val="24"/>
          <w:szCs w:val="24"/>
        </w:rPr>
      </w:pPr>
    </w:p>
    <w:p w14:paraId="19D1A2B0" w14:textId="25E9EB8F" w:rsidR="2290A195" w:rsidRPr="003F7981" w:rsidRDefault="2290A195" w:rsidP="0038102C">
      <w:pPr>
        <w:ind w:left="284"/>
        <w:contextualSpacing/>
        <w:jc w:val="both"/>
        <w:rPr>
          <w:rFonts w:ascii="Bookman Old Style" w:eastAsia="Bookman Old Style" w:hAnsi="Bookman Old Style" w:cs="Bookman Old Style"/>
        </w:rPr>
      </w:pPr>
      <w:r w:rsidRPr="003F7981">
        <w:rPr>
          <w:rFonts w:ascii="Bookman Old Style" w:hAnsi="Bookman Old Style" w:cs="Arial"/>
        </w:rPr>
        <w:t>Para efectos de la notificación</w:t>
      </w:r>
      <w:r w:rsidR="00395400">
        <w:rPr>
          <w:rFonts w:ascii="Bookman Old Style" w:hAnsi="Bookman Old Style" w:cs="Arial"/>
        </w:rPr>
        <w:t>,</w:t>
      </w:r>
      <w:r w:rsidRPr="003F7981">
        <w:rPr>
          <w:rFonts w:ascii="Bookman Old Style" w:hAnsi="Bookman Old Style" w:cs="Arial"/>
        </w:rPr>
        <w:t xml:space="preserve"> se debe n</w:t>
      </w:r>
      <w:r w:rsidR="7E21A36A" w:rsidRPr="003F7981">
        <w:rPr>
          <w:rFonts w:ascii="Bookman Old Style" w:eastAsia="Bookman Old Style" w:hAnsi="Bookman Old Style" w:cs="Bookman Old Style"/>
          <w:lang w:val=""/>
        </w:rPr>
        <w:t xml:space="preserve">otificar al representante legal de la   empresa </w:t>
      </w:r>
      <w:r w:rsidR="00B61BCF" w:rsidRPr="003F7981">
        <w:rPr>
          <w:rFonts w:ascii="Bookman Old Style" w:hAnsi="Bookman Old Style"/>
        </w:rPr>
        <w:t>REFOENERGY</w:t>
      </w:r>
      <w:r w:rsidR="7E21A36A" w:rsidRPr="003F7981">
        <w:rPr>
          <w:rFonts w:ascii="Bookman Old Style" w:eastAsia="Bookman Old Style" w:hAnsi="Bookman Old Style" w:cs="Bookman Old Style"/>
          <w:lang w:val=""/>
        </w:rPr>
        <w:t xml:space="preserve"> el contenido de </w:t>
      </w:r>
      <w:r w:rsidR="7E21A36A" w:rsidRPr="003F7981">
        <w:rPr>
          <w:rFonts w:ascii="Bookman Old Style" w:eastAsia="Bookman Old Style" w:hAnsi="Bookman Old Style" w:cs="Bookman Old Style"/>
        </w:rPr>
        <w:t>la presente resolución</w:t>
      </w:r>
      <w:r w:rsidR="00395400">
        <w:rPr>
          <w:rFonts w:ascii="Bookman Old Style" w:eastAsia="Bookman Old Style" w:hAnsi="Bookman Old Style" w:cs="Bookman Old Style"/>
        </w:rPr>
        <w:t>,</w:t>
      </w:r>
      <w:r w:rsidR="7E21A36A" w:rsidRPr="003F7981">
        <w:rPr>
          <w:rFonts w:ascii="Bookman Old Style" w:eastAsia="Bookman Old Style" w:hAnsi="Bookman Old Style" w:cs="Bookman Old Style"/>
        </w:rPr>
        <w:t xml:space="preserve"> la cual deberá </w:t>
      </w:r>
      <w:r w:rsidR="7E21A36A" w:rsidRPr="003F7981">
        <w:rPr>
          <w:rFonts w:ascii="Bookman Old Style" w:eastAsia="Bookman Old Style" w:hAnsi="Bookman Old Style" w:cs="Bookman Old Style"/>
          <w:lang w:val=""/>
        </w:rPr>
        <w:t xml:space="preserve">notificarse </w:t>
      </w:r>
      <w:r w:rsidR="7E21A36A" w:rsidRPr="003F7981">
        <w:rPr>
          <w:rFonts w:ascii="Bookman Old Style" w:eastAsia="Bookman Old Style" w:hAnsi="Bookman Old Style" w:cs="Bookman Old Style"/>
        </w:rPr>
        <w:t xml:space="preserve">según lo estipulado por la empresa al correo electrónico señalado en su solicitud, </w:t>
      </w:r>
      <w:r w:rsidR="007F196E" w:rsidRPr="003F7981">
        <w:rPr>
          <w:rFonts w:ascii="Bookman Old Style" w:eastAsia="Bookman Old Style" w:hAnsi="Bookman Old Style" w:cs="Bookman Old Style"/>
        </w:rPr>
        <w:t xml:space="preserve">de </w:t>
      </w:r>
      <w:r w:rsidR="00395400">
        <w:rPr>
          <w:rFonts w:ascii="Bookman Old Style" w:eastAsia="Bookman Old Style" w:hAnsi="Bookman Old Style" w:cs="Bookman Old Style"/>
        </w:rPr>
        <w:t xml:space="preserve">conformidad con lo establecido </w:t>
      </w:r>
      <w:r w:rsidR="7E21A36A" w:rsidRPr="003F7981">
        <w:rPr>
          <w:rFonts w:ascii="Bookman Old Style" w:eastAsia="Bookman Old Style" w:hAnsi="Bookman Old Style" w:cs="Bookman Old Style"/>
        </w:rPr>
        <w:t>en el artículo 8 de la Ley 2080 del año 2021, que introduce el artículo 53A del CPACA y el artículo 56 de la misma.</w:t>
      </w:r>
    </w:p>
    <w:p w14:paraId="1D7B716C" w14:textId="3EE12B1A" w:rsidR="2290A195" w:rsidRDefault="7E21A36A" w:rsidP="7E21A36A">
      <w:pPr>
        <w:contextualSpacing/>
        <w:jc w:val="both"/>
        <w:rPr>
          <w:rFonts w:ascii="Bookman Old Style" w:eastAsia="Bookman Old Style" w:hAnsi="Bookman Old Style" w:cs="Bookman Old Style"/>
        </w:rPr>
      </w:pPr>
      <w:r w:rsidRPr="003F7981">
        <w:rPr>
          <w:rFonts w:ascii="Bookman Old Style" w:eastAsia="Bookman Old Style" w:hAnsi="Bookman Old Style" w:cs="Bookman Old Style"/>
        </w:rPr>
        <w:t xml:space="preserve"> </w:t>
      </w:r>
    </w:p>
    <w:p w14:paraId="5F910022" w14:textId="40D59E5B" w:rsidR="00395400" w:rsidRPr="003F7981" w:rsidRDefault="004222C3" w:rsidP="004222C3">
      <w:pPr>
        <w:ind w:left="284"/>
        <w:contextualSpacing/>
        <w:jc w:val="both"/>
        <w:rPr>
          <w:rFonts w:ascii="Bookman Old Style" w:hAnsi="Bookman Old Style"/>
        </w:rPr>
      </w:pPr>
      <w:r w:rsidRPr="004222C3">
        <w:rPr>
          <w:rFonts w:ascii="Bookman Old Style" w:eastAsia="Bookman Old Style" w:hAnsi="Bookman Old Style" w:cs="Bookman Old Style"/>
        </w:rPr>
        <w:t xml:space="preserve">Por </w:t>
      </w:r>
      <w:r>
        <w:rPr>
          <w:rFonts w:ascii="Bookman Old Style" w:eastAsia="Bookman Old Style" w:hAnsi="Bookman Old Style" w:cs="Bookman Old Style"/>
        </w:rPr>
        <w:t xml:space="preserve">último, </w:t>
      </w:r>
      <w:r w:rsidRPr="004222C3">
        <w:rPr>
          <w:rFonts w:ascii="Bookman Old Style" w:eastAsia="Bookman Old Style" w:hAnsi="Bookman Old Style" w:cs="Bookman Old Style"/>
        </w:rPr>
        <w:t>por tratarse de una aplicación de una metodología,</w:t>
      </w:r>
      <w:r>
        <w:rPr>
          <w:rFonts w:ascii="Bookman Old Style" w:eastAsia="Bookman Old Style" w:hAnsi="Bookman Old Style" w:cs="Bookman Old Style"/>
        </w:rPr>
        <w:t xml:space="preserve"> la presente resolución </w:t>
      </w:r>
      <w:r w:rsidRPr="004222C3">
        <w:rPr>
          <w:rFonts w:ascii="Bookman Old Style" w:eastAsia="Bookman Old Style" w:hAnsi="Bookman Old Style" w:cs="Bookman Old Style"/>
        </w:rPr>
        <w:t xml:space="preserve">no se remite a la Superintendencia de Industria y Comercio, para el ejercicio de la Abogacía de la Competencia, con fundamento en las disposiciones del Decreto 1074 de 2015.   </w:t>
      </w:r>
    </w:p>
    <w:p w14:paraId="5A8C77FD" w14:textId="77777777" w:rsidR="004222C3" w:rsidRDefault="004222C3" w:rsidP="00BA4EAA">
      <w:pPr>
        <w:pStyle w:val="Textoindependiente21"/>
        <w:ind w:left="284" w:right="6"/>
        <w:contextualSpacing/>
        <w:rPr>
          <w:rFonts w:ascii="Bookman Old Style" w:hAnsi="Bookman Old Style" w:cs="Arial"/>
          <w:sz w:val="24"/>
          <w:szCs w:val="24"/>
          <w:lang w:val="es-ES"/>
        </w:rPr>
      </w:pPr>
    </w:p>
    <w:p w14:paraId="3D29EA62" w14:textId="03C5E91C" w:rsidR="008B6CE5" w:rsidRPr="003F7981" w:rsidRDefault="00BA4EAA" w:rsidP="00BA4EAA">
      <w:pPr>
        <w:pStyle w:val="Textoindependiente21"/>
        <w:ind w:left="284" w:right="6"/>
        <w:contextualSpacing/>
        <w:rPr>
          <w:rFonts w:ascii="Bookman Old Style" w:hAnsi="Bookman Old Style" w:cs="Arial"/>
          <w:sz w:val="24"/>
          <w:szCs w:val="24"/>
        </w:rPr>
      </w:pPr>
      <w:r w:rsidRPr="003F7981">
        <w:rPr>
          <w:rFonts w:ascii="Bookman Old Style" w:hAnsi="Bookman Old Style" w:cs="Arial"/>
          <w:sz w:val="24"/>
          <w:szCs w:val="24"/>
        </w:rPr>
        <w:t>En sesión No. 1182 del 15 de ju</w:t>
      </w:r>
      <w:r w:rsidR="00A74E66" w:rsidRPr="003F7981">
        <w:rPr>
          <w:rFonts w:ascii="Bookman Old Style" w:hAnsi="Bookman Old Style" w:cs="Arial"/>
          <w:sz w:val="24"/>
          <w:szCs w:val="24"/>
        </w:rPr>
        <w:t>l</w:t>
      </w:r>
      <w:r w:rsidRPr="003F7981">
        <w:rPr>
          <w:rFonts w:ascii="Bookman Old Style" w:hAnsi="Bookman Old Style" w:cs="Arial"/>
          <w:sz w:val="24"/>
          <w:szCs w:val="24"/>
        </w:rPr>
        <w:t>io de 2022, la Comisión de Regulación de Energía y Gas analizó la presente actuación administrativa y</w:t>
      </w:r>
      <w:r w:rsidR="00395400">
        <w:rPr>
          <w:rFonts w:ascii="Bookman Old Style" w:hAnsi="Bookman Old Style" w:cs="Arial"/>
          <w:sz w:val="24"/>
          <w:szCs w:val="24"/>
        </w:rPr>
        <w:t>, p</w:t>
      </w:r>
      <w:r w:rsidR="008B6CE5" w:rsidRPr="003F7981">
        <w:rPr>
          <w:rFonts w:ascii="Bookman Old Style" w:hAnsi="Bookman Old Style" w:cs="Arial"/>
          <w:sz w:val="24"/>
          <w:szCs w:val="24"/>
        </w:rPr>
        <w:t>or lo anteriormente expuesto,</w:t>
      </w:r>
    </w:p>
    <w:p w14:paraId="154AE051" w14:textId="77777777" w:rsidR="009E6611" w:rsidRPr="003F7981" w:rsidRDefault="009E6611">
      <w:pPr>
        <w:pStyle w:val="Textoindependiente21"/>
        <w:ind w:left="284" w:right="6"/>
        <w:contextualSpacing/>
        <w:rPr>
          <w:rFonts w:ascii="Bookman Old Style" w:hAnsi="Bookman Old Style" w:cs="Arial"/>
          <w:sz w:val="24"/>
          <w:szCs w:val="24"/>
        </w:rPr>
      </w:pPr>
    </w:p>
    <w:p w14:paraId="748C3926" w14:textId="77777777" w:rsidR="00903C58" w:rsidRPr="003F7981" w:rsidRDefault="00903C58" w:rsidP="00CF067A">
      <w:pPr>
        <w:keepNext/>
        <w:ind w:left="284" w:right="6"/>
        <w:contextualSpacing/>
        <w:jc w:val="center"/>
        <w:rPr>
          <w:rFonts w:ascii="Bookman Old Style" w:hAnsi="Bookman Old Style" w:cs="Arial"/>
          <w:b/>
        </w:rPr>
      </w:pPr>
      <w:r w:rsidRPr="003F7981">
        <w:rPr>
          <w:rFonts w:ascii="Bookman Old Style" w:hAnsi="Bookman Old Style" w:cs="Arial"/>
          <w:b/>
        </w:rPr>
        <w:t>R E S U E L V E:</w:t>
      </w:r>
    </w:p>
    <w:p w14:paraId="427949B6" w14:textId="2527B0C7" w:rsidR="00903C58" w:rsidRPr="003F7981" w:rsidRDefault="00903C58" w:rsidP="00CF067A">
      <w:pPr>
        <w:keepNext/>
        <w:ind w:left="284" w:right="6"/>
        <w:contextualSpacing/>
        <w:jc w:val="center"/>
        <w:rPr>
          <w:rFonts w:ascii="Bookman Old Style" w:hAnsi="Bookman Old Style" w:cs="Arial"/>
          <w:b/>
        </w:rPr>
      </w:pPr>
    </w:p>
    <w:p w14:paraId="2F7A440E" w14:textId="4FF1DDC2" w:rsidR="00552F05" w:rsidRPr="003F7981" w:rsidRDefault="00565C93" w:rsidP="00CF067A">
      <w:pPr>
        <w:pStyle w:val="Piedepgina"/>
        <w:tabs>
          <w:tab w:val="clear" w:pos="4252"/>
          <w:tab w:val="clear" w:pos="8504"/>
          <w:tab w:val="center" w:pos="4845"/>
        </w:tabs>
        <w:ind w:left="284" w:right="6"/>
        <w:contextualSpacing/>
        <w:jc w:val="both"/>
        <w:rPr>
          <w:rFonts w:ascii="Bookman Old Style" w:hAnsi="Bookman Old Style" w:cs="Arial"/>
        </w:rPr>
      </w:pPr>
      <w:r w:rsidRPr="003F7981">
        <w:rPr>
          <w:rFonts w:ascii="Bookman Old Style" w:hAnsi="Bookman Old Style" w:cs="Arial"/>
          <w:b/>
        </w:rPr>
        <w:t>ARTÍCULO 1</w:t>
      </w:r>
      <w:r w:rsidR="00B50937" w:rsidRPr="003F7981">
        <w:rPr>
          <w:rFonts w:ascii="Bookman Old Style" w:hAnsi="Bookman Old Style" w:cs="Arial"/>
          <w:b/>
          <w:bCs/>
        </w:rPr>
        <w:t>. Remuneración de las componentes de inversión y de administración, operación y mantenimiento</w:t>
      </w:r>
      <w:r w:rsidR="004C63CD" w:rsidRPr="003F7981">
        <w:rPr>
          <w:rFonts w:ascii="Bookman Old Style" w:hAnsi="Bookman Old Style" w:cs="Arial"/>
          <w:b/>
          <w:bCs/>
        </w:rPr>
        <w:t>.</w:t>
      </w:r>
      <w:r w:rsidR="00B50937" w:rsidRPr="003F7981">
        <w:rPr>
          <w:rFonts w:ascii="Bookman Old Style" w:hAnsi="Bookman Old Style" w:cs="Arial"/>
          <w:b/>
          <w:bCs/>
        </w:rPr>
        <w:t xml:space="preserve"> </w:t>
      </w:r>
      <w:r w:rsidR="004C63CD" w:rsidRPr="003F7981">
        <w:rPr>
          <w:rFonts w:ascii="Bookman Old Style" w:hAnsi="Bookman Old Style" w:cs="Arial"/>
          <w:bCs/>
        </w:rPr>
        <w:t>P</w:t>
      </w:r>
      <w:r w:rsidR="00B50937" w:rsidRPr="003F7981">
        <w:rPr>
          <w:rFonts w:ascii="Bookman Old Style" w:hAnsi="Bookman Old Style" w:cs="Arial"/>
          <w:bCs/>
        </w:rPr>
        <w:t xml:space="preserve">ara </w:t>
      </w:r>
      <w:r w:rsidR="006931CD" w:rsidRPr="003F7981">
        <w:rPr>
          <w:rFonts w:ascii="Bookman Old Style" w:hAnsi="Bookman Old Style" w:cs="Arial"/>
        </w:rPr>
        <w:t>sistema</w:t>
      </w:r>
      <w:r w:rsidR="00742F35" w:rsidRPr="003F7981">
        <w:rPr>
          <w:rFonts w:ascii="Bookman Old Style" w:hAnsi="Bookman Old Style" w:cs="Arial"/>
        </w:rPr>
        <w:t>s</w:t>
      </w:r>
      <w:r w:rsidR="00CB2DEE" w:rsidRPr="003F7981">
        <w:rPr>
          <w:rFonts w:ascii="Bookman Old Style" w:hAnsi="Bookman Old Style" w:cs="Arial"/>
        </w:rPr>
        <w:t xml:space="preserve"> </w:t>
      </w:r>
      <w:r w:rsidR="00D01587" w:rsidRPr="003F7981">
        <w:rPr>
          <w:rFonts w:ascii="Bookman Old Style" w:hAnsi="Bookman Old Style" w:cs="Arial"/>
        </w:rPr>
        <w:t xml:space="preserve">híbridos </w:t>
      </w:r>
      <w:r w:rsidR="002A76A4" w:rsidRPr="003F7981">
        <w:rPr>
          <w:rFonts w:ascii="Bookman Old Style" w:hAnsi="Bookman Old Style" w:cs="Arial"/>
        </w:rPr>
        <w:t>diésel - biomasa</w:t>
      </w:r>
      <w:r w:rsidR="000C7E0E" w:rsidRPr="003F7981">
        <w:rPr>
          <w:rFonts w:ascii="Bookman Old Style" w:hAnsi="Bookman Old Style" w:cs="Arial"/>
        </w:rPr>
        <w:t xml:space="preserve">, </w:t>
      </w:r>
      <w:r w:rsidR="00CB2DEE" w:rsidRPr="003F7981">
        <w:rPr>
          <w:rFonts w:ascii="Bookman Old Style" w:hAnsi="Bookman Old Style" w:cs="Arial"/>
        </w:rPr>
        <w:t xml:space="preserve">para el mercado relevante de </w:t>
      </w:r>
      <w:r w:rsidR="000D3C37" w:rsidRPr="003F7981">
        <w:rPr>
          <w:rFonts w:ascii="Bookman Old Style" w:hAnsi="Bookman Old Style" w:cs="Arial"/>
        </w:rPr>
        <w:t>Puerto Carreño</w:t>
      </w:r>
      <w:r w:rsidR="00CB2DEE" w:rsidRPr="003F7981">
        <w:rPr>
          <w:rFonts w:ascii="Bookman Old Style" w:hAnsi="Bookman Old Style" w:cs="Arial"/>
        </w:rPr>
        <w:t xml:space="preserve"> en el </w:t>
      </w:r>
      <w:r w:rsidR="000C7E0E" w:rsidRPr="003F7981">
        <w:rPr>
          <w:rFonts w:ascii="Bookman Old Style" w:hAnsi="Bookman Old Style" w:cs="Arial"/>
        </w:rPr>
        <w:t>D</w:t>
      </w:r>
      <w:r w:rsidR="00CB2DEE" w:rsidRPr="003F7981">
        <w:rPr>
          <w:rFonts w:ascii="Bookman Old Style" w:hAnsi="Bookman Old Style" w:cs="Arial"/>
        </w:rPr>
        <w:t xml:space="preserve">epartamento del </w:t>
      </w:r>
      <w:r w:rsidR="000D3C37" w:rsidRPr="003F7981">
        <w:rPr>
          <w:rFonts w:ascii="Bookman Old Style" w:hAnsi="Bookman Old Style" w:cs="Arial"/>
        </w:rPr>
        <w:t>Vichada</w:t>
      </w:r>
      <w:r w:rsidR="00CB2DEE" w:rsidRPr="003F7981">
        <w:rPr>
          <w:rFonts w:ascii="Bookman Old Style" w:hAnsi="Bookman Old Style" w:cs="Arial"/>
        </w:rPr>
        <w:t xml:space="preserve">, </w:t>
      </w:r>
      <w:r w:rsidR="004C63CD" w:rsidRPr="003F7981">
        <w:rPr>
          <w:rFonts w:ascii="Bookman Old Style" w:hAnsi="Bookman Old Style" w:cs="Arial"/>
        </w:rPr>
        <w:t>l</w:t>
      </w:r>
      <w:r w:rsidR="00841735" w:rsidRPr="003F7981">
        <w:rPr>
          <w:rFonts w:ascii="Bookman Old Style" w:hAnsi="Bookman Old Style" w:cs="Arial"/>
        </w:rPr>
        <w:t xml:space="preserve">as </w:t>
      </w:r>
      <w:r w:rsidR="00841735" w:rsidRPr="003F7981">
        <w:rPr>
          <w:rFonts w:ascii="Bookman Old Style" w:hAnsi="Bookman Old Style" w:cs="Arial"/>
          <w:bCs/>
        </w:rPr>
        <w:t>componentes que remuneran los costos de inversión</w:t>
      </w:r>
      <w:r w:rsidR="00BE5DDF" w:rsidRPr="003F7981">
        <w:rPr>
          <w:rFonts w:ascii="Bookman Old Style" w:hAnsi="Bookman Old Style" w:cs="Arial"/>
          <w:bCs/>
        </w:rPr>
        <w:t xml:space="preserve"> y de</w:t>
      </w:r>
      <w:r w:rsidR="00841735" w:rsidRPr="003F7981">
        <w:rPr>
          <w:rFonts w:ascii="Bookman Old Style" w:hAnsi="Bookman Old Style" w:cs="Arial"/>
          <w:bCs/>
        </w:rPr>
        <w:t xml:space="preserve"> administración, operación y mantenimiento </w:t>
      </w:r>
      <w:r w:rsidR="00A1702A" w:rsidRPr="003F7981">
        <w:rPr>
          <w:rFonts w:ascii="Bookman Old Style" w:hAnsi="Bookman Old Style" w:cs="Arial"/>
        </w:rPr>
        <w:t>son las siguientes</w:t>
      </w:r>
      <w:r w:rsidR="009F572E" w:rsidRPr="003F7981">
        <w:rPr>
          <w:rFonts w:ascii="Bookman Old Style" w:hAnsi="Bookman Old Style" w:cs="Arial"/>
        </w:rPr>
        <w:t>:</w:t>
      </w:r>
    </w:p>
    <w:p w14:paraId="5854090F" w14:textId="77777777" w:rsidR="009E5874" w:rsidRPr="003F7981" w:rsidRDefault="009E5874" w:rsidP="00CF067A">
      <w:pPr>
        <w:pStyle w:val="Piedepgina"/>
        <w:tabs>
          <w:tab w:val="clear" w:pos="4252"/>
          <w:tab w:val="clear" w:pos="8504"/>
          <w:tab w:val="center" w:pos="4845"/>
        </w:tabs>
        <w:ind w:left="284" w:right="6"/>
        <w:contextualSpacing/>
        <w:jc w:val="center"/>
        <w:rPr>
          <w:rFonts w:ascii="Bookman Old Style" w:hAnsi="Bookman Old Style" w:cs="Arial"/>
        </w:rPr>
      </w:pPr>
    </w:p>
    <w:p w14:paraId="72BE21A3" w14:textId="16CD2D6A" w:rsidR="00BE5DDF" w:rsidRPr="003F7981" w:rsidRDefault="00A1702A" w:rsidP="00CF067A">
      <w:pPr>
        <w:pStyle w:val="Piedepgina"/>
        <w:tabs>
          <w:tab w:val="clear" w:pos="4252"/>
          <w:tab w:val="clear" w:pos="8504"/>
          <w:tab w:val="center" w:pos="4845"/>
        </w:tabs>
        <w:ind w:left="284" w:right="6"/>
        <w:contextualSpacing/>
        <w:jc w:val="center"/>
        <w:rPr>
          <w:rFonts w:ascii="Bookman Old Style" w:hAnsi="Bookman Old Style" w:cs="Arial"/>
          <w:b/>
        </w:rPr>
      </w:pPr>
      <w:r w:rsidRPr="003F7981">
        <w:rPr>
          <w:rFonts w:ascii="Bookman Old Style" w:hAnsi="Bookman Old Style" w:cs="Arial"/>
          <w:b/>
        </w:rPr>
        <w:t>Tabla</w:t>
      </w:r>
      <w:r w:rsidR="001A5475" w:rsidRPr="003F7981">
        <w:rPr>
          <w:rFonts w:ascii="Bookman Old Style" w:hAnsi="Bookman Old Style" w:cs="Arial"/>
          <w:b/>
        </w:rPr>
        <w:t xml:space="preserve"> </w:t>
      </w:r>
      <w:r w:rsidRPr="003F7981">
        <w:rPr>
          <w:rFonts w:ascii="Bookman Old Style" w:hAnsi="Bookman Old Style" w:cs="Arial"/>
          <w:b/>
        </w:rPr>
        <w:t>1. Componentes de remuneración de costos de inversión</w:t>
      </w:r>
      <w:r w:rsidR="00BE5DDF" w:rsidRPr="003F7981">
        <w:rPr>
          <w:rFonts w:ascii="Bookman Old Style" w:hAnsi="Bookman Old Style" w:cs="Arial"/>
          <w:b/>
        </w:rPr>
        <w:t xml:space="preserve"> y de</w:t>
      </w:r>
      <w:r w:rsidRPr="003F7981">
        <w:rPr>
          <w:rFonts w:ascii="Bookman Old Style" w:hAnsi="Bookman Old Style" w:cs="Arial"/>
          <w:b/>
        </w:rPr>
        <w:t xml:space="preserve"> administración,</w:t>
      </w:r>
      <w:r w:rsidRPr="003F7981">
        <w:rPr>
          <w:rFonts w:ascii="Bookman Old Style" w:hAnsi="Bookman Old Style" w:cs="Arial"/>
          <w:b/>
          <w:bCs/>
        </w:rPr>
        <w:t xml:space="preserve"> operación y mantenimiento </w:t>
      </w:r>
      <w:r w:rsidR="005E42A5" w:rsidRPr="003F7981">
        <w:rPr>
          <w:rFonts w:ascii="Bookman Old Style" w:hAnsi="Bookman Old Style" w:cs="Arial"/>
          <w:b/>
          <w:bCs/>
        </w:rPr>
        <w:t>para</w:t>
      </w:r>
      <w:r w:rsidR="00CB2DEE" w:rsidRPr="003F7981">
        <w:rPr>
          <w:rFonts w:ascii="Bookman Old Style" w:hAnsi="Bookman Old Style" w:cs="Arial"/>
          <w:b/>
          <w:bCs/>
        </w:rPr>
        <w:t xml:space="preserve"> sistemas </w:t>
      </w:r>
      <w:r w:rsidR="00800DC3" w:rsidRPr="003F7981">
        <w:rPr>
          <w:rFonts w:ascii="Bookman Old Style" w:hAnsi="Bookman Old Style" w:cs="Arial"/>
          <w:b/>
          <w:bCs/>
        </w:rPr>
        <w:t>híbridos diésel</w:t>
      </w:r>
      <w:r w:rsidR="00A33D94" w:rsidRPr="003F7981">
        <w:rPr>
          <w:rFonts w:ascii="Bookman Old Style" w:hAnsi="Bookman Old Style" w:cs="Arial"/>
          <w:b/>
          <w:bCs/>
        </w:rPr>
        <w:t xml:space="preserve"> - biomasa</w:t>
      </w:r>
    </w:p>
    <w:p w14:paraId="031D4D59" w14:textId="77777777" w:rsidR="007A2ABF" w:rsidRDefault="00A1702A" w:rsidP="00CF067A">
      <w:pPr>
        <w:pStyle w:val="Piedepgina"/>
        <w:tabs>
          <w:tab w:val="clear" w:pos="4252"/>
          <w:tab w:val="clear" w:pos="8504"/>
          <w:tab w:val="center" w:pos="4845"/>
        </w:tabs>
        <w:ind w:left="284" w:right="6"/>
        <w:contextualSpacing/>
        <w:jc w:val="center"/>
        <w:rPr>
          <w:rFonts w:ascii="Bookman Old Style" w:hAnsi="Bookman Old Style" w:cs="Arial"/>
          <w:b/>
        </w:rPr>
      </w:pPr>
      <w:r w:rsidRPr="003F7981">
        <w:rPr>
          <w:rFonts w:ascii="Bookman Old Style" w:hAnsi="Bookman Old Style" w:cs="Arial"/>
          <w:b/>
        </w:rPr>
        <w:t>(pesos de diciembre de 20</w:t>
      </w:r>
      <w:r w:rsidR="00587735" w:rsidRPr="003F7981">
        <w:rPr>
          <w:rFonts w:ascii="Bookman Old Style" w:hAnsi="Bookman Old Style" w:cs="Arial"/>
          <w:b/>
        </w:rPr>
        <w:t>06</w:t>
      </w:r>
      <w:r w:rsidRPr="003F7981">
        <w:rPr>
          <w:rFonts w:ascii="Bookman Old Style" w:hAnsi="Bookman Old Style" w:cs="Arial"/>
          <w:b/>
        </w:rPr>
        <w:t>)</w:t>
      </w:r>
    </w:p>
    <w:p w14:paraId="19707D26" w14:textId="77777777" w:rsidR="003E1858" w:rsidRPr="003F7981" w:rsidRDefault="003E1858" w:rsidP="00CF067A">
      <w:pPr>
        <w:pStyle w:val="Piedepgina"/>
        <w:tabs>
          <w:tab w:val="clear" w:pos="4252"/>
          <w:tab w:val="clear" w:pos="8504"/>
          <w:tab w:val="center" w:pos="4845"/>
        </w:tabs>
        <w:ind w:left="284" w:right="6"/>
        <w:contextualSpacing/>
        <w:jc w:val="center"/>
        <w:rPr>
          <w:rFonts w:ascii="Bookman Old Style" w:hAnsi="Bookman Old Style" w:cs="Arial"/>
          <w:b/>
        </w:rPr>
      </w:pPr>
    </w:p>
    <w:tbl>
      <w:tblPr>
        <w:tblStyle w:val="Tablaconcuadrcula"/>
        <w:tblW w:w="9203" w:type="dxa"/>
        <w:tblInd w:w="2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54"/>
        <w:gridCol w:w="3824"/>
        <w:gridCol w:w="3825"/>
      </w:tblGrid>
      <w:tr w:rsidR="00FF355A" w:rsidRPr="003F7981" w14:paraId="2C5F07FE" w14:textId="77777777" w:rsidTr="00560ACC">
        <w:tc>
          <w:tcPr>
            <w:tcW w:w="1554" w:type="dxa"/>
            <w:vAlign w:val="center"/>
          </w:tcPr>
          <w:p w14:paraId="1D333719" w14:textId="38B51D71" w:rsidR="00FF355A" w:rsidRPr="00C7153E" w:rsidRDefault="00FF355A" w:rsidP="00CF067A">
            <w:pPr>
              <w:pStyle w:val="Piedepgina"/>
              <w:tabs>
                <w:tab w:val="clear" w:pos="4252"/>
                <w:tab w:val="clear" w:pos="8504"/>
                <w:tab w:val="center" w:pos="4845"/>
              </w:tabs>
              <w:ind w:right="6"/>
              <w:contextualSpacing/>
              <w:jc w:val="center"/>
              <w:rPr>
                <w:rFonts w:ascii="Bookman Old Style" w:hAnsi="Bookman Old Style" w:cs="Arial"/>
                <w:sz w:val="22"/>
                <w:szCs w:val="22"/>
              </w:rPr>
            </w:pPr>
            <w:r w:rsidRPr="00C7153E">
              <w:rPr>
                <w:rFonts w:ascii="Bookman Old Style" w:hAnsi="Bookman Old Style" w:cs="Arial"/>
                <w:sz w:val="22"/>
                <w:szCs w:val="22"/>
              </w:rPr>
              <w:t>Tipo de recurso energético</w:t>
            </w:r>
          </w:p>
        </w:tc>
        <w:tc>
          <w:tcPr>
            <w:tcW w:w="3824" w:type="dxa"/>
            <w:vAlign w:val="center"/>
          </w:tcPr>
          <w:p w14:paraId="0CCDD2F2" w14:textId="77777777" w:rsidR="00FF355A" w:rsidRPr="00C7153E" w:rsidRDefault="00FF355A" w:rsidP="00CF067A">
            <w:pPr>
              <w:pStyle w:val="Piedepgina"/>
              <w:tabs>
                <w:tab w:val="center" w:pos="4845"/>
              </w:tabs>
              <w:ind w:left="284" w:right="6"/>
              <w:contextualSpacing/>
              <w:jc w:val="center"/>
              <w:rPr>
                <w:rFonts w:ascii="Bookman Old Style" w:hAnsi="Bookman Old Style" w:cs="Arial"/>
                <w:sz w:val="22"/>
                <w:szCs w:val="22"/>
              </w:rPr>
            </w:pPr>
            <w:r w:rsidRPr="00C7153E">
              <w:rPr>
                <w:rFonts w:ascii="Bookman Old Style" w:hAnsi="Bookman Old Style" w:cs="Arial"/>
                <w:sz w:val="22"/>
                <w:szCs w:val="22"/>
              </w:rPr>
              <w:t>Costo de inversión, CIj,0</w:t>
            </w:r>
          </w:p>
          <w:p w14:paraId="50D582E9" w14:textId="4DB62579" w:rsidR="00FF355A" w:rsidRPr="00C7153E" w:rsidRDefault="00FF355A" w:rsidP="00CF067A">
            <w:pPr>
              <w:pStyle w:val="Piedepgina"/>
              <w:tabs>
                <w:tab w:val="clear" w:pos="4252"/>
                <w:tab w:val="clear" w:pos="8504"/>
                <w:tab w:val="center" w:pos="4845"/>
              </w:tabs>
              <w:ind w:right="6"/>
              <w:contextualSpacing/>
              <w:jc w:val="center"/>
              <w:rPr>
                <w:rFonts w:ascii="Bookman Old Style" w:hAnsi="Bookman Old Style" w:cs="Arial"/>
                <w:sz w:val="22"/>
                <w:szCs w:val="22"/>
              </w:rPr>
            </w:pPr>
            <w:r w:rsidRPr="00C7153E">
              <w:rPr>
                <w:rFonts w:ascii="Bookman Old Style" w:hAnsi="Bookman Old Style" w:cs="Arial"/>
                <w:sz w:val="22"/>
                <w:szCs w:val="22"/>
              </w:rPr>
              <w:t>($/kWh)</w:t>
            </w:r>
          </w:p>
        </w:tc>
        <w:tc>
          <w:tcPr>
            <w:tcW w:w="3825" w:type="dxa"/>
            <w:vAlign w:val="center"/>
          </w:tcPr>
          <w:p w14:paraId="5B2BE0D3" w14:textId="77777777" w:rsidR="00FF355A" w:rsidRPr="00C7153E" w:rsidRDefault="00FF355A" w:rsidP="00CF067A">
            <w:pPr>
              <w:pStyle w:val="Piedepgina"/>
              <w:tabs>
                <w:tab w:val="center" w:pos="4845"/>
              </w:tabs>
              <w:ind w:left="284" w:right="6"/>
              <w:contextualSpacing/>
              <w:jc w:val="center"/>
              <w:rPr>
                <w:rFonts w:ascii="Bookman Old Style" w:hAnsi="Bookman Old Style" w:cs="Arial"/>
                <w:sz w:val="22"/>
                <w:szCs w:val="22"/>
              </w:rPr>
            </w:pPr>
            <w:r w:rsidRPr="00C7153E">
              <w:rPr>
                <w:rFonts w:ascii="Bookman Old Style" w:hAnsi="Bookman Old Style" w:cs="Arial"/>
                <w:sz w:val="22"/>
                <w:szCs w:val="22"/>
              </w:rPr>
              <w:t>Costos de administración, operación y mantenimiento,</w:t>
            </w:r>
          </w:p>
          <w:p w14:paraId="3D5CD86B" w14:textId="77777777" w:rsidR="00FF355A" w:rsidRPr="00C7153E" w:rsidRDefault="00FF355A" w:rsidP="00CF067A">
            <w:pPr>
              <w:pStyle w:val="Piedepgina"/>
              <w:tabs>
                <w:tab w:val="center" w:pos="4845"/>
              </w:tabs>
              <w:ind w:left="284" w:right="6"/>
              <w:contextualSpacing/>
              <w:jc w:val="center"/>
              <w:rPr>
                <w:rFonts w:ascii="Bookman Old Style" w:hAnsi="Bookman Old Style" w:cs="Arial"/>
                <w:sz w:val="22"/>
                <w:szCs w:val="22"/>
              </w:rPr>
            </w:pPr>
            <w:r w:rsidRPr="00C7153E">
              <w:rPr>
                <w:rFonts w:ascii="Bookman Old Style" w:hAnsi="Bookman Old Style" w:cs="Arial"/>
                <w:sz w:val="22"/>
                <w:szCs w:val="22"/>
              </w:rPr>
              <w:t>CMj,0 ($/kWh)</w:t>
            </w:r>
          </w:p>
          <w:p w14:paraId="2A0C13C4" w14:textId="77777777" w:rsidR="00FF355A" w:rsidRPr="00C7153E" w:rsidRDefault="00FF355A" w:rsidP="00CF067A">
            <w:pPr>
              <w:pStyle w:val="Piedepgina"/>
              <w:tabs>
                <w:tab w:val="clear" w:pos="4252"/>
                <w:tab w:val="clear" w:pos="8504"/>
                <w:tab w:val="center" w:pos="4845"/>
              </w:tabs>
              <w:ind w:right="6"/>
              <w:contextualSpacing/>
              <w:jc w:val="center"/>
              <w:rPr>
                <w:rFonts w:ascii="Bookman Old Style" w:hAnsi="Bookman Old Style" w:cs="Arial"/>
                <w:sz w:val="22"/>
                <w:szCs w:val="22"/>
              </w:rPr>
            </w:pPr>
          </w:p>
        </w:tc>
      </w:tr>
      <w:tr w:rsidR="00315E05" w:rsidRPr="003F7981" w14:paraId="0E466BE5" w14:textId="77777777" w:rsidTr="00560ACC">
        <w:trPr>
          <w:trHeight w:val="548"/>
        </w:trPr>
        <w:tc>
          <w:tcPr>
            <w:tcW w:w="1554" w:type="dxa"/>
            <w:vAlign w:val="center"/>
          </w:tcPr>
          <w:p w14:paraId="626526B6" w14:textId="77777777" w:rsidR="00315E05" w:rsidRPr="00C7153E" w:rsidRDefault="00315E05" w:rsidP="00C7346C">
            <w:pPr>
              <w:pStyle w:val="Piedepgina"/>
              <w:tabs>
                <w:tab w:val="clear" w:pos="4252"/>
                <w:tab w:val="clear" w:pos="8504"/>
                <w:tab w:val="center" w:pos="4845"/>
              </w:tabs>
              <w:ind w:right="6"/>
              <w:contextualSpacing/>
              <w:jc w:val="center"/>
              <w:rPr>
                <w:rFonts w:ascii="Bookman Old Style" w:hAnsi="Bookman Old Style" w:cs="Arial"/>
                <w:sz w:val="22"/>
                <w:szCs w:val="22"/>
              </w:rPr>
            </w:pPr>
            <w:r w:rsidRPr="00C7153E">
              <w:rPr>
                <w:rFonts w:ascii="Bookman Old Style" w:hAnsi="Bookman Old Style" w:cs="Arial"/>
                <w:sz w:val="22"/>
                <w:szCs w:val="22"/>
              </w:rPr>
              <w:t>Biomasa</w:t>
            </w:r>
          </w:p>
        </w:tc>
        <w:tc>
          <w:tcPr>
            <w:tcW w:w="3824" w:type="dxa"/>
            <w:vAlign w:val="center"/>
          </w:tcPr>
          <w:p w14:paraId="5D8B04CF" w14:textId="77777777" w:rsidR="00315E05" w:rsidRPr="00C7153E" w:rsidRDefault="00315E05" w:rsidP="00C7346C">
            <w:pPr>
              <w:pStyle w:val="Piedepgina"/>
              <w:tabs>
                <w:tab w:val="clear" w:pos="4252"/>
                <w:tab w:val="clear" w:pos="8504"/>
                <w:tab w:val="center" w:pos="4845"/>
              </w:tabs>
              <w:ind w:right="6"/>
              <w:contextualSpacing/>
              <w:jc w:val="center"/>
              <w:rPr>
                <w:rFonts w:ascii="Bookman Old Style" w:hAnsi="Bookman Old Style" w:cs="Arial"/>
                <w:sz w:val="22"/>
                <w:szCs w:val="22"/>
              </w:rPr>
            </w:pPr>
            <w:r w:rsidRPr="00C7153E">
              <w:rPr>
                <w:rFonts w:ascii="Bookman Old Style" w:hAnsi="Bookman Old Style" w:cs="Arial"/>
                <w:sz w:val="22"/>
                <w:szCs w:val="22"/>
              </w:rPr>
              <w:t>246,66</w:t>
            </w:r>
          </w:p>
        </w:tc>
        <w:tc>
          <w:tcPr>
            <w:tcW w:w="3825" w:type="dxa"/>
            <w:vAlign w:val="center"/>
          </w:tcPr>
          <w:p w14:paraId="39445A3B" w14:textId="77777777" w:rsidR="00315E05" w:rsidRPr="00C7153E" w:rsidRDefault="00315E05" w:rsidP="00C7346C">
            <w:pPr>
              <w:pStyle w:val="Piedepgina"/>
              <w:tabs>
                <w:tab w:val="clear" w:pos="4252"/>
                <w:tab w:val="clear" w:pos="8504"/>
                <w:tab w:val="center" w:pos="4845"/>
              </w:tabs>
              <w:ind w:right="6"/>
              <w:contextualSpacing/>
              <w:jc w:val="center"/>
              <w:rPr>
                <w:rFonts w:ascii="Bookman Old Style" w:hAnsi="Bookman Old Style" w:cs="Arial"/>
                <w:sz w:val="22"/>
                <w:szCs w:val="22"/>
              </w:rPr>
            </w:pPr>
            <w:r w:rsidRPr="00C7153E">
              <w:rPr>
                <w:rFonts w:ascii="Bookman Old Style" w:hAnsi="Bookman Old Style" w:cs="Arial"/>
                <w:sz w:val="22"/>
                <w:szCs w:val="22"/>
              </w:rPr>
              <w:t>41,22</w:t>
            </w:r>
          </w:p>
        </w:tc>
      </w:tr>
      <w:tr w:rsidR="008C20B4" w:rsidRPr="003F7981" w14:paraId="6847CF42" w14:textId="77777777" w:rsidTr="00560ACC">
        <w:trPr>
          <w:trHeight w:val="995"/>
        </w:trPr>
        <w:tc>
          <w:tcPr>
            <w:tcW w:w="1554" w:type="dxa"/>
            <w:vAlign w:val="center"/>
          </w:tcPr>
          <w:p w14:paraId="3C4C22FB" w14:textId="6560FEBA" w:rsidR="008C20B4" w:rsidRPr="00C7153E" w:rsidRDefault="008C20B4" w:rsidP="00C75A03">
            <w:pPr>
              <w:pStyle w:val="Piedepgina"/>
              <w:tabs>
                <w:tab w:val="clear" w:pos="4252"/>
                <w:tab w:val="clear" w:pos="8504"/>
                <w:tab w:val="center" w:pos="4845"/>
              </w:tabs>
              <w:ind w:right="6"/>
              <w:contextualSpacing/>
              <w:jc w:val="center"/>
              <w:rPr>
                <w:rFonts w:ascii="Bookman Old Style" w:hAnsi="Bookman Old Style" w:cs="Arial"/>
                <w:sz w:val="22"/>
                <w:szCs w:val="22"/>
              </w:rPr>
            </w:pPr>
            <w:r w:rsidRPr="00C7153E">
              <w:rPr>
                <w:rFonts w:ascii="Bookman Old Style" w:hAnsi="Bookman Old Style" w:cs="Arial"/>
                <w:sz w:val="22"/>
                <w:szCs w:val="22"/>
              </w:rPr>
              <w:t>Diésel.</w:t>
            </w:r>
          </w:p>
        </w:tc>
        <w:tc>
          <w:tcPr>
            <w:tcW w:w="7649" w:type="dxa"/>
            <w:gridSpan w:val="2"/>
            <w:vAlign w:val="center"/>
          </w:tcPr>
          <w:p w14:paraId="65AE3C2F" w14:textId="3694FB48" w:rsidR="008C20B4" w:rsidRPr="00C7153E" w:rsidRDefault="008C20B4" w:rsidP="00C75A03">
            <w:pPr>
              <w:pStyle w:val="Piedepgina"/>
              <w:tabs>
                <w:tab w:val="clear" w:pos="4252"/>
                <w:tab w:val="clear" w:pos="8504"/>
                <w:tab w:val="center" w:pos="4845"/>
              </w:tabs>
              <w:ind w:right="6"/>
              <w:contextualSpacing/>
              <w:jc w:val="center"/>
              <w:rPr>
                <w:rFonts w:ascii="Bookman Old Style" w:hAnsi="Bookman Old Style" w:cs="Arial"/>
                <w:sz w:val="22"/>
                <w:szCs w:val="22"/>
                <w:highlight w:val="cyan"/>
              </w:rPr>
            </w:pPr>
            <w:r w:rsidRPr="00C7153E">
              <w:rPr>
                <w:rFonts w:ascii="Bookman Old Style" w:hAnsi="Bookman Old Style" w:cs="Arial"/>
                <w:sz w:val="22"/>
                <w:szCs w:val="22"/>
              </w:rPr>
              <w:t>Según lo previsto en el literal a), del artículo 22, de la Resolución CREG 091 de 2007, modificada mediante Resolución CREG 057 de 2009.</w:t>
            </w:r>
          </w:p>
        </w:tc>
      </w:tr>
    </w:tbl>
    <w:p w14:paraId="24DAF41B" w14:textId="5E04793C" w:rsidR="00007785" w:rsidRDefault="00007785" w:rsidP="00CF067A">
      <w:pPr>
        <w:ind w:left="284" w:right="6"/>
        <w:contextualSpacing/>
        <w:jc w:val="both"/>
        <w:rPr>
          <w:rFonts w:ascii="Bookman Old Style" w:hAnsi="Bookman Old Style" w:cs="Arial"/>
          <w:b/>
        </w:rPr>
      </w:pPr>
    </w:p>
    <w:p w14:paraId="5E25057C" w14:textId="77DD405A" w:rsidR="003D21D8" w:rsidRDefault="008C20B4" w:rsidP="008C20B4">
      <w:pPr>
        <w:pStyle w:val="Piedepgina"/>
        <w:tabs>
          <w:tab w:val="clear" w:pos="4252"/>
          <w:tab w:val="clear" w:pos="8504"/>
          <w:tab w:val="center" w:pos="4845"/>
        </w:tabs>
        <w:ind w:left="284" w:right="6"/>
        <w:contextualSpacing/>
        <w:jc w:val="both"/>
        <w:rPr>
          <w:rFonts w:ascii="Bookman Old Style" w:hAnsi="Bookman Old Style" w:cs="Arial"/>
        </w:rPr>
      </w:pPr>
      <w:r w:rsidRPr="003F7981">
        <w:rPr>
          <w:rFonts w:ascii="Bookman Old Style" w:hAnsi="Bookman Old Style" w:cs="Arial"/>
          <w:b/>
        </w:rPr>
        <w:t xml:space="preserve">ARTÍCULO </w:t>
      </w:r>
      <w:r>
        <w:rPr>
          <w:rFonts w:ascii="Bookman Old Style" w:hAnsi="Bookman Old Style" w:cs="Arial"/>
          <w:b/>
        </w:rPr>
        <w:t>2</w:t>
      </w:r>
      <w:r w:rsidRPr="003F7981">
        <w:rPr>
          <w:rFonts w:ascii="Bookman Old Style" w:hAnsi="Bookman Old Style" w:cs="Arial"/>
          <w:b/>
          <w:bCs/>
        </w:rPr>
        <w:t xml:space="preserve">. Remuneración </w:t>
      </w:r>
      <w:r w:rsidR="003D21D8" w:rsidRPr="003D21D8">
        <w:rPr>
          <w:rFonts w:ascii="Bookman Old Style" w:hAnsi="Bookman Old Style" w:cs="Arial"/>
          <w:b/>
          <w:bCs/>
        </w:rPr>
        <w:t xml:space="preserve">del costo promedio de </w:t>
      </w:r>
      <w:r w:rsidR="003D21D8">
        <w:rPr>
          <w:rFonts w:ascii="Bookman Old Style" w:hAnsi="Bookman Old Style" w:cs="Arial"/>
          <w:b/>
          <w:bCs/>
        </w:rPr>
        <w:t>combustible</w:t>
      </w:r>
      <w:r w:rsidRPr="003F7981">
        <w:rPr>
          <w:rFonts w:ascii="Bookman Old Style" w:hAnsi="Bookman Old Style" w:cs="Arial"/>
          <w:b/>
          <w:bCs/>
        </w:rPr>
        <w:t xml:space="preserve">. </w:t>
      </w:r>
      <w:r w:rsidRPr="003F7981">
        <w:rPr>
          <w:rFonts w:ascii="Bookman Old Style" w:hAnsi="Bookman Old Style" w:cs="Arial"/>
          <w:bCs/>
        </w:rPr>
        <w:t xml:space="preserve">Para </w:t>
      </w:r>
      <w:r w:rsidRPr="003F7981">
        <w:rPr>
          <w:rFonts w:ascii="Bookman Old Style" w:hAnsi="Bookman Old Style" w:cs="Arial"/>
        </w:rPr>
        <w:t xml:space="preserve">sistemas </w:t>
      </w:r>
      <w:r w:rsidR="003D21D8">
        <w:rPr>
          <w:rFonts w:ascii="Bookman Old Style" w:hAnsi="Bookman Old Style" w:cs="Arial"/>
        </w:rPr>
        <w:t xml:space="preserve">de generación con </w:t>
      </w:r>
      <w:r w:rsidRPr="003F7981">
        <w:rPr>
          <w:rFonts w:ascii="Bookman Old Style" w:hAnsi="Bookman Old Style" w:cs="Arial"/>
        </w:rPr>
        <w:t xml:space="preserve">biomasa, para el mercado relevante de Puerto Carreño en el Departamento del Vichada, </w:t>
      </w:r>
      <w:r w:rsidR="003D21D8">
        <w:rPr>
          <w:rFonts w:ascii="Bookman Old Style" w:hAnsi="Bookman Old Style" w:cs="Arial"/>
        </w:rPr>
        <w:t xml:space="preserve">el </w:t>
      </w:r>
      <w:r w:rsidR="003D21D8" w:rsidRPr="003D21D8">
        <w:rPr>
          <w:rFonts w:ascii="Bookman Old Style" w:hAnsi="Bookman Old Style" w:cs="Arial"/>
        </w:rPr>
        <w:t xml:space="preserve">costo </w:t>
      </w:r>
      <w:r w:rsidR="003D21D8">
        <w:rPr>
          <w:rFonts w:ascii="Bookman Old Style" w:hAnsi="Bookman Old Style" w:cs="Arial"/>
        </w:rPr>
        <w:t>del combustible es el siguiente:</w:t>
      </w:r>
    </w:p>
    <w:p w14:paraId="33798670" w14:textId="77777777" w:rsidR="008C20B4" w:rsidRPr="003F7981" w:rsidRDefault="008C20B4" w:rsidP="008C20B4">
      <w:pPr>
        <w:pStyle w:val="Piedepgina"/>
        <w:tabs>
          <w:tab w:val="clear" w:pos="4252"/>
          <w:tab w:val="clear" w:pos="8504"/>
          <w:tab w:val="center" w:pos="4845"/>
        </w:tabs>
        <w:ind w:left="284" w:right="6"/>
        <w:contextualSpacing/>
        <w:jc w:val="center"/>
        <w:rPr>
          <w:rFonts w:ascii="Bookman Old Style" w:hAnsi="Bookman Old Style" w:cs="Arial"/>
        </w:rPr>
      </w:pPr>
    </w:p>
    <w:p w14:paraId="5827588B" w14:textId="235EFFA4" w:rsidR="008C20B4" w:rsidRPr="003F7981" w:rsidRDefault="008C20B4" w:rsidP="008C20B4">
      <w:pPr>
        <w:pStyle w:val="Piedepgina"/>
        <w:tabs>
          <w:tab w:val="clear" w:pos="4252"/>
          <w:tab w:val="clear" w:pos="8504"/>
          <w:tab w:val="center" w:pos="4845"/>
        </w:tabs>
        <w:ind w:left="284" w:right="6"/>
        <w:contextualSpacing/>
        <w:jc w:val="center"/>
        <w:rPr>
          <w:rFonts w:ascii="Bookman Old Style" w:hAnsi="Bookman Old Style" w:cs="Arial"/>
          <w:b/>
        </w:rPr>
      </w:pPr>
      <w:r w:rsidRPr="003F7981">
        <w:rPr>
          <w:rFonts w:ascii="Bookman Old Style" w:hAnsi="Bookman Old Style" w:cs="Arial"/>
          <w:b/>
        </w:rPr>
        <w:lastRenderedPageBreak/>
        <w:t xml:space="preserve">Tabla </w:t>
      </w:r>
      <w:r w:rsidR="003D21D8">
        <w:rPr>
          <w:rFonts w:ascii="Bookman Old Style" w:hAnsi="Bookman Old Style" w:cs="Arial"/>
          <w:b/>
        </w:rPr>
        <w:t>2</w:t>
      </w:r>
      <w:r w:rsidRPr="003F7981">
        <w:rPr>
          <w:rFonts w:ascii="Bookman Old Style" w:hAnsi="Bookman Old Style" w:cs="Arial"/>
          <w:b/>
        </w:rPr>
        <w:t xml:space="preserve">. </w:t>
      </w:r>
      <w:r w:rsidR="003D21D8">
        <w:rPr>
          <w:rFonts w:ascii="Bookman Old Style" w:hAnsi="Bookman Old Style" w:cs="Arial"/>
          <w:b/>
        </w:rPr>
        <w:t>R</w:t>
      </w:r>
      <w:r w:rsidRPr="003F7981">
        <w:rPr>
          <w:rFonts w:ascii="Bookman Old Style" w:hAnsi="Bookman Old Style" w:cs="Arial"/>
          <w:b/>
        </w:rPr>
        <w:t>emuneración de</w:t>
      </w:r>
      <w:r w:rsidR="003D21D8">
        <w:rPr>
          <w:rFonts w:ascii="Bookman Old Style" w:hAnsi="Bookman Old Style" w:cs="Arial"/>
          <w:b/>
        </w:rPr>
        <w:t>l</w:t>
      </w:r>
      <w:r w:rsidRPr="003F7981">
        <w:rPr>
          <w:rFonts w:ascii="Bookman Old Style" w:hAnsi="Bookman Old Style" w:cs="Arial"/>
          <w:b/>
        </w:rPr>
        <w:t xml:space="preserve"> costo de </w:t>
      </w:r>
      <w:r w:rsidR="003D21D8">
        <w:rPr>
          <w:rFonts w:ascii="Bookman Old Style" w:hAnsi="Bookman Old Style" w:cs="Arial"/>
          <w:b/>
        </w:rPr>
        <w:t xml:space="preserve">combustible para </w:t>
      </w:r>
      <w:r w:rsidRPr="003F7981">
        <w:rPr>
          <w:rFonts w:ascii="Bookman Old Style" w:hAnsi="Bookman Old Style" w:cs="Arial"/>
          <w:b/>
          <w:bCs/>
        </w:rPr>
        <w:t xml:space="preserve">sistemas </w:t>
      </w:r>
      <w:r w:rsidR="003D21D8">
        <w:rPr>
          <w:rFonts w:ascii="Bookman Old Style" w:hAnsi="Bookman Old Style" w:cs="Arial"/>
          <w:b/>
          <w:bCs/>
        </w:rPr>
        <w:t xml:space="preserve">de generación con </w:t>
      </w:r>
      <w:r w:rsidRPr="003F7981">
        <w:rPr>
          <w:rFonts w:ascii="Bookman Old Style" w:hAnsi="Bookman Old Style" w:cs="Arial"/>
          <w:b/>
          <w:bCs/>
        </w:rPr>
        <w:t>biomasa</w:t>
      </w:r>
    </w:p>
    <w:p w14:paraId="787CAEE0" w14:textId="40D9BEB4" w:rsidR="008C20B4" w:rsidRDefault="008C20B4" w:rsidP="008C20B4">
      <w:pPr>
        <w:pStyle w:val="Piedepgina"/>
        <w:tabs>
          <w:tab w:val="clear" w:pos="4252"/>
          <w:tab w:val="clear" w:pos="8504"/>
          <w:tab w:val="center" w:pos="4845"/>
        </w:tabs>
        <w:ind w:left="284" w:right="6"/>
        <w:contextualSpacing/>
        <w:jc w:val="center"/>
        <w:rPr>
          <w:rFonts w:ascii="Bookman Old Style" w:hAnsi="Bookman Old Style" w:cs="Arial"/>
          <w:b/>
        </w:rPr>
      </w:pPr>
      <w:r w:rsidRPr="003F7981">
        <w:rPr>
          <w:rFonts w:ascii="Bookman Old Style" w:hAnsi="Bookman Old Style" w:cs="Arial"/>
          <w:b/>
        </w:rPr>
        <w:t>(pesos de diciembre de 20</w:t>
      </w:r>
      <w:r w:rsidR="003D21D8">
        <w:rPr>
          <w:rFonts w:ascii="Bookman Old Style" w:hAnsi="Bookman Old Style" w:cs="Arial"/>
          <w:b/>
        </w:rPr>
        <w:t>21</w:t>
      </w:r>
      <w:r w:rsidRPr="003F7981">
        <w:rPr>
          <w:rFonts w:ascii="Bookman Old Style" w:hAnsi="Bookman Old Style" w:cs="Arial"/>
          <w:b/>
        </w:rPr>
        <w:t>)</w:t>
      </w:r>
    </w:p>
    <w:p w14:paraId="0C754490" w14:textId="77777777" w:rsidR="003D21D8" w:rsidRDefault="003D21D8" w:rsidP="00CF067A">
      <w:pPr>
        <w:ind w:left="284" w:right="6"/>
        <w:contextualSpacing/>
        <w:jc w:val="both"/>
        <w:rPr>
          <w:rFonts w:ascii="Bookman Old Style" w:hAnsi="Bookman Old Style" w:cs="Arial"/>
          <w:b/>
        </w:rPr>
      </w:pPr>
    </w:p>
    <w:tbl>
      <w:tblPr>
        <w:tblStyle w:val="Tablaconcuadrcula"/>
        <w:tblW w:w="3257"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56"/>
        <w:gridCol w:w="3336"/>
      </w:tblGrid>
      <w:tr w:rsidR="0096017C" w:rsidRPr="003F7981" w14:paraId="48CFB423" w14:textId="77777777" w:rsidTr="00560ACC">
        <w:trPr>
          <w:trHeight w:val="613"/>
          <w:jc w:val="center"/>
        </w:trPr>
        <w:tc>
          <w:tcPr>
            <w:tcW w:w="2262" w:type="pct"/>
            <w:vAlign w:val="center"/>
          </w:tcPr>
          <w:p w14:paraId="5C4EA8C6" w14:textId="77777777" w:rsidR="0096017C" w:rsidRPr="003F7981" w:rsidRDefault="0096017C" w:rsidP="00CA608C">
            <w:pPr>
              <w:pStyle w:val="Piedepgina"/>
              <w:tabs>
                <w:tab w:val="clear" w:pos="4252"/>
                <w:tab w:val="clear" w:pos="8504"/>
                <w:tab w:val="center" w:pos="4845"/>
              </w:tabs>
              <w:ind w:right="6"/>
              <w:contextualSpacing/>
              <w:jc w:val="center"/>
              <w:rPr>
                <w:rFonts w:ascii="Bookman Old Style" w:hAnsi="Bookman Old Style" w:cs="Arial"/>
              </w:rPr>
            </w:pPr>
            <w:r w:rsidRPr="003F7981">
              <w:rPr>
                <w:rFonts w:ascii="Bookman Old Style" w:hAnsi="Bookman Old Style" w:cs="Arial"/>
              </w:rPr>
              <w:t>Tipo de recurso energético</w:t>
            </w:r>
          </w:p>
        </w:tc>
        <w:tc>
          <w:tcPr>
            <w:tcW w:w="2738" w:type="pct"/>
            <w:vAlign w:val="center"/>
          </w:tcPr>
          <w:p w14:paraId="3C5FCB27" w14:textId="77777777" w:rsidR="0096017C" w:rsidRDefault="0096017C" w:rsidP="00CA608C">
            <w:pPr>
              <w:pStyle w:val="Piedepgina"/>
              <w:tabs>
                <w:tab w:val="center" w:pos="4845"/>
              </w:tabs>
              <w:ind w:right="6"/>
              <w:contextualSpacing/>
              <w:jc w:val="center"/>
              <w:rPr>
                <w:rFonts w:ascii="Bookman Old Style" w:hAnsi="Bookman Old Style" w:cs="Arial"/>
              </w:rPr>
            </w:pPr>
            <w:r>
              <w:rPr>
                <w:rFonts w:ascii="Bookman Old Style" w:hAnsi="Bookman Old Style" w:cs="Arial"/>
              </w:rPr>
              <w:t>Costos de combustible</w:t>
            </w:r>
          </w:p>
          <w:p w14:paraId="42015968" w14:textId="2D3D7D40" w:rsidR="0096017C" w:rsidRPr="003F7981" w:rsidRDefault="0096017C" w:rsidP="00CA608C">
            <w:pPr>
              <w:pStyle w:val="Piedepgina"/>
              <w:tabs>
                <w:tab w:val="center" w:pos="4845"/>
              </w:tabs>
              <w:ind w:right="6"/>
              <w:contextualSpacing/>
              <w:jc w:val="center"/>
              <w:rPr>
                <w:rFonts w:ascii="Bookman Old Style" w:hAnsi="Bookman Old Style" w:cs="Arial"/>
              </w:rPr>
            </w:pPr>
            <w:r>
              <w:rPr>
                <w:rFonts w:ascii="Bookman Old Style" w:hAnsi="Bookman Old Style" w:cs="Arial"/>
              </w:rPr>
              <w:t>CCB</w:t>
            </w:r>
            <w:r w:rsidRPr="0096017C">
              <w:rPr>
                <w:rFonts w:ascii="Bookman Old Style" w:hAnsi="Bookman Old Style" w:cs="Arial"/>
                <w:vertAlign w:val="subscript"/>
              </w:rPr>
              <w:t>0</w:t>
            </w:r>
            <w:r>
              <w:rPr>
                <w:rFonts w:ascii="Bookman Old Style" w:hAnsi="Bookman Old Style" w:cs="Arial"/>
              </w:rPr>
              <w:t xml:space="preserve"> ($/kWh)</w:t>
            </w:r>
          </w:p>
        </w:tc>
      </w:tr>
      <w:tr w:rsidR="0096017C" w:rsidRPr="003F7981" w14:paraId="254A40CA" w14:textId="77777777" w:rsidTr="00560ACC">
        <w:trPr>
          <w:trHeight w:val="613"/>
          <w:jc w:val="center"/>
        </w:trPr>
        <w:tc>
          <w:tcPr>
            <w:tcW w:w="2262" w:type="pct"/>
            <w:vAlign w:val="center"/>
          </w:tcPr>
          <w:p w14:paraId="633E75E2" w14:textId="77777777" w:rsidR="0096017C" w:rsidRPr="003F7981" w:rsidRDefault="0096017C" w:rsidP="00CA608C">
            <w:pPr>
              <w:pStyle w:val="Piedepgina"/>
              <w:tabs>
                <w:tab w:val="clear" w:pos="4252"/>
                <w:tab w:val="clear" w:pos="8504"/>
                <w:tab w:val="center" w:pos="4845"/>
              </w:tabs>
              <w:ind w:right="6"/>
              <w:contextualSpacing/>
              <w:jc w:val="center"/>
              <w:rPr>
                <w:rFonts w:ascii="Bookman Old Style" w:hAnsi="Bookman Old Style" w:cs="Arial"/>
              </w:rPr>
            </w:pPr>
            <w:r w:rsidRPr="003F7981">
              <w:rPr>
                <w:rFonts w:ascii="Bookman Old Style" w:hAnsi="Bookman Old Style" w:cs="Arial"/>
              </w:rPr>
              <w:t>Biomasa</w:t>
            </w:r>
          </w:p>
        </w:tc>
        <w:tc>
          <w:tcPr>
            <w:tcW w:w="2738" w:type="pct"/>
            <w:vAlign w:val="center"/>
          </w:tcPr>
          <w:p w14:paraId="4336B854" w14:textId="1D7AB3CD" w:rsidR="0096017C" w:rsidRPr="003F7981" w:rsidRDefault="0096017C" w:rsidP="00CA608C">
            <w:pPr>
              <w:pStyle w:val="Piedepgina"/>
              <w:tabs>
                <w:tab w:val="clear" w:pos="4252"/>
                <w:tab w:val="clear" w:pos="8504"/>
                <w:tab w:val="center" w:pos="4845"/>
              </w:tabs>
              <w:ind w:right="6"/>
              <w:contextualSpacing/>
              <w:jc w:val="center"/>
              <w:rPr>
                <w:rFonts w:ascii="Bookman Old Style" w:hAnsi="Bookman Old Style" w:cs="Arial"/>
              </w:rPr>
            </w:pPr>
            <w:r>
              <w:rPr>
                <w:rFonts w:ascii="Bookman Old Style" w:hAnsi="Bookman Old Style" w:cs="Arial"/>
              </w:rPr>
              <w:t>303,74</w:t>
            </w:r>
          </w:p>
        </w:tc>
      </w:tr>
    </w:tbl>
    <w:p w14:paraId="434C2C5C" w14:textId="77777777" w:rsidR="008C20B4" w:rsidRPr="003F7981" w:rsidRDefault="008C20B4" w:rsidP="00CF067A">
      <w:pPr>
        <w:ind w:left="284" w:right="6"/>
        <w:contextualSpacing/>
        <w:jc w:val="both"/>
        <w:rPr>
          <w:rFonts w:ascii="Bookman Old Style" w:hAnsi="Bookman Old Style" w:cs="Arial"/>
          <w:b/>
        </w:rPr>
      </w:pPr>
    </w:p>
    <w:p w14:paraId="215681BC" w14:textId="0D17C362" w:rsidR="005E42A5" w:rsidRPr="003F7981" w:rsidRDefault="005E42A5" w:rsidP="00CF067A">
      <w:pPr>
        <w:ind w:left="284" w:right="6"/>
        <w:contextualSpacing/>
        <w:jc w:val="both"/>
        <w:rPr>
          <w:rFonts w:ascii="Bookman Old Style" w:hAnsi="Bookman Old Style" w:cs="Arial"/>
        </w:rPr>
      </w:pPr>
      <w:r w:rsidRPr="003F7981">
        <w:rPr>
          <w:rFonts w:ascii="Bookman Old Style" w:hAnsi="Bookman Old Style" w:cs="Arial"/>
          <w:b/>
          <w:bCs/>
        </w:rPr>
        <w:t xml:space="preserve">ARTÍCULO </w:t>
      </w:r>
      <w:r w:rsidR="0096017C">
        <w:rPr>
          <w:rFonts w:ascii="Bookman Old Style" w:hAnsi="Bookman Old Style" w:cs="Arial"/>
          <w:b/>
          <w:bCs/>
        </w:rPr>
        <w:t>3</w:t>
      </w:r>
      <w:r w:rsidRPr="003F7981">
        <w:rPr>
          <w:rFonts w:ascii="Bookman Old Style" w:hAnsi="Bookman Old Style" w:cs="Arial"/>
          <w:b/>
          <w:bCs/>
        </w:rPr>
        <w:t xml:space="preserve">. </w:t>
      </w:r>
      <w:r w:rsidR="00647E76" w:rsidRPr="00AD369B">
        <w:rPr>
          <w:rFonts w:ascii="Bookman Old Style" w:hAnsi="Bookman Old Style" w:cs="Arial"/>
          <w:b/>
          <w:bCs/>
        </w:rPr>
        <w:t>Fórmula de Actualización de Cargos Máximos de Generación para sistemas híbridos diésel</w:t>
      </w:r>
      <w:r w:rsidR="00647E76">
        <w:rPr>
          <w:rFonts w:ascii="Bookman Old Style" w:hAnsi="Bookman Old Style" w:cs="Arial"/>
          <w:b/>
          <w:bCs/>
        </w:rPr>
        <w:t xml:space="preserve"> - biomasa</w:t>
      </w:r>
      <w:r w:rsidR="00647E76" w:rsidRPr="00AD369B">
        <w:rPr>
          <w:rFonts w:ascii="Bookman Old Style" w:hAnsi="Bookman Old Style" w:cs="Arial"/>
          <w:b/>
          <w:bCs/>
        </w:rPr>
        <w:t xml:space="preserve"> en el mercado relevante de comercialización </w:t>
      </w:r>
      <w:r w:rsidR="005927DD" w:rsidRPr="003F7981">
        <w:rPr>
          <w:rFonts w:ascii="Bookman Old Style" w:hAnsi="Bookman Old Style" w:cs="Arial"/>
          <w:b/>
          <w:bCs/>
        </w:rPr>
        <w:t xml:space="preserve">de la Cabecera municipal de </w:t>
      </w:r>
      <w:r w:rsidR="00A33D94" w:rsidRPr="003F7981">
        <w:rPr>
          <w:rFonts w:ascii="Bookman Old Style" w:hAnsi="Bookman Old Style" w:cs="Arial"/>
          <w:b/>
          <w:bCs/>
        </w:rPr>
        <w:t xml:space="preserve">Puerto Carreño </w:t>
      </w:r>
      <w:r w:rsidR="00560ACC">
        <w:rPr>
          <w:rFonts w:ascii="Bookman Old Style" w:hAnsi="Bookman Old Style" w:cs="Arial"/>
          <w:b/>
          <w:bCs/>
        </w:rPr>
        <w:t>D</w:t>
      </w:r>
      <w:r w:rsidR="00A33D94" w:rsidRPr="003F7981">
        <w:rPr>
          <w:rFonts w:ascii="Bookman Old Style" w:hAnsi="Bookman Old Style" w:cs="Arial"/>
          <w:b/>
          <w:bCs/>
        </w:rPr>
        <w:t>epartamento del Vichada</w:t>
      </w:r>
      <w:r w:rsidRPr="003F7981">
        <w:rPr>
          <w:rFonts w:ascii="Bookman Old Style" w:hAnsi="Bookman Old Style" w:cs="Arial"/>
          <w:b/>
          <w:bCs/>
        </w:rPr>
        <w:t>.</w:t>
      </w:r>
      <w:r w:rsidRPr="003F7981">
        <w:rPr>
          <w:rFonts w:ascii="Bookman Old Style" w:hAnsi="Bookman Old Style" w:cs="Arial"/>
        </w:rPr>
        <w:t xml:space="preserve"> Los cargos máximos de generación expresados en pesos de la fecha base, se actualizarán con las siguientes fórmulas generales:</w:t>
      </w:r>
    </w:p>
    <w:p w14:paraId="52CE36FA" w14:textId="41652E01" w:rsidR="005E42A5" w:rsidRPr="003F7981" w:rsidRDefault="005E42A5" w:rsidP="00CF067A">
      <w:pPr>
        <w:ind w:left="284" w:right="6"/>
        <w:contextualSpacing/>
        <w:jc w:val="both"/>
        <w:rPr>
          <w:rFonts w:ascii="Bookman Old Style" w:hAnsi="Bookman Old Style" w:cs="Arial"/>
        </w:rPr>
      </w:pPr>
    </w:p>
    <w:p w14:paraId="61A2C423" w14:textId="24D46339" w:rsidR="00291A1D" w:rsidRPr="003F7981" w:rsidRDefault="00651B7A" w:rsidP="00CF067A">
      <w:pPr>
        <w:ind w:left="284" w:right="6"/>
        <w:contextualSpacing/>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den>
              </m:f>
              <m:nary>
                <m:naryPr>
                  <m:chr m:val="∑"/>
                  <m:limLoc m:val="undOvr"/>
                  <m:supHide m:val="1"/>
                  <m:ctrlPr>
                    <w:rPr>
                      <w:rFonts w:ascii="Cambria Math" w:hAnsi="Cambria Math" w:cs="Arial"/>
                      <w:i/>
                    </w:rPr>
                  </m:ctrlPr>
                </m:naryPr>
                <m:sub>
                  <m:r>
                    <w:rPr>
                      <w:rFonts w:ascii="Cambria Math" w:hAnsi="Cambria Math" w:cs="Arial"/>
                    </w:rPr>
                    <m:t>j</m:t>
                  </m:r>
                </m:sub>
                <m:sup/>
                <m:e>
                  <m:sSub>
                    <m:sSubPr>
                      <m:ctrlPr>
                        <w:rPr>
                          <w:rFonts w:ascii="Cambria Math" w:hAnsi="Cambria Math" w:cs="Arial"/>
                          <w:i/>
                        </w:rPr>
                      </m:ctrlPr>
                    </m:sSubPr>
                    <m:e>
                      <m:r>
                        <w:rPr>
                          <w:rFonts w:ascii="Cambria Math" w:hAnsi="Cambria Math" w:cs="Arial"/>
                        </w:rPr>
                        <m:t>G</m:t>
                      </m:r>
                    </m:e>
                    <m:sub>
                      <m:r>
                        <w:rPr>
                          <w:rFonts w:ascii="Cambria Math" w:hAnsi="Cambria Math" w:cs="Arial"/>
                        </w:rPr>
                        <m:t>j,m</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j,m-1</m:t>
                      </m:r>
                    </m:sub>
                  </m:sSub>
                </m:e>
              </m:nary>
            </m:e>
          </m:d>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p w14:paraId="330EEF5E" w14:textId="5F01B054" w:rsidR="00291A1D" w:rsidRPr="003F7981" w:rsidRDefault="00291A1D" w:rsidP="00CF067A">
      <w:pPr>
        <w:ind w:left="284" w:right="6"/>
        <w:contextualSpacing/>
        <w:jc w:val="both"/>
        <w:rPr>
          <w:rFonts w:ascii="Bookman Old Style" w:hAnsi="Bookman Old Style" w:cs="Arial"/>
        </w:rPr>
      </w:pPr>
    </w:p>
    <w:p w14:paraId="4C1FF567" w14:textId="32C25E01" w:rsidR="005E42A5" w:rsidRPr="003F7981" w:rsidRDefault="005E42A5" w:rsidP="00CF067A">
      <w:pPr>
        <w:ind w:left="284" w:right="6"/>
        <w:contextualSpacing/>
        <w:jc w:val="both"/>
        <w:rPr>
          <w:rFonts w:ascii="Bookman Old Style" w:hAnsi="Bookman Old Style" w:cs="Arial"/>
        </w:rPr>
      </w:pPr>
      <w:r w:rsidRPr="003F7981">
        <w:rPr>
          <w:rFonts w:ascii="Bookman Old Style" w:hAnsi="Bookman Old Style" w:cs="Arial"/>
        </w:rPr>
        <w:t>En donde,</w:t>
      </w:r>
    </w:p>
    <w:p w14:paraId="01164F6E" w14:textId="77777777" w:rsidR="005E42A5" w:rsidRPr="003F7981" w:rsidRDefault="005E42A5" w:rsidP="00CF067A">
      <w:pPr>
        <w:ind w:left="284" w:right="6"/>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429"/>
        <w:gridCol w:w="7739"/>
      </w:tblGrid>
      <w:tr w:rsidR="005E42A5" w:rsidRPr="003F7981" w14:paraId="64087DFF" w14:textId="77777777" w:rsidTr="001A5475">
        <w:tc>
          <w:tcPr>
            <w:tcW w:w="912" w:type="dxa"/>
          </w:tcPr>
          <w:p w14:paraId="4FF1EEB9" w14:textId="7387BE77"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m</m:t>
                    </m:r>
                  </m:sub>
                </m:sSub>
              </m:oMath>
            </m:oMathPara>
          </w:p>
        </w:tc>
        <w:tc>
          <w:tcPr>
            <w:tcW w:w="435" w:type="dxa"/>
          </w:tcPr>
          <w:p w14:paraId="0F601F28"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8008" w:type="dxa"/>
          </w:tcPr>
          <w:p w14:paraId="7597E857" w14:textId="0F4092EA"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 xml:space="preserve">Cargo máximo de generación para </w:t>
            </w:r>
            <w:r w:rsidR="00CB2DEE" w:rsidRPr="003F7981">
              <w:rPr>
                <w:rFonts w:ascii="Bookman Old Style" w:hAnsi="Bookman Old Style" w:cs="Arial"/>
              </w:rPr>
              <w:t>el</w:t>
            </w:r>
            <w:r w:rsidRPr="003F7981">
              <w:rPr>
                <w:rFonts w:ascii="Bookman Old Style" w:hAnsi="Bookman Old Style" w:cs="Arial"/>
              </w:rPr>
              <w:t xml:space="preserve"> mercado relevante de comercialización señalado en esta resolución, </w:t>
            </w:r>
            <w:r w:rsidRPr="003F7981">
              <w:rPr>
                <w:rFonts w:ascii="Bookman Old Style" w:hAnsi="Bookman Old Style" w:cs="Arial"/>
                <w:bCs/>
              </w:rPr>
              <w:t xml:space="preserve">correspondiente al mes </w:t>
            </w:r>
            <w:r w:rsidRPr="003F7981">
              <w:rPr>
                <w:rFonts w:ascii="Bookman Old Style" w:hAnsi="Bookman Old Style" w:cs="Arial"/>
                <w:bCs/>
                <w:i/>
              </w:rPr>
              <w:t>m</w:t>
            </w:r>
            <w:r w:rsidRPr="003F7981">
              <w:rPr>
                <w:rFonts w:ascii="Bookman Old Style" w:hAnsi="Bookman Old Style" w:cs="Arial"/>
                <w:bCs/>
              </w:rPr>
              <w:t xml:space="preserve"> de prestación del servicio, expresado en pesos por kilovatio hora ($/kWh).</w:t>
            </w:r>
          </w:p>
          <w:p w14:paraId="5FB95541" w14:textId="77777777" w:rsidR="005E42A5" w:rsidRPr="003F7981" w:rsidRDefault="005E42A5" w:rsidP="00CF067A">
            <w:pPr>
              <w:ind w:right="6"/>
              <w:contextualSpacing/>
              <w:jc w:val="both"/>
              <w:rPr>
                <w:rFonts w:ascii="Bookman Old Style" w:hAnsi="Bookman Old Style" w:cs="Arial"/>
                <w:bCs/>
              </w:rPr>
            </w:pPr>
          </w:p>
        </w:tc>
      </w:tr>
      <w:tr w:rsidR="006E5595" w:rsidRPr="003F7981" w14:paraId="41222517" w14:textId="77777777" w:rsidTr="001A5475">
        <w:tc>
          <w:tcPr>
            <w:tcW w:w="912" w:type="dxa"/>
          </w:tcPr>
          <w:p w14:paraId="70B9F679" w14:textId="441057F3" w:rsidR="006E5595" w:rsidRPr="003F7981" w:rsidRDefault="00651B7A" w:rsidP="00CF067A">
            <w:pPr>
              <w:ind w:right="6"/>
              <w:contextualSpacing/>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G</m:t>
                    </m:r>
                  </m:e>
                  <m:sub>
                    <m:r>
                      <w:rPr>
                        <w:rFonts w:ascii="Cambria Math" w:hAnsi="Cambria Math" w:cs="Arial"/>
                      </w:rPr>
                      <m:t>j,m</m:t>
                    </m:r>
                  </m:sub>
                </m:sSub>
              </m:oMath>
            </m:oMathPara>
          </w:p>
        </w:tc>
        <w:tc>
          <w:tcPr>
            <w:tcW w:w="435" w:type="dxa"/>
          </w:tcPr>
          <w:p w14:paraId="2931669C" w14:textId="53E154A0" w:rsidR="006E5595" w:rsidRPr="003F7981" w:rsidRDefault="006E559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8008" w:type="dxa"/>
          </w:tcPr>
          <w:p w14:paraId="0F160CC1" w14:textId="002C7A6A" w:rsidR="008374D0" w:rsidRPr="003F7981" w:rsidRDefault="006E5595" w:rsidP="00CF067A">
            <w:pPr>
              <w:ind w:right="6"/>
              <w:contextualSpacing/>
              <w:jc w:val="both"/>
              <w:rPr>
                <w:rFonts w:ascii="Bookman Old Style" w:hAnsi="Bookman Old Style" w:cs="Arial"/>
                <w:bCs/>
              </w:rPr>
            </w:pPr>
            <w:r w:rsidRPr="003F7981">
              <w:rPr>
                <w:rFonts w:ascii="Bookman Old Style" w:hAnsi="Bookman Old Style" w:cs="Arial"/>
                <w:bCs/>
              </w:rPr>
              <w:t>Cargo máximo de generación para energía suministrada a partir del recurso energético</w:t>
            </w:r>
            <w:r w:rsidR="00A01416" w:rsidRPr="003F7981">
              <w:rPr>
                <w:rFonts w:ascii="Bookman Old Style" w:hAnsi="Bookman Old Style" w:cs="Arial"/>
                <w:bCs/>
              </w:rPr>
              <w:t xml:space="preserve"> </w:t>
            </w:r>
            <w:r w:rsidR="00A01416" w:rsidRPr="003F7981">
              <w:rPr>
                <w:rFonts w:ascii="Bookman Old Style" w:hAnsi="Bookman Old Style" w:cs="Arial"/>
                <w:bCs/>
                <w:i/>
                <w:iCs/>
              </w:rPr>
              <w:t>j</w:t>
            </w:r>
            <w:r w:rsidR="008374D0" w:rsidRPr="003F7981">
              <w:rPr>
                <w:rFonts w:ascii="Bookman Old Style" w:hAnsi="Bookman Old Style" w:cs="Arial"/>
                <w:bCs/>
                <w:i/>
                <w:iCs/>
              </w:rPr>
              <w:t>.</w:t>
            </w:r>
            <w:r w:rsidRPr="003F7981">
              <w:rPr>
                <w:rFonts w:ascii="Bookman Old Style" w:hAnsi="Bookman Old Style" w:cs="Arial"/>
                <w:bCs/>
              </w:rPr>
              <w:t xml:space="preserve"> </w:t>
            </w:r>
          </w:p>
          <w:p w14:paraId="3AF636CB" w14:textId="77777777" w:rsidR="008374D0" w:rsidRPr="003F7981" w:rsidRDefault="008374D0" w:rsidP="00CF067A">
            <w:pPr>
              <w:ind w:right="6"/>
              <w:contextualSpacing/>
              <w:jc w:val="both"/>
              <w:rPr>
                <w:rFonts w:ascii="Bookman Old Style" w:hAnsi="Bookman Old Style" w:cs="Arial"/>
                <w:bCs/>
              </w:rPr>
            </w:pPr>
          </w:p>
          <w:p w14:paraId="41B21E61" w14:textId="7634A7DA" w:rsidR="008374D0" w:rsidRDefault="008374D0" w:rsidP="00CF067A">
            <w:pPr>
              <w:ind w:right="6"/>
              <w:contextualSpacing/>
              <w:jc w:val="both"/>
              <w:rPr>
                <w:rFonts w:ascii="Bookman Old Style" w:hAnsi="Bookman Old Style" w:cs="Arial"/>
                <w:bCs/>
              </w:rPr>
            </w:pPr>
            <w:r w:rsidRPr="003F7981">
              <w:rPr>
                <w:rFonts w:ascii="Bookman Old Style" w:hAnsi="Bookman Old Style" w:cs="Arial"/>
                <w:bCs/>
              </w:rPr>
              <w:t xml:space="preserve">Los distintos recursos energéticos </w:t>
            </w:r>
            <w:r w:rsidR="00055F92" w:rsidRPr="003F7981">
              <w:rPr>
                <w:rFonts w:ascii="Bookman Old Style" w:hAnsi="Bookman Old Style" w:cs="Arial"/>
                <w:bCs/>
                <w:i/>
                <w:iCs/>
              </w:rPr>
              <w:t>j</w:t>
            </w:r>
            <w:r w:rsidR="00055F92" w:rsidRPr="003F7981">
              <w:rPr>
                <w:rFonts w:ascii="Bookman Old Style" w:hAnsi="Bookman Old Style" w:cs="Arial"/>
                <w:bCs/>
              </w:rPr>
              <w:t xml:space="preserve"> </w:t>
            </w:r>
            <w:r w:rsidRPr="003F7981">
              <w:rPr>
                <w:rFonts w:ascii="Bookman Old Style" w:hAnsi="Bookman Old Style" w:cs="Arial"/>
                <w:bCs/>
              </w:rPr>
              <w:t>son:</w:t>
            </w:r>
          </w:p>
          <w:p w14:paraId="3D73A52D" w14:textId="77777777" w:rsidR="00D90679" w:rsidRPr="003F7981" w:rsidRDefault="00D90679" w:rsidP="00CF067A">
            <w:pPr>
              <w:ind w:right="6"/>
              <w:contextualSpacing/>
              <w:jc w:val="both"/>
              <w:rPr>
                <w:rFonts w:ascii="Bookman Old Style" w:hAnsi="Bookman Old Style" w:cs="Arial"/>
                <w:bCs/>
              </w:rPr>
            </w:pPr>
          </w:p>
          <w:p w14:paraId="2D109BA2" w14:textId="4AB0A136" w:rsidR="006E5595" w:rsidRPr="003F7981" w:rsidRDefault="00651B7A" w:rsidP="00CF067A">
            <w:pPr>
              <w:ind w:right="6"/>
              <w:contextualSpacing/>
              <w:jc w:val="both"/>
              <w:rPr>
                <w:rFonts w:ascii="Bookman Old Style" w:hAnsi="Bookman Old Style" w:cs="Arial"/>
                <w:bCs/>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D,m</m:t>
                  </m:r>
                </m:sub>
              </m:sSub>
            </m:oMath>
            <w:r w:rsidR="005741F8" w:rsidRPr="003F7981">
              <w:rPr>
                <w:rFonts w:ascii="Bookman Old Style" w:hAnsi="Bookman Old Style" w:cs="Arial"/>
              </w:rPr>
              <w:t xml:space="preserve"> </w:t>
            </w:r>
            <w:r w:rsidR="00006DEB" w:rsidRPr="003F7981">
              <w:rPr>
                <w:rFonts w:ascii="Bookman Old Style" w:hAnsi="Bookman Old Style" w:cs="Arial"/>
              </w:rPr>
              <w:t xml:space="preserve">: </w:t>
            </w:r>
            <w:r w:rsidR="004C4AFE" w:rsidRPr="003F7981">
              <w:rPr>
                <w:rFonts w:ascii="Bookman Old Style" w:hAnsi="Bookman Old Style" w:cs="Arial"/>
              </w:rPr>
              <w:t xml:space="preserve">Cargo máximo </w:t>
            </w:r>
            <w:r w:rsidR="005741F8" w:rsidRPr="003F7981">
              <w:rPr>
                <w:rFonts w:ascii="Bookman Old Style" w:hAnsi="Bookman Old Style" w:cs="Arial"/>
              </w:rPr>
              <w:t xml:space="preserve">para generación </w:t>
            </w:r>
            <w:r w:rsidR="000D54B6" w:rsidRPr="003F7981">
              <w:rPr>
                <w:rFonts w:ascii="Bookman Old Style" w:hAnsi="Bookman Old Style" w:cs="Arial"/>
              </w:rPr>
              <w:t xml:space="preserve">con </w:t>
            </w:r>
            <w:r w:rsidR="00B069E4" w:rsidRPr="003F7981">
              <w:rPr>
                <w:rFonts w:ascii="Bookman Old Style" w:hAnsi="Bookman Old Style" w:cs="Arial"/>
              </w:rPr>
              <w:t>recursos d</w:t>
            </w:r>
            <w:r w:rsidR="00581CA0" w:rsidRPr="003F7981">
              <w:rPr>
                <w:rFonts w:ascii="Bookman Old Style" w:hAnsi="Bookman Old Style" w:cs="Arial"/>
                <w:bCs/>
              </w:rPr>
              <w:t>iésel</w:t>
            </w:r>
            <w:r w:rsidR="00DC30AC" w:rsidRPr="003F7981">
              <w:rPr>
                <w:rFonts w:ascii="Bookman Old Style" w:hAnsi="Bookman Old Style" w:cs="Arial"/>
                <w:bCs/>
              </w:rPr>
              <w:t xml:space="preserve">, </w:t>
            </w:r>
            <w:r w:rsidR="006E5595" w:rsidRPr="003F7981">
              <w:rPr>
                <w:rFonts w:ascii="Bookman Old Style" w:hAnsi="Bookman Old Style" w:cs="Arial"/>
                <w:bCs/>
              </w:rPr>
              <w:t xml:space="preserve">según lo previsto en la Resolución CREG 091 de 2007, para el mes </w:t>
            </w:r>
            <w:r w:rsidR="006E5595" w:rsidRPr="003F7981">
              <w:rPr>
                <w:rFonts w:ascii="Bookman Old Style" w:hAnsi="Bookman Old Style" w:cs="Arial"/>
                <w:bCs/>
                <w:i/>
              </w:rPr>
              <w:t>m</w:t>
            </w:r>
            <w:r w:rsidR="006E5595" w:rsidRPr="003F7981">
              <w:rPr>
                <w:rFonts w:ascii="Bookman Old Style" w:hAnsi="Bookman Old Style" w:cs="Arial"/>
                <w:bCs/>
              </w:rPr>
              <w:t>, expresado en pesos por kilovatio hora ($/kWh)</w:t>
            </w:r>
            <w:r w:rsidR="00952440" w:rsidRPr="003F7981">
              <w:rPr>
                <w:rFonts w:ascii="Bookman Old Style" w:hAnsi="Bookman Old Style" w:cs="Arial"/>
                <w:bCs/>
              </w:rPr>
              <w:t>, calculado</w:t>
            </w:r>
            <w:r w:rsidR="005F1A19" w:rsidRPr="003F7981">
              <w:rPr>
                <w:rFonts w:ascii="Bookman Old Style" w:hAnsi="Bookman Old Style" w:cs="Arial"/>
                <w:bCs/>
              </w:rPr>
              <w:t xml:space="preserve"> como se </w:t>
            </w:r>
            <w:r w:rsidR="003410A6" w:rsidRPr="003F7981">
              <w:rPr>
                <w:rFonts w:ascii="Bookman Old Style" w:hAnsi="Bookman Old Style" w:cs="Arial"/>
                <w:bCs/>
              </w:rPr>
              <w:t>indica</w:t>
            </w:r>
            <w:r w:rsidR="005F1A19" w:rsidRPr="003F7981">
              <w:rPr>
                <w:rFonts w:ascii="Bookman Old Style" w:hAnsi="Bookman Old Style" w:cs="Arial"/>
                <w:bCs/>
              </w:rPr>
              <w:t xml:space="preserve"> más adelante</w:t>
            </w:r>
            <w:r w:rsidR="006E5595" w:rsidRPr="003F7981">
              <w:rPr>
                <w:rFonts w:ascii="Bookman Old Style" w:hAnsi="Bookman Old Style" w:cs="Arial"/>
                <w:bCs/>
              </w:rPr>
              <w:t>.</w:t>
            </w:r>
          </w:p>
          <w:p w14:paraId="2FB99A5D" w14:textId="77777777" w:rsidR="00715697" w:rsidRPr="003F7981" w:rsidRDefault="00715697" w:rsidP="00CF067A">
            <w:pPr>
              <w:ind w:right="6"/>
              <w:contextualSpacing/>
              <w:jc w:val="both"/>
              <w:rPr>
                <w:rFonts w:ascii="Bookman Old Style" w:hAnsi="Bookman Old Style" w:cs="Arial"/>
                <w:bCs/>
              </w:rPr>
            </w:pPr>
          </w:p>
          <w:p w14:paraId="636800C6" w14:textId="70651823" w:rsidR="00BA2676" w:rsidRPr="003F7981" w:rsidRDefault="00651B7A" w:rsidP="00CF067A">
            <w:pPr>
              <w:ind w:right="6"/>
              <w:contextualSpacing/>
              <w:jc w:val="both"/>
              <w:rPr>
                <w:rFonts w:ascii="Bookman Old Style" w:hAnsi="Bookman Old Style" w:cs="Arial"/>
                <w:bCs/>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B,m</m:t>
                  </m:r>
                </m:sub>
              </m:sSub>
            </m:oMath>
            <w:r w:rsidR="00715697" w:rsidRPr="003F7981">
              <w:rPr>
                <w:rFonts w:ascii="Bookman Old Style" w:hAnsi="Bookman Old Style" w:cs="Arial"/>
              </w:rPr>
              <w:t xml:space="preserve"> </w:t>
            </w:r>
            <w:r w:rsidR="00006DEB" w:rsidRPr="003F7981">
              <w:rPr>
                <w:rFonts w:ascii="Bookman Old Style" w:hAnsi="Bookman Old Style" w:cs="Arial"/>
              </w:rPr>
              <w:t xml:space="preserve">: </w:t>
            </w:r>
            <w:r w:rsidR="004C4AFE" w:rsidRPr="003F7981">
              <w:rPr>
                <w:rFonts w:ascii="Bookman Old Style" w:hAnsi="Bookman Old Style" w:cs="Arial"/>
              </w:rPr>
              <w:t>Cargo m</w:t>
            </w:r>
            <w:r w:rsidR="00006DEB" w:rsidRPr="003F7981">
              <w:rPr>
                <w:rFonts w:ascii="Bookman Old Style" w:hAnsi="Bookman Old Style" w:cs="Arial"/>
              </w:rPr>
              <w:t xml:space="preserve">áximo </w:t>
            </w:r>
            <w:r w:rsidR="00715697" w:rsidRPr="003F7981">
              <w:rPr>
                <w:rFonts w:ascii="Bookman Old Style" w:hAnsi="Bookman Old Style" w:cs="Arial"/>
              </w:rPr>
              <w:t xml:space="preserve">para generación con </w:t>
            </w:r>
            <w:r w:rsidR="00C14EB5" w:rsidRPr="003F7981">
              <w:rPr>
                <w:rFonts w:ascii="Bookman Old Style" w:hAnsi="Bookman Old Style" w:cs="Arial"/>
              </w:rPr>
              <w:t>biomasa</w:t>
            </w:r>
            <w:r w:rsidR="00715697" w:rsidRPr="003F7981">
              <w:rPr>
                <w:rFonts w:ascii="Bookman Old Style" w:hAnsi="Bookman Old Style" w:cs="Arial"/>
                <w:bCs/>
              </w:rPr>
              <w:t xml:space="preserve">, </w:t>
            </w:r>
            <w:r w:rsidR="00582F13" w:rsidRPr="003F7981">
              <w:rPr>
                <w:rFonts w:ascii="Bookman Old Style" w:hAnsi="Bookman Old Style" w:cs="Arial"/>
                <w:bCs/>
              </w:rPr>
              <w:t>según lo previsto más adelante en este mismo artículo,</w:t>
            </w:r>
            <w:r w:rsidR="00BA2676" w:rsidRPr="003F7981">
              <w:rPr>
                <w:rFonts w:ascii="Bookman Old Style" w:hAnsi="Bookman Old Style" w:cs="Arial"/>
                <w:bCs/>
              </w:rPr>
              <w:t xml:space="preserve"> para el mes </w:t>
            </w:r>
            <w:r w:rsidR="00BA2676" w:rsidRPr="003F7981">
              <w:rPr>
                <w:rFonts w:ascii="Bookman Old Style" w:hAnsi="Bookman Old Style" w:cs="Arial"/>
                <w:bCs/>
                <w:i/>
              </w:rPr>
              <w:t>m</w:t>
            </w:r>
            <w:r w:rsidR="00BA2676" w:rsidRPr="003F7981">
              <w:rPr>
                <w:rFonts w:ascii="Bookman Old Style" w:hAnsi="Bookman Old Style" w:cs="Arial"/>
                <w:bCs/>
              </w:rPr>
              <w:t>, expresado en pesos por kilovatio hora ($/kWh)</w:t>
            </w:r>
            <w:r w:rsidR="00952440" w:rsidRPr="003F7981">
              <w:rPr>
                <w:rFonts w:ascii="Bookman Old Style" w:hAnsi="Bookman Old Style" w:cs="Arial"/>
                <w:bCs/>
              </w:rPr>
              <w:t>, calculado como se indica más adelante</w:t>
            </w:r>
            <w:r w:rsidR="00BA2676" w:rsidRPr="003F7981">
              <w:rPr>
                <w:rFonts w:ascii="Bookman Old Style" w:hAnsi="Bookman Old Style" w:cs="Arial"/>
                <w:bCs/>
              </w:rPr>
              <w:t>.</w:t>
            </w:r>
          </w:p>
          <w:p w14:paraId="673A42D0" w14:textId="46B7A6ED" w:rsidR="00D82E7F" w:rsidRPr="003F7981" w:rsidRDefault="00D82E7F" w:rsidP="00CF067A">
            <w:pPr>
              <w:ind w:right="6"/>
              <w:contextualSpacing/>
              <w:jc w:val="both"/>
              <w:rPr>
                <w:rFonts w:ascii="Bookman Old Style" w:hAnsi="Bookman Old Style" w:cs="Arial"/>
                <w:bCs/>
              </w:rPr>
            </w:pPr>
          </w:p>
        </w:tc>
      </w:tr>
      <w:tr w:rsidR="005E42A5" w:rsidRPr="003F7981" w14:paraId="25BD431D" w14:textId="77777777" w:rsidTr="001A5475">
        <w:tc>
          <w:tcPr>
            <w:tcW w:w="912" w:type="dxa"/>
          </w:tcPr>
          <w:p w14:paraId="6AC89700" w14:textId="75D99662" w:rsidR="005E42A5" w:rsidRPr="003F7981" w:rsidRDefault="00651B7A" w:rsidP="00CF067A">
            <w:pPr>
              <w:ind w:right="6"/>
              <w:contextualSpacing/>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E</m:t>
                    </m:r>
                  </m:e>
                  <m:sub>
                    <m:r>
                      <w:rPr>
                        <w:rFonts w:ascii="Cambria Math" w:hAnsi="Cambria Math" w:cs="Arial"/>
                      </w:rPr>
                      <m:t>j,m-1</m:t>
                    </m:r>
                  </m:sub>
                </m:sSub>
              </m:oMath>
            </m:oMathPara>
          </w:p>
        </w:tc>
        <w:tc>
          <w:tcPr>
            <w:tcW w:w="435" w:type="dxa"/>
          </w:tcPr>
          <w:p w14:paraId="2C55D74F" w14:textId="4753D9CE" w:rsidR="005E42A5" w:rsidRPr="003F7981" w:rsidRDefault="005E42A5" w:rsidP="00CF067A">
            <w:pPr>
              <w:ind w:right="6"/>
              <w:contextualSpacing/>
              <w:jc w:val="both"/>
              <w:rPr>
                <w:rFonts w:ascii="Bookman Old Style" w:hAnsi="Bookman Old Style" w:cs="Arial"/>
                <w:bCs/>
              </w:rPr>
            </w:pPr>
          </w:p>
        </w:tc>
        <w:tc>
          <w:tcPr>
            <w:tcW w:w="8008" w:type="dxa"/>
          </w:tcPr>
          <w:p w14:paraId="0CDB2B0F" w14:textId="75C851F3" w:rsidR="00D6752E" w:rsidRPr="003F7981" w:rsidRDefault="00D6752E" w:rsidP="00CF067A">
            <w:pPr>
              <w:ind w:right="6"/>
              <w:contextualSpacing/>
              <w:jc w:val="both"/>
              <w:rPr>
                <w:rFonts w:ascii="Bookman Old Style" w:hAnsi="Bookman Old Style" w:cs="Arial"/>
              </w:rPr>
            </w:pPr>
            <w:r w:rsidRPr="003F7981">
              <w:rPr>
                <w:rFonts w:ascii="Bookman Old Style" w:hAnsi="Bookman Old Style" w:cs="Arial"/>
              </w:rPr>
              <w:t xml:space="preserve">Energía total entregada al sistema de distribución del mercado relevante de comercialización respectivo, por el recurso energético </w:t>
            </w:r>
            <w:r w:rsidRPr="003F7981">
              <w:rPr>
                <w:rFonts w:ascii="Bookman Old Style" w:hAnsi="Bookman Old Style" w:cs="Arial"/>
                <w:i/>
                <w:iCs/>
              </w:rPr>
              <w:t>j</w:t>
            </w:r>
            <w:r w:rsidRPr="003F7981">
              <w:rPr>
                <w:rFonts w:ascii="Bookman Old Style" w:hAnsi="Bookman Old Style" w:cs="Arial"/>
              </w:rPr>
              <w:t xml:space="preserve"> del parque de generación conectados a dicho sistema de distribución, durante los últimos doce meses contados a partir del mes </w:t>
            </w:r>
            <w:r w:rsidRPr="003F7981">
              <w:rPr>
                <w:rFonts w:ascii="Bookman Old Style" w:hAnsi="Bookman Old Style" w:cs="Arial"/>
                <w:i/>
              </w:rPr>
              <w:t>m-1</w:t>
            </w:r>
            <w:r w:rsidRPr="003F7981">
              <w:rPr>
                <w:rFonts w:ascii="Bookman Old Style" w:hAnsi="Bookman Old Style" w:cs="Arial"/>
              </w:rPr>
              <w:t>.</w:t>
            </w:r>
          </w:p>
          <w:p w14:paraId="4F0FA4CE" w14:textId="77777777" w:rsidR="00D6752E" w:rsidRPr="003F7981" w:rsidRDefault="00D6752E" w:rsidP="00CF067A">
            <w:pPr>
              <w:ind w:right="6"/>
              <w:contextualSpacing/>
              <w:jc w:val="both"/>
              <w:rPr>
                <w:rFonts w:ascii="Bookman Old Style" w:hAnsi="Bookman Old Style" w:cs="Arial"/>
              </w:rPr>
            </w:pPr>
          </w:p>
          <w:p w14:paraId="2632622E" w14:textId="77777777" w:rsidR="00D6752E" w:rsidRPr="003F7981" w:rsidRDefault="00D6752E" w:rsidP="00CF067A">
            <w:pPr>
              <w:ind w:right="6"/>
              <w:contextualSpacing/>
              <w:jc w:val="both"/>
              <w:rPr>
                <w:rFonts w:ascii="Bookman Old Style" w:hAnsi="Bookman Old Style" w:cs="Arial"/>
              </w:rPr>
            </w:pPr>
            <w:r w:rsidRPr="003F7981">
              <w:rPr>
                <w:rFonts w:ascii="Bookman Old Style" w:hAnsi="Bookman Old Style" w:cs="Arial"/>
              </w:rPr>
              <w:lastRenderedPageBreak/>
              <w:t>A partir de la entrada en vigencia de esta resolución, según lo previsto en el artículo 3 de esta resolución, y hasta contar con un histórico de 12 meses, se tomará la información acumulada de los meses que hayan transcurrido.</w:t>
            </w:r>
          </w:p>
          <w:p w14:paraId="31946A42" w14:textId="77777777" w:rsidR="005E42A5" w:rsidRPr="003F7981" w:rsidRDefault="005E42A5" w:rsidP="00CF067A">
            <w:pPr>
              <w:ind w:right="6"/>
              <w:contextualSpacing/>
              <w:jc w:val="both"/>
              <w:rPr>
                <w:rFonts w:ascii="Bookman Old Style" w:hAnsi="Bookman Old Style" w:cs="Arial"/>
                <w:bCs/>
              </w:rPr>
            </w:pPr>
          </w:p>
        </w:tc>
      </w:tr>
      <w:tr w:rsidR="005E42A5" w:rsidRPr="003F7981" w14:paraId="2B0F0561" w14:textId="77777777" w:rsidTr="001A5475">
        <w:tc>
          <w:tcPr>
            <w:tcW w:w="912" w:type="dxa"/>
          </w:tcPr>
          <w:p w14:paraId="68C480E8" w14:textId="75ED5566" w:rsidR="005E42A5" w:rsidRPr="003F7981" w:rsidRDefault="00651B7A" w:rsidP="00CF067A">
            <w:pPr>
              <w:ind w:right="6"/>
              <w:contextualSpacing/>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ET</m:t>
                    </m:r>
                  </m:e>
                  <m:sub>
                    <m:r>
                      <w:rPr>
                        <w:rFonts w:ascii="Cambria Math" w:hAnsi="Cambria Math" w:cs="Arial"/>
                      </w:rPr>
                      <m:t>m-1</m:t>
                    </m:r>
                  </m:sub>
                </m:sSub>
              </m:oMath>
            </m:oMathPara>
          </w:p>
        </w:tc>
        <w:tc>
          <w:tcPr>
            <w:tcW w:w="435" w:type="dxa"/>
          </w:tcPr>
          <w:p w14:paraId="55922829" w14:textId="57619D40" w:rsidR="005E42A5" w:rsidRPr="003F7981" w:rsidRDefault="005E42A5" w:rsidP="00CF067A">
            <w:pPr>
              <w:ind w:right="6"/>
              <w:contextualSpacing/>
              <w:jc w:val="both"/>
              <w:rPr>
                <w:rFonts w:ascii="Bookman Old Style" w:hAnsi="Bookman Old Style" w:cs="Arial"/>
                <w:bCs/>
              </w:rPr>
            </w:pPr>
          </w:p>
        </w:tc>
        <w:tc>
          <w:tcPr>
            <w:tcW w:w="8008" w:type="dxa"/>
          </w:tcPr>
          <w:p w14:paraId="2CF23054" w14:textId="77777777" w:rsidR="00D6752E" w:rsidRPr="003F7981" w:rsidRDefault="00D6752E" w:rsidP="00CF067A">
            <w:pPr>
              <w:ind w:right="6"/>
              <w:contextualSpacing/>
              <w:jc w:val="both"/>
              <w:rPr>
                <w:rFonts w:ascii="Bookman Old Style" w:hAnsi="Bookman Old Style" w:cs="Arial"/>
              </w:rPr>
            </w:pPr>
            <w:r w:rsidRPr="003F7981">
              <w:rPr>
                <w:rFonts w:ascii="Bookman Old Style" w:hAnsi="Bookman Old Style" w:cs="Arial"/>
              </w:rPr>
              <w:t xml:space="preserve">Energía total entregada al sistema de distribución del mercado relevante de comercialización respectivo, por el parque de generación conectado a dicho sistema de distribución, durante los últimos doce meses contados a partir del mes </w:t>
            </w:r>
            <w:r w:rsidRPr="003F7981">
              <w:rPr>
                <w:rFonts w:ascii="Bookman Old Style" w:hAnsi="Bookman Old Style" w:cs="Arial"/>
                <w:i/>
              </w:rPr>
              <w:t>m-1</w:t>
            </w:r>
            <w:r w:rsidRPr="003F7981">
              <w:rPr>
                <w:rFonts w:ascii="Bookman Old Style" w:hAnsi="Bookman Old Style" w:cs="Arial"/>
              </w:rPr>
              <w:t xml:space="preserve">. </w:t>
            </w:r>
          </w:p>
          <w:p w14:paraId="6234CD2C" w14:textId="77777777" w:rsidR="00D6752E" w:rsidRPr="003F7981" w:rsidRDefault="00D6752E" w:rsidP="00CF067A">
            <w:pPr>
              <w:ind w:right="6"/>
              <w:contextualSpacing/>
              <w:jc w:val="both"/>
              <w:rPr>
                <w:rFonts w:ascii="Bookman Old Style" w:hAnsi="Bookman Old Style" w:cs="Arial"/>
              </w:rPr>
            </w:pPr>
          </w:p>
          <w:p w14:paraId="1EAFF5D7" w14:textId="77777777" w:rsidR="00D6752E" w:rsidRPr="003F7981" w:rsidRDefault="00D6752E" w:rsidP="00CF067A">
            <w:pPr>
              <w:ind w:right="6"/>
              <w:contextualSpacing/>
              <w:jc w:val="both"/>
              <w:rPr>
                <w:rFonts w:ascii="Bookman Old Style" w:hAnsi="Bookman Old Style" w:cs="Arial"/>
              </w:rPr>
            </w:pPr>
            <w:r w:rsidRPr="003F7981">
              <w:rPr>
                <w:rFonts w:ascii="Bookman Old Style" w:hAnsi="Bookman Old Style" w:cs="Arial"/>
              </w:rPr>
              <w:t>A partir de la entrada en vigencia de esta resolución, según lo previsto en el artículo 3 de esta resolución, y hasta contar con un histórico de 12 meses, se tomará la información acumulada de los meses que hayan transcurrido.</w:t>
            </w:r>
          </w:p>
          <w:p w14:paraId="32C78390" w14:textId="77777777" w:rsidR="005E42A5" w:rsidRPr="003F7981" w:rsidRDefault="005E42A5" w:rsidP="00CF067A">
            <w:pPr>
              <w:ind w:right="6"/>
              <w:contextualSpacing/>
              <w:jc w:val="both"/>
              <w:rPr>
                <w:rFonts w:ascii="Bookman Old Style" w:hAnsi="Bookman Old Style" w:cs="Arial"/>
                <w:bCs/>
              </w:rPr>
            </w:pPr>
          </w:p>
        </w:tc>
      </w:tr>
      <w:tr w:rsidR="000B4CFD" w:rsidRPr="003F7981" w14:paraId="63C3F826" w14:textId="77777777" w:rsidTr="001A5475">
        <w:tc>
          <w:tcPr>
            <w:tcW w:w="912" w:type="dxa"/>
          </w:tcPr>
          <w:p w14:paraId="15463B0E" w14:textId="1309CFAA" w:rsidR="000B4CFD" w:rsidRPr="003F7981" w:rsidRDefault="00651B7A" w:rsidP="00CF067A">
            <w:pPr>
              <w:ind w:right="6"/>
              <w:contextualSpacing/>
              <w:rPr>
                <w:rFonts w:ascii="Bookman Old Style" w:hAnsi="Bookman Old Style"/>
              </w:rPr>
            </w:pPr>
            <m:oMathPara>
              <m:oMathParaPr>
                <m:jc m:val="left"/>
              </m:oMathParaPr>
              <m:oMath>
                <m:sSub>
                  <m:sSubPr>
                    <m:ctrlPr>
                      <w:rPr>
                        <w:rFonts w:ascii="Cambria Math" w:hAnsi="Cambria Math" w:cs="Arial"/>
                        <w:i/>
                      </w:rPr>
                    </m:ctrlPr>
                  </m:sSubPr>
                  <m:e>
                    <m:r>
                      <w:rPr>
                        <w:rFonts w:ascii="Cambria Math" w:hAnsi="Cambria Math" w:cs="Arial"/>
                      </w:rPr>
                      <m:t>M</m:t>
                    </m:r>
                  </m:e>
                  <m:sub>
                    <m:r>
                      <w:rPr>
                        <w:rFonts w:ascii="Cambria Math" w:hAnsi="Cambria Math" w:cs="Arial"/>
                      </w:rPr>
                      <m:t>m</m:t>
                    </m:r>
                  </m:sub>
                </m:sSub>
              </m:oMath>
            </m:oMathPara>
          </w:p>
        </w:tc>
        <w:tc>
          <w:tcPr>
            <w:tcW w:w="435" w:type="dxa"/>
          </w:tcPr>
          <w:p w14:paraId="42544DEB" w14:textId="7A706493" w:rsidR="000B4CFD" w:rsidRPr="003F7981" w:rsidRDefault="000B4CFD"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8008" w:type="dxa"/>
          </w:tcPr>
          <w:p w14:paraId="44CF67F8" w14:textId="77777777" w:rsidR="000B4CFD" w:rsidRPr="003F7981" w:rsidRDefault="000B4CFD" w:rsidP="00CF067A">
            <w:pPr>
              <w:ind w:right="6"/>
              <w:contextualSpacing/>
              <w:jc w:val="both"/>
              <w:rPr>
                <w:rFonts w:ascii="Bookman Old Style" w:hAnsi="Bookman Old Style" w:cs="Arial"/>
              </w:rPr>
            </w:pPr>
            <w:r w:rsidRPr="003F7981">
              <w:rPr>
                <w:rFonts w:ascii="Bookman Old Style" w:hAnsi="Bookman Old Style" w:cs="Arial"/>
              </w:rPr>
              <w:t xml:space="preserve">Cargo máximo que remunera la actividad de monitoreo, expresado </w:t>
            </w:r>
            <w:r w:rsidRPr="003F7981">
              <w:rPr>
                <w:rFonts w:ascii="Bookman Old Style" w:hAnsi="Bookman Old Style" w:cs="Arial"/>
                <w:bCs/>
              </w:rPr>
              <w:t xml:space="preserve">en pesos por kilovatio hora ($/kWh). Para los efectos de esta resolución, el valor reconocido será igual a cero (0). La </w:t>
            </w:r>
            <w:r w:rsidRPr="003F7981">
              <w:rPr>
                <w:rFonts w:ascii="Bookman Old Style" w:hAnsi="Bookman Old Style" w:cs="Arial"/>
              </w:rPr>
              <w:t>CREG podrá revisar este valor, de oficio o por solicitud del prestador del servicio, en resolución posterior.</w:t>
            </w:r>
          </w:p>
          <w:p w14:paraId="373E154D" w14:textId="77777777" w:rsidR="000B4CFD" w:rsidRPr="003F7981" w:rsidRDefault="000B4CFD" w:rsidP="00CF067A">
            <w:pPr>
              <w:ind w:right="6"/>
              <w:contextualSpacing/>
              <w:jc w:val="both"/>
              <w:rPr>
                <w:rFonts w:ascii="Bookman Old Style" w:hAnsi="Bookman Old Style" w:cs="Arial"/>
              </w:rPr>
            </w:pPr>
          </w:p>
        </w:tc>
      </w:tr>
      <w:tr w:rsidR="005E42A5" w:rsidRPr="003F7981" w14:paraId="6645DA2B" w14:textId="77777777" w:rsidTr="001A5475">
        <w:tc>
          <w:tcPr>
            <w:tcW w:w="912" w:type="dxa"/>
          </w:tcPr>
          <w:p w14:paraId="76ADD65E" w14:textId="75FB162B" w:rsidR="005E42A5" w:rsidRPr="003F7981" w:rsidRDefault="00126027" w:rsidP="00CF067A">
            <w:pPr>
              <w:ind w:right="6"/>
              <w:contextualSpacing/>
              <w:rPr>
                <w:rFonts w:ascii="Bookman Old Style" w:hAnsi="Bookman Old Style"/>
                <w:i/>
              </w:rPr>
            </w:pPr>
            <w:r w:rsidRPr="003F7981">
              <w:rPr>
                <w:rFonts w:ascii="Bookman Old Style" w:hAnsi="Bookman Old Style"/>
                <w:i/>
              </w:rPr>
              <w:t>m</w:t>
            </w:r>
          </w:p>
        </w:tc>
        <w:tc>
          <w:tcPr>
            <w:tcW w:w="435" w:type="dxa"/>
          </w:tcPr>
          <w:p w14:paraId="0605CA64"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8008" w:type="dxa"/>
          </w:tcPr>
          <w:p w14:paraId="273203B8" w14:textId="77777777" w:rsidR="005E42A5" w:rsidRPr="003F7981" w:rsidRDefault="005E42A5" w:rsidP="00CF067A">
            <w:pPr>
              <w:ind w:right="6"/>
              <w:contextualSpacing/>
              <w:jc w:val="both"/>
              <w:rPr>
                <w:rFonts w:ascii="Bookman Old Style" w:hAnsi="Bookman Old Style" w:cs="Arial"/>
              </w:rPr>
            </w:pPr>
            <w:r w:rsidRPr="003F7981">
              <w:rPr>
                <w:rFonts w:ascii="Bookman Old Style" w:hAnsi="Bookman Old Style" w:cs="Arial"/>
              </w:rPr>
              <w:t>Mes de cálculo de la tarifa.</w:t>
            </w:r>
          </w:p>
          <w:p w14:paraId="44C575D2" w14:textId="77777777" w:rsidR="005E42A5" w:rsidRPr="003F7981" w:rsidRDefault="005E42A5" w:rsidP="00CF067A">
            <w:pPr>
              <w:ind w:right="6"/>
              <w:contextualSpacing/>
              <w:jc w:val="both"/>
              <w:rPr>
                <w:rFonts w:ascii="Bookman Old Style" w:hAnsi="Bookman Old Style" w:cs="Arial"/>
              </w:rPr>
            </w:pPr>
          </w:p>
        </w:tc>
      </w:tr>
    </w:tbl>
    <w:p w14:paraId="1AE6FE23" w14:textId="6F2AE9F2" w:rsidR="005E42A5" w:rsidRPr="003F7981" w:rsidRDefault="005E42A5" w:rsidP="00CF067A">
      <w:pPr>
        <w:ind w:left="284" w:right="6"/>
        <w:contextualSpacing/>
        <w:jc w:val="both"/>
        <w:rPr>
          <w:rFonts w:ascii="Bookman Old Style" w:hAnsi="Bookman Old Style" w:cs="Arial"/>
        </w:rPr>
      </w:pPr>
      <w:r w:rsidRPr="003F7981">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D,m</m:t>
            </m:r>
          </m:sub>
        </m:sSub>
      </m:oMath>
      <w:r w:rsidRPr="003F7981">
        <w:rPr>
          <w:rFonts w:ascii="Bookman Old Style" w:hAnsi="Bookman Old Style" w:cs="Arial"/>
        </w:rPr>
        <w:t xml:space="preserve"> se obtiene a partir de la siguiente fórmula:</w:t>
      </w:r>
    </w:p>
    <w:p w14:paraId="2AB0362B" w14:textId="77777777" w:rsidR="005E42A5" w:rsidRPr="003F7981" w:rsidRDefault="005E42A5" w:rsidP="00CF067A">
      <w:pPr>
        <w:ind w:left="284" w:right="6"/>
        <w:contextualSpacing/>
        <w:jc w:val="both"/>
        <w:rPr>
          <w:rFonts w:ascii="Bookman Old Style" w:hAnsi="Bookman Old Style" w:cs="Arial"/>
        </w:rPr>
      </w:pPr>
    </w:p>
    <w:p w14:paraId="451AE4F7" w14:textId="48EC4CC0" w:rsidR="005E42A5" w:rsidRPr="003F7981" w:rsidRDefault="00651B7A" w:rsidP="00CF067A">
      <w:pPr>
        <w:ind w:left="284" w:right="6"/>
        <w:contextualSpacing/>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D,m</m:t>
              </m:r>
            </m:sub>
          </m:sSub>
          <m:r>
            <w:rPr>
              <w:rFonts w:ascii="Cambria Math" w:hAnsi="Cambria Math" w:cs="Arial"/>
            </w:rPr>
            <m:t>=</m:t>
          </m:r>
          <m:d>
            <m:dPr>
              <m:begChr m:val="["/>
              <m:endChr m:val="]"/>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D,0</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D,0</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+1,1</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r>
                    <w:rPr>
                      <w:rFonts w:ascii="Cambria Math" w:hAnsi="Cambria Math" w:cs="Arial"/>
                    </w:rPr>
                    <m:t>+</m:t>
                  </m:r>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e>
              </m:d>
            </m:e>
          </m:d>
          <m:r>
            <w:rPr>
              <w:rFonts w:ascii="Cambria Math" w:hAnsi="Cambria Math" w:cs="Arial"/>
            </w:rPr>
            <m:t>*</m:t>
          </m:r>
          <m:d>
            <m:dPr>
              <m:ctrlPr>
                <w:rPr>
                  <w:rFonts w:ascii="Cambria Math" w:hAnsi="Cambria Math" w:cs="Arial"/>
                  <w:i/>
                </w:rPr>
              </m:ctrlPr>
            </m:dPr>
            <m:e>
              <m:r>
                <w:rPr>
                  <w:rFonts w:ascii="Cambria Math" w:hAnsi="Cambria Math" w:cs="Arial"/>
                </w:rPr>
                <m:t>1+PT</m:t>
              </m:r>
            </m:e>
          </m:d>
        </m:oMath>
      </m:oMathPara>
    </w:p>
    <w:p w14:paraId="26F4C092" w14:textId="77777777" w:rsidR="007C7AF7" w:rsidRPr="003F7981" w:rsidRDefault="007C7AF7" w:rsidP="00526CEA">
      <w:pPr>
        <w:ind w:right="6"/>
        <w:contextualSpacing/>
        <w:jc w:val="both"/>
        <w:rPr>
          <w:rFonts w:ascii="Bookman Old Style" w:hAnsi="Bookman Old Style" w:cs="Arial"/>
        </w:rPr>
      </w:pPr>
    </w:p>
    <w:p w14:paraId="1ADB2716" w14:textId="77777777" w:rsidR="005E42A5" w:rsidRPr="003F7981" w:rsidRDefault="005E42A5" w:rsidP="00CF067A">
      <w:pPr>
        <w:ind w:left="284" w:right="6"/>
        <w:contextualSpacing/>
        <w:jc w:val="both"/>
        <w:rPr>
          <w:rFonts w:ascii="Bookman Old Style" w:hAnsi="Bookman Old Style" w:cs="Arial"/>
        </w:rPr>
      </w:pPr>
      <w:r w:rsidRPr="003F7981">
        <w:rPr>
          <w:rFonts w:ascii="Bookman Old Style" w:hAnsi="Bookman Old Style" w:cs="Arial"/>
        </w:rPr>
        <w:t>En donde,</w:t>
      </w:r>
    </w:p>
    <w:p w14:paraId="1D3649B0" w14:textId="77777777" w:rsidR="00843746" w:rsidRPr="003F7981" w:rsidRDefault="00843746" w:rsidP="00CF067A">
      <w:pPr>
        <w:ind w:left="284" w:right="6"/>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429"/>
        <w:gridCol w:w="7676"/>
      </w:tblGrid>
      <w:tr w:rsidR="005E42A5" w:rsidRPr="003F7981" w14:paraId="57334BC4" w14:textId="77777777" w:rsidTr="73D95DE0">
        <w:tc>
          <w:tcPr>
            <w:tcW w:w="973" w:type="dxa"/>
          </w:tcPr>
          <w:p w14:paraId="4B48E7E5" w14:textId="492C3E3B"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D,0</m:t>
                    </m:r>
                  </m:sub>
                </m:sSub>
              </m:oMath>
            </m:oMathPara>
          </w:p>
        </w:tc>
        <w:tc>
          <w:tcPr>
            <w:tcW w:w="435" w:type="dxa"/>
          </w:tcPr>
          <w:p w14:paraId="46F510DC"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947" w:type="dxa"/>
          </w:tcPr>
          <w:p w14:paraId="57BD32B3" w14:textId="44B39DD5" w:rsidR="00AD369B"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rPr>
              <w:t xml:space="preserve">Componente de remuneración del costo promedio ponderado de inversión, </w:t>
            </w:r>
            <w:r w:rsidR="00814CEC" w:rsidRPr="003F7981">
              <w:rPr>
                <w:rFonts w:ascii="Bookman Old Style" w:hAnsi="Bookman Old Style" w:cs="Arial"/>
              </w:rPr>
              <w:t xml:space="preserve">expresado en pesos </w:t>
            </w:r>
            <w:r w:rsidR="002A7D05" w:rsidRPr="003F7981">
              <w:rPr>
                <w:rFonts w:ascii="Bookman Old Style" w:hAnsi="Bookman Old Style" w:cs="Arial"/>
              </w:rPr>
              <w:t xml:space="preserve">por kilovatio hora </w:t>
            </w:r>
            <w:r w:rsidR="002A7D05" w:rsidRPr="003F7981">
              <w:rPr>
                <w:rFonts w:ascii="Bookman Old Style" w:hAnsi="Bookman Old Style" w:cs="Arial"/>
                <w:bCs/>
              </w:rPr>
              <w:t>($/kWh)</w:t>
            </w:r>
            <w:r w:rsidR="007140CF" w:rsidRPr="003F7981">
              <w:rPr>
                <w:rFonts w:ascii="Bookman Old Style" w:hAnsi="Bookman Old Style" w:cs="Arial"/>
                <w:bCs/>
              </w:rPr>
              <w:t xml:space="preserve">, </w:t>
            </w:r>
            <w:r w:rsidRPr="003F7981">
              <w:rPr>
                <w:rFonts w:ascii="Bookman Old Style" w:hAnsi="Bookman Old Style" w:cs="Arial"/>
              </w:rPr>
              <w:t>por</w:t>
            </w:r>
            <w:r w:rsidR="007140CF" w:rsidRPr="003F7981">
              <w:rPr>
                <w:rFonts w:ascii="Bookman Old Style" w:hAnsi="Bookman Old Style" w:cs="Arial"/>
              </w:rPr>
              <w:t xml:space="preserve"> la</w:t>
            </w:r>
            <w:r w:rsidRPr="003F7981">
              <w:rPr>
                <w:rFonts w:ascii="Bookman Old Style" w:hAnsi="Bookman Old Style" w:cs="Arial"/>
              </w:rPr>
              <w:t xml:space="preserve"> energía generada de los recursos energéticos diésel, del mercado relevante de comercialización señalado en este artículo, expresado en pesos constantes de la fecha base, según lo previsto en el literal a) del artículo 22 de la Resolución CREG 091 de 2007, modificada mediante la Resolución CREG 057 de 2009.</w:t>
            </w:r>
          </w:p>
          <w:p w14:paraId="5C8436B3" w14:textId="26B3B897" w:rsidR="00AD369B" w:rsidRPr="003F7981" w:rsidRDefault="00AD369B" w:rsidP="00CF067A">
            <w:pPr>
              <w:ind w:right="6"/>
              <w:contextualSpacing/>
              <w:jc w:val="both"/>
              <w:rPr>
                <w:rFonts w:ascii="Bookman Old Style" w:hAnsi="Bookman Old Style" w:cs="Arial"/>
                <w:bCs/>
              </w:rPr>
            </w:pPr>
          </w:p>
        </w:tc>
      </w:tr>
      <w:tr w:rsidR="005E42A5" w:rsidRPr="003F7981" w14:paraId="68826F67" w14:textId="77777777" w:rsidTr="73D95DE0">
        <w:tc>
          <w:tcPr>
            <w:tcW w:w="973" w:type="dxa"/>
          </w:tcPr>
          <w:p w14:paraId="65EE76C4" w14:textId="6FF85A24" w:rsidR="005E42A5" w:rsidRPr="003F7981" w:rsidRDefault="00651B7A" w:rsidP="00CF067A">
            <w:pPr>
              <w:ind w:right="6"/>
              <w:contextualSpacing/>
              <w:rPr>
                <w:rFonts w:ascii="Bookman Old Style" w:hAnsi="Bookman Old Style" w:cs="Arial"/>
                <w:bCs/>
              </w:rPr>
            </w:pPr>
            <m:oMathPara>
              <m:oMath>
                <m:sSub>
                  <m:sSubPr>
                    <m:ctrlPr>
                      <w:rPr>
                        <w:rFonts w:ascii="Cambria Math" w:hAnsi="Cambria Math" w:cs="Arial"/>
                        <w:i/>
                      </w:rPr>
                    </m:ctrlPr>
                  </m:sSubPr>
                  <m:e>
                    <m:r>
                      <w:rPr>
                        <w:rFonts w:ascii="Cambria Math" w:hAnsi="Cambria Math" w:cs="Arial"/>
                      </w:rPr>
                      <m:t>CM</m:t>
                    </m:r>
                  </m:e>
                  <m:sub>
                    <m:r>
                      <w:rPr>
                        <w:rFonts w:ascii="Cambria Math" w:hAnsi="Cambria Math" w:cs="Arial"/>
                      </w:rPr>
                      <m:t>D,0</m:t>
                    </m:r>
                  </m:sub>
                </m:sSub>
              </m:oMath>
            </m:oMathPara>
          </w:p>
        </w:tc>
        <w:tc>
          <w:tcPr>
            <w:tcW w:w="435" w:type="dxa"/>
          </w:tcPr>
          <w:p w14:paraId="084F31DF"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947" w:type="dxa"/>
          </w:tcPr>
          <w:p w14:paraId="6138E45E" w14:textId="1A02806B" w:rsidR="005E42A5" w:rsidRPr="003F7981" w:rsidRDefault="005E42A5" w:rsidP="00CF067A">
            <w:pPr>
              <w:ind w:right="6"/>
              <w:contextualSpacing/>
              <w:jc w:val="both"/>
              <w:rPr>
                <w:rFonts w:ascii="Bookman Old Style" w:hAnsi="Bookman Old Style" w:cs="Arial"/>
              </w:rPr>
            </w:pPr>
            <w:r w:rsidRPr="003F7981">
              <w:rPr>
                <w:rFonts w:ascii="Bookman Old Style" w:hAnsi="Bookman Old Style" w:cs="Arial"/>
              </w:rPr>
              <w:t xml:space="preserve">Componente de remuneración del costo promedio ponderado de mantenimiento, </w:t>
            </w:r>
            <w:r w:rsidR="00D13138" w:rsidRPr="003F7981">
              <w:rPr>
                <w:rFonts w:ascii="Bookman Old Style" w:hAnsi="Bookman Old Style" w:cs="Arial"/>
              </w:rPr>
              <w:t xml:space="preserve">expresado en pesos por kilovatio hora </w:t>
            </w:r>
            <w:r w:rsidR="00D13138" w:rsidRPr="003F7981">
              <w:rPr>
                <w:rFonts w:ascii="Bookman Old Style" w:hAnsi="Bookman Old Style" w:cs="Arial"/>
                <w:bCs/>
              </w:rPr>
              <w:t xml:space="preserve">($/kWh), </w:t>
            </w:r>
            <w:r w:rsidR="00D13138" w:rsidRPr="003F7981">
              <w:rPr>
                <w:rFonts w:ascii="Bookman Old Style" w:hAnsi="Bookman Old Style" w:cs="Arial"/>
              </w:rPr>
              <w:t>por la energía generada de los recursos energéticos diésel</w:t>
            </w:r>
            <w:r w:rsidRPr="003F7981">
              <w:rPr>
                <w:rFonts w:ascii="Bookman Old Style" w:hAnsi="Bookman Old Style" w:cs="Arial"/>
              </w:rPr>
              <w:t>, del mercado relevante de comercialización señalado en este artículo, expresado en pesos constantes de la fecha base, según lo previsto en el literal a) del artículo 22 de la Resolución CREG 091 de 2007, modificada mediante la Resolución CREG 057 de 2009.</w:t>
            </w:r>
          </w:p>
          <w:p w14:paraId="5E9DD85E" w14:textId="77777777" w:rsidR="005E42A5" w:rsidRPr="003F7981" w:rsidRDefault="005E42A5" w:rsidP="00CF067A">
            <w:pPr>
              <w:ind w:right="6"/>
              <w:contextualSpacing/>
              <w:jc w:val="both"/>
              <w:rPr>
                <w:rFonts w:ascii="Bookman Old Style" w:hAnsi="Bookman Old Style" w:cs="Arial"/>
              </w:rPr>
            </w:pPr>
          </w:p>
        </w:tc>
      </w:tr>
      <w:bookmarkStart w:id="5" w:name="_Hlk109913206"/>
      <w:tr w:rsidR="005E42A5" w:rsidRPr="003F7981" w14:paraId="4CF5E5F7" w14:textId="77777777" w:rsidTr="73D95DE0">
        <w:tc>
          <w:tcPr>
            <w:tcW w:w="973" w:type="dxa"/>
          </w:tcPr>
          <w:p w14:paraId="6EF8B9C7" w14:textId="77777777"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CC</m:t>
                    </m:r>
                  </m:e>
                  <m:sub>
                    <m:r>
                      <w:rPr>
                        <w:rFonts w:ascii="Cambria Math" w:hAnsi="Cambria Math" w:cs="Arial"/>
                      </w:rPr>
                      <m:t>m</m:t>
                    </m:r>
                  </m:sub>
                </m:sSub>
              </m:oMath>
            </m:oMathPara>
          </w:p>
        </w:tc>
        <w:tc>
          <w:tcPr>
            <w:tcW w:w="435" w:type="dxa"/>
          </w:tcPr>
          <w:p w14:paraId="56FBEEB1"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947" w:type="dxa"/>
          </w:tcPr>
          <w:p w14:paraId="1A00EF9E" w14:textId="5B09A041" w:rsidR="005E42A5" w:rsidRPr="003F7981" w:rsidRDefault="005E42A5" w:rsidP="00CF067A">
            <w:pPr>
              <w:ind w:right="6"/>
              <w:contextualSpacing/>
              <w:jc w:val="both"/>
              <w:rPr>
                <w:rFonts w:ascii="Bookman Old Style" w:hAnsi="Bookman Old Style" w:cs="Arial"/>
              </w:rPr>
            </w:pPr>
            <w:r w:rsidRPr="003F7981">
              <w:rPr>
                <w:rFonts w:ascii="Bookman Old Style" w:hAnsi="Bookman Old Style" w:cs="Arial"/>
              </w:rPr>
              <w:t xml:space="preserve">Componente de remuneración del costo promedio de combustible, por energía generada, de los recursos energéticos </w:t>
            </w:r>
            <w:r w:rsidRPr="003F7981">
              <w:rPr>
                <w:rFonts w:ascii="Bookman Old Style" w:hAnsi="Bookman Old Style" w:cs="Arial"/>
              </w:rPr>
              <w:lastRenderedPageBreak/>
              <w:t xml:space="preserve">diésel, del mercado relevante de comercialización señalado en este artículo, para el mes </w:t>
            </w:r>
            <w:r w:rsidRPr="003F7981">
              <w:rPr>
                <w:rFonts w:ascii="Bookman Old Style" w:hAnsi="Bookman Old Style" w:cs="Arial"/>
                <w:i/>
              </w:rPr>
              <w:t>m</w:t>
            </w:r>
            <w:r w:rsidRPr="003F7981">
              <w:rPr>
                <w:rFonts w:ascii="Bookman Old Style" w:hAnsi="Bookman Old Style" w:cs="Arial"/>
              </w:rPr>
              <w:t>, expresado en pesos por kilovatio hora ($/k</w:t>
            </w:r>
            <w:r w:rsidR="00376976" w:rsidRPr="003F7981">
              <w:rPr>
                <w:rFonts w:ascii="Bookman Old Style" w:hAnsi="Bookman Old Style" w:cs="Arial"/>
              </w:rPr>
              <w:t>W</w:t>
            </w:r>
            <w:r w:rsidRPr="003F7981">
              <w:rPr>
                <w:rFonts w:ascii="Bookman Old Style" w:hAnsi="Bookman Old Style" w:cs="Arial"/>
              </w:rPr>
              <w:t>h), según lo previsto en el numeral 24.1 del artículo 24 de la Resolución CREG 091 de 2007.</w:t>
            </w:r>
          </w:p>
          <w:p w14:paraId="30F548C8" w14:textId="77777777" w:rsidR="005E42A5" w:rsidRPr="003F7981" w:rsidRDefault="005E42A5" w:rsidP="00CF067A">
            <w:pPr>
              <w:ind w:right="6"/>
              <w:contextualSpacing/>
              <w:jc w:val="both"/>
              <w:rPr>
                <w:rFonts w:ascii="Bookman Old Style" w:hAnsi="Bookman Old Style" w:cs="Arial"/>
              </w:rPr>
            </w:pPr>
          </w:p>
        </w:tc>
      </w:tr>
      <w:tr w:rsidR="005E42A5" w:rsidRPr="003F7981" w14:paraId="44E88437" w14:textId="77777777" w:rsidTr="73D95DE0">
        <w:tc>
          <w:tcPr>
            <w:tcW w:w="973" w:type="dxa"/>
          </w:tcPr>
          <w:p w14:paraId="10840F3F" w14:textId="77777777"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CL</m:t>
                    </m:r>
                  </m:e>
                  <m:sub>
                    <m:r>
                      <w:rPr>
                        <w:rFonts w:ascii="Cambria Math" w:hAnsi="Cambria Math" w:cs="Arial"/>
                      </w:rPr>
                      <m:t>m</m:t>
                    </m:r>
                  </m:sub>
                </m:sSub>
              </m:oMath>
            </m:oMathPara>
          </w:p>
        </w:tc>
        <w:tc>
          <w:tcPr>
            <w:tcW w:w="435" w:type="dxa"/>
          </w:tcPr>
          <w:p w14:paraId="3549A78C"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947" w:type="dxa"/>
          </w:tcPr>
          <w:p w14:paraId="65AD8085" w14:textId="43A500B7" w:rsidR="005E42A5" w:rsidRPr="003F7981" w:rsidRDefault="005E42A5" w:rsidP="00CF067A">
            <w:pPr>
              <w:ind w:right="6"/>
              <w:contextualSpacing/>
              <w:jc w:val="both"/>
              <w:rPr>
                <w:rFonts w:ascii="Bookman Old Style" w:hAnsi="Bookman Old Style" w:cs="Arial"/>
              </w:rPr>
            </w:pPr>
            <w:r w:rsidRPr="003F7981">
              <w:rPr>
                <w:rFonts w:ascii="Bookman Old Style" w:hAnsi="Bookman Old Style" w:cs="Arial"/>
              </w:rPr>
              <w:t xml:space="preserve">Componente de remuneración del costo promedio de lubricante, por energía generada, de los recursos energéticos diésel, del mercado relevante de comercialización señalado en este artículo, para el mes </w:t>
            </w:r>
            <w:r w:rsidRPr="003F7981">
              <w:rPr>
                <w:rFonts w:ascii="Bookman Old Style" w:hAnsi="Bookman Old Style" w:cs="Arial"/>
                <w:i/>
              </w:rPr>
              <w:t>m</w:t>
            </w:r>
            <w:r w:rsidRPr="003F7981">
              <w:rPr>
                <w:rFonts w:ascii="Bookman Old Style" w:hAnsi="Bookman Old Style" w:cs="Arial"/>
              </w:rPr>
              <w:t>, expresado en pesos por kilovatio hora ($/k</w:t>
            </w:r>
            <w:r w:rsidR="00376976" w:rsidRPr="003F7981">
              <w:rPr>
                <w:rFonts w:ascii="Bookman Old Style" w:hAnsi="Bookman Old Style" w:cs="Arial"/>
              </w:rPr>
              <w:t>W</w:t>
            </w:r>
            <w:r w:rsidRPr="003F7981">
              <w:rPr>
                <w:rFonts w:ascii="Bookman Old Style" w:hAnsi="Bookman Old Style" w:cs="Arial"/>
              </w:rPr>
              <w:t>h), según lo previsto en el numeral 24.1 del artículo 24 de la Resolución CREG 091 de 2007.</w:t>
            </w:r>
          </w:p>
          <w:p w14:paraId="4C286647" w14:textId="46B594E4" w:rsidR="00843746" w:rsidRPr="003F7981" w:rsidRDefault="00843746" w:rsidP="00CF067A">
            <w:pPr>
              <w:ind w:right="6"/>
              <w:contextualSpacing/>
              <w:jc w:val="both"/>
              <w:rPr>
                <w:rFonts w:ascii="Bookman Old Style" w:hAnsi="Bookman Old Style" w:cs="Arial"/>
              </w:rPr>
            </w:pPr>
          </w:p>
        </w:tc>
      </w:tr>
      <w:bookmarkEnd w:id="5"/>
      <w:tr w:rsidR="005E42A5" w:rsidRPr="003F7981" w14:paraId="79C0523E" w14:textId="77777777" w:rsidTr="73D95DE0">
        <w:tc>
          <w:tcPr>
            <w:tcW w:w="973" w:type="dxa"/>
          </w:tcPr>
          <w:p w14:paraId="27250454" w14:textId="77777777" w:rsidR="005E42A5" w:rsidRPr="003F7981" w:rsidRDefault="005E42A5" w:rsidP="00CF067A">
            <w:pPr>
              <w:ind w:right="6"/>
              <w:contextualSpacing/>
              <w:rPr>
                <w:rFonts w:ascii="Bookman Old Style" w:hAnsi="Bookman Old Style"/>
              </w:rPr>
            </w:pPr>
            <m:oMathPara>
              <m:oMathParaPr>
                <m:jc m:val="left"/>
              </m:oMathParaPr>
              <m:oMath>
                <m:r>
                  <w:rPr>
                    <w:rFonts w:ascii="Cambria Math" w:hAnsi="Cambria Math" w:cs="Arial"/>
                  </w:rPr>
                  <m:t>PT</m:t>
                </m:r>
              </m:oMath>
            </m:oMathPara>
          </w:p>
        </w:tc>
        <w:tc>
          <w:tcPr>
            <w:tcW w:w="435" w:type="dxa"/>
          </w:tcPr>
          <w:p w14:paraId="5223D5E5"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947" w:type="dxa"/>
          </w:tcPr>
          <w:p w14:paraId="43D181B1" w14:textId="77777777" w:rsidR="005E42A5" w:rsidRPr="003F7981" w:rsidRDefault="005E42A5" w:rsidP="00CF067A">
            <w:pPr>
              <w:ind w:right="6"/>
              <w:contextualSpacing/>
              <w:jc w:val="both"/>
              <w:rPr>
                <w:rFonts w:ascii="Bookman Old Style" w:hAnsi="Bookman Old Style" w:cs="Arial"/>
              </w:rPr>
            </w:pPr>
            <w:r w:rsidRPr="003F7981">
              <w:rPr>
                <w:rFonts w:ascii="Bookman Old Style" w:hAnsi="Bookman Old Style" w:cs="Arial"/>
              </w:rPr>
              <w:t>Porcentaje de pérdidas promedio de transformación, de la conexión de los recursos energéticos diésel al sistema de distribución, del mercado relevante de comercialización señalado en este artículo, según lo previsto en el numeral 24.1 del artículo 24 de la Resolución CREG 091 de 2007.</w:t>
            </w:r>
          </w:p>
          <w:p w14:paraId="5769326D" w14:textId="77777777" w:rsidR="005E42A5" w:rsidRPr="003F7981" w:rsidRDefault="005E42A5" w:rsidP="00CF067A">
            <w:pPr>
              <w:ind w:right="6"/>
              <w:contextualSpacing/>
              <w:jc w:val="both"/>
              <w:rPr>
                <w:rFonts w:ascii="Bookman Old Style" w:hAnsi="Bookman Old Style" w:cs="Arial"/>
              </w:rPr>
            </w:pPr>
          </w:p>
        </w:tc>
      </w:tr>
      <w:tr w:rsidR="005E42A5" w:rsidRPr="003F7981" w14:paraId="707C98B7" w14:textId="77777777" w:rsidTr="73D95DE0">
        <w:tc>
          <w:tcPr>
            <w:tcW w:w="973" w:type="dxa"/>
          </w:tcPr>
          <w:p w14:paraId="621FFBC6" w14:textId="77777777"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m:oMathPara>
          </w:p>
        </w:tc>
        <w:tc>
          <w:tcPr>
            <w:tcW w:w="435" w:type="dxa"/>
          </w:tcPr>
          <w:p w14:paraId="000AC076"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947" w:type="dxa"/>
          </w:tcPr>
          <w:p w14:paraId="37862710" w14:textId="77777777" w:rsidR="005E42A5" w:rsidRPr="003F7981" w:rsidRDefault="005E42A5" w:rsidP="00CF067A">
            <w:pPr>
              <w:ind w:right="6"/>
              <w:contextualSpacing/>
              <w:jc w:val="both"/>
              <w:rPr>
                <w:rFonts w:ascii="Bookman Old Style" w:hAnsi="Bookman Old Style" w:cs="Arial"/>
              </w:rPr>
            </w:pPr>
            <w:r w:rsidRPr="003F7981">
              <w:rPr>
                <w:rFonts w:ascii="Bookman Old Style" w:hAnsi="Bookman Old Style" w:cs="Arial"/>
              </w:rPr>
              <w:t xml:space="preserve">Índice de precios al productor, Oferta Interna, del mes </w:t>
            </w:r>
            <w:r w:rsidRPr="003F7981">
              <w:rPr>
                <w:rFonts w:ascii="Bookman Old Style" w:hAnsi="Bookman Old Style" w:cs="Arial"/>
                <w:i/>
              </w:rPr>
              <w:t>m-1</w:t>
            </w:r>
            <w:r w:rsidRPr="003F7981">
              <w:rPr>
                <w:rFonts w:ascii="Bookman Old Style" w:hAnsi="Bookman Old Style" w:cs="Arial"/>
              </w:rPr>
              <w:t>.</w:t>
            </w:r>
          </w:p>
          <w:p w14:paraId="3095737F" w14:textId="77777777" w:rsidR="005E42A5" w:rsidRPr="003F7981" w:rsidRDefault="005E42A5" w:rsidP="00CF067A">
            <w:pPr>
              <w:ind w:right="6"/>
              <w:contextualSpacing/>
              <w:jc w:val="both"/>
              <w:rPr>
                <w:rFonts w:ascii="Bookman Old Style" w:hAnsi="Bookman Old Style" w:cs="Arial"/>
              </w:rPr>
            </w:pPr>
          </w:p>
        </w:tc>
      </w:tr>
      <w:tr w:rsidR="005E42A5" w:rsidRPr="003F7981" w14:paraId="73ABFFD8" w14:textId="77777777" w:rsidTr="73D95DE0">
        <w:tc>
          <w:tcPr>
            <w:tcW w:w="973" w:type="dxa"/>
          </w:tcPr>
          <w:p w14:paraId="76FB8C8E" w14:textId="77777777"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m:oMathPara>
          </w:p>
        </w:tc>
        <w:tc>
          <w:tcPr>
            <w:tcW w:w="435" w:type="dxa"/>
          </w:tcPr>
          <w:p w14:paraId="2B4C08F7"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947" w:type="dxa"/>
          </w:tcPr>
          <w:p w14:paraId="1F00BC6E" w14:textId="77777777" w:rsidR="005E42A5" w:rsidRPr="003F7981" w:rsidRDefault="005E42A5" w:rsidP="00CF067A">
            <w:pPr>
              <w:ind w:right="6"/>
              <w:contextualSpacing/>
              <w:jc w:val="both"/>
              <w:rPr>
                <w:rFonts w:ascii="Bookman Old Style" w:hAnsi="Bookman Old Style" w:cs="Arial"/>
              </w:rPr>
            </w:pPr>
            <w:r w:rsidRPr="003F7981">
              <w:rPr>
                <w:rFonts w:ascii="Bookman Old Style" w:hAnsi="Bookman Old Style" w:cs="Arial"/>
              </w:rPr>
              <w:t>Índice de precios al productor, Oferta Interna, de la fecha base.</w:t>
            </w:r>
          </w:p>
          <w:p w14:paraId="7A49937C" w14:textId="77777777" w:rsidR="005E42A5" w:rsidRPr="003F7981" w:rsidRDefault="005E42A5" w:rsidP="00CF067A">
            <w:pPr>
              <w:ind w:right="6"/>
              <w:contextualSpacing/>
              <w:jc w:val="both"/>
              <w:rPr>
                <w:rFonts w:ascii="Bookman Old Style" w:hAnsi="Bookman Old Style" w:cs="Arial"/>
              </w:rPr>
            </w:pPr>
          </w:p>
        </w:tc>
      </w:tr>
    </w:tbl>
    <w:p w14:paraId="7FE15C62" w14:textId="2F59C70D" w:rsidR="00C0359A" w:rsidRPr="003F7981" w:rsidRDefault="00C0359A" w:rsidP="00CF067A">
      <w:pPr>
        <w:ind w:left="284" w:right="6"/>
        <w:contextualSpacing/>
        <w:jc w:val="both"/>
        <w:rPr>
          <w:rFonts w:ascii="Bookman Old Style" w:hAnsi="Bookman Old Style" w:cs="Arial"/>
        </w:rPr>
      </w:pPr>
    </w:p>
    <w:p w14:paraId="420F95D2" w14:textId="715BEDEC" w:rsidR="005E42A5" w:rsidRPr="003F7981" w:rsidRDefault="005E42A5" w:rsidP="00CF067A">
      <w:pPr>
        <w:ind w:left="284" w:right="6"/>
        <w:contextualSpacing/>
        <w:jc w:val="both"/>
        <w:rPr>
          <w:rFonts w:ascii="Bookman Old Style" w:hAnsi="Bookman Old Style" w:cs="Arial"/>
        </w:rPr>
      </w:pPr>
      <w:r w:rsidRPr="003F7981">
        <w:rPr>
          <w:rFonts w:ascii="Bookman Old Style" w:hAnsi="Bookman Old Style" w:cs="Arial"/>
        </w:rPr>
        <w:t xml:space="preserve">El valor de </w:t>
      </w:r>
      <m:oMath>
        <m:sSub>
          <m:sSubPr>
            <m:ctrlPr>
              <w:rPr>
                <w:rFonts w:ascii="Cambria Math" w:hAnsi="Cambria Math" w:cs="Arial"/>
                <w:i/>
              </w:rPr>
            </m:ctrlPr>
          </m:sSubPr>
          <m:e>
            <m:r>
              <w:rPr>
                <w:rFonts w:ascii="Cambria Math" w:hAnsi="Cambria Math" w:cs="Arial"/>
              </w:rPr>
              <m:t>G</m:t>
            </m:r>
          </m:e>
          <m:sub>
            <m:r>
              <w:rPr>
                <w:rFonts w:ascii="Cambria Math" w:hAnsi="Cambria Math" w:cs="Arial"/>
              </w:rPr>
              <m:t>B,m</m:t>
            </m:r>
          </m:sub>
        </m:sSub>
      </m:oMath>
      <w:r w:rsidRPr="003F7981">
        <w:rPr>
          <w:rFonts w:ascii="Bookman Old Style" w:hAnsi="Bookman Old Style" w:cs="Arial"/>
        </w:rPr>
        <w:t xml:space="preserve"> se obtiene a partir de la siguiente fórmula:</w:t>
      </w:r>
    </w:p>
    <w:p w14:paraId="0D94D65E" w14:textId="21F08514" w:rsidR="00C0359A" w:rsidRPr="003F7981" w:rsidRDefault="00C0359A" w:rsidP="00CF067A">
      <w:pPr>
        <w:ind w:left="284" w:right="6"/>
        <w:contextualSpacing/>
        <w:jc w:val="both"/>
        <w:rPr>
          <w:rFonts w:ascii="Bookman Old Style" w:hAnsi="Bookman Old Style" w:cs="Arial"/>
        </w:rPr>
      </w:pPr>
    </w:p>
    <w:p w14:paraId="42923AD5" w14:textId="63AF417E" w:rsidR="00C0359A" w:rsidRPr="003F7981" w:rsidRDefault="00651B7A" w:rsidP="00560ACC">
      <w:pPr>
        <w:ind w:left="284" w:right="6"/>
        <w:contextualSpacing/>
        <w:jc w:val="both"/>
        <w:rPr>
          <w:rFonts w:ascii="Bookman Old Style" w:hAnsi="Bookman Old Style" w:cs="Arial"/>
        </w:rPr>
      </w:pPr>
      <m:oMathPara>
        <m:oMath>
          <m:sSub>
            <m:sSubPr>
              <m:ctrlPr>
                <w:rPr>
                  <w:rFonts w:ascii="Cambria Math" w:hAnsi="Cambria Math" w:cs="Arial"/>
                  <w:i/>
                </w:rPr>
              </m:ctrlPr>
            </m:sSubPr>
            <m:e>
              <m:r>
                <w:rPr>
                  <w:rFonts w:ascii="Cambria Math" w:hAnsi="Cambria Math" w:cs="Arial"/>
                </w:rPr>
                <m:t>G</m:t>
              </m:r>
            </m:e>
            <m:sub>
              <m:r>
                <w:rPr>
                  <w:rFonts w:ascii="Cambria Math" w:hAnsi="Cambria Math" w:cs="Arial"/>
                </w:rPr>
                <m:t>B,m</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CI</m:t>
                  </m:r>
                </m:e>
                <m:sub>
                  <m:r>
                    <w:rPr>
                      <w:rFonts w:ascii="Cambria Math" w:hAnsi="Cambria Math" w:cs="Arial"/>
                    </w:rPr>
                    <m:t>B,0</m:t>
                  </m:r>
                </m:sub>
              </m:sSub>
              <m:r>
                <w:rPr>
                  <w:rFonts w:ascii="Cambria Math" w:hAnsi="Cambria Math" w:cs="Arial"/>
                </w:rPr>
                <m:t>+</m:t>
              </m:r>
              <m:sSub>
                <m:sSubPr>
                  <m:ctrlPr>
                    <w:rPr>
                      <w:rFonts w:ascii="Cambria Math" w:hAnsi="Cambria Math" w:cs="Arial"/>
                      <w:i/>
                    </w:rPr>
                  </m:ctrlPr>
                </m:sSubPr>
                <m:e>
                  <m:r>
                    <w:rPr>
                      <w:rFonts w:ascii="Cambria Math" w:hAnsi="Cambria Math" w:cs="Arial"/>
                    </w:rPr>
                    <m:t>CM</m:t>
                  </m:r>
                </m:e>
                <m:sub>
                  <m:r>
                    <w:rPr>
                      <w:rFonts w:ascii="Cambria Math" w:hAnsi="Cambria Math" w:cs="Arial"/>
                    </w:rPr>
                    <m:t>B,0</m:t>
                  </m:r>
                </m:sub>
              </m:sSub>
            </m:e>
          </m:d>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CCB</m:t>
              </m:r>
            </m:e>
            <m:sub>
              <m:r>
                <w:rPr>
                  <w:rFonts w:ascii="Cambria Math" w:hAnsi="Cambria Math" w:cs="Arial"/>
                </w:rPr>
                <m:t>0</m:t>
              </m:r>
            </m:sub>
          </m:sSub>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IPPS</m:t>
                  </m:r>
                </m:e>
                <m:sub>
                  <m:r>
                    <w:rPr>
                      <w:rFonts w:ascii="Cambria Math" w:hAnsi="Cambria Math" w:cs="Arial"/>
                    </w:rPr>
                    <m:t>m-1</m:t>
                  </m:r>
                </m:sub>
              </m:sSub>
            </m:num>
            <m:den>
              <m:sSub>
                <m:sSubPr>
                  <m:ctrlPr>
                    <w:rPr>
                      <w:rFonts w:ascii="Cambria Math" w:hAnsi="Cambria Math" w:cs="Arial"/>
                      <w:i/>
                    </w:rPr>
                  </m:ctrlPr>
                </m:sSubPr>
                <m:e>
                  <m:r>
                    <w:rPr>
                      <w:rFonts w:ascii="Cambria Math" w:hAnsi="Cambria Math" w:cs="Arial"/>
                    </w:rPr>
                    <m:t>IPPS</m:t>
                  </m:r>
                </m:e>
                <m:sub>
                  <m:r>
                    <w:rPr>
                      <w:rFonts w:ascii="Cambria Math" w:hAnsi="Cambria Math" w:cs="Arial"/>
                    </w:rPr>
                    <m:t>0</m:t>
                  </m:r>
                </m:sub>
              </m:sSub>
            </m:den>
          </m:f>
        </m:oMath>
      </m:oMathPara>
    </w:p>
    <w:p w14:paraId="24C0AC0F" w14:textId="77777777" w:rsidR="005E42A5" w:rsidRPr="003F7981" w:rsidRDefault="005E42A5" w:rsidP="00CF067A">
      <w:pPr>
        <w:ind w:left="284" w:right="6"/>
        <w:contextualSpacing/>
        <w:jc w:val="both"/>
        <w:rPr>
          <w:rFonts w:ascii="Bookman Old Style" w:hAnsi="Bookman Old Style" w:cs="Arial"/>
        </w:rPr>
      </w:pPr>
      <w:r w:rsidRPr="003F7981">
        <w:rPr>
          <w:rFonts w:ascii="Bookman Old Style" w:hAnsi="Bookman Old Style" w:cs="Arial"/>
        </w:rPr>
        <w:t>En donde,</w:t>
      </w:r>
    </w:p>
    <w:p w14:paraId="0E9577EB" w14:textId="77777777" w:rsidR="005E42A5" w:rsidRPr="003F7981" w:rsidRDefault="005E42A5" w:rsidP="00CF067A">
      <w:pPr>
        <w:ind w:left="284" w:right="6"/>
        <w:contextualSpacing/>
        <w:jc w:val="both"/>
        <w:rPr>
          <w:rFonts w:ascii="Bookman Old Style" w:hAnsi="Bookman Old Style" w:cs="Arial"/>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5"/>
        <w:gridCol w:w="421"/>
        <w:gridCol w:w="7542"/>
      </w:tblGrid>
      <w:tr w:rsidR="005E42A5" w:rsidRPr="003F7981" w14:paraId="1D2F0F44" w14:textId="77777777" w:rsidTr="00312493">
        <w:tc>
          <w:tcPr>
            <w:tcW w:w="1115" w:type="dxa"/>
          </w:tcPr>
          <w:p w14:paraId="17263C41" w14:textId="5FD25540"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CI</m:t>
                    </m:r>
                  </m:e>
                  <m:sub>
                    <m:r>
                      <w:rPr>
                        <w:rFonts w:ascii="Cambria Math" w:hAnsi="Cambria Math" w:cs="Arial"/>
                      </w:rPr>
                      <m:t>B,0</m:t>
                    </m:r>
                  </m:sub>
                </m:sSub>
              </m:oMath>
            </m:oMathPara>
          </w:p>
        </w:tc>
        <w:tc>
          <w:tcPr>
            <w:tcW w:w="421" w:type="dxa"/>
          </w:tcPr>
          <w:p w14:paraId="30E240D6"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542" w:type="dxa"/>
          </w:tcPr>
          <w:p w14:paraId="72DE268F" w14:textId="4119FAA4" w:rsidR="005E42A5" w:rsidRDefault="005E42A5" w:rsidP="00CF067A">
            <w:pPr>
              <w:ind w:right="6"/>
              <w:contextualSpacing/>
              <w:jc w:val="both"/>
              <w:rPr>
                <w:rFonts w:ascii="Bookman Old Style" w:hAnsi="Bookman Old Style" w:cs="Arial"/>
              </w:rPr>
            </w:pPr>
            <w:r w:rsidRPr="003F7981">
              <w:rPr>
                <w:rFonts w:ascii="Bookman Old Style" w:hAnsi="Bookman Old Style" w:cs="Arial"/>
              </w:rPr>
              <w:t xml:space="preserve">Componente de remuneración del costo promedio ponderado de inversión, </w:t>
            </w:r>
            <w:r w:rsidR="0030069E" w:rsidRPr="003F7981">
              <w:rPr>
                <w:rFonts w:ascii="Bookman Old Style" w:hAnsi="Bookman Old Style" w:cs="Arial"/>
                <w:bCs/>
              </w:rPr>
              <w:t xml:space="preserve">por energía </w:t>
            </w:r>
            <w:r w:rsidR="0030069E">
              <w:rPr>
                <w:rFonts w:ascii="Bookman Old Style" w:hAnsi="Bookman Old Style" w:cs="Arial"/>
                <w:bCs/>
              </w:rPr>
              <w:t xml:space="preserve">generada, </w:t>
            </w:r>
            <w:r w:rsidR="0030069E" w:rsidRPr="003F7981">
              <w:rPr>
                <w:rFonts w:ascii="Bookman Old Style" w:hAnsi="Bookman Old Style" w:cs="Arial"/>
              </w:rPr>
              <w:t xml:space="preserve">de </w:t>
            </w:r>
            <w:r w:rsidR="0030069E">
              <w:rPr>
                <w:rFonts w:ascii="Bookman Old Style" w:hAnsi="Bookman Old Style" w:cs="Arial"/>
              </w:rPr>
              <w:t xml:space="preserve">los </w:t>
            </w:r>
            <w:r w:rsidR="0030069E" w:rsidRPr="003F7981">
              <w:rPr>
                <w:rFonts w:ascii="Bookman Old Style" w:hAnsi="Bookman Old Style" w:cs="Arial"/>
              </w:rPr>
              <w:t xml:space="preserve">recursos energéticos </w:t>
            </w:r>
            <w:r w:rsidR="0030069E" w:rsidRPr="003F7981">
              <w:rPr>
                <w:rFonts w:ascii="Bookman Old Style" w:hAnsi="Bookman Old Style" w:cs="Arial"/>
                <w:bCs/>
              </w:rPr>
              <w:t>de biomasa</w:t>
            </w:r>
            <w:r w:rsidR="0030069E" w:rsidRPr="003F7981">
              <w:rPr>
                <w:rFonts w:ascii="Bookman Old Style" w:hAnsi="Bookman Old Style" w:cs="Arial"/>
              </w:rPr>
              <w:t xml:space="preserve">, </w:t>
            </w:r>
            <w:r w:rsidR="007A78D6" w:rsidRPr="003F7981">
              <w:rPr>
                <w:rFonts w:ascii="Bookman Old Style" w:hAnsi="Bookman Old Style" w:cs="Arial"/>
              </w:rPr>
              <w:t xml:space="preserve">expresado en pesos por kilovatio hora </w:t>
            </w:r>
            <w:r w:rsidR="007A78D6" w:rsidRPr="003F7981">
              <w:rPr>
                <w:rFonts w:ascii="Bookman Old Style" w:hAnsi="Bookman Old Style" w:cs="Arial"/>
                <w:bCs/>
              </w:rPr>
              <w:t>($/kWh),</w:t>
            </w:r>
            <w:r w:rsidR="005A6B00" w:rsidRPr="003F7981">
              <w:rPr>
                <w:rFonts w:ascii="Bookman Old Style" w:hAnsi="Bookman Old Style" w:cs="Arial"/>
              </w:rPr>
              <w:t xml:space="preserve"> </w:t>
            </w:r>
            <w:r w:rsidRPr="003F7981">
              <w:rPr>
                <w:rFonts w:ascii="Bookman Old Style" w:hAnsi="Bookman Old Style" w:cs="Arial"/>
              </w:rPr>
              <w:t xml:space="preserve">del mercado relevante de comercialización </w:t>
            </w:r>
            <w:r w:rsidR="0030069E" w:rsidRPr="003F7981">
              <w:rPr>
                <w:rFonts w:ascii="Bookman Old Style" w:hAnsi="Bookman Old Style" w:cs="Arial"/>
              </w:rPr>
              <w:t>señalado en este artículo</w:t>
            </w:r>
            <w:r w:rsidRPr="003F7981">
              <w:rPr>
                <w:rFonts w:ascii="Bookman Old Style" w:hAnsi="Bookman Old Style" w:cs="Arial"/>
              </w:rPr>
              <w:t xml:space="preserve">, expresado en pesos constantes de la fecha base, según lo previsto en </w:t>
            </w:r>
            <w:r w:rsidR="00DB5492" w:rsidRPr="003F7981">
              <w:rPr>
                <w:rFonts w:ascii="Bookman Old Style" w:hAnsi="Bookman Old Style" w:cs="Arial"/>
              </w:rPr>
              <w:t>el artículo</w:t>
            </w:r>
            <w:r w:rsidRPr="003F7981">
              <w:rPr>
                <w:rFonts w:ascii="Bookman Old Style" w:hAnsi="Bookman Old Style" w:cs="Arial"/>
              </w:rPr>
              <w:t xml:space="preserve"> </w:t>
            </w:r>
            <w:r w:rsidR="00DB5492" w:rsidRPr="003F7981">
              <w:rPr>
                <w:rFonts w:ascii="Bookman Old Style" w:hAnsi="Bookman Old Style" w:cs="Arial"/>
              </w:rPr>
              <w:t xml:space="preserve">1 </w:t>
            </w:r>
            <w:r w:rsidRPr="003F7981">
              <w:rPr>
                <w:rFonts w:ascii="Bookman Old Style" w:hAnsi="Bookman Old Style" w:cs="Arial"/>
              </w:rPr>
              <w:t>de esta resolución.</w:t>
            </w:r>
          </w:p>
          <w:p w14:paraId="4F7A2D77" w14:textId="77777777" w:rsidR="005E42A5" w:rsidRPr="003F7981" w:rsidRDefault="005E42A5" w:rsidP="0030069E">
            <w:pPr>
              <w:ind w:right="6"/>
              <w:contextualSpacing/>
              <w:jc w:val="both"/>
              <w:rPr>
                <w:rFonts w:ascii="Bookman Old Style" w:hAnsi="Bookman Old Style" w:cs="Arial"/>
                <w:bCs/>
              </w:rPr>
            </w:pPr>
          </w:p>
        </w:tc>
      </w:tr>
      <w:tr w:rsidR="005E42A5" w:rsidRPr="003F7981" w14:paraId="2068BCB0" w14:textId="77777777" w:rsidTr="00312493">
        <w:tc>
          <w:tcPr>
            <w:tcW w:w="1115" w:type="dxa"/>
          </w:tcPr>
          <w:p w14:paraId="31695FCC" w14:textId="3AF0BF57" w:rsidR="005E42A5" w:rsidRPr="003F7981" w:rsidRDefault="00651B7A" w:rsidP="00CF067A">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CM</m:t>
                    </m:r>
                  </m:e>
                  <m:sub>
                    <m:r>
                      <w:rPr>
                        <w:rFonts w:ascii="Cambria Math" w:hAnsi="Cambria Math" w:cs="Arial"/>
                      </w:rPr>
                      <m:t>B,0</m:t>
                    </m:r>
                  </m:sub>
                </m:sSub>
              </m:oMath>
            </m:oMathPara>
          </w:p>
        </w:tc>
        <w:tc>
          <w:tcPr>
            <w:tcW w:w="421" w:type="dxa"/>
          </w:tcPr>
          <w:p w14:paraId="328CE283" w14:textId="77777777" w:rsidR="005E42A5" w:rsidRPr="003F7981" w:rsidRDefault="005E42A5" w:rsidP="00CF067A">
            <w:pPr>
              <w:ind w:right="6"/>
              <w:contextualSpacing/>
              <w:jc w:val="both"/>
              <w:rPr>
                <w:rFonts w:ascii="Bookman Old Style" w:hAnsi="Bookman Old Style" w:cs="Arial"/>
                <w:bCs/>
              </w:rPr>
            </w:pPr>
            <w:r w:rsidRPr="003F7981">
              <w:rPr>
                <w:rFonts w:ascii="Bookman Old Style" w:hAnsi="Bookman Old Style" w:cs="Arial"/>
                <w:bCs/>
              </w:rPr>
              <w:t>:</w:t>
            </w:r>
          </w:p>
        </w:tc>
        <w:tc>
          <w:tcPr>
            <w:tcW w:w="7542" w:type="dxa"/>
          </w:tcPr>
          <w:p w14:paraId="5C16E024" w14:textId="77777777" w:rsidR="005E42A5" w:rsidRDefault="005E42A5" w:rsidP="0030069E">
            <w:pPr>
              <w:ind w:right="6"/>
              <w:contextualSpacing/>
              <w:jc w:val="both"/>
              <w:rPr>
                <w:rFonts w:ascii="Bookman Old Style" w:hAnsi="Bookman Old Style" w:cs="Arial"/>
              </w:rPr>
            </w:pPr>
            <w:r w:rsidRPr="003F7981">
              <w:rPr>
                <w:rFonts w:ascii="Bookman Old Style" w:hAnsi="Bookman Old Style" w:cs="Arial"/>
              </w:rPr>
              <w:t>Componente de remuneración del</w:t>
            </w:r>
            <w:r w:rsidR="0030069E">
              <w:rPr>
                <w:rFonts w:ascii="Bookman Old Style" w:hAnsi="Bookman Old Style" w:cs="Arial"/>
              </w:rPr>
              <w:t xml:space="preserve"> </w:t>
            </w:r>
            <w:r w:rsidRPr="003F7981">
              <w:rPr>
                <w:rFonts w:ascii="Bookman Old Style" w:hAnsi="Bookman Old Style" w:cs="Arial"/>
              </w:rPr>
              <w:t>costo promedio ponderados de administración, operación y mantenimiento,</w:t>
            </w:r>
            <w:r w:rsidR="00D04EAE" w:rsidRPr="003F7981">
              <w:rPr>
                <w:rFonts w:ascii="Bookman Old Style" w:hAnsi="Bookman Old Style" w:cs="Arial"/>
              </w:rPr>
              <w:t xml:space="preserve"> </w:t>
            </w:r>
            <w:r w:rsidR="0030069E" w:rsidRPr="003F7981">
              <w:rPr>
                <w:rFonts w:ascii="Bookman Old Style" w:hAnsi="Bookman Old Style" w:cs="Arial"/>
                <w:bCs/>
              </w:rPr>
              <w:t xml:space="preserve">por energía </w:t>
            </w:r>
            <w:r w:rsidR="0030069E">
              <w:rPr>
                <w:rFonts w:ascii="Bookman Old Style" w:hAnsi="Bookman Old Style" w:cs="Arial"/>
                <w:bCs/>
              </w:rPr>
              <w:t xml:space="preserve">generada, </w:t>
            </w:r>
            <w:r w:rsidR="0030069E" w:rsidRPr="003F7981">
              <w:rPr>
                <w:rFonts w:ascii="Bookman Old Style" w:hAnsi="Bookman Old Style" w:cs="Arial"/>
              </w:rPr>
              <w:t xml:space="preserve">de </w:t>
            </w:r>
            <w:r w:rsidR="0030069E">
              <w:rPr>
                <w:rFonts w:ascii="Bookman Old Style" w:hAnsi="Bookman Old Style" w:cs="Arial"/>
              </w:rPr>
              <w:t xml:space="preserve">los </w:t>
            </w:r>
            <w:r w:rsidR="0030069E" w:rsidRPr="003F7981">
              <w:rPr>
                <w:rFonts w:ascii="Bookman Old Style" w:hAnsi="Bookman Old Style" w:cs="Arial"/>
              </w:rPr>
              <w:t xml:space="preserve">recursos energéticos </w:t>
            </w:r>
            <w:r w:rsidR="0030069E" w:rsidRPr="003F7981">
              <w:rPr>
                <w:rFonts w:ascii="Bookman Old Style" w:hAnsi="Bookman Old Style" w:cs="Arial"/>
                <w:bCs/>
              </w:rPr>
              <w:t>de biomasa</w:t>
            </w:r>
            <w:r w:rsidR="0030069E" w:rsidRPr="003F7981">
              <w:rPr>
                <w:rFonts w:ascii="Bookman Old Style" w:hAnsi="Bookman Old Style" w:cs="Arial"/>
              </w:rPr>
              <w:t xml:space="preserve">, expresado en pesos por kilovatio hora </w:t>
            </w:r>
            <w:r w:rsidR="0030069E" w:rsidRPr="003F7981">
              <w:rPr>
                <w:rFonts w:ascii="Bookman Old Style" w:hAnsi="Bookman Old Style" w:cs="Arial"/>
                <w:bCs/>
              </w:rPr>
              <w:t>($/kWh),</w:t>
            </w:r>
            <w:r w:rsidR="0030069E" w:rsidRPr="003F7981">
              <w:rPr>
                <w:rFonts w:ascii="Bookman Old Style" w:hAnsi="Bookman Old Style" w:cs="Arial"/>
              </w:rPr>
              <w:t xml:space="preserve"> del mercado relevante de comercialización señalado en este artículo, expresado en pesos constantes de la fecha base, según lo previsto en el artículo 1 de esta resolución.</w:t>
            </w:r>
          </w:p>
          <w:p w14:paraId="1789E6D2" w14:textId="5711AC96" w:rsidR="0030069E" w:rsidRPr="003F7981" w:rsidRDefault="0030069E" w:rsidP="0030069E">
            <w:pPr>
              <w:ind w:right="6"/>
              <w:contextualSpacing/>
              <w:jc w:val="both"/>
              <w:rPr>
                <w:rFonts w:ascii="Bookman Old Style" w:hAnsi="Bookman Old Style" w:cs="Arial"/>
              </w:rPr>
            </w:pPr>
          </w:p>
        </w:tc>
      </w:tr>
      <w:tr w:rsidR="00312493" w:rsidRPr="003F7981" w14:paraId="78C2B05C" w14:textId="77777777" w:rsidTr="00312493">
        <w:tc>
          <w:tcPr>
            <w:tcW w:w="1115" w:type="dxa"/>
          </w:tcPr>
          <w:p w14:paraId="3181EFEE" w14:textId="77777777" w:rsidR="00312493" w:rsidRPr="003F7981" w:rsidRDefault="00651B7A" w:rsidP="00CA608C">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m-1</m:t>
                    </m:r>
                  </m:sub>
                </m:sSub>
              </m:oMath>
            </m:oMathPara>
          </w:p>
        </w:tc>
        <w:tc>
          <w:tcPr>
            <w:tcW w:w="421" w:type="dxa"/>
          </w:tcPr>
          <w:p w14:paraId="60DE489D" w14:textId="77777777" w:rsidR="00312493" w:rsidRPr="003F7981" w:rsidRDefault="00312493" w:rsidP="00CA608C">
            <w:pPr>
              <w:ind w:right="6"/>
              <w:contextualSpacing/>
              <w:jc w:val="both"/>
              <w:rPr>
                <w:rFonts w:ascii="Bookman Old Style" w:hAnsi="Bookman Old Style" w:cs="Arial"/>
                <w:bCs/>
              </w:rPr>
            </w:pPr>
            <w:r w:rsidRPr="003F7981">
              <w:rPr>
                <w:rFonts w:ascii="Bookman Old Style" w:hAnsi="Bookman Old Style" w:cs="Arial"/>
                <w:bCs/>
              </w:rPr>
              <w:t>:</w:t>
            </w:r>
          </w:p>
        </w:tc>
        <w:tc>
          <w:tcPr>
            <w:tcW w:w="7542" w:type="dxa"/>
          </w:tcPr>
          <w:p w14:paraId="4A948FFE" w14:textId="77777777" w:rsidR="00312493" w:rsidRPr="003F7981" w:rsidRDefault="00312493" w:rsidP="00CA608C">
            <w:pPr>
              <w:ind w:right="6"/>
              <w:contextualSpacing/>
              <w:jc w:val="both"/>
              <w:rPr>
                <w:rFonts w:ascii="Bookman Old Style" w:hAnsi="Bookman Old Style" w:cs="Arial"/>
              </w:rPr>
            </w:pPr>
            <w:r w:rsidRPr="003F7981">
              <w:rPr>
                <w:rFonts w:ascii="Bookman Old Style" w:hAnsi="Bookman Old Style" w:cs="Arial"/>
              </w:rPr>
              <w:t xml:space="preserve">Índice de precios al productor, Oferta Interna, del mes </w:t>
            </w:r>
            <w:r w:rsidRPr="003F7981">
              <w:rPr>
                <w:rFonts w:ascii="Bookman Old Style" w:hAnsi="Bookman Old Style" w:cs="Arial"/>
                <w:i/>
              </w:rPr>
              <w:t>m-1</w:t>
            </w:r>
            <w:r w:rsidRPr="003F7981">
              <w:rPr>
                <w:rFonts w:ascii="Bookman Old Style" w:hAnsi="Bookman Old Style" w:cs="Arial"/>
              </w:rPr>
              <w:t>.</w:t>
            </w:r>
          </w:p>
          <w:p w14:paraId="4064DEC3" w14:textId="77777777" w:rsidR="00312493" w:rsidRPr="003F7981" w:rsidRDefault="00312493" w:rsidP="00CA608C">
            <w:pPr>
              <w:ind w:right="6"/>
              <w:contextualSpacing/>
              <w:jc w:val="both"/>
              <w:rPr>
                <w:rFonts w:ascii="Bookman Old Style" w:hAnsi="Bookman Old Style" w:cs="Arial"/>
              </w:rPr>
            </w:pPr>
          </w:p>
        </w:tc>
      </w:tr>
      <w:tr w:rsidR="00312493" w:rsidRPr="003F7981" w14:paraId="7C7A03AD" w14:textId="77777777" w:rsidTr="00312493">
        <w:tc>
          <w:tcPr>
            <w:tcW w:w="1115" w:type="dxa"/>
          </w:tcPr>
          <w:p w14:paraId="5FF4AB3D" w14:textId="77777777" w:rsidR="00312493" w:rsidRPr="003F7981" w:rsidRDefault="00651B7A" w:rsidP="00CA608C">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m:t>
                    </m:r>
                  </m:e>
                  <m:sub>
                    <m:r>
                      <w:rPr>
                        <w:rFonts w:ascii="Cambria Math" w:hAnsi="Cambria Math" w:cs="Arial"/>
                      </w:rPr>
                      <m:t>0</m:t>
                    </m:r>
                  </m:sub>
                </m:sSub>
              </m:oMath>
            </m:oMathPara>
          </w:p>
        </w:tc>
        <w:tc>
          <w:tcPr>
            <w:tcW w:w="421" w:type="dxa"/>
          </w:tcPr>
          <w:p w14:paraId="485A19B4" w14:textId="77777777" w:rsidR="00312493" w:rsidRPr="003F7981" w:rsidRDefault="00312493" w:rsidP="00CA608C">
            <w:pPr>
              <w:ind w:right="6"/>
              <w:contextualSpacing/>
              <w:jc w:val="both"/>
              <w:rPr>
                <w:rFonts w:ascii="Bookman Old Style" w:hAnsi="Bookman Old Style" w:cs="Arial"/>
                <w:bCs/>
              </w:rPr>
            </w:pPr>
            <w:r w:rsidRPr="003F7981">
              <w:rPr>
                <w:rFonts w:ascii="Bookman Old Style" w:hAnsi="Bookman Old Style" w:cs="Arial"/>
                <w:bCs/>
              </w:rPr>
              <w:t>:</w:t>
            </w:r>
          </w:p>
        </w:tc>
        <w:tc>
          <w:tcPr>
            <w:tcW w:w="7542" w:type="dxa"/>
          </w:tcPr>
          <w:p w14:paraId="4398E05D" w14:textId="77777777" w:rsidR="00312493" w:rsidRPr="003F7981" w:rsidRDefault="00312493" w:rsidP="00CA608C">
            <w:pPr>
              <w:ind w:right="6"/>
              <w:contextualSpacing/>
              <w:jc w:val="both"/>
              <w:rPr>
                <w:rFonts w:ascii="Bookman Old Style" w:hAnsi="Bookman Old Style" w:cs="Arial"/>
              </w:rPr>
            </w:pPr>
            <w:r w:rsidRPr="003F7981">
              <w:rPr>
                <w:rFonts w:ascii="Bookman Old Style" w:hAnsi="Bookman Old Style" w:cs="Arial"/>
              </w:rPr>
              <w:t>Índice de precios al productor, Oferta Interna, de la fecha base.</w:t>
            </w:r>
          </w:p>
          <w:p w14:paraId="5AE41EAF" w14:textId="77777777" w:rsidR="00312493" w:rsidRPr="003F7981" w:rsidRDefault="00312493" w:rsidP="00CA608C">
            <w:pPr>
              <w:ind w:right="6"/>
              <w:contextualSpacing/>
              <w:jc w:val="both"/>
              <w:rPr>
                <w:rFonts w:ascii="Bookman Old Style" w:hAnsi="Bookman Old Style" w:cs="Arial"/>
              </w:rPr>
            </w:pPr>
          </w:p>
        </w:tc>
      </w:tr>
      <w:tr w:rsidR="0062540E" w:rsidRPr="003F7981" w14:paraId="5F1DA939" w14:textId="77777777" w:rsidTr="00312493">
        <w:tc>
          <w:tcPr>
            <w:tcW w:w="1115" w:type="dxa"/>
          </w:tcPr>
          <w:p w14:paraId="689732B5" w14:textId="62F85216" w:rsidR="0062540E" w:rsidRPr="0062540E" w:rsidRDefault="00651B7A" w:rsidP="0062540E">
            <w:pPr>
              <w:ind w:right="6"/>
              <w:contextualSpacing/>
              <w:rPr>
                <w:rFonts w:ascii="Bookman Old Style" w:hAnsi="Bookman Old Style" w:cs="Arial"/>
              </w:rPr>
            </w:pPr>
            <m:oMathPara>
              <m:oMathParaPr>
                <m:jc m:val="left"/>
              </m:oMathParaPr>
              <m:oMath>
                <m:sSub>
                  <m:sSubPr>
                    <m:ctrlPr>
                      <w:rPr>
                        <w:rFonts w:ascii="Cambria Math" w:hAnsi="Cambria Math" w:cs="Arial"/>
                        <w:i/>
                      </w:rPr>
                    </m:ctrlPr>
                  </m:sSubPr>
                  <m:e>
                    <m:r>
                      <w:rPr>
                        <w:rFonts w:ascii="Cambria Math" w:hAnsi="Cambria Math" w:cs="Arial"/>
                      </w:rPr>
                      <m:t>CCB</m:t>
                    </m:r>
                  </m:e>
                  <m:sub>
                    <m:r>
                      <w:rPr>
                        <w:rFonts w:ascii="Cambria Math" w:hAnsi="Cambria Math" w:cs="Arial"/>
                      </w:rPr>
                      <m:t>0</m:t>
                    </m:r>
                  </m:sub>
                </m:sSub>
              </m:oMath>
            </m:oMathPara>
          </w:p>
        </w:tc>
        <w:tc>
          <w:tcPr>
            <w:tcW w:w="421" w:type="dxa"/>
          </w:tcPr>
          <w:p w14:paraId="0B812D30" w14:textId="058D2B2C" w:rsidR="0062540E" w:rsidRPr="003F7981" w:rsidRDefault="0062540E" w:rsidP="0062540E">
            <w:pPr>
              <w:ind w:right="6"/>
              <w:contextualSpacing/>
              <w:jc w:val="both"/>
              <w:rPr>
                <w:rFonts w:ascii="Bookman Old Style" w:hAnsi="Bookman Old Style" w:cs="Arial"/>
                <w:bCs/>
              </w:rPr>
            </w:pPr>
            <w:r w:rsidRPr="003F7981">
              <w:rPr>
                <w:rFonts w:ascii="Bookman Old Style" w:hAnsi="Bookman Old Style" w:cs="Arial"/>
                <w:bCs/>
              </w:rPr>
              <w:t>:</w:t>
            </w:r>
          </w:p>
        </w:tc>
        <w:tc>
          <w:tcPr>
            <w:tcW w:w="7542" w:type="dxa"/>
          </w:tcPr>
          <w:p w14:paraId="20781A07" w14:textId="0F7427ED" w:rsidR="0030069E" w:rsidRPr="003F7981" w:rsidRDefault="0030069E" w:rsidP="0062540E">
            <w:pPr>
              <w:ind w:right="6"/>
              <w:contextualSpacing/>
              <w:jc w:val="both"/>
              <w:rPr>
                <w:rFonts w:ascii="Bookman Old Style" w:hAnsi="Bookman Old Style" w:cs="Arial"/>
                <w:bCs/>
              </w:rPr>
            </w:pPr>
            <w:r w:rsidRPr="003F7981">
              <w:rPr>
                <w:rFonts w:ascii="Bookman Old Style" w:hAnsi="Bookman Old Style" w:cs="Arial"/>
              </w:rPr>
              <w:t>Componente de remuneración del</w:t>
            </w:r>
            <w:r>
              <w:rPr>
                <w:rFonts w:ascii="Bookman Old Style" w:hAnsi="Bookman Old Style" w:cs="Arial"/>
              </w:rPr>
              <w:t xml:space="preserve"> </w:t>
            </w:r>
            <w:r w:rsidRPr="003F7981">
              <w:rPr>
                <w:rFonts w:ascii="Bookman Old Style" w:hAnsi="Bookman Old Style" w:cs="Arial"/>
              </w:rPr>
              <w:t xml:space="preserve">costo </w:t>
            </w:r>
            <w:r>
              <w:rPr>
                <w:rFonts w:ascii="Bookman Old Style" w:hAnsi="Bookman Old Style" w:cs="Arial"/>
              </w:rPr>
              <w:t>de combustible de sistemas de generación con biomasa</w:t>
            </w:r>
            <w:r w:rsidRPr="003F7981">
              <w:rPr>
                <w:rFonts w:ascii="Bookman Old Style" w:hAnsi="Bookman Old Style" w:cs="Arial"/>
              </w:rPr>
              <w:t xml:space="preserve">, expresado en pesos por </w:t>
            </w:r>
            <w:r w:rsidRPr="003F7981">
              <w:rPr>
                <w:rFonts w:ascii="Bookman Old Style" w:hAnsi="Bookman Old Style" w:cs="Arial"/>
              </w:rPr>
              <w:lastRenderedPageBreak/>
              <w:t xml:space="preserve">kilovatio hora </w:t>
            </w:r>
            <w:r w:rsidRPr="003F7981">
              <w:rPr>
                <w:rFonts w:ascii="Bookman Old Style" w:hAnsi="Bookman Old Style" w:cs="Arial"/>
                <w:bCs/>
              </w:rPr>
              <w:t>($/kWh),</w:t>
            </w:r>
            <w:r w:rsidRPr="003F7981">
              <w:rPr>
                <w:rFonts w:ascii="Bookman Old Style" w:hAnsi="Bookman Old Style" w:cs="Arial"/>
              </w:rPr>
              <w:t xml:space="preserve"> del mercado relevante de comercialización señalado en este artículo, expresado en pesos constantes de </w:t>
            </w:r>
            <w:r>
              <w:rPr>
                <w:rFonts w:ascii="Bookman Old Style" w:hAnsi="Bookman Old Style" w:cs="Arial"/>
              </w:rPr>
              <w:t>diciembre de 2021</w:t>
            </w:r>
            <w:r w:rsidRPr="003F7981">
              <w:rPr>
                <w:rFonts w:ascii="Bookman Old Style" w:hAnsi="Bookman Old Style" w:cs="Arial"/>
              </w:rPr>
              <w:t xml:space="preserve">, según lo previsto en el artículo </w:t>
            </w:r>
            <w:r>
              <w:rPr>
                <w:rFonts w:ascii="Bookman Old Style" w:hAnsi="Bookman Old Style" w:cs="Arial"/>
              </w:rPr>
              <w:t>2</w:t>
            </w:r>
            <w:r w:rsidRPr="003F7981">
              <w:rPr>
                <w:rFonts w:ascii="Bookman Old Style" w:hAnsi="Bookman Old Style" w:cs="Arial"/>
              </w:rPr>
              <w:t xml:space="preserve"> de esta resolución.</w:t>
            </w:r>
          </w:p>
          <w:p w14:paraId="75AF3F55" w14:textId="77777777" w:rsidR="0062540E" w:rsidRPr="003F7981" w:rsidRDefault="0062540E" w:rsidP="0062540E">
            <w:pPr>
              <w:ind w:right="6"/>
              <w:contextualSpacing/>
              <w:jc w:val="both"/>
              <w:rPr>
                <w:rFonts w:ascii="Bookman Old Style" w:hAnsi="Bookman Old Style" w:cs="Arial"/>
              </w:rPr>
            </w:pPr>
          </w:p>
        </w:tc>
      </w:tr>
      <w:tr w:rsidR="009811C0" w:rsidRPr="003F7981" w14:paraId="3A22A7D5" w14:textId="77777777" w:rsidTr="003124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5" w:type="dxa"/>
            <w:tcBorders>
              <w:top w:val="nil"/>
              <w:left w:val="nil"/>
              <w:bottom w:val="nil"/>
              <w:right w:val="nil"/>
            </w:tcBorders>
          </w:tcPr>
          <w:p w14:paraId="268C535C" w14:textId="2628C8AA" w:rsidR="009811C0" w:rsidRPr="003F7981" w:rsidRDefault="00651B7A" w:rsidP="00C7346C">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IPPS</m:t>
                    </m:r>
                  </m:e>
                  <m:sub>
                    <m:r>
                      <w:rPr>
                        <w:rFonts w:ascii="Cambria Math" w:hAnsi="Cambria Math" w:cs="Arial"/>
                      </w:rPr>
                      <m:t>m-1</m:t>
                    </m:r>
                  </m:sub>
                </m:sSub>
              </m:oMath>
            </m:oMathPara>
          </w:p>
        </w:tc>
        <w:tc>
          <w:tcPr>
            <w:tcW w:w="421" w:type="dxa"/>
            <w:tcBorders>
              <w:top w:val="nil"/>
              <w:left w:val="nil"/>
              <w:bottom w:val="nil"/>
              <w:right w:val="nil"/>
            </w:tcBorders>
          </w:tcPr>
          <w:p w14:paraId="7066BEDF" w14:textId="77777777" w:rsidR="009811C0" w:rsidRPr="003F7981" w:rsidRDefault="009811C0" w:rsidP="00C7346C">
            <w:pPr>
              <w:ind w:right="6"/>
              <w:contextualSpacing/>
              <w:jc w:val="both"/>
              <w:rPr>
                <w:rFonts w:ascii="Bookman Old Style" w:hAnsi="Bookman Old Style" w:cs="Arial"/>
                <w:bCs/>
              </w:rPr>
            </w:pPr>
            <w:r w:rsidRPr="003F7981">
              <w:rPr>
                <w:rFonts w:ascii="Bookman Old Style" w:hAnsi="Bookman Old Style" w:cs="Arial"/>
                <w:bCs/>
              </w:rPr>
              <w:t>:</w:t>
            </w:r>
          </w:p>
        </w:tc>
        <w:tc>
          <w:tcPr>
            <w:tcW w:w="7542" w:type="dxa"/>
            <w:tcBorders>
              <w:top w:val="nil"/>
              <w:left w:val="nil"/>
              <w:bottom w:val="nil"/>
              <w:right w:val="nil"/>
            </w:tcBorders>
          </w:tcPr>
          <w:p w14:paraId="30B551AC" w14:textId="58A8A6EF" w:rsidR="009811C0" w:rsidRPr="003F7981" w:rsidRDefault="00C80A55" w:rsidP="00C7346C">
            <w:pPr>
              <w:ind w:right="6"/>
              <w:contextualSpacing/>
              <w:jc w:val="both"/>
              <w:rPr>
                <w:rFonts w:ascii="Bookman Old Style" w:hAnsi="Bookman Old Style" w:cs="Arial"/>
              </w:rPr>
            </w:pPr>
            <w:r w:rsidRPr="00C80A55">
              <w:rPr>
                <w:rFonts w:ascii="Bookman Old Style" w:hAnsi="Bookman Old Style" w:cs="Arial"/>
              </w:rPr>
              <w:t>Índice de precios del productor (IPP), procedencias especializadas según destino económico</w:t>
            </w:r>
            <w:r w:rsidR="0099194A">
              <w:rPr>
                <w:rFonts w:ascii="Bookman Old Style" w:hAnsi="Bookman Old Style" w:cs="Arial"/>
              </w:rPr>
              <w:t>-</w:t>
            </w:r>
            <w:r w:rsidR="0099194A">
              <w:t xml:space="preserve"> </w:t>
            </w:r>
            <w:r w:rsidR="0099194A" w:rsidRPr="0099194A">
              <w:rPr>
                <w:rFonts w:ascii="Bookman Old Style" w:hAnsi="Bookman Old Style" w:cs="Arial"/>
              </w:rPr>
              <w:t>Consumo Final - Producidos para consumo interno</w:t>
            </w:r>
            <w:r w:rsidR="0099194A">
              <w:rPr>
                <w:rFonts w:ascii="Bookman Old Style" w:hAnsi="Bookman Old Style" w:cs="Arial"/>
              </w:rPr>
              <w:t xml:space="preserve">- Código 020 </w:t>
            </w:r>
            <w:r w:rsidR="0099194A" w:rsidRPr="0099194A">
              <w:rPr>
                <w:rFonts w:ascii="Bookman Old Style" w:hAnsi="Bookman Old Style" w:cs="Arial"/>
              </w:rPr>
              <w:t xml:space="preserve">Silvicultura </w:t>
            </w:r>
            <w:r w:rsidR="00312493">
              <w:rPr>
                <w:rFonts w:ascii="Bookman Old Style" w:hAnsi="Bookman Old Style" w:cs="Arial"/>
              </w:rPr>
              <w:t>y</w:t>
            </w:r>
            <w:r w:rsidR="0099194A" w:rsidRPr="0099194A">
              <w:rPr>
                <w:rFonts w:ascii="Bookman Old Style" w:hAnsi="Bookman Old Style" w:cs="Arial"/>
              </w:rPr>
              <w:t xml:space="preserve"> </w:t>
            </w:r>
            <w:r w:rsidR="00312493">
              <w:rPr>
                <w:rFonts w:ascii="Bookman Old Style" w:hAnsi="Bookman Old Style" w:cs="Arial"/>
              </w:rPr>
              <w:t>e</w:t>
            </w:r>
            <w:r w:rsidR="0099194A" w:rsidRPr="0099194A">
              <w:rPr>
                <w:rFonts w:ascii="Bookman Old Style" w:hAnsi="Bookman Old Style" w:cs="Arial"/>
              </w:rPr>
              <w:t xml:space="preserve">xtracción </w:t>
            </w:r>
            <w:r w:rsidR="00312493">
              <w:rPr>
                <w:rFonts w:ascii="Bookman Old Style" w:hAnsi="Bookman Old Style" w:cs="Arial"/>
              </w:rPr>
              <w:t>d</w:t>
            </w:r>
            <w:r w:rsidR="0099194A" w:rsidRPr="0099194A">
              <w:rPr>
                <w:rFonts w:ascii="Bookman Old Style" w:hAnsi="Bookman Old Style" w:cs="Arial"/>
              </w:rPr>
              <w:t xml:space="preserve">e </w:t>
            </w:r>
            <w:r w:rsidR="00312493">
              <w:rPr>
                <w:rFonts w:ascii="Bookman Old Style" w:hAnsi="Bookman Old Style" w:cs="Arial"/>
              </w:rPr>
              <w:t>m</w:t>
            </w:r>
            <w:r w:rsidR="0099194A" w:rsidRPr="0099194A">
              <w:rPr>
                <w:rFonts w:ascii="Bookman Old Style" w:hAnsi="Bookman Old Style" w:cs="Arial"/>
              </w:rPr>
              <w:t>adera</w:t>
            </w:r>
            <w:r w:rsidR="009811C0" w:rsidRPr="003F7981">
              <w:rPr>
                <w:rFonts w:ascii="Bookman Old Style" w:hAnsi="Bookman Old Style" w:cs="Arial"/>
              </w:rPr>
              <w:t xml:space="preserve">, del mes </w:t>
            </w:r>
            <w:r w:rsidR="009811C0" w:rsidRPr="003F7981">
              <w:rPr>
                <w:rFonts w:ascii="Bookman Old Style" w:hAnsi="Bookman Old Style" w:cs="Arial"/>
                <w:i/>
              </w:rPr>
              <w:t>m-1</w:t>
            </w:r>
            <w:r w:rsidR="009811C0" w:rsidRPr="003F7981">
              <w:rPr>
                <w:rFonts w:ascii="Bookman Old Style" w:hAnsi="Bookman Old Style" w:cs="Arial"/>
              </w:rPr>
              <w:t>.</w:t>
            </w:r>
          </w:p>
          <w:p w14:paraId="370AF340" w14:textId="77777777" w:rsidR="009811C0" w:rsidRPr="003F7981" w:rsidRDefault="009811C0" w:rsidP="00C7346C">
            <w:pPr>
              <w:ind w:right="6"/>
              <w:contextualSpacing/>
              <w:jc w:val="both"/>
              <w:rPr>
                <w:rFonts w:ascii="Bookman Old Style" w:hAnsi="Bookman Old Style" w:cs="Arial"/>
              </w:rPr>
            </w:pPr>
          </w:p>
        </w:tc>
      </w:tr>
      <w:tr w:rsidR="009811C0" w:rsidRPr="003F7981" w14:paraId="46A76F78" w14:textId="77777777" w:rsidTr="003124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15" w:type="dxa"/>
            <w:tcBorders>
              <w:top w:val="nil"/>
              <w:left w:val="nil"/>
              <w:bottom w:val="nil"/>
              <w:right w:val="nil"/>
            </w:tcBorders>
          </w:tcPr>
          <w:p w14:paraId="5E8D5817" w14:textId="05A6ED84" w:rsidR="009811C0" w:rsidRPr="003F7981" w:rsidRDefault="00651B7A" w:rsidP="00C7346C">
            <w:pPr>
              <w:ind w:right="6"/>
              <w:contextualSpacing/>
              <w:rPr>
                <w:rFonts w:ascii="Bookman Old Style" w:hAnsi="Bookman Old Style" w:cs="Arial"/>
                <w:bCs/>
              </w:rPr>
            </w:pPr>
            <m:oMathPara>
              <m:oMathParaPr>
                <m:jc m:val="left"/>
              </m:oMathParaPr>
              <m:oMath>
                <m:sSub>
                  <m:sSubPr>
                    <m:ctrlPr>
                      <w:rPr>
                        <w:rFonts w:ascii="Cambria Math" w:hAnsi="Cambria Math" w:cs="Arial"/>
                        <w:i/>
                      </w:rPr>
                    </m:ctrlPr>
                  </m:sSubPr>
                  <m:e>
                    <m:r>
                      <w:rPr>
                        <w:rFonts w:ascii="Cambria Math" w:hAnsi="Cambria Math" w:cs="Arial"/>
                      </w:rPr>
                      <m:t>IPPS</m:t>
                    </m:r>
                  </m:e>
                  <m:sub>
                    <m:r>
                      <w:rPr>
                        <w:rFonts w:ascii="Cambria Math" w:hAnsi="Cambria Math" w:cs="Arial"/>
                      </w:rPr>
                      <m:t>0</m:t>
                    </m:r>
                  </m:sub>
                </m:sSub>
              </m:oMath>
            </m:oMathPara>
          </w:p>
        </w:tc>
        <w:tc>
          <w:tcPr>
            <w:tcW w:w="421" w:type="dxa"/>
            <w:tcBorders>
              <w:top w:val="nil"/>
              <w:left w:val="nil"/>
              <w:bottom w:val="nil"/>
              <w:right w:val="nil"/>
            </w:tcBorders>
          </w:tcPr>
          <w:p w14:paraId="6F794FA8" w14:textId="77777777" w:rsidR="009811C0" w:rsidRPr="003F7981" w:rsidRDefault="009811C0" w:rsidP="00C7346C">
            <w:pPr>
              <w:ind w:right="6"/>
              <w:contextualSpacing/>
              <w:jc w:val="both"/>
              <w:rPr>
                <w:rFonts w:ascii="Bookman Old Style" w:hAnsi="Bookman Old Style" w:cs="Arial"/>
                <w:bCs/>
              </w:rPr>
            </w:pPr>
            <w:r w:rsidRPr="003F7981">
              <w:rPr>
                <w:rFonts w:ascii="Bookman Old Style" w:hAnsi="Bookman Old Style" w:cs="Arial"/>
                <w:bCs/>
              </w:rPr>
              <w:t>:</w:t>
            </w:r>
          </w:p>
        </w:tc>
        <w:tc>
          <w:tcPr>
            <w:tcW w:w="7542" w:type="dxa"/>
            <w:tcBorders>
              <w:top w:val="nil"/>
              <w:left w:val="nil"/>
              <w:bottom w:val="nil"/>
              <w:right w:val="nil"/>
            </w:tcBorders>
          </w:tcPr>
          <w:p w14:paraId="1BF1D00D" w14:textId="5C567DAE" w:rsidR="009811C0" w:rsidRPr="003F7981" w:rsidRDefault="008B4609" w:rsidP="00C7346C">
            <w:pPr>
              <w:ind w:right="6"/>
              <w:contextualSpacing/>
              <w:jc w:val="both"/>
              <w:rPr>
                <w:rFonts w:ascii="Bookman Old Style" w:hAnsi="Bookman Old Style" w:cs="Arial"/>
              </w:rPr>
            </w:pPr>
            <w:r w:rsidRPr="00C80A55">
              <w:rPr>
                <w:rFonts w:ascii="Bookman Old Style" w:hAnsi="Bookman Old Style" w:cs="Arial"/>
              </w:rPr>
              <w:t>Índice de precios del productor (IPP), procedencias especializadas según destino económico</w:t>
            </w:r>
            <w:r>
              <w:rPr>
                <w:rFonts w:ascii="Bookman Old Style" w:hAnsi="Bookman Old Style" w:cs="Arial"/>
              </w:rPr>
              <w:t>-</w:t>
            </w:r>
            <w:r>
              <w:t xml:space="preserve"> </w:t>
            </w:r>
            <w:r w:rsidRPr="0099194A">
              <w:rPr>
                <w:rFonts w:ascii="Bookman Old Style" w:hAnsi="Bookman Old Style" w:cs="Arial"/>
              </w:rPr>
              <w:t>Consumo Final - Producidos para consumo interno</w:t>
            </w:r>
            <w:r>
              <w:rPr>
                <w:rFonts w:ascii="Bookman Old Style" w:hAnsi="Bookman Old Style" w:cs="Arial"/>
              </w:rPr>
              <w:t xml:space="preserve">- Código 020 </w:t>
            </w:r>
            <w:r w:rsidRPr="0099194A">
              <w:rPr>
                <w:rFonts w:ascii="Bookman Old Style" w:hAnsi="Bookman Old Style" w:cs="Arial"/>
              </w:rPr>
              <w:t xml:space="preserve">Silvicultura </w:t>
            </w:r>
            <w:r w:rsidR="00312493">
              <w:rPr>
                <w:rFonts w:ascii="Bookman Old Style" w:hAnsi="Bookman Old Style" w:cs="Arial"/>
              </w:rPr>
              <w:t>y</w:t>
            </w:r>
            <w:r w:rsidRPr="0099194A">
              <w:rPr>
                <w:rFonts w:ascii="Bookman Old Style" w:hAnsi="Bookman Old Style" w:cs="Arial"/>
              </w:rPr>
              <w:t xml:space="preserve"> </w:t>
            </w:r>
            <w:r w:rsidR="00312493">
              <w:rPr>
                <w:rFonts w:ascii="Bookman Old Style" w:hAnsi="Bookman Old Style" w:cs="Arial"/>
              </w:rPr>
              <w:t>e</w:t>
            </w:r>
            <w:r w:rsidRPr="0099194A">
              <w:rPr>
                <w:rFonts w:ascii="Bookman Old Style" w:hAnsi="Bookman Old Style" w:cs="Arial"/>
              </w:rPr>
              <w:t xml:space="preserve">xtracción </w:t>
            </w:r>
            <w:r w:rsidR="00312493">
              <w:rPr>
                <w:rFonts w:ascii="Bookman Old Style" w:hAnsi="Bookman Old Style" w:cs="Arial"/>
              </w:rPr>
              <w:t>d</w:t>
            </w:r>
            <w:r w:rsidRPr="0099194A">
              <w:rPr>
                <w:rFonts w:ascii="Bookman Old Style" w:hAnsi="Bookman Old Style" w:cs="Arial"/>
              </w:rPr>
              <w:t xml:space="preserve">e </w:t>
            </w:r>
            <w:r w:rsidR="00312493">
              <w:rPr>
                <w:rFonts w:ascii="Bookman Old Style" w:hAnsi="Bookman Old Style" w:cs="Arial"/>
              </w:rPr>
              <w:t>m</w:t>
            </w:r>
            <w:r w:rsidRPr="0099194A">
              <w:rPr>
                <w:rFonts w:ascii="Bookman Old Style" w:hAnsi="Bookman Old Style" w:cs="Arial"/>
              </w:rPr>
              <w:t>adera</w:t>
            </w:r>
            <w:r w:rsidR="009811C0" w:rsidRPr="003F7981">
              <w:rPr>
                <w:rFonts w:ascii="Bookman Old Style" w:hAnsi="Bookman Old Style" w:cs="Arial"/>
              </w:rPr>
              <w:t xml:space="preserve">, de </w:t>
            </w:r>
            <w:r w:rsidR="00F72288">
              <w:rPr>
                <w:rFonts w:ascii="Bookman Old Style" w:hAnsi="Bookman Old Style" w:cs="Arial"/>
              </w:rPr>
              <w:t>diciembre de 2021</w:t>
            </w:r>
            <w:r w:rsidR="009811C0" w:rsidRPr="003F7981">
              <w:rPr>
                <w:rFonts w:ascii="Bookman Old Style" w:hAnsi="Bookman Old Style" w:cs="Arial"/>
              </w:rPr>
              <w:t>.</w:t>
            </w:r>
          </w:p>
          <w:p w14:paraId="26C74B7B" w14:textId="77777777" w:rsidR="009811C0" w:rsidRPr="003F7981" w:rsidRDefault="009811C0" w:rsidP="00C7346C">
            <w:pPr>
              <w:ind w:right="6"/>
              <w:contextualSpacing/>
              <w:jc w:val="both"/>
              <w:rPr>
                <w:rFonts w:ascii="Bookman Old Style" w:hAnsi="Bookman Old Style" w:cs="Arial"/>
              </w:rPr>
            </w:pPr>
          </w:p>
        </w:tc>
      </w:tr>
    </w:tbl>
    <w:p w14:paraId="263F1A86" w14:textId="610220E2" w:rsidR="00CB2DEE" w:rsidRPr="003F7981" w:rsidRDefault="00AF1D01" w:rsidP="00560ACC">
      <w:pPr>
        <w:ind w:left="284" w:right="6"/>
        <w:contextualSpacing/>
        <w:jc w:val="both"/>
        <w:rPr>
          <w:rFonts w:ascii="Bookman Old Style" w:hAnsi="Bookman Old Style" w:cs="Arial"/>
          <w:bCs/>
        </w:rPr>
      </w:pPr>
      <w:r w:rsidRPr="003F7981">
        <w:rPr>
          <w:rFonts w:ascii="Bookman Old Style" w:hAnsi="Bookman Old Style" w:cs="Arial"/>
          <w:b/>
        </w:rPr>
        <w:t xml:space="preserve">ARTÍCULO </w:t>
      </w:r>
      <w:r w:rsidR="00F72288">
        <w:rPr>
          <w:rFonts w:ascii="Bookman Old Style" w:hAnsi="Bookman Old Style" w:cs="Arial"/>
          <w:b/>
        </w:rPr>
        <w:t>4</w:t>
      </w:r>
      <w:r w:rsidRPr="003F7981">
        <w:rPr>
          <w:rFonts w:ascii="Bookman Old Style" w:hAnsi="Bookman Old Style" w:cs="Arial"/>
          <w:b/>
        </w:rPr>
        <w:t>.</w:t>
      </w:r>
      <w:r w:rsidR="00076D43" w:rsidRPr="003F7981">
        <w:rPr>
          <w:rFonts w:ascii="Bookman Old Style" w:hAnsi="Bookman Old Style" w:cs="Arial"/>
          <w:b/>
        </w:rPr>
        <w:t xml:space="preserve"> Principios y</w:t>
      </w:r>
      <w:r w:rsidRPr="003F7981">
        <w:rPr>
          <w:rFonts w:ascii="Bookman Old Style" w:hAnsi="Bookman Old Style" w:cs="Arial"/>
          <w:b/>
        </w:rPr>
        <w:t xml:space="preserve"> </w:t>
      </w:r>
      <w:r w:rsidR="00CB2DEE" w:rsidRPr="003F7981">
        <w:rPr>
          <w:rFonts w:ascii="Bookman Old Style" w:hAnsi="Bookman Old Style" w:cs="Arial"/>
          <w:b/>
        </w:rPr>
        <w:t>Reglas de despacho de recursos</w:t>
      </w:r>
      <w:r w:rsidR="00800DC3" w:rsidRPr="003F7981">
        <w:rPr>
          <w:rFonts w:ascii="Bookman Old Style" w:hAnsi="Bookman Old Style" w:cs="Arial"/>
          <w:b/>
        </w:rPr>
        <w:t xml:space="preserve"> energéticos </w:t>
      </w:r>
      <w:r w:rsidR="00517BED" w:rsidRPr="003F7981">
        <w:rPr>
          <w:rFonts w:ascii="Bookman Old Style" w:hAnsi="Bookman Old Style" w:cs="Arial"/>
          <w:b/>
        </w:rPr>
        <w:t>y</w:t>
      </w:r>
      <w:r w:rsidR="00C52C13" w:rsidRPr="003F7981">
        <w:rPr>
          <w:rFonts w:ascii="Bookman Old Style" w:hAnsi="Bookman Old Style" w:cs="Arial"/>
          <w:b/>
        </w:rPr>
        <w:t xml:space="preserve"> mecanismos de comercialización de energía</w:t>
      </w:r>
      <w:r w:rsidR="00CB2DEE" w:rsidRPr="003F7981">
        <w:rPr>
          <w:rFonts w:ascii="Bookman Old Style" w:hAnsi="Bookman Old Style" w:cs="Arial"/>
          <w:b/>
        </w:rPr>
        <w:t xml:space="preserve">. </w:t>
      </w:r>
      <w:r w:rsidR="003D4B93" w:rsidRPr="003F7981">
        <w:rPr>
          <w:rFonts w:ascii="Bookman Old Style" w:hAnsi="Bookman Old Style" w:cs="Arial"/>
        </w:rPr>
        <w:t>En resolución posterior</w:t>
      </w:r>
      <w:r w:rsidR="007C7AF7" w:rsidRPr="003F7981">
        <w:rPr>
          <w:rFonts w:ascii="Bookman Old Style" w:hAnsi="Bookman Old Style" w:cs="Arial"/>
        </w:rPr>
        <w:t xml:space="preserve"> de carácter general,</w:t>
      </w:r>
      <w:r w:rsidR="00C2251E" w:rsidRPr="003F7981">
        <w:rPr>
          <w:rFonts w:ascii="Bookman Old Style" w:hAnsi="Bookman Old Style" w:cs="Arial"/>
        </w:rPr>
        <w:t xml:space="preserve"> </w:t>
      </w:r>
      <w:r w:rsidR="00800DC3" w:rsidRPr="003F7981">
        <w:rPr>
          <w:rFonts w:ascii="Bookman Old Style" w:hAnsi="Bookman Old Style" w:cs="Arial"/>
        </w:rPr>
        <w:t xml:space="preserve">esta Comisión definirá </w:t>
      </w:r>
      <w:r w:rsidR="00076D43" w:rsidRPr="003F7981">
        <w:rPr>
          <w:rFonts w:ascii="Bookman Old Style" w:hAnsi="Bookman Old Style" w:cs="Arial"/>
        </w:rPr>
        <w:t xml:space="preserve">los principios y </w:t>
      </w:r>
      <w:r w:rsidR="00800DC3" w:rsidRPr="003F7981">
        <w:rPr>
          <w:rFonts w:ascii="Bookman Old Style" w:hAnsi="Bookman Old Style" w:cs="Arial"/>
        </w:rPr>
        <w:t xml:space="preserve">reglas aplicables para </w:t>
      </w:r>
      <w:r w:rsidR="00C01043" w:rsidRPr="003F7981">
        <w:rPr>
          <w:rFonts w:ascii="Bookman Old Style" w:hAnsi="Bookman Old Style" w:cs="Arial"/>
        </w:rPr>
        <w:t>la coordinación d</w:t>
      </w:r>
      <w:r w:rsidR="00800DC3" w:rsidRPr="003F7981">
        <w:rPr>
          <w:rFonts w:ascii="Bookman Old Style" w:hAnsi="Bookman Old Style" w:cs="Arial"/>
        </w:rPr>
        <w:t>el despacho</w:t>
      </w:r>
      <w:r w:rsidR="00C01043" w:rsidRPr="003F7981">
        <w:rPr>
          <w:rFonts w:ascii="Bookman Old Style" w:hAnsi="Bookman Old Style" w:cs="Arial"/>
        </w:rPr>
        <w:t xml:space="preserve"> y operación </w:t>
      </w:r>
      <w:r w:rsidR="00800DC3" w:rsidRPr="003F7981">
        <w:rPr>
          <w:rFonts w:ascii="Bookman Old Style" w:hAnsi="Bookman Old Style" w:cs="Arial"/>
        </w:rPr>
        <w:t>de recursos energéticos</w:t>
      </w:r>
      <w:r w:rsidR="00306F4C" w:rsidRPr="003F7981">
        <w:rPr>
          <w:rFonts w:ascii="Bookman Old Style" w:hAnsi="Bookman Old Style" w:cs="Arial"/>
        </w:rPr>
        <w:t>,</w:t>
      </w:r>
      <w:r w:rsidR="00800DC3" w:rsidRPr="003F7981">
        <w:rPr>
          <w:rFonts w:ascii="Bookman Old Style" w:hAnsi="Bookman Old Style" w:cs="Arial"/>
        </w:rPr>
        <w:t xml:space="preserve"> </w:t>
      </w:r>
      <w:r w:rsidR="00306F4C" w:rsidRPr="003F7981">
        <w:rPr>
          <w:rFonts w:ascii="Bookman Old Style" w:hAnsi="Bookman Old Style" w:cs="Arial"/>
        </w:rPr>
        <w:t>así como los</w:t>
      </w:r>
      <w:r w:rsidR="009D0964" w:rsidRPr="003F7981">
        <w:rPr>
          <w:rFonts w:ascii="Bookman Old Style" w:hAnsi="Bookman Old Style" w:cs="Arial"/>
        </w:rPr>
        <w:t xml:space="preserve"> mecanismos de comercialización de energía</w:t>
      </w:r>
      <w:r w:rsidR="00380808" w:rsidRPr="003F7981">
        <w:rPr>
          <w:rFonts w:ascii="Bookman Old Style" w:hAnsi="Bookman Old Style" w:cs="Arial"/>
        </w:rPr>
        <w:t xml:space="preserve"> eléctrica</w:t>
      </w:r>
      <w:r w:rsidR="00031A48" w:rsidRPr="003F7981">
        <w:rPr>
          <w:rFonts w:ascii="Bookman Old Style" w:hAnsi="Bookman Old Style" w:cs="Arial"/>
        </w:rPr>
        <w:t xml:space="preserve"> en las </w:t>
      </w:r>
      <w:r w:rsidR="007C7AF7" w:rsidRPr="003F7981">
        <w:rPr>
          <w:rFonts w:ascii="Bookman Old Style" w:hAnsi="Bookman Old Style" w:cs="Arial"/>
        </w:rPr>
        <w:t>Z</w:t>
      </w:r>
      <w:r w:rsidR="00031A48" w:rsidRPr="003F7981">
        <w:rPr>
          <w:rFonts w:ascii="Bookman Old Style" w:hAnsi="Bookman Old Style" w:cs="Arial"/>
        </w:rPr>
        <w:t xml:space="preserve">onas </w:t>
      </w:r>
      <w:r w:rsidR="007C7AF7" w:rsidRPr="003F7981">
        <w:rPr>
          <w:rFonts w:ascii="Bookman Old Style" w:hAnsi="Bookman Old Style" w:cs="Arial"/>
        </w:rPr>
        <w:t>N</w:t>
      </w:r>
      <w:r w:rsidR="00031A48" w:rsidRPr="003F7981">
        <w:rPr>
          <w:rFonts w:ascii="Bookman Old Style" w:hAnsi="Bookman Old Style" w:cs="Arial"/>
        </w:rPr>
        <w:t xml:space="preserve">o </w:t>
      </w:r>
      <w:r w:rsidR="007C7AF7" w:rsidRPr="003F7981">
        <w:rPr>
          <w:rFonts w:ascii="Bookman Old Style" w:hAnsi="Bookman Old Style" w:cs="Arial"/>
        </w:rPr>
        <w:t>I</w:t>
      </w:r>
      <w:r w:rsidR="00031A48" w:rsidRPr="003F7981">
        <w:rPr>
          <w:rFonts w:ascii="Bookman Old Style" w:hAnsi="Bookman Old Style" w:cs="Arial"/>
        </w:rPr>
        <w:t>nterconectadas</w:t>
      </w:r>
      <w:r w:rsidR="00800DC3" w:rsidRPr="003F7981">
        <w:rPr>
          <w:rFonts w:ascii="Bookman Old Style" w:hAnsi="Bookman Old Style" w:cs="Arial"/>
        </w:rPr>
        <w:t>.</w:t>
      </w:r>
    </w:p>
    <w:p w14:paraId="0919362F" w14:textId="738358F3" w:rsidR="00C40CC2" w:rsidRPr="003F7981" w:rsidRDefault="00C40CC2" w:rsidP="00CF067A">
      <w:pPr>
        <w:ind w:right="6"/>
        <w:contextualSpacing/>
        <w:jc w:val="both"/>
        <w:rPr>
          <w:rFonts w:ascii="Bookman Old Style" w:hAnsi="Bookman Old Style" w:cs="Arial"/>
          <w:bCs/>
        </w:rPr>
      </w:pPr>
    </w:p>
    <w:p w14:paraId="43861D2B" w14:textId="3D5A1296" w:rsidR="00843746" w:rsidRPr="003F7981" w:rsidRDefault="00C40CC2" w:rsidP="00CF067A">
      <w:pPr>
        <w:ind w:left="284" w:right="6"/>
        <w:contextualSpacing/>
        <w:jc w:val="both"/>
        <w:rPr>
          <w:rFonts w:ascii="Bookman Old Style" w:hAnsi="Bookman Old Style" w:cs="Arial"/>
          <w:bCs/>
        </w:rPr>
      </w:pPr>
      <w:r w:rsidRPr="003F7981">
        <w:rPr>
          <w:rFonts w:ascii="Bookman Old Style" w:hAnsi="Bookman Old Style" w:cs="Arial"/>
          <w:b/>
        </w:rPr>
        <w:t xml:space="preserve">ARTÍCULO </w:t>
      </w:r>
      <w:r w:rsidR="00F72288">
        <w:rPr>
          <w:rFonts w:ascii="Bookman Old Style" w:hAnsi="Bookman Old Style" w:cs="Arial"/>
          <w:b/>
        </w:rPr>
        <w:t>5</w:t>
      </w:r>
      <w:r w:rsidRPr="003F7981">
        <w:rPr>
          <w:rFonts w:ascii="Bookman Old Style" w:hAnsi="Bookman Old Style" w:cs="Arial"/>
          <w:b/>
        </w:rPr>
        <w:t>. Vigencia</w:t>
      </w:r>
      <w:r w:rsidR="000F6002" w:rsidRPr="003F7981">
        <w:rPr>
          <w:rFonts w:ascii="Bookman Old Style" w:hAnsi="Bookman Old Style" w:cs="Arial"/>
          <w:b/>
        </w:rPr>
        <w:t xml:space="preserve"> de los cargos máximos de generación para el mercado relevante de </w:t>
      </w:r>
      <w:r w:rsidR="00A33D94" w:rsidRPr="003F7981">
        <w:rPr>
          <w:rFonts w:ascii="Bookman Old Style" w:hAnsi="Bookman Old Style" w:cs="Arial"/>
          <w:b/>
        </w:rPr>
        <w:t>Puerto Carreño.</w:t>
      </w:r>
      <w:r w:rsidRPr="003F7981">
        <w:rPr>
          <w:rFonts w:ascii="Bookman Old Style" w:hAnsi="Bookman Old Style" w:cs="Arial"/>
        </w:rPr>
        <w:t xml:space="preserve"> Las componentes de inversión y de administración, operación y mantenimiento</w:t>
      </w:r>
      <w:r w:rsidR="007C7AF7" w:rsidRPr="003F7981">
        <w:rPr>
          <w:rFonts w:ascii="Bookman Old Style" w:hAnsi="Bookman Old Style" w:cs="Arial"/>
        </w:rPr>
        <w:t>,</w:t>
      </w:r>
      <w:r w:rsidRPr="003F7981">
        <w:rPr>
          <w:rFonts w:ascii="Bookman Old Style" w:hAnsi="Bookman Old Style" w:cs="Arial"/>
        </w:rPr>
        <w:t xml:space="preserve"> y la fórmula de actualización de cargos máximos, señalados en los artículos 1</w:t>
      </w:r>
      <w:r w:rsidR="00F72288">
        <w:rPr>
          <w:rFonts w:ascii="Bookman Old Style" w:hAnsi="Bookman Old Style" w:cs="Arial"/>
        </w:rPr>
        <w:t>, 2</w:t>
      </w:r>
      <w:r w:rsidRPr="003F7981">
        <w:rPr>
          <w:rFonts w:ascii="Bookman Old Style" w:hAnsi="Bookman Old Style" w:cs="Arial"/>
        </w:rPr>
        <w:t xml:space="preserve"> y </w:t>
      </w:r>
      <w:r w:rsidR="00F72288">
        <w:rPr>
          <w:rFonts w:ascii="Bookman Old Style" w:hAnsi="Bookman Old Style" w:cs="Arial"/>
        </w:rPr>
        <w:t>3</w:t>
      </w:r>
      <w:r w:rsidRPr="003F7981">
        <w:rPr>
          <w:rFonts w:ascii="Bookman Old Style" w:hAnsi="Bookman Old Style" w:cs="Arial"/>
        </w:rPr>
        <w:t xml:space="preserve"> de la presente resolución, serán aplicables </w:t>
      </w:r>
      <w:r w:rsidR="002739C6" w:rsidRPr="003F7981">
        <w:rPr>
          <w:rFonts w:ascii="Bookman Old Style" w:hAnsi="Bookman Old Style" w:cs="Arial"/>
        </w:rPr>
        <w:t xml:space="preserve">para el mercado relevante de comercialización de </w:t>
      </w:r>
      <w:r w:rsidR="000D3C37" w:rsidRPr="003F7981">
        <w:rPr>
          <w:rFonts w:ascii="Bookman Old Style" w:hAnsi="Bookman Old Style" w:cs="Arial"/>
        </w:rPr>
        <w:t>Puerto Carreño</w:t>
      </w:r>
      <w:r w:rsidR="008B4B35" w:rsidRPr="003F7981">
        <w:rPr>
          <w:rFonts w:ascii="Bookman Old Style" w:hAnsi="Bookman Old Style" w:cs="Arial"/>
        </w:rPr>
        <w:t>,</w:t>
      </w:r>
      <w:r w:rsidR="002739C6" w:rsidRPr="003F7981">
        <w:rPr>
          <w:rFonts w:ascii="Bookman Old Style" w:hAnsi="Bookman Old Style" w:cs="Arial"/>
        </w:rPr>
        <w:t xml:space="preserve"> </w:t>
      </w:r>
      <w:r w:rsidRPr="003F7981">
        <w:rPr>
          <w:rFonts w:ascii="Bookman Old Style" w:hAnsi="Bookman Old Style" w:cs="Arial"/>
        </w:rPr>
        <w:t xml:space="preserve">a partir de la </w:t>
      </w:r>
      <w:r w:rsidR="000F6002" w:rsidRPr="003F7981">
        <w:rPr>
          <w:rFonts w:ascii="Bookman Old Style" w:hAnsi="Bookman Old Style" w:cs="Arial"/>
        </w:rPr>
        <w:t xml:space="preserve">fecha en que quede en firme la presente </w:t>
      </w:r>
      <w:r w:rsidR="009221E1" w:rsidRPr="003F7981">
        <w:rPr>
          <w:rFonts w:ascii="Bookman Old Style" w:hAnsi="Bookman Old Style" w:cs="Arial"/>
        </w:rPr>
        <w:t xml:space="preserve">resolución </w:t>
      </w:r>
      <w:r w:rsidRPr="003F7981">
        <w:rPr>
          <w:rFonts w:ascii="Bookman Old Style" w:hAnsi="Bookman Old Style" w:cs="Arial"/>
        </w:rPr>
        <w:t>y hasta la entrada en vigencia de la resolución que modifique o sustituya a la Resolución CREG 091 de 2007</w:t>
      </w:r>
      <w:r w:rsidR="00D94920" w:rsidRPr="003F7981">
        <w:rPr>
          <w:rFonts w:ascii="Bookman Old Style" w:hAnsi="Bookman Old Style" w:cs="Arial"/>
          <w:bCs/>
        </w:rPr>
        <w:t>.</w:t>
      </w:r>
    </w:p>
    <w:p w14:paraId="6F889348" w14:textId="77777777" w:rsidR="00843746" w:rsidRPr="003F7981" w:rsidRDefault="00843746" w:rsidP="00CF067A">
      <w:pPr>
        <w:ind w:left="284" w:right="6"/>
        <w:contextualSpacing/>
        <w:jc w:val="both"/>
        <w:rPr>
          <w:rFonts w:ascii="Bookman Old Style" w:hAnsi="Bookman Old Style" w:cs="Arial"/>
          <w:b/>
        </w:rPr>
      </w:pPr>
    </w:p>
    <w:p w14:paraId="2B708D62" w14:textId="6E81F414" w:rsidR="00903C58" w:rsidRPr="003F7981" w:rsidRDefault="009D02D6" w:rsidP="00CF067A">
      <w:pPr>
        <w:ind w:left="284" w:right="6"/>
        <w:contextualSpacing/>
        <w:jc w:val="both"/>
        <w:rPr>
          <w:rFonts w:ascii="Bookman Old Style" w:hAnsi="Bookman Old Style"/>
        </w:rPr>
      </w:pPr>
      <w:r w:rsidRPr="003F7981">
        <w:rPr>
          <w:rFonts w:ascii="Bookman Old Style" w:hAnsi="Bookman Old Style" w:cs="Arial"/>
          <w:b/>
        </w:rPr>
        <w:t xml:space="preserve">ARTÍCULO </w:t>
      </w:r>
      <w:r w:rsidR="00F72288">
        <w:rPr>
          <w:rFonts w:ascii="Bookman Old Style" w:hAnsi="Bookman Old Style" w:cs="Arial"/>
          <w:b/>
        </w:rPr>
        <w:t>6</w:t>
      </w:r>
      <w:r w:rsidRPr="003F7981">
        <w:rPr>
          <w:rFonts w:ascii="Bookman Old Style" w:hAnsi="Bookman Old Style" w:cs="Arial"/>
          <w:b/>
        </w:rPr>
        <w:t xml:space="preserve">. </w:t>
      </w:r>
      <w:r w:rsidR="0022157F" w:rsidRPr="003F7981">
        <w:rPr>
          <w:rFonts w:ascii="Bookman Old Style" w:hAnsi="Bookman Old Style" w:cs="Arial"/>
          <w:b/>
        </w:rPr>
        <w:t xml:space="preserve">Notificación. </w:t>
      </w:r>
      <w:r w:rsidR="00903C58" w:rsidRPr="003F7981">
        <w:rPr>
          <w:rFonts w:ascii="Bookman Old Style" w:hAnsi="Bookman Old Style" w:cs="Arial"/>
        </w:rPr>
        <w:t>Notificar a</w:t>
      </w:r>
      <w:r w:rsidR="005D0AE3" w:rsidRPr="003F7981">
        <w:rPr>
          <w:rFonts w:ascii="Bookman Old Style" w:hAnsi="Bookman Old Style" w:cs="Arial"/>
        </w:rPr>
        <w:t xml:space="preserve"> los representantes legales</w:t>
      </w:r>
      <w:r w:rsidR="00903C58" w:rsidRPr="003F7981">
        <w:rPr>
          <w:rFonts w:ascii="Bookman Old Style" w:hAnsi="Bookman Old Style" w:cs="Arial"/>
        </w:rPr>
        <w:t xml:space="preserve"> de </w:t>
      </w:r>
      <w:r w:rsidR="008D38DF" w:rsidRPr="003F7981">
        <w:rPr>
          <w:rFonts w:ascii="Bookman Old Style" w:hAnsi="Bookman Old Style" w:cs="Arial"/>
        </w:rPr>
        <w:t xml:space="preserve">la </w:t>
      </w:r>
      <w:r w:rsidR="00903C58" w:rsidRPr="003F7981">
        <w:rPr>
          <w:rFonts w:ascii="Bookman Old Style" w:hAnsi="Bookman Old Style"/>
        </w:rPr>
        <w:t xml:space="preserve">empresa </w:t>
      </w:r>
      <w:r w:rsidR="00B61BCF" w:rsidRPr="003F7981">
        <w:rPr>
          <w:rFonts w:ascii="Bookman Old Style" w:hAnsi="Bookman Old Style"/>
        </w:rPr>
        <w:t>REFOENERGY</w:t>
      </w:r>
      <w:r w:rsidR="00DB5492" w:rsidRPr="003F7981">
        <w:rPr>
          <w:rFonts w:ascii="Bookman Old Style" w:hAnsi="Bookman Old Style"/>
        </w:rPr>
        <w:t xml:space="preserve"> </w:t>
      </w:r>
      <w:r w:rsidR="00843746" w:rsidRPr="003F7981">
        <w:rPr>
          <w:rFonts w:ascii="Bookman Old Style" w:hAnsi="Bookman Old Style"/>
        </w:rPr>
        <w:t xml:space="preserve">y a la Empresa de Energía </w:t>
      </w:r>
      <w:r w:rsidR="00A33D94" w:rsidRPr="003F7981">
        <w:rPr>
          <w:rFonts w:ascii="Bookman Old Style" w:hAnsi="Bookman Old Style"/>
        </w:rPr>
        <w:t>Eléctrica d</w:t>
      </w:r>
      <w:r w:rsidR="00843746" w:rsidRPr="003F7981">
        <w:rPr>
          <w:rFonts w:ascii="Bookman Old Style" w:hAnsi="Bookman Old Style"/>
        </w:rPr>
        <w:t>el</w:t>
      </w:r>
      <w:r w:rsidR="00A33D94" w:rsidRPr="003F7981">
        <w:rPr>
          <w:rFonts w:ascii="Bookman Old Style" w:hAnsi="Bookman Old Style"/>
        </w:rPr>
        <w:t xml:space="preserve"> Departamento del</w:t>
      </w:r>
      <w:r w:rsidR="00843746" w:rsidRPr="003F7981">
        <w:rPr>
          <w:rFonts w:ascii="Bookman Old Style" w:hAnsi="Bookman Old Style"/>
        </w:rPr>
        <w:t xml:space="preserve"> </w:t>
      </w:r>
      <w:r w:rsidR="00A33D94" w:rsidRPr="003F7981">
        <w:rPr>
          <w:rFonts w:ascii="Bookman Old Style" w:hAnsi="Bookman Old Style"/>
        </w:rPr>
        <w:t xml:space="preserve">Vichada </w:t>
      </w:r>
      <w:r w:rsidR="00843746" w:rsidRPr="003F7981">
        <w:rPr>
          <w:rFonts w:ascii="Bookman Old Style" w:hAnsi="Bookman Old Style"/>
        </w:rPr>
        <w:t xml:space="preserve">S.A. E.S.P. </w:t>
      </w:r>
      <w:r w:rsidR="00903C58" w:rsidRPr="003F7981">
        <w:rPr>
          <w:rFonts w:ascii="Bookman Old Style" w:hAnsi="Bookman Old Style" w:cs="Arial"/>
        </w:rPr>
        <w:t xml:space="preserve">el contenido de </w:t>
      </w:r>
      <w:r w:rsidR="00BF1B50" w:rsidRPr="003F7981">
        <w:rPr>
          <w:rFonts w:ascii="Bookman Old Style" w:hAnsi="Bookman Old Style" w:cs="Arial"/>
        </w:rPr>
        <w:t>esta resolución</w:t>
      </w:r>
      <w:r w:rsidR="00903C58" w:rsidRPr="003F7981">
        <w:rPr>
          <w:rFonts w:ascii="Bookman Old Style" w:hAnsi="Bookman Old Style" w:cs="Arial"/>
        </w:rPr>
        <w:t xml:space="preserve">. Contra lo dispuesto en </w:t>
      </w:r>
      <w:r w:rsidR="00BF1B50" w:rsidRPr="003F7981">
        <w:rPr>
          <w:rFonts w:ascii="Bookman Old Style" w:hAnsi="Bookman Old Style" w:cs="Arial"/>
        </w:rPr>
        <w:t>la</w:t>
      </w:r>
      <w:r w:rsidR="00903C58" w:rsidRPr="003F7981">
        <w:rPr>
          <w:rFonts w:ascii="Bookman Old Style" w:hAnsi="Bookman Old Style" w:cs="Arial"/>
        </w:rPr>
        <w:t xml:space="preserve"> presente </w:t>
      </w:r>
      <w:r w:rsidR="00BF1B50" w:rsidRPr="003F7981">
        <w:rPr>
          <w:rFonts w:ascii="Bookman Old Style" w:hAnsi="Bookman Old Style" w:cs="Arial"/>
        </w:rPr>
        <w:t>resolución</w:t>
      </w:r>
      <w:r w:rsidR="008D38DF" w:rsidRPr="003F7981">
        <w:rPr>
          <w:rFonts w:ascii="Bookman Old Style" w:hAnsi="Bookman Old Style" w:cs="Arial"/>
        </w:rPr>
        <w:t xml:space="preserve"> </w:t>
      </w:r>
      <w:r w:rsidR="00903C58" w:rsidRPr="003F7981">
        <w:rPr>
          <w:rFonts w:ascii="Bookman Old Style" w:hAnsi="Bookman Old Style" w:cs="Arial"/>
        </w:rPr>
        <w:t>procede recurso de reposición</w:t>
      </w:r>
      <w:r w:rsidR="008D38DF" w:rsidRPr="003F7981">
        <w:rPr>
          <w:rFonts w:ascii="Bookman Old Style" w:hAnsi="Bookman Old Style" w:cs="Arial"/>
        </w:rPr>
        <w:t>,</w:t>
      </w:r>
      <w:r w:rsidR="00903C58" w:rsidRPr="003F7981">
        <w:rPr>
          <w:rFonts w:ascii="Bookman Old Style" w:hAnsi="Bookman Old Style" w:cs="Arial"/>
        </w:rPr>
        <w:t xml:space="preserve"> el cual deberá interponerse ante la Dirección Ejecutiva de la CREG dentro de los cinco (5) días </w:t>
      </w:r>
      <w:r w:rsidR="4953EE80" w:rsidRPr="003F7981">
        <w:rPr>
          <w:rFonts w:ascii="Bookman Old Style" w:hAnsi="Bookman Old Style" w:cs="Arial"/>
        </w:rPr>
        <w:t xml:space="preserve">hábiles </w:t>
      </w:r>
      <w:r w:rsidR="00903C58" w:rsidRPr="003F7981">
        <w:rPr>
          <w:rFonts w:ascii="Bookman Old Style" w:hAnsi="Bookman Old Style" w:cs="Arial"/>
        </w:rPr>
        <w:t>siguientes a su notificación.</w:t>
      </w:r>
    </w:p>
    <w:p w14:paraId="6FFDA574" w14:textId="77777777" w:rsidR="00FA2E6C" w:rsidRPr="003F7981" w:rsidRDefault="00FA2E6C" w:rsidP="00CF067A">
      <w:pPr>
        <w:ind w:left="284" w:right="6"/>
        <w:contextualSpacing/>
        <w:jc w:val="both"/>
        <w:rPr>
          <w:rFonts w:ascii="Bookman Old Style" w:hAnsi="Bookman Old Style" w:cs="Arial"/>
        </w:rPr>
      </w:pPr>
    </w:p>
    <w:p w14:paraId="70C14FAB" w14:textId="77777777" w:rsidR="00DE4BF8" w:rsidRPr="003F7981" w:rsidRDefault="00DE4BF8" w:rsidP="00CF067A">
      <w:pPr>
        <w:ind w:left="284" w:right="6"/>
        <w:contextualSpacing/>
        <w:jc w:val="center"/>
        <w:rPr>
          <w:rFonts w:ascii="Bookman Old Style" w:hAnsi="Bookman Old Style" w:cs="Arial"/>
          <w:b/>
        </w:rPr>
      </w:pPr>
      <w:r w:rsidRPr="003F7981">
        <w:rPr>
          <w:rFonts w:ascii="Bookman Old Style" w:hAnsi="Bookman Old Style" w:cs="Arial"/>
          <w:b/>
        </w:rPr>
        <w:t>NOTIFÍQUESE, PUBLÍQUESE Y CÚMPLASE</w:t>
      </w:r>
    </w:p>
    <w:p w14:paraId="431A4F21" w14:textId="77777777" w:rsidR="00DE4BF8" w:rsidRPr="003F7981" w:rsidRDefault="00DE4BF8" w:rsidP="00CF067A">
      <w:pPr>
        <w:ind w:left="284" w:right="6"/>
        <w:contextualSpacing/>
        <w:rPr>
          <w:rFonts w:ascii="Bookman Old Style" w:hAnsi="Bookman Old Style" w:cs="Arial"/>
        </w:rPr>
      </w:pPr>
    </w:p>
    <w:p w14:paraId="635A7024" w14:textId="29B7920D" w:rsidR="00881DFA" w:rsidRDefault="00881DFA" w:rsidP="00CF067A">
      <w:pPr>
        <w:ind w:left="284" w:right="6"/>
        <w:contextualSpacing/>
        <w:rPr>
          <w:rFonts w:ascii="Bookman Old Style" w:hAnsi="Bookman Old Style"/>
          <w:b/>
          <w:bCs/>
        </w:rPr>
      </w:pPr>
      <w:r w:rsidRPr="003F7981">
        <w:rPr>
          <w:rFonts w:ascii="Bookman Old Style" w:hAnsi="Bookman Old Style"/>
        </w:rPr>
        <w:t xml:space="preserve">Dada en Bogotá. D. C., </w:t>
      </w:r>
      <w:r w:rsidR="00C7153E" w:rsidRPr="00C7153E">
        <w:rPr>
          <w:rFonts w:ascii="Bookman Old Style" w:hAnsi="Bookman Old Style"/>
          <w:b/>
          <w:bCs/>
        </w:rPr>
        <w:t>15 JUL. 2022</w:t>
      </w:r>
    </w:p>
    <w:p w14:paraId="026ACACD" w14:textId="77777777" w:rsidR="00C7153E" w:rsidRPr="00C7153E" w:rsidRDefault="00C7153E" w:rsidP="00CF067A">
      <w:pPr>
        <w:ind w:left="284" w:right="6"/>
        <w:contextualSpacing/>
        <w:rPr>
          <w:rFonts w:ascii="Bookman Old Style" w:hAnsi="Bookman Old Style"/>
          <w:b/>
          <w:bCs/>
        </w:rPr>
      </w:pPr>
    </w:p>
    <w:p w14:paraId="1F8CF60A" w14:textId="77777777" w:rsidR="00881DFA" w:rsidRPr="003F7981" w:rsidRDefault="00881DFA" w:rsidP="00CF067A">
      <w:pPr>
        <w:ind w:right="6"/>
        <w:contextualSpacing/>
        <w:rPr>
          <w:rFonts w:ascii="Bookman Old Style" w:hAnsi="Bookman Old Style"/>
        </w:rPr>
      </w:pPr>
    </w:p>
    <w:p w14:paraId="37984174" w14:textId="77777777" w:rsidR="00D238B3" w:rsidRPr="003F7981" w:rsidRDefault="00D238B3" w:rsidP="00CF067A">
      <w:pPr>
        <w:ind w:right="6"/>
        <w:contextualSpacing/>
        <w:rPr>
          <w:rFonts w:ascii="Bookman Old Style" w:hAnsi="Bookman Old Style"/>
        </w:rPr>
      </w:pPr>
    </w:p>
    <w:tbl>
      <w:tblPr>
        <w:tblW w:w="9781" w:type="dxa"/>
        <w:tblCellSpacing w:w="0" w:type="dxa"/>
        <w:tblCellMar>
          <w:left w:w="0" w:type="dxa"/>
          <w:right w:w="0" w:type="dxa"/>
        </w:tblCellMar>
        <w:tblLook w:val="04A0" w:firstRow="1" w:lastRow="0" w:firstColumn="1" w:lastColumn="0" w:noHBand="0" w:noVBand="1"/>
      </w:tblPr>
      <w:tblGrid>
        <w:gridCol w:w="4962"/>
        <w:gridCol w:w="4819"/>
      </w:tblGrid>
      <w:tr w:rsidR="00D238B3" w:rsidRPr="003F7981" w14:paraId="41C605C2" w14:textId="77777777" w:rsidTr="27981787">
        <w:trPr>
          <w:tblCellSpacing w:w="0" w:type="dxa"/>
        </w:trPr>
        <w:tc>
          <w:tcPr>
            <w:tcW w:w="4962" w:type="dxa"/>
          </w:tcPr>
          <w:p w14:paraId="6713D5AE" w14:textId="3EF56E6F" w:rsidR="00D238B3" w:rsidRPr="003F7981" w:rsidRDefault="00C7153E" w:rsidP="00CF067A">
            <w:pPr>
              <w:ind w:left="66" w:right="6"/>
              <w:contextualSpacing/>
              <w:jc w:val="center"/>
              <w:rPr>
                <w:rFonts w:ascii="Bookman Old Style" w:hAnsi="Bookman Old Style" w:cs="Arial"/>
                <w:b/>
                <w:spacing w:val="-3"/>
              </w:rPr>
            </w:pPr>
            <w:r>
              <w:rPr>
                <w:rFonts w:ascii="Bookman Old Style" w:hAnsi="Bookman Old Style" w:cs="Arial"/>
                <w:b/>
              </w:rPr>
              <w:t>MIGUEL LOTERO ROBLEDO</w:t>
            </w:r>
          </w:p>
        </w:tc>
        <w:tc>
          <w:tcPr>
            <w:tcW w:w="4819" w:type="dxa"/>
          </w:tcPr>
          <w:p w14:paraId="7EF96C8B" w14:textId="43A9DF53" w:rsidR="00D238B3" w:rsidRPr="003F7981" w:rsidRDefault="27981787" w:rsidP="27981787">
            <w:pPr>
              <w:ind w:left="89" w:right="6"/>
              <w:contextualSpacing/>
              <w:jc w:val="center"/>
              <w:rPr>
                <w:rFonts w:ascii="Bookman Old Style" w:hAnsi="Bookman Old Style" w:cs="Arial"/>
                <w:b/>
                <w:bCs/>
                <w:spacing w:val="-3"/>
              </w:rPr>
            </w:pPr>
            <w:r w:rsidRPr="003F7981">
              <w:rPr>
                <w:rFonts w:ascii="Bookman Old Style" w:hAnsi="Bookman Old Style" w:cs="Arial"/>
                <w:b/>
                <w:bCs/>
                <w:spacing w:val="-3"/>
              </w:rPr>
              <w:t xml:space="preserve">JORGE </w:t>
            </w:r>
            <w:r w:rsidR="00CF5EF3">
              <w:rPr>
                <w:rFonts w:ascii="Bookman Old Style" w:hAnsi="Bookman Old Style" w:cs="Arial"/>
                <w:b/>
                <w:bCs/>
                <w:spacing w:val="-3"/>
              </w:rPr>
              <w:t xml:space="preserve">ALBERTO </w:t>
            </w:r>
            <w:r w:rsidRPr="003F7981">
              <w:rPr>
                <w:rFonts w:ascii="Bookman Old Style" w:hAnsi="Bookman Old Style" w:cs="Arial"/>
                <w:b/>
                <w:bCs/>
                <w:spacing w:val="-3"/>
              </w:rPr>
              <w:t>VALENCIA MARIN</w:t>
            </w:r>
          </w:p>
        </w:tc>
      </w:tr>
      <w:tr w:rsidR="00D238B3" w:rsidRPr="003F7981" w14:paraId="10611363" w14:textId="77777777" w:rsidTr="27981787">
        <w:trPr>
          <w:trHeight w:val="699"/>
          <w:tblCellSpacing w:w="0" w:type="dxa"/>
        </w:trPr>
        <w:tc>
          <w:tcPr>
            <w:tcW w:w="4962" w:type="dxa"/>
            <w:hideMark/>
          </w:tcPr>
          <w:p w14:paraId="6060631A" w14:textId="77777777" w:rsidR="00C7153E" w:rsidRDefault="00C7153E" w:rsidP="00CF067A">
            <w:pPr>
              <w:ind w:left="66" w:right="6"/>
              <w:contextualSpacing/>
              <w:jc w:val="center"/>
              <w:rPr>
                <w:rFonts w:ascii="Bookman Old Style" w:hAnsi="Bookman Old Style" w:cs="Arial"/>
                <w:spacing w:val="-3"/>
              </w:rPr>
            </w:pPr>
            <w:r>
              <w:rPr>
                <w:rFonts w:ascii="Bookman Old Style" w:hAnsi="Bookman Old Style" w:cs="Arial"/>
                <w:spacing w:val="-3"/>
              </w:rPr>
              <w:t>Vicem</w:t>
            </w:r>
            <w:r w:rsidR="0D2E9003" w:rsidRPr="003F7981">
              <w:rPr>
                <w:rFonts w:ascii="Bookman Old Style" w:hAnsi="Bookman Old Style" w:cs="Arial"/>
                <w:spacing w:val="-3"/>
              </w:rPr>
              <w:t>inistro</w:t>
            </w:r>
            <w:r w:rsidR="3D6E5315" w:rsidRPr="003F7981">
              <w:rPr>
                <w:rFonts w:ascii="Bookman Old Style" w:hAnsi="Bookman Old Style" w:cs="Arial"/>
                <w:spacing w:val="-3"/>
              </w:rPr>
              <w:t xml:space="preserve"> de Energía</w:t>
            </w:r>
            <w:r w:rsidR="04647395" w:rsidRPr="003F7981">
              <w:rPr>
                <w:rFonts w:ascii="Bookman Old Style" w:hAnsi="Bookman Old Style" w:cs="Arial"/>
                <w:spacing w:val="-3"/>
              </w:rPr>
              <w:t xml:space="preserve">, </w:t>
            </w:r>
            <w:bookmarkStart w:id="6" w:name="_Int_vKphuSQy"/>
            <w:proofErr w:type="gramStart"/>
            <w:r w:rsidR="04647395" w:rsidRPr="003F7981">
              <w:rPr>
                <w:rFonts w:ascii="Bookman Old Style" w:hAnsi="Bookman Old Style" w:cs="Arial"/>
                <w:spacing w:val="-3"/>
              </w:rPr>
              <w:t>Delegado</w:t>
            </w:r>
            <w:bookmarkEnd w:id="6"/>
            <w:proofErr w:type="gramEnd"/>
            <w:r w:rsidR="04647395" w:rsidRPr="003F7981">
              <w:rPr>
                <w:rFonts w:ascii="Bookman Old Style" w:hAnsi="Bookman Old Style" w:cs="Arial"/>
                <w:spacing w:val="-3"/>
              </w:rPr>
              <w:t xml:space="preserve"> </w:t>
            </w:r>
          </w:p>
          <w:p w14:paraId="05A100EF" w14:textId="77777777" w:rsidR="00854E71" w:rsidRDefault="00682923" w:rsidP="00682923">
            <w:pPr>
              <w:ind w:left="66" w:right="6"/>
              <w:contextualSpacing/>
              <w:jc w:val="center"/>
              <w:rPr>
                <w:rFonts w:ascii="Bookman Old Style" w:hAnsi="Bookman Old Style" w:cs="Arial"/>
                <w:spacing w:val="-3"/>
              </w:rPr>
            </w:pPr>
            <w:r>
              <w:rPr>
                <w:rFonts w:ascii="Bookman Old Style" w:hAnsi="Bookman Old Style" w:cs="Arial"/>
                <w:spacing w:val="-3"/>
              </w:rPr>
              <w:t>d</w:t>
            </w:r>
            <w:r w:rsidR="00C7153E">
              <w:rPr>
                <w:rFonts w:ascii="Bookman Old Style" w:hAnsi="Bookman Old Style" w:cs="Arial"/>
                <w:spacing w:val="-3"/>
              </w:rPr>
              <w:t>el</w:t>
            </w:r>
            <w:r>
              <w:rPr>
                <w:rFonts w:ascii="Bookman Old Style" w:hAnsi="Bookman Old Style" w:cs="Arial"/>
                <w:spacing w:val="-3"/>
              </w:rPr>
              <w:t xml:space="preserve"> </w:t>
            </w:r>
            <w:proofErr w:type="gramStart"/>
            <w:r>
              <w:rPr>
                <w:rFonts w:ascii="Bookman Old Style" w:hAnsi="Bookman Old Style" w:cs="Arial"/>
                <w:spacing w:val="-3"/>
              </w:rPr>
              <w:t>Ministr</w:t>
            </w:r>
            <w:r w:rsidR="00C7153E">
              <w:rPr>
                <w:rFonts w:ascii="Bookman Old Style" w:hAnsi="Bookman Old Style" w:cs="Arial"/>
                <w:spacing w:val="-3"/>
              </w:rPr>
              <w:t>o</w:t>
            </w:r>
            <w:proofErr w:type="gramEnd"/>
            <w:r w:rsidR="00854E71" w:rsidRPr="003F7981">
              <w:rPr>
                <w:rFonts w:ascii="Bookman Old Style" w:hAnsi="Bookman Old Style" w:cs="Arial"/>
                <w:spacing w:val="-3"/>
              </w:rPr>
              <w:t xml:space="preserve"> de Minas y Energía</w:t>
            </w:r>
          </w:p>
          <w:p w14:paraId="64D7C7A7" w14:textId="045AE8A9" w:rsidR="00682923" w:rsidRPr="003F7981" w:rsidRDefault="00682923" w:rsidP="00682923">
            <w:pPr>
              <w:ind w:left="66" w:right="6"/>
              <w:contextualSpacing/>
              <w:jc w:val="center"/>
              <w:rPr>
                <w:rFonts w:ascii="Bookman Old Style" w:eastAsia="Arial Unicode MS" w:hAnsi="Bookman Old Style" w:cs="Arial"/>
                <w:color w:val="000000"/>
              </w:rPr>
            </w:pPr>
            <w:r>
              <w:rPr>
                <w:rFonts w:ascii="Bookman Old Style" w:eastAsia="Arial Unicode MS" w:hAnsi="Bookman Old Style" w:cs="Arial"/>
                <w:color w:val="000000"/>
              </w:rPr>
              <w:t>Presidente</w:t>
            </w:r>
          </w:p>
        </w:tc>
        <w:tc>
          <w:tcPr>
            <w:tcW w:w="4819" w:type="dxa"/>
            <w:hideMark/>
          </w:tcPr>
          <w:p w14:paraId="45134C40" w14:textId="0C99254C" w:rsidR="00D238B3" w:rsidRPr="003F7981" w:rsidRDefault="61393BDB" w:rsidP="27981787">
            <w:pPr>
              <w:ind w:right="6"/>
              <w:contextualSpacing/>
              <w:jc w:val="center"/>
              <w:rPr>
                <w:rFonts w:ascii="Bookman Old Style" w:hAnsi="Bookman Old Style" w:cs="Arial"/>
              </w:rPr>
            </w:pPr>
            <w:r w:rsidRPr="003F7981">
              <w:rPr>
                <w:rFonts w:ascii="Bookman Old Style" w:hAnsi="Bookman Old Style" w:cs="Arial"/>
                <w:spacing w:val="-3"/>
              </w:rPr>
              <w:t>Director Ejecutivo</w:t>
            </w:r>
          </w:p>
        </w:tc>
      </w:tr>
    </w:tbl>
    <w:p w14:paraId="0EFDCA58" w14:textId="77777777" w:rsidR="004D28B1" w:rsidRPr="003F7981" w:rsidRDefault="004D28B1" w:rsidP="00560ACC">
      <w:pPr>
        <w:ind w:right="6"/>
        <w:contextualSpacing/>
        <w:rPr>
          <w:rFonts w:ascii="Bookman Old Style" w:hAnsi="Bookman Old Style"/>
        </w:rPr>
      </w:pPr>
    </w:p>
    <w:sectPr w:rsidR="004D28B1" w:rsidRPr="003F7981" w:rsidSect="00CF067A">
      <w:headerReference w:type="default" r:id="rId13"/>
      <w:headerReference w:type="first" r:id="rId14"/>
      <w:type w:val="continuous"/>
      <w:pgSz w:w="12242" w:h="18722" w:code="123"/>
      <w:pgMar w:top="1440" w:right="1440" w:bottom="167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54F8" w14:textId="77777777" w:rsidR="00F477CA" w:rsidRDefault="00F477CA">
      <w:r>
        <w:separator/>
      </w:r>
    </w:p>
  </w:endnote>
  <w:endnote w:type="continuationSeparator" w:id="0">
    <w:p w14:paraId="4771892C" w14:textId="77777777" w:rsidR="00F477CA" w:rsidRDefault="00F477CA">
      <w:r>
        <w:continuationSeparator/>
      </w:r>
    </w:p>
  </w:endnote>
  <w:endnote w:type="continuationNotice" w:id="1">
    <w:p w14:paraId="75298FE0" w14:textId="77777777" w:rsidR="00F477CA" w:rsidRDefault="00F47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altName w:val="Comic Sans MS"/>
    <w:panose1 w:val="030F0702030302020204"/>
    <w:charset w:val="00"/>
    <w:family w:val="script"/>
    <w:pitch w:val="variable"/>
    <w:sig w:usb0="00000287" w:usb1="4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E07B" w14:textId="77777777" w:rsidR="00F477CA" w:rsidRDefault="00F477CA">
      <w:r>
        <w:separator/>
      </w:r>
    </w:p>
  </w:footnote>
  <w:footnote w:type="continuationSeparator" w:id="0">
    <w:p w14:paraId="0CB6581C" w14:textId="77777777" w:rsidR="00F477CA" w:rsidRDefault="00F477CA">
      <w:r>
        <w:continuationSeparator/>
      </w:r>
    </w:p>
  </w:footnote>
  <w:footnote w:type="continuationNotice" w:id="1">
    <w:p w14:paraId="375B1918" w14:textId="77777777" w:rsidR="00F477CA" w:rsidRDefault="00F47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A9C5" w14:textId="77777777" w:rsidR="00CF067A" w:rsidRDefault="00CF067A" w:rsidP="00951F79">
    <w:pPr>
      <w:pStyle w:val="Ttulo1"/>
      <w:ind w:right="6"/>
      <w:jc w:val="left"/>
      <w:rPr>
        <w:rFonts w:ascii="Bookman Old Style" w:hAnsi="Bookman Old Style" w:cs="Arial"/>
        <w:b w:val="0"/>
        <w:sz w:val="22"/>
        <w:szCs w:val="22"/>
      </w:rPr>
    </w:pPr>
  </w:p>
  <w:p w14:paraId="36B1EA65" w14:textId="3BA46B7F" w:rsidR="00CF067A" w:rsidRPr="00951F79" w:rsidRDefault="00CF067A" w:rsidP="00951F79">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AD369B">
      <w:rPr>
        <w:rFonts w:ascii="Bookman Old Style" w:hAnsi="Bookman Old Style" w:cs="Arial"/>
        <w:b w:val="0"/>
        <w:szCs w:val="24"/>
      </w:rPr>
      <w:t>.</w:t>
    </w:r>
    <w:r w:rsidRPr="00AD369B">
      <w:rPr>
        <w:rFonts w:ascii="Bookman Old Style" w:hAnsi="Bookman Old Style" w:cs="Arial"/>
        <w:bCs/>
        <w:szCs w:val="24"/>
        <w:u w:val="single"/>
      </w:rPr>
      <w:t xml:space="preserve"> </w:t>
    </w:r>
    <w:r>
      <w:rPr>
        <w:rFonts w:ascii="Bookman Old Style" w:hAnsi="Bookman Old Style" w:cs="Arial"/>
        <w:bCs/>
        <w:szCs w:val="24"/>
        <w:u w:val="single"/>
      </w:rPr>
      <w:t xml:space="preserve">501 </w:t>
    </w:r>
    <w:proofErr w:type="gramStart"/>
    <w:r w:rsidR="00C7153E">
      <w:rPr>
        <w:rFonts w:ascii="Bookman Old Style" w:hAnsi="Bookman Old Style" w:cs="Arial"/>
        <w:bCs/>
        <w:szCs w:val="24"/>
        <w:u w:val="single"/>
      </w:rPr>
      <w:t>059</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proofErr w:type="gramEnd"/>
    <w:r>
      <w:rPr>
        <w:rFonts w:ascii="Bookman Old Style" w:hAnsi="Bookman Old Style" w:cs="Arial"/>
        <w:b w:val="0"/>
        <w:sz w:val="22"/>
        <w:szCs w:val="22"/>
      </w:rPr>
      <w:t xml:space="preserve">DE  </w:t>
    </w:r>
    <w:r w:rsidRPr="00AD369B">
      <w:rPr>
        <w:rFonts w:ascii="Bookman Old Style" w:hAnsi="Bookman Old Style" w:cs="Arial"/>
        <w:b w:val="0"/>
        <w:sz w:val="22"/>
        <w:szCs w:val="22"/>
        <w:u w:val="single"/>
      </w:rPr>
      <w:t xml:space="preserve"> </w:t>
    </w:r>
    <w:r w:rsidR="00C7153E">
      <w:rPr>
        <w:rFonts w:ascii="Bookman Old Style" w:hAnsi="Bookman Old Style" w:cs="Arial"/>
        <w:bCs/>
        <w:szCs w:val="24"/>
        <w:u w:val="single"/>
      </w:rPr>
      <w:t>15</w:t>
    </w:r>
    <w:r w:rsidRPr="00AD369B">
      <w:rPr>
        <w:rFonts w:ascii="Bookman Old Style" w:hAnsi="Bookman Old Style" w:cs="Arial"/>
        <w:bCs/>
        <w:szCs w:val="24"/>
        <w:u w:val="single"/>
      </w:rPr>
      <w:t xml:space="preserve"> JU</w:t>
    </w:r>
    <w:r w:rsidR="00604901">
      <w:rPr>
        <w:rFonts w:ascii="Bookman Old Style" w:hAnsi="Bookman Old Style" w:cs="Arial"/>
        <w:bCs/>
        <w:szCs w:val="24"/>
        <w:u w:val="single"/>
      </w:rPr>
      <w:t>L</w:t>
    </w:r>
    <w:r w:rsidRPr="00AD369B">
      <w:rPr>
        <w:rFonts w:ascii="Bookman Old Style" w:hAnsi="Bookman Old Style" w:cs="Arial"/>
        <w:bCs/>
        <w:szCs w:val="24"/>
        <w:u w:val="single"/>
      </w:rPr>
      <w:t>. 202</w:t>
    </w:r>
    <w:r>
      <w:rPr>
        <w:rFonts w:ascii="Bookman Old Style" w:hAnsi="Bookman Old Style" w:cs="Arial"/>
        <w:bCs/>
        <w:szCs w:val="24"/>
        <w:u w:val="single"/>
      </w:rPr>
      <w:t>2</w:t>
    </w:r>
    <w:r w:rsidRPr="00AD369B">
      <w:rPr>
        <w:rFonts w:ascii="Bookman Old Style" w:hAnsi="Bookman Old Style" w:cs="Arial"/>
        <w:b w:val="0"/>
        <w:sz w:val="22"/>
        <w:szCs w:val="22"/>
        <w:u w:val="single"/>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sz w:val="22"/>
        <w:szCs w:val="22"/>
      </w:rPr>
      <w:fldChar w:fldCharType="begin"/>
    </w:r>
    <w:r>
      <w:rPr>
        <w:rFonts w:ascii="Bookman Old Style" w:hAnsi="Bookman Old Style" w:cs="Arial"/>
        <w:b w:val="0"/>
        <w:sz w:val="22"/>
        <w:szCs w:val="22"/>
      </w:rPr>
      <w:instrText xml:space="preserve"> NUMPAGES  \* MERGEFORMAT </w:instrText>
    </w:r>
    <w:r>
      <w:rPr>
        <w:rFonts w:ascii="Bookman Old Style" w:hAnsi="Bookman Old Style" w:cs="Arial"/>
        <w:b w:val="0"/>
        <w:sz w:val="22"/>
        <w:szCs w:val="22"/>
      </w:rPr>
      <w:fldChar w:fldCharType="separate"/>
    </w:r>
    <w:r>
      <w:rPr>
        <w:rFonts w:ascii="Bookman Old Style" w:hAnsi="Bookman Old Style" w:cs="Arial"/>
        <w:b w:val="0"/>
        <w:noProof/>
        <w:sz w:val="22"/>
        <w:szCs w:val="22"/>
      </w:rPr>
      <w:t>17</w:t>
    </w:r>
    <w:r>
      <w:rPr>
        <w:rFonts w:ascii="Bookman Old Style" w:hAnsi="Bookman Old Style" w:cs="Arial"/>
        <w:b w:val="0"/>
        <w:sz w:val="22"/>
        <w:szCs w:val="22"/>
      </w:rPr>
      <w:fldChar w:fldCharType="end"/>
    </w:r>
  </w:p>
  <w:p w14:paraId="6279FA08" w14:textId="77777777" w:rsidR="00CF067A" w:rsidRDefault="00CF067A" w:rsidP="00053032">
    <w:pPr>
      <w:pStyle w:val="Textodebloque"/>
      <w:ind w:left="0" w:right="142"/>
      <w:rPr>
        <w:rFonts w:ascii="Bookman Old Style" w:hAnsi="Bookman Old Style" w:cs="Arial"/>
        <w:szCs w:val="24"/>
      </w:rPr>
    </w:pPr>
    <w:r>
      <w:rPr>
        <w:noProof/>
        <w:lang w:val="en-US" w:eastAsia="en-US"/>
      </w:rPr>
      <mc:AlternateContent>
        <mc:Choice Requires="wps">
          <w:drawing>
            <wp:anchor distT="0" distB="0" distL="114300" distR="114300" simplePos="0" relativeHeight="251658240" behindDoc="0" locked="0" layoutInCell="1" allowOverlap="1" wp14:anchorId="4489AA18" wp14:editId="704F40EB">
              <wp:simplePos x="0" y="0"/>
              <wp:positionH relativeFrom="column">
                <wp:posOffset>-9884</wp:posOffset>
              </wp:positionH>
              <wp:positionV relativeFrom="paragraph">
                <wp:posOffset>144475</wp:posOffset>
              </wp:positionV>
              <wp:extent cx="6342380" cy="9939131"/>
              <wp:effectExtent l="0" t="0" r="20320" b="2413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2380" cy="9939131"/>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D8BDFE7">
            <v:rect id="Rectangle 4" style="position:absolute;margin-left:-.8pt;margin-top:11.4pt;width:499.4pt;height:78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2E642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"/>
          </w:pict>
        </mc:Fallback>
      </mc:AlternateContent>
    </w:r>
    <w:r w:rsidRPr="00507115">
      <w:rPr>
        <w:rFonts w:ascii="Bookman Old Style" w:hAnsi="Bookman Old Style" w:cs="Arial"/>
        <w:szCs w:val="24"/>
      </w:rPr>
      <w:t xml:space="preserve"> </w:t>
    </w:r>
  </w:p>
  <w:p w14:paraId="088D54CB" w14:textId="615A3AB5" w:rsidR="00CF067A" w:rsidRDefault="00CF067A" w:rsidP="00AD369B">
    <w:pPr>
      <w:pStyle w:val="Textodebloque"/>
      <w:spacing w:after="0"/>
      <w:ind w:left="283" w:right="142"/>
      <w:rPr>
        <w:rFonts w:ascii="Bookman Old Style" w:hAnsi="Bookman Old Style"/>
      </w:rPr>
    </w:pPr>
    <w:r w:rsidRPr="00053032">
      <w:rPr>
        <w:rFonts w:ascii="Bookman Old Style" w:hAnsi="Bookman Old Style"/>
      </w:rPr>
      <w:t xml:space="preserve">Por la cual se determina el cargo máximo de generación para el mercado relevante de comercialización de la cabecera municipal de </w:t>
    </w:r>
    <w:r>
      <w:rPr>
        <w:rFonts w:ascii="Bookman Old Style" w:hAnsi="Bookman Old Style"/>
      </w:rPr>
      <w:t>Puerto Carreño</w:t>
    </w:r>
    <w:r w:rsidRPr="00053032">
      <w:rPr>
        <w:rFonts w:ascii="Bookman Old Style" w:hAnsi="Bookman Old Style"/>
      </w:rPr>
      <w:t xml:space="preserve"> en el </w:t>
    </w:r>
    <w:r w:rsidR="00604901">
      <w:rPr>
        <w:rFonts w:ascii="Bookman Old Style" w:hAnsi="Bookman Old Style"/>
      </w:rPr>
      <w:t>D</w:t>
    </w:r>
    <w:r w:rsidRPr="00053032">
      <w:rPr>
        <w:rFonts w:ascii="Bookman Old Style" w:hAnsi="Bookman Old Style"/>
      </w:rPr>
      <w:t>epartamento del V</w:t>
    </w:r>
    <w:r>
      <w:rPr>
        <w:rFonts w:ascii="Bookman Old Style" w:hAnsi="Bookman Old Style"/>
      </w:rPr>
      <w:t>ichada</w:t>
    </w:r>
    <w:r w:rsidRPr="00053032">
      <w:rPr>
        <w:rFonts w:ascii="Bookman Old Style" w:hAnsi="Bookman Old Style"/>
      </w:rPr>
      <w:t>.</w:t>
    </w:r>
  </w:p>
  <w:p w14:paraId="28F3F09E" w14:textId="0D17716A" w:rsidR="00CF067A" w:rsidRPr="00053032" w:rsidRDefault="00CF067A" w:rsidP="00AD369B">
    <w:pPr>
      <w:pStyle w:val="Textodebloque"/>
      <w:spacing w:after="0"/>
      <w:ind w:left="283" w:right="142"/>
      <w:rPr>
        <w:rFonts w:ascii="Bookman Old Style" w:hAnsi="Bookman Old Style"/>
      </w:rPr>
    </w:pPr>
    <w:r>
      <w:rPr>
        <w:rFonts w:ascii="Bookman Old Style" w:hAnsi="Bookman Old Style"/>
      </w:rPr>
      <w:t>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145D" w14:textId="77777777" w:rsidR="00CF067A" w:rsidRDefault="00CF067A">
    <w:pPr>
      <w:pStyle w:val="Encabezado"/>
      <w:jc w:val="center"/>
      <w:rPr>
        <w:rFonts w:ascii="Arial" w:hAnsi="Arial" w:cs="Arial"/>
        <w:spacing w:val="20"/>
        <w:sz w:val="20"/>
      </w:rPr>
    </w:pPr>
    <w:r>
      <w:rPr>
        <w:rFonts w:ascii="Arial" w:hAnsi="Arial" w:cs="Arial"/>
        <w:spacing w:val="20"/>
        <w:sz w:val="20"/>
      </w:rPr>
      <w:t>República de Colombia</w:t>
    </w:r>
  </w:p>
  <w:p w14:paraId="1DEBF43A" w14:textId="77777777" w:rsidR="00CF067A" w:rsidRDefault="00CF067A">
    <w:pPr>
      <w:pStyle w:val="Encabezado"/>
      <w:jc w:val="center"/>
      <w:rPr>
        <w:rFonts w:ascii="Arial" w:hAnsi="Arial" w:cs="Arial"/>
        <w:spacing w:val="20"/>
        <w:sz w:val="20"/>
      </w:rPr>
    </w:pPr>
  </w:p>
  <w:p w14:paraId="000510A4" w14:textId="77777777" w:rsidR="00CF067A" w:rsidRDefault="00CF067A" w:rsidP="00CA77FB">
    <w:pPr>
      <w:pStyle w:val="Encabezado"/>
      <w:jc w:val="center"/>
    </w:pPr>
    <w:r>
      <w:rPr>
        <w:rFonts w:ascii="Arial" w:hAnsi="Arial" w:cs="Arial"/>
        <w:noProof/>
        <w:spacing w:val="20"/>
        <w:sz w:val="20"/>
        <w:lang w:val="en-US" w:eastAsia="en-US"/>
      </w:rPr>
      <mc:AlternateContent>
        <mc:Choice Requires="wps">
          <w:drawing>
            <wp:anchor distT="0" distB="0" distL="114300" distR="114300" simplePos="0" relativeHeight="251658241" behindDoc="0" locked="0" layoutInCell="1" allowOverlap="1" wp14:anchorId="2B7A6E49" wp14:editId="12E5A430">
              <wp:simplePos x="0" y="0"/>
              <wp:positionH relativeFrom="column">
                <wp:posOffset>-8890</wp:posOffset>
              </wp:positionH>
              <wp:positionV relativeFrom="paragraph">
                <wp:posOffset>224790</wp:posOffset>
              </wp:positionV>
              <wp:extent cx="6308090" cy="9839325"/>
              <wp:effectExtent l="15240" t="14605" r="10795"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83932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EF8B460">
            <v:rect id="Rectangle 5" style="position:absolute;margin-left:-.7pt;margin-top:17.7pt;width:496.7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5F70C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"/>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asN4NImkaYycL" int2:id="s4Vj5Ba8">
      <int2:state int2:value="Rejected" int2:type="LegacyProofing"/>
    </int2:textHash>
    <int2:bookmark int2:bookmarkName="_Int_vKphuSQy" int2:invalidationBookmarkName="" int2:hashCode="79RaHMZxGPVhTx" int2:id="wzFdIbS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3C95E8A"/>
    <w:multiLevelType w:val="hybridMultilevel"/>
    <w:tmpl w:val="3806B692"/>
    <w:lvl w:ilvl="0" w:tplc="0C0A0019">
      <w:start w:val="1"/>
      <w:numFmt w:val="lowerLetter"/>
      <w:lvlText w:val="%1."/>
      <w:lvlJc w:val="left"/>
      <w:pPr>
        <w:ind w:left="644" w:hanging="360"/>
      </w:pPr>
    </w:lvl>
    <w:lvl w:ilvl="1" w:tplc="0C0A0019">
      <w:start w:val="1"/>
      <w:numFmt w:val="lowerLetter"/>
      <w:lvlText w:val="%2."/>
      <w:lvlJc w:val="left"/>
      <w:pPr>
        <w:ind w:left="28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4561569"/>
    <w:multiLevelType w:val="hybridMultilevel"/>
    <w:tmpl w:val="FE6E4C60"/>
    <w:lvl w:ilvl="0" w:tplc="93268C86">
      <w:start w:val="1"/>
      <w:numFmt w:val="bullet"/>
      <w:lvlText w:val="•"/>
      <w:lvlJc w:val="left"/>
      <w:pPr>
        <w:tabs>
          <w:tab w:val="num" w:pos="720"/>
        </w:tabs>
        <w:ind w:left="720" w:hanging="360"/>
      </w:pPr>
      <w:rPr>
        <w:rFonts w:ascii="Times New Roman" w:hAnsi="Times New Roman" w:hint="default"/>
      </w:rPr>
    </w:lvl>
    <w:lvl w:ilvl="1" w:tplc="666470E6" w:tentative="1">
      <w:start w:val="1"/>
      <w:numFmt w:val="bullet"/>
      <w:lvlText w:val="•"/>
      <w:lvlJc w:val="left"/>
      <w:pPr>
        <w:tabs>
          <w:tab w:val="num" w:pos="1440"/>
        </w:tabs>
        <w:ind w:left="1440" w:hanging="360"/>
      </w:pPr>
      <w:rPr>
        <w:rFonts w:ascii="Times New Roman" w:hAnsi="Times New Roman" w:hint="default"/>
      </w:rPr>
    </w:lvl>
    <w:lvl w:ilvl="2" w:tplc="A7F60A86" w:tentative="1">
      <w:start w:val="1"/>
      <w:numFmt w:val="bullet"/>
      <w:lvlText w:val="•"/>
      <w:lvlJc w:val="left"/>
      <w:pPr>
        <w:tabs>
          <w:tab w:val="num" w:pos="2160"/>
        </w:tabs>
        <w:ind w:left="2160" w:hanging="360"/>
      </w:pPr>
      <w:rPr>
        <w:rFonts w:ascii="Times New Roman" w:hAnsi="Times New Roman" w:hint="default"/>
      </w:rPr>
    </w:lvl>
    <w:lvl w:ilvl="3" w:tplc="FCEC9788" w:tentative="1">
      <w:start w:val="1"/>
      <w:numFmt w:val="bullet"/>
      <w:lvlText w:val="•"/>
      <w:lvlJc w:val="left"/>
      <w:pPr>
        <w:tabs>
          <w:tab w:val="num" w:pos="2880"/>
        </w:tabs>
        <w:ind w:left="2880" w:hanging="360"/>
      </w:pPr>
      <w:rPr>
        <w:rFonts w:ascii="Times New Roman" w:hAnsi="Times New Roman" w:hint="default"/>
      </w:rPr>
    </w:lvl>
    <w:lvl w:ilvl="4" w:tplc="C0483474" w:tentative="1">
      <w:start w:val="1"/>
      <w:numFmt w:val="bullet"/>
      <w:lvlText w:val="•"/>
      <w:lvlJc w:val="left"/>
      <w:pPr>
        <w:tabs>
          <w:tab w:val="num" w:pos="3600"/>
        </w:tabs>
        <w:ind w:left="3600" w:hanging="360"/>
      </w:pPr>
      <w:rPr>
        <w:rFonts w:ascii="Times New Roman" w:hAnsi="Times New Roman" w:hint="default"/>
      </w:rPr>
    </w:lvl>
    <w:lvl w:ilvl="5" w:tplc="8CC83BA8" w:tentative="1">
      <w:start w:val="1"/>
      <w:numFmt w:val="bullet"/>
      <w:lvlText w:val="•"/>
      <w:lvlJc w:val="left"/>
      <w:pPr>
        <w:tabs>
          <w:tab w:val="num" w:pos="4320"/>
        </w:tabs>
        <w:ind w:left="4320" w:hanging="360"/>
      </w:pPr>
      <w:rPr>
        <w:rFonts w:ascii="Times New Roman" w:hAnsi="Times New Roman" w:hint="default"/>
      </w:rPr>
    </w:lvl>
    <w:lvl w:ilvl="6" w:tplc="11DCAB8A" w:tentative="1">
      <w:start w:val="1"/>
      <w:numFmt w:val="bullet"/>
      <w:lvlText w:val="•"/>
      <w:lvlJc w:val="left"/>
      <w:pPr>
        <w:tabs>
          <w:tab w:val="num" w:pos="5040"/>
        </w:tabs>
        <w:ind w:left="5040" w:hanging="360"/>
      </w:pPr>
      <w:rPr>
        <w:rFonts w:ascii="Times New Roman" w:hAnsi="Times New Roman" w:hint="default"/>
      </w:rPr>
    </w:lvl>
    <w:lvl w:ilvl="7" w:tplc="450AF894" w:tentative="1">
      <w:start w:val="1"/>
      <w:numFmt w:val="bullet"/>
      <w:lvlText w:val="•"/>
      <w:lvlJc w:val="left"/>
      <w:pPr>
        <w:tabs>
          <w:tab w:val="num" w:pos="5760"/>
        </w:tabs>
        <w:ind w:left="5760" w:hanging="360"/>
      </w:pPr>
      <w:rPr>
        <w:rFonts w:ascii="Times New Roman" w:hAnsi="Times New Roman" w:hint="default"/>
      </w:rPr>
    </w:lvl>
    <w:lvl w:ilvl="8" w:tplc="D69EF5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844659"/>
    <w:multiLevelType w:val="multilevel"/>
    <w:tmpl w:val="DEA4FC0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7655057"/>
    <w:multiLevelType w:val="hybridMultilevel"/>
    <w:tmpl w:val="A828BA4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09720070"/>
    <w:multiLevelType w:val="hybridMultilevel"/>
    <w:tmpl w:val="71D2E7DC"/>
    <w:lvl w:ilvl="0" w:tplc="CFAA6A46">
      <w:start w:val="1"/>
      <w:numFmt w:val="lowerLetter"/>
      <w:lvlText w:val="%1."/>
      <w:lvlJc w:val="left"/>
      <w:pPr>
        <w:ind w:left="1552" w:hanging="420"/>
      </w:pPr>
      <w:rPr>
        <w:rFonts w:hint="default"/>
      </w:rPr>
    </w:lvl>
    <w:lvl w:ilvl="1" w:tplc="240A0019" w:tentative="1">
      <w:start w:val="1"/>
      <w:numFmt w:val="lowerLetter"/>
      <w:lvlText w:val="%2."/>
      <w:lvlJc w:val="left"/>
      <w:pPr>
        <w:ind w:left="2212" w:hanging="360"/>
      </w:pPr>
    </w:lvl>
    <w:lvl w:ilvl="2" w:tplc="240A001B" w:tentative="1">
      <w:start w:val="1"/>
      <w:numFmt w:val="lowerRoman"/>
      <w:lvlText w:val="%3."/>
      <w:lvlJc w:val="right"/>
      <w:pPr>
        <w:ind w:left="2932" w:hanging="180"/>
      </w:pPr>
    </w:lvl>
    <w:lvl w:ilvl="3" w:tplc="240A000F" w:tentative="1">
      <w:start w:val="1"/>
      <w:numFmt w:val="decimal"/>
      <w:lvlText w:val="%4."/>
      <w:lvlJc w:val="left"/>
      <w:pPr>
        <w:ind w:left="3652" w:hanging="360"/>
      </w:pPr>
    </w:lvl>
    <w:lvl w:ilvl="4" w:tplc="240A0019" w:tentative="1">
      <w:start w:val="1"/>
      <w:numFmt w:val="lowerLetter"/>
      <w:lvlText w:val="%5."/>
      <w:lvlJc w:val="left"/>
      <w:pPr>
        <w:ind w:left="4372" w:hanging="360"/>
      </w:pPr>
    </w:lvl>
    <w:lvl w:ilvl="5" w:tplc="240A001B" w:tentative="1">
      <w:start w:val="1"/>
      <w:numFmt w:val="lowerRoman"/>
      <w:lvlText w:val="%6."/>
      <w:lvlJc w:val="right"/>
      <w:pPr>
        <w:ind w:left="5092" w:hanging="180"/>
      </w:pPr>
    </w:lvl>
    <w:lvl w:ilvl="6" w:tplc="240A000F" w:tentative="1">
      <w:start w:val="1"/>
      <w:numFmt w:val="decimal"/>
      <w:lvlText w:val="%7."/>
      <w:lvlJc w:val="left"/>
      <w:pPr>
        <w:ind w:left="5812" w:hanging="360"/>
      </w:pPr>
    </w:lvl>
    <w:lvl w:ilvl="7" w:tplc="240A0019" w:tentative="1">
      <w:start w:val="1"/>
      <w:numFmt w:val="lowerLetter"/>
      <w:lvlText w:val="%8."/>
      <w:lvlJc w:val="left"/>
      <w:pPr>
        <w:ind w:left="6532" w:hanging="360"/>
      </w:pPr>
    </w:lvl>
    <w:lvl w:ilvl="8" w:tplc="240A001B" w:tentative="1">
      <w:start w:val="1"/>
      <w:numFmt w:val="lowerRoman"/>
      <w:lvlText w:val="%9."/>
      <w:lvlJc w:val="right"/>
      <w:pPr>
        <w:ind w:left="7252" w:hanging="180"/>
      </w:pPr>
    </w:lvl>
  </w:abstractNum>
  <w:abstractNum w:abstractNumId="7" w15:restartNumberingAfterBreak="0">
    <w:nsid w:val="09901A1E"/>
    <w:multiLevelType w:val="hybridMultilevel"/>
    <w:tmpl w:val="49EEC4E2"/>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9"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4D793F"/>
    <w:multiLevelType w:val="hybridMultilevel"/>
    <w:tmpl w:val="61706B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194114BA"/>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15:restartNumberingAfterBreak="0">
    <w:nsid w:val="1CF63874"/>
    <w:multiLevelType w:val="hybridMultilevel"/>
    <w:tmpl w:val="D7964F3C"/>
    <w:lvl w:ilvl="0" w:tplc="06F077C6">
      <w:start w:val="1"/>
      <w:numFmt w:val="decimal"/>
      <w:lvlText w:val="%1."/>
      <w:lvlJc w:val="left"/>
      <w:pPr>
        <w:ind w:left="720" w:hanging="360"/>
      </w:pPr>
    </w:lvl>
    <w:lvl w:ilvl="1" w:tplc="50100124">
      <w:start w:val="1"/>
      <w:numFmt w:val="lowerLetter"/>
      <w:lvlText w:val="%2."/>
      <w:lvlJc w:val="left"/>
      <w:pPr>
        <w:ind w:left="1440" w:hanging="360"/>
      </w:pPr>
    </w:lvl>
    <w:lvl w:ilvl="2" w:tplc="0AEA1D8A">
      <w:start w:val="1"/>
      <w:numFmt w:val="lowerRoman"/>
      <w:lvlText w:val="%3."/>
      <w:lvlJc w:val="right"/>
      <w:pPr>
        <w:ind w:left="2160" w:hanging="180"/>
      </w:pPr>
    </w:lvl>
    <w:lvl w:ilvl="3" w:tplc="B9B010B8">
      <w:start w:val="1"/>
      <w:numFmt w:val="decimal"/>
      <w:lvlText w:val="%4."/>
      <w:lvlJc w:val="left"/>
      <w:pPr>
        <w:ind w:left="2880" w:hanging="360"/>
      </w:pPr>
    </w:lvl>
    <w:lvl w:ilvl="4" w:tplc="D93A292C">
      <w:start w:val="1"/>
      <w:numFmt w:val="lowerLetter"/>
      <w:lvlText w:val="%5."/>
      <w:lvlJc w:val="left"/>
      <w:pPr>
        <w:ind w:left="3600" w:hanging="360"/>
      </w:pPr>
    </w:lvl>
    <w:lvl w:ilvl="5" w:tplc="F02C69A8">
      <w:start w:val="1"/>
      <w:numFmt w:val="lowerRoman"/>
      <w:lvlText w:val="%6."/>
      <w:lvlJc w:val="right"/>
      <w:pPr>
        <w:ind w:left="4320" w:hanging="180"/>
      </w:pPr>
    </w:lvl>
    <w:lvl w:ilvl="6" w:tplc="F26CB838">
      <w:start w:val="1"/>
      <w:numFmt w:val="decimal"/>
      <w:lvlText w:val="%7."/>
      <w:lvlJc w:val="left"/>
      <w:pPr>
        <w:ind w:left="5040" w:hanging="360"/>
      </w:pPr>
    </w:lvl>
    <w:lvl w:ilvl="7" w:tplc="EC32E44A">
      <w:start w:val="1"/>
      <w:numFmt w:val="lowerLetter"/>
      <w:lvlText w:val="%8."/>
      <w:lvlJc w:val="left"/>
      <w:pPr>
        <w:ind w:left="5760" w:hanging="360"/>
      </w:pPr>
    </w:lvl>
    <w:lvl w:ilvl="8" w:tplc="74BE00FC">
      <w:start w:val="1"/>
      <w:numFmt w:val="lowerRoman"/>
      <w:lvlText w:val="%9."/>
      <w:lvlJc w:val="right"/>
      <w:pPr>
        <w:ind w:left="6480" w:hanging="180"/>
      </w:pPr>
    </w:lvl>
  </w:abstractNum>
  <w:abstractNum w:abstractNumId="13" w15:restartNumberingAfterBreak="0">
    <w:nsid w:val="1F0D7481"/>
    <w:multiLevelType w:val="hybridMultilevel"/>
    <w:tmpl w:val="4436407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B23CC3"/>
    <w:multiLevelType w:val="hybridMultilevel"/>
    <w:tmpl w:val="8A9C2C42"/>
    <w:lvl w:ilvl="0" w:tplc="24067DDC">
      <w:start w:val="1"/>
      <w:numFmt w:val="bullet"/>
      <w:lvlText w:val="•"/>
      <w:lvlJc w:val="left"/>
      <w:pPr>
        <w:tabs>
          <w:tab w:val="num" w:pos="720"/>
        </w:tabs>
        <w:ind w:left="720" w:hanging="360"/>
      </w:pPr>
      <w:rPr>
        <w:rFonts w:ascii="Times New Roman" w:hAnsi="Times New Roman" w:hint="default"/>
      </w:rPr>
    </w:lvl>
    <w:lvl w:ilvl="1" w:tplc="077EA892" w:tentative="1">
      <w:start w:val="1"/>
      <w:numFmt w:val="bullet"/>
      <w:lvlText w:val="•"/>
      <w:lvlJc w:val="left"/>
      <w:pPr>
        <w:tabs>
          <w:tab w:val="num" w:pos="1440"/>
        </w:tabs>
        <w:ind w:left="1440" w:hanging="360"/>
      </w:pPr>
      <w:rPr>
        <w:rFonts w:ascii="Times New Roman" w:hAnsi="Times New Roman" w:hint="default"/>
      </w:rPr>
    </w:lvl>
    <w:lvl w:ilvl="2" w:tplc="8356FBC6" w:tentative="1">
      <w:start w:val="1"/>
      <w:numFmt w:val="bullet"/>
      <w:lvlText w:val="•"/>
      <w:lvlJc w:val="left"/>
      <w:pPr>
        <w:tabs>
          <w:tab w:val="num" w:pos="2160"/>
        </w:tabs>
        <w:ind w:left="2160" w:hanging="360"/>
      </w:pPr>
      <w:rPr>
        <w:rFonts w:ascii="Times New Roman" w:hAnsi="Times New Roman" w:hint="default"/>
      </w:rPr>
    </w:lvl>
    <w:lvl w:ilvl="3" w:tplc="5FBE7D7C" w:tentative="1">
      <w:start w:val="1"/>
      <w:numFmt w:val="bullet"/>
      <w:lvlText w:val="•"/>
      <w:lvlJc w:val="left"/>
      <w:pPr>
        <w:tabs>
          <w:tab w:val="num" w:pos="2880"/>
        </w:tabs>
        <w:ind w:left="2880" w:hanging="360"/>
      </w:pPr>
      <w:rPr>
        <w:rFonts w:ascii="Times New Roman" w:hAnsi="Times New Roman" w:hint="default"/>
      </w:rPr>
    </w:lvl>
    <w:lvl w:ilvl="4" w:tplc="95320D2E" w:tentative="1">
      <w:start w:val="1"/>
      <w:numFmt w:val="bullet"/>
      <w:lvlText w:val="•"/>
      <w:lvlJc w:val="left"/>
      <w:pPr>
        <w:tabs>
          <w:tab w:val="num" w:pos="3600"/>
        </w:tabs>
        <w:ind w:left="3600" w:hanging="360"/>
      </w:pPr>
      <w:rPr>
        <w:rFonts w:ascii="Times New Roman" w:hAnsi="Times New Roman" w:hint="default"/>
      </w:rPr>
    </w:lvl>
    <w:lvl w:ilvl="5" w:tplc="1A1893EC" w:tentative="1">
      <w:start w:val="1"/>
      <w:numFmt w:val="bullet"/>
      <w:lvlText w:val="•"/>
      <w:lvlJc w:val="left"/>
      <w:pPr>
        <w:tabs>
          <w:tab w:val="num" w:pos="4320"/>
        </w:tabs>
        <w:ind w:left="4320" w:hanging="360"/>
      </w:pPr>
      <w:rPr>
        <w:rFonts w:ascii="Times New Roman" w:hAnsi="Times New Roman" w:hint="default"/>
      </w:rPr>
    </w:lvl>
    <w:lvl w:ilvl="6" w:tplc="5FAE00A4" w:tentative="1">
      <w:start w:val="1"/>
      <w:numFmt w:val="bullet"/>
      <w:lvlText w:val="•"/>
      <w:lvlJc w:val="left"/>
      <w:pPr>
        <w:tabs>
          <w:tab w:val="num" w:pos="5040"/>
        </w:tabs>
        <w:ind w:left="5040" w:hanging="360"/>
      </w:pPr>
      <w:rPr>
        <w:rFonts w:ascii="Times New Roman" w:hAnsi="Times New Roman" w:hint="default"/>
      </w:rPr>
    </w:lvl>
    <w:lvl w:ilvl="7" w:tplc="FC8C1D00" w:tentative="1">
      <w:start w:val="1"/>
      <w:numFmt w:val="bullet"/>
      <w:lvlText w:val="•"/>
      <w:lvlJc w:val="left"/>
      <w:pPr>
        <w:tabs>
          <w:tab w:val="num" w:pos="5760"/>
        </w:tabs>
        <w:ind w:left="5760" w:hanging="360"/>
      </w:pPr>
      <w:rPr>
        <w:rFonts w:ascii="Times New Roman" w:hAnsi="Times New Roman" w:hint="default"/>
      </w:rPr>
    </w:lvl>
    <w:lvl w:ilvl="8" w:tplc="EECEE5E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7BE515C"/>
    <w:multiLevelType w:val="hybridMultilevel"/>
    <w:tmpl w:val="F476072A"/>
    <w:lvl w:ilvl="0" w:tplc="080A0001">
      <w:start w:val="1"/>
      <w:numFmt w:val="bullet"/>
      <w:lvlText w:val=""/>
      <w:lvlJc w:val="left"/>
      <w:pPr>
        <w:ind w:left="1693" w:hanging="360"/>
      </w:pPr>
      <w:rPr>
        <w:rFonts w:ascii="Symbol" w:hAnsi="Symbol" w:hint="default"/>
      </w:rPr>
    </w:lvl>
    <w:lvl w:ilvl="1" w:tplc="080A0003" w:tentative="1">
      <w:start w:val="1"/>
      <w:numFmt w:val="bullet"/>
      <w:lvlText w:val="o"/>
      <w:lvlJc w:val="left"/>
      <w:pPr>
        <w:ind w:left="2413" w:hanging="360"/>
      </w:pPr>
      <w:rPr>
        <w:rFonts w:ascii="Courier New" w:hAnsi="Courier New" w:cs="Courier New" w:hint="default"/>
      </w:rPr>
    </w:lvl>
    <w:lvl w:ilvl="2" w:tplc="080A0005" w:tentative="1">
      <w:start w:val="1"/>
      <w:numFmt w:val="bullet"/>
      <w:lvlText w:val=""/>
      <w:lvlJc w:val="left"/>
      <w:pPr>
        <w:ind w:left="3133" w:hanging="360"/>
      </w:pPr>
      <w:rPr>
        <w:rFonts w:ascii="Wingdings" w:hAnsi="Wingdings" w:hint="default"/>
      </w:rPr>
    </w:lvl>
    <w:lvl w:ilvl="3" w:tplc="080A0001" w:tentative="1">
      <w:start w:val="1"/>
      <w:numFmt w:val="bullet"/>
      <w:lvlText w:val=""/>
      <w:lvlJc w:val="left"/>
      <w:pPr>
        <w:ind w:left="3853" w:hanging="360"/>
      </w:pPr>
      <w:rPr>
        <w:rFonts w:ascii="Symbol" w:hAnsi="Symbol" w:hint="default"/>
      </w:rPr>
    </w:lvl>
    <w:lvl w:ilvl="4" w:tplc="080A0003" w:tentative="1">
      <w:start w:val="1"/>
      <w:numFmt w:val="bullet"/>
      <w:lvlText w:val="o"/>
      <w:lvlJc w:val="left"/>
      <w:pPr>
        <w:ind w:left="4573" w:hanging="360"/>
      </w:pPr>
      <w:rPr>
        <w:rFonts w:ascii="Courier New" w:hAnsi="Courier New" w:cs="Courier New" w:hint="default"/>
      </w:rPr>
    </w:lvl>
    <w:lvl w:ilvl="5" w:tplc="080A0005" w:tentative="1">
      <w:start w:val="1"/>
      <w:numFmt w:val="bullet"/>
      <w:lvlText w:val=""/>
      <w:lvlJc w:val="left"/>
      <w:pPr>
        <w:ind w:left="5293" w:hanging="360"/>
      </w:pPr>
      <w:rPr>
        <w:rFonts w:ascii="Wingdings" w:hAnsi="Wingdings" w:hint="default"/>
      </w:rPr>
    </w:lvl>
    <w:lvl w:ilvl="6" w:tplc="080A0001" w:tentative="1">
      <w:start w:val="1"/>
      <w:numFmt w:val="bullet"/>
      <w:lvlText w:val=""/>
      <w:lvlJc w:val="left"/>
      <w:pPr>
        <w:ind w:left="6013" w:hanging="360"/>
      </w:pPr>
      <w:rPr>
        <w:rFonts w:ascii="Symbol" w:hAnsi="Symbol" w:hint="default"/>
      </w:rPr>
    </w:lvl>
    <w:lvl w:ilvl="7" w:tplc="080A0003" w:tentative="1">
      <w:start w:val="1"/>
      <w:numFmt w:val="bullet"/>
      <w:lvlText w:val="o"/>
      <w:lvlJc w:val="left"/>
      <w:pPr>
        <w:ind w:left="6733" w:hanging="360"/>
      </w:pPr>
      <w:rPr>
        <w:rFonts w:ascii="Courier New" w:hAnsi="Courier New" w:cs="Courier New" w:hint="default"/>
      </w:rPr>
    </w:lvl>
    <w:lvl w:ilvl="8" w:tplc="080A0005" w:tentative="1">
      <w:start w:val="1"/>
      <w:numFmt w:val="bullet"/>
      <w:lvlText w:val=""/>
      <w:lvlJc w:val="left"/>
      <w:pPr>
        <w:ind w:left="7453" w:hanging="360"/>
      </w:pPr>
      <w:rPr>
        <w:rFonts w:ascii="Wingdings" w:hAnsi="Wingdings" w:hint="default"/>
      </w:rPr>
    </w:lvl>
  </w:abstractNum>
  <w:abstractNum w:abstractNumId="17" w15:restartNumberingAfterBreak="0">
    <w:nsid w:val="299626C3"/>
    <w:multiLevelType w:val="hybridMultilevel"/>
    <w:tmpl w:val="9F143E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2F9E6ECA"/>
    <w:multiLevelType w:val="hybridMultilevel"/>
    <w:tmpl w:val="254E9A9E"/>
    <w:lvl w:ilvl="0" w:tplc="07FCB602">
      <w:start w:val="1"/>
      <w:numFmt w:val="bullet"/>
      <w:lvlText w:val="•"/>
      <w:lvlJc w:val="left"/>
      <w:pPr>
        <w:tabs>
          <w:tab w:val="num" w:pos="720"/>
        </w:tabs>
        <w:ind w:left="720" w:hanging="360"/>
      </w:pPr>
      <w:rPr>
        <w:rFonts w:ascii="Times New Roman" w:hAnsi="Times New Roman" w:hint="default"/>
      </w:rPr>
    </w:lvl>
    <w:lvl w:ilvl="1" w:tplc="DA08F9F2" w:tentative="1">
      <w:start w:val="1"/>
      <w:numFmt w:val="bullet"/>
      <w:lvlText w:val="•"/>
      <w:lvlJc w:val="left"/>
      <w:pPr>
        <w:tabs>
          <w:tab w:val="num" w:pos="1440"/>
        </w:tabs>
        <w:ind w:left="1440" w:hanging="360"/>
      </w:pPr>
      <w:rPr>
        <w:rFonts w:ascii="Times New Roman" w:hAnsi="Times New Roman" w:hint="default"/>
      </w:rPr>
    </w:lvl>
    <w:lvl w:ilvl="2" w:tplc="4482A9F8" w:tentative="1">
      <w:start w:val="1"/>
      <w:numFmt w:val="bullet"/>
      <w:lvlText w:val="•"/>
      <w:lvlJc w:val="left"/>
      <w:pPr>
        <w:tabs>
          <w:tab w:val="num" w:pos="2160"/>
        </w:tabs>
        <w:ind w:left="2160" w:hanging="360"/>
      </w:pPr>
      <w:rPr>
        <w:rFonts w:ascii="Times New Roman" w:hAnsi="Times New Roman" w:hint="default"/>
      </w:rPr>
    </w:lvl>
    <w:lvl w:ilvl="3" w:tplc="38709DCA" w:tentative="1">
      <w:start w:val="1"/>
      <w:numFmt w:val="bullet"/>
      <w:lvlText w:val="•"/>
      <w:lvlJc w:val="left"/>
      <w:pPr>
        <w:tabs>
          <w:tab w:val="num" w:pos="2880"/>
        </w:tabs>
        <w:ind w:left="2880" w:hanging="360"/>
      </w:pPr>
      <w:rPr>
        <w:rFonts w:ascii="Times New Roman" w:hAnsi="Times New Roman" w:hint="default"/>
      </w:rPr>
    </w:lvl>
    <w:lvl w:ilvl="4" w:tplc="CFF21244" w:tentative="1">
      <w:start w:val="1"/>
      <w:numFmt w:val="bullet"/>
      <w:lvlText w:val="•"/>
      <w:lvlJc w:val="left"/>
      <w:pPr>
        <w:tabs>
          <w:tab w:val="num" w:pos="3600"/>
        </w:tabs>
        <w:ind w:left="3600" w:hanging="360"/>
      </w:pPr>
      <w:rPr>
        <w:rFonts w:ascii="Times New Roman" w:hAnsi="Times New Roman" w:hint="default"/>
      </w:rPr>
    </w:lvl>
    <w:lvl w:ilvl="5" w:tplc="2FD2D818" w:tentative="1">
      <w:start w:val="1"/>
      <w:numFmt w:val="bullet"/>
      <w:lvlText w:val="•"/>
      <w:lvlJc w:val="left"/>
      <w:pPr>
        <w:tabs>
          <w:tab w:val="num" w:pos="4320"/>
        </w:tabs>
        <w:ind w:left="4320" w:hanging="360"/>
      </w:pPr>
      <w:rPr>
        <w:rFonts w:ascii="Times New Roman" w:hAnsi="Times New Roman" w:hint="default"/>
      </w:rPr>
    </w:lvl>
    <w:lvl w:ilvl="6" w:tplc="87F090F0" w:tentative="1">
      <w:start w:val="1"/>
      <w:numFmt w:val="bullet"/>
      <w:lvlText w:val="•"/>
      <w:lvlJc w:val="left"/>
      <w:pPr>
        <w:tabs>
          <w:tab w:val="num" w:pos="5040"/>
        </w:tabs>
        <w:ind w:left="5040" w:hanging="360"/>
      </w:pPr>
      <w:rPr>
        <w:rFonts w:ascii="Times New Roman" w:hAnsi="Times New Roman" w:hint="default"/>
      </w:rPr>
    </w:lvl>
    <w:lvl w:ilvl="7" w:tplc="BC660A64" w:tentative="1">
      <w:start w:val="1"/>
      <w:numFmt w:val="bullet"/>
      <w:lvlText w:val="•"/>
      <w:lvlJc w:val="left"/>
      <w:pPr>
        <w:tabs>
          <w:tab w:val="num" w:pos="5760"/>
        </w:tabs>
        <w:ind w:left="5760" w:hanging="360"/>
      </w:pPr>
      <w:rPr>
        <w:rFonts w:ascii="Times New Roman" w:hAnsi="Times New Roman" w:hint="default"/>
      </w:rPr>
    </w:lvl>
    <w:lvl w:ilvl="8" w:tplc="0C10170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2AA64B3"/>
    <w:multiLevelType w:val="hybridMultilevel"/>
    <w:tmpl w:val="71D2E7DC"/>
    <w:lvl w:ilvl="0" w:tplc="CFAA6A46">
      <w:start w:val="1"/>
      <w:numFmt w:val="lowerLetter"/>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7283257"/>
    <w:multiLevelType w:val="multilevel"/>
    <w:tmpl w:val="745434BA"/>
    <w:lvl w:ilvl="0">
      <w:start w:val="1"/>
      <w:numFmt w:val="decimal"/>
      <w:lvlText w:val="%1."/>
      <w:lvlJc w:val="left"/>
      <w:pPr>
        <w:ind w:left="644" w:hanging="360"/>
      </w:pPr>
      <w:rPr>
        <w:b/>
      </w:rPr>
    </w:lvl>
    <w:lvl w:ilvl="1">
      <w:start w:val="1"/>
      <w:numFmt w:val="decimal"/>
      <w:lvlText w:val="%1.%2"/>
      <w:lvlJc w:val="left"/>
      <w:pPr>
        <w:ind w:left="1004" w:hanging="720"/>
      </w:pPr>
      <w:rPr>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1" w15:restartNumberingAfterBreak="0">
    <w:nsid w:val="3979120E"/>
    <w:multiLevelType w:val="hybridMultilevel"/>
    <w:tmpl w:val="E5C09F84"/>
    <w:lvl w:ilvl="0" w:tplc="6DC8016C">
      <w:numFmt w:val="bullet"/>
      <w:lvlText w:val="-"/>
      <w:lvlJc w:val="left"/>
      <w:pPr>
        <w:ind w:left="786" w:hanging="360"/>
      </w:pPr>
      <w:rPr>
        <w:rFonts w:ascii="Calibri" w:eastAsiaTheme="minorHAnsi" w:hAnsi="Calibri" w:cstheme="minorBid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2" w15:restartNumberingAfterBreak="0">
    <w:nsid w:val="3ECD7147"/>
    <w:multiLevelType w:val="hybridMultilevel"/>
    <w:tmpl w:val="232A81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D97D28"/>
    <w:multiLevelType w:val="hybridMultilevel"/>
    <w:tmpl w:val="56A67378"/>
    <w:lvl w:ilvl="0" w:tplc="DF1858F6">
      <w:start w:val="1"/>
      <w:numFmt w:val="decimal"/>
      <w:lvlText w:val="%1."/>
      <w:lvlJc w:val="left"/>
      <w:pPr>
        <w:ind w:left="1004" w:hanging="360"/>
      </w:pPr>
      <w:rPr>
        <w:rFonts w:hint="default"/>
        <w:color w:val="4F81BD" w:themeColor="accent1"/>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4"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5" w15:restartNumberingAfterBreak="0">
    <w:nsid w:val="4CB860E7"/>
    <w:multiLevelType w:val="hybridMultilevel"/>
    <w:tmpl w:val="6D0C0874"/>
    <w:lvl w:ilvl="0" w:tplc="6DC8016C">
      <w:numFmt w:val="bullet"/>
      <w:lvlText w:val="-"/>
      <w:lvlJc w:val="left"/>
      <w:pPr>
        <w:ind w:left="1428" w:hanging="360"/>
      </w:pPr>
      <w:rPr>
        <w:rFonts w:ascii="Calibri" w:eastAsiaTheme="minorHAnsi" w:hAnsi="Calibri" w:cstheme="minorBidi"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501D1D75"/>
    <w:multiLevelType w:val="hybridMultilevel"/>
    <w:tmpl w:val="706C7AB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7" w15:restartNumberingAfterBreak="0">
    <w:nsid w:val="52B9427A"/>
    <w:multiLevelType w:val="hybridMultilevel"/>
    <w:tmpl w:val="07FCAB20"/>
    <w:lvl w:ilvl="0" w:tplc="6DC8016C">
      <w:numFmt w:val="bullet"/>
      <w:lvlText w:val="-"/>
      <w:lvlJc w:val="left"/>
      <w:pPr>
        <w:ind w:left="1004" w:hanging="360"/>
      </w:pPr>
      <w:rPr>
        <w:rFonts w:ascii="Calibri" w:eastAsiaTheme="minorHAnsi" w:hAnsi="Calibri" w:cstheme="minorBidi"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8" w15:restartNumberingAfterBreak="0">
    <w:nsid w:val="5318171C"/>
    <w:multiLevelType w:val="hybridMultilevel"/>
    <w:tmpl w:val="75F23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3693B4E"/>
    <w:multiLevelType w:val="hybridMultilevel"/>
    <w:tmpl w:val="D188D578"/>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545638A4"/>
    <w:multiLevelType w:val="hybridMultilevel"/>
    <w:tmpl w:val="4844EFA8"/>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223715"/>
    <w:multiLevelType w:val="hybridMultilevel"/>
    <w:tmpl w:val="18305DF0"/>
    <w:lvl w:ilvl="0" w:tplc="E36AFB58">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3" w15:restartNumberingAfterBreak="0">
    <w:nsid w:val="5D820386"/>
    <w:multiLevelType w:val="hybridMultilevel"/>
    <w:tmpl w:val="9B1CF446"/>
    <w:lvl w:ilvl="0" w:tplc="240A0001">
      <w:start w:val="1"/>
      <w:numFmt w:val="bullet"/>
      <w:lvlText w:val=""/>
      <w:lvlJc w:val="left"/>
      <w:pPr>
        <w:ind w:left="1434" w:hanging="360"/>
      </w:pPr>
      <w:rPr>
        <w:rFonts w:ascii="Symbol" w:hAnsi="Symbol"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34" w15:restartNumberingAfterBreak="0">
    <w:nsid w:val="5F63119C"/>
    <w:multiLevelType w:val="hybridMultilevel"/>
    <w:tmpl w:val="67E2BFD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61507CDC"/>
    <w:multiLevelType w:val="hybridMultilevel"/>
    <w:tmpl w:val="A73C32C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6" w15:restartNumberingAfterBreak="0">
    <w:nsid w:val="629D729B"/>
    <w:multiLevelType w:val="hybridMultilevel"/>
    <w:tmpl w:val="9AB6BA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15:restartNumberingAfterBreak="0">
    <w:nsid w:val="663144B8"/>
    <w:multiLevelType w:val="hybridMultilevel"/>
    <w:tmpl w:val="D868BFC8"/>
    <w:lvl w:ilvl="0" w:tplc="FFFFFFFF">
      <w:start w:val="1"/>
      <w:numFmt w:val="upp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8" w15:restartNumberingAfterBreak="0">
    <w:nsid w:val="696E61CE"/>
    <w:multiLevelType w:val="hybridMultilevel"/>
    <w:tmpl w:val="61DE126E"/>
    <w:lvl w:ilvl="0" w:tplc="7988C44E">
      <w:start w:val="1"/>
      <w:numFmt w:val="lowerLetter"/>
      <w:lvlText w:val="%1."/>
      <w:lvlJc w:val="left"/>
      <w:pPr>
        <w:ind w:left="928" w:hanging="360"/>
      </w:pPr>
      <w:rPr>
        <w:i w:val="0"/>
        <w:sz w:val="24"/>
        <w:szCs w:val="24"/>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9" w15:restartNumberingAfterBreak="0">
    <w:nsid w:val="697911D7"/>
    <w:multiLevelType w:val="hybridMultilevel"/>
    <w:tmpl w:val="1C4CFDE4"/>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15:restartNumberingAfterBreak="0">
    <w:nsid w:val="6A493F7D"/>
    <w:multiLevelType w:val="hybridMultilevel"/>
    <w:tmpl w:val="D1D0A3BE"/>
    <w:lvl w:ilvl="0" w:tplc="3398B6A6">
      <w:start w:val="1"/>
      <w:numFmt w:val="upperLetter"/>
      <w:lvlText w:val="%1."/>
      <w:lvlJc w:val="left"/>
      <w:pPr>
        <w:ind w:left="1004" w:hanging="360"/>
      </w:pPr>
    </w:lvl>
    <w:lvl w:ilvl="1" w:tplc="A8540F8E">
      <w:start w:val="1"/>
      <w:numFmt w:val="lowerLetter"/>
      <w:lvlText w:val="%2."/>
      <w:lvlJc w:val="left"/>
      <w:pPr>
        <w:ind w:left="1440" w:hanging="360"/>
      </w:pPr>
    </w:lvl>
    <w:lvl w:ilvl="2" w:tplc="27CE8052">
      <w:start w:val="1"/>
      <w:numFmt w:val="lowerRoman"/>
      <w:lvlText w:val="%3."/>
      <w:lvlJc w:val="right"/>
      <w:pPr>
        <w:ind w:left="2160" w:hanging="180"/>
      </w:pPr>
    </w:lvl>
    <w:lvl w:ilvl="3" w:tplc="3AC6194E">
      <w:start w:val="1"/>
      <w:numFmt w:val="decimal"/>
      <w:lvlText w:val="%4."/>
      <w:lvlJc w:val="left"/>
      <w:pPr>
        <w:ind w:left="2880" w:hanging="360"/>
      </w:pPr>
    </w:lvl>
    <w:lvl w:ilvl="4" w:tplc="0A9A0C80">
      <w:start w:val="1"/>
      <w:numFmt w:val="lowerLetter"/>
      <w:lvlText w:val="%5."/>
      <w:lvlJc w:val="left"/>
      <w:pPr>
        <w:ind w:left="3600" w:hanging="360"/>
      </w:pPr>
    </w:lvl>
    <w:lvl w:ilvl="5" w:tplc="F848745E">
      <w:start w:val="1"/>
      <w:numFmt w:val="lowerRoman"/>
      <w:lvlText w:val="%6."/>
      <w:lvlJc w:val="right"/>
      <w:pPr>
        <w:ind w:left="4320" w:hanging="180"/>
      </w:pPr>
    </w:lvl>
    <w:lvl w:ilvl="6" w:tplc="C65432CE">
      <w:start w:val="1"/>
      <w:numFmt w:val="decimal"/>
      <w:lvlText w:val="%7."/>
      <w:lvlJc w:val="left"/>
      <w:pPr>
        <w:ind w:left="5040" w:hanging="360"/>
      </w:pPr>
    </w:lvl>
    <w:lvl w:ilvl="7" w:tplc="5D10CC56">
      <w:start w:val="1"/>
      <w:numFmt w:val="lowerLetter"/>
      <w:lvlText w:val="%8."/>
      <w:lvlJc w:val="left"/>
      <w:pPr>
        <w:ind w:left="5760" w:hanging="360"/>
      </w:pPr>
    </w:lvl>
    <w:lvl w:ilvl="8" w:tplc="899A5182">
      <w:start w:val="1"/>
      <w:numFmt w:val="lowerRoman"/>
      <w:lvlText w:val="%9."/>
      <w:lvlJc w:val="right"/>
      <w:pPr>
        <w:ind w:left="6480" w:hanging="180"/>
      </w:pPr>
    </w:lvl>
  </w:abstractNum>
  <w:abstractNum w:abstractNumId="41" w15:restartNumberingAfterBreak="0">
    <w:nsid w:val="6B3A5639"/>
    <w:multiLevelType w:val="multilevel"/>
    <w:tmpl w:val="4D787F6C"/>
    <w:lvl w:ilvl="0">
      <w:start w:val="1"/>
      <w:numFmt w:val="decimal"/>
      <w:lvlText w:val="%1."/>
      <w:lvlJc w:val="left"/>
      <w:pPr>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79BF78AB"/>
    <w:multiLevelType w:val="hybridMultilevel"/>
    <w:tmpl w:val="F46C5B44"/>
    <w:lvl w:ilvl="0" w:tplc="0C0A000F">
      <w:start w:val="1"/>
      <w:numFmt w:val="decimal"/>
      <w:lvlText w:val="%1."/>
      <w:lvlJc w:val="left"/>
      <w:pPr>
        <w:ind w:left="720" w:hanging="360"/>
      </w:pPr>
      <w:rPr>
        <w:rFonts w:hint="default"/>
      </w:rPr>
    </w:lvl>
    <w:lvl w:ilvl="1" w:tplc="0C0A0019">
      <w:start w:val="1"/>
      <w:numFmt w:val="lowerLetter"/>
      <w:lvlText w:val="%2."/>
      <w:lvlJc w:val="left"/>
      <w:pPr>
        <w:ind w:left="644"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9F339DD"/>
    <w:multiLevelType w:val="hybridMultilevel"/>
    <w:tmpl w:val="1D5EF9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44" w15:restartNumberingAfterBreak="0">
    <w:nsid w:val="7AE90809"/>
    <w:multiLevelType w:val="hybridMultilevel"/>
    <w:tmpl w:val="F5FEA0D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6" w15:restartNumberingAfterBreak="0">
    <w:nsid w:val="7B750D6A"/>
    <w:multiLevelType w:val="hybridMultilevel"/>
    <w:tmpl w:val="285E2A12"/>
    <w:lvl w:ilvl="0" w:tplc="0C0A0017">
      <w:start w:val="1"/>
      <w:numFmt w:val="lowerLetter"/>
      <w:lvlText w:val="%1)"/>
      <w:lvlJc w:val="left"/>
      <w:pPr>
        <w:tabs>
          <w:tab w:val="num" w:pos="1068"/>
        </w:tabs>
        <w:ind w:left="1068" w:hanging="360"/>
      </w:pPr>
    </w:lvl>
    <w:lvl w:ilvl="1" w:tplc="0C0A0001">
      <w:start w:val="1"/>
      <w:numFmt w:val="bullet"/>
      <w:lvlText w:val=""/>
      <w:lvlJc w:val="left"/>
      <w:pPr>
        <w:tabs>
          <w:tab w:val="num" w:pos="1788"/>
        </w:tabs>
        <w:ind w:left="1788" w:hanging="360"/>
      </w:pPr>
      <w:rPr>
        <w:rFonts w:ascii="Symbol" w:hAnsi="Symbo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670176778">
    <w:abstractNumId w:val="24"/>
  </w:num>
  <w:num w:numId="2" w16cid:durableId="1674335902">
    <w:abstractNumId w:val="9"/>
  </w:num>
  <w:num w:numId="3" w16cid:durableId="1459253888">
    <w:abstractNumId w:val="45"/>
  </w:num>
  <w:num w:numId="4" w16cid:durableId="1902708550">
    <w:abstractNumId w:val="14"/>
  </w:num>
  <w:num w:numId="5" w16cid:durableId="1333216164">
    <w:abstractNumId w:val="31"/>
  </w:num>
  <w:num w:numId="6" w16cid:durableId="1944336987">
    <w:abstractNumId w:val="3"/>
  </w:num>
  <w:num w:numId="7" w16cid:durableId="96146417">
    <w:abstractNumId w:val="0"/>
  </w:num>
  <w:num w:numId="8" w16cid:durableId="1421174349">
    <w:abstractNumId w:val="20"/>
  </w:num>
  <w:num w:numId="9" w16cid:durableId="204104339">
    <w:abstractNumId w:val="32"/>
  </w:num>
  <w:num w:numId="10" w16cid:durableId="1395618729">
    <w:abstractNumId w:val="6"/>
  </w:num>
  <w:num w:numId="11" w16cid:durableId="1245843954">
    <w:abstractNumId w:val="19"/>
  </w:num>
  <w:num w:numId="12" w16cid:durableId="128329061">
    <w:abstractNumId w:val="4"/>
  </w:num>
  <w:num w:numId="13" w16cid:durableId="702096480">
    <w:abstractNumId w:val="13"/>
  </w:num>
  <w:num w:numId="14" w16cid:durableId="4064266">
    <w:abstractNumId w:val="30"/>
  </w:num>
  <w:num w:numId="15" w16cid:durableId="1080756216">
    <w:abstractNumId w:val="46"/>
  </w:num>
  <w:num w:numId="16" w16cid:durableId="1396972057">
    <w:abstractNumId w:val="11"/>
  </w:num>
  <w:num w:numId="17" w16cid:durableId="1483307830">
    <w:abstractNumId w:val="35"/>
  </w:num>
  <w:num w:numId="18" w16cid:durableId="2083552983">
    <w:abstractNumId w:val="39"/>
  </w:num>
  <w:num w:numId="19" w16cid:durableId="1861159638">
    <w:abstractNumId w:val="36"/>
  </w:num>
  <w:num w:numId="20" w16cid:durableId="1198203370">
    <w:abstractNumId w:val="2"/>
  </w:num>
  <w:num w:numId="21" w16cid:durableId="1925138866">
    <w:abstractNumId w:val="26"/>
  </w:num>
  <w:num w:numId="22" w16cid:durableId="768240860">
    <w:abstractNumId w:val="28"/>
  </w:num>
  <w:num w:numId="23" w16cid:durableId="1913268203">
    <w:abstractNumId w:val="22"/>
  </w:num>
  <w:num w:numId="24" w16cid:durableId="1324695714">
    <w:abstractNumId w:val="44"/>
  </w:num>
  <w:num w:numId="25" w16cid:durableId="1667131656">
    <w:abstractNumId w:val="42"/>
  </w:num>
  <w:num w:numId="26" w16cid:durableId="1966034864">
    <w:abstractNumId w:val="1"/>
  </w:num>
  <w:num w:numId="27" w16cid:durableId="1427919714">
    <w:abstractNumId w:val="21"/>
  </w:num>
  <w:num w:numId="28" w16cid:durableId="1366371194">
    <w:abstractNumId w:val="41"/>
  </w:num>
  <w:num w:numId="29" w16cid:durableId="1940874185">
    <w:abstractNumId w:val="38"/>
  </w:num>
  <w:num w:numId="30" w16cid:durableId="1340154817">
    <w:abstractNumId w:val="33"/>
  </w:num>
  <w:num w:numId="31" w16cid:durableId="1533418821">
    <w:abstractNumId w:val="8"/>
  </w:num>
  <w:num w:numId="32" w16cid:durableId="2107920355">
    <w:abstractNumId w:val="25"/>
  </w:num>
  <w:num w:numId="33" w16cid:durableId="1809930283">
    <w:abstractNumId w:val="27"/>
  </w:num>
  <w:num w:numId="34" w16cid:durableId="1956250759">
    <w:abstractNumId w:val="16"/>
  </w:num>
  <w:num w:numId="35" w16cid:durableId="189610226">
    <w:abstractNumId w:val="43"/>
  </w:num>
  <w:num w:numId="36" w16cid:durableId="1845896198">
    <w:abstractNumId w:val="15"/>
  </w:num>
  <w:num w:numId="37" w16cid:durableId="1549341046">
    <w:abstractNumId w:val="18"/>
  </w:num>
  <w:num w:numId="38" w16cid:durableId="345717983">
    <w:abstractNumId w:val="34"/>
  </w:num>
  <w:num w:numId="39" w16cid:durableId="526405930">
    <w:abstractNumId w:val="5"/>
  </w:num>
  <w:num w:numId="40" w16cid:durableId="211238240">
    <w:abstractNumId w:val="23"/>
  </w:num>
  <w:num w:numId="41" w16cid:durableId="613446077">
    <w:abstractNumId w:val="37"/>
  </w:num>
  <w:num w:numId="42" w16cid:durableId="825360822">
    <w:abstractNumId w:val="12"/>
  </w:num>
  <w:num w:numId="43" w16cid:durableId="2064716296">
    <w:abstractNumId w:val="40"/>
  </w:num>
  <w:num w:numId="44" w16cid:durableId="1920484975">
    <w:abstractNumId w:val="17"/>
  </w:num>
  <w:num w:numId="45" w16cid:durableId="1802186690">
    <w:abstractNumId w:val="10"/>
  </w:num>
  <w:num w:numId="46" w16cid:durableId="2117601403">
    <w:abstractNumId w:val="29"/>
  </w:num>
  <w:num w:numId="47" w16cid:durableId="1466705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B8"/>
    <w:rsid w:val="0000214C"/>
    <w:rsid w:val="00004A66"/>
    <w:rsid w:val="00005B58"/>
    <w:rsid w:val="000061AB"/>
    <w:rsid w:val="00006DEB"/>
    <w:rsid w:val="00007785"/>
    <w:rsid w:val="00007CB3"/>
    <w:rsid w:val="000105DB"/>
    <w:rsid w:val="000109EE"/>
    <w:rsid w:val="00011C16"/>
    <w:rsid w:val="00011D74"/>
    <w:rsid w:val="000127F4"/>
    <w:rsid w:val="000139E1"/>
    <w:rsid w:val="00013AAC"/>
    <w:rsid w:val="00013BBD"/>
    <w:rsid w:val="000146C9"/>
    <w:rsid w:val="0001567C"/>
    <w:rsid w:val="00015797"/>
    <w:rsid w:val="00015A2B"/>
    <w:rsid w:val="00017089"/>
    <w:rsid w:val="00017703"/>
    <w:rsid w:val="00023F19"/>
    <w:rsid w:val="000240F0"/>
    <w:rsid w:val="0002667C"/>
    <w:rsid w:val="0002753E"/>
    <w:rsid w:val="00030FA5"/>
    <w:rsid w:val="00031A48"/>
    <w:rsid w:val="00032331"/>
    <w:rsid w:val="00034B56"/>
    <w:rsid w:val="00035ED8"/>
    <w:rsid w:val="000360EB"/>
    <w:rsid w:val="00037C6F"/>
    <w:rsid w:val="00040619"/>
    <w:rsid w:val="0004144B"/>
    <w:rsid w:val="00042EF3"/>
    <w:rsid w:val="00044955"/>
    <w:rsid w:val="000463FE"/>
    <w:rsid w:val="00046C38"/>
    <w:rsid w:val="00052EC4"/>
    <w:rsid w:val="00053032"/>
    <w:rsid w:val="00055B77"/>
    <w:rsid w:val="00055F0D"/>
    <w:rsid w:val="00055F92"/>
    <w:rsid w:val="00061839"/>
    <w:rsid w:val="0006277F"/>
    <w:rsid w:val="00065952"/>
    <w:rsid w:val="000666B3"/>
    <w:rsid w:val="000758BB"/>
    <w:rsid w:val="0007678D"/>
    <w:rsid w:val="00076D43"/>
    <w:rsid w:val="00077365"/>
    <w:rsid w:val="0008073E"/>
    <w:rsid w:val="00084FD1"/>
    <w:rsid w:val="00085854"/>
    <w:rsid w:val="00091CDB"/>
    <w:rsid w:val="00094181"/>
    <w:rsid w:val="00095E30"/>
    <w:rsid w:val="00096303"/>
    <w:rsid w:val="00096D77"/>
    <w:rsid w:val="000973AA"/>
    <w:rsid w:val="000A0304"/>
    <w:rsid w:val="000A0A80"/>
    <w:rsid w:val="000A19AC"/>
    <w:rsid w:val="000A2F2D"/>
    <w:rsid w:val="000A4E13"/>
    <w:rsid w:val="000A5DC6"/>
    <w:rsid w:val="000B22B8"/>
    <w:rsid w:val="000B23C4"/>
    <w:rsid w:val="000B24D7"/>
    <w:rsid w:val="000B28DE"/>
    <w:rsid w:val="000B2B65"/>
    <w:rsid w:val="000B3908"/>
    <w:rsid w:val="000B4CFD"/>
    <w:rsid w:val="000B7263"/>
    <w:rsid w:val="000C28F8"/>
    <w:rsid w:val="000C41F8"/>
    <w:rsid w:val="000C529B"/>
    <w:rsid w:val="000C5DD0"/>
    <w:rsid w:val="000C7E0E"/>
    <w:rsid w:val="000D137F"/>
    <w:rsid w:val="000D1646"/>
    <w:rsid w:val="000D190A"/>
    <w:rsid w:val="000D194E"/>
    <w:rsid w:val="000D20E4"/>
    <w:rsid w:val="000D26F8"/>
    <w:rsid w:val="000D2CC9"/>
    <w:rsid w:val="000D3C37"/>
    <w:rsid w:val="000D3D2A"/>
    <w:rsid w:val="000D40FF"/>
    <w:rsid w:val="000D54B6"/>
    <w:rsid w:val="000D6F69"/>
    <w:rsid w:val="000D71CD"/>
    <w:rsid w:val="000E1096"/>
    <w:rsid w:val="000F0A11"/>
    <w:rsid w:val="000F0C5F"/>
    <w:rsid w:val="000F3415"/>
    <w:rsid w:val="000F6002"/>
    <w:rsid w:val="000F69F2"/>
    <w:rsid w:val="001007E9"/>
    <w:rsid w:val="00100A81"/>
    <w:rsid w:val="00100FEA"/>
    <w:rsid w:val="00102975"/>
    <w:rsid w:val="00105549"/>
    <w:rsid w:val="001058F5"/>
    <w:rsid w:val="00105C5E"/>
    <w:rsid w:val="001076A5"/>
    <w:rsid w:val="00110A41"/>
    <w:rsid w:val="00111860"/>
    <w:rsid w:val="00113916"/>
    <w:rsid w:val="001148AC"/>
    <w:rsid w:val="00115547"/>
    <w:rsid w:val="00117147"/>
    <w:rsid w:val="00121224"/>
    <w:rsid w:val="0012155C"/>
    <w:rsid w:val="00121840"/>
    <w:rsid w:val="00122CD7"/>
    <w:rsid w:val="0012349B"/>
    <w:rsid w:val="001244AE"/>
    <w:rsid w:val="00125180"/>
    <w:rsid w:val="0012591E"/>
    <w:rsid w:val="00125B17"/>
    <w:rsid w:val="00125FAF"/>
    <w:rsid w:val="00126027"/>
    <w:rsid w:val="00126B7E"/>
    <w:rsid w:val="00127064"/>
    <w:rsid w:val="00133B0C"/>
    <w:rsid w:val="001342BA"/>
    <w:rsid w:val="001354FE"/>
    <w:rsid w:val="00135FEE"/>
    <w:rsid w:val="00137D54"/>
    <w:rsid w:val="001405C6"/>
    <w:rsid w:val="00140684"/>
    <w:rsid w:val="00140ABF"/>
    <w:rsid w:val="00141013"/>
    <w:rsid w:val="00141079"/>
    <w:rsid w:val="001429E1"/>
    <w:rsid w:val="00143FD6"/>
    <w:rsid w:val="001459AA"/>
    <w:rsid w:val="00145DE8"/>
    <w:rsid w:val="00147ADF"/>
    <w:rsid w:val="00147DF0"/>
    <w:rsid w:val="00150140"/>
    <w:rsid w:val="001503F7"/>
    <w:rsid w:val="00151C17"/>
    <w:rsid w:val="00152200"/>
    <w:rsid w:val="00152B46"/>
    <w:rsid w:val="00153FF0"/>
    <w:rsid w:val="00155143"/>
    <w:rsid w:val="00155936"/>
    <w:rsid w:val="00155D32"/>
    <w:rsid w:val="00160009"/>
    <w:rsid w:val="0016198F"/>
    <w:rsid w:val="00162AEA"/>
    <w:rsid w:val="00163E02"/>
    <w:rsid w:val="00166694"/>
    <w:rsid w:val="001670A2"/>
    <w:rsid w:val="00171024"/>
    <w:rsid w:val="00175142"/>
    <w:rsid w:val="001758F9"/>
    <w:rsid w:val="00176E35"/>
    <w:rsid w:val="0018001E"/>
    <w:rsid w:val="001831DE"/>
    <w:rsid w:val="00185968"/>
    <w:rsid w:val="00187850"/>
    <w:rsid w:val="00191128"/>
    <w:rsid w:val="00192CBF"/>
    <w:rsid w:val="00192FF1"/>
    <w:rsid w:val="001948E0"/>
    <w:rsid w:val="00194943"/>
    <w:rsid w:val="00196853"/>
    <w:rsid w:val="001A10CF"/>
    <w:rsid w:val="001A1A80"/>
    <w:rsid w:val="001A1D88"/>
    <w:rsid w:val="001A35DF"/>
    <w:rsid w:val="001A3C92"/>
    <w:rsid w:val="001A5475"/>
    <w:rsid w:val="001A5AE8"/>
    <w:rsid w:val="001A5F1B"/>
    <w:rsid w:val="001A6946"/>
    <w:rsid w:val="001A74A7"/>
    <w:rsid w:val="001B0B2E"/>
    <w:rsid w:val="001B0D4D"/>
    <w:rsid w:val="001B458E"/>
    <w:rsid w:val="001B6785"/>
    <w:rsid w:val="001B74BD"/>
    <w:rsid w:val="001C1D1F"/>
    <w:rsid w:val="001C2B80"/>
    <w:rsid w:val="001C2CE9"/>
    <w:rsid w:val="001C4A9D"/>
    <w:rsid w:val="001C6F22"/>
    <w:rsid w:val="001D042A"/>
    <w:rsid w:val="001D374C"/>
    <w:rsid w:val="001D3BC6"/>
    <w:rsid w:val="001D5903"/>
    <w:rsid w:val="001D716C"/>
    <w:rsid w:val="001E04D1"/>
    <w:rsid w:val="001E18D3"/>
    <w:rsid w:val="001E379A"/>
    <w:rsid w:val="001E41FF"/>
    <w:rsid w:val="001E4D38"/>
    <w:rsid w:val="001E59E6"/>
    <w:rsid w:val="001E64AF"/>
    <w:rsid w:val="001F0119"/>
    <w:rsid w:val="001F02FE"/>
    <w:rsid w:val="001F184C"/>
    <w:rsid w:val="001F35A9"/>
    <w:rsid w:val="001F6751"/>
    <w:rsid w:val="001F6946"/>
    <w:rsid w:val="001F6995"/>
    <w:rsid w:val="001F7DBA"/>
    <w:rsid w:val="0020138C"/>
    <w:rsid w:val="00202AC1"/>
    <w:rsid w:val="00202B60"/>
    <w:rsid w:val="002050FA"/>
    <w:rsid w:val="00210345"/>
    <w:rsid w:val="00210C04"/>
    <w:rsid w:val="00211F9F"/>
    <w:rsid w:val="00211FFE"/>
    <w:rsid w:val="002166F4"/>
    <w:rsid w:val="00216F51"/>
    <w:rsid w:val="0022157F"/>
    <w:rsid w:val="00223319"/>
    <w:rsid w:val="00223B1C"/>
    <w:rsid w:val="00225188"/>
    <w:rsid w:val="00230DFD"/>
    <w:rsid w:val="00233BE1"/>
    <w:rsid w:val="00237BA8"/>
    <w:rsid w:val="00240149"/>
    <w:rsid w:val="0024250F"/>
    <w:rsid w:val="002467E6"/>
    <w:rsid w:val="00255AA6"/>
    <w:rsid w:val="00264637"/>
    <w:rsid w:val="00265543"/>
    <w:rsid w:val="00265A84"/>
    <w:rsid w:val="00270541"/>
    <w:rsid w:val="0027254B"/>
    <w:rsid w:val="002728B7"/>
    <w:rsid w:val="00272D34"/>
    <w:rsid w:val="002739C6"/>
    <w:rsid w:val="002762AC"/>
    <w:rsid w:val="00280716"/>
    <w:rsid w:val="002809FC"/>
    <w:rsid w:val="00282A59"/>
    <w:rsid w:val="00283DEE"/>
    <w:rsid w:val="00290B43"/>
    <w:rsid w:val="00291A1D"/>
    <w:rsid w:val="0029263A"/>
    <w:rsid w:val="00292C7C"/>
    <w:rsid w:val="00293801"/>
    <w:rsid w:val="002950E0"/>
    <w:rsid w:val="002955EC"/>
    <w:rsid w:val="00297326"/>
    <w:rsid w:val="002A0135"/>
    <w:rsid w:val="002A193A"/>
    <w:rsid w:val="002A4D8E"/>
    <w:rsid w:val="002A6844"/>
    <w:rsid w:val="002A76A4"/>
    <w:rsid w:val="002A7D05"/>
    <w:rsid w:val="002B0059"/>
    <w:rsid w:val="002B0AA1"/>
    <w:rsid w:val="002B24B8"/>
    <w:rsid w:val="002B2E01"/>
    <w:rsid w:val="002B4F2E"/>
    <w:rsid w:val="002B6FC0"/>
    <w:rsid w:val="002C0E42"/>
    <w:rsid w:val="002C1CA4"/>
    <w:rsid w:val="002C2D45"/>
    <w:rsid w:val="002C4385"/>
    <w:rsid w:val="002C5C1E"/>
    <w:rsid w:val="002C7E0E"/>
    <w:rsid w:val="002D1BC1"/>
    <w:rsid w:val="002D3809"/>
    <w:rsid w:val="002D3AE9"/>
    <w:rsid w:val="002D4D69"/>
    <w:rsid w:val="002D5856"/>
    <w:rsid w:val="002D609B"/>
    <w:rsid w:val="002E02FD"/>
    <w:rsid w:val="002E408A"/>
    <w:rsid w:val="002E4D97"/>
    <w:rsid w:val="002E5175"/>
    <w:rsid w:val="002E55A2"/>
    <w:rsid w:val="002E5821"/>
    <w:rsid w:val="002E62ED"/>
    <w:rsid w:val="002E7B6D"/>
    <w:rsid w:val="002F1691"/>
    <w:rsid w:val="002F46E7"/>
    <w:rsid w:val="002F4D96"/>
    <w:rsid w:val="002F5054"/>
    <w:rsid w:val="002F59F8"/>
    <w:rsid w:val="002F5AD6"/>
    <w:rsid w:val="002F6B4B"/>
    <w:rsid w:val="002F6CFD"/>
    <w:rsid w:val="0030069E"/>
    <w:rsid w:val="00301011"/>
    <w:rsid w:val="003016E9"/>
    <w:rsid w:val="00301A2D"/>
    <w:rsid w:val="0030354E"/>
    <w:rsid w:val="00306F4C"/>
    <w:rsid w:val="00307E90"/>
    <w:rsid w:val="003107A9"/>
    <w:rsid w:val="00312493"/>
    <w:rsid w:val="00312B4F"/>
    <w:rsid w:val="00315CA8"/>
    <w:rsid w:val="00315E05"/>
    <w:rsid w:val="00316197"/>
    <w:rsid w:val="003211CE"/>
    <w:rsid w:val="00321605"/>
    <w:rsid w:val="00322AC4"/>
    <w:rsid w:val="003235DA"/>
    <w:rsid w:val="00324744"/>
    <w:rsid w:val="00325347"/>
    <w:rsid w:val="0032687B"/>
    <w:rsid w:val="003338CE"/>
    <w:rsid w:val="003348F8"/>
    <w:rsid w:val="003359BE"/>
    <w:rsid w:val="00336938"/>
    <w:rsid w:val="00336D2A"/>
    <w:rsid w:val="003410A6"/>
    <w:rsid w:val="0034326F"/>
    <w:rsid w:val="003450E2"/>
    <w:rsid w:val="003464F3"/>
    <w:rsid w:val="003479EF"/>
    <w:rsid w:val="003500C4"/>
    <w:rsid w:val="00354029"/>
    <w:rsid w:val="00354C4D"/>
    <w:rsid w:val="00356115"/>
    <w:rsid w:val="00356A02"/>
    <w:rsid w:val="0035705F"/>
    <w:rsid w:val="00357197"/>
    <w:rsid w:val="00357959"/>
    <w:rsid w:val="00357EC2"/>
    <w:rsid w:val="00360F8B"/>
    <w:rsid w:val="00361BF0"/>
    <w:rsid w:val="0036240D"/>
    <w:rsid w:val="00362799"/>
    <w:rsid w:val="003673AC"/>
    <w:rsid w:val="003701BA"/>
    <w:rsid w:val="003709B5"/>
    <w:rsid w:val="00370BFA"/>
    <w:rsid w:val="0037538B"/>
    <w:rsid w:val="0037544D"/>
    <w:rsid w:val="003759C2"/>
    <w:rsid w:val="00376976"/>
    <w:rsid w:val="003775DA"/>
    <w:rsid w:val="00380489"/>
    <w:rsid w:val="00380808"/>
    <w:rsid w:val="0038102C"/>
    <w:rsid w:val="003824C1"/>
    <w:rsid w:val="00385CAA"/>
    <w:rsid w:val="00386703"/>
    <w:rsid w:val="00395400"/>
    <w:rsid w:val="003A03E1"/>
    <w:rsid w:val="003A0E9E"/>
    <w:rsid w:val="003A3D9D"/>
    <w:rsid w:val="003A424A"/>
    <w:rsid w:val="003A60FF"/>
    <w:rsid w:val="003A7BD2"/>
    <w:rsid w:val="003B0A64"/>
    <w:rsid w:val="003B2192"/>
    <w:rsid w:val="003B57F4"/>
    <w:rsid w:val="003C07DA"/>
    <w:rsid w:val="003C0A53"/>
    <w:rsid w:val="003C3447"/>
    <w:rsid w:val="003C5490"/>
    <w:rsid w:val="003C59FA"/>
    <w:rsid w:val="003D076C"/>
    <w:rsid w:val="003D21D8"/>
    <w:rsid w:val="003D3571"/>
    <w:rsid w:val="003D4B93"/>
    <w:rsid w:val="003D56DD"/>
    <w:rsid w:val="003D7230"/>
    <w:rsid w:val="003D7604"/>
    <w:rsid w:val="003E0E08"/>
    <w:rsid w:val="003E105D"/>
    <w:rsid w:val="003E1858"/>
    <w:rsid w:val="003E6138"/>
    <w:rsid w:val="003F0220"/>
    <w:rsid w:val="003F1A81"/>
    <w:rsid w:val="003F337F"/>
    <w:rsid w:val="003F5157"/>
    <w:rsid w:val="003F5F33"/>
    <w:rsid w:val="003F7981"/>
    <w:rsid w:val="00400015"/>
    <w:rsid w:val="00401E97"/>
    <w:rsid w:val="00404054"/>
    <w:rsid w:val="00404E84"/>
    <w:rsid w:val="0041000E"/>
    <w:rsid w:val="0041082F"/>
    <w:rsid w:val="00414998"/>
    <w:rsid w:val="004175D5"/>
    <w:rsid w:val="004222C3"/>
    <w:rsid w:val="00422ADD"/>
    <w:rsid w:val="00422D43"/>
    <w:rsid w:val="004237DF"/>
    <w:rsid w:val="00423A53"/>
    <w:rsid w:val="004256BB"/>
    <w:rsid w:val="00431EF4"/>
    <w:rsid w:val="0043541E"/>
    <w:rsid w:val="004408A8"/>
    <w:rsid w:val="00442E69"/>
    <w:rsid w:val="00442E88"/>
    <w:rsid w:val="00446675"/>
    <w:rsid w:val="00450A30"/>
    <w:rsid w:val="00451919"/>
    <w:rsid w:val="00452530"/>
    <w:rsid w:val="004526B2"/>
    <w:rsid w:val="00452BCD"/>
    <w:rsid w:val="00453AF5"/>
    <w:rsid w:val="00456BE7"/>
    <w:rsid w:val="00460059"/>
    <w:rsid w:val="004604AC"/>
    <w:rsid w:val="004635BE"/>
    <w:rsid w:val="00465269"/>
    <w:rsid w:val="00466DD5"/>
    <w:rsid w:val="004708D8"/>
    <w:rsid w:val="0047122B"/>
    <w:rsid w:val="00471DB5"/>
    <w:rsid w:val="00473244"/>
    <w:rsid w:val="00473B7A"/>
    <w:rsid w:val="0047432C"/>
    <w:rsid w:val="004765C2"/>
    <w:rsid w:val="00476652"/>
    <w:rsid w:val="0047793A"/>
    <w:rsid w:val="00480A11"/>
    <w:rsid w:val="0048195A"/>
    <w:rsid w:val="0048396A"/>
    <w:rsid w:val="004843D0"/>
    <w:rsid w:val="004844A1"/>
    <w:rsid w:val="00484BC3"/>
    <w:rsid w:val="00487875"/>
    <w:rsid w:val="0049047A"/>
    <w:rsid w:val="00493613"/>
    <w:rsid w:val="00493B41"/>
    <w:rsid w:val="004951D8"/>
    <w:rsid w:val="00497CDF"/>
    <w:rsid w:val="004A0B3B"/>
    <w:rsid w:val="004A1D1E"/>
    <w:rsid w:val="004A2373"/>
    <w:rsid w:val="004A2E88"/>
    <w:rsid w:val="004A3942"/>
    <w:rsid w:val="004A3E62"/>
    <w:rsid w:val="004A49B0"/>
    <w:rsid w:val="004A5305"/>
    <w:rsid w:val="004A5999"/>
    <w:rsid w:val="004B03D3"/>
    <w:rsid w:val="004B0B28"/>
    <w:rsid w:val="004B2B06"/>
    <w:rsid w:val="004B4F2F"/>
    <w:rsid w:val="004B6F15"/>
    <w:rsid w:val="004C1E0B"/>
    <w:rsid w:val="004C285C"/>
    <w:rsid w:val="004C2B0A"/>
    <w:rsid w:val="004C3986"/>
    <w:rsid w:val="004C39CF"/>
    <w:rsid w:val="004C3C03"/>
    <w:rsid w:val="004C4AFE"/>
    <w:rsid w:val="004C63CD"/>
    <w:rsid w:val="004D071B"/>
    <w:rsid w:val="004D0BF2"/>
    <w:rsid w:val="004D17CE"/>
    <w:rsid w:val="004D1B09"/>
    <w:rsid w:val="004D28B1"/>
    <w:rsid w:val="004D2AB8"/>
    <w:rsid w:val="004D335B"/>
    <w:rsid w:val="004D377E"/>
    <w:rsid w:val="004D4433"/>
    <w:rsid w:val="004D6DF9"/>
    <w:rsid w:val="004E2FCE"/>
    <w:rsid w:val="004E4C5A"/>
    <w:rsid w:val="004E5151"/>
    <w:rsid w:val="004E5E63"/>
    <w:rsid w:val="004E7878"/>
    <w:rsid w:val="004F017B"/>
    <w:rsid w:val="004F2711"/>
    <w:rsid w:val="004F5BE4"/>
    <w:rsid w:val="004F6050"/>
    <w:rsid w:val="004F60C9"/>
    <w:rsid w:val="004F639C"/>
    <w:rsid w:val="005006B9"/>
    <w:rsid w:val="00500A77"/>
    <w:rsid w:val="0050330A"/>
    <w:rsid w:val="0050336E"/>
    <w:rsid w:val="005047B4"/>
    <w:rsid w:val="0050594C"/>
    <w:rsid w:val="00507115"/>
    <w:rsid w:val="00510513"/>
    <w:rsid w:val="005110EB"/>
    <w:rsid w:val="0051388A"/>
    <w:rsid w:val="00517BED"/>
    <w:rsid w:val="00520BB1"/>
    <w:rsid w:val="0052240C"/>
    <w:rsid w:val="005235E4"/>
    <w:rsid w:val="0052418F"/>
    <w:rsid w:val="0052432E"/>
    <w:rsid w:val="0052468A"/>
    <w:rsid w:val="00525937"/>
    <w:rsid w:val="00526CEA"/>
    <w:rsid w:val="00527D9B"/>
    <w:rsid w:val="00527F6E"/>
    <w:rsid w:val="005300D3"/>
    <w:rsid w:val="0053063C"/>
    <w:rsid w:val="00530B8D"/>
    <w:rsid w:val="00530CDD"/>
    <w:rsid w:val="0053254A"/>
    <w:rsid w:val="0053257C"/>
    <w:rsid w:val="00532C17"/>
    <w:rsid w:val="005330B4"/>
    <w:rsid w:val="00533124"/>
    <w:rsid w:val="00534EB4"/>
    <w:rsid w:val="00535608"/>
    <w:rsid w:val="00535847"/>
    <w:rsid w:val="0053585B"/>
    <w:rsid w:val="00535E68"/>
    <w:rsid w:val="00536BD9"/>
    <w:rsid w:val="0054083F"/>
    <w:rsid w:val="00542B7F"/>
    <w:rsid w:val="005451E8"/>
    <w:rsid w:val="005472FB"/>
    <w:rsid w:val="00547C4A"/>
    <w:rsid w:val="005506E8"/>
    <w:rsid w:val="00552D58"/>
    <w:rsid w:val="00552F05"/>
    <w:rsid w:val="00554656"/>
    <w:rsid w:val="00555B02"/>
    <w:rsid w:val="005571EA"/>
    <w:rsid w:val="00557359"/>
    <w:rsid w:val="00557672"/>
    <w:rsid w:val="00560ACC"/>
    <w:rsid w:val="00560C9C"/>
    <w:rsid w:val="00561ED5"/>
    <w:rsid w:val="005627CF"/>
    <w:rsid w:val="00562E5B"/>
    <w:rsid w:val="005632EE"/>
    <w:rsid w:val="005641D8"/>
    <w:rsid w:val="00565C93"/>
    <w:rsid w:val="00567500"/>
    <w:rsid w:val="00567755"/>
    <w:rsid w:val="00570AC3"/>
    <w:rsid w:val="00572A4F"/>
    <w:rsid w:val="00573344"/>
    <w:rsid w:val="005741F8"/>
    <w:rsid w:val="00574750"/>
    <w:rsid w:val="00577F61"/>
    <w:rsid w:val="005800E7"/>
    <w:rsid w:val="00581CA0"/>
    <w:rsid w:val="00581F4D"/>
    <w:rsid w:val="00582F13"/>
    <w:rsid w:val="00583A43"/>
    <w:rsid w:val="005843EA"/>
    <w:rsid w:val="00584E17"/>
    <w:rsid w:val="00584F15"/>
    <w:rsid w:val="00585F7F"/>
    <w:rsid w:val="00586737"/>
    <w:rsid w:val="00587735"/>
    <w:rsid w:val="005878BF"/>
    <w:rsid w:val="00587A21"/>
    <w:rsid w:val="005927DD"/>
    <w:rsid w:val="00593085"/>
    <w:rsid w:val="00593176"/>
    <w:rsid w:val="00593565"/>
    <w:rsid w:val="005936BD"/>
    <w:rsid w:val="00593C4F"/>
    <w:rsid w:val="005946A8"/>
    <w:rsid w:val="005947EA"/>
    <w:rsid w:val="00594B18"/>
    <w:rsid w:val="005960EB"/>
    <w:rsid w:val="005A083E"/>
    <w:rsid w:val="005A08DA"/>
    <w:rsid w:val="005A14C7"/>
    <w:rsid w:val="005A1576"/>
    <w:rsid w:val="005A1B43"/>
    <w:rsid w:val="005A1B5E"/>
    <w:rsid w:val="005A1E93"/>
    <w:rsid w:val="005A1EF8"/>
    <w:rsid w:val="005A2D18"/>
    <w:rsid w:val="005A4407"/>
    <w:rsid w:val="005A522D"/>
    <w:rsid w:val="005A6B00"/>
    <w:rsid w:val="005B04DE"/>
    <w:rsid w:val="005B1122"/>
    <w:rsid w:val="005B18A5"/>
    <w:rsid w:val="005B32F8"/>
    <w:rsid w:val="005B3476"/>
    <w:rsid w:val="005B53C3"/>
    <w:rsid w:val="005B5C99"/>
    <w:rsid w:val="005B7B83"/>
    <w:rsid w:val="005C06A9"/>
    <w:rsid w:val="005C1FC1"/>
    <w:rsid w:val="005C64D6"/>
    <w:rsid w:val="005D0AE3"/>
    <w:rsid w:val="005D1310"/>
    <w:rsid w:val="005D1C3A"/>
    <w:rsid w:val="005D3BAF"/>
    <w:rsid w:val="005D5315"/>
    <w:rsid w:val="005D6BB7"/>
    <w:rsid w:val="005E0857"/>
    <w:rsid w:val="005E0A4E"/>
    <w:rsid w:val="005E22FC"/>
    <w:rsid w:val="005E28E4"/>
    <w:rsid w:val="005E42A5"/>
    <w:rsid w:val="005E565B"/>
    <w:rsid w:val="005E6450"/>
    <w:rsid w:val="005E673E"/>
    <w:rsid w:val="005E7460"/>
    <w:rsid w:val="005F01FC"/>
    <w:rsid w:val="005F1628"/>
    <w:rsid w:val="005F1A19"/>
    <w:rsid w:val="005F2B6B"/>
    <w:rsid w:val="005F39B6"/>
    <w:rsid w:val="005F4D82"/>
    <w:rsid w:val="005F5CDB"/>
    <w:rsid w:val="005F7A74"/>
    <w:rsid w:val="006018D9"/>
    <w:rsid w:val="00601B13"/>
    <w:rsid w:val="00604859"/>
    <w:rsid w:val="00604901"/>
    <w:rsid w:val="00604DC6"/>
    <w:rsid w:val="006125DF"/>
    <w:rsid w:val="00613AB6"/>
    <w:rsid w:val="006203BF"/>
    <w:rsid w:val="006207C7"/>
    <w:rsid w:val="00620A2D"/>
    <w:rsid w:val="00620B94"/>
    <w:rsid w:val="0062226A"/>
    <w:rsid w:val="00623A39"/>
    <w:rsid w:val="00624DCE"/>
    <w:rsid w:val="0062540E"/>
    <w:rsid w:val="006259F6"/>
    <w:rsid w:val="00625DC6"/>
    <w:rsid w:val="006276AB"/>
    <w:rsid w:val="0062781E"/>
    <w:rsid w:val="0063061A"/>
    <w:rsid w:val="006314FC"/>
    <w:rsid w:val="0063150A"/>
    <w:rsid w:val="0063486C"/>
    <w:rsid w:val="00640B96"/>
    <w:rsid w:val="0064377C"/>
    <w:rsid w:val="00643867"/>
    <w:rsid w:val="006466F2"/>
    <w:rsid w:val="00646FAB"/>
    <w:rsid w:val="00647724"/>
    <w:rsid w:val="00647E76"/>
    <w:rsid w:val="00651821"/>
    <w:rsid w:val="00651A0C"/>
    <w:rsid w:val="00651B7A"/>
    <w:rsid w:val="0065201C"/>
    <w:rsid w:val="00652EA9"/>
    <w:rsid w:val="00652F47"/>
    <w:rsid w:val="00653337"/>
    <w:rsid w:val="00653931"/>
    <w:rsid w:val="00653A16"/>
    <w:rsid w:val="006540B8"/>
    <w:rsid w:val="006542BA"/>
    <w:rsid w:val="006542DE"/>
    <w:rsid w:val="00654370"/>
    <w:rsid w:val="00654384"/>
    <w:rsid w:val="0066037F"/>
    <w:rsid w:val="00660803"/>
    <w:rsid w:val="00660B17"/>
    <w:rsid w:val="00660B18"/>
    <w:rsid w:val="00660EA5"/>
    <w:rsid w:val="006631A6"/>
    <w:rsid w:val="0066466E"/>
    <w:rsid w:val="00664C39"/>
    <w:rsid w:val="0066683A"/>
    <w:rsid w:val="00670669"/>
    <w:rsid w:val="006713D4"/>
    <w:rsid w:val="0067162D"/>
    <w:rsid w:val="00671F53"/>
    <w:rsid w:val="00673D40"/>
    <w:rsid w:val="006748D2"/>
    <w:rsid w:val="0067647F"/>
    <w:rsid w:val="00676EF8"/>
    <w:rsid w:val="0067736B"/>
    <w:rsid w:val="00677DD7"/>
    <w:rsid w:val="00681486"/>
    <w:rsid w:val="006824DC"/>
    <w:rsid w:val="00682923"/>
    <w:rsid w:val="00684435"/>
    <w:rsid w:val="00684D9B"/>
    <w:rsid w:val="00690836"/>
    <w:rsid w:val="0069185E"/>
    <w:rsid w:val="006926AA"/>
    <w:rsid w:val="006931CD"/>
    <w:rsid w:val="006947F4"/>
    <w:rsid w:val="006957EA"/>
    <w:rsid w:val="00695859"/>
    <w:rsid w:val="00695F53"/>
    <w:rsid w:val="00696AA5"/>
    <w:rsid w:val="00697556"/>
    <w:rsid w:val="006A1E31"/>
    <w:rsid w:val="006A43C7"/>
    <w:rsid w:val="006A472D"/>
    <w:rsid w:val="006A6F79"/>
    <w:rsid w:val="006A7A24"/>
    <w:rsid w:val="006B25AF"/>
    <w:rsid w:val="006B2E8F"/>
    <w:rsid w:val="006B2F13"/>
    <w:rsid w:val="006B464D"/>
    <w:rsid w:val="006B4C2B"/>
    <w:rsid w:val="006B5201"/>
    <w:rsid w:val="006B52BF"/>
    <w:rsid w:val="006B5F58"/>
    <w:rsid w:val="006C1C25"/>
    <w:rsid w:val="006C28B8"/>
    <w:rsid w:val="006C2A6B"/>
    <w:rsid w:val="006C40CE"/>
    <w:rsid w:val="006C5C08"/>
    <w:rsid w:val="006D1E68"/>
    <w:rsid w:val="006D301C"/>
    <w:rsid w:val="006D49F9"/>
    <w:rsid w:val="006D6D78"/>
    <w:rsid w:val="006D790B"/>
    <w:rsid w:val="006D7D8C"/>
    <w:rsid w:val="006E1DB3"/>
    <w:rsid w:val="006E2DC4"/>
    <w:rsid w:val="006E5595"/>
    <w:rsid w:val="006E5F1D"/>
    <w:rsid w:val="006E691E"/>
    <w:rsid w:val="006E75B7"/>
    <w:rsid w:val="006F04B9"/>
    <w:rsid w:val="006F105C"/>
    <w:rsid w:val="006F3167"/>
    <w:rsid w:val="006F6BFF"/>
    <w:rsid w:val="006F6D95"/>
    <w:rsid w:val="006F7BCD"/>
    <w:rsid w:val="007008EC"/>
    <w:rsid w:val="00702434"/>
    <w:rsid w:val="00702AB8"/>
    <w:rsid w:val="00705245"/>
    <w:rsid w:val="00706F13"/>
    <w:rsid w:val="00707C70"/>
    <w:rsid w:val="007140CF"/>
    <w:rsid w:val="00715697"/>
    <w:rsid w:val="007208AF"/>
    <w:rsid w:val="0072306A"/>
    <w:rsid w:val="007231E6"/>
    <w:rsid w:val="00723BBC"/>
    <w:rsid w:val="00725C0F"/>
    <w:rsid w:val="00725FA4"/>
    <w:rsid w:val="00727040"/>
    <w:rsid w:val="007279FA"/>
    <w:rsid w:val="00727B77"/>
    <w:rsid w:val="00730C82"/>
    <w:rsid w:val="0073119B"/>
    <w:rsid w:val="0074106E"/>
    <w:rsid w:val="007414F7"/>
    <w:rsid w:val="00741663"/>
    <w:rsid w:val="00741818"/>
    <w:rsid w:val="00742F35"/>
    <w:rsid w:val="007438A9"/>
    <w:rsid w:val="0074491E"/>
    <w:rsid w:val="0075003D"/>
    <w:rsid w:val="00750E2C"/>
    <w:rsid w:val="00751007"/>
    <w:rsid w:val="007542EF"/>
    <w:rsid w:val="00754DE5"/>
    <w:rsid w:val="00760146"/>
    <w:rsid w:val="00763D60"/>
    <w:rsid w:val="0076507A"/>
    <w:rsid w:val="00765C62"/>
    <w:rsid w:val="00771027"/>
    <w:rsid w:val="00771386"/>
    <w:rsid w:val="00773605"/>
    <w:rsid w:val="0077400A"/>
    <w:rsid w:val="0077427C"/>
    <w:rsid w:val="00776F52"/>
    <w:rsid w:val="00777F7B"/>
    <w:rsid w:val="00780F5E"/>
    <w:rsid w:val="00780FD1"/>
    <w:rsid w:val="00781E26"/>
    <w:rsid w:val="00784693"/>
    <w:rsid w:val="00785B93"/>
    <w:rsid w:val="007860CA"/>
    <w:rsid w:val="0079059D"/>
    <w:rsid w:val="007915E0"/>
    <w:rsid w:val="00791CA1"/>
    <w:rsid w:val="00793B66"/>
    <w:rsid w:val="00793F52"/>
    <w:rsid w:val="00794BB4"/>
    <w:rsid w:val="0079518C"/>
    <w:rsid w:val="00795BFB"/>
    <w:rsid w:val="007A04FA"/>
    <w:rsid w:val="007A1624"/>
    <w:rsid w:val="007A2ABF"/>
    <w:rsid w:val="007A5599"/>
    <w:rsid w:val="007A78D6"/>
    <w:rsid w:val="007B001D"/>
    <w:rsid w:val="007B005B"/>
    <w:rsid w:val="007B04CB"/>
    <w:rsid w:val="007B21C8"/>
    <w:rsid w:val="007B2528"/>
    <w:rsid w:val="007B6561"/>
    <w:rsid w:val="007C7355"/>
    <w:rsid w:val="007C7AF7"/>
    <w:rsid w:val="007D1C65"/>
    <w:rsid w:val="007D2A2F"/>
    <w:rsid w:val="007D2E75"/>
    <w:rsid w:val="007D31E0"/>
    <w:rsid w:val="007D3224"/>
    <w:rsid w:val="007D336B"/>
    <w:rsid w:val="007D337E"/>
    <w:rsid w:val="007D63FF"/>
    <w:rsid w:val="007E07AC"/>
    <w:rsid w:val="007E0C35"/>
    <w:rsid w:val="007E0EF6"/>
    <w:rsid w:val="007E458F"/>
    <w:rsid w:val="007E601E"/>
    <w:rsid w:val="007E72DF"/>
    <w:rsid w:val="007F04C8"/>
    <w:rsid w:val="007F0FF2"/>
    <w:rsid w:val="007F196E"/>
    <w:rsid w:val="007F390C"/>
    <w:rsid w:val="00800BF7"/>
    <w:rsid w:val="00800DC3"/>
    <w:rsid w:val="008019DD"/>
    <w:rsid w:val="00801AC6"/>
    <w:rsid w:val="00801F28"/>
    <w:rsid w:val="0080272D"/>
    <w:rsid w:val="00803499"/>
    <w:rsid w:val="008039E9"/>
    <w:rsid w:val="00805205"/>
    <w:rsid w:val="008058F6"/>
    <w:rsid w:val="008078F9"/>
    <w:rsid w:val="0081111F"/>
    <w:rsid w:val="00812AE1"/>
    <w:rsid w:val="008146D5"/>
    <w:rsid w:val="008148CC"/>
    <w:rsid w:val="00814CEC"/>
    <w:rsid w:val="00820F61"/>
    <w:rsid w:val="008211A4"/>
    <w:rsid w:val="008233F8"/>
    <w:rsid w:val="00823D51"/>
    <w:rsid w:val="00826D87"/>
    <w:rsid w:val="0083085F"/>
    <w:rsid w:val="00830923"/>
    <w:rsid w:val="008326AB"/>
    <w:rsid w:val="0083324C"/>
    <w:rsid w:val="0083380E"/>
    <w:rsid w:val="00834F8E"/>
    <w:rsid w:val="008363B7"/>
    <w:rsid w:val="008374D0"/>
    <w:rsid w:val="00840725"/>
    <w:rsid w:val="00841735"/>
    <w:rsid w:val="00841C21"/>
    <w:rsid w:val="00843746"/>
    <w:rsid w:val="0084642C"/>
    <w:rsid w:val="00846692"/>
    <w:rsid w:val="008505B9"/>
    <w:rsid w:val="00850762"/>
    <w:rsid w:val="00851448"/>
    <w:rsid w:val="00854309"/>
    <w:rsid w:val="008544CC"/>
    <w:rsid w:val="00854E71"/>
    <w:rsid w:val="0085510C"/>
    <w:rsid w:val="00855549"/>
    <w:rsid w:val="008568DC"/>
    <w:rsid w:val="0086078E"/>
    <w:rsid w:val="008621FD"/>
    <w:rsid w:val="00863268"/>
    <w:rsid w:val="0086440A"/>
    <w:rsid w:val="0086545E"/>
    <w:rsid w:val="008656D1"/>
    <w:rsid w:val="00865C62"/>
    <w:rsid w:val="008667ED"/>
    <w:rsid w:val="0086719C"/>
    <w:rsid w:val="008671C2"/>
    <w:rsid w:val="00873150"/>
    <w:rsid w:val="00873392"/>
    <w:rsid w:val="00873E56"/>
    <w:rsid w:val="00874016"/>
    <w:rsid w:val="0087642E"/>
    <w:rsid w:val="0087657D"/>
    <w:rsid w:val="00877C77"/>
    <w:rsid w:val="00877D07"/>
    <w:rsid w:val="00880832"/>
    <w:rsid w:val="00881DFA"/>
    <w:rsid w:val="00882C4A"/>
    <w:rsid w:val="008837B7"/>
    <w:rsid w:val="00883A56"/>
    <w:rsid w:val="008840AA"/>
    <w:rsid w:val="00884A97"/>
    <w:rsid w:val="008862CF"/>
    <w:rsid w:val="00886EE1"/>
    <w:rsid w:val="00890A22"/>
    <w:rsid w:val="00894C55"/>
    <w:rsid w:val="00894D64"/>
    <w:rsid w:val="00895107"/>
    <w:rsid w:val="0089544B"/>
    <w:rsid w:val="008954AA"/>
    <w:rsid w:val="0089727F"/>
    <w:rsid w:val="00897C75"/>
    <w:rsid w:val="008A0A45"/>
    <w:rsid w:val="008A1E0F"/>
    <w:rsid w:val="008A26EE"/>
    <w:rsid w:val="008A2DA0"/>
    <w:rsid w:val="008A2F9A"/>
    <w:rsid w:val="008A3715"/>
    <w:rsid w:val="008A3DAF"/>
    <w:rsid w:val="008A452B"/>
    <w:rsid w:val="008A56BA"/>
    <w:rsid w:val="008A738D"/>
    <w:rsid w:val="008A7BC4"/>
    <w:rsid w:val="008B0485"/>
    <w:rsid w:val="008B0E5D"/>
    <w:rsid w:val="008B128B"/>
    <w:rsid w:val="008B16B3"/>
    <w:rsid w:val="008B2C31"/>
    <w:rsid w:val="008B3548"/>
    <w:rsid w:val="008B35A8"/>
    <w:rsid w:val="008B415B"/>
    <w:rsid w:val="008B4609"/>
    <w:rsid w:val="008B4B35"/>
    <w:rsid w:val="008B5755"/>
    <w:rsid w:val="008B6CE5"/>
    <w:rsid w:val="008C1B94"/>
    <w:rsid w:val="008C20B4"/>
    <w:rsid w:val="008D04DD"/>
    <w:rsid w:val="008D14D1"/>
    <w:rsid w:val="008D18E6"/>
    <w:rsid w:val="008D2A93"/>
    <w:rsid w:val="008D3118"/>
    <w:rsid w:val="008D38DF"/>
    <w:rsid w:val="008D491B"/>
    <w:rsid w:val="008D6849"/>
    <w:rsid w:val="008D6A5A"/>
    <w:rsid w:val="008E0D6D"/>
    <w:rsid w:val="008E0E1A"/>
    <w:rsid w:val="008E2D1E"/>
    <w:rsid w:val="008E5A9F"/>
    <w:rsid w:val="008E7755"/>
    <w:rsid w:val="008F0710"/>
    <w:rsid w:val="008F21F6"/>
    <w:rsid w:val="008F38CF"/>
    <w:rsid w:val="008F4E99"/>
    <w:rsid w:val="008F790D"/>
    <w:rsid w:val="008F7DEA"/>
    <w:rsid w:val="00900C2A"/>
    <w:rsid w:val="00902875"/>
    <w:rsid w:val="00903C58"/>
    <w:rsid w:val="00907189"/>
    <w:rsid w:val="009076B4"/>
    <w:rsid w:val="00911122"/>
    <w:rsid w:val="00911656"/>
    <w:rsid w:val="0091185C"/>
    <w:rsid w:val="00916275"/>
    <w:rsid w:val="00920178"/>
    <w:rsid w:val="009208D2"/>
    <w:rsid w:val="00921267"/>
    <w:rsid w:val="00921B91"/>
    <w:rsid w:val="00921CF1"/>
    <w:rsid w:val="009221E1"/>
    <w:rsid w:val="0092503E"/>
    <w:rsid w:val="009273A3"/>
    <w:rsid w:val="0093026D"/>
    <w:rsid w:val="009302A6"/>
    <w:rsid w:val="009305B2"/>
    <w:rsid w:val="00930B31"/>
    <w:rsid w:val="0093232B"/>
    <w:rsid w:val="00932F07"/>
    <w:rsid w:val="0093745B"/>
    <w:rsid w:val="009409E1"/>
    <w:rsid w:val="00941D3F"/>
    <w:rsid w:val="00942419"/>
    <w:rsid w:val="00945715"/>
    <w:rsid w:val="00945B72"/>
    <w:rsid w:val="00947F5A"/>
    <w:rsid w:val="00951F79"/>
    <w:rsid w:val="00952440"/>
    <w:rsid w:val="0095303A"/>
    <w:rsid w:val="00954164"/>
    <w:rsid w:val="009542F7"/>
    <w:rsid w:val="00957B92"/>
    <w:rsid w:val="0096017C"/>
    <w:rsid w:val="009632EE"/>
    <w:rsid w:val="00963EBB"/>
    <w:rsid w:val="009664B3"/>
    <w:rsid w:val="00966CA8"/>
    <w:rsid w:val="00967A25"/>
    <w:rsid w:val="00967D8F"/>
    <w:rsid w:val="00971BFA"/>
    <w:rsid w:val="00973840"/>
    <w:rsid w:val="00974FFD"/>
    <w:rsid w:val="00975EDB"/>
    <w:rsid w:val="009763C7"/>
    <w:rsid w:val="00976901"/>
    <w:rsid w:val="009802B3"/>
    <w:rsid w:val="009811C0"/>
    <w:rsid w:val="00982AA8"/>
    <w:rsid w:val="0098394C"/>
    <w:rsid w:val="009851D8"/>
    <w:rsid w:val="00986A69"/>
    <w:rsid w:val="00986AA1"/>
    <w:rsid w:val="0098706D"/>
    <w:rsid w:val="009871F8"/>
    <w:rsid w:val="009900EE"/>
    <w:rsid w:val="0099194A"/>
    <w:rsid w:val="0099264B"/>
    <w:rsid w:val="00992E17"/>
    <w:rsid w:val="009935FB"/>
    <w:rsid w:val="00994621"/>
    <w:rsid w:val="0099606D"/>
    <w:rsid w:val="00996A27"/>
    <w:rsid w:val="00997188"/>
    <w:rsid w:val="009A0F0B"/>
    <w:rsid w:val="009A0F14"/>
    <w:rsid w:val="009A1556"/>
    <w:rsid w:val="009A3E1B"/>
    <w:rsid w:val="009A5703"/>
    <w:rsid w:val="009A59BD"/>
    <w:rsid w:val="009A720B"/>
    <w:rsid w:val="009B28EA"/>
    <w:rsid w:val="009B4CF6"/>
    <w:rsid w:val="009B5A32"/>
    <w:rsid w:val="009B5B01"/>
    <w:rsid w:val="009B6038"/>
    <w:rsid w:val="009B6146"/>
    <w:rsid w:val="009B62AD"/>
    <w:rsid w:val="009B6719"/>
    <w:rsid w:val="009B6906"/>
    <w:rsid w:val="009B7376"/>
    <w:rsid w:val="009C0229"/>
    <w:rsid w:val="009C209F"/>
    <w:rsid w:val="009C20DE"/>
    <w:rsid w:val="009C21F8"/>
    <w:rsid w:val="009C3B99"/>
    <w:rsid w:val="009C5484"/>
    <w:rsid w:val="009D0297"/>
    <w:rsid w:val="009D02D6"/>
    <w:rsid w:val="009D0964"/>
    <w:rsid w:val="009D0AF6"/>
    <w:rsid w:val="009D215B"/>
    <w:rsid w:val="009D2EC9"/>
    <w:rsid w:val="009D2EF3"/>
    <w:rsid w:val="009D47D0"/>
    <w:rsid w:val="009D61ED"/>
    <w:rsid w:val="009E032A"/>
    <w:rsid w:val="009E3606"/>
    <w:rsid w:val="009E4C05"/>
    <w:rsid w:val="009E5874"/>
    <w:rsid w:val="009E5F56"/>
    <w:rsid w:val="009E6611"/>
    <w:rsid w:val="009F048B"/>
    <w:rsid w:val="009F0D9A"/>
    <w:rsid w:val="009F45B7"/>
    <w:rsid w:val="009F5267"/>
    <w:rsid w:val="009F572E"/>
    <w:rsid w:val="009F74C4"/>
    <w:rsid w:val="009F78C3"/>
    <w:rsid w:val="00A01416"/>
    <w:rsid w:val="00A0321E"/>
    <w:rsid w:val="00A0381B"/>
    <w:rsid w:val="00A05048"/>
    <w:rsid w:val="00A11049"/>
    <w:rsid w:val="00A118B0"/>
    <w:rsid w:val="00A11EB4"/>
    <w:rsid w:val="00A125DE"/>
    <w:rsid w:val="00A129E5"/>
    <w:rsid w:val="00A13421"/>
    <w:rsid w:val="00A13E29"/>
    <w:rsid w:val="00A14495"/>
    <w:rsid w:val="00A147D1"/>
    <w:rsid w:val="00A16576"/>
    <w:rsid w:val="00A16E16"/>
    <w:rsid w:val="00A1702A"/>
    <w:rsid w:val="00A171CF"/>
    <w:rsid w:val="00A17B23"/>
    <w:rsid w:val="00A21CF7"/>
    <w:rsid w:val="00A22713"/>
    <w:rsid w:val="00A250F5"/>
    <w:rsid w:val="00A25FD7"/>
    <w:rsid w:val="00A261EC"/>
    <w:rsid w:val="00A3160F"/>
    <w:rsid w:val="00A31AD1"/>
    <w:rsid w:val="00A31C0A"/>
    <w:rsid w:val="00A3212C"/>
    <w:rsid w:val="00A33177"/>
    <w:rsid w:val="00A337D7"/>
    <w:rsid w:val="00A33D94"/>
    <w:rsid w:val="00A3466A"/>
    <w:rsid w:val="00A354D5"/>
    <w:rsid w:val="00A35829"/>
    <w:rsid w:val="00A35B97"/>
    <w:rsid w:val="00A366C7"/>
    <w:rsid w:val="00A36D37"/>
    <w:rsid w:val="00A409E1"/>
    <w:rsid w:val="00A43AFF"/>
    <w:rsid w:val="00A4498B"/>
    <w:rsid w:val="00A45AE1"/>
    <w:rsid w:val="00A50E58"/>
    <w:rsid w:val="00A513FC"/>
    <w:rsid w:val="00A5293C"/>
    <w:rsid w:val="00A53A88"/>
    <w:rsid w:val="00A54473"/>
    <w:rsid w:val="00A5529C"/>
    <w:rsid w:val="00A558DD"/>
    <w:rsid w:val="00A572B7"/>
    <w:rsid w:val="00A657D1"/>
    <w:rsid w:val="00A660CC"/>
    <w:rsid w:val="00A6610A"/>
    <w:rsid w:val="00A7155A"/>
    <w:rsid w:val="00A72B18"/>
    <w:rsid w:val="00A73E8C"/>
    <w:rsid w:val="00A74E66"/>
    <w:rsid w:val="00A75B2F"/>
    <w:rsid w:val="00A7659E"/>
    <w:rsid w:val="00A777EC"/>
    <w:rsid w:val="00A7793A"/>
    <w:rsid w:val="00A77C6C"/>
    <w:rsid w:val="00A82818"/>
    <w:rsid w:val="00A85D08"/>
    <w:rsid w:val="00A87024"/>
    <w:rsid w:val="00A90D98"/>
    <w:rsid w:val="00A91C7A"/>
    <w:rsid w:val="00A936BE"/>
    <w:rsid w:val="00A93715"/>
    <w:rsid w:val="00A93746"/>
    <w:rsid w:val="00A93C29"/>
    <w:rsid w:val="00A93D8C"/>
    <w:rsid w:val="00A9562B"/>
    <w:rsid w:val="00A974B8"/>
    <w:rsid w:val="00AA1FBA"/>
    <w:rsid w:val="00AA27B0"/>
    <w:rsid w:val="00AA45AF"/>
    <w:rsid w:val="00AA6396"/>
    <w:rsid w:val="00AA6A88"/>
    <w:rsid w:val="00AB13BC"/>
    <w:rsid w:val="00AB1559"/>
    <w:rsid w:val="00AB4A76"/>
    <w:rsid w:val="00AB5871"/>
    <w:rsid w:val="00AB662D"/>
    <w:rsid w:val="00AC12B1"/>
    <w:rsid w:val="00AC249B"/>
    <w:rsid w:val="00AC2ADA"/>
    <w:rsid w:val="00AC5973"/>
    <w:rsid w:val="00AD01E4"/>
    <w:rsid w:val="00AD14CA"/>
    <w:rsid w:val="00AD369B"/>
    <w:rsid w:val="00AE4237"/>
    <w:rsid w:val="00AE5F8E"/>
    <w:rsid w:val="00AE7398"/>
    <w:rsid w:val="00AF0298"/>
    <w:rsid w:val="00AF0358"/>
    <w:rsid w:val="00AF1D01"/>
    <w:rsid w:val="00AF5E1C"/>
    <w:rsid w:val="00AF7CBD"/>
    <w:rsid w:val="00B00E37"/>
    <w:rsid w:val="00B031BD"/>
    <w:rsid w:val="00B0451B"/>
    <w:rsid w:val="00B04F9A"/>
    <w:rsid w:val="00B050BA"/>
    <w:rsid w:val="00B051D8"/>
    <w:rsid w:val="00B0563E"/>
    <w:rsid w:val="00B069E4"/>
    <w:rsid w:val="00B11990"/>
    <w:rsid w:val="00B12818"/>
    <w:rsid w:val="00B141E7"/>
    <w:rsid w:val="00B14CDD"/>
    <w:rsid w:val="00B15031"/>
    <w:rsid w:val="00B1619C"/>
    <w:rsid w:val="00B16669"/>
    <w:rsid w:val="00B168E1"/>
    <w:rsid w:val="00B17070"/>
    <w:rsid w:val="00B20BAA"/>
    <w:rsid w:val="00B2123C"/>
    <w:rsid w:val="00B213F2"/>
    <w:rsid w:val="00B22053"/>
    <w:rsid w:val="00B22F4F"/>
    <w:rsid w:val="00B306D7"/>
    <w:rsid w:val="00B327EF"/>
    <w:rsid w:val="00B33CEC"/>
    <w:rsid w:val="00B33E8E"/>
    <w:rsid w:val="00B404D2"/>
    <w:rsid w:val="00B44709"/>
    <w:rsid w:val="00B46BCA"/>
    <w:rsid w:val="00B50937"/>
    <w:rsid w:val="00B51E41"/>
    <w:rsid w:val="00B53ABF"/>
    <w:rsid w:val="00B54D44"/>
    <w:rsid w:val="00B60158"/>
    <w:rsid w:val="00B606A2"/>
    <w:rsid w:val="00B612C4"/>
    <w:rsid w:val="00B61BCF"/>
    <w:rsid w:val="00B63A12"/>
    <w:rsid w:val="00B65828"/>
    <w:rsid w:val="00B6595A"/>
    <w:rsid w:val="00B66162"/>
    <w:rsid w:val="00B67034"/>
    <w:rsid w:val="00B6724D"/>
    <w:rsid w:val="00B67FCA"/>
    <w:rsid w:val="00B7425B"/>
    <w:rsid w:val="00B77BD3"/>
    <w:rsid w:val="00B80510"/>
    <w:rsid w:val="00B83992"/>
    <w:rsid w:val="00B8578B"/>
    <w:rsid w:val="00B85ABA"/>
    <w:rsid w:val="00B85F36"/>
    <w:rsid w:val="00B868A2"/>
    <w:rsid w:val="00B87806"/>
    <w:rsid w:val="00B87EC9"/>
    <w:rsid w:val="00B90174"/>
    <w:rsid w:val="00B90E7B"/>
    <w:rsid w:val="00B91141"/>
    <w:rsid w:val="00B92512"/>
    <w:rsid w:val="00B954ED"/>
    <w:rsid w:val="00B96102"/>
    <w:rsid w:val="00B9788F"/>
    <w:rsid w:val="00B97A53"/>
    <w:rsid w:val="00BA0719"/>
    <w:rsid w:val="00BA0B36"/>
    <w:rsid w:val="00BA2676"/>
    <w:rsid w:val="00BA2B65"/>
    <w:rsid w:val="00BA2DAB"/>
    <w:rsid w:val="00BA36A1"/>
    <w:rsid w:val="00BA49A9"/>
    <w:rsid w:val="00BA4EAA"/>
    <w:rsid w:val="00BA4FF0"/>
    <w:rsid w:val="00BA5A27"/>
    <w:rsid w:val="00BA5E47"/>
    <w:rsid w:val="00BB0F1B"/>
    <w:rsid w:val="00BB36D6"/>
    <w:rsid w:val="00BB38E6"/>
    <w:rsid w:val="00BB6425"/>
    <w:rsid w:val="00BB6E8F"/>
    <w:rsid w:val="00BC3758"/>
    <w:rsid w:val="00BC38FD"/>
    <w:rsid w:val="00BD11B5"/>
    <w:rsid w:val="00BD1C99"/>
    <w:rsid w:val="00BD21FA"/>
    <w:rsid w:val="00BD2964"/>
    <w:rsid w:val="00BD2A6B"/>
    <w:rsid w:val="00BD75DA"/>
    <w:rsid w:val="00BE199A"/>
    <w:rsid w:val="00BE31BB"/>
    <w:rsid w:val="00BE466D"/>
    <w:rsid w:val="00BE5DDF"/>
    <w:rsid w:val="00BE5FE4"/>
    <w:rsid w:val="00BE614E"/>
    <w:rsid w:val="00BE631D"/>
    <w:rsid w:val="00BE64A0"/>
    <w:rsid w:val="00BE66D6"/>
    <w:rsid w:val="00BF0A9B"/>
    <w:rsid w:val="00BF1B50"/>
    <w:rsid w:val="00BF278D"/>
    <w:rsid w:val="00BF2F63"/>
    <w:rsid w:val="00C00D6C"/>
    <w:rsid w:val="00C01043"/>
    <w:rsid w:val="00C015E9"/>
    <w:rsid w:val="00C0359A"/>
    <w:rsid w:val="00C0434A"/>
    <w:rsid w:val="00C0440A"/>
    <w:rsid w:val="00C054BC"/>
    <w:rsid w:val="00C060C0"/>
    <w:rsid w:val="00C06E13"/>
    <w:rsid w:val="00C06FD4"/>
    <w:rsid w:val="00C07BB0"/>
    <w:rsid w:val="00C10464"/>
    <w:rsid w:val="00C14C5E"/>
    <w:rsid w:val="00C14EB5"/>
    <w:rsid w:val="00C16273"/>
    <w:rsid w:val="00C1757B"/>
    <w:rsid w:val="00C1760D"/>
    <w:rsid w:val="00C17897"/>
    <w:rsid w:val="00C21AD5"/>
    <w:rsid w:val="00C2251E"/>
    <w:rsid w:val="00C270D7"/>
    <w:rsid w:val="00C27DF0"/>
    <w:rsid w:val="00C31898"/>
    <w:rsid w:val="00C32FBD"/>
    <w:rsid w:val="00C33809"/>
    <w:rsid w:val="00C33F5F"/>
    <w:rsid w:val="00C33FDD"/>
    <w:rsid w:val="00C3491B"/>
    <w:rsid w:val="00C369F9"/>
    <w:rsid w:val="00C409D5"/>
    <w:rsid w:val="00C40CC2"/>
    <w:rsid w:val="00C42D86"/>
    <w:rsid w:val="00C43318"/>
    <w:rsid w:val="00C455F0"/>
    <w:rsid w:val="00C47510"/>
    <w:rsid w:val="00C501F3"/>
    <w:rsid w:val="00C52178"/>
    <w:rsid w:val="00C52C13"/>
    <w:rsid w:val="00C535CA"/>
    <w:rsid w:val="00C54862"/>
    <w:rsid w:val="00C6049E"/>
    <w:rsid w:val="00C6234B"/>
    <w:rsid w:val="00C6300C"/>
    <w:rsid w:val="00C63EAE"/>
    <w:rsid w:val="00C64263"/>
    <w:rsid w:val="00C65126"/>
    <w:rsid w:val="00C67BD3"/>
    <w:rsid w:val="00C67E29"/>
    <w:rsid w:val="00C7153E"/>
    <w:rsid w:val="00C726ED"/>
    <w:rsid w:val="00C73359"/>
    <w:rsid w:val="00C74E84"/>
    <w:rsid w:val="00C753EA"/>
    <w:rsid w:val="00C75571"/>
    <w:rsid w:val="00C75A03"/>
    <w:rsid w:val="00C76004"/>
    <w:rsid w:val="00C7629F"/>
    <w:rsid w:val="00C76CD4"/>
    <w:rsid w:val="00C77D37"/>
    <w:rsid w:val="00C805CB"/>
    <w:rsid w:val="00C80A55"/>
    <w:rsid w:val="00C81620"/>
    <w:rsid w:val="00C8181C"/>
    <w:rsid w:val="00C8322D"/>
    <w:rsid w:val="00C83821"/>
    <w:rsid w:val="00C838F9"/>
    <w:rsid w:val="00C85ED4"/>
    <w:rsid w:val="00C8661B"/>
    <w:rsid w:val="00C873D6"/>
    <w:rsid w:val="00C87CFD"/>
    <w:rsid w:val="00C93A1A"/>
    <w:rsid w:val="00C93D0A"/>
    <w:rsid w:val="00C93DF5"/>
    <w:rsid w:val="00C94CE2"/>
    <w:rsid w:val="00C94F1A"/>
    <w:rsid w:val="00C94FA3"/>
    <w:rsid w:val="00C958E7"/>
    <w:rsid w:val="00C964B0"/>
    <w:rsid w:val="00CA0209"/>
    <w:rsid w:val="00CA04B7"/>
    <w:rsid w:val="00CA04E8"/>
    <w:rsid w:val="00CA10DA"/>
    <w:rsid w:val="00CA1931"/>
    <w:rsid w:val="00CA1D22"/>
    <w:rsid w:val="00CA28A5"/>
    <w:rsid w:val="00CA4542"/>
    <w:rsid w:val="00CA4A4B"/>
    <w:rsid w:val="00CA4AA2"/>
    <w:rsid w:val="00CA5ED8"/>
    <w:rsid w:val="00CA77FB"/>
    <w:rsid w:val="00CB087A"/>
    <w:rsid w:val="00CB22F6"/>
    <w:rsid w:val="00CB2DEE"/>
    <w:rsid w:val="00CB3143"/>
    <w:rsid w:val="00CB379B"/>
    <w:rsid w:val="00CB4C66"/>
    <w:rsid w:val="00CB5751"/>
    <w:rsid w:val="00CB5B20"/>
    <w:rsid w:val="00CB5CD7"/>
    <w:rsid w:val="00CB5DD0"/>
    <w:rsid w:val="00CB7FBF"/>
    <w:rsid w:val="00CC03B7"/>
    <w:rsid w:val="00CC2A6F"/>
    <w:rsid w:val="00CC3CE0"/>
    <w:rsid w:val="00CC453F"/>
    <w:rsid w:val="00CC4B91"/>
    <w:rsid w:val="00CC51D4"/>
    <w:rsid w:val="00CC65DA"/>
    <w:rsid w:val="00CC6B86"/>
    <w:rsid w:val="00CD0063"/>
    <w:rsid w:val="00CD0B63"/>
    <w:rsid w:val="00CD195F"/>
    <w:rsid w:val="00CD5970"/>
    <w:rsid w:val="00CE0142"/>
    <w:rsid w:val="00CE020E"/>
    <w:rsid w:val="00CE09DF"/>
    <w:rsid w:val="00CE13EF"/>
    <w:rsid w:val="00CE1CA3"/>
    <w:rsid w:val="00CE38C0"/>
    <w:rsid w:val="00CE6FEE"/>
    <w:rsid w:val="00CF067A"/>
    <w:rsid w:val="00CF21B9"/>
    <w:rsid w:val="00CF22CD"/>
    <w:rsid w:val="00CF403A"/>
    <w:rsid w:val="00CF5EF3"/>
    <w:rsid w:val="00CF62A3"/>
    <w:rsid w:val="00CF6BF9"/>
    <w:rsid w:val="00CF6EFD"/>
    <w:rsid w:val="00CF79A2"/>
    <w:rsid w:val="00CF7EC3"/>
    <w:rsid w:val="00D0056C"/>
    <w:rsid w:val="00D01587"/>
    <w:rsid w:val="00D02570"/>
    <w:rsid w:val="00D02A10"/>
    <w:rsid w:val="00D032B5"/>
    <w:rsid w:val="00D03800"/>
    <w:rsid w:val="00D045C7"/>
    <w:rsid w:val="00D04EAE"/>
    <w:rsid w:val="00D04F90"/>
    <w:rsid w:val="00D065D3"/>
    <w:rsid w:val="00D06E77"/>
    <w:rsid w:val="00D0765E"/>
    <w:rsid w:val="00D1141B"/>
    <w:rsid w:val="00D11908"/>
    <w:rsid w:val="00D11B4E"/>
    <w:rsid w:val="00D127D0"/>
    <w:rsid w:val="00D13138"/>
    <w:rsid w:val="00D13297"/>
    <w:rsid w:val="00D1752C"/>
    <w:rsid w:val="00D20B1E"/>
    <w:rsid w:val="00D2185A"/>
    <w:rsid w:val="00D23527"/>
    <w:rsid w:val="00D238B3"/>
    <w:rsid w:val="00D24427"/>
    <w:rsid w:val="00D26683"/>
    <w:rsid w:val="00D26AFB"/>
    <w:rsid w:val="00D26B33"/>
    <w:rsid w:val="00D26BBC"/>
    <w:rsid w:val="00D300DD"/>
    <w:rsid w:val="00D30C66"/>
    <w:rsid w:val="00D3145F"/>
    <w:rsid w:val="00D335B0"/>
    <w:rsid w:val="00D36033"/>
    <w:rsid w:val="00D369C3"/>
    <w:rsid w:val="00D37C84"/>
    <w:rsid w:val="00D4024D"/>
    <w:rsid w:val="00D451C0"/>
    <w:rsid w:val="00D45E9A"/>
    <w:rsid w:val="00D464BF"/>
    <w:rsid w:val="00D47DE8"/>
    <w:rsid w:val="00D50A58"/>
    <w:rsid w:val="00D52B00"/>
    <w:rsid w:val="00D52FBD"/>
    <w:rsid w:val="00D53E26"/>
    <w:rsid w:val="00D5401E"/>
    <w:rsid w:val="00D547EF"/>
    <w:rsid w:val="00D57F49"/>
    <w:rsid w:val="00D6311E"/>
    <w:rsid w:val="00D6752E"/>
    <w:rsid w:val="00D70AC1"/>
    <w:rsid w:val="00D726F0"/>
    <w:rsid w:val="00D728D6"/>
    <w:rsid w:val="00D7748E"/>
    <w:rsid w:val="00D77988"/>
    <w:rsid w:val="00D80AC5"/>
    <w:rsid w:val="00D80BE3"/>
    <w:rsid w:val="00D80E82"/>
    <w:rsid w:val="00D82A48"/>
    <w:rsid w:val="00D82E7F"/>
    <w:rsid w:val="00D83874"/>
    <w:rsid w:val="00D8394C"/>
    <w:rsid w:val="00D83C2C"/>
    <w:rsid w:val="00D8403F"/>
    <w:rsid w:val="00D84855"/>
    <w:rsid w:val="00D8713F"/>
    <w:rsid w:val="00D90497"/>
    <w:rsid w:val="00D90679"/>
    <w:rsid w:val="00D9085E"/>
    <w:rsid w:val="00D90B73"/>
    <w:rsid w:val="00D915C5"/>
    <w:rsid w:val="00D927B0"/>
    <w:rsid w:val="00D92849"/>
    <w:rsid w:val="00D93573"/>
    <w:rsid w:val="00D93779"/>
    <w:rsid w:val="00D94920"/>
    <w:rsid w:val="00D96F67"/>
    <w:rsid w:val="00D96F6B"/>
    <w:rsid w:val="00D9795B"/>
    <w:rsid w:val="00D97A7D"/>
    <w:rsid w:val="00D97B4A"/>
    <w:rsid w:val="00DA0B6E"/>
    <w:rsid w:val="00DA1407"/>
    <w:rsid w:val="00DA17AA"/>
    <w:rsid w:val="00DA1850"/>
    <w:rsid w:val="00DA1F9B"/>
    <w:rsid w:val="00DA3A45"/>
    <w:rsid w:val="00DA494F"/>
    <w:rsid w:val="00DA5A0E"/>
    <w:rsid w:val="00DA79F7"/>
    <w:rsid w:val="00DB0425"/>
    <w:rsid w:val="00DB230D"/>
    <w:rsid w:val="00DB3870"/>
    <w:rsid w:val="00DB4B44"/>
    <w:rsid w:val="00DB5492"/>
    <w:rsid w:val="00DB559B"/>
    <w:rsid w:val="00DB68ED"/>
    <w:rsid w:val="00DB6D76"/>
    <w:rsid w:val="00DB73DD"/>
    <w:rsid w:val="00DB7CC5"/>
    <w:rsid w:val="00DB7DC3"/>
    <w:rsid w:val="00DC0975"/>
    <w:rsid w:val="00DC1227"/>
    <w:rsid w:val="00DC30AC"/>
    <w:rsid w:val="00DC39E2"/>
    <w:rsid w:val="00DC6BF6"/>
    <w:rsid w:val="00DC6FA9"/>
    <w:rsid w:val="00DC7233"/>
    <w:rsid w:val="00DD1B49"/>
    <w:rsid w:val="00DD2CBE"/>
    <w:rsid w:val="00DD38E6"/>
    <w:rsid w:val="00DD4D31"/>
    <w:rsid w:val="00DD4F0E"/>
    <w:rsid w:val="00DD6567"/>
    <w:rsid w:val="00DD7E68"/>
    <w:rsid w:val="00DE056C"/>
    <w:rsid w:val="00DE0C57"/>
    <w:rsid w:val="00DE3E92"/>
    <w:rsid w:val="00DE41F3"/>
    <w:rsid w:val="00DE4BF8"/>
    <w:rsid w:val="00DE4C18"/>
    <w:rsid w:val="00DE4FB0"/>
    <w:rsid w:val="00DE5B4F"/>
    <w:rsid w:val="00DE6A3B"/>
    <w:rsid w:val="00DE79A3"/>
    <w:rsid w:val="00DF06C5"/>
    <w:rsid w:val="00DF0A30"/>
    <w:rsid w:val="00DF2957"/>
    <w:rsid w:val="00DF5013"/>
    <w:rsid w:val="00DF55E0"/>
    <w:rsid w:val="00DF6BB4"/>
    <w:rsid w:val="00DF763D"/>
    <w:rsid w:val="00DF7A28"/>
    <w:rsid w:val="00E00E80"/>
    <w:rsid w:val="00E03E72"/>
    <w:rsid w:val="00E044A7"/>
    <w:rsid w:val="00E04C05"/>
    <w:rsid w:val="00E11573"/>
    <w:rsid w:val="00E1243F"/>
    <w:rsid w:val="00E12509"/>
    <w:rsid w:val="00E133A6"/>
    <w:rsid w:val="00E14D72"/>
    <w:rsid w:val="00E1539D"/>
    <w:rsid w:val="00E225DE"/>
    <w:rsid w:val="00E25C2E"/>
    <w:rsid w:val="00E26D62"/>
    <w:rsid w:val="00E3315D"/>
    <w:rsid w:val="00E35581"/>
    <w:rsid w:val="00E41921"/>
    <w:rsid w:val="00E42852"/>
    <w:rsid w:val="00E44B45"/>
    <w:rsid w:val="00E47C5A"/>
    <w:rsid w:val="00E506A9"/>
    <w:rsid w:val="00E5157E"/>
    <w:rsid w:val="00E52792"/>
    <w:rsid w:val="00E52A7D"/>
    <w:rsid w:val="00E52BDA"/>
    <w:rsid w:val="00E530FF"/>
    <w:rsid w:val="00E534CF"/>
    <w:rsid w:val="00E54BB6"/>
    <w:rsid w:val="00E55F0B"/>
    <w:rsid w:val="00E56080"/>
    <w:rsid w:val="00E5724F"/>
    <w:rsid w:val="00E60D28"/>
    <w:rsid w:val="00E62FA5"/>
    <w:rsid w:val="00E63E5A"/>
    <w:rsid w:val="00E6549A"/>
    <w:rsid w:val="00E67571"/>
    <w:rsid w:val="00E67A9F"/>
    <w:rsid w:val="00E7168A"/>
    <w:rsid w:val="00E71BAA"/>
    <w:rsid w:val="00E71D32"/>
    <w:rsid w:val="00E751AC"/>
    <w:rsid w:val="00E806A0"/>
    <w:rsid w:val="00E80DC1"/>
    <w:rsid w:val="00E822B5"/>
    <w:rsid w:val="00E84990"/>
    <w:rsid w:val="00E86530"/>
    <w:rsid w:val="00E87470"/>
    <w:rsid w:val="00E91FB2"/>
    <w:rsid w:val="00E929F5"/>
    <w:rsid w:val="00E93A92"/>
    <w:rsid w:val="00E96D4C"/>
    <w:rsid w:val="00E97117"/>
    <w:rsid w:val="00EA0752"/>
    <w:rsid w:val="00EA1B76"/>
    <w:rsid w:val="00EA471F"/>
    <w:rsid w:val="00EA4A44"/>
    <w:rsid w:val="00EA71E8"/>
    <w:rsid w:val="00EB137F"/>
    <w:rsid w:val="00EB2450"/>
    <w:rsid w:val="00EB256C"/>
    <w:rsid w:val="00EB373C"/>
    <w:rsid w:val="00EB37BE"/>
    <w:rsid w:val="00EB5BDC"/>
    <w:rsid w:val="00EB5E0B"/>
    <w:rsid w:val="00EB6B06"/>
    <w:rsid w:val="00EB7106"/>
    <w:rsid w:val="00EC25D8"/>
    <w:rsid w:val="00EC2917"/>
    <w:rsid w:val="00EC4044"/>
    <w:rsid w:val="00EC4D6D"/>
    <w:rsid w:val="00EC7750"/>
    <w:rsid w:val="00ED2AF3"/>
    <w:rsid w:val="00ED2BE3"/>
    <w:rsid w:val="00ED385B"/>
    <w:rsid w:val="00ED514A"/>
    <w:rsid w:val="00ED55C6"/>
    <w:rsid w:val="00ED6FBF"/>
    <w:rsid w:val="00ED782F"/>
    <w:rsid w:val="00ED7F05"/>
    <w:rsid w:val="00EE0523"/>
    <w:rsid w:val="00EE1284"/>
    <w:rsid w:val="00EE21FC"/>
    <w:rsid w:val="00EE2E6E"/>
    <w:rsid w:val="00EE2EFB"/>
    <w:rsid w:val="00EE3D3B"/>
    <w:rsid w:val="00EE3EA3"/>
    <w:rsid w:val="00EE48C6"/>
    <w:rsid w:val="00EE5170"/>
    <w:rsid w:val="00EE77CE"/>
    <w:rsid w:val="00EF1A72"/>
    <w:rsid w:val="00EF25BC"/>
    <w:rsid w:val="00EF38F6"/>
    <w:rsid w:val="00EF55A4"/>
    <w:rsid w:val="00EF59A6"/>
    <w:rsid w:val="00EF7207"/>
    <w:rsid w:val="00EF751F"/>
    <w:rsid w:val="00EF79B9"/>
    <w:rsid w:val="00F0017D"/>
    <w:rsid w:val="00F01D99"/>
    <w:rsid w:val="00F0393C"/>
    <w:rsid w:val="00F04930"/>
    <w:rsid w:val="00F057C7"/>
    <w:rsid w:val="00F0759E"/>
    <w:rsid w:val="00F076F4"/>
    <w:rsid w:val="00F077F6"/>
    <w:rsid w:val="00F15DE3"/>
    <w:rsid w:val="00F20106"/>
    <w:rsid w:val="00F20C4E"/>
    <w:rsid w:val="00F212B8"/>
    <w:rsid w:val="00F225AF"/>
    <w:rsid w:val="00F24347"/>
    <w:rsid w:val="00F2456F"/>
    <w:rsid w:val="00F259BF"/>
    <w:rsid w:val="00F304FA"/>
    <w:rsid w:val="00F314C2"/>
    <w:rsid w:val="00F3163A"/>
    <w:rsid w:val="00F33E2F"/>
    <w:rsid w:val="00F33E94"/>
    <w:rsid w:val="00F34157"/>
    <w:rsid w:val="00F34194"/>
    <w:rsid w:val="00F4135E"/>
    <w:rsid w:val="00F4192E"/>
    <w:rsid w:val="00F41E77"/>
    <w:rsid w:val="00F424E7"/>
    <w:rsid w:val="00F442DD"/>
    <w:rsid w:val="00F477CA"/>
    <w:rsid w:val="00F47951"/>
    <w:rsid w:val="00F51E3D"/>
    <w:rsid w:val="00F53D63"/>
    <w:rsid w:val="00F54393"/>
    <w:rsid w:val="00F5695C"/>
    <w:rsid w:val="00F57710"/>
    <w:rsid w:val="00F5776A"/>
    <w:rsid w:val="00F57E6A"/>
    <w:rsid w:val="00F61A01"/>
    <w:rsid w:val="00F64630"/>
    <w:rsid w:val="00F6568B"/>
    <w:rsid w:val="00F656EA"/>
    <w:rsid w:val="00F65D02"/>
    <w:rsid w:val="00F67F44"/>
    <w:rsid w:val="00F72288"/>
    <w:rsid w:val="00F722CA"/>
    <w:rsid w:val="00F727C7"/>
    <w:rsid w:val="00F73531"/>
    <w:rsid w:val="00F743E7"/>
    <w:rsid w:val="00F74864"/>
    <w:rsid w:val="00F767B8"/>
    <w:rsid w:val="00F767CA"/>
    <w:rsid w:val="00F82339"/>
    <w:rsid w:val="00F84530"/>
    <w:rsid w:val="00F85E27"/>
    <w:rsid w:val="00F90FD0"/>
    <w:rsid w:val="00F91D79"/>
    <w:rsid w:val="00F92AAF"/>
    <w:rsid w:val="00F930D4"/>
    <w:rsid w:val="00F94DB6"/>
    <w:rsid w:val="00F94FEB"/>
    <w:rsid w:val="00F96AB7"/>
    <w:rsid w:val="00F96EC0"/>
    <w:rsid w:val="00FA0B92"/>
    <w:rsid w:val="00FA0D66"/>
    <w:rsid w:val="00FA1533"/>
    <w:rsid w:val="00FA2779"/>
    <w:rsid w:val="00FA27A4"/>
    <w:rsid w:val="00FA28B5"/>
    <w:rsid w:val="00FA2E6C"/>
    <w:rsid w:val="00FA3038"/>
    <w:rsid w:val="00FA3575"/>
    <w:rsid w:val="00FB0507"/>
    <w:rsid w:val="00FB087C"/>
    <w:rsid w:val="00FB44F1"/>
    <w:rsid w:val="00FB483F"/>
    <w:rsid w:val="00FB5427"/>
    <w:rsid w:val="00FB562A"/>
    <w:rsid w:val="00FB65FA"/>
    <w:rsid w:val="00FB6D31"/>
    <w:rsid w:val="00FB75BA"/>
    <w:rsid w:val="00FC0400"/>
    <w:rsid w:val="00FC0DDC"/>
    <w:rsid w:val="00FC3A71"/>
    <w:rsid w:val="00FC55A7"/>
    <w:rsid w:val="00FC58EF"/>
    <w:rsid w:val="00FC65B2"/>
    <w:rsid w:val="00FC697D"/>
    <w:rsid w:val="00FD0570"/>
    <w:rsid w:val="00FD1664"/>
    <w:rsid w:val="00FD2225"/>
    <w:rsid w:val="00FD2445"/>
    <w:rsid w:val="00FD3F8F"/>
    <w:rsid w:val="00FD51AE"/>
    <w:rsid w:val="00FD5EA1"/>
    <w:rsid w:val="00FE027C"/>
    <w:rsid w:val="00FE0FDD"/>
    <w:rsid w:val="00FE2EB4"/>
    <w:rsid w:val="00FE553A"/>
    <w:rsid w:val="00FE5B4D"/>
    <w:rsid w:val="00FE714F"/>
    <w:rsid w:val="00FE72A8"/>
    <w:rsid w:val="00FF07FD"/>
    <w:rsid w:val="00FF28CA"/>
    <w:rsid w:val="00FF355A"/>
    <w:rsid w:val="00FF39C7"/>
    <w:rsid w:val="00FF4A6D"/>
    <w:rsid w:val="00FF54B4"/>
    <w:rsid w:val="00FF7392"/>
    <w:rsid w:val="0110846A"/>
    <w:rsid w:val="0131A41C"/>
    <w:rsid w:val="01ED77FA"/>
    <w:rsid w:val="02024D3A"/>
    <w:rsid w:val="0212593C"/>
    <w:rsid w:val="021E0151"/>
    <w:rsid w:val="0224057D"/>
    <w:rsid w:val="0225EED7"/>
    <w:rsid w:val="02302A54"/>
    <w:rsid w:val="0244AAC5"/>
    <w:rsid w:val="02620BD1"/>
    <w:rsid w:val="02818C86"/>
    <w:rsid w:val="02E499D2"/>
    <w:rsid w:val="031E1F2E"/>
    <w:rsid w:val="034A1D7C"/>
    <w:rsid w:val="03CFB63B"/>
    <w:rsid w:val="040A0947"/>
    <w:rsid w:val="043474C5"/>
    <w:rsid w:val="0452E583"/>
    <w:rsid w:val="04647395"/>
    <w:rsid w:val="050F273D"/>
    <w:rsid w:val="05424145"/>
    <w:rsid w:val="060EBEA6"/>
    <w:rsid w:val="064FF5B1"/>
    <w:rsid w:val="0652EB09"/>
    <w:rsid w:val="070E68F5"/>
    <w:rsid w:val="07FB19F0"/>
    <w:rsid w:val="0827931E"/>
    <w:rsid w:val="0864578D"/>
    <w:rsid w:val="08C8BE88"/>
    <w:rsid w:val="09BE79B9"/>
    <w:rsid w:val="09CC28BB"/>
    <w:rsid w:val="0A568D73"/>
    <w:rsid w:val="0B16FB49"/>
    <w:rsid w:val="0B9470AE"/>
    <w:rsid w:val="0BA257AD"/>
    <w:rsid w:val="0BF6B626"/>
    <w:rsid w:val="0C19F6A6"/>
    <w:rsid w:val="0D1A4423"/>
    <w:rsid w:val="0D238E9F"/>
    <w:rsid w:val="0D2410B0"/>
    <w:rsid w:val="0D2E9003"/>
    <w:rsid w:val="0D4FB0D8"/>
    <w:rsid w:val="0E4CD261"/>
    <w:rsid w:val="0E50CC21"/>
    <w:rsid w:val="0E9EA520"/>
    <w:rsid w:val="0EAFE8E0"/>
    <w:rsid w:val="0EFB605B"/>
    <w:rsid w:val="0F2E109C"/>
    <w:rsid w:val="0F350347"/>
    <w:rsid w:val="0FAA63EE"/>
    <w:rsid w:val="0FB04D71"/>
    <w:rsid w:val="0FC667F2"/>
    <w:rsid w:val="0FFFC19C"/>
    <w:rsid w:val="101C7ED8"/>
    <w:rsid w:val="11025B10"/>
    <w:rsid w:val="116C0E94"/>
    <w:rsid w:val="11A9A5A6"/>
    <w:rsid w:val="11B8D0C8"/>
    <w:rsid w:val="1222EA44"/>
    <w:rsid w:val="1240A2CE"/>
    <w:rsid w:val="127A7DCB"/>
    <w:rsid w:val="1316AD37"/>
    <w:rsid w:val="139FE07C"/>
    <w:rsid w:val="13A2D4D9"/>
    <w:rsid w:val="13D99512"/>
    <w:rsid w:val="140E17A5"/>
    <w:rsid w:val="14F26069"/>
    <w:rsid w:val="14FDE255"/>
    <w:rsid w:val="157332CC"/>
    <w:rsid w:val="159EEF63"/>
    <w:rsid w:val="16B4D4A2"/>
    <w:rsid w:val="16DDB238"/>
    <w:rsid w:val="172EA757"/>
    <w:rsid w:val="1778C647"/>
    <w:rsid w:val="178DCA5C"/>
    <w:rsid w:val="17955D0A"/>
    <w:rsid w:val="17C473EE"/>
    <w:rsid w:val="17EAED89"/>
    <w:rsid w:val="187C307A"/>
    <w:rsid w:val="1B2FB61F"/>
    <w:rsid w:val="1B37431B"/>
    <w:rsid w:val="1B63C041"/>
    <w:rsid w:val="1B992C67"/>
    <w:rsid w:val="1C153AE5"/>
    <w:rsid w:val="1C646EE4"/>
    <w:rsid w:val="1C73173A"/>
    <w:rsid w:val="1C9E40FD"/>
    <w:rsid w:val="1CDA8FCD"/>
    <w:rsid w:val="1D4819B9"/>
    <w:rsid w:val="1D4E12CE"/>
    <w:rsid w:val="1D9BF351"/>
    <w:rsid w:val="1E7F9468"/>
    <w:rsid w:val="1EBFE687"/>
    <w:rsid w:val="1ED0E3F5"/>
    <w:rsid w:val="1F486741"/>
    <w:rsid w:val="1FE75F9B"/>
    <w:rsid w:val="200A6929"/>
    <w:rsid w:val="200D6163"/>
    <w:rsid w:val="20347F83"/>
    <w:rsid w:val="20646D14"/>
    <w:rsid w:val="20A4624A"/>
    <w:rsid w:val="20CBD4A7"/>
    <w:rsid w:val="20CD7888"/>
    <w:rsid w:val="20D159AB"/>
    <w:rsid w:val="20D81B4F"/>
    <w:rsid w:val="215889C3"/>
    <w:rsid w:val="21F78749"/>
    <w:rsid w:val="22456AFF"/>
    <w:rsid w:val="226EA970"/>
    <w:rsid w:val="2290A195"/>
    <w:rsid w:val="22918BA6"/>
    <w:rsid w:val="22DB6F5F"/>
    <w:rsid w:val="22E1C190"/>
    <w:rsid w:val="22FF73BE"/>
    <w:rsid w:val="2313C8E4"/>
    <w:rsid w:val="239E65B1"/>
    <w:rsid w:val="23D4590D"/>
    <w:rsid w:val="23DCCBF5"/>
    <w:rsid w:val="23EAB1B3"/>
    <w:rsid w:val="23F7DA82"/>
    <w:rsid w:val="24D2AA49"/>
    <w:rsid w:val="2572A531"/>
    <w:rsid w:val="25789C56"/>
    <w:rsid w:val="25881EF9"/>
    <w:rsid w:val="25B421D8"/>
    <w:rsid w:val="25C4BB68"/>
    <w:rsid w:val="25CCF261"/>
    <w:rsid w:val="25DA88CB"/>
    <w:rsid w:val="25EFB9DA"/>
    <w:rsid w:val="25F965D8"/>
    <w:rsid w:val="26E785EA"/>
    <w:rsid w:val="2721BAFD"/>
    <w:rsid w:val="27981787"/>
    <w:rsid w:val="282F754D"/>
    <w:rsid w:val="28A26C74"/>
    <w:rsid w:val="28AF1D3C"/>
    <w:rsid w:val="28BE341B"/>
    <w:rsid w:val="28CED27E"/>
    <w:rsid w:val="2963D8E0"/>
    <w:rsid w:val="29B1F70E"/>
    <w:rsid w:val="2B176A5C"/>
    <w:rsid w:val="2B7FB33D"/>
    <w:rsid w:val="2BD0B5C5"/>
    <w:rsid w:val="2BE60576"/>
    <w:rsid w:val="2BE7DDDA"/>
    <w:rsid w:val="2C300F2E"/>
    <w:rsid w:val="2C4FDFA4"/>
    <w:rsid w:val="2C52604D"/>
    <w:rsid w:val="2CA038D1"/>
    <w:rsid w:val="2CB5FD44"/>
    <w:rsid w:val="2D0A09AD"/>
    <w:rsid w:val="2D2D2683"/>
    <w:rsid w:val="2D3108AE"/>
    <w:rsid w:val="2D334BC8"/>
    <w:rsid w:val="2D485C4E"/>
    <w:rsid w:val="2D83AE3B"/>
    <w:rsid w:val="2D9763EC"/>
    <w:rsid w:val="2E0571F7"/>
    <w:rsid w:val="2E0C720F"/>
    <w:rsid w:val="2E14D486"/>
    <w:rsid w:val="2E33B5B2"/>
    <w:rsid w:val="2E7587A5"/>
    <w:rsid w:val="2E856831"/>
    <w:rsid w:val="2E99008B"/>
    <w:rsid w:val="2EB8E033"/>
    <w:rsid w:val="2F031234"/>
    <w:rsid w:val="2F06FD67"/>
    <w:rsid w:val="2F1F7E9C"/>
    <w:rsid w:val="2F2C683B"/>
    <w:rsid w:val="2FDEBC35"/>
    <w:rsid w:val="3002A21B"/>
    <w:rsid w:val="3006E145"/>
    <w:rsid w:val="301A0410"/>
    <w:rsid w:val="3049BF33"/>
    <w:rsid w:val="304CE8DB"/>
    <w:rsid w:val="30A1C6DF"/>
    <w:rsid w:val="30BB4EFD"/>
    <w:rsid w:val="31769B13"/>
    <w:rsid w:val="31EC7DFF"/>
    <w:rsid w:val="327B9DC3"/>
    <w:rsid w:val="32DCB6B9"/>
    <w:rsid w:val="32E44DB7"/>
    <w:rsid w:val="330C166B"/>
    <w:rsid w:val="3324DA21"/>
    <w:rsid w:val="33D8EB1A"/>
    <w:rsid w:val="343629EE"/>
    <w:rsid w:val="344D227A"/>
    <w:rsid w:val="357477E7"/>
    <w:rsid w:val="358EC020"/>
    <w:rsid w:val="35C51686"/>
    <w:rsid w:val="35EE8C50"/>
    <w:rsid w:val="36695AB6"/>
    <w:rsid w:val="3669BE37"/>
    <w:rsid w:val="36F3E744"/>
    <w:rsid w:val="37025D42"/>
    <w:rsid w:val="3713A95E"/>
    <w:rsid w:val="371666E9"/>
    <w:rsid w:val="37EDAD32"/>
    <w:rsid w:val="37F560B6"/>
    <w:rsid w:val="37FD3D91"/>
    <w:rsid w:val="3805C775"/>
    <w:rsid w:val="382C4A77"/>
    <w:rsid w:val="387C1773"/>
    <w:rsid w:val="388CBFFB"/>
    <w:rsid w:val="39212B15"/>
    <w:rsid w:val="392D570D"/>
    <w:rsid w:val="396CDF9F"/>
    <w:rsid w:val="3976644D"/>
    <w:rsid w:val="3980BCD6"/>
    <w:rsid w:val="3981ACF8"/>
    <w:rsid w:val="39DF9E59"/>
    <w:rsid w:val="3A22B769"/>
    <w:rsid w:val="3A623143"/>
    <w:rsid w:val="3AB2E2E1"/>
    <w:rsid w:val="3AE93461"/>
    <w:rsid w:val="3B26B190"/>
    <w:rsid w:val="3B40A03E"/>
    <w:rsid w:val="3BC537D0"/>
    <w:rsid w:val="3BE252DA"/>
    <w:rsid w:val="3BE878CA"/>
    <w:rsid w:val="3C32BEC1"/>
    <w:rsid w:val="3C4C8E06"/>
    <w:rsid w:val="3C553F07"/>
    <w:rsid w:val="3C9CE0DB"/>
    <w:rsid w:val="3CD0AEB4"/>
    <w:rsid w:val="3D13E934"/>
    <w:rsid w:val="3D625C2D"/>
    <w:rsid w:val="3D6E5315"/>
    <w:rsid w:val="3D8FF127"/>
    <w:rsid w:val="3DF3841E"/>
    <w:rsid w:val="3DF3D1EF"/>
    <w:rsid w:val="3E55D078"/>
    <w:rsid w:val="3E9E1536"/>
    <w:rsid w:val="3EA60D3B"/>
    <w:rsid w:val="3EDBC6CB"/>
    <w:rsid w:val="3F51CE9E"/>
    <w:rsid w:val="3F7C9B25"/>
    <w:rsid w:val="400F1D20"/>
    <w:rsid w:val="403ADC9E"/>
    <w:rsid w:val="4044D212"/>
    <w:rsid w:val="409A2FC0"/>
    <w:rsid w:val="409D4561"/>
    <w:rsid w:val="411BDD15"/>
    <w:rsid w:val="41366C76"/>
    <w:rsid w:val="41773936"/>
    <w:rsid w:val="4204B8CC"/>
    <w:rsid w:val="42249279"/>
    <w:rsid w:val="429FD050"/>
    <w:rsid w:val="42D78E13"/>
    <w:rsid w:val="42FAFF2A"/>
    <w:rsid w:val="4306CAA9"/>
    <w:rsid w:val="43474B2C"/>
    <w:rsid w:val="43D90409"/>
    <w:rsid w:val="4506F859"/>
    <w:rsid w:val="450729CC"/>
    <w:rsid w:val="451A2BC3"/>
    <w:rsid w:val="45362625"/>
    <w:rsid w:val="45E56815"/>
    <w:rsid w:val="45F78EC1"/>
    <w:rsid w:val="461A0F07"/>
    <w:rsid w:val="46320874"/>
    <w:rsid w:val="464707A3"/>
    <w:rsid w:val="4655F44A"/>
    <w:rsid w:val="46943419"/>
    <w:rsid w:val="46AB84C9"/>
    <w:rsid w:val="46FC4DDD"/>
    <w:rsid w:val="47189251"/>
    <w:rsid w:val="4727F676"/>
    <w:rsid w:val="4754F3F8"/>
    <w:rsid w:val="4769C53C"/>
    <w:rsid w:val="4781BEA9"/>
    <w:rsid w:val="479DA63C"/>
    <w:rsid w:val="47AEEEFC"/>
    <w:rsid w:val="47F3E5EB"/>
    <w:rsid w:val="4813346B"/>
    <w:rsid w:val="482333FD"/>
    <w:rsid w:val="48B81AAB"/>
    <w:rsid w:val="48EB9ABE"/>
    <w:rsid w:val="490637DF"/>
    <w:rsid w:val="49163FA9"/>
    <w:rsid w:val="4916D16F"/>
    <w:rsid w:val="4953EE80"/>
    <w:rsid w:val="4988C5E0"/>
    <w:rsid w:val="49D431E3"/>
    <w:rsid w:val="49ED0B4F"/>
    <w:rsid w:val="4A020F64"/>
    <w:rsid w:val="4A32023E"/>
    <w:rsid w:val="4A427B42"/>
    <w:rsid w:val="4A503313"/>
    <w:rsid w:val="4AAAB44A"/>
    <w:rsid w:val="4AE15FD9"/>
    <w:rsid w:val="4B227CE6"/>
    <w:rsid w:val="4B22E67A"/>
    <w:rsid w:val="4B52EFA3"/>
    <w:rsid w:val="4BBACBBD"/>
    <w:rsid w:val="4C10E19A"/>
    <w:rsid w:val="4C17CD0A"/>
    <w:rsid w:val="4C7AD83B"/>
    <w:rsid w:val="4C7D303A"/>
    <w:rsid w:val="4D11EE30"/>
    <w:rsid w:val="4D2B1E2C"/>
    <w:rsid w:val="4DC595C0"/>
    <w:rsid w:val="4DCA8E70"/>
    <w:rsid w:val="4DD2E934"/>
    <w:rsid w:val="4EC8FB8F"/>
    <w:rsid w:val="4EE7A30B"/>
    <w:rsid w:val="4F0C7F27"/>
    <w:rsid w:val="4F29D99F"/>
    <w:rsid w:val="4F430317"/>
    <w:rsid w:val="4FAC44EC"/>
    <w:rsid w:val="4FB4D0FC"/>
    <w:rsid w:val="4FD6307C"/>
    <w:rsid w:val="503D8099"/>
    <w:rsid w:val="507F3C8A"/>
    <w:rsid w:val="50A64C3A"/>
    <w:rsid w:val="50E99E4D"/>
    <w:rsid w:val="5188D001"/>
    <w:rsid w:val="51C79DAC"/>
    <w:rsid w:val="51CD872F"/>
    <w:rsid w:val="523C7CAB"/>
    <w:rsid w:val="524A2BAD"/>
    <w:rsid w:val="525EFCF1"/>
    <w:rsid w:val="528F7846"/>
    <w:rsid w:val="529677AF"/>
    <w:rsid w:val="532CB1A0"/>
    <w:rsid w:val="5388A12A"/>
    <w:rsid w:val="53DDECFC"/>
    <w:rsid w:val="53F71559"/>
    <w:rsid w:val="5420FBBB"/>
    <w:rsid w:val="54959160"/>
    <w:rsid w:val="555BBF59"/>
    <w:rsid w:val="55A0B648"/>
    <w:rsid w:val="55A1251D"/>
    <w:rsid w:val="55B7BCC9"/>
    <w:rsid w:val="55BA7F54"/>
    <w:rsid w:val="55CDB3CA"/>
    <w:rsid w:val="55E2850E"/>
    <w:rsid w:val="55F33850"/>
    <w:rsid w:val="563663BE"/>
    <w:rsid w:val="564E8FFC"/>
    <w:rsid w:val="5673FAD0"/>
    <w:rsid w:val="56B25ABA"/>
    <w:rsid w:val="56BC53E7"/>
    <w:rsid w:val="56C82F72"/>
    <w:rsid w:val="57062364"/>
    <w:rsid w:val="5737C603"/>
    <w:rsid w:val="57A757DD"/>
    <w:rsid w:val="57E95974"/>
    <w:rsid w:val="57F30C67"/>
    <w:rsid w:val="5820A161"/>
    <w:rsid w:val="5846B796"/>
    <w:rsid w:val="584DD1B4"/>
    <w:rsid w:val="5863FFD3"/>
    <w:rsid w:val="5865CB21"/>
    <w:rsid w:val="588084D4"/>
    <w:rsid w:val="58B15E1F"/>
    <w:rsid w:val="58C97918"/>
    <w:rsid w:val="58F60EBB"/>
    <w:rsid w:val="5906B89D"/>
    <w:rsid w:val="5910EEC7"/>
    <w:rsid w:val="59344F06"/>
    <w:rsid w:val="59685394"/>
    <w:rsid w:val="599ADC83"/>
    <w:rsid w:val="5A4700E7"/>
    <w:rsid w:val="5A6EE5BB"/>
    <w:rsid w:val="5A8170CB"/>
    <w:rsid w:val="5AD1E744"/>
    <w:rsid w:val="5AFAC4CB"/>
    <w:rsid w:val="5AFDE278"/>
    <w:rsid w:val="5B1A1438"/>
    <w:rsid w:val="5B6C3CDA"/>
    <w:rsid w:val="5C12D535"/>
    <w:rsid w:val="5C43AE03"/>
    <w:rsid w:val="5C9C38B1"/>
    <w:rsid w:val="5D0E5AE4"/>
    <w:rsid w:val="5D2875BE"/>
    <w:rsid w:val="5D361EE5"/>
    <w:rsid w:val="5DC25FD9"/>
    <w:rsid w:val="5DF04ADB"/>
    <w:rsid w:val="5E097093"/>
    <w:rsid w:val="5E90BEE3"/>
    <w:rsid w:val="5F15BDC0"/>
    <w:rsid w:val="5F8E918F"/>
    <w:rsid w:val="5F973FD8"/>
    <w:rsid w:val="5FBCA156"/>
    <w:rsid w:val="5FC0B478"/>
    <w:rsid w:val="60526202"/>
    <w:rsid w:val="607B149A"/>
    <w:rsid w:val="60D59861"/>
    <w:rsid w:val="61393BDB"/>
    <w:rsid w:val="627168C2"/>
    <w:rsid w:val="62BC45B0"/>
    <w:rsid w:val="63411BF6"/>
    <w:rsid w:val="63878183"/>
    <w:rsid w:val="6396E819"/>
    <w:rsid w:val="6398E1D6"/>
    <w:rsid w:val="640D3923"/>
    <w:rsid w:val="6427EA10"/>
    <w:rsid w:val="648E4583"/>
    <w:rsid w:val="64A03BCF"/>
    <w:rsid w:val="64D7B68D"/>
    <w:rsid w:val="64F934F4"/>
    <w:rsid w:val="6534B237"/>
    <w:rsid w:val="65AD95F4"/>
    <w:rsid w:val="66081E42"/>
    <w:rsid w:val="6610E320"/>
    <w:rsid w:val="662493BA"/>
    <w:rsid w:val="6628FB73"/>
    <w:rsid w:val="6690B1B5"/>
    <w:rsid w:val="66B18D71"/>
    <w:rsid w:val="67277CF6"/>
    <w:rsid w:val="673885F7"/>
    <w:rsid w:val="6755D753"/>
    <w:rsid w:val="67AC743B"/>
    <w:rsid w:val="68463A95"/>
    <w:rsid w:val="6929D866"/>
    <w:rsid w:val="692C49CC"/>
    <w:rsid w:val="69FD9EA8"/>
    <w:rsid w:val="6A5550FB"/>
    <w:rsid w:val="6B654A72"/>
    <w:rsid w:val="6B7FEDE5"/>
    <w:rsid w:val="6B989C02"/>
    <w:rsid w:val="6B9ED94B"/>
    <w:rsid w:val="6BB698B9"/>
    <w:rsid w:val="6BCDDDD8"/>
    <w:rsid w:val="6C584DE6"/>
    <w:rsid w:val="6CADAB94"/>
    <w:rsid w:val="6CEED103"/>
    <w:rsid w:val="6D39DC10"/>
    <w:rsid w:val="6D7B6837"/>
    <w:rsid w:val="6D8FAC4F"/>
    <w:rsid w:val="6DC518D7"/>
    <w:rsid w:val="6DC5E70B"/>
    <w:rsid w:val="6E0DCD1A"/>
    <w:rsid w:val="6E19F88C"/>
    <w:rsid w:val="6E340D58"/>
    <w:rsid w:val="6E81F884"/>
    <w:rsid w:val="6EFE17EB"/>
    <w:rsid w:val="6EFE1ABA"/>
    <w:rsid w:val="6F3FC7A9"/>
    <w:rsid w:val="6F4FAED1"/>
    <w:rsid w:val="6FA390CE"/>
    <w:rsid w:val="70115E03"/>
    <w:rsid w:val="70316682"/>
    <w:rsid w:val="703958BF"/>
    <w:rsid w:val="70403116"/>
    <w:rsid w:val="70717D7D"/>
    <w:rsid w:val="70BFF874"/>
    <w:rsid w:val="70DCEE03"/>
    <w:rsid w:val="7104ED15"/>
    <w:rsid w:val="71154F64"/>
    <w:rsid w:val="716BAE1A"/>
    <w:rsid w:val="7177A5C8"/>
    <w:rsid w:val="7180526E"/>
    <w:rsid w:val="71BB966A"/>
    <w:rsid w:val="71D49624"/>
    <w:rsid w:val="7245CA9A"/>
    <w:rsid w:val="726E642F"/>
    <w:rsid w:val="72CD0927"/>
    <w:rsid w:val="72F4E7C4"/>
    <w:rsid w:val="733FDCCF"/>
    <w:rsid w:val="7350438E"/>
    <w:rsid w:val="73CAC630"/>
    <w:rsid w:val="73D1B31B"/>
    <w:rsid w:val="73D95DE0"/>
    <w:rsid w:val="7471D3FE"/>
    <w:rsid w:val="749FA767"/>
    <w:rsid w:val="7537E132"/>
    <w:rsid w:val="756B2781"/>
    <w:rsid w:val="76242998"/>
    <w:rsid w:val="7628ACA4"/>
    <w:rsid w:val="77AA6B2D"/>
    <w:rsid w:val="77B12291"/>
    <w:rsid w:val="788D9D02"/>
    <w:rsid w:val="792F3E40"/>
    <w:rsid w:val="798455ED"/>
    <w:rsid w:val="798879C5"/>
    <w:rsid w:val="79A0A603"/>
    <w:rsid w:val="79BDDD84"/>
    <w:rsid w:val="7A68D4D2"/>
    <w:rsid w:val="7AF96DE4"/>
    <w:rsid w:val="7B533617"/>
    <w:rsid w:val="7B5DCEAD"/>
    <w:rsid w:val="7C2643E3"/>
    <w:rsid w:val="7C595DEB"/>
    <w:rsid w:val="7C60FBFA"/>
    <w:rsid w:val="7C83D09D"/>
    <w:rsid w:val="7D046EC7"/>
    <w:rsid w:val="7DDB1980"/>
    <w:rsid w:val="7DF96B45"/>
    <w:rsid w:val="7E21A36A"/>
    <w:rsid w:val="7E2A23EC"/>
    <w:rsid w:val="7E4FF87F"/>
    <w:rsid w:val="7E8BB16C"/>
    <w:rsid w:val="7E9FECE9"/>
    <w:rsid w:val="7ED6F8D0"/>
    <w:rsid w:val="7EEE4E14"/>
    <w:rsid w:val="7F2E30E5"/>
    <w:rsid w:val="7FF848F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DF5728"/>
  <w15:docId w15:val="{E26FA100-462F-4D55-A97D-29C968E5D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CG Times" w:hAnsi="CG Times"/>
      <w:b/>
      <w:szCs w:val="20"/>
      <w:lang w:val="es-CO"/>
    </w:rPr>
  </w:style>
  <w:style w:type="paragraph" w:styleId="Ttulo3">
    <w:name w:val="heading 3"/>
    <w:basedOn w:val="Normal"/>
    <w:next w:val="Normal"/>
    <w:link w:val="Ttulo3Car"/>
    <w:qFormat/>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rPr>
      <w:rFonts w:ascii="CG Times" w:hAnsi="CG Times"/>
      <w:szCs w:val="20"/>
      <w:lang w:val="es-CO" w:eastAsia="x-none"/>
    </w:rPr>
  </w:style>
  <w:style w:type="paragraph" w:styleId="Piedepgina">
    <w:name w:val="footer"/>
    <w:basedOn w:val="Normal"/>
    <w:semiHidden/>
    <w:pPr>
      <w:tabs>
        <w:tab w:val="center" w:pos="4252"/>
        <w:tab w:val="right" w:pos="8504"/>
      </w:tabs>
    </w:pPr>
  </w:style>
  <w:style w:type="paragraph" w:customStyle="1" w:styleId="Estilo1">
    <w:name w:val="Estilo1"/>
    <w:basedOn w:val="Normal"/>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style>
  <w:style w:type="paragraph" w:styleId="Textoindependiente">
    <w:name w:val="Body Text"/>
    <w:basedOn w:val="Normal"/>
    <w:link w:val="TextoindependienteCar"/>
    <w:semiHidden/>
    <w:pPr>
      <w:jc w:val="center"/>
    </w:pPr>
    <w:rPr>
      <w:rFonts w:ascii="Arial" w:hAnsi="Arial"/>
      <w:b/>
      <w:bCs/>
      <w:lang w:val="x-none" w:eastAsia="x-none"/>
    </w:rPr>
  </w:style>
  <w:style w:type="paragraph" w:styleId="Textoindependiente3">
    <w:name w:val="Body Text 3"/>
    <w:basedOn w:val="Normal"/>
    <w:link w:val="Textoindependiente3Car"/>
    <w:semiHidden/>
    <w:pPr>
      <w:jc w:val="center"/>
      <w:outlineLvl w:val="0"/>
    </w:pPr>
    <w:rPr>
      <w:rFonts w:ascii="Arial" w:hAnsi="Arial"/>
      <w:b/>
      <w:bCs/>
      <w:spacing w:val="-3"/>
      <w:lang w:val="x-none" w:eastAsia="x-none"/>
    </w:rPr>
  </w:style>
  <w:style w:type="paragraph" w:styleId="Textodeglobo">
    <w:name w:val="Balloon Text"/>
    <w:basedOn w:val="Normal"/>
    <w:link w:val="TextodegloboCar"/>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semiHidden/>
    <w:rsid w:val="00D03800"/>
    <w:pPr>
      <w:suppressAutoHyphens/>
      <w:spacing w:after="240"/>
      <w:ind w:left="567"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DE4BF8"/>
    <w:pPr>
      <w:spacing w:after="120" w:line="480" w:lineRule="auto"/>
    </w:pPr>
    <w:rPr>
      <w:lang w:val="x-none" w:eastAsia="x-none"/>
    </w:rPr>
  </w:style>
  <w:style w:type="character" w:customStyle="1" w:styleId="Textoindependiente2Car">
    <w:name w:val="Texto independiente 2 Car"/>
    <w:link w:val="Textoindependiente2"/>
    <w:uiPriority w:val="99"/>
    <w:rsid w:val="00DE4BF8"/>
    <w:rPr>
      <w:sz w:val="24"/>
      <w:szCs w:val="24"/>
    </w:rPr>
  </w:style>
  <w:style w:type="paragraph" w:customStyle="1" w:styleId="Textoindependiente21">
    <w:name w:val="Texto independiente 21"/>
    <w:basedOn w:val="Normal"/>
    <w:rsid w:val="00DE4BF8"/>
    <w:pPr>
      <w:overflowPunct w:val="0"/>
      <w:autoSpaceDE w:val="0"/>
      <w:autoSpaceDN w:val="0"/>
      <w:adjustRightInd w:val="0"/>
      <w:jc w:val="both"/>
      <w:textAlignment w:val="baseline"/>
    </w:pPr>
    <w:rPr>
      <w:rFonts w:ascii="Arial" w:hAnsi="Arial"/>
      <w:sz w:val="22"/>
      <w:szCs w:val="20"/>
      <w:lang w:val="es-ES_tradnl"/>
    </w:rPr>
  </w:style>
  <w:style w:type="character" w:styleId="Refdecomentario">
    <w:name w:val="annotation reference"/>
    <w:semiHidden/>
    <w:rsid w:val="00404E84"/>
    <w:rPr>
      <w:sz w:val="16"/>
    </w:rPr>
  </w:style>
  <w:style w:type="paragraph" w:styleId="Textocomentario">
    <w:name w:val="annotation text"/>
    <w:basedOn w:val="Normal"/>
    <w:link w:val="TextocomentarioCar"/>
    <w:semiHidden/>
    <w:rsid w:val="00404E84"/>
    <w:rPr>
      <w:rFonts w:ascii="CG Times" w:hAnsi="CG Times"/>
      <w:sz w:val="20"/>
      <w:szCs w:val="20"/>
      <w:lang w:val="x-none"/>
    </w:rPr>
  </w:style>
  <w:style w:type="character" w:customStyle="1" w:styleId="TextocomentarioCar">
    <w:name w:val="Texto comentario Car"/>
    <w:link w:val="Textocomentario"/>
    <w:semiHidden/>
    <w:rsid w:val="00404E84"/>
    <w:rPr>
      <w:rFonts w:ascii="CG Times" w:hAnsi="CG Times"/>
      <w:lang w:eastAsia="es-ES"/>
    </w:rPr>
  </w:style>
  <w:style w:type="paragraph" w:styleId="Asuntodelcomentario">
    <w:name w:val="annotation subject"/>
    <w:basedOn w:val="Textocomentario"/>
    <w:next w:val="Textocomentario"/>
    <w:link w:val="AsuntodelcomentarioCar"/>
    <w:uiPriority w:val="99"/>
    <w:semiHidden/>
    <w:unhideWhenUsed/>
    <w:rsid w:val="00D57F49"/>
    <w:rPr>
      <w:rFonts w:ascii="Times New Roman" w:hAnsi="Times New Roman"/>
      <w:b/>
      <w:bCs/>
      <w:lang w:val="es-ES"/>
    </w:rPr>
  </w:style>
  <w:style w:type="character" w:customStyle="1" w:styleId="AsuntodelcomentarioCar">
    <w:name w:val="Asunto del comentario Car"/>
    <w:link w:val="Asuntodelcomentario"/>
    <w:uiPriority w:val="99"/>
    <w:semiHidden/>
    <w:rsid w:val="00D57F49"/>
    <w:rPr>
      <w:rFonts w:ascii="CG Times" w:hAnsi="CG Times"/>
      <w:b/>
      <w:bCs/>
      <w:lang w:val="es-ES" w:eastAsia="es-ES"/>
    </w:rPr>
  </w:style>
  <w:style w:type="paragraph" w:customStyle="1" w:styleId="Textoindependiente22">
    <w:name w:val="Texto independiente 22"/>
    <w:basedOn w:val="Normal"/>
    <w:rsid w:val="005878BF"/>
    <w:pPr>
      <w:overflowPunct w:val="0"/>
      <w:autoSpaceDE w:val="0"/>
      <w:autoSpaceDN w:val="0"/>
      <w:adjustRightInd w:val="0"/>
      <w:jc w:val="both"/>
      <w:textAlignment w:val="baseline"/>
    </w:pPr>
    <w:rPr>
      <w:rFonts w:ascii="Arial" w:hAnsi="Arial"/>
      <w:sz w:val="22"/>
      <w:szCs w:val="20"/>
      <w:lang w:val="es-ES_tradnl"/>
    </w:rPr>
  </w:style>
  <w:style w:type="paragraph" w:styleId="Textonotapie">
    <w:name w:val="footnote text"/>
    <w:basedOn w:val="Normal"/>
    <w:link w:val="TextonotapieCar"/>
    <w:semiHidden/>
    <w:rsid w:val="007F0FF2"/>
    <w:pPr>
      <w:overflowPunct w:val="0"/>
      <w:autoSpaceDE w:val="0"/>
      <w:autoSpaceDN w:val="0"/>
      <w:adjustRightInd w:val="0"/>
      <w:jc w:val="both"/>
      <w:textAlignment w:val="baseline"/>
    </w:pPr>
    <w:rPr>
      <w:rFonts w:ascii="Arial" w:hAnsi="Arial"/>
      <w:sz w:val="20"/>
      <w:szCs w:val="20"/>
      <w:lang w:val="es-ES_tradnl"/>
    </w:rPr>
  </w:style>
  <w:style w:type="character" w:customStyle="1" w:styleId="TextonotapieCar">
    <w:name w:val="Texto nota pie Car"/>
    <w:link w:val="Textonotapie"/>
    <w:semiHidden/>
    <w:rsid w:val="007F0FF2"/>
    <w:rPr>
      <w:rFonts w:ascii="Arial" w:hAnsi="Arial"/>
      <w:lang w:val="es-ES_tradnl" w:eastAsia="es-ES"/>
    </w:rPr>
  </w:style>
  <w:style w:type="character" w:styleId="Refdenotaalpie">
    <w:name w:val="footnote reference"/>
    <w:semiHidden/>
    <w:rsid w:val="007F0FF2"/>
    <w:rPr>
      <w:vertAlign w:val="superscript"/>
    </w:rPr>
  </w:style>
  <w:style w:type="paragraph" w:styleId="Descripcin">
    <w:name w:val="caption"/>
    <w:basedOn w:val="Normal"/>
    <w:next w:val="Normal"/>
    <w:qFormat/>
    <w:rsid w:val="00B213F2"/>
    <w:pPr>
      <w:overflowPunct w:val="0"/>
      <w:autoSpaceDE w:val="0"/>
      <w:autoSpaceDN w:val="0"/>
      <w:adjustRightInd w:val="0"/>
      <w:spacing w:before="120" w:after="120"/>
      <w:jc w:val="both"/>
      <w:textAlignment w:val="baseline"/>
    </w:pPr>
    <w:rPr>
      <w:rFonts w:ascii="Arial Narrow" w:hAnsi="Arial Narrow"/>
      <w:b/>
      <w:bCs/>
      <w:sz w:val="20"/>
      <w:szCs w:val="20"/>
      <w:lang w:val="es-ES_tradnl"/>
    </w:rPr>
  </w:style>
  <w:style w:type="character" w:customStyle="1" w:styleId="CharStyle9">
    <w:name w:val="Char Style 9"/>
    <w:link w:val="Style2"/>
    <w:uiPriority w:val="99"/>
    <w:locked/>
    <w:rsid w:val="00270541"/>
    <w:rPr>
      <w:rFonts w:ascii="Arial" w:hAnsi="Arial" w:cs="Arial"/>
      <w:sz w:val="14"/>
      <w:szCs w:val="14"/>
      <w:shd w:val="clear" w:color="auto" w:fill="FFFFFF"/>
      <w:lang w:val="es-ES"/>
    </w:rPr>
  </w:style>
  <w:style w:type="paragraph" w:customStyle="1" w:styleId="Style2">
    <w:name w:val="Style 2"/>
    <w:basedOn w:val="Normal"/>
    <w:link w:val="CharStyle9"/>
    <w:uiPriority w:val="99"/>
    <w:rsid w:val="00270541"/>
    <w:pPr>
      <w:widowControl w:val="0"/>
      <w:shd w:val="clear" w:color="auto" w:fill="FFFFFF"/>
      <w:spacing w:before="120" w:line="240" w:lineRule="atLeast"/>
      <w:ind w:hanging="1420"/>
    </w:pPr>
    <w:rPr>
      <w:rFonts w:ascii="Arial" w:hAnsi="Arial" w:cs="Arial"/>
      <w:sz w:val="14"/>
      <w:szCs w:val="14"/>
      <w:lang w:eastAsia="es-CO"/>
    </w:rPr>
  </w:style>
  <w:style w:type="paragraph" w:styleId="NormalWeb">
    <w:name w:val="Normal (Web)"/>
    <w:basedOn w:val="Normal"/>
    <w:uiPriority w:val="99"/>
    <w:rsid w:val="0047432C"/>
    <w:pPr>
      <w:jc w:val="both"/>
    </w:pPr>
    <w:rPr>
      <w:spacing w:val="-5"/>
      <w:lang w:val="es-CO" w:eastAsia="en-US"/>
    </w:rPr>
  </w:style>
  <w:style w:type="paragraph" w:customStyle="1" w:styleId="Default">
    <w:name w:val="Default"/>
    <w:rsid w:val="0047432C"/>
    <w:pPr>
      <w:autoSpaceDE w:val="0"/>
      <w:autoSpaceDN w:val="0"/>
      <w:adjustRightInd w:val="0"/>
    </w:pPr>
    <w:rPr>
      <w:rFonts w:ascii="Arial" w:eastAsia="SimSun" w:hAnsi="Arial" w:cs="Arial"/>
      <w:color w:val="000000"/>
      <w:sz w:val="24"/>
      <w:szCs w:val="24"/>
    </w:rPr>
  </w:style>
  <w:style w:type="paragraph" w:customStyle="1" w:styleId="xl27">
    <w:name w:val="xl27"/>
    <w:basedOn w:val="Normal"/>
    <w:rsid w:val="00D02A10"/>
    <w:pPr>
      <w:spacing w:before="100" w:after="100"/>
      <w:jc w:val="both"/>
    </w:pPr>
    <w:rPr>
      <w:rFonts w:ascii="Bookman Old Style" w:eastAsia="Arial Unicode MS" w:hAnsi="Bookman Old Style"/>
      <w:szCs w:val="20"/>
    </w:rPr>
  </w:style>
  <w:style w:type="character" w:customStyle="1" w:styleId="apple-converted-space">
    <w:name w:val="apple-converted-space"/>
    <w:basedOn w:val="Fuentedeprrafopredeter"/>
    <w:rsid w:val="00CE09DF"/>
  </w:style>
  <w:style w:type="character" w:styleId="Textodelmarcadordeposicin">
    <w:name w:val="Placeholder Text"/>
    <w:basedOn w:val="Fuentedeprrafopredeter"/>
    <w:uiPriority w:val="99"/>
    <w:semiHidden/>
    <w:rsid w:val="00AF1D01"/>
    <w:rPr>
      <w:color w:val="808080"/>
    </w:rPr>
  </w:style>
  <w:style w:type="paragraph" w:customStyle="1" w:styleId="Pliego-Normal">
    <w:name w:val="Pliego-Normal"/>
    <w:basedOn w:val="Normal"/>
    <w:rsid w:val="007D3224"/>
    <w:pPr>
      <w:widowControl w:val="0"/>
      <w:adjustRightInd w:val="0"/>
      <w:spacing w:line="360" w:lineRule="atLeast"/>
      <w:jc w:val="both"/>
      <w:textAlignment w:val="baseline"/>
    </w:pPr>
    <w:rPr>
      <w:rFonts w:ascii="Garamond" w:hAnsi="Garamond"/>
      <w:bCs/>
      <w:sz w:val="22"/>
      <w:szCs w:val="20"/>
      <w:lang w:val="es-ES_tradnl"/>
    </w:rPr>
  </w:style>
  <w:style w:type="paragraph" w:styleId="Revisin">
    <w:name w:val="Revision"/>
    <w:hidden/>
    <w:uiPriority w:val="99"/>
    <w:semiHidden/>
    <w:rsid w:val="005E673E"/>
    <w:rPr>
      <w:sz w:val="24"/>
      <w:szCs w:val="24"/>
      <w:lang w:val="es-ES" w:eastAsia="es-ES"/>
    </w:rPr>
  </w:style>
  <w:style w:type="character" w:customStyle="1" w:styleId="CharStyle3Exact">
    <w:name w:val="Char Style 3 Exact"/>
    <w:basedOn w:val="Fuentedeprrafopredeter"/>
    <w:uiPriority w:val="99"/>
    <w:rsid w:val="00032331"/>
    <w:rPr>
      <w:rFonts w:ascii="Arial" w:eastAsiaTheme="minorEastAsia" w:hAnsi="Arial" w:cs="Arial"/>
      <w:sz w:val="12"/>
      <w:szCs w:val="12"/>
      <w:u w:val="none"/>
      <w:lang w:val="en-US" w:eastAsia="en-US" w:bidi="ar-SA"/>
    </w:rPr>
  </w:style>
  <w:style w:type="paragraph" w:customStyle="1" w:styleId="paragraph">
    <w:name w:val="paragraph"/>
    <w:basedOn w:val="Normal"/>
    <w:uiPriority w:val="1"/>
    <w:rsid w:val="00032331"/>
    <w:pPr>
      <w:spacing w:beforeAutospacing="1" w:afterAutospacing="1"/>
    </w:pPr>
    <w:rPr>
      <w:lang w:eastAsia="es-CO"/>
    </w:rPr>
  </w:style>
  <w:style w:type="character" w:customStyle="1" w:styleId="normaltextrun">
    <w:name w:val="normaltextrun"/>
    <w:basedOn w:val="Fuentedeprrafopredeter"/>
    <w:uiPriority w:val="1"/>
    <w:rsid w:val="00032331"/>
  </w:style>
  <w:style w:type="character" w:styleId="Mencinsinresolver">
    <w:name w:val="Unresolved Mention"/>
    <w:basedOn w:val="Fuentedeprrafopredeter"/>
    <w:uiPriority w:val="99"/>
    <w:unhideWhenUsed/>
    <w:rsid w:val="00C7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4810">
      <w:bodyDiv w:val="1"/>
      <w:marLeft w:val="0"/>
      <w:marRight w:val="0"/>
      <w:marTop w:val="0"/>
      <w:marBottom w:val="0"/>
      <w:divBdr>
        <w:top w:val="none" w:sz="0" w:space="0" w:color="auto"/>
        <w:left w:val="none" w:sz="0" w:space="0" w:color="auto"/>
        <w:bottom w:val="none" w:sz="0" w:space="0" w:color="auto"/>
        <w:right w:val="none" w:sz="0" w:space="0" w:color="auto"/>
      </w:divBdr>
    </w:div>
    <w:div w:id="177087638">
      <w:bodyDiv w:val="1"/>
      <w:marLeft w:val="0"/>
      <w:marRight w:val="0"/>
      <w:marTop w:val="0"/>
      <w:marBottom w:val="0"/>
      <w:divBdr>
        <w:top w:val="none" w:sz="0" w:space="0" w:color="auto"/>
        <w:left w:val="none" w:sz="0" w:space="0" w:color="auto"/>
        <w:bottom w:val="none" w:sz="0" w:space="0" w:color="auto"/>
        <w:right w:val="none" w:sz="0" w:space="0" w:color="auto"/>
      </w:divBdr>
      <w:divsChild>
        <w:div w:id="375012877">
          <w:marLeft w:val="0"/>
          <w:marRight w:val="0"/>
          <w:marTop w:val="0"/>
          <w:marBottom w:val="0"/>
          <w:divBdr>
            <w:top w:val="none" w:sz="0" w:space="0" w:color="auto"/>
            <w:left w:val="none" w:sz="0" w:space="0" w:color="auto"/>
            <w:bottom w:val="none" w:sz="0" w:space="0" w:color="auto"/>
            <w:right w:val="none" w:sz="0" w:space="0" w:color="auto"/>
          </w:divBdr>
          <w:divsChild>
            <w:div w:id="1129711777">
              <w:marLeft w:val="0"/>
              <w:marRight w:val="0"/>
              <w:marTop w:val="0"/>
              <w:marBottom w:val="0"/>
              <w:divBdr>
                <w:top w:val="none" w:sz="0" w:space="0" w:color="auto"/>
                <w:left w:val="none" w:sz="0" w:space="0" w:color="auto"/>
                <w:bottom w:val="none" w:sz="0" w:space="0" w:color="auto"/>
                <w:right w:val="none" w:sz="0" w:space="0" w:color="auto"/>
              </w:divBdr>
              <w:divsChild>
                <w:div w:id="662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22239">
      <w:bodyDiv w:val="1"/>
      <w:marLeft w:val="0"/>
      <w:marRight w:val="0"/>
      <w:marTop w:val="0"/>
      <w:marBottom w:val="0"/>
      <w:divBdr>
        <w:top w:val="none" w:sz="0" w:space="0" w:color="auto"/>
        <w:left w:val="none" w:sz="0" w:space="0" w:color="auto"/>
        <w:bottom w:val="none" w:sz="0" w:space="0" w:color="auto"/>
        <w:right w:val="none" w:sz="0" w:space="0" w:color="auto"/>
      </w:divBdr>
    </w:div>
    <w:div w:id="447430438">
      <w:bodyDiv w:val="1"/>
      <w:marLeft w:val="0"/>
      <w:marRight w:val="0"/>
      <w:marTop w:val="0"/>
      <w:marBottom w:val="0"/>
      <w:divBdr>
        <w:top w:val="none" w:sz="0" w:space="0" w:color="auto"/>
        <w:left w:val="none" w:sz="0" w:space="0" w:color="auto"/>
        <w:bottom w:val="none" w:sz="0" w:space="0" w:color="auto"/>
        <w:right w:val="none" w:sz="0" w:space="0" w:color="auto"/>
      </w:divBdr>
      <w:divsChild>
        <w:div w:id="2781986">
          <w:marLeft w:val="547"/>
          <w:marRight w:val="0"/>
          <w:marTop w:val="0"/>
          <w:marBottom w:val="0"/>
          <w:divBdr>
            <w:top w:val="none" w:sz="0" w:space="0" w:color="auto"/>
            <w:left w:val="none" w:sz="0" w:space="0" w:color="auto"/>
            <w:bottom w:val="none" w:sz="0" w:space="0" w:color="auto"/>
            <w:right w:val="none" w:sz="0" w:space="0" w:color="auto"/>
          </w:divBdr>
        </w:div>
      </w:divsChild>
    </w:div>
    <w:div w:id="487593984">
      <w:bodyDiv w:val="1"/>
      <w:marLeft w:val="0"/>
      <w:marRight w:val="0"/>
      <w:marTop w:val="0"/>
      <w:marBottom w:val="0"/>
      <w:divBdr>
        <w:top w:val="none" w:sz="0" w:space="0" w:color="auto"/>
        <w:left w:val="none" w:sz="0" w:space="0" w:color="auto"/>
        <w:bottom w:val="none" w:sz="0" w:space="0" w:color="auto"/>
        <w:right w:val="none" w:sz="0" w:space="0" w:color="auto"/>
      </w:divBdr>
    </w:div>
    <w:div w:id="710114339">
      <w:bodyDiv w:val="1"/>
      <w:marLeft w:val="0"/>
      <w:marRight w:val="0"/>
      <w:marTop w:val="0"/>
      <w:marBottom w:val="0"/>
      <w:divBdr>
        <w:top w:val="none" w:sz="0" w:space="0" w:color="auto"/>
        <w:left w:val="none" w:sz="0" w:space="0" w:color="auto"/>
        <w:bottom w:val="none" w:sz="0" w:space="0" w:color="auto"/>
        <w:right w:val="none" w:sz="0" w:space="0" w:color="auto"/>
      </w:divBdr>
    </w:div>
    <w:div w:id="804274791">
      <w:bodyDiv w:val="1"/>
      <w:marLeft w:val="0"/>
      <w:marRight w:val="0"/>
      <w:marTop w:val="0"/>
      <w:marBottom w:val="0"/>
      <w:divBdr>
        <w:top w:val="none" w:sz="0" w:space="0" w:color="auto"/>
        <w:left w:val="none" w:sz="0" w:space="0" w:color="auto"/>
        <w:bottom w:val="none" w:sz="0" w:space="0" w:color="auto"/>
        <w:right w:val="none" w:sz="0" w:space="0" w:color="auto"/>
      </w:divBdr>
    </w:div>
    <w:div w:id="836312373">
      <w:bodyDiv w:val="1"/>
      <w:marLeft w:val="0"/>
      <w:marRight w:val="0"/>
      <w:marTop w:val="0"/>
      <w:marBottom w:val="0"/>
      <w:divBdr>
        <w:top w:val="none" w:sz="0" w:space="0" w:color="auto"/>
        <w:left w:val="none" w:sz="0" w:space="0" w:color="auto"/>
        <w:bottom w:val="none" w:sz="0" w:space="0" w:color="auto"/>
        <w:right w:val="none" w:sz="0" w:space="0" w:color="auto"/>
      </w:divBdr>
    </w:div>
    <w:div w:id="937718912">
      <w:bodyDiv w:val="1"/>
      <w:marLeft w:val="0"/>
      <w:marRight w:val="0"/>
      <w:marTop w:val="0"/>
      <w:marBottom w:val="0"/>
      <w:divBdr>
        <w:top w:val="none" w:sz="0" w:space="0" w:color="auto"/>
        <w:left w:val="none" w:sz="0" w:space="0" w:color="auto"/>
        <w:bottom w:val="none" w:sz="0" w:space="0" w:color="auto"/>
        <w:right w:val="none" w:sz="0" w:space="0" w:color="auto"/>
      </w:divBdr>
      <w:divsChild>
        <w:div w:id="1771464202">
          <w:marLeft w:val="547"/>
          <w:marRight w:val="0"/>
          <w:marTop w:val="0"/>
          <w:marBottom w:val="0"/>
          <w:divBdr>
            <w:top w:val="none" w:sz="0" w:space="0" w:color="auto"/>
            <w:left w:val="none" w:sz="0" w:space="0" w:color="auto"/>
            <w:bottom w:val="none" w:sz="0" w:space="0" w:color="auto"/>
            <w:right w:val="none" w:sz="0" w:space="0" w:color="auto"/>
          </w:divBdr>
        </w:div>
      </w:divsChild>
    </w:div>
    <w:div w:id="997342814">
      <w:bodyDiv w:val="1"/>
      <w:marLeft w:val="0"/>
      <w:marRight w:val="0"/>
      <w:marTop w:val="0"/>
      <w:marBottom w:val="0"/>
      <w:divBdr>
        <w:top w:val="none" w:sz="0" w:space="0" w:color="auto"/>
        <w:left w:val="none" w:sz="0" w:space="0" w:color="auto"/>
        <w:bottom w:val="none" w:sz="0" w:space="0" w:color="auto"/>
        <w:right w:val="none" w:sz="0" w:space="0" w:color="auto"/>
      </w:divBdr>
    </w:div>
    <w:div w:id="1040784384">
      <w:bodyDiv w:val="1"/>
      <w:marLeft w:val="0"/>
      <w:marRight w:val="0"/>
      <w:marTop w:val="0"/>
      <w:marBottom w:val="0"/>
      <w:divBdr>
        <w:top w:val="none" w:sz="0" w:space="0" w:color="auto"/>
        <w:left w:val="none" w:sz="0" w:space="0" w:color="auto"/>
        <w:bottom w:val="none" w:sz="0" w:space="0" w:color="auto"/>
        <w:right w:val="none" w:sz="0" w:space="0" w:color="auto"/>
      </w:divBdr>
    </w:div>
    <w:div w:id="1107121285">
      <w:bodyDiv w:val="1"/>
      <w:marLeft w:val="0"/>
      <w:marRight w:val="0"/>
      <w:marTop w:val="0"/>
      <w:marBottom w:val="0"/>
      <w:divBdr>
        <w:top w:val="none" w:sz="0" w:space="0" w:color="auto"/>
        <w:left w:val="none" w:sz="0" w:space="0" w:color="auto"/>
        <w:bottom w:val="none" w:sz="0" w:space="0" w:color="auto"/>
        <w:right w:val="none" w:sz="0" w:space="0" w:color="auto"/>
      </w:divBdr>
    </w:div>
    <w:div w:id="1169566138">
      <w:bodyDiv w:val="1"/>
      <w:marLeft w:val="0"/>
      <w:marRight w:val="0"/>
      <w:marTop w:val="0"/>
      <w:marBottom w:val="0"/>
      <w:divBdr>
        <w:top w:val="none" w:sz="0" w:space="0" w:color="auto"/>
        <w:left w:val="none" w:sz="0" w:space="0" w:color="auto"/>
        <w:bottom w:val="none" w:sz="0" w:space="0" w:color="auto"/>
        <w:right w:val="none" w:sz="0" w:space="0" w:color="auto"/>
      </w:divBdr>
    </w:div>
    <w:div w:id="1236017368">
      <w:bodyDiv w:val="1"/>
      <w:marLeft w:val="0"/>
      <w:marRight w:val="0"/>
      <w:marTop w:val="0"/>
      <w:marBottom w:val="0"/>
      <w:divBdr>
        <w:top w:val="none" w:sz="0" w:space="0" w:color="auto"/>
        <w:left w:val="none" w:sz="0" w:space="0" w:color="auto"/>
        <w:bottom w:val="none" w:sz="0" w:space="0" w:color="auto"/>
        <w:right w:val="none" w:sz="0" w:space="0" w:color="auto"/>
      </w:divBdr>
      <w:divsChild>
        <w:div w:id="1251040164">
          <w:marLeft w:val="547"/>
          <w:marRight w:val="0"/>
          <w:marTop w:val="0"/>
          <w:marBottom w:val="0"/>
          <w:divBdr>
            <w:top w:val="none" w:sz="0" w:space="0" w:color="auto"/>
            <w:left w:val="none" w:sz="0" w:space="0" w:color="auto"/>
            <w:bottom w:val="none" w:sz="0" w:space="0" w:color="auto"/>
            <w:right w:val="none" w:sz="0" w:space="0" w:color="auto"/>
          </w:divBdr>
        </w:div>
      </w:divsChild>
    </w:div>
    <w:div w:id="1236210951">
      <w:bodyDiv w:val="1"/>
      <w:marLeft w:val="0"/>
      <w:marRight w:val="0"/>
      <w:marTop w:val="0"/>
      <w:marBottom w:val="0"/>
      <w:divBdr>
        <w:top w:val="none" w:sz="0" w:space="0" w:color="auto"/>
        <w:left w:val="none" w:sz="0" w:space="0" w:color="auto"/>
        <w:bottom w:val="none" w:sz="0" w:space="0" w:color="auto"/>
        <w:right w:val="none" w:sz="0" w:space="0" w:color="auto"/>
      </w:divBdr>
      <w:divsChild>
        <w:div w:id="336618575">
          <w:marLeft w:val="547"/>
          <w:marRight w:val="0"/>
          <w:marTop w:val="0"/>
          <w:marBottom w:val="0"/>
          <w:divBdr>
            <w:top w:val="none" w:sz="0" w:space="0" w:color="auto"/>
            <w:left w:val="none" w:sz="0" w:space="0" w:color="auto"/>
            <w:bottom w:val="none" w:sz="0" w:space="0" w:color="auto"/>
            <w:right w:val="none" w:sz="0" w:space="0" w:color="auto"/>
          </w:divBdr>
        </w:div>
      </w:divsChild>
    </w:div>
    <w:div w:id="1287076730">
      <w:bodyDiv w:val="1"/>
      <w:marLeft w:val="0"/>
      <w:marRight w:val="0"/>
      <w:marTop w:val="0"/>
      <w:marBottom w:val="0"/>
      <w:divBdr>
        <w:top w:val="none" w:sz="0" w:space="0" w:color="auto"/>
        <w:left w:val="none" w:sz="0" w:space="0" w:color="auto"/>
        <w:bottom w:val="none" w:sz="0" w:space="0" w:color="auto"/>
        <w:right w:val="none" w:sz="0" w:space="0" w:color="auto"/>
      </w:divBdr>
      <w:divsChild>
        <w:div w:id="1677229557">
          <w:marLeft w:val="547"/>
          <w:marRight w:val="0"/>
          <w:marTop w:val="0"/>
          <w:marBottom w:val="0"/>
          <w:divBdr>
            <w:top w:val="none" w:sz="0" w:space="0" w:color="auto"/>
            <w:left w:val="none" w:sz="0" w:space="0" w:color="auto"/>
            <w:bottom w:val="none" w:sz="0" w:space="0" w:color="auto"/>
            <w:right w:val="none" w:sz="0" w:space="0" w:color="auto"/>
          </w:divBdr>
        </w:div>
      </w:divsChild>
    </w:div>
    <w:div w:id="1356736911">
      <w:bodyDiv w:val="1"/>
      <w:marLeft w:val="0"/>
      <w:marRight w:val="0"/>
      <w:marTop w:val="0"/>
      <w:marBottom w:val="0"/>
      <w:divBdr>
        <w:top w:val="none" w:sz="0" w:space="0" w:color="auto"/>
        <w:left w:val="none" w:sz="0" w:space="0" w:color="auto"/>
        <w:bottom w:val="none" w:sz="0" w:space="0" w:color="auto"/>
        <w:right w:val="none" w:sz="0" w:space="0" w:color="auto"/>
      </w:divBdr>
    </w:div>
    <w:div w:id="1563714998">
      <w:bodyDiv w:val="1"/>
      <w:marLeft w:val="0"/>
      <w:marRight w:val="0"/>
      <w:marTop w:val="0"/>
      <w:marBottom w:val="0"/>
      <w:divBdr>
        <w:top w:val="none" w:sz="0" w:space="0" w:color="auto"/>
        <w:left w:val="none" w:sz="0" w:space="0" w:color="auto"/>
        <w:bottom w:val="none" w:sz="0" w:space="0" w:color="auto"/>
        <w:right w:val="none" w:sz="0" w:space="0" w:color="auto"/>
      </w:divBdr>
    </w:div>
    <w:div w:id="1631327079">
      <w:bodyDiv w:val="1"/>
      <w:marLeft w:val="0"/>
      <w:marRight w:val="0"/>
      <w:marTop w:val="0"/>
      <w:marBottom w:val="0"/>
      <w:divBdr>
        <w:top w:val="none" w:sz="0" w:space="0" w:color="auto"/>
        <w:left w:val="none" w:sz="0" w:space="0" w:color="auto"/>
        <w:bottom w:val="none" w:sz="0" w:space="0" w:color="auto"/>
        <w:right w:val="none" w:sz="0" w:space="0" w:color="auto"/>
      </w:divBdr>
    </w:div>
    <w:div w:id="1857185876">
      <w:bodyDiv w:val="1"/>
      <w:marLeft w:val="0"/>
      <w:marRight w:val="0"/>
      <w:marTop w:val="0"/>
      <w:marBottom w:val="0"/>
      <w:divBdr>
        <w:top w:val="none" w:sz="0" w:space="0" w:color="auto"/>
        <w:left w:val="none" w:sz="0" w:space="0" w:color="auto"/>
        <w:bottom w:val="none" w:sz="0" w:space="0" w:color="auto"/>
        <w:right w:val="none" w:sz="0" w:space="0" w:color="auto"/>
      </w:divBdr>
    </w:div>
    <w:div w:id="1926651726">
      <w:bodyDiv w:val="1"/>
      <w:marLeft w:val="0"/>
      <w:marRight w:val="0"/>
      <w:marTop w:val="0"/>
      <w:marBottom w:val="0"/>
      <w:divBdr>
        <w:top w:val="none" w:sz="0" w:space="0" w:color="auto"/>
        <w:left w:val="none" w:sz="0" w:space="0" w:color="auto"/>
        <w:bottom w:val="none" w:sz="0" w:space="0" w:color="auto"/>
        <w:right w:val="none" w:sz="0" w:space="0" w:color="auto"/>
      </w:divBdr>
    </w:div>
    <w:div w:id="1950232101">
      <w:bodyDiv w:val="1"/>
      <w:marLeft w:val="0"/>
      <w:marRight w:val="0"/>
      <w:marTop w:val="0"/>
      <w:marBottom w:val="0"/>
      <w:divBdr>
        <w:top w:val="none" w:sz="0" w:space="0" w:color="auto"/>
        <w:left w:val="none" w:sz="0" w:space="0" w:color="auto"/>
        <w:bottom w:val="none" w:sz="0" w:space="0" w:color="auto"/>
        <w:right w:val="none" w:sz="0" w:space="0" w:color="auto"/>
      </w:divBdr>
    </w:div>
    <w:div w:id="20723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lebarragan\plantilla\resolu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15" ma:contentTypeDescription="Crear nuevo documento." ma:contentTypeScope="" ma:versionID="6b5bdc1cce74b137d2e69d8153d0a8fb">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5901425aba8cf683fa08dc6686d9dc6d"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6ce1057a-84f0-41ef-9c26-068fafd6c4b9}" ma:internalName="TaxCatchAll" ma:showField="CatchAllData" ma:web="309f6219-a73f-4366-a00d-6bacb1e9f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90cc45-9d06-4234-8034-eeec6c0c7cc1">
      <Terms xmlns="http://schemas.microsoft.com/office/infopath/2007/PartnerControls"/>
    </lcf76f155ced4ddcb4097134ff3c332f>
    <TaxCatchAll xmlns="309f6219-a73f-4366-a00d-6bacb1e9f8e0" xsi:nil="true"/>
    <SharedWithUsers xmlns="309f6219-a73f-4366-a00d-6bacb1e9f8e0">
      <UserInfo>
        <DisplayName>Carlos Andres Castellanos Gamboa</DisplayName>
        <AccountId>9</AccountId>
        <AccountType/>
      </UserInfo>
      <UserInfo>
        <DisplayName>Andrea Paola Ahumada Forigua</DisplayName>
        <AccountId>17</AccountId>
        <AccountType/>
      </UserInfo>
      <UserInfo>
        <DisplayName>Oscar Andres Zabaleta Montenegro</DisplayName>
        <AccountId>18</AccountId>
        <AccountType/>
      </UserInfo>
      <UserInfo>
        <DisplayName>Juan Carlos Bonilla Borda</DisplayName>
        <AccountId>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EA291-3B66-445B-BEE7-1A955368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E2197-47FA-4565-9BAD-19733390382E}">
  <ds:schemaRefs>
    <ds:schemaRef ds:uri="http://schemas.microsoft.com/office/2006/metadata/properties"/>
    <ds:schemaRef ds:uri="http://schemas.microsoft.com/office/infopath/2007/PartnerControls"/>
    <ds:schemaRef ds:uri="0f90cc45-9d06-4234-8034-eeec6c0c7cc1"/>
    <ds:schemaRef ds:uri="309f6219-a73f-4366-a00d-6bacb1e9f8e0"/>
  </ds:schemaRefs>
</ds:datastoreItem>
</file>

<file path=customXml/itemProps3.xml><?xml version="1.0" encoding="utf-8"?>
<ds:datastoreItem xmlns:ds="http://schemas.openxmlformats.org/officeDocument/2006/customXml" ds:itemID="{8A3DE36B-F7C9-46EA-8B5C-85EEE07841E2}">
  <ds:schemaRefs>
    <ds:schemaRef ds:uri="http://schemas.openxmlformats.org/officeDocument/2006/bibliography"/>
  </ds:schemaRefs>
</ds:datastoreItem>
</file>

<file path=customXml/itemProps4.xml><?xml version="1.0" encoding="utf-8"?>
<ds:datastoreItem xmlns:ds="http://schemas.openxmlformats.org/officeDocument/2006/customXml" ds:itemID="{B8328D52-C6AD-4CC0-A6BB-B54527BD7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resoluciones</Template>
  <TotalTime>51</TotalTime>
  <Pages>15</Pages>
  <Words>5847</Words>
  <Characters>32519</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Ramos;Carlos Castellanos;Andres Hernando Dominguez</dc:creator>
  <cp:keywords/>
  <cp:lastModifiedBy>Luz Stella Rojas Macias</cp:lastModifiedBy>
  <cp:revision>3</cp:revision>
  <cp:lastPrinted>2022-08-04T21:24:00Z</cp:lastPrinted>
  <dcterms:created xsi:type="dcterms:W3CDTF">2022-08-04T21:23:00Z</dcterms:created>
  <dcterms:modified xsi:type="dcterms:W3CDTF">2022-08-04T22:14:00Z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y fmtid="{D5CDD505-2E9C-101B-9397-08002B2CF9AE}" pid="3" name="MediaServiceImageTags">
    <vt:lpwstr/>
  </property>
</Properties>
</file>