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A33EB6"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037"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A00879">
        <w:rPr>
          <w:rFonts w:ascii="Bookman Old Style" w:hAnsi="Bookman Old Style"/>
          <w:bCs/>
          <w:lang w:val="es-CO"/>
        </w:rPr>
        <w:t>Gas Gombel S.A.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2532D5" w:rsidRDefault="002532D5"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2532D5"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A33EB6"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A33EB6"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A33EB6"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2532D5"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2532D5"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2532D5" w:rsidRDefault="00A33EB6"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A33EB6"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A33EB6"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532D5" w:rsidRDefault="002532D5"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06388C" w:rsidRDefault="0006388C" w:rsidP="00EC3BB2">
      <w:pPr>
        <w:ind w:left="709" w:firstLine="566"/>
        <w:jc w:val="both"/>
        <w:rPr>
          <w:rFonts w:ascii="Bookman Old Style" w:hAnsi="Bookman Old Style"/>
          <w:sz w:val="22"/>
          <w:szCs w:val="22"/>
        </w:rPr>
      </w:pPr>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2532D5"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2532D5"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2532D5" w:rsidRDefault="002532D5"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Default="00EC3BB2" w:rsidP="00EC3BB2">
            <w:pPr>
              <w:ind w:left="0"/>
              <w:jc w:val="both"/>
              <w:rPr>
                <w:rFonts w:ascii="Bookman Old Style" w:hAnsi="Bookman Old Style"/>
                <w:color w:val="000000"/>
                <w:kern w:val="24"/>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p w:rsidR="0006388C" w:rsidRPr="00EC3BB2" w:rsidRDefault="0006388C" w:rsidP="00EC3BB2">
            <w:pPr>
              <w:ind w:left="0"/>
              <w:jc w:val="both"/>
              <w:rPr>
                <w:rFonts w:ascii="Bookman Old Style" w:hAnsi="Bookman Old Style" w:cs="Arial"/>
                <w:sz w:val="22"/>
                <w:szCs w:val="22"/>
                <w:lang w:val="es-CO" w:eastAsia="es-CO"/>
              </w:rPr>
            </w:pPr>
          </w:p>
        </w:tc>
      </w:tr>
    </w:tbl>
    <w:p w:rsidR="00EC3BB2" w:rsidRPr="002532D5" w:rsidRDefault="002532D5"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2532D5"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532D5" w:rsidRDefault="002532D5"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2532D5"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2532D5"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2C4786">
        <w:rPr>
          <w:rFonts w:ascii="Bookman Old Style" w:hAnsi="Bookman Old Style" w:cs="Arial"/>
          <w:sz w:val="22"/>
          <w:szCs w:val="22"/>
          <w:lang w:val="es-ES_tradnl" w:eastAsia="ar-SA"/>
        </w:rPr>
        <w:t>Corresponde a la Superintendencia de Servicios Públicos Domiciliarios, en desarrollo de sus funciones de inspección y vigilancia, establecer, administrar, mantener y operar</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2C4786">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836" w:type="dxa"/>
        <w:jc w:val="center"/>
        <w:tblCellMar>
          <w:left w:w="70" w:type="dxa"/>
          <w:right w:w="70" w:type="dxa"/>
        </w:tblCellMar>
        <w:tblLook w:val="04A0" w:firstRow="1" w:lastRow="0" w:firstColumn="1" w:lastColumn="0" w:noHBand="0" w:noVBand="1"/>
      </w:tblPr>
      <w:tblGrid>
        <w:gridCol w:w="2268"/>
        <w:gridCol w:w="4536"/>
        <w:gridCol w:w="2032"/>
      </w:tblGrid>
      <w:tr w:rsidR="00EC3BB2" w:rsidRPr="00BD1622" w:rsidTr="00405B10">
        <w:trPr>
          <w:trHeight w:val="405"/>
          <w:tblHeader/>
          <w:jc w:val="center"/>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405B1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4536"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405B1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2032"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405B10">
            <w:pPr>
              <w:ind w:left="0"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B16D10" w:rsidRPr="00BA05D2" w:rsidTr="00405B10">
        <w:trPr>
          <w:trHeight w:val="405"/>
          <w:jc w:val="center"/>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rsidR="00B16D10" w:rsidRPr="00405B10" w:rsidRDefault="00B16D10" w:rsidP="00405B10">
            <w:pPr>
              <w:ind w:left="72"/>
              <w:rPr>
                <w:rFonts w:ascii="Bookman Old Style" w:hAnsi="Bookman Old Style"/>
                <w:sz w:val="18"/>
                <w:szCs w:val="20"/>
              </w:rPr>
            </w:pPr>
            <w:r w:rsidRPr="00405B10">
              <w:rPr>
                <w:rFonts w:ascii="Bookman Old Style" w:hAnsi="Bookman Old Style"/>
                <w:sz w:val="18"/>
                <w:szCs w:val="20"/>
              </w:rPr>
              <w:t>2021</w:t>
            </w:r>
          </w:p>
        </w:tc>
        <w:tc>
          <w:tcPr>
            <w:tcW w:w="4536" w:type="dxa"/>
            <w:tcBorders>
              <w:top w:val="nil"/>
              <w:left w:val="nil"/>
              <w:bottom w:val="single" w:sz="4" w:space="0" w:color="auto"/>
              <w:right w:val="single" w:sz="4" w:space="0" w:color="auto"/>
            </w:tcBorders>
            <w:shd w:val="clear" w:color="auto" w:fill="auto"/>
            <w:noWrap/>
            <w:vAlign w:val="center"/>
            <w:hideMark/>
          </w:tcPr>
          <w:p w:rsidR="00B16D10" w:rsidRPr="00405B10" w:rsidRDefault="00B16D10" w:rsidP="00405B10">
            <w:pPr>
              <w:ind w:left="72"/>
              <w:rPr>
                <w:rFonts w:ascii="Bookman Old Style" w:hAnsi="Bookman Old Style"/>
                <w:sz w:val="18"/>
                <w:szCs w:val="20"/>
                <w:lang w:val="en-US"/>
              </w:rPr>
            </w:pPr>
            <w:r w:rsidRPr="00405B10">
              <w:rPr>
                <w:rFonts w:ascii="Bookman Old Style" w:hAnsi="Bookman Old Style"/>
                <w:sz w:val="18"/>
                <w:szCs w:val="20"/>
                <w:lang w:val="en-US"/>
              </w:rPr>
              <w:t>GAS GOMBEL S.A. E.S.P.</w:t>
            </w:r>
          </w:p>
        </w:tc>
        <w:tc>
          <w:tcPr>
            <w:tcW w:w="2032" w:type="dxa"/>
            <w:tcBorders>
              <w:top w:val="nil"/>
              <w:left w:val="nil"/>
              <w:bottom w:val="single" w:sz="4" w:space="0" w:color="auto"/>
              <w:right w:val="single" w:sz="4" w:space="0" w:color="auto"/>
            </w:tcBorders>
            <w:shd w:val="clear" w:color="auto" w:fill="auto"/>
            <w:noWrap/>
            <w:vAlign w:val="center"/>
            <w:hideMark/>
          </w:tcPr>
          <w:p w:rsidR="00B16D10" w:rsidRPr="00405B10" w:rsidRDefault="00B16D10" w:rsidP="00405B10">
            <w:pPr>
              <w:ind w:left="72"/>
              <w:rPr>
                <w:rFonts w:ascii="Bookman Old Style" w:hAnsi="Bookman Old Style"/>
                <w:sz w:val="18"/>
                <w:szCs w:val="20"/>
              </w:rPr>
            </w:pPr>
            <w:r w:rsidRPr="00405B10">
              <w:rPr>
                <w:rFonts w:ascii="Bookman Old Style" w:hAnsi="Bookman Old Style"/>
                <w:sz w:val="18"/>
                <w:szCs w:val="20"/>
              </w:rPr>
              <w:t>6.654.113</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Mediante escrito radicado en esta Comisión </w:t>
      </w:r>
      <w:r w:rsidR="002C4786">
        <w:rPr>
          <w:rFonts w:ascii="Bookman Old Style" w:hAnsi="Bookman Old Style" w:cs="Arial"/>
          <w:spacing w:val="-5"/>
          <w:lang w:val="es-CO" w:eastAsia="en-US"/>
        </w:rPr>
        <w:t>con</w:t>
      </w:r>
      <w:r w:rsidRPr="00EC3BB2">
        <w:rPr>
          <w:rFonts w:ascii="Bookman Old Style" w:hAnsi="Bookman Old Style" w:cs="Arial"/>
          <w:spacing w:val="-5"/>
          <w:lang w:val="es-CO" w:eastAsia="en-US"/>
        </w:rPr>
        <w:t xml:space="preserve"> número E-2016-</w:t>
      </w:r>
      <w:r w:rsidR="00B16D10">
        <w:rPr>
          <w:rFonts w:ascii="Bookman Old Style" w:hAnsi="Bookman Old Style" w:cs="Arial"/>
          <w:spacing w:val="-5"/>
          <w:lang w:val="es-CO" w:eastAsia="en-US"/>
        </w:rPr>
        <w:t>007249</w:t>
      </w:r>
      <w:r w:rsidRPr="00EC3BB2">
        <w:rPr>
          <w:rFonts w:ascii="Bookman Old Style" w:hAnsi="Bookman Old Style" w:cs="Arial"/>
          <w:spacing w:val="-5"/>
          <w:lang w:val="es-CO" w:eastAsia="en-US"/>
        </w:rPr>
        <w:t xml:space="preserve"> de </w:t>
      </w:r>
      <w:r w:rsidR="00B16D10">
        <w:rPr>
          <w:rFonts w:ascii="Bookman Old Style" w:hAnsi="Bookman Old Style" w:cs="Arial"/>
          <w:spacing w:val="-5"/>
          <w:lang w:val="es-CO" w:eastAsia="en-US"/>
        </w:rPr>
        <w:t>27</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BA05D2">
        <w:rPr>
          <w:rFonts w:ascii="Bookman Old Style" w:hAnsi="Bookman Old Style" w:cs="Arial"/>
          <w:spacing w:val="-5"/>
          <w:lang w:val="es-CO" w:eastAsia="en-US"/>
        </w:rPr>
        <w:t xml:space="preserve">Gas </w:t>
      </w:r>
      <w:r w:rsidR="00B16D10">
        <w:rPr>
          <w:rFonts w:ascii="Bookman Old Style" w:hAnsi="Bookman Old Style" w:cs="Arial"/>
          <w:spacing w:val="-5"/>
          <w:lang w:val="es-CO" w:eastAsia="en-US"/>
        </w:rPr>
        <w:t>Gombel S.A. E.S.P.</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B16D10" w:rsidRDefault="00B16D10" w:rsidP="00B16D10">
      <w:pPr>
        <w:pStyle w:val="Textoindependiente2"/>
        <w:spacing w:after="0" w:line="240" w:lineRule="auto"/>
        <w:ind w:left="284" w:right="284"/>
        <w:jc w:val="both"/>
        <w:rPr>
          <w:rFonts w:ascii="Bookman Old Style" w:hAnsi="Bookman Old Style" w:cs="Arial"/>
          <w:i/>
          <w:spacing w:val="-5"/>
          <w:sz w:val="22"/>
          <w:szCs w:val="22"/>
          <w:lang w:val="es-CO" w:eastAsia="en-US"/>
        </w:rPr>
      </w:pPr>
      <w:r>
        <w:rPr>
          <w:rFonts w:ascii="Bookman Old Style" w:hAnsi="Bookman Old Style" w:cs="Arial"/>
          <w:i/>
          <w:spacing w:val="-5"/>
          <w:sz w:val="22"/>
          <w:szCs w:val="22"/>
          <w:lang w:val="es-CO" w:eastAsia="en-US"/>
        </w:rPr>
        <w:t>“</w:t>
      </w:r>
      <w:r w:rsidRPr="00B16D10">
        <w:rPr>
          <w:rFonts w:ascii="Bookman Old Style" w:hAnsi="Bookman Old Style" w:cs="Arial"/>
          <w:i/>
          <w:spacing w:val="-5"/>
          <w:sz w:val="22"/>
          <w:szCs w:val="22"/>
          <w:lang w:val="es-CO" w:eastAsia="en-US"/>
        </w:rPr>
        <w:t>Respetuosamente, le solicito reconocer y asignar la cantidad de 1.810.370 Kg (Un Millón Ochocientos Diez Mil Trescientos Setenta Kilogramos), a GAS GOMBEL S.A. E.S.P. - En Reestructuración; que como capacidad de compra a que hacen referencian los artículos 8 y 9 de la Resolución CREG 063 de 2016; contenidos en la Resolución 075 de 25 de Mayo de 2016, según los códigos SUI 22384 de la Empresa UNION DE INVERSIONISTAS Y COMERCIALIZADORES DE GAS S.A. E.S.P. S.A. E.S.P. NIT 900.242.815-9</w:t>
      </w:r>
      <w:r>
        <w:rPr>
          <w:rFonts w:ascii="Bookman Old Style" w:hAnsi="Bookman Old Style" w:cs="Arial"/>
          <w:i/>
          <w:spacing w:val="-5"/>
          <w:sz w:val="22"/>
          <w:szCs w:val="22"/>
          <w:lang w:val="es-CO" w:eastAsia="en-US"/>
        </w:rPr>
        <w:t xml:space="preserve"> </w:t>
      </w:r>
      <w:r w:rsidR="0045042D" w:rsidRPr="0045042D">
        <w:rPr>
          <w:rFonts w:ascii="Bookman Old Style" w:hAnsi="Bookman Old Style" w:cs="Arial"/>
          <w:i/>
          <w:spacing w:val="-5"/>
          <w:sz w:val="22"/>
          <w:szCs w:val="22"/>
          <w:lang w:val="es-CO" w:eastAsia="en-US"/>
        </w:rPr>
        <w:t>(…)</w:t>
      </w:r>
    </w:p>
    <w:p w:rsidR="00B16D10" w:rsidRDefault="00B16D10" w:rsidP="00B16D10">
      <w:pPr>
        <w:pStyle w:val="Textoindependiente2"/>
        <w:spacing w:after="0" w:line="240" w:lineRule="auto"/>
        <w:ind w:left="284" w:right="284"/>
        <w:jc w:val="both"/>
        <w:rPr>
          <w:rFonts w:ascii="Bookman Old Style" w:hAnsi="Bookman Old Style" w:cs="Arial"/>
          <w:i/>
          <w:spacing w:val="-5"/>
          <w:sz w:val="22"/>
          <w:szCs w:val="22"/>
          <w:lang w:val="es-CO" w:eastAsia="en-US"/>
        </w:rPr>
      </w:pPr>
    </w:p>
    <w:p w:rsidR="0045042D" w:rsidRPr="0045042D" w:rsidRDefault="00B16D10" w:rsidP="00B16D10">
      <w:pPr>
        <w:pStyle w:val="Textoindependiente2"/>
        <w:spacing w:after="0" w:line="240" w:lineRule="auto"/>
        <w:ind w:left="284" w:right="284"/>
        <w:jc w:val="both"/>
        <w:rPr>
          <w:rFonts w:ascii="Bookman Old Style" w:hAnsi="Bookman Old Style" w:cs="Arial"/>
          <w:i/>
          <w:spacing w:val="-5"/>
          <w:sz w:val="22"/>
          <w:szCs w:val="22"/>
          <w:lang w:val="es-CO" w:eastAsia="en-US"/>
        </w:rPr>
      </w:pPr>
      <w:r w:rsidRPr="00B16D10">
        <w:rPr>
          <w:rFonts w:ascii="Bookman Old Style" w:hAnsi="Bookman Old Style" w:cs="Arial"/>
          <w:i/>
          <w:spacing w:val="-5"/>
          <w:sz w:val="22"/>
          <w:szCs w:val="22"/>
          <w:lang w:val="es-CO" w:eastAsia="en-US"/>
        </w:rPr>
        <w:t>Solicito a la Comisión de Regulación de Energía y Gas (C.R.E.G.) RECONOCER, ASIGNAR Y ADJUDICAR la capacidad de compra de UNION DE INVERSIONISTAS Y COMERCIALIZADORES DE GAS S.A. E.S.P. S.A. E.S.P. NIT 900.242.815-9, a la empresa GAS GOMBEL S.A. E.S.P. - En Reestructuración, Licenciataria y Cesionaria de los cilindros de la MARCA DISPOGAS, en la cantidad de 1.810.370 Kg (Un Millón Ochocientos Diez Mil Trescientos Setenta Kilogramos)</w:t>
      </w:r>
      <w:r w:rsidR="0045042D" w:rsidRPr="0045042D">
        <w:rPr>
          <w:rFonts w:ascii="Bookman Old Style" w:hAnsi="Bookman Old Style" w:cs="Arial"/>
          <w:i/>
          <w:spacing w:val="-5"/>
          <w:sz w:val="22"/>
          <w:szCs w:val="22"/>
          <w:lang w:val="es-CO" w:eastAsia="en-US"/>
        </w:rPr>
        <w:t>”</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B16D10">
        <w:rPr>
          <w:rFonts w:ascii="Bookman Old Style" w:hAnsi="Bookman Old Style" w:cs="Arial"/>
          <w:spacing w:val="-5"/>
          <w:lang w:val="es-CO" w:eastAsia="en-US"/>
        </w:rPr>
        <w:t>Gas Gombel</w:t>
      </w:r>
      <w:r w:rsidRPr="00BA05D2">
        <w:rPr>
          <w:rFonts w:ascii="Bookman Old Style" w:hAnsi="Bookman Old Style" w:cs="Arial"/>
          <w:spacing w:val="-5"/>
          <w:lang w:val="es-CO" w:eastAsia="en-US"/>
        </w:rPr>
        <w:t xml:space="preserve"> mediante notificación personal I-2016-</w:t>
      </w:r>
      <w:r w:rsidR="00B16D10">
        <w:rPr>
          <w:rFonts w:ascii="Bookman Old Style" w:hAnsi="Bookman Old Style" w:cs="Arial"/>
          <w:spacing w:val="-5"/>
          <w:lang w:val="es-CO" w:eastAsia="en-US"/>
        </w:rPr>
        <w:t>003127</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lastRenderedPageBreak/>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A045ED">
        <w:rPr>
          <w:rFonts w:ascii="Bookman Old Style" w:hAnsi="Bookman Old Style"/>
          <w:szCs w:val="27"/>
        </w:rPr>
        <w:t>Gas Gombel</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B16D10" w:rsidRDefault="0045042D" w:rsidP="00B16D10">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sidR="00B16D10" w:rsidRPr="00B16D10">
        <w:rPr>
          <w:rFonts w:ascii="Bookman Old Style" w:hAnsi="Bookman Old Style" w:cs="Arial"/>
          <w:i/>
          <w:sz w:val="22"/>
          <w:szCs w:val="22"/>
        </w:rPr>
        <w:t>La Resolución CREG 075 de 2016 definió la siguiente capacidad de compra de la empresa UNION DE INVERSIONISTAS Y COMERCIALIZADORES DE</w:t>
      </w:r>
      <w:r w:rsidR="00B16D10">
        <w:rPr>
          <w:rFonts w:ascii="Bookman Old Style" w:hAnsi="Bookman Old Style" w:cs="Arial"/>
          <w:i/>
          <w:sz w:val="22"/>
          <w:szCs w:val="22"/>
        </w:rPr>
        <w:t xml:space="preserve"> GAS S.A. E.S.P. S.A. E.S.P NIT </w:t>
      </w:r>
      <w:r w:rsidR="00B16D10" w:rsidRPr="00B16D10">
        <w:rPr>
          <w:rFonts w:ascii="Bookman Old Style" w:hAnsi="Bookman Old Style" w:cs="Arial"/>
          <w:i/>
          <w:sz w:val="22"/>
          <w:szCs w:val="22"/>
        </w:rPr>
        <w:t>900.242.815-9.</w:t>
      </w:r>
    </w:p>
    <w:p w:rsidR="00B16D10" w:rsidRPr="00B16D10" w:rsidRDefault="00B16D10" w:rsidP="00B16D10">
      <w:pPr>
        <w:ind w:left="284" w:right="284"/>
        <w:jc w:val="both"/>
        <w:rPr>
          <w:rFonts w:ascii="Bookman Old Style" w:hAnsi="Bookman Old Style" w:cs="Arial"/>
          <w:i/>
          <w:sz w:val="22"/>
          <w:szCs w:val="22"/>
        </w:rPr>
      </w:pPr>
    </w:p>
    <w:tbl>
      <w:tblPr>
        <w:tblW w:w="0" w:type="auto"/>
        <w:tblInd w:w="714" w:type="dxa"/>
        <w:tblLayout w:type="fixed"/>
        <w:tblCellMar>
          <w:left w:w="0" w:type="dxa"/>
          <w:right w:w="0" w:type="dxa"/>
        </w:tblCellMar>
        <w:tblLook w:val="0000" w:firstRow="0" w:lastRow="0" w:firstColumn="0" w:lastColumn="0" w:noHBand="0" w:noVBand="0"/>
      </w:tblPr>
      <w:tblGrid>
        <w:gridCol w:w="918"/>
        <w:gridCol w:w="4819"/>
        <w:gridCol w:w="1776"/>
      </w:tblGrid>
      <w:tr w:rsidR="00B16D10" w:rsidRPr="00B16D10" w:rsidTr="00B16D10">
        <w:trPr>
          <w:trHeight w:hRule="exact" w:val="749"/>
        </w:trPr>
        <w:tc>
          <w:tcPr>
            <w:tcW w:w="918" w:type="dxa"/>
            <w:tcBorders>
              <w:top w:val="single" w:sz="4" w:space="0" w:color="auto"/>
              <w:left w:val="single" w:sz="4" w:space="0" w:color="auto"/>
              <w:bottom w:val="nil"/>
              <w:right w:val="nil"/>
            </w:tcBorders>
            <w:shd w:val="clear" w:color="auto" w:fill="FFFFFF"/>
            <w:vAlign w:val="center"/>
          </w:tcPr>
          <w:p w:rsidR="00B16D10" w:rsidRPr="00B16D10" w:rsidRDefault="00B16D10" w:rsidP="00B16D10">
            <w:pPr>
              <w:widowControl w:val="0"/>
              <w:spacing w:after="60" w:line="210" w:lineRule="exact"/>
              <w:ind w:left="0"/>
              <w:jc w:val="center"/>
              <w:rPr>
                <w:spacing w:val="20"/>
                <w:sz w:val="20"/>
                <w:szCs w:val="20"/>
                <w:lang w:val="es-ES_tradnl" w:eastAsia="es-CO"/>
              </w:rPr>
            </w:pPr>
            <w:r w:rsidRPr="00B16D10">
              <w:rPr>
                <w:rFonts w:ascii="Arial" w:hAnsi="Arial" w:cs="Arial"/>
                <w:b/>
                <w:bCs/>
                <w:color w:val="000000"/>
                <w:sz w:val="20"/>
                <w:szCs w:val="20"/>
                <w:lang w:val="es-ES_tradnl" w:eastAsia="es-ES_tradnl"/>
              </w:rPr>
              <w:t>CODIGO</w:t>
            </w:r>
          </w:p>
          <w:p w:rsidR="00B16D10" w:rsidRPr="00B16D10" w:rsidRDefault="00B16D10" w:rsidP="00B16D10">
            <w:pPr>
              <w:widowControl w:val="0"/>
              <w:spacing w:before="60" w:line="210" w:lineRule="exact"/>
              <w:ind w:left="0"/>
              <w:jc w:val="center"/>
              <w:rPr>
                <w:spacing w:val="20"/>
                <w:sz w:val="20"/>
                <w:szCs w:val="20"/>
                <w:lang w:val="es-ES_tradnl" w:eastAsia="es-CO"/>
              </w:rPr>
            </w:pPr>
            <w:r w:rsidRPr="00B16D10">
              <w:rPr>
                <w:rFonts w:ascii="Arial" w:hAnsi="Arial" w:cs="Arial"/>
                <w:b/>
                <w:bCs/>
                <w:color w:val="000000"/>
                <w:sz w:val="20"/>
                <w:szCs w:val="20"/>
                <w:lang w:val="es-ES_tradnl" w:eastAsia="es-ES_tradnl"/>
              </w:rPr>
              <w:t>SUI</w:t>
            </w:r>
          </w:p>
        </w:tc>
        <w:tc>
          <w:tcPr>
            <w:tcW w:w="4819" w:type="dxa"/>
            <w:tcBorders>
              <w:top w:val="single" w:sz="4" w:space="0" w:color="auto"/>
              <w:left w:val="single" w:sz="4" w:space="0" w:color="auto"/>
              <w:bottom w:val="nil"/>
              <w:right w:val="nil"/>
            </w:tcBorders>
            <w:shd w:val="clear" w:color="auto" w:fill="FFFFFF"/>
            <w:vAlign w:val="center"/>
          </w:tcPr>
          <w:p w:rsidR="00B16D10" w:rsidRPr="00B16D10" w:rsidRDefault="00B16D10" w:rsidP="00B16D10">
            <w:pPr>
              <w:widowControl w:val="0"/>
              <w:spacing w:line="210" w:lineRule="exact"/>
              <w:ind w:left="0"/>
              <w:jc w:val="center"/>
              <w:rPr>
                <w:spacing w:val="20"/>
                <w:sz w:val="20"/>
                <w:szCs w:val="20"/>
                <w:lang w:val="es-ES_tradnl" w:eastAsia="es-CO"/>
              </w:rPr>
            </w:pPr>
            <w:r w:rsidRPr="00B16D10">
              <w:rPr>
                <w:rFonts w:ascii="Arial" w:hAnsi="Arial" w:cs="Arial"/>
                <w:b/>
                <w:bCs/>
                <w:color w:val="000000"/>
                <w:sz w:val="20"/>
                <w:szCs w:val="20"/>
                <w:lang w:val="es-ES_tradnl" w:eastAsia="es-ES_tradnl"/>
              </w:rPr>
              <w:t>EMPRESA</w:t>
            </w:r>
          </w:p>
        </w:tc>
        <w:tc>
          <w:tcPr>
            <w:tcW w:w="1776" w:type="dxa"/>
            <w:tcBorders>
              <w:top w:val="single" w:sz="4" w:space="0" w:color="auto"/>
              <w:left w:val="single" w:sz="4" w:space="0" w:color="auto"/>
              <w:bottom w:val="nil"/>
              <w:right w:val="single" w:sz="4" w:space="0" w:color="auto"/>
            </w:tcBorders>
            <w:shd w:val="clear" w:color="auto" w:fill="FFFFFF"/>
            <w:vAlign w:val="center"/>
          </w:tcPr>
          <w:p w:rsidR="00B16D10" w:rsidRPr="00B16D10" w:rsidRDefault="00B16D10" w:rsidP="00B16D10">
            <w:pPr>
              <w:widowControl w:val="0"/>
              <w:spacing w:line="259" w:lineRule="exact"/>
              <w:ind w:left="0"/>
              <w:jc w:val="center"/>
              <w:rPr>
                <w:spacing w:val="20"/>
                <w:sz w:val="20"/>
                <w:szCs w:val="20"/>
                <w:lang w:val="es-ES_tradnl" w:eastAsia="es-CO"/>
              </w:rPr>
            </w:pPr>
            <w:r w:rsidRPr="00B16D10">
              <w:rPr>
                <w:rFonts w:ascii="Arial" w:hAnsi="Arial" w:cs="Arial"/>
                <w:b/>
                <w:bCs/>
                <w:color w:val="000000"/>
                <w:sz w:val="20"/>
                <w:szCs w:val="20"/>
                <w:lang w:val="es-ES_tradnl" w:eastAsia="es-ES_tradnl"/>
              </w:rPr>
              <w:t>CAPACIDAD COMPRA (Kg)</w:t>
            </w:r>
          </w:p>
        </w:tc>
      </w:tr>
      <w:tr w:rsidR="00B16D10" w:rsidRPr="00B16D10" w:rsidTr="00B16D10">
        <w:trPr>
          <w:trHeight w:hRule="exact" w:val="989"/>
        </w:trPr>
        <w:tc>
          <w:tcPr>
            <w:tcW w:w="918" w:type="dxa"/>
            <w:tcBorders>
              <w:top w:val="single" w:sz="4" w:space="0" w:color="auto"/>
              <w:left w:val="single" w:sz="4" w:space="0" w:color="auto"/>
              <w:bottom w:val="nil"/>
              <w:right w:val="nil"/>
            </w:tcBorders>
            <w:shd w:val="clear" w:color="auto" w:fill="FFFFFF"/>
            <w:vAlign w:val="center"/>
          </w:tcPr>
          <w:p w:rsidR="00B16D10" w:rsidRPr="00B16D10" w:rsidRDefault="00B16D10" w:rsidP="00B16D10">
            <w:pPr>
              <w:widowControl w:val="0"/>
              <w:spacing w:line="220" w:lineRule="exact"/>
              <w:ind w:left="0"/>
              <w:jc w:val="center"/>
              <w:rPr>
                <w:spacing w:val="20"/>
                <w:sz w:val="20"/>
                <w:szCs w:val="20"/>
                <w:lang w:val="es-ES_tradnl" w:eastAsia="es-CO"/>
              </w:rPr>
            </w:pPr>
            <w:r w:rsidRPr="00B16D10">
              <w:rPr>
                <w:color w:val="000000"/>
                <w:spacing w:val="10"/>
                <w:sz w:val="20"/>
                <w:szCs w:val="20"/>
                <w:lang w:val="es-ES_tradnl" w:eastAsia="es-ES_tradnl"/>
              </w:rPr>
              <w:t>22384</w:t>
            </w:r>
          </w:p>
        </w:tc>
        <w:tc>
          <w:tcPr>
            <w:tcW w:w="4819" w:type="dxa"/>
            <w:tcBorders>
              <w:top w:val="single" w:sz="4" w:space="0" w:color="auto"/>
              <w:left w:val="single" w:sz="4" w:space="0" w:color="auto"/>
              <w:bottom w:val="nil"/>
              <w:right w:val="nil"/>
            </w:tcBorders>
            <w:shd w:val="clear" w:color="auto" w:fill="FFFFFF"/>
          </w:tcPr>
          <w:p w:rsidR="00B16D10" w:rsidRPr="00B16D10" w:rsidRDefault="00B16D10" w:rsidP="00B16D10">
            <w:pPr>
              <w:widowControl w:val="0"/>
              <w:spacing w:line="259" w:lineRule="exact"/>
              <w:ind w:left="0"/>
              <w:jc w:val="center"/>
              <w:rPr>
                <w:spacing w:val="20"/>
                <w:sz w:val="20"/>
                <w:szCs w:val="20"/>
                <w:lang w:val="es-ES_tradnl" w:eastAsia="es-CO"/>
              </w:rPr>
            </w:pPr>
            <w:r w:rsidRPr="00B16D10">
              <w:rPr>
                <w:color w:val="000000"/>
                <w:spacing w:val="10"/>
                <w:sz w:val="20"/>
                <w:szCs w:val="20"/>
                <w:lang w:val="es-ES_tradnl" w:eastAsia="es-ES_tradnl"/>
              </w:rPr>
              <w:t>UNION DE INVERSIONISTAS Y COMERCIALZIADORES DE GAS S.A. E.S.P. S.A. E.S.P.</w:t>
            </w:r>
          </w:p>
        </w:tc>
        <w:tc>
          <w:tcPr>
            <w:tcW w:w="1776" w:type="dxa"/>
            <w:tcBorders>
              <w:top w:val="single" w:sz="4" w:space="0" w:color="auto"/>
              <w:left w:val="single" w:sz="4" w:space="0" w:color="auto"/>
              <w:bottom w:val="nil"/>
              <w:right w:val="single" w:sz="4" w:space="0" w:color="auto"/>
            </w:tcBorders>
            <w:shd w:val="clear" w:color="auto" w:fill="FFFFFF"/>
            <w:vAlign w:val="center"/>
          </w:tcPr>
          <w:p w:rsidR="00B16D10" w:rsidRPr="00B16D10" w:rsidRDefault="00B16D10" w:rsidP="00B16D10">
            <w:pPr>
              <w:widowControl w:val="0"/>
              <w:spacing w:line="220" w:lineRule="exact"/>
              <w:ind w:left="0"/>
              <w:jc w:val="center"/>
              <w:rPr>
                <w:spacing w:val="20"/>
                <w:sz w:val="20"/>
                <w:szCs w:val="20"/>
                <w:lang w:val="es-ES_tradnl" w:eastAsia="es-CO"/>
              </w:rPr>
            </w:pPr>
            <w:r w:rsidRPr="00B16D10">
              <w:rPr>
                <w:color w:val="000000"/>
                <w:spacing w:val="10"/>
                <w:sz w:val="20"/>
                <w:szCs w:val="20"/>
                <w:lang w:val="es-ES_tradnl" w:eastAsia="es-ES_tradnl"/>
              </w:rPr>
              <w:t>1.810.370</w:t>
            </w:r>
          </w:p>
        </w:tc>
      </w:tr>
      <w:tr w:rsidR="00B16D10" w:rsidRPr="00B16D10" w:rsidTr="00B16D10">
        <w:trPr>
          <w:trHeight w:hRule="exact" w:val="490"/>
        </w:trPr>
        <w:tc>
          <w:tcPr>
            <w:tcW w:w="5737" w:type="dxa"/>
            <w:gridSpan w:val="2"/>
            <w:tcBorders>
              <w:top w:val="single" w:sz="4" w:space="0" w:color="auto"/>
              <w:left w:val="single" w:sz="4" w:space="0" w:color="auto"/>
              <w:bottom w:val="single" w:sz="4" w:space="0" w:color="auto"/>
              <w:right w:val="nil"/>
            </w:tcBorders>
            <w:shd w:val="clear" w:color="auto" w:fill="FFFFFF"/>
          </w:tcPr>
          <w:p w:rsidR="00B16D10" w:rsidRPr="00B16D10" w:rsidRDefault="00B16D10" w:rsidP="00B16D10">
            <w:pPr>
              <w:widowControl w:val="0"/>
              <w:spacing w:line="210" w:lineRule="exact"/>
              <w:ind w:left="0"/>
              <w:jc w:val="center"/>
              <w:rPr>
                <w:spacing w:val="20"/>
                <w:sz w:val="20"/>
                <w:szCs w:val="20"/>
                <w:lang w:val="es-ES_tradnl" w:eastAsia="es-CO"/>
              </w:rPr>
            </w:pPr>
            <w:r w:rsidRPr="00B16D10">
              <w:rPr>
                <w:rFonts w:ascii="Arial" w:hAnsi="Arial" w:cs="Arial"/>
                <w:b/>
                <w:bCs/>
                <w:color w:val="000000"/>
                <w:sz w:val="20"/>
                <w:szCs w:val="20"/>
                <w:lang w:val="es-ES_tradnl" w:eastAsia="es-ES_tradnl"/>
              </w:rPr>
              <w:t>TOTAL</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B16D10" w:rsidRPr="00B16D10" w:rsidRDefault="00B16D10" w:rsidP="00B16D10">
            <w:pPr>
              <w:widowControl w:val="0"/>
              <w:spacing w:line="220" w:lineRule="exact"/>
              <w:ind w:left="0"/>
              <w:jc w:val="center"/>
              <w:rPr>
                <w:spacing w:val="20"/>
                <w:sz w:val="20"/>
                <w:szCs w:val="20"/>
                <w:lang w:val="es-ES_tradnl" w:eastAsia="es-CO"/>
              </w:rPr>
            </w:pPr>
            <w:r w:rsidRPr="00B16D10">
              <w:rPr>
                <w:color w:val="000000"/>
                <w:spacing w:val="10"/>
                <w:sz w:val="20"/>
                <w:szCs w:val="20"/>
                <w:lang w:val="es-ES_tradnl" w:eastAsia="es-ES_tradnl"/>
              </w:rPr>
              <w:t>1.810.370</w:t>
            </w:r>
          </w:p>
        </w:tc>
      </w:tr>
    </w:tbl>
    <w:p w:rsidR="00B16D10" w:rsidRPr="00B16D10" w:rsidRDefault="00B16D10" w:rsidP="00B16D10">
      <w:pPr>
        <w:ind w:left="0" w:right="284"/>
        <w:jc w:val="both"/>
        <w:rPr>
          <w:rFonts w:ascii="Bookman Old Style" w:hAnsi="Bookman Old Style" w:cs="Arial"/>
          <w:i/>
          <w:sz w:val="22"/>
          <w:szCs w:val="22"/>
        </w:rPr>
      </w:pPr>
    </w:p>
    <w:p w:rsidR="00B16D10" w:rsidRPr="00B16D10"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1.2</w:t>
      </w:r>
      <w:r w:rsidRPr="00B16D10">
        <w:rPr>
          <w:rFonts w:ascii="Bookman Old Style" w:hAnsi="Bookman Old Style" w:cs="Arial"/>
          <w:i/>
          <w:sz w:val="22"/>
          <w:szCs w:val="22"/>
        </w:rPr>
        <w:tab/>
        <w:t xml:space="preserve"> Con fecha 16 de Noviembre de 2011, la Empresa UNION DE INVERSIONISTAS Y COMERCIALIZADORES DE GAS S.A. E.S.P. S.A. E.S.P. NIT 900.242.815-9, notifico a la Superintendencia de Servicios Públicos - con copia a la CREG-, la condición de Comercializador Minorista de GAS GOMBEL.</w:t>
      </w:r>
    </w:p>
    <w:p w:rsidR="00B16D10" w:rsidRDefault="00B16D10" w:rsidP="00B16D10">
      <w:pPr>
        <w:ind w:left="284" w:right="284"/>
        <w:jc w:val="both"/>
        <w:rPr>
          <w:rFonts w:ascii="Bookman Old Style" w:hAnsi="Bookman Old Style" w:cs="Arial"/>
          <w:i/>
          <w:sz w:val="22"/>
          <w:szCs w:val="22"/>
        </w:rPr>
      </w:pPr>
    </w:p>
    <w:p w:rsidR="00B16D10" w:rsidRPr="00B16D10"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1.3</w:t>
      </w:r>
      <w:r w:rsidRPr="00B16D10">
        <w:rPr>
          <w:rFonts w:ascii="Bookman Old Style" w:hAnsi="Bookman Old Style" w:cs="Arial"/>
          <w:i/>
          <w:sz w:val="22"/>
          <w:szCs w:val="22"/>
        </w:rPr>
        <w:tab/>
        <w:t xml:space="preserve"> Con esa misma notificación dejo su condición de Distribuidor Inversionista.</w:t>
      </w:r>
    </w:p>
    <w:p w:rsidR="00B16D10" w:rsidRDefault="00B16D10" w:rsidP="00B16D10">
      <w:pPr>
        <w:ind w:left="284" w:right="284"/>
        <w:jc w:val="both"/>
        <w:rPr>
          <w:rFonts w:ascii="Bookman Old Style" w:hAnsi="Bookman Old Style" w:cs="Arial"/>
          <w:i/>
          <w:sz w:val="22"/>
          <w:szCs w:val="22"/>
        </w:rPr>
      </w:pPr>
    </w:p>
    <w:p w:rsidR="00B16D10" w:rsidRPr="00B16D10"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1.4</w:t>
      </w:r>
      <w:r w:rsidRPr="00B16D10">
        <w:rPr>
          <w:rFonts w:ascii="Bookman Old Style" w:hAnsi="Bookman Old Style" w:cs="Arial"/>
          <w:i/>
          <w:sz w:val="22"/>
          <w:szCs w:val="22"/>
        </w:rPr>
        <w:tab/>
        <w:t xml:space="preserve"> Se adjuntó contrato con GAS GOMBEL.</w:t>
      </w:r>
    </w:p>
    <w:p w:rsidR="00B16D10" w:rsidRDefault="00B16D10" w:rsidP="00B16D10">
      <w:pPr>
        <w:ind w:left="284" w:right="284"/>
        <w:jc w:val="both"/>
        <w:rPr>
          <w:rFonts w:ascii="Bookman Old Style" w:hAnsi="Bookman Old Style" w:cs="Arial"/>
          <w:i/>
          <w:sz w:val="22"/>
          <w:szCs w:val="22"/>
        </w:rPr>
      </w:pPr>
    </w:p>
    <w:p w:rsidR="00B16D10" w:rsidRPr="00B16D10"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1.5</w:t>
      </w:r>
      <w:r w:rsidRPr="00B16D10">
        <w:rPr>
          <w:rFonts w:ascii="Bookman Old Style" w:hAnsi="Bookman Old Style" w:cs="Arial"/>
          <w:i/>
          <w:sz w:val="22"/>
          <w:szCs w:val="22"/>
        </w:rPr>
        <w:tab/>
        <w:t xml:space="preserve"> Se actualizo el RUPS,</w:t>
      </w:r>
    </w:p>
    <w:p w:rsidR="00B16D10" w:rsidRDefault="00B16D10" w:rsidP="00B16D10">
      <w:pPr>
        <w:ind w:left="284" w:right="284"/>
        <w:jc w:val="both"/>
        <w:rPr>
          <w:rFonts w:ascii="Bookman Old Style" w:hAnsi="Bookman Old Style" w:cs="Arial"/>
          <w:i/>
          <w:sz w:val="22"/>
          <w:szCs w:val="22"/>
        </w:rPr>
      </w:pPr>
    </w:p>
    <w:p w:rsidR="00B16D10"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1.6</w:t>
      </w:r>
      <w:r w:rsidRPr="00B16D10">
        <w:rPr>
          <w:rFonts w:ascii="Bookman Old Style" w:hAnsi="Bookman Old Style" w:cs="Arial"/>
          <w:i/>
          <w:sz w:val="22"/>
          <w:szCs w:val="22"/>
        </w:rPr>
        <w:tab/>
        <w:t xml:space="preserve"> Ahora bien, con fecha 17 de Junio de 2016, según Envío de correo certificado No.016006120432 de la Empresa de Mensajería y Mercancías ENVIA, se allego a ésa Comisión copia simple CONTRATO DE LICENCIA, en donde GAS GOMBEL S.A. E.S.P. - En Reestructuración adquiere la condición de Licenciataria y Cesionario' donde se compromete a utilizar los bienes licenciados como una de las marcas para la prestación de servicio de transporte, suministro y/o distribución mayoristas y/o minorista. La marca DISPOGAS, se encuentra debidamente registrada ante la Dirección de Propiedad Industrial de la Superintendencia de Industria y Comercio con las siguientes características: Marca nominativa, Expediente 09 041085, </w:t>
      </w:r>
      <w:r w:rsidRPr="00B16D10">
        <w:rPr>
          <w:rFonts w:ascii="Bookman Old Style" w:hAnsi="Bookman Old Style" w:cs="Arial"/>
          <w:i/>
          <w:sz w:val="22"/>
          <w:szCs w:val="22"/>
        </w:rPr>
        <w:lastRenderedPageBreak/>
        <w:t>Certificado 391124 hasta el día 29 de Octubre de 2019, Clasificación 39, Versión 9, Según Resolución 56061 del 29 de octubre de 2009, que fuera concedida a UNION DE INVERSI</w:t>
      </w:r>
      <w:r>
        <w:rPr>
          <w:rFonts w:ascii="Bookman Old Style" w:hAnsi="Bookman Old Style" w:cs="Arial"/>
          <w:i/>
          <w:sz w:val="22"/>
          <w:szCs w:val="22"/>
        </w:rPr>
        <w:t>ONISTAS Y C</w:t>
      </w:r>
      <w:r w:rsidRPr="00B16D10">
        <w:rPr>
          <w:rFonts w:ascii="Bookman Old Style" w:hAnsi="Bookman Old Style" w:cs="Arial"/>
          <w:i/>
          <w:sz w:val="22"/>
          <w:szCs w:val="22"/>
        </w:rPr>
        <w:t>OMERCIALIZADORES DE GAS S.A. E.S.P. S.A. E.S.P. NU 900.242.815-9</w:t>
      </w:r>
      <w:r>
        <w:rPr>
          <w:rFonts w:ascii="Bookman Old Style" w:hAnsi="Bookman Old Style" w:cs="Arial"/>
          <w:i/>
          <w:sz w:val="22"/>
          <w:szCs w:val="22"/>
        </w:rPr>
        <w:t>.</w:t>
      </w:r>
    </w:p>
    <w:p w:rsidR="00B16D10" w:rsidRDefault="00B16D10" w:rsidP="00B16D10">
      <w:pPr>
        <w:ind w:left="284" w:right="284"/>
        <w:jc w:val="both"/>
        <w:rPr>
          <w:rFonts w:ascii="Bookman Old Style" w:hAnsi="Bookman Old Style" w:cs="Arial"/>
          <w:i/>
          <w:sz w:val="22"/>
          <w:szCs w:val="22"/>
        </w:rPr>
      </w:pPr>
    </w:p>
    <w:p w:rsidR="0045042D" w:rsidRPr="00EC3BB2" w:rsidRDefault="00B16D10" w:rsidP="00B16D10">
      <w:pPr>
        <w:ind w:left="284" w:right="284"/>
        <w:jc w:val="both"/>
        <w:rPr>
          <w:rFonts w:ascii="Bookman Old Style" w:hAnsi="Bookman Old Style" w:cs="Arial"/>
          <w:i/>
          <w:sz w:val="22"/>
          <w:szCs w:val="22"/>
        </w:rPr>
      </w:pPr>
      <w:r w:rsidRPr="00B16D10">
        <w:rPr>
          <w:rFonts w:ascii="Bookman Old Style" w:hAnsi="Bookman Old Style" w:cs="Arial"/>
          <w:i/>
          <w:sz w:val="22"/>
          <w:szCs w:val="22"/>
        </w:rPr>
        <w:t>1.7</w:t>
      </w:r>
      <w:r w:rsidRPr="00B16D10">
        <w:rPr>
          <w:rFonts w:ascii="Bookman Old Style" w:hAnsi="Bookman Old Style" w:cs="Arial"/>
          <w:i/>
          <w:sz w:val="22"/>
          <w:szCs w:val="22"/>
        </w:rPr>
        <w:tab/>
        <w:t>Finalmente, en ese mismo envío se adjuntó copia del contrato de CONTRATO DE DACION EN PAGO Y TRANSACCION, y dentro de las</w:t>
      </w:r>
      <w:r>
        <w:rPr>
          <w:rFonts w:ascii="Bookman Old Style" w:hAnsi="Bookman Old Style" w:cs="Arial"/>
          <w:i/>
          <w:sz w:val="22"/>
          <w:szCs w:val="22"/>
        </w:rPr>
        <w:t xml:space="preserve"> Consideraciones, en el numeral 4., </w:t>
      </w:r>
      <w:r w:rsidRPr="00B16D10">
        <w:rPr>
          <w:rFonts w:ascii="Bookman Old Style" w:hAnsi="Bookman Old Style" w:cs="Arial"/>
          <w:i/>
          <w:sz w:val="22"/>
          <w:szCs w:val="22"/>
        </w:rPr>
        <w:t>se incorporó la Cesión de la totalidad de los contratos de Prestación de Servicios a favor de GAS GOMBEL S.A. E.S.P. - En Reestructuración, entrega de la totalidad de los cilindros, suscribir los documentos de traspaso de la Marca DISPOGAS; y se solicita sean tenidas en cuenta a favor de GAS GOMBEL S.A. E.S.P. - En Reestructuración las cantidades para la capacidad de compra que se asigne a UNION DE INVERSIONISTAS Y COMERCIALIZADORES DE GAS S.A. E.S.P</w:t>
      </w:r>
      <w:r>
        <w:rPr>
          <w:rFonts w:ascii="Bookman Old Style" w:hAnsi="Bookman Old Style" w:cs="Arial"/>
          <w:i/>
          <w:sz w:val="22"/>
          <w:szCs w:val="22"/>
        </w:rPr>
        <w:t>. S.A. E.S.P. NIT 900.242.815-9</w:t>
      </w:r>
      <w:r w:rsidR="0045042D" w:rsidRPr="006867EF">
        <w:rPr>
          <w:rFonts w:ascii="Bookman Old Style" w:hAnsi="Bookman Old Style" w:cs="Arial"/>
          <w:i/>
          <w:sz w:val="22"/>
          <w:szCs w:val="22"/>
        </w:rPr>
        <w:t>.</w:t>
      </w:r>
      <w:r w:rsidR="0045042D" w:rsidRPr="00EC3BB2">
        <w:rPr>
          <w:rFonts w:ascii="Bookman Old Style" w:hAnsi="Bookman Old Style" w:cs="Arial"/>
          <w:i/>
          <w:sz w:val="22"/>
          <w:szCs w:val="22"/>
        </w:rPr>
        <w:t>”</w:t>
      </w:r>
    </w:p>
    <w:p w:rsidR="00B36712" w:rsidRPr="0045042D" w:rsidRDefault="00B36712" w:rsidP="0045042D">
      <w:pPr>
        <w:pStyle w:val="Textoindependiente2"/>
        <w:spacing w:after="0" w:line="240" w:lineRule="auto"/>
        <w:ind w:left="-142" w:right="-142"/>
        <w:jc w:val="both"/>
        <w:rPr>
          <w:rFonts w:ascii="Bookman Old Style" w:hAnsi="Bookman Old Style"/>
          <w:szCs w:val="27"/>
        </w:rPr>
      </w:pPr>
    </w:p>
    <w:p w:rsidR="0045042D" w:rsidRDefault="0045042D" w:rsidP="004504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w:t>
      </w:r>
      <w:r w:rsidR="00B16D10">
        <w:rPr>
          <w:rFonts w:ascii="Bookman Old Style" w:hAnsi="Bookman Old Style"/>
          <w:szCs w:val="27"/>
        </w:rPr>
        <w:t>solicita que se tenga como prueba la información de los siguientes documentos</w:t>
      </w:r>
      <w:r>
        <w:rPr>
          <w:rFonts w:ascii="Bookman Old Style" w:hAnsi="Bookman Old Style"/>
          <w:szCs w:val="27"/>
        </w:rPr>
        <w:t>:</w:t>
      </w:r>
    </w:p>
    <w:p w:rsidR="0045042D" w:rsidRDefault="0045042D" w:rsidP="0045042D">
      <w:pPr>
        <w:pStyle w:val="Textoindependiente2"/>
        <w:spacing w:after="0" w:line="240" w:lineRule="auto"/>
        <w:ind w:left="-142" w:right="-142"/>
        <w:jc w:val="both"/>
        <w:rPr>
          <w:rFonts w:ascii="Bookman Old Style" w:hAnsi="Bookman Old Style"/>
          <w:szCs w:val="27"/>
        </w:rPr>
      </w:pPr>
    </w:p>
    <w:p w:rsidR="00B16D10" w:rsidRDefault="005A0D57" w:rsidP="00B16D10">
      <w:pPr>
        <w:ind w:left="284" w:right="284"/>
        <w:jc w:val="both"/>
        <w:rPr>
          <w:rFonts w:ascii="Bookman Old Style" w:hAnsi="Bookman Old Style"/>
          <w:i/>
          <w:sz w:val="22"/>
          <w:szCs w:val="22"/>
        </w:rPr>
      </w:pPr>
      <w:r>
        <w:rPr>
          <w:rFonts w:ascii="Bookman Old Style" w:hAnsi="Bookman Old Style"/>
          <w:i/>
          <w:sz w:val="22"/>
          <w:szCs w:val="22"/>
        </w:rPr>
        <w:t>“</w:t>
      </w:r>
      <w:r w:rsidR="00B16D10" w:rsidRPr="00B16D10">
        <w:rPr>
          <w:rFonts w:ascii="Bookman Old Style" w:hAnsi="Bookman Old Style"/>
          <w:i/>
          <w:sz w:val="22"/>
          <w:szCs w:val="22"/>
        </w:rPr>
        <w:t>1.</w:t>
      </w:r>
      <w:r w:rsidR="00B16D10" w:rsidRPr="00B16D10">
        <w:rPr>
          <w:rFonts w:ascii="Bookman Old Style" w:hAnsi="Bookman Old Style"/>
          <w:i/>
          <w:sz w:val="22"/>
          <w:szCs w:val="22"/>
        </w:rPr>
        <w:tab/>
        <w:t xml:space="preserve"> Certificado de Cámara y Comercio de GAS GOMBEL S.A. E.S.P. Anexo en cinco (05) folios.</w:t>
      </w:r>
    </w:p>
    <w:p w:rsidR="00B16D10" w:rsidRP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2.</w:t>
      </w:r>
      <w:r w:rsidRPr="00B16D10">
        <w:rPr>
          <w:rFonts w:ascii="Bookman Old Style" w:hAnsi="Bookman Old Style"/>
          <w:i/>
          <w:sz w:val="22"/>
          <w:szCs w:val="22"/>
        </w:rPr>
        <w:tab/>
        <w:t xml:space="preserve"> Certificado de Cámara y Comercio de UNION DE INVERSIONISTAS Y COMERCIALIZADORES DE GAS S.A. E.S.P. S.A. E.S.P. NIT 900.242.815-9. Anexo en tres (03) folios.</w:t>
      </w:r>
    </w:p>
    <w:p w:rsidR="00B16D10" w:rsidRDefault="00B16D10" w:rsidP="00B16D10">
      <w:pPr>
        <w:ind w:left="284" w:right="284"/>
        <w:jc w:val="both"/>
        <w:rPr>
          <w:rFonts w:ascii="Bookman Old Style" w:hAnsi="Bookman Old Style"/>
          <w:i/>
          <w:sz w:val="22"/>
          <w:szCs w:val="22"/>
        </w:rPr>
      </w:pPr>
    </w:p>
    <w:p w:rsid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3.</w:t>
      </w:r>
      <w:r w:rsidRPr="00B16D10">
        <w:rPr>
          <w:rFonts w:ascii="Bookman Old Style" w:hAnsi="Bookman Old Style"/>
          <w:i/>
          <w:sz w:val="22"/>
          <w:szCs w:val="22"/>
        </w:rPr>
        <w:tab/>
        <w:t xml:space="preserve"> </w:t>
      </w:r>
      <w:r w:rsidRPr="00B16D10">
        <w:rPr>
          <w:rFonts w:ascii="Bookman Old Style" w:hAnsi="Bookman Old Style"/>
          <w:b/>
          <w:i/>
          <w:sz w:val="22"/>
          <w:szCs w:val="22"/>
          <w:u w:val="single"/>
        </w:rPr>
        <w:t>Comunicado de fecha 16 de Noviembre de 2011 de la Empresa UNION DE INVERSIONISTAS Y COMERCIALIZADORES DE GAS S.A. E.S.P. S.A. E.S.P. UNION DE INVERSIONISTAS Y COMERCIALIZADORES DE GAS S.A. E.S.P. S.A. E.S.P. NIT 900.242.815-9, dirigido a la Superintendencia de Servicios Públicos con la actualización de RUPS con la condición de Comercializador Minorista de GAS GOMBEL. Anexo en un (01) folio</w:t>
      </w:r>
      <w:r w:rsidRPr="00B16D10">
        <w:rPr>
          <w:rFonts w:ascii="Bookman Old Style" w:hAnsi="Bookman Old Style"/>
          <w:i/>
          <w:sz w:val="22"/>
          <w:szCs w:val="22"/>
        </w:rPr>
        <w:t>.</w:t>
      </w:r>
    </w:p>
    <w:p w:rsid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b/>
          <w:i/>
          <w:sz w:val="22"/>
          <w:szCs w:val="22"/>
          <w:u w:val="single"/>
        </w:rPr>
      </w:pPr>
      <w:r w:rsidRPr="00B16D10">
        <w:rPr>
          <w:rFonts w:ascii="Bookman Old Style" w:hAnsi="Bookman Old Style"/>
          <w:b/>
          <w:i/>
          <w:sz w:val="22"/>
          <w:szCs w:val="22"/>
          <w:u w:val="single"/>
        </w:rPr>
        <w:t>4.  Actualización de RUPS de fecha 16 de Noviembre de 2011. Anexo en cuatro (04) folios.</w:t>
      </w:r>
    </w:p>
    <w:p w:rsid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5.</w:t>
      </w:r>
      <w:r w:rsidRPr="00B16D10">
        <w:rPr>
          <w:rFonts w:ascii="Bookman Old Style" w:hAnsi="Bookman Old Style"/>
          <w:i/>
          <w:sz w:val="22"/>
          <w:szCs w:val="22"/>
        </w:rPr>
        <w:tab/>
        <w:t xml:space="preserve"> Copia simple del Contrato de Licencia entre UNION DE INVERSIONISTAS Y COMERCIALIZADORES DE GAS S.A, E.S.P. S.A. E.S.P. NIT 900.242.815-9 y GAS GOMBEL S.A. E.S.P. NIT 830.021.307-7. Anexo en cuatro (04) folios.</w:t>
      </w:r>
    </w:p>
    <w:p w:rsid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6.</w:t>
      </w:r>
      <w:r w:rsidRPr="00B16D10">
        <w:rPr>
          <w:rFonts w:ascii="Bookman Old Style" w:hAnsi="Bookman Old Style"/>
          <w:i/>
          <w:sz w:val="22"/>
          <w:szCs w:val="22"/>
        </w:rPr>
        <w:tab/>
        <w:t xml:space="preserve"> Copia simple del Contrato de DACION EN PAGO Y TRANSACCION entre UNION DE INVERSIONISTAS Y COMERCIALIZADORES DE GAS S.A. E.S.P. S.A. E.S.P. NIT 900.242.815-9 y GAS GOMBEL S.A. E.S.P. NIT 830.021.307-7. Anexo en siete (07) folios.</w:t>
      </w:r>
    </w:p>
    <w:p w:rsid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7.</w:t>
      </w:r>
      <w:r w:rsidRPr="00B16D10">
        <w:rPr>
          <w:rFonts w:ascii="Bookman Old Style" w:hAnsi="Bookman Old Style"/>
          <w:i/>
          <w:sz w:val="22"/>
          <w:szCs w:val="22"/>
        </w:rPr>
        <w:tab/>
        <w:t xml:space="preserve"> Copia simple del envío de fecha 17 de Junio de 2016, dirigido a la Comisión de Regulación de Energía y Gas, solicitando el Reconocimiento adicional en proceso de asignación de cantidades. Anexo en dos (2) folios.</w:t>
      </w:r>
    </w:p>
    <w:p w:rsidR="00B16D10" w:rsidRDefault="00B16D10" w:rsidP="00B16D10">
      <w:pPr>
        <w:ind w:left="284" w:right="284"/>
        <w:jc w:val="both"/>
        <w:rPr>
          <w:rFonts w:ascii="Bookman Old Style" w:hAnsi="Bookman Old Style"/>
          <w:i/>
          <w:sz w:val="22"/>
          <w:szCs w:val="22"/>
        </w:rPr>
      </w:pPr>
    </w:p>
    <w:p w:rsidR="00B16D10" w:rsidRPr="00B16D10"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8.</w:t>
      </w:r>
      <w:r w:rsidRPr="00B16D10">
        <w:rPr>
          <w:rFonts w:ascii="Bookman Old Style" w:hAnsi="Bookman Old Style"/>
          <w:i/>
          <w:sz w:val="22"/>
          <w:szCs w:val="22"/>
        </w:rPr>
        <w:tab/>
        <w:t xml:space="preserve"> Copia simple de la Resolución CREG-075 del 25 de Mayo de 2016, con la Asignación de Cantidades, donde figura el código SUI No.22384 para UNION DE INVERSIONISTAS Y COMERCIALIZADORES DE GAS S.A. E.S.P. S.A. E.S.P. NIT</w:t>
      </w:r>
    </w:p>
    <w:p w:rsidR="0045042D" w:rsidRDefault="00B16D10" w:rsidP="00B16D10">
      <w:pPr>
        <w:ind w:left="284" w:right="284"/>
        <w:jc w:val="both"/>
        <w:rPr>
          <w:rFonts w:ascii="Bookman Old Style" w:hAnsi="Bookman Old Style"/>
          <w:i/>
          <w:sz w:val="22"/>
          <w:szCs w:val="22"/>
        </w:rPr>
      </w:pPr>
      <w:r w:rsidRPr="00B16D10">
        <w:rPr>
          <w:rFonts w:ascii="Bookman Old Style" w:hAnsi="Bookman Old Style"/>
          <w:i/>
          <w:sz w:val="22"/>
          <w:szCs w:val="22"/>
        </w:rPr>
        <w:t>900.242.815-</w:t>
      </w:r>
      <w:r w:rsidRPr="00B16D10">
        <w:rPr>
          <w:rFonts w:ascii="Bookman Old Style" w:hAnsi="Bookman Old Style"/>
          <w:i/>
          <w:sz w:val="22"/>
          <w:szCs w:val="22"/>
        </w:rPr>
        <w:tab/>
        <w:t>9, con la cantidad en kilogramos de 1.810.370. Anexo en nueve (09) folios.</w:t>
      </w:r>
      <w:r w:rsidR="005A0D57">
        <w:rPr>
          <w:rFonts w:ascii="Bookman Old Style" w:hAnsi="Bookman Old Style"/>
          <w:i/>
          <w:sz w:val="22"/>
          <w:szCs w:val="22"/>
        </w:rPr>
        <w:t>”</w:t>
      </w:r>
      <w:r w:rsidR="005A0D57" w:rsidRPr="005A0D57">
        <w:rPr>
          <w:rFonts w:ascii="Bookman Old Style" w:hAnsi="Bookman Old Style"/>
          <w:i/>
          <w:sz w:val="22"/>
          <w:szCs w:val="22"/>
        </w:rPr>
        <w:t xml:space="preserve"> </w:t>
      </w:r>
      <w:r>
        <w:rPr>
          <w:rFonts w:ascii="Bookman Old Style" w:hAnsi="Bookman Old Style"/>
          <w:i/>
          <w:sz w:val="22"/>
          <w:szCs w:val="22"/>
        </w:rPr>
        <w:t>(Resaltado fuera de texto)</w:t>
      </w:r>
    </w:p>
    <w:p w:rsidR="00B16D10" w:rsidRDefault="00B16D10" w:rsidP="00B16D10">
      <w:pPr>
        <w:ind w:left="284" w:right="284"/>
        <w:jc w:val="both"/>
        <w:rPr>
          <w:rFonts w:ascii="Bookman Old Style" w:hAnsi="Bookman Old Style"/>
          <w:i/>
          <w:sz w:val="22"/>
          <w:szCs w:val="22"/>
        </w:rPr>
      </w:pPr>
    </w:p>
    <w:p w:rsidR="00B16D10" w:rsidRPr="005A0D57" w:rsidRDefault="00B16D10" w:rsidP="00B16D10">
      <w:pPr>
        <w:ind w:left="284" w:right="284"/>
        <w:jc w:val="both"/>
        <w:rPr>
          <w:rFonts w:ascii="Bookman Old Style" w:hAnsi="Bookman Old Style"/>
          <w:i/>
          <w:sz w:val="22"/>
          <w:szCs w:val="22"/>
        </w:rPr>
      </w:pP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lastRenderedPageBreak/>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2C4786"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de cilindros</w:t>
      </w:r>
      <w:r w:rsidR="004D7892">
        <w:rPr>
          <w:rFonts w:ascii="Bookman Old Style" w:hAnsi="Bookman Old Style"/>
          <w:szCs w:val="27"/>
        </w:rPr>
        <w:t xml:space="preserve"> y tanques estacionarios</w:t>
      </w:r>
      <w:r w:rsidRPr="00EE6670">
        <w:rPr>
          <w:rFonts w:ascii="Bookman Old Style" w:hAnsi="Bookman Old Style"/>
          <w:szCs w:val="27"/>
        </w:rPr>
        <w:t xml:space="preserve"> efectivamente reportados por </w:t>
      </w:r>
      <w:r w:rsidR="00B16D10">
        <w:rPr>
          <w:rFonts w:ascii="Bookman Old Style" w:hAnsi="Bookman Old Style"/>
          <w:szCs w:val="27"/>
        </w:rPr>
        <w:t>Gas Gombel</w:t>
      </w:r>
      <w:r w:rsidR="004D7892">
        <w:rPr>
          <w:rFonts w:ascii="Bookman Old Style" w:hAnsi="Bookman Old Style"/>
          <w:szCs w:val="27"/>
        </w:rPr>
        <w:t xml:space="preserve"> a Mayo de 2016</w:t>
      </w:r>
      <w:r w:rsidR="00C7517C">
        <w:rPr>
          <w:rFonts w:ascii="Bookman Old Style" w:hAnsi="Bookman Old Style"/>
          <w:szCs w:val="27"/>
        </w:rPr>
        <w:t>, en particular respecto de la cesión de marca hecha por parte de la empresa Dispogas, así como de la empresa Unión de Inversionistas y Comerc</w:t>
      </w:r>
      <w:r w:rsidR="00E95977">
        <w:rPr>
          <w:rFonts w:ascii="Bookman Old Style" w:hAnsi="Bookman Old Style"/>
          <w:szCs w:val="27"/>
        </w:rPr>
        <w:t>ializadores de Gas S.A. E.S.P</w:t>
      </w:r>
      <w:r w:rsidR="00C7517C">
        <w:rPr>
          <w:rFonts w:ascii="Bookman Old Style" w:hAnsi="Bookman Old Style"/>
          <w:szCs w:val="27"/>
        </w:rPr>
        <w:t>. en su calidad de comercializador minorista</w:t>
      </w:r>
      <w:r w:rsidR="002C4786">
        <w:rPr>
          <w:rFonts w:ascii="Bookman Old Style" w:hAnsi="Bookman Old Style"/>
          <w:szCs w:val="27"/>
        </w:rPr>
        <w:t>.</w:t>
      </w:r>
    </w:p>
    <w:p w:rsidR="002C4786" w:rsidRDefault="002C4786" w:rsidP="00EE6670">
      <w:pPr>
        <w:pStyle w:val="Textoindependiente2"/>
        <w:spacing w:after="0" w:line="240" w:lineRule="auto"/>
        <w:ind w:left="-142" w:right="-142"/>
        <w:jc w:val="both"/>
        <w:rPr>
          <w:rFonts w:ascii="Bookman Old Style" w:hAnsi="Bookman Old Style"/>
          <w:szCs w:val="27"/>
        </w:rPr>
      </w:pPr>
    </w:p>
    <w:p w:rsidR="00EE6670" w:rsidRPr="00EE6670" w:rsidRDefault="002C4786" w:rsidP="00EE6670">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Ateniendo este evento,</w:t>
      </w:r>
      <w:r w:rsidR="004D7892">
        <w:rPr>
          <w:rFonts w:ascii="Bookman Old Style" w:hAnsi="Bookman Old Style"/>
          <w:szCs w:val="27"/>
        </w:rPr>
        <w:t xml:space="preserve"> esta Comisión de acuerdo con las</w:t>
      </w:r>
      <w:r w:rsidR="00EE6670" w:rsidRPr="00EE6670">
        <w:rPr>
          <w:rFonts w:ascii="Bookman Old Style" w:hAnsi="Bookman Old Style"/>
          <w:szCs w:val="27"/>
        </w:rPr>
        <w:t xml:space="preserve"> facultades </w:t>
      </w:r>
      <w:r w:rsidR="004D7892">
        <w:rPr>
          <w:rFonts w:ascii="Bookman Old Style" w:hAnsi="Bookman Old Style"/>
          <w:szCs w:val="27"/>
        </w:rPr>
        <w:t xml:space="preserve">con las que cuenta en </w:t>
      </w:r>
      <w:r w:rsidR="00EE6670" w:rsidRPr="00EE6670">
        <w:rPr>
          <w:rFonts w:ascii="Bookman Old Style" w:hAnsi="Bookman Old Style"/>
          <w:szCs w:val="27"/>
        </w:rPr>
        <w:t xml:space="preserve">materia probatoria,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A045ED" w:rsidRDefault="00EE6670" w:rsidP="00A045ED">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Ahora, mediante el Auto I-2016-004402 se amplió el plazo otorgado en los Autos I-2017-003755 e I-2017-004099 en 30 días adicionales al inicialmente previsto  informando de esta situación a la Superintendencia de Serv</w:t>
      </w:r>
      <w:r w:rsidR="00A045ED">
        <w:rPr>
          <w:rFonts w:ascii="Bookman Old Style" w:hAnsi="Bookman Old Style"/>
          <w:szCs w:val="27"/>
        </w:rPr>
        <w:t xml:space="preserve">icios Públicos Domiciliarios. </w:t>
      </w:r>
    </w:p>
    <w:p w:rsidR="00A045ED" w:rsidRDefault="00A045ED" w:rsidP="00A045ED">
      <w:pPr>
        <w:pStyle w:val="Textoindependiente2"/>
        <w:spacing w:after="0" w:line="240" w:lineRule="auto"/>
        <w:ind w:left="-142" w:right="-142"/>
        <w:jc w:val="both"/>
        <w:rPr>
          <w:rFonts w:ascii="Bookman Old Style" w:hAnsi="Bookman Old Style"/>
          <w:szCs w:val="27"/>
        </w:rPr>
      </w:pPr>
    </w:p>
    <w:p w:rsidR="00EE6670" w:rsidRDefault="00A045ED" w:rsidP="00A045ED">
      <w:pPr>
        <w:pStyle w:val="Textoindependiente2"/>
        <w:spacing w:after="0" w:line="240" w:lineRule="auto"/>
        <w:ind w:left="-142" w:right="-142"/>
        <w:jc w:val="both"/>
        <w:rPr>
          <w:rFonts w:ascii="Bookman Old Style" w:hAnsi="Bookman Old Style"/>
          <w:szCs w:val="27"/>
        </w:rPr>
      </w:pPr>
      <w:r w:rsidRPr="00A045ED">
        <w:rPr>
          <w:rFonts w:ascii="Bookman Old Style" w:hAnsi="Bookman Old Style"/>
          <w:szCs w:val="27"/>
        </w:rPr>
        <w:t xml:space="preserve">Mediante oficio con radicado CREG E-2016-010390 de 23 de septiembre de 2016 la Superintendencia de Servicios Públicos Domiciliarios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Pr>
          <w:rFonts w:ascii="Bookman Old Style" w:hAnsi="Bookman Old Style"/>
          <w:szCs w:val="27"/>
        </w:rPr>
        <w:t>Gas Gombel</w:t>
      </w:r>
      <w:r w:rsidRPr="00A045ED">
        <w:rPr>
          <w:rFonts w:ascii="Bookman Old Style" w:hAnsi="Bookman Old Style"/>
          <w:szCs w:val="27"/>
        </w:rPr>
        <w:t xml:space="preserve"> en su recurso frente a la Resolución CREG 075 de 2016.</w:t>
      </w:r>
    </w:p>
    <w:p w:rsidR="00A045ED" w:rsidRDefault="00A045ED"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21349" w:rsidRDefault="00380F4F" w:rsidP="00C7517C">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A045ED">
        <w:rPr>
          <w:rFonts w:ascii="Bookman Old Style" w:hAnsi="Bookman Old Style"/>
          <w:szCs w:val="27"/>
        </w:rPr>
        <w:t>Gas Gombel</w:t>
      </w:r>
      <w:r>
        <w:rPr>
          <w:rFonts w:ascii="Bookman Old Style" w:hAnsi="Bookman Old Style"/>
          <w:szCs w:val="27"/>
        </w:rPr>
        <w:t xml:space="preserve">, </w:t>
      </w:r>
      <w:r w:rsidR="00521349">
        <w:rPr>
          <w:rFonts w:ascii="Bookman Old Style" w:hAnsi="Bookman Old Style"/>
          <w:szCs w:val="27"/>
        </w:rPr>
        <w:t>en la medida que esta empresa advierte una diferencia en la información reportada en el Sistema Único de Información – SUI, utilizada por esta Comisión para efectos de llevar a cabo la definición de la capacidad de compra</w:t>
      </w:r>
      <w:r w:rsidR="00C7517C">
        <w:rPr>
          <w:rFonts w:ascii="Bookman Old Style" w:hAnsi="Bookman Old Style"/>
          <w:szCs w:val="27"/>
        </w:rPr>
        <w:t xml:space="preserve">, </w:t>
      </w:r>
      <w:r w:rsidR="00C7517C" w:rsidRPr="00C7517C">
        <w:rPr>
          <w:rFonts w:ascii="Bookman Old Style" w:hAnsi="Bookman Old Style"/>
          <w:szCs w:val="27"/>
        </w:rPr>
        <w:t>en particular respecto de la cesión de marca hecha por parte de la empresa Dispogas, así como de la empresa Unión de Inversionistas y Comercializadores de Gas S.A. E.SP. S.A. en su calidad de comercializador minorista</w:t>
      </w:r>
      <w:r w:rsidR="00521349">
        <w:rPr>
          <w:rFonts w:ascii="Bookman Old Style" w:hAnsi="Bookman Old Style"/>
          <w:szCs w:val="27"/>
        </w:rPr>
        <w:t>.</w:t>
      </w:r>
    </w:p>
    <w:p w:rsidR="00521349" w:rsidRDefault="00521349" w:rsidP="00090E52">
      <w:pPr>
        <w:pStyle w:val="Textoindependiente2"/>
        <w:spacing w:after="0" w:line="240" w:lineRule="auto"/>
        <w:ind w:left="-142" w:right="-142"/>
        <w:jc w:val="both"/>
        <w:rPr>
          <w:rFonts w:ascii="Bookman Old Style" w:hAnsi="Bookman Old Style"/>
          <w:szCs w:val="27"/>
        </w:rPr>
      </w:pPr>
    </w:p>
    <w:p w:rsidR="00A045ED" w:rsidRPr="00360026" w:rsidRDefault="00A045ED" w:rsidP="00A045ED">
      <w:pPr>
        <w:ind w:left="-142" w:right="-142"/>
        <w:jc w:val="both"/>
        <w:rPr>
          <w:rFonts w:ascii="Bookman Old Style" w:hAnsi="Bookman Old Style"/>
          <w:szCs w:val="27"/>
        </w:rPr>
      </w:pPr>
      <w:r w:rsidRPr="00360026">
        <w:rPr>
          <w:rFonts w:ascii="Bookman Old Style" w:hAnsi="Bookman Old Style"/>
          <w:szCs w:val="27"/>
        </w:rPr>
        <w:t>Frente a la información remitida a esta Comisión en atención a los autos de prueba decretados, la Superintendencia de Servicios Públicos Domiciliarios informa lo siguiente</w:t>
      </w:r>
      <w:r w:rsidRPr="00360026">
        <w:rPr>
          <w:rFonts w:ascii="Bookman Old Style" w:hAnsi="Bookman Old Style"/>
          <w:szCs w:val="27"/>
          <w:vertAlign w:val="superscript"/>
        </w:rPr>
        <w:footnoteReference w:id="5"/>
      </w:r>
      <w:r w:rsidRPr="00360026">
        <w:rPr>
          <w:rFonts w:ascii="Bookman Old Style" w:hAnsi="Bookman Old Style"/>
          <w:szCs w:val="27"/>
        </w:rPr>
        <w:t>:</w:t>
      </w:r>
    </w:p>
    <w:p w:rsidR="00A045ED" w:rsidRDefault="00A045ED" w:rsidP="00090E52">
      <w:pPr>
        <w:pStyle w:val="Textoindependiente2"/>
        <w:spacing w:after="0" w:line="240" w:lineRule="auto"/>
        <w:ind w:left="-142" w:right="-142"/>
        <w:jc w:val="both"/>
        <w:rPr>
          <w:rFonts w:ascii="Bookman Old Style" w:hAnsi="Bookman Old Style"/>
          <w:szCs w:val="27"/>
        </w:rPr>
      </w:pPr>
    </w:p>
    <w:p w:rsidR="00A045ED" w:rsidRDefault="002532D5" w:rsidP="00A045ED">
      <w:pPr>
        <w:pStyle w:val="Textoindependiente2"/>
        <w:spacing w:after="0" w:line="240" w:lineRule="auto"/>
        <w:ind w:left="-142" w:right="-142"/>
        <w:jc w:val="center"/>
        <w:rPr>
          <w:rFonts w:ascii="Bookman Old Style" w:hAnsi="Bookman Old Style"/>
          <w:szCs w:val="27"/>
        </w:rPr>
      </w:pPr>
      <w:r w:rsidRPr="00A045ED">
        <w:rPr>
          <w:rFonts w:ascii="Bookman Old Style" w:hAnsi="Bookman Old Style"/>
          <w:noProof/>
          <w:szCs w:val="27"/>
          <w:lang w:val="es-CO" w:eastAsia="es-CO"/>
        </w:rPr>
        <w:lastRenderedPageBreak/>
        <w:drawing>
          <wp:inline distT="0" distB="0" distL="0" distR="0">
            <wp:extent cx="5741035" cy="1133475"/>
            <wp:effectExtent l="0" t="0" r="0" b="9525"/>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41035" cy="1133475"/>
                    </a:xfrm>
                    <a:prstGeom prst="rect">
                      <a:avLst/>
                    </a:prstGeom>
                    <a:noFill/>
                    <a:ln>
                      <a:noFill/>
                    </a:ln>
                  </pic:spPr>
                </pic:pic>
              </a:graphicData>
            </a:graphic>
          </wp:inline>
        </w:drawing>
      </w:r>
    </w:p>
    <w:p w:rsidR="003A3DA9" w:rsidRDefault="002532D5" w:rsidP="003A3DA9">
      <w:pPr>
        <w:pStyle w:val="Textoindependiente2"/>
        <w:spacing w:after="0" w:line="240" w:lineRule="auto"/>
        <w:ind w:left="-142" w:right="-142"/>
        <w:jc w:val="both"/>
        <w:rPr>
          <w:rFonts w:ascii="Bookman Old Style" w:hAnsi="Bookman Old Style"/>
          <w:szCs w:val="27"/>
        </w:rPr>
      </w:pPr>
      <w:r w:rsidRPr="00A045ED">
        <w:rPr>
          <w:rFonts w:ascii="Bookman Old Style" w:hAnsi="Bookman Old Style"/>
          <w:noProof/>
          <w:szCs w:val="27"/>
          <w:lang w:val="es-CO" w:eastAsia="es-CO"/>
        </w:rPr>
        <w:drawing>
          <wp:inline distT="0" distB="0" distL="0" distR="0">
            <wp:extent cx="5939790" cy="2552700"/>
            <wp:effectExtent l="0" t="0" r="3810" b="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2552700"/>
                    </a:xfrm>
                    <a:prstGeom prst="rect">
                      <a:avLst/>
                    </a:prstGeom>
                    <a:noFill/>
                    <a:ln>
                      <a:noFill/>
                    </a:ln>
                  </pic:spPr>
                </pic:pic>
              </a:graphicData>
            </a:graphic>
          </wp:inline>
        </w:drawing>
      </w:r>
    </w:p>
    <w:p w:rsidR="003A3DA9" w:rsidRDefault="003A3DA9" w:rsidP="003A3DA9">
      <w:pPr>
        <w:pStyle w:val="Textoindependiente2"/>
        <w:spacing w:after="0" w:line="240" w:lineRule="auto"/>
        <w:ind w:left="-142" w:right="-142"/>
        <w:jc w:val="both"/>
        <w:rPr>
          <w:rFonts w:ascii="Bookman Old Style" w:hAnsi="Bookman Old Style"/>
          <w:szCs w:val="27"/>
        </w:rPr>
      </w:pPr>
    </w:p>
    <w:p w:rsidR="00E95977" w:rsidRPr="00EE6670" w:rsidRDefault="00E95977" w:rsidP="00E959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E95977" w:rsidRPr="00EE6670" w:rsidRDefault="00E95977" w:rsidP="00E95977">
      <w:pPr>
        <w:ind w:left="284" w:right="284"/>
        <w:jc w:val="both"/>
        <w:rPr>
          <w:rFonts w:ascii="Bookman Old Style" w:hAnsi="Bookman Old Style" w:cs="Arial"/>
          <w:i/>
          <w:sz w:val="22"/>
          <w:szCs w:val="22"/>
        </w:rPr>
      </w:pPr>
    </w:p>
    <w:p w:rsidR="00E95977" w:rsidRPr="00EE6670" w:rsidRDefault="00E95977" w:rsidP="00E95977">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95977" w:rsidRPr="00EE6670" w:rsidRDefault="00E95977" w:rsidP="00E95977">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E95977" w:rsidRPr="006B1C94" w:rsidTr="00321D7A">
        <w:trPr>
          <w:jc w:val="center"/>
        </w:trPr>
        <w:tc>
          <w:tcPr>
            <w:tcW w:w="2408" w:type="dxa"/>
            <w:shd w:val="clear" w:color="auto" w:fill="auto"/>
            <w:vAlign w:val="center"/>
          </w:tcPr>
          <w:p w:rsidR="00E95977" w:rsidRPr="006B1C94" w:rsidRDefault="00E95977" w:rsidP="00321D7A">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95977" w:rsidRPr="006B1C94" w:rsidRDefault="00E95977" w:rsidP="00321D7A">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95977" w:rsidRPr="006B1C94" w:rsidRDefault="00E95977" w:rsidP="00321D7A">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95977" w:rsidRDefault="00E95977" w:rsidP="00E95977">
      <w:pPr>
        <w:pStyle w:val="Textoindependiente"/>
        <w:rPr>
          <w:sz w:val="22"/>
          <w:szCs w:val="22"/>
        </w:rPr>
      </w:pPr>
    </w:p>
    <w:p w:rsidR="00E95977" w:rsidRPr="00EE6670" w:rsidRDefault="00E95977" w:rsidP="00E95977">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95977" w:rsidRDefault="00E95977" w:rsidP="00E95977">
      <w:pPr>
        <w:pStyle w:val="Textoindependiente2"/>
        <w:spacing w:after="0" w:line="240" w:lineRule="auto"/>
        <w:ind w:left="-142" w:right="-142"/>
        <w:jc w:val="both"/>
        <w:rPr>
          <w:rFonts w:ascii="Bookman Old Style" w:hAnsi="Bookman Old Style"/>
          <w:szCs w:val="27"/>
        </w:rPr>
      </w:pPr>
    </w:p>
    <w:p w:rsidR="00E95977" w:rsidRDefault="00E95977" w:rsidP="00E95977">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E95977" w:rsidRDefault="00E95977" w:rsidP="00E95977">
      <w:pPr>
        <w:pStyle w:val="Textoindependiente2"/>
        <w:spacing w:after="0" w:line="240" w:lineRule="auto"/>
        <w:ind w:left="0" w:right="-142"/>
        <w:jc w:val="both"/>
        <w:rPr>
          <w:rFonts w:ascii="Bookman Old Style" w:hAnsi="Bookman Old Style"/>
          <w:szCs w:val="27"/>
        </w:rPr>
      </w:pPr>
    </w:p>
    <w:p w:rsidR="00A045ED" w:rsidRDefault="002532D5" w:rsidP="002C4786">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A045ED" w:rsidRDefault="00A045ED" w:rsidP="00090E52">
      <w:pPr>
        <w:pStyle w:val="Textoindependiente2"/>
        <w:spacing w:after="0" w:line="240" w:lineRule="auto"/>
        <w:ind w:left="-142" w:right="-142"/>
        <w:jc w:val="both"/>
        <w:rPr>
          <w:rFonts w:ascii="Bookman Old Style" w:hAnsi="Bookman Old Style"/>
          <w:szCs w:val="27"/>
        </w:rPr>
      </w:pPr>
    </w:p>
    <w:p w:rsidR="00A045ED" w:rsidRDefault="00E95977"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De la anterior información y de lo expuesto por la Superintendencia de Servicios Públicos se establece lo siguiente:</w:t>
      </w:r>
    </w:p>
    <w:p w:rsidR="00E95977" w:rsidRDefault="00E95977" w:rsidP="00090E52">
      <w:pPr>
        <w:pStyle w:val="Textoindependiente2"/>
        <w:spacing w:after="0" w:line="240" w:lineRule="auto"/>
        <w:ind w:left="-142" w:right="-142"/>
        <w:jc w:val="both"/>
        <w:rPr>
          <w:rFonts w:ascii="Bookman Old Style" w:hAnsi="Bookman Old Style"/>
          <w:szCs w:val="27"/>
        </w:rPr>
      </w:pPr>
    </w:p>
    <w:p w:rsidR="00E95977" w:rsidRDefault="00E95977" w:rsidP="00E95977">
      <w:pPr>
        <w:pStyle w:val="Textoindependiente2"/>
        <w:numPr>
          <w:ilvl w:val="0"/>
          <w:numId w:val="38"/>
        </w:numPr>
        <w:spacing w:after="0" w:line="240" w:lineRule="auto"/>
        <w:ind w:right="-142"/>
        <w:jc w:val="both"/>
        <w:rPr>
          <w:rFonts w:ascii="Bookman Old Style" w:hAnsi="Bookman Old Style"/>
          <w:szCs w:val="27"/>
        </w:rPr>
      </w:pPr>
      <w:r>
        <w:rPr>
          <w:rFonts w:ascii="Bookman Old Style" w:hAnsi="Bookman Old Style"/>
          <w:szCs w:val="27"/>
        </w:rPr>
        <w:t>La Superintendencia advierte que no existe una cesión de la marca Dispogas a Gas Gombel por lo que dicha marca se encuentra asociada a la empresa Unicogas.</w:t>
      </w:r>
    </w:p>
    <w:p w:rsidR="002C4786" w:rsidRDefault="002C4786" w:rsidP="002C4786">
      <w:pPr>
        <w:pStyle w:val="Textoindependiente2"/>
        <w:spacing w:after="0" w:line="240" w:lineRule="auto"/>
        <w:ind w:left="218" w:right="-142"/>
        <w:jc w:val="both"/>
        <w:rPr>
          <w:rFonts w:ascii="Bookman Old Style" w:hAnsi="Bookman Old Style"/>
          <w:szCs w:val="27"/>
        </w:rPr>
      </w:pPr>
    </w:p>
    <w:p w:rsidR="00E95977" w:rsidRDefault="00E95977" w:rsidP="004C0E41">
      <w:pPr>
        <w:pStyle w:val="Textoindependiente2"/>
        <w:numPr>
          <w:ilvl w:val="0"/>
          <w:numId w:val="38"/>
        </w:numPr>
        <w:spacing w:after="0" w:line="240" w:lineRule="auto"/>
        <w:ind w:right="-142"/>
        <w:jc w:val="both"/>
        <w:rPr>
          <w:rFonts w:ascii="Bookman Old Style" w:hAnsi="Bookman Old Style"/>
          <w:szCs w:val="27"/>
        </w:rPr>
      </w:pPr>
      <w:r>
        <w:rPr>
          <w:rFonts w:ascii="Bookman Old Style" w:hAnsi="Bookman Old Style"/>
          <w:szCs w:val="27"/>
        </w:rPr>
        <w:t>De la información remitida por la Superintendencia no se evidencia que la cesión de las ma</w:t>
      </w:r>
      <w:r w:rsidR="003A3DA9">
        <w:rPr>
          <w:rFonts w:ascii="Bookman Old Style" w:hAnsi="Bookman Old Style"/>
          <w:szCs w:val="27"/>
        </w:rPr>
        <w:t>rcas Dispogas y Unicogas se hay</w:t>
      </w:r>
      <w:r>
        <w:rPr>
          <w:rFonts w:ascii="Bookman Old Style" w:hAnsi="Bookman Old Style"/>
          <w:szCs w:val="27"/>
        </w:rPr>
        <w:t>a hecho a la empresa Gas Gombel.</w:t>
      </w:r>
      <w:r w:rsidR="004C0E41">
        <w:rPr>
          <w:rFonts w:ascii="Bookman Old Style" w:hAnsi="Bookman Old Style"/>
          <w:szCs w:val="27"/>
        </w:rPr>
        <w:t xml:space="preserve"> En este punto, la marca Dispogas sigue asociada a la empresa </w:t>
      </w:r>
      <w:r w:rsidR="004C0E41" w:rsidRPr="004C0E41">
        <w:rPr>
          <w:rFonts w:ascii="Bookman Old Style" w:hAnsi="Bookman Old Style"/>
          <w:szCs w:val="27"/>
        </w:rPr>
        <w:t>Unión de Inversionistas y Comercializadores de Gas S.A. E.S.P.</w:t>
      </w:r>
    </w:p>
    <w:p w:rsidR="002C4786" w:rsidRDefault="002C4786" w:rsidP="002C4786">
      <w:pPr>
        <w:pStyle w:val="Textoindependiente2"/>
        <w:spacing w:after="0" w:line="240" w:lineRule="auto"/>
        <w:ind w:left="0" w:right="-142"/>
        <w:jc w:val="both"/>
        <w:rPr>
          <w:rFonts w:ascii="Bookman Old Style" w:hAnsi="Bookman Old Style"/>
          <w:szCs w:val="27"/>
        </w:rPr>
      </w:pPr>
    </w:p>
    <w:p w:rsidR="003A3DA9" w:rsidRDefault="00E95977" w:rsidP="003A3DA9">
      <w:pPr>
        <w:pStyle w:val="Textoindependiente2"/>
        <w:numPr>
          <w:ilvl w:val="0"/>
          <w:numId w:val="38"/>
        </w:numPr>
        <w:spacing w:after="0" w:line="240" w:lineRule="auto"/>
        <w:ind w:right="-142"/>
        <w:jc w:val="both"/>
        <w:rPr>
          <w:rFonts w:ascii="Bookman Old Style" w:hAnsi="Bookman Old Style"/>
          <w:szCs w:val="27"/>
        </w:rPr>
      </w:pPr>
      <w:r>
        <w:rPr>
          <w:rFonts w:ascii="Bookman Old Style" w:hAnsi="Bookman Old Style"/>
          <w:szCs w:val="27"/>
        </w:rPr>
        <w:t xml:space="preserve">Con la información del Registro Único de Prestadores de Servicios Públicos – RUPS remitida por la Superintendencia en el auto de pruebas, la empresa </w:t>
      </w:r>
      <w:r w:rsidRPr="00E95977">
        <w:rPr>
          <w:rFonts w:ascii="Bookman Old Style" w:hAnsi="Bookman Old Style"/>
          <w:szCs w:val="27"/>
        </w:rPr>
        <w:t>Unión de Inversionistas y Comercializadores de Gas S.A. E.S.P.</w:t>
      </w:r>
      <w:r>
        <w:rPr>
          <w:rFonts w:ascii="Bookman Old Style" w:hAnsi="Bookman Old Style"/>
          <w:szCs w:val="27"/>
        </w:rPr>
        <w:t xml:space="preserve"> no figura activa como empresa distribuidora de GLP, sino únicamente como comercializador minorista, sin perjuicio de que así figuraba en la información remitida en 2014. </w:t>
      </w:r>
    </w:p>
    <w:p w:rsidR="003A3DA9" w:rsidRDefault="003A3DA9" w:rsidP="003A3DA9">
      <w:pPr>
        <w:pStyle w:val="Textoindependiente2"/>
        <w:spacing w:after="0" w:line="240" w:lineRule="auto"/>
        <w:ind w:left="-142" w:right="-142"/>
        <w:jc w:val="both"/>
        <w:rPr>
          <w:rFonts w:ascii="Bookman Old Style" w:hAnsi="Bookman Old Style"/>
          <w:szCs w:val="27"/>
        </w:rPr>
      </w:pPr>
    </w:p>
    <w:p w:rsidR="003A3DA9" w:rsidRDefault="003A3DA9" w:rsidP="00D51B44">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De acuerdo con lo anterior, se establece por parte de esta Comisión que </w:t>
      </w:r>
      <w:r w:rsidRPr="003A3DA9">
        <w:rPr>
          <w:rFonts w:ascii="Bookman Old Style" w:hAnsi="Bookman Old Style"/>
          <w:szCs w:val="27"/>
        </w:rPr>
        <w:t xml:space="preserve">las consideraciones expuestas por </w:t>
      </w:r>
      <w:r w:rsidR="00D51B44">
        <w:rPr>
          <w:rFonts w:ascii="Bookman Old Style" w:hAnsi="Bookman Old Style"/>
          <w:szCs w:val="27"/>
        </w:rPr>
        <w:t>Gas Gombel</w:t>
      </w:r>
      <w:r w:rsidRPr="003A3DA9">
        <w:rPr>
          <w:rFonts w:ascii="Bookman Old Style" w:hAnsi="Bookman Old Style"/>
          <w:szCs w:val="27"/>
        </w:rPr>
        <w:t xml:space="preserve"> en el recurso de reposición</w:t>
      </w:r>
      <w:r w:rsidR="00D51B44">
        <w:rPr>
          <w:rFonts w:ascii="Bookman Old Style" w:hAnsi="Bookman Old Style"/>
          <w:szCs w:val="27"/>
        </w:rPr>
        <w:t xml:space="preserve"> en relación con la existencia de una cesión de marca no se evidencia por parte de la Superintendencia de Servicios Públicos Domiciliarios ni se ve reflejada en el Sistema Único de Información - SUI</w:t>
      </w:r>
      <w:r w:rsidRPr="003A3DA9">
        <w:rPr>
          <w:rFonts w:ascii="Bookman Old Style" w:hAnsi="Bookman Old Style"/>
          <w:szCs w:val="27"/>
        </w:rPr>
        <w:t xml:space="preserve">, </w:t>
      </w:r>
      <w:r w:rsidR="00D51B44">
        <w:rPr>
          <w:rFonts w:ascii="Bookman Old Style" w:hAnsi="Bookman Old Style"/>
          <w:szCs w:val="27"/>
        </w:rPr>
        <w:t xml:space="preserve">por lo que </w:t>
      </w:r>
      <w:r w:rsidRPr="003A3DA9">
        <w:rPr>
          <w:rFonts w:ascii="Bookman Old Style" w:hAnsi="Bookman Old Style"/>
          <w:szCs w:val="27"/>
        </w:rPr>
        <w:t>dichos argumentos no son procedentes, razón por la cual no llevan a revocar o modificar la decisión adoptada por la CREG en la Resolución CREG 075 de 2016.</w:t>
      </w:r>
    </w:p>
    <w:p w:rsidR="003A3DA9" w:rsidRDefault="003A3DA9" w:rsidP="003A3DA9">
      <w:pPr>
        <w:pStyle w:val="Textoindependiente2"/>
        <w:spacing w:after="0" w:line="240" w:lineRule="auto"/>
        <w:ind w:left="0" w:right="-142"/>
        <w:jc w:val="both"/>
        <w:rPr>
          <w:rFonts w:ascii="Bookman Old Style" w:hAnsi="Bookman Old Style"/>
          <w:szCs w:val="27"/>
        </w:rPr>
      </w:pPr>
    </w:p>
    <w:p w:rsidR="003A3DA9" w:rsidRDefault="003A3DA9" w:rsidP="003A3DA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de acuerdo con la información remitida por parte de la Superintendencia de Servicios Públicos Domiciliarios, se establece por parte de esta Comisión que se han hecho ajustes a la información del Sistema Único de Información – SUI reportada y remitida inicialmente con corte a 10 de mayo de 2016 con la cual fue definida la capacidad de compra a que hace referencia las resoluciones CREG 075 y 089 de 2016, tanto a nivel de cilindros y tanques estacionarios de las empresas distribuidoras de GLP. De esto se concluye que dichas modificaciones y ajustes al SUI son consideradas como ajustadas a las normas sobre reporte de información por parte de dicha superintendencia y corresponde a información válida dentro de este sistema de información. </w:t>
      </w:r>
    </w:p>
    <w:p w:rsidR="009C2A18" w:rsidRDefault="009C2A18" w:rsidP="00821EDC">
      <w:pPr>
        <w:pStyle w:val="Textoindependiente2"/>
        <w:spacing w:after="0" w:line="240" w:lineRule="auto"/>
        <w:ind w:left="0" w:right="-142"/>
        <w:jc w:val="both"/>
        <w:rPr>
          <w:rFonts w:ascii="Bookman Old Style" w:hAnsi="Bookman Old Style"/>
          <w:szCs w:val="27"/>
        </w:rPr>
      </w:pPr>
    </w:p>
    <w:p w:rsidR="004C0E41" w:rsidRDefault="009C2A18" w:rsidP="00D04BAF">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En el caso particular de Gas Gombel se establece que el resultado de la aplicación de dicha información genera una menor capacidad de compra</w:t>
      </w:r>
      <w:r w:rsidR="002C4786">
        <w:rPr>
          <w:rFonts w:ascii="Bookman Old Style" w:hAnsi="Bookman Old Style"/>
          <w:szCs w:val="27"/>
        </w:rPr>
        <w:t xml:space="preserve"> a la definida en la Resolución CREG 075 de 2016</w:t>
      </w:r>
      <w:r w:rsidR="00821EDC">
        <w:rPr>
          <w:rFonts w:ascii="Bookman Old Style" w:hAnsi="Bookman Old Style"/>
          <w:szCs w:val="27"/>
        </w:rPr>
        <w:t xml:space="preserve">, </w:t>
      </w:r>
      <w:r w:rsidR="00D04BAF">
        <w:rPr>
          <w:rFonts w:ascii="Bookman Old Style" w:hAnsi="Bookman Old Style"/>
          <w:szCs w:val="27"/>
        </w:rPr>
        <w:t xml:space="preserve">sin embargo, no es posible la aplicación de esta información a efectos de </w:t>
      </w:r>
      <w:r w:rsidR="002C4786">
        <w:rPr>
          <w:rFonts w:ascii="Bookman Old Style" w:hAnsi="Bookman Old Style"/>
          <w:szCs w:val="27"/>
        </w:rPr>
        <w:t>resolver</w:t>
      </w:r>
      <w:r w:rsidR="00D04BAF">
        <w:rPr>
          <w:rFonts w:ascii="Bookman Old Style" w:hAnsi="Bookman Old Style"/>
          <w:szCs w:val="27"/>
        </w:rPr>
        <w:t xml:space="preserve"> el recurso de reposición, toda vez que esto no se</w:t>
      </w:r>
      <w:r w:rsidR="00821EDC">
        <w:rPr>
          <w:rFonts w:ascii="Bookman Old Style" w:hAnsi="Bookman Old Style"/>
          <w:szCs w:val="27"/>
        </w:rPr>
        <w:t xml:space="preserve"> </w:t>
      </w:r>
      <w:r w:rsidR="00D04BAF">
        <w:rPr>
          <w:rFonts w:ascii="Bookman Old Style" w:hAnsi="Bookman Old Style"/>
          <w:szCs w:val="27"/>
        </w:rPr>
        <w:t>ajustaría a</w:t>
      </w:r>
      <w:r w:rsidR="00821EDC">
        <w:rPr>
          <w:rFonts w:ascii="Bookman Old Style" w:hAnsi="Bookman Old Style"/>
          <w:szCs w:val="27"/>
        </w:rPr>
        <w:t xml:space="preserve">l principio de congruencia </w:t>
      </w:r>
      <w:r w:rsidR="00821EDC" w:rsidRPr="00CE445E">
        <w:rPr>
          <w:rFonts w:ascii="Bookman Old Style" w:hAnsi="Bookman Old Style"/>
          <w:szCs w:val="27"/>
        </w:rPr>
        <w:t>de acuerdo con lo previsto en el artículo 80 de la Ley 1437 de 2011</w:t>
      </w:r>
      <w:r w:rsidR="00821EDC" w:rsidRPr="00CE445E">
        <w:rPr>
          <w:rFonts w:ascii="Bookman Old Style" w:hAnsi="Bookman Old Style"/>
          <w:szCs w:val="27"/>
        </w:rPr>
        <w:footnoteReference w:id="6"/>
      </w:r>
      <w:r w:rsidR="00821EDC" w:rsidRPr="00CE445E">
        <w:rPr>
          <w:rFonts w:ascii="Bookman Old Style" w:hAnsi="Bookman Old Style"/>
          <w:szCs w:val="27"/>
        </w:rPr>
        <w:t xml:space="preserve">, </w:t>
      </w:r>
      <w:r w:rsidR="00D04BAF">
        <w:rPr>
          <w:rFonts w:ascii="Bookman Old Style" w:hAnsi="Bookman Old Style"/>
          <w:szCs w:val="27"/>
        </w:rPr>
        <w:t>en la medida que se considera</w:t>
      </w:r>
      <w:r w:rsidR="00821EDC">
        <w:rPr>
          <w:rFonts w:ascii="Bookman Old Style" w:hAnsi="Bookman Old Style"/>
          <w:szCs w:val="27"/>
        </w:rPr>
        <w:t xml:space="preserve"> que este elemento no hace parte de lo solicitado ni</w:t>
      </w:r>
      <w:r w:rsidR="00D04BAF">
        <w:rPr>
          <w:rFonts w:ascii="Bookman Old Style" w:hAnsi="Bookman Old Style"/>
          <w:szCs w:val="27"/>
        </w:rPr>
        <w:t xml:space="preserve"> que tiene</w:t>
      </w:r>
      <w:r w:rsidR="00821EDC" w:rsidRPr="00CE445E">
        <w:rPr>
          <w:rFonts w:ascii="Bookman Old Style" w:hAnsi="Bookman Old Style"/>
          <w:szCs w:val="27"/>
        </w:rPr>
        <w:t xml:space="preserve"> relación directa con las peticiones hechas</w:t>
      </w:r>
      <w:r w:rsidR="00821EDC">
        <w:rPr>
          <w:rFonts w:ascii="Bookman Old Style" w:hAnsi="Bookman Old Style"/>
          <w:szCs w:val="27"/>
        </w:rPr>
        <w:t xml:space="preserve"> por </w:t>
      </w:r>
      <w:r w:rsidR="00D04BAF">
        <w:rPr>
          <w:rFonts w:ascii="Bookman Old Style" w:hAnsi="Bookman Old Style"/>
          <w:szCs w:val="27"/>
        </w:rPr>
        <w:t xml:space="preserve">el recurrente, las cuales están ligadas de manera específica al reconocimiento de la cesión de marca de las empresas Dispogas y Unicogas. </w:t>
      </w:r>
      <w:r w:rsidR="00821EDC">
        <w:rPr>
          <w:rFonts w:ascii="Bookman Old Style" w:hAnsi="Bookman Old Style"/>
          <w:szCs w:val="27"/>
        </w:rPr>
        <w:t xml:space="preserve"> </w:t>
      </w:r>
    </w:p>
    <w:p w:rsidR="00D04BAF" w:rsidRPr="00163CA8" w:rsidRDefault="00D04BAF" w:rsidP="00D04BAF">
      <w:pPr>
        <w:pStyle w:val="Textoindependiente2"/>
        <w:spacing w:after="0" w:line="240" w:lineRule="auto"/>
        <w:ind w:left="-142" w:right="-142"/>
        <w:jc w:val="both"/>
        <w:rPr>
          <w:rFonts w:ascii="Bookman Old Style" w:eastAsia="Calibri" w:hAnsi="Bookman Old Style"/>
          <w:sz w:val="22"/>
          <w:szCs w:val="22"/>
        </w:rPr>
      </w:pPr>
    </w:p>
    <w:p w:rsidR="00BC4399" w:rsidRDefault="009C2A18"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Finalmente</w:t>
      </w:r>
      <w:r w:rsidR="00BC4399">
        <w:rPr>
          <w:rFonts w:ascii="Bookman Old Style" w:hAnsi="Bookman Old Style"/>
          <w:szCs w:val="27"/>
        </w:rPr>
        <w:t xml:space="preserve">, al encontrar que con base en </w:t>
      </w:r>
      <w:r w:rsidR="00BC4399" w:rsidRPr="00BC4399">
        <w:rPr>
          <w:rFonts w:ascii="Bookman Old Style" w:hAnsi="Bookman Old Style"/>
          <w:szCs w:val="27"/>
        </w:rPr>
        <w:t xml:space="preserve">la información del Registro Único de Prestadores de Servicios Públicos – RUPS remitida por la Superintendencia en el auto de pruebas, la empresa Unión de Inversionistas y Comercializadores de Gas </w:t>
      </w:r>
      <w:r w:rsidR="00D04BAF">
        <w:rPr>
          <w:rFonts w:ascii="Bookman Old Style" w:hAnsi="Bookman Old Style"/>
          <w:szCs w:val="27"/>
        </w:rPr>
        <w:t xml:space="preserve">– UNICOGAS </w:t>
      </w:r>
      <w:r w:rsidR="00BC4399" w:rsidRPr="00BC4399">
        <w:rPr>
          <w:rFonts w:ascii="Bookman Old Style" w:hAnsi="Bookman Old Style"/>
          <w:szCs w:val="27"/>
        </w:rPr>
        <w:t xml:space="preserve">S.A. E.S.P. figura activa como empresa distribuidora de GLP, </w:t>
      </w:r>
      <w:r>
        <w:rPr>
          <w:rFonts w:ascii="Bookman Old Style" w:hAnsi="Bookman Old Style"/>
          <w:szCs w:val="27"/>
        </w:rPr>
        <w:t xml:space="preserve">se debe mantener la </w:t>
      </w:r>
      <w:r w:rsidR="00BC4399">
        <w:rPr>
          <w:rFonts w:ascii="Bookman Old Style" w:hAnsi="Bookman Old Style"/>
          <w:szCs w:val="27"/>
        </w:rPr>
        <w:t xml:space="preserve"> capacidad de compra </w:t>
      </w:r>
      <w:r>
        <w:rPr>
          <w:rFonts w:ascii="Bookman Old Style" w:hAnsi="Bookman Old Style"/>
          <w:szCs w:val="27"/>
        </w:rPr>
        <w:t xml:space="preserve">definida </w:t>
      </w:r>
      <w:r w:rsidR="00BC4399">
        <w:rPr>
          <w:rFonts w:ascii="Bookman Old Style" w:hAnsi="Bookman Old Style"/>
          <w:szCs w:val="27"/>
        </w:rPr>
        <w:t xml:space="preserve">para dicha empresa </w:t>
      </w:r>
      <w:r>
        <w:rPr>
          <w:rFonts w:ascii="Bookman Old Style" w:hAnsi="Bookman Old Style"/>
          <w:szCs w:val="27"/>
        </w:rPr>
        <w:t>en</w:t>
      </w:r>
      <w:r w:rsidR="00BC4399">
        <w:rPr>
          <w:rFonts w:ascii="Bookman Old Style" w:hAnsi="Bookman Old Style"/>
          <w:szCs w:val="27"/>
        </w:rPr>
        <w:t xml:space="preserve"> la Resolución CREG 075 de 2016 debe ser revocada. </w:t>
      </w:r>
    </w:p>
    <w:p w:rsidR="00D82268" w:rsidRDefault="00D82268" w:rsidP="00F630ED">
      <w:pPr>
        <w:pStyle w:val="Textoindependiente2"/>
        <w:spacing w:after="0" w:line="240" w:lineRule="auto"/>
        <w:ind w:left="0" w:right="-142"/>
        <w:jc w:val="both"/>
        <w:rPr>
          <w:rFonts w:ascii="Bookman Old Style" w:hAnsi="Bookman Old Style"/>
          <w:szCs w:val="27"/>
        </w:rPr>
      </w:pPr>
    </w:p>
    <w:p w:rsidR="00D126E3" w:rsidRPr="003E59E7" w:rsidRDefault="00D126E3" w:rsidP="00D126E3">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8941D6">
        <w:rPr>
          <w:rFonts w:ascii="Bookman Old Style" w:hAnsi="Bookman Old Style"/>
          <w:szCs w:val="27"/>
        </w:rPr>
        <w:t>746</w:t>
      </w:r>
      <w:r w:rsidRPr="003E59E7">
        <w:rPr>
          <w:rFonts w:ascii="Bookman Old Style" w:hAnsi="Bookman Old Style"/>
          <w:szCs w:val="27"/>
        </w:rPr>
        <w:t xml:space="preserve"> del </w:t>
      </w:r>
      <w:r w:rsidR="008941D6">
        <w:rPr>
          <w:rFonts w:ascii="Bookman Old Style" w:hAnsi="Bookman Old Style"/>
          <w:szCs w:val="27"/>
        </w:rPr>
        <w:t>21</w:t>
      </w:r>
      <w:r w:rsidRPr="003E59E7">
        <w:rPr>
          <w:rFonts w:ascii="Bookman Old Style" w:hAnsi="Bookman Old Style"/>
          <w:szCs w:val="27"/>
        </w:rPr>
        <w:t xml:space="preserve"> de </w:t>
      </w:r>
      <w:r w:rsidR="008941D6">
        <w:rPr>
          <w:rFonts w:ascii="Bookman Old Style" w:hAnsi="Bookman Old Style"/>
          <w:szCs w:val="27"/>
        </w:rPr>
        <w:t>noviembre</w:t>
      </w:r>
      <w:r w:rsidRPr="003E59E7">
        <w:rPr>
          <w:rFonts w:ascii="Bookman Old Style" w:hAnsi="Bookman Old Style"/>
          <w:szCs w:val="27"/>
        </w:rPr>
        <w:t xml:space="preserve"> de 201</w:t>
      </w:r>
      <w:r w:rsidR="00241733">
        <w:rPr>
          <w:rFonts w:ascii="Bookman Old Style" w:hAnsi="Bookman Old Style"/>
          <w:szCs w:val="27"/>
        </w:rPr>
        <w:t>6, acordó expedir la presente r</w:t>
      </w:r>
      <w:r w:rsidRPr="003E59E7">
        <w:rPr>
          <w:rFonts w:ascii="Bookman Old Style" w:hAnsi="Bookman Old Style"/>
          <w:szCs w:val="27"/>
        </w:rPr>
        <w:t>esolución.</w:t>
      </w:r>
    </w:p>
    <w:p w:rsidR="00D126E3" w:rsidRDefault="00D126E3" w:rsidP="00D126E3">
      <w:pPr>
        <w:tabs>
          <w:tab w:val="right" w:pos="9498"/>
        </w:tabs>
        <w:ind w:left="0" w:right="-142"/>
        <w:jc w:val="both"/>
        <w:rPr>
          <w:rFonts w:ascii="Bookman Old Style" w:hAnsi="Bookman Old Style"/>
          <w:bCs/>
          <w:sz w:val="20"/>
        </w:rPr>
      </w:pPr>
    </w:p>
    <w:p w:rsidR="00BA698C" w:rsidRPr="003234E2" w:rsidRDefault="00BA698C" w:rsidP="00D126E3">
      <w:pPr>
        <w:tabs>
          <w:tab w:val="right" w:pos="9498"/>
        </w:tabs>
        <w:ind w:left="0" w:right="-142"/>
        <w:jc w:val="both"/>
        <w:rPr>
          <w:rFonts w:ascii="Bookman Old Style" w:hAnsi="Bookman Old Style"/>
          <w:bCs/>
          <w:sz w:val="20"/>
        </w:rPr>
      </w:pPr>
    </w:p>
    <w:p w:rsidR="00D126E3" w:rsidRPr="00945A3C" w:rsidRDefault="00D126E3" w:rsidP="00D126E3">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sidRPr="00945A3C">
        <w:rPr>
          <w:rFonts w:ascii="Bookman Old Style" w:hAnsi="Bookman Old Style" w:cs="Arial"/>
        </w:rPr>
        <w:t>:</w:t>
      </w:r>
    </w:p>
    <w:p w:rsidR="00D126E3" w:rsidRDefault="00D126E3" w:rsidP="00D126E3">
      <w:pPr>
        <w:tabs>
          <w:tab w:val="right" w:pos="9498"/>
        </w:tabs>
        <w:ind w:left="0" w:right="-142"/>
        <w:jc w:val="both"/>
        <w:rPr>
          <w:rFonts w:ascii="Bookman Old Style" w:hAnsi="Bookman Old Style" w:cs="Arial"/>
          <w:b/>
          <w:spacing w:val="-3"/>
          <w:sz w:val="20"/>
        </w:rPr>
      </w:pPr>
    </w:p>
    <w:p w:rsidR="00BA698C" w:rsidRPr="003234E2" w:rsidRDefault="00BA698C" w:rsidP="00D126E3">
      <w:pPr>
        <w:tabs>
          <w:tab w:val="right" w:pos="9498"/>
        </w:tabs>
        <w:ind w:left="0" w:right="-142"/>
        <w:jc w:val="both"/>
        <w:rPr>
          <w:rFonts w:ascii="Bookman Old Style" w:hAnsi="Bookman Old Style" w:cs="Arial"/>
          <w:b/>
          <w:spacing w:val="-3"/>
          <w:sz w:val="20"/>
        </w:rPr>
      </w:pPr>
    </w:p>
    <w:p w:rsidR="00D04BAF" w:rsidRDefault="00653141" w:rsidP="00D04BAF">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sidR="00D04BAF" w:rsidRPr="00D04BAF">
        <w:rPr>
          <w:rFonts w:ascii="Bookman Old Style" w:hAnsi="Bookman Old Style"/>
          <w:szCs w:val="27"/>
        </w:rPr>
        <w:t>No reponer y confirmar la Resolución CREG 075 de 2016 y su Anexo en relación con la capacidad de compra definida para la empresa Gas Gombel S.A. E.S.P.</w:t>
      </w:r>
    </w:p>
    <w:p w:rsidR="00D04BAF" w:rsidRDefault="00D04BAF" w:rsidP="00D04BAF">
      <w:pPr>
        <w:pStyle w:val="Textoindependiente2"/>
        <w:spacing w:after="0" w:line="240" w:lineRule="auto"/>
        <w:ind w:left="-142" w:right="-142"/>
        <w:jc w:val="both"/>
        <w:rPr>
          <w:rFonts w:ascii="Bookman Old Style" w:hAnsi="Bookman Old Style"/>
          <w:b/>
          <w:szCs w:val="27"/>
        </w:rPr>
      </w:pPr>
    </w:p>
    <w:p w:rsidR="00653141" w:rsidRPr="004620F7" w:rsidRDefault="00D04BAF" w:rsidP="00D04BAF">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Artículo 2</w:t>
      </w:r>
      <w:r w:rsidR="00653141" w:rsidRPr="004620F7">
        <w:rPr>
          <w:rFonts w:ascii="Bookman Old Style" w:hAnsi="Bookman Old Style"/>
          <w:b/>
          <w:szCs w:val="27"/>
        </w:rPr>
        <w:t xml:space="preserve">. </w:t>
      </w:r>
      <w:r w:rsidR="00653141" w:rsidRPr="004620F7">
        <w:rPr>
          <w:rFonts w:ascii="Bookman Old Style" w:hAnsi="Bookman Old Style"/>
          <w:szCs w:val="27"/>
        </w:rPr>
        <w:t xml:space="preserve">La presente resolución deberá notificarse a la empresa </w:t>
      </w:r>
      <w:r w:rsidR="00163CA8">
        <w:rPr>
          <w:rFonts w:ascii="Bookman Old Style" w:hAnsi="Bookman Old Style"/>
          <w:szCs w:val="27"/>
        </w:rPr>
        <w:t>Gas Gombel</w:t>
      </w:r>
      <w:r w:rsidR="00653141">
        <w:rPr>
          <w:rFonts w:ascii="Bookman Old Style" w:hAnsi="Bookman Old Style"/>
          <w:szCs w:val="27"/>
        </w:rPr>
        <w:t xml:space="preserve"> </w:t>
      </w:r>
      <w:r w:rsidR="00653141" w:rsidRPr="004620F7">
        <w:rPr>
          <w:rFonts w:ascii="Bookman Old Style" w:hAnsi="Bookman Old Style"/>
          <w:szCs w:val="27"/>
        </w:rPr>
        <w:t>S.A. E.S.P. Contra lo aquí dispuesto no procede recurso alguno por haber finalizado la actuación administrativa correspondiente a la presentación de recursos previsto en la Ley.</w:t>
      </w:r>
    </w:p>
    <w:p w:rsidR="00D04BAF" w:rsidRDefault="00D04BAF" w:rsidP="00653141">
      <w:pPr>
        <w:pStyle w:val="Textoindependiente2"/>
        <w:spacing w:after="0" w:line="240" w:lineRule="auto"/>
        <w:ind w:left="0" w:right="-142"/>
        <w:jc w:val="both"/>
        <w:rPr>
          <w:rFonts w:ascii="Bookman Old Style" w:hAnsi="Bookman Old Style"/>
          <w:szCs w:val="27"/>
        </w:rPr>
      </w:pPr>
    </w:p>
    <w:p w:rsidR="00653141" w:rsidRPr="005023D3" w:rsidRDefault="00653141" w:rsidP="00653141">
      <w:pPr>
        <w:ind w:left="-181"/>
        <w:jc w:val="center"/>
        <w:rPr>
          <w:rFonts w:ascii="Bookman Old Style" w:hAnsi="Bookman Old Style" w:cs="Arial"/>
          <w:b/>
        </w:rPr>
      </w:pPr>
      <w:r>
        <w:rPr>
          <w:rFonts w:ascii="Bookman Old Style" w:hAnsi="Bookman Old Style" w:cs="Arial"/>
          <w:b/>
        </w:rPr>
        <w:t xml:space="preserve">     NOTIFÍQUESE </w:t>
      </w:r>
      <w:r w:rsidR="002C4786">
        <w:rPr>
          <w:rFonts w:ascii="Bookman Old Style" w:hAnsi="Bookman Old Style" w:cs="Arial"/>
          <w:b/>
        </w:rPr>
        <w:t>Y CÚMPLASE</w:t>
      </w:r>
    </w:p>
    <w:p w:rsidR="00653141" w:rsidRPr="003234E2" w:rsidRDefault="00653141" w:rsidP="00653141">
      <w:pPr>
        <w:ind w:left="0"/>
        <w:rPr>
          <w:rFonts w:ascii="Bookman Old Style" w:hAnsi="Bookman Old Style" w:cs="Arial"/>
          <w:sz w:val="20"/>
          <w:szCs w:val="20"/>
        </w:rPr>
      </w:pPr>
    </w:p>
    <w:p w:rsidR="00653141" w:rsidRDefault="00653141" w:rsidP="00653141">
      <w:pPr>
        <w:ind w:left="0"/>
        <w:rPr>
          <w:rFonts w:ascii="Bookman Old Style" w:hAnsi="Bookman Old Style" w:cs="Arial"/>
          <w:szCs w:val="20"/>
        </w:rPr>
      </w:pPr>
      <w:r w:rsidRPr="005023D3">
        <w:rPr>
          <w:rFonts w:ascii="Bookman Old Style" w:hAnsi="Bookman Old Style" w:cs="Arial"/>
          <w:szCs w:val="20"/>
        </w:rPr>
        <w:t>Dada en Bogotá, D.C.</w:t>
      </w:r>
    </w:p>
    <w:p w:rsidR="002C4786" w:rsidRDefault="002C4786" w:rsidP="00653141">
      <w:pPr>
        <w:ind w:left="0"/>
        <w:rPr>
          <w:rFonts w:ascii="Bookman Old Style" w:hAnsi="Bookman Old Style" w:cs="Arial"/>
          <w:szCs w:val="20"/>
        </w:rPr>
      </w:pP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2C4786" w:rsidRPr="00A14C71" w:rsidTr="005D266B">
        <w:trPr>
          <w:tblCellSpacing w:w="0" w:type="dxa"/>
          <w:jc w:val="center"/>
        </w:trPr>
        <w:tc>
          <w:tcPr>
            <w:tcW w:w="5529" w:type="dxa"/>
            <w:hideMark/>
          </w:tcPr>
          <w:p w:rsidR="002C4786" w:rsidRPr="00A14C71" w:rsidRDefault="002C4786" w:rsidP="005D266B">
            <w:pPr>
              <w:ind w:left="0"/>
              <w:rPr>
                <w:rFonts w:ascii="Bookman Old Style" w:hAnsi="Bookman Old Style" w:cs="Arial"/>
                <w:b/>
                <w:spacing w:val="-3"/>
              </w:rPr>
            </w:pPr>
          </w:p>
          <w:p w:rsidR="002C4786" w:rsidRPr="00A14C71" w:rsidRDefault="002C4786" w:rsidP="005D266B">
            <w:pPr>
              <w:ind w:left="0"/>
              <w:rPr>
                <w:rFonts w:ascii="Bookman Old Style" w:hAnsi="Bookman Old Style" w:cs="Arial"/>
                <w:b/>
                <w:spacing w:val="-3"/>
              </w:rPr>
            </w:pPr>
          </w:p>
          <w:p w:rsidR="002C4786" w:rsidRPr="00A14C71" w:rsidRDefault="002C4786" w:rsidP="005D266B">
            <w:pPr>
              <w:ind w:left="0"/>
              <w:rPr>
                <w:rFonts w:ascii="Bookman Old Style" w:hAnsi="Bookman Old Style" w:cs="Arial"/>
                <w:b/>
                <w:spacing w:val="-3"/>
              </w:rPr>
            </w:pPr>
          </w:p>
          <w:p w:rsidR="002C4786" w:rsidRPr="00A14C71" w:rsidRDefault="002C4786" w:rsidP="005D266B">
            <w:pPr>
              <w:ind w:left="66"/>
              <w:jc w:val="center"/>
              <w:rPr>
                <w:rFonts w:ascii="Bookman Old Style" w:hAnsi="Bookman Old Style" w:cs="Arial"/>
                <w:b/>
                <w:spacing w:val="-3"/>
              </w:rPr>
            </w:pPr>
          </w:p>
          <w:p w:rsidR="002C4786" w:rsidRPr="00A14C71" w:rsidRDefault="002C4786"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2C4786" w:rsidRPr="00A14C71" w:rsidRDefault="002C4786" w:rsidP="005D266B">
            <w:pPr>
              <w:ind w:left="89"/>
              <w:jc w:val="center"/>
              <w:rPr>
                <w:rFonts w:ascii="Bookman Old Style" w:hAnsi="Bookman Old Style" w:cs="Arial"/>
                <w:b/>
                <w:spacing w:val="-3"/>
              </w:rPr>
            </w:pPr>
          </w:p>
          <w:p w:rsidR="002C4786" w:rsidRPr="00A14C71" w:rsidRDefault="002C4786" w:rsidP="005D266B">
            <w:pPr>
              <w:ind w:left="89"/>
              <w:jc w:val="center"/>
              <w:rPr>
                <w:rFonts w:ascii="Bookman Old Style" w:hAnsi="Bookman Old Style" w:cs="Arial"/>
                <w:b/>
                <w:spacing w:val="-3"/>
              </w:rPr>
            </w:pPr>
          </w:p>
          <w:p w:rsidR="002C4786" w:rsidRPr="00A14C71" w:rsidRDefault="002C4786" w:rsidP="005D266B">
            <w:pPr>
              <w:ind w:left="89"/>
              <w:jc w:val="center"/>
              <w:rPr>
                <w:rFonts w:ascii="Bookman Old Style" w:hAnsi="Bookman Old Style" w:cs="Arial"/>
                <w:b/>
                <w:spacing w:val="-3"/>
              </w:rPr>
            </w:pPr>
          </w:p>
          <w:p w:rsidR="002C4786" w:rsidRPr="00A14C71" w:rsidRDefault="002C4786" w:rsidP="005D266B">
            <w:pPr>
              <w:ind w:left="89"/>
              <w:jc w:val="center"/>
              <w:rPr>
                <w:rFonts w:ascii="Bookman Old Style" w:hAnsi="Bookman Old Style" w:cs="Arial"/>
                <w:b/>
                <w:spacing w:val="-3"/>
              </w:rPr>
            </w:pPr>
          </w:p>
          <w:p w:rsidR="002C4786" w:rsidRPr="00A14C71" w:rsidRDefault="002C4786"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2C4786" w:rsidRPr="00A14C71" w:rsidTr="005D266B">
        <w:trPr>
          <w:tblCellSpacing w:w="0" w:type="dxa"/>
          <w:jc w:val="center"/>
        </w:trPr>
        <w:tc>
          <w:tcPr>
            <w:tcW w:w="5529" w:type="dxa"/>
            <w:hideMark/>
          </w:tcPr>
          <w:p w:rsidR="002C4786" w:rsidRDefault="002C4786"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06388C" w:rsidRPr="00A14C71" w:rsidRDefault="0006388C"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2C4786" w:rsidRPr="00A14C71" w:rsidRDefault="002C4786"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2C4786" w:rsidRPr="00A14C71" w:rsidTr="005D266B">
        <w:trPr>
          <w:tblCellSpacing w:w="0" w:type="dxa"/>
          <w:jc w:val="center"/>
        </w:trPr>
        <w:tc>
          <w:tcPr>
            <w:tcW w:w="5529" w:type="dxa"/>
            <w:hideMark/>
          </w:tcPr>
          <w:p w:rsidR="002C4786" w:rsidRPr="00A14C71" w:rsidRDefault="002C4786"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2C4786" w:rsidRPr="00A14C71" w:rsidRDefault="002C4786" w:rsidP="005D266B">
            <w:pPr>
              <w:ind w:left="0"/>
              <w:jc w:val="center"/>
              <w:rPr>
                <w:rFonts w:ascii="Bookman Old Style" w:eastAsia="Arial Unicode MS" w:hAnsi="Bookman Old Style" w:cs="Arial"/>
                <w:color w:val="000000"/>
              </w:rPr>
            </w:pPr>
          </w:p>
        </w:tc>
      </w:tr>
    </w:tbl>
    <w:p w:rsidR="002C4786" w:rsidRDefault="002C4786" w:rsidP="00653141">
      <w:pPr>
        <w:ind w:left="0"/>
        <w:rPr>
          <w:rFonts w:ascii="Bookman Old Style" w:hAnsi="Bookman Old Style" w:cs="Arial"/>
          <w:szCs w:val="20"/>
        </w:rPr>
      </w:pPr>
    </w:p>
    <w:p w:rsidR="002C4786" w:rsidRPr="005023D3" w:rsidRDefault="002C4786" w:rsidP="00653141">
      <w:pPr>
        <w:ind w:left="0"/>
        <w:rPr>
          <w:rFonts w:ascii="Bookman Old Style" w:hAnsi="Bookman Old Style" w:cs="Arial"/>
          <w:szCs w:val="20"/>
        </w:rPr>
      </w:pPr>
    </w:p>
    <w:p w:rsidR="00653141" w:rsidRDefault="00653141" w:rsidP="00653141">
      <w:pPr>
        <w:rPr>
          <w:rFonts w:ascii="Bookman Old Style" w:hAnsi="Bookman Old Style" w:cs="Arial"/>
          <w:szCs w:val="20"/>
        </w:rPr>
      </w:pPr>
    </w:p>
    <w:p w:rsidR="00653141" w:rsidRDefault="00653141" w:rsidP="00653141">
      <w:pPr>
        <w:rPr>
          <w:rFonts w:ascii="Bookman Old Style" w:hAnsi="Bookman Old Style" w:cs="Arial"/>
          <w:szCs w:val="20"/>
        </w:rPr>
      </w:pPr>
    </w:p>
    <w:p w:rsidR="00653141" w:rsidRPr="002A01F2" w:rsidRDefault="00653141" w:rsidP="00653141">
      <w:pPr>
        <w:rPr>
          <w:rFonts w:ascii="Bookman Old Style" w:hAnsi="Bookman Old Style" w:cs="Arial"/>
          <w:sz w:val="18"/>
          <w:szCs w:val="20"/>
        </w:rPr>
      </w:pPr>
    </w:p>
    <w:p w:rsidR="00653141" w:rsidRPr="00FE2D9D" w:rsidRDefault="00653141" w:rsidP="00653141">
      <w:pPr>
        <w:ind w:left="0"/>
        <w:rPr>
          <w:rFonts w:ascii="Bookman Old Style" w:hAnsi="Bookman Old Style" w:cs="Arial"/>
          <w:sz w:val="22"/>
          <w:szCs w:val="20"/>
        </w:rPr>
      </w:pPr>
    </w:p>
    <w:p w:rsidR="00653141" w:rsidRPr="00FE2D9D" w:rsidRDefault="00653141" w:rsidP="00653141">
      <w:pPr>
        <w:rPr>
          <w:rFonts w:ascii="Bookman Old Style" w:hAnsi="Bookman Old Style" w:cs="Arial"/>
          <w:szCs w:val="20"/>
        </w:rPr>
      </w:pPr>
    </w:p>
    <w:p w:rsidR="00653141" w:rsidRPr="003234E2" w:rsidRDefault="00653141" w:rsidP="00653141">
      <w:pPr>
        <w:ind w:left="0"/>
        <w:rPr>
          <w:sz w:val="20"/>
        </w:rPr>
      </w:pPr>
    </w:p>
    <w:p w:rsidR="00653141" w:rsidRDefault="00653141" w:rsidP="00D126E3">
      <w:pPr>
        <w:pStyle w:val="Textoindependiente2"/>
        <w:spacing w:after="0" w:line="240" w:lineRule="auto"/>
        <w:ind w:left="-142" w:right="-142"/>
        <w:jc w:val="both"/>
        <w:rPr>
          <w:rFonts w:ascii="Bookman Old Style" w:hAnsi="Bookman Old Style"/>
          <w:b/>
          <w:szCs w:val="27"/>
        </w:rPr>
      </w:pPr>
    </w:p>
    <w:sectPr w:rsidR="00653141"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5A6E" w:rsidRDefault="00A05A6E">
      <w:r>
        <w:separator/>
      </w:r>
    </w:p>
  </w:endnote>
  <w:endnote w:type="continuationSeparator" w:id="0">
    <w:p w:rsidR="00A05A6E" w:rsidRDefault="00A05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5A6E" w:rsidRDefault="00A05A6E">
      <w:r>
        <w:separator/>
      </w:r>
    </w:p>
  </w:footnote>
  <w:footnote w:type="continuationSeparator" w:id="0">
    <w:p w:rsidR="00A05A6E" w:rsidRDefault="00A05A6E">
      <w:r>
        <w:continuationSeparator/>
      </w:r>
    </w:p>
  </w:footnote>
  <w:footnote w:id="1">
    <w:p w:rsidR="00640E4D" w:rsidRPr="00EC3BB2" w:rsidRDefault="00640E4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40E4D" w:rsidRPr="00BD1622" w:rsidRDefault="00640E4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640E4D" w:rsidRPr="00FC2C01" w:rsidRDefault="00640E4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640E4D" w:rsidRPr="00FC2C01" w:rsidRDefault="00640E4D" w:rsidP="00BA05D2">
      <w:pPr>
        <w:pStyle w:val="Textonotapie"/>
        <w:jc w:val="both"/>
        <w:rPr>
          <w:rFonts w:ascii="Bookman Old Style" w:hAnsi="Bookman Old Style" w:cs="Arial"/>
          <w:sz w:val="16"/>
          <w:szCs w:val="16"/>
        </w:rPr>
      </w:pPr>
    </w:p>
    <w:p w:rsidR="00640E4D" w:rsidRPr="00CD67E2" w:rsidRDefault="00640E4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640E4D" w:rsidRPr="00FA7CDB" w:rsidRDefault="00640E4D" w:rsidP="00CD67E2">
      <w:pPr>
        <w:pStyle w:val="Textonotapie"/>
        <w:jc w:val="both"/>
        <w:rPr>
          <w:rFonts w:ascii="Bookman Old Style" w:hAnsi="Bookman Old Style" w:cs="Arial"/>
          <w:sz w:val="16"/>
          <w:szCs w:val="16"/>
        </w:rPr>
      </w:pPr>
    </w:p>
    <w:p w:rsidR="00640E4D" w:rsidRPr="00FA7CDB" w:rsidRDefault="00640E4D"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40E4D" w:rsidRDefault="00640E4D"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A045ED" w:rsidRPr="00BB7AEA" w:rsidRDefault="00A045ED" w:rsidP="00A045ED">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 w:id="6">
    <w:p w:rsidR="00821EDC" w:rsidRPr="004E1287" w:rsidRDefault="00821EDC" w:rsidP="00821EDC">
      <w:pPr>
        <w:pStyle w:val="Textonotapie"/>
        <w:jc w:val="both"/>
        <w:rPr>
          <w:rFonts w:ascii="Bookman Old Style" w:hAnsi="Bookman Old Style" w:cs="Arial"/>
          <w:sz w:val="16"/>
          <w:szCs w:val="16"/>
        </w:rPr>
      </w:pPr>
      <w:r w:rsidRPr="004E1287">
        <w:rPr>
          <w:rStyle w:val="Refdenotaalpie"/>
          <w:rFonts w:ascii="Bookman Old Style" w:hAnsi="Bookman Old Style" w:cs="Arial"/>
          <w:sz w:val="16"/>
          <w:szCs w:val="16"/>
        </w:rPr>
        <w:footnoteRef/>
      </w:r>
      <w:r w:rsidRPr="004E1287">
        <w:rPr>
          <w:rFonts w:ascii="Bookman Old Style" w:hAnsi="Bookman Old Style" w:cs="Arial"/>
          <w:sz w:val="16"/>
          <w:szCs w:val="16"/>
        </w:rPr>
        <w:t xml:space="preserve"> Artículo 80. Decisión de los recursos. Vencido el período probatorio, si a ello hubiere lugar, y sin necesidad de acto que así lo declare, deberá proferirse la decisión motivada que resuelva el recurso.</w:t>
      </w:r>
    </w:p>
    <w:p w:rsidR="00821EDC" w:rsidRPr="004E1287" w:rsidRDefault="00821EDC" w:rsidP="00821EDC">
      <w:pPr>
        <w:pStyle w:val="Textonotapie"/>
        <w:jc w:val="both"/>
        <w:rPr>
          <w:rFonts w:ascii="Bookman Old Style" w:hAnsi="Bookman Old Style" w:cs="Arial"/>
          <w:sz w:val="16"/>
          <w:szCs w:val="16"/>
        </w:rPr>
      </w:pPr>
    </w:p>
    <w:p w:rsidR="00821EDC" w:rsidRPr="00321EAE" w:rsidRDefault="00821EDC" w:rsidP="00821EDC">
      <w:pPr>
        <w:pStyle w:val="Textonotapie"/>
        <w:jc w:val="both"/>
        <w:rPr>
          <w:rFonts w:ascii="Arial" w:hAnsi="Arial" w:cs="Arial"/>
          <w:sz w:val="16"/>
          <w:szCs w:val="16"/>
        </w:rPr>
      </w:pPr>
      <w:r w:rsidRPr="004E1287">
        <w:rPr>
          <w:rFonts w:ascii="Bookman Old Style" w:hAnsi="Bookman Old Style" w:cs="Arial"/>
          <w:sz w:val="16"/>
          <w:szCs w:val="16"/>
        </w:rPr>
        <w:t>La decisión resolverá todas las peticiones que hayan sido oportunamente planteadas y las que surjan con motivo del recurso.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951F79">
    <w:pPr>
      <w:pStyle w:val="Ttulo1"/>
      <w:ind w:right="6"/>
      <w:jc w:val="left"/>
      <w:rPr>
        <w:rFonts w:ascii="Bookman Old Style" w:hAnsi="Bookman Old Style" w:cs="Arial"/>
        <w:b w:val="0"/>
        <w:sz w:val="22"/>
        <w:szCs w:val="22"/>
      </w:rPr>
    </w:pPr>
  </w:p>
  <w:p w:rsidR="00640E4D" w:rsidRPr="00951F79" w:rsidRDefault="00640E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A33EB6">
      <w:rPr>
        <w:rFonts w:ascii="Bookman Old Style" w:hAnsi="Bookman Old Style" w:cs="Arial"/>
        <w:b w:val="0"/>
        <w:noProof/>
        <w:sz w:val="22"/>
        <w:szCs w:val="22"/>
      </w:rPr>
      <w:t>14</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A33EB6" w:rsidRPr="00A33EB6">
        <w:rPr>
          <w:rFonts w:ascii="Bookman Old Style" w:hAnsi="Bookman Old Style" w:cs="Arial"/>
          <w:b w:val="0"/>
          <w:noProof/>
          <w:sz w:val="22"/>
          <w:szCs w:val="22"/>
        </w:rPr>
        <w:t>14</w:t>
      </w:r>
    </w:fldSimple>
  </w:p>
  <w:p w:rsidR="00640E4D" w:rsidRDefault="002532D5"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C05072"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40E4D" w:rsidRPr="00616D65" w:rsidRDefault="00640E4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sidR="00A00879">
      <w:rPr>
        <w:rFonts w:ascii="Bookman Old Style" w:hAnsi="Bookman Old Style" w:cs="Arial"/>
        <w:sz w:val="22"/>
        <w:szCs w:val="22"/>
      </w:rPr>
      <w:t>Gas Gombel S.A. E.S.P.</w:t>
    </w:r>
    <w:r>
      <w:rPr>
        <w:rFonts w:ascii="Bookman Old Style" w:hAnsi="Bookman Old Style" w:cs="Arial"/>
        <w:sz w:val="22"/>
        <w:szCs w:val="22"/>
      </w:rPr>
      <w:t xml:space="preserve">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640E4D" w:rsidRPr="00730C9E" w:rsidRDefault="002532D5"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3E9311A"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40E4D" w:rsidRDefault="00640E4D">
    <w:pPr>
      <w:pStyle w:val="Encabezado"/>
      <w:jc w:val="center"/>
      <w:rPr>
        <w:rFonts w:ascii="Arial" w:hAnsi="Arial" w:cs="Arial"/>
        <w:spacing w:val="20"/>
        <w:sz w:val="20"/>
      </w:rPr>
    </w:pPr>
  </w:p>
  <w:p w:rsidR="00640E4D" w:rsidRDefault="002532D5"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F45F"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9"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1"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6"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15:restartNumberingAfterBreak="0">
    <w:nsid w:val="645014A5"/>
    <w:multiLevelType w:val="hybridMultilevel"/>
    <w:tmpl w:val="6BBCA3D0"/>
    <w:lvl w:ilvl="0" w:tplc="5F7481BC">
      <w:start w:val="1"/>
      <w:numFmt w:val="decimal"/>
      <w:lvlText w:val="%1."/>
      <w:lvlJc w:val="left"/>
      <w:pPr>
        <w:ind w:left="218" w:hanging="360"/>
      </w:pPr>
      <w:rPr>
        <w:rFonts w:hint="default"/>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29"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0"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8"/>
  </w:num>
  <w:num w:numId="2">
    <w:abstractNumId w:val="7"/>
  </w:num>
  <w:num w:numId="3">
    <w:abstractNumId w:val="35"/>
  </w:num>
  <w:num w:numId="4">
    <w:abstractNumId w:val="14"/>
  </w:num>
  <w:num w:numId="5">
    <w:abstractNumId w:val="24"/>
  </w:num>
  <w:num w:numId="6">
    <w:abstractNumId w:val="4"/>
  </w:num>
  <w:num w:numId="7">
    <w:abstractNumId w:val="3"/>
  </w:num>
  <w:num w:numId="8">
    <w:abstractNumId w:val="27"/>
  </w:num>
  <w:num w:numId="9">
    <w:abstractNumId w:val="25"/>
  </w:num>
  <w:num w:numId="10">
    <w:abstractNumId w:val="19"/>
  </w:num>
  <w:num w:numId="11">
    <w:abstractNumId w:val="36"/>
  </w:num>
  <w:num w:numId="12">
    <w:abstractNumId w:val="33"/>
  </w:num>
  <w:num w:numId="13">
    <w:abstractNumId w:val="16"/>
  </w:num>
  <w:num w:numId="14">
    <w:abstractNumId w:val="2"/>
  </w:num>
  <w:num w:numId="15">
    <w:abstractNumId w:val="20"/>
  </w:num>
  <w:num w:numId="16">
    <w:abstractNumId w:val="1"/>
  </w:num>
  <w:num w:numId="17">
    <w:abstractNumId w:val="34"/>
  </w:num>
  <w:num w:numId="18">
    <w:abstractNumId w:val="10"/>
  </w:num>
  <w:num w:numId="19">
    <w:abstractNumId w:val="21"/>
  </w:num>
  <w:num w:numId="20">
    <w:abstractNumId w:val="22"/>
  </w:num>
  <w:num w:numId="21">
    <w:abstractNumId w:val="32"/>
  </w:num>
  <w:num w:numId="22">
    <w:abstractNumId w:val="26"/>
  </w:num>
  <w:num w:numId="23">
    <w:abstractNumId w:val="31"/>
  </w:num>
  <w:num w:numId="24">
    <w:abstractNumId w:val="13"/>
  </w:num>
  <w:num w:numId="25">
    <w:abstractNumId w:val="11"/>
  </w:num>
  <w:num w:numId="26">
    <w:abstractNumId w:val="23"/>
  </w:num>
  <w:num w:numId="27">
    <w:abstractNumId w:val="8"/>
  </w:num>
  <w:num w:numId="28">
    <w:abstractNumId w:val="9"/>
  </w:num>
  <w:num w:numId="29">
    <w:abstractNumId w:val="15"/>
  </w:num>
  <w:num w:numId="30">
    <w:abstractNumId w:val="30"/>
  </w:num>
  <w:num w:numId="31">
    <w:abstractNumId w:val="12"/>
  </w:num>
  <w:num w:numId="32">
    <w:abstractNumId w:val="17"/>
  </w:num>
  <w:num w:numId="33">
    <w:abstractNumId w:val="29"/>
  </w:num>
  <w:num w:numId="34">
    <w:abstractNumId w:val="37"/>
  </w:num>
  <w:num w:numId="35">
    <w:abstractNumId w:val="5"/>
  </w:num>
  <w:num w:numId="36">
    <w:abstractNumId w:val="6"/>
  </w:num>
  <w:num w:numId="37">
    <w:abstractNumId w:val="0"/>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C6F"/>
    <w:rsid w:val="00034F40"/>
    <w:rsid w:val="000432F7"/>
    <w:rsid w:val="0004674A"/>
    <w:rsid w:val="00050346"/>
    <w:rsid w:val="000537E8"/>
    <w:rsid w:val="00060D57"/>
    <w:rsid w:val="000623A6"/>
    <w:rsid w:val="00063657"/>
    <w:rsid w:val="0006388C"/>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B03C2"/>
    <w:rsid w:val="000B20EA"/>
    <w:rsid w:val="000B27E6"/>
    <w:rsid w:val="000B48BF"/>
    <w:rsid w:val="000B4B19"/>
    <w:rsid w:val="000B52EA"/>
    <w:rsid w:val="000B667A"/>
    <w:rsid w:val="000C27EB"/>
    <w:rsid w:val="000C6FE5"/>
    <w:rsid w:val="000D22D4"/>
    <w:rsid w:val="000D26F8"/>
    <w:rsid w:val="000E01B8"/>
    <w:rsid w:val="000E38F7"/>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3CA8"/>
    <w:rsid w:val="0016590D"/>
    <w:rsid w:val="001670CB"/>
    <w:rsid w:val="00167993"/>
    <w:rsid w:val="001779AB"/>
    <w:rsid w:val="00177FE3"/>
    <w:rsid w:val="00182917"/>
    <w:rsid w:val="0018547A"/>
    <w:rsid w:val="00191FB9"/>
    <w:rsid w:val="00192641"/>
    <w:rsid w:val="00192CBF"/>
    <w:rsid w:val="00192FF1"/>
    <w:rsid w:val="001946B2"/>
    <w:rsid w:val="00195B37"/>
    <w:rsid w:val="00195E5B"/>
    <w:rsid w:val="00197991"/>
    <w:rsid w:val="001A4274"/>
    <w:rsid w:val="001A43F3"/>
    <w:rsid w:val="001A59B6"/>
    <w:rsid w:val="001A5A68"/>
    <w:rsid w:val="001A5F1B"/>
    <w:rsid w:val="001B1780"/>
    <w:rsid w:val="001B1C22"/>
    <w:rsid w:val="001B34C6"/>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B23"/>
    <w:rsid w:val="00244C3F"/>
    <w:rsid w:val="00246AA1"/>
    <w:rsid w:val="00246C1A"/>
    <w:rsid w:val="002528AF"/>
    <w:rsid w:val="002532D5"/>
    <w:rsid w:val="00253E07"/>
    <w:rsid w:val="002606C2"/>
    <w:rsid w:val="002606F0"/>
    <w:rsid w:val="00260CE3"/>
    <w:rsid w:val="00266CD6"/>
    <w:rsid w:val="002709FC"/>
    <w:rsid w:val="00273C18"/>
    <w:rsid w:val="00275DAB"/>
    <w:rsid w:val="00275FA7"/>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4786"/>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1D7A"/>
    <w:rsid w:val="003234E2"/>
    <w:rsid w:val="0032669A"/>
    <w:rsid w:val="00332B81"/>
    <w:rsid w:val="00332BE1"/>
    <w:rsid w:val="00333DFB"/>
    <w:rsid w:val="00335916"/>
    <w:rsid w:val="00341341"/>
    <w:rsid w:val="00346E50"/>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315E"/>
    <w:rsid w:val="00393F0D"/>
    <w:rsid w:val="003943C4"/>
    <w:rsid w:val="00395C15"/>
    <w:rsid w:val="00397365"/>
    <w:rsid w:val="003A31F6"/>
    <w:rsid w:val="003A3AAF"/>
    <w:rsid w:val="003A3DA9"/>
    <w:rsid w:val="003B10B0"/>
    <w:rsid w:val="003B10B9"/>
    <w:rsid w:val="003B17FC"/>
    <w:rsid w:val="003B4844"/>
    <w:rsid w:val="003B6A60"/>
    <w:rsid w:val="003B769B"/>
    <w:rsid w:val="003C157F"/>
    <w:rsid w:val="003C1AEF"/>
    <w:rsid w:val="003C3447"/>
    <w:rsid w:val="003C35A2"/>
    <w:rsid w:val="003C5787"/>
    <w:rsid w:val="003D076C"/>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5B10"/>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5305"/>
    <w:rsid w:val="004A6EE1"/>
    <w:rsid w:val="004B0C00"/>
    <w:rsid w:val="004B78C1"/>
    <w:rsid w:val="004C0BFE"/>
    <w:rsid w:val="004C0E41"/>
    <w:rsid w:val="004C19C2"/>
    <w:rsid w:val="004C7BD8"/>
    <w:rsid w:val="004D19FA"/>
    <w:rsid w:val="004D1BE8"/>
    <w:rsid w:val="004D3045"/>
    <w:rsid w:val="004D7634"/>
    <w:rsid w:val="004D7892"/>
    <w:rsid w:val="004E1536"/>
    <w:rsid w:val="004E198F"/>
    <w:rsid w:val="004E33F2"/>
    <w:rsid w:val="004F3744"/>
    <w:rsid w:val="004F7D1F"/>
    <w:rsid w:val="0050015E"/>
    <w:rsid w:val="00503267"/>
    <w:rsid w:val="0051257C"/>
    <w:rsid w:val="00513865"/>
    <w:rsid w:val="00515932"/>
    <w:rsid w:val="00521349"/>
    <w:rsid w:val="005217A1"/>
    <w:rsid w:val="005300D3"/>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3C4F"/>
    <w:rsid w:val="005946A8"/>
    <w:rsid w:val="00596B5A"/>
    <w:rsid w:val="00596EEA"/>
    <w:rsid w:val="00596EFA"/>
    <w:rsid w:val="005972F1"/>
    <w:rsid w:val="005A0D57"/>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40301"/>
    <w:rsid w:val="00640E4D"/>
    <w:rsid w:val="00642281"/>
    <w:rsid w:val="0064391D"/>
    <w:rsid w:val="0064486D"/>
    <w:rsid w:val="00645549"/>
    <w:rsid w:val="00647A97"/>
    <w:rsid w:val="00651821"/>
    <w:rsid w:val="0065314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31CE"/>
    <w:rsid w:val="006C5AFE"/>
    <w:rsid w:val="006C709E"/>
    <w:rsid w:val="006D3C10"/>
    <w:rsid w:val="006D3E42"/>
    <w:rsid w:val="006D5418"/>
    <w:rsid w:val="006D6139"/>
    <w:rsid w:val="006D79D9"/>
    <w:rsid w:val="006E6198"/>
    <w:rsid w:val="006E73A5"/>
    <w:rsid w:val="006F02B8"/>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D353B"/>
    <w:rsid w:val="007E1F80"/>
    <w:rsid w:val="007E3AB1"/>
    <w:rsid w:val="007F0732"/>
    <w:rsid w:val="007F3140"/>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1EDC"/>
    <w:rsid w:val="00823A07"/>
    <w:rsid w:val="008251F0"/>
    <w:rsid w:val="00825B13"/>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41D6"/>
    <w:rsid w:val="00895F71"/>
    <w:rsid w:val="0089643C"/>
    <w:rsid w:val="00897C75"/>
    <w:rsid w:val="008A038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6888"/>
    <w:rsid w:val="00937565"/>
    <w:rsid w:val="009410CB"/>
    <w:rsid w:val="009438AD"/>
    <w:rsid w:val="00945A3C"/>
    <w:rsid w:val="00950E0A"/>
    <w:rsid w:val="00951F79"/>
    <w:rsid w:val="00952ADF"/>
    <w:rsid w:val="00952F4A"/>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2AED"/>
    <w:rsid w:val="009B3501"/>
    <w:rsid w:val="009C0467"/>
    <w:rsid w:val="009C1F60"/>
    <w:rsid w:val="009C2A18"/>
    <w:rsid w:val="009C6488"/>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0879"/>
    <w:rsid w:val="00A045ED"/>
    <w:rsid w:val="00A04C6F"/>
    <w:rsid w:val="00A05A6E"/>
    <w:rsid w:val="00A10A0B"/>
    <w:rsid w:val="00A1296D"/>
    <w:rsid w:val="00A16385"/>
    <w:rsid w:val="00A21A33"/>
    <w:rsid w:val="00A22D58"/>
    <w:rsid w:val="00A23A1B"/>
    <w:rsid w:val="00A25FD7"/>
    <w:rsid w:val="00A30197"/>
    <w:rsid w:val="00A33EB6"/>
    <w:rsid w:val="00A35FEF"/>
    <w:rsid w:val="00A40EC5"/>
    <w:rsid w:val="00A419BB"/>
    <w:rsid w:val="00A42FAB"/>
    <w:rsid w:val="00A433C5"/>
    <w:rsid w:val="00A43AFF"/>
    <w:rsid w:val="00A478A0"/>
    <w:rsid w:val="00A47F3A"/>
    <w:rsid w:val="00A50502"/>
    <w:rsid w:val="00A5373F"/>
    <w:rsid w:val="00A54052"/>
    <w:rsid w:val="00A631A3"/>
    <w:rsid w:val="00A654DC"/>
    <w:rsid w:val="00A658C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7340"/>
    <w:rsid w:val="00AE7DA4"/>
    <w:rsid w:val="00AF1558"/>
    <w:rsid w:val="00AF1BBD"/>
    <w:rsid w:val="00AF3B72"/>
    <w:rsid w:val="00AF6DEF"/>
    <w:rsid w:val="00B01B73"/>
    <w:rsid w:val="00B04B81"/>
    <w:rsid w:val="00B05626"/>
    <w:rsid w:val="00B05914"/>
    <w:rsid w:val="00B10207"/>
    <w:rsid w:val="00B13E74"/>
    <w:rsid w:val="00B141E7"/>
    <w:rsid w:val="00B16D10"/>
    <w:rsid w:val="00B23A09"/>
    <w:rsid w:val="00B309B2"/>
    <w:rsid w:val="00B31959"/>
    <w:rsid w:val="00B351B4"/>
    <w:rsid w:val="00B36712"/>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C2BE8"/>
    <w:rsid w:val="00BC38FD"/>
    <w:rsid w:val="00BC4399"/>
    <w:rsid w:val="00BC4AE4"/>
    <w:rsid w:val="00BC794F"/>
    <w:rsid w:val="00BD0385"/>
    <w:rsid w:val="00BD0898"/>
    <w:rsid w:val="00BD1622"/>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517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EEF"/>
    <w:rsid w:val="00CE21E3"/>
    <w:rsid w:val="00CF21B9"/>
    <w:rsid w:val="00CF6BF9"/>
    <w:rsid w:val="00CF7CC6"/>
    <w:rsid w:val="00D0082F"/>
    <w:rsid w:val="00D01F0A"/>
    <w:rsid w:val="00D03800"/>
    <w:rsid w:val="00D03E47"/>
    <w:rsid w:val="00D04BAF"/>
    <w:rsid w:val="00D065D3"/>
    <w:rsid w:val="00D11415"/>
    <w:rsid w:val="00D126E3"/>
    <w:rsid w:val="00D14C94"/>
    <w:rsid w:val="00D16F2E"/>
    <w:rsid w:val="00D20911"/>
    <w:rsid w:val="00D27114"/>
    <w:rsid w:val="00D306CE"/>
    <w:rsid w:val="00D313EC"/>
    <w:rsid w:val="00D32669"/>
    <w:rsid w:val="00D342A6"/>
    <w:rsid w:val="00D356D0"/>
    <w:rsid w:val="00D35AB2"/>
    <w:rsid w:val="00D36ABB"/>
    <w:rsid w:val="00D40598"/>
    <w:rsid w:val="00D42A15"/>
    <w:rsid w:val="00D460EB"/>
    <w:rsid w:val="00D464BF"/>
    <w:rsid w:val="00D47AB0"/>
    <w:rsid w:val="00D51B44"/>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3CE8"/>
    <w:rsid w:val="00DD4F0E"/>
    <w:rsid w:val="00DE4017"/>
    <w:rsid w:val="00DF070D"/>
    <w:rsid w:val="00DF0BF0"/>
    <w:rsid w:val="00DF465D"/>
    <w:rsid w:val="00DF4E15"/>
    <w:rsid w:val="00DF4F58"/>
    <w:rsid w:val="00DF7B9C"/>
    <w:rsid w:val="00E010B3"/>
    <w:rsid w:val="00E0158D"/>
    <w:rsid w:val="00E03D7E"/>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2868"/>
    <w:rsid w:val="00E72C5E"/>
    <w:rsid w:val="00E81CB4"/>
    <w:rsid w:val="00E8585B"/>
    <w:rsid w:val="00E877F1"/>
    <w:rsid w:val="00E958BA"/>
    <w:rsid w:val="00E95977"/>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4"/>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00FDF785-0839-4D3B-ABD0-64189395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E36968-84A5-49E3-A6F5-8B8FD9B56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5418</Words>
  <Characters>28966</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34316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2016-12-07T17:14:00Z</dcterms:created>
  <dcterms:modified xsi:type="dcterms:W3CDTF">2016-12-07T17:14:00Z</dcterms:modified>
</cp:coreProperties>
</file>