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060BE" w:rsidRDefault="00987EBB" w:rsidP="006C25F7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9" o:title=""/>
          </v:shape>
          <o:OLEObject Type="Embed" ProgID="PBrush" ShapeID="_x0000_s1026" DrawAspect="Content" ObjectID="_1400593697" r:id="rId10"/>
        </w:pict>
      </w:r>
    </w:p>
    <w:p w:rsidR="00625DC6" w:rsidRPr="00E060BE" w:rsidRDefault="00625DC6" w:rsidP="006C25F7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6C25F7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6C25F7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6C25F7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6C25F7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6C25F7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6C25F7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8E7091">
        <w:rPr>
          <w:rFonts w:ascii="Bookman Old Style" w:hAnsi="Bookman Old Style"/>
          <w:sz w:val="24"/>
          <w:szCs w:val="24"/>
        </w:rPr>
        <w:t>2</w:t>
      </w:r>
    </w:p>
    <w:p w:rsidR="00CA77FB" w:rsidRPr="00E060BE" w:rsidRDefault="00CA77FB" w:rsidP="006C25F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6C25F7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Default="00CA77FB" w:rsidP="006C25F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0775B2" w:rsidRDefault="000775B2" w:rsidP="006C25F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3D479B" w:rsidRDefault="003D479B" w:rsidP="006C25F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3D479B" w:rsidRPr="00E060BE" w:rsidRDefault="003D479B" w:rsidP="006C25F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C034CB" w:rsidRPr="00265AFC" w:rsidRDefault="00B97512" w:rsidP="006C25F7">
      <w:pPr>
        <w:ind w:left="0"/>
        <w:jc w:val="center"/>
        <w:rPr>
          <w:rFonts w:ascii="Bookman Old Style" w:hAnsi="Bookman Old Style"/>
          <w:bCs/>
          <w:lang w:val="es-CO"/>
        </w:rPr>
      </w:pPr>
      <w:r w:rsidRPr="00265AFC">
        <w:rPr>
          <w:rFonts w:ascii="Bookman Old Style" w:hAnsi="Bookman Old Style"/>
          <w:bCs/>
          <w:lang w:val="es-CO"/>
        </w:rPr>
        <w:t xml:space="preserve">Por la cual se </w:t>
      </w:r>
      <w:r w:rsidR="00F15EDF">
        <w:rPr>
          <w:rFonts w:ascii="Bookman Old Style" w:hAnsi="Bookman Old Style"/>
          <w:bCs/>
          <w:lang w:val="es-CO"/>
        </w:rPr>
        <w:t>a</w:t>
      </w:r>
      <w:r w:rsidR="00996427">
        <w:rPr>
          <w:rFonts w:ascii="Bookman Old Style" w:hAnsi="Bookman Old Style"/>
          <w:bCs/>
          <w:lang w:val="es-CO"/>
        </w:rPr>
        <w:t>clara</w:t>
      </w:r>
      <w:r w:rsidR="00F15EDF">
        <w:rPr>
          <w:rFonts w:ascii="Bookman Old Style" w:hAnsi="Bookman Old Style"/>
          <w:bCs/>
          <w:lang w:val="es-CO"/>
        </w:rPr>
        <w:t xml:space="preserve"> el proceso de actualización de</w:t>
      </w:r>
      <w:r w:rsidR="00D14DE8">
        <w:rPr>
          <w:rFonts w:ascii="Bookman Old Style" w:hAnsi="Bookman Old Style"/>
          <w:bCs/>
          <w:lang w:val="es-CO"/>
        </w:rPr>
        <w:t>l porcentaje de</w:t>
      </w:r>
      <w:r w:rsidR="00F15EDF">
        <w:rPr>
          <w:rFonts w:ascii="Bookman Old Style" w:hAnsi="Bookman Old Style"/>
          <w:bCs/>
          <w:lang w:val="es-CO"/>
        </w:rPr>
        <w:t xml:space="preserve"> AOM establecido en la </w:t>
      </w:r>
      <w:r w:rsidRPr="00265AFC">
        <w:rPr>
          <w:rFonts w:ascii="Bookman Old Style" w:hAnsi="Bookman Old Style"/>
          <w:bCs/>
          <w:lang w:val="es-CO"/>
        </w:rPr>
        <w:t>Resoluci</w:t>
      </w:r>
      <w:r w:rsidR="006C25F7">
        <w:rPr>
          <w:rFonts w:ascii="Bookman Old Style" w:hAnsi="Bookman Old Style"/>
          <w:bCs/>
          <w:lang w:val="es-CO"/>
        </w:rPr>
        <w:t>ón</w:t>
      </w:r>
      <w:r w:rsidRPr="00265AFC">
        <w:rPr>
          <w:rFonts w:ascii="Bookman Old Style" w:hAnsi="Bookman Old Style"/>
          <w:bCs/>
          <w:lang w:val="es-CO"/>
        </w:rPr>
        <w:t xml:space="preserve"> </w:t>
      </w:r>
      <w:r w:rsidR="000775B2">
        <w:rPr>
          <w:rFonts w:ascii="Bookman Old Style" w:hAnsi="Bookman Old Style"/>
          <w:bCs/>
          <w:lang w:val="es-CO"/>
        </w:rPr>
        <w:t xml:space="preserve">CREG </w:t>
      </w:r>
      <w:r w:rsidR="006C25F7">
        <w:rPr>
          <w:rFonts w:ascii="Bookman Old Style" w:hAnsi="Bookman Old Style"/>
          <w:bCs/>
          <w:lang w:val="es-CO"/>
        </w:rPr>
        <w:t>0</w:t>
      </w:r>
      <w:r w:rsidR="00F15EDF">
        <w:rPr>
          <w:rFonts w:ascii="Bookman Old Style" w:hAnsi="Bookman Old Style"/>
          <w:bCs/>
          <w:lang w:val="es-CO"/>
        </w:rPr>
        <w:t>97</w:t>
      </w:r>
      <w:r w:rsidR="006C25F7">
        <w:rPr>
          <w:rFonts w:ascii="Bookman Old Style" w:hAnsi="Bookman Old Style"/>
          <w:bCs/>
          <w:lang w:val="es-CO"/>
        </w:rPr>
        <w:t xml:space="preserve"> de 200</w:t>
      </w:r>
      <w:r w:rsidR="00F15EDF">
        <w:rPr>
          <w:rFonts w:ascii="Bookman Old Style" w:hAnsi="Bookman Old Style"/>
          <w:bCs/>
          <w:lang w:val="es-CO"/>
        </w:rPr>
        <w:t>8</w:t>
      </w:r>
    </w:p>
    <w:p w:rsidR="00045D3D" w:rsidRDefault="00045D3D" w:rsidP="006C25F7">
      <w:pPr>
        <w:ind w:right="51"/>
        <w:rPr>
          <w:rFonts w:ascii="Bookman Old Style" w:hAnsi="Bookman Old Style"/>
        </w:rPr>
      </w:pPr>
    </w:p>
    <w:p w:rsidR="000775B2" w:rsidRPr="00C435C3" w:rsidRDefault="000775B2" w:rsidP="006C25F7">
      <w:pPr>
        <w:ind w:right="51"/>
        <w:rPr>
          <w:rFonts w:ascii="Bookman Old Style" w:hAnsi="Bookman Old Style"/>
        </w:rPr>
      </w:pPr>
    </w:p>
    <w:p w:rsidR="00045D3D" w:rsidRPr="00C435C3" w:rsidRDefault="00045D3D" w:rsidP="006C25F7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 ENERGÍA Y GAS</w:t>
      </w:r>
    </w:p>
    <w:p w:rsidR="00045D3D" w:rsidRPr="00C435C3" w:rsidRDefault="00045D3D" w:rsidP="006C25F7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6C25F7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6C25F7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</w:t>
      </w:r>
      <w:r w:rsidR="00414F4D">
        <w:rPr>
          <w:rFonts w:ascii="Bookman Old Style" w:hAnsi="Bookman Old Style"/>
          <w:b w:val="0"/>
        </w:rPr>
        <w:t>os Decretos 1524 y 2253 de 1994</w:t>
      </w:r>
    </w:p>
    <w:p w:rsidR="00045D3D" w:rsidRDefault="00045D3D" w:rsidP="006C25F7">
      <w:pPr>
        <w:ind w:left="0" w:right="51"/>
        <w:rPr>
          <w:rFonts w:ascii="Bookman Old Style" w:hAnsi="Bookman Old Style"/>
        </w:rPr>
      </w:pPr>
    </w:p>
    <w:p w:rsidR="00045D3D" w:rsidRDefault="00045D3D" w:rsidP="006C25F7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6C25F7">
      <w:pPr>
        <w:ind w:left="0"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:rsidR="00045D3D" w:rsidRDefault="00045D3D" w:rsidP="006C25F7">
      <w:pPr>
        <w:ind w:left="0"/>
        <w:rPr>
          <w:rFonts w:ascii="Bookman Old Style" w:hAnsi="Bookman Old Style"/>
          <w:b/>
        </w:rPr>
      </w:pPr>
    </w:p>
    <w:p w:rsidR="003D479B" w:rsidRPr="00C435C3" w:rsidRDefault="003D479B" w:rsidP="006C25F7">
      <w:pPr>
        <w:ind w:left="0"/>
        <w:rPr>
          <w:rFonts w:ascii="Bookman Old Style" w:hAnsi="Bookman Old Style"/>
          <w:b/>
        </w:rPr>
      </w:pPr>
    </w:p>
    <w:p w:rsidR="003605A2" w:rsidRDefault="003605A2" w:rsidP="006C25F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la </w:t>
      </w:r>
      <w:r w:rsidRPr="003605A2">
        <w:rPr>
          <w:rFonts w:ascii="Bookman Old Style" w:hAnsi="Bookman Old Style" w:cs="Arial"/>
        </w:rPr>
        <w:t>Resolución CREG 0</w:t>
      </w:r>
      <w:r>
        <w:rPr>
          <w:rFonts w:ascii="Bookman Old Style" w:hAnsi="Bookman Old Style" w:cs="Arial"/>
        </w:rPr>
        <w:t>70</w:t>
      </w:r>
      <w:r w:rsidRPr="003605A2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 xml:space="preserve">1998 </w:t>
      </w:r>
      <w:r w:rsidRPr="003605A2">
        <w:rPr>
          <w:rFonts w:ascii="Bookman Old Style" w:hAnsi="Bookman Old Style" w:cs="Arial"/>
        </w:rPr>
        <w:t>se establec</w:t>
      </w:r>
      <w:r>
        <w:rPr>
          <w:rFonts w:ascii="Bookman Old Style" w:hAnsi="Bookman Old Style" w:cs="Arial"/>
        </w:rPr>
        <w:t>ió</w:t>
      </w:r>
      <w:r w:rsidRPr="003605A2">
        <w:rPr>
          <w:rFonts w:ascii="Bookman Old Style" w:hAnsi="Bookman Old Style" w:cs="Arial"/>
        </w:rPr>
        <w:t xml:space="preserve"> el Reglamento de Distribución de Energía Eléctrica, como parte del Reglamento de Operación del Sistema Interconectado Nacional</w:t>
      </w:r>
      <w:r w:rsidR="001F555C">
        <w:rPr>
          <w:rFonts w:ascii="Bookman Old Style" w:hAnsi="Bookman Old Style" w:cs="Arial"/>
        </w:rPr>
        <w:t>, en el cual</w:t>
      </w:r>
      <w:r>
        <w:rPr>
          <w:rFonts w:ascii="Bookman Old Style" w:hAnsi="Bookman Old Style" w:cs="Arial"/>
        </w:rPr>
        <w:t xml:space="preserve"> se definieron los </w:t>
      </w:r>
      <w:r>
        <w:rPr>
          <w:rFonts w:ascii="Bookman Old Style" w:hAnsi="Bookman Old Style"/>
        </w:rPr>
        <w:t>indicadores mínimos de la calidad del servicio que presta</w:t>
      </w:r>
      <w:r w:rsidR="0081495E">
        <w:rPr>
          <w:rFonts w:ascii="Bookman Old Style" w:hAnsi="Bookman Old Style"/>
        </w:rPr>
        <w:t>ba</w:t>
      </w:r>
      <w:r>
        <w:rPr>
          <w:rFonts w:ascii="Bookman Old Style" w:hAnsi="Bookman Old Style"/>
        </w:rPr>
        <w:t>n los operadores de red, OR.</w:t>
      </w:r>
    </w:p>
    <w:p w:rsidR="003605A2" w:rsidRDefault="003605A2" w:rsidP="006C25F7">
      <w:pPr>
        <w:ind w:left="0"/>
        <w:jc w:val="both"/>
        <w:rPr>
          <w:rFonts w:ascii="Bookman Old Style" w:hAnsi="Bookman Old Style"/>
        </w:rPr>
      </w:pPr>
    </w:p>
    <w:p w:rsidR="003605A2" w:rsidRPr="003605A2" w:rsidRDefault="001F555C" w:rsidP="003605A2">
      <w:pPr>
        <w:ind w:left="0"/>
        <w:jc w:val="both"/>
        <w:rPr>
          <w:rFonts w:ascii="Bookman Old Style" w:hAnsi="Bookman Old Style"/>
          <w:lang w:val="es-CO"/>
        </w:rPr>
      </w:pPr>
      <w:r>
        <w:rPr>
          <w:rFonts w:ascii="Bookman Old Style" w:hAnsi="Bookman Old Style"/>
          <w:lang w:val="es-CO"/>
        </w:rPr>
        <w:t>En e</w:t>
      </w:r>
      <w:r w:rsidR="003605A2" w:rsidRPr="003605A2">
        <w:rPr>
          <w:rFonts w:ascii="Bookman Old Style" w:hAnsi="Bookman Old Style"/>
          <w:lang w:val="es-CO"/>
        </w:rPr>
        <w:t>l numeral 6.3.1.1 del anexo general de la Resolución CREG 070 de 1998</w:t>
      </w:r>
      <w:r w:rsidR="003605A2">
        <w:rPr>
          <w:rFonts w:ascii="Bookman Old Style" w:hAnsi="Bookman Old Style"/>
          <w:lang w:val="es-CO"/>
        </w:rPr>
        <w:t xml:space="preserve">, modificado por la </w:t>
      </w:r>
      <w:r w:rsidR="003605A2" w:rsidRPr="003605A2">
        <w:rPr>
          <w:rFonts w:ascii="Bookman Old Style" w:hAnsi="Bookman Old Style" w:cs="Arial"/>
          <w:lang w:val="es-CO"/>
        </w:rPr>
        <w:t>Resolución CREG 0</w:t>
      </w:r>
      <w:r w:rsidR="003605A2">
        <w:rPr>
          <w:rFonts w:ascii="Bookman Old Style" w:hAnsi="Bookman Old Style" w:cs="Arial"/>
          <w:lang w:val="es-CO"/>
        </w:rPr>
        <w:t>96</w:t>
      </w:r>
      <w:r w:rsidR="003605A2" w:rsidRPr="003605A2">
        <w:rPr>
          <w:rFonts w:ascii="Bookman Old Style" w:hAnsi="Bookman Old Style" w:cs="Arial"/>
          <w:lang w:val="es-CO"/>
        </w:rPr>
        <w:t xml:space="preserve"> de 200</w:t>
      </w:r>
      <w:r w:rsidR="003605A2">
        <w:rPr>
          <w:rFonts w:ascii="Bookman Old Style" w:hAnsi="Bookman Old Style" w:cs="Arial"/>
          <w:lang w:val="es-CO"/>
        </w:rPr>
        <w:t>0, se identifica</w:t>
      </w:r>
      <w:r>
        <w:rPr>
          <w:rFonts w:ascii="Bookman Old Style" w:hAnsi="Bookman Old Style" w:cs="Arial"/>
          <w:lang w:val="es-CO"/>
        </w:rPr>
        <w:t>ro</w:t>
      </w:r>
      <w:r w:rsidR="003605A2">
        <w:rPr>
          <w:rFonts w:ascii="Bookman Old Style" w:hAnsi="Bookman Old Style" w:cs="Arial"/>
          <w:lang w:val="es-CO"/>
        </w:rPr>
        <w:t>n las interrupciones que no deb</w:t>
      </w:r>
      <w:r>
        <w:rPr>
          <w:rFonts w:ascii="Bookman Old Style" w:hAnsi="Bookman Old Style" w:cs="Arial"/>
          <w:lang w:val="es-CO"/>
        </w:rPr>
        <w:t>ía</w:t>
      </w:r>
      <w:r w:rsidR="003605A2">
        <w:rPr>
          <w:rFonts w:ascii="Bookman Old Style" w:hAnsi="Bookman Old Style" w:cs="Arial"/>
          <w:lang w:val="es-CO"/>
        </w:rPr>
        <w:t>n tener</w:t>
      </w:r>
      <w:r w:rsidR="0005523B">
        <w:rPr>
          <w:rFonts w:ascii="Bookman Old Style" w:hAnsi="Bookman Old Style" w:cs="Arial"/>
          <w:lang w:val="es-CO"/>
        </w:rPr>
        <w:t xml:space="preserve">se </w:t>
      </w:r>
      <w:r w:rsidR="003605A2">
        <w:rPr>
          <w:rFonts w:ascii="Bookman Old Style" w:hAnsi="Bookman Old Style" w:cs="Arial"/>
          <w:lang w:val="es-CO"/>
        </w:rPr>
        <w:t>en cuenta para el cálculo de los indicadores de calidad</w:t>
      </w:r>
      <w:r w:rsidR="003605A2" w:rsidRPr="003605A2">
        <w:rPr>
          <w:rFonts w:ascii="Bookman Old Style" w:hAnsi="Bookman Old Style" w:cs="Arial"/>
          <w:lang w:val="es-CO"/>
        </w:rPr>
        <w:t xml:space="preserve"> </w:t>
      </w:r>
      <w:r w:rsidR="003605A2">
        <w:rPr>
          <w:rFonts w:ascii="Bookman Old Style" w:hAnsi="Bookman Old Style" w:cs="Arial"/>
          <w:lang w:val="es-CO"/>
        </w:rPr>
        <w:t>definidos en esa resolución</w:t>
      </w:r>
      <w:r w:rsidR="00D41698">
        <w:rPr>
          <w:rFonts w:ascii="Bookman Old Style" w:hAnsi="Bookman Old Style" w:cs="Arial"/>
          <w:lang w:val="es-CO"/>
        </w:rPr>
        <w:t>,</w:t>
      </w:r>
      <w:r w:rsidR="003605A2">
        <w:rPr>
          <w:rFonts w:ascii="Bookman Old Style" w:hAnsi="Bookman Old Style" w:cs="Arial"/>
          <w:lang w:val="es-CO"/>
        </w:rPr>
        <w:t xml:space="preserve"> de</w:t>
      </w:r>
      <w:r w:rsidR="00D41698">
        <w:rPr>
          <w:rFonts w:ascii="Bookman Old Style" w:hAnsi="Bookman Old Style" w:cs="Arial"/>
          <w:lang w:val="es-CO"/>
        </w:rPr>
        <w:t xml:space="preserve"> </w:t>
      </w:r>
      <w:r w:rsidR="003605A2">
        <w:rPr>
          <w:rFonts w:ascii="Bookman Old Style" w:hAnsi="Bookman Old Style" w:cs="Arial"/>
          <w:lang w:val="es-CO"/>
        </w:rPr>
        <w:t xml:space="preserve">los </w:t>
      </w:r>
      <w:r w:rsidR="00D41698">
        <w:rPr>
          <w:rFonts w:ascii="Bookman Old Style" w:hAnsi="Bookman Old Style" w:cs="Arial"/>
          <w:lang w:val="es-CO"/>
        </w:rPr>
        <w:t xml:space="preserve">que hace parte el </w:t>
      </w:r>
      <w:r w:rsidR="00D41698" w:rsidRPr="00D41698">
        <w:rPr>
          <w:rFonts w:ascii="Bookman Old Style" w:hAnsi="Bookman Old Style" w:cs="Arial"/>
          <w:lang w:val="es-CO"/>
        </w:rPr>
        <w:t>Indicador de Duración Equivalente de las Interrupciones del Servicio</w:t>
      </w:r>
      <w:r w:rsidR="00D41698">
        <w:rPr>
          <w:rFonts w:ascii="Bookman Old Style" w:hAnsi="Bookman Old Style" w:cs="Arial"/>
          <w:lang w:val="es-CO"/>
        </w:rPr>
        <w:t xml:space="preserve">, </w:t>
      </w:r>
      <w:proofErr w:type="spellStart"/>
      <w:r w:rsidR="00D41698" w:rsidRPr="001F555C">
        <w:rPr>
          <w:rFonts w:ascii="Bookman Old Style" w:hAnsi="Bookman Old Style" w:cs="Arial"/>
          <w:i/>
          <w:lang w:val="es-CO"/>
        </w:rPr>
        <w:t>DES</w:t>
      </w:r>
      <w:r w:rsidRPr="001F555C">
        <w:rPr>
          <w:rFonts w:ascii="Bookman Old Style" w:hAnsi="Bookman Old Style" w:cs="Arial"/>
          <w:i/>
          <w:vertAlign w:val="subscript"/>
          <w:lang w:val="es-CO"/>
        </w:rPr>
        <w:t>c</w:t>
      </w:r>
      <w:r w:rsidR="00D41698">
        <w:rPr>
          <w:rFonts w:ascii="Bookman Old Style" w:hAnsi="Bookman Old Style" w:cs="Arial"/>
          <w:lang w:val="es-CO"/>
        </w:rPr>
        <w:t>.</w:t>
      </w:r>
      <w:proofErr w:type="spellEnd"/>
    </w:p>
    <w:p w:rsidR="003605A2" w:rsidRPr="003605A2" w:rsidRDefault="003605A2" w:rsidP="006C25F7">
      <w:pPr>
        <w:ind w:left="0"/>
        <w:jc w:val="both"/>
        <w:rPr>
          <w:rFonts w:ascii="Bookman Old Style" w:hAnsi="Bookman Old Style"/>
          <w:lang w:val="es-CO"/>
        </w:rPr>
      </w:pPr>
    </w:p>
    <w:p w:rsidR="0081495E" w:rsidRDefault="00E262FE" w:rsidP="006C25F7">
      <w:pPr>
        <w:ind w:left="0"/>
        <w:jc w:val="both"/>
        <w:rPr>
          <w:rFonts w:ascii="Bookman Old Style" w:hAnsi="Bookman Old Style"/>
          <w:szCs w:val="23"/>
        </w:rPr>
      </w:pPr>
      <w:r>
        <w:rPr>
          <w:rFonts w:ascii="Bookman Old Style" w:hAnsi="Bookman Old Style"/>
        </w:rPr>
        <w:t>La Comisión</w:t>
      </w:r>
      <w:r w:rsidR="001F555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con la </w:t>
      </w:r>
      <w:r w:rsidRPr="00E262FE">
        <w:rPr>
          <w:rFonts w:ascii="Bookman Old Style" w:hAnsi="Bookman Old Style"/>
          <w:szCs w:val="23"/>
          <w:lang w:val="es-CO"/>
        </w:rPr>
        <w:t xml:space="preserve">Resolución CREG 097 de 2008 </w:t>
      </w:r>
      <w:r>
        <w:rPr>
          <w:rFonts w:ascii="Bookman Old Style" w:hAnsi="Bookman Old Style"/>
          <w:szCs w:val="23"/>
        </w:rPr>
        <w:t>aprobó</w:t>
      </w:r>
      <w:r w:rsidRPr="00E262FE">
        <w:rPr>
          <w:rFonts w:ascii="Bookman Old Style" w:hAnsi="Bookman Old Style"/>
          <w:szCs w:val="23"/>
        </w:rPr>
        <w:t xml:space="preserve"> los principios generales y la metodología para el establecimiento de los cargos por uso de los Sistemas de Transmisión Regional</w:t>
      </w:r>
      <w:r w:rsidR="00D14DE8" w:rsidRPr="00D14DE8">
        <w:rPr>
          <w:rFonts w:ascii="Bookman Old Style" w:hAnsi="Bookman Old Style"/>
          <w:szCs w:val="23"/>
        </w:rPr>
        <w:t>, STR,</w:t>
      </w:r>
      <w:r w:rsidRPr="00E262FE">
        <w:rPr>
          <w:rFonts w:ascii="Bookman Old Style" w:hAnsi="Bookman Old Style"/>
          <w:szCs w:val="23"/>
        </w:rPr>
        <w:t xml:space="preserve"> y </w:t>
      </w:r>
      <w:r w:rsidR="00D14DE8" w:rsidRPr="00E262FE">
        <w:rPr>
          <w:rFonts w:ascii="Bookman Old Style" w:hAnsi="Bookman Old Style"/>
          <w:szCs w:val="23"/>
        </w:rPr>
        <w:t xml:space="preserve">los Sistemas </w:t>
      </w:r>
      <w:r w:rsidR="00D14DE8">
        <w:rPr>
          <w:rFonts w:ascii="Bookman Old Style" w:hAnsi="Bookman Old Style"/>
          <w:szCs w:val="23"/>
        </w:rPr>
        <w:t xml:space="preserve">de </w:t>
      </w:r>
      <w:r w:rsidRPr="00E262FE">
        <w:rPr>
          <w:rFonts w:ascii="Bookman Old Style" w:hAnsi="Bookman Old Style"/>
          <w:szCs w:val="23"/>
        </w:rPr>
        <w:t>Distribución Local</w:t>
      </w:r>
      <w:r w:rsidR="00073223">
        <w:rPr>
          <w:rFonts w:ascii="Bookman Old Style" w:hAnsi="Bookman Old Style"/>
          <w:szCs w:val="23"/>
        </w:rPr>
        <w:t xml:space="preserve">, </w:t>
      </w:r>
      <w:r w:rsidR="00D14DE8">
        <w:rPr>
          <w:rFonts w:ascii="Bookman Old Style" w:hAnsi="Bookman Old Style"/>
          <w:szCs w:val="23"/>
        </w:rPr>
        <w:t xml:space="preserve">SDL, </w:t>
      </w:r>
      <w:r w:rsidR="00073223">
        <w:rPr>
          <w:rFonts w:ascii="Bookman Old Style" w:hAnsi="Bookman Old Style"/>
          <w:szCs w:val="23"/>
        </w:rPr>
        <w:t>y además defin</w:t>
      </w:r>
      <w:r w:rsidR="00D14DE8">
        <w:rPr>
          <w:rFonts w:ascii="Bookman Old Style" w:hAnsi="Bookman Old Style"/>
          <w:szCs w:val="23"/>
        </w:rPr>
        <w:t>ió</w:t>
      </w:r>
      <w:r w:rsidR="00073223">
        <w:rPr>
          <w:rFonts w:ascii="Bookman Old Style" w:hAnsi="Bookman Old Style"/>
          <w:szCs w:val="23"/>
        </w:rPr>
        <w:t xml:space="preserve"> </w:t>
      </w:r>
      <w:r w:rsidR="0081495E">
        <w:rPr>
          <w:rFonts w:ascii="Bookman Old Style" w:hAnsi="Bookman Old Style"/>
          <w:szCs w:val="23"/>
        </w:rPr>
        <w:t>un nuevo esquema de calidad del servicio, con metodologías diferentes para el</w:t>
      </w:r>
      <w:r w:rsidR="00D14DE8">
        <w:rPr>
          <w:rFonts w:ascii="Bookman Old Style" w:hAnsi="Bookman Old Style"/>
          <w:szCs w:val="23"/>
        </w:rPr>
        <w:t xml:space="preserve"> STR y para el </w:t>
      </w:r>
      <w:r w:rsidR="0081495E">
        <w:rPr>
          <w:rFonts w:ascii="Bookman Old Style" w:hAnsi="Bookman Old Style"/>
          <w:szCs w:val="23"/>
        </w:rPr>
        <w:t>SDL.</w:t>
      </w:r>
    </w:p>
    <w:p w:rsidR="0081495E" w:rsidRDefault="0081495E" w:rsidP="006C25F7">
      <w:pPr>
        <w:ind w:left="0"/>
        <w:jc w:val="both"/>
        <w:rPr>
          <w:rFonts w:ascii="Bookman Old Style" w:hAnsi="Bookman Old Style"/>
          <w:szCs w:val="23"/>
        </w:rPr>
      </w:pPr>
    </w:p>
    <w:p w:rsidR="0081495E" w:rsidRDefault="0081495E" w:rsidP="006C25F7">
      <w:pPr>
        <w:ind w:left="0"/>
        <w:jc w:val="both"/>
        <w:rPr>
          <w:rFonts w:ascii="Bookman Old Style" w:hAnsi="Bookman Old Style"/>
          <w:szCs w:val="23"/>
          <w:lang w:val="es-CO"/>
        </w:rPr>
      </w:pPr>
      <w:r>
        <w:rPr>
          <w:rFonts w:ascii="Bookman Old Style" w:hAnsi="Bookman Old Style"/>
          <w:szCs w:val="23"/>
        </w:rPr>
        <w:t xml:space="preserve">En particular para el SDL, </w:t>
      </w:r>
      <w:r w:rsidR="00073223">
        <w:rPr>
          <w:rFonts w:ascii="Bookman Old Style" w:hAnsi="Bookman Old Style"/>
          <w:szCs w:val="23"/>
        </w:rPr>
        <w:t>e</w:t>
      </w:r>
      <w:r w:rsidRPr="0081495E">
        <w:rPr>
          <w:rFonts w:ascii="Bookman Old Style" w:hAnsi="Bookman Old Style"/>
          <w:szCs w:val="23"/>
          <w:lang w:val="es-CO"/>
        </w:rPr>
        <w:t xml:space="preserve">l numeral 11.2.6 del anexo </w:t>
      </w:r>
      <w:r>
        <w:rPr>
          <w:rFonts w:ascii="Bookman Old Style" w:hAnsi="Bookman Old Style"/>
          <w:szCs w:val="23"/>
          <w:lang w:val="es-CO"/>
        </w:rPr>
        <w:t xml:space="preserve">general de la </w:t>
      </w:r>
      <w:r w:rsidRPr="0081495E">
        <w:rPr>
          <w:rFonts w:ascii="Bookman Old Style" w:hAnsi="Bookman Old Style"/>
          <w:szCs w:val="23"/>
          <w:lang w:val="es-CO"/>
        </w:rPr>
        <w:t xml:space="preserve">Resolución CREG 097 de 2008 </w:t>
      </w:r>
      <w:r>
        <w:rPr>
          <w:rFonts w:ascii="Bookman Old Style" w:hAnsi="Bookman Old Style"/>
          <w:szCs w:val="23"/>
          <w:lang w:val="es-CO"/>
        </w:rPr>
        <w:t xml:space="preserve"> </w:t>
      </w:r>
      <w:r w:rsidRPr="0081495E">
        <w:rPr>
          <w:rFonts w:ascii="Bookman Old Style" w:hAnsi="Bookman Old Style"/>
          <w:szCs w:val="23"/>
          <w:lang w:val="es-CO"/>
        </w:rPr>
        <w:t xml:space="preserve">señala los requisitos necesarios para dar inicio al </w:t>
      </w:r>
      <w:r w:rsidRPr="0081495E">
        <w:rPr>
          <w:rFonts w:ascii="Bookman Old Style" w:hAnsi="Bookman Old Style"/>
          <w:szCs w:val="23"/>
        </w:rPr>
        <w:t xml:space="preserve">esquema de incentivos y compensaciones a la calidad del servicio de distribución de energía eléctrica, momento a partir del cual los indicadores de calidad se deben calcular de acuerdo con lo previsto en la </w:t>
      </w:r>
      <w:r w:rsidRPr="0081495E">
        <w:rPr>
          <w:rFonts w:ascii="Bookman Old Style" w:hAnsi="Bookman Old Style"/>
          <w:szCs w:val="23"/>
          <w:lang w:val="es-CO"/>
        </w:rPr>
        <w:t xml:space="preserve">Resolución CREG </w:t>
      </w:r>
      <w:r w:rsidRPr="0081495E">
        <w:rPr>
          <w:rFonts w:ascii="Bookman Old Style" w:hAnsi="Bookman Old Style"/>
          <w:szCs w:val="23"/>
          <w:lang w:val="es-CO"/>
        </w:rPr>
        <w:lastRenderedPageBreak/>
        <w:t>097 de 2008</w:t>
      </w:r>
      <w:r w:rsidR="00073223">
        <w:rPr>
          <w:rFonts w:ascii="Bookman Old Style" w:hAnsi="Bookman Old Style"/>
          <w:szCs w:val="23"/>
          <w:lang w:val="es-CO"/>
        </w:rPr>
        <w:t xml:space="preserve">, donde </w:t>
      </w:r>
      <w:r w:rsidR="00073223">
        <w:rPr>
          <w:rFonts w:ascii="Bookman Old Style" w:hAnsi="Bookman Old Style"/>
          <w:szCs w:val="23"/>
        </w:rPr>
        <w:t>se estable</w:t>
      </w:r>
      <w:r w:rsidR="00D14DE8">
        <w:rPr>
          <w:rFonts w:ascii="Bookman Old Style" w:hAnsi="Bookman Old Style"/>
          <w:szCs w:val="23"/>
        </w:rPr>
        <w:t>ce</w:t>
      </w:r>
      <w:r w:rsidR="00073223">
        <w:rPr>
          <w:rFonts w:ascii="Bookman Old Style" w:hAnsi="Bookman Old Style"/>
          <w:szCs w:val="23"/>
        </w:rPr>
        <w:t xml:space="preserve"> un nuevo listado de indisponibilidades excluidas para el cálculo de estos indicadores.</w:t>
      </w:r>
    </w:p>
    <w:p w:rsidR="0081495E" w:rsidRDefault="0081495E" w:rsidP="006C25F7">
      <w:pPr>
        <w:ind w:left="0"/>
        <w:jc w:val="both"/>
        <w:rPr>
          <w:rFonts w:ascii="Bookman Old Style" w:hAnsi="Bookman Old Style"/>
          <w:szCs w:val="23"/>
          <w:lang w:val="es-CO"/>
        </w:rPr>
      </w:pPr>
    </w:p>
    <w:p w:rsidR="00D14DE8" w:rsidRDefault="00073223" w:rsidP="0026441C">
      <w:pPr>
        <w:ind w:left="0"/>
        <w:jc w:val="both"/>
        <w:rPr>
          <w:rFonts w:ascii="Bookman Old Style" w:hAnsi="Bookman Old Style"/>
          <w:szCs w:val="23"/>
        </w:rPr>
      </w:pPr>
      <w:r>
        <w:rPr>
          <w:rFonts w:ascii="Bookman Old Style" w:hAnsi="Bookman Old Style"/>
          <w:szCs w:val="23"/>
        </w:rPr>
        <w:t xml:space="preserve">De otra parte, el numeral </w:t>
      </w:r>
      <w:r w:rsidR="00A729D0">
        <w:rPr>
          <w:rFonts w:ascii="Bookman Old Style" w:hAnsi="Bookman Old Style"/>
          <w:szCs w:val="23"/>
        </w:rPr>
        <w:t xml:space="preserve">10.3.1 del </w:t>
      </w:r>
      <w:r w:rsidR="00A729D0" w:rsidRPr="00A729D0">
        <w:rPr>
          <w:rFonts w:ascii="Bookman Old Style" w:hAnsi="Bookman Old Style"/>
          <w:szCs w:val="23"/>
          <w:lang w:val="es-CO"/>
        </w:rPr>
        <w:t xml:space="preserve">anexo general de la Resolución CREG 097 de 2008 </w:t>
      </w:r>
      <w:r w:rsidR="00DC35E2">
        <w:rPr>
          <w:rFonts w:ascii="Bookman Old Style" w:hAnsi="Bookman Old Style"/>
          <w:szCs w:val="23"/>
          <w:lang w:val="es-CO"/>
        </w:rPr>
        <w:t xml:space="preserve">establece </w:t>
      </w:r>
      <w:r w:rsidR="0026441C" w:rsidRPr="0026441C">
        <w:rPr>
          <w:rFonts w:ascii="Bookman Old Style" w:hAnsi="Bookman Old Style"/>
          <w:szCs w:val="23"/>
          <w:lang w:val="es-CO"/>
        </w:rPr>
        <w:t xml:space="preserve">que el porcentaje de gastos de administración, operación y mantenimiento a reconocer, </w:t>
      </w:r>
      <w:proofErr w:type="spellStart"/>
      <w:r w:rsidR="0026441C" w:rsidRPr="0026441C">
        <w:rPr>
          <w:rFonts w:ascii="Bookman Old Style" w:hAnsi="Bookman Old Style"/>
          <w:i/>
          <w:szCs w:val="23"/>
          <w:lang w:val="es-CO"/>
        </w:rPr>
        <w:t>PAOM</w:t>
      </w:r>
      <w:r w:rsidR="0026441C" w:rsidRPr="0026441C">
        <w:rPr>
          <w:rFonts w:ascii="Bookman Old Style" w:hAnsi="Bookman Old Style"/>
          <w:i/>
          <w:szCs w:val="23"/>
          <w:vertAlign w:val="subscript"/>
          <w:lang w:val="es-CO"/>
        </w:rPr>
        <w:t>j</w:t>
      </w:r>
      <w:proofErr w:type="gramStart"/>
      <w:r w:rsidR="0026441C" w:rsidRPr="0026441C">
        <w:rPr>
          <w:rFonts w:ascii="Bookman Old Style" w:hAnsi="Bookman Old Style"/>
          <w:i/>
          <w:szCs w:val="23"/>
          <w:vertAlign w:val="subscript"/>
          <w:lang w:val="es-CO"/>
        </w:rPr>
        <w:t>,k</w:t>
      </w:r>
      <w:proofErr w:type="spellEnd"/>
      <w:proofErr w:type="gramEnd"/>
      <w:r w:rsidR="0026441C" w:rsidRPr="0026441C">
        <w:rPr>
          <w:rFonts w:ascii="Bookman Old Style" w:hAnsi="Bookman Old Style"/>
          <w:szCs w:val="23"/>
          <w:lang w:val="es-CO"/>
        </w:rPr>
        <w:t xml:space="preserve">, </w:t>
      </w:r>
      <w:r w:rsidR="0026441C">
        <w:rPr>
          <w:rFonts w:ascii="Bookman Old Style" w:hAnsi="Bookman Old Style"/>
          <w:szCs w:val="23"/>
          <w:lang w:val="es-CO"/>
        </w:rPr>
        <w:t>para</w:t>
      </w:r>
      <w:r w:rsidR="0026441C" w:rsidRPr="0026441C">
        <w:rPr>
          <w:rFonts w:ascii="Bookman Old Style" w:hAnsi="Bookman Old Style"/>
          <w:szCs w:val="23"/>
          <w:lang w:val="es-CO"/>
        </w:rPr>
        <w:t xml:space="preserve"> cada año </w:t>
      </w:r>
      <w:r w:rsidR="0026441C" w:rsidRPr="0026441C">
        <w:rPr>
          <w:rFonts w:ascii="Bookman Old Style" w:hAnsi="Bookman Old Style"/>
          <w:i/>
          <w:szCs w:val="23"/>
          <w:lang w:val="es-CO"/>
        </w:rPr>
        <w:t>k</w:t>
      </w:r>
      <w:r w:rsidR="0026441C">
        <w:rPr>
          <w:rFonts w:ascii="Bookman Old Style" w:hAnsi="Bookman Old Style"/>
          <w:i/>
          <w:szCs w:val="23"/>
          <w:lang w:val="es-CO"/>
        </w:rPr>
        <w:t>,</w:t>
      </w:r>
      <w:r w:rsidR="0026441C" w:rsidRPr="0026441C">
        <w:rPr>
          <w:rFonts w:ascii="Bookman Old Style" w:hAnsi="Bookman Old Style"/>
          <w:szCs w:val="23"/>
          <w:lang w:val="es-CO"/>
        </w:rPr>
        <w:t xml:space="preserve"> se determin</w:t>
      </w:r>
      <w:r w:rsidR="00D14DE8">
        <w:rPr>
          <w:rFonts w:ascii="Bookman Old Style" w:hAnsi="Bookman Old Style"/>
          <w:szCs w:val="23"/>
          <w:lang w:val="es-CO"/>
        </w:rPr>
        <w:t>a</w:t>
      </w:r>
      <w:r w:rsidR="0026441C" w:rsidRPr="0026441C">
        <w:rPr>
          <w:rFonts w:ascii="Bookman Old Style" w:hAnsi="Bookman Old Style"/>
          <w:szCs w:val="23"/>
          <w:lang w:val="es-CO"/>
        </w:rPr>
        <w:t xml:space="preserve"> a partir de la comparación de los</w:t>
      </w:r>
      <w:r w:rsidR="00DC35E2">
        <w:rPr>
          <w:rFonts w:ascii="Bookman Old Style" w:hAnsi="Bookman Old Style"/>
          <w:szCs w:val="23"/>
        </w:rPr>
        <w:t xml:space="preserve"> valores del </w:t>
      </w:r>
      <w:r w:rsidR="00DC35E2" w:rsidRPr="00464F97">
        <w:rPr>
          <w:rFonts w:ascii="Bookman Old Style" w:hAnsi="Bookman Old Style" w:cs="Arial"/>
          <w:szCs w:val="23"/>
          <w:lang w:val="es-CO"/>
        </w:rPr>
        <w:t>Índice Trimestral Agrupado de la Disconti</w:t>
      </w:r>
      <w:r w:rsidR="0026441C">
        <w:rPr>
          <w:rFonts w:ascii="Bookman Old Style" w:hAnsi="Bookman Old Style" w:cs="Arial"/>
          <w:szCs w:val="23"/>
          <w:lang w:val="es-CO"/>
        </w:rPr>
        <w:softHyphen/>
      </w:r>
      <w:r w:rsidR="00DC35E2" w:rsidRPr="00464F97">
        <w:rPr>
          <w:rFonts w:ascii="Bookman Old Style" w:hAnsi="Bookman Old Style" w:cs="Arial"/>
          <w:szCs w:val="23"/>
          <w:lang w:val="es-CO"/>
        </w:rPr>
        <w:t xml:space="preserve">nuidad, </w:t>
      </w:r>
      <w:proofErr w:type="spellStart"/>
      <w:r w:rsidR="00DC35E2" w:rsidRPr="00464F97">
        <w:rPr>
          <w:rFonts w:ascii="Bookman Old Style" w:hAnsi="Bookman Old Style" w:cs="Arial"/>
          <w:i/>
          <w:szCs w:val="23"/>
          <w:lang w:val="es-CO"/>
        </w:rPr>
        <w:t>ITAD</w:t>
      </w:r>
      <w:r w:rsidR="00DC35E2" w:rsidRPr="00464F97">
        <w:rPr>
          <w:rFonts w:ascii="Bookman Old Style" w:hAnsi="Bookman Old Style" w:cs="Arial"/>
          <w:i/>
          <w:szCs w:val="23"/>
          <w:vertAlign w:val="subscript"/>
          <w:lang w:val="es-CO"/>
        </w:rPr>
        <w:t>n,p</w:t>
      </w:r>
      <w:proofErr w:type="spellEnd"/>
      <w:r w:rsidR="00DC35E2" w:rsidRPr="00464F97">
        <w:rPr>
          <w:rFonts w:ascii="Bookman Old Style" w:hAnsi="Bookman Old Style" w:cs="Arial"/>
          <w:i/>
          <w:szCs w:val="23"/>
          <w:lang w:val="es-CO"/>
        </w:rPr>
        <w:t>,</w:t>
      </w:r>
      <w:r w:rsidR="00DC35E2" w:rsidRPr="00464F97">
        <w:rPr>
          <w:rFonts w:ascii="Bookman Old Style" w:hAnsi="Bookman Old Style" w:cs="Arial"/>
          <w:szCs w:val="23"/>
          <w:lang w:val="es-CO"/>
        </w:rPr>
        <w:t xml:space="preserve"> </w:t>
      </w:r>
      <w:r w:rsidR="00DC35E2">
        <w:rPr>
          <w:rFonts w:ascii="Bookman Old Style" w:hAnsi="Bookman Old Style" w:cs="Arial"/>
          <w:szCs w:val="23"/>
          <w:lang w:val="es-CO"/>
        </w:rPr>
        <w:t xml:space="preserve">de cada uno de los trimestres correspondientes a los </w:t>
      </w:r>
      <w:r w:rsidR="00DC35E2">
        <w:rPr>
          <w:rFonts w:ascii="Bookman Old Style" w:hAnsi="Bookman Old Style"/>
          <w:szCs w:val="23"/>
        </w:rPr>
        <w:t>años anteriores a la actualización.</w:t>
      </w:r>
    </w:p>
    <w:p w:rsidR="00D14DE8" w:rsidRDefault="00D14DE8" w:rsidP="0026441C">
      <w:pPr>
        <w:ind w:left="0"/>
        <w:jc w:val="both"/>
        <w:rPr>
          <w:rFonts w:ascii="Bookman Old Style" w:hAnsi="Bookman Old Style"/>
          <w:szCs w:val="23"/>
        </w:rPr>
      </w:pPr>
    </w:p>
    <w:p w:rsidR="00F15EDF" w:rsidRDefault="0026441C" w:rsidP="0026441C">
      <w:pPr>
        <w:ind w:left="0"/>
        <w:jc w:val="both"/>
        <w:rPr>
          <w:rFonts w:ascii="Bookman Old Style" w:hAnsi="Bookman Old Style" w:cs="Arial"/>
          <w:szCs w:val="23"/>
        </w:rPr>
      </w:pPr>
      <w:r>
        <w:rPr>
          <w:rFonts w:ascii="Bookman Old Style" w:hAnsi="Bookman Old Style"/>
          <w:szCs w:val="23"/>
        </w:rPr>
        <w:t xml:space="preserve">Sobre </w:t>
      </w:r>
      <w:r w:rsidR="00D14DE8">
        <w:rPr>
          <w:rFonts w:ascii="Bookman Old Style" w:hAnsi="Bookman Old Style"/>
          <w:szCs w:val="23"/>
        </w:rPr>
        <w:t>l</w:t>
      </w:r>
      <w:r>
        <w:rPr>
          <w:rFonts w:ascii="Bookman Old Style" w:hAnsi="Bookman Old Style"/>
          <w:szCs w:val="23"/>
        </w:rPr>
        <w:t>a actualización</w:t>
      </w:r>
      <w:r w:rsidR="00D14DE8">
        <w:rPr>
          <w:rFonts w:ascii="Bookman Old Style" w:hAnsi="Bookman Old Style"/>
          <w:szCs w:val="23"/>
        </w:rPr>
        <w:t xml:space="preserve"> del</w:t>
      </w:r>
      <w:r>
        <w:rPr>
          <w:rFonts w:ascii="Bookman Old Style" w:hAnsi="Bookman Old Style"/>
          <w:szCs w:val="23"/>
        </w:rPr>
        <w:t xml:space="preserve"> </w:t>
      </w:r>
      <w:proofErr w:type="spellStart"/>
      <w:r w:rsidR="00D14DE8" w:rsidRPr="00D14DE8">
        <w:rPr>
          <w:rFonts w:ascii="Bookman Old Style" w:hAnsi="Bookman Old Style"/>
          <w:i/>
          <w:szCs w:val="23"/>
          <w:lang w:val="es-CO"/>
        </w:rPr>
        <w:t>PAOM</w:t>
      </w:r>
      <w:r w:rsidR="00D14DE8" w:rsidRPr="00D14DE8">
        <w:rPr>
          <w:rFonts w:ascii="Bookman Old Style" w:hAnsi="Bookman Old Style"/>
          <w:i/>
          <w:szCs w:val="23"/>
          <w:vertAlign w:val="subscript"/>
          <w:lang w:val="es-CO"/>
        </w:rPr>
        <w:t>j</w:t>
      </w:r>
      <w:proofErr w:type="gramStart"/>
      <w:r w:rsidR="00D14DE8" w:rsidRPr="00D14DE8">
        <w:rPr>
          <w:rFonts w:ascii="Bookman Old Style" w:hAnsi="Bookman Old Style"/>
          <w:i/>
          <w:szCs w:val="23"/>
          <w:vertAlign w:val="subscript"/>
          <w:lang w:val="es-CO"/>
        </w:rPr>
        <w:t>,k</w:t>
      </w:r>
      <w:proofErr w:type="spellEnd"/>
      <w:proofErr w:type="gramEnd"/>
      <w:r w:rsidR="00D14DE8" w:rsidRPr="00D14DE8">
        <w:rPr>
          <w:rFonts w:ascii="Bookman Old Style" w:hAnsi="Bookman Old Style"/>
          <w:szCs w:val="23"/>
          <w:lang w:val="es-CO"/>
        </w:rPr>
        <w:t xml:space="preserve">, </w:t>
      </w:r>
      <w:r w:rsidR="00F15EDF">
        <w:rPr>
          <w:rFonts w:ascii="Bookman Old Style" w:hAnsi="Bookman Old Style" w:cs="Arial"/>
          <w:szCs w:val="23"/>
        </w:rPr>
        <w:t xml:space="preserve">el penúltimo inciso del </w:t>
      </w:r>
      <w:r w:rsidR="00371483">
        <w:rPr>
          <w:rFonts w:ascii="Bookman Old Style" w:hAnsi="Bookman Old Style" w:cs="Arial"/>
          <w:szCs w:val="23"/>
        </w:rPr>
        <w:t xml:space="preserve">citado </w:t>
      </w:r>
      <w:r w:rsidR="00F15EDF">
        <w:rPr>
          <w:rFonts w:ascii="Bookman Old Style" w:hAnsi="Bookman Old Style" w:cs="Arial"/>
          <w:szCs w:val="23"/>
        </w:rPr>
        <w:t xml:space="preserve">numeral </w:t>
      </w:r>
      <w:r w:rsidR="00464F97">
        <w:rPr>
          <w:rFonts w:ascii="Bookman Old Style" w:hAnsi="Bookman Old Style" w:cs="Arial"/>
          <w:szCs w:val="23"/>
        </w:rPr>
        <w:t>señala:</w:t>
      </w:r>
    </w:p>
    <w:p w:rsidR="00464F97" w:rsidRDefault="00464F97" w:rsidP="006C25F7">
      <w:pPr>
        <w:ind w:left="0"/>
        <w:jc w:val="both"/>
        <w:rPr>
          <w:rFonts w:ascii="Bookman Old Style" w:hAnsi="Bookman Old Style" w:cs="Arial"/>
          <w:szCs w:val="23"/>
        </w:rPr>
      </w:pPr>
    </w:p>
    <w:p w:rsidR="00464F97" w:rsidRPr="00464F97" w:rsidRDefault="00464F97" w:rsidP="00464F97">
      <w:pPr>
        <w:ind w:left="426" w:right="284"/>
        <w:jc w:val="both"/>
        <w:rPr>
          <w:rFonts w:ascii="Bookman Old Style" w:hAnsi="Bookman Old Style" w:cs="Arial"/>
          <w:i/>
          <w:sz w:val="22"/>
          <w:szCs w:val="23"/>
        </w:rPr>
      </w:pPr>
      <w:r w:rsidRPr="00464F97">
        <w:rPr>
          <w:rFonts w:ascii="Bookman Old Style" w:hAnsi="Bookman Old Style" w:cs="Arial"/>
          <w:i/>
          <w:sz w:val="22"/>
          <w:szCs w:val="23"/>
        </w:rPr>
        <w:t xml:space="preserve">A partir del primer trimestre del año 2008 y hasta que se inicie con la aplicación del esquema de incentivos de calidad presentado en el CAPÍTULO 11, cada OR j deberá calcular el Índice Trimestral Agrupado de la Discontinuidad, </w:t>
      </w:r>
      <w:proofErr w:type="spellStart"/>
      <w:r w:rsidRPr="00464F97">
        <w:rPr>
          <w:rFonts w:ascii="Bookman Old Style" w:hAnsi="Bookman Old Style" w:cs="Arial"/>
          <w:i/>
          <w:sz w:val="22"/>
          <w:szCs w:val="23"/>
        </w:rPr>
        <w:t>ITAD</w:t>
      </w:r>
      <w:r w:rsidRPr="00464F97">
        <w:rPr>
          <w:rFonts w:ascii="Bookman Old Style" w:hAnsi="Bookman Old Style" w:cs="Arial"/>
          <w:i/>
          <w:sz w:val="22"/>
          <w:szCs w:val="23"/>
          <w:vertAlign w:val="subscript"/>
        </w:rPr>
        <w:t>n,p</w:t>
      </w:r>
      <w:proofErr w:type="spellEnd"/>
      <w:r w:rsidRPr="00464F97">
        <w:rPr>
          <w:rFonts w:ascii="Bookman Old Style" w:hAnsi="Bookman Old Style" w:cs="Arial"/>
          <w:i/>
          <w:sz w:val="22"/>
          <w:szCs w:val="23"/>
        </w:rPr>
        <w:t>, establecido en el numeral 11.2.3.2 de este Anexo, con base en los valores reportados para el indicador DES.</w:t>
      </w:r>
    </w:p>
    <w:p w:rsidR="00D41698" w:rsidRDefault="00D41698" w:rsidP="006C25F7">
      <w:pPr>
        <w:ind w:left="0"/>
        <w:jc w:val="both"/>
        <w:rPr>
          <w:rFonts w:ascii="Bookman Old Style" w:hAnsi="Bookman Old Style" w:cs="Arial"/>
          <w:szCs w:val="23"/>
          <w:lang w:val="es-CO"/>
        </w:rPr>
      </w:pPr>
    </w:p>
    <w:p w:rsidR="003605A2" w:rsidRDefault="00D41698" w:rsidP="006C25F7">
      <w:pPr>
        <w:ind w:left="0"/>
        <w:jc w:val="both"/>
        <w:rPr>
          <w:rFonts w:ascii="Bookman Old Style" w:hAnsi="Bookman Old Style" w:cs="Arial"/>
          <w:szCs w:val="23"/>
          <w:lang w:val="es-CO"/>
        </w:rPr>
      </w:pPr>
      <w:r>
        <w:rPr>
          <w:rFonts w:ascii="Bookman Old Style" w:hAnsi="Bookman Old Style" w:cs="Arial"/>
          <w:szCs w:val="23"/>
          <w:lang w:val="es-CO"/>
        </w:rPr>
        <w:t>La lista de las interrupciones que no deben tener</w:t>
      </w:r>
      <w:r w:rsidR="0005523B">
        <w:rPr>
          <w:rFonts w:ascii="Bookman Old Style" w:hAnsi="Bookman Old Style" w:cs="Arial"/>
          <w:szCs w:val="23"/>
          <w:lang w:val="es-CO"/>
        </w:rPr>
        <w:t xml:space="preserve">se </w:t>
      </w:r>
      <w:r>
        <w:rPr>
          <w:rFonts w:ascii="Bookman Old Style" w:hAnsi="Bookman Old Style" w:cs="Arial"/>
          <w:szCs w:val="23"/>
          <w:lang w:val="es-CO"/>
        </w:rPr>
        <w:t>en cuenta para el cálculo de</w:t>
      </w:r>
      <w:r w:rsidR="0005523B" w:rsidRPr="0005523B">
        <w:rPr>
          <w:rFonts w:ascii="Bookman Old Style" w:hAnsi="Bookman Old Style" w:cs="Arial"/>
          <w:szCs w:val="23"/>
          <w:lang w:val="es-CO"/>
        </w:rPr>
        <w:t xml:space="preserve">l indicador </w:t>
      </w:r>
      <w:proofErr w:type="spellStart"/>
      <w:r w:rsidR="0005523B" w:rsidRPr="0005523B">
        <w:rPr>
          <w:rFonts w:ascii="Bookman Old Style" w:hAnsi="Bookman Old Style" w:cs="Arial"/>
          <w:i/>
          <w:szCs w:val="23"/>
          <w:lang w:val="es-CO"/>
        </w:rPr>
        <w:t>DES</w:t>
      </w:r>
      <w:r w:rsidR="0005523B" w:rsidRPr="0005523B">
        <w:rPr>
          <w:rFonts w:ascii="Bookman Old Style" w:hAnsi="Bookman Old Style" w:cs="Arial"/>
          <w:i/>
          <w:szCs w:val="23"/>
          <w:vertAlign w:val="subscript"/>
          <w:lang w:val="es-CO"/>
        </w:rPr>
        <w:t>c</w:t>
      </w:r>
      <w:proofErr w:type="spellEnd"/>
      <w:r w:rsidR="0005523B" w:rsidRPr="0005523B">
        <w:rPr>
          <w:rFonts w:ascii="Bookman Old Style" w:hAnsi="Bookman Old Style" w:cs="Arial"/>
          <w:szCs w:val="23"/>
          <w:lang w:val="es-CO"/>
        </w:rPr>
        <w:t xml:space="preserve">, definida en la  Resolución CREG 096 de 2000, es diferente a la lista de interrupciones para </w:t>
      </w:r>
      <w:r w:rsidR="0005523B" w:rsidRPr="0005523B">
        <w:rPr>
          <w:rFonts w:ascii="Bookman Old Style" w:hAnsi="Bookman Old Style" w:cs="Arial"/>
          <w:szCs w:val="23"/>
        </w:rPr>
        <w:t xml:space="preserve">calcular el Índice Trimestral Agrupado de la Discontinuidad, </w:t>
      </w:r>
      <w:proofErr w:type="spellStart"/>
      <w:r w:rsidR="0005523B" w:rsidRPr="0005523B">
        <w:rPr>
          <w:rFonts w:ascii="Bookman Old Style" w:hAnsi="Bookman Old Style" w:cs="Arial"/>
          <w:i/>
          <w:szCs w:val="23"/>
        </w:rPr>
        <w:t>ITAD</w:t>
      </w:r>
      <w:r w:rsidR="0005523B" w:rsidRPr="0005523B">
        <w:rPr>
          <w:rFonts w:ascii="Bookman Old Style" w:hAnsi="Bookman Old Style" w:cs="Arial"/>
          <w:i/>
          <w:szCs w:val="23"/>
          <w:vertAlign w:val="subscript"/>
        </w:rPr>
        <w:t>n,p</w:t>
      </w:r>
      <w:proofErr w:type="spellEnd"/>
      <w:r w:rsidR="0005523B" w:rsidRPr="0005523B">
        <w:rPr>
          <w:rFonts w:ascii="Bookman Old Style" w:hAnsi="Bookman Old Style" w:cs="Arial"/>
          <w:i/>
          <w:szCs w:val="23"/>
        </w:rPr>
        <w:t xml:space="preserve">, </w:t>
      </w:r>
      <w:r w:rsidR="0005523B" w:rsidRPr="0005523B">
        <w:rPr>
          <w:rFonts w:ascii="Bookman Old Style" w:hAnsi="Bookman Old Style" w:cs="Arial"/>
          <w:szCs w:val="23"/>
          <w:lang w:val="es-CO"/>
        </w:rPr>
        <w:t>definida en la Resolución CREG 097 de 2008</w:t>
      </w:r>
      <w:r>
        <w:rPr>
          <w:rFonts w:ascii="Bookman Old Style" w:hAnsi="Bookman Old Style" w:cs="Arial"/>
          <w:szCs w:val="23"/>
          <w:lang w:val="es-CO"/>
        </w:rPr>
        <w:t xml:space="preserve">, lo que ocasiona que </w:t>
      </w:r>
      <w:r w:rsidR="00D14DE8">
        <w:rPr>
          <w:rFonts w:ascii="Bookman Old Style" w:hAnsi="Bookman Old Style" w:cs="Arial"/>
          <w:szCs w:val="23"/>
          <w:lang w:val="es-CO"/>
        </w:rPr>
        <w:t>los</w:t>
      </w:r>
      <w:r>
        <w:rPr>
          <w:rFonts w:ascii="Bookman Old Style" w:hAnsi="Bookman Old Style" w:cs="Arial"/>
          <w:szCs w:val="23"/>
          <w:lang w:val="es-CO"/>
        </w:rPr>
        <w:t xml:space="preserve"> </w:t>
      </w:r>
      <w:proofErr w:type="spellStart"/>
      <w:r w:rsidRPr="00D41698">
        <w:rPr>
          <w:rFonts w:ascii="Bookman Old Style" w:hAnsi="Bookman Old Style" w:cs="Arial"/>
          <w:i/>
          <w:szCs w:val="23"/>
          <w:lang w:val="es-CO"/>
        </w:rPr>
        <w:t>ITAD</w:t>
      </w:r>
      <w:r w:rsidRPr="00D41698">
        <w:rPr>
          <w:rFonts w:ascii="Bookman Old Style" w:hAnsi="Bookman Old Style" w:cs="Arial"/>
          <w:i/>
          <w:szCs w:val="23"/>
          <w:vertAlign w:val="subscript"/>
          <w:lang w:val="es-CO"/>
        </w:rPr>
        <w:t>n,p</w:t>
      </w:r>
      <w:proofErr w:type="spellEnd"/>
      <w:r>
        <w:rPr>
          <w:rFonts w:ascii="Bookman Old Style" w:hAnsi="Bookman Old Style" w:cs="Arial"/>
          <w:szCs w:val="23"/>
          <w:lang w:val="es-CO"/>
        </w:rPr>
        <w:t xml:space="preserve">, </w:t>
      </w:r>
      <w:r w:rsidR="003511D8">
        <w:rPr>
          <w:rFonts w:ascii="Bookman Old Style" w:hAnsi="Bookman Old Style" w:cs="Arial"/>
          <w:szCs w:val="23"/>
          <w:lang w:val="es-CO"/>
        </w:rPr>
        <w:t>que debe</w:t>
      </w:r>
      <w:r w:rsidR="0005523B">
        <w:rPr>
          <w:rFonts w:ascii="Bookman Old Style" w:hAnsi="Bookman Old Style" w:cs="Arial"/>
          <w:szCs w:val="23"/>
          <w:lang w:val="es-CO"/>
        </w:rPr>
        <w:t>n</w:t>
      </w:r>
      <w:r w:rsidR="003511D8">
        <w:rPr>
          <w:rFonts w:ascii="Bookman Old Style" w:hAnsi="Bookman Old Style" w:cs="Arial"/>
          <w:szCs w:val="23"/>
          <w:lang w:val="es-CO"/>
        </w:rPr>
        <w:t xml:space="preserve"> calcular</w:t>
      </w:r>
      <w:r w:rsidR="0005523B">
        <w:rPr>
          <w:rFonts w:ascii="Bookman Old Style" w:hAnsi="Bookman Old Style" w:cs="Arial"/>
          <w:szCs w:val="23"/>
          <w:lang w:val="es-CO"/>
        </w:rPr>
        <w:t xml:space="preserve">se </w:t>
      </w:r>
      <w:r>
        <w:rPr>
          <w:rFonts w:ascii="Bookman Old Style" w:hAnsi="Bookman Old Style" w:cs="Arial"/>
          <w:szCs w:val="23"/>
          <w:lang w:val="es-CO"/>
        </w:rPr>
        <w:t xml:space="preserve">con la metodología </w:t>
      </w:r>
      <w:r w:rsidRPr="00D41698">
        <w:rPr>
          <w:rFonts w:ascii="Bookman Old Style" w:hAnsi="Bookman Old Style" w:cs="Arial"/>
          <w:szCs w:val="23"/>
          <w:lang w:val="es-CO"/>
        </w:rPr>
        <w:t>de la Resolución CREG 097 de 2008</w:t>
      </w:r>
      <w:r>
        <w:rPr>
          <w:rFonts w:ascii="Bookman Old Style" w:hAnsi="Bookman Old Style" w:cs="Arial"/>
          <w:szCs w:val="23"/>
          <w:lang w:val="es-CO"/>
        </w:rPr>
        <w:t xml:space="preserve"> una vez se ha dado inicio al esquema de </w:t>
      </w:r>
      <w:r w:rsidRPr="0026441C">
        <w:rPr>
          <w:rFonts w:ascii="Bookman Old Style" w:hAnsi="Bookman Old Style" w:cs="Arial"/>
          <w:szCs w:val="23"/>
          <w:lang w:val="es-CO"/>
        </w:rPr>
        <w:t>incentivos, no sea</w:t>
      </w:r>
      <w:r w:rsidR="00D14DE8">
        <w:rPr>
          <w:rFonts w:ascii="Bookman Old Style" w:hAnsi="Bookman Old Style" w:cs="Arial"/>
          <w:szCs w:val="23"/>
          <w:lang w:val="es-CO"/>
        </w:rPr>
        <w:t>n</w:t>
      </w:r>
      <w:r w:rsidRPr="0026441C">
        <w:rPr>
          <w:rFonts w:ascii="Bookman Old Style" w:hAnsi="Bookman Old Style" w:cs="Arial"/>
          <w:szCs w:val="23"/>
          <w:lang w:val="es-CO"/>
        </w:rPr>
        <w:t xml:space="preserve"> comparable</w:t>
      </w:r>
      <w:r w:rsidR="00D14DE8">
        <w:rPr>
          <w:rFonts w:ascii="Bookman Old Style" w:hAnsi="Bookman Old Style" w:cs="Arial"/>
          <w:szCs w:val="23"/>
          <w:lang w:val="es-CO"/>
        </w:rPr>
        <w:t>s</w:t>
      </w:r>
      <w:r w:rsidRPr="0026441C">
        <w:rPr>
          <w:rFonts w:ascii="Bookman Old Style" w:hAnsi="Bookman Old Style" w:cs="Arial"/>
          <w:szCs w:val="23"/>
          <w:lang w:val="es-CO"/>
        </w:rPr>
        <w:t xml:space="preserve"> con </w:t>
      </w:r>
      <w:r w:rsidR="00D14DE8">
        <w:rPr>
          <w:rFonts w:ascii="Bookman Old Style" w:hAnsi="Bookman Old Style" w:cs="Arial"/>
          <w:szCs w:val="23"/>
          <w:lang w:val="es-CO"/>
        </w:rPr>
        <w:t>los</w:t>
      </w:r>
      <w:r w:rsidRPr="0026441C">
        <w:rPr>
          <w:rFonts w:ascii="Bookman Old Style" w:hAnsi="Bookman Old Style" w:cs="Arial"/>
          <w:szCs w:val="23"/>
          <w:lang w:val="es-CO"/>
        </w:rPr>
        <w:t xml:space="preserve"> </w:t>
      </w:r>
      <w:r w:rsidR="0026441C" w:rsidRPr="00D14DE8">
        <w:rPr>
          <w:rFonts w:ascii="Bookman Old Style" w:hAnsi="Bookman Old Style" w:cs="Arial"/>
          <w:szCs w:val="23"/>
          <w:lang w:val="es-CO"/>
        </w:rPr>
        <w:t>índice</w:t>
      </w:r>
      <w:r w:rsidR="00D14DE8">
        <w:rPr>
          <w:rFonts w:ascii="Bookman Old Style" w:hAnsi="Bookman Old Style" w:cs="Arial"/>
          <w:szCs w:val="23"/>
          <w:lang w:val="es-CO"/>
        </w:rPr>
        <w:t>s</w:t>
      </w:r>
      <w:r w:rsidRPr="00D41698">
        <w:rPr>
          <w:rFonts w:ascii="Bookman Old Style" w:hAnsi="Bookman Old Style" w:cs="Arial"/>
          <w:szCs w:val="23"/>
          <w:lang w:val="es-CO"/>
        </w:rPr>
        <w:t xml:space="preserve"> </w:t>
      </w:r>
      <w:r>
        <w:rPr>
          <w:rFonts w:ascii="Bookman Old Style" w:hAnsi="Bookman Old Style" w:cs="Arial"/>
          <w:szCs w:val="23"/>
          <w:lang w:val="es-CO"/>
        </w:rPr>
        <w:t>calculado</w:t>
      </w:r>
      <w:r w:rsidR="00D14DE8">
        <w:rPr>
          <w:rFonts w:ascii="Bookman Old Style" w:hAnsi="Bookman Old Style" w:cs="Arial"/>
          <w:szCs w:val="23"/>
          <w:lang w:val="es-CO"/>
        </w:rPr>
        <w:t>s</w:t>
      </w:r>
      <w:r>
        <w:rPr>
          <w:rFonts w:ascii="Bookman Old Style" w:hAnsi="Bookman Old Style" w:cs="Arial"/>
          <w:szCs w:val="23"/>
          <w:lang w:val="es-CO"/>
        </w:rPr>
        <w:t xml:space="preserve"> </w:t>
      </w:r>
      <w:r w:rsidRPr="00D41698">
        <w:rPr>
          <w:rFonts w:ascii="Bookman Old Style" w:hAnsi="Bookman Old Style" w:cs="Arial"/>
          <w:szCs w:val="23"/>
          <w:lang w:val="es-CO"/>
        </w:rPr>
        <w:t>con base en los valores r</w:t>
      </w:r>
      <w:r>
        <w:rPr>
          <w:rFonts w:ascii="Bookman Old Style" w:hAnsi="Bookman Old Style" w:cs="Arial"/>
          <w:szCs w:val="23"/>
          <w:lang w:val="es-CO"/>
        </w:rPr>
        <w:t xml:space="preserve">eportados para el indicador </w:t>
      </w:r>
      <w:proofErr w:type="spellStart"/>
      <w:r w:rsidRPr="00B414A9">
        <w:rPr>
          <w:rFonts w:ascii="Bookman Old Style" w:hAnsi="Bookman Old Style" w:cs="Arial"/>
          <w:i/>
          <w:szCs w:val="23"/>
          <w:lang w:val="es-CO"/>
        </w:rPr>
        <w:t>DES</w:t>
      </w:r>
      <w:r w:rsidR="0005523B" w:rsidRPr="00B414A9">
        <w:rPr>
          <w:rFonts w:ascii="Bookman Old Style" w:hAnsi="Bookman Old Style" w:cs="Arial"/>
          <w:i/>
          <w:szCs w:val="23"/>
          <w:vertAlign w:val="subscript"/>
          <w:lang w:val="es-CO"/>
        </w:rPr>
        <w:t>c</w:t>
      </w:r>
      <w:proofErr w:type="spellEnd"/>
      <w:r>
        <w:rPr>
          <w:rFonts w:ascii="Bookman Old Style" w:hAnsi="Bookman Old Style" w:cs="Arial"/>
          <w:szCs w:val="23"/>
          <w:lang w:val="es-CO"/>
        </w:rPr>
        <w:t>, antes del inicio del</w:t>
      </w:r>
      <w:r w:rsidR="00916885">
        <w:rPr>
          <w:rFonts w:ascii="Bookman Old Style" w:hAnsi="Bookman Old Style" w:cs="Arial"/>
          <w:szCs w:val="23"/>
          <w:lang w:val="es-CO"/>
        </w:rPr>
        <w:t xml:space="preserve"> </w:t>
      </w:r>
      <w:r w:rsidR="0026441C">
        <w:rPr>
          <w:rFonts w:ascii="Bookman Old Style" w:hAnsi="Bookman Old Style" w:cs="Arial"/>
          <w:szCs w:val="23"/>
          <w:lang w:val="es-CO"/>
        </w:rPr>
        <w:t xml:space="preserve">mencionado </w:t>
      </w:r>
      <w:r w:rsidR="00916885">
        <w:rPr>
          <w:rFonts w:ascii="Bookman Old Style" w:hAnsi="Bookman Old Style" w:cs="Arial"/>
          <w:szCs w:val="23"/>
          <w:lang w:val="es-CO"/>
        </w:rPr>
        <w:t>esquema</w:t>
      </w:r>
      <w:r>
        <w:rPr>
          <w:rFonts w:ascii="Bookman Old Style" w:hAnsi="Bookman Old Style" w:cs="Arial"/>
          <w:szCs w:val="23"/>
          <w:lang w:val="es-CO"/>
        </w:rPr>
        <w:t>.</w:t>
      </w:r>
    </w:p>
    <w:p w:rsidR="003605A2" w:rsidRDefault="003605A2" w:rsidP="006C25F7">
      <w:pPr>
        <w:ind w:left="0"/>
        <w:jc w:val="both"/>
        <w:rPr>
          <w:rFonts w:ascii="Bookman Old Style" w:hAnsi="Bookman Old Style" w:cs="Arial"/>
          <w:szCs w:val="23"/>
          <w:lang w:val="es-CO"/>
        </w:rPr>
      </w:pPr>
    </w:p>
    <w:p w:rsidR="00277FC4" w:rsidRDefault="00277FC4" w:rsidP="00277FC4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  <w:r w:rsidRPr="00277FC4">
        <w:rPr>
          <w:rFonts w:ascii="Bookman Old Style" w:hAnsi="Bookman Old Style"/>
          <w:bCs/>
        </w:rPr>
        <w:t>En comunicación radicada en la CREG con el número E-2012-002018, la Electrificadora del Caribe S.A. E.S.P.</w:t>
      </w:r>
      <w:r>
        <w:rPr>
          <w:rFonts w:ascii="Bookman Old Style" w:hAnsi="Bookman Old Style"/>
          <w:bCs/>
        </w:rPr>
        <w:t>, hace referencia a la situación descrita e informa:</w:t>
      </w:r>
    </w:p>
    <w:p w:rsidR="00277FC4" w:rsidRDefault="00277FC4" w:rsidP="00277FC4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</w:p>
    <w:p w:rsidR="00C164D9" w:rsidRPr="00C164D9" w:rsidRDefault="00277FC4" w:rsidP="00C164D9">
      <w:pPr>
        <w:ind w:left="426" w:right="284"/>
        <w:jc w:val="both"/>
        <w:rPr>
          <w:rFonts w:ascii="Bookman Old Style" w:hAnsi="Bookman Old Style" w:cs="Arial"/>
          <w:i/>
          <w:sz w:val="22"/>
          <w:szCs w:val="23"/>
        </w:rPr>
      </w:pPr>
      <w:r w:rsidRPr="00277FC4">
        <w:rPr>
          <w:rFonts w:ascii="Bookman Old Style" w:hAnsi="Bookman Old Style" w:cs="Arial"/>
          <w:i/>
          <w:sz w:val="22"/>
          <w:szCs w:val="23"/>
        </w:rPr>
        <w:t>A partir de julio de 2011 la clasificación de interrupciones se modificó en cuanto a la consideración de</w:t>
      </w:r>
      <w:r>
        <w:rPr>
          <w:rFonts w:ascii="Bookman Old Style" w:hAnsi="Bookman Old Style" w:cs="Arial"/>
          <w:i/>
          <w:sz w:val="22"/>
          <w:szCs w:val="23"/>
        </w:rPr>
        <w:t xml:space="preserve"> </w:t>
      </w:r>
      <w:r w:rsidRPr="00277FC4">
        <w:rPr>
          <w:rFonts w:ascii="Bookman Old Style" w:hAnsi="Bookman Old Style" w:cs="Arial"/>
          <w:i/>
          <w:sz w:val="22"/>
          <w:szCs w:val="23"/>
        </w:rPr>
        <w:t>la fuerza mayor,</w:t>
      </w:r>
      <w:r>
        <w:rPr>
          <w:rFonts w:ascii="Bookman Old Style" w:hAnsi="Bookman Old Style" w:cs="Arial"/>
          <w:i/>
          <w:sz w:val="22"/>
          <w:szCs w:val="23"/>
        </w:rPr>
        <w:t xml:space="preserve"> </w:t>
      </w:r>
      <w:r w:rsidRPr="00277FC4">
        <w:rPr>
          <w:rFonts w:ascii="Bookman Old Style" w:hAnsi="Bookman Old Style" w:cs="Arial"/>
          <w:i/>
          <w:sz w:val="22"/>
          <w:szCs w:val="23"/>
        </w:rPr>
        <w:t>dado que el grupo de interrupciones que era clasificado en la categoría de fuerza mayor fue eliminado a la luz de lo establecido en la Resolución 096</w:t>
      </w:r>
      <w:r w:rsidRPr="006827CF">
        <w:rPr>
          <w:rFonts w:ascii="Bookman Old Style" w:hAnsi="Bookman Old Style" w:cs="Arial"/>
          <w:sz w:val="22"/>
          <w:szCs w:val="23"/>
        </w:rPr>
        <w:t xml:space="preserve"> </w:t>
      </w:r>
      <w:r w:rsidR="006827CF" w:rsidRPr="006827CF">
        <w:rPr>
          <w:rFonts w:ascii="Bookman Old Style" w:hAnsi="Bookman Old Style" w:cs="Arial"/>
          <w:sz w:val="22"/>
          <w:szCs w:val="23"/>
        </w:rPr>
        <w:t>[</w:t>
      </w:r>
      <w:r w:rsidR="00672CC3">
        <w:rPr>
          <w:rFonts w:ascii="Bookman Old Style" w:hAnsi="Bookman Old Style" w:cs="Arial"/>
          <w:sz w:val="22"/>
          <w:szCs w:val="23"/>
        </w:rPr>
        <w:t>sic</w:t>
      </w:r>
      <w:r w:rsidR="006827CF" w:rsidRPr="006827CF">
        <w:rPr>
          <w:rFonts w:ascii="Bookman Old Style" w:hAnsi="Bookman Old Style" w:cs="Arial"/>
          <w:sz w:val="22"/>
          <w:szCs w:val="23"/>
        </w:rPr>
        <w:t>]</w:t>
      </w:r>
      <w:r w:rsidR="006827CF">
        <w:rPr>
          <w:rFonts w:ascii="Bookman Old Style" w:hAnsi="Bookman Old Style" w:cs="Arial"/>
          <w:i/>
          <w:sz w:val="22"/>
          <w:szCs w:val="23"/>
        </w:rPr>
        <w:t xml:space="preserve"> </w:t>
      </w:r>
      <w:r w:rsidRPr="00277FC4">
        <w:rPr>
          <w:rFonts w:ascii="Bookman Old Style" w:hAnsi="Bookman Old Style" w:cs="Arial"/>
          <w:i/>
          <w:sz w:val="22"/>
          <w:szCs w:val="23"/>
        </w:rPr>
        <w:t xml:space="preserve">y las interrupciones que allí se indicaban debieron </w:t>
      </w:r>
      <w:r w:rsidR="006827CF" w:rsidRPr="00277FC4">
        <w:rPr>
          <w:rFonts w:ascii="Bookman Old Style" w:hAnsi="Bookman Old Style" w:cs="Arial"/>
          <w:i/>
          <w:sz w:val="22"/>
          <w:szCs w:val="23"/>
        </w:rPr>
        <w:t>clasificarse</w:t>
      </w:r>
      <w:r w:rsidRPr="00277FC4">
        <w:rPr>
          <w:rFonts w:ascii="Bookman Old Style" w:hAnsi="Bookman Old Style" w:cs="Arial"/>
          <w:i/>
          <w:sz w:val="22"/>
          <w:szCs w:val="23"/>
        </w:rPr>
        <w:t xml:space="preserve"> como causas no programadas en lo sucesivo</w:t>
      </w:r>
      <w:r w:rsidR="006827CF">
        <w:rPr>
          <w:rFonts w:ascii="Bookman Old Style" w:hAnsi="Bookman Old Style" w:cs="Arial"/>
          <w:i/>
          <w:sz w:val="22"/>
          <w:szCs w:val="23"/>
        </w:rPr>
        <w:t>.</w:t>
      </w:r>
      <w:r w:rsidR="00C164D9" w:rsidRPr="00C164D9">
        <w:rPr>
          <w:rFonts w:ascii="Bookman Old Style" w:hAnsi="Bookman Old Style" w:cs="Arial"/>
          <w:i/>
          <w:sz w:val="22"/>
          <w:szCs w:val="23"/>
        </w:rPr>
        <w:t xml:space="preserve"> </w:t>
      </w:r>
    </w:p>
    <w:p w:rsidR="00C164D9" w:rsidRPr="00C164D9" w:rsidRDefault="00C164D9" w:rsidP="00C164D9">
      <w:pPr>
        <w:ind w:left="426" w:right="284"/>
        <w:jc w:val="both"/>
        <w:rPr>
          <w:rFonts w:ascii="Bookman Old Style" w:hAnsi="Bookman Old Style" w:cs="Arial"/>
          <w:i/>
          <w:sz w:val="22"/>
          <w:szCs w:val="23"/>
        </w:rPr>
      </w:pPr>
    </w:p>
    <w:p w:rsidR="0043263C" w:rsidRPr="00277FC4" w:rsidRDefault="00C164D9" w:rsidP="00C164D9">
      <w:pPr>
        <w:ind w:left="426" w:right="284"/>
        <w:jc w:val="both"/>
        <w:rPr>
          <w:rFonts w:ascii="Bookman Old Style" w:hAnsi="Bookman Old Style" w:cs="Arial"/>
          <w:i/>
          <w:sz w:val="22"/>
          <w:szCs w:val="23"/>
        </w:rPr>
      </w:pPr>
      <w:r w:rsidRPr="00C164D9">
        <w:rPr>
          <w:rFonts w:ascii="Bookman Old Style" w:hAnsi="Bookman Old Style" w:cs="Arial"/>
          <w:i/>
          <w:sz w:val="22"/>
          <w:szCs w:val="23"/>
        </w:rPr>
        <w:t xml:space="preserve">Por lo anterior, el cálculo del ITAD y del IAAD a partir de julio de 2011 no es comparable con el realizado con antelación a esa fecha dado que la clasificación de interrupciones no conserva los mismos criterios. </w:t>
      </w:r>
      <w:r w:rsidR="00277FC4" w:rsidRPr="00277FC4">
        <w:rPr>
          <w:rFonts w:ascii="Bookman Old Style" w:hAnsi="Bookman Old Style" w:cs="Arial"/>
          <w:i/>
          <w:sz w:val="22"/>
          <w:szCs w:val="23"/>
        </w:rPr>
        <w:t xml:space="preserve"> </w:t>
      </w:r>
    </w:p>
    <w:p w:rsidR="00916885" w:rsidRPr="00277FC4" w:rsidRDefault="00916885" w:rsidP="00277FC4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</w:p>
    <w:p w:rsidR="004847F1" w:rsidRDefault="004847F1" w:rsidP="006C25F7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es-CO"/>
        </w:rPr>
        <w:t>Con base en lo analizado</w:t>
      </w:r>
      <w:r w:rsidRPr="004847F1">
        <w:rPr>
          <w:rFonts w:ascii="Bookman Old Style" w:hAnsi="Bookman Old Style"/>
          <w:bCs/>
          <w:lang w:val="es-CO"/>
        </w:rPr>
        <w:t xml:space="preserve">, se hace necesario </w:t>
      </w:r>
      <w:r w:rsidR="009C7638">
        <w:rPr>
          <w:rFonts w:ascii="Bookman Old Style" w:hAnsi="Bookman Old Style"/>
          <w:bCs/>
          <w:lang w:val="es-CO"/>
        </w:rPr>
        <w:t>aclarar la forma como</w:t>
      </w:r>
      <w:r w:rsidRPr="004847F1">
        <w:rPr>
          <w:rFonts w:ascii="Bookman Old Style" w:hAnsi="Bookman Old Style"/>
          <w:bCs/>
          <w:lang w:val="es-CO"/>
        </w:rPr>
        <w:t xml:space="preserve"> los </w:t>
      </w:r>
      <w:r w:rsidR="00CC163F">
        <w:rPr>
          <w:rFonts w:ascii="Bookman Old Style" w:hAnsi="Bookman Old Style"/>
          <w:bCs/>
          <w:lang w:val="es-CO"/>
        </w:rPr>
        <w:t>OR</w:t>
      </w:r>
      <w:r w:rsidRPr="004847F1">
        <w:rPr>
          <w:rFonts w:ascii="Bookman Old Style" w:hAnsi="Bookman Old Style"/>
          <w:bCs/>
          <w:lang w:val="es-CO"/>
        </w:rPr>
        <w:t xml:space="preserve"> que hayan dado inicio al </w:t>
      </w:r>
      <w:r w:rsidRPr="004847F1">
        <w:rPr>
          <w:rFonts w:ascii="Bookman Old Style" w:hAnsi="Bookman Old Style"/>
          <w:bCs/>
        </w:rPr>
        <w:t>esquema de incentivos y compen</w:t>
      </w:r>
      <w:r w:rsidRPr="004847F1">
        <w:rPr>
          <w:rFonts w:ascii="Bookman Old Style" w:hAnsi="Bookman Old Style"/>
          <w:bCs/>
        </w:rPr>
        <w:softHyphen/>
        <w:t>saciones a la calidad del servicio</w:t>
      </w:r>
      <w:r w:rsidR="009C7638">
        <w:rPr>
          <w:rFonts w:ascii="Bookman Old Style" w:hAnsi="Bookman Old Style"/>
          <w:bCs/>
        </w:rPr>
        <w:t xml:space="preserve">, deben calcular los </w:t>
      </w:r>
      <w:proofErr w:type="spellStart"/>
      <w:r w:rsidR="009C7638" w:rsidRPr="009C7638">
        <w:rPr>
          <w:rFonts w:ascii="Bookman Old Style" w:hAnsi="Bookman Old Style"/>
          <w:bCs/>
          <w:i/>
          <w:lang w:val="es-CO"/>
        </w:rPr>
        <w:t>ITAD</w:t>
      </w:r>
      <w:r w:rsidR="009C7638" w:rsidRPr="009C7638">
        <w:rPr>
          <w:rFonts w:ascii="Bookman Old Style" w:hAnsi="Bookman Old Style"/>
          <w:bCs/>
          <w:i/>
          <w:vertAlign w:val="subscript"/>
          <w:lang w:val="es-CO"/>
        </w:rPr>
        <w:t>n</w:t>
      </w:r>
      <w:proofErr w:type="gramStart"/>
      <w:r w:rsidR="009C7638" w:rsidRPr="009C7638">
        <w:rPr>
          <w:rFonts w:ascii="Bookman Old Style" w:hAnsi="Bookman Old Style"/>
          <w:bCs/>
          <w:i/>
          <w:vertAlign w:val="subscript"/>
          <w:lang w:val="es-CO"/>
        </w:rPr>
        <w:t>,p</w:t>
      </w:r>
      <w:proofErr w:type="spellEnd"/>
      <w:proofErr w:type="gramEnd"/>
      <w:r w:rsidR="009C7638">
        <w:rPr>
          <w:rFonts w:ascii="Bookman Old Style" w:hAnsi="Bookman Old Style"/>
          <w:bCs/>
        </w:rPr>
        <w:t xml:space="preserve"> para los trimestres anteriores a la fecha de inicio del esquema</w:t>
      </w:r>
      <w:r>
        <w:rPr>
          <w:rFonts w:ascii="Bookman Old Style" w:hAnsi="Bookman Old Style"/>
          <w:bCs/>
        </w:rPr>
        <w:t>.</w:t>
      </w:r>
      <w:r w:rsidR="00CC163F">
        <w:rPr>
          <w:rFonts w:ascii="Bookman Old Style" w:hAnsi="Bookman Old Style"/>
          <w:bCs/>
        </w:rPr>
        <w:t xml:space="preserve"> </w:t>
      </w:r>
    </w:p>
    <w:p w:rsidR="004847F1" w:rsidRDefault="004847F1" w:rsidP="006C25F7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</w:p>
    <w:p w:rsidR="00FE379E" w:rsidRDefault="00B97512" w:rsidP="006C25F7">
      <w:pPr>
        <w:tabs>
          <w:tab w:val="left" w:pos="1560"/>
        </w:tabs>
        <w:adjustRightInd w:val="0"/>
        <w:ind w:left="0"/>
        <w:jc w:val="both"/>
        <w:textAlignment w:val="baseline"/>
        <w:rPr>
          <w:rFonts w:ascii="Bookman Old Style" w:hAnsi="Bookman Old Style"/>
          <w:bCs/>
        </w:rPr>
      </w:pPr>
      <w:r w:rsidRPr="00B54879">
        <w:rPr>
          <w:rFonts w:ascii="Bookman Old Style" w:hAnsi="Bookman Old Style"/>
          <w:bCs/>
        </w:rPr>
        <w:t xml:space="preserve">De conformidad con lo establecido en el parágrafo del artículo 9 del Decreto 2696 de 2004 y </w:t>
      </w:r>
      <w:r w:rsidR="00C164D9">
        <w:rPr>
          <w:rFonts w:ascii="Bookman Old Style" w:hAnsi="Bookman Old Style"/>
          <w:bCs/>
        </w:rPr>
        <w:t xml:space="preserve">en </w:t>
      </w:r>
      <w:r w:rsidRPr="00B54879">
        <w:rPr>
          <w:rFonts w:ascii="Bookman Old Style" w:hAnsi="Bookman Old Style"/>
          <w:bCs/>
        </w:rPr>
        <w:t xml:space="preserve">el numeral 3 del artículo 2 de la Resolución CREG 097 de 2004, la Comisión decidió por unanimidad no someter  la presente Resolución a las disposiciones sobre publicidad de proyectos de regulación previstas en el </w:t>
      </w:r>
      <w:r w:rsidRPr="00B54879">
        <w:rPr>
          <w:rFonts w:ascii="Bookman Old Style" w:hAnsi="Bookman Old Style"/>
          <w:bCs/>
        </w:rPr>
        <w:lastRenderedPageBreak/>
        <w:t xml:space="preserve">citado Decreto, debido a la existencia de razones de conveniencia general y de oportunidad, toda vez que es necesario </w:t>
      </w:r>
      <w:r w:rsidR="006827CF">
        <w:rPr>
          <w:rFonts w:ascii="Bookman Old Style" w:hAnsi="Bookman Old Style"/>
          <w:bCs/>
        </w:rPr>
        <w:t xml:space="preserve">ajustar el procedimiento para el cálculo del </w:t>
      </w:r>
      <w:r w:rsidR="006827CF" w:rsidRPr="006827CF">
        <w:rPr>
          <w:rFonts w:ascii="Bookman Old Style" w:hAnsi="Bookman Old Style"/>
          <w:bCs/>
          <w:szCs w:val="23"/>
        </w:rPr>
        <w:t xml:space="preserve">porcentaje de gastos de administración, operación y mantenimiento a reconocer, </w:t>
      </w:r>
      <w:proofErr w:type="spellStart"/>
      <w:r w:rsidR="006827CF" w:rsidRPr="006827CF">
        <w:rPr>
          <w:rFonts w:ascii="Bookman Old Style" w:hAnsi="Bookman Old Style"/>
          <w:bCs/>
          <w:i/>
          <w:szCs w:val="23"/>
        </w:rPr>
        <w:t>PAOM</w:t>
      </w:r>
      <w:r w:rsidR="006827CF" w:rsidRPr="006827CF">
        <w:rPr>
          <w:rFonts w:ascii="Bookman Old Style" w:hAnsi="Bookman Old Style"/>
          <w:bCs/>
          <w:i/>
          <w:szCs w:val="23"/>
          <w:vertAlign w:val="subscript"/>
        </w:rPr>
        <w:t>j,k</w:t>
      </w:r>
      <w:proofErr w:type="spellEnd"/>
      <w:r w:rsidR="00F36D7F">
        <w:rPr>
          <w:rFonts w:ascii="Bookman Old Style" w:hAnsi="Bookman Old Style"/>
          <w:bCs/>
          <w:szCs w:val="23"/>
        </w:rPr>
        <w:t xml:space="preserve">, </w:t>
      </w:r>
      <w:r w:rsidR="004847F1">
        <w:rPr>
          <w:rFonts w:ascii="Bookman Old Style" w:hAnsi="Bookman Old Style"/>
          <w:bCs/>
        </w:rPr>
        <w:t>de</w:t>
      </w:r>
      <w:r w:rsidR="00FE379E">
        <w:rPr>
          <w:rFonts w:ascii="Bookman Old Style" w:hAnsi="Bookman Old Style"/>
          <w:bCs/>
        </w:rPr>
        <w:t xml:space="preserve"> l</w:t>
      </w:r>
      <w:r w:rsidR="006827CF">
        <w:rPr>
          <w:rFonts w:ascii="Bookman Old Style" w:hAnsi="Bookman Old Style"/>
          <w:bCs/>
        </w:rPr>
        <w:t>os agentes que iniciaron el esquema de incentivos</w:t>
      </w:r>
      <w:r w:rsidR="00FE379E" w:rsidRPr="00FE379E">
        <w:rPr>
          <w:rFonts w:ascii="Bookman Old Style" w:hAnsi="Bookman Old Style"/>
          <w:bCs/>
        </w:rPr>
        <w:t>.</w:t>
      </w:r>
    </w:p>
    <w:p w:rsidR="00916885" w:rsidRDefault="00916885" w:rsidP="006C25F7">
      <w:pPr>
        <w:ind w:left="0"/>
        <w:jc w:val="both"/>
        <w:rPr>
          <w:rFonts w:ascii="Bookman Old Style" w:hAnsi="Bookman Old Style" w:cs="Arial"/>
        </w:rPr>
      </w:pPr>
    </w:p>
    <w:p w:rsidR="00B97512" w:rsidRPr="00B54879" w:rsidRDefault="00B97512" w:rsidP="006C25F7">
      <w:pPr>
        <w:ind w:left="0"/>
        <w:jc w:val="both"/>
        <w:rPr>
          <w:rFonts w:ascii="Bookman Old Style" w:hAnsi="Bookman Old Style" w:cs="Arial"/>
        </w:rPr>
      </w:pPr>
      <w:r w:rsidRPr="00B54879">
        <w:rPr>
          <w:rFonts w:ascii="Bookman Old Style" w:hAnsi="Bookman Old Style" w:cs="Arial"/>
        </w:rPr>
        <w:t xml:space="preserve">Conforme al numeral </w:t>
      </w:r>
      <w:r w:rsidR="00371483">
        <w:rPr>
          <w:rFonts w:ascii="Bookman Old Style" w:hAnsi="Bookman Old Style" w:cs="Arial"/>
        </w:rPr>
        <w:t>2</w:t>
      </w:r>
      <w:r w:rsidR="00371483" w:rsidRPr="00B54879">
        <w:rPr>
          <w:rFonts w:ascii="Bookman Old Style" w:hAnsi="Bookman Old Style" w:cs="Arial"/>
        </w:rPr>
        <w:t xml:space="preserve"> </w:t>
      </w:r>
      <w:r w:rsidRPr="00B54879">
        <w:rPr>
          <w:rFonts w:ascii="Bookman Old Style" w:hAnsi="Bookman Old Style" w:cs="Arial"/>
        </w:rPr>
        <w:t xml:space="preserve">del artículo 4 del Decreto 2897 de 2010 no se requiere la remisión del presente acto administrativo a la Superintendencia de Industria y Comercio para los efectos establecidos en el artículo 7 de la Ley 1340 de 2009, por cuanto el acto busca </w:t>
      </w:r>
      <w:r w:rsidR="00371483">
        <w:rPr>
          <w:rFonts w:ascii="Bookman Old Style" w:hAnsi="Bookman Old Style" w:cs="Arial"/>
        </w:rPr>
        <w:t xml:space="preserve">aclarar </w:t>
      </w:r>
      <w:r w:rsidR="006827CF">
        <w:rPr>
          <w:rFonts w:ascii="Bookman Old Style" w:hAnsi="Bookman Old Style" w:cs="Arial"/>
        </w:rPr>
        <w:t xml:space="preserve">el procedimiento de cálculo de unos indicadores definidos </w:t>
      </w:r>
      <w:r w:rsidRPr="00B54879">
        <w:rPr>
          <w:rFonts w:ascii="Bookman Old Style" w:hAnsi="Bookman Old Style" w:cs="Arial"/>
        </w:rPr>
        <w:t xml:space="preserve">en las </w:t>
      </w:r>
      <w:r w:rsidR="00371483">
        <w:rPr>
          <w:rFonts w:ascii="Bookman Old Style" w:hAnsi="Bookman Old Style" w:cs="Arial"/>
        </w:rPr>
        <w:t>resoluciones</w:t>
      </w:r>
      <w:r w:rsidR="00371483" w:rsidRPr="00B54879">
        <w:rPr>
          <w:rFonts w:ascii="Bookman Old Style" w:hAnsi="Bookman Old Style" w:cs="Arial"/>
        </w:rPr>
        <w:t xml:space="preserve"> </w:t>
      </w:r>
      <w:r w:rsidRPr="00B54879">
        <w:rPr>
          <w:rFonts w:ascii="Bookman Old Style" w:hAnsi="Bookman Old Style" w:cs="Arial"/>
        </w:rPr>
        <w:t>mencionadas</w:t>
      </w:r>
      <w:r w:rsidR="00371483">
        <w:rPr>
          <w:rFonts w:ascii="Bookman Old Style" w:hAnsi="Bookman Old Style" w:cs="Arial"/>
        </w:rPr>
        <w:t xml:space="preserve"> arriba</w:t>
      </w:r>
      <w:r w:rsidRPr="00B54879">
        <w:rPr>
          <w:rFonts w:ascii="Bookman Old Style" w:hAnsi="Bookman Old Style" w:cs="Arial"/>
        </w:rPr>
        <w:t>.</w:t>
      </w:r>
    </w:p>
    <w:p w:rsidR="008173C6" w:rsidRPr="00C77252" w:rsidRDefault="008173C6" w:rsidP="006C25F7">
      <w:pPr>
        <w:ind w:left="0"/>
        <w:jc w:val="both"/>
        <w:rPr>
          <w:rFonts w:ascii="Bookman Old Style" w:hAnsi="Bookman Old Style"/>
          <w:sz w:val="20"/>
        </w:rPr>
      </w:pPr>
    </w:p>
    <w:p w:rsidR="00B97512" w:rsidRPr="00ED3C17" w:rsidRDefault="00ED3C17" w:rsidP="006C25F7">
      <w:pPr>
        <w:ind w:left="0"/>
        <w:jc w:val="both"/>
        <w:rPr>
          <w:rFonts w:ascii="Bookman Old Style" w:hAnsi="Bookman Old Style"/>
        </w:rPr>
      </w:pPr>
      <w:r w:rsidRPr="00ED3C17">
        <w:rPr>
          <w:rFonts w:ascii="Bookman Old Style" w:hAnsi="Bookman Old Style" w:cs="Arial"/>
          <w:spacing w:val="-3"/>
        </w:rPr>
        <w:t xml:space="preserve">La Comisión de Regulación de Energía y Gas, en su sesión </w:t>
      </w:r>
      <w:r w:rsidR="000F3FB8">
        <w:rPr>
          <w:rFonts w:ascii="Bookman Old Style" w:hAnsi="Bookman Old Style" w:cs="Arial"/>
          <w:spacing w:val="-3"/>
        </w:rPr>
        <w:t>520</w:t>
      </w:r>
      <w:r w:rsidRPr="00ED3C17">
        <w:rPr>
          <w:rFonts w:ascii="Bookman Old Style" w:hAnsi="Bookman Old Style" w:cs="Arial"/>
          <w:spacing w:val="-3"/>
        </w:rPr>
        <w:t xml:space="preserve">, llevada a cabo </w:t>
      </w:r>
      <w:r w:rsidR="006827CF">
        <w:rPr>
          <w:rFonts w:ascii="Bookman Old Style" w:hAnsi="Bookman Old Style" w:cs="Arial"/>
          <w:spacing w:val="-3"/>
        </w:rPr>
        <w:t>e</w:t>
      </w:r>
      <w:r w:rsidRPr="00ED3C17">
        <w:rPr>
          <w:rFonts w:ascii="Bookman Old Style" w:hAnsi="Bookman Old Style" w:cs="Arial"/>
          <w:spacing w:val="-3"/>
        </w:rPr>
        <w:t xml:space="preserve">l día </w:t>
      </w:r>
      <w:r w:rsidR="000F3FB8">
        <w:rPr>
          <w:rFonts w:ascii="Bookman Old Style" w:hAnsi="Bookman Old Style" w:cs="Arial"/>
          <w:spacing w:val="-3"/>
        </w:rPr>
        <w:t>4</w:t>
      </w:r>
      <w:r w:rsidR="000F3FB8" w:rsidRPr="00ED3C17">
        <w:rPr>
          <w:rFonts w:ascii="Bookman Old Style" w:hAnsi="Bookman Old Style" w:cs="Arial"/>
          <w:spacing w:val="-3"/>
        </w:rPr>
        <w:t xml:space="preserve"> </w:t>
      </w:r>
      <w:r w:rsidRPr="00ED3C17">
        <w:rPr>
          <w:rFonts w:ascii="Bookman Old Style" w:hAnsi="Bookman Old Style" w:cs="Arial"/>
          <w:spacing w:val="-3"/>
        </w:rPr>
        <w:t xml:space="preserve">de </w:t>
      </w:r>
      <w:r w:rsidR="000F3FB8">
        <w:rPr>
          <w:rFonts w:ascii="Bookman Old Style" w:hAnsi="Bookman Old Style" w:cs="Arial"/>
          <w:spacing w:val="-3"/>
        </w:rPr>
        <w:t>junio</w:t>
      </w:r>
      <w:r w:rsidR="000F3FB8" w:rsidRPr="00ED3C17">
        <w:rPr>
          <w:rFonts w:ascii="Bookman Old Style" w:hAnsi="Bookman Old Style" w:cs="Arial"/>
          <w:spacing w:val="-3"/>
        </w:rPr>
        <w:t xml:space="preserve"> </w:t>
      </w:r>
      <w:r w:rsidRPr="00ED3C17">
        <w:rPr>
          <w:rFonts w:ascii="Bookman Old Style" w:hAnsi="Bookman Old Style" w:cs="Arial"/>
          <w:spacing w:val="-3"/>
        </w:rPr>
        <w:t>de 2012</w:t>
      </w:r>
      <w:r w:rsidR="00B97512" w:rsidRPr="00ED3C17">
        <w:rPr>
          <w:rFonts w:ascii="Bookman Old Style" w:hAnsi="Bookman Old Style"/>
        </w:rPr>
        <w:t>, acordó expedir esta resolución.</w:t>
      </w:r>
    </w:p>
    <w:p w:rsidR="00045D3D" w:rsidRPr="00C435C3" w:rsidRDefault="00045D3D" w:rsidP="008173C6">
      <w:pPr>
        <w:keepNext/>
        <w:suppressAutoHyphens/>
        <w:spacing w:before="480"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:rsidR="00045D3D" w:rsidRDefault="00045D3D" w:rsidP="00FE379E">
      <w:pPr>
        <w:keepNext/>
        <w:jc w:val="center"/>
        <w:rPr>
          <w:rFonts w:ascii="Bookman Old Style" w:hAnsi="Bookman Old Style"/>
        </w:rPr>
      </w:pPr>
    </w:p>
    <w:p w:rsidR="000F3FB8" w:rsidRDefault="000F3FB8" w:rsidP="00FE379E">
      <w:pPr>
        <w:keepNext/>
        <w:jc w:val="center"/>
        <w:rPr>
          <w:rFonts w:ascii="Bookman Old Style" w:hAnsi="Bookman Old Style"/>
        </w:rPr>
      </w:pPr>
    </w:p>
    <w:p w:rsidR="00046C08" w:rsidRPr="00046C08" w:rsidRDefault="006827CF" w:rsidP="00DF69A6">
      <w:pPr>
        <w:numPr>
          <w:ilvl w:val="0"/>
          <w:numId w:val="7"/>
        </w:numPr>
        <w:tabs>
          <w:tab w:val="left" w:pos="1701"/>
          <w:tab w:val="num" w:pos="2150"/>
        </w:tabs>
        <w:jc w:val="both"/>
        <w:rPr>
          <w:rFonts w:ascii="Bookman Old Style" w:hAnsi="Bookman Old Style"/>
          <w:b/>
        </w:rPr>
      </w:pPr>
      <w:bookmarkStart w:id="1" w:name="_Ref324750756"/>
      <w:r>
        <w:rPr>
          <w:rFonts w:ascii="Bookman Old Style" w:hAnsi="Bookman Old Style"/>
          <w:b/>
        </w:rPr>
        <w:t xml:space="preserve">Aclaración </w:t>
      </w:r>
      <w:r w:rsidR="005C4A72">
        <w:rPr>
          <w:rFonts w:ascii="Bookman Old Style" w:hAnsi="Bookman Old Style"/>
          <w:b/>
        </w:rPr>
        <w:t>para el</w:t>
      </w:r>
      <w:r>
        <w:rPr>
          <w:rFonts w:ascii="Bookman Old Style" w:hAnsi="Bookman Old Style"/>
          <w:b/>
        </w:rPr>
        <w:t xml:space="preserve"> c</w:t>
      </w:r>
      <w:r w:rsidR="005C4A72">
        <w:rPr>
          <w:rFonts w:ascii="Bookman Old Style" w:hAnsi="Bookman Old Style"/>
          <w:b/>
        </w:rPr>
        <w:t>á</w:t>
      </w:r>
      <w:r>
        <w:rPr>
          <w:rFonts w:ascii="Bookman Old Style" w:hAnsi="Bookman Old Style"/>
          <w:b/>
        </w:rPr>
        <w:t>lcul</w:t>
      </w:r>
      <w:r w:rsidR="005C4A72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</w:t>
      </w:r>
      <w:r w:rsidR="005C4A72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 xml:space="preserve">el </w:t>
      </w:r>
      <w:proofErr w:type="spellStart"/>
      <w:r w:rsidRPr="006827CF">
        <w:rPr>
          <w:rFonts w:ascii="Bookman Old Style" w:hAnsi="Bookman Old Style"/>
          <w:b/>
          <w:i/>
        </w:rPr>
        <w:t>PAOMR</w:t>
      </w:r>
      <w:r w:rsidRPr="006827CF">
        <w:rPr>
          <w:rFonts w:ascii="Bookman Old Style" w:hAnsi="Bookman Old Style"/>
          <w:b/>
          <w:i/>
          <w:vertAlign w:val="subscript"/>
        </w:rPr>
        <w:t>j</w:t>
      </w:r>
      <w:proofErr w:type="gramStart"/>
      <w:r w:rsidRPr="006827CF">
        <w:rPr>
          <w:rFonts w:ascii="Bookman Old Style" w:hAnsi="Bookman Old Style"/>
          <w:b/>
          <w:i/>
          <w:vertAlign w:val="subscript"/>
        </w:rPr>
        <w:t>,k</w:t>
      </w:r>
      <w:proofErr w:type="spellEnd"/>
      <w:proofErr w:type="gramEnd"/>
      <w:r>
        <w:rPr>
          <w:rFonts w:ascii="Bookman Old Style" w:hAnsi="Bookman Old Style"/>
          <w:b/>
        </w:rPr>
        <w:t xml:space="preserve"> de los Operadores de Red</w:t>
      </w:r>
      <w:r w:rsidR="00996427">
        <w:rPr>
          <w:rFonts w:ascii="Bookman Old Style" w:hAnsi="Bookman Old Style"/>
          <w:b/>
        </w:rPr>
        <w:t>.</w:t>
      </w:r>
      <w:r w:rsidR="00996427">
        <w:rPr>
          <w:rFonts w:ascii="Bookman Old Style" w:hAnsi="Bookman Old Style"/>
        </w:rPr>
        <w:t xml:space="preserve"> </w:t>
      </w:r>
      <w:r w:rsidR="009B68FE">
        <w:rPr>
          <w:rFonts w:ascii="Bookman Old Style" w:hAnsi="Bookman Old Style"/>
        </w:rPr>
        <w:t>P</w:t>
      </w:r>
      <w:r w:rsidR="0083084D">
        <w:rPr>
          <w:rFonts w:ascii="Bookman Old Style" w:hAnsi="Bookman Old Style"/>
        </w:rPr>
        <w:t xml:space="preserve">ara aplicar las fórmulas de comparación de los </w:t>
      </w:r>
      <w:r w:rsidR="0083084D" w:rsidRPr="00C51D07">
        <w:rPr>
          <w:rFonts w:ascii="Bookman Old Style" w:hAnsi="Bookman Old Style"/>
        </w:rPr>
        <w:t>Índices Anuales Agrupados de la Discontinuidad</w:t>
      </w:r>
      <w:r w:rsidR="0083084D">
        <w:rPr>
          <w:rFonts w:ascii="Bookman Old Style" w:hAnsi="Bookman Old Style"/>
        </w:rPr>
        <w:t>,</w:t>
      </w:r>
      <w:r w:rsidR="0083084D" w:rsidRPr="00C51D07">
        <w:rPr>
          <w:rFonts w:ascii="Bookman Old Style" w:hAnsi="Bookman Old Style"/>
        </w:rPr>
        <w:t xml:space="preserve"> </w:t>
      </w:r>
      <w:r w:rsidR="0083084D" w:rsidRPr="00C51D07">
        <w:rPr>
          <w:rFonts w:ascii="Bookman Old Style" w:hAnsi="Bookman Old Style"/>
          <w:i/>
        </w:rPr>
        <w:t>IAAD</w:t>
      </w:r>
      <w:r w:rsidR="0083084D" w:rsidRPr="00C51D07">
        <w:rPr>
          <w:rFonts w:ascii="Bookman Old Style" w:hAnsi="Bookman Old Style"/>
        </w:rPr>
        <w:t xml:space="preserve">, </w:t>
      </w:r>
      <w:r w:rsidR="0083084D">
        <w:rPr>
          <w:rFonts w:ascii="Bookman Old Style" w:hAnsi="Bookman Old Style"/>
        </w:rPr>
        <w:t>establecid</w:t>
      </w:r>
      <w:r w:rsidR="00191EFC">
        <w:rPr>
          <w:rFonts w:ascii="Bookman Old Style" w:hAnsi="Bookman Old Style"/>
        </w:rPr>
        <w:t>as</w:t>
      </w:r>
      <w:r w:rsidR="0083084D">
        <w:rPr>
          <w:rFonts w:ascii="Bookman Old Style" w:hAnsi="Bookman Old Style"/>
        </w:rPr>
        <w:t xml:space="preserve"> en el numeral 10.3.1 </w:t>
      </w:r>
      <w:r w:rsidR="0083084D" w:rsidRPr="00A573F6">
        <w:rPr>
          <w:rFonts w:ascii="Bookman Old Style" w:hAnsi="Bookman Old Style"/>
        </w:rPr>
        <w:t>del anexo general de la Resolución CREG 097 de 2008</w:t>
      </w:r>
      <w:r w:rsidR="00046C08">
        <w:rPr>
          <w:rFonts w:ascii="Bookman Old Style" w:hAnsi="Bookman Old Style"/>
        </w:rPr>
        <w:t xml:space="preserve">, </w:t>
      </w:r>
      <w:r w:rsidR="009B68FE">
        <w:rPr>
          <w:rFonts w:ascii="Bookman Old Style" w:hAnsi="Bookman Old Style"/>
        </w:rPr>
        <w:t xml:space="preserve">los Operadores de Red, OR, </w:t>
      </w:r>
      <w:r w:rsidR="00046C08">
        <w:rPr>
          <w:rFonts w:ascii="Bookman Old Style" w:hAnsi="Bookman Old Style"/>
        </w:rPr>
        <w:t>deberán tener en cuenta lo siguiente:</w:t>
      </w:r>
      <w:bookmarkEnd w:id="1"/>
    </w:p>
    <w:p w:rsidR="00046C08" w:rsidRPr="00046C08" w:rsidRDefault="00046C08" w:rsidP="00046C08">
      <w:pPr>
        <w:ind w:left="0"/>
        <w:rPr>
          <w:rFonts w:ascii="Bookman Old Style" w:hAnsi="Bookman Old Style"/>
        </w:rPr>
      </w:pPr>
    </w:p>
    <w:p w:rsidR="0083084D" w:rsidRPr="00046C08" w:rsidRDefault="00046C08" w:rsidP="004622FF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L</w:t>
      </w:r>
      <w:r w:rsidRPr="00046C08">
        <w:rPr>
          <w:rFonts w:ascii="Bookman Old Style" w:hAnsi="Bookman Old Style"/>
          <w:sz w:val="24"/>
          <w:lang w:val="es-ES"/>
        </w:rPr>
        <w:t xml:space="preserve">os OR que con anterioridad al 1 de enero del año </w:t>
      </w:r>
      <w:r w:rsidRPr="00046C08">
        <w:rPr>
          <w:rFonts w:ascii="Bookman Old Style" w:hAnsi="Bookman Old Style"/>
          <w:i/>
          <w:sz w:val="24"/>
          <w:lang w:val="es-ES"/>
        </w:rPr>
        <w:t>k</w:t>
      </w:r>
      <w:r w:rsidRPr="00046C08">
        <w:rPr>
          <w:rFonts w:ascii="Bookman Old Style" w:hAnsi="Bookman Old Style"/>
          <w:sz w:val="24"/>
          <w:lang w:val="es-ES"/>
        </w:rPr>
        <w:t xml:space="preserve"> no hayan dado inicio al Esquema de Incentivos y Compensaciones</w:t>
      </w:r>
      <w:r w:rsidR="007601FD">
        <w:rPr>
          <w:rFonts w:ascii="Bookman Old Style" w:hAnsi="Bookman Old Style"/>
          <w:sz w:val="24"/>
          <w:lang w:val="es-ES"/>
        </w:rPr>
        <w:t>,</w:t>
      </w:r>
      <w:r w:rsidRPr="00046C08">
        <w:rPr>
          <w:rFonts w:ascii="Bookman Old Style" w:hAnsi="Bookman Old Style"/>
          <w:sz w:val="24"/>
          <w:lang w:val="es-ES"/>
        </w:rPr>
        <w:t xml:space="preserve"> previsto en el numeral 11.2.4 del anexo general de la Resolución CREG 097 de 2008</w:t>
      </w:r>
      <w:r w:rsidR="007601FD">
        <w:rPr>
          <w:rFonts w:ascii="Bookman Old Style" w:hAnsi="Bookman Old Style"/>
          <w:sz w:val="24"/>
          <w:lang w:val="es-ES"/>
        </w:rPr>
        <w:t>,</w:t>
      </w:r>
      <w:r w:rsidRPr="00046C08">
        <w:rPr>
          <w:rFonts w:ascii="Bookman Old Style" w:hAnsi="Bookman Old Style"/>
          <w:sz w:val="24"/>
          <w:lang w:val="es-ES"/>
        </w:rPr>
        <w:t xml:space="preserve"> deberán continuar calculando el Índice Trimestral Agrupado de la Disconti</w:t>
      </w:r>
      <w:r w:rsidR="007601FD">
        <w:rPr>
          <w:rFonts w:ascii="Bookman Old Style" w:hAnsi="Bookman Old Style"/>
          <w:sz w:val="24"/>
          <w:lang w:val="es-ES"/>
        </w:rPr>
        <w:softHyphen/>
      </w:r>
      <w:r w:rsidRPr="00046C08">
        <w:rPr>
          <w:rFonts w:ascii="Bookman Old Style" w:hAnsi="Bookman Old Style"/>
          <w:sz w:val="24"/>
          <w:lang w:val="es-ES"/>
        </w:rPr>
        <w:t xml:space="preserve">nuidad, </w:t>
      </w:r>
      <w:proofErr w:type="spellStart"/>
      <w:r w:rsidRPr="00046C08">
        <w:rPr>
          <w:rFonts w:ascii="Bookman Old Style" w:hAnsi="Bookman Old Style"/>
          <w:i/>
          <w:sz w:val="24"/>
          <w:lang w:val="es-ES"/>
        </w:rPr>
        <w:t>ITAD</w:t>
      </w:r>
      <w:r w:rsidRPr="00046C08">
        <w:rPr>
          <w:rFonts w:ascii="Bookman Old Style" w:hAnsi="Bookman Old Style"/>
          <w:i/>
          <w:sz w:val="24"/>
          <w:vertAlign w:val="subscript"/>
          <w:lang w:val="es-ES"/>
        </w:rPr>
        <w:t>n,p</w:t>
      </w:r>
      <w:proofErr w:type="spellEnd"/>
      <w:r w:rsidRPr="00046C08">
        <w:rPr>
          <w:rFonts w:ascii="Bookman Old Style" w:hAnsi="Bookman Old Style"/>
          <w:sz w:val="24"/>
          <w:lang w:val="es-ES"/>
        </w:rPr>
        <w:t>, teniendo en cuenta lo previsto en el penúltimo inciso del numeral 10.3.1 del citado anexo</w:t>
      </w:r>
      <w:r>
        <w:rPr>
          <w:rFonts w:ascii="Bookman Old Style" w:hAnsi="Bookman Old Style"/>
          <w:sz w:val="24"/>
          <w:lang w:val="es-ES"/>
        </w:rPr>
        <w:t xml:space="preserve">, y </w:t>
      </w:r>
      <w:r w:rsidR="0013505C">
        <w:rPr>
          <w:rFonts w:ascii="Bookman Old Style" w:hAnsi="Bookman Old Style"/>
          <w:sz w:val="24"/>
          <w:lang w:val="es-ES"/>
        </w:rPr>
        <w:t xml:space="preserve">los valores reportados para </w:t>
      </w:r>
      <w:r w:rsidRPr="00046C08">
        <w:rPr>
          <w:rFonts w:ascii="Bookman Old Style" w:hAnsi="Bookman Old Style"/>
          <w:sz w:val="24"/>
          <w:lang w:val="es-ES"/>
        </w:rPr>
        <w:t xml:space="preserve">el indicador </w:t>
      </w:r>
      <w:proofErr w:type="spellStart"/>
      <w:r w:rsidRPr="00046C08">
        <w:rPr>
          <w:rFonts w:ascii="Bookman Old Style" w:hAnsi="Bookman Old Style"/>
          <w:i/>
          <w:sz w:val="24"/>
          <w:lang w:val="es-ES"/>
        </w:rPr>
        <w:t>DES</w:t>
      </w:r>
      <w:r w:rsidRPr="00046C08">
        <w:rPr>
          <w:rFonts w:ascii="Bookman Old Style" w:hAnsi="Bookman Old Style"/>
          <w:i/>
          <w:sz w:val="24"/>
          <w:vertAlign w:val="subscript"/>
          <w:lang w:val="es-ES"/>
        </w:rPr>
        <w:t>c</w:t>
      </w:r>
      <w:proofErr w:type="spellEnd"/>
      <w:r w:rsidR="0013505C">
        <w:rPr>
          <w:rFonts w:ascii="Bookman Old Style" w:hAnsi="Bookman Old Style"/>
          <w:sz w:val="24"/>
          <w:lang w:val="es-ES"/>
        </w:rPr>
        <w:t xml:space="preserve">, de acuerdo con el listado de interrupciones </w:t>
      </w:r>
      <w:r w:rsidRPr="00046C08">
        <w:rPr>
          <w:rFonts w:ascii="Bookman Old Style" w:hAnsi="Bookman Old Style"/>
          <w:sz w:val="24"/>
          <w:lang w:val="es-ES"/>
        </w:rPr>
        <w:t>señalad</w:t>
      </w:r>
      <w:r w:rsidR="0013505C">
        <w:rPr>
          <w:rFonts w:ascii="Bookman Old Style" w:hAnsi="Bookman Old Style"/>
          <w:sz w:val="24"/>
          <w:lang w:val="es-ES"/>
        </w:rPr>
        <w:t>o</w:t>
      </w:r>
      <w:r w:rsidRPr="00046C08">
        <w:rPr>
          <w:rFonts w:ascii="Bookman Old Style" w:hAnsi="Bookman Old Style"/>
          <w:sz w:val="24"/>
          <w:lang w:val="es-ES"/>
        </w:rPr>
        <w:t xml:space="preserve"> en la Resolución CREG 096 de 2000.</w:t>
      </w:r>
    </w:p>
    <w:p w:rsidR="00046C08" w:rsidRPr="00046C08" w:rsidRDefault="00046C08" w:rsidP="00046C08">
      <w:pPr>
        <w:pStyle w:val="Prrafodelista"/>
        <w:ind w:left="720"/>
        <w:jc w:val="both"/>
        <w:rPr>
          <w:rFonts w:ascii="Bookman Old Style" w:hAnsi="Bookman Old Style"/>
          <w:sz w:val="24"/>
        </w:rPr>
      </w:pPr>
    </w:p>
    <w:p w:rsidR="00046C08" w:rsidRPr="00046C08" w:rsidRDefault="00046C08" w:rsidP="004622FF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sz w:val="24"/>
        </w:rPr>
      </w:pPr>
      <w:bookmarkStart w:id="2" w:name="_Ref324750754"/>
      <w:r>
        <w:rPr>
          <w:rFonts w:ascii="Bookman Old Style" w:hAnsi="Bookman Old Style"/>
          <w:sz w:val="24"/>
          <w:lang w:val="es-ES"/>
        </w:rPr>
        <w:t>L</w:t>
      </w:r>
      <w:r w:rsidRPr="00046C08">
        <w:rPr>
          <w:rFonts w:ascii="Bookman Old Style" w:hAnsi="Bookman Old Style"/>
          <w:sz w:val="24"/>
          <w:lang w:val="es-ES"/>
        </w:rPr>
        <w:t xml:space="preserve">os OR que con anterioridad al 1 de enero del año </w:t>
      </w:r>
      <w:r w:rsidRPr="00046C08">
        <w:rPr>
          <w:rFonts w:ascii="Bookman Old Style" w:hAnsi="Bookman Old Style"/>
          <w:i/>
          <w:sz w:val="24"/>
          <w:lang w:val="es-ES"/>
        </w:rPr>
        <w:t>k</w:t>
      </w:r>
      <w:r w:rsidRPr="00046C08">
        <w:rPr>
          <w:rFonts w:ascii="Bookman Old Style" w:hAnsi="Bookman Old Style"/>
          <w:sz w:val="24"/>
          <w:lang w:val="es-ES"/>
        </w:rPr>
        <w:t xml:space="preserve"> hayan dado inicio al esquema de incentivos, recalcularán cada Índice Trimestral Agrupado de la Discontinuidad, </w:t>
      </w:r>
      <w:proofErr w:type="spellStart"/>
      <w:r w:rsidRPr="00046C08">
        <w:rPr>
          <w:rFonts w:ascii="Bookman Old Style" w:hAnsi="Bookman Old Style"/>
          <w:i/>
          <w:sz w:val="24"/>
          <w:lang w:val="es-ES"/>
        </w:rPr>
        <w:t>ITAD</w:t>
      </w:r>
      <w:r w:rsidRPr="00046C08">
        <w:rPr>
          <w:rFonts w:ascii="Bookman Old Style" w:hAnsi="Bookman Old Style"/>
          <w:i/>
          <w:sz w:val="24"/>
          <w:vertAlign w:val="subscript"/>
          <w:lang w:val="es-ES"/>
        </w:rPr>
        <w:t>n</w:t>
      </w:r>
      <w:proofErr w:type="gramStart"/>
      <w:r w:rsidRPr="00046C08">
        <w:rPr>
          <w:rFonts w:ascii="Bookman Old Style" w:hAnsi="Bookman Old Style"/>
          <w:i/>
          <w:sz w:val="24"/>
          <w:vertAlign w:val="subscript"/>
          <w:lang w:val="es-ES"/>
        </w:rPr>
        <w:t>,p</w:t>
      </w:r>
      <w:proofErr w:type="spellEnd"/>
      <w:proofErr w:type="gramEnd"/>
      <w:r w:rsidRPr="00046C08">
        <w:rPr>
          <w:rFonts w:ascii="Bookman Old Style" w:hAnsi="Bookman Old Style"/>
          <w:sz w:val="24"/>
          <w:lang w:val="es-ES"/>
        </w:rPr>
        <w:t xml:space="preserve">, correspondiente a los trimestres anteriores a la fecha de inicio del esquema, teniendo en cuenta el listado de interrupciones previsto en el numeral 11.2.1.2 del </w:t>
      </w:r>
      <w:r w:rsidR="0013505C" w:rsidRPr="0013505C">
        <w:rPr>
          <w:rFonts w:ascii="Bookman Old Style" w:hAnsi="Bookman Old Style"/>
          <w:sz w:val="24"/>
          <w:lang w:val="es-ES"/>
        </w:rPr>
        <w:t>anexo general de la Resolución CREG 097 de 2008</w:t>
      </w:r>
      <w:r w:rsidR="001C2E73">
        <w:rPr>
          <w:rFonts w:ascii="Bookman Old Style" w:hAnsi="Bookman Old Style"/>
          <w:sz w:val="24"/>
          <w:lang w:val="es-ES"/>
        </w:rPr>
        <w:t xml:space="preserve"> y aquellas que la modifiquen o sustituyan</w:t>
      </w:r>
      <w:r w:rsidRPr="00046C08">
        <w:rPr>
          <w:rFonts w:ascii="Bookman Old Style" w:hAnsi="Bookman Old Style"/>
          <w:sz w:val="24"/>
          <w:lang w:val="es-ES"/>
        </w:rPr>
        <w:t>.</w:t>
      </w:r>
      <w:bookmarkEnd w:id="2"/>
    </w:p>
    <w:p w:rsidR="0083084D" w:rsidRPr="0083084D" w:rsidRDefault="0083084D" w:rsidP="00046C08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  <w:b/>
        </w:rPr>
      </w:pPr>
    </w:p>
    <w:p w:rsidR="000B2577" w:rsidRPr="000B2577" w:rsidRDefault="00D471D1" w:rsidP="00996427">
      <w:pPr>
        <w:numPr>
          <w:ilvl w:val="0"/>
          <w:numId w:val="7"/>
        </w:numPr>
        <w:tabs>
          <w:tab w:val="left" w:pos="1701"/>
          <w:tab w:val="num" w:pos="2150"/>
        </w:tabs>
        <w:jc w:val="both"/>
        <w:rPr>
          <w:rFonts w:ascii="Bookman Old Style" w:hAnsi="Bookman Old Style"/>
          <w:b/>
        </w:rPr>
      </w:pPr>
      <w:r w:rsidRPr="00D471D1">
        <w:rPr>
          <w:rFonts w:ascii="Bookman Old Style" w:hAnsi="Bookman Old Style"/>
          <w:b/>
        </w:rPr>
        <w:t>Transitorio.</w:t>
      </w:r>
      <w:r>
        <w:rPr>
          <w:rFonts w:ascii="Bookman Old Style" w:hAnsi="Bookman Old Style"/>
        </w:rPr>
        <w:t xml:space="preserve"> </w:t>
      </w:r>
      <w:r w:rsidR="00F94F09">
        <w:rPr>
          <w:rFonts w:ascii="Bookman Old Style" w:hAnsi="Bookman Old Style"/>
        </w:rPr>
        <w:t>L</w:t>
      </w:r>
      <w:r w:rsidR="00C51D07">
        <w:rPr>
          <w:rFonts w:ascii="Bookman Old Style" w:hAnsi="Bookman Old Style"/>
        </w:rPr>
        <w:t xml:space="preserve">os </w:t>
      </w:r>
      <w:r w:rsidR="00C51D07" w:rsidRPr="00C51D07">
        <w:rPr>
          <w:rFonts w:ascii="Bookman Old Style" w:hAnsi="Bookman Old Style"/>
          <w:lang w:val="es-CO"/>
        </w:rPr>
        <w:t xml:space="preserve">OR que con anterioridad al 1 de enero </w:t>
      </w:r>
      <w:r w:rsidR="00C51D07">
        <w:rPr>
          <w:rFonts w:ascii="Bookman Old Style" w:hAnsi="Bookman Old Style"/>
          <w:lang w:val="es-CO"/>
        </w:rPr>
        <w:t xml:space="preserve">de 2012 </w:t>
      </w:r>
      <w:r w:rsidR="00C51D07" w:rsidRPr="00C51D07">
        <w:rPr>
          <w:rFonts w:ascii="Bookman Old Style" w:hAnsi="Bookman Old Style"/>
          <w:lang w:val="es-CO"/>
        </w:rPr>
        <w:t>hayan dado inicio al</w:t>
      </w:r>
      <w:r w:rsidR="00C51D07" w:rsidRPr="00C51D07">
        <w:rPr>
          <w:rFonts w:ascii="Bookman Old Style" w:hAnsi="Bookman Old Style"/>
        </w:rPr>
        <w:t xml:space="preserve"> esquema de incentivos </w:t>
      </w:r>
      <w:r w:rsidR="000B2577">
        <w:rPr>
          <w:rFonts w:ascii="Bookman Old Style" w:hAnsi="Bookman Old Style"/>
        </w:rPr>
        <w:t xml:space="preserve">realizarán el cálculo de </w:t>
      </w:r>
      <w:r w:rsidR="000B2577" w:rsidRPr="000B2577">
        <w:rPr>
          <w:rFonts w:ascii="Bookman Old Style" w:hAnsi="Bookman Old Style"/>
        </w:rPr>
        <w:t>cada</w:t>
      </w:r>
      <w:r w:rsidR="000B2577" w:rsidRPr="000B2577">
        <w:rPr>
          <w:rFonts w:ascii="Bookman Old Style" w:hAnsi="Bookman Old Style"/>
          <w:lang w:val="es-CO"/>
        </w:rPr>
        <w:t xml:space="preserve"> Índice Trimestral Agrupado de la Discontinuidad, </w:t>
      </w:r>
      <w:proofErr w:type="spellStart"/>
      <w:r w:rsidR="000B2577" w:rsidRPr="000B2577">
        <w:rPr>
          <w:rFonts w:ascii="Bookman Old Style" w:hAnsi="Bookman Old Style"/>
          <w:i/>
          <w:lang w:val="es-CO"/>
        </w:rPr>
        <w:t>ITAD</w:t>
      </w:r>
      <w:r w:rsidR="000B2577" w:rsidRPr="000B2577">
        <w:rPr>
          <w:rFonts w:ascii="Bookman Old Style" w:hAnsi="Bookman Old Style"/>
          <w:i/>
          <w:vertAlign w:val="subscript"/>
          <w:lang w:val="es-CO"/>
        </w:rPr>
        <w:t>n</w:t>
      </w:r>
      <w:proofErr w:type="gramStart"/>
      <w:r w:rsidR="000B2577" w:rsidRPr="000B2577">
        <w:rPr>
          <w:rFonts w:ascii="Bookman Old Style" w:hAnsi="Bookman Old Style"/>
          <w:i/>
          <w:vertAlign w:val="subscript"/>
          <w:lang w:val="es-CO"/>
        </w:rPr>
        <w:t>,p</w:t>
      </w:r>
      <w:proofErr w:type="spellEnd"/>
      <w:proofErr w:type="gramEnd"/>
      <w:r w:rsidR="000B2577" w:rsidRPr="000B2577">
        <w:rPr>
          <w:rFonts w:ascii="Bookman Old Style" w:hAnsi="Bookman Old Style"/>
          <w:lang w:val="es-CO"/>
        </w:rPr>
        <w:t>, correspondiente a los trimestres anteriores a</w:t>
      </w:r>
      <w:r w:rsidR="00172885">
        <w:rPr>
          <w:rFonts w:ascii="Bookman Old Style" w:hAnsi="Bookman Old Style"/>
          <w:lang w:val="es-CO"/>
        </w:rPr>
        <w:t xml:space="preserve"> </w:t>
      </w:r>
      <w:r w:rsidR="000B2577" w:rsidRPr="000B2577">
        <w:rPr>
          <w:rFonts w:ascii="Bookman Old Style" w:hAnsi="Bookman Old Style"/>
          <w:lang w:val="es-CO"/>
        </w:rPr>
        <w:t>l</w:t>
      </w:r>
      <w:r w:rsidR="00172885">
        <w:rPr>
          <w:rFonts w:ascii="Bookman Old Style" w:hAnsi="Bookman Old Style"/>
          <w:lang w:val="es-CO"/>
        </w:rPr>
        <w:t xml:space="preserve">a fecha de </w:t>
      </w:r>
      <w:r w:rsidR="000B2577" w:rsidRPr="000B2577">
        <w:rPr>
          <w:rFonts w:ascii="Bookman Old Style" w:hAnsi="Bookman Old Style"/>
          <w:lang w:val="es-CO"/>
        </w:rPr>
        <w:t>inicio del esquema</w:t>
      </w:r>
      <w:r w:rsidR="000B2577">
        <w:rPr>
          <w:rFonts w:ascii="Bookman Old Style" w:hAnsi="Bookman Old Style"/>
          <w:lang w:val="es-CO"/>
        </w:rPr>
        <w:t>,</w:t>
      </w:r>
      <w:r w:rsidR="000B2577">
        <w:rPr>
          <w:rFonts w:ascii="Bookman Old Style" w:hAnsi="Bookman Old Style"/>
        </w:rPr>
        <w:t xml:space="preserve"> de acuerdo con lo </w:t>
      </w:r>
      <w:r>
        <w:rPr>
          <w:rFonts w:ascii="Bookman Old Style" w:hAnsi="Bookman Old Style"/>
        </w:rPr>
        <w:t>previst</w:t>
      </w:r>
      <w:r w:rsidR="000B257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e</w:t>
      </w:r>
      <w:r w:rsidR="0017288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e</w:t>
      </w:r>
      <w:r w:rsidR="0017288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</w:t>
      </w:r>
      <w:r w:rsidR="004622FF">
        <w:rPr>
          <w:rFonts w:ascii="Bookman Old Style" w:hAnsi="Bookman Old Style"/>
        </w:rPr>
        <w:t>lit</w:t>
      </w:r>
      <w:r w:rsidR="00046C08">
        <w:rPr>
          <w:rFonts w:ascii="Bookman Old Style" w:hAnsi="Bookman Old Style"/>
        </w:rPr>
        <w:t xml:space="preserve">eral </w:t>
      </w:r>
      <w:r w:rsidR="00046C08">
        <w:rPr>
          <w:rFonts w:ascii="Bookman Old Style" w:hAnsi="Bookman Old Style"/>
        </w:rPr>
        <w:fldChar w:fldCharType="begin"/>
      </w:r>
      <w:r w:rsidR="00046C08">
        <w:rPr>
          <w:rFonts w:ascii="Bookman Old Style" w:hAnsi="Bookman Old Style"/>
        </w:rPr>
        <w:instrText xml:space="preserve"> REF _Ref324750754 \r \h </w:instrText>
      </w:r>
      <w:r w:rsidR="00046C08">
        <w:rPr>
          <w:rFonts w:ascii="Bookman Old Style" w:hAnsi="Bookman Old Style"/>
        </w:rPr>
      </w:r>
      <w:r w:rsidR="00046C08">
        <w:rPr>
          <w:rFonts w:ascii="Bookman Old Style" w:hAnsi="Bookman Old Style"/>
        </w:rPr>
        <w:fldChar w:fldCharType="separate"/>
      </w:r>
      <w:r w:rsidR="00F6721B">
        <w:rPr>
          <w:rFonts w:ascii="Bookman Old Style" w:hAnsi="Bookman Old Style"/>
        </w:rPr>
        <w:t>b)</w:t>
      </w:r>
      <w:r w:rsidR="00046C08">
        <w:rPr>
          <w:rFonts w:ascii="Bookman Old Style" w:hAnsi="Bookman Old Style"/>
        </w:rPr>
        <w:fldChar w:fldCharType="end"/>
      </w:r>
      <w:r w:rsidR="00046C08">
        <w:rPr>
          <w:rFonts w:ascii="Bookman Old Style" w:hAnsi="Bookman Old Style"/>
        </w:rPr>
        <w:t xml:space="preserve"> del </w:t>
      </w:r>
      <w:r w:rsidR="00046C08">
        <w:rPr>
          <w:rFonts w:ascii="Bookman Old Style" w:hAnsi="Bookman Old Style"/>
        </w:rPr>
        <w:fldChar w:fldCharType="begin"/>
      </w:r>
      <w:r w:rsidR="00046C08">
        <w:rPr>
          <w:rFonts w:ascii="Bookman Old Style" w:hAnsi="Bookman Old Style"/>
        </w:rPr>
        <w:instrText xml:space="preserve"> REF _Ref324750756 \r \h </w:instrText>
      </w:r>
      <w:r w:rsidR="00046C08">
        <w:rPr>
          <w:rFonts w:ascii="Bookman Old Style" w:hAnsi="Bookman Old Style"/>
        </w:rPr>
      </w:r>
      <w:r w:rsidR="00046C08">
        <w:rPr>
          <w:rFonts w:ascii="Bookman Old Style" w:hAnsi="Bookman Old Style"/>
        </w:rPr>
        <w:fldChar w:fldCharType="separate"/>
      </w:r>
      <w:r w:rsidR="00F6721B">
        <w:rPr>
          <w:rFonts w:ascii="Bookman Old Style" w:hAnsi="Bookman Old Style"/>
        </w:rPr>
        <w:t>Artículo 1</w:t>
      </w:r>
      <w:r w:rsidR="00046C08">
        <w:rPr>
          <w:rFonts w:ascii="Bookman Old Style" w:hAnsi="Bookman Old Style"/>
        </w:rPr>
        <w:fldChar w:fldCharType="end"/>
      </w:r>
      <w:r w:rsidR="00046C0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esta resolución</w:t>
      </w:r>
      <w:r w:rsidR="000B2577">
        <w:rPr>
          <w:rFonts w:ascii="Bookman Old Style" w:hAnsi="Bookman Old Style"/>
        </w:rPr>
        <w:t>.</w:t>
      </w:r>
    </w:p>
    <w:p w:rsidR="000B2577" w:rsidRPr="00172885" w:rsidRDefault="000B2577" w:rsidP="000B2577">
      <w:pPr>
        <w:pStyle w:val="Prrafodelista"/>
        <w:rPr>
          <w:rFonts w:ascii="Bookman Old Style" w:hAnsi="Bookman Old Style"/>
          <w:lang w:val="es-ES"/>
        </w:rPr>
      </w:pPr>
    </w:p>
    <w:p w:rsidR="00617E6D" w:rsidRDefault="000B2577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 </w:t>
      </w:r>
      <w:r w:rsidR="00466EE8" w:rsidRPr="000B2577">
        <w:rPr>
          <w:rFonts w:ascii="Bookman Old Style" w:hAnsi="Bookman Old Style"/>
        </w:rPr>
        <w:t xml:space="preserve">los </w:t>
      </w:r>
      <w:r w:rsidRPr="000B2577">
        <w:rPr>
          <w:rFonts w:ascii="Bookman Old Style" w:hAnsi="Bookman Old Style"/>
        </w:rPr>
        <w:t xml:space="preserve">valores de </w:t>
      </w:r>
      <w:proofErr w:type="spellStart"/>
      <w:r w:rsidRPr="000B2577">
        <w:rPr>
          <w:rFonts w:ascii="Bookman Old Style" w:hAnsi="Bookman Old Style"/>
          <w:i/>
          <w:lang w:val="es-CO"/>
        </w:rPr>
        <w:t>ITAD</w:t>
      </w:r>
      <w:r w:rsidRPr="000B2577">
        <w:rPr>
          <w:rFonts w:ascii="Bookman Old Style" w:hAnsi="Bookman Old Style"/>
          <w:i/>
          <w:vertAlign w:val="subscript"/>
          <w:lang w:val="es-CO"/>
        </w:rPr>
        <w:t>n,p</w:t>
      </w:r>
      <w:proofErr w:type="spellEnd"/>
      <w:r w:rsidR="00172885">
        <w:rPr>
          <w:rFonts w:ascii="Bookman Old Style" w:hAnsi="Bookman Old Style"/>
        </w:rPr>
        <w:t xml:space="preserve"> </w:t>
      </w:r>
      <w:r w:rsidR="00466EE8">
        <w:rPr>
          <w:rFonts w:ascii="Bookman Old Style" w:hAnsi="Bookman Old Style"/>
        </w:rPr>
        <w:t xml:space="preserve">obtenidos con el procedimiento mencionado, </w:t>
      </w:r>
      <w:r w:rsidR="002F0B3E">
        <w:rPr>
          <w:rFonts w:ascii="Bookman Old Style" w:hAnsi="Bookman Old Style"/>
        </w:rPr>
        <w:t xml:space="preserve">con </w:t>
      </w:r>
      <w:r w:rsidR="00172885">
        <w:rPr>
          <w:rFonts w:ascii="Bookman Old Style" w:hAnsi="Bookman Old Style"/>
        </w:rPr>
        <w:t xml:space="preserve">los calculados para los trimestres posteriores a la fecha de inicio del esquema de incentivos </w:t>
      </w:r>
      <w:r>
        <w:rPr>
          <w:rFonts w:ascii="Bookman Old Style" w:hAnsi="Bookman Old Style"/>
        </w:rPr>
        <w:t xml:space="preserve">y </w:t>
      </w:r>
      <w:r w:rsidR="00305D30">
        <w:rPr>
          <w:rFonts w:ascii="Bookman Old Style" w:hAnsi="Bookman Old Style"/>
        </w:rPr>
        <w:t>con base en lo</w:t>
      </w:r>
      <w:r>
        <w:rPr>
          <w:rFonts w:ascii="Bookman Old Style" w:hAnsi="Bookman Old Style"/>
        </w:rPr>
        <w:t xml:space="preserve"> establecido en </w:t>
      </w:r>
      <w:r w:rsidRPr="000B2577">
        <w:rPr>
          <w:rFonts w:ascii="Bookman Old Style" w:hAnsi="Bookman Old Style"/>
        </w:rPr>
        <w:t>el numeral 10.3.1 del anexo general de la Resolución CREG 097 de 2008</w:t>
      </w:r>
      <w:r w:rsidR="00825ED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0B2577">
        <w:rPr>
          <w:rFonts w:ascii="Bookman Old Style" w:hAnsi="Bookman Old Style"/>
        </w:rPr>
        <w:t xml:space="preserve">el </w:t>
      </w:r>
      <w:r w:rsidR="00CC163F">
        <w:rPr>
          <w:rFonts w:ascii="Bookman Old Style" w:hAnsi="Bookman Old Style"/>
        </w:rPr>
        <w:t>OR</w:t>
      </w:r>
      <w:r w:rsidRPr="000B257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calculará </w:t>
      </w:r>
      <w:r w:rsidR="00321980">
        <w:rPr>
          <w:rFonts w:ascii="Bookman Old Style" w:hAnsi="Bookman Old Style"/>
        </w:rPr>
        <w:t xml:space="preserve">el </w:t>
      </w:r>
      <w:r w:rsidRPr="000B2577">
        <w:rPr>
          <w:rFonts w:ascii="Bookman Old Style" w:hAnsi="Bookman Old Style"/>
        </w:rPr>
        <w:t xml:space="preserve">porcentaje de AOM a </w:t>
      </w:r>
      <w:r w:rsidRPr="000B2577">
        <w:rPr>
          <w:rFonts w:ascii="Bookman Old Style" w:hAnsi="Bookman Old Style"/>
        </w:rPr>
        <w:lastRenderedPageBreak/>
        <w:t>Reconocer</w:t>
      </w:r>
      <w:r>
        <w:rPr>
          <w:rFonts w:ascii="Bookman Old Style" w:hAnsi="Bookman Old Style"/>
        </w:rPr>
        <w:t xml:space="preserve"> </w:t>
      </w:r>
      <w:r w:rsidR="00321980">
        <w:rPr>
          <w:rFonts w:ascii="Bookman Old Style" w:hAnsi="Bookman Old Style"/>
        </w:rPr>
        <w:t>para el año 2012</w:t>
      </w:r>
      <w:r w:rsidR="00172885">
        <w:rPr>
          <w:rFonts w:ascii="Bookman Old Style" w:hAnsi="Bookman Old Style"/>
        </w:rPr>
        <w:t xml:space="preserve">, de lo cual deberá entregar un informe a la </w:t>
      </w:r>
      <w:r w:rsidR="00172885" w:rsidRPr="00603300">
        <w:rPr>
          <w:rFonts w:ascii="Bookman Old Style" w:hAnsi="Bookman Old Style"/>
        </w:rPr>
        <w:t>Superintendencia de Servicios Públicos Domiciliarios</w:t>
      </w:r>
      <w:r w:rsidR="00172885">
        <w:rPr>
          <w:rFonts w:ascii="Bookman Old Style" w:hAnsi="Bookman Old Style"/>
        </w:rPr>
        <w:t>,</w:t>
      </w:r>
      <w:r w:rsidR="00172885" w:rsidRPr="00603300">
        <w:rPr>
          <w:rFonts w:ascii="Bookman Old Style" w:hAnsi="Bookman Old Style"/>
        </w:rPr>
        <w:t xml:space="preserve"> SSPD</w:t>
      </w:r>
      <w:r w:rsidR="00172885">
        <w:rPr>
          <w:rFonts w:ascii="Bookman Old Style" w:hAnsi="Bookman Old Style"/>
        </w:rPr>
        <w:t xml:space="preserve">, </w:t>
      </w:r>
      <w:r w:rsidR="00F6721B">
        <w:rPr>
          <w:rFonts w:ascii="Bookman Old Style" w:hAnsi="Bookman Old Style"/>
        </w:rPr>
        <w:t>el cual deberá contener, en archivos de hojas electrónicas, lo siguiente</w:t>
      </w:r>
      <w:r w:rsidR="001C2E73">
        <w:rPr>
          <w:rFonts w:ascii="Bookman Old Style" w:hAnsi="Bookman Old Style"/>
        </w:rPr>
        <w:t>:</w:t>
      </w:r>
      <w:r w:rsidR="00172885">
        <w:rPr>
          <w:rFonts w:ascii="Bookman Old Style" w:hAnsi="Bookman Old Style"/>
        </w:rPr>
        <w:t xml:space="preserve"> </w:t>
      </w:r>
      <w:r w:rsidR="00371483" w:rsidRPr="00371483">
        <w:rPr>
          <w:rFonts w:ascii="Bookman Old Style" w:hAnsi="Bookman Old Style"/>
        </w:rPr>
        <w:t>i) el listado de interrup</w:t>
      </w:r>
      <w:r w:rsidR="00371483" w:rsidRPr="00371483">
        <w:rPr>
          <w:rFonts w:ascii="Bookman Old Style" w:hAnsi="Bookman Old Style"/>
        </w:rPr>
        <w:softHyphen/>
        <w:t xml:space="preserve">ciones que fueron reclasificadas para recalcular los </w:t>
      </w:r>
      <w:proofErr w:type="spellStart"/>
      <w:r w:rsidR="00371483" w:rsidRPr="00371483">
        <w:rPr>
          <w:rFonts w:ascii="Bookman Old Style" w:hAnsi="Bookman Old Style"/>
          <w:i/>
        </w:rPr>
        <w:t>ITAD</w:t>
      </w:r>
      <w:r w:rsidR="00371483" w:rsidRPr="00371483">
        <w:rPr>
          <w:rFonts w:ascii="Bookman Old Style" w:hAnsi="Bookman Old Style"/>
          <w:i/>
          <w:vertAlign w:val="subscript"/>
        </w:rPr>
        <w:t>n,p</w:t>
      </w:r>
      <w:proofErr w:type="spellEnd"/>
      <w:r w:rsidR="00371483" w:rsidRPr="00371483">
        <w:rPr>
          <w:rFonts w:ascii="Bookman Old Style" w:hAnsi="Bookman Old Style"/>
        </w:rPr>
        <w:t xml:space="preserve">, identificando la clasificación asignada con ambas metodologías, ii) </w:t>
      </w:r>
      <w:r w:rsidR="00172885">
        <w:rPr>
          <w:rFonts w:ascii="Bookman Old Style" w:hAnsi="Bookman Old Style"/>
        </w:rPr>
        <w:t xml:space="preserve">los valores de los </w:t>
      </w:r>
      <w:proofErr w:type="spellStart"/>
      <w:r w:rsidR="00172885" w:rsidRPr="00172885">
        <w:rPr>
          <w:rFonts w:ascii="Bookman Old Style" w:hAnsi="Bookman Old Style"/>
          <w:i/>
          <w:lang w:val="es-CO"/>
        </w:rPr>
        <w:t>ITAD</w:t>
      </w:r>
      <w:r w:rsidR="00172885" w:rsidRPr="00172885">
        <w:rPr>
          <w:rFonts w:ascii="Bookman Old Style" w:hAnsi="Bookman Old Style"/>
          <w:i/>
          <w:vertAlign w:val="subscript"/>
          <w:lang w:val="es-CO"/>
        </w:rPr>
        <w:t>n,p</w:t>
      </w:r>
      <w:proofErr w:type="spellEnd"/>
      <w:r w:rsidR="00172885" w:rsidRPr="00172885">
        <w:rPr>
          <w:rFonts w:ascii="Bookman Old Style" w:hAnsi="Bookman Old Style"/>
        </w:rPr>
        <w:t xml:space="preserve"> </w:t>
      </w:r>
      <w:r w:rsidR="00371483">
        <w:rPr>
          <w:rFonts w:ascii="Bookman Old Style" w:hAnsi="Bookman Old Style"/>
        </w:rPr>
        <w:t xml:space="preserve">recalculados </w:t>
      </w:r>
      <w:r w:rsidR="00172885">
        <w:rPr>
          <w:rFonts w:ascii="Bookman Old Style" w:hAnsi="Bookman Old Style"/>
        </w:rPr>
        <w:t xml:space="preserve">y </w:t>
      </w:r>
      <w:r w:rsidR="00371483">
        <w:rPr>
          <w:rFonts w:ascii="Bookman Old Style" w:hAnsi="Bookman Old Style"/>
        </w:rPr>
        <w:t xml:space="preserve">iii) </w:t>
      </w:r>
      <w:r w:rsidR="00172885">
        <w:rPr>
          <w:rFonts w:ascii="Bookman Old Style" w:hAnsi="Bookman Old Style"/>
        </w:rPr>
        <w:t xml:space="preserve">el resultado obtenido para el nuevo porcentaje </w:t>
      </w:r>
      <w:r w:rsidR="00172885" w:rsidRPr="00D471D1">
        <w:rPr>
          <w:rFonts w:ascii="Bookman Old Style" w:hAnsi="Bookman Old Style"/>
        </w:rPr>
        <w:t>de AOM a Reconocer</w:t>
      </w:r>
      <w:r w:rsidR="002F0B3E">
        <w:rPr>
          <w:rFonts w:ascii="Bookman Old Style" w:hAnsi="Bookman Old Style"/>
        </w:rPr>
        <w:t xml:space="preserve"> para el año 2012, </w:t>
      </w:r>
      <w:r w:rsidR="002F0B3E" w:rsidRPr="00D14DE8">
        <w:rPr>
          <w:rFonts w:ascii="Bookman Old Style" w:hAnsi="Bookman Old Style"/>
          <w:i/>
        </w:rPr>
        <w:t>PAOMR</w:t>
      </w:r>
      <w:r w:rsidR="002F0B3E" w:rsidRPr="00D14DE8">
        <w:rPr>
          <w:rFonts w:ascii="Bookman Old Style" w:hAnsi="Bookman Old Style"/>
          <w:i/>
          <w:vertAlign w:val="subscript"/>
        </w:rPr>
        <w:t>j,2012</w:t>
      </w:r>
      <w:r w:rsidR="00172885">
        <w:rPr>
          <w:rFonts w:ascii="Bookman Old Style" w:hAnsi="Bookman Old Style"/>
        </w:rPr>
        <w:t>.</w:t>
      </w:r>
      <w:r w:rsidR="00774C43">
        <w:rPr>
          <w:rFonts w:ascii="Bookman Old Style" w:hAnsi="Bookman Old Style"/>
        </w:rPr>
        <w:t xml:space="preserve"> </w:t>
      </w:r>
    </w:p>
    <w:p w:rsidR="001C2E73" w:rsidRDefault="001C2E73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</w:p>
    <w:p w:rsidR="00603300" w:rsidRDefault="00774C43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 OR </w:t>
      </w:r>
      <w:r w:rsidRPr="00C51D07">
        <w:rPr>
          <w:rFonts w:ascii="Bookman Old Style" w:hAnsi="Bookman Old Style"/>
          <w:lang w:val="es-CO"/>
        </w:rPr>
        <w:t xml:space="preserve">que hayan </w:t>
      </w:r>
      <w:r w:rsidR="00DD762C">
        <w:rPr>
          <w:rFonts w:ascii="Bookman Old Style" w:hAnsi="Bookman Old Style"/>
          <w:lang w:val="es-CO"/>
        </w:rPr>
        <w:t>i</w:t>
      </w:r>
      <w:r w:rsidRPr="00C51D07">
        <w:rPr>
          <w:rFonts w:ascii="Bookman Old Style" w:hAnsi="Bookman Old Style"/>
          <w:lang w:val="es-CO"/>
        </w:rPr>
        <w:t>nici</w:t>
      </w:r>
      <w:r w:rsidR="00DD762C">
        <w:rPr>
          <w:rFonts w:ascii="Bookman Old Style" w:hAnsi="Bookman Old Style"/>
          <w:lang w:val="es-CO"/>
        </w:rPr>
        <w:t>ado</w:t>
      </w:r>
      <w:r w:rsidRPr="00C51D07">
        <w:rPr>
          <w:rFonts w:ascii="Bookman Old Style" w:hAnsi="Bookman Old Style"/>
          <w:lang w:val="es-CO"/>
        </w:rPr>
        <w:t xml:space="preserve"> </w:t>
      </w:r>
      <w:r w:rsidR="00DD762C">
        <w:rPr>
          <w:rFonts w:ascii="Bookman Old Style" w:hAnsi="Bookman Old Style"/>
          <w:lang w:val="es-CO"/>
        </w:rPr>
        <w:t>e</w:t>
      </w:r>
      <w:r w:rsidRPr="00C51D07">
        <w:rPr>
          <w:rFonts w:ascii="Bookman Old Style" w:hAnsi="Bookman Old Style"/>
          <w:lang w:val="es-CO"/>
        </w:rPr>
        <w:t>l</w:t>
      </w:r>
      <w:r w:rsidRPr="00C51D07">
        <w:rPr>
          <w:rFonts w:ascii="Bookman Old Style" w:hAnsi="Bookman Old Style"/>
        </w:rPr>
        <w:t xml:space="preserve"> esquema de incentivos</w:t>
      </w:r>
      <w:r w:rsidRPr="00C51D07">
        <w:rPr>
          <w:rFonts w:ascii="Bookman Old Style" w:hAnsi="Bookman Old Style"/>
          <w:lang w:val="es-CO"/>
        </w:rPr>
        <w:t xml:space="preserve"> ante</w:t>
      </w:r>
      <w:r w:rsidR="00DD762C">
        <w:rPr>
          <w:rFonts w:ascii="Bookman Old Style" w:hAnsi="Bookman Old Style"/>
          <w:lang w:val="es-CO"/>
        </w:rPr>
        <w:t>s de</w:t>
      </w:r>
      <w:r w:rsidRPr="00C51D07">
        <w:rPr>
          <w:rFonts w:ascii="Bookman Old Style" w:hAnsi="Bookman Old Style"/>
          <w:lang w:val="es-CO"/>
        </w:rPr>
        <w:t xml:space="preserve">l 1 de enero </w:t>
      </w:r>
      <w:r>
        <w:rPr>
          <w:rFonts w:ascii="Bookman Old Style" w:hAnsi="Bookman Old Style"/>
          <w:lang w:val="es-CO"/>
        </w:rPr>
        <w:t xml:space="preserve">de 2011 deberán calcular primero el </w:t>
      </w:r>
      <w:r w:rsidRPr="00774C43">
        <w:rPr>
          <w:rFonts w:ascii="Bookman Old Style" w:hAnsi="Bookman Old Style"/>
          <w:i/>
        </w:rPr>
        <w:t>PAOMR</w:t>
      </w:r>
      <w:r w:rsidRPr="00774C43">
        <w:rPr>
          <w:rFonts w:ascii="Bookman Old Style" w:hAnsi="Bookman Old Style"/>
          <w:i/>
          <w:vertAlign w:val="subscript"/>
        </w:rPr>
        <w:t>j</w:t>
      </w:r>
      <w:proofErr w:type="gramStart"/>
      <w:r w:rsidRPr="00774C43">
        <w:rPr>
          <w:rFonts w:ascii="Bookman Old Style" w:hAnsi="Bookman Old Style"/>
          <w:i/>
          <w:vertAlign w:val="subscript"/>
        </w:rPr>
        <w:t>,201</w:t>
      </w:r>
      <w:r>
        <w:rPr>
          <w:rFonts w:ascii="Bookman Old Style" w:hAnsi="Bookman Old Style"/>
          <w:i/>
          <w:vertAlign w:val="subscript"/>
        </w:rPr>
        <w:t>1</w:t>
      </w:r>
      <w:proofErr w:type="gramEnd"/>
      <w:r w:rsidRPr="00D14DE8">
        <w:rPr>
          <w:rFonts w:ascii="Bookman Old Style" w:hAnsi="Bookman Old Style"/>
          <w:vertAlign w:val="subscript"/>
        </w:rPr>
        <w:t xml:space="preserve"> </w:t>
      </w:r>
      <w:r w:rsidRPr="00D14DE8">
        <w:rPr>
          <w:rFonts w:ascii="Bookman Old Style" w:hAnsi="Bookman Old Style"/>
        </w:rPr>
        <w:t xml:space="preserve">y, con base en éste, el </w:t>
      </w:r>
      <w:r w:rsidRPr="00774C43">
        <w:rPr>
          <w:rFonts w:ascii="Bookman Old Style" w:hAnsi="Bookman Old Style"/>
          <w:i/>
        </w:rPr>
        <w:t>PAOMR</w:t>
      </w:r>
      <w:r w:rsidRPr="00774C43">
        <w:rPr>
          <w:rFonts w:ascii="Bookman Old Style" w:hAnsi="Bookman Old Style"/>
          <w:i/>
          <w:vertAlign w:val="subscript"/>
        </w:rPr>
        <w:t>j,2012</w:t>
      </w:r>
      <w:r w:rsidR="00995CD0" w:rsidRPr="00D14DE8">
        <w:rPr>
          <w:rFonts w:ascii="Bookman Old Style" w:hAnsi="Bookman Old Style"/>
          <w:i/>
        </w:rPr>
        <w:t>.</w:t>
      </w:r>
      <w:r w:rsidRPr="00774C43">
        <w:rPr>
          <w:rFonts w:ascii="Bookman Old Style" w:hAnsi="Bookman Old Style"/>
          <w:lang w:val="es-CO"/>
        </w:rPr>
        <w:t xml:space="preserve"> </w:t>
      </w:r>
    </w:p>
    <w:p w:rsidR="00603300" w:rsidRDefault="00603300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</w:p>
    <w:p w:rsidR="000858E5" w:rsidRPr="000858E5" w:rsidRDefault="00321980" w:rsidP="000858E5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</w:t>
      </w:r>
      <w:r w:rsidR="004622FF">
        <w:rPr>
          <w:rFonts w:ascii="Bookman Old Style" w:hAnsi="Bookman Old Style"/>
        </w:rPr>
        <w:t xml:space="preserve">como resultado de este ejercicio </w:t>
      </w:r>
      <w:r w:rsidR="004622FF" w:rsidRPr="004622FF">
        <w:rPr>
          <w:rFonts w:ascii="Bookman Old Style" w:hAnsi="Bookman Old Style"/>
        </w:rPr>
        <w:t xml:space="preserve">el </w:t>
      </w:r>
      <w:r w:rsidR="002F0B3E" w:rsidRPr="00400EB1">
        <w:rPr>
          <w:rFonts w:ascii="Bookman Old Style" w:hAnsi="Bookman Old Style"/>
          <w:i/>
        </w:rPr>
        <w:t>PAOMR</w:t>
      </w:r>
      <w:r w:rsidR="002F0B3E" w:rsidRPr="00400EB1">
        <w:rPr>
          <w:rFonts w:ascii="Bookman Old Style" w:hAnsi="Bookman Old Style"/>
          <w:i/>
          <w:vertAlign w:val="subscript"/>
        </w:rPr>
        <w:t>j</w:t>
      </w:r>
      <w:proofErr w:type="gramStart"/>
      <w:r w:rsidR="002F0B3E" w:rsidRPr="00400EB1">
        <w:rPr>
          <w:rFonts w:ascii="Bookman Old Style" w:hAnsi="Bookman Old Style"/>
          <w:i/>
          <w:vertAlign w:val="subscript"/>
        </w:rPr>
        <w:t>,2012</w:t>
      </w:r>
      <w:proofErr w:type="gramEnd"/>
      <w:r w:rsidR="004622FF" w:rsidRPr="004622F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es diferente al calculado e informado</w:t>
      </w:r>
      <w:r w:rsidR="00613503">
        <w:rPr>
          <w:rFonts w:ascii="Bookman Old Style" w:hAnsi="Bookman Old Style"/>
        </w:rPr>
        <w:t xml:space="preserve"> a la SSPD</w:t>
      </w:r>
      <w:r w:rsidR="001C2E73">
        <w:rPr>
          <w:rFonts w:ascii="Bookman Old Style" w:hAnsi="Bookman Old Style"/>
        </w:rPr>
        <w:t xml:space="preserve"> en cumplimiento de la Resolución CREG 051 de 2010</w:t>
      </w:r>
      <w:r>
        <w:rPr>
          <w:rFonts w:ascii="Bookman Old Style" w:hAnsi="Bookman Old Style"/>
        </w:rPr>
        <w:t xml:space="preserve">, </w:t>
      </w:r>
      <w:r w:rsidR="000858E5" w:rsidRPr="000858E5">
        <w:rPr>
          <w:rFonts w:ascii="Bookman Old Style" w:hAnsi="Bookman Old Style"/>
        </w:rPr>
        <w:t xml:space="preserve">el nuevo </w:t>
      </w:r>
      <w:r w:rsidR="00995CD0">
        <w:rPr>
          <w:rFonts w:ascii="Bookman Old Style" w:hAnsi="Bookman Old Style"/>
        </w:rPr>
        <w:t>resultado</w:t>
      </w:r>
      <w:r w:rsidR="00995CD0" w:rsidRPr="000858E5">
        <w:rPr>
          <w:rFonts w:ascii="Bookman Old Style" w:hAnsi="Bookman Old Style"/>
        </w:rPr>
        <w:t xml:space="preserve"> </w:t>
      </w:r>
      <w:r w:rsidR="000858E5" w:rsidRPr="000858E5">
        <w:rPr>
          <w:rFonts w:ascii="Bookman Old Style" w:hAnsi="Bookman Old Style"/>
        </w:rPr>
        <w:t xml:space="preserve">se aplicará a partir del primer día del mes siguiente al de </w:t>
      </w:r>
      <w:r w:rsidR="00305D30">
        <w:rPr>
          <w:rFonts w:ascii="Bookman Old Style" w:hAnsi="Bookman Old Style"/>
        </w:rPr>
        <w:t>su</w:t>
      </w:r>
      <w:r w:rsidR="000858E5" w:rsidRPr="000858E5">
        <w:rPr>
          <w:rFonts w:ascii="Bookman Old Style" w:hAnsi="Bookman Old Style"/>
        </w:rPr>
        <w:t xml:space="preserve"> entrega </w:t>
      </w:r>
      <w:r w:rsidR="000858E5">
        <w:rPr>
          <w:rFonts w:ascii="Bookman Old Style" w:hAnsi="Bookman Old Style"/>
        </w:rPr>
        <w:t>a la SSPD</w:t>
      </w:r>
      <w:r w:rsidR="00305D30">
        <w:rPr>
          <w:rFonts w:ascii="Bookman Old Style" w:hAnsi="Bookman Old Style"/>
        </w:rPr>
        <w:t>,</w:t>
      </w:r>
      <w:r w:rsidR="000858E5">
        <w:rPr>
          <w:rFonts w:ascii="Bookman Old Style" w:hAnsi="Bookman Old Style"/>
        </w:rPr>
        <w:t xml:space="preserve"> </w:t>
      </w:r>
      <w:r w:rsidR="000858E5" w:rsidRPr="000858E5">
        <w:rPr>
          <w:rFonts w:ascii="Bookman Old Style" w:hAnsi="Bookman Old Style"/>
        </w:rPr>
        <w:t xml:space="preserve">y </w:t>
      </w:r>
      <w:r w:rsidR="005B17D4">
        <w:rPr>
          <w:rFonts w:ascii="Bookman Old Style" w:hAnsi="Bookman Old Style"/>
        </w:rPr>
        <w:t xml:space="preserve">el </w:t>
      </w:r>
      <w:r w:rsidR="00CC163F">
        <w:rPr>
          <w:rFonts w:ascii="Bookman Old Style" w:hAnsi="Bookman Old Style"/>
        </w:rPr>
        <w:t>OR</w:t>
      </w:r>
      <w:r w:rsidR="005B17D4">
        <w:rPr>
          <w:rFonts w:ascii="Bookman Old Style" w:hAnsi="Bookman Old Style"/>
        </w:rPr>
        <w:t xml:space="preserve"> </w:t>
      </w:r>
      <w:r w:rsidR="000858E5" w:rsidRPr="000858E5">
        <w:rPr>
          <w:rFonts w:ascii="Bookman Old Style" w:hAnsi="Bookman Old Style"/>
        </w:rPr>
        <w:t>deberá informar</w:t>
      </w:r>
      <w:r w:rsidR="00466EE8">
        <w:rPr>
          <w:rFonts w:ascii="Bookman Old Style" w:hAnsi="Bookman Old Style"/>
        </w:rPr>
        <w:t>lo</w:t>
      </w:r>
      <w:r w:rsidR="000858E5" w:rsidRPr="000858E5">
        <w:rPr>
          <w:rFonts w:ascii="Bookman Old Style" w:hAnsi="Bookman Old Style"/>
        </w:rPr>
        <w:t xml:space="preserve"> al LAC para la actualización de los respectivos cargos.</w:t>
      </w:r>
    </w:p>
    <w:p w:rsidR="000858E5" w:rsidRDefault="000858E5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</w:p>
    <w:p w:rsidR="000858E5" w:rsidRDefault="000858E5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no hay cambio en el </w:t>
      </w:r>
      <w:r w:rsidR="00613503" w:rsidRPr="00613503">
        <w:rPr>
          <w:rFonts w:ascii="Bookman Old Style" w:hAnsi="Bookman Old Style"/>
          <w:i/>
        </w:rPr>
        <w:t>PAOMR</w:t>
      </w:r>
      <w:r w:rsidR="00613503" w:rsidRPr="00613503">
        <w:rPr>
          <w:rFonts w:ascii="Bookman Old Style" w:hAnsi="Bookman Old Style"/>
          <w:i/>
          <w:vertAlign w:val="subscript"/>
        </w:rPr>
        <w:t>j</w:t>
      </w:r>
      <w:proofErr w:type="gramStart"/>
      <w:r w:rsidR="00613503" w:rsidRPr="00613503">
        <w:rPr>
          <w:rFonts w:ascii="Bookman Old Style" w:hAnsi="Bookman Old Style"/>
          <w:i/>
          <w:vertAlign w:val="subscript"/>
        </w:rPr>
        <w:t>,2012</w:t>
      </w:r>
      <w:proofErr w:type="gramEnd"/>
      <w:r>
        <w:rPr>
          <w:rFonts w:ascii="Bookman Old Style" w:hAnsi="Bookman Old Style"/>
        </w:rPr>
        <w:t xml:space="preserve"> se seguirá utilizando el </w:t>
      </w:r>
      <w:r w:rsidR="00DD762C">
        <w:rPr>
          <w:rFonts w:ascii="Bookman Old Style" w:hAnsi="Bookman Old Style"/>
        </w:rPr>
        <w:t xml:space="preserve">porcentaje </w:t>
      </w:r>
      <w:r>
        <w:rPr>
          <w:rFonts w:ascii="Bookman Old Style" w:hAnsi="Bookman Old Style"/>
        </w:rPr>
        <w:t xml:space="preserve">que se esté aplicando </w:t>
      </w:r>
      <w:r w:rsidR="00287879">
        <w:rPr>
          <w:rFonts w:ascii="Bookman Old Style" w:hAnsi="Bookman Old Style"/>
        </w:rPr>
        <w:t xml:space="preserve">a la fecha de entrada en vigencia de la presente </w:t>
      </w:r>
      <w:r w:rsidR="00DD762C">
        <w:rPr>
          <w:rFonts w:ascii="Bookman Old Style" w:hAnsi="Bookman Old Style"/>
        </w:rPr>
        <w:t>resolución</w:t>
      </w:r>
      <w:r>
        <w:rPr>
          <w:rFonts w:ascii="Bookman Old Style" w:hAnsi="Bookman Old Style"/>
        </w:rPr>
        <w:t xml:space="preserve">. </w:t>
      </w:r>
    </w:p>
    <w:p w:rsidR="000858E5" w:rsidRDefault="000858E5" w:rsidP="000B2577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</w:p>
    <w:p w:rsidR="00DD762C" w:rsidRDefault="00DD762C" w:rsidP="000858E5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  <w:r w:rsidRPr="00D14DE8">
        <w:rPr>
          <w:rFonts w:ascii="Bookman Old Style" w:hAnsi="Bookman Old Style"/>
          <w:b/>
        </w:rPr>
        <w:t>Parágrafo.</w:t>
      </w:r>
      <w:r>
        <w:rPr>
          <w:rFonts w:ascii="Bookman Old Style" w:hAnsi="Bookman Old Style"/>
        </w:rPr>
        <w:t xml:space="preserve"> </w:t>
      </w:r>
      <w:r w:rsidR="000858E5">
        <w:rPr>
          <w:rFonts w:ascii="Bookman Old Style" w:hAnsi="Bookman Old Style"/>
        </w:rPr>
        <w:t>Lo previsto en este artículo solo se</w:t>
      </w:r>
      <w:r w:rsidR="00613503">
        <w:rPr>
          <w:rFonts w:ascii="Bookman Old Style" w:hAnsi="Bookman Old Style"/>
        </w:rPr>
        <w:t xml:space="preserve"> puede</w:t>
      </w:r>
      <w:r w:rsidR="000858E5">
        <w:rPr>
          <w:rFonts w:ascii="Bookman Old Style" w:hAnsi="Bookman Old Style"/>
        </w:rPr>
        <w:t xml:space="preserve"> aplica</w:t>
      </w:r>
      <w:r w:rsidR="00613503">
        <w:rPr>
          <w:rFonts w:ascii="Bookman Old Style" w:hAnsi="Bookman Old Style"/>
        </w:rPr>
        <w:t>r</w:t>
      </w:r>
      <w:r w:rsidR="000858E5">
        <w:rPr>
          <w:rFonts w:ascii="Bookman Old Style" w:hAnsi="Bookman Old Style"/>
        </w:rPr>
        <w:t xml:space="preserve"> </w:t>
      </w:r>
      <w:r w:rsidR="00613503">
        <w:rPr>
          <w:rFonts w:ascii="Bookman Old Style" w:hAnsi="Bookman Old Style"/>
        </w:rPr>
        <w:t>por los OR, para recalcular los porcentajes de AOM a reconocer</w:t>
      </w:r>
      <w:r w:rsidR="00BC4CB9">
        <w:rPr>
          <w:rFonts w:ascii="Bookman Old Style" w:hAnsi="Bookman Old Style"/>
        </w:rPr>
        <w:t>, siempre y cuando</w:t>
      </w:r>
      <w:r w:rsidR="00EE78A9">
        <w:rPr>
          <w:rFonts w:ascii="Bookman Old Style" w:hAnsi="Bookman Old Style"/>
        </w:rPr>
        <w:t>:</w:t>
      </w:r>
      <w:r w:rsidR="00BC4CB9">
        <w:rPr>
          <w:rFonts w:ascii="Bookman Old Style" w:hAnsi="Bookman Old Style"/>
        </w:rPr>
        <w:t xml:space="preserve"> i) hayan dado </w:t>
      </w:r>
      <w:r w:rsidR="00613503">
        <w:rPr>
          <w:rFonts w:ascii="Bookman Old Style" w:hAnsi="Bookman Old Style"/>
        </w:rPr>
        <w:t xml:space="preserve">inicio </w:t>
      </w:r>
      <w:r w:rsidR="00BC4CB9">
        <w:rPr>
          <w:rFonts w:ascii="Bookman Old Style" w:hAnsi="Bookman Old Style"/>
        </w:rPr>
        <w:t>a</w:t>
      </w:r>
      <w:r w:rsidR="00613503">
        <w:rPr>
          <w:rFonts w:ascii="Bookman Old Style" w:hAnsi="Bookman Old Style"/>
        </w:rPr>
        <w:t>l esquema de incentivos y compen</w:t>
      </w:r>
      <w:r w:rsidR="00BC4CB9">
        <w:rPr>
          <w:rFonts w:ascii="Bookman Old Style" w:hAnsi="Bookman Old Style"/>
        </w:rPr>
        <w:softHyphen/>
      </w:r>
      <w:r w:rsidR="00613503">
        <w:rPr>
          <w:rFonts w:ascii="Bookman Old Style" w:hAnsi="Bookman Old Style"/>
        </w:rPr>
        <w:t xml:space="preserve">saciones, </w:t>
      </w:r>
      <w:r w:rsidR="00BC4CB9">
        <w:rPr>
          <w:rFonts w:ascii="Bookman Old Style" w:hAnsi="Bookman Old Style"/>
        </w:rPr>
        <w:t xml:space="preserve">antes del </w:t>
      </w:r>
      <w:r w:rsidR="00EE78A9">
        <w:rPr>
          <w:rFonts w:ascii="Bookman Old Style" w:hAnsi="Bookman Old Style"/>
        </w:rPr>
        <w:t>1 de enero</w:t>
      </w:r>
      <w:r w:rsidR="00BC4CB9">
        <w:rPr>
          <w:rFonts w:ascii="Bookman Old Style" w:hAnsi="Bookman Old Style"/>
        </w:rPr>
        <w:t xml:space="preserve"> de </w:t>
      </w:r>
      <w:r w:rsidR="008C3314">
        <w:rPr>
          <w:rFonts w:ascii="Bookman Old Style" w:hAnsi="Bookman Old Style"/>
        </w:rPr>
        <w:t>2012</w:t>
      </w:r>
      <w:r w:rsidR="00BC4CB9">
        <w:rPr>
          <w:rFonts w:ascii="Bookman Old Style" w:hAnsi="Bookman Old Style"/>
        </w:rPr>
        <w:t xml:space="preserve">, y ii) </w:t>
      </w:r>
      <w:r w:rsidR="00613503">
        <w:rPr>
          <w:rFonts w:ascii="Bookman Old Style" w:hAnsi="Bookman Old Style"/>
        </w:rPr>
        <w:t>los porcentajes in</w:t>
      </w:r>
      <w:r w:rsidR="00EE78A9">
        <w:rPr>
          <w:rFonts w:ascii="Bookman Old Style" w:hAnsi="Bookman Old Style"/>
        </w:rPr>
        <w:t>i</w:t>
      </w:r>
      <w:r w:rsidR="00613503">
        <w:rPr>
          <w:rFonts w:ascii="Bookman Old Style" w:hAnsi="Bookman Old Style"/>
        </w:rPr>
        <w:t>ciales hayan sido informados a la SSPD dando cumplimiento a lo previsto en las Resoluciones CREG 051 de 2010 y 024 de 2012 para su entrega</w:t>
      </w:r>
      <w:r w:rsidR="00EE78A9">
        <w:rPr>
          <w:rFonts w:ascii="Bookman Old Style" w:hAnsi="Bookman Old Style"/>
        </w:rPr>
        <w:t>.</w:t>
      </w:r>
    </w:p>
    <w:p w:rsidR="00DD762C" w:rsidRPr="000858E5" w:rsidRDefault="00DD762C" w:rsidP="000858E5">
      <w:pPr>
        <w:tabs>
          <w:tab w:val="left" w:pos="1701"/>
          <w:tab w:val="num" w:pos="2150"/>
        </w:tabs>
        <w:ind w:left="0"/>
        <w:jc w:val="both"/>
        <w:rPr>
          <w:rFonts w:ascii="Bookman Old Style" w:hAnsi="Bookman Old Style"/>
        </w:rPr>
      </w:pPr>
    </w:p>
    <w:p w:rsidR="001E4CAB" w:rsidRPr="00B54879" w:rsidRDefault="001E4CAB" w:rsidP="006C25F7">
      <w:pPr>
        <w:numPr>
          <w:ilvl w:val="0"/>
          <w:numId w:val="7"/>
        </w:numPr>
        <w:tabs>
          <w:tab w:val="left" w:pos="1701"/>
        </w:tabs>
        <w:jc w:val="both"/>
        <w:rPr>
          <w:rFonts w:ascii="Bookman Old Style" w:hAnsi="Bookman Old Style"/>
        </w:rPr>
      </w:pPr>
      <w:r w:rsidRPr="00B54879">
        <w:rPr>
          <w:rFonts w:ascii="Bookman Old Style" w:hAnsi="Bookman Old Style" w:cs="Arial"/>
          <w:b/>
          <w:bCs/>
        </w:rPr>
        <w:t xml:space="preserve">Vigencia. </w:t>
      </w:r>
      <w:r w:rsidRPr="00B54879">
        <w:rPr>
          <w:rFonts w:ascii="Bookman Old Style" w:hAnsi="Bookman Old Style" w:cs="Arial"/>
          <w:bCs/>
        </w:rPr>
        <w:t xml:space="preserve">La presente resolución rige a partir de su publicación en el </w:t>
      </w:r>
      <w:r w:rsidRPr="00EF3119">
        <w:rPr>
          <w:rFonts w:ascii="Bookman Old Style" w:hAnsi="Bookman Old Style" w:cs="Arial"/>
          <w:bCs/>
          <w:i/>
        </w:rPr>
        <w:t>Diario Oficial</w:t>
      </w:r>
      <w:r w:rsidRPr="00B54879">
        <w:rPr>
          <w:rFonts w:ascii="Bookman Old Style" w:hAnsi="Bookman Old Style" w:cs="Arial"/>
          <w:bCs/>
        </w:rPr>
        <w:t>.</w:t>
      </w:r>
    </w:p>
    <w:p w:rsidR="00045D3D" w:rsidRDefault="00045D3D" w:rsidP="006C25F7">
      <w:pPr>
        <w:ind w:left="0"/>
        <w:rPr>
          <w:rFonts w:ascii="Bookman Old Style" w:hAnsi="Bookman Old Style"/>
        </w:rPr>
      </w:pPr>
    </w:p>
    <w:p w:rsidR="00681887" w:rsidRPr="00C435C3" w:rsidRDefault="00681887" w:rsidP="006C25F7">
      <w:pPr>
        <w:ind w:left="0"/>
        <w:rPr>
          <w:rFonts w:ascii="Bookman Old Style" w:hAnsi="Bookman Old Style"/>
        </w:rPr>
      </w:pPr>
    </w:p>
    <w:p w:rsidR="00045D3D" w:rsidRPr="00C435C3" w:rsidRDefault="00045D3D" w:rsidP="006C25F7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EF3119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045D3D" w:rsidRPr="00C435C3" w:rsidRDefault="00045D3D" w:rsidP="006C25F7">
      <w:pPr>
        <w:rPr>
          <w:rFonts w:ascii="Bookman Old Style" w:hAnsi="Bookman Old Style"/>
        </w:rPr>
      </w:pPr>
    </w:p>
    <w:p w:rsidR="00045D3D" w:rsidRDefault="00045D3D" w:rsidP="006C25F7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</w:p>
    <w:p w:rsidR="000775B2" w:rsidRPr="000775B2" w:rsidRDefault="000775B2" w:rsidP="006C25F7">
      <w:pPr>
        <w:rPr>
          <w:rFonts w:ascii="Bookman Old Style" w:hAnsi="Bookman Old Style" w:cs="Arial"/>
          <w:spacing w:val="-3"/>
        </w:rPr>
      </w:pPr>
    </w:p>
    <w:p w:rsidR="000775B2" w:rsidRPr="000775B2" w:rsidRDefault="000775B2" w:rsidP="006C25F7">
      <w:pPr>
        <w:rPr>
          <w:rFonts w:ascii="Bookman Old Style" w:hAnsi="Bookman Old Style" w:cs="Arial"/>
          <w:spacing w:val="-3"/>
        </w:rPr>
      </w:pPr>
    </w:p>
    <w:p w:rsidR="000775B2" w:rsidRPr="000775B2" w:rsidRDefault="000775B2" w:rsidP="006C25F7">
      <w:pPr>
        <w:rPr>
          <w:rFonts w:ascii="Bookman Old Style" w:hAnsi="Bookman Old Style" w:cs="Arial"/>
          <w:spacing w:val="-3"/>
        </w:rPr>
      </w:pPr>
    </w:p>
    <w:p w:rsidR="000775B2" w:rsidRDefault="000775B2" w:rsidP="006C25F7">
      <w:pPr>
        <w:rPr>
          <w:rFonts w:ascii="Bookman Old Style" w:hAnsi="Bookman Old Style" w:cs="Arial"/>
          <w:spacing w:val="-3"/>
        </w:rPr>
      </w:pPr>
    </w:p>
    <w:p w:rsidR="00F6721B" w:rsidRPr="000775B2" w:rsidRDefault="00701028" w:rsidP="006C25F7">
      <w:pPr>
        <w:rPr>
          <w:rFonts w:ascii="Bookman Old Style" w:hAnsi="Bookman Old Style" w:cs="Arial"/>
          <w:spacing w:val="-3"/>
        </w:rPr>
      </w:pPr>
      <w:r>
        <w:rPr>
          <w:rFonts w:ascii="Bookman Old Style" w:hAnsi="Bookman Old Style" w:cs="Arial"/>
          <w:spacing w:val="-3"/>
        </w:rPr>
        <w:t xml:space="preserve"> </w:t>
      </w:r>
    </w:p>
    <w:tbl>
      <w:tblPr>
        <w:tblW w:w="9570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4695"/>
      </w:tblGrid>
      <w:tr w:rsidR="00F6721B" w:rsidTr="00F6721B">
        <w:trPr>
          <w:jc w:val="right"/>
        </w:trPr>
        <w:tc>
          <w:tcPr>
            <w:tcW w:w="4871" w:type="dxa"/>
            <w:hideMark/>
          </w:tcPr>
          <w:p w:rsidR="00F6721B" w:rsidRDefault="00F6721B">
            <w:pPr>
              <w:ind w:left="0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 xml:space="preserve">  MAURICIO CÁRDENAS SANTAMARÍA</w:t>
            </w:r>
          </w:p>
        </w:tc>
        <w:tc>
          <w:tcPr>
            <w:tcW w:w="4692" w:type="dxa"/>
            <w:hideMark/>
          </w:tcPr>
          <w:p w:rsidR="00F6721B" w:rsidRDefault="00F6721B">
            <w:pPr>
              <w:ind w:left="161" w:right="567"/>
              <w:jc w:val="right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>GERMÁN CASTRO FERREIRA</w:t>
            </w:r>
          </w:p>
        </w:tc>
      </w:tr>
      <w:tr w:rsidR="00F6721B" w:rsidTr="00F6721B">
        <w:trPr>
          <w:jc w:val="right"/>
        </w:trPr>
        <w:tc>
          <w:tcPr>
            <w:tcW w:w="4871" w:type="dxa"/>
            <w:hideMark/>
          </w:tcPr>
          <w:p w:rsidR="00F6721B" w:rsidRDefault="00F6721B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Ministro de Minas y Energía</w:t>
            </w:r>
          </w:p>
        </w:tc>
        <w:tc>
          <w:tcPr>
            <w:tcW w:w="4692" w:type="dxa"/>
            <w:hideMark/>
          </w:tcPr>
          <w:p w:rsidR="00F6721B" w:rsidRDefault="00F6721B">
            <w:pPr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 xml:space="preserve">           Director Ejecutivo</w:t>
            </w:r>
          </w:p>
        </w:tc>
      </w:tr>
      <w:tr w:rsidR="00F6721B" w:rsidTr="00F6721B">
        <w:trPr>
          <w:jc w:val="right"/>
        </w:trPr>
        <w:tc>
          <w:tcPr>
            <w:tcW w:w="4871" w:type="dxa"/>
            <w:hideMark/>
          </w:tcPr>
          <w:p w:rsidR="00F6721B" w:rsidRDefault="00F6721B">
            <w:pPr>
              <w:rPr>
                <w:rFonts w:ascii="Bookman Old Style" w:hAnsi="Bookman Old Style" w:cs="Arial"/>
                <w:spacing w:val="-3"/>
              </w:rPr>
            </w:pPr>
            <w:r>
              <w:rPr>
                <w:rFonts w:ascii="Bookman Old Style" w:hAnsi="Bookman Old Style" w:cs="Arial"/>
                <w:spacing w:val="-3"/>
              </w:rPr>
              <w:t xml:space="preserve">             Presidente</w:t>
            </w:r>
          </w:p>
        </w:tc>
        <w:tc>
          <w:tcPr>
            <w:tcW w:w="4692" w:type="dxa"/>
          </w:tcPr>
          <w:p w:rsidR="00F6721B" w:rsidRDefault="00F6721B">
            <w:pPr>
              <w:rPr>
                <w:rFonts w:ascii="Bookman Old Style" w:hAnsi="Bookman Old Style" w:cs="Arial"/>
                <w:spacing w:val="-3"/>
              </w:rPr>
            </w:pPr>
          </w:p>
        </w:tc>
      </w:tr>
    </w:tbl>
    <w:p w:rsidR="00681887" w:rsidRPr="000775B2" w:rsidRDefault="00681887" w:rsidP="006C25F7">
      <w:pPr>
        <w:rPr>
          <w:rFonts w:ascii="Bookman Old Style" w:hAnsi="Bookman Old Style" w:cs="Arial"/>
          <w:spacing w:val="-3"/>
        </w:rPr>
      </w:pPr>
    </w:p>
    <w:p w:rsidR="00045D3D" w:rsidRPr="00012259" w:rsidRDefault="00045D3D" w:rsidP="006C25F7">
      <w:pPr>
        <w:ind w:left="0"/>
        <w:rPr>
          <w:rFonts w:ascii="Bookman Old Style" w:hAnsi="Bookman Old Style"/>
          <w:bCs/>
          <w:lang w:val="es-CO"/>
        </w:rPr>
      </w:pPr>
    </w:p>
    <w:p w:rsidR="00E01463" w:rsidRPr="00E060BE" w:rsidRDefault="00E01463" w:rsidP="006C25F7">
      <w:pPr>
        <w:jc w:val="both"/>
        <w:rPr>
          <w:rFonts w:ascii="Bookman Old Style" w:hAnsi="Bookman Old Style" w:cs="Arial"/>
          <w:b/>
          <w:color w:val="000000"/>
        </w:rPr>
      </w:pPr>
    </w:p>
    <w:sectPr w:rsidR="00E01463" w:rsidRPr="00E060BE" w:rsidSect="005A59EF">
      <w:headerReference w:type="default" r:id="rId11"/>
      <w:headerReference w:type="first" r:id="rId12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A9" w:rsidRDefault="00B414A9">
      <w:r>
        <w:separator/>
      </w:r>
    </w:p>
    <w:p w:rsidR="00B414A9" w:rsidRDefault="00B414A9"/>
  </w:endnote>
  <w:endnote w:type="continuationSeparator" w:id="0">
    <w:p w:rsidR="00B414A9" w:rsidRDefault="00B414A9">
      <w:r>
        <w:continuationSeparator/>
      </w:r>
    </w:p>
    <w:p w:rsidR="00B414A9" w:rsidRDefault="00B41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A9" w:rsidRDefault="00B414A9">
      <w:r>
        <w:separator/>
      </w:r>
    </w:p>
    <w:p w:rsidR="00B414A9" w:rsidRDefault="00B414A9"/>
  </w:footnote>
  <w:footnote w:type="continuationSeparator" w:id="0">
    <w:p w:rsidR="00B414A9" w:rsidRDefault="00B414A9">
      <w:r>
        <w:continuationSeparator/>
      </w:r>
    </w:p>
    <w:p w:rsidR="00B414A9" w:rsidRDefault="00B414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A9" w:rsidRDefault="00B414A9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B414A9" w:rsidRPr="00951F79" w:rsidRDefault="00B414A9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987EBB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987EBB">
      <w:fldChar w:fldCharType="begin"/>
    </w:r>
    <w:r w:rsidR="00987EBB">
      <w:instrText xml:space="preserve"> NUMPAGES  \* MERGEFORMAT </w:instrText>
    </w:r>
    <w:r w:rsidR="00987EBB">
      <w:fldChar w:fldCharType="separate"/>
    </w:r>
    <w:r w:rsidR="00987EBB" w:rsidRPr="00987EBB">
      <w:rPr>
        <w:rFonts w:ascii="Bookman Old Style" w:hAnsi="Bookman Old Style" w:cs="Arial"/>
        <w:b w:val="0"/>
        <w:noProof/>
        <w:sz w:val="22"/>
        <w:szCs w:val="22"/>
      </w:rPr>
      <w:t>4</w:t>
    </w:r>
    <w:r w:rsidR="00987EBB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B414A9" w:rsidRDefault="00B414A9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72B54" wp14:editId="0985F74E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B414A9" w:rsidRPr="00ED3C17" w:rsidRDefault="00B414A9" w:rsidP="008173C6">
    <w:pPr>
      <w:pBdr>
        <w:bottom w:val="single" w:sz="4" w:space="1" w:color="auto"/>
      </w:pBdr>
      <w:ind w:left="0"/>
      <w:jc w:val="both"/>
      <w:rPr>
        <w:rFonts w:ascii="Bookman Old Style" w:hAnsi="Bookman Old Style"/>
        <w:sz w:val="22"/>
        <w:szCs w:val="22"/>
      </w:rPr>
    </w:pPr>
    <w:r w:rsidRPr="00464F97">
      <w:rPr>
        <w:rFonts w:ascii="Bookman Old Style" w:hAnsi="Bookman Old Style"/>
        <w:sz w:val="22"/>
        <w:szCs w:val="22"/>
      </w:rPr>
      <w:t>Por la cual se a</w:t>
    </w:r>
    <w:r>
      <w:rPr>
        <w:rFonts w:ascii="Bookman Old Style" w:hAnsi="Bookman Old Style"/>
        <w:sz w:val="22"/>
        <w:szCs w:val="22"/>
      </w:rPr>
      <w:t>clar</w:t>
    </w:r>
    <w:r w:rsidRPr="00464F97">
      <w:rPr>
        <w:rFonts w:ascii="Bookman Old Style" w:hAnsi="Bookman Old Style"/>
        <w:sz w:val="22"/>
        <w:szCs w:val="22"/>
      </w:rPr>
      <w:t>a el proceso de actualización de</w:t>
    </w:r>
    <w:r>
      <w:rPr>
        <w:rFonts w:ascii="Bookman Old Style" w:hAnsi="Bookman Old Style"/>
        <w:sz w:val="22"/>
        <w:szCs w:val="22"/>
      </w:rPr>
      <w:t>l porcentaje de</w:t>
    </w:r>
    <w:r w:rsidRPr="00464F97">
      <w:rPr>
        <w:rFonts w:ascii="Bookman Old Style" w:hAnsi="Bookman Old Style"/>
        <w:sz w:val="22"/>
        <w:szCs w:val="22"/>
      </w:rPr>
      <w:t xml:space="preserve"> AOM establecido en la Resolución CREG 097 de 2008</w:t>
    </w:r>
    <w:r w:rsidRPr="00ED3C17">
      <w:rPr>
        <w:rFonts w:ascii="Bookman Old Style" w:hAnsi="Bookman Old Style"/>
        <w:sz w:val="22"/>
        <w:szCs w:val="22"/>
      </w:rPr>
      <w:t>.</w:t>
    </w:r>
  </w:p>
  <w:p w:rsidR="00B414A9" w:rsidRPr="00FE379E" w:rsidRDefault="00B414A9" w:rsidP="00FE379E">
    <w:pPr>
      <w:ind w:left="0"/>
      <w:rPr>
        <w:b/>
        <w:sz w:val="20"/>
        <w:szCs w:val="20"/>
      </w:rPr>
    </w:pPr>
  </w:p>
  <w:p w:rsidR="00B414A9" w:rsidRDefault="00B414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A9" w:rsidRDefault="00B414A9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B414A9" w:rsidRDefault="00B414A9">
    <w:pPr>
      <w:pStyle w:val="Encabezado"/>
      <w:jc w:val="center"/>
      <w:rPr>
        <w:rFonts w:ascii="Arial" w:hAnsi="Arial" w:cs="Arial"/>
        <w:spacing w:val="20"/>
        <w:sz w:val="20"/>
      </w:rPr>
    </w:pPr>
  </w:p>
  <w:p w:rsidR="00B414A9" w:rsidRDefault="00B414A9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195014" wp14:editId="7621F0BF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5662F"/>
    <w:multiLevelType w:val="hybridMultilevel"/>
    <w:tmpl w:val="6D1C43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371BF2"/>
    <w:multiLevelType w:val="multilevel"/>
    <w:tmpl w:val="B72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B42"/>
    <w:multiLevelType w:val="hybridMultilevel"/>
    <w:tmpl w:val="0CC417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2F2"/>
    <w:multiLevelType w:val="hybridMultilevel"/>
    <w:tmpl w:val="6E067D86"/>
    <w:lvl w:ilvl="0" w:tplc="3EC811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7"/>
  </w:num>
  <w:num w:numId="5">
    <w:abstractNumId w:val="17"/>
  </w:num>
  <w:num w:numId="6">
    <w:abstractNumId w:val="4"/>
  </w:num>
  <w:num w:numId="7">
    <w:abstractNumId w:val="3"/>
  </w:num>
  <w:num w:numId="8">
    <w:abstractNumId w:val="19"/>
  </w:num>
  <w:num w:numId="9">
    <w:abstractNumId w:val="18"/>
  </w:num>
  <w:num w:numId="10">
    <w:abstractNumId w:val="14"/>
  </w:num>
  <w:num w:numId="11">
    <w:abstractNumId w:val="25"/>
  </w:num>
  <w:num w:numId="12">
    <w:abstractNumId w:val="22"/>
  </w:num>
  <w:num w:numId="13">
    <w:abstractNumId w:val="12"/>
  </w:num>
  <w:num w:numId="14">
    <w:abstractNumId w:val="2"/>
  </w:num>
  <w:num w:numId="15">
    <w:abstractNumId w:val="15"/>
  </w:num>
  <w:num w:numId="16">
    <w:abstractNumId w:val="1"/>
  </w:num>
  <w:num w:numId="17">
    <w:abstractNumId w:val="11"/>
  </w:num>
  <w:num w:numId="18">
    <w:abstractNumId w:val="0"/>
  </w:num>
  <w:num w:numId="19">
    <w:abstractNumId w:val="20"/>
  </w:num>
  <w:num w:numId="20">
    <w:abstractNumId w:val="16"/>
  </w:num>
  <w:num w:numId="21">
    <w:abstractNumId w:val="8"/>
  </w:num>
  <w:num w:numId="22">
    <w:abstractNumId w:val="9"/>
  </w:num>
  <w:num w:numId="23">
    <w:abstractNumId w:val="23"/>
  </w:num>
  <w:num w:numId="24">
    <w:abstractNumId w:val="10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76A1"/>
    <w:rsid w:val="00012259"/>
    <w:rsid w:val="00025383"/>
    <w:rsid w:val="00045D3D"/>
    <w:rsid w:val="00046C08"/>
    <w:rsid w:val="0005523B"/>
    <w:rsid w:val="00062C8C"/>
    <w:rsid w:val="00063657"/>
    <w:rsid w:val="00073223"/>
    <w:rsid w:val="00076680"/>
    <w:rsid w:val="00076A1D"/>
    <w:rsid w:val="000775B2"/>
    <w:rsid w:val="0008073E"/>
    <w:rsid w:val="000858E5"/>
    <w:rsid w:val="00091CDB"/>
    <w:rsid w:val="000A19AC"/>
    <w:rsid w:val="000B2577"/>
    <w:rsid w:val="000B2ACF"/>
    <w:rsid w:val="000B2EC9"/>
    <w:rsid w:val="000C67C7"/>
    <w:rsid w:val="000D26F8"/>
    <w:rsid w:val="000F3FB8"/>
    <w:rsid w:val="0013505C"/>
    <w:rsid w:val="0013526C"/>
    <w:rsid w:val="001405C6"/>
    <w:rsid w:val="00141013"/>
    <w:rsid w:val="00141465"/>
    <w:rsid w:val="001517C2"/>
    <w:rsid w:val="00172885"/>
    <w:rsid w:val="001919B7"/>
    <w:rsid w:val="00191EFC"/>
    <w:rsid w:val="00192CBF"/>
    <w:rsid w:val="00192FF1"/>
    <w:rsid w:val="001A5F1B"/>
    <w:rsid w:val="001B1C22"/>
    <w:rsid w:val="001B34C6"/>
    <w:rsid w:val="001C2E73"/>
    <w:rsid w:val="001D7832"/>
    <w:rsid w:val="001E4CAB"/>
    <w:rsid w:val="001F555C"/>
    <w:rsid w:val="00210DC1"/>
    <w:rsid w:val="00211D34"/>
    <w:rsid w:val="0021445A"/>
    <w:rsid w:val="00214F04"/>
    <w:rsid w:val="002165D5"/>
    <w:rsid w:val="00230152"/>
    <w:rsid w:val="002378F2"/>
    <w:rsid w:val="00237D77"/>
    <w:rsid w:val="002577F7"/>
    <w:rsid w:val="0026441C"/>
    <w:rsid w:val="00265AFC"/>
    <w:rsid w:val="00266CD6"/>
    <w:rsid w:val="00275DAB"/>
    <w:rsid w:val="002763CF"/>
    <w:rsid w:val="002771CE"/>
    <w:rsid w:val="00277FC4"/>
    <w:rsid w:val="0028111D"/>
    <w:rsid w:val="00287879"/>
    <w:rsid w:val="002957E3"/>
    <w:rsid w:val="002A782A"/>
    <w:rsid w:val="002B11E2"/>
    <w:rsid w:val="002B1728"/>
    <w:rsid w:val="002B24B8"/>
    <w:rsid w:val="002D3AE9"/>
    <w:rsid w:val="002D4510"/>
    <w:rsid w:val="002F0734"/>
    <w:rsid w:val="002F0B3E"/>
    <w:rsid w:val="002F46E7"/>
    <w:rsid w:val="00305D30"/>
    <w:rsid w:val="003101DA"/>
    <w:rsid w:val="00314757"/>
    <w:rsid w:val="003163BC"/>
    <w:rsid w:val="003211CE"/>
    <w:rsid w:val="00321980"/>
    <w:rsid w:val="0034549D"/>
    <w:rsid w:val="003511D8"/>
    <w:rsid w:val="0035403A"/>
    <w:rsid w:val="003551ED"/>
    <w:rsid w:val="00357253"/>
    <w:rsid w:val="003605A2"/>
    <w:rsid w:val="0036394B"/>
    <w:rsid w:val="00366DB6"/>
    <w:rsid w:val="003709B5"/>
    <w:rsid w:val="00371483"/>
    <w:rsid w:val="003759C2"/>
    <w:rsid w:val="00397365"/>
    <w:rsid w:val="003A31F6"/>
    <w:rsid w:val="003A634D"/>
    <w:rsid w:val="003B6302"/>
    <w:rsid w:val="003C3447"/>
    <w:rsid w:val="003D05DF"/>
    <w:rsid w:val="003D076C"/>
    <w:rsid w:val="003D2972"/>
    <w:rsid w:val="003D479B"/>
    <w:rsid w:val="003E78B5"/>
    <w:rsid w:val="00407F37"/>
    <w:rsid w:val="00414018"/>
    <w:rsid w:val="0041473D"/>
    <w:rsid w:val="00414F4D"/>
    <w:rsid w:val="00415B59"/>
    <w:rsid w:val="00415BAB"/>
    <w:rsid w:val="00415ED2"/>
    <w:rsid w:val="0042068C"/>
    <w:rsid w:val="0043263C"/>
    <w:rsid w:val="0044318E"/>
    <w:rsid w:val="00443B35"/>
    <w:rsid w:val="00446747"/>
    <w:rsid w:val="00457E87"/>
    <w:rsid w:val="004622FF"/>
    <w:rsid w:val="00464F97"/>
    <w:rsid w:val="00466EE8"/>
    <w:rsid w:val="0047122B"/>
    <w:rsid w:val="00473B7A"/>
    <w:rsid w:val="004847F1"/>
    <w:rsid w:val="0048675C"/>
    <w:rsid w:val="004960E9"/>
    <w:rsid w:val="00496D26"/>
    <w:rsid w:val="004A0219"/>
    <w:rsid w:val="004A07DF"/>
    <w:rsid w:val="004A2E88"/>
    <w:rsid w:val="004A5305"/>
    <w:rsid w:val="004D7634"/>
    <w:rsid w:val="004E611A"/>
    <w:rsid w:val="00507451"/>
    <w:rsid w:val="00517234"/>
    <w:rsid w:val="005300D3"/>
    <w:rsid w:val="00544F82"/>
    <w:rsid w:val="005509D2"/>
    <w:rsid w:val="00593C4F"/>
    <w:rsid w:val="005946A8"/>
    <w:rsid w:val="005A4407"/>
    <w:rsid w:val="005A59EF"/>
    <w:rsid w:val="005B17D4"/>
    <w:rsid w:val="005B1C7E"/>
    <w:rsid w:val="005C4A72"/>
    <w:rsid w:val="005C6976"/>
    <w:rsid w:val="005E3313"/>
    <w:rsid w:val="005F6F41"/>
    <w:rsid w:val="00603300"/>
    <w:rsid w:val="00611EBA"/>
    <w:rsid w:val="00613503"/>
    <w:rsid w:val="00617E6D"/>
    <w:rsid w:val="00625DC6"/>
    <w:rsid w:val="0064391D"/>
    <w:rsid w:val="00651821"/>
    <w:rsid w:val="00654384"/>
    <w:rsid w:val="006675CD"/>
    <w:rsid w:val="00672CC3"/>
    <w:rsid w:val="00677B36"/>
    <w:rsid w:val="00681887"/>
    <w:rsid w:val="006827CF"/>
    <w:rsid w:val="00684D9B"/>
    <w:rsid w:val="0068510A"/>
    <w:rsid w:val="00697556"/>
    <w:rsid w:val="006A779A"/>
    <w:rsid w:val="006B4647"/>
    <w:rsid w:val="006B4C2B"/>
    <w:rsid w:val="006B6194"/>
    <w:rsid w:val="006B6D47"/>
    <w:rsid w:val="006C25F7"/>
    <w:rsid w:val="006C5AFE"/>
    <w:rsid w:val="006F4CC9"/>
    <w:rsid w:val="006F6D95"/>
    <w:rsid w:val="00701028"/>
    <w:rsid w:val="00702D42"/>
    <w:rsid w:val="00706F13"/>
    <w:rsid w:val="007072E8"/>
    <w:rsid w:val="00715AD9"/>
    <w:rsid w:val="0071618D"/>
    <w:rsid w:val="00725FA4"/>
    <w:rsid w:val="00740446"/>
    <w:rsid w:val="007438A9"/>
    <w:rsid w:val="0074491E"/>
    <w:rsid w:val="00745C4D"/>
    <w:rsid w:val="007601FD"/>
    <w:rsid w:val="0076247A"/>
    <w:rsid w:val="007667ED"/>
    <w:rsid w:val="00774C43"/>
    <w:rsid w:val="00775964"/>
    <w:rsid w:val="007765FE"/>
    <w:rsid w:val="00794E2E"/>
    <w:rsid w:val="00795BFB"/>
    <w:rsid w:val="007B107B"/>
    <w:rsid w:val="007B2760"/>
    <w:rsid w:val="007E5F56"/>
    <w:rsid w:val="007F477E"/>
    <w:rsid w:val="008023E2"/>
    <w:rsid w:val="00806C01"/>
    <w:rsid w:val="008148CC"/>
    <w:rsid w:val="0081495E"/>
    <w:rsid w:val="008173C6"/>
    <w:rsid w:val="008211A4"/>
    <w:rsid w:val="00825ED6"/>
    <w:rsid w:val="0083084D"/>
    <w:rsid w:val="00873150"/>
    <w:rsid w:val="00873F56"/>
    <w:rsid w:val="0087657D"/>
    <w:rsid w:val="008807D5"/>
    <w:rsid w:val="00880832"/>
    <w:rsid w:val="008822AB"/>
    <w:rsid w:val="00886EE1"/>
    <w:rsid w:val="0088727D"/>
    <w:rsid w:val="00887DF3"/>
    <w:rsid w:val="00897C75"/>
    <w:rsid w:val="008C1130"/>
    <w:rsid w:val="008C3314"/>
    <w:rsid w:val="008D18E6"/>
    <w:rsid w:val="008D7A9B"/>
    <w:rsid w:val="008E0060"/>
    <w:rsid w:val="008E7091"/>
    <w:rsid w:val="008E76AC"/>
    <w:rsid w:val="008F1564"/>
    <w:rsid w:val="008F21F6"/>
    <w:rsid w:val="00907D18"/>
    <w:rsid w:val="00916885"/>
    <w:rsid w:val="00946AA8"/>
    <w:rsid w:val="00951F79"/>
    <w:rsid w:val="009736BD"/>
    <w:rsid w:val="00974AB5"/>
    <w:rsid w:val="0098706D"/>
    <w:rsid w:val="00987EBB"/>
    <w:rsid w:val="009935FB"/>
    <w:rsid w:val="00995CD0"/>
    <w:rsid w:val="00996427"/>
    <w:rsid w:val="009B68FE"/>
    <w:rsid w:val="009C3BEE"/>
    <w:rsid w:val="009C7638"/>
    <w:rsid w:val="009F4A54"/>
    <w:rsid w:val="009F4BEC"/>
    <w:rsid w:val="009F5874"/>
    <w:rsid w:val="00A25FD7"/>
    <w:rsid w:val="00A36E28"/>
    <w:rsid w:val="00A43AFF"/>
    <w:rsid w:val="00A573F6"/>
    <w:rsid w:val="00A729D0"/>
    <w:rsid w:val="00A73D01"/>
    <w:rsid w:val="00A7793A"/>
    <w:rsid w:val="00AA4CC7"/>
    <w:rsid w:val="00AA5E8E"/>
    <w:rsid w:val="00AB118B"/>
    <w:rsid w:val="00AB50E7"/>
    <w:rsid w:val="00AB6CA7"/>
    <w:rsid w:val="00AC0457"/>
    <w:rsid w:val="00AD01E4"/>
    <w:rsid w:val="00AD0858"/>
    <w:rsid w:val="00AE592F"/>
    <w:rsid w:val="00AE7340"/>
    <w:rsid w:val="00AF1BBD"/>
    <w:rsid w:val="00AF3084"/>
    <w:rsid w:val="00AF3985"/>
    <w:rsid w:val="00B10207"/>
    <w:rsid w:val="00B141E7"/>
    <w:rsid w:val="00B14219"/>
    <w:rsid w:val="00B306F3"/>
    <w:rsid w:val="00B351B4"/>
    <w:rsid w:val="00B414A9"/>
    <w:rsid w:val="00B46BCA"/>
    <w:rsid w:val="00B478AA"/>
    <w:rsid w:val="00B70245"/>
    <w:rsid w:val="00B812B1"/>
    <w:rsid w:val="00B82F27"/>
    <w:rsid w:val="00B87806"/>
    <w:rsid w:val="00B87EC9"/>
    <w:rsid w:val="00B95AAE"/>
    <w:rsid w:val="00B97512"/>
    <w:rsid w:val="00BC38FD"/>
    <w:rsid w:val="00BC4CB9"/>
    <w:rsid w:val="00C034CB"/>
    <w:rsid w:val="00C051A8"/>
    <w:rsid w:val="00C054BC"/>
    <w:rsid w:val="00C164D9"/>
    <w:rsid w:val="00C17897"/>
    <w:rsid w:val="00C34631"/>
    <w:rsid w:val="00C409D5"/>
    <w:rsid w:val="00C435C3"/>
    <w:rsid w:val="00C51D07"/>
    <w:rsid w:val="00C6234B"/>
    <w:rsid w:val="00C63EAE"/>
    <w:rsid w:val="00C73260"/>
    <w:rsid w:val="00C74D06"/>
    <w:rsid w:val="00C7629F"/>
    <w:rsid w:val="00C77252"/>
    <w:rsid w:val="00C8661B"/>
    <w:rsid w:val="00CA139A"/>
    <w:rsid w:val="00CA2899"/>
    <w:rsid w:val="00CA3A3D"/>
    <w:rsid w:val="00CA77FB"/>
    <w:rsid w:val="00CB13E8"/>
    <w:rsid w:val="00CB379B"/>
    <w:rsid w:val="00CB5DD0"/>
    <w:rsid w:val="00CC163F"/>
    <w:rsid w:val="00CC51D4"/>
    <w:rsid w:val="00CC65DA"/>
    <w:rsid w:val="00CD5937"/>
    <w:rsid w:val="00CE5234"/>
    <w:rsid w:val="00CF21B9"/>
    <w:rsid w:val="00CF6BF9"/>
    <w:rsid w:val="00D03800"/>
    <w:rsid w:val="00D04BE0"/>
    <w:rsid w:val="00D065D3"/>
    <w:rsid w:val="00D14C94"/>
    <w:rsid w:val="00D14DE8"/>
    <w:rsid w:val="00D342A6"/>
    <w:rsid w:val="00D378FA"/>
    <w:rsid w:val="00D41698"/>
    <w:rsid w:val="00D45CA6"/>
    <w:rsid w:val="00D464BF"/>
    <w:rsid w:val="00D471D1"/>
    <w:rsid w:val="00D53905"/>
    <w:rsid w:val="00D53E26"/>
    <w:rsid w:val="00D57679"/>
    <w:rsid w:val="00D84240"/>
    <w:rsid w:val="00DA2625"/>
    <w:rsid w:val="00DA35C8"/>
    <w:rsid w:val="00DC35E2"/>
    <w:rsid w:val="00DD4F0E"/>
    <w:rsid w:val="00DD7009"/>
    <w:rsid w:val="00DD762C"/>
    <w:rsid w:val="00DE6795"/>
    <w:rsid w:val="00DF0BF0"/>
    <w:rsid w:val="00DF3CA2"/>
    <w:rsid w:val="00DF630C"/>
    <w:rsid w:val="00DF69A6"/>
    <w:rsid w:val="00E01463"/>
    <w:rsid w:val="00E05E0A"/>
    <w:rsid w:val="00E060BE"/>
    <w:rsid w:val="00E1615F"/>
    <w:rsid w:val="00E262FE"/>
    <w:rsid w:val="00E534CF"/>
    <w:rsid w:val="00E54828"/>
    <w:rsid w:val="00E54FCB"/>
    <w:rsid w:val="00E60F65"/>
    <w:rsid w:val="00E63657"/>
    <w:rsid w:val="00E65519"/>
    <w:rsid w:val="00E81CB4"/>
    <w:rsid w:val="00E82325"/>
    <w:rsid w:val="00E8585B"/>
    <w:rsid w:val="00EA3F15"/>
    <w:rsid w:val="00EA7847"/>
    <w:rsid w:val="00EB4C2F"/>
    <w:rsid w:val="00ED3B73"/>
    <w:rsid w:val="00ED3C17"/>
    <w:rsid w:val="00EE2E6E"/>
    <w:rsid w:val="00EE78A9"/>
    <w:rsid w:val="00EF3119"/>
    <w:rsid w:val="00F0759E"/>
    <w:rsid w:val="00F15EDF"/>
    <w:rsid w:val="00F16A43"/>
    <w:rsid w:val="00F36D7F"/>
    <w:rsid w:val="00F443C3"/>
    <w:rsid w:val="00F46780"/>
    <w:rsid w:val="00F6721B"/>
    <w:rsid w:val="00F821A3"/>
    <w:rsid w:val="00F85926"/>
    <w:rsid w:val="00F9243C"/>
    <w:rsid w:val="00F9314A"/>
    <w:rsid w:val="00F940B2"/>
    <w:rsid w:val="00F94F09"/>
    <w:rsid w:val="00FC58EF"/>
    <w:rsid w:val="00FC5A86"/>
    <w:rsid w:val="00FD33DF"/>
    <w:rsid w:val="00FE379E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E4C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C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CAB"/>
    <w:rPr>
      <w:lang w:val="es-ES" w:eastAsia="es-ES"/>
    </w:rPr>
  </w:style>
  <w:style w:type="paragraph" w:styleId="Revisin">
    <w:name w:val="Revision"/>
    <w:hidden/>
    <w:uiPriority w:val="99"/>
    <w:semiHidden/>
    <w:rsid w:val="000775B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C25F7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C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CC9"/>
    <w:rPr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30152"/>
    <w:pPr>
      <w:spacing w:before="100" w:beforeAutospacing="1" w:after="100" w:afterAutospacing="1"/>
      <w:ind w:left="0"/>
    </w:pPr>
    <w:rPr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E4C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C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CAB"/>
    <w:rPr>
      <w:lang w:val="es-ES" w:eastAsia="es-ES"/>
    </w:rPr>
  </w:style>
  <w:style w:type="paragraph" w:styleId="Revisin">
    <w:name w:val="Revision"/>
    <w:hidden/>
    <w:uiPriority w:val="99"/>
    <w:semiHidden/>
    <w:rsid w:val="000775B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C25F7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C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CC9"/>
    <w:rPr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30152"/>
    <w:pPr>
      <w:spacing w:before="100" w:beforeAutospacing="1" w:after="100" w:afterAutospacing="1"/>
      <w:ind w:left="0"/>
    </w:pPr>
    <w:rPr>
      <w:color w:val="00000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47E3-BDBF-43AC-B851-180D6BCE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4</Pages>
  <Words>1460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2012-06-05T13:41:00Z</cp:lastPrinted>
  <dcterms:created xsi:type="dcterms:W3CDTF">2012-06-07T22:02:00Z</dcterms:created>
  <dcterms:modified xsi:type="dcterms:W3CDTF">2012-06-07T22:02:00Z</dcterms:modified>
</cp:coreProperties>
</file>