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6E15" w14:textId="4D8CC94F" w:rsidR="00D770A2" w:rsidRDefault="00D770A2" w:rsidP="005B0230">
      <w:pPr>
        <w:pStyle w:val="TDC1"/>
        <w:tabs>
          <w:tab w:val="left" w:pos="1276"/>
        </w:tabs>
        <w:spacing w:before="0" w:after="0"/>
        <w:ind w:left="1276" w:hanging="1276"/>
        <w:jc w:val="center"/>
        <w:rPr>
          <w:b w:val="0"/>
          <w:caps w:val="0"/>
        </w:rPr>
      </w:pPr>
      <w:r w:rsidRPr="004E6CFC">
        <w:rPr>
          <w:b w:val="0"/>
          <w:caps w:val="0"/>
        </w:rPr>
        <w:t>Ministerio de Minas y Energía</w:t>
      </w:r>
    </w:p>
    <w:p w14:paraId="0372967C" w14:textId="77777777" w:rsidR="00E05EDF" w:rsidRPr="00E05EDF" w:rsidRDefault="00E05EDF" w:rsidP="005B0230">
      <w:pPr>
        <w:spacing w:before="0" w:after="0"/>
      </w:pPr>
    </w:p>
    <w:p w14:paraId="7B0612D6" w14:textId="7857A014" w:rsidR="00D770A2" w:rsidRDefault="00D770A2" w:rsidP="005B0230">
      <w:pPr>
        <w:pStyle w:val="TDC1"/>
        <w:spacing w:before="0" w:after="0"/>
        <w:jc w:val="center"/>
      </w:pPr>
      <w:r w:rsidRPr="004E6CFC">
        <w:t>COMISIÓN DE REGULACIÓN DE ENERGÍA Y GAS</w:t>
      </w:r>
    </w:p>
    <w:p w14:paraId="54A515E0" w14:textId="77777777" w:rsidR="00E05EDF" w:rsidRPr="00E05EDF" w:rsidRDefault="00E05EDF" w:rsidP="005B0230">
      <w:pPr>
        <w:spacing w:before="0" w:after="0"/>
      </w:pPr>
    </w:p>
    <w:p w14:paraId="330D9B92" w14:textId="0B346492" w:rsidR="00D770A2" w:rsidRPr="004E6CFC" w:rsidRDefault="00D770A2" w:rsidP="005B0230">
      <w:pPr>
        <w:pStyle w:val="TDC1"/>
        <w:spacing w:before="0" w:after="0"/>
        <w:jc w:val="center"/>
      </w:pPr>
      <w:r>
        <w:t>RESOLUCIÓN N</w:t>
      </w:r>
      <w:r>
        <w:rPr>
          <w:caps w:val="0"/>
        </w:rPr>
        <w:t>o</w:t>
      </w:r>
      <w:r>
        <w:t>.</w:t>
      </w:r>
      <w:r w:rsidR="00637A3F">
        <w:t xml:space="preserve"> </w:t>
      </w:r>
      <w:r w:rsidR="00DB7DCC">
        <w:rPr>
          <w:sz w:val="32"/>
          <w:szCs w:val="32"/>
        </w:rPr>
        <w:t xml:space="preserve">101 </w:t>
      </w:r>
      <w:r w:rsidR="007E3042">
        <w:rPr>
          <w:sz w:val="32"/>
          <w:szCs w:val="32"/>
        </w:rPr>
        <w:t>020</w:t>
      </w:r>
      <w:r>
        <w:t xml:space="preserve"> </w:t>
      </w:r>
      <w:r w:rsidR="00240CFE">
        <w:t xml:space="preserve"> </w:t>
      </w:r>
      <w:r>
        <w:t>DE 20</w:t>
      </w:r>
      <w:r w:rsidR="006D13F4">
        <w:t>2</w:t>
      </w:r>
      <w:r w:rsidR="00B7394D">
        <w:t>2</w:t>
      </w:r>
    </w:p>
    <w:p w14:paraId="6D684A98" w14:textId="77777777" w:rsidR="00E05EDF" w:rsidRDefault="00E05EDF" w:rsidP="005B0230">
      <w:pPr>
        <w:spacing w:before="0" w:after="0"/>
        <w:jc w:val="center"/>
        <w:rPr>
          <w:b/>
        </w:rPr>
      </w:pPr>
    </w:p>
    <w:p w14:paraId="2C160562" w14:textId="08F8ACDB" w:rsidR="00D770A2" w:rsidRPr="004E6CFC" w:rsidRDefault="00D770A2" w:rsidP="005B0230">
      <w:pPr>
        <w:spacing w:before="0" w:after="0"/>
        <w:jc w:val="center"/>
        <w:rPr>
          <w:b/>
        </w:rPr>
      </w:pPr>
      <w:proofErr w:type="gramStart"/>
      <w:r w:rsidRPr="004E6CFC">
        <w:rPr>
          <w:b/>
        </w:rPr>
        <w:t>(</w:t>
      </w:r>
      <w:r w:rsidR="00D91187">
        <w:rPr>
          <w:b/>
        </w:rPr>
        <w:t xml:space="preserve">  </w:t>
      </w:r>
      <w:r w:rsidR="007E3042">
        <w:rPr>
          <w:b/>
          <w:sz w:val="32"/>
          <w:szCs w:val="32"/>
        </w:rPr>
        <w:t>08</w:t>
      </w:r>
      <w:proofErr w:type="gramEnd"/>
      <w:r w:rsidR="007E3042">
        <w:rPr>
          <w:b/>
          <w:sz w:val="32"/>
          <w:szCs w:val="32"/>
        </w:rPr>
        <w:t xml:space="preserve"> JUL. </w:t>
      </w:r>
      <w:r w:rsidR="00D91187" w:rsidRPr="00D91187">
        <w:rPr>
          <w:b/>
          <w:sz w:val="32"/>
          <w:szCs w:val="32"/>
        </w:rPr>
        <w:t>202</w:t>
      </w:r>
      <w:r w:rsidR="00B7394D">
        <w:rPr>
          <w:b/>
          <w:sz w:val="32"/>
          <w:szCs w:val="32"/>
        </w:rPr>
        <w:t>2</w:t>
      </w:r>
      <w:r w:rsidR="007E3042">
        <w:rPr>
          <w:b/>
          <w:sz w:val="32"/>
          <w:szCs w:val="32"/>
        </w:rPr>
        <w:t xml:space="preserve"> </w:t>
      </w:r>
      <w:r w:rsidR="00D91187">
        <w:rPr>
          <w:b/>
        </w:rPr>
        <w:t xml:space="preserve"> </w:t>
      </w:r>
      <w:r w:rsidRPr="004E6CFC">
        <w:rPr>
          <w:b/>
        </w:rPr>
        <w:t>)</w:t>
      </w:r>
    </w:p>
    <w:p w14:paraId="5E870FE2" w14:textId="77777777" w:rsidR="00E05EDF" w:rsidRPr="00E05EDF" w:rsidRDefault="00E05EDF" w:rsidP="005B0230">
      <w:pPr>
        <w:spacing w:before="0" w:after="0"/>
        <w:jc w:val="center"/>
      </w:pPr>
      <w:bookmarkStart w:id="0" w:name="_Hlk45634362"/>
      <w:bookmarkEnd w:id="0"/>
    </w:p>
    <w:p w14:paraId="094BD2E8" w14:textId="77777777" w:rsidR="00E05EDF" w:rsidRPr="00E05EDF" w:rsidRDefault="00E05EDF" w:rsidP="005B0230">
      <w:pPr>
        <w:spacing w:before="0" w:after="0"/>
        <w:jc w:val="center"/>
      </w:pPr>
    </w:p>
    <w:p w14:paraId="0780D410" w14:textId="0BEFA1D4" w:rsidR="008173BC" w:rsidRDefault="013F9A16" w:rsidP="005B0230">
      <w:pPr>
        <w:spacing w:before="0" w:after="0"/>
        <w:jc w:val="center"/>
        <w:rPr>
          <w:b/>
          <w:bCs/>
        </w:rPr>
      </w:pPr>
      <w:r>
        <w:t xml:space="preserve"> </w:t>
      </w:r>
      <w:r w:rsidR="008173BC" w:rsidRPr="00D4711B">
        <w:t xml:space="preserve">Por la cual </w:t>
      </w:r>
      <w:r w:rsidR="00FE6F00" w:rsidRPr="00D4711B">
        <w:t xml:space="preserve">se </w:t>
      </w:r>
      <w:r w:rsidR="008173BC" w:rsidRPr="00D4711B">
        <w:t xml:space="preserve">definen las condiciones </w:t>
      </w:r>
      <w:r w:rsidR="00FE6F00" w:rsidRPr="00D4711B">
        <w:t xml:space="preserve">para </w:t>
      </w:r>
      <w:r w:rsidR="00763762" w:rsidRPr="00D4711B">
        <w:t>el traslado</w:t>
      </w:r>
      <w:r w:rsidR="008173BC" w:rsidRPr="00D4711B">
        <w:t xml:space="preserve"> de los precios de los contratos resultantes del mecanismo </w:t>
      </w:r>
      <w:r w:rsidR="0093566B">
        <w:t>presentado</w:t>
      </w:r>
      <w:r w:rsidR="008173BC" w:rsidRPr="00D4711B">
        <w:t xml:space="preserve"> por </w:t>
      </w:r>
      <w:proofErr w:type="spellStart"/>
      <w:r w:rsidR="00A56911" w:rsidRPr="00D4711B">
        <w:t>Derivex</w:t>
      </w:r>
      <w:proofErr w:type="spellEnd"/>
      <w:r w:rsidR="00A56911">
        <w:t xml:space="preserve"> </w:t>
      </w:r>
      <w:r w:rsidR="0093566B">
        <w:t>S.A. E.S.P. y</w:t>
      </w:r>
      <w:r w:rsidR="00A56911">
        <w:t xml:space="preserve"> la Cámara de Riesgo Central de Contraparte</w:t>
      </w:r>
      <w:r w:rsidR="6025879E" w:rsidRPr="00D4711B">
        <w:t>, y se establecen los indicadores de evaluación conforme a lo previsto en la Resolución CREG 114 de 2018</w:t>
      </w:r>
    </w:p>
    <w:p w14:paraId="23CB9A19" w14:textId="7FD36C30" w:rsidR="00F55EEA" w:rsidRDefault="00F55EEA" w:rsidP="005B0230">
      <w:pPr>
        <w:spacing w:before="0" w:after="0"/>
        <w:jc w:val="center"/>
        <w:rPr>
          <w:highlight w:val="green"/>
        </w:rPr>
      </w:pPr>
    </w:p>
    <w:p w14:paraId="6CEA6CAA" w14:textId="77777777" w:rsidR="00E05EDF" w:rsidRPr="00096873" w:rsidRDefault="00E05EDF" w:rsidP="005B0230">
      <w:pPr>
        <w:spacing w:before="0" w:after="0"/>
        <w:jc w:val="center"/>
        <w:rPr>
          <w:highlight w:val="green"/>
        </w:rPr>
      </w:pPr>
    </w:p>
    <w:p w14:paraId="54E368D4" w14:textId="69584E4E" w:rsidR="006D13F4" w:rsidRDefault="006D13F4" w:rsidP="005B0230">
      <w:pPr>
        <w:spacing w:before="0" w:after="0"/>
        <w:jc w:val="center"/>
        <w:rPr>
          <w:b/>
        </w:rPr>
      </w:pPr>
      <w:r w:rsidRPr="00AC0F14">
        <w:rPr>
          <w:b/>
        </w:rPr>
        <w:t>LA COMISIÓN DE REGULACIÓN DE ENERGÍA Y GAS</w:t>
      </w:r>
    </w:p>
    <w:p w14:paraId="71B96501" w14:textId="77777777" w:rsidR="00E05EDF" w:rsidRPr="00AC0F14" w:rsidRDefault="00E05EDF" w:rsidP="005B0230">
      <w:pPr>
        <w:spacing w:before="0" w:after="0"/>
        <w:jc w:val="center"/>
        <w:rPr>
          <w:b/>
        </w:rPr>
      </w:pPr>
    </w:p>
    <w:p w14:paraId="09685B3A" w14:textId="486C613F" w:rsidR="00193054" w:rsidRPr="004E6CFC" w:rsidRDefault="00193054" w:rsidP="005B0230">
      <w:pPr>
        <w:spacing w:before="0" w:after="0"/>
        <w:jc w:val="center"/>
      </w:pPr>
      <w:r>
        <w:t>En ejercicio de sus atribuciones constitucionales y legales, en especial las conferidas por las Leyes 142 y 143 de 1994 y en desarrollo de l</w:t>
      </w:r>
      <w:r w:rsidR="00F50D3B">
        <w:t>os Decretos 1524</w:t>
      </w:r>
      <w:r w:rsidR="734A1A38">
        <w:t xml:space="preserve"> y </w:t>
      </w:r>
      <w:r w:rsidR="00F50D3B">
        <w:t>2253 de 1994</w:t>
      </w:r>
      <w:r>
        <w:t xml:space="preserve"> </w:t>
      </w:r>
      <w:r w:rsidR="007F3E49">
        <w:t>y</w:t>
      </w:r>
      <w:r w:rsidR="0009294C" w:rsidRPr="7E1E69D4">
        <w:rPr>
          <w:caps/>
        </w:rPr>
        <w:t xml:space="preserve"> 1260 </w:t>
      </w:r>
      <w:r w:rsidR="0009294C">
        <w:t>de</w:t>
      </w:r>
      <w:r w:rsidR="00CB2682" w:rsidRPr="7E1E69D4">
        <w:rPr>
          <w:caps/>
        </w:rPr>
        <w:t xml:space="preserve"> 2013</w:t>
      </w:r>
    </w:p>
    <w:p w14:paraId="6DD5E972" w14:textId="77777777" w:rsidR="00CE3AC9" w:rsidRDefault="00CE3AC9" w:rsidP="005B0230">
      <w:pPr>
        <w:spacing w:before="0" w:after="0"/>
        <w:jc w:val="center"/>
        <w:rPr>
          <w:rFonts w:cs="Arial"/>
          <w:b/>
        </w:rPr>
      </w:pPr>
    </w:p>
    <w:p w14:paraId="7F2848C9" w14:textId="77777777" w:rsidR="00304403" w:rsidRDefault="00304403" w:rsidP="005B0230">
      <w:pPr>
        <w:spacing w:before="0" w:after="0"/>
        <w:jc w:val="center"/>
        <w:rPr>
          <w:rFonts w:cs="Arial"/>
          <w:b/>
        </w:rPr>
      </w:pPr>
    </w:p>
    <w:p w14:paraId="0380690F" w14:textId="10CF783D" w:rsidR="00193054" w:rsidRDefault="00193054" w:rsidP="005B0230">
      <w:pPr>
        <w:spacing w:before="0" w:after="0"/>
        <w:jc w:val="center"/>
        <w:rPr>
          <w:rFonts w:cs="Arial"/>
          <w:b/>
        </w:rPr>
      </w:pPr>
      <w:r w:rsidRPr="00DA7FDA">
        <w:rPr>
          <w:rFonts w:cs="Arial"/>
          <w:b/>
        </w:rPr>
        <w:t>CONSIDERANDO QUE:</w:t>
      </w:r>
      <w:r w:rsidR="00CB2682">
        <w:rPr>
          <w:rFonts w:cs="Arial"/>
          <w:b/>
        </w:rPr>
        <w:t xml:space="preserve"> </w:t>
      </w:r>
    </w:p>
    <w:p w14:paraId="02446CF1" w14:textId="1614168C" w:rsidR="00CE3AC9" w:rsidRDefault="00CE3AC9" w:rsidP="005B0230">
      <w:pPr>
        <w:spacing w:before="0" w:after="0"/>
        <w:jc w:val="center"/>
        <w:rPr>
          <w:rFonts w:cs="Arial"/>
          <w:b/>
        </w:rPr>
      </w:pPr>
    </w:p>
    <w:p w14:paraId="37FFB4FC" w14:textId="15A276C9" w:rsidR="009F1428" w:rsidRPr="009B5A4C" w:rsidRDefault="009F1428" w:rsidP="005B0230">
      <w:pPr>
        <w:spacing w:before="0" w:after="0"/>
      </w:pPr>
      <w:r w:rsidRPr="009B5A4C">
        <w:t>El artículo 334 de la Constitución Política establece que corresponde al Estado la dirección general de la economía, para lo cual intervendrá, por disposición de la ley, entre otros asuntos, en los servicios públicos y privados, buscando el mejoramiento de la calidad de vida de los habitantes, la distribución equitativa de las oportunidades</w:t>
      </w:r>
      <w:r w:rsidR="00DB7DCC">
        <w:t>,</w:t>
      </w:r>
      <w:r w:rsidRPr="009B5A4C">
        <w:t xml:space="preserve"> y los beneficios del desarrollo y la preservación de un ambiente sano.</w:t>
      </w:r>
    </w:p>
    <w:p w14:paraId="25D236C9" w14:textId="77777777" w:rsidR="00CE3AC9" w:rsidRPr="009B5A4C" w:rsidRDefault="00CE3AC9">
      <w:pPr>
        <w:spacing w:before="0" w:after="0"/>
      </w:pPr>
    </w:p>
    <w:p w14:paraId="704B25A2" w14:textId="14B3AA94" w:rsidR="00CB2682" w:rsidRPr="009B5A4C" w:rsidRDefault="00CB2682">
      <w:pPr>
        <w:spacing w:before="0" w:after="0"/>
      </w:pPr>
      <w:r w:rsidRPr="009B5A4C">
        <w:t>El artículo 365 de la Constitución Política de Colombia señala que los servicios públicos son inherentes a la finalidad social del Estado</w:t>
      </w:r>
      <w:r w:rsidR="00DB7DCC">
        <w:t>,</w:t>
      </w:r>
      <w:r w:rsidRPr="009B5A4C">
        <w:t xml:space="preserve"> y es su deber asegurar su prestación eficiente a todos los habitantes del territorio nacional.</w:t>
      </w:r>
    </w:p>
    <w:p w14:paraId="087E87DB" w14:textId="77777777" w:rsidR="00CE3AC9" w:rsidRPr="009B5A4C" w:rsidRDefault="00CE3AC9">
      <w:pPr>
        <w:spacing w:before="0" w:after="0"/>
      </w:pPr>
    </w:p>
    <w:p w14:paraId="0DEFB91B" w14:textId="4BA3B406" w:rsidR="00CB2682" w:rsidRPr="009B5A4C" w:rsidRDefault="00CB2682">
      <w:pPr>
        <w:spacing w:before="0" w:after="0"/>
      </w:pPr>
      <w:r w:rsidRPr="009B5A4C">
        <w:t>De conformidad con lo previsto en los artículos 1º, 2º y 4º de la Ley 142 de 1994, la prestación del servicio público domiciliario de energía eléctrica y sus actividades complementarias constituyen servicios públicos esenciales</w:t>
      </w:r>
      <w:r w:rsidR="00DB7DCC">
        <w:t>,</w:t>
      </w:r>
      <w:r w:rsidRPr="009B5A4C">
        <w:t xml:space="preserve"> y el Estado intervendrá en los mismos a fin de, entre otros, garantizar la calidad del bien y su disposición final para asegurar el mejoramiento de la calidad de vida de los usuarios, así como su prestación continua, ininterrumpida y eficiente.</w:t>
      </w:r>
    </w:p>
    <w:p w14:paraId="0B836D7F" w14:textId="77777777" w:rsidR="00CE3AC9" w:rsidRPr="009B5A4C" w:rsidRDefault="00CE3AC9">
      <w:pPr>
        <w:spacing w:before="0" w:after="0"/>
      </w:pPr>
    </w:p>
    <w:p w14:paraId="706048EB" w14:textId="623E3639" w:rsidR="009F1428" w:rsidRPr="009B5A4C" w:rsidRDefault="009F1428">
      <w:pPr>
        <w:spacing w:before="0" w:after="0"/>
      </w:pPr>
      <w:r w:rsidRPr="009B5A4C">
        <w:t>Atendiendo lo dispuesto en el artículo 3 de la Ley 142 de 1994</w:t>
      </w:r>
      <w:r w:rsidR="00DB7DCC">
        <w:t>,</w:t>
      </w:r>
      <w:r w:rsidRPr="009B5A4C">
        <w:t xml:space="preserve"> dentro de los fines que persigue la intervención del Estado en la prestación de los servicios públicos domiciliarios se encuentra la prestación eficiente, continua e ininterrumpida, la libre competencia, la no utilización abusiva de la posición dominante. Así mismo, dentro de los instrumentos que permite dar cumplimiento a dichos fines se encuentra la regulación, incluyendo la fijación de metas de eficiencia y la definición del régimen tarifario.</w:t>
      </w:r>
    </w:p>
    <w:p w14:paraId="0F0E689C" w14:textId="77777777" w:rsidR="00CE3AC9" w:rsidRPr="009B5A4C" w:rsidRDefault="00CE3AC9">
      <w:pPr>
        <w:spacing w:before="0" w:after="0"/>
      </w:pPr>
    </w:p>
    <w:p w14:paraId="409D0106" w14:textId="6D127BAE" w:rsidR="00821F5E" w:rsidRPr="009B5A4C" w:rsidRDefault="00821F5E">
      <w:pPr>
        <w:spacing w:before="0" w:after="0"/>
      </w:pPr>
      <w:r w:rsidRPr="009B5A4C">
        <w:t xml:space="preserve">Le corresponde a la CREG señalar las políticas generales de administración y control de eficiencia de los servicios públicos domiciliarios, en los términos de la </w:t>
      </w:r>
      <w:r w:rsidRPr="009B5A4C">
        <w:lastRenderedPageBreak/>
        <w:t>Constitución Nacional y la Ley, y definir el régimen tarifario con fundamento en los criterios establecidos para garantizar el cumplimiento de los fines de la intervención del Estado en la prestación de los servicios públicos</w:t>
      </w:r>
      <w:r w:rsidR="00B928D3">
        <w:t>,</w:t>
      </w:r>
      <w:r w:rsidRPr="009B5A4C">
        <w:t xml:space="preserve"> y conforme a la política pública del Gobierno Nacional.</w:t>
      </w:r>
    </w:p>
    <w:p w14:paraId="5E7FB803" w14:textId="77777777" w:rsidR="00CE3AC9" w:rsidRPr="009B5A4C" w:rsidRDefault="00CE3AC9">
      <w:pPr>
        <w:spacing w:before="0" w:after="0"/>
      </w:pPr>
    </w:p>
    <w:p w14:paraId="222D471B" w14:textId="791FA770" w:rsidR="009F1428" w:rsidRPr="009B5A4C" w:rsidRDefault="009F1428">
      <w:pPr>
        <w:spacing w:before="0" w:after="0"/>
      </w:pPr>
      <w:r w:rsidRPr="009B5A4C">
        <w:t>La Ley 142 de 1994</w:t>
      </w:r>
      <w:r w:rsidR="00DB7DCC">
        <w:t>,</w:t>
      </w:r>
      <w:r w:rsidRPr="009B5A4C">
        <w:t xml:space="preserve"> en su artículo 74.1</w:t>
      </w:r>
      <w:r w:rsidR="00B928D3">
        <w:t>,</w:t>
      </w:r>
      <w:r w:rsidRPr="009B5A4C">
        <w:t xml:space="preserve"> establece que es función de la CREG regular el ejercicio de las actividades del sector de energía para asegurar la disponibilidad de una oferta energética eficiente, propiciar la competencia, adoptar medidas para impedir abusos de posición dominante y buscar la liberación gradual de los mercados hacia la libre competencia. Además, la Comisión podrá adoptar reglas de comportamiento diferencial, según la posición de las empresas en el mercado.</w:t>
      </w:r>
    </w:p>
    <w:p w14:paraId="2DDF8AF6" w14:textId="77777777" w:rsidR="00CE3AC9" w:rsidRPr="009B5A4C" w:rsidRDefault="00CE3AC9">
      <w:pPr>
        <w:spacing w:before="0" w:after="0"/>
      </w:pPr>
    </w:p>
    <w:p w14:paraId="642D59D8" w14:textId="5EED6C5C" w:rsidR="009B22AB" w:rsidRPr="009B5A4C" w:rsidRDefault="009B22AB">
      <w:pPr>
        <w:spacing w:before="0" w:after="0"/>
      </w:pPr>
      <w:r w:rsidRPr="009B5A4C">
        <w:t>El artículo 73.11 de la Ley 142 de 1994 atribuyó a la Comisión de Regulación de Energía y Gas la facultad de establecer las fórmulas para la fijación de las tarifas del servicio público domiciliario de energía eléctrica</w:t>
      </w:r>
      <w:r w:rsidR="00CE3AC9" w:rsidRPr="009B5A4C">
        <w:t>.</w:t>
      </w:r>
    </w:p>
    <w:p w14:paraId="5562DDC3" w14:textId="77777777" w:rsidR="00CE3AC9" w:rsidRPr="009B5A4C" w:rsidRDefault="00CE3AC9">
      <w:pPr>
        <w:spacing w:before="0" w:after="0"/>
      </w:pPr>
    </w:p>
    <w:p w14:paraId="4FB7779C" w14:textId="6E606B68" w:rsidR="00936F9A" w:rsidRPr="009B5A4C" w:rsidRDefault="00936F9A">
      <w:pPr>
        <w:spacing w:before="0" w:after="0"/>
      </w:pPr>
      <w:r w:rsidRPr="009B5A4C">
        <w:t>Dentro del régimen tarifario se encuentran establecer las reglas relativas a procedimientos, metodologías, f</w:t>
      </w:r>
      <w:r w:rsidR="00B928D3">
        <w:t>ó</w:t>
      </w:r>
      <w:r w:rsidRPr="009B5A4C">
        <w:t>rmulas, estructuras, facturación, opciones, valores y, en general, todos los aspectos que determinan el cobro de las tarifas.</w:t>
      </w:r>
    </w:p>
    <w:p w14:paraId="31287B50" w14:textId="59342DC3" w:rsidR="7E1E69D4" w:rsidRPr="009B5A4C" w:rsidRDefault="7E1E69D4">
      <w:pPr>
        <w:spacing w:before="0" w:after="0"/>
      </w:pPr>
    </w:p>
    <w:p w14:paraId="76095C33" w14:textId="04055871" w:rsidR="009B22AB" w:rsidRPr="009B5A4C" w:rsidRDefault="009B22AB">
      <w:pPr>
        <w:spacing w:before="0" w:after="0"/>
      </w:pPr>
      <w:r w:rsidRPr="009B5A4C">
        <w:t>De acuerdo con el artículo 90 de la Ley 142, la CREG tiene competencia para incluir elementos en las fórmulas tarifarias. Todos los elementos deben observar</w:t>
      </w:r>
      <w:r w:rsidR="00B928D3">
        <w:t>,</w:t>
      </w:r>
      <w:r w:rsidRPr="009B5A4C">
        <w:t xml:space="preserve"> entre otros, los criterios tarifarios previstos en el artículo 87 de la Ley 142 de 1994.</w:t>
      </w:r>
    </w:p>
    <w:p w14:paraId="23C709AB" w14:textId="77777777" w:rsidR="00CE3AC9" w:rsidRPr="009B5A4C" w:rsidRDefault="00CE3AC9">
      <w:pPr>
        <w:spacing w:before="0" w:after="0"/>
      </w:pPr>
    </w:p>
    <w:p w14:paraId="111FEC80" w14:textId="5C1E8AA4" w:rsidR="009F1428" w:rsidRPr="009B5A4C" w:rsidRDefault="009F1428">
      <w:pPr>
        <w:spacing w:before="0" w:after="0"/>
      </w:pPr>
      <w:r w:rsidRPr="009B5A4C">
        <w:t>Según lo definido en el artículo 87.1 de la Ley 142 de 1994, la eficiencia económica es uno de los criterios necesarios para definir un régimen tarifario. Según este numeral, la eficiencia permite que las fórmulas tarifarias tengan en cuenta los costos y los aumentos de productividad</w:t>
      </w:r>
      <w:r w:rsidR="00B928D3">
        <w:t>,</w:t>
      </w:r>
      <w:r w:rsidRPr="009B5A4C">
        <w:t xml:space="preserve"> para luego ser distribuidos entre la empresa y los usuarios, tal y como ocurre en un mercado competitivo. El mismo criterio exige, además, que no se trasladen a los usuarios los costos de una gestión ineficiente.</w:t>
      </w:r>
    </w:p>
    <w:p w14:paraId="6B2FB604" w14:textId="77777777" w:rsidR="00CE3AC9" w:rsidRPr="009B5A4C" w:rsidRDefault="00CE3AC9">
      <w:pPr>
        <w:spacing w:before="0" w:after="0"/>
      </w:pPr>
    </w:p>
    <w:p w14:paraId="223D72F0" w14:textId="01924D41" w:rsidR="00936F9A" w:rsidRPr="009B5A4C" w:rsidRDefault="00936F9A">
      <w:pPr>
        <w:spacing w:before="0" w:after="0"/>
      </w:pPr>
      <w:r w:rsidRPr="009B5A4C">
        <w:t>Conforme a lo dispuesto en la Ley 142 y 143 de 1994, la CREG cuenta con la facultad de establecer medidas regulatorias de carácter general frente a la definición de nuevos mecanismos para la comercialización de energía eléctrica que permitan la gestión de riesgo de ingresos para los agentes del mercado en diferentes horizontes de tiempo, siempre y cuando permita la formación de precios eficientes</w:t>
      </w:r>
      <w:r w:rsidR="00B928D3">
        <w:t>,</w:t>
      </w:r>
      <w:r w:rsidRPr="009B5A4C">
        <w:t xml:space="preserve"> a </w:t>
      </w:r>
      <w:r w:rsidR="00B928D3">
        <w:t>e</w:t>
      </w:r>
      <w:r w:rsidRPr="009B5A4C">
        <w:t>fectos de ser trasladado a los usuarios finales.</w:t>
      </w:r>
    </w:p>
    <w:p w14:paraId="1C1142DA" w14:textId="77777777" w:rsidR="00CE3AC9" w:rsidRPr="009B5A4C" w:rsidRDefault="00CE3AC9">
      <w:pPr>
        <w:spacing w:before="0" w:after="0"/>
      </w:pPr>
    </w:p>
    <w:p w14:paraId="5277650F" w14:textId="155F1C26" w:rsidR="00AF77BC" w:rsidRPr="009B5A4C" w:rsidRDefault="00936F9A">
      <w:pPr>
        <w:spacing w:before="0" w:after="0"/>
        <w:rPr>
          <w:szCs w:val="20"/>
          <w:lang w:val="es-CO"/>
        </w:rPr>
      </w:pPr>
      <w:r w:rsidRPr="009B5A4C">
        <w:t>En ejercicio de sus facultades legales</w:t>
      </w:r>
      <w:r w:rsidR="00B928D3">
        <w:t>,</w:t>
      </w:r>
      <w:r w:rsidRPr="009B5A4C">
        <w:t xml:space="preserve"> e</w:t>
      </w:r>
      <w:r w:rsidR="00A744C8" w:rsidRPr="009B5A4C">
        <w:t>n la Resolución 114 de 2018, la CREG estableció los principios y</w:t>
      </w:r>
      <w:r w:rsidR="00AF77BC" w:rsidRPr="009B5A4C">
        <w:t xml:space="preserve"> las</w:t>
      </w:r>
      <w:r w:rsidR="00A744C8" w:rsidRPr="009B5A4C">
        <w:t xml:space="preserve"> condiciones </w:t>
      </w:r>
      <w:r w:rsidR="00AF77BC" w:rsidRPr="009B5A4C">
        <w:t xml:space="preserve">generales </w:t>
      </w:r>
      <w:r w:rsidR="00A744C8" w:rsidRPr="009B5A4C">
        <w:t>que deben cumplir los mecanismos para la comercialización de energía eléctrica para que los precios resultantes de las transacciones sean trasladados en el componente de costos de compra de energía en la tarifa al usuario final.</w:t>
      </w:r>
      <w:bookmarkStart w:id="1" w:name="_Ref208741538"/>
      <w:bookmarkStart w:id="2" w:name="_Ref208800103"/>
      <w:bookmarkStart w:id="3" w:name="_Ref208800198"/>
      <w:bookmarkStart w:id="4" w:name="_Ref208801482"/>
      <w:bookmarkStart w:id="5" w:name="_Ref208801521"/>
      <w:bookmarkStart w:id="6" w:name="_Ref208804214"/>
      <w:bookmarkStart w:id="7" w:name="_Ref208806182"/>
      <w:bookmarkStart w:id="8" w:name="_Ref209855218"/>
      <w:bookmarkStart w:id="9" w:name="_Ref209855264"/>
      <w:bookmarkStart w:id="10" w:name="_Toc210616028"/>
      <w:r w:rsidR="00AF77BC" w:rsidRPr="009B5A4C">
        <w:t xml:space="preserve"> La Comisión definió que los principios habilitantes de dichos mecanismos son eficiencia, transparencia, neutralidad y fiabilidad. </w:t>
      </w:r>
      <w:r w:rsidR="00B928D3">
        <w:t xml:space="preserve">Así </w:t>
      </w:r>
      <w:r w:rsidR="00AF77BC" w:rsidRPr="009B5A4C">
        <w:t xml:space="preserve">mismo, definió que los mecanismos deben cumplir con las condiciones generales de </w:t>
      </w:r>
      <w:r w:rsidR="00AF77BC" w:rsidRPr="009B5A4C">
        <w:rPr>
          <w:szCs w:val="20"/>
          <w:lang w:val="es-CO"/>
        </w:rPr>
        <w:t xml:space="preserve">pluralidad, estandarización, simplicidad, </w:t>
      </w:r>
      <w:r w:rsidR="00AF77BC" w:rsidRPr="009B5A4C">
        <w:rPr>
          <w:szCs w:val="20"/>
          <w:lang w:val="es-CO"/>
        </w:rPr>
        <w:lastRenderedPageBreak/>
        <w:t>disponibilidad de información, acreditación, anonimato, seguridad operativa, gestión de riesgos, reporte de información necesaria para la valoración de riesgos de los agentes del mercado de energía mayorista, esquemas de solución de controversias y esquemas de ajustes regulatorio.</w:t>
      </w:r>
    </w:p>
    <w:p w14:paraId="2D97D6A5" w14:textId="77777777" w:rsidR="00304403" w:rsidRPr="009B5A4C" w:rsidRDefault="00304403">
      <w:pPr>
        <w:spacing w:before="0" w:after="0"/>
        <w:rPr>
          <w:szCs w:val="20"/>
          <w:lang w:val="es-CO"/>
        </w:rPr>
      </w:pPr>
    </w:p>
    <w:p w14:paraId="2F013410" w14:textId="1E4BDD96" w:rsidR="00FD0D1A" w:rsidRPr="009B5A4C" w:rsidRDefault="003C31E5">
      <w:pPr>
        <w:spacing w:before="0" w:after="0"/>
      </w:pPr>
      <w:r w:rsidRPr="009B5A4C">
        <w:t xml:space="preserve">En el marco de la Resolución CREG 114 de 2018, </w:t>
      </w:r>
      <w:r w:rsidR="00ED756E" w:rsidRPr="009B5A4C">
        <w:t>DERIVEX S</w:t>
      </w:r>
      <w:r w:rsidR="00B928D3">
        <w:t>.</w:t>
      </w:r>
      <w:r w:rsidR="00ED756E" w:rsidRPr="009B5A4C">
        <w:t>A</w:t>
      </w:r>
      <w:r w:rsidR="00B928D3">
        <w:t>.</w:t>
      </w:r>
      <w:r w:rsidR="00ED756E" w:rsidRPr="009B5A4C">
        <w:t xml:space="preserve"> y </w:t>
      </w:r>
      <w:r w:rsidRPr="009B5A4C">
        <w:t>la Cámara de Riesgo Central de Contraparte</w:t>
      </w:r>
      <w:r w:rsidR="00B928D3">
        <w:t>,</w:t>
      </w:r>
      <w:r w:rsidRPr="009B5A4C">
        <w:t xml:space="preserve"> CRCC</w:t>
      </w:r>
      <w:r w:rsidR="00B928D3">
        <w:t>,</w:t>
      </w:r>
      <w:r w:rsidRPr="009B5A4C">
        <w:t xml:space="preserve"> presentaron una propuesta de mecanismo para la comercialización de energía en el mercado mayorista</w:t>
      </w:r>
      <w:r w:rsidR="00F959B8" w:rsidRPr="009B5A4C">
        <w:t xml:space="preserve">, mediante la comunicación </w:t>
      </w:r>
      <w:r w:rsidR="00055DCE" w:rsidRPr="009B5A4C">
        <w:t xml:space="preserve">con radicado </w:t>
      </w:r>
      <w:r w:rsidR="001124F3" w:rsidRPr="009B5A4C">
        <w:t xml:space="preserve">CREG </w:t>
      </w:r>
      <w:r w:rsidR="00055DCE" w:rsidRPr="009B5A4C">
        <w:t>E-2018-011476</w:t>
      </w:r>
      <w:r w:rsidRPr="009B5A4C">
        <w:t xml:space="preserve">. </w:t>
      </w:r>
    </w:p>
    <w:p w14:paraId="47FB4AE3" w14:textId="77777777" w:rsidR="00FD0D1A" w:rsidRPr="009B5A4C" w:rsidRDefault="00FD0D1A">
      <w:pPr>
        <w:spacing w:before="0" w:after="0"/>
      </w:pPr>
    </w:p>
    <w:p w14:paraId="55AF1E36" w14:textId="24EAD575" w:rsidR="001E1821" w:rsidRPr="009B5A4C" w:rsidRDefault="009A65ED">
      <w:pPr>
        <w:spacing w:before="0" w:after="0"/>
      </w:pPr>
      <w:r w:rsidRPr="009B5A4C">
        <w:t xml:space="preserve">En </w:t>
      </w:r>
      <w:r w:rsidR="0021160E" w:rsidRPr="009B5A4C">
        <w:t xml:space="preserve">comunicación </w:t>
      </w:r>
      <w:r w:rsidR="001E1821" w:rsidRPr="009B5A4C">
        <w:t>con radicado</w:t>
      </w:r>
      <w:r w:rsidR="001124F3" w:rsidRPr="009B5A4C">
        <w:t xml:space="preserve"> CREG</w:t>
      </w:r>
      <w:r w:rsidR="001E1821" w:rsidRPr="009B5A4C">
        <w:t xml:space="preserve"> E-2019-00</w:t>
      </w:r>
      <w:r w:rsidR="00A552C6" w:rsidRPr="009B5A4C">
        <w:t>9248</w:t>
      </w:r>
      <w:r w:rsidR="001E1821" w:rsidRPr="009B5A4C">
        <w:t>, se inform</w:t>
      </w:r>
      <w:r w:rsidRPr="009B5A4C">
        <w:t>ó</w:t>
      </w:r>
      <w:r w:rsidR="001E1821" w:rsidRPr="009B5A4C">
        <w:t xml:space="preserve"> </w:t>
      </w:r>
      <w:r w:rsidR="00C726B7" w:rsidRPr="009B5A4C">
        <w:t>a la C</w:t>
      </w:r>
      <w:r w:rsidR="00B928D3">
        <w:t>REG</w:t>
      </w:r>
      <w:r w:rsidR="00C726B7" w:rsidRPr="009B5A4C">
        <w:t xml:space="preserve"> </w:t>
      </w:r>
      <w:r w:rsidR="001E1821" w:rsidRPr="009B5A4C">
        <w:t xml:space="preserve">acerca </w:t>
      </w:r>
      <w:r w:rsidR="005A1B43" w:rsidRPr="009B5A4C">
        <w:t>de</w:t>
      </w:r>
      <w:r w:rsidR="00A73F1E" w:rsidRPr="009B5A4C">
        <w:t>l</w:t>
      </w:r>
      <w:r w:rsidR="005A1B43" w:rsidRPr="009B5A4C">
        <w:t xml:space="preserve"> cambio en la participación accionaria de</w:t>
      </w:r>
      <w:r w:rsidR="001E1821" w:rsidRPr="009B5A4C">
        <w:t xml:space="preserve"> </w:t>
      </w:r>
      <w:proofErr w:type="spellStart"/>
      <w:r w:rsidR="0021160E" w:rsidRPr="009B5A4C">
        <w:t>Derivex</w:t>
      </w:r>
      <w:proofErr w:type="spellEnd"/>
      <w:r w:rsidR="00D651F0" w:rsidRPr="009B5A4C">
        <w:t xml:space="preserve"> S.A</w:t>
      </w:r>
      <w:r w:rsidR="005A1B43" w:rsidRPr="009B5A4C">
        <w:t>.</w:t>
      </w:r>
      <w:r w:rsidR="00B928D3">
        <w:t>,</w:t>
      </w:r>
      <w:r w:rsidR="0021160E" w:rsidRPr="009B5A4C">
        <w:t xml:space="preserve"> </w:t>
      </w:r>
      <w:r w:rsidR="00A73F1E" w:rsidRPr="009B5A4C">
        <w:t>y l</w:t>
      </w:r>
      <w:r w:rsidR="0098612B" w:rsidRPr="009B5A4C">
        <w:t>a</w:t>
      </w:r>
      <w:r w:rsidR="00A73F1E" w:rsidRPr="009B5A4C">
        <w:t>s respectiv</w:t>
      </w:r>
      <w:r w:rsidR="0098612B" w:rsidRPr="009B5A4C">
        <w:t>a</w:t>
      </w:r>
      <w:r w:rsidR="00A73F1E" w:rsidRPr="009B5A4C">
        <w:t xml:space="preserve">s </w:t>
      </w:r>
      <w:r w:rsidR="000F71E5" w:rsidRPr="009B5A4C">
        <w:t>modificaciones al gobierno corporativo.</w:t>
      </w:r>
    </w:p>
    <w:p w14:paraId="0188B9A2" w14:textId="77777777" w:rsidR="001E1821" w:rsidRPr="009B5A4C" w:rsidRDefault="001E1821">
      <w:pPr>
        <w:spacing w:before="0" w:after="0"/>
      </w:pPr>
    </w:p>
    <w:p w14:paraId="048BE843" w14:textId="6BED5506" w:rsidR="008641FE" w:rsidRPr="009B5A4C" w:rsidRDefault="002873B3">
      <w:pPr>
        <w:spacing w:before="0" w:after="0"/>
      </w:pPr>
      <w:r w:rsidRPr="009B5A4C">
        <w:t xml:space="preserve">Mediante radicado </w:t>
      </w:r>
      <w:r w:rsidR="001124F3" w:rsidRPr="009B5A4C">
        <w:t xml:space="preserve">CREG </w:t>
      </w:r>
      <w:r w:rsidRPr="009B5A4C">
        <w:t>E-2019-0</w:t>
      </w:r>
      <w:r w:rsidR="002A3D08" w:rsidRPr="009B5A4C">
        <w:t>10881</w:t>
      </w:r>
      <w:r w:rsidR="00D566F8" w:rsidRPr="009B5A4C">
        <w:t xml:space="preserve">, se informó a </w:t>
      </w:r>
      <w:r w:rsidR="00332455" w:rsidRPr="009B5A4C">
        <w:t>la Comisión</w:t>
      </w:r>
      <w:r w:rsidR="00D566F8" w:rsidRPr="009B5A4C">
        <w:t xml:space="preserve"> de la reforma estatutaria de </w:t>
      </w:r>
      <w:proofErr w:type="spellStart"/>
      <w:r w:rsidR="00D566F8" w:rsidRPr="009B5A4C">
        <w:t>Derivex</w:t>
      </w:r>
      <w:proofErr w:type="spellEnd"/>
      <w:r w:rsidR="00B928D3">
        <w:t xml:space="preserve"> S.A.</w:t>
      </w:r>
      <w:r w:rsidR="004B0CC2" w:rsidRPr="009B5A4C">
        <w:t>,</w:t>
      </w:r>
      <w:r w:rsidR="00BB77F1" w:rsidRPr="009B5A4C">
        <w:t xml:space="preserve"> para ser considerado </w:t>
      </w:r>
      <w:r w:rsidR="00855FFD" w:rsidRPr="009B5A4C">
        <w:t>dentro del proceso de evaluación de la propuesta</w:t>
      </w:r>
      <w:r w:rsidR="000E0E8A" w:rsidRPr="009B5A4C">
        <w:t>.</w:t>
      </w:r>
    </w:p>
    <w:p w14:paraId="455C0315" w14:textId="1CAE69B0" w:rsidR="008641FE" w:rsidRPr="009B5A4C" w:rsidRDefault="008641FE">
      <w:pPr>
        <w:spacing w:before="0" w:after="0"/>
      </w:pPr>
    </w:p>
    <w:p w14:paraId="3ABB247C" w14:textId="77777777" w:rsidR="00FC5E31" w:rsidRPr="009B5A4C" w:rsidRDefault="00FC5E31">
      <w:pPr>
        <w:spacing w:before="0" w:after="0"/>
      </w:pPr>
      <w:r w:rsidRPr="009B5A4C">
        <w:t>La CREG llevó a cabo el proceso de análisis y evaluación del mecanismo presentado por DERIVEX-CRCC en los términos definidos por la resolución citada, con la asesoría de tres (3) agentes especializados en los temas de riesgo, mercados financieros y gobernanza.</w:t>
      </w:r>
    </w:p>
    <w:p w14:paraId="38736F41" w14:textId="77777777" w:rsidR="00FC5E31" w:rsidRPr="009B5A4C" w:rsidRDefault="00FC5E31">
      <w:pPr>
        <w:spacing w:before="0" w:after="0"/>
      </w:pPr>
    </w:p>
    <w:p w14:paraId="6A194D2B" w14:textId="46F3C7BF" w:rsidR="00855FFD" w:rsidRPr="009B5A4C" w:rsidRDefault="00FB3D9C">
      <w:pPr>
        <w:spacing w:before="0" w:after="0"/>
      </w:pPr>
      <w:r w:rsidRPr="009B5A4C">
        <w:t xml:space="preserve">Los informes finales remitidos a la Comisión por parte de estos agentes especializados </w:t>
      </w:r>
      <w:r w:rsidR="002822C6" w:rsidRPr="009B5A4C">
        <w:t xml:space="preserve">quedaron consignados </w:t>
      </w:r>
      <w:r w:rsidR="0025759E" w:rsidRPr="009B5A4C">
        <w:t xml:space="preserve">mediante los radicados </w:t>
      </w:r>
      <w:r w:rsidR="001124F3" w:rsidRPr="009B5A4C">
        <w:t xml:space="preserve">CREG </w:t>
      </w:r>
      <w:r w:rsidR="0025759E" w:rsidRPr="009B5A4C">
        <w:t xml:space="preserve">E-2020-000994, E-2020-000995 y </w:t>
      </w:r>
      <w:r w:rsidR="002B7EEB" w:rsidRPr="009B5A4C">
        <w:t>E-2020-001016.</w:t>
      </w:r>
    </w:p>
    <w:p w14:paraId="2E6B885F" w14:textId="77777777" w:rsidR="002B7EEB" w:rsidRPr="009B5A4C" w:rsidRDefault="002B7EEB">
      <w:pPr>
        <w:spacing w:before="0" w:after="0"/>
      </w:pPr>
    </w:p>
    <w:p w14:paraId="6EC44C84" w14:textId="0E4DA645" w:rsidR="003C31E5" w:rsidRPr="009B5A4C" w:rsidRDefault="005B2216">
      <w:pPr>
        <w:spacing w:before="0" w:after="0"/>
      </w:pPr>
      <w:r w:rsidRPr="009B5A4C">
        <w:t>L</w:t>
      </w:r>
      <w:r w:rsidR="007A2DF9" w:rsidRPr="009B5A4C">
        <w:t>a propuesta pública</w:t>
      </w:r>
      <w:r w:rsidR="001124F3" w:rsidRPr="009B5A4C">
        <w:t xml:space="preserve"> del mecanismo </w:t>
      </w:r>
      <w:r w:rsidRPr="009B5A4C">
        <w:t xml:space="preserve">presentado por el Promotor DERIVEX-CRCC </w:t>
      </w:r>
      <w:r w:rsidR="00F438A9" w:rsidRPr="009B5A4C">
        <w:t xml:space="preserve">consta </w:t>
      </w:r>
      <w:r w:rsidR="00504395" w:rsidRPr="009B5A4C">
        <w:t xml:space="preserve">en </w:t>
      </w:r>
      <w:r w:rsidR="001124F3" w:rsidRPr="009B5A4C">
        <w:t>el</w:t>
      </w:r>
      <w:r w:rsidR="00FC73AC" w:rsidRPr="009B5A4C">
        <w:t xml:space="preserve"> radicado </w:t>
      </w:r>
      <w:r w:rsidR="001124F3" w:rsidRPr="009B5A4C">
        <w:t xml:space="preserve">CREG </w:t>
      </w:r>
      <w:r w:rsidR="004955BA" w:rsidRPr="009B5A4C">
        <w:t>E-2020-</w:t>
      </w:r>
      <w:r w:rsidR="00F02478" w:rsidRPr="009B5A4C">
        <w:t>007384</w:t>
      </w:r>
      <w:r w:rsidR="00FC73AC" w:rsidRPr="009B5A4C">
        <w:t>.</w:t>
      </w:r>
    </w:p>
    <w:p w14:paraId="51175A99" w14:textId="77777777" w:rsidR="00CE3AC9" w:rsidRPr="009B5A4C" w:rsidRDefault="00CE3AC9">
      <w:pPr>
        <w:spacing w:before="0" w:after="0"/>
      </w:pPr>
    </w:p>
    <w:p w14:paraId="1D38B40E" w14:textId="0AE3AE22" w:rsidR="003C31E5" w:rsidRPr="009B5A4C" w:rsidRDefault="00AE19FC">
      <w:pPr>
        <w:spacing w:before="0" w:after="0"/>
      </w:pPr>
      <w:r w:rsidRPr="009B5A4C">
        <w:t>Con base en el informe de los agentes especializados y</w:t>
      </w:r>
      <w:r w:rsidR="00AE0C9D" w:rsidRPr="009B5A4C">
        <w:t xml:space="preserve"> </w:t>
      </w:r>
      <w:r w:rsidRPr="009B5A4C">
        <w:t>análisis internos de la Comisión, l</w:t>
      </w:r>
      <w:r w:rsidR="003C31E5" w:rsidRPr="009B5A4C">
        <w:t>a evaluación del mecanismo permite</w:t>
      </w:r>
      <w:r w:rsidR="007722E2" w:rsidRPr="009B5A4C">
        <w:t xml:space="preserve"> determinar</w:t>
      </w:r>
      <w:r w:rsidR="003C31E5" w:rsidRPr="009B5A4C">
        <w:t xml:space="preserve"> a la CREG que </w:t>
      </w:r>
      <w:r w:rsidR="00585015" w:rsidRPr="009B5A4C">
        <w:t xml:space="preserve">el mecanismo </w:t>
      </w:r>
      <w:r w:rsidR="003C31E5" w:rsidRPr="009B5A4C">
        <w:t>propuest</w:t>
      </w:r>
      <w:r w:rsidR="00585015" w:rsidRPr="009B5A4C">
        <w:t>o por</w:t>
      </w:r>
      <w:r w:rsidR="003C31E5" w:rsidRPr="009B5A4C">
        <w:t xml:space="preserve"> DERIVEX-CRCC cumple con los principios y condiciones establecidos en l</w:t>
      </w:r>
      <w:r w:rsidR="0035446E" w:rsidRPr="009B5A4C">
        <w:t>os artículos 3 y 4 de la</w:t>
      </w:r>
      <w:r w:rsidR="003C31E5" w:rsidRPr="009B5A4C">
        <w:t xml:space="preserve"> Resolución CREG 114 de 2018</w:t>
      </w:r>
      <w:r w:rsidR="00B928D3">
        <w:t>,</w:t>
      </w:r>
      <w:r w:rsidR="0035446E" w:rsidRPr="009B5A4C">
        <w:t xml:space="preserve"> y el promotor </w:t>
      </w:r>
      <w:r w:rsidR="00BF28DB" w:rsidRPr="009B5A4C">
        <w:t xml:space="preserve">cumple con las condiciones mínimas descritas en el artículo 6 de la misma resolución. </w:t>
      </w:r>
    </w:p>
    <w:p w14:paraId="562653FB" w14:textId="77777777" w:rsidR="00CE3AC9" w:rsidRPr="009B5A4C" w:rsidRDefault="00CE3AC9">
      <w:pPr>
        <w:spacing w:before="0" w:after="0"/>
      </w:pPr>
    </w:p>
    <w:p w14:paraId="032C3CE0" w14:textId="439FA0C2" w:rsidR="00CE3AC9" w:rsidRPr="009B5A4C" w:rsidRDefault="00BF28DB">
      <w:pPr>
        <w:spacing w:before="0" w:after="0"/>
      </w:pPr>
      <w:r w:rsidRPr="009B5A4C">
        <w:t xml:space="preserve">En </w:t>
      </w:r>
      <w:r w:rsidR="00241108" w:rsidRPr="009B5A4C">
        <w:t>consecuencia</w:t>
      </w:r>
      <w:r w:rsidRPr="009B5A4C">
        <w:t xml:space="preserve">, </w:t>
      </w:r>
      <w:r w:rsidR="008027CC" w:rsidRPr="009B5A4C">
        <w:t>una vez</w:t>
      </w:r>
      <w:r w:rsidR="00241108" w:rsidRPr="009B5A4C">
        <w:t xml:space="preserve"> verificado y</w:t>
      </w:r>
      <w:r w:rsidR="008027CC" w:rsidRPr="009B5A4C">
        <w:t xml:space="preserve"> evaluado lo anterior,</w:t>
      </w:r>
      <w:r w:rsidR="00705C44" w:rsidRPr="009B5A4C">
        <w:t xml:space="preserve"> conforme al literal g de</w:t>
      </w:r>
      <w:r w:rsidR="002901B5" w:rsidRPr="009B5A4C">
        <w:t>l numeral</w:t>
      </w:r>
      <w:r w:rsidR="00705C44" w:rsidRPr="009B5A4C">
        <w:t xml:space="preserve"> 1 del artículo 8 de la Resolución</w:t>
      </w:r>
      <w:r w:rsidR="009A6458" w:rsidRPr="009B5A4C">
        <w:t xml:space="preserve"> CREG</w:t>
      </w:r>
      <w:r w:rsidR="00705C44" w:rsidRPr="009B5A4C">
        <w:t xml:space="preserve"> 114 de 2018</w:t>
      </w:r>
      <w:r w:rsidR="002901B5" w:rsidRPr="009B5A4C">
        <w:t>,</w:t>
      </w:r>
      <w:r w:rsidR="008027CC" w:rsidRPr="009B5A4C">
        <w:t xml:space="preserve"> </w:t>
      </w:r>
      <w:r w:rsidR="007710D8" w:rsidRPr="009B5A4C">
        <w:t xml:space="preserve">la </w:t>
      </w:r>
      <w:r w:rsidR="009A6458" w:rsidRPr="009B5A4C">
        <w:t>Comisión</w:t>
      </w:r>
      <w:r w:rsidR="00B928D3">
        <w:t>,</w:t>
      </w:r>
      <w:r w:rsidR="009A6458" w:rsidRPr="009B5A4C">
        <w:t xml:space="preserve"> </w:t>
      </w:r>
      <w:r w:rsidR="007710D8" w:rsidRPr="009B5A4C">
        <w:t xml:space="preserve">mediante </w:t>
      </w:r>
      <w:r w:rsidR="001FA4C4" w:rsidRPr="009B5A4C">
        <w:t xml:space="preserve">la Resolución </w:t>
      </w:r>
      <w:r w:rsidR="00035E4F" w:rsidRPr="009B5A4C">
        <w:t>C</w:t>
      </w:r>
      <w:r w:rsidR="00035E4F">
        <w:t>REG</w:t>
      </w:r>
      <w:r w:rsidR="00035E4F" w:rsidRPr="009B5A4C">
        <w:t xml:space="preserve"> </w:t>
      </w:r>
      <w:r w:rsidR="001FA4C4" w:rsidRPr="009B5A4C">
        <w:t>206 de 2020</w:t>
      </w:r>
      <w:r w:rsidR="00B928D3">
        <w:t>,</w:t>
      </w:r>
      <w:r w:rsidR="001FA4C4" w:rsidRPr="009B5A4C">
        <w:t xml:space="preserve"> presentó </w:t>
      </w:r>
      <w:r w:rsidR="00C837E3" w:rsidRPr="009B5A4C">
        <w:t xml:space="preserve">el proyecto de resolución </w:t>
      </w:r>
      <w:r w:rsidR="001961B0" w:rsidRPr="009B5A4C">
        <w:t xml:space="preserve">para la definición de </w:t>
      </w:r>
      <w:r w:rsidR="00BA04BF" w:rsidRPr="009B5A4C">
        <w:t>la</w:t>
      </w:r>
      <w:r w:rsidR="00774C0A" w:rsidRPr="009B5A4C">
        <w:t xml:space="preserve">s reglas y condiciones </w:t>
      </w:r>
      <w:r w:rsidR="009A6458" w:rsidRPr="009B5A4C">
        <w:t>d</w:t>
      </w:r>
      <w:r w:rsidR="00922536" w:rsidRPr="009B5A4C">
        <w:t xml:space="preserve">el traslado </w:t>
      </w:r>
      <w:r w:rsidR="00366694" w:rsidRPr="009B5A4C">
        <w:t>de</w:t>
      </w:r>
      <w:r w:rsidR="00EB5CB6" w:rsidRPr="009B5A4C">
        <w:t xml:space="preserve"> </w:t>
      </w:r>
      <w:r w:rsidR="00BA04BF" w:rsidRPr="009B5A4C">
        <w:t>l</w:t>
      </w:r>
      <w:r w:rsidR="00EE60AE" w:rsidRPr="009B5A4C">
        <w:t>os precios resultantes de las transacciones realizadas en el mecanismo</w:t>
      </w:r>
      <w:r w:rsidR="00753047" w:rsidRPr="009B5A4C">
        <w:t xml:space="preserve"> del Promotor</w:t>
      </w:r>
      <w:r w:rsidR="00782B34" w:rsidRPr="009B5A4C">
        <w:t xml:space="preserve"> DERIVEX</w:t>
      </w:r>
      <w:r w:rsidR="00753047" w:rsidRPr="009B5A4C">
        <w:t>-CRCC</w:t>
      </w:r>
      <w:r w:rsidR="001961B0" w:rsidRPr="009B5A4C">
        <w:t xml:space="preserve">. </w:t>
      </w:r>
      <w:r w:rsidR="00C837E3" w:rsidRPr="009B5A4C">
        <w:t xml:space="preserve">El proyecto </w:t>
      </w:r>
      <w:r w:rsidR="001961B0" w:rsidRPr="009B5A4C">
        <w:t xml:space="preserve">contiene también </w:t>
      </w:r>
      <w:r w:rsidR="00185630" w:rsidRPr="009B5A4C">
        <w:t>l</w:t>
      </w:r>
      <w:r w:rsidR="00B34360" w:rsidRPr="009B5A4C">
        <w:t xml:space="preserve">a definición de los indicadores de resultados </w:t>
      </w:r>
      <w:r w:rsidR="003A4D0D" w:rsidRPr="009B5A4C">
        <w:t xml:space="preserve">del funcionamiento </w:t>
      </w:r>
      <w:r w:rsidR="00B34360" w:rsidRPr="009B5A4C">
        <w:t>del mecanismo</w:t>
      </w:r>
      <w:r w:rsidR="004C7F90" w:rsidRPr="009B5A4C">
        <w:t>,</w:t>
      </w:r>
      <w:r w:rsidR="00B34360" w:rsidRPr="009B5A4C">
        <w:t xml:space="preserve"> la</w:t>
      </w:r>
      <w:r w:rsidR="003A4D0D" w:rsidRPr="009B5A4C">
        <w:t>s condiciones de seguimi</w:t>
      </w:r>
      <w:r w:rsidR="642CDF3A" w:rsidRPr="009B5A4C">
        <w:t>e</w:t>
      </w:r>
      <w:r w:rsidR="003A4D0D" w:rsidRPr="009B5A4C">
        <w:t>n</w:t>
      </w:r>
      <w:r w:rsidR="196BD2B2" w:rsidRPr="009B5A4C">
        <w:t>t</w:t>
      </w:r>
      <w:r w:rsidR="003A4D0D" w:rsidRPr="009B5A4C">
        <w:t xml:space="preserve">o </w:t>
      </w:r>
      <w:r w:rsidR="00B34360" w:rsidRPr="009B5A4C">
        <w:t>y evaluación de dichos indicadores</w:t>
      </w:r>
      <w:r w:rsidR="00B928D3">
        <w:t>,</w:t>
      </w:r>
      <w:r w:rsidR="004C7F90" w:rsidRPr="009B5A4C">
        <w:t xml:space="preserve"> y las </w:t>
      </w:r>
      <w:r w:rsidR="00CB54A8" w:rsidRPr="009B5A4C">
        <w:t>reglas aplicab</w:t>
      </w:r>
      <w:r w:rsidR="228372F6" w:rsidRPr="009B5A4C">
        <w:t>l</w:t>
      </w:r>
      <w:r w:rsidR="00CB54A8" w:rsidRPr="009B5A4C">
        <w:t xml:space="preserve">es </w:t>
      </w:r>
      <w:r w:rsidR="00E92F2B" w:rsidRPr="009B5A4C">
        <w:t xml:space="preserve">en caso de </w:t>
      </w:r>
      <w:r w:rsidR="00CB54A8" w:rsidRPr="009B5A4C">
        <w:t xml:space="preserve">modificación del mecanismo. </w:t>
      </w:r>
      <w:r w:rsidR="003E398B">
        <w:t xml:space="preserve">La </w:t>
      </w:r>
      <w:r w:rsidR="00354D6C">
        <w:t>a</w:t>
      </w:r>
      <w:r w:rsidR="003E398B">
        <w:t>nterior resolución fue a</w:t>
      </w:r>
      <w:r w:rsidR="00354D6C">
        <w:t>compañ</w:t>
      </w:r>
      <w:r w:rsidR="00E064CC">
        <w:t>a</w:t>
      </w:r>
      <w:r w:rsidR="00354D6C">
        <w:t>da por</w:t>
      </w:r>
      <w:r w:rsidR="00E01C38" w:rsidRPr="009B5A4C">
        <w:t xml:space="preserve"> </w:t>
      </w:r>
      <w:r w:rsidR="00354D6C">
        <w:t>e</w:t>
      </w:r>
      <w:r w:rsidR="00B077DA" w:rsidRPr="009B5A4C">
        <w:t xml:space="preserve">l Documento CREG </w:t>
      </w:r>
      <w:r w:rsidR="00E01C38" w:rsidRPr="009B5A4C">
        <w:t xml:space="preserve">164 </w:t>
      </w:r>
      <w:r w:rsidR="00B077DA" w:rsidRPr="009B5A4C">
        <w:t>de 2020</w:t>
      </w:r>
      <w:r w:rsidR="00B928D3">
        <w:t>,</w:t>
      </w:r>
      <w:r w:rsidR="00B077DA">
        <w:t xml:space="preserve"> </w:t>
      </w:r>
      <w:r w:rsidR="00354D6C">
        <w:t>el cual</w:t>
      </w:r>
      <w:r w:rsidR="00B077DA" w:rsidRPr="009B5A4C">
        <w:t xml:space="preserve"> contiene </w:t>
      </w:r>
      <w:r w:rsidR="00354D6C">
        <w:t>la</w:t>
      </w:r>
      <w:r w:rsidR="00E064CC">
        <w:t xml:space="preserve"> evaluación</w:t>
      </w:r>
      <w:r w:rsidR="00B077DA" w:rsidRPr="009B5A4C">
        <w:t xml:space="preserve"> </w:t>
      </w:r>
      <w:r w:rsidR="00E064CC">
        <w:t xml:space="preserve">de la propuesta presentada por </w:t>
      </w:r>
      <w:r w:rsidR="00B077DA" w:rsidRPr="009B5A4C">
        <w:t>el promotor con el detalle del funcionamiento de</w:t>
      </w:r>
      <w:r w:rsidR="04D93FF4" w:rsidRPr="009B5A4C">
        <w:t>l</w:t>
      </w:r>
      <w:r w:rsidR="00B077DA" w:rsidRPr="009B5A4C">
        <w:t xml:space="preserve"> mecanismo</w:t>
      </w:r>
      <w:r w:rsidR="006B219A" w:rsidRPr="009B5A4C">
        <w:t xml:space="preserve"> evaluado</w:t>
      </w:r>
      <w:r w:rsidR="00724153" w:rsidRPr="009B5A4C">
        <w:t>.</w:t>
      </w:r>
    </w:p>
    <w:p w14:paraId="56F6304A" w14:textId="7A9B309B" w:rsidR="00BF28DB" w:rsidRPr="009B5A4C" w:rsidRDefault="00F95B0B">
      <w:pPr>
        <w:spacing w:before="0" w:after="0"/>
      </w:pPr>
      <w:r w:rsidRPr="009B5A4C">
        <w:lastRenderedPageBreak/>
        <w:t xml:space="preserve">En concordancia </w:t>
      </w:r>
      <w:r w:rsidR="004046E0" w:rsidRPr="009B5A4C">
        <w:t xml:space="preserve">con </w:t>
      </w:r>
      <w:r w:rsidRPr="009B5A4C">
        <w:t>la</w:t>
      </w:r>
      <w:r w:rsidR="00C726B7" w:rsidRPr="009B5A4C">
        <w:t xml:space="preserve"> propuesta contenida en</w:t>
      </w:r>
      <w:r w:rsidR="00C726B7">
        <w:t xml:space="preserve"> </w:t>
      </w:r>
      <w:r w:rsidR="00AA072A">
        <w:t>la</w:t>
      </w:r>
      <w:r w:rsidR="00C726B7" w:rsidRPr="009B5A4C">
        <w:t xml:space="preserve"> </w:t>
      </w:r>
      <w:r w:rsidRPr="009B5A4C">
        <w:t>R</w:t>
      </w:r>
      <w:r w:rsidR="00613156" w:rsidRPr="009B5A4C">
        <w:t xml:space="preserve">esolución CREG </w:t>
      </w:r>
      <w:r w:rsidR="005F43CB" w:rsidRPr="009B5A4C">
        <w:t>20</w:t>
      </w:r>
      <w:r w:rsidR="007D22A1" w:rsidRPr="009B5A4C">
        <w:t>5</w:t>
      </w:r>
      <w:r w:rsidR="005F43CB" w:rsidRPr="009B5A4C">
        <w:t xml:space="preserve"> </w:t>
      </w:r>
      <w:r w:rsidR="00613156" w:rsidRPr="009B5A4C">
        <w:t xml:space="preserve">de 2020, </w:t>
      </w:r>
      <w:r w:rsidR="00C726B7" w:rsidRPr="009B5A4C">
        <w:t xml:space="preserve">de </w:t>
      </w:r>
      <w:r w:rsidR="005074BF" w:rsidRPr="009B5A4C">
        <w:t>modifica</w:t>
      </w:r>
      <w:r w:rsidR="00C726B7" w:rsidRPr="009B5A4C">
        <w:t>r</w:t>
      </w:r>
      <w:r w:rsidR="005074BF" w:rsidRPr="009B5A4C">
        <w:t xml:space="preserve"> algunas disposiciones de la Resolución 114 de 2018 referentes a la auditoría para la evaluación de los indicadores de seguimiento de</w:t>
      </w:r>
      <w:r w:rsidR="005E6E24" w:rsidRPr="009B5A4C">
        <w:t xml:space="preserve"> </w:t>
      </w:r>
      <w:r w:rsidR="005074BF" w:rsidRPr="009B5A4C">
        <w:t>l</w:t>
      </w:r>
      <w:r w:rsidR="005E6E24" w:rsidRPr="009B5A4C">
        <w:t>os me</w:t>
      </w:r>
      <w:r w:rsidR="001028F9" w:rsidRPr="009B5A4C">
        <w:t xml:space="preserve">canismos propuestos en el marco de la precitada resolución, </w:t>
      </w:r>
      <w:r w:rsidR="00BD2590" w:rsidRPr="009B5A4C">
        <w:t xml:space="preserve">la </w:t>
      </w:r>
      <w:r w:rsidR="007D22A1" w:rsidRPr="009B5A4C">
        <w:t>Resolución</w:t>
      </w:r>
      <w:r w:rsidR="007F3E49" w:rsidRPr="009B5A4C">
        <w:t xml:space="preserve"> CREG</w:t>
      </w:r>
      <w:r w:rsidR="007D22A1" w:rsidRPr="009B5A4C">
        <w:t xml:space="preserve"> 206</w:t>
      </w:r>
      <w:r w:rsidR="007F3E49" w:rsidRPr="009B5A4C">
        <w:t xml:space="preserve"> de 2020</w:t>
      </w:r>
      <w:r w:rsidR="007D22A1" w:rsidRPr="009B5A4C">
        <w:t xml:space="preserve"> </w:t>
      </w:r>
      <w:r w:rsidR="00BD2590" w:rsidRPr="009B5A4C">
        <w:t>defi</w:t>
      </w:r>
      <w:r w:rsidR="007D22A1" w:rsidRPr="009B5A4C">
        <w:t>nió</w:t>
      </w:r>
      <w:r w:rsidR="00BD2590" w:rsidRPr="009B5A4C">
        <w:t xml:space="preserve"> </w:t>
      </w:r>
      <w:r w:rsidR="009640D4" w:rsidRPr="009B5A4C">
        <w:t>la periodicidad</w:t>
      </w:r>
      <w:r w:rsidR="00BD2590" w:rsidRPr="009B5A4C">
        <w:t xml:space="preserve"> </w:t>
      </w:r>
      <w:r w:rsidR="00D55F31" w:rsidRPr="009B5A4C">
        <w:t>con la que se</w:t>
      </w:r>
      <w:r w:rsidR="00AE79AE" w:rsidRPr="009B5A4C">
        <w:t xml:space="preserve"> deberá seleccionar el auditor para estos fines</w:t>
      </w:r>
      <w:r w:rsidR="00D027A1">
        <w:t>,</w:t>
      </w:r>
      <w:r w:rsidR="00663D33" w:rsidRPr="009B5A4C">
        <w:t xml:space="preserve"> y el perfil específico que se deberá acreditar</w:t>
      </w:r>
      <w:r w:rsidR="00AE79AE" w:rsidRPr="009B5A4C">
        <w:t>.</w:t>
      </w:r>
    </w:p>
    <w:p w14:paraId="5BECB4BB" w14:textId="22DE4E1D" w:rsidR="00C140F3" w:rsidRPr="009B5A4C" w:rsidRDefault="00C140F3">
      <w:pPr>
        <w:spacing w:before="0" w:after="0"/>
      </w:pPr>
    </w:p>
    <w:p w14:paraId="456782C1" w14:textId="7F829908" w:rsidR="00C140F3" w:rsidRPr="009B5A4C" w:rsidRDefault="00C140F3">
      <w:pPr>
        <w:spacing w:before="0" w:after="0"/>
      </w:pPr>
      <w:r w:rsidRPr="009B5A4C">
        <w:t>La modificación propuesta en la Resolución</w:t>
      </w:r>
      <w:r w:rsidR="007F3E49" w:rsidRPr="009B5A4C">
        <w:t xml:space="preserve"> CREG</w:t>
      </w:r>
      <w:r w:rsidRPr="009B5A4C">
        <w:t xml:space="preserve"> 205 de 2020 fue adoptada mediante la Resolución CREG </w:t>
      </w:r>
      <w:r w:rsidR="008207DB" w:rsidRPr="009B5A4C">
        <w:t>014 de 2021</w:t>
      </w:r>
      <w:r w:rsidR="00192C57" w:rsidRPr="009B5A4C">
        <w:t>.</w:t>
      </w:r>
    </w:p>
    <w:p w14:paraId="40B7086B" w14:textId="0604784E" w:rsidR="00CE3AC9" w:rsidRPr="009B5A4C" w:rsidRDefault="00CE3AC9">
      <w:pPr>
        <w:spacing w:before="0" w:after="0"/>
      </w:pPr>
    </w:p>
    <w:p w14:paraId="74880A92" w14:textId="20329DD7" w:rsidR="00A3329E" w:rsidRPr="009B5A4C" w:rsidRDefault="00A3329E">
      <w:pPr>
        <w:spacing w:before="0" w:after="0"/>
      </w:pPr>
      <w:r w:rsidRPr="009B5A4C">
        <w:t>Durante el período de consulta de la Resolución CREG 206 de 2020 se recibieron</w:t>
      </w:r>
      <w:r w:rsidR="00704D01" w:rsidRPr="009B5A4C">
        <w:t xml:space="preserve"> </w:t>
      </w:r>
      <w:r w:rsidR="007D12A4" w:rsidRPr="009B5A4C">
        <w:t xml:space="preserve">comentarios de </w:t>
      </w:r>
      <w:r w:rsidR="00D027A1">
        <w:t>treinta (</w:t>
      </w:r>
      <w:r w:rsidR="00961B36" w:rsidRPr="009B5A4C">
        <w:t>30</w:t>
      </w:r>
      <w:r w:rsidR="00D027A1">
        <w:t>)</w:t>
      </w:r>
      <w:r w:rsidR="00535998" w:rsidRPr="009B5A4C">
        <w:t xml:space="preserve"> interesados. </w:t>
      </w:r>
      <w:r w:rsidR="00820C26" w:rsidRPr="009B5A4C">
        <w:t xml:space="preserve">Analizados los comentarios, en especial la alternativa planteada por el </w:t>
      </w:r>
      <w:r w:rsidR="005E09BC" w:rsidRPr="009B5A4C">
        <w:t>P</w:t>
      </w:r>
      <w:r w:rsidR="00820C26" w:rsidRPr="009B5A4C">
        <w:t>romotor</w:t>
      </w:r>
      <w:r w:rsidR="005E09BC" w:rsidRPr="009B5A4C">
        <w:t xml:space="preserve"> del mecanismo</w:t>
      </w:r>
      <w:r w:rsidR="00820C26" w:rsidRPr="009B5A4C">
        <w:t xml:space="preserve">, la Comisión </w:t>
      </w:r>
      <w:proofErr w:type="gramStart"/>
      <w:r w:rsidR="001A3BD0" w:rsidRPr="009B5A4C">
        <w:t xml:space="preserve">encontró </w:t>
      </w:r>
      <w:r w:rsidR="00820C26" w:rsidRPr="009B5A4C">
        <w:t xml:space="preserve"> ne</w:t>
      </w:r>
      <w:r w:rsidR="00B9574D" w:rsidRPr="009B5A4C">
        <w:t>cesario</w:t>
      </w:r>
      <w:proofErr w:type="gramEnd"/>
      <w:r w:rsidR="00B9574D" w:rsidRPr="009B5A4C">
        <w:t xml:space="preserve"> ajustar la propuesta </w:t>
      </w:r>
      <w:r w:rsidR="002420ED" w:rsidRPr="009B5A4C">
        <w:t xml:space="preserve">de traslado </w:t>
      </w:r>
      <w:r w:rsidR="00F5619E" w:rsidRPr="009B5A4C">
        <w:t>de los precios resultantes de las transacciones realizadas en el mecanismo de DERIVEX-CRCC</w:t>
      </w:r>
      <w:r w:rsidR="00D027A1">
        <w:t>,</w:t>
      </w:r>
      <w:r w:rsidR="00F5619E" w:rsidRPr="009B5A4C">
        <w:t xml:space="preserve"> </w:t>
      </w:r>
      <w:r w:rsidR="00B9574D" w:rsidRPr="009B5A4C">
        <w:t xml:space="preserve">y someter nuevamente a comentarios </w:t>
      </w:r>
      <w:r w:rsidR="00035067" w:rsidRPr="009B5A4C">
        <w:t xml:space="preserve">el proyecto regulatorio. </w:t>
      </w:r>
      <w:r w:rsidR="002E289E" w:rsidRPr="009B5A4C">
        <w:t xml:space="preserve"> </w:t>
      </w:r>
      <w:r w:rsidR="00E30EEA" w:rsidRPr="009B5A4C">
        <w:t>Dicho pro</w:t>
      </w:r>
      <w:r w:rsidR="00DF3AC2" w:rsidRPr="009B5A4C">
        <w:t xml:space="preserve">yecto fue publicado mediante la Resolución CREG </w:t>
      </w:r>
      <w:r w:rsidR="00DF74C8" w:rsidRPr="009B5A4C">
        <w:t>144 de 2021</w:t>
      </w:r>
      <w:r w:rsidR="00EF752B" w:rsidRPr="009B5A4C">
        <w:t>.</w:t>
      </w:r>
    </w:p>
    <w:p w14:paraId="091F038F" w14:textId="05D84936" w:rsidR="00E44EA8" w:rsidRPr="009B5A4C" w:rsidRDefault="00E44EA8">
      <w:pPr>
        <w:spacing w:before="0" w:after="0"/>
      </w:pPr>
    </w:p>
    <w:p w14:paraId="49AB068C" w14:textId="50DE0DE8" w:rsidR="004A1FA5" w:rsidRDefault="00E44EA8">
      <w:pPr>
        <w:spacing w:before="0" w:after="0"/>
      </w:pPr>
      <w:r w:rsidRPr="009B5A4C">
        <w:t>Mediante la Resolución CREG 023 de 2021</w:t>
      </w:r>
      <w:r w:rsidR="00D027A1">
        <w:t>,</w:t>
      </w:r>
      <w:r w:rsidRPr="009B5A4C">
        <w:t xml:space="preserve"> la CREG presentó para comentarios la propuesta de traslado en el componente de compras de energía G del CU </w:t>
      </w:r>
      <w:r w:rsidR="00F00124" w:rsidRPr="009B5A4C">
        <w:t xml:space="preserve">de </w:t>
      </w:r>
      <w:r w:rsidRPr="009B5A4C">
        <w:t xml:space="preserve">las compras que realicen los comercializadores en el mecanismo </w:t>
      </w:r>
      <w:r w:rsidR="007B1AE9" w:rsidRPr="009B5A4C">
        <w:t xml:space="preserve">del Promotor </w:t>
      </w:r>
      <w:proofErr w:type="spellStart"/>
      <w:r w:rsidRPr="009B5A4C">
        <w:t>Derivex</w:t>
      </w:r>
      <w:proofErr w:type="spellEnd"/>
      <w:r w:rsidRPr="009B5A4C">
        <w:t>-CRCC</w:t>
      </w:r>
      <w:r w:rsidR="00CA09AD" w:rsidRPr="009B5A4C">
        <w:t>.</w:t>
      </w:r>
    </w:p>
    <w:p w14:paraId="02234A20" w14:textId="77777777" w:rsidR="00244D92" w:rsidRDefault="00244D92">
      <w:pPr>
        <w:spacing w:before="0" w:after="0"/>
      </w:pPr>
    </w:p>
    <w:p w14:paraId="0B3CD81A" w14:textId="71C85E16" w:rsidR="007C4597" w:rsidRDefault="006E15AE">
      <w:pPr>
        <w:spacing w:before="0" w:after="0"/>
      </w:pPr>
      <w:r>
        <w:t>Mediante la Resolución CREG 101 002 de 2022</w:t>
      </w:r>
      <w:r w:rsidR="00EA03E8">
        <w:t xml:space="preserve"> se definió </w:t>
      </w:r>
      <w:r w:rsidR="00CA09AD">
        <w:t>la fórmula de traslado en el componente de compras de energía G del CU</w:t>
      </w:r>
      <w:r w:rsidR="00D027A1">
        <w:t>,</w:t>
      </w:r>
      <w:r w:rsidR="00CA09AD">
        <w:t xml:space="preserve"> con el fin de incluir las compras que realicen los comercializadores en los mecanismos autorizados como resultado de la aplicación de la Resolución CREG 114 de 2018, para la atención de demanda regulada.</w:t>
      </w:r>
    </w:p>
    <w:p w14:paraId="4EB78BDA" w14:textId="77777777" w:rsidR="00472E58" w:rsidRDefault="00472E58">
      <w:pPr>
        <w:spacing w:before="0" w:after="0"/>
        <w:rPr>
          <w:highlight w:val="cyan"/>
        </w:rPr>
      </w:pPr>
    </w:p>
    <w:p w14:paraId="0058BC38" w14:textId="4BECA76F" w:rsidR="0031438C" w:rsidRDefault="0031438C">
      <w:pPr>
        <w:spacing w:before="0" w:after="0"/>
      </w:pPr>
      <w:r>
        <w:t>Adicionalmente, el presente acto t</w:t>
      </w:r>
      <w:r w:rsidR="00F23834">
        <w:t xml:space="preserve">iene las siguientes consideraciones: </w:t>
      </w:r>
    </w:p>
    <w:p w14:paraId="15B9045B" w14:textId="77777777" w:rsidR="00F23834" w:rsidRDefault="00F23834">
      <w:pPr>
        <w:spacing w:before="0" w:after="0"/>
      </w:pPr>
    </w:p>
    <w:p w14:paraId="3B8660F2" w14:textId="087029F0" w:rsidR="00F23834" w:rsidRDefault="00F23834">
      <w:pPr>
        <w:spacing w:before="0" w:after="0"/>
      </w:pPr>
      <w:r>
        <w:t>El 11 de agosto de 2021 Ecopetrol S</w:t>
      </w:r>
      <w:r w:rsidR="0075610E">
        <w:t>.</w:t>
      </w:r>
      <w:r>
        <w:t>A</w:t>
      </w:r>
      <w:r w:rsidR="0075610E">
        <w:t>.</w:t>
      </w:r>
      <w:r>
        <w:t xml:space="preserve"> firmó un Contrato Interadministrativo con el Ministerio de Hacienda y Crédito Público para adquirir </w:t>
      </w:r>
      <w:r w:rsidR="006D1DB9">
        <w:t xml:space="preserve">una participación </w:t>
      </w:r>
      <w:r w:rsidR="00777BFF">
        <w:t xml:space="preserve">accionaria mayoritaria </w:t>
      </w:r>
      <w:r>
        <w:t>de Interconexión Eléctrica S.A. E.S.P.</w:t>
      </w:r>
      <w:r w:rsidR="00D027A1">
        <w:t>,</w:t>
      </w:r>
      <w:r>
        <w:t xml:space="preserve"> ISA. ISA es titular de</w:t>
      </w:r>
      <w:r w:rsidRPr="00777BFF">
        <w:t xml:space="preserve">l </w:t>
      </w:r>
      <w:r w:rsidRPr="00D31EE1">
        <w:t>97,73%</w:t>
      </w:r>
      <w:r>
        <w:t xml:space="preserve"> del capital social de XM Compañía de Expertos en Mercados S.A. E.S.P.</w:t>
      </w:r>
    </w:p>
    <w:p w14:paraId="44D20AD5" w14:textId="77777777" w:rsidR="00F23834" w:rsidRDefault="00F23834">
      <w:pPr>
        <w:spacing w:before="0" w:after="0"/>
      </w:pPr>
    </w:p>
    <w:p w14:paraId="2D41EB52" w14:textId="77777777" w:rsidR="00F23834" w:rsidRDefault="00F23834">
      <w:pPr>
        <w:spacing w:before="0" w:after="0"/>
      </w:pPr>
      <w:r>
        <w:t>Una vez materializada la mencionada compra de acciones por parte de Ecopetrol S.A., esta última empresa obtuvo el control indirecto de más del 50% del capital social de XM Compañía de Expertos en Mercados S.A. E.S.P.</w:t>
      </w:r>
    </w:p>
    <w:p w14:paraId="18151F54" w14:textId="77777777" w:rsidR="00DC30BE" w:rsidRDefault="00DC30BE">
      <w:pPr>
        <w:spacing w:before="0" w:after="0"/>
      </w:pPr>
    </w:p>
    <w:p w14:paraId="54ED8699" w14:textId="7F293BF2" w:rsidR="00F23834" w:rsidRDefault="00F23834">
      <w:pPr>
        <w:spacing w:before="0" w:after="0"/>
      </w:pPr>
      <w:r>
        <w:t>Por otra parte, Ecopetrol S.A. es controlante de la empresa Ecopetrol Energía S</w:t>
      </w:r>
      <w:r w:rsidR="00D027A1">
        <w:t>.</w:t>
      </w:r>
      <w:r>
        <w:t>A</w:t>
      </w:r>
      <w:r w:rsidR="00D027A1">
        <w:t>.</w:t>
      </w:r>
      <w:r>
        <w:t>S</w:t>
      </w:r>
      <w:r w:rsidR="00D027A1">
        <w:t>.</w:t>
      </w:r>
      <w:r>
        <w:t xml:space="preserve"> E</w:t>
      </w:r>
      <w:r w:rsidR="00D027A1">
        <w:t>.</w:t>
      </w:r>
      <w:r>
        <w:t>S</w:t>
      </w:r>
      <w:r w:rsidR="00D027A1">
        <w:t>.</w:t>
      </w:r>
      <w:r>
        <w:t>P</w:t>
      </w:r>
      <w:r w:rsidR="00D027A1">
        <w:t>.</w:t>
      </w:r>
      <w:r>
        <w:t>, empresa que hace parte del Mercado Mayorista de Energía en calidad de agente comercializador.</w:t>
      </w:r>
    </w:p>
    <w:p w14:paraId="2ED74D0B" w14:textId="77777777" w:rsidR="00F23834" w:rsidRDefault="00F23834">
      <w:pPr>
        <w:spacing w:before="0" w:after="0"/>
      </w:pPr>
    </w:p>
    <w:p w14:paraId="3751854F" w14:textId="4977BFFE" w:rsidR="00F23834" w:rsidRDefault="00F23834">
      <w:pPr>
        <w:spacing w:before="0" w:after="0"/>
      </w:pPr>
      <w:r>
        <w:t xml:space="preserve">XM Compañía de Expertos en Mercados S.A. E.S.P. es accionista de </w:t>
      </w:r>
      <w:proofErr w:type="spellStart"/>
      <w:r>
        <w:t>Derivex</w:t>
      </w:r>
      <w:proofErr w:type="spellEnd"/>
      <w:r>
        <w:t xml:space="preserve"> con una participación </w:t>
      </w:r>
      <w:r w:rsidR="00762EEC">
        <w:t>del</w:t>
      </w:r>
      <w:r>
        <w:t xml:space="preserve"> </w:t>
      </w:r>
      <w:r w:rsidR="00934B2E">
        <w:t>40</w:t>
      </w:r>
      <w:r>
        <w:t>%.</w:t>
      </w:r>
    </w:p>
    <w:p w14:paraId="56A512F4" w14:textId="77777777" w:rsidR="00DC30BE" w:rsidRDefault="00DC30BE">
      <w:pPr>
        <w:spacing w:before="0" w:after="0"/>
      </w:pPr>
    </w:p>
    <w:p w14:paraId="4D73E67D" w14:textId="2198399F" w:rsidR="00F23834" w:rsidRDefault="00F23834">
      <w:pPr>
        <w:spacing w:before="0" w:after="0"/>
      </w:pPr>
      <w:r>
        <w:lastRenderedPageBreak/>
        <w:t xml:space="preserve">Con base en lo anterior, de acuerdo con la composición accionaria actualizada de </w:t>
      </w:r>
      <w:proofErr w:type="spellStart"/>
      <w:r>
        <w:t>Derivex</w:t>
      </w:r>
      <w:proofErr w:type="spellEnd"/>
      <w:r>
        <w:t xml:space="preserve"> </w:t>
      </w:r>
      <w:r w:rsidR="00D027A1">
        <w:t xml:space="preserve">S.A. </w:t>
      </w:r>
      <w:r>
        <w:t>en calidad de promotor del mecanismo, Ecopetrol S</w:t>
      </w:r>
      <w:r w:rsidR="0034535E">
        <w:t>.</w:t>
      </w:r>
      <w:r>
        <w:t>A</w:t>
      </w:r>
      <w:r w:rsidR="0034535E">
        <w:t>.</w:t>
      </w:r>
      <w:r>
        <w:t xml:space="preserve"> obtiene una participación indirecta superior al 5% en el capital social del promotor a través de Ecopetrol Energía S</w:t>
      </w:r>
      <w:r w:rsidR="0034535E">
        <w:t>.</w:t>
      </w:r>
      <w:r>
        <w:t>A</w:t>
      </w:r>
      <w:r w:rsidR="0034535E">
        <w:t>.</w:t>
      </w:r>
      <w:r>
        <w:t>S</w:t>
      </w:r>
      <w:r w:rsidR="0034535E">
        <w:t>.</w:t>
      </w:r>
      <w:r>
        <w:t xml:space="preserve"> E</w:t>
      </w:r>
      <w:r w:rsidR="0034535E">
        <w:t>.</w:t>
      </w:r>
      <w:r>
        <w:t>S</w:t>
      </w:r>
      <w:r w:rsidR="0034535E">
        <w:t>.</w:t>
      </w:r>
      <w:r>
        <w:t>P</w:t>
      </w:r>
      <w:r w:rsidR="0034535E">
        <w:t>.</w:t>
      </w:r>
      <w:r>
        <w:t>, comercializador registrado ante el ASIC, lo cual conlleva a un incumplimiento de lo dispuesto en el numeral 2 del Anexo 3 de la Resolución CREG 114 de 2018.</w:t>
      </w:r>
    </w:p>
    <w:p w14:paraId="440FDCD6" w14:textId="77777777" w:rsidR="00F23834" w:rsidRDefault="00F23834">
      <w:pPr>
        <w:spacing w:before="0" w:after="0"/>
      </w:pPr>
    </w:p>
    <w:p w14:paraId="725E2B7D" w14:textId="77777777" w:rsidR="00F23834" w:rsidRDefault="00F23834">
      <w:pPr>
        <w:spacing w:before="0" w:after="0"/>
      </w:pPr>
      <w:r>
        <w:t xml:space="preserve">La restricción contenida en la disposición mencionada tiene como objetivo garantizar el requisito de independencia y el principio de neutralidad del promotor del mecanismo, de los agentes que participan en el mercado de energía, con el objetivo de limitar acciones que conlleven a un tratamiento asimétrico a los participantes por razones distintas a las características del mercado. </w:t>
      </w:r>
    </w:p>
    <w:p w14:paraId="7030558C" w14:textId="77777777" w:rsidR="00F23834" w:rsidRDefault="00F23834">
      <w:pPr>
        <w:spacing w:before="0" w:after="0"/>
      </w:pPr>
    </w:p>
    <w:p w14:paraId="21B751B3" w14:textId="67E75496" w:rsidR="00F23834" w:rsidRDefault="00F23834">
      <w:pPr>
        <w:spacing w:before="0" w:after="0"/>
      </w:pPr>
      <w:r>
        <w:t>Ecopetrol S</w:t>
      </w:r>
      <w:r w:rsidR="00B05BF0">
        <w:t>.</w:t>
      </w:r>
      <w:r>
        <w:t>A</w:t>
      </w:r>
      <w:r w:rsidR="00B05BF0">
        <w:t>.</w:t>
      </w:r>
      <w:r>
        <w:t xml:space="preserve"> </w:t>
      </w:r>
      <w:r w:rsidR="00EB678C">
        <w:t>informó</w:t>
      </w:r>
      <w:r>
        <w:t xml:space="preserve"> a la Comisión</w:t>
      </w:r>
      <w:r w:rsidR="00EB678C">
        <w:t xml:space="preserve"> </w:t>
      </w:r>
      <w:r>
        <w:t>la decisión de liquidar totalmente la operación del agente comercializador</w:t>
      </w:r>
      <w:r w:rsidR="00D027A1">
        <w:t>,</w:t>
      </w:r>
      <w:r>
        <w:t xml:space="preserve"> y realizar el retiro voluntario del mercado de energía mayorista de Ecopetrol Energía S</w:t>
      </w:r>
      <w:r w:rsidR="00B05BF0">
        <w:t>.</w:t>
      </w:r>
      <w:r>
        <w:t>A</w:t>
      </w:r>
      <w:r w:rsidR="00B05BF0">
        <w:t>.</w:t>
      </w:r>
      <w:r>
        <w:t>S</w:t>
      </w:r>
      <w:r w:rsidR="00B05BF0">
        <w:t>.</w:t>
      </w:r>
      <w:r>
        <w:t xml:space="preserve"> E</w:t>
      </w:r>
      <w:r w:rsidR="00B05BF0">
        <w:t>.</w:t>
      </w:r>
      <w:r>
        <w:t>S</w:t>
      </w:r>
      <w:r w:rsidR="00B05BF0">
        <w:t>.</w:t>
      </w:r>
      <w:r>
        <w:t xml:space="preserve">P.  </w:t>
      </w:r>
    </w:p>
    <w:p w14:paraId="2F4F1B27" w14:textId="77777777" w:rsidR="00F23834" w:rsidRDefault="00F23834">
      <w:pPr>
        <w:spacing w:before="0" w:after="0"/>
      </w:pPr>
    </w:p>
    <w:p w14:paraId="10C5FA1A" w14:textId="236FDB15" w:rsidR="00F23834" w:rsidRDefault="00F23834">
      <w:pPr>
        <w:spacing w:before="0" w:after="0"/>
      </w:pPr>
      <w:r>
        <w:t xml:space="preserve">Conforme a lo establecido en la Resolución CREG 156 de 2011 y demás disposiciones aplicables, el retiro voluntario de un agente solo se concreta pasados </w:t>
      </w:r>
      <w:r w:rsidR="00D027A1">
        <w:t>siete (</w:t>
      </w:r>
      <w:r>
        <w:t>7</w:t>
      </w:r>
      <w:r w:rsidR="00D027A1">
        <w:t>)</w:t>
      </w:r>
      <w:r>
        <w:t xml:space="preserve"> meses a partir de i) la fecha en que se haya cancelado el registro de la totalidad de las fronteras comerciales representadas por dicho agente y </w:t>
      </w:r>
      <w:proofErr w:type="spellStart"/>
      <w:r>
        <w:t>ii</w:t>
      </w:r>
      <w:proofErr w:type="spellEnd"/>
      <w:r>
        <w:t xml:space="preserve">) ya no cuente con contratos registrados en el mercado.  </w:t>
      </w:r>
    </w:p>
    <w:p w14:paraId="6646B2CE" w14:textId="77777777" w:rsidR="00F23834" w:rsidRDefault="00F23834">
      <w:pPr>
        <w:spacing w:before="0" w:after="0"/>
      </w:pPr>
    </w:p>
    <w:p w14:paraId="16186228" w14:textId="1A737FE4" w:rsidR="00F23834" w:rsidRDefault="00F23834">
      <w:pPr>
        <w:spacing w:before="0" w:after="0"/>
      </w:pPr>
      <w:r>
        <w:t xml:space="preserve">Este período está previsto en la regulación únicamente para efectos de poder hacer efectivas las liquidaciones y reliquidaciones de las transacciones en las que haya participado el agente antes de la cesación de su </w:t>
      </w:r>
      <w:proofErr w:type="gramStart"/>
      <w:r>
        <w:t>participación activa</w:t>
      </w:r>
      <w:proofErr w:type="gramEnd"/>
      <w:r>
        <w:t xml:space="preserve"> en el mercado. Durante dicho período</w:t>
      </w:r>
      <w:r w:rsidR="00D027A1">
        <w:t>,</w:t>
      </w:r>
      <w:r>
        <w:t xml:space="preserve"> el agente figura registrado como participante del mercado de energía</w:t>
      </w:r>
      <w:r w:rsidR="00D027A1">
        <w:t>,</w:t>
      </w:r>
      <w:r>
        <w:t xml:space="preserve"> pero no realiza transacción alguna en él. </w:t>
      </w:r>
    </w:p>
    <w:p w14:paraId="46BF9BF0" w14:textId="77777777" w:rsidR="00F23834" w:rsidRDefault="00F23834">
      <w:pPr>
        <w:spacing w:before="0" w:after="0"/>
      </w:pPr>
    </w:p>
    <w:p w14:paraId="407A608A" w14:textId="3092121C" w:rsidR="00F23834" w:rsidRDefault="00F23834">
      <w:pPr>
        <w:spacing w:before="0" w:after="0"/>
      </w:pPr>
      <w:r>
        <w:t>La Comisión considera que</w:t>
      </w:r>
      <w:r w:rsidR="00D027A1">
        <w:t>,</w:t>
      </w:r>
      <w:r>
        <w:t xml:space="preserve"> a partir del momento en que el agente deje de participar activamente en el Mercado </w:t>
      </w:r>
      <w:r w:rsidR="00D027A1">
        <w:t>de Energía Mayorista,</w:t>
      </w:r>
      <w:r>
        <w:t xml:space="preserve"> MEM, y</w:t>
      </w:r>
      <w:r w:rsidR="00D027A1">
        <w:t>,</w:t>
      </w:r>
      <w:r>
        <w:t xml:space="preserve"> por tanto</w:t>
      </w:r>
      <w:r w:rsidR="00D027A1">
        <w:t>,</w:t>
      </w:r>
      <w:r>
        <w:t xml:space="preserve"> deje de realizar las transacciones propias en dicho mercado, puede entenderse que se cumple con el objetivo del requisito de independencia señalado en el numeral 2 del Anexo 3 de la Resolución CREG 114 de 2018. Lo anterior, por cuanto, si bien formalmente aún se encuentra registrado como participante del MEM, este no adquiere derechos ni obligaciones en </w:t>
      </w:r>
      <w:r w:rsidR="00D027A1">
        <w:t>dicho mercado</w:t>
      </w:r>
      <w:r>
        <w:t xml:space="preserve"> y</w:t>
      </w:r>
      <w:r w:rsidR="00D027A1">
        <w:t>,</w:t>
      </w:r>
      <w:r>
        <w:t xml:space="preserve"> por tanto</w:t>
      </w:r>
      <w:r w:rsidR="00D027A1">
        <w:t>,</w:t>
      </w:r>
      <w:r>
        <w:t xml:space="preserve"> desaparece el conflicto de intereses y el posible tratamiento asimétrico de la información frente a otros participantes del mecanismo.</w:t>
      </w:r>
      <w:r w:rsidR="00674C66">
        <w:t xml:space="preserve"> </w:t>
      </w:r>
    </w:p>
    <w:p w14:paraId="631C8DCA" w14:textId="77777777" w:rsidR="00F23834" w:rsidRDefault="00F23834">
      <w:pPr>
        <w:spacing w:before="0" w:after="0"/>
      </w:pPr>
    </w:p>
    <w:p w14:paraId="00D6A29D" w14:textId="114989F4" w:rsidR="00F23834" w:rsidRDefault="00F23834">
      <w:pPr>
        <w:spacing w:before="0" w:after="0"/>
      </w:pPr>
      <w:r>
        <w:t xml:space="preserve">En este contexto, a fin de permitir a los usuarios regulados comenzar a beneficiarse en el corto plazo de las eficiencias que puedan obtener los comercializadores que los representan de participar en el mecanismo propuesto por </w:t>
      </w:r>
      <w:proofErr w:type="spellStart"/>
      <w:r>
        <w:t>Derivex</w:t>
      </w:r>
      <w:proofErr w:type="spellEnd"/>
      <w:r>
        <w:t>-CRCC, es conveniente autorizar el traslado de los precios de los contratos resultantes del mecanismo promovido por el promotor -</w:t>
      </w:r>
      <w:proofErr w:type="spellStart"/>
      <w:r w:rsidR="00B912B0">
        <w:t>Derivex</w:t>
      </w:r>
      <w:proofErr w:type="spellEnd"/>
      <w:r w:rsidR="00B912B0">
        <w:t>-CRCC</w:t>
      </w:r>
      <w:r>
        <w:t>, destinados a la demanda regulada</w:t>
      </w:r>
      <w:r w:rsidR="00D027A1">
        <w:t>,</w:t>
      </w:r>
      <w:r>
        <w:t xml:space="preserve"> a partir del momento en que se verifique la cesación de la participación activa en el mercado mayorista de energía de Ecopetrol Energía S</w:t>
      </w:r>
      <w:r w:rsidR="00D027A1">
        <w:t>.</w:t>
      </w:r>
      <w:r>
        <w:t>A</w:t>
      </w:r>
      <w:r w:rsidR="00D027A1">
        <w:t>.</w:t>
      </w:r>
      <w:r>
        <w:t>S</w:t>
      </w:r>
      <w:r w:rsidR="00D027A1">
        <w:t>.</w:t>
      </w:r>
      <w:r>
        <w:t xml:space="preserve"> E</w:t>
      </w:r>
      <w:r w:rsidR="00D027A1">
        <w:t>.</w:t>
      </w:r>
      <w:r>
        <w:t>S</w:t>
      </w:r>
      <w:r w:rsidR="00D027A1">
        <w:t>.</w:t>
      </w:r>
      <w:r>
        <w:t>P</w:t>
      </w:r>
      <w:r w:rsidR="00D027A1">
        <w:t>.</w:t>
      </w:r>
      <w:r>
        <w:t>, para lo cual se definen unas condiciones en esta resolución.</w:t>
      </w:r>
    </w:p>
    <w:p w14:paraId="4BE91ADC" w14:textId="77777777" w:rsidR="00823CF4" w:rsidRDefault="00823CF4">
      <w:pPr>
        <w:spacing w:before="0" w:after="0"/>
      </w:pPr>
    </w:p>
    <w:p w14:paraId="3FEB6C22" w14:textId="67395D73" w:rsidR="00472E58" w:rsidRPr="009B5A4C" w:rsidRDefault="00B4374A">
      <w:pPr>
        <w:spacing w:before="0" w:after="0"/>
      </w:pPr>
      <w:r w:rsidRPr="009B5A4C">
        <w:lastRenderedPageBreak/>
        <w:t xml:space="preserve">En consecuencia, la presente resolución tiene como objetivo el </w:t>
      </w:r>
      <w:r w:rsidR="001F0081" w:rsidRPr="009B5A4C">
        <w:t>definir las condiciones de traslado a la tarifa de usuarios regulados</w:t>
      </w:r>
      <w:r w:rsidR="00BE458D">
        <w:t xml:space="preserve"> de</w:t>
      </w:r>
      <w:r w:rsidR="001F0081" w:rsidRPr="009B5A4C">
        <w:t xml:space="preserve"> los contratos resultantes del mecanismo promovido por </w:t>
      </w:r>
      <w:proofErr w:type="spellStart"/>
      <w:r w:rsidR="00B021ED" w:rsidRPr="009B5A4C">
        <w:t>Derivex</w:t>
      </w:r>
      <w:proofErr w:type="spellEnd"/>
      <w:r w:rsidR="00B021ED" w:rsidRPr="009B5A4C">
        <w:t xml:space="preserve"> y la CRCC, definiendo unas condiciones para su aplicación y unos indicadores para su evaluación.</w:t>
      </w:r>
      <w:r w:rsidR="005D2F6D" w:rsidRPr="009B5A4C">
        <w:t xml:space="preserve"> </w:t>
      </w:r>
      <w:r w:rsidR="00EF752B" w:rsidRPr="009B5A4C">
        <w:t>El análisis y respuesta a los comentarios recibidos durante el periodo de consulta de la Resolución CREG 206 de 2020</w:t>
      </w:r>
      <w:r w:rsidR="005D2F6D" w:rsidRPr="009B5A4C">
        <w:t xml:space="preserve"> y la Resolución CREG 144 de 2021</w:t>
      </w:r>
      <w:r w:rsidR="00EF752B" w:rsidRPr="009B5A4C">
        <w:t xml:space="preserve"> se presenta</w:t>
      </w:r>
      <w:r w:rsidR="005D2F6D" w:rsidRPr="009B5A4C">
        <w:t>n y responden</w:t>
      </w:r>
      <w:r w:rsidR="00EF752B" w:rsidRPr="009B5A4C">
        <w:t xml:space="preserve"> de manera integral</w:t>
      </w:r>
      <w:r w:rsidR="005D2F6D" w:rsidRPr="009B5A4C">
        <w:t xml:space="preserve"> en </w:t>
      </w:r>
      <w:r w:rsidR="0099519C">
        <w:t xml:space="preserve">el </w:t>
      </w:r>
      <w:r w:rsidR="005D2F6D" w:rsidRPr="009B5A4C">
        <w:t>documento que acompaña el presente acto</w:t>
      </w:r>
      <w:r w:rsidR="00EF752B" w:rsidRPr="009B5A4C">
        <w:t>.</w:t>
      </w:r>
    </w:p>
    <w:p w14:paraId="6DBB1862" w14:textId="77777777" w:rsidR="00EF717C" w:rsidRPr="002E3903" w:rsidRDefault="00EF717C">
      <w:pPr>
        <w:spacing w:before="0" w:after="0"/>
        <w:rPr>
          <w:highlight w:val="cyan"/>
        </w:rPr>
      </w:pPr>
    </w:p>
    <w:p w14:paraId="769D9E13" w14:textId="77777777" w:rsidR="0003362E" w:rsidRDefault="0003362E">
      <w:pPr>
        <w:spacing w:before="0" w:after="0"/>
      </w:pPr>
      <w:r>
        <w:t>Conforme al Decreto 1074 de 2015 y la Resolución SIC 44649 de 2010, la CREG</w:t>
      </w:r>
    </w:p>
    <w:p w14:paraId="41A5672D" w14:textId="6C18310A" w:rsidR="0003362E" w:rsidRDefault="0003362E">
      <w:pPr>
        <w:spacing w:before="0" w:after="0"/>
      </w:pPr>
      <w:r>
        <w:t>dio respuesta al cuestionario adoptado por la Superintendencia de Industria y Comercio para la evaluación de la incidencia sobre la libre competencia del presente acto administrativo. Como resultado del cuestionario se encontró que el contenido del presente acto administrativo puede tener incidencia en la libre</w:t>
      </w:r>
    </w:p>
    <w:p w14:paraId="0173F87A" w14:textId="77777777" w:rsidR="0003362E" w:rsidRDefault="0003362E">
      <w:pPr>
        <w:spacing w:before="0" w:after="0"/>
      </w:pPr>
      <w:r>
        <w:t>competencia en los términos del artículo 7 de la Ley 1340 de 2009.</w:t>
      </w:r>
    </w:p>
    <w:p w14:paraId="5FE3E602" w14:textId="77777777" w:rsidR="0003362E" w:rsidRDefault="0003362E">
      <w:pPr>
        <w:spacing w:before="0" w:after="0"/>
      </w:pPr>
    </w:p>
    <w:p w14:paraId="15CF5FCC" w14:textId="151A72BF" w:rsidR="0003362E" w:rsidRDefault="0003362E">
      <w:pPr>
        <w:spacing w:before="0" w:after="0"/>
      </w:pPr>
      <w:r>
        <w:t xml:space="preserve">Mediante </w:t>
      </w:r>
      <w:r w:rsidRPr="00317B16">
        <w:t>radicado CREG S-2022-00</w:t>
      </w:r>
      <w:r w:rsidR="003B1814" w:rsidRPr="00317B16">
        <w:t>1689</w:t>
      </w:r>
      <w:r w:rsidRPr="00317B16">
        <w:t xml:space="preserve"> del </w:t>
      </w:r>
      <w:r w:rsidR="00322218" w:rsidRPr="00317B16">
        <w:t xml:space="preserve">16 </w:t>
      </w:r>
      <w:r w:rsidRPr="00317B16">
        <w:t xml:space="preserve">de </w:t>
      </w:r>
      <w:r w:rsidR="00322218" w:rsidRPr="00317B16">
        <w:t xml:space="preserve">mayo </w:t>
      </w:r>
      <w:r w:rsidRPr="00317B16">
        <w:t>de 2022, se</w:t>
      </w:r>
      <w:r>
        <w:t xml:space="preserve"> remitió para concepto de </w:t>
      </w:r>
      <w:r w:rsidR="005326BE">
        <w:t xml:space="preserve">abogacía de la competencia a </w:t>
      </w:r>
      <w:r>
        <w:t xml:space="preserve">la Superintendencia de Industria y Comercio, SIC, el </w:t>
      </w:r>
      <w:r w:rsidR="00F348B0">
        <w:t xml:space="preserve">presente </w:t>
      </w:r>
      <w:r>
        <w:t>proyecto de resolución</w:t>
      </w:r>
      <w:r w:rsidR="00F348B0">
        <w:t>.</w:t>
      </w:r>
    </w:p>
    <w:p w14:paraId="5667D17E" w14:textId="77777777" w:rsidR="0003362E" w:rsidRDefault="0003362E">
      <w:pPr>
        <w:spacing w:before="0" w:after="0"/>
      </w:pPr>
    </w:p>
    <w:p w14:paraId="4F9AE535" w14:textId="77777777" w:rsidR="0003362E" w:rsidRDefault="0003362E">
      <w:pPr>
        <w:spacing w:before="0" w:after="0"/>
      </w:pPr>
      <w:proofErr w:type="gramStart"/>
      <w:r>
        <w:t>La</w:t>
      </w:r>
      <w:proofErr w:type="gramEnd"/>
      <w:r>
        <w:t xml:space="preserve"> SIC dio respuesta a la CREG mediante la comunicación con radicado CREG</w:t>
      </w:r>
    </w:p>
    <w:p w14:paraId="2283B4E9" w14:textId="049ABF8F" w:rsidR="0047793D" w:rsidRDefault="0003362E">
      <w:pPr>
        <w:spacing w:before="0" w:after="0"/>
      </w:pPr>
      <w:r>
        <w:t>E-202</w:t>
      </w:r>
      <w:r w:rsidR="00F348B0">
        <w:t>2</w:t>
      </w:r>
      <w:r>
        <w:t>-0</w:t>
      </w:r>
      <w:r w:rsidR="00827938">
        <w:t xml:space="preserve">06234 </w:t>
      </w:r>
      <w:r>
        <w:t xml:space="preserve">del </w:t>
      </w:r>
      <w:r w:rsidR="000A0DA3">
        <w:t>0</w:t>
      </w:r>
      <w:r w:rsidR="00827938">
        <w:t>2</w:t>
      </w:r>
      <w:r>
        <w:t xml:space="preserve"> de </w:t>
      </w:r>
      <w:r w:rsidR="000A0DA3">
        <w:t>junio</w:t>
      </w:r>
      <w:r>
        <w:t xml:space="preserve"> de 202</w:t>
      </w:r>
      <w:r w:rsidR="00F348B0">
        <w:t>2</w:t>
      </w:r>
      <w:r>
        <w:t xml:space="preserve">, en donde </w:t>
      </w:r>
      <w:r w:rsidR="00000D13" w:rsidRPr="00000D13">
        <w:t>presentó una serie de recomendaciones sobre</w:t>
      </w:r>
      <w:r w:rsidR="00BE68F1">
        <w:t>: (i)</w:t>
      </w:r>
      <w:r w:rsidR="00000D13" w:rsidRPr="00000D13">
        <w:t xml:space="preserve"> </w:t>
      </w:r>
      <w:r w:rsidR="009765BF">
        <w:t>las condiciones de operación</w:t>
      </w:r>
      <w:r w:rsidR="00D969F2">
        <w:t>,</w:t>
      </w:r>
      <w:r w:rsidR="00F50FBD">
        <w:t xml:space="preserve"> </w:t>
      </w:r>
      <w:r w:rsidR="00E753F1">
        <w:t xml:space="preserve">la </w:t>
      </w:r>
      <w:r w:rsidR="00D11CB0">
        <w:t xml:space="preserve">metodología de </w:t>
      </w:r>
      <w:r w:rsidR="00E753F1">
        <w:t>evaluación</w:t>
      </w:r>
      <w:r w:rsidR="00F50FBD">
        <w:t xml:space="preserve"> </w:t>
      </w:r>
      <w:r w:rsidR="008C6EB1">
        <w:t xml:space="preserve">y </w:t>
      </w:r>
      <w:r w:rsidR="00C95730">
        <w:t xml:space="preserve">los criterios de independencia del </w:t>
      </w:r>
      <w:r w:rsidR="004228F0">
        <w:t>auditor</w:t>
      </w:r>
      <w:r w:rsidR="00F50FBD">
        <w:t xml:space="preserve"> </w:t>
      </w:r>
      <w:r w:rsidR="008C6EB1">
        <w:t>del mecanismo</w:t>
      </w:r>
      <w:r w:rsidR="00A1137A">
        <w:t xml:space="preserve">; </w:t>
      </w:r>
      <w:r w:rsidR="0047793D">
        <w:t>(</w:t>
      </w:r>
      <w:proofErr w:type="spellStart"/>
      <w:r w:rsidR="0047793D">
        <w:t>ii</w:t>
      </w:r>
      <w:proofErr w:type="spellEnd"/>
      <w:r w:rsidR="0047793D">
        <w:t xml:space="preserve">) </w:t>
      </w:r>
      <w:r w:rsidR="00A1137A">
        <w:t xml:space="preserve">sobre </w:t>
      </w:r>
      <w:r w:rsidR="00AD6777">
        <w:t>las condiciones de aprobación del mecanismo de cara a lo dispuesto en la Resolución CREG 114 de 2018</w:t>
      </w:r>
      <w:r w:rsidR="000073B4">
        <w:t>;</w:t>
      </w:r>
      <w:r w:rsidR="00D724FA">
        <w:t xml:space="preserve"> </w:t>
      </w:r>
      <w:r w:rsidR="000073B4">
        <w:t xml:space="preserve">y </w:t>
      </w:r>
      <w:r w:rsidR="0047793D">
        <w:t>(</w:t>
      </w:r>
      <w:proofErr w:type="spellStart"/>
      <w:r w:rsidR="0047793D">
        <w:t>iii</w:t>
      </w:r>
      <w:proofErr w:type="spellEnd"/>
      <w:r w:rsidR="0047793D">
        <w:t>)</w:t>
      </w:r>
      <w:r w:rsidR="00D724FA">
        <w:t xml:space="preserve"> sobre </w:t>
      </w:r>
      <w:r w:rsidR="00F94993" w:rsidRPr="00F94993">
        <w:t xml:space="preserve">el carácter transitorio de la </w:t>
      </w:r>
      <w:r w:rsidR="00842935" w:rsidRPr="00842935">
        <w:t>fórmula a partir de la cual se calcula el costo financiero de las garantías exigidas en el mecanismo</w:t>
      </w:r>
      <w:r w:rsidR="00842935">
        <w:t>.</w:t>
      </w:r>
    </w:p>
    <w:p w14:paraId="32262282" w14:textId="77777777" w:rsidR="0047793D" w:rsidRDefault="0047793D">
      <w:pPr>
        <w:spacing w:before="0" w:after="0"/>
      </w:pPr>
    </w:p>
    <w:p w14:paraId="1E1E555C" w14:textId="32661ADE" w:rsidR="00DF7C3C" w:rsidRDefault="001F2ECA">
      <w:pPr>
        <w:spacing w:before="0" w:after="0"/>
      </w:pPr>
      <w:r>
        <w:t xml:space="preserve">Las recomendaciones de la SIC </w:t>
      </w:r>
      <w:r w:rsidR="00675EA6">
        <w:t xml:space="preserve">sobre </w:t>
      </w:r>
      <w:r w:rsidR="00DF7D94">
        <w:t>las condiciones de operación, la metodología de evaluación y los criterios de independencia del auditor del mecanismo</w:t>
      </w:r>
      <w:r w:rsidR="007604CF">
        <w:t>,</w:t>
      </w:r>
      <w:r w:rsidR="00675EA6">
        <w:t xml:space="preserve"> consist</w:t>
      </w:r>
      <w:r w:rsidR="00D319AA">
        <w:t>i</w:t>
      </w:r>
      <w:r w:rsidR="00675EA6">
        <w:t>eron en</w:t>
      </w:r>
      <w:r w:rsidR="007604CF">
        <w:t>:</w:t>
      </w:r>
    </w:p>
    <w:p w14:paraId="17271ED6" w14:textId="77777777" w:rsidR="007604CF" w:rsidRDefault="007604CF">
      <w:pPr>
        <w:spacing w:before="0" w:after="0"/>
      </w:pPr>
    </w:p>
    <w:p w14:paraId="29CCAAAA" w14:textId="77777777" w:rsidR="00C43E17" w:rsidRDefault="00761837" w:rsidP="001C7682">
      <w:pPr>
        <w:pStyle w:val="Prrafodelista"/>
        <w:numPr>
          <w:ilvl w:val="0"/>
          <w:numId w:val="18"/>
        </w:numPr>
        <w:spacing w:before="0" w:after="0"/>
      </w:pPr>
      <w:r>
        <w:t>La pertinencia de e</w:t>
      </w:r>
      <w:r w:rsidR="007B44C0">
        <w:t xml:space="preserve">stablecer una condición de competencia para proceder </w:t>
      </w:r>
      <w:r w:rsidR="007B44C0" w:rsidRPr="009F6A82">
        <w:t>al ingreso de órdenes de compra y venta,</w:t>
      </w:r>
      <w:r w:rsidR="007B44C0">
        <w:t xml:space="preserve"> en el marco de la realización de las subastas de cierre.</w:t>
      </w:r>
    </w:p>
    <w:p w14:paraId="650EF45F" w14:textId="77777777" w:rsidR="00C43E17" w:rsidRDefault="00C43E17" w:rsidP="00C43E17">
      <w:pPr>
        <w:pStyle w:val="Prrafodelista"/>
        <w:spacing w:before="0" w:after="0"/>
        <w:ind w:left="720"/>
      </w:pPr>
    </w:p>
    <w:p w14:paraId="35705A56" w14:textId="3EECB079" w:rsidR="002B0E48" w:rsidRPr="002B0E48" w:rsidRDefault="008F58FE" w:rsidP="00C43E17">
      <w:pPr>
        <w:pStyle w:val="Prrafodelista"/>
        <w:spacing w:before="0" w:after="0"/>
        <w:ind w:left="720"/>
      </w:pPr>
      <w:r>
        <w:t xml:space="preserve">Al respecto, la Comisión </w:t>
      </w:r>
      <w:r w:rsidR="002B0E48">
        <w:t>precisa que el mecanismo de eva</w:t>
      </w:r>
      <w:r w:rsidR="004F33FA">
        <w:t>l</w:t>
      </w:r>
      <w:r w:rsidR="002B0E48">
        <w:t xml:space="preserve">uación </w:t>
      </w:r>
      <w:r w:rsidR="002B0E48" w:rsidRPr="002B0E48">
        <w:t>establec</w:t>
      </w:r>
      <w:r w:rsidR="002B0E48">
        <w:t>e</w:t>
      </w:r>
      <w:r w:rsidR="002B0E48" w:rsidRPr="002B0E48">
        <w:t xml:space="preserve"> </w:t>
      </w:r>
      <w:r w:rsidR="00102788">
        <w:t xml:space="preserve">la identificación de </w:t>
      </w:r>
      <w:r w:rsidR="002B0E48" w:rsidRPr="002B0E48">
        <w:t>escenarios puntuales en los que un bajo nivel de participación pueda resultar preocupante.</w:t>
      </w:r>
      <w:r w:rsidR="00083E57">
        <w:t xml:space="preserve"> </w:t>
      </w:r>
      <w:r w:rsidR="006E1D26">
        <w:t xml:space="preserve">En adición a lo anterior, </w:t>
      </w:r>
      <w:r w:rsidR="00193F01">
        <w:t>es</w:t>
      </w:r>
      <w:r w:rsidR="0016095D">
        <w:t xml:space="preserve"> </w:t>
      </w:r>
      <w:r w:rsidR="00193F01">
        <w:t>preciso destacar que</w:t>
      </w:r>
      <w:r w:rsidR="000A34BF">
        <w:t>,</w:t>
      </w:r>
      <w:r w:rsidR="00193F01">
        <w:t xml:space="preserve"> </w:t>
      </w:r>
      <w:r w:rsidR="00511156">
        <w:t xml:space="preserve">solo hasta que los agentes </w:t>
      </w:r>
      <w:r w:rsidR="002E1D88">
        <w:t>i</w:t>
      </w:r>
      <w:r w:rsidR="00B51FFE">
        <w:t xml:space="preserve">ngresen sus </w:t>
      </w:r>
      <w:proofErr w:type="spellStart"/>
      <w:r w:rsidR="002E1D88">
        <w:t>ordenes</w:t>
      </w:r>
      <w:proofErr w:type="spellEnd"/>
      <w:r w:rsidR="002E1D88">
        <w:t xml:space="preserve"> de compra o de venta</w:t>
      </w:r>
      <w:r w:rsidR="00B51FFE">
        <w:t xml:space="preserve"> en el desarrollo del mecanismo</w:t>
      </w:r>
      <w:r w:rsidR="002E1D88">
        <w:t xml:space="preserve">, es posible determinar el número de concurrentes al mecanismo y, por tanto, </w:t>
      </w:r>
      <w:r w:rsidR="00B51FFE">
        <w:t xml:space="preserve">resulta inviable e inconveniente la aplicación de una condición en los términos que propone la SIC. </w:t>
      </w:r>
      <w:r w:rsidR="006403CB">
        <w:rPr>
          <w:lang w:val="es-ES"/>
        </w:rPr>
        <w:t>Por lo anterior, no se acoge la recomendación.</w:t>
      </w:r>
    </w:p>
    <w:p w14:paraId="48AB8C7A" w14:textId="77777777" w:rsidR="007B44C0" w:rsidRDefault="007B44C0" w:rsidP="007B44C0">
      <w:pPr>
        <w:spacing w:before="0" w:after="0"/>
      </w:pPr>
    </w:p>
    <w:p w14:paraId="7839080C" w14:textId="71887F39" w:rsidR="007B44C0" w:rsidRDefault="00B66A2C" w:rsidP="001C7682">
      <w:pPr>
        <w:pStyle w:val="Prrafodelista"/>
        <w:numPr>
          <w:ilvl w:val="0"/>
          <w:numId w:val="18"/>
        </w:numPr>
        <w:spacing w:before="0" w:after="0"/>
      </w:pPr>
      <w:r>
        <w:t>La i</w:t>
      </w:r>
      <w:r w:rsidR="007B44C0">
        <w:t>ncorpora</w:t>
      </w:r>
      <w:r>
        <w:t xml:space="preserve">ción de </w:t>
      </w:r>
      <w:r w:rsidR="007B44C0">
        <w:t>indicadores de seguimiento del mecanismo adicionales que consideren las siguientes variables: (i) tiempo de permanencia de las posturas, (</w:t>
      </w:r>
      <w:proofErr w:type="spellStart"/>
      <w:r w:rsidR="007B44C0">
        <w:t>ii</w:t>
      </w:r>
      <w:proofErr w:type="spellEnd"/>
      <w:r w:rsidR="007B44C0">
        <w:t xml:space="preserve">) monto de las posturas calzadas frente a </w:t>
      </w:r>
      <w:r w:rsidR="007B44C0">
        <w:lastRenderedPageBreak/>
        <w:t>los montos totales expuestos, y (</w:t>
      </w:r>
      <w:proofErr w:type="spellStart"/>
      <w:r w:rsidR="007B44C0">
        <w:t>iii</w:t>
      </w:r>
      <w:proofErr w:type="spellEnd"/>
      <w:r w:rsidR="007B44C0">
        <w:t>) comportamiento de las posturas ingresadas y retiradas frente a las operaciones de signo contrario ejecutado por el mismo operador en la misma jornada.</w:t>
      </w:r>
    </w:p>
    <w:p w14:paraId="4CD59331" w14:textId="77777777" w:rsidR="007B510D" w:rsidRDefault="007B510D" w:rsidP="007B510D">
      <w:pPr>
        <w:pStyle w:val="Prrafodelista"/>
        <w:spacing w:before="0" w:after="0"/>
        <w:ind w:left="720"/>
      </w:pPr>
    </w:p>
    <w:p w14:paraId="29DAB34F" w14:textId="5313B14B" w:rsidR="00737382" w:rsidRDefault="007B510D" w:rsidP="006331C9">
      <w:pPr>
        <w:pStyle w:val="Prrafodelista"/>
        <w:spacing w:before="0" w:after="0"/>
        <w:ind w:left="720"/>
      </w:pPr>
      <w:r>
        <w:t xml:space="preserve">Respecto de la recomendación anterior, </w:t>
      </w:r>
      <w:r w:rsidR="006331C9">
        <w:t>esta</w:t>
      </w:r>
      <w:r>
        <w:t xml:space="preserve"> Comisión </w:t>
      </w:r>
      <w:r w:rsidR="006331C9">
        <w:t xml:space="preserve">precisa que </w:t>
      </w:r>
      <w:r w:rsidR="00FA725C">
        <w:t xml:space="preserve">la inclusión de </w:t>
      </w:r>
      <w:r w:rsidR="009D0418">
        <w:t xml:space="preserve">nuevos indicadores de seguimiento </w:t>
      </w:r>
      <w:r w:rsidR="000F3FCB">
        <w:t xml:space="preserve">en los términos propuestos </w:t>
      </w:r>
      <w:r w:rsidR="00161F84">
        <w:t xml:space="preserve">contiene imposibilidades metodológicas </w:t>
      </w:r>
      <w:r w:rsidR="0051057E">
        <w:t xml:space="preserve">debido al carácter anónimo de </w:t>
      </w:r>
      <w:r w:rsidR="00FA0040">
        <w:t xml:space="preserve">las posturas de </w:t>
      </w:r>
      <w:r w:rsidR="008B0A09">
        <w:t>compra o de venta que i</w:t>
      </w:r>
      <w:r w:rsidR="00F85841">
        <w:t xml:space="preserve">ngresan </w:t>
      </w:r>
      <w:r w:rsidR="008B0A09">
        <w:t xml:space="preserve">los </w:t>
      </w:r>
      <w:r w:rsidR="00FA0040">
        <w:t>agentes</w:t>
      </w:r>
      <w:r w:rsidR="008B0A09">
        <w:t xml:space="preserve"> del mercado a través de un comisionista </w:t>
      </w:r>
      <w:r w:rsidR="00517B31">
        <w:t>de bo</w:t>
      </w:r>
      <w:r w:rsidR="00E44E2C">
        <w:t xml:space="preserve">lsa </w:t>
      </w:r>
      <w:r w:rsidR="00E44E2C" w:rsidRPr="00874E3F">
        <w:t>autorizado</w:t>
      </w:r>
      <w:r w:rsidR="00F6232A" w:rsidRPr="00874E3F">
        <w:t>.</w:t>
      </w:r>
    </w:p>
    <w:p w14:paraId="7A8D5807" w14:textId="77777777" w:rsidR="00737382" w:rsidRDefault="00737382" w:rsidP="006331C9">
      <w:pPr>
        <w:pStyle w:val="Prrafodelista"/>
        <w:spacing w:before="0" w:after="0"/>
        <w:ind w:left="720"/>
      </w:pPr>
    </w:p>
    <w:p w14:paraId="3C8ADCDE" w14:textId="193AEBCC" w:rsidR="006331C9" w:rsidRPr="006331C9" w:rsidRDefault="00712733" w:rsidP="006331C9">
      <w:pPr>
        <w:pStyle w:val="Prrafodelista"/>
        <w:spacing w:before="0" w:after="0"/>
        <w:ind w:left="720"/>
      </w:pPr>
      <w:r>
        <w:t xml:space="preserve">Así mismo, resalta esta Comisión que </w:t>
      </w:r>
      <w:r w:rsidR="00ED4960">
        <w:t xml:space="preserve">implementar </w:t>
      </w:r>
      <w:r w:rsidR="009B56AB">
        <w:t xml:space="preserve">indicadores de este tipo </w:t>
      </w:r>
      <w:r w:rsidR="00A575DE">
        <w:t>podría conllevar a resul</w:t>
      </w:r>
      <w:r w:rsidR="004018AF">
        <w:t xml:space="preserve">tados </w:t>
      </w:r>
      <w:r w:rsidR="006331C9" w:rsidRPr="006331C9">
        <w:t xml:space="preserve">ambiguos </w:t>
      </w:r>
      <w:r w:rsidR="00C762C9">
        <w:t xml:space="preserve">en los que no </w:t>
      </w:r>
      <w:r w:rsidR="00281740">
        <w:t>ha</w:t>
      </w:r>
      <w:r w:rsidR="00071141">
        <w:t xml:space="preserve">bría </w:t>
      </w:r>
      <w:r w:rsidR="00C762C9">
        <w:t>clar</w:t>
      </w:r>
      <w:r w:rsidR="00071141">
        <w:t xml:space="preserve">idad sobre el punto a partir del cual </w:t>
      </w:r>
      <w:r w:rsidR="00CC688E">
        <w:t xml:space="preserve">dichos resultados deben generar o no, </w:t>
      </w:r>
      <w:r w:rsidR="00CC0CA6">
        <w:t xml:space="preserve">preocupaciones en el marco de la evaluación del mecanismo. No obstante, la Comisión adelantó una revisión de </w:t>
      </w:r>
      <w:r w:rsidR="00D7724F">
        <w:t xml:space="preserve">los </w:t>
      </w:r>
      <w:r w:rsidR="00CC0CA6">
        <w:t>indicadores de evaluación, previo a la expedición de</w:t>
      </w:r>
      <w:r w:rsidR="00D7724F">
        <w:t xml:space="preserve"> esta </w:t>
      </w:r>
      <w:r w:rsidR="00CC0CA6">
        <w:t>resolución</w:t>
      </w:r>
      <w:r w:rsidR="000A34BF">
        <w:t>,</w:t>
      </w:r>
      <w:r w:rsidR="00CC0CA6">
        <w:t xml:space="preserve"> y encuentra que la propuesta de evaluación </w:t>
      </w:r>
      <w:r w:rsidR="00BB3132">
        <w:t xml:space="preserve">integra todos los escenarios </w:t>
      </w:r>
      <w:r w:rsidR="001D6AC7">
        <w:t>que merecen especial atención por parte de la auditoría del mecanismo</w:t>
      </w:r>
      <w:r w:rsidR="006331C9" w:rsidRPr="006331C9">
        <w:t>.</w:t>
      </w:r>
      <w:r w:rsidR="006403CB">
        <w:t xml:space="preserve"> </w:t>
      </w:r>
      <w:r w:rsidR="006403CB">
        <w:rPr>
          <w:lang w:val="es-ES"/>
        </w:rPr>
        <w:t>Por lo anterior, no se acoge la recomendación.</w:t>
      </w:r>
    </w:p>
    <w:p w14:paraId="3EF6AB7F" w14:textId="77777777" w:rsidR="007B44C0" w:rsidRDefault="007B44C0" w:rsidP="007B44C0">
      <w:pPr>
        <w:spacing w:before="0" w:after="0"/>
      </w:pPr>
    </w:p>
    <w:p w14:paraId="62DA0A55" w14:textId="35573049" w:rsidR="00C43E17" w:rsidRDefault="007B44C0" w:rsidP="001C7682">
      <w:pPr>
        <w:pStyle w:val="Prrafodelista"/>
        <w:numPr>
          <w:ilvl w:val="0"/>
          <w:numId w:val="18"/>
        </w:numPr>
        <w:spacing w:before="0" w:after="0"/>
      </w:pPr>
      <w:r>
        <w:t xml:space="preserve">Elevar la frecuencia con la que se realiza la evaluación del mecanismo para mitigar los eventuales efectos </w:t>
      </w:r>
      <w:r w:rsidR="004452DF">
        <w:t>que</w:t>
      </w:r>
      <w:r>
        <w:t xml:space="preserve"> una posible conducta manipulativa, en el marco de la celebración de las subastas de cierre, pudiera acarrear sobre los precios que percibe el usuario regulado.</w:t>
      </w:r>
    </w:p>
    <w:p w14:paraId="37C691AC" w14:textId="77777777" w:rsidR="00C43E17" w:rsidRDefault="00C43E17" w:rsidP="00C43E17">
      <w:pPr>
        <w:pStyle w:val="Prrafodelista"/>
        <w:spacing w:before="0" w:after="0"/>
        <w:ind w:left="720"/>
      </w:pPr>
    </w:p>
    <w:p w14:paraId="16074ACF" w14:textId="103CAEEE" w:rsidR="00F93E4B" w:rsidRPr="00F93E4B" w:rsidRDefault="00B1546F" w:rsidP="0018168B">
      <w:pPr>
        <w:pStyle w:val="Prrafodelista"/>
        <w:spacing w:before="0" w:after="0"/>
        <w:ind w:left="720"/>
      </w:pPr>
      <w:r>
        <w:t xml:space="preserve">En relación con este comentario, </w:t>
      </w:r>
      <w:r w:rsidR="00A514D4">
        <w:t xml:space="preserve">esta Comisión </w:t>
      </w:r>
      <w:r w:rsidR="005B2103">
        <w:t xml:space="preserve">destaca que </w:t>
      </w:r>
      <w:r w:rsidR="00BD1B3F">
        <w:t>es posible que en varios meses del año</w:t>
      </w:r>
      <w:r w:rsidR="00DB2369">
        <w:t xml:space="preserve"> podrían</w:t>
      </w:r>
      <w:r w:rsidR="001B71D7">
        <w:t xml:space="preserve"> no </w:t>
      </w:r>
      <w:r w:rsidR="00034C7F">
        <w:t xml:space="preserve">presentarse </w:t>
      </w:r>
      <w:r w:rsidR="00F61197">
        <w:t xml:space="preserve">convocatorias de </w:t>
      </w:r>
      <w:r w:rsidR="00F93E4B" w:rsidRPr="00F93E4B">
        <w:t>negociación</w:t>
      </w:r>
      <w:r w:rsidR="00F61197">
        <w:t xml:space="preserve"> </w:t>
      </w:r>
      <w:r w:rsidR="005E2230">
        <w:t>con cierre</w:t>
      </w:r>
      <w:r w:rsidR="00C43E17">
        <w:t xml:space="preserve">, </w:t>
      </w:r>
      <w:r w:rsidR="00F31830">
        <w:t xml:space="preserve">de manera que </w:t>
      </w:r>
      <w:r w:rsidR="00F821D6">
        <w:t xml:space="preserve">una periodicidad de evaluación menor </w:t>
      </w:r>
      <w:r w:rsidR="00C43E17">
        <w:t xml:space="preserve">podría </w:t>
      </w:r>
      <w:r w:rsidR="004B7C26">
        <w:t xml:space="preserve">afectar la consistencia </w:t>
      </w:r>
      <w:r w:rsidR="009175B4">
        <w:t xml:space="preserve">en el resultado </w:t>
      </w:r>
      <w:r w:rsidR="004B7C26">
        <w:t>del cálculo de los indicadores.</w:t>
      </w:r>
      <w:r w:rsidR="0018168B">
        <w:t xml:space="preserve"> </w:t>
      </w:r>
      <w:r w:rsidR="006403CB">
        <w:rPr>
          <w:lang w:val="es-ES"/>
        </w:rPr>
        <w:t>Por lo anterior, no se acoge la recomendación.</w:t>
      </w:r>
    </w:p>
    <w:p w14:paraId="30CDA40B" w14:textId="77777777" w:rsidR="00F93E4B" w:rsidRPr="00F93E4B" w:rsidRDefault="00F93E4B" w:rsidP="008210C4">
      <w:pPr>
        <w:pStyle w:val="Prrafodelista"/>
        <w:spacing w:before="0" w:after="0"/>
        <w:ind w:left="720"/>
      </w:pPr>
    </w:p>
    <w:p w14:paraId="427D3DED" w14:textId="0D80378A" w:rsidR="003A40FD" w:rsidRDefault="003A40FD" w:rsidP="001C7682">
      <w:pPr>
        <w:pStyle w:val="Prrafodelista"/>
        <w:numPr>
          <w:ilvl w:val="0"/>
          <w:numId w:val="18"/>
        </w:numPr>
        <w:spacing w:before="0" w:after="0"/>
      </w:pPr>
      <w:r>
        <w:t>Justificar dentro del proyecto las razones por las cuales el regulador optó por exigir un puntaje mínimo de 300 como resultado de la evaluación de los criterios.</w:t>
      </w:r>
    </w:p>
    <w:p w14:paraId="59BD976B" w14:textId="77777777" w:rsidR="003A40FD" w:rsidRDefault="003A40FD" w:rsidP="003A40FD">
      <w:pPr>
        <w:pStyle w:val="Prrafodelista"/>
        <w:spacing w:before="0" w:after="0"/>
        <w:ind w:left="720"/>
      </w:pPr>
    </w:p>
    <w:p w14:paraId="1E5837FA" w14:textId="6C4F4236" w:rsidR="003C7B2C" w:rsidRDefault="00DE0B86" w:rsidP="003C7B2C">
      <w:pPr>
        <w:pStyle w:val="Prrafodelista"/>
        <w:spacing w:before="0" w:after="0"/>
        <w:ind w:left="720"/>
      </w:pPr>
      <w:r>
        <w:t xml:space="preserve">En relación con </w:t>
      </w:r>
      <w:r w:rsidR="00EB587B">
        <w:t>el puntaje mínimo</w:t>
      </w:r>
      <w:r w:rsidR="00EC1A23">
        <w:t xml:space="preserve"> para el resultado de evaluación de los criterios, </w:t>
      </w:r>
      <w:r w:rsidR="008E2006">
        <w:t>e</w:t>
      </w:r>
      <w:r w:rsidR="00EC1A23">
        <w:t xml:space="preserve">sta Comisión </w:t>
      </w:r>
      <w:r w:rsidR="0010510A">
        <w:t xml:space="preserve">señala </w:t>
      </w:r>
      <w:r w:rsidR="00EC1A23">
        <w:t xml:space="preserve">que </w:t>
      </w:r>
      <w:r w:rsidR="00322FC9">
        <w:t>un puntaje de 300 garantiza el cumplimiento de al menos tres de los cinco indicadores de evaluación</w:t>
      </w:r>
      <w:r w:rsidR="002901F4">
        <w:t>.</w:t>
      </w:r>
      <w:r w:rsidR="009B1BED">
        <w:t xml:space="preserve"> </w:t>
      </w:r>
      <w:r w:rsidR="002901F4">
        <w:t xml:space="preserve">Adicionalmente, la metodología de evaluación </w:t>
      </w:r>
      <w:r w:rsidR="00B05E2B">
        <w:t xml:space="preserve">plantea </w:t>
      </w:r>
      <w:r w:rsidR="002901F4">
        <w:t xml:space="preserve">que </w:t>
      </w:r>
      <w:r w:rsidR="00B05E2B">
        <w:t xml:space="preserve">debe </w:t>
      </w:r>
      <w:r w:rsidR="00BC06D8">
        <w:t xml:space="preserve">darse el cumplimiento de </w:t>
      </w:r>
      <w:r w:rsidR="002901F4">
        <w:t xml:space="preserve">al menos un indicador de </w:t>
      </w:r>
      <w:r w:rsidR="00B05E2B">
        <w:t>competencia y uno de representatividad.</w:t>
      </w:r>
    </w:p>
    <w:p w14:paraId="3457459C" w14:textId="77777777" w:rsidR="003C7B2C" w:rsidRDefault="003C7B2C" w:rsidP="003C7B2C">
      <w:pPr>
        <w:pStyle w:val="Prrafodelista"/>
        <w:spacing w:before="0" w:after="0"/>
        <w:ind w:left="720"/>
      </w:pPr>
    </w:p>
    <w:p w14:paraId="11C04A49" w14:textId="62AE6A48" w:rsidR="00D542A4" w:rsidRDefault="004B4E52" w:rsidP="003A40FD">
      <w:pPr>
        <w:pStyle w:val="Prrafodelista"/>
        <w:spacing w:before="0" w:after="0"/>
        <w:ind w:left="720"/>
      </w:pPr>
      <w:r>
        <w:t xml:space="preserve">En consecuencia, el mecanismo de evaluación propende </w:t>
      </w:r>
      <w:r w:rsidR="003C7B2C">
        <w:t xml:space="preserve">por </w:t>
      </w:r>
      <w:r w:rsidR="00BC2D2B">
        <w:t xml:space="preserve">el cumplimiento con suficiencia de los criterios </w:t>
      </w:r>
      <w:r w:rsidR="00181059">
        <w:t>de</w:t>
      </w:r>
      <w:r w:rsidR="00F52734">
        <w:t xml:space="preserve"> competencia</w:t>
      </w:r>
      <w:r w:rsidR="00F765C1">
        <w:t>, representatividad y consistencia</w:t>
      </w:r>
      <w:r w:rsidR="00B83133">
        <w:t xml:space="preserve">, que son fundamentales para </w:t>
      </w:r>
      <w:r w:rsidR="00411345">
        <w:t xml:space="preserve">alcanzar </w:t>
      </w:r>
      <w:r w:rsidR="002171BE">
        <w:t>la eficiencia de los precios que son trasladados a</w:t>
      </w:r>
      <w:r w:rsidR="003C7B2C">
        <w:t xml:space="preserve">l </w:t>
      </w:r>
      <w:r w:rsidR="002171BE">
        <w:t>usuario final</w:t>
      </w:r>
      <w:r w:rsidR="00194AC0">
        <w:t>.</w:t>
      </w:r>
      <w:r w:rsidR="00BD6543">
        <w:t xml:space="preserve"> </w:t>
      </w:r>
      <w:r w:rsidR="00151C4E">
        <w:t xml:space="preserve">Lo anterior </w:t>
      </w:r>
      <w:r w:rsidR="00F30706">
        <w:t xml:space="preserve">permite </w:t>
      </w:r>
      <w:r w:rsidR="00151C4E">
        <w:t xml:space="preserve">una </w:t>
      </w:r>
      <w:r w:rsidR="00F30706">
        <w:t xml:space="preserve">mayor </w:t>
      </w:r>
      <w:r w:rsidR="00151C4E">
        <w:t xml:space="preserve">justificación que </w:t>
      </w:r>
      <w:r w:rsidR="00AD08B5">
        <w:t>observa y acoge la recomendación.</w:t>
      </w:r>
    </w:p>
    <w:p w14:paraId="5FAE5DC8" w14:textId="77777777" w:rsidR="00D542A4" w:rsidRDefault="00D542A4" w:rsidP="003A40FD">
      <w:pPr>
        <w:pStyle w:val="Prrafodelista"/>
        <w:spacing w:before="0" w:after="0"/>
        <w:ind w:left="720"/>
      </w:pPr>
    </w:p>
    <w:p w14:paraId="1B7DA615" w14:textId="76DE3D6D" w:rsidR="003A40FD" w:rsidRDefault="003A40FD" w:rsidP="001C7682">
      <w:pPr>
        <w:pStyle w:val="Prrafodelista"/>
        <w:numPr>
          <w:ilvl w:val="0"/>
          <w:numId w:val="18"/>
        </w:numPr>
        <w:spacing w:before="0" w:after="0"/>
      </w:pPr>
      <w:r>
        <w:lastRenderedPageBreak/>
        <w:t>Incluir los criterios que debe tener en cuenta el auditor del mecanismo propuesto para concluir si este “cumple” o “no cumple”.</w:t>
      </w:r>
      <w:r w:rsidR="002E1661">
        <w:tab/>
      </w:r>
      <w:r w:rsidR="002E1661">
        <w:br/>
      </w:r>
    </w:p>
    <w:p w14:paraId="0AFE687A" w14:textId="0474C2C9" w:rsidR="00642D17" w:rsidRDefault="00AB193B" w:rsidP="00642D17">
      <w:pPr>
        <w:pStyle w:val="Prrafodelista"/>
        <w:spacing w:before="0" w:after="0"/>
        <w:ind w:left="720"/>
      </w:pPr>
      <w:r w:rsidRPr="00423417">
        <w:t>Al respecto, esta Comisió</w:t>
      </w:r>
      <w:r w:rsidR="007F52E7" w:rsidRPr="00423417">
        <w:t>n manifiesta que</w:t>
      </w:r>
      <w:r w:rsidR="00423417">
        <w:t xml:space="preserve">, tal y como ha sido expuesto en el documento soporte de esta resolución, </w:t>
      </w:r>
      <w:r w:rsidR="009244C5">
        <w:t>la acreditación</w:t>
      </w:r>
      <w:r w:rsidR="00051834">
        <w:t xml:space="preserve"> de </w:t>
      </w:r>
      <w:r w:rsidR="003C7DAA">
        <w:t>in</w:t>
      </w:r>
      <w:r w:rsidR="00051834">
        <w:t xml:space="preserve">cumplimiento </w:t>
      </w:r>
      <w:r w:rsidR="009244C5">
        <w:t>por parte del auditor obedecerá a</w:t>
      </w:r>
      <w:r w:rsidR="008E23CE">
        <w:t>: (</w:t>
      </w:r>
      <w:r w:rsidR="006D7E8C">
        <w:t>i)</w:t>
      </w:r>
      <w:r w:rsidR="009244C5">
        <w:t xml:space="preserve"> la consecución de un puntaje </w:t>
      </w:r>
      <w:r w:rsidR="00267777">
        <w:t>inferior a</w:t>
      </w:r>
      <w:r w:rsidR="008E23CE">
        <w:t xml:space="preserve"> 300 en los términos dispuestos en la evaluación</w:t>
      </w:r>
      <w:r w:rsidR="00217E63">
        <w:t xml:space="preserve">, </w:t>
      </w:r>
      <w:r w:rsidR="001571E3">
        <w:t>(</w:t>
      </w:r>
      <w:proofErr w:type="spellStart"/>
      <w:r w:rsidR="001571E3">
        <w:t>ii</w:t>
      </w:r>
      <w:proofErr w:type="spellEnd"/>
      <w:r w:rsidR="001571E3">
        <w:t>)</w:t>
      </w:r>
      <w:r w:rsidR="008E23CE">
        <w:t xml:space="preserve"> </w:t>
      </w:r>
      <w:r w:rsidR="004D7F22">
        <w:t xml:space="preserve">el </w:t>
      </w:r>
      <w:r w:rsidR="003C7DAA">
        <w:t>in</w:t>
      </w:r>
      <w:r w:rsidR="004D7F22">
        <w:t xml:space="preserve">cumplimiento en el indicador de consistencia </w:t>
      </w:r>
      <w:r w:rsidR="006D7E8C">
        <w:t>y, (</w:t>
      </w:r>
      <w:proofErr w:type="spellStart"/>
      <w:r w:rsidR="001571E3">
        <w:t>i</w:t>
      </w:r>
      <w:r w:rsidR="006D7E8C">
        <w:t>ii</w:t>
      </w:r>
      <w:proofErr w:type="spellEnd"/>
      <w:r w:rsidR="006D7E8C">
        <w:t xml:space="preserve">) que se materialice </w:t>
      </w:r>
      <w:r w:rsidR="00222E03">
        <w:t>el</w:t>
      </w:r>
      <w:r w:rsidR="00267777">
        <w:t xml:space="preserve"> </w:t>
      </w:r>
      <w:r w:rsidR="00222E03">
        <w:t>incumplimiento de indicadores</w:t>
      </w:r>
      <w:r w:rsidR="003C7A45">
        <w:t>,</w:t>
      </w:r>
      <w:r w:rsidR="00222E03">
        <w:t xml:space="preserve"> previsto en el numeral 4 del Anexo 3 de la presente resolución. </w:t>
      </w:r>
      <w:r w:rsidR="00B21731">
        <w:t>Con la precisión anterior</w:t>
      </w:r>
      <w:r w:rsidR="000A34BF">
        <w:t>,</w:t>
      </w:r>
      <w:r w:rsidR="00B21731">
        <w:t xml:space="preserve"> y en virtud de que el Anexo 3 </w:t>
      </w:r>
      <w:r w:rsidR="00A321E1">
        <w:t>incluye los criterios</w:t>
      </w:r>
      <w:r w:rsidR="00B21731">
        <w:t xml:space="preserve"> de cumplimiento </w:t>
      </w:r>
      <w:r w:rsidR="00A321E1">
        <w:t>que serán evaluados</w:t>
      </w:r>
      <w:r w:rsidR="00B21731">
        <w:t xml:space="preserve"> por el auditor</w:t>
      </w:r>
      <w:r w:rsidR="00A321E1">
        <w:t xml:space="preserve"> del mecanismo</w:t>
      </w:r>
      <w:r w:rsidR="00B21731">
        <w:t xml:space="preserve">, esta Comisión da por </w:t>
      </w:r>
      <w:r w:rsidR="008E2A3C">
        <w:t>atendido el comentario</w:t>
      </w:r>
      <w:r w:rsidR="00A321E1">
        <w:t>.</w:t>
      </w:r>
    </w:p>
    <w:p w14:paraId="7D6C8599" w14:textId="77777777" w:rsidR="009C3B58" w:rsidRDefault="009C3B58" w:rsidP="00642D17">
      <w:pPr>
        <w:pStyle w:val="Prrafodelista"/>
        <w:spacing w:before="0" w:after="0"/>
        <w:ind w:left="720"/>
      </w:pPr>
    </w:p>
    <w:p w14:paraId="034D052E" w14:textId="5ABB1759" w:rsidR="002E1661" w:rsidRDefault="002E1661" w:rsidP="001C7682">
      <w:pPr>
        <w:pStyle w:val="Prrafodelista"/>
        <w:numPr>
          <w:ilvl w:val="0"/>
          <w:numId w:val="18"/>
        </w:numPr>
        <w:spacing w:before="0" w:after="0"/>
      </w:pPr>
      <w:r w:rsidRPr="002E1661">
        <w:t>Incluir en el Proyecto los lineamientos generales que permitan garantizar que, derivado de las especificaciones técnicas del sistema de negociación (i) no se constituyan barreras para la participación en el mecanismo y, (</w:t>
      </w:r>
      <w:proofErr w:type="spellStart"/>
      <w:r w:rsidRPr="002E1661">
        <w:t>ii</w:t>
      </w:r>
      <w:proofErr w:type="spellEnd"/>
      <w:r w:rsidRPr="002E1661">
        <w:t>) se garantice el acceso y concurrencia de los participantes de manera simultánea.</w:t>
      </w:r>
      <w:r w:rsidR="00591BFE">
        <w:br/>
      </w:r>
    </w:p>
    <w:p w14:paraId="27E85BB3" w14:textId="0E614C0D" w:rsidR="00A72BAE" w:rsidRDefault="00A72BAE" w:rsidP="00A72BAE">
      <w:pPr>
        <w:pStyle w:val="Prrafodelista"/>
        <w:spacing w:before="0" w:after="0"/>
        <w:ind w:left="720"/>
      </w:pPr>
      <w:r>
        <w:t>En relación con esta recomendación, encuentra esta Comisión que</w:t>
      </w:r>
      <w:r w:rsidR="00E51BD8">
        <w:t xml:space="preserve"> </w:t>
      </w:r>
      <w:r w:rsidR="00B55E5C">
        <w:t xml:space="preserve">el riesgo de barreras técnicas </w:t>
      </w:r>
      <w:r w:rsidR="00800D63">
        <w:t xml:space="preserve">a la participación de agentes en el </w:t>
      </w:r>
      <w:proofErr w:type="gramStart"/>
      <w:r w:rsidR="00800D63">
        <w:t>mecanismo</w:t>
      </w:r>
      <w:r w:rsidR="00DE7F1C">
        <w:t>,</w:t>
      </w:r>
      <w:proofErr w:type="gramEnd"/>
      <w:r w:rsidR="000916BE">
        <w:t xml:space="preserve"> no es </w:t>
      </w:r>
      <w:r w:rsidR="008243DD">
        <w:t xml:space="preserve">un </w:t>
      </w:r>
      <w:r w:rsidR="00596C70">
        <w:t>escenario factible</w:t>
      </w:r>
      <w:r w:rsidR="000A34BF">
        <w:t>,</w:t>
      </w:r>
      <w:r w:rsidR="00596C70">
        <w:t xml:space="preserve"> </w:t>
      </w:r>
      <w:r>
        <w:t xml:space="preserve">en razón a que </w:t>
      </w:r>
      <w:r w:rsidR="00436B0A">
        <w:t xml:space="preserve">estos </w:t>
      </w:r>
      <w:r w:rsidR="00702727">
        <w:t xml:space="preserve">registran </w:t>
      </w:r>
      <w:r w:rsidR="001E5A2F">
        <w:t xml:space="preserve">sus </w:t>
      </w:r>
      <w:proofErr w:type="spellStart"/>
      <w:r w:rsidR="001E5A2F">
        <w:t>ordenes</w:t>
      </w:r>
      <w:proofErr w:type="spellEnd"/>
      <w:r w:rsidR="001E5A2F">
        <w:t xml:space="preserve"> de compra o de venta a través de un comisionista de bolsa autorizado</w:t>
      </w:r>
      <w:r w:rsidR="00DE7F1C">
        <w:t>,</w:t>
      </w:r>
      <w:r w:rsidR="001E5A2F">
        <w:t xml:space="preserve"> </w:t>
      </w:r>
      <w:r w:rsidR="003A6811">
        <w:t>quien</w:t>
      </w:r>
      <w:r w:rsidR="00A942FA">
        <w:t xml:space="preserve"> por su naturaleza de intermediario</w:t>
      </w:r>
      <w:r w:rsidR="00644963">
        <w:t xml:space="preserve"> autorizado en el mercado de valores</w:t>
      </w:r>
      <w:r w:rsidR="00A942FA">
        <w:t>,</w:t>
      </w:r>
      <w:r w:rsidR="003A6811">
        <w:t xml:space="preserve"> </w:t>
      </w:r>
      <w:r w:rsidR="005D4D65">
        <w:t>y</w:t>
      </w:r>
      <w:r w:rsidR="003A6811">
        <w:t xml:space="preserve">a cuenta con la viabilidad técnica para </w:t>
      </w:r>
      <w:r w:rsidR="00FB6756">
        <w:t>acceder a la plataforma de negociación</w:t>
      </w:r>
      <w:r w:rsidR="001E5A2F">
        <w:t>.</w:t>
      </w:r>
      <w:r w:rsidR="00CD2C42">
        <w:t xml:space="preserve"> Con base en lo anterior, </w:t>
      </w:r>
      <w:r w:rsidR="00CD2C42">
        <w:rPr>
          <w:lang w:val="es-ES"/>
        </w:rPr>
        <w:t>no se acoge la recomendación.</w:t>
      </w:r>
    </w:p>
    <w:p w14:paraId="1E5CCC40" w14:textId="77777777" w:rsidR="00A72BAE" w:rsidRDefault="00A72BAE" w:rsidP="00A72BAE">
      <w:pPr>
        <w:pStyle w:val="Prrafodelista"/>
        <w:spacing w:before="0" w:after="0"/>
        <w:ind w:left="720"/>
      </w:pPr>
    </w:p>
    <w:p w14:paraId="5688D75E" w14:textId="45AF3696" w:rsidR="00591BFE" w:rsidRDefault="00591BFE" w:rsidP="001C7682">
      <w:pPr>
        <w:pStyle w:val="Prrafodelista"/>
        <w:numPr>
          <w:ilvl w:val="0"/>
          <w:numId w:val="18"/>
        </w:numPr>
        <w:spacing w:before="0" w:after="0"/>
      </w:pPr>
      <w:r w:rsidRPr="00591BFE">
        <w:t>Incluir criterios o causales de inhabilidad que garanticen la independencia del auditor</w:t>
      </w:r>
      <w:r w:rsidR="000A34BF">
        <w:t>,</w:t>
      </w:r>
      <w:r w:rsidRPr="00591BFE">
        <w:t xml:space="preserve"> no solamente frente al promotor del mecanismo, sino también, respecto de cualquiera de los actores asociados a este.</w:t>
      </w:r>
    </w:p>
    <w:p w14:paraId="196054E2" w14:textId="77777777" w:rsidR="00A912D2" w:rsidRDefault="00A912D2" w:rsidP="00A912D2">
      <w:pPr>
        <w:pStyle w:val="Prrafodelista"/>
        <w:spacing w:before="0" w:after="0"/>
        <w:ind w:left="720"/>
      </w:pPr>
    </w:p>
    <w:p w14:paraId="1BA11BC9" w14:textId="6DCDE43E" w:rsidR="00A912D2" w:rsidRDefault="007E71C9" w:rsidP="00F10CEF">
      <w:pPr>
        <w:pStyle w:val="Prrafodelista"/>
        <w:spacing w:before="0" w:after="0"/>
        <w:ind w:left="720"/>
      </w:pPr>
      <w:r>
        <w:t>Respecto de esta recomendación, esta Comisión considera que e</w:t>
      </w:r>
      <w:r w:rsidRPr="007E71C9">
        <w:t xml:space="preserve">xtender </w:t>
      </w:r>
      <w:r w:rsidR="00855C37">
        <w:t xml:space="preserve">la </w:t>
      </w:r>
      <w:r w:rsidRPr="007E71C9">
        <w:t xml:space="preserve">causal de inhabilidad </w:t>
      </w:r>
      <w:r w:rsidR="0069474F">
        <w:t>a</w:t>
      </w:r>
      <w:r w:rsidR="00855C37">
        <w:t xml:space="preserve"> </w:t>
      </w:r>
      <w:r w:rsidRPr="007E71C9">
        <w:t xml:space="preserve">auditores que tengan vínculos con </w:t>
      </w:r>
      <w:r w:rsidR="0069474F">
        <w:t xml:space="preserve">terceros </w:t>
      </w:r>
      <w:r w:rsidRPr="007E71C9">
        <w:t xml:space="preserve">asociados al promotor, puede resultar en una regla demasiado restrictiva de </w:t>
      </w:r>
      <w:r w:rsidR="00FA0D65">
        <w:t xml:space="preserve">posibles </w:t>
      </w:r>
      <w:r w:rsidRPr="007E71C9">
        <w:t>audit</w:t>
      </w:r>
      <w:r w:rsidR="00FA0D65">
        <w:t>ores</w:t>
      </w:r>
      <w:r w:rsidRPr="007E71C9">
        <w:t>.</w:t>
      </w:r>
      <w:r w:rsidR="00F10CEF">
        <w:t xml:space="preserve"> En adición a lo anterior, </w:t>
      </w:r>
      <w:r w:rsidR="00F10CEF">
        <w:rPr>
          <w:lang w:val="es-ES"/>
        </w:rPr>
        <w:t>encuentra esta Comisión que</w:t>
      </w:r>
      <w:r w:rsidR="000A34BF">
        <w:rPr>
          <w:lang w:val="es-ES"/>
        </w:rPr>
        <w:t>,</w:t>
      </w:r>
      <w:r w:rsidR="00F10CEF">
        <w:rPr>
          <w:lang w:val="es-ES"/>
        </w:rPr>
        <w:t xml:space="preserve"> </w:t>
      </w:r>
      <w:r w:rsidR="00EC3BD3">
        <w:rPr>
          <w:lang w:val="es-ES"/>
        </w:rPr>
        <w:t xml:space="preserve">debido a que el </w:t>
      </w:r>
      <w:r w:rsidR="009920E1">
        <w:rPr>
          <w:lang w:val="es-ES"/>
        </w:rPr>
        <w:t>a</w:t>
      </w:r>
      <w:r w:rsidR="009920E1" w:rsidRPr="007E71C9">
        <w:rPr>
          <w:lang w:val="es-ES"/>
        </w:rPr>
        <w:t xml:space="preserve">uditor </w:t>
      </w:r>
      <w:r w:rsidRPr="007E71C9">
        <w:rPr>
          <w:lang w:val="es-ES"/>
        </w:rPr>
        <w:t>ejecutará su función bajo reglas claras</w:t>
      </w:r>
      <w:r w:rsidR="00CC791A">
        <w:rPr>
          <w:lang w:val="es-ES"/>
        </w:rPr>
        <w:t>,</w:t>
      </w:r>
      <w:r w:rsidRPr="007E71C9">
        <w:rPr>
          <w:lang w:val="es-ES"/>
        </w:rPr>
        <w:t xml:space="preserve"> preestablecidas </w:t>
      </w:r>
      <w:r w:rsidR="00EC3BD3">
        <w:rPr>
          <w:lang w:val="es-ES"/>
        </w:rPr>
        <w:t xml:space="preserve">por la Comisión, tal situación </w:t>
      </w:r>
      <w:r w:rsidRPr="007E71C9">
        <w:rPr>
          <w:lang w:val="es-ES"/>
        </w:rPr>
        <w:t>no da lugar a actuaciones</w:t>
      </w:r>
      <w:r w:rsidR="00D100FC">
        <w:rPr>
          <w:lang w:val="es-ES"/>
        </w:rPr>
        <w:t xml:space="preserve"> </w:t>
      </w:r>
      <w:r w:rsidRPr="007E71C9">
        <w:rPr>
          <w:lang w:val="es-ES"/>
        </w:rPr>
        <w:t xml:space="preserve">distintas a las previstas en </w:t>
      </w:r>
      <w:r w:rsidR="00CC791A">
        <w:rPr>
          <w:lang w:val="es-ES"/>
        </w:rPr>
        <w:t>la metodología de evaluaci</w:t>
      </w:r>
      <w:r w:rsidR="000B04A7">
        <w:rPr>
          <w:lang w:val="es-ES"/>
        </w:rPr>
        <w:t>ón</w:t>
      </w:r>
      <w:r w:rsidRPr="007E71C9">
        <w:rPr>
          <w:lang w:val="es-ES"/>
        </w:rPr>
        <w:t>.</w:t>
      </w:r>
      <w:r w:rsidR="00417146">
        <w:rPr>
          <w:lang w:val="es-ES"/>
        </w:rPr>
        <w:t xml:space="preserve"> Por lo anterior, no se acoge la recomendación.</w:t>
      </w:r>
    </w:p>
    <w:p w14:paraId="1A656AD3" w14:textId="77777777" w:rsidR="002453F8" w:rsidRDefault="002453F8" w:rsidP="00BA32ED">
      <w:pPr>
        <w:spacing w:before="0" w:after="0"/>
      </w:pPr>
    </w:p>
    <w:p w14:paraId="24FFD8A3" w14:textId="1325CF52" w:rsidR="00BA32ED" w:rsidRDefault="002453F8" w:rsidP="00BA32ED">
      <w:pPr>
        <w:spacing w:before="0" w:after="0"/>
      </w:pPr>
      <w:r>
        <w:t xml:space="preserve">Sobre el carácter </w:t>
      </w:r>
      <w:r w:rsidR="00C11C31">
        <w:t xml:space="preserve">transitorio de </w:t>
      </w:r>
      <w:r w:rsidR="00BA32ED" w:rsidRPr="00F94993">
        <w:t xml:space="preserve">la </w:t>
      </w:r>
      <w:r w:rsidR="00BA32ED" w:rsidRPr="00842935">
        <w:t xml:space="preserve">fórmula </w:t>
      </w:r>
      <w:r w:rsidR="00774D7A">
        <w:t>d</w:t>
      </w:r>
      <w:r w:rsidR="00BA32ED" w:rsidRPr="00842935">
        <w:t>e costo financiero de las garantías exigidas en el mecanismo</w:t>
      </w:r>
      <w:r w:rsidR="008819A2">
        <w:t xml:space="preserve">, la </w:t>
      </w:r>
      <w:r w:rsidR="0027181E">
        <w:t xml:space="preserve">SIC recomienda que se </w:t>
      </w:r>
      <w:proofErr w:type="spellStart"/>
      <w:r w:rsidR="0027181E">
        <w:t>de</w:t>
      </w:r>
      <w:proofErr w:type="spellEnd"/>
      <w:r w:rsidR="0027181E">
        <w:t xml:space="preserve"> una justificación suficiente </w:t>
      </w:r>
      <w:r w:rsidR="00A611DC">
        <w:t>a la mencionada transitoriedad</w:t>
      </w:r>
      <w:r w:rsidR="00FD5BC8">
        <w:t>,</w:t>
      </w:r>
      <w:r w:rsidR="00A611DC">
        <w:t xml:space="preserve"> toda vez que </w:t>
      </w:r>
      <w:r w:rsidR="00114951">
        <w:t xml:space="preserve">esta </w:t>
      </w:r>
      <w:r w:rsidR="000957B1">
        <w:t>podría ser un elemento</w:t>
      </w:r>
      <w:r w:rsidR="005E3A1C">
        <w:t xml:space="preserve"> generador de incertidumbre a quienes concurrirán al mecanismo</w:t>
      </w:r>
      <w:r w:rsidR="003D7FE4" w:rsidRPr="003D7FE4">
        <w:t>.</w:t>
      </w:r>
      <w:r w:rsidR="009D461D">
        <w:t xml:space="preserve"> </w:t>
      </w:r>
      <w:r w:rsidR="00980E91">
        <w:t xml:space="preserve">Acogiendo la recomendación, </w:t>
      </w:r>
      <w:r w:rsidR="009D461D">
        <w:t xml:space="preserve">esta Comisión </w:t>
      </w:r>
      <w:r w:rsidR="003B6DB8">
        <w:t xml:space="preserve">argumenta que </w:t>
      </w:r>
      <w:r w:rsidR="0091239A">
        <w:t>la transitoriedad en la fórmula de traslado de costo de garantías, de ninguna manera reviste un escenario de incertidumbre</w:t>
      </w:r>
      <w:r w:rsidR="000A34BF">
        <w:t>,</w:t>
      </w:r>
      <w:r w:rsidR="0091239A">
        <w:t xml:space="preserve"> </w:t>
      </w:r>
      <w:r w:rsidR="00380AA9">
        <w:t>en razón a que una eventual modificación de dicha fórmula no tendrá una aplicación retroactiva y, por tanto, no cambia las expectativas de participación de los agentes.</w:t>
      </w:r>
      <w:r w:rsidR="00E86AD0">
        <w:t xml:space="preserve"> </w:t>
      </w:r>
      <w:r w:rsidR="00D9214A">
        <w:t xml:space="preserve">En adición a lo anterior, </w:t>
      </w:r>
      <w:r w:rsidR="00B52A1A">
        <w:t xml:space="preserve">la </w:t>
      </w:r>
      <w:r w:rsidR="004359E1">
        <w:lastRenderedPageBreak/>
        <w:t xml:space="preserve">evaluación </w:t>
      </w:r>
      <w:r w:rsidR="00B52A1A">
        <w:t>definitiva de la fórmula</w:t>
      </w:r>
      <w:r w:rsidR="001E5D33">
        <w:t xml:space="preserve"> en mención</w:t>
      </w:r>
      <w:r w:rsidR="004359E1">
        <w:t xml:space="preserve"> que se hará </w:t>
      </w:r>
      <w:r w:rsidR="00B52A1A">
        <w:t xml:space="preserve">dentro </w:t>
      </w:r>
      <w:r w:rsidR="00F77BF3">
        <w:t>de</w:t>
      </w:r>
      <w:r w:rsidR="008E4AF4">
        <w:t xml:space="preserve"> </w:t>
      </w:r>
      <w:r w:rsidR="00F77BF3">
        <w:t>l</w:t>
      </w:r>
      <w:r w:rsidR="008E4AF4">
        <w:t xml:space="preserve">a </w:t>
      </w:r>
      <w:r w:rsidR="00B52A1A">
        <w:t>revisión del componente de Comercialización adelanta</w:t>
      </w:r>
      <w:r w:rsidR="004359E1">
        <w:t>do</w:t>
      </w:r>
      <w:r w:rsidR="00B52A1A">
        <w:t xml:space="preserve"> </w:t>
      </w:r>
      <w:r w:rsidR="00145F6C">
        <w:t xml:space="preserve">por </w:t>
      </w:r>
      <w:r w:rsidR="00B52A1A">
        <w:t xml:space="preserve">la Comisión al momento de expedir la presente resolución, </w:t>
      </w:r>
      <w:r w:rsidR="00320BDD">
        <w:t xml:space="preserve">tendrá los elementos </w:t>
      </w:r>
      <w:r w:rsidR="00AC1618">
        <w:t>de</w:t>
      </w:r>
      <w:r w:rsidR="00A54468">
        <w:t xml:space="preserve"> Análisis de Impacto Normativo (AIN) </w:t>
      </w:r>
      <w:r w:rsidR="00A47B94">
        <w:t>que garantizan u</w:t>
      </w:r>
      <w:r w:rsidR="002C2FB8">
        <w:t xml:space="preserve">na </w:t>
      </w:r>
      <w:r w:rsidR="00320BDD">
        <w:t>construcción objetiva de alternativas regulatorias</w:t>
      </w:r>
      <w:r w:rsidR="000A34BF">
        <w:t>,</w:t>
      </w:r>
      <w:r w:rsidR="00694105">
        <w:t xml:space="preserve"> así como una debida y oportuna </w:t>
      </w:r>
      <w:r w:rsidR="00F77BF3">
        <w:t>socialización para contar con la participación del sector</w:t>
      </w:r>
      <w:r w:rsidR="002C2FB8">
        <w:t xml:space="preserve">, </w:t>
      </w:r>
      <w:r w:rsidR="00145F6C">
        <w:t xml:space="preserve">revelando así la inexistencia del </w:t>
      </w:r>
      <w:r w:rsidR="002C2FB8">
        <w:t xml:space="preserve">riesgo de incertidumbre </w:t>
      </w:r>
      <w:r w:rsidR="006B5288">
        <w:t>que identifica la SIC.</w:t>
      </w:r>
    </w:p>
    <w:p w14:paraId="478EA6E4" w14:textId="77777777" w:rsidR="0069603C" w:rsidRDefault="0069603C">
      <w:pPr>
        <w:tabs>
          <w:tab w:val="left" w:pos="7588"/>
        </w:tabs>
        <w:spacing w:before="0" w:after="0"/>
      </w:pPr>
    </w:p>
    <w:p w14:paraId="0647DEC0" w14:textId="5D85A232" w:rsidR="00AA043E" w:rsidRDefault="001E0945">
      <w:pPr>
        <w:tabs>
          <w:tab w:val="left" w:pos="7588"/>
        </w:tabs>
        <w:spacing w:before="0" w:after="0"/>
      </w:pPr>
      <w:r>
        <w:t xml:space="preserve">Sobre </w:t>
      </w:r>
      <w:r w:rsidR="00831A6C">
        <w:t xml:space="preserve">el comentario </w:t>
      </w:r>
      <w:r w:rsidR="00071554">
        <w:t>asociad</w:t>
      </w:r>
      <w:r w:rsidR="00831A6C">
        <w:t>o</w:t>
      </w:r>
      <w:r w:rsidR="00071554">
        <w:t xml:space="preserve"> a la</w:t>
      </w:r>
      <w:r w:rsidR="00DF6AF7">
        <w:t xml:space="preserve"> </w:t>
      </w:r>
      <w:r w:rsidR="00EC4609">
        <w:t xml:space="preserve">posible </w:t>
      </w:r>
      <w:r w:rsidR="00DF6AF7">
        <w:t>inobserva</w:t>
      </w:r>
      <w:r w:rsidR="00831A6C">
        <w:t>n</w:t>
      </w:r>
      <w:r w:rsidR="00DF6AF7">
        <w:t xml:space="preserve">cia </w:t>
      </w:r>
      <w:r w:rsidR="00831A6C">
        <w:t>de l</w:t>
      </w:r>
      <w:r w:rsidR="00F11F62">
        <w:t>a</w:t>
      </w:r>
      <w:r w:rsidR="00831A6C">
        <w:t xml:space="preserve">s </w:t>
      </w:r>
      <w:r w:rsidR="00F11F62">
        <w:t xml:space="preserve">condiciones </w:t>
      </w:r>
      <w:r w:rsidR="00A72642">
        <w:t xml:space="preserve">mínimas </w:t>
      </w:r>
      <w:r w:rsidR="00F11F62">
        <w:t xml:space="preserve">de </w:t>
      </w:r>
      <w:r w:rsidR="00F11F62" w:rsidRPr="00F11F62">
        <w:t>experiencia, independencia, y supervisión</w:t>
      </w:r>
      <w:r w:rsidR="00F11F62">
        <w:t xml:space="preserve">, </w:t>
      </w:r>
      <w:r w:rsidR="00831A6C">
        <w:t>dispuest</w:t>
      </w:r>
      <w:r w:rsidR="00F11F62">
        <w:t>a</w:t>
      </w:r>
      <w:r w:rsidR="00831A6C">
        <w:t xml:space="preserve">s </w:t>
      </w:r>
      <w:r w:rsidR="005134B9" w:rsidRPr="005134B9">
        <w:t>en la Resolución CREG 114 de 2018</w:t>
      </w:r>
      <w:r w:rsidR="000A34BF">
        <w:t>,</w:t>
      </w:r>
      <w:r w:rsidR="00F11F62">
        <w:t xml:space="preserve"> </w:t>
      </w:r>
      <w:r w:rsidR="00A72642">
        <w:t>y que deben ser cumplidas por el promotor del mecanismo</w:t>
      </w:r>
      <w:r w:rsidR="00A13356">
        <w:t>, e</w:t>
      </w:r>
      <w:r w:rsidR="00E80285">
        <w:t xml:space="preserve">n concepto de la SIC, tal inobservancia estaría asociada a </w:t>
      </w:r>
      <w:r w:rsidR="00BE2894" w:rsidRPr="00BE2894">
        <w:t>la presencia en el mercado de una comercializadora de energía eléctrica de la cual es accionista Ecopetrol S.A.</w:t>
      </w:r>
      <w:r w:rsidR="000A34BF">
        <w:t>,</w:t>
      </w:r>
      <w:r w:rsidR="00BE2894" w:rsidRPr="00BE2894">
        <w:t xml:space="preserve"> y que podría participar del mecanismo</w:t>
      </w:r>
      <w:r w:rsidR="00BE2894">
        <w:t xml:space="preserve"> </w:t>
      </w:r>
      <w:r w:rsidR="00BE2894" w:rsidRPr="00BE2894">
        <w:t>promovido por DERIVEX quien</w:t>
      </w:r>
      <w:r w:rsidR="000A34BF">
        <w:t>,</w:t>
      </w:r>
      <w:r w:rsidR="00F2763C">
        <w:t xml:space="preserve"> a su vez, </w:t>
      </w:r>
      <w:r w:rsidR="00BE2894" w:rsidRPr="00BE2894">
        <w:t>tendría dentro de sus accionistas igualmente a Ecopetrol S.A.</w:t>
      </w:r>
      <w:r w:rsidR="00987412">
        <w:t xml:space="preserve"> Sobre la observación anterior, </w:t>
      </w:r>
      <w:r w:rsidR="00BE2894">
        <w:t xml:space="preserve">esta </w:t>
      </w:r>
      <w:r w:rsidR="00F2763C">
        <w:t xml:space="preserve">Comisión destaca que ha analizado </w:t>
      </w:r>
      <w:r w:rsidR="005055E7">
        <w:t xml:space="preserve">los vasos comunicantes entre las intervinientes </w:t>
      </w:r>
      <w:r w:rsidR="00413F5B">
        <w:t>al mecanismo y las firmas relacionadas</w:t>
      </w:r>
      <w:r w:rsidR="000A34BF">
        <w:t>,</w:t>
      </w:r>
      <w:r w:rsidR="00413F5B">
        <w:t xml:space="preserve"> y ha establecido que los cr</w:t>
      </w:r>
      <w:r w:rsidR="00987412">
        <w:t>i</w:t>
      </w:r>
      <w:r w:rsidR="00413F5B">
        <w:t xml:space="preserve">terios dispuestos en la regulación en mención son de obligatorio cumplimiento </w:t>
      </w:r>
      <w:r w:rsidR="00DD38C3">
        <w:t xml:space="preserve">y resultan en una condición necesaria </w:t>
      </w:r>
      <w:r w:rsidR="00413F5B">
        <w:t xml:space="preserve">para </w:t>
      </w:r>
      <w:r w:rsidR="00B9439E">
        <w:t xml:space="preserve">que se </w:t>
      </w:r>
      <w:proofErr w:type="spellStart"/>
      <w:r w:rsidR="00B9439E">
        <w:t>de</w:t>
      </w:r>
      <w:proofErr w:type="spellEnd"/>
      <w:r w:rsidR="00B9439E">
        <w:t xml:space="preserve"> inicio al traslado dispuesto en la presente resolución. En consecuencia, de ninguna </w:t>
      </w:r>
      <w:r w:rsidR="00DD38C3">
        <w:t xml:space="preserve">manera se dará un escenario </w:t>
      </w:r>
      <w:r w:rsidR="00DD22DE">
        <w:t xml:space="preserve">en el que se efectúe el traslado sin que </w:t>
      </w:r>
      <w:r w:rsidR="00AA043E">
        <w:t>el promotor y sus firmas asociadas realicen los ajustes tendientes a dar cumplimiento a los criterios mencionados.</w:t>
      </w:r>
    </w:p>
    <w:p w14:paraId="086334CB" w14:textId="77777777" w:rsidR="001E0945" w:rsidRDefault="001E0945">
      <w:pPr>
        <w:tabs>
          <w:tab w:val="left" w:pos="7588"/>
        </w:tabs>
        <w:spacing w:before="0" w:after="0"/>
      </w:pPr>
    </w:p>
    <w:p w14:paraId="2284A8A0" w14:textId="4D37E430" w:rsidR="0069603C" w:rsidRDefault="00BC7F9C">
      <w:pPr>
        <w:tabs>
          <w:tab w:val="left" w:pos="7588"/>
        </w:tabs>
        <w:spacing w:before="0" w:after="0"/>
      </w:pPr>
      <w:r>
        <w:t>Sin perjuicio de lo anterior, respecto de las recomendaciones de la SIC, esta Comisión encuentra que algunos de los aspectos enunciados no corresponden al alcance del presente acto administrativo</w:t>
      </w:r>
      <w:r w:rsidR="004F4754">
        <w:t>, toda vez que</w:t>
      </w:r>
      <w:r>
        <w:t xml:space="preserve"> este se limita a definir las condiciones para efectuar el traslado de los precios </w:t>
      </w:r>
      <w:r w:rsidRPr="00D4711B">
        <w:t xml:space="preserve">de los contratos resultantes del mecanismo </w:t>
      </w:r>
      <w:r>
        <w:t>presentado</w:t>
      </w:r>
      <w:r w:rsidRPr="00D4711B">
        <w:t xml:space="preserve"> por </w:t>
      </w:r>
      <w:proofErr w:type="spellStart"/>
      <w:r w:rsidRPr="00D4711B">
        <w:t>Derivex</w:t>
      </w:r>
      <w:proofErr w:type="spellEnd"/>
      <w:r>
        <w:t xml:space="preserve"> S.A. E.S.P. y la Cámara de Riesgo Central de Contraparte,</w:t>
      </w:r>
      <w:r w:rsidRPr="00D33539">
        <w:t xml:space="preserve"> </w:t>
      </w:r>
      <w:r>
        <w:t>en los términos dispuestos por la Resolución CRG 114 de 2018.</w:t>
      </w:r>
    </w:p>
    <w:p w14:paraId="7439D3CF" w14:textId="697FAC40" w:rsidR="004C0270" w:rsidRDefault="004C0270">
      <w:pPr>
        <w:tabs>
          <w:tab w:val="left" w:pos="7588"/>
        </w:tabs>
        <w:spacing w:before="0" w:after="0"/>
      </w:pPr>
    </w:p>
    <w:p w14:paraId="61FFFD6C" w14:textId="140E4F3B" w:rsidR="004C0270" w:rsidRDefault="004C0270" w:rsidP="004C0270">
      <w:pPr>
        <w:tabs>
          <w:tab w:val="left" w:pos="7588"/>
        </w:tabs>
        <w:spacing w:before="0" w:after="0"/>
      </w:pPr>
      <w:r>
        <w:t>La Comisión de Regulación de Energía y Gas, en su sesión No.11</w:t>
      </w:r>
      <w:r w:rsidR="00BC076D">
        <w:t>8</w:t>
      </w:r>
      <w:r w:rsidR="008C585C">
        <w:t>1</w:t>
      </w:r>
      <w:r>
        <w:t xml:space="preserve"> del </w:t>
      </w:r>
      <w:r w:rsidR="00BC076D">
        <w:t>8</w:t>
      </w:r>
      <w:r>
        <w:t xml:space="preserve"> de </w:t>
      </w:r>
      <w:r w:rsidR="00BC076D">
        <w:t>julio</w:t>
      </w:r>
      <w:r>
        <w:t xml:space="preserve"> de 2022, acordó expedir </w:t>
      </w:r>
      <w:r w:rsidR="00BC076D">
        <w:t>la presente</w:t>
      </w:r>
      <w:r>
        <w:t xml:space="preserve"> resolución.</w:t>
      </w:r>
    </w:p>
    <w:p w14:paraId="4B6E2A01" w14:textId="2E5F8BD8" w:rsidR="00CE3AC9" w:rsidRPr="0087509D" w:rsidRDefault="0032769C">
      <w:pPr>
        <w:tabs>
          <w:tab w:val="left" w:pos="7588"/>
        </w:tabs>
        <w:spacing w:before="0" w:after="0"/>
      </w:pPr>
      <w:r>
        <w:tab/>
      </w:r>
    </w:p>
    <w:p w14:paraId="216C2DD8" w14:textId="4AAAB306" w:rsidR="00193054" w:rsidRDefault="00193054">
      <w:pPr>
        <w:spacing w:before="0" w:after="0"/>
        <w:jc w:val="center"/>
        <w:rPr>
          <w:b/>
          <w:spacing w:val="40"/>
        </w:rPr>
      </w:pPr>
      <w:r w:rsidRPr="004E6CFC">
        <w:rPr>
          <w:b/>
        </w:rPr>
        <w:t>RESUELV</w:t>
      </w:r>
      <w:r w:rsidRPr="004E6CFC">
        <w:rPr>
          <w:b/>
          <w:spacing w:val="40"/>
        </w:rPr>
        <w:t>E:</w:t>
      </w:r>
    </w:p>
    <w:p w14:paraId="3384E624" w14:textId="77777777" w:rsidR="00F2405C" w:rsidRDefault="00F2405C">
      <w:pPr>
        <w:spacing w:before="0" w:after="0"/>
        <w:jc w:val="center"/>
        <w:rPr>
          <w:b/>
          <w:spacing w:val="40"/>
        </w:rPr>
      </w:pPr>
    </w:p>
    <w:p w14:paraId="14E4ABFC" w14:textId="51AE5B07" w:rsidR="009B3C79" w:rsidRDefault="009B3C79">
      <w:pPr>
        <w:spacing w:before="0" w:after="0"/>
        <w:jc w:val="center"/>
        <w:rPr>
          <w:b/>
        </w:rPr>
      </w:pPr>
      <w:r w:rsidRPr="009B3C79">
        <w:rPr>
          <w:b/>
        </w:rPr>
        <w:t xml:space="preserve">TÍTULO </w:t>
      </w:r>
      <w:r w:rsidR="006D12AE">
        <w:rPr>
          <w:b/>
        </w:rPr>
        <w:t>I</w:t>
      </w:r>
      <w:r w:rsidRPr="009B3C79">
        <w:rPr>
          <w:b/>
        </w:rPr>
        <w:t xml:space="preserve">. </w:t>
      </w:r>
      <w:r w:rsidR="00E0480B" w:rsidRPr="009B3C79">
        <w:rPr>
          <w:b/>
        </w:rPr>
        <w:t>Disposiciones Generales</w:t>
      </w:r>
    </w:p>
    <w:p w14:paraId="28E70E2F" w14:textId="77777777" w:rsidR="00F2405C" w:rsidRPr="009B3C79" w:rsidRDefault="00F2405C">
      <w:pPr>
        <w:spacing w:before="0" w:after="0"/>
        <w:jc w:val="center"/>
        <w:rPr>
          <w:b/>
        </w:rPr>
      </w:pPr>
    </w:p>
    <w:p w14:paraId="4FFC07B6" w14:textId="6AAC50A5" w:rsidR="00D133D3" w:rsidRDefault="00E36B78">
      <w:pPr>
        <w:pStyle w:val="Artculo"/>
        <w:spacing w:before="0" w:after="0"/>
        <w:ind w:left="0" w:firstLine="0"/>
        <w:rPr>
          <w:b w:val="0"/>
        </w:rPr>
      </w:pPr>
      <w:bookmarkStart w:id="11" w:name="_Ref44259966"/>
      <w:bookmarkStart w:id="12" w:name="_Ref207937090"/>
      <w:r>
        <w:rPr>
          <w:b w:val="0"/>
        </w:rPr>
        <w:t xml:space="preserve"> </w:t>
      </w:r>
      <w:r>
        <w:t>Objeto.</w:t>
      </w:r>
      <w:r w:rsidR="08FE52F4">
        <w:t xml:space="preserve"> </w:t>
      </w:r>
      <w:r w:rsidR="00D92775">
        <w:rPr>
          <w:b w:val="0"/>
        </w:rPr>
        <w:t>D</w:t>
      </w:r>
      <w:r w:rsidR="1A3B7950">
        <w:rPr>
          <w:b w:val="0"/>
        </w:rPr>
        <w:t xml:space="preserve">efinir las condiciones </w:t>
      </w:r>
      <w:r w:rsidR="33288370">
        <w:rPr>
          <w:b w:val="0"/>
        </w:rPr>
        <w:t>d</w:t>
      </w:r>
      <w:r>
        <w:rPr>
          <w:b w:val="0"/>
        </w:rPr>
        <w:t xml:space="preserve">el traslado </w:t>
      </w:r>
      <w:r w:rsidR="003C15D7">
        <w:rPr>
          <w:b w:val="0"/>
        </w:rPr>
        <w:t>de los precios de los contratos resultantes</w:t>
      </w:r>
      <w:r w:rsidR="00501CA6">
        <w:rPr>
          <w:b w:val="0"/>
        </w:rPr>
        <w:t xml:space="preserve"> </w:t>
      </w:r>
      <w:r>
        <w:rPr>
          <w:b w:val="0"/>
        </w:rPr>
        <w:t>del mecanismo promovido por</w:t>
      </w:r>
      <w:r w:rsidR="005327E7">
        <w:rPr>
          <w:b w:val="0"/>
        </w:rPr>
        <w:t xml:space="preserve"> el </w:t>
      </w:r>
      <w:r w:rsidR="55B91E30">
        <w:rPr>
          <w:b w:val="0"/>
        </w:rPr>
        <w:t>p</w:t>
      </w:r>
      <w:r w:rsidR="005327E7">
        <w:rPr>
          <w:b w:val="0"/>
        </w:rPr>
        <w:t>romotor</w:t>
      </w:r>
      <w:r>
        <w:rPr>
          <w:b w:val="0"/>
        </w:rPr>
        <w:t xml:space="preserve"> DERIVEX-CRCC</w:t>
      </w:r>
      <w:r w:rsidR="00746064">
        <w:rPr>
          <w:b w:val="0"/>
        </w:rPr>
        <w:t>, destinados a la demanda regulada</w:t>
      </w:r>
      <w:r w:rsidR="00696DA4">
        <w:rPr>
          <w:b w:val="0"/>
        </w:rPr>
        <w:t>. Así mismo</w:t>
      </w:r>
      <w:r w:rsidR="000A34BF">
        <w:rPr>
          <w:b w:val="0"/>
        </w:rPr>
        <w:t>,</w:t>
      </w:r>
      <w:r w:rsidR="00696DA4">
        <w:rPr>
          <w:b w:val="0"/>
        </w:rPr>
        <w:t xml:space="preserve"> definir</w:t>
      </w:r>
      <w:r>
        <w:rPr>
          <w:b w:val="0"/>
        </w:rPr>
        <w:t xml:space="preserve"> los indicadores de resultado </w:t>
      </w:r>
      <w:r w:rsidR="00B84696">
        <w:rPr>
          <w:b w:val="0"/>
        </w:rPr>
        <w:t xml:space="preserve">del mecanismo </w:t>
      </w:r>
      <w:r>
        <w:rPr>
          <w:b w:val="0"/>
        </w:rPr>
        <w:t>y los referentes para su evaluación.</w:t>
      </w:r>
    </w:p>
    <w:p w14:paraId="36E71B0D" w14:textId="77777777" w:rsidR="00CA6AE8" w:rsidRPr="00CA6AE8" w:rsidRDefault="00CA6AE8" w:rsidP="0035025E">
      <w:pPr>
        <w:pStyle w:val="articulo"/>
        <w:rPr>
          <w:rFonts w:eastAsia="Bookman Old Style"/>
        </w:rPr>
      </w:pPr>
    </w:p>
    <w:p w14:paraId="4DE3CACE" w14:textId="6F9ECD23" w:rsidR="00F2405C" w:rsidRDefault="00D74F22">
      <w:pPr>
        <w:pStyle w:val="Artculo"/>
        <w:numPr>
          <w:ilvl w:val="0"/>
          <w:numId w:val="0"/>
        </w:numPr>
        <w:spacing w:before="0" w:after="0"/>
        <w:rPr>
          <w:b w:val="0"/>
        </w:rPr>
      </w:pPr>
      <w:r w:rsidRPr="00096873">
        <w:rPr>
          <w:b w:val="0"/>
        </w:rPr>
        <w:t>La</w:t>
      </w:r>
      <w:r w:rsidR="376F68B9">
        <w:rPr>
          <w:b w:val="0"/>
        </w:rPr>
        <w:t xml:space="preserve">s </w:t>
      </w:r>
      <w:r w:rsidR="00D857AE">
        <w:rPr>
          <w:b w:val="0"/>
        </w:rPr>
        <w:t>reglas establecidas en</w:t>
      </w:r>
      <w:r w:rsidR="376F68B9">
        <w:rPr>
          <w:b w:val="0"/>
        </w:rPr>
        <w:t xml:space="preserve"> esta resolución </w:t>
      </w:r>
      <w:r w:rsidR="002C0816" w:rsidRPr="00096873">
        <w:rPr>
          <w:b w:val="0"/>
        </w:rPr>
        <w:t xml:space="preserve">se </w:t>
      </w:r>
      <w:r w:rsidR="42C19161">
        <w:rPr>
          <w:b w:val="0"/>
        </w:rPr>
        <w:t xml:space="preserve">definen </w:t>
      </w:r>
      <w:r w:rsidR="002C0816" w:rsidRPr="00096873">
        <w:rPr>
          <w:b w:val="0"/>
        </w:rPr>
        <w:t xml:space="preserve">en el marco de </w:t>
      </w:r>
      <w:r w:rsidR="1064CCB0" w:rsidRPr="000365E5">
        <w:rPr>
          <w:b w:val="0"/>
        </w:rPr>
        <w:t xml:space="preserve">lo establecido en la </w:t>
      </w:r>
      <w:r w:rsidR="002C0816" w:rsidRPr="00096873">
        <w:rPr>
          <w:b w:val="0"/>
        </w:rPr>
        <w:t>Resolución CREG 114 de 2018</w:t>
      </w:r>
      <w:r w:rsidR="000A34BF">
        <w:rPr>
          <w:b w:val="0"/>
        </w:rPr>
        <w:t>,</w:t>
      </w:r>
      <w:r w:rsidR="002C0816" w:rsidRPr="00096873">
        <w:rPr>
          <w:b w:val="0"/>
        </w:rPr>
        <w:t xml:space="preserve"> y </w:t>
      </w:r>
      <w:r w:rsidR="72FC7AB1" w:rsidRPr="000365E5">
        <w:rPr>
          <w:b w:val="0"/>
        </w:rPr>
        <w:t>como resulta</w:t>
      </w:r>
      <w:r w:rsidR="008173BC" w:rsidRPr="000365E5">
        <w:rPr>
          <w:b w:val="0"/>
        </w:rPr>
        <w:t>do</w:t>
      </w:r>
      <w:r w:rsidR="72FC7AB1" w:rsidRPr="00FF24BE">
        <w:rPr>
          <w:b w:val="0"/>
        </w:rPr>
        <w:t xml:space="preserve"> de </w:t>
      </w:r>
      <w:r w:rsidR="002C0816" w:rsidRPr="00096873">
        <w:rPr>
          <w:b w:val="0"/>
        </w:rPr>
        <w:t>la evaluación realizada por la CREG contenida en el Anexo 1 de la presente resolución</w:t>
      </w:r>
      <w:r w:rsidR="003B4335">
        <w:rPr>
          <w:b w:val="0"/>
        </w:rPr>
        <w:t xml:space="preserve">, y </w:t>
      </w:r>
      <w:r w:rsidR="00786BE5">
        <w:rPr>
          <w:b w:val="0"/>
        </w:rPr>
        <w:t>están condicionadas a</w:t>
      </w:r>
      <w:r w:rsidR="00B45970">
        <w:rPr>
          <w:b w:val="0"/>
        </w:rPr>
        <w:t xml:space="preserve"> </w:t>
      </w:r>
      <w:r w:rsidR="005C5706">
        <w:rPr>
          <w:b w:val="0"/>
        </w:rPr>
        <w:t>que</w:t>
      </w:r>
      <w:r w:rsidR="00B84696">
        <w:rPr>
          <w:b w:val="0"/>
        </w:rPr>
        <w:t xml:space="preserve"> </w:t>
      </w:r>
      <w:r w:rsidR="00EF4090">
        <w:rPr>
          <w:b w:val="0"/>
        </w:rPr>
        <w:t>el mecanismo</w:t>
      </w:r>
      <w:r w:rsidR="005C5706">
        <w:rPr>
          <w:b w:val="0"/>
        </w:rPr>
        <w:t xml:space="preserve"> </w:t>
      </w:r>
      <w:r w:rsidR="0007651E">
        <w:rPr>
          <w:b w:val="0"/>
        </w:rPr>
        <w:t>cumpla de manera</w:t>
      </w:r>
      <w:r w:rsidR="00C909C2">
        <w:rPr>
          <w:b w:val="0"/>
        </w:rPr>
        <w:t xml:space="preserve"> permanente</w:t>
      </w:r>
      <w:r w:rsidR="005E779F">
        <w:rPr>
          <w:b w:val="0"/>
        </w:rPr>
        <w:t xml:space="preserve"> los principios y condiciones </w:t>
      </w:r>
      <w:r w:rsidR="001D3DB5">
        <w:rPr>
          <w:b w:val="0"/>
        </w:rPr>
        <w:t>evaluados por la CREG</w:t>
      </w:r>
      <w:r w:rsidR="002C0816" w:rsidRPr="00096873">
        <w:rPr>
          <w:b w:val="0"/>
        </w:rPr>
        <w:t>.</w:t>
      </w:r>
    </w:p>
    <w:p w14:paraId="41AFB127" w14:textId="1F5CDD12" w:rsidR="001D4FE3" w:rsidRDefault="00806A7A">
      <w:pPr>
        <w:pStyle w:val="Artculo"/>
        <w:spacing w:before="0" w:after="0"/>
        <w:ind w:left="0" w:firstLine="0"/>
        <w:rPr>
          <w:b w:val="0"/>
          <w:bCs/>
        </w:rPr>
      </w:pPr>
      <w:r w:rsidRPr="000365E5">
        <w:lastRenderedPageBreak/>
        <w:t xml:space="preserve"> </w:t>
      </w:r>
      <w:bookmarkEnd w:id="11"/>
      <w:r w:rsidR="2A9EC6C5" w:rsidRPr="00096873">
        <w:t xml:space="preserve">Ámbito de Aplicación. </w:t>
      </w:r>
      <w:r w:rsidR="2A9EC6C5" w:rsidRPr="00096873">
        <w:rPr>
          <w:b w:val="0"/>
          <w:bCs/>
        </w:rPr>
        <w:t xml:space="preserve">Esta resolución aplica </w:t>
      </w:r>
      <w:r w:rsidR="24FD8E5A" w:rsidRPr="00096873">
        <w:rPr>
          <w:b w:val="0"/>
          <w:bCs/>
        </w:rPr>
        <w:t xml:space="preserve">a los agentes prestadores del servicio público de energía eléctrica que </w:t>
      </w:r>
      <w:r w:rsidR="559B3BD5" w:rsidRPr="00096873">
        <w:rPr>
          <w:b w:val="0"/>
          <w:bCs/>
        </w:rPr>
        <w:t>realizan la actividad de comerci</w:t>
      </w:r>
      <w:r w:rsidR="006A2F2C">
        <w:rPr>
          <w:b w:val="0"/>
          <w:bCs/>
        </w:rPr>
        <w:t>a</w:t>
      </w:r>
      <w:r w:rsidR="76A90619" w:rsidRPr="00096873">
        <w:rPr>
          <w:b w:val="0"/>
          <w:bCs/>
        </w:rPr>
        <w:t>lización</w:t>
      </w:r>
      <w:r w:rsidR="00235B33">
        <w:rPr>
          <w:b w:val="0"/>
          <w:bCs/>
        </w:rPr>
        <w:t xml:space="preserve"> y</w:t>
      </w:r>
      <w:r w:rsidR="76A90619" w:rsidRPr="00096873">
        <w:rPr>
          <w:b w:val="0"/>
          <w:bCs/>
        </w:rPr>
        <w:t xml:space="preserve"> </w:t>
      </w:r>
      <w:r w:rsidR="008173BC" w:rsidRPr="00096873">
        <w:rPr>
          <w:b w:val="0"/>
          <w:bCs/>
        </w:rPr>
        <w:t>que realicen transacciones en el mecanismo propuesto por el promotor DERIVEX-CRCC</w:t>
      </w:r>
      <w:bookmarkEnd w:id="12"/>
      <w:r w:rsidR="003B4335" w:rsidRPr="003B4335">
        <w:rPr>
          <w:b w:val="0"/>
          <w:bCs/>
        </w:rPr>
        <w:t xml:space="preserve"> </w:t>
      </w:r>
      <w:r w:rsidR="001D5364">
        <w:rPr>
          <w:b w:val="0"/>
          <w:bCs/>
        </w:rPr>
        <w:t>p</w:t>
      </w:r>
      <w:r w:rsidR="003B4335">
        <w:rPr>
          <w:b w:val="0"/>
          <w:bCs/>
        </w:rPr>
        <w:t xml:space="preserve">ara </w:t>
      </w:r>
      <w:r w:rsidR="003B4335" w:rsidRPr="00096873">
        <w:rPr>
          <w:b w:val="0"/>
          <w:bCs/>
        </w:rPr>
        <w:t>atende</w:t>
      </w:r>
      <w:r w:rsidR="003B4335">
        <w:rPr>
          <w:b w:val="0"/>
          <w:bCs/>
        </w:rPr>
        <w:t>r</w:t>
      </w:r>
      <w:r w:rsidR="003B4335" w:rsidRPr="00096873">
        <w:rPr>
          <w:b w:val="0"/>
          <w:bCs/>
        </w:rPr>
        <w:t xml:space="preserve"> usuarios finales regulados</w:t>
      </w:r>
      <w:r w:rsidR="003B4335">
        <w:rPr>
          <w:b w:val="0"/>
          <w:bCs/>
        </w:rPr>
        <w:t>.</w:t>
      </w:r>
    </w:p>
    <w:p w14:paraId="598B0F9C" w14:textId="77777777" w:rsidR="00F2405C" w:rsidRPr="00F2405C" w:rsidRDefault="00F2405C" w:rsidP="0035025E">
      <w:pPr>
        <w:pStyle w:val="articulo"/>
      </w:pPr>
    </w:p>
    <w:p w14:paraId="7879F9F8" w14:textId="3B8D0FC6" w:rsidR="00CA6AE8" w:rsidRDefault="001D4FE3">
      <w:pPr>
        <w:pStyle w:val="Artculo"/>
        <w:spacing w:before="0" w:after="0"/>
        <w:ind w:left="0" w:firstLine="0"/>
        <w:rPr>
          <w:b w:val="0"/>
        </w:rPr>
      </w:pPr>
      <w:r>
        <w:t xml:space="preserve"> Defin</w:t>
      </w:r>
      <w:r w:rsidR="23C8DDFB">
        <w:t>i</w:t>
      </w:r>
      <w:r>
        <w:t>ciones</w:t>
      </w:r>
      <w:r w:rsidR="0045039C">
        <w:t xml:space="preserve">: </w:t>
      </w:r>
      <w:r w:rsidR="0045039C" w:rsidRPr="00CA6AE8">
        <w:rPr>
          <w:b w:val="0"/>
        </w:rPr>
        <w:t>Para la interpretación y aplicación de esta resolución, se tendrán en cuenta, además de las definiciones establecidas en las leyes 142 y 143 de 1994</w:t>
      </w:r>
      <w:r w:rsidR="74C1E294" w:rsidRPr="00CA6AE8">
        <w:rPr>
          <w:b w:val="0"/>
        </w:rPr>
        <w:t xml:space="preserve">, en la Resolución CREG 114 de 2018 </w:t>
      </w:r>
      <w:r w:rsidR="0045039C" w:rsidRPr="00CA6AE8">
        <w:rPr>
          <w:b w:val="0"/>
        </w:rPr>
        <w:t>y en las</w:t>
      </w:r>
      <w:r w:rsidR="023754A2" w:rsidRPr="00CA6AE8">
        <w:rPr>
          <w:b w:val="0"/>
        </w:rPr>
        <w:t xml:space="preserve"> demás</w:t>
      </w:r>
      <w:r w:rsidR="0045039C" w:rsidRPr="00CA6AE8">
        <w:rPr>
          <w:b w:val="0"/>
        </w:rPr>
        <w:t xml:space="preserve"> resoluciones vigentes de la CREG, </w:t>
      </w:r>
      <w:r w:rsidR="00994BD6" w:rsidRPr="00CA6AE8">
        <w:rPr>
          <w:b w:val="0"/>
        </w:rPr>
        <w:t>la</w:t>
      </w:r>
      <w:r w:rsidR="003770C5">
        <w:rPr>
          <w:b w:val="0"/>
        </w:rPr>
        <w:t>s</w:t>
      </w:r>
      <w:r w:rsidR="00994BD6" w:rsidRPr="00CA6AE8">
        <w:rPr>
          <w:b w:val="0"/>
        </w:rPr>
        <w:t xml:space="preserve"> siguiente</w:t>
      </w:r>
      <w:r w:rsidR="003770C5">
        <w:rPr>
          <w:b w:val="0"/>
        </w:rPr>
        <w:t>s</w:t>
      </w:r>
      <w:r w:rsidR="0045039C" w:rsidRPr="00CA6AE8">
        <w:rPr>
          <w:b w:val="0"/>
        </w:rPr>
        <w:t>:</w:t>
      </w:r>
    </w:p>
    <w:p w14:paraId="2345A73F" w14:textId="77777777" w:rsidR="00CA6AE8" w:rsidRPr="00CA6AE8" w:rsidRDefault="00CA6AE8" w:rsidP="0035025E">
      <w:pPr>
        <w:pStyle w:val="articulo"/>
      </w:pPr>
    </w:p>
    <w:p w14:paraId="33339D65" w14:textId="2228F822" w:rsidR="00F7586B" w:rsidRPr="00096873" w:rsidRDefault="00685FDC">
      <w:pPr>
        <w:spacing w:before="0" w:after="0"/>
      </w:pPr>
      <w:r w:rsidRPr="000365E5">
        <w:rPr>
          <w:b/>
        </w:rPr>
        <w:t>F</w:t>
      </w:r>
      <w:r w:rsidR="00F7586B" w:rsidRPr="00096873">
        <w:rPr>
          <w:b/>
        </w:rPr>
        <w:t>echa de emisión del informe anual de evaluación</w:t>
      </w:r>
      <w:r w:rsidR="007A2DAA" w:rsidRPr="00096873">
        <w:rPr>
          <w:b/>
        </w:rPr>
        <w:t>:</w:t>
      </w:r>
      <w:r w:rsidR="007A2DAA" w:rsidRPr="00096873">
        <w:t xml:space="preserve"> Fecha en la cual el </w:t>
      </w:r>
      <w:r w:rsidR="0023360C">
        <w:t>A</w:t>
      </w:r>
      <w:r w:rsidR="007A2DAA" w:rsidRPr="00096873">
        <w:t xml:space="preserve">uditor hace envío </w:t>
      </w:r>
      <w:r w:rsidR="00F50D31" w:rsidRPr="00096873">
        <w:t>de su informe a la CREG</w:t>
      </w:r>
      <w:r w:rsidR="00D600EB" w:rsidRPr="00096873">
        <w:t xml:space="preserve"> por medio electrónico</w:t>
      </w:r>
      <w:r w:rsidR="00CA02C8" w:rsidRPr="00096873">
        <w:t>.</w:t>
      </w:r>
    </w:p>
    <w:p w14:paraId="13C16A90" w14:textId="77777777" w:rsidR="0096625D" w:rsidRDefault="0096625D">
      <w:pPr>
        <w:spacing w:before="0" w:after="0"/>
      </w:pPr>
    </w:p>
    <w:p w14:paraId="5ED60177" w14:textId="320D45A3" w:rsidR="001D4FE3" w:rsidRDefault="00027BD8">
      <w:pPr>
        <w:spacing w:before="0" w:after="0"/>
      </w:pPr>
      <w:r w:rsidRPr="005D3B91">
        <w:rPr>
          <w:b/>
          <w:bCs/>
        </w:rPr>
        <w:t>Informe</w:t>
      </w:r>
      <w:r w:rsidR="00FE4CAD">
        <w:rPr>
          <w:b/>
          <w:bCs/>
        </w:rPr>
        <w:t xml:space="preserve"> anual</w:t>
      </w:r>
      <w:r w:rsidRPr="005D3B91">
        <w:rPr>
          <w:b/>
          <w:bCs/>
        </w:rPr>
        <w:t xml:space="preserve"> de</w:t>
      </w:r>
      <w:r w:rsidR="00CA02C8" w:rsidRPr="005D3B91">
        <w:rPr>
          <w:b/>
          <w:bCs/>
        </w:rPr>
        <w:t xml:space="preserve"> evaluación </w:t>
      </w:r>
      <w:r w:rsidR="001C1390">
        <w:rPr>
          <w:b/>
          <w:bCs/>
        </w:rPr>
        <w:t>por parte del A</w:t>
      </w:r>
      <w:r w:rsidR="00ED4635" w:rsidRPr="005D3B91">
        <w:rPr>
          <w:b/>
          <w:bCs/>
        </w:rPr>
        <w:t>uditor</w:t>
      </w:r>
      <w:r w:rsidR="00CA02C8" w:rsidRPr="005D3B91">
        <w:rPr>
          <w:b/>
          <w:bCs/>
        </w:rPr>
        <w:t>:</w:t>
      </w:r>
      <w:r w:rsidR="00D314A6" w:rsidRPr="00096873">
        <w:t xml:space="preserve"> Informe</w:t>
      </w:r>
      <w:r w:rsidR="008B6318">
        <w:t xml:space="preserve"> </w:t>
      </w:r>
      <w:r w:rsidR="00D314A6" w:rsidRPr="00096873">
        <w:t>escrito</w:t>
      </w:r>
      <w:r w:rsidR="000246F2" w:rsidRPr="00096873">
        <w:t xml:space="preserve"> elaborado por el </w:t>
      </w:r>
      <w:r w:rsidR="006E3252">
        <w:t>A</w:t>
      </w:r>
      <w:r w:rsidR="000246F2" w:rsidRPr="00096873">
        <w:t xml:space="preserve">uditor </w:t>
      </w:r>
      <w:r w:rsidR="00947402">
        <w:t>que</w:t>
      </w:r>
      <w:r w:rsidR="000246F2" w:rsidRPr="00096873">
        <w:t xml:space="preserve"> contiene una conclusión </w:t>
      </w:r>
      <w:r w:rsidR="00BD2D29" w:rsidRPr="00096873">
        <w:t>explícita, clara e inequívoca acerca del cumplimiento de los indicadores de</w:t>
      </w:r>
      <w:r w:rsidR="001103C1">
        <w:t xml:space="preserve"> evaluación del</w:t>
      </w:r>
      <w:r w:rsidR="00BD2D29" w:rsidRPr="00096873">
        <w:t xml:space="preserve"> resultado de</w:t>
      </w:r>
      <w:r w:rsidR="00670D02" w:rsidRPr="00096873">
        <w:t xml:space="preserve">l mecanismo, definidos en la presente resolución. </w:t>
      </w:r>
      <w:r w:rsidR="001D4FE3" w:rsidRPr="00096873">
        <w:t xml:space="preserve"> </w:t>
      </w:r>
    </w:p>
    <w:p w14:paraId="597D5FE9" w14:textId="77777777" w:rsidR="00CA6AE8" w:rsidRPr="00096873" w:rsidRDefault="00CA6AE8">
      <w:pPr>
        <w:spacing w:before="0" w:after="0"/>
      </w:pPr>
    </w:p>
    <w:p w14:paraId="68AFAD83" w14:textId="03E04459" w:rsidR="00D314A6" w:rsidRDefault="001D4FE3">
      <w:pPr>
        <w:spacing w:before="0" w:after="0"/>
      </w:pPr>
      <w:r w:rsidRPr="000365E5">
        <w:rPr>
          <w:b/>
          <w:bCs/>
        </w:rPr>
        <w:t xml:space="preserve">Periodo </w:t>
      </w:r>
      <w:r w:rsidR="005468F2">
        <w:rPr>
          <w:b/>
          <w:bCs/>
        </w:rPr>
        <w:t>a</w:t>
      </w:r>
      <w:r w:rsidR="00501000" w:rsidRPr="000365E5">
        <w:rPr>
          <w:b/>
          <w:bCs/>
        </w:rPr>
        <w:t xml:space="preserve">nual </w:t>
      </w:r>
      <w:r w:rsidRPr="000365E5">
        <w:rPr>
          <w:b/>
          <w:bCs/>
        </w:rPr>
        <w:t xml:space="preserve">de </w:t>
      </w:r>
      <w:r w:rsidR="005468F2">
        <w:rPr>
          <w:b/>
          <w:bCs/>
        </w:rPr>
        <w:t>e</w:t>
      </w:r>
      <w:r w:rsidR="00501000" w:rsidRPr="000365E5">
        <w:rPr>
          <w:b/>
          <w:bCs/>
        </w:rPr>
        <w:t>valuación</w:t>
      </w:r>
      <w:r w:rsidRPr="000365E5">
        <w:rPr>
          <w:b/>
          <w:bCs/>
        </w:rPr>
        <w:t>:</w:t>
      </w:r>
      <w:r w:rsidRPr="00704DC6">
        <w:t xml:space="preserve"> Periodo</w:t>
      </w:r>
      <w:r w:rsidR="003D0BF5" w:rsidRPr="008173BC">
        <w:t xml:space="preserve"> de doce (12) meses</w:t>
      </w:r>
      <w:r w:rsidRPr="008173BC">
        <w:t xml:space="preserve"> </w:t>
      </w:r>
      <w:r w:rsidR="004725D5" w:rsidRPr="00096873">
        <w:t xml:space="preserve">para el cual se </w:t>
      </w:r>
      <w:r w:rsidR="00B03356" w:rsidRPr="00096873">
        <w:t xml:space="preserve">realiza </w:t>
      </w:r>
      <w:r w:rsidR="009F31A0">
        <w:t>la</w:t>
      </w:r>
      <w:r w:rsidR="00737E07">
        <w:t xml:space="preserve"> </w:t>
      </w:r>
      <w:r w:rsidR="00B03356" w:rsidRPr="00096873">
        <w:t>evaluación</w:t>
      </w:r>
      <w:r w:rsidR="009F31A0">
        <w:t xml:space="preserve"> periódica</w:t>
      </w:r>
      <w:r w:rsidR="00B03356" w:rsidRPr="00096873">
        <w:t xml:space="preserve"> por parte del</w:t>
      </w:r>
      <w:r w:rsidR="0023360C">
        <w:t xml:space="preserve"> A</w:t>
      </w:r>
      <w:r w:rsidR="004725D5" w:rsidRPr="00096873">
        <w:t>uditor</w:t>
      </w:r>
      <w:r w:rsidR="009F31A0">
        <w:t xml:space="preserve"> y sobre el cual se fundamenta el Informe anual de evaluación</w:t>
      </w:r>
      <w:r w:rsidR="00B03356" w:rsidRPr="00096873">
        <w:t>.</w:t>
      </w:r>
    </w:p>
    <w:p w14:paraId="672ADE7E" w14:textId="2AD09137" w:rsidR="00E0480B" w:rsidRDefault="00E0480B">
      <w:pPr>
        <w:spacing w:before="0" w:after="0"/>
      </w:pPr>
    </w:p>
    <w:p w14:paraId="09A60133" w14:textId="2B9C5039" w:rsidR="00A9343F" w:rsidRDefault="00A9343F">
      <w:pPr>
        <w:spacing w:before="0" w:after="0"/>
      </w:pPr>
      <w:r w:rsidRPr="0032769C">
        <w:rPr>
          <w:b/>
          <w:bCs/>
        </w:rPr>
        <w:t xml:space="preserve">Posición </w:t>
      </w:r>
      <w:r w:rsidR="00BA4630">
        <w:rPr>
          <w:b/>
          <w:bCs/>
        </w:rPr>
        <w:t>n</w:t>
      </w:r>
      <w:r w:rsidRPr="0032769C">
        <w:rPr>
          <w:b/>
          <w:bCs/>
        </w:rPr>
        <w:t xml:space="preserve">eta: </w:t>
      </w:r>
      <w:r w:rsidRPr="0032769C">
        <w:t xml:space="preserve">cantidad </w:t>
      </w:r>
      <w:r w:rsidR="0032769C" w:rsidRPr="0032769C">
        <w:t xml:space="preserve">final </w:t>
      </w:r>
      <w:r w:rsidRPr="0032769C">
        <w:t>de energía cubierta por el comercializador a través de transacciones en el mecanismo presentado por DERIVEX-CRCC, cuando estas llegan a su vencimiento.</w:t>
      </w:r>
    </w:p>
    <w:p w14:paraId="7BD404AD" w14:textId="358432ED" w:rsidR="00174313" w:rsidRDefault="00174313">
      <w:pPr>
        <w:spacing w:before="0" w:after="0"/>
      </w:pPr>
    </w:p>
    <w:p w14:paraId="06E1FD7A" w14:textId="2097B48B" w:rsidR="00E0480B" w:rsidRPr="00CE0C38" w:rsidRDefault="00E0480B" w:rsidP="0035025E">
      <w:pPr>
        <w:pStyle w:val="articulo"/>
      </w:pPr>
      <w:r w:rsidRPr="00CE0C38">
        <w:t>T</w:t>
      </w:r>
      <w:r>
        <w:t>ÍTULO II. Tra</w:t>
      </w:r>
      <w:r w:rsidR="00E35355">
        <w:t>s</w:t>
      </w:r>
      <w:r>
        <w:t>lado</w:t>
      </w:r>
      <w:r w:rsidR="009A1F45">
        <w:t xml:space="preserve"> a usuarios regulados</w:t>
      </w:r>
    </w:p>
    <w:p w14:paraId="75DBA01B" w14:textId="77777777" w:rsidR="00E0480B" w:rsidRDefault="00E0480B">
      <w:pPr>
        <w:spacing w:before="0" w:after="0"/>
      </w:pPr>
    </w:p>
    <w:p w14:paraId="0C5A5CCC" w14:textId="443E9F43" w:rsidR="003001AC" w:rsidRPr="0086210A" w:rsidRDefault="002972EE">
      <w:pPr>
        <w:pStyle w:val="Artculo"/>
        <w:spacing w:before="0" w:after="0"/>
        <w:ind w:left="0" w:firstLine="0"/>
        <w:rPr>
          <w:b w:val="0"/>
          <w:bCs/>
        </w:rPr>
      </w:pPr>
      <w:bookmarkStart w:id="13" w:name="_Ref75938001"/>
      <w:r>
        <w:t xml:space="preserve"> </w:t>
      </w:r>
      <w:r w:rsidR="00600FA7" w:rsidRPr="000D31FA">
        <w:t xml:space="preserve">Transacciones objeto de traslado. </w:t>
      </w:r>
      <w:r w:rsidR="00A9343F" w:rsidRPr="000D31FA">
        <w:rPr>
          <w:b w:val="0"/>
          <w:bCs/>
        </w:rPr>
        <w:t xml:space="preserve">Para efectos del traslado del que trata la presente resolución y todas las reglas acá señaladas, serán consideradas las transacciones que se realicen </w:t>
      </w:r>
      <w:bookmarkEnd w:id="13"/>
      <w:r w:rsidR="008F526A" w:rsidRPr="000D31FA">
        <w:rPr>
          <w:b w:val="0"/>
          <w:bCs/>
        </w:rPr>
        <w:t xml:space="preserve">en la Sesión de Negociación Electrónica </w:t>
      </w:r>
      <w:r w:rsidR="00106FAE" w:rsidRPr="000D31FA">
        <w:rPr>
          <w:b w:val="0"/>
          <w:bCs/>
        </w:rPr>
        <w:t>del mecanismo de DERIVEX-CRCC</w:t>
      </w:r>
      <w:r w:rsidR="0033446F" w:rsidRPr="000D31FA">
        <w:rPr>
          <w:b w:val="0"/>
          <w:bCs/>
        </w:rPr>
        <w:t>, la Sesión de Registro y la Sesión de Negociación Mixta</w:t>
      </w:r>
      <w:r w:rsidR="00526F3B" w:rsidRPr="000D31FA">
        <w:rPr>
          <w:b w:val="0"/>
          <w:bCs/>
        </w:rPr>
        <w:t>.</w:t>
      </w:r>
    </w:p>
    <w:p w14:paraId="21672AAB" w14:textId="571EA99C" w:rsidR="00600FA7" w:rsidRPr="002707D2" w:rsidRDefault="00600FA7">
      <w:pPr>
        <w:pStyle w:val="Artculo"/>
        <w:numPr>
          <w:ilvl w:val="0"/>
          <w:numId w:val="0"/>
        </w:numPr>
        <w:spacing w:before="0" w:after="0"/>
        <w:rPr>
          <w:b w:val="0"/>
          <w:bCs/>
          <w:highlight w:val="yellow"/>
        </w:rPr>
      </w:pPr>
    </w:p>
    <w:p w14:paraId="34E65EDE" w14:textId="3687B7EF" w:rsidR="008A0AAD" w:rsidRPr="002972EE" w:rsidRDefault="009A1F45">
      <w:pPr>
        <w:pStyle w:val="Artculo"/>
        <w:spacing w:before="0" w:after="0"/>
        <w:ind w:left="0" w:firstLine="0"/>
        <w:rPr>
          <w:b w:val="0"/>
          <w:bCs/>
        </w:rPr>
      </w:pPr>
      <w:bookmarkStart w:id="14" w:name="_Ref52874148"/>
      <w:proofErr w:type="gramStart"/>
      <w:r w:rsidRPr="002972EE">
        <w:t>Cantidad a trasladar</w:t>
      </w:r>
      <w:proofErr w:type="gramEnd"/>
      <w:r w:rsidR="003300D7">
        <w:t xml:space="preserve"> a usuarios regulados</w:t>
      </w:r>
      <w:r w:rsidRPr="002972EE">
        <w:t>.</w:t>
      </w:r>
      <w:r w:rsidR="0007246C" w:rsidRPr="002972EE">
        <w:t xml:space="preserve"> </w:t>
      </w:r>
      <w:proofErr w:type="gramStart"/>
      <w:r w:rsidR="0007246C" w:rsidRPr="002972EE">
        <w:rPr>
          <w:b w:val="0"/>
          <w:bCs/>
        </w:rPr>
        <w:t>La cantidad a ser trasladada</w:t>
      </w:r>
      <w:proofErr w:type="gramEnd"/>
      <w:r w:rsidR="0007246C" w:rsidRPr="002972EE">
        <w:rPr>
          <w:b w:val="0"/>
          <w:bCs/>
        </w:rPr>
        <w:t xml:space="preserve"> corresponderá a</w:t>
      </w:r>
      <w:r w:rsidR="008A0AAD" w:rsidRPr="002972EE">
        <w:rPr>
          <w:b w:val="0"/>
          <w:bCs/>
        </w:rPr>
        <w:t xml:space="preserve"> aquella que cumpla las siguientes condiciones:</w:t>
      </w:r>
    </w:p>
    <w:p w14:paraId="117AA282" w14:textId="40B0B2E0" w:rsidR="008A0AAD" w:rsidRDefault="008A0AAD">
      <w:pPr>
        <w:pStyle w:val="Artculo"/>
        <w:numPr>
          <w:ilvl w:val="0"/>
          <w:numId w:val="0"/>
        </w:numPr>
        <w:spacing w:before="0" w:after="0"/>
        <w:rPr>
          <w:b w:val="0"/>
          <w:bCs/>
        </w:rPr>
      </w:pPr>
    </w:p>
    <w:p w14:paraId="55CB05ED" w14:textId="00960A6E" w:rsidR="008A0AAD" w:rsidRPr="00CF4BBF" w:rsidRDefault="007407C0" w:rsidP="001C7682">
      <w:pPr>
        <w:pStyle w:val="Artculo"/>
        <w:numPr>
          <w:ilvl w:val="0"/>
          <w:numId w:val="10"/>
        </w:numPr>
        <w:spacing w:before="0" w:after="0"/>
        <w:ind w:left="426"/>
        <w:rPr>
          <w:b w:val="0"/>
          <w:bCs/>
        </w:rPr>
      </w:pPr>
      <w:r>
        <w:rPr>
          <w:b w:val="0"/>
          <w:bCs/>
        </w:rPr>
        <w:t>Corresponde</w:t>
      </w:r>
      <w:r w:rsidR="00B40A5D" w:rsidRPr="00CF4BBF">
        <w:rPr>
          <w:b w:val="0"/>
          <w:bCs/>
        </w:rPr>
        <w:t xml:space="preserve"> a transacciones de compra realizadas por el comercializador a través del mecanismo de DERIVEX-CRCC</w:t>
      </w:r>
      <w:r w:rsidR="009F1AE8" w:rsidRPr="00CF4BBF">
        <w:rPr>
          <w:b w:val="0"/>
          <w:bCs/>
        </w:rPr>
        <w:t xml:space="preserve"> para cubrir demanda regulada.</w:t>
      </w:r>
    </w:p>
    <w:p w14:paraId="207DACB7" w14:textId="77777777" w:rsidR="009F1AE8" w:rsidRPr="00CF4BBF" w:rsidRDefault="009F1AE8">
      <w:pPr>
        <w:pStyle w:val="Artculo"/>
        <w:numPr>
          <w:ilvl w:val="0"/>
          <w:numId w:val="0"/>
        </w:numPr>
        <w:spacing w:before="0" w:after="0"/>
        <w:ind w:left="426"/>
        <w:rPr>
          <w:b w:val="0"/>
          <w:bCs/>
        </w:rPr>
      </w:pPr>
    </w:p>
    <w:p w14:paraId="3399E05D" w14:textId="3E3019A8" w:rsidR="009F1AE8" w:rsidRPr="00CF4BBF" w:rsidRDefault="001C1369" w:rsidP="001C7682">
      <w:pPr>
        <w:pStyle w:val="Artculo"/>
        <w:numPr>
          <w:ilvl w:val="0"/>
          <w:numId w:val="10"/>
        </w:numPr>
        <w:spacing w:before="0" w:after="0"/>
        <w:ind w:left="426" w:hanging="426"/>
        <w:rPr>
          <w:b w:val="0"/>
          <w:bCs/>
        </w:rPr>
      </w:pPr>
      <w:r w:rsidRPr="00CF4BBF">
        <w:rPr>
          <w:b w:val="0"/>
          <w:bCs/>
        </w:rPr>
        <w:t xml:space="preserve">Para el </w:t>
      </w:r>
      <w:r w:rsidR="008F0110" w:rsidRPr="00CF4BBF">
        <w:rPr>
          <w:b w:val="0"/>
          <w:bCs/>
        </w:rPr>
        <w:t>mes</w:t>
      </w:r>
      <w:r w:rsidRPr="00CF4BBF">
        <w:rPr>
          <w:b w:val="0"/>
          <w:bCs/>
        </w:rPr>
        <w:t xml:space="preserve"> del vencimiento</w:t>
      </w:r>
      <w:r w:rsidR="008F0110" w:rsidRPr="00CF4BBF">
        <w:rPr>
          <w:b w:val="0"/>
          <w:bCs/>
        </w:rPr>
        <w:t xml:space="preserve"> t</w:t>
      </w:r>
      <w:r w:rsidRPr="00CF4BBF">
        <w:rPr>
          <w:b w:val="0"/>
          <w:bCs/>
        </w:rPr>
        <w:t>,</w:t>
      </w:r>
      <w:r w:rsidR="008F0110" w:rsidRPr="00CF4BBF">
        <w:rPr>
          <w:b w:val="0"/>
          <w:bCs/>
        </w:rPr>
        <w:t xml:space="preserve"> se puede verificar en los registros del mecanismo</w:t>
      </w:r>
      <w:r w:rsidR="00DE60EF" w:rsidRPr="00CF4BBF">
        <w:rPr>
          <w:b w:val="0"/>
          <w:bCs/>
        </w:rPr>
        <w:t xml:space="preserve"> de DERIVEX-CRCC</w:t>
      </w:r>
      <w:r w:rsidR="008F0110" w:rsidRPr="00CF4BBF">
        <w:rPr>
          <w:b w:val="0"/>
          <w:bCs/>
        </w:rPr>
        <w:t xml:space="preserve"> </w:t>
      </w:r>
      <w:r w:rsidR="00BE4586" w:rsidRPr="00CF4BBF">
        <w:rPr>
          <w:b w:val="0"/>
          <w:bCs/>
        </w:rPr>
        <w:t xml:space="preserve">que dicha cantidad </w:t>
      </w:r>
      <w:r w:rsidR="006362DE" w:rsidRPr="00CF4BBF">
        <w:rPr>
          <w:b w:val="0"/>
          <w:bCs/>
        </w:rPr>
        <w:t>corresponde a</w:t>
      </w:r>
      <w:r w:rsidR="00BE4586" w:rsidRPr="00CF4BBF">
        <w:rPr>
          <w:b w:val="0"/>
          <w:bCs/>
        </w:rPr>
        <w:t xml:space="preserve"> la cantidad de la </w:t>
      </w:r>
      <w:r w:rsidR="003300D7">
        <w:rPr>
          <w:b w:val="0"/>
          <w:bCs/>
        </w:rPr>
        <w:t>P</w:t>
      </w:r>
      <w:r w:rsidR="00BE4586" w:rsidRPr="00CF4BBF">
        <w:rPr>
          <w:b w:val="0"/>
          <w:bCs/>
        </w:rPr>
        <w:t xml:space="preserve">osición neta </w:t>
      </w:r>
      <w:r w:rsidR="00092CF2" w:rsidRPr="00CF4BBF">
        <w:rPr>
          <w:b w:val="0"/>
          <w:bCs/>
        </w:rPr>
        <w:t>del comercializador</w:t>
      </w:r>
      <w:r w:rsidR="00D805F1" w:rsidRPr="00CF4BBF">
        <w:rPr>
          <w:b w:val="0"/>
          <w:bCs/>
        </w:rPr>
        <w:t>.</w:t>
      </w:r>
    </w:p>
    <w:p w14:paraId="5E89C7CF" w14:textId="4B2FC2D5" w:rsidR="008A0AAD" w:rsidRDefault="008A0AAD" w:rsidP="0035025E">
      <w:pPr>
        <w:pStyle w:val="articulo"/>
      </w:pPr>
    </w:p>
    <w:p w14:paraId="02523ABA" w14:textId="3CD3F225" w:rsidR="00866EFF" w:rsidRPr="009F08FD" w:rsidRDefault="00866EFF">
      <w:pPr>
        <w:spacing w:before="0" w:after="0"/>
      </w:pPr>
      <w:r w:rsidRPr="00613483">
        <w:rPr>
          <w:b/>
          <w:bCs/>
        </w:rPr>
        <w:t>Parágrafo</w:t>
      </w:r>
      <w:r w:rsidR="00A23335">
        <w:rPr>
          <w:b/>
          <w:bCs/>
        </w:rPr>
        <w:t>.</w:t>
      </w:r>
      <w:r w:rsidRPr="00613483">
        <w:rPr>
          <w:b/>
          <w:bCs/>
        </w:rPr>
        <w:t xml:space="preserve"> </w:t>
      </w:r>
      <w:r w:rsidRPr="00174313">
        <w:t>Los comercializadores que atiendan demanda regulada y no regulada deberán registrarse</w:t>
      </w:r>
      <w:r w:rsidR="00CB78A0" w:rsidRPr="00174313">
        <w:t xml:space="preserve"> en el mecanismo de DERIVEX-CRCC</w:t>
      </w:r>
      <w:r w:rsidRPr="00174313">
        <w:t xml:space="preserve"> con</w:t>
      </w:r>
      <w:r w:rsidR="00A31075" w:rsidRPr="00613483">
        <w:t xml:space="preserve"> </w:t>
      </w:r>
      <w:r w:rsidR="00B845BE">
        <w:t>una cuenta independiente</w:t>
      </w:r>
      <w:r w:rsidR="00A31075" w:rsidRPr="00613483">
        <w:t xml:space="preserve"> para cada tipo de demanda</w:t>
      </w:r>
      <w:r w:rsidR="00E75AC9" w:rsidRPr="00613483">
        <w:t>, de forma tal</w:t>
      </w:r>
      <w:r w:rsidRPr="00174313">
        <w:t xml:space="preserve"> que </w:t>
      </w:r>
      <w:r w:rsidR="00B845BE">
        <w:t>se puedan</w:t>
      </w:r>
      <w:r w:rsidRPr="00174313">
        <w:t xml:space="preserve"> establecer claramente</w:t>
      </w:r>
      <w:r w:rsidR="00BD0381">
        <w:t xml:space="preserve"> las </w:t>
      </w:r>
      <w:r w:rsidR="00BD0381" w:rsidRPr="009F08FD">
        <w:t>cantidades</w:t>
      </w:r>
      <w:r w:rsidRPr="009F08FD">
        <w:t xml:space="preserve"> </w:t>
      </w:r>
      <w:r w:rsidR="00BD0381" w:rsidRPr="009F08FD">
        <w:t>con</w:t>
      </w:r>
      <w:r w:rsidRPr="009F08FD">
        <w:t xml:space="preserve"> destino </w:t>
      </w:r>
      <w:r w:rsidR="00BD0381" w:rsidRPr="009F08FD">
        <w:t>a</w:t>
      </w:r>
      <w:r w:rsidRPr="009F08FD">
        <w:t xml:space="preserve"> cada </w:t>
      </w:r>
      <w:r w:rsidR="00B845BE">
        <w:t>una</w:t>
      </w:r>
      <w:r w:rsidR="00A31075" w:rsidRPr="009F08FD">
        <w:t>.</w:t>
      </w:r>
    </w:p>
    <w:p w14:paraId="76288F87" w14:textId="77777777" w:rsidR="00A31075" w:rsidRPr="009F08FD" w:rsidRDefault="00A31075">
      <w:pPr>
        <w:spacing w:before="0" w:after="0"/>
        <w:rPr>
          <w:b/>
          <w:bCs/>
        </w:rPr>
      </w:pPr>
    </w:p>
    <w:p w14:paraId="57B8F700" w14:textId="63BB6E06" w:rsidR="00DB4CC4" w:rsidRPr="00D4711B" w:rsidRDefault="00A60130">
      <w:pPr>
        <w:pStyle w:val="Artculo"/>
        <w:spacing w:before="0" w:after="0"/>
        <w:ind w:left="0" w:firstLine="0"/>
        <w:rPr>
          <w:b w:val="0"/>
        </w:rPr>
      </w:pPr>
      <w:r w:rsidRPr="009F08FD">
        <w:rPr>
          <w:b w:val="0"/>
          <w:bCs/>
        </w:rPr>
        <w:lastRenderedPageBreak/>
        <w:t xml:space="preserve"> </w:t>
      </w:r>
      <w:bookmarkStart w:id="15" w:name="_Ref99526464"/>
      <w:bookmarkStart w:id="16" w:name="_Ref52874168"/>
      <w:bookmarkEnd w:id="14"/>
      <w:r w:rsidR="008D6741" w:rsidRPr="009F08FD">
        <w:rPr>
          <w:bCs/>
        </w:rPr>
        <w:t xml:space="preserve">Precio </w:t>
      </w:r>
      <w:r w:rsidR="00975E2C">
        <w:rPr>
          <w:bCs/>
        </w:rPr>
        <w:t xml:space="preserve">promedio ponderado </w:t>
      </w:r>
      <w:r w:rsidR="00123490">
        <w:rPr>
          <w:bCs/>
        </w:rPr>
        <w:t xml:space="preserve">para el traslado </w:t>
      </w:r>
      <w:r w:rsidR="00975E2C">
        <w:rPr>
          <w:bCs/>
        </w:rPr>
        <w:t>de las compras realizadas por el comercializador en el mecanismo DERIVEX-CRCC</w:t>
      </w:r>
      <w:r w:rsidR="008D6741" w:rsidRPr="009F08FD">
        <w:rPr>
          <w:bCs/>
        </w:rPr>
        <w:t>.</w:t>
      </w:r>
      <w:r w:rsidR="008D6741" w:rsidRPr="009F08FD">
        <w:rPr>
          <w:b w:val="0"/>
        </w:rPr>
        <w:t xml:space="preserve"> </w:t>
      </w:r>
      <w:r w:rsidR="00794801" w:rsidRPr="00D4711B">
        <w:rPr>
          <w:b w:val="0"/>
        </w:rPr>
        <w:t xml:space="preserve">El precio </w:t>
      </w:r>
      <w:r w:rsidR="00655314">
        <w:rPr>
          <w:b w:val="0"/>
        </w:rPr>
        <w:t>promedio ponderado para el traslado</w:t>
      </w:r>
      <w:r w:rsidR="001B4DD1" w:rsidRPr="00D4711B">
        <w:rPr>
          <w:b w:val="0"/>
        </w:rPr>
        <w:t xml:space="preserve"> </w:t>
      </w:r>
      <w:r w:rsidR="00655314">
        <w:rPr>
          <w:b w:val="0"/>
        </w:rPr>
        <w:t>de</w:t>
      </w:r>
      <w:r w:rsidR="001B4DD1" w:rsidRPr="00D4711B">
        <w:rPr>
          <w:b w:val="0"/>
        </w:rPr>
        <w:t xml:space="preserve"> las compras realizadas por los comercializadores a través del mecanismo de DERIVEX-CRCC, con destin</w:t>
      </w:r>
      <w:r w:rsidR="00D813FE" w:rsidRPr="00D4711B">
        <w:rPr>
          <w:b w:val="0"/>
        </w:rPr>
        <w:t xml:space="preserve">o a la demanda regulada se </w:t>
      </w:r>
      <w:r w:rsidR="004A2496">
        <w:rPr>
          <w:b w:val="0"/>
        </w:rPr>
        <w:t>calculará con base en los siguientes precios</w:t>
      </w:r>
      <w:r w:rsidR="00D813FE" w:rsidRPr="00D4711B">
        <w:rPr>
          <w:b w:val="0"/>
        </w:rPr>
        <w:t xml:space="preserve"> de </w:t>
      </w:r>
      <w:r w:rsidR="004A2496">
        <w:rPr>
          <w:b w:val="0"/>
        </w:rPr>
        <w:t>referencia</w:t>
      </w:r>
      <w:r w:rsidR="00D813FE" w:rsidRPr="00D4711B">
        <w:rPr>
          <w:b w:val="0"/>
        </w:rPr>
        <w:t>:</w:t>
      </w:r>
      <w:bookmarkEnd w:id="15"/>
    </w:p>
    <w:p w14:paraId="26EED107" w14:textId="77777777" w:rsidR="001649BE" w:rsidRPr="00D4711B" w:rsidRDefault="001649BE" w:rsidP="0035025E">
      <w:pPr>
        <w:pStyle w:val="articulo"/>
      </w:pPr>
    </w:p>
    <w:p w14:paraId="050C5A5E" w14:textId="4AE9321B" w:rsidR="00D813FE" w:rsidRPr="00D4711B" w:rsidRDefault="00D813FE" w:rsidP="001C7682">
      <w:pPr>
        <w:pStyle w:val="Prrafodelista"/>
        <w:numPr>
          <w:ilvl w:val="0"/>
          <w:numId w:val="11"/>
        </w:numPr>
        <w:spacing w:before="0" w:after="0"/>
        <w:ind w:left="567" w:hanging="567"/>
      </w:pPr>
      <w:r w:rsidRPr="00D4711B">
        <w:t xml:space="preserve">Para compras realizadas en </w:t>
      </w:r>
      <w:r w:rsidR="00C46227" w:rsidRPr="009F08FD">
        <w:t xml:space="preserve">Convocatorias de Participación en Subastas de Cierre </w:t>
      </w:r>
      <w:r w:rsidR="00D315B2" w:rsidRPr="00D4711B">
        <w:t>del mecanismo</w:t>
      </w:r>
      <w:r w:rsidRPr="00D4711B">
        <w:t xml:space="preserve">, </w:t>
      </w:r>
      <w:r w:rsidR="00816A70">
        <w:t>se toma</w:t>
      </w:r>
      <w:r w:rsidRPr="00D4711B">
        <w:t xml:space="preserve"> el precio de </w:t>
      </w:r>
      <w:r w:rsidR="007431B5" w:rsidRPr="00D4711B">
        <w:t xml:space="preserve">cierre de </w:t>
      </w:r>
      <w:r w:rsidR="00456FA9" w:rsidRPr="00D4711B">
        <w:t>l</w:t>
      </w:r>
      <w:r w:rsidR="007431B5" w:rsidRPr="00D4711B">
        <w:t>a subasta</w:t>
      </w:r>
      <w:r w:rsidR="00456FA9" w:rsidRPr="00D4711B">
        <w:t xml:space="preserve"> donde se haya realizado la </w:t>
      </w:r>
      <w:r w:rsidR="0040697D" w:rsidRPr="00D4711B">
        <w:t>transacción objeto de traslado</w:t>
      </w:r>
      <w:r w:rsidR="007431B5" w:rsidRPr="00D4711B">
        <w:t>.</w:t>
      </w:r>
    </w:p>
    <w:p w14:paraId="420ECADA" w14:textId="77777777" w:rsidR="001649BE" w:rsidRPr="00D4711B" w:rsidRDefault="001649BE">
      <w:pPr>
        <w:pStyle w:val="Prrafodelista"/>
        <w:spacing w:before="0" w:after="0"/>
        <w:ind w:left="567"/>
      </w:pPr>
    </w:p>
    <w:p w14:paraId="0E829A74" w14:textId="29FD57F9" w:rsidR="007431B5" w:rsidRPr="009F08FD" w:rsidRDefault="007431B5" w:rsidP="001C7682">
      <w:pPr>
        <w:pStyle w:val="Prrafodelista"/>
        <w:numPr>
          <w:ilvl w:val="0"/>
          <w:numId w:val="11"/>
        </w:numPr>
        <w:spacing w:before="0" w:after="0"/>
        <w:ind w:left="567" w:hanging="567"/>
      </w:pPr>
      <w:r w:rsidRPr="00D4711B">
        <w:t xml:space="preserve">Para compras realizadas en </w:t>
      </w:r>
      <w:r w:rsidR="00993713" w:rsidRPr="00D4711B">
        <w:t>otras</w:t>
      </w:r>
      <w:r w:rsidRPr="00D4711B">
        <w:t xml:space="preserve"> </w:t>
      </w:r>
      <w:r w:rsidR="00064354" w:rsidRPr="00D4711B">
        <w:t>s</w:t>
      </w:r>
      <w:r w:rsidRPr="00D4711B">
        <w:t>esiones del mecanismo</w:t>
      </w:r>
      <w:r w:rsidR="00064354" w:rsidRPr="00D4711B">
        <w:t xml:space="preserve">, </w:t>
      </w:r>
      <w:r w:rsidR="003A7216">
        <w:t>se toma el</w:t>
      </w:r>
      <w:r w:rsidR="006F5693" w:rsidRPr="00D4711B">
        <w:t xml:space="preserve"> precio de cierre de la </w:t>
      </w:r>
      <w:r w:rsidR="00C46227" w:rsidRPr="009F08FD">
        <w:t xml:space="preserve">Convocatoria de Participación en Subasta de Cierre </w:t>
      </w:r>
      <w:r w:rsidR="006F5693" w:rsidRPr="009F08FD">
        <w:t>inmediatamente anterior a la fecha de la transacción objeto de traslado</w:t>
      </w:r>
      <w:r w:rsidR="00203DCE" w:rsidRPr="009F08FD">
        <w:t>, para el vencimiento correspondiente</w:t>
      </w:r>
      <w:r w:rsidR="006F5693" w:rsidRPr="009F08FD">
        <w:t>.</w:t>
      </w:r>
    </w:p>
    <w:p w14:paraId="2984F929" w14:textId="77777777" w:rsidR="00B37E3C" w:rsidRPr="009F08FD" w:rsidRDefault="00B37E3C">
      <w:pPr>
        <w:pStyle w:val="Prrafodelista"/>
        <w:spacing w:before="0" w:after="0"/>
        <w:ind w:left="567"/>
      </w:pPr>
    </w:p>
    <w:p w14:paraId="3323C1FE" w14:textId="2C671C11" w:rsidR="00E5229D" w:rsidRDefault="008170AC">
      <w:pPr>
        <w:pStyle w:val="Prrafodelista"/>
        <w:spacing w:before="0" w:after="0"/>
        <w:ind w:left="567"/>
      </w:pPr>
      <w:r w:rsidRPr="004A3F9C">
        <w:t xml:space="preserve">Si la </w:t>
      </w:r>
      <w:r w:rsidR="009E0677" w:rsidRPr="00D4711B">
        <w:t xml:space="preserve">Convocatoria de Participación en Subasta de Cierre </w:t>
      </w:r>
      <w:r w:rsidRPr="00D4711B">
        <w:t xml:space="preserve">inmediatamente anterior no </w:t>
      </w:r>
      <w:r w:rsidR="007C6D7D" w:rsidRPr="00D4711B">
        <w:t>t</w:t>
      </w:r>
      <w:r w:rsidR="00DD47F4" w:rsidRPr="00D4711B">
        <w:t>iene</w:t>
      </w:r>
      <w:r w:rsidRPr="00D4711B">
        <w:t xml:space="preserve"> precio de cierre para el vencimiento objeto de traslado, se tomará como referencia la última </w:t>
      </w:r>
      <w:r w:rsidR="007E5AFF" w:rsidRPr="00D4711B">
        <w:t xml:space="preserve">Convocatoria de Participación </w:t>
      </w:r>
      <w:r w:rsidRPr="00D4711B">
        <w:t>con precio de cierre</w:t>
      </w:r>
      <w:r w:rsidR="00C56BB3" w:rsidRPr="00D4711B">
        <w:t xml:space="preserve"> para el vencimiento correspondiente</w:t>
      </w:r>
      <w:r w:rsidRPr="00D4711B">
        <w:t>.</w:t>
      </w:r>
    </w:p>
    <w:p w14:paraId="2B0D510A" w14:textId="77777777" w:rsidR="00C32E8D" w:rsidRDefault="00C32E8D">
      <w:pPr>
        <w:pStyle w:val="Prrafodelista"/>
        <w:spacing w:before="0" w:after="0"/>
        <w:ind w:left="567"/>
      </w:pPr>
    </w:p>
    <w:p w14:paraId="21E6C078" w14:textId="1A375583" w:rsidR="00C32E8D" w:rsidRDefault="004E7CB7">
      <w:pPr>
        <w:pStyle w:val="Prrafodelista"/>
        <w:spacing w:before="0" w:after="0"/>
        <w:ind w:left="0"/>
      </w:pPr>
      <w:r>
        <w:t>El precio promedio ponderado</w:t>
      </w:r>
      <w:r w:rsidR="00404C12">
        <w:t xml:space="preserve"> de las compras</w:t>
      </w:r>
      <w:r>
        <w:t xml:space="preserve"> </w:t>
      </w:r>
      <w:r w:rsidR="00404C12">
        <w:t>objeto de traslado será calculado con base en las reglas anteriores, según sea el caso, utilizando la siguiente fórmula:</w:t>
      </w:r>
    </w:p>
    <w:p w14:paraId="22596C01" w14:textId="77777777" w:rsidR="00F35CCE" w:rsidRDefault="00F35CCE">
      <w:pPr>
        <w:pStyle w:val="Prrafodelista"/>
        <w:spacing w:before="0" w:after="0"/>
        <w:ind w:left="567"/>
      </w:pPr>
    </w:p>
    <w:p w14:paraId="0C3B91AB" w14:textId="054CE624" w:rsidR="00655314" w:rsidRDefault="00C337A1">
      <w:pPr>
        <w:pStyle w:val="Prrafodelista"/>
        <w:spacing w:before="0" w:after="0"/>
        <w:ind w:left="567"/>
      </w:pPr>
      <m:oMathPara>
        <m:oMath>
          <m:sSub>
            <m:sSubPr>
              <m:ctrlPr>
                <w:rPr>
                  <w:rFonts w:ascii="Cambria Math" w:hAnsi="Cambria Math"/>
                  <w:i/>
                </w:rPr>
              </m:ctrlPr>
            </m:sSubPr>
            <m:e>
              <m:r>
                <w:rPr>
                  <w:rFonts w:ascii="Cambria Math" w:hAnsi="Cambria Math"/>
                </w:rPr>
                <m:t>pp</m:t>
              </m:r>
            </m:e>
            <m:sub>
              <m:r>
                <w:rPr>
                  <w:rFonts w:ascii="Cambria Math" w:hAnsi="Cambria Math"/>
                </w:rPr>
                <m:t>m,i</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s=1</m:t>
                  </m:r>
                </m:sub>
                <m:sup>
                  <m:r>
                    <w:rPr>
                      <w:rFonts w:ascii="Cambria Math" w:hAnsi="Cambria Math"/>
                    </w:rPr>
                    <m:t>n</m:t>
                  </m:r>
                </m:sup>
                <m:e>
                  <m:sSub>
                    <m:sSubPr>
                      <m:ctrlPr>
                        <w:rPr>
                          <w:rFonts w:ascii="Cambria Math" w:hAnsi="Cambria Math"/>
                          <w:i/>
                        </w:rPr>
                      </m:ctrlPr>
                    </m:sSubPr>
                    <m:e>
                      <m:r>
                        <w:rPr>
                          <w:rFonts w:ascii="Cambria Math" w:hAnsi="Cambria Math"/>
                        </w:rPr>
                        <m:t>p</m:t>
                      </m:r>
                    </m:e>
                    <m:sub>
                      <m:r>
                        <w:rPr>
                          <w:rFonts w:ascii="Cambria Math" w:hAnsi="Cambria Math"/>
                        </w:rPr>
                        <m:t>s,m,i</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s,m,i</m:t>
                      </m:r>
                    </m:sub>
                  </m:sSub>
                </m:e>
              </m:nary>
            </m:num>
            <m:den>
              <m:nary>
                <m:naryPr>
                  <m:chr m:val="∑"/>
                  <m:limLoc m:val="undOvr"/>
                  <m:ctrlPr>
                    <w:rPr>
                      <w:rFonts w:ascii="Cambria Math" w:hAnsi="Cambria Math"/>
                      <w:i/>
                    </w:rPr>
                  </m:ctrlPr>
                </m:naryPr>
                <m:sub>
                  <m:r>
                    <w:rPr>
                      <w:rFonts w:ascii="Cambria Math" w:hAnsi="Cambria Math"/>
                    </w:rPr>
                    <m:t>s=1</m:t>
                  </m:r>
                </m:sub>
                <m:sup>
                  <m:r>
                    <w:rPr>
                      <w:rFonts w:ascii="Cambria Math" w:hAnsi="Cambria Math"/>
                    </w:rPr>
                    <m:t>n</m:t>
                  </m:r>
                </m:sup>
                <m:e>
                  <m:sSub>
                    <m:sSubPr>
                      <m:ctrlPr>
                        <w:rPr>
                          <w:rFonts w:ascii="Cambria Math" w:hAnsi="Cambria Math"/>
                          <w:i/>
                        </w:rPr>
                      </m:ctrlPr>
                    </m:sSubPr>
                    <m:e>
                      <m:r>
                        <w:rPr>
                          <w:rFonts w:ascii="Cambria Math" w:hAnsi="Cambria Math"/>
                        </w:rPr>
                        <m:t>q</m:t>
                      </m:r>
                    </m:e>
                    <m:sub>
                      <m:r>
                        <w:rPr>
                          <w:rFonts w:ascii="Cambria Math" w:hAnsi="Cambria Math"/>
                        </w:rPr>
                        <m:t>s,m,i</m:t>
                      </m:r>
                    </m:sub>
                  </m:sSub>
                </m:e>
              </m:nary>
            </m:den>
          </m:f>
        </m:oMath>
      </m:oMathPara>
    </w:p>
    <w:p w14:paraId="0867F4DC" w14:textId="77777777" w:rsidR="002C0A85" w:rsidRDefault="002C0A85">
      <w:pPr>
        <w:pStyle w:val="Prrafodelista"/>
        <w:spacing w:before="0" w:after="0"/>
        <w:ind w:left="567"/>
      </w:pPr>
    </w:p>
    <w:bookmarkEnd w:id="16"/>
    <w:p w14:paraId="5FD5BCAC" w14:textId="01BDA4BF" w:rsidR="00663988" w:rsidRDefault="0078598A">
      <w:pPr>
        <w:spacing w:before="0" w:after="0"/>
      </w:pPr>
      <w:r>
        <w:t>Donde,</w:t>
      </w:r>
    </w:p>
    <w:p w14:paraId="6365F3F9" w14:textId="594D8753" w:rsidR="0078598A" w:rsidRDefault="0078598A">
      <w:pPr>
        <w:spacing w:before="0" w:after="0"/>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222"/>
      </w:tblGrid>
      <w:tr w:rsidR="0078598A" w:rsidRPr="00D60747" w14:paraId="4F3CC523" w14:textId="77777777" w:rsidTr="009B5A4C">
        <w:tc>
          <w:tcPr>
            <w:tcW w:w="1134" w:type="dxa"/>
            <w:hideMark/>
          </w:tcPr>
          <w:p w14:paraId="4C4BB1B2" w14:textId="295C684B" w:rsidR="0078598A" w:rsidRPr="009B5A4C" w:rsidRDefault="00C337A1">
            <w:pPr>
              <w:tabs>
                <w:tab w:val="left" w:pos="0"/>
                <w:tab w:val="left" w:pos="284"/>
              </w:tabs>
              <w:spacing w:before="0" w:after="0"/>
              <w:rPr>
                <w:rFonts w:ascii="Times New Roman" w:hAnsi="Times New Roman"/>
                <w:color w:val="000000" w:themeColor="text1"/>
                <w:lang w:val="es-CO"/>
              </w:rPr>
            </w:pPr>
            <m:oMath>
              <m:sSub>
                <m:sSubPr>
                  <m:ctrlPr>
                    <w:rPr>
                      <w:rFonts w:ascii="Cambria Math" w:hAnsi="Cambria Math"/>
                      <w:i/>
                      <w:color w:val="000000" w:themeColor="text1"/>
                    </w:rPr>
                  </m:ctrlPr>
                </m:sSubPr>
                <m:e>
                  <m:r>
                    <w:rPr>
                      <w:rFonts w:ascii="Cambria Math" w:hAnsi="Cambria Math"/>
                      <w:color w:val="000000" w:themeColor="text1"/>
                      <w:lang w:val="es-CO"/>
                    </w:rPr>
                    <m:t>pp</m:t>
                  </m:r>
                </m:e>
                <m:sub>
                  <m:r>
                    <w:rPr>
                      <w:rFonts w:ascii="Cambria Math" w:hAnsi="Cambria Math"/>
                      <w:color w:val="000000" w:themeColor="text1"/>
                      <w:lang w:val="es-CO"/>
                    </w:rPr>
                    <m:t>m,i</m:t>
                  </m:r>
                </m:sub>
              </m:sSub>
              <m:r>
                <w:rPr>
                  <w:rFonts w:ascii="Cambria Math" w:hAnsi="Cambria Math"/>
                  <w:color w:val="000000" w:themeColor="text1"/>
                  <w:lang w:val="es-CO"/>
                </w:rPr>
                <m:t>:</m:t>
              </m:r>
            </m:oMath>
            <w:r w:rsidR="0078598A" w:rsidRPr="009B5A4C">
              <w:rPr>
                <w:color w:val="000000" w:themeColor="text1"/>
                <w:lang w:val="es-CO"/>
              </w:rPr>
              <w:t xml:space="preserve"> </w:t>
            </w:r>
          </w:p>
        </w:tc>
        <w:tc>
          <w:tcPr>
            <w:tcW w:w="8222" w:type="dxa"/>
          </w:tcPr>
          <w:p w14:paraId="330E89D4" w14:textId="3671F79F" w:rsidR="0078598A" w:rsidRPr="009B5A4C" w:rsidRDefault="0078598A">
            <w:pPr>
              <w:tabs>
                <w:tab w:val="left" w:pos="0"/>
                <w:tab w:val="left" w:pos="284"/>
              </w:tabs>
              <w:spacing w:before="0" w:after="0"/>
              <w:rPr>
                <w:iCs/>
              </w:rPr>
            </w:pPr>
            <w:r w:rsidRPr="009B5A4C">
              <w:t>Precio promedio ponderado de</w:t>
            </w:r>
            <w:r w:rsidR="00A61FDB" w:rsidRPr="009B5A4C">
              <w:t xml:space="preserve"> todas</w:t>
            </w:r>
            <w:r w:rsidRPr="009B5A4C">
              <w:t xml:space="preserve"> las compras realizadas por el comercializador </w:t>
            </w:r>
            <w:r w:rsidRPr="009B5A4C">
              <w:rPr>
                <w:i/>
              </w:rPr>
              <w:t>i</w:t>
            </w:r>
            <w:r w:rsidRPr="009B5A4C">
              <w:t xml:space="preserve"> a través el mecanismo DERIVEX-CRCC, con vencimiento en el mes </w:t>
            </w:r>
            <w:r w:rsidRPr="009B5A4C">
              <w:rPr>
                <w:i/>
              </w:rPr>
              <w:t>m,</w:t>
            </w:r>
            <w:r w:rsidRPr="009B5A4C">
              <w:t xml:space="preserve"> expresado en pesos por kilovatio hora (COP/kWh).</w:t>
            </w:r>
          </w:p>
          <w:p w14:paraId="31DEE67B" w14:textId="41E96D2F" w:rsidR="004D2396" w:rsidRPr="009B5A4C" w:rsidRDefault="004D2396">
            <w:pPr>
              <w:tabs>
                <w:tab w:val="left" w:pos="0"/>
                <w:tab w:val="left" w:pos="284"/>
              </w:tabs>
              <w:spacing w:before="0" w:after="0"/>
              <w:rPr>
                <w:iCs/>
              </w:rPr>
            </w:pPr>
          </w:p>
        </w:tc>
      </w:tr>
      <w:tr w:rsidR="0078598A" w:rsidRPr="00D60747" w14:paraId="053F6D2E" w14:textId="77777777" w:rsidTr="009B5A4C">
        <w:tc>
          <w:tcPr>
            <w:tcW w:w="1134" w:type="dxa"/>
          </w:tcPr>
          <w:p w14:paraId="6963C25A" w14:textId="7EF32581" w:rsidR="0078598A" w:rsidRPr="009B5A4C" w:rsidRDefault="00C337A1">
            <w:pPr>
              <w:tabs>
                <w:tab w:val="left" w:pos="0"/>
                <w:tab w:val="left" w:pos="284"/>
              </w:tabs>
              <w:spacing w:before="0" w:after="0"/>
              <w:rPr>
                <w:color w:val="000000" w:themeColor="text1"/>
              </w:rPr>
            </w:pPr>
            <m:oMathPara>
              <m:oMathParaPr>
                <m:jc m:val="left"/>
              </m:oMathParaPr>
              <m:oMath>
                <m:sSub>
                  <m:sSubPr>
                    <m:ctrlPr>
                      <w:rPr>
                        <w:rFonts w:ascii="Cambria Math" w:hAnsi="Cambria Math"/>
                        <w:i/>
                      </w:rPr>
                    </m:ctrlPr>
                  </m:sSubPr>
                  <m:e>
                    <m:r>
                      <w:rPr>
                        <w:rFonts w:ascii="Cambria Math" w:hAnsi="Cambria Math"/>
                      </w:rPr>
                      <m:t>q</m:t>
                    </m:r>
                  </m:e>
                  <m:sub>
                    <m:r>
                      <w:rPr>
                        <w:rFonts w:ascii="Cambria Math" w:hAnsi="Cambria Math"/>
                      </w:rPr>
                      <m:t>s,m,i</m:t>
                    </m:r>
                  </m:sub>
                </m:sSub>
                <m:r>
                  <w:rPr>
                    <w:rFonts w:ascii="Cambria Math" w:hAnsi="Cambria Math"/>
                  </w:rPr>
                  <m:t>:</m:t>
                </m:r>
              </m:oMath>
            </m:oMathPara>
          </w:p>
        </w:tc>
        <w:tc>
          <w:tcPr>
            <w:tcW w:w="8222" w:type="dxa"/>
          </w:tcPr>
          <w:p w14:paraId="1A9A7ABA" w14:textId="77586E03" w:rsidR="0078598A" w:rsidRPr="009B5A4C" w:rsidRDefault="00111B4D">
            <w:pPr>
              <w:tabs>
                <w:tab w:val="left" w:pos="0"/>
                <w:tab w:val="left" w:pos="284"/>
              </w:tabs>
              <w:spacing w:before="0" w:after="0"/>
            </w:pPr>
            <w:r w:rsidRPr="009B5A4C">
              <w:t>cantidad de energía de la transacción de compra de cobertura</w:t>
            </w:r>
            <w:r w:rsidR="004C1027" w:rsidRPr="009B5A4C">
              <w:t xml:space="preserve"> </w:t>
            </w:r>
            <w:r w:rsidR="004C1027" w:rsidRPr="009B5A4C">
              <w:rPr>
                <w:i/>
                <w:iCs/>
              </w:rPr>
              <w:t>s</w:t>
            </w:r>
            <w:r w:rsidRPr="009B5A4C">
              <w:t xml:space="preserve"> con vencimiento en </w:t>
            </w:r>
            <w:r w:rsidR="004C1027" w:rsidRPr="009B5A4C">
              <w:rPr>
                <w:i/>
                <w:iCs/>
              </w:rPr>
              <w:t>m</w:t>
            </w:r>
            <w:r w:rsidRPr="009B5A4C">
              <w:t xml:space="preserve"> realizada por el comercializador </w:t>
            </w:r>
            <w:r w:rsidRPr="009B5A4C">
              <w:rPr>
                <w:i/>
                <w:iCs/>
              </w:rPr>
              <w:t>i</w:t>
            </w:r>
            <w:r w:rsidRPr="009B5A4C">
              <w:t>.</w:t>
            </w:r>
          </w:p>
          <w:p w14:paraId="3323F374" w14:textId="28D8A764" w:rsidR="008D2D2F" w:rsidRPr="009B5A4C" w:rsidRDefault="008D2D2F">
            <w:pPr>
              <w:tabs>
                <w:tab w:val="left" w:pos="0"/>
                <w:tab w:val="left" w:pos="284"/>
              </w:tabs>
              <w:spacing w:before="0" w:after="0"/>
            </w:pPr>
          </w:p>
        </w:tc>
      </w:tr>
      <w:tr w:rsidR="00FC1042" w:rsidRPr="00D60747" w14:paraId="30C67122" w14:textId="77777777" w:rsidTr="009B5A4C">
        <w:tc>
          <w:tcPr>
            <w:tcW w:w="1134" w:type="dxa"/>
          </w:tcPr>
          <w:p w14:paraId="4B3D6CAB" w14:textId="1C67D6DF" w:rsidR="00FC1042" w:rsidRPr="009B5A4C" w:rsidRDefault="00FC1042">
            <w:pPr>
              <w:tabs>
                <w:tab w:val="left" w:pos="0"/>
                <w:tab w:val="left" w:pos="284"/>
              </w:tabs>
              <w:spacing w:before="0" w:after="0"/>
              <w:rPr>
                <w:i/>
                <w:iCs/>
              </w:rPr>
            </w:pPr>
            <w:r w:rsidRPr="00D60747">
              <w:rPr>
                <w:i/>
                <w:iCs/>
              </w:rPr>
              <w:t>n</w:t>
            </w:r>
          </w:p>
        </w:tc>
        <w:tc>
          <w:tcPr>
            <w:tcW w:w="8222" w:type="dxa"/>
          </w:tcPr>
          <w:p w14:paraId="0E7EC7DF" w14:textId="6A22C0DF" w:rsidR="00FC1042" w:rsidRPr="009B5A4C" w:rsidRDefault="00536575">
            <w:pPr>
              <w:tabs>
                <w:tab w:val="left" w:pos="0"/>
                <w:tab w:val="left" w:pos="284"/>
              </w:tabs>
              <w:spacing w:before="0" w:after="0"/>
            </w:pPr>
            <w:r w:rsidRPr="009B5A4C">
              <w:t>número total de</w:t>
            </w:r>
            <w:r w:rsidR="00FC1042" w:rsidRPr="009B5A4C">
              <w:t xml:space="preserve"> transacciones de compra de cobertura con vencimiento en el mes </w:t>
            </w:r>
            <w:r w:rsidR="00FC1042" w:rsidRPr="009B5A4C">
              <w:rPr>
                <w:i/>
                <w:iCs/>
              </w:rPr>
              <w:t>m</w:t>
            </w:r>
            <w:r w:rsidR="00FC1042" w:rsidRPr="009B5A4C">
              <w:t xml:space="preserve"> realizadas por el comercializador </w:t>
            </w:r>
            <w:r w:rsidR="00FC1042" w:rsidRPr="009B5A4C">
              <w:rPr>
                <w:i/>
                <w:iCs/>
              </w:rPr>
              <w:t>i</w:t>
            </w:r>
            <w:r w:rsidR="00FC1042" w:rsidRPr="009B5A4C">
              <w:t>.</w:t>
            </w:r>
          </w:p>
        </w:tc>
      </w:tr>
    </w:tbl>
    <w:p w14:paraId="0E4D7344" w14:textId="77777777" w:rsidR="0078598A" w:rsidRDefault="0078598A">
      <w:pPr>
        <w:spacing w:before="0" w:after="0"/>
      </w:pPr>
    </w:p>
    <w:p w14:paraId="14972110" w14:textId="489C68A0" w:rsidR="002E2964" w:rsidRPr="00705478" w:rsidRDefault="13545B27">
      <w:pPr>
        <w:pStyle w:val="Artculo"/>
        <w:spacing w:before="0" w:after="0"/>
        <w:ind w:left="0" w:firstLine="0"/>
        <w:rPr>
          <w:b w:val="0"/>
        </w:rPr>
      </w:pPr>
      <w:r>
        <w:t xml:space="preserve"> </w:t>
      </w:r>
      <w:bookmarkStart w:id="17" w:name="_Ref99709528"/>
      <w:r w:rsidR="002E2964">
        <w:t>Traslado del costo</w:t>
      </w:r>
      <w:r w:rsidR="002D36D8">
        <w:t xml:space="preserve"> financiero</w:t>
      </w:r>
      <w:r w:rsidR="002E2964">
        <w:t xml:space="preserve"> de garantías exigidas en el mecanismo. </w:t>
      </w:r>
      <w:r w:rsidR="00CE698F">
        <w:rPr>
          <w:b w:val="0"/>
        </w:rPr>
        <w:t>Como costo de garantías se reconocerá</w:t>
      </w:r>
      <w:r w:rsidR="00807FB7">
        <w:rPr>
          <w:b w:val="0"/>
        </w:rPr>
        <w:t xml:space="preserve"> el mínimo entre el costo</w:t>
      </w:r>
      <w:r w:rsidR="002C5519">
        <w:rPr>
          <w:b w:val="0"/>
        </w:rPr>
        <w:t xml:space="preserve"> en el que incurrió el comercializador y </w:t>
      </w:r>
      <w:r w:rsidR="0021165D">
        <w:rPr>
          <w:b w:val="0"/>
        </w:rPr>
        <w:t xml:space="preserve">el costo </w:t>
      </w:r>
      <w:r w:rsidR="0001759F">
        <w:rPr>
          <w:b w:val="0"/>
        </w:rPr>
        <w:t>valorado con</w:t>
      </w:r>
      <w:r w:rsidR="002C5519">
        <w:rPr>
          <w:b w:val="0"/>
        </w:rPr>
        <w:t xml:space="preserve"> </w:t>
      </w:r>
      <w:r w:rsidR="00465825">
        <w:rPr>
          <w:b w:val="0"/>
        </w:rPr>
        <w:t xml:space="preserve">la tasa de endeudamiento preferencial publicada por el Banco de la </w:t>
      </w:r>
      <w:r w:rsidR="00465825" w:rsidRPr="00705478">
        <w:rPr>
          <w:b w:val="0"/>
        </w:rPr>
        <w:t xml:space="preserve">República para </w:t>
      </w:r>
      <w:r w:rsidR="00661CA4" w:rsidRPr="00705478">
        <w:rPr>
          <w:b w:val="0"/>
        </w:rPr>
        <w:t>cada mes</w:t>
      </w:r>
      <w:r w:rsidR="00815FD9">
        <w:rPr>
          <w:b w:val="0"/>
        </w:rPr>
        <w:t>,</w:t>
      </w:r>
      <w:r w:rsidR="00E640AE">
        <w:rPr>
          <w:b w:val="0"/>
        </w:rPr>
        <w:t xml:space="preserve"> </w:t>
      </w:r>
      <w:r w:rsidR="00C1573B">
        <w:rPr>
          <w:b w:val="0"/>
        </w:rPr>
        <w:t>calculado de la siguiente manera</w:t>
      </w:r>
      <w:r w:rsidR="0001759F">
        <w:rPr>
          <w:b w:val="0"/>
        </w:rPr>
        <w:t>:</w:t>
      </w:r>
      <w:bookmarkEnd w:id="17"/>
    </w:p>
    <w:p w14:paraId="04DC268D" w14:textId="3D5EAAD3" w:rsidR="002E2964" w:rsidRPr="00705478" w:rsidRDefault="002E2964">
      <w:pPr>
        <w:pStyle w:val="Artculo"/>
        <w:numPr>
          <w:ilvl w:val="0"/>
          <w:numId w:val="0"/>
        </w:numPr>
        <w:spacing w:before="0" w:after="0"/>
        <w:rPr>
          <w:b w:val="0"/>
          <w:bCs/>
        </w:rPr>
      </w:pPr>
    </w:p>
    <w:p w14:paraId="47497779" w14:textId="7C2A19F1" w:rsidR="001548FE" w:rsidRPr="00D4711B" w:rsidRDefault="00004072">
      <w:pPr>
        <w:spacing w:before="0" w:after="0"/>
      </w:pPr>
      <m:oMathPara>
        <m:oMath>
          <m:r>
            <w:rPr>
              <w:rFonts w:ascii="Cambria Math" w:hAnsi="Cambria Math"/>
            </w:rPr>
            <m:t>CF</m:t>
          </m:r>
          <m:sSub>
            <m:sSubPr>
              <m:ctrlPr>
                <w:rPr>
                  <w:rFonts w:ascii="Cambria Math" w:hAnsi="Cambria Math"/>
                  <w:i/>
                </w:rPr>
              </m:ctrlPr>
            </m:sSubPr>
            <m:e>
              <m:r>
                <w:rPr>
                  <w:rFonts w:ascii="Cambria Math" w:hAnsi="Cambria Math"/>
                </w:rPr>
                <m:t>G</m:t>
              </m:r>
            </m:e>
            <m:sub>
              <m:r>
                <w:rPr>
                  <w:rFonts w:ascii="Cambria Math" w:hAnsi="Cambria Math"/>
                </w:rPr>
                <m:t>m,i</m:t>
              </m:r>
            </m:sub>
          </m:sSub>
          <m:r>
            <w:rPr>
              <w:rFonts w:ascii="Cambria Math" w:hAnsi="Cambria Math"/>
            </w:rPr>
            <m:t>=min</m:t>
          </m:r>
          <m:d>
            <m:dPr>
              <m:ctrlPr>
                <w:rPr>
                  <w:rFonts w:ascii="Cambria Math" w:hAnsi="Cambria Math"/>
                  <w:i/>
                </w:rPr>
              </m:ctrlPr>
            </m:dPr>
            <m:e>
              <m:f>
                <m:fPr>
                  <m:ctrlPr>
                    <w:rPr>
                      <w:rFonts w:ascii="Cambria Math" w:hAnsi="Cambria Math"/>
                      <w:i/>
                    </w:rPr>
                  </m:ctrlPr>
                </m:fPr>
                <m:num>
                  <m:r>
                    <w:rPr>
                      <w:rFonts w:ascii="Cambria Math" w:hAnsi="Cambria Math"/>
                    </w:rPr>
                    <m:t>CR</m:t>
                  </m:r>
                  <m:sSub>
                    <m:sSubPr>
                      <m:ctrlPr>
                        <w:rPr>
                          <w:rFonts w:ascii="Cambria Math" w:hAnsi="Cambria Math"/>
                          <w:i/>
                        </w:rPr>
                      </m:ctrlPr>
                    </m:sSubPr>
                    <m:e>
                      <m:r>
                        <w:rPr>
                          <w:rFonts w:ascii="Cambria Math" w:hAnsi="Cambria Math"/>
                        </w:rPr>
                        <m:t>G</m:t>
                      </m:r>
                    </m:e>
                    <m:sub>
                      <m:r>
                        <w:rPr>
                          <w:rFonts w:ascii="Cambria Math" w:hAnsi="Cambria Math"/>
                        </w:rPr>
                        <m:t>i,m</m:t>
                      </m:r>
                    </m:sub>
                  </m:sSub>
                </m:num>
                <m:den>
                  <m:sSub>
                    <m:sSubPr>
                      <m:ctrlPr>
                        <w:rPr>
                          <w:rFonts w:ascii="Cambria Math" w:hAnsi="Cambria Math"/>
                          <w:i/>
                        </w:rPr>
                      </m:ctrlPr>
                    </m:sSubPr>
                    <m:e>
                      <m:r>
                        <w:rPr>
                          <w:rFonts w:ascii="Cambria Math" w:hAnsi="Cambria Math"/>
                        </w:rPr>
                        <m:t>C</m:t>
                      </m:r>
                    </m:e>
                    <m:sub>
                      <m:r>
                        <w:rPr>
                          <w:rFonts w:ascii="Cambria Math" w:hAnsi="Cambria Math"/>
                        </w:rPr>
                        <m:t>3,i,m</m:t>
                      </m:r>
                    </m:sub>
                  </m:sSub>
                </m:den>
              </m:f>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k=1</m:t>
                      </m:r>
                    </m:sub>
                    <m:sup>
                      <m:r>
                        <w:rPr>
                          <w:rFonts w:ascii="Cambria Math" w:hAnsi="Cambria Math"/>
                        </w:rPr>
                        <m:t>x</m:t>
                      </m:r>
                    </m:sup>
                    <m:e>
                      <m:nary>
                        <m:naryPr>
                          <m:chr m:val="∑"/>
                          <m:limLoc m:val="undOvr"/>
                          <m:ctrlPr>
                            <w:rPr>
                              <w:rFonts w:ascii="Cambria Math" w:hAnsi="Cambria Math"/>
                              <w:i/>
                            </w:rPr>
                          </m:ctrlPr>
                        </m:naryPr>
                        <m:sub>
                          <m:r>
                            <w:rPr>
                              <w:rFonts w:ascii="Cambria Math" w:hAnsi="Cambria Math"/>
                            </w:rPr>
                            <m:t>t=1</m:t>
                          </m:r>
                        </m:sub>
                        <m:sup>
                          <m:r>
                            <w:rPr>
                              <w:rFonts w:ascii="Cambria Math" w:hAnsi="Cambria Math"/>
                            </w:rPr>
                            <m:t>z</m:t>
                          </m:r>
                        </m:sup>
                        <m:e>
                          <m:r>
                            <w:rPr>
                              <w:rFonts w:ascii="Cambria Math" w:hAnsi="Cambria Math"/>
                            </w:rPr>
                            <m:t>G</m:t>
                          </m:r>
                          <m:sSub>
                            <m:sSubPr>
                              <m:ctrlPr>
                                <w:rPr>
                                  <w:rFonts w:ascii="Cambria Math" w:hAnsi="Cambria Math"/>
                                  <w:i/>
                                </w:rPr>
                              </m:ctrlPr>
                            </m:sSubPr>
                            <m:e>
                              <m:r>
                                <w:rPr>
                                  <w:rFonts w:ascii="Cambria Math" w:hAnsi="Cambria Math"/>
                                </w:rPr>
                                <m:t>E</m:t>
                              </m:r>
                            </m:e>
                            <m:sub>
                              <m:r>
                                <w:rPr>
                                  <w:rFonts w:ascii="Cambria Math" w:hAnsi="Cambria Math"/>
                                </w:rPr>
                                <m:t>i,t,k</m:t>
                              </m:r>
                            </m:sub>
                          </m:sSub>
                          <m:r>
                            <w:rPr>
                              <w:rFonts w:ascii="Cambria Math" w:hAnsi="Cambria Math"/>
                            </w:rPr>
                            <m:t>*TPB</m:t>
                          </m:r>
                          <m:sSub>
                            <m:sSubPr>
                              <m:ctrlPr>
                                <w:rPr>
                                  <w:rFonts w:ascii="Cambria Math" w:hAnsi="Cambria Math"/>
                                  <w:i/>
                                </w:rPr>
                              </m:ctrlPr>
                            </m:sSubPr>
                            <m:e>
                              <m:r>
                                <w:rPr>
                                  <w:rFonts w:ascii="Cambria Math" w:hAnsi="Cambria Math"/>
                                </w:rPr>
                                <m:t>R</m:t>
                              </m:r>
                            </m:e>
                            <m:sub>
                              <m:r>
                                <w:rPr>
                                  <w:rFonts w:ascii="Cambria Math" w:hAnsi="Cambria Math"/>
                                </w:rPr>
                                <m:t>t</m:t>
                              </m:r>
                            </m:sub>
                          </m:sSub>
                        </m:e>
                      </m:nary>
                    </m:e>
                  </m:nary>
                </m:num>
                <m:den>
                  <m:sSub>
                    <m:sSubPr>
                      <m:ctrlPr>
                        <w:rPr>
                          <w:rFonts w:ascii="Cambria Math" w:hAnsi="Cambria Math"/>
                          <w:i/>
                        </w:rPr>
                      </m:ctrlPr>
                    </m:sSubPr>
                    <m:e>
                      <m:r>
                        <w:rPr>
                          <w:rFonts w:ascii="Cambria Math" w:hAnsi="Cambria Math"/>
                        </w:rPr>
                        <m:t>C</m:t>
                      </m:r>
                    </m:e>
                    <m:sub>
                      <m:r>
                        <w:rPr>
                          <w:rFonts w:ascii="Cambria Math" w:hAnsi="Cambria Math"/>
                        </w:rPr>
                        <m:t>3,i,m</m:t>
                      </m:r>
                    </m:sub>
                  </m:sSub>
                </m:den>
              </m:f>
            </m:e>
          </m:d>
        </m:oMath>
      </m:oMathPara>
    </w:p>
    <w:p w14:paraId="7EA8E8FB" w14:textId="22F56C99" w:rsidR="00787A61" w:rsidRDefault="00787A61">
      <w:pPr>
        <w:spacing w:before="0" w:after="0"/>
      </w:pPr>
      <w:r w:rsidRPr="00D4711B">
        <w:lastRenderedPageBreak/>
        <w:t>Donde:</w:t>
      </w:r>
    </w:p>
    <w:p w14:paraId="3C53F5A3" w14:textId="77777777" w:rsidR="004B6D7D" w:rsidRPr="00D4711B" w:rsidRDefault="004B6D7D">
      <w:pPr>
        <w:spacing w:before="0" w:after="0"/>
      </w:pPr>
    </w:p>
    <w:p w14:paraId="7C7E913E" w14:textId="763232AD" w:rsidR="00A77E78" w:rsidRDefault="00A77E78">
      <w:pPr>
        <w:spacing w:before="0" w:after="0"/>
        <w:ind w:left="1134" w:hanging="1134"/>
        <w:jc w:val="left"/>
      </w:pPr>
      <w:proofErr w:type="gramStart"/>
      <w:r w:rsidRPr="00D4711B">
        <w:rPr>
          <w:i/>
          <w:iCs/>
        </w:rPr>
        <w:t>k</w:t>
      </w:r>
      <w:r w:rsidR="006E74FE">
        <w:rPr>
          <w:i/>
          <w:iCs/>
        </w:rPr>
        <w:t xml:space="preserve"> </w:t>
      </w:r>
      <w:r>
        <w:t>:</w:t>
      </w:r>
      <w:proofErr w:type="gramEnd"/>
      <w:r>
        <w:tab/>
      </w:r>
      <w:r w:rsidR="00EB5029">
        <w:t>contratos</w:t>
      </w:r>
      <w:r>
        <w:t xml:space="preserve"> con vencimiento </w:t>
      </w:r>
      <w:r w:rsidRPr="00305292">
        <w:rPr>
          <w:i/>
          <w:iCs/>
        </w:rPr>
        <w:t>m</w:t>
      </w:r>
      <w:r w:rsidR="00E26509">
        <w:rPr>
          <w:i/>
          <w:iCs/>
        </w:rPr>
        <w:t xml:space="preserve"> </w:t>
      </w:r>
      <w:r w:rsidR="008430D4">
        <w:t xml:space="preserve">a título del comercializador </w:t>
      </w:r>
      <w:r w:rsidR="008430D4">
        <w:rPr>
          <w:i/>
          <w:iCs/>
        </w:rPr>
        <w:t>i</w:t>
      </w:r>
      <w:r>
        <w:t>.</w:t>
      </w:r>
    </w:p>
    <w:p w14:paraId="2225A8BE" w14:textId="77777777" w:rsidR="00A77E78" w:rsidRDefault="00A77E78">
      <w:pPr>
        <w:spacing w:before="0" w:after="0"/>
        <w:ind w:left="1134" w:hanging="1134"/>
        <w:rPr>
          <w:i/>
          <w:iCs/>
        </w:rPr>
      </w:pPr>
    </w:p>
    <w:p w14:paraId="71ABEF84" w14:textId="7ECF0810" w:rsidR="0001340A" w:rsidRDefault="0001340A">
      <w:pPr>
        <w:spacing w:before="0" w:after="0"/>
        <w:ind w:left="1134" w:hanging="1134"/>
      </w:pPr>
      <w:proofErr w:type="gramStart"/>
      <w:r w:rsidRPr="00D4711B">
        <w:rPr>
          <w:i/>
          <w:iCs/>
        </w:rPr>
        <w:t>x</w:t>
      </w:r>
      <w:r w:rsidR="006E74FE">
        <w:rPr>
          <w:i/>
          <w:iCs/>
        </w:rPr>
        <w:t xml:space="preserve"> </w:t>
      </w:r>
      <w:r>
        <w:t>:</w:t>
      </w:r>
      <w:proofErr w:type="gramEnd"/>
      <w:r>
        <w:tab/>
        <w:t xml:space="preserve">número de contratos que llegaron al vencimiento </w:t>
      </w:r>
      <w:r w:rsidRPr="008E08FA">
        <w:rPr>
          <w:i/>
          <w:iCs/>
        </w:rPr>
        <w:t>m</w:t>
      </w:r>
      <w:r>
        <w:t xml:space="preserve"> a título del comercializador</w:t>
      </w:r>
      <w:r w:rsidR="00AC790A">
        <w:t xml:space="preserve"> </w:t>
      </w:r>
      <w:r w:rsidR="00AC790A">
        <w:rPr>
          <w:i/>
          <w:iCs/>
        </w:rPr>
        <w:t>i</w:t>
      </w:r>
      <w:r>
        <w:t>.</w:t>
      </w:r>
    </w:p>
    <w:p w14:paraId="380D72A8" w14:textId="77777777" w:rsidR="004B6D7D" w:rsidRDefault="004B6D7D">
      <w:pPr>
        <w:spacing w:before="0" w:after="0"/>
        <w:ind w:left="1134" w:hanging="1134"/>
      </w:pPr>
    </w:p>
    <w:p w14:paraId="6569CDE8" w14:textId="172564E6" w:rsidR="00A86F4D" w:rsidRDefault="00A86F4D">
      <w:pPr>
        <w:spacing w:before="0" w:after="0"/>
        <w:ind w:left="1134" w:hanging="1134"/>
      </w:pPr>
      <w:proofErr w:type="gramStart"/>
      <w:r w:rsidRPr="00D4711B">
        <w:rPr>
          <w:i/>
          <w:iCs/>
        </w:rPr>
        <w:t>m</w:t>
      </w:r>
      <w:r w:rsidR="00CA196C">
        <w:rPr>
          <w:i/>
          <w:iCs/>
        </w:rPr>
        <w:t xml:space="preserve"> </w:t>
      </w:r>
      <w:r>
        <w:t>:</w:t>
      </w:r>
      <w:proofErr w:type="gramEnd"/>
      <w:r>
        <w:tab/>
        <w:t>mes de vencimiento objeto de traslado.</w:t>
      </w:r>
    </w:p>
    <w:p w14:paraId="0CE2E423" w14:textId="77777777" w:rsidR="004B6D7D" w:rsidRDefault="004B6D7D">
      <w:pPr>
        <w:spacing w:before="0" w:after="0"/>
        <w:ind w:left="1134" w:hanging="1134"/>
      </w:pPr>
    </w:p>
    <w:p w14:paraId="411BB5C9" w14:textId="109C7811" w:rsidR="00A20840" w:rsidRDefault="00A20840">
      <w:pPr>
        <w:spacing w:before="0" w:after="0"/>
        <w:ind w:left="1134" w:hanging="1134"/>
      </w:pPr>
      <w:proofErr w:type="gramStart"/>
      <w:r w:rsidRPr="00D4711B">
        <w:rPr>
          <w:i/>
          <w:iCs/>
        </w:rPr>
        <w:t>t</w:t>
      </w:r>
      <w:r w:rsidR="006E74FE">
        <w:rPr>
          <w:i/>
          <w:iCs/>
        </w:rPr>
        <w:t xml:space="preserve"> </w:t>
      </w:r>
      <w:r>
        <w:t>:</w:t>
      </w:r>
      <w:proofErr w:type="gramEnd"/>
      <w:r>
        <w:tab/>
      </w:r>
      <w:r w:rsidR="0001340A">
        <w:t xml:space="preserve">meses durante los cuales el comercializador </w:t>
      </w:r>
      <w:r w:rsidR="00093A12">
        <w:rPr>
          <w:i/>
          <w:iCs/>
        </w:rPr>
        <w:t>i</w:t>
      </w:r>
      <w:r w:rsidR="0001340A">
        <w:t xml:space="preserve"> fue titular </w:t>
      </w:r>
      <w:r w:rsidR="009F4DE1">
        <w:t>de cada</w:t>
      </w:r>
      <w:r w:rsidR="0001340A">
        <w:t xml:space="preserve"> contrato</w:t>
      </w:r>
      <w:r w:rsidR="00C63BDB">
        <w:t xml:space="preserve"> objeto de traslado</w:t>
      </w:r>
      <w:r w:rsidR="0001340A">
        <w:t xml:space="preserve"> con vencimiento </w:t>
      </w:r>
      <w:r w:rsidR="0001340A" w:rsidRPr="00D4711B">
        <w:rPr>
          <w:i/>
        </w:rPr>
        <w:t>m</w:t>
      </w:r>
      <w:r w:rsidR="000001C8">
        <w:t>,</w:t>
      </w:r>
      <w:r w:rsidR="00C63BDB">
        <w:t xml:space="preserve"> </w:t>
      </w:r>
      <w:r w:rsidR="000001C8">
        <w:t>s</w:t>
      </w:r>
      <w:r w:rsidR="00C63BDB">
        <w:t>iendo t=1 el mes de compra del contrato.</w:t>
      </w:r>
    </w:p>
    <w:p w14:paraId="7786D8F2" w14:textId="4F6309DA" w:rsidR="002A2AF7" w:rsidRDefault="002A2AF7">
      <w:pPr>
        <w:spacing w:before="0" w:after="0"/>
        <w:ind w:left="1134" w:hanging="1134"/>
      </w:pPr>
    </w:p>
    <w:p w14:paraId="257DE2FD" w14:textId="5DB6D39B" w:rsidR="002A2AF7" w:rsidRPr="00D4711B" w:rsidRDefault="006E74FE">
      <w:pPr>
        <w:spacing w:before="0" w:after="0"/>
        <w:ind w:left="1134" w:hanging="1134"/>
        <w:rPr>
          <w:i/>
          <w:iCs/>
        </w:rPr>
      </w:pPr>
      <w:proofErr w:type="gramStart"/>
      <w:r>
        <w:rPr>
          <w:i/>
          <w:iCs/>
        </w:rPr>
        <w:t>z</w:t>
      </w:r>
      <w:r w:rsidR="004C1A15">
        <w:rPr>
          <w:i/>
          <w:iCs/>
        </w:rPr>
        <w:t xml:space="preserve"> </w:t>
      </w:r>
      <w:r w:rsidR="004C1A15">
        <w:t>:</w:t>
      </w:r>
      <w:proofErr w:type="gramEnd"/>
      <w:r w:rsidR="004C1A15">
        <w:tab/>
      </w:r>
      <w:r w:rsidR="002A2AF7">
        <w:t xml:space="preserve">número de </w:t>
      </w:r>
      <w:r w:rsidR="004C1A15">
        <w:t>meses</w:t>
      </w:r>
      <w:r w:rsidR="00FB58F7">
        <w:t xml:space="preserve"> </w:t>
      </w:r>
      <w:r w:rsidR="006107B3">
        <w:t xml:space="preserve">transcurridos entre </w:t>
      </w:r>
      <w:r w:rsidR="00672DEA">
        <w:t>el mes de compra del contrato (t=1) y su vencimiento (</w:t>
      </w:r>
      <w:r w:rsidR="00672DEA">
        <w:rPr>
          <w:i/>
          <w:iCs/>
        </w:rPr>
        <w:t>m</w:t>
      </w:r>
      <w:r w:rsidR="00672DEA" w:rsidRPr="00D4711B">
        <w:t>)</w:t>
      </w:r>
      <w:r w:rsidR="007A3DFB">
        <w:t xml:space="preserve"> a título del comercializador </w:t>
      </w:r>
      <w:r w:rsidR="007A3DFB">
        <w:rPr>
          <w:i/>
          <w:iCs/>
        </w:rPr>
        <w:t>i</w:t>
      </w:r>
      <w:r w:rsidR="00672DEA">
        <w:t>.</w:t>
      </w:r>
    </w:p>
    <w:p w14:paraId="3CC43001" w14:textId="77777777" w:rsidR="004B6D7D" w:rsidRDefault="004B6D7D">
      <w:pPr>
        <w:spacing w:before="0" w:after="0"/>
        <w:ind w:left="1134" w:hanging="1134"/>
      </w:pPr>
    </w:p>
    <w:p w14:paraId="2715C831" w14:textId="63C5FEE9" w:rsidR="00787A61" w:rsidRDefault="00004072">
      <w:pPr>
        <w:spacing w:before="0" w:after="0"/>
        <w:ind w:left="1134" w:hanging="1134"/>
      </w:pPr>
      <m:oMath>
        <m:r>
          <w:rPr>
            <w:rFonts w:ascii="Cambria Math" w:hAnsi="Cambria Math"/>
          </w:rPr>
          <m:t>CF</m:t>
        </m:r>
        <m:sSub>
          <m:sSubPr>
            <m:ctrlPr>
              <w:rPr>
                <w:rFonts w:ascii="Cambria Math" w:hAnsi="Cambria Math"/>
                <w:i/>
              </w:rPr>
            </m:ctrlPr>
          </m:sSubPr>
          <m:e>
            <m:r>
              <w:rPr>
                <w:rFonts w:ascii="Cambria Math" w:hAnsi="Cambria Math"/>
              </w:rPr>
              <m:t>G</m:t>
            </m:r>
          </m:e>
          <m:sub>
            <m:r>
              <w:rPr>
                <w:rFonts w:ascii="Cambria Math" w:hAnsi="Cambria Math"/>
              </w:rPr>
              <m:t>m,i</m:t>
            </m:r>
          </m:sub>
        </m:sSub>
      </m:oMath>
      <w:r w:rsidR="0006007D" w:rsidRPr="00D4711B">
        <w:t>:</w:t>
      </w:r>
      <w:r w:rsidR="004D3B3E" w:rsidRPr="00D4711B">
        <w:tab/>
      </w:r>
      <w:r w:rsidR="0006007D" w:rsidRPr="00D4711B">
        <w:t xml:space="preserve">costo financiero trasladable </w:t>
      </w:r>
      <w:r w:rsidR="006E74FE">
        <w:t xml:space="preserve">por parte del comercializador </w:t>
      </w:r>
      <w:r w:rsidR="006E74FE">
        <w:rPr>
          <w:i/>
          <w:iCs/>
        </w:rPr>
        <w:t xml:space="preserve">i </w:t>
      </w:r>
      <w:r w:rsidR="0006007D" w:rsidRPr="00D4711B">
        <w:t>a usuarios regulados por concepto de garantías exigidas por el mecanismo DERIVEX-CRCC</w:t>
      </w:r>
      <w:r w:rsidR="00D75809" w:rsidRPr="00D4711B">
        <w:t xml:space="preserve">, para </w:t>
      </w:r>
      <w:r w:rsidR="00E86B6D" w:rsidRPr="00D4711B">
        <w:t xml:space="preserve">contratos con vencimiento </w:t>
      </w:r>
      <w:r w:rsidR="00E86B6D" w:rsidRPr="00D4711B">
        <w:rPr>
          <w:i/>
        </w:rPr>
        <w:t>m</w:t>
      </w:r>
      <w:r w:rsidR="004D3B3E" w:rsidRPr="00D4711B">
        <w:t>.</w:t>
      </w:r>
    </w:p>
    <w:p w14:paraId="1C8E8514" w14:textId="77777777" w:rsidR="004B6D7D" w:rsidRPr="00D4711B" w:rsidRDefault="004B6D7D">
      <w:pPr>
        <w:spacing w:before="0" w:after="0"/>
        <w:ind w:left="1134" w:hanging="1134"/>
      </w:pPr>
    </w:p>
    <w:p w14:paraId="689299C2" w14:textId="09483F38" w:rsidR="00D75809" w:rsidRDefault="00004072">
      <w:pPr>
        <w:spacing w:before="0" w:after="0"/>
        <w:ind w:left="1134" w:hanging="1134"/>
      </w:pPr>
      <m:oMath>
        <m:r>
          <w:rPr>
            <w:rFonts w:ascii="Cambria Math" w:hAnsi="Cambria Math"/>
          </w:rPr>
          <m:t>CR</m:t>
        </m:r>
        <m:sSub>
          <m:sSubPr>
            <m:ctrlPr>
              <w:rPr>
                <w:rFonts w:ascii="Cambria Math" w:hAnsi="Cambria Math"/>
                <w:i/>
              </w:rPr>
            </m:ctrlPr>
          </m:sSubPr>
          <m:e>
            <m:r>
              <w:rPr>
                <w:rFonts w:ascii="Cambria Math" w:hAnsi="Cambria Math"/>
              </w:rPr>
              <m:t>G</m:t>
            </m:r>
          </m:e>
          <m:sub>
            <m:r>
              <w:rPr>
                <w:rFonts w:ascii="Cambria Math" w:hAnsi="Cambria Math"/>
              </w:rPr>
              <m:t>m,i</m:t>
            </m:r>
          </m:sub>
        </m:sSub>
      </m:oMath>
      <w:r w:rsidR="00F055D2" w:rsidRPr="00D4711B">
        <w:t>:</w:t>
      </w:r>
      <w:r w:rsidR="00F055D2" w:rsidRPr="00D4711B">
        <w:tab/>
        <w:t>costo real asumido</w:t>
      </w:r>
      <w:r w:rsidR="00805EDC">
        <w:t xml:space="preserve"> y calculado</w:t>
      </w:r>
      <w:r w:rsidR="00F055D2" w:rsidRPr="00D4711B">
        <w:t xml:space="preserve"> por el comercializador </w:t>
      </w:r>
      <w:r w:rsidR="006E74FE">
        <w:rPr>
          <w:i/>
          <w:iCs/>
        </w:rPr>
        <w:t xml:space="preserve">i </w:t>
      </w:r>
      <w:r w:rsidR="00F055D2" w:rsidRPr="00D4711B">
        <w:t>p</w:t>
      </w:r>
      <w:r w:rsidR="00E86B6D" w:rsidRPr="00D4711B">
        <w:t xml:space="preserve">or la constitución de las garantías exigidas por el mecanismo DERIVEX-CRCC, para contratos con vencimiento </w:t>
      </w:r>
      <w:r w:rsidR="00E86B6D" w:rsidRPr="00D4711B">
        <w:rPr>
          <w:i/>
        </w:rPr>
        <w:t>m</w:t>
      </w:r>
      <w:r w:rsidR="00E86B6D" w:rsidRPr="00D4711B">
        <w:t>.</w:t>
      </w:r>
    </w:p>
    <w:p w14:paraId="25B063A3" w14:textId="77777777" w:rsidR="00805EDC" w:rsidRDefault="00805EDC">
      <w:pPr>
        <w:spacing w:before="0" w:after="0"/>
        <w:ind w:left="1134" w:hanging="1134"/>
      </w:pPr>
    </w:p>
    <w:p w14:paraId="047C3419" w14:textId="103A4708" w:rsidR="00090F7B" w:rsidRPr="00705478" w:rsidRDefault="00004072">
      <w:pPr>
        <w:spacing w:before="0" w:after="0"/>
        <w:ind w:left="1134" w:hanging="1134"/>
      </w:pPr>
      <m:oMath>
        <m:r>
          <w:rPr>
            <w:rFonts w:ascii="Cambria Math" w:hAnsi="Cambria Math"/>
          </w:rPr>
          <m:t>G</m:t>
        </m:r>
        <m:sSub>
          <m:sSubPr>
            <m:ctrlPr>
              <w:rPr>
                <w:rFonts w:ascii="Cambria Math" w:hAnsi="Cambria Math"/>
                <w:i/>
              </w:rPr>
            </m:ctrlPr>
          </m:sSubPr>
          <m:e>
            <m:r>
              <w:rPr>
                <w:rFonts w:ascii="Cambria Math" w:hAnsi="Cambria Math"/>
              </w:rPr>
              <m:t>E</m:t>
            </m:r>
          </m:e>
          <m:sub>
            <m:r>
              <w:rPr>
                <w:rFonts w:ascii="Cambria Math" w:hAnsi="Cambria Math"/>
              </w:rPr>
              <m:t>i,k,t</m:t>
            </m:r>
          </m:sub>
        </m:sSub>
      </m:oMath>
      <w:r w:rsidR="00090F7B" w:rsidRPr="00705478">
        <w:t>:</w:t>
      </w:r>
      <w:r w:rsidR="00310439" w:rsidRPr="00705478">
        <w:tab/>
        <w:t xml:space="preserve">monto de garantía exigido </w:t>
      </w:r>
      <w:r w:rsidR="00AF2093">
        <w:t xml:space="preserve">al comercializador </w:t>
      </w:r>
      <w:r w:rsidR="00AF2093">
        <w:rPr>
          <w:i/>
          <w:iCs/>
        </w:rPr>
        <w:t>i</w:t>
      </w:r>
      <w:r w:rsidR="00310439" w:rsidRPr="00705478">
        <w:t xml:space="preserve"> por el mecanismo DERIVEX-CRCC para el contrato </w:t>
      </w:r>
      <w:r w:rsidR="00AA5480">
        <w:rPr>
          <w:i/>
          <w:iCs/>
        </w:rPr>
        <w:t>k</w:t>
      </w:r>
      <w:r w:rsidR="00072110" w:rsidRPr="00705478">
        <w:t xml:space="preserve"> durante el mes </w:t>
      </w:r>
      <w:r w:rsidR="00072110" w:rsidRPr="00D4711B">
        <w:rPr>
          <w:i/>
        </w:rPr>
        <w:t>t</w:t>
      </w:r>
      <w:r w:rsidR="00072110" w:rsidRPr="00705478">
        <w:t>.</w:t>
      </w:r>
    </w:p>
    <w:p w14:paraId="789075CF" w14:textId="77777777" w:rsidR="004B6D7D" w:rsidRPr="00705478" w:rsidRDefault="004B6D7D">
      <w:pPr>
        <w:spacing w:before="0" w:after="0"/>
        <w:ind w:left="1134" w:hanging="1134"/>
      </w:pPr>
    </w:p>
    <w:p w14:paraId="0BF6DC34" w14:textId="4382F18E" w:rsidR="00072110" w:rsidRDefault="00004072">
      <w:pPr>
        <w:spacing w:before="0" w:after="0"/>
        <w:ind w:left="1134" w:hanging="1134"/>
      </w:pPr>
      <m:oMath>
        <m:r>
          <w:rPr>
            <w:rFonts w:ascii="Cambria Math" w:hAnsi="Cambria Math"/>
          </w:rPr>
          <m:t>TPB</m:t>
        </m:r>
        <m:sSub>
          <m:sSubPr>
            <m:ctrlPr>
              <w:rPr>
                <w:rFonts w:ascii="Cambria Math" w:hAnsi="Cambria Math"/>
                <w:i/>
              </w:rPr>
            </m:ctrlPr>
          </m:sSubPr>
          <m:e>
            <m:r>
              <w:rPr>
                <w:rFonts w:ascii="Cambria Math" w:hAnsi="Cambria Math"/>
              </w:rPr>
              <m:t>R</m:t>
            </m:r>
          </m:e>
          <m:sub>
            <m:r>
              <w:rPr>
                <w:rFonts w:ascii="Cambria Math" w:hAnsi="Cambria Math"/>
              </w:rPr>
              <m:t>t</m:t>
            </m:r>
          </m:sub>
        </m:sSub>
      </m:oMath>
      <w:r w:rsidR="00072110" w:rsidRPr="00705478">
        <w:t>:</w:t>
      </w:r>
      <w:r w:rsidR="00072110" w:rsidRPr="00705478">
        <w:tab/>
        <w:t>Tasa de Endeudamiento Preferencial</w:t>
      </w:r>
      <w:r w:rsidR="00AF2093" w:rsidRPr="00AF2093">
        <w:t xml:space="preserve"> </w:t>
      </w:r>
      <w:r w:rsidR="00AF2093" w:rsidRPr="00705478">
        <w:t xml:space="preserve">publicada por el Banco de la República para el mes </w:t>
      </w:r>
      <w:r w:rsidR="00AF2093" w:rsidRPr="00D4711B">
        <w:rPr>
          <w:i/>
          <w:iCs/>
        </w:rPr>
        <w:t>t</w:t>
      </w:r>
      <w:r w:rsidR="000B7218">
        <w:t>, convertida a efectiva mensual</w:t>
      </w:r>
      <w:r w:rsidR="00072110" w:rsidRPr="00705478">
        <w:t>.</w:t>
      </w:r>
    </w:p>
    <w:p w14:paraId="77641B95" w14:textId="47672F23" w:rsidR="003B2179" w:rsidRPr="006D2E78" w:rsidRDefault="003B2179">
      <w:pPr>
        <w:spacing w:before="0" w:after="0"/>
        <w:ind w:left="1134" w:hanging="1134"/>
      </w:pPr>
    </w:p>
    <w:p w14:paraId="2272B1DD" w14:textId="2080A78D" w:rsidR="0053108D" w:rsidRDefault="00C337A1">
      <w:pPr>
        <w:spacing w:before="0" w:after="0"/>
        <w:ind w:left="1134" w:hanging="1134"/>
      </w:pPr>
      <m:oMath>
        <m:sSub>
          <m:sSubPr>
            <m:ctrlPr>
              <w:rPr>
                <w:rFonts w:ascii="Cambria Math" w:hAnsi="Cambria Math"/>
                <w:i/>
              </w:rPr>
            </m:ctrlPr>
          </m:sSubPr>
          <m:e>
            <m:r>
              <w:rPr>
                <w:rFonts w:ascii="Cambria Math" w:hAnsi="Cambria Math"/>
              </w:rPr>
              <m:t>C</m:t>
            </m:r>
          </m:e>
          <m:sub>
            <m:r>
              <w:rPr>
                <w:rFonts w:ascii="Cambria Math" w:hAnsi="Cambria Math"/>
              </w:rPr>
              <m:t>3,i,m</m:t>
            </m:r>
          </m:sub>
        </m:sSub>
      </m:oMath>
      <w:r w:rsidR="0053108D">
        <w:t xml:space="preserve">: </w:t>
      </w:r>
      <w:r w:rsidR="00861F18">
        <w:tab/>
      </w:r>
      <w:r w:rsidR="0053108D">
        <w:t xml:space="preserve">cantidad de energía </w:t>
      </w:r>
      <w:r w:rsidR="00AF2093">
        <w:t xml:space="preserve">comprada en el mecanismo DERIVEX-CRCC por el comercializador </w:t>
      </w:r>
      <w:r w:rsidR="00AF2093" w:rsidRPr="00D4711B">
        <w:rPr>
          <w:i/>
          <w:iCs/>
        </w:rPr>
        <w:t>i</w:t>
      </w:r>
      <w:r w:rsidR="00AF2093">
        <w:t xml:space="preserve"> </w:t>
      </w:r>
      <w:r w:rsidR="00861F18">
        <w:t xml:space="preserve">con </w:t>
      </w:r>
      <w:proofErr w:type="spellStart"/>
      <w:r w:rsidR="00861F18">
        <w:t>vecimiento</w:t>
      </w:r>
      <w:proofErr w:type="spellEnd"/>
      <w:r w:rsidR="00861F18">
        <w:t xml:space="preserve"> </w:t>
      </w:r>
      <w:r w:rsidR="00861F18" w:rsidRPr="00D4711B">
        <w:rPr>
          <w:i/>
          <w:iCs/>
        </w:rPr>
        <w:t>m</w:t>
      </w:r>
      <w:r w:rsidR="0053108D">
        <w:t>.</w:t>
      </w:r>
    </w:p>
    <w:p w14:paraId="1E692C97" w14:textId="77777777" w:rsidR="00861F18" w:rsidRDefault="00861F18">
      <w:pPr>
        <w:spacing w:before="0" w:after="0"/>
        <w:ind w:left="1134" w:hanging="1134"/>
      </w:pPr>
    </w:p>
    <w:p w14:paraId="33C5C338" w14:textId="6E83C6A3" w:rsidR="00773744" w:rsidRPr="00E01DA6" w:rsidRDefault="00773744" w:rsidP="009B5A4C">
      <w:pPr>
        <w:spacing w:before="0" w:after="0"/>
      </w:pPr>
      <w:r>
        <w:rPr>
          <w:b/>
          <w:bCs/>
        </w:rPr>
        <w:t xml:space="preserve">Parágrafo. </w:t>
      </w:r>
      <w:r w:rsidR="00D97B10">
        <w:t xml:space="preserve">La fórmula prevista en el presente artículo para el traslado del costo financiero </w:t>
      </w:r>
      <w:r w:rsidR="00902DA4">
        <w:t>de garantías</w:t>
      </w:r>
      <w:r w:rsidR="00D97B10">
        <w:t xml:space="preserve"> </w:t>
      </w:r>
      <w:r w:rsidR="00B32038">
        <w:t xml:space="preserve">estará vigente </w:t>
      </w:r>
      <w:r w:rsidR="0015689E">
        <w:t xml:space="preserve">hasta </w:t>
      </w:r>
      <w:r w:rsidR="00647FAC">
        <w:t xml:space="preserve">que esta Comisión defina </w:t>
      </w:r>
      <w:r w:rsidR="0019614B">
        <w:t xml:space="preserve">la regla de traslado </w:t>
      </w:r>
      <w:r w:rsidR="005F03CA">
        <w:t>definitiva</w:t>
      </w:r>
      <w:r w:rsidR="0019614B">
        <w:t xml:space="preserve"> aplicable en </w:t>
      </w:r>
      <w:r w:rsidR="00B9342F">
        <w:t>el componente</w:t>
      </w:r>
      <w:r w:rsidR="0065236E">
        <w:t xml:space="preserve"> de </w:t>
      </w:r>
      <w:r w:rsidR="00150430">
        <w:t xml:space="preserve">comercialización </w:t>
      </w:r>
      <w:r w:rsidR="00B9342F">
        <w:t>del CU de energía eléctrica</w:t>
      </w:r>
      <w:r w:rsidR="00EF750B">
        <w:t>.</w:t>
      </w:r>
    </w:p>
    <w:p w14:paraId="3A459FE4" w14:textId="77777777" w:rsidR="00773744" w:rsidRDefault="00773744">
      <w:pPr>
        <w:spacing w:before="0" w:after="0"/>
        <w:ind w:left="1134" w:hanging="1134"/>
      </w:pPr>
    </w:p>
    <w:p w14:paraId="4C7BA557" w14:textId="2B2208C8" w:rsidR="00147420" w:rsidRDefault="00147420">
      <w:pPr>
        <w:pStyle w:val="Artculo"/>
        <w:spacing w:before="0" w:after="0"/>
        <w:ind w:left="0" w:firstLine="0"/>
        <w:rPr>
          <w:b w:val="0"/>
        </w:rPr>
      </w:pPr>
      <w:r>
        <w:t xml:space="preserve"> Fórmula para el traslado del precio</w:t>
      </w:r>
      <w:r w:rsidR="00551583">
        <w:t xml:space="preserve"> </w:t>
      </w:r>
      <w:r w:rsidR="007F0D1E">
        <w:t>promedio</w:t>
      </w:r>
      <w:r w:rsidR="00551583">
        <w:t xml:space="preserve"> de compra y </w:t>
      </w:r>
      <w:r w:rsidR="007F0D1E">
        <w:t>del</w:t>
      </w:r>
      <w:r w:rsidR="00551583">
        <w:t xml:space="preserve"> costo financiero de garantías</w:t>
      </w:r>
      <w:r>
        <w:t>.</w:t>
      </w:r>
      <w:r w:rsidR="00551583">
        <w:t xml:space="preserve"> </w:t>
      </w:r>
      <w:r w:rsidR="00B10DB2">
        <w:rPr>
          <w:b w:val="0"/>
          <w:bCs/>
        </w:rPr>
        <w:t xml:space="preserve">Para el traslado del precio </w:t>
      </w:r>
      <w:r w:rsidR="00263362">
        <w:rPr>
          <w:b w:val="0"/>
          <w:bCs/>
        </w:rPr>
        <w:t>promedio</w:t>
      </w:r>
      <w:r w:rsidR="00B10DB2">
        <w:rPr>
          <w:b w:val="0"/>
          <w:bCs/>
        </w:rPr>
        <w:t xml:space="preserve"> de compra </w:t>
      </w:r>
      <w:r w:rsidR="00263362">
        <w:rPr>
          <w:b w:val="0"/>
          <w:bCs/>
        </w:rPr>
        <w:t>descrito</w:t>
      </w:r>
      <w:r w:rsidR="00B10DB2">
        <w:rPr>
          <w:b w:val="0"/>
          <w:bCs/>
        </w:rPr>
        <w:t xml:space="preserve"> en el </w:t>
      </w:r>
      <w:r w:rsidR="00263362">
        <w:rPr>
          <w:b w:val="0"/>
          <w:bCs/>
        </w:rPr>
        <w:fldChar w:fldCharType="begin"/>
      </w:r>
      <w:r w:rsidR="00263362">
        <w:rPr>
          <w:b w:val="0"/>
          <w:bCs/>
        </w:rPr>
        <w:instrText xml:space="preserve"> REF _Ref99526464 \r \h </w:instrText>
      </w:r>
      <w:r w:rsidR="00263362">
        <w:rPr>
          <w:b w:val="0"/>
          <w:bCs/>
        </w:rPr>
      </w:r>
      <w:r w:rsidR="00263362">
        <w:rPr>
          <w:b w:val="0"/>
          <w:bCs/>
        </w:rPr>
        <w:fldChar w:fldCharType="separate"/>
      </w:r>
      <w:r w:rsidR="00DB54A8">
        <w:rPr>
          <w:b w:val="0"/>
          <w:bCs/>
        </w:rPr>
        <w:t>Artículo 6</w:t>
      </w:r>
      <w:r w:rsidR="00263362">
        <w:rPr>
          <w:b w:val="0"/>
          <w:bCs/>
        </w:rPr>
        <w:fldChar w:fldCharType="end"/>
      </w:r>
      <w:r w:rsidR="00B10DB2">
        <w:rPr>
          <w:b w:val="0"/>
          <w:bCs/>
        </w:rPr>
        <w:t xml:space="preserve"> y del costo financiero de </w:t>
      </w:r>
      <w:r w:rsidR="00B10DB2">
        <w:rPr>
          <w:b w:val="0"/>
        </w:rPr>
        <w:t>las</w:t>
      </w:r>
      <w:r w:rsidR="00B10DB2" w:rsidRPr="00B10DB2">
        <w:rPr>
          <w:b w:val="0"/>
        </w:rPr>
        <w:t xml:space="preserve"> garantías </w:t>
      </w:r>
      <w:r w:rsidR="00263362">
        <w:rPr>
          <w:b w:val="0"/>
        </w:rPr>
        <w:t>definido</w:t>
      </w:r>
      <w:r w:rsidR="00B10DB2" w:rsidRPr="00B10DB2">
        <w:rPr>
          <w:b w:val="0"/>
        </w:rPr>
        <w:t xml:space="preserve"> en el </w:t>
      </w:r>
      <w:r w:rsidR="00263362">
        <w:rPr>
          <w:b w:val="0"/>
        </w:rPr>
        <w:fldChar w:fldCharType="begin"/>
      </w:r>
      <w:r w:rsidR="00263362">
        <w:rPr>
          <w:b w:val="0"/>
        </w:rPr>
        <w:instrText xml:space="preserve"> REF _Ref99709528 \r \h </w:instrText>
      </w:r>
      <w:r w:rsidR="00263362">
        <w:rPr>
          <w:b w:val="0"/>
        </w:rPr>
      </w:r>
      <w:r w:rsidR="00263362">
        <w:rPr>
          <w:b w:val="0"/>
        </w:rPr>
        <w:fldChar w:fldCharType="separate"/>
      </w:r>
      <w:r w:rsidR="00DB54A8">
        <w:rPr>
          <w:b w:val="0"/>
        </w:rPr>
        <w:t>Artículo 7</w:t>
      </w:r>
      <w:r w:rsidR="00263362">
        <w:rPr>
          <w:b w:val="0"/>
        </w:rPr>
        <w:fldChar w:fldCharType="end"/>
      </w:r>
      <w:r w:rsidR="00263362">
        <w:rPr>
          <w:b w:val="0"/>
        </w:rPr>
        <w:t>,</w:t>
      </w:r>
      <w:r w:rsidR="00987D0E">
        <w:rPr>
          <w:b w:val="0"/>
        </w:rPr>
        <w:t xml:space="preserve"> </w:t>
      </w:r>
      <w:r w:rsidR="00987D0E" w:rsidRPr="009B5A4C">
        <w:rPr>
          <w:b w:val="0"/>
          <w:bCs/>
        </w:rPr>
        <w:t xml:space="preserve">en la fórmula general del componente G del CU de energía </w:t>
      </w:r>
      <w:proofErr w:type="spellStart"/>
      <w:r w:rsidR="00987D0E" w:rsidRPr="009B5A4C">
        <w:rPr>
          <w:b w:val="0"/>
          <w:bCs/>
        </w:rPr>
        <w:t>electríca</w:t>
      </w:r>
      <w:proofErr w:type="spellEnd"/>
      <w:r w:rsidR="00987D0E">
        <w:rPr>
          <w:b w:val="0"/>
          <w:bCs/>
        </w:rPr>
        <w:t>,</w:t>
      </w:r>
      <w:r w:rsidR="00263362" w:rsidRPr="002604F7">
        <w:rPr>
          <w:b w:val="0"/>
          <w:bCs/>
        </w:rPr>
        <w:t xml:space="preserve"> e</w:t>
      </w:r>
      <w:r w:rsidR="00263362">
        <w:rPr>
          <w:b w:val="0"/>
        </w:rPr>
        <w:t>l comercializador</w:t>
      </w:r>
      <w:r w:rsidR="007E5D70">
        <w:rPr>
          <w:b w:val="0"/>
        </w:rPr>
        <w:t xml:space="preserve"> deberá utilizar la siguiente fórmula:</w:t>
      </w:r>
    </w:p>
    <w:p w14:paraId="1F83DC83" w14:textId="77777777" w:rsidR="00987D0E" w:rsidRDefault="00987D0E" w:rsidP="0035025E">
      <w:pPr>
        <w:pStyle w:val="articulo"/>
      </w:pPr>
    </w:p>
    <w:p w14:paraId="65A9A18E" w14:textId="7A58D923" w:rsidR="007E5D70" w:rsidRPr="007E5D70" w:rsidRDefault="00C337A1" w:rsidP="009B5A4C">
      <w:pPr>
        <w:spacing w:before="0" w:after="0"/>
      </w:pPr>
      <m:oMathPara>
        <m:oMath>
          <m:sSub>
            <m:sSubPr>
              <m:ctrlPr>
                <w:rPr>
                  <w:rFonts w:ascii="Cambria Math" w:hAnsi="Cambria Math"/>
                  <w:i/>
                </w:rPr>
              </m:ctrlPr>
            </m:sSubPr>
            <m:e>
              <m:r>
                <w:rPr>
                  <w:rFonts w:ascii="Cambria Math" w:hAnsi="Cambria Math"/>
                </w:rPr>
                <m:t>P</m:t>
              </m:r>
            </m:e>
            <m:sub>
              <m:r>
                <w:rPr>
                  <w:rFonts w:ascii="Cambria Math" w:hAnsi="Cambria Math"/>
                </w:rPr>
                <m:t>3,m,i</m:t>
              </m:r>
            </m:sub>
          </m:sSub>
          <m:r>
            <w:rPr>
              <w:rFonts w:ascii="Cambria Math" w:hAnsi="Cambria Math"/>
            </w:rPr>
            <m:t>=</m:t>
          </m:r>
          <m:r>
            <w:rPr>
              <w:rFonts w:ascii="Cambria Math" w:hAnsi="Cambria Math"/>
              <w:szCs w:val="20"/>
              <w:lang w:val="es-CO"/>
            </w:rPr>
            <m:t>p</m:t>
          </m:r>
          <m:sSub>
            <m:sSubPr>
              <m:ctrlPr>
                <w:rPr>
                  <w:rFonts w:ascii="Cambria Math" w:hAnsi="Cambria Math"/>
                  <w:i/>
                  <w:szCs w:val="20"/>
                  <w:lang w:val="es-CO"/>
                </w:rPr>
              </m:ctrlPr>
            </m:sSubPr>
            <m:e>
              <m:r>
                <w:rPr>
                  <w:rFonts w:ascii="Cambria Math" w:hAnsi="Cambria Math"/>
                  <w:szCs w:val="20"/>
                  <w:lang w:val="es-CO"/>
                </w:rPr>
                <m:t>p</m:t>
              </m:r>
            </m:e>
            <m:sub>
              <m:r>
                <w:rPr>
                  <w:rFonts w:ascii="Cambria Math" w:hAnsi="Cambria Math"/>
                  <w:szCs w:val="20"/>
                  <w:lang w:val="es-CO"/>
                </w:rPr>
                <m:t>m,i</m:t>
              </m:r>
            </m:sub>
          </m:sSub>
          <m:r>
            <w:rPr>
              <w:rFonts w:ascii="Cambria Math" w:hAnsi="Cambria Math"/>
            </w:rPr>
            <m:t>+CF</m:t>
          </m:r>
          <m:sSub>
            <m:sSubPr>
              <m:ctrlPr>
                <w:rPr>
                  <w:rFonts w:ascii="Cambria Math" w:hAnsi="Cambria Math"/>
                  <w:i/>
                </w:rPr>
              </m:ctrlPr>
            </m:sSubPr>
            <m:e>
              <m:r>
                <w:rPr>
                  <w:rFonts w:ascii="Cambria Math" w:hAnsi="Cambria Math"/>
                </w:rPr>
                <m:t>G</m:t>
              </m:r>
            </m:e>
            <m:sub>
              <m:r>
                <w:rPr>
                  <w:rFonts w:ascii="Cambria Math" w:hAnsi="Cambria Math"/>
                </w:rPr>
                <m:t>m.i</m:t>
              </m:r>
            </m:sub>
          </m:sSub>
        </m:oMath>
      </m:oMathPara>
    </w:p>
    <w:p w14:paraId="72E7958E" w14:textId="77777777" w:rsidR="005B0230" w:rsidRDefault="005B0230" w:rsidP="005B0230">
      <w:pPr>
        <w:spacing w:before="0" w:after="0"/>
        <w:ind w:left="1134" w:hanging="1134"/>
      </w:pPr>
    </w:p>
    <w:p w14:paraId="275A40FB" w14:textId="33418066" w:rsidR="00147420" w:rsidRDefault="00E31195">
      <w:pPr>
        <w:spacing w:before="0" w:after="0"/>
        <w:ind w:left="1134" w:hanging="1134"/>
      </w:pPr>
      <w:r>
        <w:t xml:space="preserve">Donde, </w:t>
      </w:r>
    </w:p>
    <w:p w14:paraId="11F7F6E2" w14:textId="77777777" w:rsidR="00E31195" w:rsidRDefault="00E31195">
      <w:pPr>
        <w:spacing w:before="0" w:after="0"/>
        <w:ind w:left="1134" w:hanging="1134"/>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8080"/>
      </w:tblGrid>
      <w:tr w:rsidR="00E31195" w:rsidRPr="00D60747" w14:paraId="52806C1F" w14:textId="77777777" w:rsidTr="009B5A4C">
        <w:tc>
          <w:tcPr>
            <w:tcW w:w="1276" w:type="dxa"/>
            <w:hideMark/>
          </w:tcPr>
          <w:p w14:paraId="19008AA0" w14:textId="33248554" w:rsidR="00E31195" w:rsidRPr="009B5A4C" w:rsidRDefault="00C337A1">
            <w:pPr>
              <w:tabs>
                <w:tab w:val="left" w:pos="0"/>
                <w:tab w:val="left" w:pos="284"/>
              </w:tabs>
              <w:spacing w:before="0" w:after="0"/>
              <w:rPr>
                <w:rFonts w:ascii="Times New Roman" w:hAnsi="Times New Roman"/>
                <w:color w:val="000000" w:themeColor="text1"/>
                <w:lang w:val="es-CO"/>
              </w:rPr>
            </w:pPr>
            <m:oMath>
              <m:sSub>
                <m:sSubPr>
                  <m:ctrlPr>
                    <w:rPr>
                      <w:rFonts w:ascii="Cambria Math" w:hAnsi="Cambria Math"/>
                      <w:i/>
                      <w:color w:val="000000" w:themeColor="text1"/>
                    </w:rPr>
                  </m:ctrlPr>
                </m:sSubPr>
                <m:e>
                  <m:r>
                    <w:rPr>
                      <w:rFonts w:ascii="Cambria Math" w:hAnsi="Cambria Math"/>
                      <w:color w:val="000000" w:themeColor="text1"/>
                      <w:lang w:val="es-CO"/>
                    </w:rPr>
                    <m:t>P</m:t>
                  </m:r>
                </m:e>
                <m:sub>
                  <m:r>
                    <w:rPr>
                      <w:rFonts w:ascii="Cambria Math" w:hAnsi="Cambria Math"/>
                      <w:color w:val="000000" w:themeColor="text1"/>
                    </w:rPr>
                    <m:t>3</m:t>
                  </m:r>
                  <m:r>
                    <w:rPr>
                      <w:rFonts w:ascii="Cambria Math" w:hAnsi="Cambria Math"/>
                      <w:color w:val="000000" w:themeColor="text1"/>
                      <w:lang w:val="es-CO"/>
                    </w:rPr>
                    <m:t>,m,i</m:t>
                  </m:r>
                </m:sub>
              </m:sSub>
              <m:r>
                <w:rPr>
                  <w:rFonts w:ascii="Cambria Math" w:hAnsi="Cambria Math"/>
                  <w:color w:val="000000" w:themeColor="text1"/>
                  <w:lang w:val="es-CO"/>
                </w:rPr>
                <m:t>:</m:t>
              </m:r>
            </m:oMath>
            <w:r w:rsidR="00E31195" w:rsidRPr="009B5A4C">
              <w:rPr>
                <w:color w:val="000000" w:themeColor="text1"/>
                <w:lang w:val="es-CO"/>
              </w:rPr>
              <w:t xml:space="preserve"> </w:t>
            </w:r>
          </w:p>
        </w:tc>
        <w:tc>
          <w:tcPr>
            <w:tcW w:w="8080" w:type="dxa"/>
          </w:tcPr>
          <w:p w14:paraId="72B342BE" w14:textId="119C3FD5" w:rsidR="00E31195" w:rsidRPr="009B5A4C" w:rsidRDefault="00E31195">
            <w:pPr>
              <w:tabs>
                <w:tab w:val="left" w:pos="0"/>
                <w:tab w:val="left" w:pos="284"/>
              </w:tabs>
              <w:spacing w:before="0" w:after="0"/>
              <w:rPr>
                <w:iCs/>
              </w:rPr>
            </w:pPr>
            <w:r w:rsidRPr="009B5A4C">
              <w:t>Precio</w:t>
            </w:r>
            <w:r w:rsidR="00C9601F" w:rsidRPr="009B5A4C">
              <w:t xml:space="preserve"> </w:t>
            </w:r>
            <w:r w:rsidR="00D363D8" w:rsidRPr="009B5A4C">
              <w:t>de traslado</w:t>
            </w:r>
            <w:r w:rsidR="00BC428B" w:rsidRPr="009B5A4C">
              <w:t xml:space="preserve"> de las compras </w:t>
            </w:r>
            <w:r w:rsidR="00D363D8" w:rsidRPr="009B5A4C">
              <w:t>realizadas por el</w:t>
            </w:r>
            <w:r w:rsidR="00BC428B" w:rsidRPr="009B5A4C">
              <w:t xml:space="preserve"> comercializador </w:t>
            </w:r>
            <w:r w:rsidR="00BC428B" w:rsidRPr="009B5A4C">
              <w:rPr>
                <w:i/>
              </w:rPr>
              <w:t>i</w:t>
            </w:r>
            <w:r w:rsidR="00BC428B" w:rsidRPr="009B5A4C">
              <w:t xml:space="preserve"> a través el mecanismo </w:t>
            </w:r>
            <w:r w:rsidR="0013771D" w:rsidRPr="009B5A4C">
              <w:t>DERIVEX-CRCC</w:t>
            </w:r>
            <w:r w:rsidR="00BC428B" w:rsidRPr="009B5A4C">
              <w:t xml:space="preserve">, </w:t>
            </w:r>
            <w:r w:rsidR="0013771D" w:rsidRPr="009B5A4C">
              <w:t>con vencimiento</w:t>
            </w:r>
            <w:r w:rsidR="00BC428B" w:rsidRPr="009B5A4C">
              <w:t xml:space="preserve"> en el mes </w:t>
            </w:r>
            <w:r w:rsidR="00BC428B" w:rsidRPr="009B5A4C">
              <w:rPr>
                <w:i/>
              </w:rPr>
              <w:t>m</w:t>
            </w:r>
            <w:r w:rsidR="0013771D" w:rsidRPr="009B5A4C">
              <w:rPr>
                <w:i/>
              </w:rPr>
              <w:t>,</w:t>
            </w:r>
            <w:r w:rsidR="006C505C" w:rsidRPr="009B5A4C">
              <w:t xml:space="preserve"> </w:t>
            </w:r>
            <w:r w:rsidRPr="009B5A4C">
              <w:t>expresado en pesos por kilovatio hora (COP/kWh)</w:t>
            </w:r>
            <w:r w:rsidRPr="009B5A4C">
              <w:rPr>
                <w:i/>
              </w:rPr>
              <w:t>.</w:t>
            </w:r>
            <w:r w:rsidR="00095F99" w:rsidRPr="009B5A4C">
              <w:rPr>
                <w:iCs/>
              </w:rPr>
              <w:t xml:space="preserve"> Este precio de traslado incluye el precio de compra</w:t>
            </w:r>
            <w:r w:rsidR="00975E2C" w:rsidRPr="009B5A4C">
              <w:rPr>
                <w:iCs/>
              </w:rPr>
              <w:t xml:space="preserve"> de energía</w:t>
            </w:r>
            <w:r w:rsidR="00095F99" w:rsidRPr="009B5A4C">
              <w:rPr>
                <w:iCs/>
              </w:rPr>
              <w:t xml:space="preserve"> y el costo financiero de las garantías exigidas en el mecanismo</w:t>
            </w:r>
            <w:r w:rsidR="00975E2C" w:rsidRPr="009B5A4C">
              <w:rPr>
                <w:iCs/>
              </w:rPr>
              <w:t>.</w:t>
            </w:r>
          </w:p>
          <w:p w14:paraId="6892602C" w14:textId="1B85AFBA" w:rsidR="00E31195" w:rsidRPr="009B5A4C" w:rsidRDefault="00E31195">
            <w:pPr>
              <w:tabs>
                <w:tab w:val="left" w:pos="0"/>
                <w:tab w:val="left" w:pos="284"/>
              </w:tabs>
              <w:spacing w:before="0" w:after="0"/>
            </w:pPr>
          </w:p>
        </w:tc>
      </w:tr>
      <w:tr w:rsidR="00D60747" w:rsidRPr="00D60747" w14:paraId="466C8285" w14:textId="77777777" w:rsidTr="009B5A4C">
        <w:tc>
          <w:tcPr>
            <w:tcW w:w="1276" w:type="dxa"/>
          </w:tcPr>
          <w:p w14:paraId="1EC13A3D" w14:textId="4DAEE320" w:rsidR="00D60747" w:rsidRPr="009B5A4C" w:rsidRDefault="00C337A1">
            <w:pPr>
              <w:tabs>
                <w:tab w:val="left" w:pos="0"/>
                <w:tab w:val="left" w:pos="284"/>
              </w:tabs>
              <w:spacing w:before="0" w:after="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lang w:val="es-CO"/>
                    </w:rPr>
                    <m:t>pp</m:t>
                  </m:r>
                </m:e>
                <m:sub>
                  <m:r>
                    <w:rPr>
                      <w:rFonts w:ascii="Cambria Math" w:hAnsi="Cambria Math"/>
                      <w:color w:val="000000" w:themeColor="text1"/>
                      <w:lang w:val="es-CO"/>
                    </w:rPr>
                    <m:t>m,i</m:t>
                  </m:r>
                </m:sub>
              </m:sSub>
              <m:r>
                <w:rPr>
                  <w:rFonts w:ascii="Cambria Math" w:hAnsi="Cambria Math"/>
                  <w:color w:val="000000" w:themeColor="text1"/>
                  <w:lang w:val="es-CO"/>
                </w:rPr>
                <m:t>:</m:t>
              </m:r>
            </m:oMath>
            <w:r w:rsidR="00D60747" w:rsidRPr="009B5A4C">
              <w:rPr>
                <w:color w:val="000000" w:themeColor="text1"/>
                <w:lang w:val="es-CO"/>
              </w:rPr>
              <w:t xml:space="preserve"> </w:t>
            </w:r>
          </w:p>
        </w:tc>
        <w:tc>
          <w:tcPr>
            <w:tcW w:w="8080" w:type="dxa"/>
          </w:tcPr>
          <w:p w14:paraId="494C3245" w14:textId="77777777" w:rsidR="00D60747" w:rsidRPr="009B5A4C" w:rsidRDefault="00D60747">
            <w:pPr>
              <w:tabs>
                <w:tab w:val="left" w:pos="0"/>
                <w:tab w:val="left" w:pos="284"/>
              </w:tabs>
              <w:spacing w:before="0" w:after="0"/>
              <w:rPr>
                <w:iCs/>
              </w:rPr>
            </w:pPr>
            <w:r w:rsidRPr="009B5A4C">
              <w:t xml:space="preserve">Precio promedio ponderado de todas las compras realizadas por el comercializador </w:t>
            </w:r>
            <w:r w:rsidRPr="009B5A4C">
              <w:rPr>
                <w:i/>
              </w:rPr>
              <w:t>i</w:t>
            </w:r>
            <w:r w:rsidRPr="009B5A4C">
              <w:t xml:space="preserve"> a través el mecanismo DERIVEX-CRCC, con vencimiento en el mes </w:t>
            </w:r>
            <w:r w:rsidRPr="009B5A4C">
              <w:rPr>
                <w:i/>
              </w:rPr>
              <w:t>m,</w:t>
            </w:r>
            <w:r w:rsidRPr="009B5A4C">
              <w:t xml:space="preserve"> expresado en pesos por kilovatio hora (COP/kWh).</w:t>
            </w:r>
          </w:p>
          <w:p w14:paraId="75E3FCF7" w14:textId="77777777" w:rsidR="00D60747" w:rsidRPr="009B5A4C" w:rsidRDefault="00D60747">
            <w:pPr>
              <w:tabs>
                <w:tab w:val="left" w:pos="0"/>
                <w:tab w:val="left" w:pos="284"/>
              </w:tabs>
              <w:spacing w:before="0" w:after="0"/>
            </w:pPr>
          </w:p>
        </w:tc>
      </w:tr>
      <w:tr w:rsidR="00D60747" w:rsidRPr="00D60747" w14:paraId="3E7A0EF6" w14:textId="77777777" w:rsidTr="009B5A4C">
        <w:tc>
          <w:tcPr>
            <w:tcW w:w="1276" w:type="dxa"/>
          </w:tcPr>
          <w:p w14:paraId="6B9CD599" w14:textId="20E34146" w:rsidR="00D60747" w:rsidRPr="00D60747" w:rsidRDefault="00D60747">
            <w:pPr>
              <w:spacing w:before="0" w:after="0"/>
              <w:ind w:left="1134" w:hanging="1134"/>
            </w:pPr>
            <m:oMath>
              <m:r>
                <w:rPr>
                  <w:rFonts w:ascii="Cambria Math" w:hAnsi="Cambria Math"/>
                </w:rPr>
                <m:t>CF</m:t>
              </m:r>
              <m:sSub>
                <m:sSubPr>
                  <m:ctrlPr>
                    <w:rPr>
                      <w:rFonts w:ascii="Cambria Math" w:hAnsi="Cambria Math"/>
                      <w:i/>
                    </w:rPr>
                  </m:ctrlPr>
                </m:sSubPr>
                <m:e>
                  <m:r>
                    <w:rPr>
                      <w:rFonts w:ascii="Cambria Math" w:hAnsi="Cambria Math"/>
                    </w:rPr>
                    <m:t>G</m:t>
                  </m:r>
                </m:e>
                <m:sub>
                  <m:r>
                    <w:rPr>
                      <w:rFonts w:ascii="Cambria Math" w:hAnsi="Cambria Math"/>
                    </w:rPr>
                    <m:t>m,i</m:t>
                  </m:r>
                </m:sub>
              </m:sSub>
            </m:oMath>
            <w:r w:rsidRPr="00D60747">
              <w:t>:</w:t>
            </w:r>
            <w:r w:rsidRPr="00D60747">
              <w:tab/>
            </w:r>
          </w:p>
          <w:p w14:paraId="4A374EB7" w14:textId="77777777" w:rsidR="00D60747" w:rsidRPr="009B5A4C" w:rsidRDefault="00D60747">
            <w:pPr>
              <w:tabs>
                <w:tab w:val="left" w:pos="0"/>
                <w:tab w:val="left" w:pos="284"/>
              </w:tabs>
              <w:spacing w:before="0" w:after="0"/>
              <w:rPr>
                <w:color w:val="000000" w:themeColor="text1"/>
              </w:rPr>
            </w:pPr>
          </w:p>
        </w:tc>
        <w:tc>
          <w:tcPr>
            <w:tcW w:w="8080" w:type="dxa"/>
          </w:tcPr>
          <w:p w14:paraId="46D397F9" w14:textId="494BDF24" w:rsidR="00D60747" w:rsidRPr="009B5A4C" w:rsidRDefault="00D60747">
            <w:pPr>
              <w:tabs>
                <w:tab w:val="left" w:pos="0"/>
                <w:tab w:val="left" w:pos="284"/>
              </w:tabs>
              <w:spacing w:before="0" w:after="0"/>
            </w:pPr>
            <w:r w:rsidRPr="00D60747">
              <w:t xml:space="preserve">costo financiero trasladable por parte del comercializador </w:t>
            </w:r>
            <w:r w:rsidRPr="00D60747">
              <w:rPr>
                <w:i/>
                <w:iCs/>
              </w:rPr>
              <w:t xml:space="preserve">i </w:t>
            </w:r>
            <w:r w:rsidRPr="00D60747">
              <w:t xml:space="preserve">a usuarios regulados por concepto de garantías exigidas por el mecanismo DERIVEX-CRCC, para contratos con vencimiento </w:t>
            </w:r>
            <w:r w:rsidRPr="00D60747">
              <w:rPr>
                <w:i/>
              </w:rPr>
              <w:t>m</w:t>
            </w:r>
            <w:r w:rsidRPr="00D60747">
              <w:t>.</w:t>
            </w:r>
          </w:p>
        </w:tc>
      </w:tr>
    </w:tbl>
    <w:p w14:paraId="349B70FD" w14:textId="77777777" w:rsidR="00E31195" w:rsidRDefault="00E31195">
      <w:pPr>
        <w:spacing w:before="0" w:after="0"/>
        <w:ind w:left="1134" w:hanging="1134"/>
      </w:pPr>
    </w:p>
    <w:p w14:paraId="63629BA9" w14:textId="1179BB51" w:rsidR="008B416D" w:rsidRPr="00115A7E" w:rsidRDefault="00BD3659">
      <w:pPr>
        <w:pStyle w:val="Artculo"/>
        <w:spacing w:before="0" w:after="0"/>
        <w:ind w:left="0" w:firstLine="0"/>
      </w:pPr>
      <w:r>
        <w:t xml:space="preserve"> </w:t>
      </w:r>
      <w:r w:rsidR="0007246C">
        <w:t>Condiciones</w:t>
      </w:r>
      <w:r w:rsidR="00723311">
        <w:t xml:space="preserve"> de evaluación del mecanismo por parte del Auditor</w:t>
      </w:r>
      <w:r w:rsidR="00A8041E">
        <w:t xml:space="preserve"> para el</w:t>
      </w:r>
      <w:r w:rsidR="00594B69">
        <w:t xml:space="preserve"> traslado. </w:t>
      </w:r>
      <w:r w:rsidR="005E3A7E">
        <w:rPr>
          <w:b w:val="0"/>
        </w:rPr>
        <w:t>Las transacciones realizadas en el</w:t>
      </w:r>
      <w:r w:rsidR="00594B69">
        <w:rPr>
          <w:b w:val="0"/>
        </w:rPr>
        <w:t xml:space="preserve"> </w:t>
      </w:r>
      <w:r w:rsidR="00B000D3">
        <w:rPr>
          <w:b w:val="0"/>
        </w:rPr>
        <w:t>mecanismo presentado por DERIVEX-CRCC podrán ser trasla</w:t>
      </w:r>
      <w:r w:rsidR="003C5AD6">
        <w:rPr>
          <w:b w:val="0"/>
        </w:rPr>
        <w:t xml:space="preserve">das </w:t>
      </w:r>
      <w:r w:rsidR="00501CA6">
        <w:rPr>
          <w:b w:val="0"/>
        </w:rPr>
        <w:t>en el componente de compras de energía (G) del costo unitario de prestación del servicio al usuario regulado (CU)</w:t>
      </w:r>
      <w:r w:rsidR="00A559A9">
        <w:rPr>
          <w:b w:val="0"/>
        </w:rPr>
        <w:t>,</w:t>
      </w:r>
      <w:r w:rsidR="00501CA6">
        <w:rPr>
          <w:b w:val="0"/>
        </w:rPr>
        <w:t xml:space="preserve"> </w:t>
      </w:r>
      <w:r w:rsidR="003322D6">
        <w:rPr>
          <w:b w:val="0"/>
        </w:rPr>
        <w:t xml:space="preserve">de </w:t>
      </w:r>
      <w:r w:rsidR="00E60D95">
        <w:rPr>
          <w:b w:val="0"/>
        </w:rPr>
        <w:t>acuerdo con</w:t>
      </w:r>
      <w:r w:rsidR="00501CA6">
        <w:rPr>
          <w:b w:val="0"/>
        </w:rPr>
        <w:t xml:space="preserve"> </w:t>
      </w:r>
      <w:r w:rsidR="00BB65D0">
        <w:rPr>
          <w:b w:val="0"/>
        </w:rPr>
        <w:t xml:space="preserve">las </w:t>
      </w:r>
      <w:r w:rsidR="008B416D">
        <w:rPr>
          <w:b w:val="0"/>
        </w:rPr>
        <w:t>siguientes c</w:t>
      </w:r>
      <w:r w:rsidR="00501CA6">
        <w:rPr>
          <w:b w:val="0"/>
        </w:rPr>
        <w:t>ondiciones:</w:t>
      </w:r>
      <w:bookmarkStart w:id="18" w:name="_Ref53655311"/>
      <w:bookmarkEnd w:id="18"/>
    </w:p>
    <w:p w14:paraId="433AF7EA" w14:textId="4C5B3DE7" w:rsidR="00501CA6" w:rsidRPr="000365E5" w:rsidRDefault="00501CA6">
      <w:pPr>
        <w:pStyle w:val="Artculo"/>
        <w:numPr>
          <w:ilvl w:val="0"/>
          <w:numId w:val="0"/>
        </w:numPr>
        <w:spacing w:before="0" w:after="0"/>
      </w:pPr>
      <w:r>
        <w:t xml:space="preserve"> </w:t>
      </w:r>
    </w:p>
    <w:p w14:paraId="6FDE1555" w14:textId="308C4E74" w:rsidR="00DC2CD1" w:rsidRDefault="00594B69" w:rsidP="001C7682">
      <w:pPr>
        <w:pStyle w:val="Artculo"/>
        <w:numPr>
          <w:ilvl w:val="0"/>
          <w:numId w:val="7"/>
        </w:numPr>
        <w:spacing w:before="0" w:after="0"/>
        <w:ind w:left="567" w:hanging="567"/>
        <w:rPr>
          <w:b w:val="0"/>
        </w:rPr>
      </w:pPr>
      <w:r w:rsidRPr="000365E5">
        <w:rPr>
          <w:b w:val="0"/>
        </w:rPr>
        <w:t>Si</w:t>
      </w:r>
      <w:r w:rsidR="00A559A9" w:rsidRPr="00FF24BE">
        <w:rPr>
          <w:b w:val="0"/>
        </w:rPr>
        <w:t xml:space="preserve"> </w:t>
      </w:r>
      <w:r w:rsidRPr="00096873">
        <w:rPr>
          <w:b w:val="0"/>
        </w:rPr>
        <w:t xml:space="preserve">el </w:t>
      </w:r>
      <w:r w:rsidR="0080519C" w:rsidRPr="0080519C">
        <w:rPr>
          <w:b w:val="0"/>
        </w:rPr>
        <w:t>Informe anual de evaluación por parte del Auditor</w:t>
      </w:r>
      <w:r w:rsidR="0080519C" w:rsidRPr="0080519C" w:rsidDel="0080519C">
        <w:rPr>
          <w:b w:val="0"/>
        </w:rPr>
        <w:t xml:space="preserve"> </w:t>
      </w:r>
      <w:r w:rsidR="00B90480" w:rsidRPr="00096873">
        <w:rPr>
          <w:b w:val="0"/>
        </w:rPr>
        <w:t xml:space="preserve">de que </w:t>
      </w:r>
      <w:r w:rsidR="00B90480" w:rsidRPr="00CC3DF5">
        <w:rPr>
          <w:b w:val="0"/>
        </w:rPr>
        <w:t xml:space="preserve">trata el </w:t>
      </w:r>
      <w:r w:rsidR="00A65AD4" w:rsidRPr="00E01DA6">
        <w:rPr>
          <w:b w:val="0"/>
        </w:rPr>
        <w:t>Artículo 1</w:t>
      </w:r>
      <w:r w:rsidR="00050084" w:rsidRPr="009B5A4C">
        <w:rPr>
          <w:b w:val="0"/>
        </w:rPr>
        <w:t>2</w:t>
      </w:r>
      <w:r w:rsidR="00B90480" w:rsidRPr="00CC3DF5">
        <w:rPr>
          <w:b w:val="0"/>
        </w:rPr>
        <w:t xml:space="preserve"> </w:t>
      </w:r>
      <w:r w:rsidRPr="00CC3DF5">
        <w:rPr>
          <w:b w:val="0"/>
        </w:rPr>
        <w:t xml:space="preserve">da como resultado </w:t>
      </w:r>
      <w:r w:rsidR="00027E1B" w:rsidRPr="00CC3DF5">
        <w:rPr>
          <w:b w:val="0"/>
        </w:rPr>
        <w:t>“</w:t>
      </w:r>
      <w:r w:rsidR="00027E1B" w:rsidRPr="00CC3DF5">
        <w:rPr>
          <w:b w:val="0"/>
          <w:i/>
          <w:iCs/>
        </w:rPr>
        <w:t>Cumple”</w:t>
      </w:r>
      <w:r w:rsidRPr="00CC3DF5">
        <w:rPr>
          <w:b w:val="0"/>
        </w:rPr>
        <w:t xml:space="preserve">, </w:t>
      </w:r>
      <w:bookmarkStart w:id="19" w:name="_Hlk52875937"/>
      <w:r w:rsidR="0035796A" w:rsidRPr="00CC3DF5">
        <w:rPr>
          <w:b w:val="0"/>
        </w:rPr>
        <w:t>los comercializadores</w:t>
      </w:r>
      <w:r w:rsidR="00DE10DC" w:rsidRPr="00CC3DF5">
        <w:rPr>
          <w:b w:val="0"/>
        </w:rPr>
        <w:t xml:space="preserve"> podrán</w:t>
      </w:r>
      <w:r w:rsidR="00C70163" w:rsidRPr="00CC3DF5">
        <w:rPr>
          <w:b w:val="0"/>
        </w:rPr>
        <w:t xml:space="preserve"> continuar</w:t>
      </w:r>
      <w:r w:rsidR="00C70163">
        <w:rPr>
          <w:b w:val="0"/>
        </w:rPr>
        <w:t xml:space="preserve"> con el</w:t>
      </w:r>
      <w:r w:rsidR="00DE10DC">
        <w:rPr>
          <w:b w:val="0"/>
        </w:rPr>
        <w:t xml:space="preserve"> </w:t>
      </w:r>
      <w:r w:rsidR="00C70163">
        <w:rPr>
          <w:b w:val="0"/>
        </w:rPr>
        <w:t xml:space="preserve">traslado de </w:t>
      </w:r>
      <w:r w:rsidR="00DE10DC">
        <w:rPr>
          <w:b w:val="0"/>
        </w:rPr>
        <w:t>los precios y cantidades resultantes de las transacciones que realicen en el mecanismo presentado por DERIVEX-CRCC, para lo cual</w:t>
      </w:r>
      <w:r w:rsidRPr="00FF24BE">
        <w:rPr>
          <w:b w:val="0"/>
        </w:rPr>
        <w:t xml:space="preserve"> </w:t>
      </w:r>
      <w:r w:rsidR="00847C0C" w:rsidRPr="00115A7E">
        <w:rPr>
          <w:b w:val="0"/>
        </w:rPr>
        <w:t>deberán</w:t>
      </w:r>
      <w:r w:rsidR="00847C0C" w:rsidRPr="00096873">
        <w:rPr>
          <w:b w:val="0"/>
        </w:rPr>
        <w:t xml:space="preserve"> </w:t>
      </w:r>
      <w:r w:rsidR="00DE10DC">
        <w:rPr>
          <w:b w:val="0"/>
        </w:rPr>
        <w:t>aplicar</w:t>
      </w:r>
      <w:r w:rsidR="0098197B">
        <w:rPr>
          <w:b w:val="0"/>
        </w:rPr>
        <w:t xml:space="preserve"> </w:t>
      </w:r>
      <w:r w:rsidR="00D450B2">
        <w:rPr>
          <w:b w:val="0"/>
        </w:rPr>
        <w:t xml:space="preserve">las reglas de traslado </w:t>
      </w:r>
      <w:r w:rsidR="0098197B">
        <w:rPr>
          <w:b w:val="0"/>
        </w:rPr>
        <w:t>señalad</w:t>
      </w:r>
      <w:r w:rsidR="00D450B2">
        <w:rPr>
          <w:b w:val="0"/>
        </w:rPr>
        <w:t>as</w:t>
      </w:r>
      <w:r w:rsidR="0098197B">
        <w:rPr>
          <w:b w:val="0"/>
        </w:rPr>
        <w:t xml:space="preserve"> en </w:t>
      </w:r>
      <w:r w:rsidR="00A40735">
        <w:rPr>
          <w:b w:val="0"/>
        </w:rPr>
        <w:t>esta resolución</w:t>
      </w:r>
      <w:r>
        <w:rPr>
          <w:b w:val="0"/>
        </w:rPr>
        <w:t>.</w:t>
      </w:r>
      <w:bookmarkEnd w:id="19"/>
    </w:p>
    <w:p w14:paraId="7F7A14A1" w14:textId="0903BFB4" w:rsidR="00594B69" w:rsidRDefault="00594B69">
      <w:pPr>
        <w:pStyle w:val="Artculo"/>
        <w:numPr>
          <w:ilvl w:val="0"/>
          <w:numId w:val="0"/>
        </w:numPr>
        <w:spacing w:before="0" w:after="0"/>
        <w:ind w:left="567" w:hanging="567"/>
        <w:rPr>
          <w:b w:val="0"/>
        </w:rPr>
      </w:pPr>
      <w:r>
        <w:rPr>
          <w:b w:val="0"/>
        </w:rPr>
        <w:t xml:space="preserve">  </w:t>
      </w:r>
    </w:p>
    <w:p w14:paraId="00028495" w14:textId="2B3EB81D" w:rsidR="004803A1" w:rsidRPr="00297BA4" w:rsidRDefault="006A6AA5" w:rsidP="001C7682">
      <w:pPr>
        <w:pStyle w:val="Artculo"/>
        <w:numPr>
          <w:ilvl w:val="0"/>
          <w:numId w:val="7"/>
        </w:numPr>
        <w:spacing w:before="0" w:after="0"/>
        <w:ind w:left="567" w:hanging="567"/>
        <w:rPr>
          <w:b w:val="0"/>
        </w:rPr>
      </w:pPr>
      <w:r w:rsidRPr="00297BA4">
        <w:rPr>
          <w:b w:val="0"/>
        </w:rPr>
        <w:t xml:space="preserve">Si el </w:t>
      </w:r>
      <w:r w:rsidR="0080519C" w:rsidRPr="00297BA4">
        <w:rPr>
          <w:b w:val="0"/>
        </w:rPr>
        <w:t>Informe anual de evaluación por parte del Auditor</w:t>
      </w:r>
      <w:r w:rsidR="0080519C" w:rsidRPr="00297BA4" w:rsidDel="0080519C">
        <w:rPr>
          <w:b w:val="0"/>
        </w:rPr>
        <w:t xml:space="preserve"> </w:t>
      </w:r>
      <w:r w:rsidRPr="00297BA4">
        <w:rPr>
          <w:b w:val="0"/>
        </w:rPr>
        <w:t xml:space="preserve">de que trata el </w:t>
      </w:r>
      <w:r w:rsidR="00A65AD4" w:rsidRPr="00297BA4">
        <w:rPr>
          <w:b w:val="0"/>
        </w:rPr>
        <w:t xml:space="preserve">Artículo </w:t>
      </w:r>
      <w:r w:rsidR="002F5D06" w:rsidRPr="00297BA4">
        <w:rPr>
          <w:b w:val="0"/>
        </w:rPr>
        <w:t>1</w:t>
      </w:r>
      <w:r w:rsidR="00050084" w:rsidRPr="00297BA4">
        <w:rPr>
          <w:b w:val="0"/>
        </w:rPr>
        <w:t>2</w:t>
      </w:r>
      <w:r w:rsidR="002F5D06" w:rsidRPr="00297BA4">
        <w:rPr>
          <w:b w:val="0"/>
        </w:rPr>
        <w:t xml:space="preserve"> </w:t>
      </w:r>
      <w:r w:rsidRPr="00297BA4">
        <w:rPr>
          <w:b w:val="0"/>
        </w:rPr>
        <w:t>da como resultado</w:t>
      </w:r>
      <w:r w:rsidRPr="00297BA4" w:rsidDel="006A6AA5">
        <w:rPr>
          <w:b w:val="0"/>
        </w:rPr>
        <w:t xml:space="preserve"> </w:t>
      </w:r>
      <w:r w:rsidR="00A754D2" w:rsidRPr="00297BA4">
        <w:rPr>
          <w:b w:val="0"/>
        </w:rPr>
        <w:t>“</w:t>
      </w:r>
      <w:r w:rsidR="00A754D2" w:rsidRPr="00297BA4">
        <w:rPr>
          <w:b w:val="0"/>
          <w:i/>
        </w:rPr>
        <w:t>No cumple”</w:t>
      </w:r>
      <w:r w:rsidR="00351782" w:rsidRPr="00297BA4">
        <w:rPr>
          <w:b w:val="0"/>
          <w:i/>
        </w:rPr>
        <w:t xml:space="preserve"> </w:t>
      </w:r>
      <w:r w:rsidR="00351782" w:rsidRPr="00297BA4">
        <w:rPr>
          <w:b w:val="0"/>
        </w:rPr>
        <w:t>durante dos (2) años consecutivos</w:t>
      </w:r>
      <w:r w:rsidR="00594B69" w:rsidRPr="00297BA4">
        <w:rPr>
          <w:b w:val="0"/>
        </w:rPr>
        <w:t>,</w:t>
      </w:r>
      <w:r w:rsidR="005E3C29" w:rsidRPr="00297BA4">
        <w:rPr>
          <w:b w:val="0"/>
        </w:rPr>
        <w:t xml:space="preserve"> </w:t>
      </w:r>
      <w:r w:rsidR="00EA02CD" w:rsidRPr="00297BA4">
        <w:rPr>
          <w:b w:val="0"/>
        </w:rPr>
        <w:t>se suspenderá el traslado de</w:t>
      </w:r>
      <w:r w:rsidR="00003FBF" w:rsidRPr="00297BA4">
        <w:rPr>
          <w:b w:val="0"/>
        </w:rPr>
        <w:t xml:space="preserve"> los precios </w:t>
      </w:r>
      <w:r w:rsidR="00F130C5" w:rsidRPr="00297BA4">
        <w:rPr>
          <w:b w:val="0"/>
        </w:rPr>
        <w:t>y cantidades resultantes de</w:t>
      </w:r>
      <w:r w:rsidR="00EA02CD" w:rsidRPr="00297BA4">
        <w:rPr>
          <w:b w:val="0"/>
        </w:rPr>
        <w:t xml:space="preserve"> las transacciones realizadas </w:t>
      </w:r>
      <w:r w:rsidR="008E3CDA" w:rsidRPr="00297BA4">
        <w:rPr>
          <w:b w:val="0"/>
        </w:rPr>
        <w:t>a partir d</w:t>
      </w:r>
      <w:r w:rsidR="00200EE1" w:rsidRPr="00297BA4">
        <w:rPr>
          <w:b w:val="0"/>
        </w:rPr>
        <w:t>el día hábil siguiente</w:t>
      </w:r>
      <w:r w:rsidR="00065A02" w:rsidRPr="00297BA4">
        <w:rPr>
          <w:b w:val="0"/>
        </w:rPr>
        <w:t xml:space="preserve"> a</w:t>
      </w:r>
      <w:r w:rsidR="00F130C5" w:rsidRPr="00297BA4">
        <w:rPr>
          <w:b w:val="0"/>
        </w:rPr>
        <w:t xml:space="preserve"> la publicación del informe de auditoría por parte de la CREG, </w:t>
      </w:r>
      <w:r w:rsidR="00C9329A" w:rsidRPr="00297BA4">
        <w:rPr>
          <w:b w:val="0"/>
        </w:rPr>
        <w:t xml:space="preserve">de la que trata </w:t>
      </w:r>
      <w:r w:rsidR="00F130C5" w:rsidRPr="00297BA4">
        <w:rPr>
          <w:b w:val="0"/>
        </w:rPr>
        <w:t>el parágrafo del</w:t>
      </w:r>
      <w:r w:rsidR="00A65AD4" w:rsidRPr="00297BA4">
        <w:rPr>
          <w:b w:val="0"/>
        </w:rPr>
        <w:t xml:space="preserve"> Artículo </w:t>
      </w:r>
      <w:r w:rsidR="002F5D06" w:rsidRPr="00297BA4">
        <w:rPr>
          <w:b w:val="0"/>
        </w:rPr>
        <w:t>1</w:t>
      </w:r>
      <w:r w:rsidR="00050084" w:rsidRPr="00297BA4">
        <w:rPr>
          <w:b w:val="0"/>
        </w:rPr>
        <w:t>2</w:t>
      </w:r>
      <w:r w:rsidR="00F130C5" w:rsidRPr="00297BA4">
        <w:rPr>
          <w:b w:val="0"/>
        </w:rPr>
        <w:t>.</w:t>
      </w:r>
    </w:p>
    <w:p w14:paraId="630A020E" w14:textId="11FDC714" w:rsidR="00B232F4" w:rsidRDefault="00B232F4" w:rsidP="00C073E6">
      <w:pPr>
        <w:pStyle w:val="articulo"/>
      </w:pPr>
    </w:p>
    <w:p w14:paraId="612C70D6" w14:textId="554EE14B" w:rsidR="00CB55AE" w:rsidRPr="00CB55AE" w:rsidRDefault="00B232F4">
      <w:pPr>
        <w:spacing w:before="0" w:after="0"/>
      </w:pPr>
      <w:proofErr w:type="spellStart"/>
      <w:r w:rsidRPr="00115A7E">
        <w:rPr>
          <w:b/>
          <w:bCs/>
        </w:rPr>
        <w:t>Páragrafo</w:t>
      </w:r>
      <w:proofErr w:type="spellEnd"/>
      <w:r w:rsidR="00CB55AE">
        <w:rPr>
          <w:b/>
          <w:bCs/>
        </w:rPr>
        <w:t xml:space="preserve"> 1</w:t>
      </w:r>
      <w:r w:rsidRPr="00115A7E">
        <w:rPr>
          <w:b/>
          <w:bCs/>
        </w:rPr>
        <w:t>.</w:t>
      </w:r>
      <w:r>
        <w:t xml:space="preserve"> </w:t>
      </w:r>
      <w:r w:rsidR="00CB55AE">
        <w:t>El</w:t>
      </w:r>
      <w:r w:rsidR="00BE1514">
        <w:t xml:space="preserve"> primer</w:t>
      </w:r>
      <w:r w:rsidR="00CB55AE">
        <w:t xml:space="preserve"> </w:t>
      </w:r>
      <w:r w:rsidR="0080519C" w:rsidRPr="0080519C">
        <w:t>Informe anual de evaluación por parte del Auditor</w:t>
      </w:r>
      <w:r w:rsidR="0080519C">
        <w:t xml:space="preserve"> no será tenido en cuenta para efectos de lo señalado en el </w:t>
      </w:r>
      <w:r w:rsidR="00176C1F">
        <w:t xml:space="preserve">numeral </w:t>
      </w:r>
      <w:proofErr w:type="spellStart"/>
      <w:r w:rsidR="00176C1F">
        <w:t>ii</w:t>
      </w:r>
      <w:proofErr w:type="spellEnd"/>
      <w:r w:rsidR="00176C1F">
        <w:t>) del presente artículo.</w:t>
      </w:r>
      <w:r w:rsidR="00BE1514">
        <w:t xml:space="preserve"> </w:t>
      </w:r>
    </w:p>
    <w:p w14:paraId="541D846F" w14:textId="77777777" w:rsidR="00CB55AE" w:rsidRDefault="00CB55AE">
      <w:pPr>
        <w:spacing w:before="0" w:after="0"/>
      </w:pPr>
    </w:p>
    <w:p w14:paraId="4FCB04A2" w14:textId="260B17EE" w:rsidR="00B232F4" w:rsidRDefault="00CB55AE">
      <w:pPr>
        <w:spacing w:before="0" w:after="0"/>
      </w:pPr>
      <w:proofErr w:type="spellStart"/>
      <w:r w:rsidRPr="00115A7E">
        <w:rPr>
          <w:b/>
          <w:bCs/>
        </w:rPr>
        <w:t>Páragrafo</w:t>
      </w:r>
      <w:proofErr w:type="spellEnd"/>
      <w:r>
        <w:rPr>
          <w:b/>
          <w:bCs/>
        </w:rPr>
        <w:t xml:space="preserve"> 2</w:t>
      </w:r>
      <w:r w:rsidRPr="00115A7E">
        <w:rPr>
          <w:b/>
          <w:bCs/>
        </w:rPr>
        <w:t>.</w:t>
      </w:r>
      <w:r w:rsidR="00A10310">
        <w:rPr>
          <w:b/>
          <w:bCs/>
        </w:rPr>
        <w:t xml:space="preserve"> </w:t>
      </w:r>
      <w:r w:rsidR="003365F9">
        <w:t>S</w:t>
      </w:r>
      <w:r w:rsidR="00B232F4">
        <w:t>i</w:t>
      </w:r>
      <w:r w:rsidR="00804505">
        <w:t xml:space="preserve"> el resultado </w:t>
      </w:r>
      <w:r w:rsidR="00804505" w:rsidRPr="00A10310">
        <w:t xml:space="preserve">del </w:t>
      </w:r>
      <w:r w:rsidR="00A10310" w:rsidRPr="009B5A4C">
        <w:t>Informe anual de evaluación por parte del Auditor</w:t>
      </w:r>
      <w:r w:rsidR="00A10310" w:rsidDel="00A10310">
        <w:t xml:space="preserve"> </w:t>
      </w:r>
      <w:r w:rsidR="00804505">
        <w:t xml:space="preserve">tiene como </w:t>
      </w:r>
      <w:r w:rsidR="00D514DA">
        <w:t xml:space="preserve">consecuencia la suspensión del traslado, </w:t>
      </w:r>
      <w:r w:rsidR="00277BB0">
        <w:t xml:space="preserve">de acuerdo con lo señalado en el ordinal </w:t>
      </w:r>
      <w:proofErr w:type="spellStart"/>
      <w:r w:rsidR="00277BB0">
        <w:t>ii</w:t>
      </w:r>
      <w:proofErr w:type="spellEnd"/>
      <w:r w:rsidR="00277BB0">
        <w:t>) del presente artículo,</w:t>
      </w:r>
      <w:r w:rsidR="00D514DA">
        <w:t xml:space="preserve"> el Promotor del mecanismo podrá solicitar una nueva evaluación de los indicadores de re</w:t>
      </w:r>
      <w:r w:rsidR="007E3197">
        <w:t>sultado</w:t>
      </w:r>
      <w:r w:rsidR="00EB52D5">
        <w:t xml:space="preserve">. Esta evaluación podrá </w:t>
      </w:r>
      <w:r w:rsidR="007E3197">
        <w:t xml:space="preserve">ser </w:t>
      </w:r>
      <w:r w:rsidR="00EB52D5">
        <w:t>solicita</w:t>
      </w:r>
      <w:r w:rsidR="007E3197">
        <w:t xml:space="preserve">da </w:t>
      </w:r>
      <w:r w:rsidR="00D23C3C">
        <w:t xml:space="preserve">a partir de los </w:t>
      </w:r>
      <w:r w:rsidR="00547E6A">
        <w:t>seis</w:t>
      </w:r>
      <w:r w:rsidR="00A1252F">
        <w:t xml:space="preserve"> (6)</w:t>
      </w:r>
      <w:r w:rsidR="00547E6A">
        <w:t xml:space="preserve"> meses </w:t>
      </w:r>
      <w:r w:rsidR="00D23C3C">
        <w:t xml:space="preserve">siguientes a </w:t>
      </w:r>
      <w:r w:rsidR="00C57794">
        <w:t>la suspensión del traslado</w:t>
      </w:r>
      <w:r w:rsidR="009E001D">
        <w:t>, ante lo cual</w:t>
      </w:r>
      <w:r w:rsidR="00F17300">
        <w:t xml:space="preserve"> </w:t>
      </w:r>
      <w:r w:rsidR="009E001D">
        <w:t>l</w:t>
      </w:r>
      <w:r w:rsidR="00FE356D">
        <w:t xml:space="preserve">a CREG </w:t>
      </w:r>
      <w:r w:rsidR="00736F45">
        <w:t xml:space="preserve">evaluará si </w:t>
      </w:r>
      <w:r w:rsidR="00D34BA4">
        <w:t>procede la reanudación del traslado</w:t>
      </w:r>
      <w:r w:rsidR="009E001D">
        <w:t>.</w:t>
      </w:r>
    </w:p>
    <w:p w14:paraId="5CF8619B" w14:textId="77777777" w:rsidR="00B521DC" w:rsidRDefault="00B521DC">
      <w:pPr>
        <w:spacing w:before="0" w:after="0"/>
      </w:pPr>
    </w:p>
    <w:p w14:paraId="58308869" w14:textId="12A1D7E3" w:rsidR="00B521DC" w:rsidRPr="009B5A4C" w:rsidRDefault="00FB530E">
      <w:pPr>
        <w:pStyle w:val="Artculo"/>
        <w:spacing w:before="0" w:after="0"/>
        <w:ind w:left="0" w:firstLine="0"/>
        <w:rPr>
          <w:b w:val="0"/>
          <w:bCs/>
        </w:rPr>
      </w:pPr>
      <w:r>
        <w:t>Condici</w:t>
      </w:r>
      <w:r w:rsidR="00176124">
        <w:t>ones</w:t>
      </w:r>
      <w:r>
        <w:t xml:space="preserve"> para el traslado</w:t>
      </w:r>
      <w:r w:rsidR="00BE00F6">
        <w:t>.</w:t>
      </w:r>
      <w:r>
        <w:t xml:space="preserve"> </w:t>
      </w:r>
      <w:r w:rsidR="00B521DC" w:rsidRPr="009B5A4C">
        <w:rPr>
          <w:b w:val="0"/>
          <w:bCs/>
        </w:rPr>
        <w:t>El traslado de los precios de los contratos resultantes del mecanismo promovido por el promotor DERIVEX -</w:t>
      </w:r>
      <w:r w:rsidR="00B521DC" w:rsidRPr="009B5A4C">
        <w:rPr>
          <w:b w:val="0"/>
          <w:bCs/>
        </w:rPr>
        <w:lastRenderedPageBreak/>
        <w:t xml:space="preserve">CRCC, destinados a la demanda regulada, de que trata esta resolución podrá iniciarse a partir del día siguiente en que se cumplan las siguientes condiciones: </w:t>
      </w:r>
    </w:p>
    <w:p w14:paraId="09B071B8" w14:textId="77777777" w:rsidR="00FB530E" w:rsidRPr="002604F7" w:rsidRDefault="00FB530E" w:rsidP="0035025E">
      <w:pPr>
        <w:pStyle w:val="articulo"/>
      </w:pPr>
    </w:p>
    <w:p w14:paraId="58EE089F" w14:textId="3157DA67" w:rsidR="00B521DC" w:rsidRDefault="00B521DC" w:rsidP="001C7682">
      <w:pPr>
        <w:pStyle w:val="Prrafodelista"/>
        <w:numPr>
          <w:ilvl w:val="0"/>
          <w:numId w:val="15"/>
        </w:numPr>
        <w:spacing w:before="0" w:after="0"/>
        <w:ind w:left="567" w:hanging="567"/>
        <w:rPr>
          <w:lang w:val="es-ES"/>
        </w:rPr>
      </w:pPr>
      <w:r w:rsidRPr="00214E43">
        <w:rPr>
          <w:lang w:val="es-ES"/>
        </w:rPr>
        <w:t xml:space="preserve">Que el agente </w:t>
      </w:r>
      <w:r>
        <w:rPr>
          <w:lang w:val="es-ES"/>
        </w:rPr>
        <w:t>Ecopetrol Energía S</w:t>
      </w:r>
      <w:r w:rsidR="00E07059">
        <w:rPr>
          <w:lang w:val="es-ES"/>
        </w:rPr>
        <w:t>.</w:t>
      </w:r>
      <w:r>
        <w:rPr>
          <w:lang w:val="es-ES"/>
        </w:rPr>
        <w:t>A</w:t>
      </w:r>
      <w:r w:rsidR="00E07059">
        <w:rPr>
          <w:lang w:val="es-ES"/>
        </w:rPr>
        <w:t>.</w:t>
      </w:r>
      <w:r>
        <w:rPr>
          <w:lang w:val="es-ES"/>
        </w:rPr>
        <w:t>S</w:t>
      </w:r>
      <w:r w:rsidR="00E07059">
        <w:rPr>
          <w:lang w:val="es-ES"/>
        </w:rPr>
        <w:t>.</w:t>
      </w:r>
      <w:r>
        <w:rPr>
          <w:lang w:val="es-ES"/>
        </w:rPr>
        <w:t xml:space="preserve"> E</w:t>
      </w:r>
      <w:r w:rsidR="00E07059">
        <w:rPr>
          <w:lang w:val="es-ES"/>
        </w:rPr>
        <w:t>.</w:t>
      </w:r>
      <w:r>
        <w:rPr>
          <w:lang w:val="es-ES"/>
        </w:rPr>
        <w:t>S</w:t>
      </w:r>
      <w:r w:rsidR="00E07059">
        <w:rPr>
          <w:lang w:val="es-ES"/>
        </w:rPr>
        <w:t>.</w:t>
      </w:r>
      <w:r>
        <w:rPr>
          <w:lang w:val="es-ES"/>
        </w:rPr>
        <w:t>P</w:t>
      </w:r>
      <w:r w:rsidR="00E07059">
        <w:rPr>
          <w:lang w:val="es-ES"/>
        </w:rPr>
        <w:t>.</w:t>
      </w:r>
      <w:r>
        <w:rPr>
          <w:lang w:val="es-ES"/>
        </w:rPr>
        <w:t xml:space="preserve"> </w:t>
      </w:r>
      <w:r w:rsidRPr="00214E43">
        <w:rPr>
          <w:lang w:val="es-ES"/>
        </w:rPr>
        <w:t>haya cancelado la totalidad de sus fronteras comerciales en el mercado de energía.</w:t>
      </w:r>
    </w:p>
    <w:p w14:paraId="7C785B2B" w14:textId="77777777" w:rsidR="00196A6E" w:rsidRPr="00214E43" w:rsidRDefault="00196A6E" w:rsidP="009B5A4C">
      <w:pPr>
        <w:pStyle w:val="Prrafodelista"/>
        <w:spacing w:before="0" w:after="0"/>
        <w:ind w:left="567" w:hanging="567"/>
        <w:rPr>
          <w:lang w:val="es-ES"/>
        </w:rPr>
      </w:pPr>
    </w:p>
    <w:p w14:paraId="144FF8A8" w14:textId="126266F5" w:rsidR="00987D0E" w:rsidRPr="00987D0E" w:rsidRDefault="00B521DC" w:rsidP="001C7682">
      <w:pPr>
        <w:pStyle w:val="Prrafodelista"/>
        <w:numPr>
          <w:ilvl w:val="0"/>
          <w:numId w:val="15"/>
        </w:numPr>
        <w:spacing w:before="0" w:after="0"/>
        <w:ind w:left="567" w:hanging="567"/>
        <w:rPr>
          <w:lang w:val="es-ES"/>
        </w:rPr>
      </w:pPr>
      <w:r>
        <w:rPr>
          <w:lang w:val="es-ES"/>
        </w:rPr>
        <w:t xml:space="preserve">Que el </w:t>
      </w:r>
      <w:r w:rsidRPr="00214E43">
        <w:rPr>
          <w:lang w:val="es-ES"/>
        </w:rPr>
        <w:t xml:space="preserve">agente </w:t>
      </w:r>
      <w:r>
        <w:rPr>
          <w:lang w:val="es-ES"/>
        </w:rPr>
        <w:t>Ecopetrol Energía S</w:t>
      </w:r>
      <w:r w:rsidR="00E07059">
        <w:rPr>
          <w:lang w:val="es-ES"/>
        </w:rPr>
        <w:t>.</w:t>
      </w:r>
      <w:r>
        <w:rPr>
          <w:lang w:val="es-ES"/>
        </w:rPr>
        <w:t>A</w:t>
      </w:r>
      <w:r w:rsidR="00E07059">
        <w:rPr>
          <w:lang w:val="es-ES"/>
        </w:rPr>
        <w:t>.</w:t>
      </w:r>
      <w:r>
        <w:rPr>
          <w:lang w:val="es-ES"/>
        </w:rPr>
        <w:t>S</w:t>
      </w:r>
      <w:r w:rsidR="00E07059">
        <w:rPr>
          <w:lang w:val="es-ES"/>
        </w:rPr>
        <w:t>.</w:t>
      </w:r>
      <w:r>
        <w:rPr>
          <w:lang w:val="es-ES"/>
        </w:rPr>
        <w:t xml:space="preserve"> E</w:t>
      </w:r>
      <w:r w:rsidR="00E07059">
        <w:rPr>
          <w:lang w:val="es-ES"/>
        </w:rPr>
        <w:t>.</w:t>
      </w:r>
      <w:r>
        <w:rPr>
          <w:lang w:val="es-ES"/>
        </w:rPr>
        <w:t>S</w:t>
      </w:r>
      <w:r w:rsidR="00E07059">
        <w:rPr>
          <w:lang w:val="es-ES"/>
        </w:rPr>
        <w:t>.</w:t>
      </w:r>
      <w:r>
        <w:rPr>
          <w:lang w:val="es-ES"/>
        </w:rPr>
        <w:t>P</w:t>
      </w:r>
      <w:r w:rsidR="00E07059">
        <w:rPr>
          <w:lang w:val="es-ES"/>
        </w:rPr>
        <w:t>.</w:t>
      </w:r>
      <w:r>
        <w:rPr>
          <w:lang w:val="es-ES"/>
        </w:rPr>
        <w:t xml:space="preserve"> no cuenta con contratos registrados en el mercado de energía mayorista.</w:t>
      </w:r>
    </w:p>
    <w:p w14:paraId="6C865E44" w14:textId="77777777" w:rsidR="00987D0E" w:rsidRDefault="00987D0E" w:rsidP="009B5A4C">
      <w:pPr>
        <w:pStyle w:val="Prrafodelista"/>
        <w:spacing w:before="0" w:after="0"/>
        <w:ind w:left="567"/>
        <w:rPr>
          <w:lang w:val="es-ES"/>
        </w:rPr>
      </w:pPr>
    </w:p>
    <w:p w14:paraId="7346C034" w14:textId="499B82DA" w:rsidR="00B521DC" w:rsidRDefault="00B521DC" w:rsidP="001C7682">
      <w:pPr>
        <w:pStyle w:val="Prrafodelista"/>
        <w:numPr>
          <w:ilvl w:val="0"/>
          <w:numId w:val="15"/>
        </w:numPr>
        <w:spacing w:before="0" w:after="0"/>
        <w:ind w:left="567" w:hanging="567"/>
        <w:rPr>
          <w:lang w:val="es-ES"/>
        </w:rPr>
      </w:pPr>
      <w:r>
        <w:rPr>
          <w:lang w:val="es-ES"/>
        </w:rPr>
        <w:t xml:space="preserve">Que el agente </w:t>
      </w:r>
      <w:r w:rsidR="00FF1D4F">
        <w:rPr>
          <w:lang w:val="es-ES"/>
        </w:rPr>
        <w:t>Ecopetrol Energía S.A.S. E.S.P.</w:t>
      </w:r>
      <w:r w:rsidR="00FF1D4F" w:rsidRPr="00A4307F">
        <w:rPr>
          <w:lang w:val="es-ES"/>
        </w:rPr>
        <w:t xml:space="preserve"> </w:t>
      </w:r>
      <w:r>
        <w:rPr>
          <w:lang w:val="es-ES"/>
        </w:rPr>
        <w:t>haya solicitado el retiro voluntario como agente del mercado de energía mayorista.</w:t>
      </w:r>
    </w:p>
    <w:p w14:paraId="4B04FA9D" w14:textId="77777777" w:rsidR="00196A6E" w:rsidRDefault="00196A6E" w:rsidP="009B5A4C">
      <w:pPr>
        <w:pStyle w:val="Prrafodelista"/>
        <w:spacing w:before="0" w:after="0"/>
        <w:ind w:left="567" w:hanging="567"/>
        <w:rPr>
          <w:lang w:val="es-ES"/>
        </w:rPr>
      </w:pPr>
    </w:p>
    <w:p w14:paraId="19A55113" w14:textId="6DF7C613" w:rsidR="003D241F" w:rsidRDefault="00B521DC" w:rsidP="001C7682">
      <w:pPr>
        <w:pStyle w:val="Prrafodelista"/>
        <w:numPr>
          <w:ilvl w:val="0"/>
          <w:numId w:val="15"/>
        </w:numPr>
        <w:spacing w:before="0" w:after="0"/>
        <w:ind w:left="567" w:hanging="567"/>
        <w:rPr>
          <w:lang w:val="es-ES"/>
        </w:rPr>
      </w:pPr>
      <w:r>
        <w:rPr>
          <w:lang w:val="es-ES"/>
        </w:rPr>
        <w:t>Que XM S</w:t>
      </w:r>
      <w:r w:rsidR="003768AC">
        <w:rPr>
          <w:lang w:val="es-ES"/>
        </w:rPr>
        <w:t>.</w:t>
      </w:r>
      <w:r>
        <w:rPr>
          <w:lang w:val="es-ES"/>
        </w:rPr>
        <w:t>A</w:t>
      </w:r>
      <w:r w:rsidR="003768AC">
        <w:rPr>
          <w:lang w:val="es-ES"/>
        </w:rPr>
        <w:t>.</w:t>
      </w:r>
      <w:r>
        <w:rPr>
          <w:lang w:val="es-ES"/>
        </w:rPr>
        <w:t xml:space="preserve"> E</w:t>
      </w:r>
      <w:r w:rsidR="003768AC">
        <w:rPr>
          <w:lang w:val="es-ES"/>
        </w:rPr>
        <w:t>.</w:t>
      </w:r>
      <w:r>
        <w:rPr>
          <w:lang w:val="es-ES"/>
        </w:rPr>
        <w:t>S</w:t>
      </w:r>
      <w:r w:rsidR="003768AC">
        <w:rPr>
          <w:lang w:val="es-ES"/>
        </w:rPr>
        <w:t>.</w:t>
      </w:r>
      <w:r>
        <w:rPr>
          <w:lang w:val="es-ES"/>
        </w:rPr>
        <w:t>P</w:t>
      </w:r>
      <w:r w:rsidR="003768AC">
        <w:rPr>
          <w:lang w:val="es-ES"/>
        </w:rPr>
        <w:t>.</w:t>
      </w:r>
      <w:r>
        <w:rPr>
          <w:lang w:val="es-ES"/>
        </w:rPr>
        <w:t xml:space="preserve">, en su calidad de administrador del sistema de intercambios comerciales, certifique a la </w:t>
      </w:r>
      <w:r w:rsidR="003768AC">
        <w:rPr>
          <w:lang w:val="es-ES"/>
        </w:rPr>
        <w:t>CREG</w:t>
      </w:r>
      <w:r>
        <w:rPr>
          <w:lang w:val="es-ES"/>
        </w:rPr>
        <w:t>, la Superintendencia de Servicios Públicos Domiciliarios y al promotor que Ecopetrol Energía S</w:t>
      </w:r>
      <w:r w:rsidR="003768AC">
        <w:rPr>
          <w:lang w:val="es-ES"/>
        </w:rPr>
        <w:t>.</w:t>
      </w:r>
      <w:r>
        <w:rPr>
          <w:lang w:val="es-ES"/>
        </w:rPr>
        <w:t>A</w:t>
      </w:r>
      <w:r w:rsidR="003768AC">
        <w:rPr>
          <w:lang w:val="es-ES"/>
        </w:rPr>
        <w:t>.</w:t>
      </w:r>
      <w:r>
        <w:rPr>
          <w:lang w:val="es-ES"/>
        </w:rPr>
        <w:t>S</w:t>
      </w:r>
      <w:r w:rsidR="003768AC">
        <w:rPr>
          <w:lang w:val="es-ES"/>
        </w:rPr>
        <w:t>.</w:t>
      </w:r>
      <w:r>
        <w:rPr>
          <w:lang w:val="es-ES"/>
        </w:rPr>
        <w:t xml:space="preserve"> E</w:t>
      </w:r>
      <w:r w:rsidR="003768AC">
        <w:rPr>
          <w:lang w:val="es-ES"/>
        </w:rPr>
        <w:t>.</w:t>
      </w:r>
      <w:r>
        <w:rPr>
          <w:lang w:val="es-ES"/>
        </w:rPr>
        <w:t>S</w:t>
      </w:r>
      <w:r w:rsidR="003768AC">
        <w:rPr>
          <w:lang w:val="es-ES"/>
        </w:rPr>
        <w:t>.</w:t>
      </w:r>
      <w:r>
        <w:rPr>
          <w:lang w:val="es-ES"/>
        </w:rPr>
        <w:t>P</w:t>
      </w:r>
      <w:r w:rsidR="003768AC">
        <w:rPr>
          <w:lang w:val="es-ES"/>
        </w:rPr>
        <w:t>.</w:t>
      </w:r>
      <w:r>
        <w:rPr>
          <w:lang w:val="es-ES"/>
        </w:rPr>
        <w:t xml:space="preserve"> ha cumplido con las </w:t>
      </w:r>
      <w:r w:rsidR="00C614DE" w:rsidRPr="00A4307F">
        <w:rPr>
          <w:lang w:val="es-ES"/>
        </w:rPr>
        <w:t xml:space="preserve">condiciones i) </w:t>
      </w:r>
      <w:r w:rsidR="00C614DE">
        <w:rPr>
          <w:lang w:val="es-ES"/>
        </w:rPr>
        <w:t>a</w:t>
      </w:r>
      <w:r w:rsidR="00C614DE" w:rsidRPr="00A4307F">
        <w:rPr>
          <w:lang w:val="es-ES"/>
        </w:rPr>
        <w:t xml:space="preserve"> </w:t>
      </w:r>
      <w:proofErr w:type="spellStart"/>
      <w:r w:rsidR="00C614DE">
        <w:rPr>
          <w:lang w:val="es-ES"/>
        </w:rPr>
        <w:t>i</w:t>
      </w:r>
      <w:r w:rsidR="00C614DE" w:rsidRPr="00A4307F">
        <w:rPr>
          <w:lang w:val="es-ES"/>
        </w:rPr>
        <w:t>ii</w:t>
      </w:r>
      <w:proofErr w:type="spellEnd"/>
      <w:r w:rsidR="00C614DE" w:rsidRPr="00A4307F">
        <w:rPr>
          <w:lang w:val="es-ES"/>
        </w:rPr>
        <w:t>)</w:t>
      </w:r>
      <w:r>
        <w:rPr>
          <w:lang w:val="es-ES"/>
        </w:rPr>
        <w:t>.</w:t>
      </w:r>
    </w:p>
    <w:p w14:paraId="4B099257" w14:textId="77777777" w:rsidR="00A4307F" w:rsidRDefault="00A4307F" w:rsidP="00D31EE1">
      <w:pPr>
        <w:pStyle w:val="Prrafodelista"/>
        <w:spacing w:before="0" w:after="0"/>
        <w:ind w:left="567"/>
        <w:rPr>
          <w:lang w:val="es-ES"/>
        </w:rPr>
      </w:pPr>
    </w:p>
    <w:p w14:paraId="0BF25FFD" w14:textId="654DA896" w:rsidR="00A4307F" w:rsidRPr="00214E43" w:rsidRDefault="00A4307F" w:rsidP="001C7682">
      <w:pPr>
        <w:pStyle w:val="Prrafodelista"/>
        <w:numPr>
          <w:ilvl w:val="0"/>
          <w:numId w:val="15"/>
        </w:numPr>
        <w:spacing w:before="0" w:after="0"/>
        <w:ind w:left="567" w:hanging="567"/>
        <w:rPr>
          <w:lang w:val="es-ES"/>
        </w:rPr>
      </w:pPr>
      <w:r w:rsidRPr="00A4307F">
        <w:rPr>
          <w:lang w:val="es-ES"/>
        </w:rPr>
        <w:t xml:space="preserve">Que </w:t>
      </w:r>
      <w:r>
        <w:rPr>
          <w:lang w:val="es-ES"/>
        </w:rPr>
        <w:t>Ecopetrol Energía S.A.S. E.S.P.</w:t>
      </w:r>
      <w:r w:rsidRPr="00A4307F">
        <w:rPr>
          <w:lang w:val="es-ES"/>
        </w:rPr>
        <w:t xml:space="preserve"> presente ante la CREG y la Superintendencia de Servicios Públicos Domiciliarios, </w:t>
      </w:r>
      <w:r w:rsidR="00DC00D5">
        <w:rPr>
          <w:lang w:val="es-ES"/>
        </w:rPr>
        <w:t xml:space="preserve">una declaración </w:t>
      </w:r>
      <w:r w:rsidR="00194E4F">
        <w:rPr>
          <w:lang w:val="es-ES"/>
        </w:rPr>
        <w:t xml:space="preserve">mediante </w:t>
      </w:r>
      <w:r w:rsidR="00DC00D5">
        <w:rPr>
          <w:lang w:val="es-ES"/>
        </w:rPr>
        <w:t xml:space="preserve">documento escrito </w:t>
      </w:r>
      <w:r w:rsidRPr="00A4307F">
        <w:rPr>
          <w:lang w:val="es-ES"/>
        </w:rPr>
        <w:t xml:space="preserve">en la cual indique expresamente que se mantendrán las condiciones i) y </w:t>
      </w:r>
      <w:proofErr w:type="spellStart"/>
      <w:r w:rsidRPr="00A4307F">
        <w:rPr>
          <w:lang w:val="es-ES"/>
        </w:rPr>
        <w:t>ii</w:t>
      </w:r>
      <w:proofErr w:type="spellEnd"/>
      <w:r w:rsidRPr="00A4307F">
        <w:rPr>
          <w:lang w:val="es-ES"/>
        </w:rPr>
        <w:t>) mientras exista alguna relación de control con el promotor del mecanismo.</w:t>
      </w:r>
    </w:p>
    <w:p w14:paraId="6D73A919" w14:textId="77777777" w:rsidR="001735BC" w:rsidRDefault="001735BC">
      <w:pPr>
        <w:spacing w:before="0" w:after="0"/>
      </w:pPr>
    </w:p>
    <w:p w14:paraId="068883FC" w14:textId="77777777" w:rsidR="00B521DC" w:rsidRDefault="00B521DC" w:rsidP="009B5A4C">
      <w:pPr>
        <w:spacing w:before="0" w:after="0"/>
      </w:pPr>
      <w:r>
        <w:t>Serán objeto de traslado los precios de los contratos que se celebren en el mecanismo a partir de la fecha antes indicada, en las condiciones establecidas en los artículos anteriores.</w:t>
      </w:r>
    </w:p>
    <w:p w14:paraId="0F4B560A" w14:textId="77777777" w:rsidR="00B521DC" w:rsidRPr="00115A7E" w:rsidRDefault="00B521DC">
      <w:pPr>
        <w:spacing w:before="0" w:after="0"/>
        <w:rPr>
          <w:b/>
        </w:rPr>
      </w:pPr>
    </w:p>
    <w:p w14:paraId="5385ED3B" w14:textId="3751815E" w:rsidR="00E0480B" w:rsidRDefault="008B1976" w:rsidP="0035025E">
      <w:pPr>
        <w:pStyle w:val="articulo"/>
      </w:pPr>
      <w:r w:rsidRPr="000365E5">
        <w:t>T</w:t>
      </w:r>
      <w:r>
        <w:t xml:space="preserve">ÍTULO III. </w:t>
      </w:r>
      <w:r w:rsidR="00E0480B" w:rsidRPr="000365E5">
        <w:t>Indicadores</w:t>
      </w:r>
      <w:r w:rsidR="00FF0391">
        <w:t xml:space="preserve"> </w:t>
      </w:r>
      <w:r w:rsidR="00E0480B" w:rsidRPr="00096873">
        <w:t>y auditoría</w:t>
      </w:r>
    </w:p>
    <w:p w14:paraId="35AF9DD8" w14:textId="77777777" w:rsidR="00E35355" w:rsidRPr="00E35355" w:rsidRDefault="00E35355">
      <w:pPr>
        <w:spacing w:before="0" w:after="0"/>
      </w:pPr>
    </w:p>
    <w:p w14:paraId="1B1EFAC6" w14:textId="030E030C" w:rsidR="00E35355" w:rsidRPr="00115A7E" w:rsidRDefault="005A013D">
      <w:pPr>
        <w:pStyle w:val="Artculo"/>
        <w:spacing w:before="0" w:after="0"/>
        <w:ind w:left="0" w:firstLine="0"/>
      </w:pPr>
      <w:r>
        <w:t xml:space="preserve"> </w:t>
      </w:r>
      <w:r w:rsidR="5DA1EA21">
        <w:t xml:space="preserve">Indicadores de </w:t>
      </w:r>
      <w:r w:rsidR="00EE50A8">
        <w:t>evaluación de</w:t>
      </w:r>
      <w:r>
        <w:t>l</w:t>
      </w:r>
      <w:r w:rsidR="00EE50A8">
        <w:t xml:space="preserve"> </w:t>
      </w:r>
      <w:r w:rsidR="5DA1EA21">
        <w:t>resultado</w:t>
      </w:r>
      <w:r w:rsidR="00197B80">
        <w:t xml:space="preserve"> </w:t>
      </w:r>
      <w:r w:rsidR="5DA1EA21">
        <w:t>del mecanismo DERIVEX-CRCC</w:t>
      </w:r>
      <w:r w:rsidR="2A9EC6C5">
        <w:t>.</w:t>
      </w:r>
      <w:r w:rsidR="47ED00EE">
        <w:t xml:space="preserve"> </w:t>
      </w:r>
      <w:r w:rsidR="2A9EC6C5">
        <w:rPr>
          <w:b w:val="0"/>
        </w:rPr>
        <w:t>L</w:t>
      </w:r>
      <w:r w:rsidR="5DA1EA21">
        <w:rPr>
          <w:b w:val="0"/>
        </w:rPr>
        <w:t>o</w:t>
      </w:r>
      <w:r w:rsidR="0D6FC22F">
        <w:rPr>
          <w:b w:val="0"/>
        </w:rPr>
        <w:t xml:space="preserve">s </w:t>
      </w:r>
      <w:r w:rsidR="5DA1EA21">
        <w:rPr>
          <w:b w:val="0"/>
        </w:rPr>
        <w:t xml:space="preserve">indicadores </w:t>
      </w:r>
      <w:r w:rsidR="0564A0E0">
        <w:rPr>
          <w:b w:val="0"/>
        </w:rPr>
        <w:t xml:space="preserve">que se utilizarán </w:t>
      </w:r>
      <w:r w:rsidR="5DA1EA21">
        <w:rPr>
          <w:b w:val="0"/>
        </w:rPr>
        <w:t>para hacer seguimiento de los resultados del mecanismo DERIVEX-CRCC, en el marco de la Resolución CREG 114 de 2018</w:t>
      </w:r>
      <w:r w:rsidR="008E3CDA">
        <w:rPr>
          <w:b w:val="0"/>
        </w:rPr>
        <w:t>,</w:t>
      </w:r>
      <w:r w:rsidR="5DA1EA21">
        <w:rPr>
          <w:b w:val="0"/>
        </w:rPr>
        <w:t xml:space="preserve"> </w:t>
      </w:r>
      <w:r w:rsidR="00927677">
        <w:rPr>
          <w:b w:val="0"/>
        </w:rPr>
        <w:t xml:space="preserve">están descritos en el </w:t>
      </w:r>
      <w:r w:rsidR="00A65AD4">
        <w:rPr>
          <w:b w:val="0"/>
        </w:rPr>
        <w:t xml:space="preserve">Anexo </w:t>
      </w:r>
      <w:r w:rsidR="00E7651E">
        <w:rPr>
          <w:b w:val="0"/>
        </w:rPr>
        <w:t>2</w:t>
      </w:r>
      <w:r w:rsidR="00FF0391">
        <w:t xml:space="preserve"> </w:t>
      </w:r>
      <w:r w:rsidR="00927677">
        <w:rPr>
          <w:b w:val="0"/>
        </w:rPr>
        <w:t>de esta resolución.</w:t>
      </w:r>
    </w:p>
    <w:p w14:paraId="2E424C45" w14:textId="77777777" w:rsidR="00927677" w:rsidRPr="00115A7E" w:rsidRDefault="00927677" w:rsidP="0035025E">
      <w:pPr>
        <w:pStyle w:val="articulo"/>
      </w:pPr>
    </w:p>
    <w:p w14:paraId="5F0EE3A9" w14:textId="590FAC18" w:rsidR="00760652" w:rsidRPr="00115A7E" w:rsidRDefault="00760652">
      <w:pPr>
        <w:pStyle w:val="Artculo"/>
        <w:numPr>
          <w:ilvl w:val="0"/>
          <w:numId w:val="0"/>
        </w:numPr>
        <w:spacing w:before="0" w:after="0"/>
        <w:rPr>
          <w:b w:val="0"/>
        </w:rPr>
      </w:pPr>
      <w:r w:rsidRPr="00115A7E">
        <w:rPr>
          <w:b w:val="0"/>
        </w:rPr>
        <w:t xml:space="preserve">La medición de los indicadores descritos </w:t>
      </w:r>
      <w:r w:rsidR="004E210E" w:rsidRPr="00115A7E">
        <w:rPr>
          <w:b w:val="0"/>
        </w:rPr>
        <w:t xml:space="preserve">se hará con una </w:t>
      </w:r>
      <w:r w:rsidR="00D43C68">
        <w:rPr>
          <w:b w:val="0"/>
        </w:rPr>
        <w:t>periodicidad anual</w:t>
      </w:r>
      <w:r w:rsidR="008E3CDA">
        <w:rPr>
          <w:b w:val="0"/>
        </w:rPr>
        <w:t>,</w:t>
      </w:r>
      <w:r w:rsidRPr="00115A7E">
        <w:rPr>
          <w:b w:val="0"/>
        </w:rPr>
        <w:t xml:space="preserve"> y</w:t>
      </w:r>
      <w:r w:rsidR="005C2402">
        <w:rPr>
          <w:b w:val="0"/>
        </w:rPr>
        <w:t xml:space="preserve"> su cálculo</w:t>
      </w:r>
      <w:r w:rsidRPr="00115A7E">
        <w:rPr>
          <w:b w:val="0"/>
        </w:rPr>
        <w:t xml:space="preserve"> será responsabilidad del Promotor</w:t>
      </w:r>
      <w:r w:rsidR="004E210E" w:rsidRPr="00115A7E">
        <w:rPr>
          <w:b w:val="0"/>
        </w:rPr>
        <w:t>,</w:t>
      </w:r>
      <w:r w:rsidRPr="00115A7E">
        <w:rPr>
          <w:b w:val="0"/>
        </w:rPr>
        <w:t xml:space="preserve"> el cual deberá publicarlos</w:t>
      </w:r>
      <w:r w:rsidR="00B074D3" w:rsidRPr="00115A7E">
        <w:rPr>
          <w:b w:val="0"/>
        </w:rPr>
        <w:t xml:space="preserve"> dentro de </w:t>
      </w:r>
      <w:r w:rsidR="00B074D3" w:rsidRPr="008E3CDA">
        <w:rPr>
          <w:b w:val="0"/>
        </w:rPr>
        <w:t>los</w:t>
      </w:r>
      <w:r w:rsidR="004E210E" w:rsidRPr="008E3CDA">
        <w:rPr>
          <w:b w:val="0"/>
        </w:rPr>
        <w:t xml:space="preserve"> </w:t>
      </w:r>
      <w:r w:rsidR="008E3CDA" w:rsidRPr="008E3CDA">
        <w:rPr>
          <w:b w:val="0"/>
        </w:rPr>
        <w:t>cinco</w:t>
      </w:r>
      <w:r w:rsidR="00B074D3" w:rsidRPr="008E3CDA">
        <w:rPr>
          <w:b w:val="0"/>
        </w:rPr>
        <w:t xml:space="preserve"> </w:t>
      </w:r>
      <w:r w:rsidR="004E210E" w:rsidRPr="008E3CDA">
        <w:rPr>
          <w:b w:val="0"/>
        </w:rPr>
        <w:t>(</w:t>
      </w:r>
      <w:r w:rsidR="00DE4114" w:rsidRPr="008E3CDA">
        <w:rPr>
          <w:b w:val="0"/>
        </w:rPr>
        <w:t>5</w:t>
      </w:r>
      <w:r w:rsidR="004E210E" w:rsidRPr="008E3CDA">
        <w:rPr>
          <w:b w:val="0"/>
        </w:rPr>
        <w:t>)</w:t>
      </w:r>
      <w:r w:rsidR="00B074D3" w:rsidRPr="008E3CDA">
        <w:rPr>
          <w:b w:val="0"/>
        </w:rPr>
        <w:t xml:space="preserve"> días</w:t>
      </w:r>
      <w:r w:rsidR="00B074D3" w:rsidRPr="00115A7E">
        <w:rPr>
          <w:b w:val="0"/>
        </w:rPr>
        <w:t xml:space="preserve"> </w:t>
      </w:r>
      <w:r w:rsidR="004C13E4" w:rsidRPr="00115A7E">
        <w:rPr>
          <w:b w:val="0"/>
        </w:rPr>
        <w:t xml:space="preserve">hábiles </w:t>
      </w:r>
      <w:r w:rsidR="00B074D3" w:rsidRPr="00115A7E">
        <w:rPr>
          <w:b w:val="0"/>
        </w:rPr>
        <w:t>siguientes a su medición</w:t>
      </w:r>
      <w:r w:rsidRPr="00115A7E">
        <w:rPr>
          <w:b w:val="0"/>
        </w:rPr>
        <w:t xml:space="preserve"> en su página web</w:t>
      </w:r>
      <w:r w:rsidR="00A07223" w:rsidRPr="00115A7E">
        <w:rPr>
          <w:b w:val="0"/>
        </w:rPr>
        <w:t>,</w:t>
      </w:r>
      <w:r w:rsidRPr="00115A7E">
        <w:rPr>
          <w:b w:val="0"/>
        </w:rPr>
        <w:t xml:space="preserve"> para conocimiento público.</w:t>
      </w:r>
    </w:p>
    <w:p w14:paraId="78111FD0" w14:textId="77777777" w:rsidR="00E35355" w:rsidRPr="00115A7E" w:rsidRDefault="00E35355">
      <w:pPr>
        <w:spacing w:before="0" w:after="0"/>
        <w:rPr>
          <w:b/>
          <w:bCs/>
        </w:rPr>
      </w:pPr>
    </w:p>
    <w:p w14:paraId="15DF8D41" w14:textId="68434540" w:rsidR="0077311C" w:rsidRPr="00115A7E" w:rsidRDefault="28334315">
      <w:pPr>
        <w:spacing w:before="0" w:after="0"/>
      </w:pPr>
      <w:r w:rsidRPr="00115A7E">
        <w:rPr>
          <w:b/>
          <w:bCs/>
        </w:rPr>
        <w:t>Parágrafo.</w:t>
      </w:r>
      <w:r w:rsidRPr="00115A7E">
        <w:t xml:space="preserve"> </w:t>
      </w:r>
      <w:r w:rsidR="0077311C" w:rsidRPr="00115A7E">
        <w:t xml:space="preserve">La información con base en la cual se calculen los indicadores deberá conservarse y mantenerse disponible cuando sea requerida por la Comisión de Regulación de Energía y Gas, </w:t>
      </w:r>
      <w:r w:rsidR="00292446" w:rsidRPr="00115A7E">
        <w:t xml:space="preserve">la </w:t>
      </w:r>
      <w:r w:rsidR="0077311C" w:rsidRPr="00115A7E">
        <w:t>Superintendencia de Servicios Públicos Domiciliarios</w:t>
      </w:r>
      <w:r w:rsidR="00DE4114">
        <w:t>,</w:t>
      </w:r>
      <w:r w:rsidR="0077311C" w:rsidRPr="00115A7E">
        <w:t xml:space="preserve"> el </w:t>
      </w:r>
      <w:r w:rsidR="00292446" w:rsidRPr="00115A7E">
        <w:t>A</w:t>
      </w:r>
      <w:r w:rsidR="0077311C" w:rsidRPr="00115A7E">
        <w:t>uditor</w:t>
      </w:r>
      <w:r w:rsidR="00C26748" w:rsidRPr="00115A7E">
        <w:t xml:space="preserve"> o las demás autoridades competentes</w:t>
      </w:r>
      <w:r w:rsidR="0077311C" w:rsidRPr="00115A7E">
        <w:t>.</w:t>
      </w:r>
    </w:p>
    <w:p w14:paraId="266487BC" w14:textId="77777777" w:rsidR="00E35355" w:rsidRPr="00785D19" w:rsidRDefault="00E35355">
      <w:pPr>
        <w:spacing w:before="0" w:after="0"/>
      </w:pPr>
    </w:p>
    <w:p w14:paraId="6B774EA5" w14:textId="77C4A66D" w:rsidR="00A2009B" w:rsidRPr="003C09EF" w:rsidRDefault="00A2009B">
      <w:pPr>
        <w:pStyle w:val="Artculo"/>
        <w:spacing w:before="0" w:after="0"/>
        <w:ind w:left="0" w:firstLine="0"/>
        <w:rPr>
          <w:b w:val="0"/>
        </w:rPr>
      </w:pPr>
      <w:r>
        <w:t>Evaluación de los indicadores del resultado del mecanismo DERIVEX-CRCC.</w:t>
      </w:r>
      <w:r>
        <w:rPr>
          <w:b w:val="0"/>
        </w:rPr>
        <w:t xml:space="preserve"> El Promotor deberá contratar un Auditor de la lista de elegibles determinada por el CAC para evaluar los indicadores de resultado del mecanismo, conforme a lo señalado en la Resolución CREG 114 de 2018, o aquella</w:t>
      </w:r>
      <w:r w:rsidR="006559E5">
        <w:rPr>
          <w:b w:val="0"/>
        </w:rPr>
        <w:t>s</w:t>
      </w:r>
      <w:r>
        <w:rPr>
          <w:b w:val="0"/>
        </w:rPr>
        <w:t xml:space="preserve"> que la modifiquen, adicionen o sustituyan. </w:t>
      </w:r>
    </w:p>
    <w:p w14:paraId="103B9E92" w14:textId="60B948FA" w:rsidR="00DE4114" w:rsidRDefault="00B6547A">
      <w:pPr>
        <w:pStyle w:val="Artculo"/>
        <w:numPr>
          <w:ilvl w:val="0"/>
          <w:numId w:val="0"/>
        </w:numPr>
        <w:spacing w:before="0" w:after="0"/>
        <w:rPr>
          <w:b w:val="0"/>
        </w:rPr>
      </w:pPr>
      <w:r w:rsidRPr="00FA2796">
        <w:rPr>
          <w:b w:val="0"/>
          <w:bCs/>
        </w:rPr>
        <w:lastRenderedPageBreak/>
        <w:t>Conforme</w:t>
      </w:r>
      <w:r>
        <w:rPr>
          <w:b w:val="0"/>
          <w:bCs/>
        </w:rPr>
        <w:t xml:space="preserve"> a lo señalado en </w:t>
      </w:r>
      <w:r w:rsidR="00D3583B">
        <w:rPr>
          <w:b w:val="0"/>
          <w:bCs/>
        </w:rPr>
        <w:t>los numerales 1 y 2 del Anexo 2</w:t>
      </w:r>
      <w:r>
        <w:rPr>
          <w:b w:val="0"/>
          <w:bCs/>
        </w:rPr>
        <w:t xml:space="preserve"> de la Resolución CREG 114 de 2018, </w:t>
      </w:r>
      <w:r>
        <w:rPr>
          <w:b w:val="0"/>
        </w:rPr>
        <w:t>e</w:t>
      </w:r>
      <w:r w:rsidR="00A2009B" w:rsidRPr="00147FA7">
        <w:rPr>
          <w:b w:val="0"/>
        </w:rPr>
        <w:t xml:space="preserve">l Auditor seleccionado para evaluar los indicadores de resultado descritos en el </w:t>
      </w:r>
      <w:r w:rsidR="00A65AD4" w:rsidRPr="00147FA7">
        <w:rPr>
          <w:b w:val="0"/>
        </w:rPr>
        <w:t xml:space="preserve">Anexo 3 </w:t>
      </w:r>
      <w:r w:rsidR="00A2009B" w:rsidRPr="00147FA7">
        <w:rPr>
          <w:b w:val="0"/>
        </w:rPr>
        <w:t>de la presente resolución deberá</w:t>
      </w:r>
      <w:r w:rsidR="00DE4114">
        <w:rPr>
          <w:b w:val="0"/>
        </w:rPr>
        <w:t>:</w:t>
      </w:r>
    </w:p>
    <w:p w14:paraId="3EACF9A6" w14:textId="77777777" w:rsidR="00DE4114" w:rsidRDefault="00DE4114">
      <w:pPr>
        <w:pStyle w:val="Artculo"/>
        <w:numPr>
          <w:ilvl w:val="0"/>
          <w:numId w:val="0"/>
        </w:numPr>
        <w:spacing w:before="0" w:after="0"/>
        <w:rPr>
          <w:b w:val="0"/>
        </w:rPr>
      </w:pPr>
    </w:p>
    <w:p w14:paraId="0AC034F4" w14:textId="131371AA" w:rsidR="00887D10" w:rsidRDefault="00DE4114" w:rsidP="001C7682">
      <w:pPr>
        <w:pStyle w:val="Artculo"/>
        <w:numPr>
          <w:ilvl w:val="0"/>
          <w:numId w:val="16"/>
        </w:numPr>
        <w:spacing w:before="0" w:after="0"/>
        <w:ind w:left="709" w:hanging="425"/>
        <w:rPr>
          <w:b w:val="0"/>
        </w:rPr>
      </w:pPr>
      <w:r>
        <w:rPr>
          <w:b w:val="0"/>
        </w:rPr>
        <w:t xml:space="preserve">Replicar el cálculo de los indicadores </w:t>
      </w:r>
      <w:r w:rsidR="00887D10">
        <w:rPr>
          <w:b w:val="0"/>
        </w:rPr>
        <w:t>de resultado</w:t>
      </w:r>
      <w:r w:rsidR="007300A4">
        <w:rPr>
          <w:b w:val="0"/>
        </w:rPr>
        <w:t xml:space="preserve"> señalados en el Anexo 2 de la presente resolución</w:t>
      </w:r>
      <w:r w:rsidR="00887D10">
        <w:rPr>
          <w:b w:val="0"/>
        </w:rPr>
        <w:t>.</w:t>
      </w:r>
    </w:p>
    <w:p w14:paraId="6C689D44" w14:textId="77777777" w:rsidR="00887D10" w:rsidRPr="009B5A4C" w:rsidRDefault="00887D10" w:rsidP="008E3CDA">
      <w:pPr>
        <w:pStyle w:val="articulo"/>
        <w:ind w:left="709" w:hanging="425"/>
      </w:pPr>
    </w:p>
    <w:p w14:paraId="34C299F0" w14:textId="6B783454" w:rsidR="00A2009B" w:rsidRDefault="00A219B6" w:rsidP="001C7682">
      <w:pPr>
        <w:pStyle w:val="Artculo"/>
        <w:numPr>
          <w:ilvl w:val="0"/>
          <w:numId w:val="16"/>
        </w:numPr>
        <w:spacing w:before="0" w:after="0"/>
        <w:ind w:left="709" w:hanging="425"/>
        <w:rPr>
          <w:b w:val="0"/>
        </w:rPr>
      </w:pPr>
      <w:r>
        <w:rPr>
          <w:b w:val="0"/>
        </w:rPr>
        <w:t>E</w:t>
      </w:r>
      <w:r w:rsidR="00A2009B" w:rsidRPr="00147FA7">
        <w:rPr>
          <w:b w:val="0"/>
        </w:rPr>
        <w:t xml:space="preserve">mitir un </w:t>
      </w:r>
      <w:r w:rsidR="00DE4114">
        <w:rPr>
          <w:b w:val="0"/>
        </w:rPr>
        <w:t>I</w:t>
      </w:r>
      <w:r w:rsidR="00A2009B" w:rsidRPr="00147FA7">
        <w:rPr>
          <w:b w:val="0"/>
        </w:rPr>
        <w:t>nforme anual</w:t>
      </w:r>
      <w:r w:rsidR="00DE4114">
        <w:rPr>
          <w:b w:val="0"/>
        </w:rPr>
        <w:t xml:space="preserve"> de evaluación</w:t>
      </w:r>
      <w:r w:rsidR="00A2009B" w:rsidRPr="00147FA7">
        <w:rPr>
          <w:b w:val="0"/>
        </w:rPr>
        <w:t xml:space="preserve"> que abarque el Periodo Anual de Evaluación</w:t>
      </w:r>
      <w:r>
        <w:rPr>
          <w:b w:val="0"/>
        </w:rPr>
        <w:t>, con base en las reglas de evaluación descritas en el Anexo 3 de la presente resolución</w:t>
      </w:r>
      <w:r w:rsidR="00A2009B" w:rsidRPr="0035414E">
        <w:rPr>
          <w:b w:val="0"/>
        </w:rPr>
        <w:t>. El informe de evaluación deberá tener como resultado un concepto explícito, claro e inequívoco de “</w:t>
      </w:r>
      <w:r w:rsidR="00A2009B" w:rsidRPr="0035414E">
        <w:rPr>
          <w:b w:val="0"/>
          <w:i/>
          <w:iCs/>
        </w:rPr>
        <w:t>cumple”</w:t>
      </w:r>
      <w:r w:rsidR="00A2009B" w:rsidRPr="0035414E">
        <w:rPr>
          <w:b w:val="0"/>
        </w:rPr>
        <w:t xml:space="preserve"> o “</w:t>
      </w:r>
      <w:r w:rsidR="00A2009B" w:rsidRPr="0035414E">
        <w:rPr>
          <w:b w:val="0"/>
          <w:i/>
          <w:iCs/>
        </w:rPr>
        <w:t>no cumple”</w:t>
      </w:r>
      <w:r w:rsidR="00A2009B" w:rsidRPr="0035414E">
        <w:rPr>
          <w:b w:val="0"/>
        </w:rPr>
        <w:t xml:space="preserve"> conforme a la metodología descrita en el </w:t>
      </w:r>
      <w:r w:rsidR="00A65AD4" w:rsidRPr="0035414E">
        <w:rPr>
          <w:b w:val="0"/>
        </w:rPr>
        <w:t>Anexo 4</w:t>
      </w:r>
      <w:r w:rsidR="00A2009B" w:rsidRPr="0035414E">
        <w:rPr>
          <w:b w:val="0"/>
        </w:rPr>
        <w:t xml:space="preserve"> de la presente resolución.</w:t>
      </w:r>
    </w:p>
    <w:p w14:paraId="28984CA1" w14:textId="77777777" w:rsidR="00A2009B" w:rsidRDefault="00A2009B">
      <w:pPr>
        <w:spacing w:before="0" w:after="0"/>
        <w:jc w:val="center"/>
      </w:pPr>
    </w:p>
    <w:p w14:paraId="071EED55" w14:textId="7D7C5A1F" w:rsidR="000C4A7C" w:rsidRDefault="00A2009B">
      <w:pPr>
        <w:spacing w:before="0" w:after="0"/>
      </w:pPr>
      <w:r w:rsidRPr="00096873">
        <w:rPr>
          <w:b/>
          <w:bCs/>
        </w:rPr>
        <w:t>Parágrafo</w:t>
      </w:r>
      <w:r w:rsidR="00D8771D">
        <w:rPr>
          <w:b/>
          <w:bCs/>
        </w:rPr>
        <w:t xml:space="preserve"> 1</w:t>
      </w:r>
      <w:r w:rsidRPr="00096873">
        <w:rPr>
          <w:b/>
          <w:bCs/>
        </w:rPr>
        <w:t>.</w:t>
      </w:r>
      <w:r>
        <w:t xml:space="preserve"> El </w:t>
      </w:r>
      <w:r w:rsidR="00DE4114" w:rsidRPr="0080519C">
        <w:t>Informe anual de evaluación por parte del Auditor</w:t>
      </w:r>
      <w:r w:rsidR="00DE4114" w:rsidRPr="0080519C" w:rsidDel="0080519C">
        <w:t xml:space="preserve"> </w:t>
      </w:r>
      <w:r>
        <w:t>del que trata el presente artículo deberá ser enviado a la CREG por medio electrónico, a más tardar treinta (30) días calendario después de la finalización del Periodo Anual de Evaluación. Este informe será publicado mediante Circular de la Dirección Ejecutiva de la Comisión, conforme al literal d) del numeral 2 del artículo 8 de la Resolución CREG 114 de 2018 o aquella que la modifique, adicione o sustituya.</w:t>
      </w:r>
    </w:p>
    <w:p w14:paraId="6E12D991" w14:textId="77777777" w:rsidR="00F06745" w:rsidRDefault="00F06745">
      <w:pPr>
        <w:spacing w:before="0" w:after="0"/>
      </w:pPr>
    </w:p>
    <w:p w14:paraId="3F7FC66D" w14:textId="4153EEBB" w:rsidR="00F06745" w:rsidRDefault="00F06745" w:rsidP="00F06745">
      <w:pPr>
        <w:spacing w:before="0" w:after="0"/>
      </w:pPr>
      <w:r w:rsidRPr="00096873">
        <w:rPr>
          <w:b/>
          <w:bCs/>
        </w:rPr>
        <w:t>Parágrafo</w:t>
      </w:r>
      <w:r>
        <w:rPr>
          <w:b/>
          <w:bCs/>
        </w:rPr>
        <w:t xml:space="preserve"> </w:t>
      </w:r>
      <w:r w:rsidR="00D8771D">
        <w:rPr>
          <w:b/>
          <w:bCs/>
        </w:rPr>
        <w:t>2</w:t>
      </w:r>
      <w:r w:rsidRPr="00096873">
        <w:rPr>
          <w:b/>
          <w:bCs/>
        </w:rPr>
        <w:t>.</w:t>
      </w:r>
      <w:r>
        <w:t xml:space="preserve"> </w:t>
      </w:r>
      <w:r w:rsidR="00744D55">
        <w:t>Los doce (12) meses correspondientes al</w:t>
      </w:r>
      <w:r>
        <w:t xml:space="preserve"> primer Periodo Anual de Evaluación</w:t>
      </w:r>
      <w:r w:rsidRPr="0080519C">
        <w:t xml:space="preserve"> </w:t>
      </w:r>
      <w:r w:rsidR="00B26950">
        <w:t>empieza</w:t>
      </w:r>
      <w:r w:rsidR="00744D55">
        <w:t>n</w:t>
      </w:r>
      <w:r w:rsidR="00B26950">
        <w:t xml:space="preserve"> a contar a partir del día </w:t>
      </w:r>
      <w:r w:rsidR="00933035">
        <w:t>siguiente a</w:t>
      </w:r>
      <w:r w:rsidR="00C563FA">
        <w:t xml:space="preserve"> la fecha de </w:t>
      </w:r>
      <w:proofErr w:type="gramStart"/>
      <w:r w:rsidR="00C563FA">
        <w:t>entrada en vigencia</w:t>
      </w:r>
      <w:proofErr w:type="gramEnd"/>
      <w:r w:rsidR="00C563FA">
        <w:t xml:space="preserve"> de la presente resolución.</w:t>
      </w:r>
      <w:r w:rsidR="00C260E9">
        <w:t xml:space="preserve"> </w:t>
      </w:r>
      <w:r w:rsidR="00446479">
        <w:t>Los siguientes periodos anuales de evaluación corresponderán a</w:t>
      </w:r>
      <w:r w:rsidR="00346C03">
        <w:t xml:space="preserve"> cada año calendario transcurrido a partir de dicha fecha.</w:t>
      </w:r>
    </w:p>
    <w:p w14:paraId="386B1266" w14:textId="77777777" w:rsidR="005A0BA6" w:rsidRPr="00A721CF" w:rsidRDefault="005A0BA6" w:rsidP="0035025E">
      <w:pPr>
        <w:pStyle w:val="articulo"/>
      </w:pPr>
    </w:p>
    <w:p w14:paraId="56E0813C" w14:textId="2A733428" w:rsidR="00A45C1F" w:rsidRPr="009B5A4C" w:rsidRDefault="005A0BA6">
      <w:pPr>
        <w:pStyle w:val="Artculo"/>
        <w:spacing w:before="0" w:after="0"/>
        <w:ind w:left="0" w:firstLine="0"/>
      </w:pPr>
      <w:r>
        <w:t>Evaluación del criterio de consistencia del mecanismo DERIVEX-CRCC.</w:t>
      </w:r>
      <w:r w:rsidR="005E2A1D">
        <w:t xml:space="preserve"> </w:t>
      </w:r>
      <w:r w:rsidR="00B7017D" w:rsidRPr="00FA2796">
        <w:rPr>
          <w:b w:val="0"/>
        </w:rPr>
        <w:t>Conforme</w:t>
      </w:r>
      <w:r w:rsidR="00B7017D">
        <w:rPr>
          <w:b w:val="0"/>
          <w:bCs/>
        </w:rPr>
        <w:t xml:space="preserve"> a lo señalado en el </w:t>
      </w:r>
      <w:r w:rsidR="00D3583B">
        <w:rPr>
          <w:b w:val="0"/>
          <w:bCs/>
        </w:rPr>
        <w:t>numeral 3 del Anexo 2</w:t>
      </w:r>
      <w:r w:rsidR="00B7017D">
        <w:rPr>
          <w:b w:val="0"/>
          <w:bCs/>
        </w:rPr>
        <w:t xml:space="preserve"> de la Resolución CREG 114 de </w:t>
      </w:r>
      <w:r w:rsidR="00F95097">
        <w:rPr>
          <w:b w:val="0"/>
          <w:bCs/>
        </w:rPr>
        <w:t>2018, e</w:t>
      </w:r>
      <w:r w:rsidR="001C0461" w:rsidRPr="009B5A4C">
        <w:rPr>
          <w:b w:val="0"/>
          <w:bCs/>
        </w:rPr>
        <w:t>l Informe anual de evaluación por parte del Auditor</w:t>
      </w:r>
      <w:r w:rsidR="001C0461">
        <w:rPr>
          <w:b w:val="0"/>
          <w:bCs/>
        </w:rPr>
        <w:t xml:space="preserve"> deberá incluir la evaluación del criterio de consistencia</w:t>
      </w:r>
      <w:r w:rsidR="00131350">
        <w:rPr>
          <w:b w:val="0"/>
          <w:bCs/>
        </w:rPr>
        <w:t xml:space="preserve">. </w:t>
      </w:r>
      <w:r w:rsidR="00131350" w:rsidRPr="00131350">
        <w:rPr>
          <w:b w:val="0"/>
          <w:bCs/>
        </w:rPr>
        <w:t xml:space="preserve">Para ello, el Auditor deberá evaluar </w:t>
      </w:r>
      <w:r w:rsidR="00A45C1F">
        <w:rPr>
          <w:b w:val="0"/>
          <w:bCs/>
        </w:rPr>
        <w:t>mediante un indicador binario (cumple o no cumple)</w:t>
      </w:r>
      <w:r w:rsidR="00131350" w:rsidRPr="00131350">
        <w:rPr>
          <w:b w:val="0"/>
          <w:bCs/>
        </w:rPr>
        <w:t xml:space="preserve"> </w:t>
      </w:r>
      <w:r w:rsidR="00131350">
        <w:rPr>
          <w:b w:val="0"/>
          <w:bCs/>
        </w:rPr>
        <w:t xml:space="preserve">si </w:t>
      </w:r>
      <w:r w:rsidR="000359C9">
        <w:rPr>
          <w:b w:val="0"/>
          <w:bCs/>
        </w:rPr>
        <w:t xml:space="preserve">se </w:t>
      </w:r>
      <w:r w:rsidR="00DA7080">
        <w:rPr>
          <w:b w:val="0"/>
          <w:bCs/>
        </w:rPr>
        <w:t xml:space="preserve">presentaron modificaciones </w:t>
      </w:r>
      <w:r w:rsidR="00DA7080">
        <w:rPr>
          <w:b w:val="0"/>
        </w:rPr>
        <w:t>al mecanismo evaluado, en las condiciones descritas en el Anexo 1</w:t>
      </w:r>
      <w:r w:rsidR="00D4619E">
        <w:rPr>
          <w:b w:val="0"/>
        </w:rPr>
        <w:t xml:space="preserve"> de la presente resolución</w:t>
      </w:r>
      <w:r w:rsidR="00883DD0">
        <w:rPr>
          <w:b w:val="0"/>
        </w:rPr>
        <w:t>.</w:t>
      </w:r>
      <w:r w:rsidR="00AC557E">
        <w:rPr>
          <w:b w:val="0"/>
        </w:rPr>
        <w:t xml:space="preserve"> </w:t>
      </w:r>
    </w:p>
    <w:p w14:paraId="66B6E968" w14:textId="77777777" w:rsidR="00A45C1F" w:rsidRPr="009B5A4C" w:rsidRDefault="00A45C1F" w:rsidP="009B5A4C">
      <w:pPr>
        <w:pStyle w:val="Artculo"/>
        <w:numPr>
          <w:ilvl w:val="0"/>
          <w:numId w:val="0"/>
        </w:numPr>
        <w:spacing w:before="0" w:after="0"/>
      </w:pPr>
    </w:p>
    <w:p w14:paraId="548595E1" w14:textId="12515141" w:rsidR="005A0BA6" w:rsidRDefault="00AC557E" w:rsidP="009B5A4C">
      <w:pPr>
        <w:pStyle w:val="Artculo"/>
        <w:numPr>
          <w:ilvl w:val="0"/>
          <w:numId w:val="0"/>
        </w:numPr>
        <w:spacing w:before="0" w:after="0"/>
      </w:pPr>
      <w:r>
        <w:rPr>
          <w:b w:val="0"/>
        </w:rPr>
        <w:t>En caso de encontrar modificaciones</w:t>
      </w:r>
      <w:r w:rsidR="002F3D5B">
        <w:rPr>
          <w:b w:val="0"/>
        </w:rPr>
        <w:t xml:space="preserve"> que no fueron informad</w:t>
      </w:r>
      <w:r w:rsidR="00A45C1F">
        <w:rPr>
          <w:b w:val="0"/>
        </w:rPr>
        <w:t>a</w:t>
      </w:r>
      <w:r w:rsidR="002F3D5B">
        <w:rPr>
          <w:b w:val="0"/>
        </w:rPr>
        <w:t>s ni evaluad</w:t>
      </w:r>
      <w:r w:rsidR="00D77A53">
        <w:rPr>
          <w:b w:val="0"/>
        </w:rPr>
        <w:t>a</w:t>
      </w:r>
      <w:r w:rsidR="002F3D5B">
        <w:rPr>
          <w:b w:val="0"/>
        </w:rPr>
        <w:t>s por</w:t>
      </w:r>
      <w:r w:rsidR="00E91799">
        <w:rPr>
          <w:b w:val="0"/>
        </w:rPr>
        <w:t xml:space="preserve"> </w:t>
      </w:r>
      <w:r w:rsidR="00DA3668">
        <w:rPr>
          <w:b w:val="0"/>
        </w:rPr>
        <w:t>esta Comisión</w:t>
      </w:r>
      <w:r w:rsidR="00560F2B">
        <w:rPr>
          <w:b w:val="0"/>
        </w:rPr>
        <w:t xml:space="preserve">, el Auditor </w:t>
      </w:r>
      <w:r w:rsidR="00F54716">
        <w:rPr>
          <w:b w:val="0"/>
        </w:rPr>
        <w:t>indicará que el mecanismo “no cumple” el criterio de consistencia</w:t>
      </w:r>
      <w:r w:rsidR="007A4E7B">
        <w:rPr>
          <w:b w:val="0"/>
        </w:rPr>
        <w:t xml:space="preserve">, caso en el cual se </w:t>
      </w:r>
      <w:r w:rsidR="00AA7B30" w:rsidRPr="00E01DA6">
        <w:rPr>
          <w:b w:val="0"/>
        </w:rPr>
        <w:t>suspenderá el traslado de</w:t>
      </w:r>
      <w:r w:rsidR="00AA7B30" w:rsidRPr="00050084">
        <w:rPr>
          <w:b w:val="0"/>
          <w:bCs/>
        </w:rPr>
        <w:t xml:space="preserve"> los precios y cantidades resultantes de las </w:t>
      </w:r>
      <w:r w:rsidR="00AA7B30" w:rsidRPr="00375884">
        <w:rPr>
          <w:b w:val="0"/>
        </w:rPr>
        <w:t xml:space="preserve">transacciones realizadas </w:t>
      </w:r>
      <w:r w:rsidR="00573233">
        <w:rPr>
          <w:b w:val="0"/>
        </w:rPr>
        <w:t xml:space="preserve">a partir del día </w:t>
      </w:r>
      <w:r w:rsidR="00B152CB">
        <w:rPr>
          <w:b w:val="0"/>
        </w:rPr>
        <w:t xml:space="preserve">hábil </w:t>
      </w:r>
      <w:r w:rsidR="00573233">
        <w:rPr>
          <w:b w:val="0"/>
        </w:rPr>
        <w:t>siguiente</w:t>
      </w:r>
      <w:r w:rsidR="00AA7B30" w:rsidRPr="00375884">
        <w:rPr>
          <w:b w:val="0"/>
        </w:rPr>
        <w:t xml:space="preserve"> a la publicación del informe de auditoría por parte de la CREG, de la que trata el parágrafo </w:t>
      </w:r>
      <w:r w:rsidR="00D8771D">
        <w:rPr>
          <w:b w:val="0"/>
        </w:rPr>
        <w:t>1</w:t>
      </w:r>
      <w:r w:rsidR="00AA7B30" w:rsidRPr="00375884">
        <w:rPr>
          <w:b w:val="0"/>
        </w:rPr>
        <w:t xml:space="preserve"> del Artículo 1</w:t>
      </w:r>
      <w:r w:rsidR="00AA7B30" w:rsidRPr="00FA2796">
        <w:rPr>
          <w:b w:val="0"/>
        </w:rPr>
        <w:t>2</w:t>
      </w:r>
      <w:r w:rsidR="00AA7B30" w:rsidRPr="00375884">
        <w:rPr>
          <w:b w:val="0"/>
        </w:rPr>
        <w:t>.</w:t>
      </w:r>
    </w:p>
    <w:p w14:paraId="0BCCE590" w14:textId="77777777" w:rsidR="005A0BA6" w:rsidRDefault="005A0BA6" w:rsidP="009B5A4C">
      <w:pPr>
        <w:pStyle w:val="Artculo"/>
        <w:numPr>
          <w:ilvl w:val="0"/>
          <w:numId w:val="0"/>
        </w:numPr>
        <w:spacing w:before="0" w:after="0"/>
      </w:pPr>
    </w:p>
    <w:p w14:paraId="05F0436E" w14:textId="23D3B4D4" w:rsidR="001527E0" w:rsidRPr="000365E5" w:rsidRDefault="00416FD1">
      <w:pPr>
        <w:pStyle w:val="Artculo"/>
        <w:spacing w:before="0" w:after="0"/>
        <w:ind w:left="0" w:firstLine="0"/>
      </w:pPr>
      <w:r>
        <w:t xml:space="preserve">Perfil del </w:t>
      </w:r>
      <w:r w:rsidR="00824978">
        <w:t>A</w:t>
      </w:r>
      <w:r>
        <w:t xml:space="preserve">uditor. </w:t>
      </w:r>
      <w:r>
        <w:rPr>
          <w:b w:val="0"/>
        </w:rPr>
        <w:t>Además de las condiciones definidas en la Resolución CREG 114 de 2018</w:t>
      </w:r>
      <w:r w:rsidR="001527E0">
        <w:rPr>
          <w:b w:val="0"/>
        </w:rPr>
        <w:t xml:space="preserve"> o aquella que la modifique, adicione o sustituya</w:t>
      </w:r>
      <w:r>
        <w:rPr>
          <w:b w:val="0"/>
        </w:rPr>
        <w:t>, el</w:t>
      </w:r>
      <w:r w:rsidR="001527E0">
        <w:rPr>
          <w:b w:val="0"/>
        </w:rPr>
        <w:t xml:space="preserve"> </w:t>
      </w:r>
      <w:r w:rsidR="00824978">
        <w:rPr>
          <w:b w:val="0"/>
        </w:rPr>
        <w:t>A</w:t>
      </w:r>
      <w:r>
        <w:rPr>
          <w:b w:val="0"/>
        </w:rPr>
        <w:t xml:space="preserve">uditor deberá </w:t>
      </w:r>
      <w:r w:rsidR="00742641">
        <w:rPr>
          <w:b w:val="0"/>
        </w:rPr>
        <w:t>acreditar experiencia previa verificable de tres (3) años o más en auditorías de mercados de valores o derivados financieros.</w:t>
      </w:r>
    </w:p>
    <w:p w14:paraId="50F46852" w14:textId="77777777" w:rsidR="001C676E" w:rsidRDefault="001C676E">
      <w:pPr>
        <w:pStyle w:val="Prrafodelista"/>
        <w:spacing w:before="0" w:after="0"/>
        <w:ind w:left="426" w:hanging="436"/>
      </w:pPr>
    </w:p>
    <w:p w14:paraId="773B0EE5" w14:textId="54A6D865" w:rsidR="00362731" w:rsidRPr="00115A7E" w:rsidRDefault="00362731" w:rsidP="00362731">
      <w:pPr>
        <w:pStyle w:val="Artculo"/>
        <w:spacing w:before="0" w:after="0"/>
        <w:ind w:left="0" w:firstLine="0"/>
      </w:pPr>
      <w:r>
        <w:t xml:space="preserve">Indicadores de seguimiento del mecanismo DERIVEX-CRCC. </w:t>
      </w:r>
      <w:r>
        <w:rPr>
          <w:b w:val="0"/>
        </w:rPr>
        <w:t>El Promotor deberá calcular y publicar anualmente</w:t>
      </w:r>
      <w:r w:rsidR="00AC35D6">
        <w:rPr>
          <w:b w:val="0"/>
        </w:rPr>
        <w:t xml:space="preserve"> en su página web, con acceso directo desde la página de inicio,</w:t>
      </w:r>
      <w:r>
        <w:rPr>
          <w:b w:val="0"/>
        </w:rPr>
        <w:t xml:space="preserve"> </w:t>
      </w:r>
      <w:r w:rsidR="002227FD">
        <w:rPr>
          <w:b w:val="0"/>
        </w:rPr>
        <w:t xml:space="preserve">los indicadores señalados </w:t>
      </w:r>
      <w:r w:rsidR="004F74E0">
        <w:rPr>
          <w:b w:val="0"/>
        </w:rPr>
        <w:t xml:space="preserve">en el </w:t>
      </w:r>
      <w:r>
        <w:rPr>
          <w:b w:val="0"/>
        </w:rPr>
        <w:t xml:space="preserve">Anexo </w:t>
      </w:r>
      <w:r w:rsidR="004F74E0">
        <w:rPr>
          <w:b w:val="0"/>
        </w:rPr>
        <w:t>5</w:t>
      </w:r>
      <w:r>
        <w:t xml:space="preserve"> </w:t>
      </w:r>
      <w:r>
        <w:rPr>
          <w:b w:val="0"/>
        </w:rPr>
        <w:t xml:space="preserve">de esta </w:t>
      </w:r>
      <w:r>
        <w:rPr>
          <w:b w:val="0"/>
        </w:rPr>
        <w:lastRenderedPageBreak/>
        <w:t>resolución.</w:t>
      </w:r>
      <w:r w:rsidR="00AC35D6">
        <w:rPr>
          <w:b w:val="0"/>
        </w:rPr>
        <w:t xml:space="preserve"> Estos indicadores</w:t>
      </w:r>
      <w:r w:rsidR="00953EB7">
        <w:rPr>
          <w:b w:val="0"/>
        </w:rPr>
        <w:t xml:space="preserve"> son in</w:t>
      </w:r>
      <w:r w:rsidR="007C37CD">
        <w:rPr>
          <w:b w:val="0"/>
        </w:rPr>
        <w:t>formativos y</w:t>
      </w:r>
      <w:r w:rsidR="00AC35D6">
        <w:rPr>
          <w:b w:val="0"/>
        </w:rPr>
        <w:t xml:space="preserve"> </w:t>
      </w:r>
      <w:r w:rsidR="00953EB7">
        <w:rPr>
          <w:b w:val="0"/>
        </w:rPr>
        <w:t>no hacen parte del conjunto de indicadores sobre los cuales</w:t>
      </w:r>
      <w:r w:rsidR="007C37CD">
        <w:rPr>
          <w:b w:val="0"/>
        </w:rPr>
        <w:t xml:space="preserve"> el Auditor deberá presentar su </w:t>
      </w:r>
      <w:r w:rsidR="00D8771D">
        <w:rPr>
          <w:b w:val="0"/>
        </w:rPr>
        <w:t>i</w:t>
      </w:r>
      <w:r w:rsidR="007C37CD">
        <w:rPr>
          <w:b w:val="0"/>
        </w:rPr>
        <w:t xml:space="preserve">nforme </w:t>
      </w:r>
      <w:r w:rsidR="00D8771D">
        <w:rPr>
          <w:b w:val="0"/>
        </w:rPr>
        <w:t>a</w:t>
      </w:r>
      <w:r w:rsidR="007C37CD">
        <w:rPr>
          <w:b w:val="0"/>
        </w:rPr>
        <w:t>nual.</w:t>
      </w:r>
    </w:p>
    <w:p w14:paraId="5EA4E6E7" w14:textId="77777777" w:rsidR="00362731" w:rsidRDefault="00362731">
      <w:pPr>
        <w:pStyle w:val="Prrafodelista"/>
        <w:spacing w:before="0" w:after="0"/>
        <w:ind w:left="426" w:hanging="436"/>
      </w:pPr>
    </w:p>
    <w:p w14:paraId="18932EE8" w14:textId="608ED1A9" w:rsidR="00B701E5" w:rsidRDefault="00B701E5" w:rsidP="0035025E">
      <w:pPr>
        <w:pStyle w:val="articulo"/>
      </w:pPr>
      <w:r w:rsidRPr="00CE0C38">
        <w:t>T</w:t>
      </w:r>
      <w:r>
        <w:t xml:space="preserve">ÍTULO IV. Modificaciones al </w:t>
      </w:r>
      <w:r w:rsidR="00957749">
        <w:t>mecanismo del Promotor.</w:t>
      </w:r>
    </w:p>
    <w:p w14:paraId="620E1CDB" w14:textId="77777777" w:rsidR="00C0657B" w:rsidRPr="00C0657B" w:rsidRDefault="00C0657B">
      <w:pPr>
        <w:spacing w:before="0" w:after="0"/>
      </w:pPr>
    </w:p>
    <w:p w14:paraId="3C33FA05" w14:textId="6811783D" w:rsidR="007E7608" w:rsidRDefault="75012F18">
      <w:pPr>
        <w:pStyle w:val="Artculo"/>
        <w:spacing w:before="0" w:after="0"/>
        <w:ind w:left="0" w:firstLine="0"/>
        <w:rPr>
          <w:b w:val="0"/>
        </w:rPr>
      </w:pPr>
      <w:r>
        <w:t>Modificaciones a</w:t>
      </w:r>
      <w:r w:rsidR="6778066D">
        <w:t>l mecanismo del Promotor.</w:t>
      </w:r>
      <w:r w:rsidR="00357AE3">
        <w:t xml:space="preserve"> </w:t>
      </w:r>
      <w:r w:rsidR="00357AE3">
        <w:rPr>
          <w:b w:val="0"/>
        </w:rPr>
        <w:t>Para efectos de mantener las condiciones de traslado descritas en la presente resolución,</w:t>
      </w:r>
      <w:r>
        <w:t xml:space="preserve"> </w:t>
      </w:r>
      <w:r w:rsidR="00357AE3">
        <w:rPr>
          <w:b w:val="0"/>
        </w:rPr>
        <w:t>c</w:t>
      </w:r>
      <w:r w:rsidR="5FAE0CED">
        <w:rPr>
          <w:b w:val="0"/>
        </w:rPr>
        <w:t>ualquier modificación al mecanismo evaluado</w:t>
      </w:r>
      <w:r w:rsidR="00941F56">
        <w:rPr>
          <w:b w:val="0"/>
        </w:rPr>
        <w:t>, en las condiciones descritas en el</w:t>
      </w:r>
      <w:r w:rsidR="00BD78E1">
        <w:rPr>
          <w:b w:val="0"/>
        </w:rPr>
        <w:t xml:space="preserve"> </w:t>
      </w:r>
      <w:r w:rsidR="00A65AD4">
        <w:rPr>
          <w:b w:val="0"/>
        </w:rPr>
        <w:t>Anexo 1</w:t>
      </w:r>
      <w:r w:rsidR="393F9141">
        <w:rPr>
          <w:b w:val="0"/>
        </w:rPr>
        <w:t>, deberá ser</w:t>
      </w:r>
      <w:r w:rsidR="545C3486">
        <w:rPr>
          <w:b w:val="0"/>
        </w:rPr>
        <w:t xml:space="preserve"> </w:t>
      </w:r>
      <w:r w:rsidR="00357AE3">
        <w:rPr>
          <w:b w:val="0"/>
        </w:rPr>
        <w:t>i</w:t>
      </w:r>
      <w:r w:rsidR="003E3D50">
        <w:rPr>
          <w:b w:val="0"/>
        </w:rPr>
        <w:t xml:space="preserve">nformado a la CREG </w:t>
      </w:r>
      <w:r w:rsidR="545C3486">
        <w:rPr>
          <w:b w:val="0"/>
        </w:rPr>
        <w:t xml:space="preserve">previamente a su implementación </w:t>
      </w:r>
      <w:r w:rsidR="003E3D50">
        <w:rPr>
          <w:b w:val="0"/>
        </w:rPr>
        <w:t>para efectos de la eva</w:t>
      </w:r>
      <w:r w:rsidR="002A371B">
        <w:rPr>
          <w:b w:val="0"/>
        </w:rPr>
        <w:t>l</w:t>
      </w:r>
      <w:r w:rsidR="003E3D50">
        <w:rPr>
          <w:b w:val="0"/>
        </w:rPr>
        <w:t xml:space="preserve">uación de la que trata </w:t>
      </w:r>
      <w:r w:rsidR="00A65AD4">
        <w:rPr>
          <w:b w:val="0"/>
        </w:rPr>
        <w:t xml:space="preserve">el </w:t>
      </w:r>
      <w:r w:rsidR="00A65AD4" w:rsidRPr="00441BF8">
        <w:rPr>
          <w:b w:val="0"/>
        </w:rPr>
        <w:t xml:space="preserve">Artículo </w:t>
      </w:r>
      <w:r w:rsidR="0087034F">
        <w:rPr>
          <w:b w:val="0"/>
        </w:rPr>
        <w:t>12</w:t>
      </w:r>
      <w:r w:rsidR="008D441C">
        <w:rPr>
          <w:b w:val="0"/>
        </w:rPr>
        <w:t xml:space="preserve"> de la presente resolución</w:t>
      </w:r>
      <w:r w:rsidR="003E3D50">
        <w:rPr>
          <w:b w:val="0"/>
        </w:rPr>
        <w:t xml:space="preserve">. </w:t>
      </w:r>
      <w:r w:rsidR="009206EC">
        <w:rPr>
          <w:b w:val="0"/>
        </w:rPr>
        <w:t xml:space="preserve">El promotor deberá </w:t>
      </w:r>
      <w:r w:rsidR="429524DC">
        <w:rPr>
          <w:b w:val="0"/>
        </w:rPr>
        <w:t>anexa</w:t>
      </w:r>
      <w:r w:rsidR="009206EC">
        <w:rPr>
          <w:b w:val="0"/>
        </w:rPr>
        <w:t>r</w:t>
      </w:r>
      <w:r w:rsidR="429524DC">
        <w:rPr>
          <w:b w:val="0"/>
        </w:rPr>
        <w:t xml:space="preserve"> toda la documentación </w:t>
      </w:r>
      <w:r w:rsidR="47A9B30A">
        <w:rPr>
          <w:b w:val="0"/>
        </w:rPr>
        <w:t>relacionada con la modificación</w:t>
      </w:r>
      <w:r w:rsidR="009206EC">
        <w:rPr>
          <w:b w:val="0"/>
        </w:rPr>
        <w:t xml:space="preserve"> que sea</w:t>
      </w:r>
      <w:r w:rsidR="47A9B30A">
        <w:rPr>
          <w:b w:val="0"/>
        </w:rPr>
        <w:t xml:space="preserve"> </w:t>
      </w:r>
      <w:r w:rsidR="009206EC">
        <w:rPr>
          <w:b w:val="0"/>
        </w:rPr>
        <w:t>necesaria para la evaluación, incluyendo</w:t>
      </w:r>
      <w:r w:rsidR="47A9B30A">
        <w:rPr>
          <w:b w:val="0"/>
        </w:rPr>
        <w:t xml:space="preserve">, </w:t>
      </w:r>
      <w:r w:rsidR="1BAC6053">
        <w:rPr>
          <w:b w:val="0"/>
        </w:rPr>
        <w:t>en caso de que aplique</w:t>
      </w:r>
      <w:r w:rsidR="47A9B30A">
        <w:rPr>
          <w:b w:val="0"/>
        </w:rPr>
        <w:t xml:space="preserve">, la </w:t>
      </w:r>
      <w:r w:rsidR="1BAC6053">
        <w:rPr>
          <w:b w:val="0"/>
        </w:rPr>
        <w:t>aprobación por parte de la Superintendencia Financiera de Colombia</w:t>
      </w:r>
      <w:r w:rsidR="1D15375A">
        <w:rPr>
          <w:b w:val="0"/>
        </w:rPr>
        <w:t xml:space="preserve"> del Reglamento de Operación</w:t>
      </w:r>
      <w:r w:rsidR="545C3486">
        <w:rPr>
          <w:b w:val="0"/>
        </w:rPr>
        <w:t xml:space="preserve">. </w:t>
      </w:r>
    </w:p>
    <w:p w14:paraId="4BEB3217" w14:textId="77777777" w:rsidR="00D91187" w:rsidRPr="00D91187" w:rsidRDefault="00D91187" w:rsidP="0035025E">
      <w:pPr>
        <w:pStyle w:val="articulo"/>
      </w:pPr>
    </w:p>
    <w:p w14:paraId="3EFCFE34" w14:textId="5992DD39" w:rsidR="00D16935" w:rsidRDefault="702F84DE">
      <w:pPr>
        <w:pStyle w:val="Artculo"/>
        <w:spacing w:before="0" w:after="0"/>
        <w:ind w:left="0" w:firstLine="0"/>
        <w:rPr>
          <w:b w:val="0"/>
        </w:rPr>
      </w:pPr>
      <w:bookmarkStart w:id="20" w:name="_Ref53655345"/>
      <w:r>
        <w:t>Evaluación de las modificaciones al mecanismo del Promotor</w:t>
      </w:r>
      <w:r w:rsidR="30F9E559">
        <w:t xml:space="preserve">. </w:t>
      </w:r>
      <w:r w:rsidR="30F9E559">
        <w:rPr>
          <w:b w:val="0"/>
        </w:rPr>
        <w:t>En caso de presentarse una modificación</w:t>
      </w:r>
      <w:r w:rsidR="77987204">
        <w:rPr>
          <w:b w:val="0"/>
        </w:rPr>
        <w:t xml:space="preserve"> del mecanismo del Promotor, se </w:t>
      </w:r>
      <w:r w:rsidR="00C0657B">
        <w:rPr>
          <w:b w:val="0"/>
        </w:rPr>
        <w:t>aplicarán las siguientes reglas</w:t>
      </w:r>
      <w:r w:rsidR="59A3FA66">
        <w:rPr>
          <w:b w:val="0"/>
        </w:rPr>
        <w:t xml:space="preserve">: </w:t>
      </w:r>
      <w:bookmarkEnd w:id="20"/>
    </w:p>
    <w:p w14:paraId="369B4F29" w14:textId="77777777" w:rsidR="00C0657B" w:rsidRPr="00C0657B" w:rsidRDefault="00C0657B" w:rsidP="0035025E">
      <w:pPr>
        <w:pStyle w:val="articulo"/>
      </w:pPr>
    </w:p>
    <w:p w14:paraId="5D230386" w14:textId="5A483914" w:rsidR="00BB51FB" w:rsidRPr="006D2E78" w:rsidRDefault="00FE4726" w:rsidP="001C7682">
      <w:pPr>
        <w:pStyle w:val="Artculo"/>
        <w:numPr>
          <w:ilvl w:val="0"/>
          <w:numId w:val="12"/>
        </w:numPr>
        <w:spacing w:before="0" w:after="0"/>
        <w:ind w:left="567" w:hanging="567"/>
        <w:rPr>
          <w:b w:val="0"/>
        </w:rPr>
      </w:pPr>
      <w:r w:rsidRPr="006D2E78">
        <w:rPr>
          <w:b w:val="0"/>
        </w:rPr>
        <w:t xml:space="preserve">Cuando </w:t>
      </w:r>
      <w:r w:rsidR="00F56E2C" w:rsidRPr="006D2E78">
        <w:rPr>
          <w:b w:val="0"/>
        </w:rPr>
        <w:t>el Promotor inform</w:t>
      </w:r>
      <w:r w:rsidRPr="006D2E78">
        <w:rPr>
          <w:b w:val="0"/>
        </w:rPr>
        <w:t>e</w:t>
      </w:r>
      <w:r w:rsidR="00F56E2C" w:rsidRPr="006D2E78">
        <w:rPr>
          <w:b w:val="0"/>
        </w:rPr>
        <w:t xml:space="preserve"> a la CREG </w:t>
      </w:r>
      <w:r w:rsidR="002A371B" w:rsidRPr="006D2E78">
        <w:rPr>
          <w:b w:val="0"/>
        </w:rPr>
        <w:t>sobre la propuesta de modificación al mecanismo</w:t>
      </w:r>
      <w:r w:rsidR="00593E23" w:rsidRPr="006D2E78">
        <w:rPr>
          <w:b w:val="0"/>
        </w:rPr>
        <w:t xml:space="preserve">, </w:t>
      </w:r>
      <w:r w:rsidR="00692414" w:rsidRPr="006D2E78">
        <w:rPr>
          <w:b w:val="0"/>
        </w:rPr>
        <w:t xml:space="preserve">la </w:t>
      </w:r>
      <w:r w:rsidR="00AB2A0C" w:rsidRPr="006D2E78">
        <w:rPr>
          <w:b w:val="0"/>
        </w:rPr>
        <w:t xml:space="preserve">CREG </w:t>
      </w:r>
      <w:r w:rsidR="00692414" w:rsidRPr="006D2E78">
        <w:rPr>
          <w:b w:val="0"/>
        </w:rPr>
        <w:t>evaluará si la modificación cumple con los principios y condiciones de la Resolución CREG 114 de 2018</w:t>
      </w:r>
      <w:r w:rsidR="00A74DCF" w:rsidRPr="006D2E78">
        <w:rPr>
          <w:b w:val="0"/>
        </w:rPr>
        <w:t xml:space="preserve"> o aquella que la modifique, adicione o sustituya.</w:t>
      </w:r>
    </w:p>
    <w:p w14:paraId="13F984A2" w14:textId="77777777" w:rsidR="00BB51FB" w:rsidRPr="006D2E78" w:rsidRDefault="00BB51FB">
      <w:pPr>
        <w:pStyle w:val="Artculo"/>
        <w:numPr>
          <w:ilvl w:val="0"/>
          <w:numId w:val="0"/>
        </w:numPr>
        <w:spacing w:before="0" w:after="0"/>
        <w:ind w:left="567"/>
        <w:rPr>
          <w:b w:val="0"/>
        </w:rPr>
      </w:pPr>
    </w:p>
    <w:p w14:paraId="7806B386" w14:textId="2319C9C4" w:rsidR="00692414" w:rsidRPr="006D2E78" w:rsidRDefault="00692414" w:rsidP="001C7682">
      <w:pPr>
        <w:pStyle w:val="Artculo"/>
        <w:numPr>
          <w:ilvl w:val="0"/>
          <w:numId w:val="12"/>
        </w:numPr>
        <w:spacing w:before="0" w:after="0"/>
        <w:ind w:left="567" w:hanging="567"/>
        <w:rPr>
          <w:b w:val="0"/>
        </w:rPr>
      </w:pPr>
      <w:r w:rsidRPr="006D2E78">
        <w:rPr>
          <w:b w:val="0"/>
        </w:rPr>
        <w:t xml:space="preserve">Si la modificación cumple con lo antes descrito </w:t>
      </w:r>
      <w:r w:rsidR="00BB51FB" w:rsidRPr="006D2E78">
        <w:rPr>
          <w:b w:val="0"/>
        </w:rPr>
        <w:t xml:space="preserve">y </w:t>
      </w:r>
      <w:r w:rsidR="004B49DF" w:rsidRPr="006D2E78">
        <w:rPr>
          <w:b w:val="0"/>
        </w:rPr>
        <w:t>la Comisión</w:t>
      </w:r>
      <w:r w:rsidR="00826D56" w:rsidRPr="006D2E78">
        <w:rPr>
          <w:b w:val="0"/>
        </w:rPr>
        <w:t xml:space="preserve"> lo</w:t>
      </w:r>
      <w:r w:rsidR="00BB51FB" w:rsidRPr="006D2E78">
        <w:rPr>
          <w:b w:val="0"/>
        </w:rPr>
        <w:t xml:space="preserve"> </w:t>
      </w:r>
      <w:r w:rsidR="000B7920" w:rsidRPr="006D2E78">
        <w:rPr>
          <w:b w:val="0"/>
        </w:rPr>
        <w:t>consider</w:t>
      </w:r>
      <w:r w:rsidR="00FD74EE" w:rsidRPr="006D2E78">
        <w:rPr>
          <w:b w:val="0"/>
        </w:rPr>
        <w:t>a pertinente</w:t>
      </w:r>
      <w:r w:rsidR="000B7920" w:rsidRPr="006D2E78">
        <w:rPr>
          <w:b w:val="0"/>
        </w:rPr>
        <w:t>,</w:t>
      </w:r>
      <w:r w:rsidR="004B49DF" w:rsidRPr="006D2E78">
        <w:rPr>
          <w:b w:val="0"/>
        </w:rPr>
        <w:t xml:space="preserve"> </w:t>
      </w:r>
      <w:r w:rsidR="000B7920" w:rsidRPr="006D2E78">
        <w:rPr>
          <w:b w:val="0"/>
        </w:rPr>
        <w:t xml:space="preserve">podrá </w:t>
      </w:r>
      <w:r w:rsidR="00867FF0" w:rsidRPr="006D2E78">
        <w:rPr>
          <w:b w:val="0"/>
        </w:rPr>
        <w:t xml:space="preserve">realizar las </w:t>
      </w:r>
      <w:r w:rsidRPr="006D2E78">
        <w:rPr>
          <w:b w:val="0"/>
        </w:rPr>
        <w:t>modifica</w:t>
      </w:r>
      <w:r w:rsidR="00867FF0" w:rsidRPr="006D2E78">
        <w:rPr>
          <w:b w:val="0"/>
        </w:rPr>
        <w:t>ciones a que haya lugar en</w:t>
      </w:r>
      <w:r w:rsidRPr="006D2E78">
        <w:rPr>
          <w:b w:val="0"/>
        </w:rPr>
        <w:t xml:space="preserve"> la presente resolución. </w:t>
      </w:r>
      <w:r w:rsidR="00122FA6">
        <w:rPr>
          <w:b w:val="0"/>
        </w:rPr>
        <w:t>S</w:t>
      </w:r>
      <w:r w:rsidR="00E01D3D" w:rsidRPr="00E01D3D">
        <w:rPr>
          <w:b w:val="0"/>
        </w:rPr>
        <w:t>i no hay lugar a m</w:t>
      </w:r>
      <w:r w:rsidR="00122FA6">
        <w:rPr>
          <w:b w:val="0"/>
        </w:rPr>
        <w:t xml:space="preserve">odificaciones en esta resolución, la Comisión </w:t>
      </w:r>
      <w:r w:rsidR="007A4B33">
        <w:rPr>
          <w:b w:val="0"/>
        </w:rPr>
        <w:t>dará a conocer su decisión mediante Circular Ejecutiva.</w:t>
      </w:r>
    </w:p>
    <w:p w14:paraId="56D2B4BF" w14:textId="77777777" w:rsidR="00BB51FB" w:rsidRDefault="00BB51FB">
      <w:pPr>
        <w:pStyle w:val="Artculo"/>
        <w:numPr>
          <w:ilvl w:val="0"/>
          <w:numId w:val="0"/>
        </w:numPr>
        <w:spacing w:before="0" w:after="0"/>
        <w:ind w:left="567"/>
        <w:rPr>
          <w:b w:val="0"/>
        </w:rPr>
      </w:pPr>
    </w:p>
    <w:p w14:paraId="3159DDCE" w14:textId="5576C1C9" w:rsidR="00FE4726" w:rsidRPr="00D4711B" w:rsidRDefault="4DAC44BD" w:rsidP="001C7682">
      <w:pPr>
        <w:pStyle w:val="Artculo"/>
        <w:numPr>
          <w:ilvl w:val="0"/>
          <w:numId w:val="12"/>
        </w:numPr>
        <w:spacing w:before="0" w:after="0"/>
        <w:ind w:left="567" w:hanging="567"/>
        <w:rPr>
          <w:b w:val="0"/>
        </w:rPr>
      </w:pPr>
      <w:r>
        <w:rPr>
          <w:b w:val="0"/>
        </w:rPr>
        <w:t>Por el contrario, si la modificación no cumple con los principios y condiciones de la Resolución CREG 114 de 2018,</w:t>
      </w:r>
      <w:r w:rsidR="00563D21">
        <w:rPr>
          <w:b w:val="0"/>
        </w:rPr>
        <w:t xml:space="preserve"> </w:t>
      </w:r>
      <w:r w:rsidR="00563D21" w:rsidRPr="006D2E78">
        <w:rPr>
          <w:b w:val="0"/>
        </w:rPr>
        <w:t>o aquella que la modifique, adicione o sustituya</w:t>
      </w:r>
      <w:r w:rsidR="000A5A89" w:rsidRPr="006D2E78">
        <w:rPr>
          <w:b w:val="0"/>
        </w:rPr>
        <w:t>,</w:t>
      </w:r>
      <w:r w:rsidR="30928743">
        <w:rPr>
          <w:b w:val="0"/>
        </w:rPr>
        <w:t xml:space="preserve"> se </w:t>
      </w:r>
      <w:r w:rsidR="004B49DF">
        <w:rPr>
          <w:b w:val="0"/>
        </w:rPr>
        <w:t xml:space="preserve">aplicará lo </w:t>
      </w:r>
      <w:r w:rsidR="30928743">
        <w:rPr>
          <w:b w:val="0"/>
        </w:rPr>
        <w:t xml:space="preserve">establecido en el </w:t>
      </w:r>
      <w:r w:rsidR="00153522">
        <w:rPr>
          <w:b w:val="0"/>
        </w:rPr>
        <w:t xml:space="preserve">literal </w:t>
      </w:r>
      <w:r w:rsidR="30928743">
        <w:rPr>
          <w:b w:val="0"/>
        </w:rPr>
        <w:t>g</w:t>
      </w:r>
      <w:r w:rsidR="0A5852FA">
        <w:rPr>
          <w:b w:val="0"/>
        </w:rPr>
        <w:t xml:space="preserve">) del numeral 1 del </w:t>
      </w:r>
      <w:r w:rsidR="0045173E">
        <w:rPr>
          <w:b w:val="0"/>
        </w:rPr>
        <w:t>a</w:t>
      </w:r>
      <w:r w:rsidR="0A5852FA">
        <w:rPr>
          <w:b w:val="0"/>
        </w:rPr>
        <w:t xml:space="preserve">rtículo 8 de </w:t>
      </w:r>
      <w:r w:rsidR="00D43AC8">
        <w:rPr>
          <w:b w:val="0"/>
        </w:rPr>
        <w:t xml:space="preserve">la </w:t>
      </w:r>
      <w:r w:rsidR="0A5852FA">
        <w:rPr>
          <w:b w:val="0"/>
        </w:rPr>
        <w:t>precitada resolución. En est</w:t>
      </w:r>
      <w:r w:rsidR="56002932">
        <w:rPr>
          <w:b w:val="0"/>
        </w:rPr>
        <w:t>e</w:t>
      </w:r>
      <w:r w:rsidR="0A5852FA">
        <w:rPr>
          <w:b w:val="0"/>
        </w:rPr>
        <w:t xml:space="preserve"> evento,</w:t>
      </w:r>
      <w:r w:rsidR="004B49DF">
        <w:rPr>
          <w:b w:val="0"/>
        </w:rPr>
        <w:t xml:space="preserve"> para la evalu</w:t>
      </w:r>
      <w:r w:rsidR="00AF4D8A">
        <w:rPr>
          <w:b w:val="0"/>
        </w:rPr>
        <w:t>a</w:t>
      </w:r>
      <w:r w:rsidR="004B49DF">
        <w:rPr>
          <w:b w:val="0"/>
        </w:rPr>
        <w:t xml:space="preserve">ción </w:t>
      </w:r>
      <w:r>
        <w:rPr>
          <w:b w:val="0"/>
        </w:rPr>
        <w:t>de indicadores de</w:t>
      </w:r>
      <w:r w:rsidR="000F5D2C">
        <w:rPr>
          <w:b w:val="0"/>
        </w:rPr>
        <w:t xml:space="preserve"> resultado de</w:t>
      </w:r>
      <w:r>
        <w:rPr>
          <w:b w:val="0"/>
        </w:rPr>
        <w:t xml:space="preserve"> que trata </w:t>
      </w:r>
      <w:r w:rsidR="00153522">
        <w:rPr>
          <w:b w:val="0"/>
        </w:rPr>
        <w:t xml:space="preserve">la </w:t>
      </w:r>
      <w:r>
        <w:rPr>
          <w:b w:val="0"/>
        </w:rPr>
        <w:t xml:space="preserve">presente resolución, </w:t>
      </w:r>
      <w:r w:rsidR="004B49DF">
        <w:rPr>
          <w:b w:val="0"/>
        </w:rPr>
        <w:t xml:space="preserve">el auditor </w:t>
      </w:r>
      <w:r>
        <w:rPr>
          <w:b w:val="0"/>
        </w:rPr>
        <w:t xml:space="preserve">deberá </w:t>
      </w:r>
      <w:r w:rsidR="004B49DF">
        <w:rPr>
          <w:b w:val="0"/>
        </w:rPr>
        <w:t xml:space="preserve">basarse en el mecanismo considerado en </w:t>
      </w:r>
      <w:r>
        <w:rPr>
          <w:b w:val="0"/>
        </w:rPr>
        <w:t>la resolución vigente al momento de la evaluación.</w:t>
      </w:r>
      <w:r w:rsidR="00FE4726" w:rsidRPr="00D4711B">
        <w:rPr>
          <w:b w:val="0"/>
        </w:rPr>
        <w:t xml:space="preserve"> </w:t>
      </w:r>
    </w:p>
    <w:p w14:paraId="393E968D" w14:textId="77777777" w:rsidR="00C0657B" w:rsidRPr="00D4711B" w:rsidRDefault="00C0657B">
      <w:pPr>
        <w:pStyle w:val="Artculo"/>
        <w:numPr>
          <w:ilvl w:val="0"/>
          <w:numId w:val="0"/>
        </w:numPr>
        <w:spacing w:before="0" w:after="0"/>
        <w:ind w:left="567"/>
        <w:rPr>
          <w:b w:val="0"/>
        </w:rPr>
      </w:pPr>
    </w:p>
    <w:p w14:paraId="4401989C" w14:textId="47E9F425" w:rsidR="00593E23" w:rsidRPr="006D2E78" w:rsidRDefault="004B49DF" w:rsidP="001C7682">
      <w:pPr>
        <w:pStyle w:val="Artculo"/>
        <w:numPr>
          <w:ilvl w:val="0"/>
          <w:numId w:val="12"/>
        </w:numPr>
        <w:spacing w:before="0" w:after="0"/>
        <w:ind w:left="567" w:hanging="567"/>
        <w:rPr>
          <w:b w:val="0"/>
        </w:rPr>
      </w:pPr>
      <w:r w:rsidRPr="006D2E78">
        <w:rPr>
          <w:b w:val="0"/>
        </w:rPr>
        <w:t>Para efectos de la evaluación</w:t>
      </w:r>
      <w:r w:rsidR="0052746D">
        <w:rPr>
          <w:b w:val="0"/>
        </w:rPr>
        <w:t>,</w:t>
      </w:r>
      <w:r w:rsidRPr="006D2E78">
        <w:rPr>
          <w:b w:val="0"/>
        </w:rPr>
        <w:t xml:space="preserve"> y d</w:t>
      </w:r>
      <w:r w:rsidR="00421643" w:rsidRPr="006D2E78">
        <w:rPr>
          <w:b w:val="0"/>
        </w:rPr>
        <w:t>e considerarlo necesario, l</w:t>
      </w:r>
      <w:r w:rsidR="00FE4726" w:rsidRPr="006D2E78">
        <w:rPr>
          <w:b w:val="0"/>
        </w:rPr>
        <w:t xml:space="preserve">a CREG </w:t>
      </w:r>
      <w:r w:rsidR="00421643" w:rsidRPr="006D2E78">
        <w:rPr>
          <w:b w:val="0"/>
        </w:rPr>
        <w:t xml:space="preserve">podrá </w:t>
      </w:r>
      <w:r w:rsidR="00FE4726" w:rsidRPr="006D2E78">
        <w:rPr>
          <w:b w:val="0"/>
        </w:rPr>
        <w:t>solicitar la contratación de agentes especializados conforme a</w:t>
      </w:r>
      <w:r w:rsidR="00421643" w:rsidRPr="006D2E78">
        <w:rPr>
          <w:b w:val="0"/>
        </w:rPr>
        <w:t xml:space="preserve"> los artículos </w:t>
      </w:r>
      <w:r w:rsidR="00FE4726" w:rsidRPr="006D2E78">
        <w:rPr>
          <w:b w:val="0"/>
        </w:rPr>
        <w:t>9, 10 y 11 de la Resolución CREG 114 de 2018</w:t>
      </w:r>
      <w:r w:rsidR="00563D21" w:rsidRPr="006D2E78">
        <w:rPr>
          <w:b w:val="0"/>
        </w:rPr>
        <w:t>, o aquella que la modifique, adicione o sustituya</w:t>
      </w:r>
      <w:r w:rsidR="00FE4726" w:rsidRPr="006D2E78">
        <w:rPr>
          <w:b w:val="0"/>
        </w:rPr>
        <w:t>.</w:t>
      </w:r>
    </w:p>
    <w:p w14:paraId="02F53A43" w14:textId="77777777" w:rsidR="001C5FEE" w:rsidRPr="00D4711B" w:rsidRDefault="001C5FEE">
      <w:pPr>
        <w:pStyle w:val="Artculo"/>
        <w:numPr>
          <w:ilvl w:val="0"/>
          <w:numId w:val="0"/>
        </w:numPr>
        <w:spacing w:before="0" w:after="0"/>
        <w:ind w:left="567"/>
        <w:rPr>
          <w:b w:val="0"/>
        </w:rPr>
      </w:pPr>
    </w:p>
    <w:p w14:paraId="25E2146D" w14:textId="47F511AA" w:rsidR="007C1110" w:rsidRDefault="004B49DF" w:rsidP="001C7682">
      <w:pPr>
        <w:pStyle w:val="Artculo"/>
        <w:numPr>
          <w:ilvl w:val="0"/>
          <w:numId w:val="12"/>
        </w:numPr>
        <w:spacing w:before="0" w:after="0"/>
        <w:ind w:left="567" w:hanging="567"/>
        <w:rPr>
          <w:b w:val="0"/>
        </w:rPr>
      </w:pPr>
      <w:r w:rsidRPr="00D4711B">
        <w:rPr>
          <w:b w:val="0"/>
        </w:rPr>
        <w:t>En cualquier caso</w:t>
      </w:r>
      <w:r w:rsidR="00DD3135" w:rsidRPr="00D4711B">
        <w:rPr>
          <w:b w:val="0"/>
        </w:rPr>
        <w:t>,</w:t>
      </w:r>
      <w:r w:rsidRPr="00D4711B">
        <w:rPr>
          <w:b w:val="0"/>
        </w:rPr>
        <w:t xml:space="preserve"> h</w:t>
      </w:r>
      <w:r w:rsidR="00F000D7" w:rsidRPr="00D4711B">
        <w:rPr>
          <w:b w:val="0"/>
        </w:rPr>
        <w:t>asta tanto</w:t>
      </w:r>
      <w:r w:rsidR="00FA2E3A" w:rsidRPr="00D4711B">
        <w:rPr>
          <w:b w:val="0"/>
        </w:rPr>
        <w:t xml:space="preserve"> la </w:t>
      </w:r>
      <w:r w:rsidR="00C375D3" w:rsidRPr="00D4711B">
        <w:rPr>
          <w:b w:val="0"/>
        </w:rPr>
        <w:t>C</w:t>
      </w:r>
      <w:r w:rsidR="00FA2E3A" w:rsidRPr="00D4711B">
        <w:rPr>
          <w:b w:val="0"/>
        </w:rPr>
        <w:t xml:space="preserve">omisión no se haya pronunciado sobre la modificación propuesta </w:t>
      </w:r>
      <w:r w:rsidRPr="00D4711B">
        <w:rPr>
          <w:b w:val="0"/>
        </w:rPr>
        <w:t>por el Promotor</w:t>
      </w:r>
      <w:r w:rsidR="00B542C9" w:rsidRPr="00D4711B">
        <w:rPr>
          <w:b w:val="0"/>
        </w:rPr>
        <w:t>,</w:t>
      </w:r>
      <w:r w:rsidRPr="00D4711B">
        <w:rPr>
          <w:b w:val="0"/>
        </w:rPr>
        <w:t xml:space="preserve"> </w:t>
      </w:r>
      <w:r w:rsidR="00E03453" w:rsidRPr="00D4711B">
        <w:rPr>
          <w:b w:val="0"/>
        </w:rPr>
        <w:t xml:space="preserve">y en tanto que no se </w:t>
      </w:r>
      <w:r w:rsidR="003C3C34" w:rsidRPr="00D4711B">
        <w:rPr>
          <w:b w:val="0"/>
        </w:rPr>
        <w:t xml:space="preserve">cumplirían </w:t>
      </w:r>
      <w:r w:rsidR="00E03453" w:rsidRPr="00D4711B">
        <w:rPr>
          <w:b w:val="0"/>
        </w:rPr>
        <w:t>las condiciones previstas en la Resolución CREG 114 de 2018,</w:t>
      </w:r>
      <w:r w:rsidR="000A5A89" w:rsidRPr="00D4711B">
        <w:rPr>
          <w:b w:val="0"/>
        </w:rPr>
        <w:t xml:space="preserve"> o aquella que la modifique, adicione o sustituya,</w:t>
      </w:r>
      <w:r w:rsidR="00E03453" w:rsidRPr="00D4711B">
        <w:rPr>
          <w:b w:val="0"/>
        </w:rPr>
        <w:t xml:space="preserve"> no se podrá trasladar ningún costo derivado de transacciones realizadas </w:t>
      </w:r>
      <w:r w:rsidR="00B542C9" w:rsidRPr="00D4711B">
        <w:rPr>
          <w:b w:val="0"/>
        </w:rPr>
        <w:t xml:space="preserve">en el mecanismo si se ha incorporado </w:t>
      </w:r>
      <w:r w:rsidR="00E03453" w:rsidRPr="00D4711B">
        <w:rPr>
          <w:b w:val="0"/>
        </w:rPr>
        <w:t>dicha modificación.</w:t>
      </w:r>
    </w:p>
    <w:p w14:paraId="2E3459A2" w14:textId="77777777" w:rsidR="00421D80" w:rsidRDefault="00421D80" w:rsidP="00CA54C1">
      <w:pPr>
        <w:pStyle w:val="articulo"/>
      </w:pPr>
    </w:p>
    <w:p w14:paraId="492D828E" w14:textId="5B8D0A3F" w:rsidR="00440C18" w:rsidRPr="00CA54C1" w:rsidRDefault="00440C18" w:rsidP="001C7682">
      <w:pPr>
        <w:pStyle w:val="Artculo"/>
        <w:numPr>
          <w:ilvl w:val="0"/>
          <w:numId w:val="12"/>
        </w:numPr>
        <w:spacing w:before="0" w:after="0"/>
        <w:ind w:left="567" w:hanging="567"/>
        <w:rPr>
          <w:b w:val="0"/>
        </w:rPr>
      </w:pPr>
      <w:r w:rsidRPr="00CA54C1">
        <w:rPr>
          <w:b w:val="0"/>
        </w:rPr>
        <w:lastRenderedPageBreak/>
        <w:t xml:space="preserve">En </w:t>
      </w:r>
      <w:r w:rsidR="00DB7FAA" w:rsidRPr="00CA54C1">
        <w:rPr>
          <w:b w:val="0"/>
        </w:rPr>
        <w:t>caso de que la Comisión tenga conocimiento de modificaciones en el mecanismo</w:t>
      </w:r>
      <w:r w:rsidR="007C7CA0" w:rsidRPr="00CA54C1">
        <w:rPr>
          <w:b w:val="0"/>
        </w:rPr>
        <w:t>,</w:t>
      </w:r>
      <w:r w:rsidR="00DB7FAA" w:rsidRPr="00CA54C1">
        <w:rPr>
          <w:b w:val="0"/>
        </w:rPr>
        <w:t xml:space="preserve"> que hayan sido implementadas sin </w:t>
      </w:r>
      <w:r w:rsidR="006F7FB5" w:rsidRPr="00CA54C1">
        <w:rPr>
          <w:b w:val="0"/>
        </w:rPr>
        <w:t>haber sido informadas previamente a la Comisión</w:t>
      </w:r>
      <w:r w:rsidR="00ED1C96" w:rsidRPr="00CA54C1">
        <w:rPr>
          <w:b w:val="0"/>
        </w:rPr>
        <w:t xml:space="preserve">, </w:t>
      </w:r>
      <w:r w:rsidR="00C371D7" w:rsidRPr="00CA54C1">
        <w:rPr>
          <w:b w:val="0"/>
        </w:rPr>
        <w:t xml:space="preserve">procederá </w:t>
      </w:r>
      <w:r w:rsidR="00ED1C96" w:rsidRPr="00CA54C1">
        <w:rPr>
          <w:b w:val="0"/>
        </w:rPr>
        <w:t xml:space="preserve">la suspensión </w:t>
      </w:r>
      <w:r w:rsidR="00643EB1" w:rsidRPr="00CA54C1">
        <w:rPr>
          <w:b w:val="0"/>
        </w:rPr>
        <w:t>del traslado</w:t>
      </w:r>
      <w:r w:rsidR="00C077E6" w:rsidRPr="00CA54C1">
        <w:rPr>
          <w:b w:val="0"/>
        </w:rPr>
        <w:t xml:space="preserve"> de las transacciones realizadas</w:t>
      </w:r>
      <w:r w:rsidR="00464C49" w:rsidRPr="00CA54C1">
        <w:rPr>
          <w:b w:val="0"/>
        </w:rPr>
        <w:t xml:space="preserve"> </w:t>
      </w:r>
      <w:r w:rsidR="008E32AB" w:rsidRPr="00CA54C1">
        <w:rPr>
          <w:b w:val="0"/>
        </w:rPr>
        <w:t xml:space="preserve">a partir del día siguiente en que esto sea informado </w:t>
      </w:r>
      <w:r w:rsidR="00D04EFC" w:rsidRPr="00CA54C1">
        <w:rPr>
          <w:b w:val="0"/>
        </w:rPr>
        <w:t xml:space="preserve">mediante </w:t>
      </w:r>
      <w:r w:rsidR="008E32AB" w:rsidRPr="00CA54C1">
        <w:rPr>
          <w:b w:val="0"/>
        </w:rPr>
        <w:t>C</w:t>
      </w:r>
      <w:r w:rsidR="00D04EFC" w:rsidRPr="00CA54C1">
        <w:rPr>
          <w:b w:val="0"/>
        </w:rPr>
        <w:t xml:space="preserve">ircular </w:t>
      </w:r>
      <w:r w:rsidR="008E32AB" w:rsidRPr="00CA54C1">
        <w:rPr>
          <w:b w:val="0"/>
        </w:rPr>
        <w:t xml:space="preserve">expedida </w:t>
      </w:r>
      <w:r w:rsidR="005F12BE" w:rsidRPr="00CA54C1">
        <w:rPr>
          <w:b w:val="0"/>
        </w:rPr>
        <w:t>por la Comisión</w:t>
      </w:r>
      <w:r w:rsidR="00696D31" w:rsidRPr="00CA54C1">
        <w:rPr>
          <w:b w:val="0"/>
        </w:rPr>
        <w:t>.</w:t>
      </w:r>
      <w:r w:rsidRPr="00CA54C1">
        <w:rPr>
          <w:b w:val="0"/>
        </w:rPr>
        <w:t xml:space="preserve"> </w:t>
      </w:r>
    </w:p>
    <w:p w14:paraId="3C6BBCE0" w14:textId="77777777" w:rsidR="007C1110" w:rsidRPr="007C1110" w:rsidRDefault="007C1110" w:rsidP="00CA54C1">
      <w:pPr>
        <w:pStyle w:val="articulo"/>
      </w:pPr>
    </w:p>
    <w:p w14:paraId="16889FE1" w14:textId="4C580517" w:rsidR="003C1AA8" w:rsidRDefault="6192A573">
      <w:pPr>
        <w:pStyle w:val="Artculo"/>
        <w:spacing w:before="0" w:after="0"/>
        <w:ind w:left="0" w:firstLine="0"/>
        <w:rPr>
          <w:b w:val="0"/>
        </w:rPr>
      </w:pPr>
      <w:r>
        <w:t xml:space="preserve">Vigencia y </w:t>
      </w:r>
      <w:r w:rsidR="001C5FEE">
        <w:t>d</w:t>
      </w:r>
      <w:r>
        <w:t xml:space="preserve">erogatorias. </w:t>
      </w:r>
      <w:r>
        <w:rPr>
          <w:b w:val="0"/>
        </w:rPr>
        <w:t xml:space="preserve">La presente resolución </w:t>
      </w:r>
      <w:proofErr w:type="gramStart"/>
      <w:r>
        <w:rPr>
          <w:b w:val="0"/>
        </w:rPr>
        <w:t>entra en vigencia</w:t>
      </w:r>
      <w:proofErr w:type="gramEnd"/>
      <w:r>
        <w:rPr>
          <w:b w:val="0"/>
        </w:rPr>
        <w:t xml:space="preserve"> </w:t>
      </w:r>
      <w:r w:rsidR="00A744C8">
        <w:rPr>
          <w:b w:val="0"/>
        </w:rPr>
        <w:t xml:space="preserve">a partir de su publicación </w:t>
      </w:r>
      <w:r>
        <w:rPr>
          <w:b w:val="0"/>
        </w:rPr>
        <w:t xml:space="preserve">en el </w:t>
      </w:r>
      <w:r w:rsidRPr="7E1E69D4">
        <w:rPr>
          <w:b w:val="0"/>
          <w:i/>
          <w:iCs/>
        </w:rPr>
        <w:t>Diario Oficial</w:t>
      </w:r>
      <w:r>
        <w:rPr>
          <w:b w:val="0"/>
        </w:rPr>
        <w:t>.</w:t>
      </w:r>
    </w:p>
    <w:p w14:paraId="1C399609" w14:textId="683D9BAD" w:rsidR="007C1110" w:rsidRDefault="007C1110" w:rsidP="0035025E">
      <w:pPr>
        <w:pStyle w:val="articulo"/>
      </w:pPr>
    </w:p>
    <w:p w14:paraId="4A97D52C" w14:textId="77777777" w:rsidR="007C5DE6" w:rsidRPr="004E6CFC" w:rsidRDefault="007C5DE6">
      <w:pPr>
        <w:spacing w:before="0" w:after="0"/>
        <w:jc w:val="center"/>
        <w:rPr>
          <w:b/>
        </w:rPr>
      </w:pPr>
      <w:r w:rsidRPr="004E6CFC">
        <w:rPr>
          <w:b/>
        </w:rPr>
        <w:t>PUBLÍQUESE Y CÚMPLASE</w:t>
      </w:r>
    </w:p>
    <w:p w14:paraId="6E53B7A6" w14:textId="77777777" w:rsidR="00832195" w:rsidRDefault="00832195" w:rsidP="005B0230">
      <w:pPr>
        <w:spacing w:before="0" w:after="0"/>
      </w:pPr>
    </w:p>
    <w:p w14:paraId="718CC876" w14:textId="32A980D6" w:rsidR="005B62A4" w:rsidRDefault="006A6702">
      <w:pPr>
        <w:spacing w:before="0" w:after="0"/>
        <w:rPr>
          <w:b/>
          <w:bCs/>
        </w:rPr>
      </w:pPr>
      <w:r>
        <w:t>Dado en Bogotá D.C</w:t>
      </w:r>
      <w:r w:rsidR="00D91187">
        <w:t>,</w:t>
      </w:r>
      <w:r w:rsidR="007E3042">
        <w:t xml:space="preserve"> a </w:t>
      </w:r>
      <w:r w:rsidR="007E3042" w:rsidRPr="007E3042">
        <w:rPr>
          <w:b/>
          <w:bCs/>
        </w:rPr>
        <w:t>08 JUL. 2022</w:t>
      </w:r>
    </w:p>
    <w:p w14:paraId="2BC06DAE" w14:textId="326CA4AD" w:rsidR="001C7682" w:rsidRDefault="001C7682">
      <w:pPr>
        <w:spacing w:before="0" w:after="0"/>
        <w:rPr>
          <w:b/>
          <w:bCs/>
        </w:rPr>
      </w:pPr>
    </w:p>
    <w:p w14:paraId="0CF64B54" w14:textId="68CA4778" w:rsidR="001C7682" w:rsidRDefault="001C7682">
      <w:pPr>
        <w:spacing w:before="0" w:after="0"/>
        <w:rPr>
          <w:b/>
          <w:bCs/>
        </w:rPr>
      </w:pPr>
    </w:p>
    <w:p w14:paraId="3324B1BE" w14:textId="5C94749B" w:rsidR="001C7682" w:rsidRDefault="001C7682">
      <w:pPr>
        <w:spacing w:before="0" w:after="0"/>
        <w:rPr>
          <w:b/>
          <w:bCs/>
        </w:rPr>
      </w:pPr>
    </w:p>
    <w:tbl>
      <w:tblPr>
        <w:tblStyle w:val="Tablaconcuadrcula"/>
        <w:tblW w:w="920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678"/>
      </w:tblGrid>
      <w:tr w:rsidR="001C7682" w:rsidRPr="00EB4EF4" w14:paraId="309D14B2" w14:textId="77777777" w:rsidTr="008F5541">
        <w:tc>
          <w:tcPr>
            <w:tcW w:w="4531" w:type="dxa"/>
          </w:tcPr>
          <w:p w14:paraId="1318A0C0" w14:textId="77777777" w:rsidR="001C7682" w:rsidRPr="00EB4EF4" w:rsidRDefault="001C7682" w:rsidP="008F5541">
            <w:pPr>
              <w:pStyle w:val="Estilo5"/>
              <w:widowControl w:val="0"/>
              <w:numPr>
                <w:ilvl w:val="0"/>
                <w:numId w:val="0"/>
              </w:numPr>
              <w:tabs>
                <w:tab w:val="left" w:pos="1560"/>
              </w:tabs>
              <w:spacing w:before="0" w:after="0"/>
              <w:jc w:val="center"/>
              <w:rPr>
                <w:rFonts w:ascii="Bookman Old Style" w:hAnsi="Bookman Old Style" w:cs="Arial"/>
                <w:color w:val="000000"/>
                <w:spacing w:val="-4"/>
                <w:sz w:val="24"/>
                <w:szCs w:val="24"/>
              </w:rPr>
            </w:pPr>
            <w:r>
              <w:rPr>
                <w:rFonts w:ascii="Bookman Old Style" w:hAnsi="Bookman Old Style" w:cs="Arial"/>
                <w:color w:val="000000"/>
                <w:spacing w:val="-4"/>
                <w:sz w:val="24"/>
                <w:szCs w:val="24"/>
              </w:rPr>
              <w:t>DIEGO MESA PUYO</w:t>
            </w:r>
          </w:p>
        </w:tc>
        <w:tc>
          <w:tcPr>
            <w:tcW w:w="4678" w:type="dxa"/>
          </w:tcPr>
          <w:p w14:paraId="32DBAD88" w14:textId="77777777" w:rsidR="001C7682" w:rsidRPr="00EB4EF4" w:rsidRDefault="001C7682" w:rsidP="008F5541">
            <w:pPr>
              <w:pStyle w:val="Estilo5"/>
              <w:widowControl w:val="0"/>
              <w:numPr>
                <w:ilvl w:val="0"/>
                <w:numId w:val="0"/>
              </w:numPr>
              <w:tabs>
                <w:tab w:val="left" w:pos="1560"/>
              </w:tabs>
              <w:spacing w:before="0" w:after="0"/>
              <w:jc w:val="center"/>
              <w:rPr>
                <w:rFonts w:ascii="Bookman Old Style" w:hAnsi="Bookman Old Style" w:cs="Arial"/>
                <w:color w:val="000000"/>
                <w:spacing w:val="-4"/>
                <w:sz w:val="24"/>
                <w:szCs w:val="24"/>
              </w:rPr>
            </w:pPr>
            <w:r w:rsidRPr="00EB4EF4">
              <w:rPr>
                <w:rFonts w:ascii="Bookman Old Style" w:hAnsi="Bookman Old Style" w:cs="Arial"/>
                <w:color w:val="000000"/>
                <w:spacing w:val="-4"/>
                <w:sz w:val="24"/>
                <w:szCs w:val="24"/>
              </w:rPr>
              <w:t>JORGE ALBERTO VALENCIA MARÍN</w:t>
            </w:r>
          </w:p>
        </w:tc>
      </w:tr>
      <w:tr w:rsidR="001C7682" w:rsidRPr="00EB4EF4" w14:paraId="3ADC3B59" w14:textId="77777777" w:rsidTr="008F5541">
        <w:tc>
          <w:tcPr>
            <w:tcW w:w="4531" w:type="dxa"/>
          </w:tcPr>
          <w:p w14:paraId="152FC5C9" w14:textId="77777777" w:rsidR="001C7682" w:rsidRPr="003B248E" w:rsidRDefault="001C7682" w:rsidP="008F5541">
            <w:pPr>
              <w:pStyle w:val="Estilo5"/>
              <w:widowControl w:val="0"/>
              <w:numPr>
                <w:ilvl w:val="0"/>
                <w:numId w:val="0"/>
              </w:numPr>
              <w:tabs>
                <w:tab w:val="left" w:pos="1560"/>
              </w:tabs>
              <w:spacing w:before="0" w:after="0"/>
              <w:jc w:val="center"/>
              <w:rPr>
                <w:rFonts w:ascii="Bookman Old Style" w:hAnsi="Bookman Old Style" w:cs="Arial"/>
                <w:b w:val="0"/>
                <w:bCs/>
                <w:color w:val="000000"/>
                <w:spacing w:val="-4"/>
                <w:sz w:val="24"/>
                <w:szCs w:val="24"/>
              </w:rPr>
            </w:pPr>
            <w:r w:rsidRPr="003B248E">
              <w:rPr>
                <w:rFonts w:ascii="Bookman Old Style" w:hAnsi="Bookman Old Style" w:cs="Arial"/>
                <w:b w:val="0"/>
                <w:bCs/>
                <w:color w:val="000000"/>
                <w:spacing w:val="-4"/>
                <w:sz w:val="24"/>
                <w:szCs w:val="24"/>
              </w:rPr>
              <w:t>Ministro de Minas y Energía</w:t>
            </w:r>
          </w:p>
          <w:p w14:paraId="64C370AE" w14:textId="77777777" w:rsidR="001C7682" w:rsidRPr="00CE446E" w:rsidRDefault="001C7682" w:rsidP="008F5541">
            <w:pPr>
              <w:pStyle w:val="Estilo5"/>
              <w:widowControl w:val="0"/>
              <w:numPr>
                <w:ilvl w:val="0"/>
                <w:numId w:val="0"/>
              </w:numPr>
              <w:tabs>
                <w:tab w:val="left" w:pos="1560"/>
              </w:tabs>
              <w:spacing w:before="0" w:after="0"/>
              <w:jc w:val="center"/>
              <w:rPr>
                <w:rFonts w:ascii="Bookman Old Style" w:hAnsi="Bookman Old Style" w:cs="Arial"/>
                <w:b w:val="0"/>
                <w:bCs/>
                <w:color w:val="000000"/>
                <w:spacing w:val="-4"/>
                <w:sz w:val="24"/>
                <w:szCs w:val="24"/>
                <w:highlight w:val="yellow"/>
              </w:rPr>
            </w:pPr>
            <w:r w:rsidRPr="003B248E">
              <w:rPr>
                <w:rFonts w:ascii="Bookman Old Style" w:hAnsi="Bookman Old Style" w:cs="Arial"/>
                <w:b w:val="0"/>
                <w:bCs/>
                <w:color w:val="000000"/>
                <w:spacing w:val="-4"/>
                <w:sz w:val="24"/>
                <w:szCs w:val="24"/>
              </w:rPr>
              <w:t>Presidente</w:t>
            </w:r>
          </w:p>
        </w:tc>
        <w:tc>
          <w:tcPr>
            <w:tcW w:w="4678" w:type="dxa"/>
          </w:tcPr>
          <w:p w14:paraId="38C6BA0C" w14:textId="77777777" w:rsidR="001C7682" w:rsidRPr="00EB4EF4" w:rsidRDefault="001C7682" w:rsidP="008F5541">
            <w:pPr>
              <w:pStyle w:val="Estilo5"/>
              <w:widowControl w:val="0"/>
              <w:numPr>
                <w:ilvl w:val="0"/>
                <w:numId w:val="0"/>
              </w:numPr>
              <w:tabs>
                <w:tab w:val="left" w:pos="1560"/>
              </w:tabs>
              <w:spacing w:before="0" w:after="0"/>
              <w:jc w:val="center"/>
              <w:rPr>
                <w:rFonts w:ascii="Bookman Old Style" w:hAnsi="Bookman Old Style" w:cs="Arial"/>
                <w:b w:val="0"/>
                <w:bCs/>
                <w:color w:val="000000"/>
                <w:spacing w:val="-4"/>
                <w:sz w:val="24"/>
                <w:szCs w:val="24"/>
              </w:rPr>
            </w:pPr>
            <w:r w:rsidRPr="00EB4EF4">
              <w:rPr>
                <w:rFonts w:ascii="Bookman Old Style" w:hAnsi="Bookman Old Style" w:cs="Arial"/>
                <w:b w:val="0"/>
                <w:bCs/>
                <w:color w:val="000000"/>
                <w:spacing w:val="-4"/>
                <w:sz w:val="24"/>
                <w:szCs w:val="24"/>
              </w:rPr>
              <w:t>Director Ejecutivo</w:t>
            </w:r>
          </w:p>
        </w:tc>
      </w:tr>
    </w:tbl>
    <w:p w14:paraId="464A488F" w14:textId="77777777" w:rsidR="001C7682" w:rsidRPr="002517C2" w:rsidRDefault="001C7682">
      <w:pPr>
        <w:spacing w:before="0" w:after="0"/>
      </w:pPr>
    </w:p>
    <w:bookmarkEnd w:id="1"/>
    <w:bookmarkEnd w:id="2"/>
    <w:bookmarkEnd w:id="3"/>
    <w:bookmarkEnd w:id="4"/>
    <w:bookmarkEnd w:id="5"/>
    <w:bookmarkEnd w:id="6"/>
    <w:bookmarkEnd w:id="7"/>
    <w:bookmarkEnd w:id="8"/>
    <w:bookmarkEnd w:id="9"/>
    <w:bookmarkEnd w:id="10"/>
    <w:p w14:paraId="07F59341" w14:textId="77777777" w:rsidR="00E8511C" w:rsidRDefault="00E8511C">
      <w:pPr>
        <w:spacing w:before="0" w:after="0"/>
        <w:jc w:val="left"/>
        <w:rPr>
          <w:b/>
        </w:rPr>
      </w:pPr>
      <w:r>
        <w:rPr>
          <w:b/>
        </w:rPr>
        <w:br w:type="page"/>
      </w:r>
    </w:p>
    <w:p w14:paraId="25A38614" w14:textId="0FF86CB1" w:rsidR="009F6330" w:rsidRDefault="009F6330">
      <w:pPr>
        <w:pStyle w:val="Ttulo1"/>
        <w:numPr>
          <w:ilvl w:val="0"/>
          <w:numId w:val="0"/>
        </w:numPr>
        <w:spacing w:before="0" w:after="0"/>
        <w:rPr>
          <w:b w:val="0"/>
        </w:rPr>
      </w:pPr>
      <w:bookmarkStart w:id="21" w:name="_Ref54621584"/>
      <w:bookmarkStart w:id="22" w:name="_Ref54604873"/>
      <w:r w:rsidRPr="00AC1E60">
        <w:lastRenderedPageBreak/>
        <w:t xml:space="preserve">ANEXO </w:t>
      </w:r>
      <w:r>
        <w:t>1</w:t>
      </w:r>
      <w:bookmarkEnd w:id="21"/>
    </w:p>
    <w:p w14:paraId="19703C8A" w14:textId="77777777" w:rsidR="00BD78E1" w:rsidRDefault="00BD78E1">
      <w:pPr>
        <w:spacing w:before="0" w:after="0"/>
        <w:jc w:val="center"/>
        <w:rPr>
          <w:b/>
        </w:rPr>
      </w:pPr>
      <w:r>
        <w:rPr>
          <w:b/>
        </w:rPr>
        <w:t xml:space="preserve">Evaluación de principios y condiciones del </w:t>
      </w:r>
    </w:p>
    <w:p w14:paraId="0869CA5E" w14:textId="7E9E4955" w:rsidR="009F6330" w:rsidRDefault="00BD78E1">
      <w:pPr>
        <w:spacing w:before="0" w:after="0"/>
        <w:jc w:val="center"/>
        <w:rPr>
          <w:b/>
        </w:rPr>
      </w:pPr>
      <w:r>
        <w:rPr>
          <w:b/>
        </w:rPr>
        <w:t>mecanismo presentado por DERIVEX-CRCC</w:t>
      </w:r>
    </w:p>
    <w:p w14:paraId="542683A9" w14:textId="77777777" w:rsidR="00197102" w:rsidRDefault="00197102">
      <w:pPr>
        <w:spacing w:before="0" w:after="0"/>
        <w:jc w:val="left"/>
        <w:rPr>
          <w:b/>
          <w:caps/>
          <w:szCs w:val="20"/>
          <w:lang w:val="es-CO"/>
        </w:rPr>
      </w:pPr>
    </w:p>
    <w:p w14:paraId="3E104ADA" w14:textId="27D03163" w:rsidR="009E1325" w:rsidRDefault="006A147C">
      <w:pPr>
        <w:spacing w:before="0" w:after="0"/>
        <w:rPr>
          <w:bCs/>
          <w:szCs w:val="20"/>
          <w:lang w:val="es-CO"/>
        </w:rPr>
      </w:pPr>
      <w:r>
        <w:rPr>
          <w:bCs/>
          <w:caps/>
          <w:szCs w:val="20"/>
          <w:lang w:val="es-CO"/>
        </w:rPr>
        <w:t>L</w:t>
      </w:r>
      <w:r w:rsidR="00556144">
        <w:rPr>
          <w:bCs/>
          <w:szCs w:val="20"/>
          <w:lang w:val="es-CO"/>
        </w:rPr>
        <w:t xml:space="preserve">a </w:t>
      </w:r>
      <w:r w:rsidR="00324118">
        <w:rPr>
          <w:bCs/>
          <w:szCs w:val="20"/>
          <w:lang w:val="es-CO"/>
        </w:rPr>
        <w:t xml:space="preserve">Comisión realizó la evaluación del mecanismo propuesto por el Promotor </w:t>
      </w:r>
      <w:r w:rsidR="00D42019">
        <w:rPr>
          <w:bCs/>
          <w:szCs w:val="20"/>
          <w:lang w:val="es-CO"/>
        </w:rPr>
        <w:t>(</w:t>
      </w:r>
      <w:r w:rsidR="00324118">
        <w:rPr>
          <w:bCs/>
          <w:szCs w:val="20"/>
          <w:lang w:val="es-CO"/>
        </w:rPr>
        <w:t>DERI</w:t>
      </w:r>
      <w:r w:rsidR="00DE0B56">
        <w:rPr>
          <w:bCs/>
          <w:szCs w:val="20"/>
          <w:lang w:val="es-CO"/>
        </w:rPr>
        <w:t>VEX-CRCC</w:t>
      </w:r>
      <w:r w:rsidR="00D42019">
        <w:rPr>
          <w:bCs/>
          <w:szCs w:val="20"/>
          <w:lang w:val="es-CO"/>
        </w:rPr>
        <w:t>)</w:t>
      </w:r>
      <w:r w:rsidR="00BC6607">
        <w:rPr>
          <w:bCs/>
          <w:szCs w:val="20"/>
          <w:lang w:val="es-CO"/>
        </w:rPr>
        <w:t xml:space="preserve"> con base en la información aportada </w:t>
      </w:r>
      <w:r w:rsidR="005630AD">
        <w:rPr>
          <w:bCs/>
          <w:szCs w:val="20"/>
          <w:lang w:val="es-CO"/>
        </w:rPr>
        <w:t xml:space="preserve">por este último </w:t>
      </w:r>
      <w:r w:rsidR="00BC6607">
        <w:rPr>
          <w:bCs/>
          <w:szCs w:val="20"/>
          <w:lang w:val="es-CO"/>
        </w:rPr>
        <w:t xml:space="preserve">y </w:t>
      </w:r>
      <w:r w:rsidR="007A18F5">
        <w:rPr>
          <w:bCs/>
          <w:szCs w:val="20"/>
          <w:lang w:val="es-CO"/>
        </w:rPr>
        <w:t>l</w:t>
      </w:r>
      <w:r w:rsidR="005E4FDA">
        <w:rPr>
          <w:bCs/>
          <w:szCs w:val="20"/>
          <w:lang w:val="es-CO"/>
        </w:rPr>
        <w:t xml:space="preserve">os análisis </w:t>
      </w:r>
      <w:r w:rsidR="00C72B20">
        <w:rPr>
          <w:bCs/>
          <w:szCs w:val="20"/>
          <w:lang w:val="es-CO"/>
        </w:rPr>
        <w:t>hechos</w:t>
      </w:r>
      <w:r w:rsidR="007A18F5">
        <w:rPr>
          <w:bCs/>
          <w:szCs w:val="20"/>
          <w:lang w:val="es-CO"/>
        </w:rPr>
        <w:t xml:space="preserve"> por los </w:t>
      </w:r>
      <w:r w:rsidR="005273EE">
        <w:rPr>
          <w:bCs/>
          <w:szCs w:val="20"/>
          <w:lang w:val="es-CO"/>
        </w:rPr>
        <w:t>agentes especializados</w:t>
      </w:r>
      <w:r w:rsidR="003E3BBE">
        <w:rPr>
          <w:bCs/>
          <w:szCs w:val="20"/>
          <w:lang w:val="es-CO"/>
        </w:rPr>
        <w:t xml:space="preserve">. </w:t>
      </w:r>
    </w:p>
    <w:p w14:paraId="0D4A7239" w14:textId="77777777" w:rsidR="005630AD" w:rsidRDefault="005630AD">
      <w:pPr>
        <w:spacing w:before="0" w:after="0"/>
        <w:rPr>
          <w:bCs/>
          <w:szCs w:val="20"/>
          <w:lang w:val="es-CO"/>
        </w:rPr>
      </w:pPr>
    </w:p>
    <w:p w14:paraId="0FC1C08A" w14:textId="056BA1E3" w:rsidR="005630AD" w:rsidRPr="00FD3AFF" w:rsidRDefault="005630AD">
      <w:pPr>
        <w:spacing w:before="0" w:after="0"/>
        <w:rPr>
          <w:bCs/>
          <w:caps/>
          <w:szCs w:val="20"/>
          <w:lang w:val="es-CO"/>
        </w:rPr>
      </w:pPr>
      <w:r>
        <w:rPr>
          <w:bCs/>
          <w:szCs w:val="20"/>
          <w:lang w:val="es-CO"/>
        </w:rPr>
        <w:t xml:space="preserve">La siguiente matriz de evaluación </w:t>
      </w:r>
      <w:r w:rsidR="009B7170">
        <w:rPr>
          <w:bCs/>
          <w:szCs w:val="20"/>
          <w:lang w:val="es-CO"/>
        </w:rPr>
        <w:t xml:space="preserve">se presenta sobre cada </w:t>
      </w:r>
      <w:proofErr w:type="spellStart"/>
      <w:r w:rsidR="009B7170">
        <w:rPr>
          <w:bCs/>
          <w:szCs w:val="20"/>
          <w:lang w:val="es-CO"/>
        </w:rPr>
        <w:t>pincipio</w:t>
      </w:r>
      <w:proofErr w:type="spellEnd"/>
      <w:r w:rsidR="009B7170">
        <w:rPr>
          <w:bCs/>
          <w:szCs w:val="20"/>
          <w:lang w:val="es-CO"/>
        </w:rPr>
        <w:t xml:space="preserve"> y </w:t>
      </w:r>
      <w:proofErr w:type="gramStart"/>
      <w:r w:rsidR="009B7170">
        <w:rPr>
          <w:bCs/>
          <w:szCs w:val="20"/>
          <w:lang w:val="es-CO"/>
        </w:rPr>
        <w:t>condición descrito</w:t>
      </w:r>
      <w:proofErr w:type="gramEnd"/>
      <w:r w:rsidR="009B7170">
        <w:rPr>
          <w:bCs/>
          <w:szCs w:val="20"/>
          <w:lang w:val="es-CO"/>
        </w:rPr>
        <w:t xml:space="preserve"> en </w:t>
      </w:r>
      <w:r w:rsidR="00293EA7">
        <w:rPr>
          <w:bCs/>
          <w:szCs w:val="20"/>
          <w:lang w:val="es-CO"/>
        </w:rPr>
        <w:t xml:space="preserve">los artículos 3 y 4 de la Resolución CREG 114 de 2018. Para cada uno </w:t>
      </w:r>
      <w:r w:rsidR="006C580C">
        <w:rPr>
          <w:bCs/>
          <w:szCs w:val="20"/>
          <w:lang w:val="es-CO"/>
        </w:rPr>
        <w:t xml:space="preserve">de ellos </w:t>
      </w:r>
      <w:r w:rsidR="00E842AE">
        <w:rPr>
          <w:bCs/>
          <w:szCs w:val="20"/>
          <w:lang w:val="es-CO"/>
        </w:rPr>
        <w:t xml:space="preserve">se </w:t>
      </w:r>
      <w:r w:rsidR="006C580C">
        <w:rPr>
          <w:bCs/>
          <w:szCs w:val="20"/>
          <w:lang w:val="es-CO"/>
        </w:rPr>
        <w:t>establece</w:t>
      </w:r>
      <w:r w:rsidR="00E842AE">
        <w:rPr>
          <w:bCs/>
          <w:szCs w:val="20"/>
          <w:lang w:val="es-CO"/>
        </w:rPr>
        <w:t xml:space="preserve"> </w:t>
      </w:r>
      <w:r>
        <w:rPr>
          <w:bCs/>
          <w:szCs w:val="20"/>
          <w:lang w:val="es-CO"/>
        </w:rPr>
        <w:t xml:space="preserve">lo siguiente: </w:t>
      </w:r>
      <w:r w:rsidR="00384DAB">
        <w:rPr>
          <w:bCs/>
          <w:szCs w:val="20"/>
          <w:lang w:val="es-CO"/>
        </w:rPr>
        <w:t xml:space="preserve">i) la descripción del principio o condición que se debía cumplir con base </w:t>
      </w:r>
      <w:r w:rsidR="00CE4EA6">
        <w:rPr>
          <w:bCs/>
          <w:szCs w:val="20"/>
          <w:lang w:val="es-CO"/>
        </w:rPr>
        <w:t xml:space="preserve">la Resolución CREG 114 de 2018, </w:t>
      </w:r>
      <w:proofErr w:type="spellStart"/>
      <w:r w:rsidR="00CE4EA6">
        <w:rPr>
          <w:bCs/>
          <w:szCs w:val="20"/>
          <w:lang w:val="es-CO"/>
        </w:rPr>
        <w:t>ii</w:t>
      </w:r>
      <w:proofErr w:type="spellEnd"/>
      <w:r w:rsidR="00CE4EA6">
        <w:rPr>
          <w:bCs/>
          <w:szCs w:val="20"/>
          <w:lang w:val="es-CO"/>
        </w:rPr>
        <w:t xml:space="preserve">) un resumen </w:t>
      </w:r>
      <w:r w:rsidR="009A5BA8">
        <w:rPr>
          <w:bCs/>
          <w:szCs w:val="20"/>
          <w:lang w:val="es-CO"/>
        </w:rPr>
        <w:t xml:space="preserve">de la verificación efectuada por la Comisión del cumplimiento del principio o condición, </w:t>
      </w:r>
      <w:proofErr w:type="spellStart"/>
      <w:r w:rsidR="009A5BA8">
        <w:rPr>
          <w:bCs/>
          <w:szCs w:val="20"/>
          <w:lang w:val="es-CO"/>
        </w:rPr>
        <w:t>iii</w:t>
      </w:r>
      <w:proofErr w:type="spellEnd"/>
      <w:r w:rsidR="009A5BA8">
        <w:rPr>
          <w:bCs/>
          <w:szCs w:val="20"/>
          <w:lang w:val="es-CO"/>
        </w:rPr>
        <w:t>) la referencia del cumplimiento del principio o condición en la propuesta presentada por el Promotor</w:t>
      </w:r>
      <w:r w:rsidR="00884E5C">
        <w:rPr>
          <w:bCs/>
          <w:szCs w:val="20"/>
          <w:lang w:val="es-CO"/>
        </w:rPr>
        <w:t>, y</w:t>
      </w:r>
      <w:r w:rsidR="009A5BA8">
        <w:rPr>
          <w:bCs/>
          <w:szCs w:val="20"/>
          <w:lang w:val="es-CO"/>
        </w:rPr>
        <w:t xml:space="preserve"> </w:t>
      </w:r>
      <w:proofErr w:type="spellStart"/>
      <w:r w:rsidR="009A5BA8">
        <w:rPr>
          <w:bCs/>
          <w:szCs w:val="20"/>
          <w:lang w:val="es-CO"/>
        </w:rPr>
        <w:t>iv</w:t>
      </w:r>
      <w:proofErr w:type="spellEnd"/>
      <w:r w:rsidR="009A5BA8">
        <w:rPr>
          <w:bCs/>
          <w:szCs w:val="20"/>
          <w:lang w:val="es-CO"/>
        </w:rPr>
        <w:t>) conclusiones emitidas por los agentes especializados en temas de mercados, riesgos y gobierno corporativo sobre cada principio o condición una vez analizada la propuesta del Promotor</w:t>
      </w:r>
      <w:r w:rsidR="00884E5C">
        <w:rPr>
          <w:bCs/>
          <w:szCs w:val="20"/>
          <w:lang w:val="es-CO"/>
        </w:rPr>
        <w:t>.</w:t>
      </w:r>
      <w:r w:rsidR="009A5BA8">
        <w:rPr>
          <w:bCs/>
          <w:szCs w:val="20"/>
          <w:lang w:val="es-CO"/>
        </w:rPr>
        <w:t xml:space="preserve"> </w:t>
      </w:r>
      <w:r w:rsidR="00396B51">
        <w:rPr>
          <w:bCs/>
          <w:szCs w:val="20"/>
          <w:lang w:val="es-CO"/>
        </w:rPr>
        <w:t>Las referencias de las página</w:t>
      </w:r>
      <w:r w:rsidR="007427AE">
        <w:rPr>
          <w:bCs/>
          <w:szCs w:val="20"/>
          <w:lang w:val="es-CO"/>
        </w:rPr>
        <w:t>s que se hacen de las</w:t>
      </w:r>
      <w:r w:rsidR="00396B51">
        <w:rPr>
          <w:bCs/>
          <w:szCs w:val="20"/>
          <w:lang w:val="es-CO"/>
        </w:rPr>
        <w:t xml:space="preserve"> conclusiones de los agentes </w:t>
      </w:r>
      <w:proofErr w:type="gramStart"/>
      <w:r w:rsidR="00396B51">
        <w:rPr>
          <w:bCs/>
          <w:szCs w:val="20"/>
          <w:lang w:val="es-CO"/>
        </w:rPr>
        <w:t>especiali</w:t>
      </w:r>
      <w:r w:rsidR="00CB1F02">
        <w:rPr>
          <w:bCs/>
          <w:szCs w:val="20"/>
          <w:lang w:val="es-CO"/>
        </w:rPr>
        <w:t>zados,</w:t>
      </w:r>
      <w:proofErr w:type="gramEnd"/>
      <w:r w:rsidR="00CB1F02">
        <w:rPr>
          <w:bCs/>
          <w:szCs w:val="20"/>
          <w:lang w:val="es-CO"/>
        </w:rPr>
        <w:t xml:space="preserve"> </w:t>
      </w:r>
      <w:r w:rsidR="007427AE">
        <w:rPr>
          <w:bCs/>
          <w:szCs w:val="20"/>
          <w:lang w:val="es-CO"/>
        </w:rPr>
        <w:t>corresponden a los</w:t>
      </w:r>
      <w:r w:rsidR="00CB1F02">
        <w:rPr>
          <w:bCs/>
          <w:szCs w:val="20"/>
          <w:lang w:val="es-CO"/>
        </w:rPr>
        <w:t xml:space="preserve"> informes entregados por estos </w:t>
      </w:r>
      <w:r w:rsidR="00D42019">
        <w:rPr>
          <w:bCs/>
          <w:szCs w:val="20"/>
          <w:lang w:val="es-CO"/>
        </w:rPr>
        <w:t xml:space="preserve">agentes </w:t>
      </w:r>
      <w:r w:rsidR="00CB1F02">
        <w:rPr>
          <w:bCs/>
          <w:szCs w:val="20"/>
          <w:lang w:val="es-CO"/>
        </w:rPr>
        <w:t xml:space="preserve">a la Comisión. </w:t>
      </w:r>
    </w:p>
    <w:p w14:paraId="34DB4945" w14:textId="73A01308" w:rsidR="009E1325" w:rsidRDefault="009E1325">
      <w:pPr>
        <w:spacing w:before="0" w:after="0"/>
        <w:jc w:val="left"/>
        <w:rPr>
          <w:b/>
          <w:caps/>
          <w:szCs w:val="20"/>
          <w:lang w:val="es-CO"/>
        </w:rPr>
      </w:pPr>
    </w:p>
    <w:p w14:paraId="5F07055A" w14:textId="244E3E7A" w:rsidR="00DB7167" w:rsidRDefault="001B7270">
      <w:pPr>
        <w:spacing w:before="0" w:after="0"/>
        <w:jc w:val="left"/>
        <w:rPr>
          <w:b/>
          <w:caps/>
          <w:szCs w:val="20"/>
          <w:lang w:val="es-CO"/>
        </w:rPr>
      </w:pPr>
      <w:r>
        <w:rPr>
          <w:b/>
          <w:szCs w:val="20"/>
          <w:lang w:val="es-CO"/>
        </w:rPr>
        <w:t>Evaluación de Principios</w:t>
      </w:r>
    </w:p>
    <w:p w14:paraId="35BBEC5A" w14:textId="0567055A" w:rsidR="001B7270" w:rsidRDefault="001B7270">
      <w:pPr>
        <w:spacing w:before="0" w:after="0"/>
        <w:jc w:val="left"/>
        <w:rPr>
          <w:b/>
          <w:caps/>
          <w:szCs w:val="20"/>
          <w:lang w:val="es-CO"/>
        </w:rPr>
      </w:pPr>
    </w:p>
    <w:tbl>
      <w:tblPr>
        <w:tblW w:w="5000" w:type="pct"/>
        <w:tblLayout w:type="fixed"/>
        <w:tblCellMar>
          <w:left w:w="70" w:type="dxa"/>
          <w:right w:w="70" w:type="dxa"/>
        </w:tblCellMar>
        <w:tblLook w:val="04A0" w:firstRow="1" w:lastRow="0" w:firstColumn="1" w:lastColumn="0" w:noHBand="0" w:noVBand="1"/>
      </w:tblPr>
      <w:tblGrid>
        <w:gridCol w:w="1695"/>
        <w:gridCol w:w="7651"/>
      </w:tblGrid>
      <w:tr w:rsidR="001B7270" w:rsidRPr="001B7270" w14:paraId="2DF9E39B" w14:textId="77777777" w:rsidTr="00D31EE1">
        <w:trPr>
          <w:trHeight w:val="570"/>
        </w:trPr>
        <w:tc>
          <w:tcPr>
            <w:tcW w:w="907" w:type="pc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17C8D3F" w14:textId="77777777" w:rsidR="001B7270" w:rsidRPr="001B7270" w:rsidRDefault="001B7270">
            <w:pPr>
              <w:spacing w:before="0" w:after="0"/>
              <w:jc w:val="center"/>
              <w:rPr>
                <w:rFonts w:ascii="Calibri" w:hAnsi="Calibri"/>
                <w:b/>
                <w:bCs/>
                <w:color w:val="000000"/>
                <w:sz w:val="18"/>
                <w:szCs w:val="18"/>
                <w:lang w:val="es-CO" w:eastAsia="es-CO"/>
              </w:rPr>
            </w:pPr>
            <w:r w:rsidRPr="001B7270">
              <w:rPr>
                <w:rFonts w:ascii="Calibri" w:hAnsi="Calibri"/>
                <w:b/>
                <w:bCs/>
                <w:color w:val="000000"/>
                <w:sz w:val="18"/>
                <w:szCs w:val="18"/>
                <w:lang w:val="es-CO" w:eastAsia="es-CO"/>
              </w:rPr>
              <w:t>Parámetro</w:t>
            </w:r>
          </w:p>
        </w:tc>
        <w:tc>
          <w:tcPr>
            <w:tcW w:w="4093" w:type="pct"/>
            <w:tcBorders>
              <w:top w:val="single" w:sz="4" w:space="0" w:color="auto"/>
              <w:left w:val="nil"/>
              <w:bottom w:val="single" w:sz="4" w:space="0" w:color="auto"/>
              <w:right w:val="single" w:sz="4" w:space="0" w:color="auto"/>
            </w:tcBorders>
            <w:shd w:val="clear" w:color="000000" w:fill="D9E1F2"/>
            <w:vAlign w:val="center"/>
            <w:hideMark/>
          </w:tcPr>
          <w:p w14:paraId="42436155" w14:textId="77777777" w:rsidR="001B7270" w:rsidRPr="001B7270" w:rsidRDefault="001B7270">
            <w:pPr>
              <w:spacing w:before="0" w:after="0"/>
              <w:jc w:val="center"/>
              <w:rPr>
                <w:rFonts w:ascii="Calibri" w:hAnsi="Calibri"/>
                <w:b/>
                <w:bCs/>
                <w:color w:val="000000"/>
                <w:sz w:val="18"/>
                <w:szCs w:val="18"/>
                <w:lang w:val="es-CO" w:eastAsia="es-CO"/>
              </w:rPr>
            </w:pPr>
            <w:r w:rsidRPr="001B7270">
              <w:rPr>
                <w:rFonts w:ascii="Calibri" w:hAnsi="Calibri"/>
                <w:b/>
                <w:bCs/>
                <w:color w:val="000000"/>
                <w:sz w:val="18"/>
                <w:szCs w:val="18"/>
                <w:lang w:val="es-CO" w:eastAsia="es-CO"/>
              </w:rPr>
              <w:t>Principio de eficiencia</w:t>
            </w:r>
          </w:p>
        </w:tc>
      </w:tr>
      <w:tr w:rsidR="001B7270" w:rsidRPr="001B7270" w14:paraId="4550892E" w14:textId="77777777" w:rsidTr="00D31EE1">
        <w:trPr>
          <w:trHeight w:val="630"/>
        </w:trPr>
        <w:tc>
          <w:tcPr>
            <w:tcW w:w="907" w:type="pct"/>
            <w:tcBorders>
              <w:top w:val="nil"/>
              <w:left w:val="single" w:sz="4" w:space="0" w:color="auto"/>
              <w:bottom w:val="single" w:sz="4" w:space="0" w:color="auto"/>
              <w:right w:val="single" w:sz="4" w:space="0" w:color="auto"/>
            </w:tcBorders>
            <w:shd w:val="clear" w:color="000000" w:fill="D0CECE"/>
            <w:noWrap/>
            <w:hideMark/>
          </w:tcPr>
          <w:p w14:paraId="669D7019" w14:textId="77777777" w:rsidR="001B7270" w:rsidRPr="001B7270" w:rsidRDefault="001B7270">
            <w:pPr>
              <w:spacing w:before="0" w:after="0"/>
              <w:jc w:val="left"/>
              <w:rPr>
                <w:rFonts w:ascii="Calibri" w:hAnsi="Calibri"/>
                <w:b/>
                <w:bCs/>
                <w:color w:val="000000"/>
                <w:sz w:val="18"/>
                <w:szCs w:val="18"/>
                <w:lang w:val="es-CO" w:eastAsia="es-CO"/>
              </w:rPr>
            </w:pPr>
            <w:r w:rsidRPr="001B7270">
              <w:rPr>
                <w:rFonts w:ascii="Calibri" w:hAnsi="Calibri"/>
                <w:b/>
                <w:bCs/>
                <w:color w:val="000000"/>
                <w:sz w:val="18"/>
                <w:szCs w:val="18"/>
                <w:lang w:val="es-CO" w:eastAsia="es-CO"/>
              </w:rPr>
              <w:t>Descripción</w:t>
            </w:r>
          </w:p>
        </w:tc>
        <w:tc>
          <w:tcPr>
            <w:tcW w:w="4093" w:type="pct"/>
            <w:tcBorders>
              <w:top w:val="single" w:sz="4" w:space="0" w:color="auto"/>
              <w:left w:val="nil"/>
              <w:bottom w:val="single" w:sz="4" w:space="0" w:color="auto"/>
              <w:right w:val="single" w:sz="4" w:space="0" w:color="auto"/>
            </w:tcBorders>
            <w:shd w:val="clear" w:color="auto" w:fill="auto"/>
            <w:hideMark/>
          </w:tcPr>
          <w:p w14:paraId="40E2512A" w14:textId="77777777" w:rsidR="001B7270" w:rsidRPr="001B7270" w:rsidRDefault="001B7270">
            <w:pPr>
              <w:spacing w:before="0" w:after="0"/>
              <w:jc w:val="left"/>
              <w:rPr>
                <w:rFonts w:ascii="Calibri" w:hAnsi="Calibri"/>
                <w:color w:val="000000"/>
                <w:sz w:val="18"/>
                <w:szCs w:val="18"/>
                <w:lang w:val="es-CO" w:eastAsia="es-CO"/>
              </w:rPr>
            </w:pPr>
            <w:r w:rsidRPr="001B7270">
              <w:rPr>
                <w:rFonts w:ascii="Calibri" w:hAnsi="Calibri"/>
                <w:color w:val="000000"/>
                <w:sz w:val="18"/>
                <w:szCs w:val="18"/>
                <w:lang w:val="es-CO" w:eastAsia="es-CO"/>
              </w:rPr>
              <w:t xml:space="preserve">La asignación de cantidades y la formación de precios del mecanismo son </w:t>
            </w:r>
            <w:r w:rsidRPr="001B7270">
              <w:rPr>
                <w:rFonts w:ascii="Calibri" w:hAnsi="Calibri"/>
                <w:sz w:val="18"/>
                <w:szCs w:val="18"/>
                <w:lang w:val="es-CO" w:eastAsia="es-CO"/>
              </w:rPr>
              <w:t xml:space="preserve">resultado de la libre interacción de oferta y demanda y </w:t>
            </w:r>
            <w:r w:rsidRPr="001B7270">
              <w:rPr>
                <w:rFonts w:ascii="Calibri" w:hAnsi="Calibri"/>
                <w:color w:val="000000"/>
                <w:sz w:val="18"/>
                <w:szCs w:val="18"/>
                <w:lang w:val="es-CO" w:eastAsia="es-CO"/>
              </w:rPr>
              <w:t>de la maximización del intercambio; reflejan los costos de la oferta y la disponibilidad a pagar de la demanda y son libres de manipulación o ejercicio de poder de mercado por parte de algún agente.</w:t>
            </w:r>
          </w:p>
        </w:tc>
      </w:tr>
      <w:tr w:rsidR="001B7270" w:rsidRPr="001B7270" w14:paraId="310555F6" w14:textId="77777777" w:rsidTr="00D31EE1">
        <w:trPr>
          <w:trHeight w:val="2115"/>
        </w:trPr>
        <w:tc>
          <w:tcPr>
            <w:tcW w:w="907" w:type="pct"/>
            <w:tcBorders>
              <w:top w:val="nil"/>
              <w:left w:val="single" w:sz="4" w:space="0" w:color="auto"/>
              <w:bottom w:val="single" w:sz="4" w:space="0" w:color="auto"/>
              <w:right w:val="single" w:sz="4" w:space="0" w:color="auto"/>
            </w:tcBorders>
            <w:shd w:val="clear" w:color="000000" w:fill="D0CECE"/>
            <w:noWrap/>
            <w:hideMark/>
          </w:tcPr>
          <w:p w14:paraId="3DAB8A25" w14:textId="77777777" w:rsidR="001B7270" w:rsidRPr="001B7270" w:rsidRDefault="001B7270">
            <w:pPr>
              <w:spacing w:before="0" w:after="0"/>
              <w:jc w:val="left"/>
              <w:rPr>
                <w:rFonts w:ascii="Calibri" w:hAnsi="Calibri"/>
                <w:b/>
                <w:bCs/>
                <w:color w:val="000000"/>
                <w:sz w:val="18"/>
                <w:szCs w:val="18"/>
                <w:lang w:val="es-CO" w:eastAsia="es-CO"/>
              </w:rPr>
            </w:pPr>
            <w:r w:rsidRPr="001B7270">
              <w:rPr>
                <w:rFonts w:ascii="Calibri" w:hAnsi="Calibri"/>
                <w:b/>
                <w:bCs/>
                <w:color w:val="000000"/>
                <w:sz w:val="18"/>
                <w:szCs w:val="18"/>
                <w:lang w:val="es-CO" w:eastAsia="es-CO"/>
              </w:rPr>
              <w:t>Resumen de la evaluación</w:t>
            </w:r>
          </w:p>
        </w:tc>
        <w:tc>
          <w:tcPr>
            <w:tcW w:w="4093" w:type="pct"/>
            <w:tcBorders>
              <w:top w:val="single" w:sz="4" w:space="0" w:color="auto"/>
              <w:left w:val="nil"/>
              <w:bottom w:val="single" w:sz="4" w:space="0" w:color="auto"/>
              <w:right w:val="single" w:sz="4" w:space="0" w:color="auto"/>
            </w:tcBorders>
            <w:shd w:val="clear" w:color="auto" w:fill="auto"/>
            <w:hideMark/>
          </w:tcPr>
          <w:p w14:paraId="78DF7E83" w14:textId="0C361868" w:rsidR="001B7270" w:rsidRPr="001B7270" w:rsidRDefault="001B7270">
            <w:pPr>
              <w:spacing w:before="0" w:after="0"/>
              <w:jc w:val="left"/>
              <w:rPr>
                <w:rFonts w:ascii="Calibri" w:hAnsi="Calibri"/>
                <w:color w:val="000000"/>
                <w:sz w:val="18"/>
                <w:szCs w:val="18"/>
                <w:lang w:val="es-CO" w:eastAsia="es-CO"/>
              </w:rPr>
            </w:pPr>
            <w:r w:rsidRPr="001B7270">
              <w:rPr>
                <w:rFonts w:ascii="Calibri" w:hAnsi="Calibri"/>
                <w:color w:val="000000"/>
                <w:sz w:val="18"/>
                <w:szCs w:val="18"/>
                <w:lang w:val="es-CO" w:eastAsia="es-CO"/>
              </w:rPr>
              <w:t>En un mecanismo de negociación electrónica como el propuesto se permite la participación de los agentes de manera simultánea para que el precio se forme por las interacciones de oferta y demanda que se presentan. Adicionalmente se establecen las siguientes condiciones:</w:t>
            </w:r>
            <w:r w:rsidRPr="001B7270">
              <w:rPr>
                <w:rFonts w:ascii="Calibri" w:hAnsi="Calibri"/>
                <w:color w:val="000000"/>
                <w:sz w:val="18"/>
                <w:szCs w:val="18"/>
                <w:lang w:val="es-CO" w:eastAsia="es-CO"/>
              </w:rPr>
              <w:br/>
              <w:t>- En el reglamento del mecanismo se establecen las condiciones de disponibilidad de información para que los agentes puedan tomar sus decisiones. La información debe ser clara, completa y oportuna.</w:t>
            </w:r>
            <w:r w:rsidRPr="001B7270">
              <w:rPr>
                <w:rFonts w:ascii="Calibri" w:hAnsi="Calibri"/>
                <w:color w:val="000000"/>
                <w:sz w:val="18"/>
                <w:szCs w:val="18"/>
                <w:lang w:val="es-CO" w:eastAsia="es-CO"/>
              </w:rPr>
              <w:br/>
              <w:t>- Deberes establecidos a los intermediarios de valores (Información, mejor ejecución de órdenes)</w:t>
            </w:r>
            <w:r w:rsidRPr="001B7270">
              <w:rPr>
                <w:rFonts w:ascii="Calibri" w:hAnsi="Calibri"/>
                <w:color w:val="000000"/>
                <w:sz w:val="18"/>
                <w:szCs w:val="18"/>
                <w:lang w:val="es-CO" w:eastAsia="es-CO"/>
              </w:rPr>
              <w:br/>
              <w:t>Adicionalmente, existen procedimientos y normas definidas para evitar la manipulación de precios o ejercicio de poder de mercado tales como:</w:t>
            </w:r>
            <w:r w:rsidRPr="001B7270">
              <w:rPr>
                <w:rFonts w:ascii="Calibri" w:hAnsi="Calibri"/>
                <w:color w:val="000000"/>
                <w:sz w:val="18"/>
                <w:szCs w:val="18"/>
                <w:lang w:val="es-CO" w:eastAsia="es-CO"/>
              </w:rPr>
              <w:br/>
              <w:t>- El administrador del mecanismo no puede participar en la formación de precio</w:t>
            </w:r>
            <w:r w:rsidR="00D318C6">
              <w:rPr>
                <w:rFonts w:ascii="Calibri" w:hAnsi="Calibri"/>
                <w:color w:val="000000"/>
                <w:sz w:val="18"/>
                <w:szCs w:val="18"/>
                <w:lang w:val="es-CO" w:eastAsia="es-CO"/>
              </w:rPr>
              <w:t>.</w:t>
            </w:r>
            <w:r w:rsidRPr="001B7270">
              <w:rPr>
                <w:rFonts w:ascii="Calibri" w:hAnsi="Calibri"/>
                <w:color w:val="000000"/>
                <w:sz w:val="18"/>
                <w:szCs w:val="18"/>
                <w:lang w:val="es-CO" w:eastAsia="es-CO"/>
              </w:rPr>
              <w:br/>
              <w:t>- En el documento de gobernanza se establece la forma de toma de decisiones y esta no se ve afectada por la participación de agentes del MEM en el administrador del mecanismo.</w:t>
            </w:r>
          </w:p>
        </w:tc>
      </w:tr>
      <w:tr w:rsidR="001B7270" w:rsidRPr="001B7270" w14:paraId="7203B432" w14:textId="77777777" w:rsidTr="00D31EE1">
        <w:trPr>
          <w:trHeight w:val="1680"/>
        </w:trPr>
        <w:tc>
          <w:tcPr>
            <w:tcW w:w="907" w:type="pct"/>
            <w:tcBorders>
              <w:top w:val="nil"/>
              <w:left w:val="single" w:sz="4" w:space="0" w:color="auto"/>
              <w:bottom w:val="single" w:sz="4" w:space="0" w:color="auto"/>
              <w:right w:val="single" w:sz="4" w:space="0" w:color="auto"/>
            </w:tcBorders>
            <w:shd w:val="clear" w:color="000000" w:fill="D0CECE"/>
            <w:hideMark/>
          </w:tcPr>
          <w:p w14:paraId="34BF8746" w14:textId="77777777" w:rsidR="001B7270" w:rsidRPr="001B7270" w:rsidRDefault="001B7270">
            <w:pPr>
              <w:spacing w:before="0" w:after="0"/>
              <w:jc w:val="left"/>
              <w:rPr>
                <w:rFonts w:ascii="Calibri" w:hAnsi="Calibri"/>
                <w:b/>
                <w:bCs/>
                <w:color w:val="000000"/>
                <w:sz w:val="18"/>
                <w:szCs w:val="18"/>
                <w:lang w:val="es-CO" w:eastAsia="es-CO"/>
              </w:rPr>
            </w:pPr>
            <w:r w:rsidRPr="001B7270">
              <w:rPr>
                <w:rFonts w:ascii="Calibri" w:hAnsi="Calibri"/>
                <w:b/>
                <w:bCs/>
                <w:color w:val="000000"/>
                <w:sz w:val="18"/>
                <w:szCs w:val="18"/>
                <w:lang w:val="es-CO" w:eastAsia="es-CO"/>
              </w:rPr>
              <w:t xml:space="preserve">Referencia en la propuesta </w:t>
            </w:r>
          </w:p>
        </w:tc>
        <w:tc>
          <w:tcPr>
            <w:tcW w:w="4093" w:type="pct"/>
            <w:tcBorders>
              <w:top w:val="single" w:sz="4" w:space="0" w:color="auto"/>
              <w:left w:val="nil"/>
              <w:bottom w:val="single" w:sz="4" w:space="0" w:color="auto"/>
              <w:right w:val="single" w:sz="4" w:space="0" w:color="auto"/>
            </w:tcBorders>
            <w:shd w:val="clear" w:color="auto" w:fill="auto"/>
            <w:hideMark/>
          </w:tcPr>
          <w:p w14:paraId="355D3ED0" w14:textId="77777777" w:rsidR="001D138A" w:rsidRDefault="001B7270">
            <w:pPr>
              <w:spacing w:before="0" w:after="0"/>
              <w:jc w:val="left"/>
              <w:rPr>
                <w:rFonts w:ascii="Calibri" w:hAnsi="Calibri"/>
                <w:color w:val="000000"/>
                <w:sz w:val="18"/>
                <w:szCs w:val="18"/>
                <w:lang w:val="es-CO" w:eastAsia="es-CO"/>
              </w:rPr>
            </w:pPr>
            <w:r w:rsidRPr="001B7270">
              <w:rPr>
                <w:rFonts w:ascii="Calibri" w:hAnsi="Calibri"/>
                <w:color w:val="000000"/>
                <w:sz w:val="18"/>
                <w:szCs w:val="18"/>
                <w:lang w:val="es-CO" w:eastAsia="es-CO"/>
              </w:rPr>
              <w:t>1.</w:t>
            </w:r>
            <w:r w:rsidRPr="001B7270">
              <w:rPr>
                <w:rFonts w:ascii="Calibri" w:hAnsi="Calibri"/>
                <w:b/>
                <w:bCs/>
                <w:color w:val="000000"/>
                <w:sz w:val="18"/>
                <w:szCs w:val="18"/>
                <w:lang w:val="es-CO" w:eastAsia="es-CO"/>
              </w:rPr>
              <w:t xml:space="preserve"> Numeral 3 de la propuesta: Descripción general del mecanismo.</w:t>
            </w:r>
            <w:r w:rsidRPr="001B7270">
              <w:rPr>
                <w:rFonts w:ascii="Calibri" w:hAnsi="Calibri"/>
                <w:color w:val="000000"/>
                <w:sz w:val="18"/>
                <w:szCs w:val="18"/>
                <w:lang w:val="es-CO" w:eastAsia="es-CO"/>
              </w:rPr>
              <w:t xml:space="preserve"> "(...) El Mercado de Derivados Estandarizados de </w:t>
            </w:r>
            <w:proofErr w:type="spellStart"/>
            <w:r w:rsidRPr="001B7270">
              <w:rPr>
                <w:rFonts w:ascii="Calibri" w:hAnsi="Calibri"/>
                <w:color w:val="000000"/>
                <w:sz w:val="18"/>
                <w:szCs w:val="18"/>
                <w:lang w:val="es-CO" w:eastAsia="es-CO"/>
              </w:rPr>
              <w:t>Commodities</w:t>
            </w:r>
            <w:proofErr w:type="spellEnd"/>
            <w:r w:rsidRPr="001B7270">
              <w:rPr>
                <w:rFonts w:ascii="Calibri" w:hAnsi="Calibri"/>
                <w:color w:val="000000"/>
                <w:sz w:val="18"/>
                <w:szCs w:val="18"/>
                <w:lang w:val="es-CO" w:eastAsia="es-CO"/>
              </w:rPr>
              <w:t xml:space="preserve"> Energéticos de </w:t>
            </w:r>
            <w:proofErr w:type="spellStart"/>
            <w:r w:rsidRPr="001B7270">
              <w:rPr>
                <w:rFonts w:ascii="Calibri" w:hAnsi="Calibri"/>
                <w:color w:val="000000"/>
                <w:sz w:val="18"/>
                <w:szCs w:val="18"/>
                <w:lang w:val="es-CO" w:eastAsia="es-CO"/>
              </w:rPr>
              <w:t>Derivex</w:t>
            </w:r>
            <w:proofErr w:type="spellEnd"/>
            <w:r w:rsidRPr="001B7270">
              <w:rPr>
                <w:rFonts w:ascii="Calibri" w:hAnsi="Calibri"/>
                <w:color w:val="000000"/>
                <w:sz w:val="18"/>
                <w:szCs w:val="18"/>
                <w:lang w:val="es-CO" w:eastAsia="es-CO"/>
              </w:rPr>
              <w:t xml:space="preserve">, es un conjunto de actividades, acuerdos, miembros, normas, procedimientos, mecanismos de negociación electrónica, de negociación mixta y de registro, (el Sistema) que tiene por objeto la inscripción de contratos de derivados de </w:t>
            </w:r>
            <w:proofErr w:type="spellStart"/>
            <w:r w:rsidRPr="001B7270">
              <w:rPr>
                <w:rFonts w:ascii="Calibri" w:hAnsi="Calibri"/>
                <w:color w:val="000000"/>
                <w:sz w:val="18"/>
                <w:szCs w:val="18"/>
                <w:lang w:val="es-CO" w:eastAsia="es-CO"/>
              </w:rPr>
              <w:t>commodities</w:t>
            </w:r>
            <w:proofErr w:type="spellEnd"/>
            <w:r w:rsidRPr="001B7270">
              <w:rPr>
                <w:rFonts w:ascii="Calibri" w:hAnsi="Calibri"/>
                <w:color w:val="000000"/>
                <w:sz w:val="18"/>
                <w:szCs w:val="18"/>
                <w:lang w:val="es-CO" w:eastAsia="es-CO"/>
              </w:rPr>
              <w:t xml:space="preserve"> energéticos (Contratos de Futuros) y la celebración o registro de operaciones sobre los mismos por parte de los Miembros del Mercado de Derivados Estandarizados de </w:t>
            </w:r>
            <w:proofErr w:type="spellStart"/>
            <w:r w:rsidRPr="001B7270">
              <w:rPr>
                <w:rFonts w:ascii="Calibri" w:hAnsi="Calibri"/>
                <w:color w:val="000000"/>
                <w:sz w:val="18"/>
                <w:szCs w:val="18"/>
                <w:lang w:val="es-CO" w:eastAsia="es-CO"/>
              </w:rPr>
              <w:t>Commodities</w:t>
            </w:r>
            <w:proofErr w:type="spellEnd"/>
            <w:r w:rsidRPr="001B7270">
              <w:rPr>
                <w:rFonts w:ascii="Calibri" w:hAnsi="Calibri"/>
                <w:color w:val="000000"/>
                <w:sz w:val="18"/>
                <w:szCs w:val="18"/>
                <w:lang w:val="es-CO" w:eastAsia="es-CO"/>
              </w:rPr>
              <w:t xml:space="preserve"> Energéticos"</w:t>
            </w:r>
          </w:p>
          <w:p w14:paraId="4CA59F50" w14:textId="09F2F266" w:rsidR="001D138A" w:rsidRDefault="001B7270">
            <w:pPr>
              <w:spacing w:before="0" w:after="0"/>
              <w:jc w:val="left"/>
              <w:rPr>
                <w:rFonts w:ascii="Calibri" w:hAnsi="Calibri"/>
                <w:color w:val="000000"/>
                <w:sz w:val="18"/>
                <w:szCs w:val="18"/>
                <w:lang w:val="es-CO" w:eastAsia="es-CO"/>
              </w:rPr>
            </w:pPr>
            <w:r w:rsidRPr="001B7270">
              <w:rPr>
                <w:rFonts w:ascii="Calibri" w:hAnsi="Calibri"/>
                <w:color w:val="000000"/>
                <w:sz w:val="18"/>
                <w:szCs w:val="18"/>
                <w:lang w:val="es-CO" w:eastAsia="es-CO"/>
              </w:rPr>
              <w:br/>
            </w:r>
            <w:r w:rsidRPr="001D138A">
              <w:rPr>
                <w:rFonts w:ascii="Calibri" w:hAnsi="Calibri"/>
                <w:color w:val="000000"/>
                <w:sz w:val="18"/>
                <w:szCs w:val="18"/>
                <w:lang w:val="es-CO" w:eastAsia="es-CO"/>
              </w:rPr>
              <w:t xml:space="preserve">2. </w:t>
            </w:r>
            <w:r w:rsidR="001D138A" w:rsidRPr="001D138A">
              <w:rPr>
                <w:rFonts w:ascii="Calibri" w:hAnsi="Calibri"/>
                <w:b/>
                <w:bCs/>
                <w:color w:val="000000"/>
                <w:sz w:val="18"/>
                <w:szCs w:val="18"/>
                <w:lang w:val="es-CO" w:eastAsia="es-CO"/>
              </w:rPr>
              <w:t>Prohibiciones administradores de sistemas.</w:t>
            </w:r>
            <w:r w:rsidR="001D138A">
              <w:rPr>
                <w:rFonts w:ascii="Calibri" w:hAnsi="Calibri"/>
                <w:color w:val="000000"/>
                <w:sz w:val="18"/>
                <w:szCs w:val="18"/>
                <w:lang w:val="es-CO" w:eastAsia="es-CO"/>
              </w:rPr>
              <w:t xml:space="preserve"> En particular, </w:t>
            </w:r>
            <w:r w:rsidR="001D138A" w:rsidRPr="001D138A">
              <w:rPr>
                <w:rFonts w:ascii="Calibri" w:hAnsi="Calibri"/>
                <w:bCs/>
                <w:color w:val="000000"/>
                <w:sz w:val="18"/>
                <w:szCs w:val="18"/>
                <w:lang w:val="es-CO" w:eastAsia="es-CO"/>
              </w:rPr>
              <w:t>Decreto2555 de 2010,</w:t>
            </w:r>
            <w:r w:rsidRPr="001D138A">
              <w:rPr>
                <w:rFonts w:ascii="Calibri" w:hAnsi="Calibri"/>
                <w:color w:val="000000"/>
                <w:sz w:val="18"/>
                <w:szCs w:val="18"/>
                <w:lang w:val="es-CO" w:eastAsia="es-CO"/>
              </w:rPr>
              <w:t xml:space="preserve"> </w:t>
            </w:r>
            <w:proofErr w:type="gramStart"/>
            <w:r w:rsidR="001D138A" w:rsidRPr="001D138A">
              <w:rPr>
                <w:rFonts w:ascii="Calibri" w:hAnsi="Calibri"/>
                <w:color w:val="000000"/>
                <w:sz w:val="18"/>
                <w:szCs w:val="18"/>
                <w:lang w:val="es-CO" w:eastAsia="es-CO"/>
              </w:rPr>
              <w:t>Artículo  2.15.1.2.4</w:t>
            </w:r>
            <w:proofErr w:type="gramEnd"/>
            <w:r w:rsidR="001D138A" w:rsidRPr="001D138A">
              <w:rPr>
                <w:rFonts w:ascii="Calibri" w:hAnsi="Calibri"/>
                <w:color w:val="000000"/>
                <w:sz w:val="18"/>
                <w:szCs w:val="18"/>
                <w:lang w:val="es-CO" w:eastAsia="es-CO"/>
              </w:rPr>
              <w:t xml:space="preserve"> Prohibición especial para los administradores de sistemas. Los administradores de sistemas de negociación de valores y de registro de operaciones sobre valores </w:t>
            </w:r>
            <w:proofErr w:type="gramStart"/>
            <w:r w:rsidR="001D138A" w:rsidRPr="001D138A">
              <w:rPr>
                <w:rFonts w:ascii="Calibri" w:hAnsi="Calibri"/>
                <w:color w:val="000000"/>
                <w:sz w:val="18"/>
                <w:szCs w:val="18"/>
                <w:lang w:val="es-CO" w:eastAsia="es-CO"/>
              </w:rPr>
              <w:t>bajo ninguna circunstancia</w:t>
            </w:r>
            <w:proofErr w:type="gramEnd"/>
            <w:r w:rsidR="001D138A" w:rsidRPr="001D138A">
              <w:rPr>
                <w:rFonts w:ascii="Calibri" w:hAnsi="Calibri"/>
                <w:color w:val="000000"/>
                <w:sz w:val="18"/>
                <w:szCs w:val="18"/>
                <w:lang w:val="es-CO" w:eastAsia="es-CO"/>
              </w:rPr>
              <w:t xml:space="preserve"> asumirán el carácter de contraparte en las operaciones que se realicen a través de los sistemas administrados, o de otros sistemas de negociación de valores o de registro de operaciones sobre valores, en los cuales se negocien o registren valores de la misma especie de los que se negocian o registren por conducto de aquellos.</w:t>
            </w:r>
            <w:r w:rsidRPr="001D138A">
              <w:rPr>
                <w:rFonts w:ascii="Calibri" w:hAnsi="Calibri"/>
                <w:color w:val="000000"/>
                <w:sz w:val="18"/>
                <w:szCs w:val="18"/>
                <w:lang w:val="es-CO" w:eastAsia="es-CO"/>
              </w:rPr>
              <w:t>"</w:t>
            </w:r>
          </w:p>
          <w:p w14:paraId="32B55828" w14:textId="53AA705E" w:rsidR="001B7270" w:rsidRPr="001B7270" w:rsidRDefault="001B7270">
            <w:pPr>
              <w:spacing w:before="0" w:after="0"/>
              <w:jc w:val="left"/>
              <w:rPr>
                <w:rFonts w:ascii="Calibri" w:hAnsi="Calibri"/>
                <w:color w:val="000000"/>
                <w:sz w:val="18"/>
                <w:szCs w:val="18"/>
                <w:lang w:val="es-CO" w:eastAsia="es-CO"/>
              </w:rPr>
            </w:pPr>
            <w:r w:rsidRPr="001B7270">
              <w:rPr>
                <w:rFonts w:ascii="Calibri" w:hAnsi="Calibri"/>
                <w:color w:val="000000"/>
                <w:sz w:val="18"/>
                <w:szCs w:val="18"/>
                <w:lang w:val="es-CO" w:eastAsia="es-CO"/>
              </w:rPr>
              <w:lastRenderedPageBreak/>
              <w:br/>
              <w:t xml:space="preserve">3. </w:t>
            </w:r>
            <w:r w:rsidRPr="001B7270">
              <w:rPr>
                <w:rFonts w:ascii="Calibri" w:hAnsi="Calibri"/>
                <w:b/>
                <w:bCs/>
                <w:color w:val="000000"/>
                <w:sz w:val="18"/>
                <w:szCs w:val="18"/>
                <w:lang w:val="es-CO" w:eastAsia="es-CO"/>
              </w:rPr>
              <w:t>Deberes de los intermediarios de valores.</w:t>
            </w:r>
            <w:r w:rsidRPr="001B7270">
              <w:rPr>
                <w:rFonts w:ascii="Calibri" w:hAnsi="Calibri"/>
                <w:color w:val="000000"/>
                <w:sz w:val="18"/>
                <w:szCs w:val="18"/>
                <w:lang w:val="es-CO" w:eastAsia="es-CO"/>
              </w:rPr>
              <w:t xml:space="preserve"> En particular, </w:t>
            </w:r>
            <w:r w:rsidRPr="001B7270">
              <w:rPr>
                <w:rFonts w:ascii="Calibri" w:hAnsi="Calibri"/>
                <w:b/>
                <w:bCs/>
                <w:color w:val="000000"/>
                <w:sz w:val="18"/>
                <w:szCs w:val="18"/>
                <w:lang w:val="es-CO" w:eastAsia="es-CO"/>
              </w:rPr>
              <w:t>Decreto 2555, Artículo 7.3.1.1.1 Deber de mejor ejecución de operaciones.</w:t>
            </w:r>
          </w:p>
        </w:tc>
      </w:tr>
      <w:tr w:rsidR="001B7270" w:rsidRPr="001B7270" w14:paraId="654778F4" w14:textId="77777777" w:rsidTr="00D31EE1">
        <w:trPr>
          <w:trHeight w:val="5828"/>
        </w:trPr>
        <w:tc>
          <w:tcPr>
            <w:tcW w:w="907" w:type="pct"/>
            <w:tcBorders>
              <w:top w:val="nil"/>
              <w:left w:val="single" w:sz="4" w:space="0" w:color="auto"/>
              <w:bottom w:val="single" w:sz="4" w:space="0" w:color="auto"/>
              <w:right w:val="single" w:sz="4" w:space="0" w:color="auto"/>
            </w:tcBorders>
            <w:shd w:val="clear" w:color="000000" w:fill="D0CECE"/>
            <w:hideMark/>
          </w:tcPr>
          <w:p w14:paraId="1324CED0" w14:textId="77777777" w:rsidR="001B7270" w:rsidRPr="001B7270" w:rsidRDefault="001B7270">
            <w:pPr>
              <w:spacing w:before="0" w:after="0"/>
              <w:jc w:val="left"/>
              <w:rPr>
                <w:rFonts w:ascii="Calibri" w:hAnsi="Calibri"/>
                <w:b/>
                <w:bCs/>
                <w:color w:val="000000"/>
                <w:sz w:val="18"/>
                <w:szCs w:val="18"/>
                <w:lang w:val="es-CO" w:eastAsia="es-CO"/>
              </w:rPr>
            </w:pPr>
            <w:r w:rsidRPr="001B7270">
              <w:rPr>
                <w:rFonts w:ascii="Calibri" w:hAnsi="Calibri"/>
                <w:b/>
                <w:bCs/>
                <w:color w:val="000000"/>
                <w:sz w:val="18"/>
                <w:szCs w:val="18"/>
                <w:lang w:val="es-CO" w:eastAsia="es-CO"/>
              </w:rPr>
              <w:lastRenderedPageBreak/>
              <w:t>Juan Pablo Amorocho</w:t>
            </w:r>
            <w:r w:rsidRPr="001B7270">
              <w:rPr>
                <w:rFonts w:ascii="Calibri" w:hAnsi="Calibri"/>
                <w:b/>
                <w:bCs/>
                <w:color w:val="000000"/>
                <w:sz w:val="18"/>
                <w:szCs w:val="18"/>
                <w:lang w:val="es-CO" w:eastAsia="es-CO"/>
              </w:rPr>
              <w:br/>
              <w:t>(Mercados)</w:t>
            </w:r>
          </w:p>
        </w:tc>
        <w:tc>
          <w:tcPr>
            <w:tcW w:w="4093" w:type="pct"/>
            <w:tcBorders>
              <w:top w:val="single" w:sz="4" w:space="0" w:color="auto"/>
              <w:left w:val="nil"/>
              <w:bottom w:val="single" w:sz="4" w:space="0" w:color="auto"/>
              <w:right w:val="single" w:sz="4" w:space="0" w:color="auto"/>
            </w:tcBorders>
            <w:shd w:val="clear" w:color="auto" w:fill="auto"/>
            <w:hideMark/>
          </w:tcPr>
          <w:p w14:paraId="4632E0D4" w14:textId="53723FDD" w:rsidR="00601D08" w:rsidRDefault="001B7270">
            <w:pPr>
              <w:spacing w:before="0" w:after="0"/>
              <w:jc w:val="left"/>
              <w:rPr>
                <w:rFonts w:ascii="Calibri" w:hAnsi="Calibri"/>
                <w:sz w:val="18"/>
                <w:szCs w:val="18"/>
                <w:lang w:val="es-CO" w:eastAsia="es-CO"/>
              </w:rPr>
            </w:pPr>
            <w:proofErr w:type="spellStart"/>
            <w:r w:rsidRPr="001B7270">
              <w:rPr>
                <w:rFonts w:ascii="Calibri" w:hAnsi="Calibri"/>
                <w:sz w:val="18"/>
                <w:szCs w:val="18"/>
                <w:lang w:val="es-CO" w:eastAsia="es-CO"/>
              </w:rPr>
              <w:t>Pág</w:t>
            </w:r>
            <w:proofErr w:type="spellEnd"/>
            <w:r w:rsidRPr="001B7270">
              <w:rPr>
                <w:rFonts w:ascii="Calibri" w:hAnsi="Calibri"/>
                <w:sz w:val="18"/>
                <w:szCs w:val="18"/>
                <w:lang w:val="es-CO" w:eastAsia="es-CO"/>
              </w:rPr>
              <w:t xml:space="preserve"> 6. "(...) Requisitos de participación (..) Estos requisitos permiten el buen funcionamiento de los sistemas de negociación y registro; </w:t>
            </w:r>
            <w:r w:rsidRPr="001B7270">
              <w:rPr>
                <w:rFonts w:ascii="Calibri" w:hAnsi="Calibri"/>
                <w:b/>
                <w:bCs/>
                <w:sz w:val="18"/>
                <w:szCs w:val="18"/>
                <w:lang w:val="es-CO" w:eastAsia="es-CO"/>
              </w:rPr>
              <w:t>por un lado se garantiza el profesionalismo en la creación de precio y su respectivo cierre</w:t>
            </w:r>
            <w:r w:rsidRPr="001B7270">
              <w:rPr>
                <w:rFonts w:ascii="Calibri" w:hAnsi="Calibri"/>
                <w:sz w:val="18"/>
                <w:szCs w:val="18"/>
                <w:lang w:val="es-CO" w:eastAsia="es-CO"/>
              </w:rPr>
              <w:t xml:space="preserve">, por otro lado se </w:t>
            </w:r>
            <w:proofErr w:type="spellStart"/>
            <w:r w:rsidRPr="001B7270">
              <w:rPr>
                <w:rFonts w:ascii="Calibri" w:hAnsi="Calibri"/>
                <w:sz w:val="18"/>
                <w:szCs w:val="18"/>
                <w:lang w:val="es-CO" w:eastAsia="es-CO"/>
              </w:rPr>
              <w:t>garatiza</w:t>
            </w:r>
            <w:proofErr w:type="spellEnd"/>
            <w:r w:rsidRPr="001B7270">
              <w:rPr>
                <w:rFonts w:ascii="Calibri" w:hAnsi="Calibri"/>
                <w:sz w:val="18"/>
                <w:szCs w:val="18"/>
                <w:lang w:val="es-CO" w:eastAsia="es-CO"/>
              </w:rPr>
              <w:t xml:space="preserve"> que los participantes conocen toda la normatividad de la ley  valores que describe este tipo de productos y que todos los actores tienen las mismas </w:t>
            </w:r>
            <w:proofErr w:type="spellStart"/>
            <w:r w:rsidRPr="001B7270">
              <w:rPr>
                <w:rFonts w:ascii="Calibri" w:hAnsi="Calibri"/>
                <w:sz w:val="18"/>
                <w:szCs w:val="18"/>
                <w:lang w:val="es-CO" w:eastAsia="es-CO"/>
              </w:rPr>
              <w:t>oporunidades</w:t>
            </w:r>
            <w:proofErr w:type="spellEnd"/>
            <w:r w:rsidRPr="001B7270">
              <w:rPr>
                <w:rFonts w:ascii="Calibri" w:hAnsi="Calibri"/>
                <w:sz w:val="18"/>
                <w:szCs w:val="18"/>
                <w:lang w:val="es-CO" w:eastAsia="es-CO"/>
              </w:rPr>
              <w:t xml:space="preserve"> de acceso a los precios e información del mercado y hay un mínimo de requisitos tecnológicos que beneficia el adecuado funcionamiento del sistema."</w:t>
            </w:r>
            <w:r w:rsidRPr="001B7270">
              <w:rPr>
                <w:rFonts w:ascii="Calibri" w:hAnsi="Calibri"/>
                <w:sz w:val="18"/>
                <w:szCs w:val="18"/>
                <w:lang w:val="es-CO" w:eastAsia="es-CO"/>
              </w:rPr>
              <w:br/>
            </w:r>
            <w:r w:rsidRPr="001B7270">
              <w:rPr>
                <w:rFonts w:ascii="Calibri" w:hAnsi="Calibri"/>
                <w:sz w:val="18"/>
                <w:szCs w:val="18"/>
                <w:lang w:val="es-CO" w:eastAsia="es-CO"/>
              </w:rPr>
              <w:br/>
            </w:r>
            <w:proofErr w:type="spellStart"/>
            <w:r w:rsidRPr="001B7270">
              <w:rPr>
                <w:rFonts w:ascii="Calibri" w:hAnsi="Calibri"/>
                <w:sz w:val="18"/>
                <w:szCs w:val="18"/>
                <w:lang w:val="es-CO" w:eastAsia="es-CO"/>
              </w:rPr>
              <w:t>Pág</w:t>
            </w:r>
            <w:proofErr w:type="spellEnd"/>
            <w:r w:rsidRPr="001B7270">
              <w:rPr>
                <w:rFonts w:ascii="Calibri" w:hAnsi="Calibri"/>
                <w:sz w:val="18"/>
                <w:szCs w:val="18"/>
                <w:lang w:val="es-CO" w:eastAsia="es-CO"/>
              </w:rPr>
              <w:t xml:space="preserve"> 7-8 "</w:t>
            </w:r>
            <w:proofErr w:type="spellStart"/>
            <w:r w:rsidRPr="001B7270">
              <w:rPr>
                <w:rFonts w:ascii="Calibri" w:hAnsi="Calibri"/>
                <w:sz w:val="18"/>
                <w:szCs w:val="18"/>
                <w:lang w:val="es-CO" w:eastAsia="es-CO"/>
              </w:rPr>
              <w:t>Deberres</w:t>
            </w:r>
            <w:proofErr w:type="spellEnd"/>
            <w:r w:rsidRPr="001B7270">
              <w:rPr>
                <w:rFonts w:ascii="Calibri" w:hAnsi="Calibri"/>
                <w:sz w:val="18"/>
                <w:szCs w:val="18"/>
                <w:lang w:val="es-CO" w:eastAsia="es-CO"/>
              </w:rPr>
              <w:t xml:space="preserve"> de los intermediarios de valores (...) </w:t>
            </w:r>
            <w:r w:rsidRPr="001B7270">
              <w:rPr>
                <w:rFonts w:ascii="Calibri" w:hAnsi="Calibri"/>
                <w:b/>
                <w:bCs/>
                <w:sz w:val="18"/>
                <w:szCs w:val="18"/>
                <w:lang w:val="es-CO" w:eastAsia="es-CO"/>
              </w:rPr>
              <w:t>Deber de Información: Adoptar los mecanismos necesarios para que la información dirigida a sus clientes o posibles clientes en operaciones de intermediación sea: objetiva, oportuna, completa, imparcial y clara ".</w:t>
            </w:r>
            <w:r w:rsidRPr="001B7270">
              <w:rPr>
                <w:rFonts w:ascii="Calibri" w:hAnsi="Calibri"/>
                <w:sz w:val="18"/>
                <w:szCs w:val="18"/>
                <w:lang w:val="es-CO" w:eastAsia="es-CO"/>
              </w:rPr>
              <w:t xml:space="preserve"> </w:t>
            </w:r>
            <w:r w:rsidRPr="001B7270">
              <w:rPr>
                <w:rFonts w:ascii="Calibri" w:hAnsi="Calibri"/>
                <w:sz w:val="18"/>
                <w:szCs w:val="18"/>
                <w:lang w:val="es-CO" w:eastAsia="es-CO"/>
              </w:rPr>
              <w:br/>
            </w:r>
            <w:r w:rsidRPr="001B7270">
              <w:rPr>
                <w:rFonts w:ascii="Calibri" w:hAnsi="Calibri"/>
                <w:sz w:val="18"/>
                <w:szCs w:val="18"/>
                <w:lang w:val="es-CO" w:eastAsia="es-CO"/>
              </w:rPr>
              <w:br/>
              <w:t>Pág. 10 "</w:t>
            </w:r>
            <w:r w:rsidRPr="001B7270">
              <w:rPr>
                <w:rFonts w:ascii="Calibri" w:hAnsi="Calibri"/>
                <w:b/>
                <w:bCs/>
                <w:sz w:val="18"/>
                <w:szCs w:val="18"/>
                <w:lang w:val="es-CO" w:eastAsia="es-CO"/>
              </w:rPr>
              <w:t>Los sistemas de negociación electrónicos permiten la formación de precio de manera eficiente y transparente</w:t>
            </w:r>
            <w:r w:rsidRPr="001B7270">
              <w:rPr>
                <w:rFonts w:ascii="Calibri" w:hAnsi="Calibri"/>
                <w:sz w:val="18"/>
                <w:szCs w:val="18"/>
                <w:lang w:val="es-CO" w:eastAsia="es-CO"/>
              </w:rPr>
              <w:t>,</w:t>
            </w:r>
            <w:r w:rsidRPr="001B7270">
              <w:rPr>
                <w:rFonts w:ascii="Calibri" w:hAnsi="Calibri"/>
                <w:b/>
                <w:bCs/>
                <w:sz w:val="18"/>
                <w:szCs w:val="18"/>
                <w:lang w:val="es-CO" w:eastAsia="es-CO"/>
              </w:rPr>
              <w:t xml:space="preserve"> porque las </w:t>
            </w:r>
            <w:proofErr w:type="spellStart"/>
            <w:r w:rsidRPr="001B7270">
              <w:rPr>
                <w:rFonts w:ascii="Calibri" w:hAnsi="Calibri"/>
                <w:b/>
                <w:bCs/>
                <w:sz w:val="18"/>
                <w:szCs w:val="18"/>
                <w:lang w:val="es-CO" w:eastAsia="es-CO"/>
              </w:rPr>
              <w:t>porturas</w:t>
            </w:r>
            <w:proofErr w:type="spellEnd"/>
            <w:r w:rsidRPr="001B7270">
              <w:rPr>
                <w:rFonts w:ascii="Calibri" w:hAnsi="Calibri"/>
                <w:b/>
                <w:bCs/>
                <w:sz w:val="18"/>
                <w:szCs w:val="18"/>
                <w:lang w:val="es-CO" w:eastAsia="es-CO"/>
              </w:rPr>
              <w:t xml:space="preserve"> que forman los precios llegan al mercado de manera oportuna</w:t>
            </w:r>
            <w:r w:rsidRPr="001B7270">
              <w:rPr>
                <w:rFonts w:ascii="Calibri" w:hAnsi="Calibri"/>
                <w:sz w:val="18"/>
                <w:szCs w:val="18"/>
                <w:lang w:val="es-CO" w:eastAsia="es-CO"/>
              </w:rPr>
              <w:t xml:space="preserve">. </w:t>
            </w:r>
            <w:proofErr w:type="gramStart"/>
            <w:r w:rsidRPr="001B7270">
              <w:rPr>
                <w:rFonts w:ascii="Calibri" w:hAnsi="Calibri"/>
                <w:sz w:val="18"/>
                <w:szCs w:val="18"/>
                <w:lang w:val="es-CO" w:eastAsia="es-CO"/>
              </w:rPr>
              <w:t>Las pantallas de negociación facilita</w:t>
            </w:r>
            <w:proofErr w:type="gramEnd"/>
            <w:r w:rsidRPr="001B7270">
              <w:rPr>
                <w:rFonts w:ascii="Calibri" w:hAnsi="Calibri"/>
                <w:sz w:val="18"/>
                <w:szCs w:val="18"/>
                <w:lang w:val="es-CO" w:eastAsia="es-CO"/>
              </w:rPr>
              <w:t xml:space="preserve"> que la información llegue </w:t>
            </w:r>
            <w:proofErr w:type="spellStart"/>
            <w:r w:rsidRPr="001B7270">
              <w:rPr>
                <w:rFonts w:ascii="Calibri" w:hAnsi="Calibri"/>
                <w:sz w:val="18"/>
                <w:szCs w:val="18"/>
                <w:lang w:val="es-CO" w:eastAsia="es-CO"/>
              </w:rPr>
              <w:t>simulteneamente</w:t>
            </w:r>
            <w:proofErr w:type="spellEnd"/>
            <w:r w:rsidRPr="001B7270">
              <w:rPr>
                <w:rFonts w:ascii="Calibri" w:hAnsi="Calibri"/>
                <w:sz w:val="18"/>
                <w:szCs w:val="18"/>
                <w:lang w:val="es-CO" w:eastAsia="es-CO"/>
              </w:rPr>
              <w:t xml:space="preserve"> a todos los </w:t>
            </w:r>
            <w:proofErr w:type="spellStart"/>
            <w:r w:rsidRPr="001B7270">
              <w:rPr>
                <w:rFonts w:ascii="Calibri" w:hAnsi="Calibri"/>
                <w:sz w:val="18"/>
                <w:szCs w:val="18"/>
                <w:lang w:val="es-CO" w:eastAsia="es-CO"/>
              </w:rPr>
              <w:t>participanetes</w:t>
            </w:r>
            <w:proofErr w:type="spellEnd"/>
            <w:r w:rsidRPr="001B7270">
              <w:rPr>
                <w:rFonts w:ascii="Calibri" w:hAnsi="Calibri"/>
                <w:sz w:val="18"/>
                <w:szCs w:val="18"/>
                <w:lang w:val="es-CO" w:eastAsia="es-CO"/>
              </w:rPr>
              <w:t xml:space="preserve"> del mercado haciendo que los posibles arbitrajes en precios sean corregidos rápidamente por el mismo mercado. Es decir, si algún participante quiere manipular el precio sin una razón económica que justifique el cambio de este, el mercado ajusta el precio al nivel adecuado a la demanda y oferta de este mismo."</w:t>
            </w:r>
            <w:r w:rsidRPr="001B7270">
              <w:rPr>
                <w:rFonts w:ascii="Calibri" w:hAnsi="Calibri"/>
                <w:sz w:val="18"/>
                <w:szCs w:val="18"/>
                <w:lang w:val="es-CO" w:eastAsia="es-CO"/>
              </w:rPr>
              <w:br/>
            </w:r>
            <w:r w:rsidRPr="001B7270">
              <w:rPr>
                <w:rFonts w:ascii="Calibri" w:hAnsi="Calibri"/>
                <w:sz w:val="18"/>
                <w:szCs w:val="18"/>
                <w:lang w:val="es-CO" w:eastAsia="es-CO"/>
              </w:rPr>
              <w:br/>
            </w:r>
            <w:proofErr w:type="spellStart"/>
            <w:r w:rsidRPr="001B7270">
              <w:rPr>
                <w:rFonts w:ascii="Calibri" w:hAnsi="Calibri"/>
                <w:sz w:val="18"/>
                <w:szCs w:val="18"/>
                <w:lang w:val="es-CO" w:eastAsia="es-CO"/>
              </w:rPr>
              <w:t>Pág</w:t>
            </w:r>
            <w:proofErr w:type="spellEnd"/>
            <w:r w:rsidRPr="001B7270">
              <w:rPr>
                <w:rFonts w:ascii="Calibri" w:hAnsi="Calibri"/>
                <w:sz w:val="18"/>
                <w:szCs w:val="18"/>
                <w:lang w:val="es-CO" w:eastAsia="es-CO"/>
              </w:rPr>
              <w:t xml:space="preserve"> 15 "(..) Con respecto a la sesión de registro (...) Existe la posibilidad de registrar las operaciones que se cierran. Fuera de las pantallas entre dos usuarios. En este caso los </w:t>
            </w:r>
            <w:proofErr w:type="spellStart"/>
            <w:r w:rsidRPr="001B7270">
              <w:rPr>
                <w:rFonts w:ascii="Calibri" w:hAnsi="Calibri"/>
                <w:sz w:val="18"/>
                <w:szCs w:val="18"/>
                <w:lang w:val="es-CO" w:eastAsia="es-CO"/>
              </w:rPr>
              <w:t>usarios</w:t>
            </w:r>
            <w:proofErr w:type="spellEnd"/>
            <w:r w:rsidRPr="001B7270">
              <w:rPr>
                <w:rFonts w:ascii="Calibri" w:hAnsi="Calibri"/>
                <w:sz w:val="18"/>
                <w:szCs w:val="18"/>
                <w:lang w:val="es-CO" w:eastAsia="es-CO"/>
              </w:rPr>
              <w:t xml:space="preserve"> deben dar la orden a su comisionista de las operaciones que desean realizar. </w:t>
            </w:r>
            <w:r w:rsidRPr="001B7270">
              <w:rPr>
                <w:rFonts w:ascii="Calibri" w:hAnsi="Calibri"/>
                <w:b/>
                <w:bCs/>
                <w:sz w:val="18"/>
                <w:szCs w:val="18"/>
                <w:lang w:val="es-CO" w:eastAsia="es-CO"/>
              </w:rPr>
              <w:t>Los intermediarios deben hacer su mejor esfuerzo para la mejor ejecución y mejor precio para cada una de estas operaciones.</w:t>
            </w:r>
            <w:r w:rsidRPr="001B7270">
              <w:rPr>
                <w:rFonts w:ascii="Calibri" w:hAnsi="Calibri"/>
                <w:sz w:val="18"/>
                <w:szCs w:val="18"/>
                <w:lang w:val="es-CO" w:eastAsia="es-CO"/>
              </w:rPr>
              <w:t>"</w:t>
            </w:r>
            <w:r w:rsidRPr="001B7270">
              <w:rPr>
                <w:rFonts w:ascii="Calibri" w:hAnsi="Calibri"/>
                <w:sz w:val="18"/>
                <w:szCs w:val="18"/>
                <w:lang w:val="es-CO" w:eastAsia="es-CO"/>
              </w:rPr>
              <w:br/>
              <w:t>Esto se refuerza, según lo señalado por el consultor en los deberes establecidos en el Decreto 2555 de esta manera: "Artículo 7.3.1.1.1 del decreto 2555 de 2010. “Deber de mejor ejecución de las operaciones: Adoptar las políticas y procedimientos para la ejecución de sus operaciones, las cuales deben propender por el mejor resultado posible para su cliente de conformidad con sus instrucciones. Estas políticas deben ser informadas previamente al cliente, corresponder al tipo de cliente y al volumen de las órdenes. El intermediario de valores deberá contar con los mecanismos idóneos para establecer que las órdenes y operaciones encomendadas fueron ejecutadas de conformidad con la política de ejecución de la entidad y el cumplimiento de dicho deber. Este deber aplica a las operaciones ejecutadas en el desarrollo del contrato de comisión para la compra y venta de valores inscritos en el RNVE o de valores extranjeros listados en un sistema local de cotizaciones de valores extranjeros; así como las operaciones de compra y venta de tales valores.”</w:t>
            </w:r>
          </w:p>
          <w:p w14:paraId="061EC3BA" w14:textId="6108EB02" w:rsidR="001B7270" w:rsidRPr="001B7270" w:rsidRDefault="001B7270">
            <w:pPr>
              <w:spacing w:before="0" w:after="0"/>
              <w:jc w:val="left"/>
              <w:rPr>
                <w:rFonts w:ascii="Calibri" w:hAnsi="Calibri"/>
                <w:sz w:val="18"/>
                <w:szCs w:val="18"/>
                <w:lang w:val="es-CO" w:eastAsia="es-CO"/>
              </w:rPr>
            </w:pPr>
            <w:r w:rsidRPr="001B7270">
              <w:rPr>
                <w:rFonts w:ascii="Calibri" w:hAnsi="Calibri"/>
                <w:sz w:val="18"/>
                <w:szCs w:val="18"/>
                <w:lang w:val="es-CO" w:eastAsia="es-CO"/>
              </w:rPr>
              <w:br/>
              <w:t xml:space="preserve">Pág. 17 "El hecho que las sesiones creadas por </w:t>
            </w:r>
            <w:proofErr w:type="spellStart"/>
            <w:r w:rsidRPr="001B7270">
              <w:rPr>
                <w:rFonts w:ascii="Calibri" w:hAnsi="Calibri"/>
                <w:sz w:val="18"/>
                <w:szCs w:val="18"/>
                <w:lang w:val="es-CO" w:eastAsia="es-CO"/>
              </w:rPr>
              <w:t>Derivex</w:t>
            </w:r>
            <w:proofErr w:type="spellEnd"/>
            <w:r w:rsidRPr="001B7270">
              <w:rPr>
                <w:rFonts w:ascii="Calibri" w:hAnsi="Calibri"/>
                <w:sz w:val="18"/>
                <w:szCs w:val="18"/>
                <w:lang w:val="es-CO" w:eastAsia="es-CO"/>
              </w:rPr>
              <w:t xml:space="preserve"> el acceso sea por vía electrónica y permita la exposición de las posturas a todos los participantes del mercado, dando la misma oportunidad de puja o calce de precios permite la eficiencia e igualdad del sistema."</w:t>
            </w:r>
          </w:p>
        </w:tc>
      </w:tr>
      <w:tr w:rsidR="001B7270" w:rsidRPr="001B7270" w14:paraId="23A20630" w14:textId="77777777" w:rsidTr="00D31EE1">
        <w:trPr>
          <w:trHeight w:val="480"/>
        </w:trPr>
        <w:tc>
          <w:tcPr>
            <w:tcW w:w="907" w:type="pct"/>
            <w:tcBorders>
              <w:top w:val="nil"/>
              <w:left w:val="single" w:sz="4" w:space="0" w:color="auto"/>
              <w:bottom w:val="single" w:sz="4" w:space="0" w:color="auto"/>
              <w:right w:val="single" w:sz="4" w:space="0" w:color="auto"/>
            </w:tcBorders>
            <w:shd w:val="clear" w:color="000000" w:fill="D0CECE"/>
            <w:hideMark/>
          </w:tcPr>
          <w:p w14:paraId="01F8264D" w14:textId="77777777" w:rsidR="001B7270" w:rsidRPr="001B7270" w:rsidRDefault="001B7270">
            <w:pPr>
              <w:spacing w:before="0" w:after="0"/>
              <w:jc w:val="left"/>
              <w:rPr>
                <w:rFonts w:ascii="Calibri" w:hAnsi="Calibri"/>
                <w:b/>
                <w:bCs/>
                <w:color w:val="000000"/>
                <w:sz w:val="18"/>
                <w:szCs w:val="18"/>
                <w:lang w:val="es-CO" w:eastAsia="es-CO"/>
              </w:rPr>
            </w:pPr>
            <w:r w:rsidRPr="001B7270">
              <w:rPr>
                <w:rFonts w:ascii="Calibri" w:hAnsi="Calibri"/>
                <w:b/>
                <w:bCs/>
                <w:color w:val="000000"/>
                <w:sz w:val="18"/>
                <w:szCs w:val="18"/>
                <w:lang w:val="es-CO" w:eastAsia="es-CO"/>
              </w:rPr>
              <w:t>Diego Jara</w:t>
            </w:r>
            <w:r w:rsidRPr="001B7270">
              <w:rPr>
                <w:rFonts w:ascii="Calibri" w:hAnsi="Calibri"/>
                <w:b/>
                <w:bCs/>
                <w:color w:val="000000"/>
                <w:sz w:val="18"/>
                <w:szCs w:val="18"/>
                <w:lang w:val="es-CO" w:eastAsia="es-CO"/>
              </w:rPr>
              <w:br/>
              <w:t>(Riesgos)</w:t>
            </w:r>
          </w:p>
        </w:tc>
        <w:tc>
          <w:tcPr>
            <w:tcW w:w="4093" w:type="pct"/>
            <w:tcBorders>
              <w:top w:val="single" w:sz="4" w:space="0" w:color="auto"/>
              <w:left w:val="nil"/>
              <w:bottom w:val="single" w:sz="4" w:space="0" w:color="auto"/>
              <w:right w:val="single" w:sz="4" w:space="0" w:color="auto"/>
            </w:tcBorders>
            <w:shd w:val="clear" w:color="auto" w:fill="auto"/>
            <w:hideMark/>
          </w:tcPr>
          <w:p w14:paraId="27E1FC8A" w14:textId="77777777" w:rsidR="001B7270" w:rsidRPr="001B7270" w:rsidRDefault="001B7270">
            <w:pPr>
              <w:spacing w:before="0" w:after="0"/>
              <w:jc w:val="center"/>
              <w:rPr>
                <w:rFonts w:ascii="Calibri" w:hAnsi="Calibri"/>
                <w:color w:val="000000"/>
                <w:sz w:val="18"/>
                <w:szCs w:val="18"/>
                <w:lang w:val="es-CO" w:eastAsia="es-CO"/>
              </w:rPr>
            </w:pPr>
            <w:r w:rsidRPr="001B7270">
              <w:rPr>
                <w:rFonts w:ascii="Calibri" w:hAnsi="Calibri"/>
                <w:color w:val="000000"/>
                <w:sz w:val="18"/>
                <w:szCs w:val="18"/>
                <w:lang w:val="es-CO" w:eastAsia="es-CO"/>
              </w:rPr>
              <w:t> </w:t>
            </w:r>
          </w:p>
        </w:tc>
      </w:tr>
      <w:tr w:rsidR="001B7270" w:rsidRPr="001B7270" w14:paraId="29C47E97" w14:textId="77777777" w:rsidTr="00D31EE1">
        <w:trPr>
          <w:trHeight w:val="5850"/>
        </w:trPr>
        <w:tc>
          <w:tcPr>
            <w:tcW w:w="907" w:type="pct"/>
            <w:tcBorders>
              <w:top w:val="nil"/>
              <w:left w:val="single" w:sz="4" w:space="0" w:color="auto"/>
              <w:bottom w:val="single" w:sz="4" w:space="0" w:color="auto"/>
              <w:right w:val="single" w:sz="4" w:space="0" w:color="auto"/>
            </w:tcBorders>
            <w:shd w:val="clear" w:color="000000" w:fill="D0CECE"/>
            <w:hideMark/>
          </w:tcPr>
          <w:p w14:paraId="19D437EE" w14:textId="77777777" w:rsidR="001B7270" w:rsidRPr="001B7270" w:rsidRDefault="001B7270">
            <w:pPr>
              <w:spacing w:before="0" w:after="0"/>
              <w:jc w:val="left"/>
              <w:rPr>
                <w:rFonts w:ascii="Calibri" w:hAnsi="Calibri"/>
                <w:b/>
                <w:bCs/>
                <w:color w:val="000000"/>
                <w:sz w:val="18"/>
                <w:szCs w:val="18"/>
                <w:lang w:val="es-CO" w:eastAsia="es-CO"/>
              </w:rPr>
            </w:pPr>
            <w:r w:rsidRPr="001B7270">
              <w:rPr>
                <w:rFonts w:ascii="Calibri" w:hAnsi="Calibri"/>
                <w:b/>
                <w:bCs/>
                <w:color w:val="000000"/>
                <w:sz w:val="18"/>
                <w:szCs w:val="18"/>
                <w:lang w:val="es-CO" w:eastAsia="es-CO"/>
              </w:rPr>
              <w:lastRenderedPageBreak/>
              <w:t>Roberto Borrás</w:t>
            </w:r>
            <w:r w:rsidRPr="001B7270">
              <w:rPr>
                <w:rFonts w:ascii="Calibri" w:hAnsi="Calibri"/>
                <w:b/>
                <w:bCs/>
                <w:color w:val="000000"/>
                <w:sz w:val="18"/>
                <w:szCs w:val="18"/>
                <w:lang w:val="es-CO" w:eastAsia="es-CO"/>
              </w:rPr>
              <w:br/>
              <w:t>(Gobierno corporativo)</w:t>
            </w:r>
          </w:p>
        </w:tc>
        <w:tc>
          <w:tcPr>
            <w:tcW w:w="4093" w:type="pct"/>
            <w:tcBorders>
              <w:top w:val="single" w:sz="4" w:space="0" w:color="auto"/>
              <w:left w:val="nil"/>
              <w:bottom w:val="single" w:sz="4" w:space="0" w:color="auto"/>
              <w:right w:val="single" w:sz="4" w:space="0" w:color="auto"/>
            </w:tcBorders>
            <w:shd w:val="clear" w:color="auto" w:fill="auto"/>
            <w:hideMark/>
          </w:tcPr>
          <w:p w14:paraId="7D726CCA" w14:textId="7EBEE9D1" w:rsidR="001B7270" w:rsidRPr="001B7270" w:rsidRDefault="001B7270">
            <w:pPr>
              <w:spacing w:before="0" w:after="0"/>
              <w:jc w:val="left"/>
              <w:rPr>
                <w:rFonts w:ascii="Calibri" w:hAnsi="Calibri"/>
                <w:color w:val="000000"/>
                <w:sz w:val="18"/>
                <w:szCs w:val="18"/>
                <w:lang w:val="es-CO" w:eastAsia="es-CO"/>
              </w:rPr>
            </w:pPr>
            <w:r w:rsidRPr="001B7270">
              <w:rPr>
                <w:rFonts w:ascii="Calibri" w:hAnsi="Calibri"/>
                <w:color w:val="000000"/>
                <w:sz w:val="18"/>
                <w:szCs w:val="18"/>
                <w:lang w:val="es-CO" w:eastAsia="es-CO"/>
              </w:rPr>
              <w:t xml:space="preserve">Pág. 25 "El Consultor ha podido concluir que la estructura de gobierno corporativo con el que cuenta </w:t>
            </w:r>
            <w:proofErr w:type="spellStart"/>
            <w:r w:rsidRPr="001B7270">
              <w:rPr>
                <w:rFonts w:ascii="Calibri" w:hAnsi="Calibri"/>
                <w:color w:val="000000"/>
                <w:sz w:val="18"/>
                <w:szCs w:val="18"/>
                <w:lang w:val="es-CO" w:eastAsia="es-CO"/>
              </w:rPr>
              <w:t>Derivex</w:t>
            </w:r>
            <w:proofErr w:type="spellEnd"/>
            <w:r w:rsidRPr="001B7270">
              <w:rPr>
                <w:rFonts w:ascii="Calibri" w:hAnsi="Calibri"/>
                <w:color w:val="000000"/>
                <w:sz w:val="18"/>
                <w:szCs w:val="18"/>
                <w:lang w:val="es-CO" w:eastAsia="es-CO"/>
              </w:rPr>
              <w:t xml:space="preserve"> en su condición de diseñador, ejecutor y administrador del Mecanismo, no atentan contra los principios contemplados en el Anexo 1 de la Resolución 114." Así mismo, señala que: "la estructura de gobierno corporativo no permite que esta participación (agentes MEM) pueda tener incidencia hasta el punto, que pueda afectar manipular o ejercer algún poder sobre el funcionamiento del Mecanismo." </w:t>
            </w:r>
            <w:r w:rsidRPr="001B7270">
              <w:rPr>
                <w:rFonts w:ascii="Calibri" w:hAnsi="Calibri"/>
                <w:color w:val="000000"/>
                <w:sz w:val="18"/>
                <w:szCs w:val="18"/>
                <w:lang w:val="es-CO" w:eastAsia="es-CO"/>
              </w:rPr>
              <w:br/>
            </w:r>
            <w:r w:rsidRPr="001B7270">
              <w:rPr>
                <w:rFonts w:ascii="Calibri" w:hAnsi="Calibri"/>
                <w:color w:val="000000"/>
                <w:sz w:val="18"/>
                <w:szCs w:val="18"/>
                <w:lang w:val="es-CO" w:eastAsia="es-CO"/>
              </w:rPr>
              <w:br/>
              <w:t>Pág. 26 "</w:t>
            </w:r>
            <w:r w:rsidR="00963DBA">
              <w:rPr>
                <w:rFonts w:ascii="Calibri" w:hAnsi="Calibri"/>
                <w:color w:val="000000"/>
                <w:sz w:val="18"/>
                <w:szCs w:val="18"/>
                <w:lang w:val="es-CO" w:eastAsia="es-CO"/>
              </w:rPr>
              <w:t>c</w:t>
            </w:r>
            <w:r w:rsidRPr="001B7270">
              <w:rPr>
                <w:rFonts w:ascii="Calibri" w:hAnsi="Calibri"/>
                <w:color w:val="000000"/>
                <w:sz w:val="18"/>
                <w:szCs w:val="18"/>
                <w:lang w:val="es-CO" w:eastAsia="es-CO"/>
              </w:rPr>
              <w:t xml:space="preserve">omo atributo adicional de modelo de gobernanza de </w:t>
            </w:r>
            <w:proofErr w:type="spellStart"/>
            <w:r w:rsidRPr="001B7270">
              <w:rPr>
                <w:rFonts w:ascii="Calibri" w:hAnsi="Calibri"/>
                <w:color w:val="000000"/>
                <w:sz w:val="18"/>
                <w:szCs w:val="18"/>
                <w:lang w:val="es-CO" w:eastAsia="es-CO"/>
              </w:rPr>
              <w:t>Derivex</w:t>
            </w:r>
            <w:proofErr w:type="spellEnd"/>
            <w:r w:rsidRPr="001B7270">
              <w:rPr>
                <w:rFonts w:ascii="Calibri" w:hAnsi="Calibri"/>
                <w:color w:val="000000"/>
                <w:sz w:val="18"/>
                <w:szCs w:val="18"/>
                <w:lang w:val="es-CO" w:eastAsia="es-CO"/>
              </w:rPr>
              <w:t xml:space="preserve">, se resalta que esta sociedad cuenta con un Código de Ética y Buena Conducta que establece los principios éticos y de conducta que deben cumplir todos los actos directivos, administrativos, comerciales, operacionales, de soporte y personales de la misma, dentro los que se destacan los relacionados con transparencia, imparcialidad, e integridad en la toma de decisiones, así como un código de buen Gobierno Corporativo que establece lineamientos que orientan la administración de dicha sociedad." </w:t>
            </w:r>
            <w:r w:rsidRPr="001B7270">
              <w:rPr>
                <w:rFonts w:ascii="Calibri" w:hAnsi="Calibri"/>
                <w:color w:val="000000"/>
                <w:sz w:val="18"/>
                <w:szCs w:val="18"/>
                <w:lang w:val="es-CO" w:eastAsia="es-CO"/>
              </w:rPr>
              <w:br/>
              <w:t>Del Código de Buen Gobierno, además se señala lo siguiente: "(</w:t>
            </w:r>
            <w:proofErr w:type="spellStart"/>
            <w:r w:rsidRPr="001B7270">
              <w:rPr>
                <w:rFonts w:ascii="Calibri" w:hAnsi="Calibri"/>
                <w:color w:val="000000"/>
                <w:sz w:val="18"/>
                <w:szCs w:val="18"/>
                <w:lang w:val="es-CO" w:eastAsia="es-CO"/>
              </w:rPr>
              <w:t>ii</w:t>
            </w:r>
            <w:proofErr w:type="spellEnd"/>
            <w:r w:rsidRPr="001B7270">
              <w:rPr>
                <w:rFonts w:ascii="Calibri" w:hAnsi="Calibri"/>
                <w:color w:val="000000"/>
                <w:sz w:val="18"/>
                <w:szCs w:val="18"/>
                <w:lang w:val="es-CO" w:eastAsia="es-CO"/>
              </w:rPr>
              <w:t xml:space="preserve">) Se reconoce el deber de los accionistas de actuar con lealtad frente a </w:t>
            </w:r>
            <w:proofErr w:type="spellStart"/>
            <w:r w:rsidRPr="001B7270">
              <w:rPr>
                <w:rFonts w:ascii="Calibri" w:hAnsi="Calibri"/>
                <w:color w:val="000000"/>
                <w:sz w:val="18"/>
                <w:szCs w:val="18"/>
                <w:lang w:val="es-CO" w:eastAsia="es-CO"/>
              </w:rPr>
              <w:t>Derivex</w:t>
            </w:r>
            <w:proofErr w:type="spellEnd"/>
            <w:r w:rsidRPr="001B7270">
              <w:rPr>
                <w:rFonts w:ascii="Calibri" w:hAnsi="Calibri"/>
                <w:color w:val="000000"/>
                <w:sz w:val="18"/>
                <w:szCs w:val="18"/>
                <w:lang w:val="es-CO" w:eastAsia="es-CO"/>
              </w:rPr>
              <w:t xml:space="preserve">, sus administradores, empleados y demás accionistas, absteniéndose de participar en situaciones que sean perjudiciales para la sociedad o que impliquen un conflicto de interés o uso de información confidencial" </w:t>
            </w:r>
            <w:r w:rsidRPr="001B7270">
              <w:rPr>
                <w:rFonts w:ascii="Calibri" w:hAnsi="Calibri"/>
                <w:color w:val="000000"/>
                <w:sz w:val="18"/>
                <w:szCs w:val="18"/>
                <w:lang w:val="es-CO" w:eastAsia="es-CO"/>
              </w:rPr>
              <w:br/>
            </w:r>
            <w:r w:rsidRPr="001B7270">
              <w:rPr>
                <w:rFonts w:ascii="Calibri" w:hAnsi="Calibri"/>
                <w:color w:val="000000"/>
                <w:sz w:val="18"/>
                <w:szCs w:val="18"/>
                <w:lang w:val="es-CO" w:eastAsia="es-CO"/>
              </w:rPr>
              <w:br/>
              <w:t xml:space="preserve">Pág. </w:t>
            </w:r>
            <w:proofErr w:type="gramStart"/>
            <w:r w:rsidRPr="001B7270">
              <w:rPr>
                <w:rFonts w:ascii="Calibri" w:hAnsi="Calibri"/>
                <w:color w:val="000000"/>
                <w:sz w:val="18"/>
                <w:szCs w:val="18"/>
                <w:lang w:val="es-CO" w:eastAsia="es-CO"/>
              </w:rPr>
              <w:t>27  .</w:t>
            </w:r>
            <w:proofErr w:type="gramEnd"/>
            <w:r w:rsidRPr="001B7270">
              <w:rPr>
                <w:rFonts w:ascii="Calibri" w:hAnsi="Calibri"/>
                <w:color w:val="000000"/>
                <w:sz w:val="18"/>
                <w:szCs w:val="18"/>
                <w:lang w:val="es-CO" w:eastAsia="es-CO"/>
              </w:rPr>
              <w:t xml:space="preserve"> Así mismo, en el Código de Buen Gobierno se establece que se determina por conflicto de interés y las conductas prohibida</w:t>
            </w:r>
            <w:r w:rsidR="00E772B6">
              <w:rPr>
                <w:rFonts w:ascii="Calibri" w:hAnsi="Calibri"/>
                <w:color w:val="000000"/>
                <w:sz w:val="18"/>
                <w:szCs w:val="18"/>
                <w:lang w:val="es-CO" w:eastAsia="es-CO"/>
              </w:rPr>
              <w:t>s</w:t>
            </w:r>
            <w:r w:rsidRPr="001B7270">
              <w:rPr>
                <w:rFonts w:ascii="Calibri" w:hAnsi="Calibri"/>
                <w:color w:val="000000"/>
                <w:sz w:val="18"/>
                <w:szCs w:val="18"/>
                <w:lang w:val="es-CO" w:eastAsia="es-CO"/>
              </w:rPr>
              <w:t xml:space="preserve"> para los administradores y empleados de </w:t>
            </w:r>
            <w:proofErr w:type="spellStart"/>
            <w:r w:rsidRPr="001B7270">
              <w:rPr>
                <w:rFonts w:ascii="Calibri" w:hAnsi="Calibri"/>
                <w:color w:val="000000"/>
                <w:sz w:val="18"/>
                <w:szCs w:val="18"/>
                <w:lang w:val="es-CO" w:eastAsia="es-CO"/>
              </w:rPr>
              <w:t>Derivex</w:t>
            </w:r>
            <w:proofErr w:type="spellEnd"/>
            <w:r w:rsidRPr="001B7270">
              <w:rPr>
                <w:rFonts w:ascii="Calibri" w:hAnsi="Calibri"/>
                <w:color w:val="000000"/>
                <w:sz w:val="18"/>
                <w:szCs w:val="18"/>
                <w:lang w:val="es-CO" w:eastAsia="es-CO"/>
              </w:rPr>
              <w:t>.</w:t>
            </w:r>
            <w:r w:rsidRPr="001B7270">
              <w:rPr>
                <w:rFonts w:ascii="Calibri" w:hAnsi="Calibri"/>
                <w:color w:val="000000"/>
                <w:sz w:val="18"/>
                <w:szCs w:val="18"/>
                <w:lang w:val="es-CO" w:eastAsia="es-CO"/>
              </w:rPr>
              <w:br/>
            </w:r>
            <w:r w:rsidRPr="001B7270">
              <w:rPr>
                <w:rFonts w:ascii="Calibri" w:hAnsi="Calibri"/>
                <w:color w:val="000000"/>
                <w:sz w:val="18"/>
                <w:szCs w:val="18"/>
                <w:lang w:val="es-CO" w:eastAsia="es-CO"/>
              </w:rPr>
              <w:br/>
              <w:t xml:space="preserve">Pág. 28 "En cuanto a la estructura de gobierno de la CRCC particularmente en lo que se refiere a la toma de decisiones y administración de conflictos de interés, el Consultor considera pertinente resaltar que, la revisión de la documentación compartida, esto es, los estatutos del Proponente, su código de gobierno corporativo </w:t>
            </w:r>
            <w:r w:rsidRPr="001B7270">
              <w:rPr>
                <w:rFonts w:ascii="Calibri" w:hAnsi="Calibri"/>
                <w:b/>
                <w:bCs/>
                <w:color w:val="000000"/>
                <w:sz w:val="18"/>
                <w:szCs w:val="18"/>
                <w:lang w:val="es-CO" w:eastAsia="es-CO"/>
              </w:rPr>
              <w:t>no permitió evidenciar situaciones que puedan contravenir los principios de eficiencia, transparencia, neutralidad y fiabilidad de Mecanismo.</w:t>
            </w:r>
            <w:r w:rsidRPr="001B7270">
              <w:rPr>
                <w:rFonts w:ascii="Calibri" w:hAnsi="Calibri"/>
                <w:color w:val="000000"/>
                <w:sz w:val="18"/>
                <w:szCs w:val="18"/>
                <w:lang w:val="es-CO" w:eastAsia="es-CO"/>
              </w:rPr>
              <w:t xml:space="preserve">" Además, frente a la forma de toma de decisiones en la CRCC señala "(...) lo que garantiza, en principio, la estabilidad de las condiciones establecidas en el mismo y su eficiencia." </w:t>
            </w:r>
            <w:r w:rsidRPr="001B7270">
              <w:rPr>
                <w:rFonts w:ascii="Calibri" w:hAnsi="Calibri"/>
                <w:color w:val="000000"/>
                <w:sz w:val="18"/>
                <w:szCs w:val="18"/>
                <w:lang w:val="es-CO" w:eastAsia="es-CO"/>
              </w:rPr>
              <w:br/>
            </w:r>
            <w:r w:rsidRPr="001B7270">
              <w:rPr>
                <w:rFonts w:ascii="Calibri" w:hAnsi="Calibri"/>
                <w:color w:val="000000"/>
                <w:sz w:val="18"/>
                <w:szCs w:val="18"/>
                <w:lang w:val="es-CO" w:eastAsia="es-CO"/>
              </w:rPr>
              <w:br/>
              <w:t>Pág. 33. En el reglamento del mecanismo se establecen las siguientes obligaciones: " d. Generar y difundir la información sobre las órdenes activas en el sistema, así como de las operaciones celebradas o registradas a través del Mecanismo a todos los operadores en tiempo real; y</w:t>
            </w:r>
            <w:r w:rsidRPr="001B7270">
              <w:rPr>
                <w:rFonts w:ascii="Calibri" w:hAnsi="Calibri"/>
                <w:color w:val="000000"/>
                <w:sz w:val="18"/>
                <w:szCs w:val="18"/>
                <w:lang w:val="es-CO" w:eastAsia="es-CO"/>
              </w:rPr>
              <w:br/>
            </w:r>
            <w:r w:rsidRPr="001B7270">
              <w:rPr>
                <w:rFonts w:ascii="Calibri" w:hAnsi="Calibri"/>
                <w:color w:val="000000"/>
                <w:sz w:val="18"/>
                <w:szCs w:val="18"/>
                <w:lang w:val="es-CO" w:eastAsia="es-CO"/>
              </w:rPr>
              <w:br/>
              <w:t>e. Proporcionar la información que tenga disponible en el sistema, de las Operaciones celebradas o registradas, de los miembros que celebren o registren operaciones a través del mismo y de sus operadores, a las autoridades competentes, sin perjuicio del deber de confidencialidad previsto en el artículo 1.2.10 del mismo Reglamento." .</w:t>
            </w:r>
          </w:p>
        </w:tc>
      </w:tr>
    </w:tbl>
    <w:p w14:paraId="5C44FA34" w14:textId="77777777" w:rsidR="001B7270" w:rsidRDefault="001B7270">
      <w:pPr>
        <w:spacing w:before="0" w:after="0"/>
        <w:jc w:val="left"/>
        <w:rPr>
          <w:b/>
          <w:caps/>
          <w:szCs w:val="20"/>
          <w:lang w:val="es-CO"/>
        </w:rPr>
      </w:pPr>
    </w:p>
    <w:p w14:paraId="1131BC54" w14:textId="77777777" w:rsidR="00263D4F" w:rsidRDefault="00263D4F">
      <w:pPr>
        <w:spacing w:before="0" w:after="0"/>
      </w:pPr>
      <w:bookmarkStart w:id="23" w:name="_Ref54621864"/>
    </w:p>
    <w:tbl>
      <w:tblPr>
        <w:tblW w:w="5000" w:type="pct"/>
        <w:tblLayout w:type="fixed"/>
        <w:tblCellMar>
          <w:left w:w="70" w:type="dxa"/>
          <w:right w:w="70" w:type="dxa"/>
        </w:tblCellMar>
        <w:tblLook w:val="04A0" w:firstRow="1" w:lastRow="0" w:firstColumn="1" w:lastColumn="0" w:noHBand="0" w:noVBand="1"/>
      </w:tblPr>
      <w:tblGrid>
        <w:gridCol w:w="1695"/>
        <w:gridCol w:w="7651"/>
      </w:tblGrid>
      <w:tr w:rsidR="00602D1A" w:rsidRPr="00602D1A" w14:paraId="7B7EBD4A" w14:textId="77777777" w:rsidTr="00D31EE1">
        <w:trPr>
          <w:trHeight w:val="570"/>
        </w:trPr>
        <w:tc>
          <w:tcPr>
            <w:tcW w:w="907" w:type="pc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171AE50" w14:textId="77777777" w:rsidR="00602D1A" w:rsidRPr="00602D1A" w:rsidRDefault="00602D1A">
            <w:pPr>
              <w:spacing w:before="0" w:after="0"/>
              <w:jc w:val="center"/>
              <w:rPr>
                <w:rFonts w:ascii="Calibri" w:hAnsi="Calibri"/>
                <w:b/>
                <w:bCs/>
                <w:color w:val="000000"/>
                <w:sz w:val="18"/>
                <w:szCs w:val="18"/>
                <w:lang w:val="es-CO" w:eastAsia="es-CO"/>
              </w:rPr>
            </w:pPr>
            <w:r w:rsidRPr="00602D1A">
              <w:rPr>
                <w:rFonts w:ascii="Calibri" w:hAnsi="Calibri"/>
                <w:b/>
                <w:bCs/>
                <w:color w:val="000000"/>
                <w:sz w:val="18"/>
                <w:szCs w:val="18"/>
                <w:lang w:val="es-CO" w:eastAsia="es-CO"/>
              </w:rPr>
              <w:t>Parámetro</w:t>
            </w:r>
          </w:p>
        </w:tc>
        <w:tc>
          <w:tcPr>
            <w:tcW w:w="4093" w:type="pct"/>
            <w:tcBorders>
              <w:top w:val="single" w:sz="4" w:space="0" w:color="auto"/>
              <w:left w:val="nil"/>
              <w:bottom w:val="single" w:sz="4" w:space="0" w:color="auto"/>
              <w:right w:val="single" w:sz="4" w:space="0" w:color="auto"/>
            </w:tcBorders>
            <w:shd w:val="clear" w:color="000000" w:fill="D9E1F2"/>
            <w:vAlign w:val="center"/>
            <w:hideMark/>
          </w:tcPr>
          <w:p w14:paraId="31393A4F" w14:textId="77777777" w:rsidR="00602D1A" w:rsidRPr="00602D1A" w:rsidRDefault="00602D1A">
            <w:pPr>
              <w:spacing w:before="0" w:after="0"/>
              <w:jc w:val="center"/>
              <w:rPr>
                <w:rFonts w:ascii="Calibri" w:hAnsi="Calibri"/>
                <w:b/>
                <w:bCs/>
                <w:sz w:val="18"/>
                <w:szCs w:val="18"/>
                <w:lang w:val="es-CO" w:eastAsia="es-CO"/>
              </w:rPr>
            </w:pPr>
            <w:r w:rsidRPr="00602D1A">
              <w:rPr>
                <w:rFonts w:ascii="Calibri" w:hAnsi="Calibri"/>
                <w:b/>
                <w:bCs/>
                <w:sz w:val="18"/>
                <w:szCs w:val="18"/>
                <w:lang w:val="es-CO" w:eastAsia="es-CO"/>
              </w:rPr>
              <w:t>Principio de Transparencia</w:t>
            </w:r>
          </w:p>
        </w:tc>
      </w:tr>
      <w:tr w:rsidR="00602D1A" w:rsidRPr="00602D1A" w14:paraId="3082EA1A" w14:textId="77777777" w:rsidTr="00D31EE1">
        <w:trPr>
          <w:trHeight w:val="870"/>
        </w:trPr>
        <w:tc>
          <w:tcPr>
            <w:tcW w:w="907" w:type="pct"/>
            <w:tcBorders>
              <w:top w:val="nil"/>
              <w:left w:val="single" w:sz="4" w:space="0" w:color="auto"/>
              <w:bottom w:val="single" w:sz="4" w:space="0" w:color="auto"/>
              <w:right w:val="single" w:sz="4" w:space="0" w:color="auto"/>
            </w:tcBorders>
            <w:shd w:val="clear" w:color="000000" w:fill="D0CECE"/>
            <w:noWrap/>
            <w:hideMark/>
          </w:tcPr>
          <w:p w14:paraId="4830C2DB" w14:textId="77777777" w:rsidR="00602D1A" w:rsidRPr="00602D1A" w:rsidRDefault="00602D1A">
            <w:pPr>
              <w:spacing w:before="0" w:after="0"/>
              <w:jc w:val="left"/>
              <w:rPr>
                <w:rFonts w:ascii="Calibri" w:hAnsi="Calibri"/>
                <w:b/>
                <w:bCs/>
                <w:color w:val="000000"/>
                <w:sz w:val="18"/>
                <w:szCs w:val="18"/>
                <w:lang w:val="es-CO" w:eastAsia="es-CO"/>
              </w:rPr>
            </w:pPr>
            <w:r w:rsidRPr="00602D1A">
              <w:rPr>
                <w:rFonts w:ascii="Calibri" w:hAnsi="Calibri"/>
                <w:b/>
                <w:bCs/>
                <w:color w:val="000000"/>
                <w:sz w:val="18"/>
                <w:szCs w:val="18"/>
                <w:lang w:val="es-CO" w:eastAsia="es-CO"/>
              </w:rPr>
              <w:t>Descripción</w:t>
            </w:r>
          </w:p>
        </w:tc>
        <w:tc>
          <w:tcPr>
            <w:tcW w:w="4093" w:type="pct"/>
            <w:tcBorders>
              <w:top w:val="single" w:sz="4" w:space="0" w:color="auto"/>
              <w:left w:val="nil"/>
              <w:bottom w:val="single" w:sz="4" w:space="0" w:color="auto"/>
              <w:right w:val="single" w:sz="4" w:space="0" w:color="auto"/>
            </w:tcBorders>
            <w:shd w:val="clear" w:color="auto" w:fill="auto"/>
            <w:hideMark/>
          </w:tcPr>
          <w:p w14:paraId="11EA4057" w14:textId="77777777" w:rsidR="00602D1A" w:rsidRDefault="00602D1A">
            <w:pPr>
              <w:spacing w:before="0" w:after="0"/>
              <w:jc w:val="left"/>
              <w:rPr>
                <w:rFonts w:ascii="Calibri" w:hAnsi="Calibri"/>
                <w:color w:val="000000"/>
                <w:sz w:val="18"/>
                <w:szCs w:val="18"/>
                <w:lang w:val="es-CO" w:eastAsia="es-CO"/>
              </w:rPr>
            </w:pPr>
            <w:r w:rsidRPr="00602D1A">
              <w:rPr>
                <w:rFonts w:ascii="Calibri" w:hAnsi="Calibri"/>
                <w:color w:val="000000"/>
                <w:sz w:val="18"/>
                <w:szCs w:val="18"/>
                <w:lang w:val="es-CO" w:eastAsia="es-CO"/>
              </w:rPr>
              <w:t>Los participantes y las autoridades de supervisión y vigilancia disponen de información simétrica, oportuna, veraz y suficiente sobre la aplicación y resultados del mecanismo. Los participantes y las autoridades de supervisión y vigilancia cuentan con información sobre el funcionamiento del mecanismo en cada una de sus etapas, así como de las variables relevantes de mercado para la toma de decisiones y para las verificaciones que fueren necesarias.</w:t>
            </w:r>
          </w:p>
          <w:p w14:paraId="11B038E2" w14:textId="64FE7C0F" w:rsidR="00446168" w:rsidRPr="00602D1A" w:rsidRDefault="00446168">
            <w:pPr>
              <w:spacing w:before="0" w:after="0"/>
              <w:jc w:val="left"/>
              <w:rPr>
                <w:rFonts w:ascii="Calibri" w:hAnsi="Calibri"/>
                <w:color w:val="000000"/>
                <w:sz w:val="18"/>
                <w:szCs w:val="18"/>
                <w:lang w:val="es-CO" w:eastAsia="es-CO"/>
              </w:rPr>
            </w:pPr>
          </w:p>
        </w:tc>
      </w:tr>
      <w:tr w:rsidR="00602D1A" w:rsidRPr="00602D1A" w14:paraId="1B499CEA" w14:textId="77777777" w:rsidTr="00D31EE1">
        <w:trPr>
          <w:trHeight w:val="885"/>
        </w:trPr>
        <w:tc>
          <w:tcPr>
            <w:tcW w:w="907" w:type="pct"/>
            <w:tcBorders>
              <w:top w:val="nil"/>
              <w:left w:val="single" w:sz="4" w:space="0" w:color="auto"/>
              <w:bottom w:val="single" w:sz="4" w:space="0" w:color="auto"/>
              <w:right w:val="single" w:sz="4" w:space="0" w:color="auto"/>
            </w:tcBorders>
            <w:shd w:val="clear" w:color="000000" w:fill="D0CECE"/>
            <w:noWrap/>
            <w:hideMark/>
          </w:tcPr>
          <w:p w14:paraId="295BC389" w14:textId="77777777" w:rsidR="00602D1A" w:rsidRPr="00602D1A" w:rsidRDefault="00602D1A">
            <w:pPr>
              <w:spacing w:before="0" w:after="0"/>
              <w:jc w:val="left"/>
              <w:rPr>
                <w:rFonts w:ascii="Calibri" w:hAnsi="Calibri"/>
                <w:b/>
                <w:bCs/>
                <w:color w:val="000000"/>
                <w:sz w:val="18"/>
                <w:szCs w:val="18"/>
                <w:lang w:val="es-CO" w:eastAsia="es-CO"/>
              </w:rPr>
            </w:pPr>
            <w:r w:rsidRPr="00602D1A">
              <w:rPr>
                <w:rFonts w:ascii="Calibri" w:hAnsi="Calibri"/>
                <w:b/>
                <w:bCs/>
                <w:color w:val="000000"/>
                <w:sz w:val="18"/>
                <w:szCs w:val="18"/>
                <w:lang w:val="es-CO" w:eastAsia="es-CO"/>
              </w:rPr>
              <w:t>Resumen de la evaluación</w:t>
            </w:r>
          </w:p>
        </w:tc>
        <w:tc>
          <w:tcPr>
            <w:tcW w:w="4093" w:type="pct"/>
            <w:tcBorders>
              <w:top w:val="single" w:sz="4" w:space="0" w:color="auto"/>
              <w:left w:val="nil"/>
              <w:bottom w:val="single" w:sz="4" w:space="0" w:color="auto"/>
              <w:right w:val="single" w:sz="4" w:space="0" w:color="auto"/>
            </w:tcBorders>
            <w:shd w:val="clear" w:color="auto" w:fill="auto"/>
            <w:hideMark/>
          </w:tcPr>
          <w:p w14:paraId="27655682" w14:textId="77777777" w:rsidR="00602D1A" w:rsidRDefault="00602D1A">
            <w:pPr>
              <w:spacing w:before="0" w:after="0"/>
              <w:jc w:val="left"/>
              <w:rPr>
                <w:rFonts w:ascii="Calibri" w:hAnsi="Calibri"/>
                <w:color w:val="000000"/>
                <w:sz w:val="18"/>
                <w:szCs w:val="18"/>
                <w:lang w:val="es-CO" w:eastAsia="es-CO"/>
              </w:rPr>
            </w:pPr>
            <w:r w:rsidRPr="00602D1A">
              <w:rPr>
                <w:rFonts w:ascii="Calibri" w:hAnsi="Calibri"/>
                <w:color w:val="000000"/>
                <w:sz w:val="18"/>
                <w:szCs w:val="18"/>
                <w:lang w:val="es-CO" w:eastAsia="es-CO"/>
              </w:rPr>
              <w:t>El mecanismo de comercialización cuenta con unos procedimientos de publicación de información que cumplen con la reglamentación del MHCP y de la SFC. En este sentido, se tienen las siguientes medidas:</w:t>
            </w:r>
            <w:r w:rsidRPr="00602D1A">
              <w:rPr>
                <w:rFonts w:ascii="Calibri" w:hAnsi="Calibri"/>
                <w:color w:val="000000"/>
                <w:sz w:val="18"/>
                <w:szCs w:val="18"/>
                <w:lang w:val="es-CO" w:eastAsia="es-CO"/>
              </w:rPr>
              <w:br/>
              <w:t>- Disponibilidad de información objetiva, oportuna, imparcial y clara.</w:t>
            </w:r>
            <w:r w:rsidRPr="00602D1A">
              <w:rPr>
                <w:rFonts w:ascii="Calibri" w:hAnsi="Calibri"/>
                <w:color w:val="000000"/>
                <w:sz w:val="18"/>
                <w:szCs w:val="18"/>
                <w:lang w:val="es-CO" w:eastAsia="es-CO"/>
              </w:rPr>
              <w:br/>
              <w:t>- Deber para los participantes del mecanismo por parte de la SFC (Administrador del mecanismo, administrador de riesgo y miembros liquidadores)</w:t>
            </w:r>
          </w:p>
          <w:p w14:paraId="1FD7247D" w14:textId="77777777" w:rsidR="00446168" w:rsidRDefault="00446168">
            <w:pPr>
              <w:spacing w:before="0" w:after="0"/>
              <w:jc w:val="left"/>
              <w:rPr>
                <w:rFonts w:ascii="Calibri" w:hAnsi="Calibri"/>
                <w:color w:val="000000"/>
                <w:sz w:val="18"/>
                <w:szCs w:val="18"/>
                <w:lang w:val="es-CO" w:eastAsia="es-CO"/>
              </w:rPr>
            </w:pPr>
          </w:p>
          <w:p w14:paraId="40691B50" w14:textId="0D7A4993" w:rsidR="001544E0" w:rsidRPr="00602D1A" w:rsidRDefault="001544E0">
            <w:pPr>
              <w:spacing w:before="0" w:after="0"/>
              <w:jc w:val="left"/>
              <w:rPr>
                <w:rFonts w:ascii="Calibri" w:hAnsi="Calibri"/>
                <w:color w:val="000000"/>
                <w:sz w:val="18"/>
                <w:szCs w:val="18"/>
                <w:lang w:val="es-CO" w:eastAsia="es-CO"/>
              </w:rPr>
            </w:pPr>
          </w:p>
        </w:tc>
      </w:tr>
      <w:tr w:rsidR="00602D1A" w:rsidRPr="00602D1A" w14:paraId="6DD958DA" w14:textId="77777777" w:rsidTr="00D31EE1">
        <w:trPr>
          <w:trHeight w:val="1127"/>
        </w:trPr>
        <w:tc>
          <w:tcPr>
            <w:tcW w:w="907" w:type="pct"/>
            <w:tcBorders>
              <w:top w:val="nil"/>
              <w:left w:val="single" w:sz="4" w:space="0" w:color="auto"/>
              <w:bottom w:val="single" w:sz="4" w:space="0" w:color="auto"/>
              <w:right w:val="single" w:sz="4" w:space="0" w:color="auto"/>
            </w:tcBorders>
            <w:shd w:val="clear" w:color="000000" w:fill="D0CECE"/>
            <w:hideMark/>
          </w:tcPr>
          <w:p w14:paraId="7215701B" w14:textId="77777777" w:rsidR="00602D1A" w:rsidRPr="00602D1A" w:rsidRDefault="00602D1A">
            <w:pPr>
              <w:spacing w:before="0" w:after="0"/>
              <w:jc w:val="left"/>
              <w:rPr>
                <w:rFonts w:ascii="Calibri" w:hAnsi="Calibri"/>
                <w:b/>
                <w:bCs/>
                <w:color w:val="000000"/>
                <w:sz w:val="18"/>
                <w:szCs w:val="18"/>
                <w:lang w:val="es-CO" w:eastAsia="es-CO"/>
              </w:rPr>
            </w:pPr>
            <w:r w:rsidRPr="00602D1A">
              <w:rPr>
                <w:rFonts w:ascii="Calibri" w:hAnsi="Calibri"/>
                <w:b/>
                <w:bCs/>
                <w:color w:val="000000"/>
                <w:sz w:val="18"/>
                <w:szCs w:val="18"/>
                <w:lang w:val="es-CO" w:eastAsia="es-CO"/>
              </w:rPr>
              <w:t xml:space="preserve">Referencia en la propuesta </w:t>
            </w:r>
          </w:p>
        </w:tc>
        <w:tc>
          <w:tcPr>
            <w:tcW w:w="4093" w:type="pct"/>
            <w:tcBorders>
              <w:top w:val="single" w:sz="4" w:space="0" w:color="auto"/>
              <w:left w:val="nil"/>
              <w:bottom w:val="single" w:sz="4" w:space="0" w:color="auto"/>
              <w:right w:val="single" w:sz="4" w:space="0" w:color="auto"/>
            </w:tcBorders>
            <w:shd w:val="clear" w:color="auto" w:fill="auto"/>
            <w:hideMark/>
          </w:tcPr>
          <w:p w14:paraId="1A1C2C9A" w14:textId="77777777" w:rsidR="00602D1A" w:rsidRDefault="00602D1A">
            <w:pPr>
              <w:spacing w:before="0" w:after="0"/>
              <w:jc w:val="left"/>
              <w:rPr>
                <w:rFonts w:ascii="Calibri" w:hAnsi="Calibri"/>
                <w:color w:val="000000"/>
                <w:sz w:val="18"/>
                <w:szCs w:val="18"/>
                <w:lang w:val="es-CO" w:eastAsia="es-CO"/>
              </w:rPr>
            </w:pPr>
            <w:r w:rsidRPr="00602D1A">
              <w:rPr>
                <w:rFonts w:ascii="Calibri" w:hAnsi="Calibri"/>
                <w:color w:val="000000"/>
                <w:sz w:val="18"/>
                <w:szCs w:val="18"/>
                <w:lang w:val="es-CO" w:eastAsia="es-CO"/>
              </w:rPr>
              <w:t xml:space="preserve">1. </w:t>
            </w:r>
            <w:r w:rsidRPr="00602D1A">
              <w:rPr>
                <w:rFonts w:ascii="Calibri" w:hAnsi="Calibri"/>
                <w:b/>
                <w:bCs/>
                <w:color w:val="000000"/>
                <w:sz w:val="18"/>
                <w:szCs w:val="18"/>
                <w:lang w:val="es-CO" w:eastAsia="es-CO"/>
              </w:rPr>
              <w:t xml:space="preserve">Numeral 15 de la propuesta: Normas para el suministro de información oportuna y fidedigna para el funcionamiento del mecanismo. </w:t>
            </w:r>
            <w:r w:rsidRPr="00602D1A">
              <w:rPr>
                <w:rFonts w:ascii="Calibri" w:hAnsi="Calibri"/>
                <w:color w:val="000000"/>
                <w:sz w:val="18"/>
                <w:szCs w:val="18"/>
                <w:lang w:val="es-CO" w:eastAsia="es-CO"/>
              </w:rPr>
              <w:t xml:space="preserve">Conforme a lo establecido en la Ley de Valores (Ley 964 de 2005) y lo establecido en los artículos 2.15.2.2.1-3 del Decreto 2555 de 2010. Reglamentos de </w:t>
            </w:r>
            <w:proofErr w:type="spellStart"/>
            <w:r w:rsidRPr="00602D1A">
              <w:rPr>
                <w:rFonts w:ascii="Calibri" w:hAnsi="Calibri"/>
                <w:color w:val="000000"/>
                <w:sz w:val="18"/>
                <w:szCs w:val="18"/>
                <w:lang w:val="es-CO" w:eastAsia="es-CO"/>
              </w:rPr>
              <w:t>Derivex</w:t>
            </w:r>
            <w:proofErr w:type="spellEnd"/>
            <w:r w:rsidRPr="00602D1A">
              <w:rPr>
                <w:rFonts w:ascii="Calibri" w:hAnsi="Calibri"/>
                <w:color w:val="000000"/>
                <w:sz w:val="18"/>
                <w:szCs w:val="18"/>
                <w:lang w:val="es-CO" w:eastAsia="es-CO"/>
              </w:rPr>
              <w:t xml:space="preserve"> y CRCC.</w:t>
            </w:r>
            <w:r w:rsidRPr="00602D1A">
              <w:rPr>
                <w:rFonts w:ascii="Calibri" w:hAnsi="Calibri"/>
                <w:color w:val="000000"/>
                <w:sz w:val="18"/>
                <w:szCs w:val="18"/>
                <w:lang w:val="es-CO" w:eastAsia="es-CO"/>
              </w:rPr>
              <w:br/>
              <w:t xml:space="preserve">2. </w:t>
            </w:r>
            <w:r w:rsidRPr="00602D1A">
              <w:rPr>
                <w:rFonts w:ascii="Calibri" w:hAnsi="Calibri"/>
                <w:b/>
                <w:bCs/>
                <w:color w:val="000000"/>
                <w:sz w:val="18"/>
                <w:szCs w:val="18"/>
                <w:lang w:val="es-CO" w:eastAsia="es-CO"/>
              </w:rPr>
              <w:t>Numeral 16 de la propuesta:</w:t>
            </w:r>
            <w:r w:rsidRPr="00602D1A">
              <w:rPr>
                <w:rFonts w:ascii="Calibri" w:hAnsi="Calibri"/>
                <w:color w:val="000000"/>
                <w:sz w:val="18"/>
                <w:szCs w:val="18"/>
                <w:lang w:val="es-CO" w:eastAsia="es-CO"/>
              </w:rPr>
              <w:t xml:space="preserve"> P</w:t>
            </w:r>
            <w:r w:rsidRPr="00602D1A">
              <w:rPr>
                <w:rFonts w:ascii="Calibri" w:hAnsi="Calibri"/>
                <w:b/>
                <w:bCs/>
                <w:color w:val="000000"/>
                <w:sz w:val="18"/>
                <w:szCs w:val="18"/>
                <w:lang w:val="es-CO" w:eastAsia="es-CO"/>
              </w:rPr>
              <w:t xml:space="preserve">olítica de publicación de información sobre las variables relevantes del mercado, </w:t>
            </w:r>
            <w:proofErr w:type="spellStart"/>
            <w:r w:rsidRPr="00602D1A">
              <w:rPr>
                <w:rFonts w:ascii="Calibri" w:hAnsi="Calibri"/>
                <w:b/>
                <w:bCs/>
                <w:color w:val="000000"/>
                <w:sz w:val="18"/>
                <w:szCs w:val="18"/>
                <w:lang w:val="es-CO" w:eastAsia="es-CO"/>
              </w:rPr>
              <w:t>asi</w:t>
            </w:r>
            <w:proofErr w:type="spellEnd"/>
            <w:r w:rsidRPr="00602D1A">
              <w:rPr>
                <w:rFonts w:ascii="Calibri" w:hAnsi="Calibri"/>
                <w:b/>
                <w:bCs/>
                <w:color w:val="000000"/>
                <w:sz w:val="18"/>
                <w:szCs w:val="18"/>
                <w:lang w:val="es-CO" w:eastAsia="es-CO"/>
              </w:rPr>
              <w:t xml:space="preserve"> como las transacciones resultantes del mecanismo para la comercialización</w:t>
            </w:r>
            <w:r w:rsidRPr="00602D1A">
              <w:rPr>
                <w:rFonts w:ascii="Calibri" w:hAnsi="Calibri"/>
                <w:color w:val="000000"/>
                <w:sz w:val="18"/>
                <w:szCs w:val="18"/>
                <w:lang w:val="es-CO" w:eastAsia="es-CO"/>
              </w:rPr>
              <w:t>.</w:t>
            </w:r>
          </w:p>
          <w:p w14:paraId="3B7AB75E" w14:textId="683D7E1E" w:rsidR="00446168" w:rsidRPr="00602D1A" w:rsidRDefault="00446168">
            <w:pPr>
              <w:spacing w:before="0" w:after="0"/>
              <w:jc w:val="left"/>
              <w:rPr>
                <w:rFonts w:ascii="Calibri" w:hAnsi="Calibri"/>
                <w:color w:val="000000"/>
                <w:sz w:val="18"/>
                <w:szCs w:val="18"/>
                <w:lang w:val="es-CO" w:eastAsia="es-CO"/>
              </w:rPr>
            </w:pPr>
          </w:p>
        </w:tc>
      </w:tr>
      <w:tr w:rsidR="00602D1A" w:rsidRPr="00602D1A" w14:paraId="43652979" w14:textId="77777777" w:rsidTr="00D31EE1">
        <w:trPr>
          <w:trHeight w:val="2921"/>
        </w:trPr>
        <w:tc>
          <w:tcPr>
            <w:tcW w:w="907" w:type="pct"/>
            <w:tcBorders>
              <w:top w:val="nil"/>
              <w:left w:val="single" w:sz="4" w:space="0" w:color="auto"/>
              <w:bottom w:val="single" w:sz="4" w:space="0" w:color="auto"/>
              <w:right w:val="single" w:sz="4" w:space="0" w:color="auto"/>
            </w:tcBorders>
            <w:shd w:val="clear" w:color="000000" w:fill="D0CECE"/>
            <w:hideMark/>
          </w:tcPr>
          <w:p w14:paraId="46329CE1" w14:textId="77777777" w:rsidR="00602D1A" w:rsidRPr="00602D1A" w:rsidRDefault="00602D1A">
            <w:pPr>
              <w:spacing w:before="0" w:after="0"/>
              <w:jc w:val="left"/>
              <w:rPr>
                <w:rFonts w:ascii="Calibri" w:hAnsi="Calibri"/>
                <w:b/>
                <w:bCs/>
                <w:color w:val="000000"/>
                <w:sz w:val="18"/>
                <w:szCs w:val="18"/>
                <w:lang w:val="es-CO" w:eastAsia="es-CO"/>
              </w:rPr>
            </w:pPr>
            <w:r w:rsidRPr="00602D1A">
              <w:rPr>
                <w:rFonts w:ascii="Calibri" w:hAnsi="Calibri"/>
                <w:b/>
                <w:bCs/>
                <w:color w:val="000000"/>
                <w:sz w:val="18"/>
                <w:szCs w:val="18"/>
                <w:lang w:val="es-CO" w:eastAsia="es-CO"/>
              </w:rPr>
              <w:lastRenderedPageBreak/>
              <w:t>Juan Pablo Amorocho</w:t>
            </w:r>
            <w:r w:rsidRPr="00602D1A">
              <w:rPr>
                <w:rFonts w:ascii="Calibri" w:hAnsi="Calibri"/>
                <w:b/>
                <w:bCs/>
                <w:color w:val="000000"/>
                <w:sz w:val="18"/>
                <w:szCs w:val="18"/>
                <w:lang w:val="es-CO" w:eastAsia="es-CO"/>
              </w:rPr>
              <w:br/>
              <w:t>(Mercados)</w:t>
            </w:r>
          </w:p>
        </w:tc>
        <w:tc>
          <w:tcPr>
            <w:tcW w:w="4093" w:type="pct"/>
            <w:tcBorders>
              <w:top w:val="single" w:sz="4" w:space="0" w:color="auto"/>
              <w:left w:val="nil"/>
              <w:bottom w:val="single" w:sz="4" w:space="0" w:color="auto"/>
              <w:right w:val="single" w:sz="4" w:space="0" w:color="auto"/>
            </w:tcBorders>
            <w:shd w:val="clear" w:color="auto" w:fill="auto"/>
            <w:hideMark/>
          </w:tcPr>
          <w:p w14:paraId="6EBF9E2D" w14:textId="77777777" w:rsidR="00861BDE" w:rsidRDefault="00602D1A">
            <w:pPr>
              <w:spacing w:before="0" w:after="0"/>
              <w:jc w:val="left"/>
              <w:rPr>
                <w:rFonts w:ascii="Calibri" w:hAnsi="Calibri"/>
                <w:sz w:val="18"/>
                <w:szCs w:val="18"/>
                <w:lang w:val="es-CO" w:eastAsia="es-CO"/>
              </w:rPr>
            </w:pPr>
            <w:r w:rsidRPr="00602D1A">
              <w:rPr>
                <w:rFonts w:ascii="Calibri" w:hAnsi="Calibri"/>
                <w:sz w:val="18"/>
                <w:szCs w:val="18"/>
                <w:lang w:val="es-CO" w:eastAsia="es-CO"/>
              </w:rPr>
              <w:t>Pág. 10</w:t>
            </w:r>
            <w:r w:rsidRPr="00602D1A">
              <w:rPr>
                <w:rFonts w:ascii="Calibri" w:hAnsi="Calibri"/>
                <w:sz w:val="18"/>
                <w:szCs w:val="18"/>
                <w:lang w:val="es-CO" w:eastAsia="es-CO"/>
              </w:rPr>
              <w:br/>
              <w:t xml:space="preserve">"Los sistemas de negociación electrónicos permiten la formación de precio de manera eficiente y transparente, porque las </w:t>
            </w:r>
            <w:proofErr w:type="spellStart"/>
            <w:r w:rsidRPr="00602D1A">
              <w:rPr>
                <w:rFonts w:ascii="Calibri" w:hAnsi="Calibri"/>
                <w:sz w:val="18"/>
                <w:szCs w:val="18"/>
                <w:lang w:val="es-CO" w:eastAsia="es-CO"/>
              </w:rPr>
              <w:t>porturas</w:t>
            </w:r>
            <w:proofErr w:type="spellEnd"/>
            <w:r w:rsidRPr="00602D1A">
              <w:rPr>
                <w:rFonts w:ascii="Calibri" w:hAnsi="Calibri"/>
                <w:sz w:val="18"/>
                <w:szCs w:val="18"/>
                <w:lang w:val="es-CO" w:eastAsia="es-CO"/>
              </w:rPr>
              <w:t xml:space="preserve"> que forman los precios llegan al mercado de manera oportuna. Las </w:t>
            </w:r>
            <w:proofErr w:type="spellStart"/>
            <w:r w:rsidRPr="00602D1A">
              <w:rPr>
                <w:rFonts w:ascii="Calibri" w:hAnsi="Calibri"/>
                <w:sz w:val="18"/>
                <w:szCs w:val="18"/>
                <w:lang w:val="es-CO" w:eastAsia="es-CO"/>
              </w:rPr>
              <w:t>panatallas</w:t>
            </w:r>
            <w:proofErr w:type="spellEnd"/>
            <w:r w:rsidRPr="00602D1A">
              <w:rPr>
                <w:rFonts w:ascii="Calibri" w:hAnsi="Calibri"/>
                <w:sz w:val="18"/>
                <w:szCs w:val="18"/>
                <w:lang w:val="es-CO" w:eastAsia="es-CO"/>
              </w:rPr>
              <w:t xml:space="preserve"> de negociación facilita que la información llegue </w:t>
            </w:r>
            <w:proofErr w:type="spellStart"/>
            <w:r w:rsidRPr="00602D1A">
              <w:rPr>
                <w:rFonts w:ascii="Calibri" w:hAnsi="Calibri"/>
                <w:sz w:val="18"/>
                <w:szCs w:val="18"/>
                <w:lang w:val="es-CO" w:eastAsia="es-CO"/>
              </w:rPr>
              <w:t>simulteneamente</w:t>
            </w:r>
            <w:proofErr w:type="spellEnd"/>
            <w:r w:rsidRPr="00602D1A">
              <w:rPr>
                <w:rFonts w:ascii="Calibri" w:hAnsi="Calibri"/>
                <w:sz w:val="18"/>
                <w:szCs w:val="18"/>
                <w:lang w:val="es-CO" w:eastAsia="es-CO"/>
              </w:rPr>
              <w:t xml:space="preserve"> a todos los </w:t>
            </w:r>
            <w:proofErr w:type="spellStart"/>
            <w:r w:rsidRPr="00602D1A">
              <w:rPr>
                <w:rFonts w:ascii="Calibri" w:hAnsi="Calibri"/>
                <w:sz w:val="18"/>
                <w:szCs w:val="18"/>
                <w:lang w:val="es-CO" w:eastAsia="es-CO"/>
              </w:rPr>
              <w:t>participanetes</w:t>
            </w:r>
            <w:proofErr w:type="spellEnd"/>
            <w:r w:rsidRPr="00602D1A">
              <w:rPr>
                <w:rFonts w:ascii="Calibri" w:hAnsi="Calibri"/>
                <w:sz w:val="18"/>
                <w:szCs w:val="18"/>
                <w:lang w:val="es-CO" w:eastAsia="es-CO"/>
              </w:rPr>
              <w:t xml:space="preserve"> del mercado haciendo que los posibles arbitrajes en precios sean corregidos rápidamente por el mismo mercado. Es decir, si algún participante quiere manipular el precio sin una razón económica que justifique el cambio de este, el mercado ajusta el precio al nivel adecuado a la demanda y oferta de este mismo."</w:t>
            </w:r>
            <w:r w:rsidRPr="00602D1A">
              <w:rPr>
                <w:rFonts w:ascii="Calibri" w:hAnsi="Calibri"/>
                <w:sz w:val="18"/>
                <w:szCs w:val="18"/>
                <w:lang w:val="es-CO" w:eastAsia="es-CO"/>
              </w:rPr>
              <w:br/>
            </w:r>
            <w:r w:rsidRPr="00602D1A">
              <w:rPr>
                <w:rFonts w:ascii="Calibri" w:hAnsi="Calibri"/>
                <w:sz w:val="18"/>
                <w:szCs w:val="18"/>
                <w:lang w:val="es-CO" w:eastAsia="es-CO"/>
              </w:rPr>
              <w:br/>
              <w:t>Pág. 13</w:t>
            </w:r>
            <w:r w:rsidRPr="00602D1A">
              <w:rPr>
                <w:rFonts w:ascii="Calibri" w:hAnsi="Calibri"/>
                <w:sz w:val="18"/>
                <w:szCs w:val="18"/>
                <w:lang w:val="es-CO" w:eastAsia="es-CO"/>
              </w:rPr>
              <w:br/>
              <w:t xml:space="preserve">"El de decreto 1120 de </w:t>
            </w:r>
            <w:proofErr w:type="spellStart"/>
            <w:r w:rsidRPr="00602D1A">
              <w:rPr>
                <w:rFonts w:ascii="Calibri" w:hAnsi="Calibri"/>
                <w:sz w:val="18"/>
                <w:szCs w:val="18"/>
                <w:lang w:val="es-CO" w:eastAsia="es-CO"/>
              </w:rPr>
              <w:t>de</w:t>
            </w:r>
            <w:proofErr w:type="spellEnd"/>
            <w:r w:rsidRPr="00602D1A">
              <w:rPr>
                <w:rFonts w:ascii="Calibri" w:hAnsi="Calibri"/>
                <w:sz w:val="18"/>
                <w:szCs w:val="18"/>
                <w:lang w:val="es-CO" w:eastAsia="es-CO"/>
              </w:rPr>
              <w:t xml:space="preserve"> 2.008 de MHCP define que es transparencia de mercado y los requisitos mínimos que los administradores de los sistemas deben cumplir."</w:t>
            </w:r>
            <w:r w:rsidRPr="00602D1A">
              <w:rPr>
                <w:rFonts w:ascii="Calibri" w:hAnsi="Calibri"/>
                <w:sz w:val="18"/>
                <w:szCs w:val="18"/>
                <w:lang w:val="es-CO" w:eastAsia="es-CO"/>
              </w:rPr>
              <w:br/>
            </w:r>
            <w:r w:rsidRPr="00602D1A">
              <w:rPr>
                <w:rFonts w:ascii="Calibri" w:hAnsi="Calibri"/>
                <w:sz w:val="18"/>
                <w:szCs w:val="18"/>
                <w:lang w:val="es-CO" w:eastAsia="es-CO"/>
              </w:rPr>
              <w:br/>
              <w:t>Pág. 17</w:t>
            </w:r>
            <w:r w:rsidRPr="00602D1A">
              <w:rPr>
                <w:rFonts w:ascii="Calibri" w:hAnsi="Calibri"/>
                <w:sz w:val="18"/>
                <w:szCs w:val="18"/>
                <w:lang w:val="es-CO" w:eastAsia="es-CO"/>
              </w:rPr>
              <w:br/>
              <w:t xml:space="preserve">"Por otro lado, las sesiones con las que cuenta </w:t>
            </w:r>
            <w:proofErr w:type="spellStart"/>
            <w:r w:rsidRPr="00602D1A">
              <w:rPr>
                <w:rFonts w:ascii="Calibri" w:hAnsi="Calibri"/>
                <w:sz w:val="18"/>
                <w:szCs w:val="18"/>
                <w:lang w:val="es-CO" w:eastAsia="es-CO"/>
              </w:rPr>
              <w:t>Derivex</w:t>
            </w:r>
            <w:proofErr w:type="spellEnd"/>
            <w:r w:rsidRPr="00602D1A">
              <w:rPr>
                <w:rFonts w:ascii="Calibri" w:hAnsi="Calibri"/>
                <w:sz w:val="18"/>
                <w:szCs w:val="18"/>
                <w:lang w:val="es-CO" w:eastAsia="es-CO"/>
              </w:rPr>
              <w:t xml:space="preserve"> son transparentes y permiten una libre formación de precio y participación. En la medida que más jugadores participen el margen de mercado deberá tender a disminuir. "</w:t>
            </w:r>
            <w:r w:rsidRPr="00602D1A">
              <w:rPr>
                <w:rFonts w:ascii="Calibri" w:hAnsi="Calibri"/>
                <w:sz w:val="18"/>
                <w:szCs w:val="18"/>
                <w:lang w:val="es-CO" w:eastAsia="es-CO"/>
              </w:rPr>
              <w:br/>
            </w:r>
            <w:r w:rsidRPr="00602D1A">
              <w:rPr>
                <w:rFonts w:ascii="Calibri" w:hAnsi="Calibri"/>
                <w:sz w:val="18"/>
                <w:szCs w:val="18"/>
                <w:lang w:val="es-CO" w:eastAsia="es-CO"/>
              </w:rPr>
              <w:br/>
              <w:t>Pág. 22 y 23</w:t>
            </w:r>
            <w:r w:rsidRPr="00602D1A">
              <w:rPr>
                <w:rFonts w:ascii="Calibri" w:hAnsi="Calibri"/>
                <w:sz w:val="18"/>
                <w:szCs w:val="18"/>
                <w:lang w:val="es-CO" w:eastAsia="es-CO"/>
              </w:rPr>
              <w:br/>
              <w:t>""</w:t>
            </w:r>
            <w:r w:rsidRPr="00602D1A">
              <w:rPr>
                <w:rFonts w:ascii="Calibri" w:hAnsi="Calibri"/>
                <w:b/>
                <w:bCs/>
                <w:sz w:val="18"/>
                <w:szCs w:val="18"/>
                <w:lang w:val="es-CO" w:eastAsia="es-CO"/>
              </w:rPr>
              <w:t xml:space="preserve">El conjunto del sistema, de los miembros y de los clientes de los miembros permite que el mecanismo sea transparente de tal manera que no existe una </w:t>
            </w:r>
            <w:proofErr w:type="spellStart"/>
            <w:r w:rsidRPr="00602D1A">
              <w:rPr>
                <w:rFonts w:ascii="Calibri" w:hAnsi="Calibri"/>
                <w:b/>
                <w:bCs/>
                <w:sz w:val="18"/>
                <w:szCs w:val="18"/>
                <w:lang w:val="es-CO" w:eastAsia="es-CO"/>
              </w:rPr>
              <w:t>posicion</w:t>
            </w:r>
            <w:proofErr w:type="spellEnd"/>
            <w:r w:rsidRPr="00602D1A">
              <w:rPr>
                <w:rFonts w:ascii="Calibri" w:hAnsi="Calibri"/>
                <w:b/>
                <w:bCs/>
                <w:sz w:val="18"/>
                <w:szCs w:val="18"/>
                <w:lang w:val="es-CO" w:eastAsia="es-CO"/>
              </w:rPr>
              <w:t xml:space="preserve"> dominante por alguno de los actores que permita arbitrajes en información, creación de precios o posibilidades de arbitraje a través del mecanismo.</w:t>
            </w:r>
            <w:r w:rsidRPr="00602D1A">
              <w:rPr>
                <w:rFonts w:ascii="Calibri" w:hAnsi="Calibri"/>
                <w:sz w:val="18"/>
                <w:szCs w:val="18"/>
                <w:lang w:val="es-CO" w:eastAsia="es-CO"/>
              </w:rPr>
              <w:t>"</w:t>
            </w:r>
            <w:r w:rsidRPr="00602D1A">
              <w:rPr>
                <w:rFonts w:ascii="Calibri" w:hAnsi="Calibri"/>
                <w:sz w:val="18"/>
                <w:szCs w:val="18"/>
                <w:lang w:val="es-CO" w:eastAsia="es-CO"/>
              </w:rPr>
              <w:br/>
            </w:r>
            <w:r w:rsidRPr="00602D1A">
              <w:rPr>
                <w:rFonts w:ascii="Calibri" w:hAnsi="Calibri"/>
                <w:sz w:val="18"/>
                <w:szCs w:val="18"/>
                <w:lang w:val="es-CO" w:eastAsia="es-CO"/>
              </w:rPr>
              <w:br/>
              <w:t>Por último, en las reglas de transparencia asociadas a la normatividad de la SFC, el consultor señala lo siguiente: "El Decreto 1120 de 2008 de MHCP define qué es transparencia de mercado y los requisitos mínimos que los administradores de los sistemas deben cumplir en su capítulo cuarto.</w:t>
            </w:r>
            <w:r w:rsidRPr="00602D1A">
              <w:rPr>
                <w:rFonts w:ascii="Calibri" w:hAnsi="Calibri"/>
                <w:sz w:val="18"/>
                <w:szCs w:val="18"/>
                <w:lang w:val="es-CO" w:eastAsia="es-CO"/>
              </w:rPr>
              <w:br/>
            </w:r>
            <w:r w:rsidRPr="00602D1A">
              <w:rPr>
                <w:rFonts w:ascii="Calibri" w:hAnsi="Calibri"/>
                <w:sz w:val="18"/>
                <w:szCs w:val="18"/>
                <w:lang w:val="es-CO" w:eastAsia="es-CO"/>
              </w:rPr>
              <w:br/>
              <w:t>Los artículos son:</w:t>
            </w:r>
            <w:r w:rsidRPr="00602D1A">
              <w:rPr>
                <w:rFonts w:ascii="Calibri" w:hAnsi="Calibri"/>
                <w:sz w:val="18"/>
                <w:szCs w:val="18"/>
                <w:lang w:val="es-CO" w:eastAsia="es-CO"/>
              </w:rPr>
              <w:br/>
            </w:r>
            <w:r w:rsidRPr="00602D1A">
              <w:rPr>
                <w:rFonts w:ascii="Calibri" w:hAnsi="Calibri"/>
                <w:sz w:val="18"/>
                <w:szCs w:val="18"/>
                <w:lang w:val="es-CO" w:eastAsia="es-CO"/>
              </w:rPr>
              <w:br/>
              <w:t xml:space="preserve">Artículo 4.2.2.1.” Definición. Para efectos de lo dispuesto en el presente Título, se entiende por transparencia en las operaciones realizadas en un sistema de negociación de valores, la oportunidad y la suficiencia con las cuales la información relativa a las ofertas de compra y venta de valores, los precios o tasas de las operaciones y el volumen de estas, se hace disponible a los afiliados al sistema y al público.” </w:t>
            </w:r>
            <w:r w:rsidRPr="00602D1A">
              <w:rPr>
                <w:rFonts w:ascii="Calibri" w:hAnsi="Calibri"/>
                <w:sz w:val="18"/>
                <w:szCs w:val="18"/>
                <w:lang w:val="es-CO" w:eastAsia="es-CO"/>
              </w:rPr>
              <w:br/>
            </w:r>
            <w:r w:rsidRPr="00602D1A">
              <w:rPr>
                <w:rFonts w:ascii="Calibri" w:hAnsi="Calibri"/>
                <w:sz w:val="18"/>
                <w:szCs w:val="18"/>
                <w:lang w:val="es-CO" w:eastAsia="es-CO"/>
              </w:rPr>
              <w:br/>
              <w:t xml:space="preserve">Por concepto de oportunidad se entiende la manera como la información de las posturas del mercado llega a todos los participantes del mercado, dando la posibilidad que todos los participantes o en su mayoría, puedan participar en la creación de precio, ya sea a través de nuevas </w:t>
            </w:r>
            <w:proofErr w:type="spellStart"/>
            <w:r w:rsidRPr="00602D1A">
              <w:rPr>
                <w:rFonts w:ascii="Calibri" w:hAnsi="Calibri"/>
                <w:sz w:val="18"/>
                <w:szCs w:val="18"/>
                <w:lang w:val="es-CO" w:eastAsia="es-CO"/>
              </w:rPr>
              <w:t>porturas</w:t>
            </w:r>
            <w:proofErr w:type="spellEnd"/>
            <w:r w:rsidRPr="00602D1A">
              <w:rPr>
                <w:rFonts w:ascii="Calibri" w:hAnsi="Calibri"/>
                <w:sz w:val="18"/>
                <w:szCs w:val="18"/>
                <w:lang w:val="es-CO" w:eastAsia="es-CO"/>
              </w:rPr>
              <w:t xml:space="preserve"> o la toma de alguna de ellas. La puja o negociación de las pantallas y de </w:t>
            </w:r>
            <w:proofErr w:type="gramStart"/>
            <w:r w:rsidRPr="00602D1A">
              <w:rPr>
                <w:rFonts w:ascii="Calibri" w:hAnsi="Calibri"/>
                <w:sz w:val="18"/>
                <w:szCs w:val="18"/>
                <w:lang w:val="es-CO" w:eastAsia="es-CO"/>
              </w:rPr>
              <w:t>la subastas</w:t>
            </w:r>
            <w:proofErr w:type="gramEnd"/>
            <w:r w:rsidRPr="00602D1A">
              <w:rPr>
                <w:rFonts w:ascii="Calibri" w:hAnsi="Calibri"/>
                <w:sz w:val="18"/>
                <w:szCs w:val="18"/>
                <w:lang w:val="es-CO" w:eastAsia="es-CO"/>
              </w:rPr>
              <w:t xml:space="preserve"> buscan que con la </w:t>
            </w:r>
            <w:proofErr w:type="spellStart"/>
            <w:r w:rsidRPr="00602D1A">
              <w:rPr>
                <w:rFonts w:ascii="Calibri" w:hAnsi="Calibri"/>
                <w:sz w:val="18"/>
                <w:szCs w:val="18"/>
                <w:lang w:val="es-CO" w:eastAsia="es-CO"/>
              </w:rPr>
              <w:t>participanción</w:t>
            </w:r>
            <w:proofErr w:type="spellEnd"/>
            <w:r w:rsidRPr="00602D1A">
              <w:rPr>
                <w:rFonts w:ascii="Calibri" w:hAnsi="Calibri"/>
                <w:sz w:val="18"/>
                <w:szCs w:val="18"/>
                <w:lang w:val="es-CO" w:eastAsia="es-CO"/>
              </w:rPr>
              <w:t xml:space="preserve"> de muchos jugadores del mercado en ellas, el precio que se forma represente la realidad económica de los productos financieros que allí se están negociando. El sistema de </w:t>
            </w:r>
            <w:proofErr w:type="spellStart"/>
            <w:r w:rsidRPr="00602D1A">
              <w:rPr>
                <w:rFonts w:ascii="Calibri" w:hAnsi="Calibri"/>
                <w:sz w:val="18"/>
                <w:szCs w:val="18"/>
                <w:lang w:val="es-CO" w:eastAsia="es-CO"/>
              </w:rPr>
              <w:t>negocición</w:t>
            </w:r>
            <w:proofErr w:type="spellEnd"/>
            <w:r w:rsidRPr="00602D1A">
              <w:rPr>
                <w:rFonts w:ascii="Calibri" w:hAnsi="Calibri"/>
                <w:sz w:val="18"/>
                <w:szCs w:val="18"/>
                <w:lang w:val="es-CO" w:eastAsia="es-CO"/>
              </w:rPr>
              <w:t xml:space="preserve"> de </w:t>
            </w:r>
            <w:proofErr w:type="spellStart"/>
            <w:r w:rsidRPr="00602D1A">
              <w:rPr>
                <w:rFonts w:ascii="Calibri" w:hAnsi="Calibri"/>
                <w:sz w:val="18"/>
                <w:szCs w:val="18"/>
                <w:lang w:val="es-CO" w:eastAsia="es-CO"/>
              </w:rPr>
              <w:t>Derivex</w:t>
            </w:r>
            <w:proofErr w:type="spellEnd"/>
            <w:r w:rsidRPr="00602D1A">
              <w:rPr>
                <w:rFonts w:ascii="Calibri" w:hAnsi="Calibri"/>
                <w:sz w:val="18"/>
                <w:szCs w:val="18"/>
                <w:lang w:val="es-CO" w:eastAsia="es-CO"/>
              </w:rPr>
              <w:t xml:space="preserve"> con sus pantallas transaccionales </w:t>
            </w:r>
            <w:proofErr w:type="spellStart"/>
            <w:r w:rsidRPr="00602D1A">
              <w:rPr>
                <w:rFonts w:ascii="Calibri" w:hAnsi="Calibri"/>
                <w:sz w:val="18"/>
                <w:szCs w:val="18"/>
                <w:lang w:val="es-CO" w:eastAsia="es-CO"/>
              </w:rPr>
              <w:t>pemite</w:t>
            </w:r>
            <w:proofErr w:type="spellEnd"/>
            <w:r w:rsidRPr="00602D1A">
              <w:rPr>
                <w:rFonts w:ascii="Calibri" w:hAnsi="Calibri"/>
                <w:sz w:val="18"/>
                <w:szCs w:val="18"/>
                <w:lang w:val="es-CO" w:eastAsia="es-CO"/>
              </w:rPr>
              <w:t xml:space="preserve"> la participación de todos los miembros y sus clientes. Las pantallas permiten que la información sobre </w:t>
            </w:r>
            <w:proofErr w:type="spellStart"/>
            <w:r w:rsidRPr="00602D1A">
              <w:rPr>
                <w:rFonts w:ascii="Calibri" w:hAnsi="Calibri"/>
                <w:sz w:val="18"/>
                <w:szCs w:val="18"/>
                <w:lang w:val="es-CO" w:eastAsia="es-CO"/>
              </w:rPr>
              <w:t>preios</w:t>
            </w:r>
            <w:proofErr w:type="spellEnd"/>
            <w:r w:rsidRPr="00602D1A">
              <w:rPr>
                <w:rFonts w:ascii="Calibri" w:hAnsi="Calibri"/>
                <w:sz w:val="18"/>
                <w:szCs w:val="18"/>
                <w:lang w:val="es-CO" w:eastAsia="es-CO"/>
              </w:rPr>
              <w:t xml:space="preserve"> de </w:t>
            </w:r>
            <w:proofErr w:type="spellStart"/>
            <w:r w:rsidRPr="00602D1A">
              <w:rPr>
                <w:rFonts w:ascii="Calibri" w:hAnsi="Calibri"/>
                <w:sz w:val="18"/>
                <w:szCs w:val="18"/>
                <w:lang w:val="es-CO" w:eastAsia="es-CO"/>
              </w:rPr>
              <w:t>copra</w:t>
            </w:r>
            <w:proofErr w:type="spellEnd"/>
            <w:r w:rsidRPr="00602D1A">
              <w:rPr>
                <w:rFonts w:ascii="Calibri" w:hAnsi="Calibri"/>
                <w:sz w:val="18"/>
                <w:szCs w:val="18"/>
                <w:lang w:val="es-CO" w:eastAsia="es-CO"/>
              </w:rPr>
              <w:t xml:space="preserve"> y venta del mercado lleguen a todo el mercado al mismo tiempo dando la misma oportunidad de información y acceso a estos.</w:t>
            </w:r>
            <w:r w:rsidRPr="00602D1A">
              <w:rPr>
                <w:rFonts w:ascii="Calibri" w:hAnsi="Calibri"/>
                <w:sz w:val="18"/>
                <w:szCs w:val="18"/>
                <w:lang w:val="es-CO" w:eastAsia="es-CO"/>
              </w:rPr>
              <w:br/>
            </w:r>
            <w:r w:rsidRPr="00602D1A">
              <w:rPr>
                <w:rFonts w:ascii="Calibri" w:hAnsi="Calibri"/>
                <w:sz w:val="18"/>
                <w:szCs w:val="18"/>
                <w:lang w:val="es-CO" w:eastAsia="es-CO"/>
              </w:rPr>
              <w:br/>
              <w:t>En cuanto a la suficiencia de la información, es la calidad y cantidad de detalles que se le da a conocer a los participantes y al público en general sobre las posturas, pujas y cierres de las operaciones.</w:t>
            </w:r>
            <w:r w:rsidRPr="00602D1A">
              <w:rPr>
                <w:rFonts w:ascii="Calibri" w:hAnsi="Calibri"/>
                <w:sz w:val="18"/>
                <w:szCs w:val="18"/>
                <w:lang w:val="es-CO" w:eastAsia="es-CO"/>
              </w:rPr>
              <w:br/>
            </w:r>
            <w:r w:rsidRPr="00602D1A">
              <w:rPr>
                <w:rFonts w:ascii="Calibri" w:hAnsi="Calibri"/>
                <w:sz w:val="18"/>
                <w:szCs w:val="18"/>
                <w:lang w:val="es-CO" w:eastAsia="es-CO"/>
              </w:rPr>
              <w:br/>
              <w:t xml:space="preserve">Artículo 4.2.2.2. “Requisitos de transparencia prenegociación aplicables a los sistemas de negociación de valores. Los administradores de sistemas de negociación de valores deberán revelar a sus afiliados en el foro de negociación los precios o tasas de compra y venta de las posturas vigentes en el sistema cuando se reciben las mismas.” </w:t>
            </w:r>
            <w:r w:rsidRPr="00602D1A">
              <w:rPr>
                <w:rFonts w:ascii="Calibri" w:hAnsi="Calibri"/>
                <w:sz w:val="18"/>
                <w:szCs w:val="18"/>
                <w:lang w:val="es-CO" w:eastAsia="es-CO"/>
              </w:rPr>
              <w:br/>
            </w:r>
            <w:r w:rsidRPr="00602D1A">
              <w:rPr>
                <w:rFonts w:ascii="Calibri" w:hAnsi="Calibri"/>
                <w:sz w:val="18"/>
                <w:szCs w:val="18"/>
                <w:lang w:val="es-CO" w:eastAsia="es-CO"/>
              </w:rPr>
              <w:br/>
            </w:r>
            <w:r w:rsidRPr="00602D1A">
              <w:rPr>
                <w:rFonts w:ascii="Calibri" w:hAnsi="Calibri"/>
                <w:b/>
                <w:bCs/>
                <w:sz w:val="18"/>
                <w:szCs w:val="18"/>
                <w:lang w:val="es-CO" w:eastAsia="es-CO"/>
              </w:rPr>
              <w:t xml:space="preserve">Los sistemas de negociación electrónicos han desarrollado sesiones con características específicas donde buscan concentrar toda la demanda y oferta de los activos en un solo sitio. De esta manera y con un número significativo de participantes, se logra transparencia en la creación y formación del precio. </w:t>
            </w:r>
            <w:r w:rsidRPr="00602D1A">
              <w:rPr>
                <w:rFonts w:ascii="Calibri" w:hAnsi="Calibri"/>
                <w:sz w:val="18"/>
                <w:szCs w:val="18"/>
                <w:lang w:val="es-CO" w:eastAsia="es-CO"/>
              </w:rPr>
              <w:br/>
            </w:r>
            <w:r w:rsidRPr="00602D1A">
              <w:rPr>
                <w:rFonts w:ascii="Calibri" w:hAnsi="Calibri"/>
                <w:sz w:val="18"/>
                <w:szCs w:val="18"/>
                <w:lang w:val="es-CO" w:eastAsia="es-CO"/>
              </w:rPr>
              <w:br/>
              <w:t xml:space="preserve">Artículo 4.2.2.3. “Obligaciones de transparencia </w:t>
            </w:r>
            <w:proofErr w:type="spellStart"/>
            <w:r w:rsidRPr="00602D1A">
              <w:rPr>
                <w:rFonts w:ascii="Calibri" w:hAnsi="Calibri"/>
                <w:sz w:val="18"/>
                <w:szCs w:val="18"/>
                <w:lang w:val="es-CO" w:eastAsia="es-CO"/>
              </w:rPr>
              <w:t>posnegociación</w:t>
            </w:r>
            <w:proofErr w:type="spellEnd"/>
            <w:r w:rsidRPr="00602D1A">
              <w:rPr>
                <w:rFonts w:ascii="Calibri" w:hAnsi="Calibri"/>
                <w:sz w:val="18"/>
                <w:szCs w:val="18"/>
                <w:lang w:val="es-CO" w:eastAsia="es-CO"/>
              </w:rPr>
              <w:t xml:space="preserve"> para los sistemas de negociación de valores. </w:t>
            </w:r>
            <w:r w:rsidRPr="00602D1A">
              <w:rPr>
                <w:rFonts w:ascii="Calibri" w:hAnsi="Calibri"/>
                <w:b/>
                <w:bCs/>
                <w:sz w:val="18"/>
                <w:szCs w:val="18"/>
                <w:lang w:val="es-CO" w:eastAsia="es-CO"/>
              </w:rPr>
              <w:t xml:space="preserve">Los administradores de sistemas de negociación de valores deberán informar a sus afiliados el precio o tasa, el volumen y la hora de las operaciones realizadas de acuerdo con sus </w:t>
            </w:r>
            <w:r w:rsidRPr="00602D1A">
              <w:rPr>
                <w:rFonts w:ascii="Calibri" w:hAnsi="Calibri"/>
                <w:b/>
                <w:bCs/>
                <w:sz w:val="18"/>
                <w:szCs w:val="18"/>
                <w:lang w:val="es-CO" w:eastAsia="es-CO"/>
              </w:rPr>
              <w:lastRenderedPageBreak/>
              <w:t>reglamentos</w:t>
            </w:r>
            <w:r w:rsidRPr="00602D1A">
              <w:rPr>
                <w:rFonts w:ascii="Calibri" w:hAnsi="Calibri"/>
                <w:sz w:val="18"/>
                <w:szCs w:val="18"/>
                <w:lang w:val="es-CO" w:eastAsia="es-CO"/>
              </w:rPr>
              <w:t xml:space="preserve">.” </w:t>
            </w:r>
            <w:r w:rsidRPr="00602D1A">
              <w:rPr>
                <w:rFonts w:ascii="Calibri" w:hAnsi="Calibri"/>
                <w:sz w:val="18"/>
                <w:szCs w:val="18"/>
                <w:lang w:val="es-CO" w:eastAsia="es-CO"/>
              </w:rPr>
              <w:br/>
            </w:r>
            <w:r w:rsidRPr="00602D1A">
              <w:rPr>
                <w:rFonts w:ascii="Calibri" w:hAnsi="Calibri"/>
                <w:sz w:val="18"/>
                <w:szCs w:val="18"/>
                <w:lang w:val="es-CO" w:eastAsia="es-CO"/>
              </w:rPr>
              <w:br/>
            </w:r>
            <w:proofErr w:type="spellStart"/>
            <w:r w:rsidRPr="00602D1A">
              <w:rPr>
                <w:rFonts w:ascii="Calibri" w:hAnsi="Calibri"/>
                <w:sz w:val="18"/>
                <w:szCs w:val="18"/>
                <w:lang w:val="es-CO" w:eastAsia="es-CO"/>
              </w:rPr>
              <w:t>Derivex</w:t>
            </w:r>
            <w:proofErr w:type="spellEnd"/>
            <w:r w:rsidRPr="00602D1A">
              <w:rPr>
                <w:rFonts w:ascii="Calibri" w:hAnsi="Calibri"/>
                <w:sz w:val="18"/>
                <w:szCs w:val="18"/>
                <w:lang w:val="es-CO" w:eastAsia="es-CO"/>
              </w:rPr>
              <w:t xml:space="preserve"> desarrolló estadísticas de mercado, donde le informa a sus miembros qué operaciones se han cerrado con sus debidas características.</w:t>
            </w:r>
            <w:r w:rsidRPr="00602D1A">
              <w:rPr>
                <w:rFonts w:ascii="Calibri" w:hAnsi="Calibri"/>
                <w:sz w:val="18"/>
                <w:szCs w:val="18"/>
                <w:lang w:val="es-CO" w:eastAsia="es-CO"/>
              </w:rPr>
              <w:br/>
            </w:r>
            <w:r w:rsidRPr="00602D1A">
              <w:rPr>
                <w:rFonts w:ascii="Calibri" w:hAnsi="Calibri"/>
                <w:sz w:val="18"/>
                <w:szCs w:val="18"/>
                <w:lang w:val="es-CO" w:eastAsia="es-CO"/>
              </w:rPr>
              <w:br/>
              <w:t>“</w:t>
            </w:r>
            <w:r w:rsidRPr="00602D1A">
              <w:rPr>
                <w:rFonts w:ascii="Calibri" w:hAnsi="Calibri"/>
                <w:b/>
                <w:bCs/>
                <w:sz w:val="18"/>
                <w:szCs w:val="18"/>
                <w:lang w:val="es-CO" w:eastAsia="es-CO"/>
              </w:rPr>
              <w:t>Se deberá revelar, al menos diariamente, por cada una de las especies negociadas, de manera amplia y oportuna, los precios o tasas de apertura, promedio, mínimo, máximo y de cierre de las operaciones realizadas, volúmenes totales y número de transacciones que lo componen</w:t>
            </w:r>
            <w:r w:rsidRPr="00602D1A">
              <w:rPr>
                <w:rFonts w:ascii="Calibri" w:hAnsi="Calibri"/>
                <w:sz w:val="18"/>
                <w:szCs w:val="18"/>
                <w:lang w:val="es-CO" w:eastAsia="es-CO"/>
              </w:rPr>
              <w:t xml:space="preserve">.” </w:t>
            </w:r>
          </w:p>
          <w:p w14:paraId="1EB93CFB" w14:textId="48332FDA" w:rsidR="00602D1A" w:rsidRPr="00602D1A" w:rsidRDefault="00602D1A">
            <w:pPr>
              <w:spacing w:before="0" w:after="0"/>
              <w:jc w:val="left"/>
              <w:rPr>
                <w:rFonts w:ascii="Calibri" w:hAnsi="Calibri"/>
                <w:sz w:val="18"/>
                <w:szCs w:val="18"/>
                <w:lang w:val="es-CO" w:eastAsia="es-CO"/>
              </w:rPr>
            </w:pPr>
            <w:r w:rsidRPr="00602D1A">
              <w:rPr>
                <w:rFonts w:ascii="Calibri" w:hAnsi="Calibri"/>
                <w:sz w:val="18"/>
                <w:szCs w:val="18"/>
                <w:lang w:val="es-CO" w:eastAsia="es-CO"/>
              </w:rPr>
              <w:br/>
              <w:t xml:space="preserve">Los administradores en sus páginas de internet publican las características de las operaciones; entre mayor sea la información suministrada el mercado se considera un mercado más transparente." </w:t>
            </w:r>
          </w:p>
        </w:tc>
      </w:tr>
      <w:tr w:rsidR="00602D1A" w:rsidRPr="00602D1A" w14:paraId="64CF6592" w14:textId="77777777" w:rsidTr="00D31EE1">
        <w:trPr>
          <w:trHeight w:val="675"/>
        </w:trPr>
        <w:tc>
          <w:tcPr>
            <w:tcW w:w="907" w:type="pct"/>
            <w:tcBorders>
              <w:top w:val="nil"/>
              <w:left w:val="single" w:sz="4" w:space="0" w:color="auto"/>
              <w:bottom w:val="single" w:sz="4" w:space="0" w:color="auto"/>
              <w:right w:val="single" w:sz="4" w:space="0" w:color="auto"/>
            </w:tcBorders>
            <w:shd w:val="clear" w:color="000000" w:fill="D0CECE"/>
            <w:hideMark/>
          </w:tcPr>
          <w:p w14:paraId="1AF4DAF4" w14:textId="77777777" w:rsidR="00602D1A" w:rsidRPr="00602D1A" w:rsidRDefault="00602D1A">
            <w:pPr>
              <w:spacing w:before="0" w:after="0"/>
              <w:jc w:val="left"/>
              <w:rPr>
                <w:rFonts w:ascii="Calibri" w:hAnsi="Calibri"/>
                <w:b/>
                <w:bCs/>
                <w:color w:val="000000"/>
                <w:sz w:val="18"/>
                <w:szCs w:val="18"/>
                <w:lang w:val="es-CO" w:eastAsia="es-CO"/>
              </w:rPr>
            </w:pPr>
            <w:r w:rsidRPr="00602D1A">
              <w:rPr>
                <w:rFonts w:ascii="Calibri" w:hAnsi="Calibri"/>
                <w:b/>
                <w:bCs/>
                <w:color w:val="000000"/>
                <w:sz w:val="18"/>
                <w:szCs w:val="18"/>
                <w:lang w:val="es-CO" w:eastAsia="es-CO"/>
              </w:rPr>
              <w:lastRenderedPageBreak/>
              <w:t>Diego Jara</w:t>
            </w:r>
            <w:r w:rsidRPr="00602D1A">
              <w:rPr>
                <w:rFonts w:ascii="Calibri" w:hAnsi="Calibri"/>
                <w:b/>
                <w:bCs/>
                <w:color w:val="000000"/>
                <w:sz w:val="18"/>
                <w:szCs w:val="18"/>
                <w:lang w:val="es-CO" w:eastAsia="es-CO"/>
              </w:rPr>
              <w:br/>
              <w:t>(Riesgos)</w:t>
            </w:r>
          </w:p>
        </w:tc>
        <w:tc>
          <w:tcPr>
            <w:tcW w:w="4093" w:type="pct"/>
            <w:tcBorders>
              <w:top w:val="single" w:sz="4" w:space="0" w:color="auto"/>
              <w:left w:val="nil"/>
              <w:bottom w:val="single" w:sz="4" w:space="0" w:color="auto"/>
              <w:right w:val="single" w:sz="4" w:space="0" w:color="auto"/>
            </w:tcBorders>
            <w:shd w:val="clear" w:color="auto" w:fill="auto"/>
            <w:hideMark/>
          </w:tcPr>
          <w:p w14:paraId="3E808DDE" w14:textId="77777777" w:rsidR="00602D1A" w:rsidRPr="00602D1A" w:rsidRDefault="00602D1A">
            <w:pPr>
              <w:spacing w:before="0" w:after="0"/>
              <w:jc w:val="left"/>
              <w:rPr>
                <w:rFonts w:ascii="Calibri" w:hAnsi="Calibri"/>
                <w:sz w:val="18"/>
                <w:szCs w:val="18"/>
                <w:lang w:val="es-CO" w:eastAsia="es-CO"/>
              </w:rPr>
            </w:pPr>
            <w:r w:rsidRPr="00602D1A">
              <w:rPr>
                <w:rFonts w:ascii="Calibri" w:hAnsi="Calibri"/>
                <w:sz w:val="18"/>
                <w:szCs w:val="18"/>
                <w:lang w:val="es-CO" w:eastAsia="es-CO"/>
              </w:rPr>
              <w:t> </w:t>
            </w:r>
          </w:p>
        </w:tc>
      </w:tr>
      <w:tr w:rsidR="00602D1A" w:rsidRPr="00602D1A" w14:paraId="2EA57F2A" w14:textId="77777777" w:rsidTr="00D31EE1">
        <w:trPr>
          <w:trHeight w:val="2703"/>
        </w:trPr>
        <w:tc>
          <w:tcPr>
            <w:tcW w:w="907" w:type="pct"/>
            <w:tcBorders>
              <w:top w:val="nil"/>
              <w:left w:val="single" w:sz="4" w:space="0" w:color="auto"/>
              <w:bottom w:val="single" w:sz="4" w:space="0" w:color="auto"/>
              <w:right w:val="single" w:sz="4" w:space="0" w:color="auto"/>
            </w:tcBorders>
            <w:shd w:val="clear" w:color="000000" w:fill="D0CECE"/>
            <w:hideMark/>
          </w:tcPr>
          <w:p w14:paraId="03788FC6" w14:textId="77777777" w:rsidR="00602D1A" w:rsidRPr="00602D1A" w:rsidRDefault="00602D1A">
            <w:pPr>
              <w:spacing w:before="0" w:after="0"/>
              <w:jc w:val="left"/>
              <w:rPr>
                <w:rFonts w:ascii="Calibri" w:hAnsi="Calibri"/>
                <w:b/>
                <w:bCs/>
                <w:color w:val="000000"/>
                <w:sz w:val="18"/>
                <w:szCs w:val="18"/>
                <w:lang w:val="es-CO" w:eastAsia="es-CO"/>
              </w:rPr>
            </w:pPr>
            <w:r w:rsidRPr="00602D1A">
              <w:rPr>
                <w:rFonts w:ascii="Calibri" w:hAnsi="Calibri"/>
                <w:b/>
                <w:bCs/>
                <w:color w:val="000000"/>
                <w:sz w:val="18"/>
                <w:szCs w:val="18"/>
                <w:lang w:val="es-CO" w:eastAsia="es-CO"/>
              </w:rPr>
              <w:t>Roberto Borrás</w:t>
            </w:r>
            <w:r w:rsidRPr="00602D1A">
              <w:rPr>
                <w:rFonts w:ascii="Calibri" w:hAnsi="Calibri"/>
                <w:b/>
                <w:bCs/>
                <w:color w:val="000000"/>
                <w:sz w:val="18"/>
                <w:szCs w:val="18"/>
                <w:lang w:val="es-CO" w:eastAsia="es-CO"/>
              </w:rPr>
              <w:br w:type="page"/>
              <w:t>(Gobierno corporativo)</w:t>
            </w:r>
          </w:p>
        </w:tc>
        <w:tc>
          <w:tcPr>
            <w:tcW w:w="4093" w:type="pct"/>
            <w:tcBorders>
              <w:top w:val="single" w:sz="4" w:space="0" w:color="auto"/>
              <w:left w:val="nil"/>
              <w:bottom w:val="single" w:sz="4" w:space="0" w:color="auto"/>
              <w:right w:val="single" w:sz="4" w:space="0" w:color="auto"/>
            </w:tcBorders>
            <w:shd w:val="clear" w:color="auto" w:fill="auto"/>
            <w:hideMark/>
          </w:tcPr>
          <w:p w14:paraId="20D38244" w14:textId="77777777" w:rsidR="00116145" w:rsidRDefault="00602D1A">
            <w:pPr>
              <w:spacing w:before="0" w:after="0"/>
              <w:rPr>
                <w:rFonts w:ascii="Calibri" w:hAnsi="Calibri"/>
                <w:sz w:val="18"/>
                <w:szCs w:val="18"/>
                <w:lang w:val="es-CO" w:eastAsia="es-CO"/>
              </w:rPr>
            </w:pPr>
            <w:r w:rsidRPr="00602D1A">
              <w:rPr>
                <w:rFonts w:ascii="Calibri" w:hAnsi="Calibri"/>
                <w:sz w:val="18"/>
                <w:szCs w:val="18"/>
                <w:lang w:val="es-CO" w:eastAsia="es-CO"/>
              </w:rPr>
              <w:t>Pág. 25</w:t>
            </w:r>
            <w:r w:rsidRPr="00602D1A">
              <w:rPr>
                <w:rFonts w:ascii="Calibri" w:hAnsi="Calibri"/>
                <w:sz w:val="18"/>
                <w:szCs w:val="18"/>
                <w:lang w:val="es-CO" w:eastAsia="es-CO"/>
              </w:rPr>
              <w:br w:type="page"/>
              <w:t xml:space="preserve">"En cuanto al principio de transparencia, es pertinente mencionar que el Mecanismo prevé el suministro de información pública de la valoración y operaciones (precios y cantidades) de los instrumentos que allí se negocian, según lo impone el deber previsto en el literal k del Artículo 2.15.1.2.3 del Decreto 2555 de 2010, lo que garantiza que los participantes del mercado de energía, sin importar el rol que tenga, se encontrarán en una situación de igualdad en materia de acceso a información." </w:t>
            </w:r>
            <w:r w:rsidRPr="00602D1A">
              <w:rPr>
                <w:rFonts w:ascii="Calibri" w:hAnsi="Calibri"/>
                <w:sz w:val="18"/>
                <w:szCs w:val="18"/>
                <w:lang w:val="es-CO" w:eastAsia="es-CO"/>
              </w:rPr>
              <w:br w:type="page"/>
            </w:r>
            <w:r w:rsidRPr="00602D1A">
              <w:rPr>
                <w:rFonts w:ascii="Calibri" w:hAnsi="Calibri"/>
                <w:sz w:val="18"/>
                <w:szCs w:val="18"/>
                <w:lang w:val="es-CO" w:eastAsia="es-CO"/>
              </w:rPr>
              <w:br w:type="page"/>
              <w:t>"la posibilidad de modificar el Reglamento de funcionamiento del Mecanismo debe ser adoptada por parte de la Junta Directiva con la anuencia de tres de sus miembros, cuando los tres minoritarios únicamente tienen la capacidad de nombrar a uno, lo que limitaría en principio la posibilidad de adoptar cambios que le resulten beneficiosos para sí, manipular el Mecanismo o ejercer algún poder indebido sobre el mismo, garantizando de esta manera el</w:t>
            </w:r>
            <w:r w:rsidRPr="00602D1A">
              <w:rPr>
                <w:rFonts w:ascii="Calibri" w:hAnsi="Calibri"/>
                <w:b/>
                <w:bCs/>
                <w:sz w:val="18"/>
                <w:szCs w:val="18"/>
                <w:lang w:val="es-CO" w:eastAsia="es-CO"/>
              </w:rPr>
              <w:t xml:space="preserve"> principio de transparencia y neutralidad del Mecanismo</w:t>
            </w:r>
            <w:r w:rsidRPr="00602D1A">
              <w:rPr>
                <w:rFonts w:ascii="Calibri" w:hAnsi="Calibri"/>
                <w:sz w:val="18"/>
                <w:szCs w:val="18"/>
                <w:lang w:val="es-CO" w:eastAsia="es-CO"/>
              </w:rPr>
              <w:t>."</w:t>
            </w:r>
            <w:r w:rsidRPr="00602D1A">
              <w:rPr>
                <w:rFonts w:ascii="Calibri" w:hAnsi="Calibri"/>
                <w:sz w:val="18"/>
                <w:szCs w:val="18"/>
                <w:lang w:val="es-CO" w:eastAsia="es-CO"/>
              </w:rPr>
              <w:br w:type="page"/>
            </w:r>
            <w:r w:rsidRPr="00602D1A">
              <w:rPr>
                <w:rFonts w:ascii="Calibri" w:hAnsi="Calibri"/>
                <w:sz w:val="18"/>
                <w:szCs w:val="18"/>
                <w:lang w:val="es-CO" w:eastAsia="es-CO"/>
              </w:rPr>
              <w:br w:type="page"/>
              <w:t xml:space="preserve"> </w:t>
            </w:r>
          </w:p>
          <w:p w14:paraId="467DB765" w14:textId="77777777" w:rsidR="00116145" w:rsidRDefault="00116145">
            <w:pPr>
              <w:spacing w:before="0" w:after="0"/>
              <w:jc w:val="left"/>
              <w:rPr>
                <w:rFonts w:ascii="Calibri" w:hAnsi="Calibri"/>
                <w:sz w:val="18"/>
                <w:szCs w:val="18"/>
                <w:lang w:val="es-CO" w:eastAsia="es-CO"/>
              </w:rPr>
            </w:pPr>
          </w:p>
          <w:p w14:paraId="43304A77" w14:textId="6D39339B" w:rsidR="00602D1A" w:rsidRPr="00602D1A" w:rsidRDefault="00602D1A">
            <w:pPr>
              <w:spacing w:before="0" w:after="0"/>
              <w:rPr>
                <w:rFonts w:ascii="Calibri" w:hAnsi="Calibri"/>
                <w:sz w:val="18"/>
                <w:szCs w:val="18"/>
                <w:lang w:val="es-CO" w:eastAsia="es-CO"/>
              </w:rPr>
            </w:pPr>
            <w:r w:rsidRPr="00602D1A">
              <w:rPr>
                <w:rFonts w:ascii="Calibri" w:hAnsi="Calibri"/>
                <w:sz w:val="18"/>
                <w:szCs w:val="18"/>
                <w:lang w:val="es-CO" w:eastAsia="es-CO"/>
              </w:rPr>
              <w:t xml:space="preserve">Pág. 29 </w:t>
            </w:r>
            <w:r w:rsidRPr="00602D1A">
              <w:rPr>
                <w:rFonts w:ascii="Calibri" w:hAnsi="Calibri"/>
                <w:sz w:val="18"/>
                <w:szCs w:val="18"/>
                <w:lang w:val="es-CO" w:eastAsia="es-CO"/>
              </w:rPr>
              <w:br w:type="page"/>
              <w:t>"(...) estatutariamente se consagra el deber especial de manejo de la información catalogada como reservada sobre todo en asuntos que tengan relación con su ventaja competitiva, su estrategia corporativa, su competencia, precios y campañas. En tal sentido, con excepción de la información reservada o de aquella que ponga en riesgo los negocios de la CRCC o afecte derechos de terceros, esta se obliga a suministrar información general, de acuerdo con la metodología y periodicidad fijados por la Junta Directiva, que permita a los accionistas y demás inversionistas en valores que la sociedad emita contar con información oportuna y veraz, lo que garantiza el cumplimiento de los principios de transparencia, neutralidad y fiabilidad."</w:t>
            </w:r>
          </w:p>
        </w:tc>
      </w:tr>
    </w:tbl>
    <w:p w14:paraId="318F51BF" w14:textId="5B60D782" w:rsidR="00BF5E35" w:rsidRDefault="00BF5E35">
      <w:pPr>
        <w:spacing w:before="0" w:after="0"/>
        <w:rPr>
          <w:b/>
          <w:caps/>
          <w:szCs w:val="20"/>
          <w:lang w:val="es-CO"/>
        </w:rPr>
      </w:pPr>
    </w:p>
    <w:p w14:paraId="18345AEC" w14:textId="77777777" w:rsidR="00C82DD7" w:rsidRDefault="00C82DD7">
      <w:pPr>
        <w:spacing w:before="0" w:after="0"/>
        <w:rPr>
          <w:b/>
          <w:caps/>
          <w:szCs w:val="20"/>
          <w:lang w:val="es-CO"/>
        </w:rPr>
      </w:pPr>
    </w:p>
    <w:tbl>
      <w:tblPr>
        <w:tblpPr w:leftFromText="141" w:rightFromText="141" w:vertAnchor="text" w:tblpY="1"/>
        <w:tblOverlap w:val="never"/>
        <w:tblW w:w="5000" w:type="pct"/>
        <w:tblCellMar>
          <w:left w:w="70" w:type="dxa"/>
          <w:right w:w="70" w:type="dxa"/>
        </w:tblCellMar>
        <w:tblLook w:val="04A0" w:firstRow="1" w:lastRow="0" w:firstColumn="1" w:lastColumn="0" w:noHBand="0" w:noVBand="1"/>
      </w:tblPr>
      <w:tblGrid>
        <w:gridCol w:w="1692"/>
        <w:gridCol w:w="7644"/>
      </w:tblGrid>
      <w:tr w:rsidR="00B422F9" w:rsidRPr="00B422F9" w14:paraId="2EE810E4" w14:textId="77777777" w:rsidTr="00D31EE1">
        <w:trPr>
          <w:trHeight w:val="315"/>
        </w:trPr>
        <w:tc>
          <w:tcPr>
            <w:tcW w:w="906" w:type="pct"/>
            <w:tcBorders>
              <w:top w:val="single" w:sz="8" w:space="0" w:color="auto"/>
              <w:left w:val="single" w:sz="8" w:space="0" w:color="auto"/>
              <w:bottom w:val="single" w:sz="4" w:space="0" w:color="auto"/>
              <w:right w:val="nil"/>
            </w:tcBorders>
            <w:shd w:val="clear" w:color="000000" w:fill="E7E6E6"/>
            <w:noWrap/>
            <w:vAlign w:val="center"/>
            <w:hideMark/>
          </w:tcPr>
          <w:p w14:paraId="47B85EEB" w14:textId="77777777" w:rsidR="00B422F9" w:rsidRPr="00B422F9" w:rsidRDefault="00B422F9" w:rsidP="002604F7">
            <w:pPr>
              <w:spacing w:before="0" w:after="0"/>
              <w:jc w:val="center"/>
              <w:rPr>
                <w:rFonts w:ascii="Calibri" w:hAnsi="Calibri"/>
                <w:b/>
                <w:bCs/>
                <w:color w:val="000000"/>
                <w:sz w:val="18"/>
                <w:szCs w:val="18"/>
                <w:lang w:val="es-CO" w:eastAsia="es-CO"/>
              </w:rPr>
            </w:pPr>
            <w:r w:rsidRPr="00B422F9">
              <w:rPr>
                <w:rFonts w:ascii="Calibri" w:hAnsi="Calibri"/>
                <w:b/>
                <w:bCs/>
                <w:color w:val="000000"/>
                <w:sz w:val="18"/>
                <w:szCs w:val="18"/>
                <w:lang w:val="es-CO" w:eastAsia="es-CO"/>
              </w:rPr>
              <w:t xml:space="preserve">Parámetro </w:t>
            </w:r>
          </w:p>
        </w:tc>
        <w:tc>
          <w:tcPr>
            <w:tcW w:w="4094" w:type="pct"/>
            <w:tcBorders>
              <w:top w:val="single" w:sz="8" w:space="0" w:color="auto"/>
              <w:left w:val="single" w:sz="8" w:space="0" w:color="auto"/>
              <w:bottom w:val="single" w:sz="4" w:space="0" w:color="auto"/>
              <w:right w:val="single" w:sz="8" w:space="0" w:color="auto"/>
            </w:tcBorders>
            <w:shd w:val="clear" w:color="000000" w:fill="D9E1F2"/>
            <w:vAlign w:val="center"/>
            <w:hideMark/>
          </w:tcPr>
          <w:p w14:paraId="071E4274" w14:textId="77777777" w:rsidR="00B422F9" w:rsidRPr="00B422F9" w:rsidRDefault="00B422F9" w:rsidP="00C17C0F">
            <w:pPr>
              <w:spacing w:before="0" w:after="0"/>
              <w:jc w:val="center"/>
              <w:rPr>
                <w:rFonts w:ascii="Calibri" w:hAnsi="Calibri"/>
                <w:b/>
                <w:bCs/>
                <w:color w:val="000000"/>
                <w:sz w:val="18"/>
                <w:szCs w:val="18"/>
                <w:lang w:val="es-CO" w:eastAsia="es-CO"/>
              </w:rPr>
            </w:pPr>
            <w:r w:rsidRPr="00B422F9">
              <w:rPr>
                <w:rFonts w:ascii="Calibri" w:hAnsi="Calibri"/>
                <w:b/>
                <w:bCs/>
                <w:color w:val="000000"/>
                <w:sz w:val="18"/>
                <w:szCs w:val="18"/>
                <w:lang w:val="es-CO" w:eastAsia="es-CO"/>
              </w:rPr>
              <w:t>Principio de neutralidad</w:t>
            </w:r>
          </w:p>
        </w:tc>
      </w:tr>
      <w:tr w:rsidR="00B422F9" w:rsidRPr="00B422F9" w14:paraId="0C344D23" w14:textId="77777777" w:rsidTr="00D31EE1">
        <w:trPr>
          <w:trHeight w:val="1200"/>
        </w:trPr>
        <w:tc>
          <w:tcPr>
            <w:tcW w:w="906" w:type="pct"/>
            <w:tcBorders>
              <w:top w:val="single" w:sz="4" w:space="0" w:color="auto"/>
              <w:left w:val="single" w:sz="4" w:space="0" w:color="auto"/>
              <w:bottom w:val="single" w:sz="4" w:space="0" w:color="auto"/>
              <w:right w:val="single" w:sz="4" w:space="0" w:color="auto"/>
            </w:tcBorders>
            <w:shd w:val="clear" w:color="000000" w:fill="E7E6E6"/>
            <w:noWrap/>
            <w:hideMark/>
          </w:tcPr>
          <w:p w14:paraId="17DCCFE0" w14:textId="77777777" w:rsidR="00B422F9" w:rsidRPr="00B422F9" w:rsidRDefault="00B422F9" w:rsidP="002604F7">
            <w:pPr>
              <w:spacing w:before="0" w:after="0"/>
              <w:jc w:val="left"/>
              <w:rPr>
                <w:rFonts w:ascii="Calibri" w:hAnsi="Calibri"/>
                <w:b/>
                <w:bCs/>
                <w:color w:val="000000"/>
                <w:sz w:val="18"/>
                <w:szCs w:val="18"/>
                <w:lang w:val="es-CO" w:eastAsia="es-CO"/>
              </w:rPr>
            </w:pPr>
            <w:r w:rsidRPr="00B422F9">
              <w:rPr>
                <w:rFonts w:ascii="Calibri" w:hAnsi="Calibri"/>
                <w:b/>
                <w:bCs/>
                <w:color w:val="000000"/>
                <w:sz w:val="18"/>
                <w:szCs w:val="18"/>
                <w:lang w:val="es-CO" w:eastAsia="es-CO"/>
              </w:rPr>
              <w:t>Descripción</w:t>
            </w:r>
          </w:p>
        </w:tc>
        <w:tc>
          <w:tcPr>
            <w:tcW w:w="4094" w:type="pct"/>
            <w:tcBorders>
              <w:top w:val="single" w:sz="4" w:space="0" w:color="auto"/>
              <w:left w:val="single" w:sz="4" w:space="0" w:color="auto"/>
              <w:bottom w:val="single" w:sz="4" w:space="0" w:color="auto"/>
              <w:right w:val="single" w:sz="4" w:space="0" w:color="auto"/>
            </w:tcBorders>
            <w:shd w:val="clear" w:color="auto" w:fill="auto"/>
            <w:hideMark/>
          </w:tcPr>
          <w:p w14:paraId="0D1F7E13" w14:textId="51D4D8C3" w:rsidR="0013525B" w:rsidRPr="00B422F9" w:rsidRDefault="00B422F9" w:rsidP="00C17C0F">
            <w:pPr>
              <w:spacing w:before="0" w:after="0"/>
              <w:jc w:val="left"/>
              <w:rPr>
                <w:rFonts w:ascii="Calibri" w:hAnsi="Calibri"/>
                <w:sz w:val="18"/>
                <w:szCs w:val="18"/>
                <w:lang w:val="es-CO" w:eastAsia="es-CO"/>
              </w:rPr>
            </w:pPr>
            <w:r w:rsidRPr="00B422F9">
              <w:rPr>
                <w:rFonts w:ascii="Calibri" w:hAnsi="Calibri"/>
                <w:sz w:val="18"/>
                <w:szCs w:val="18"/>
                <w:lang w:val="es-CO" w:eastAsia="es-CO"/>
              </w:rPr>
              <w:t>Las condiciones de participación no implican ni tácita ni explícitamente barreras a la entrada o condiciones de acceso que no se fundamenten en criterios explícitos, objetivos, verificables, razonables, proporcionados y previamente establecidos. Las reglas de funcionamiento del mecanismo garantizan un tratamiento simétrico e imparcial a todos los participantes. Adicionalmente, los resultados de la aplicación del mecanismo dependen exclusivamente de variables objetivas, observadas y pertinentes sobre el producto transado y los precios de oferta o demanda.</w:t>
            </w:r>
          </w:p>
        </w:tc>
      </w:tr>
      <w:tr w:rsidR="00B422F9" w:rsidRPr="00B422F9" w14:paraId="7EA3B14C" w14:textId="77777777" w:rsidTr="00D31EE1">
        <w:trPr>
          <w:trHeight w:val="1694"/>
        </w:trPr>
        <w:tc>
          <w:tcPr>
            <w:tcW w:w="906" w:type="pct"/>
            <w:tcBorders>
              <w:top w:val="single" w:sz="4" w:space="0" w:color="auto"/>
              <w:left w:val="single" w:sz="4" w:space="0" w:color="auto"/>
              <w:bottom w:val="single" w:sz="4" w:space="0" w:color="auto"/>
              <w:right w:val="single" w:sz="4" w:space="0" w:color="auto"/>
            </w:tcBorders>
            <w:shd w:val="clear" w:color="000000" w:fill="E7E6E6"/>
            <w:hideMark/>
          </w:tcPr>
          <w:p w14:paraId="4D7FEDF6" w14:textId="77777777" w:rsidR="00B422F9" w:rsidRPr="00B422F9" w:rsidRDefault="00B422F9" w:rsidP="002604F7">
            <w:pPr>
              <w:spacing w:before="0" w:after="0"/>
              <w:jc w:val="left"/>
              <w:rPr>
                <w:rFonts w:ascii="Calibri" w:hAnsi="Calibri"/>
                <w:b/>
                <w:bCs/>
                <w:color w:val="000000"/>
                <w:sz w:val="18"/>
                <w:szCs w:val="18"/>
                <w:lang w:val="es-CO" w:eastAsia="es-CO"/>
              </w:rPr>
            </w:pPr>
            <w:r w:rsidRPr="00B422F9">
              <w:rPr>
                <w:rFonts w:ascii="Calibri" w:hAnsi="Calibri"/>
                <w:b/>
                <w:bCs/>
                <w:color w:val="000000"/>
                <w:sz w:val="18"/>
                <w:szCs w:val="18"/>
                <w:lang w:val="es-CO" w:eastAsia="es-CO"/>
              </w:rPr>
              <w:t>Resumen de la evaluación</w:t>
            </w:r>
          </w:p>
        </w:tc>
        <w:tc>
          <w:tcPr>
            <w:tcW w:w="4094" w:type="pct"/>
            <w:tcBorders>
              <w:top w:val="single" w:sz="4" w:space="0" w:color="auto"/>
              <w:left w:val="single" w:sz="4" w:space="0" w:color="auto"/>
              <w:bottom w:val="single" w:sz="4" w:space="0" w:color="auto"/>
              <w:right w:val="single" w:sz="4" w:space="0" w:color="auto"/>
            </w:tcBorders>
            <w:shd w:val="clear" w:color="auto" w:fill="auto"/>
            <w:hideMark/>
          </w:tcPr>
          <w:p w14:paraId="3FD8E3B0" w14:textId="77777777" w:rsidR="00B422F9" w:rsidRPr="00B422F9" w:rsidRDefault="00B422F9" w:rsidP="00C17C0F">
            <w:pPr>
              <w:spacing w:before="0" w:after="0"/>
              <w:jc w:val="left"/>
              <w:rPr>
                <w:rFonts w:ascii="Calibri" w:hAnsi="Calibri"/>
                <w:color w:val="000000"/>
                <w:sz w:val="18"/>
                <w:szCs w:val="18"/>
                <w:lang w:val="es-CO" w:eastAsia="es-CO"/>
              </w:rPr>
            </w:pPr>
            <w:r w:rsidRPr="00B422F9">
              <w:rPr>
                <w:rFonts w:ascii="Calibri" w:hAnsi="Calibri"/>
                <w:color w:val="000000"/>
                <w:sz w:val="18"/>
                <w:szCs w:val="18"/>
                <w:lang w:val="es-CO" w:eastAsia="es-CO"/>
              </w:rPr>
              <w:t>El mecanismo de negociación electrónico permite el acceso múltiple y simultáneo para todo el mercado, donde los participantes tienen el mismo acceso a los precios gracias a las políticas de información dispuestas.</w:t>
            </w:r>
            <w:r w:rsidRPr="00B422F9">
              <w:rPr>
                <w:rFonts w:ascii="Calibri" w:hAnsi="Calibri"/>
                <w:color w:val="000000"/>
                <w:sz w:val="18"/>
                <w:szCs w:val="18"/>
                <w:lang w:val="es-CO" w:eastAsia="es-CO"/>
              </w:rPr>
              <w:br/>
              <w:t>Los contratos resultantes en el mecanismo tienen las mismas condiciones para todos los participantes en términos de obligaciones y montos de garantías frente a la CRCC, y corresponden a la adhesión a un contrato dispuesto en el mecanismo.</w:t>
            </w:r>
            <w:r w:rsidRPr="00B422F9">
              <w:rPr>
                <w:rFonts w:ascii="Calibri" w:hAnsi="Calibri"/>
                <w:color w:val="000000"/>
                <w:sz w:val="18"/>
                <w:szCs w:val="18"/>
                <w:lang w:val="es-CO" w:eastAsia="es-CO"/>
              </w:rPr>
              <w:br/>
              <w:t xml:space="preserve">En la definición de la gobernanza y gobierno corporativo se garantiza la simetría en el tratamiento de los participantes, particularmente, se establece que los participantes del MEM que son accionistas en </w:t>
            </w:r>
            <w:proofErr w:type="spellStart"/>
            <w:r w:rsidRPr="00B422F9">
              <w:rPr>
                <w:rFonts w:ascii="Calibri" w:hAnsi="Calibri"/>
                <w:color w:val="000000"/>
                <w:sz w:val="18"/>
                <w:szCs w:val="18"/>
                <w:lang w:val="es-CO" w:eastAsia="es-CO"/>
              </w:rPr>
              <w:t>Derivex</w:t>
            </w:r>
            <w:proofErr w:type="spellEnd"/>
            <w:r w:rsidRPr="00B422F9">
              <w:rPr>
                <w:rFonts w:ascii="Calibri" w:hAnsi="Calibri"/>
                <w:color w:val="000000"/>
                <w:sz w:val="18"/>
                <w:szCs w:val="18"/>
                <w:lang w:val="es-CO" w:eastAsia="es-CO"/>
              </w:rPr>
              <w:t xml:space="preserve"> no pueden cambiar de forma unilateral las condiciones del mecanismo.</w:t>
            </w:r>
          </w:p>
        </w:tc>
      </w:tr>
      <w:tr w:rsidR="00B422F9" w:rsidRPr="00B422F9" w14:paraId="509938C7" w14:textId="77777777" w:rsidTr="00D31EE1">
        <w:trPr>
          <w:trHeight w:val="1740"/>
        </w:trPr>
        <w:tc>
          <w:tcPr>
            <w:tcW w:w="906" w:type="pct"/>
            <w:tcBorders>
              <w:top w:val="single" w:sz="4" w:space="0" w:color="auto"/>
              <w:left w:val="single" w:sz="4" w:space="0" w:color="auto"/>
              <w:bottom w:val="single" w:sz="4" w:space="0" w:color="auto"/>
              <w:right w:val="single" w:sz="4" w:space="0" w:color="auto"/>
            </w:tcBorders>
            <w:shd w:val="clear" w:color="000000" w:fill="E7E6E6"/>
            <w:hideMark/>
          </w:tcPr>
          <w:p w14:paraId="68D5B30F" w14:textId="77777777" w:rsidR="00B422F9" w:rsidRPr="00B422F9" w:rsidRDefault="00B422F9" w:rsidP="002604F7">
            <w:pPr>
              <w:spacing w:before="0" w:after="0"/>
              <w:jc w:val="left"/>
              <w:rPr>
                <w:rFonts w:ascii="Calibri" w:hAnsi="Calibri"/>
                <w:b/>
                <w:bCs/>
                <w:color w:val="000000"/>
                <w:sz w:val="18"/>
                <w:szCs w:val="18"/>
                <w:lang w:val="es-CO" w:eastAsia="es-CO"/>
              </w:rPr>
            </w:pPr>
            <w:r w:rsidRPr="00B422F9">
              <w:rPr>
                <w:rFonts w:ascii="Calibri" w:hAnsi="Calibri"/>
                <w:b/>
                <w:bCs/>
                <w:color w:val="000000"/>
                <w:sz w:val="18"/>
                <w:szCs w:val="18"/>
                <w:lang w:val="es-CO" w:eastAsia="es-CO"/>
              </w:rPr>
              <w:t xml:space="preserve">Referencia en la propuesta </w:t>
            </w:r>
          </w:p>
        </w:tc>
        <w:tc>
          <w:tcPr>
            <w:tcW w:w="4094" w:type="pct"/>
            <w:tcBorders>
              <w:top w:val="single" w:sz="4" w:space="0" w:color="auto"/>
              <w:left w:val="single" w:sz="4" w:space="0" w:color="auto"/>
              <w:bottom w:val="single" w:sz="4" w:space="0" w:color="auto"/>
              <w:right w:val="single" w:sz="4" w:space="0" w:color="auto"/>
            </w:tcBorders>
            <w:shd w:val="clear" w:color="auto" w:fill="auto"/>
            <w:hideMark/>
          </w:tcPr>
          <w:p w14:paraId="6943296D" w14:textId="73E97991" w:rsidR="00B422F9" w:rsidRPr="00B422F9" w:rsidRDefault="00B422F9" w:rsidP="00C17C0F">
            <w:pPr>
              <w:spacing w:before="0" w:after="0"/>
              <w:jc w:val="left"/>
              <w:rPr>
                <w:rFonts w:ascii="Calibri" w:hAnsi="Calibri"/>
                <w:color w:val="000000"/>
                <w:sz w:val="18"/>
                <w:szCs w:val="18"/>
                <w:lang w:val="es-CO" w:eastAsia="es-CO"/>
              </w:rPr>
            </w:pPr>
            <w:r w:rsidRPr="00B422F9">
              <w:rPr>
                <w:rFonts w:ascii="Calibri" w:hAnsi="Calibri"/>
                <w:color w:val="000000"/>
                <w:sz w:val="18"/>
                <w:szCs w:val="18"/>
                <w:lang w:val="es-CO" w:eastAsia="es-CO"/>
              </w:rPr>
              <w:t xml:space="preserve">1. </w:t>
            </w:r>
            <w:r w:rsidRPr="00B422F9">
              <w:rPr>
                <w:rFonts w:ascii="Calibri" w:hAnsi="Calibri"/>
                <w:b/>
                <w:bCs/>
                <w:color w:val="000000"/>
                <w:sz w:val="18"/>
                <w:szCs w:val="18"/>
                <w:lang w:val="es-CO" w:eastAsia="es-CO"/>
              </w:rPr>
              <w:t xml:space="preserve">Numeral 3 de la propuesta: Descripción general del mecanismo. </w:t>
            </w:r>
            <w:r w:rsidRPr="00B422F9">
              <w:rPr>
                <w:rFonts w:ascii="Calibri" w:hAnsi="Calibri"/>
                <w:color w:val="000000"/>
                <w:sz w:val="18"/>
                <w:szCs w:val="18"/>
                <w:lang w:val="es-CO" w:eastAsia="es-CO"/>
              </w:rPr>
              <w:t xml:space="preserve">"(...) los participantes del mercado de energía mayorista deberán vincularse a través de un contrato de comisión a una Sociedad Comisionista de Bolsa (SCB) que sea Miembro de </w:t>
            </w:r>
            <w:proofErr w:type="spellStart"/>
            <w:r w:rsidRPr="00B422F9">
              <w:rPr>
                <w:rFonts w:ascii="Calibri" w:hAnsi="Calibri"/>
                <w:color w:val="000000"/>
                <w:sz w:val="18"/>
                <w:szCs w:val="18"/>
                <w:lang w:val="es-CO" w:eastAsia="es-CO"/>
              </w:rPr>
              <w:t>Derivex</w:t>
            </w:r>
            <w:proofErr w:type="spellEnd"/>
            <w:r w:rsidRPr="00B422F9">
              <w:rPr>
                <w:rFonts w:ascii="Calibri" w:hAnsi="Calibri"/>
                <w:color w:val="000000"/>
                <w:sz w:val="18"/>
                <w:szCs w:val="18"/>
                <w:lang w:val="es-CO" w:eastAsia="es-CO"/>
              </w:rPr>
              <w:t xml:space="preserve"> y que a su vez sea Miembro de la CRCC"</w:t>
            </w:r>
            <w:r w:rsidR="007922F3">
              <w:rPr>
                <w:rFonts w:ascii="Calibri" w:hAnsi="Calibri"/>
                <w:color w:val="000000"/>
                <w:sz w:val="18"/>
                <w:szCs w:val="18"/>
                <w:lang w:val="es-CO" w:eastAsia="es-CO"/>
              </w:rPr>
              <w:t>.</w:t>
            </w:r>
            <w:r w:rsidRPr="00B422F9">
              <w:rPr>
                <w:rFonts w:ascii="Calibri" w:hAnsi="Calibri"/>
                <w:color w:val="000000"/>
                <w:sz w:val="18"/>
                <w:szCs w:val="18"/>
                <w:lang w:val="es-CO" w:eastAsia="es-CO"/>
              </w:rPr>
              <w:br/>
            </w:r>
            <w:r w:rsidRPr="00B422F9">
              <w:rPr>
                <w:rFonts w:ascii="Calibri" w:hAnsi="Calibri"/>
                <w:color w:val="000000"/>
                <w:sz w:val="18"/>
                <w:szCs w:val="18"/>
                <w:lang w:val="es-CO" w:eastAsia="es-CO"/>
              </w:rPr>
              <w:br/>
              <w:t xml:space="preserve">2. </w:t>
            </w:r>
            <w:r w:rsidRPr="00B422F9">
              <w:rPr>
                <w:rFonts w:ascii="Calibri" w:hAnsi="Calibri"/>
                <w:b/>
                <w:bCs/>
                <w:color w:val="000000"/>
                <w:sz w:val="18"/>
                <w:szCs w:val="18"/>
                <w:lang w:val="es-CO" w:eastAsia="es-CO"/>
              </w:rPr>
              <w:t>Numeral 3 de la propuesta: Descripción general del mecanismo.</w:t>
            </w:r>
            <w:r w:rsidRPr="00B422F9">
              <w:rPr>
                <w:rFonts w:ascii="Calibri" w:hAnsi="Calibri"/>
                <w:color w:val="000000"/>
                <w:sz w:val="18"/>
                <w:szCs w:val="18"/>
                <w:lang w:val="es-CO" w:eastAsia="es-CO"/>
              </w:rPr>
              <w:t xml:space="preserve"> "(...) ofrece la negociación sobre Contratos de Futuros estandarizados, condiciones de anonimato en la negociación, una negociación transparente sujeta a reglas y criterios objetivos de participación, con divulgación de la información de mercado de forma amplia, oportuna y disponible </w:t>
            </w:r>
            <w:r w:rsidRPr="00B422F9">
              <w:rPr>
                <w:rFonts w:ascii="Calibri" w:hAnsi="Calibri"/>
                <w:b/>
                <w:bCs/>
                <w:color w:val="000000"/>
                <w:sz w:val="18"/>
                <w:szCs w:val="18"/>
                <w:lang w:val="es-CO" w:eastAsia="es-CO"/>
              </w:rPr>
              <w:t xml:space="preserve">en igualdad de condiciones a todos los </w:t>
            </w:r>
            <w:r w:rsidRPr="00B422F9">
              <w:rPr>
                <w:rFonts w:ascii="Calibri" w:hAnsi="Calibri"/>
                <w:b/>
                <w:bCs/>
                <w:color w:val="000000"/>
                <w:sz w:val="18"/>
                <w:szCs w:val="18"/>
                <w:lang w:val="es-CO" w:eastAsia="es-CO"/>
              </w:rPr>
              <w:lastRenderedPageBreak/>
              <w:t>participantes, garantizando la no discriminación de los mismos,</w:t>
            </w:r>
            <w:r w:rsidRPr="00B422F9">
              <w:rPr>
                <w:rFonts w:ascii="Calibri" w:hAnsi="Calibri"/>
                <w:color w:val="000000"/>
                <w:sz w:val="18"/>
                <w:szCs w:val="18"/>
                <w:lang w:val="es-CO" w:eastAsia="es-CO"/>
              </w:rPr>
              <w:t xml:space="preserve"> la valoración permanente de los Contratos a precios de mercado y la negociación de estos contratos a través de la sesión continua y de subastas"</w:t>
            </w:r>
          </w:p>
        </w:tc>
      </w:tr>
      <w:tr w:rsidR="00B422F9" w:rsidRPr="00B422F9" w14:paraId="59061421" w14:textId="77777777" w:rsidTr="00D31EE1">
        <w:trPr>
          <w:trHeight w:val="1127"/>
        </w:trPr>
        <w:tc>
          <w:tcPr>
            <w:tcW w:w="906" w:type="pct"/>
            <w:tcBorders>
              <w:top w:val="single" w:sz="4" w:space="0" w:color="auto"/>
              <w:left w:val="single" w:sz="4" w:space="0" w:color="auto"/>
              <w:bottom w:val="single" w:sz="4" w:space="0" w:color="auto"/>
              <w:right w:val="single" w:sz="4" w:space="0" w:color="auto"/>
            </w:tcBorders>
            <w:shd w:val="clear" w:color="000000" w:fill="E7E6E6"/>
            <w:hideMark/>
          </w:tcPr>
          <w:p w14:paraId="2123FFA3" w14:textId="77777777" w:rsidR="00B422F9" w:rsidRPr="00B422F9" w:rsidRDefault="00B422F9" w:rsidP="002604F7">
            <w:pPr>
              <w:spacing w:before="0" w:after="0"/>
              <w:jc w:val="left"/>
              <w:rPr>
                <w:rFonts w:ascii="Calibri" w:hAnsi="Calibri"/>
                <w:b/>
                <w:bCs/>
                <w:color w:val="000000"/>
                <w:sz w:val="18"/>
                <w:szCs w:val="18"/>
                <w:lang w:val="es-CO" w:eastAsia="es-CO"/>
              </w:rPr>
            </w:pPr>
            <w:r w:rsidRPr="00B422F9">
              <w:rPr>
                <w:rFonts w:ascii="Calibri" w:hAnsi="Calibri"/>
                <w:b/>
                <w:bCs/>
                <w:color w:val="000000"/>
                <w:sz w:val="18"/>
                <w:szCs w:val="18"/>
                <w:lang w:val="es-CO" w:eastAsia="es-CO"/>
              </w:rPr>
              <w:lastRenderedPageBreak/>
              <w:t>Juan Pablo Amorocho</w:t>
            </w:r>
            <w:r w:rsidRPr="00B422F9">
              <w:rPr>
                <w:rFonts w:ascii="Calibri" w:hAnsi="Calibri"/>
                <w:b/>
                <w:bCs/>
                <w:color w:val="000000"/>
                <w:sz w:val="18"/>
                <w:szCs w:val="18"/>
                <w:lang w:val="es-CO" w:eastAsia="es-CO"/>
              </w:rPr>
              <w:br/>
              <w:t>(Mercados)</w:t>
            </w:r>
          </w:p>
        </w:tc>
        <w:tc>
          <w:tcPr>
            <w:tcW w:w="4094" w:type="pct"/>
            <w:tcBorders>
              <w:top w:val="single" w:sz="4" w:space="0" w:color="auto"/>
              <w:left w:val="single" w:sz="4" w:space="0" w:color="auto"/>
              <w:bottom w:val="single" w:sz="4" w:space="0" w:color="auto"/>
              <w:right w:val="single" w:sz="4" w:space="0" w:color="auto"/>
            </w:tcBorders>
            <w:shd w:val="clear" w:color="auto" w:fill="auto"/>
            <w:hideMark/>
          </w:tcPr>
          <w:p w14:paraId="7D12E5C8" w14:textId="3C6AE4BC" w:rsidR="00B422F9" w:rsidRPr="00B422F9" w:rsidRDefault="00B422F9" w:rsidP="00C17C0F">
            <w:pPr>
              <w:spacing w:before="0" w:after="0"/>
              <w:jc w:val="left"/>
              <w:rPr>
                <w:rFonts w:ascii="Calibri" w:hAnsi="Calibri"/>
                <w:sz w:val="18"/>
                <w:szCs w:val="18"/>
                <w:lang w:val="es-CO" w:eastAsia="es-CO"/>
              </w:rPr>
            </w:pPr>
            <w:r w:rsidRPr="00B422F9">
              <w:rPr>
                <w:rFonts w:ascii="Calibri" w:hAnsi="Calibri"/>
                <w:sz w:val="18"/>
                <w:szCs w:val="18"/>
                <w:lang w:val="es-CO" w:eastAsia="es-CO"/>
              </w:rPr>
              <w:t xml:space="preserve">Pág. 6 </w:t>
            </w:r>
            <w:r w:rsidRPr="00B422F9">
              <w:rPr>
                <w:rFonts w:ascii="Calibri" w:hAnsi="Calibri"/>
                <w:sz w:val="18"/>
                <w:szCs w:val="18"/>
                <w:lang w:val="es-CO" w:eastAsia="es-CO"/>
              </w:rPr>
              <w:br/>
              <w:t xml:space="preserve">"Estos requisitos permiten el buen funcionamiento de los sistemas de negociación y registro; por un lado se garantiza el profesionalismo en la creación de precio y su respectivo cierre, por otro lado se </w:t>
            </w:r>
            <w:proofErr w:type="spellStart"/>
            <w:r w:rsidRPr="00B422F9">
              <w:rPr>
                <w:rFonts w:ascii="Calibri" w:hAnsi="Calibri"/>
                <w:sz w:val="18"/>
                <w:szCs w:val="18"/>
                <w:lang w:val="es-CO" w:eastAsia="es-CO"/>
              </w:rPr>
              <w:t>garatiza</w:t>
            </w:r>
            <w:proofErr w:type="spellEnd"/>
            <w:r w:rsidRPr="00B422F9">
              <w:rPr>
                <w:rFonts w:ascii="Calibri" w:hAnsi="Calibri"/>
                <w:sz w:val="18"/>
                <w:szCs w:val="18"/>
                <w:lang w:val="es-CO" w:eastAsia="es-CO"/>
              </w:rPr>
              <w:t xml:space="preserve"> que los participantes conocen toda la normatividad de la ley  valores que describe este tipo de productos y que </w:t>
            </w:r>
            <w:r w:rsidRPr="00B422F9">
              <w:rPr>
                <w:rFonts w:ascii="Calibri" w:hAnsi="Calibri"/>
                <w:b/>
                <w:bCs/>
                <w:sz w:val="18"/>
                <w:szCs w:val="18"/>
                <w:lang w:val="es-CO" w:eastAsia="es-CO"/>
              </w:rPr>
              <w:t xml:space="preserve">todos los actores tienen las mismas </w:t>
            </w:r>
            <w:proofErr w:type="spellStart"/>
            <w:r w:rsidRPr="00B422F9">
              <w:rPr>
                <w:rFonts w:ascii="Calibri" w:hAnsi="Calibri"/>
                <w:b/>
                <w:bCs/>
                <w:sz w:val="18"/>
                <w:szCs w:val="18"/>
                <w:lang w:val="es-CO" w:eastAsia="es-CO"/>
              </w:rPr>
              <w:t>oporunidades</w:t>
            </w:r>
            <w:proofErr w:type="spellEnd"/>
            <w:r w:rsidRPr="00B422F9">
              <w:rPr>
                <w:rFonts w:ascii="Calibri" w:hAnsi="Calibri"/>
                <w:b/>
                <w:bCs/>
                <w:sz w:val="18"/>
                <w:szCs w:val="18"/>
                <w:lang w:val="es-CO" w:eastAsia="es-CO"/>
              </w:rPr>
              <w:t xml:space="preserve"> de acceso a los precios e información del mercado</w:t>
            </w:r>
            <w:r w:rsidRPr="00B422F9">
              <w:rPr>
                <w:rFonts w:ascii="Calibri" w:hAnsi="Calibri"/>
                <w:sz w:val="18"/>
                <w:szCs w:val="18"/>
                <w:lang w:val="es-CO" w:eastAsia="es-CO"/>
              </w:rPr>
              <w:t xml:space="preserve"> y hay un mínimo de requisitos tecnológicos que beneficia el adecuado funcionamiento del sistema."</w:t>
            </w:r>
            <w:r w:rsidRPr="00B422F9">
              <w:rPr>
                <w:rFonts w:ascii="Calibri" w:hAnsi="Calibri"/>
                <w:sz w:val="18"/>
                <w:szCs w:val="18"/>
                <w:lang w:val="es-CO" w:eastAsia="es-CO"/>
              </w:rPr>
              <w:br/>
            </w:r>
            <w:r w:rsidRPr="00B422F9">
              <w:rPr>
                <w:rFonts w:ascii="Calibri" w:hAnsi="Calibri"/>
                <w:sz w:val="18"/>
                <w:szCs w:val="18"/>
                <w:lang w:val="es-CO" w:eastAsia="es-CO"/>
              </w:rPr>
              <w:br/>
              <w:t>Pág. 16</w:t>
            </w:r>
            <w:r w:rsidRPr="00B422F9">
              <w:rPr>
                <w:rFonts w:ascii="Calibri" w:hAnsi="Calibri"/>
                <w:sz w:val="18"/>
                <w:szCs w:val="18"/>
                <w:lang w:val="es-CO" w:eastAsia="es-CO"/>
              </w:rPr>
              <w:br/>
              <w:t xml:space="preserve">"La vinculación de los clientes de los miembros liquidadores es a través del contrato de comisión, que está reglamentado en la legislación colombiana y se entiende bajo la siguiente </w:t>
            </w:r>
            <w:proofErr w:type="spellStart"/>
            <w:r w:rsidRPr="00B422F9">
              <w:rPr>
                <w:rFonts w:ascii="Calibri" w:hAnsi="Calibri"/>
                <w:sz w:val="18"/>
                <w:szCs w:val="18"/>
                <w:lang w:val="es-CO" w:eastAsia="es-CO"/>
              </w:rPr>
              <w:t>definción</w:t>
            </w:r>
            <w:proofErr w:type="spellEnd"/>
            <w:r w:rsidRPr="00B422F9">
              <w:rPr>
                <w:rFonts w:ascii="Calibri" w:hAnsi="Calibri"/>
                <w:sz w:val="18"/>
                <w:szCs w:val="18"/>
                <w:lang w:val="es-CO" w:eastAsia="es-CO"/>
              </w:rPr>
              <w:t xml:space="preserve">: </w:t>
            </w:r>
            <w:r w:rsidRPr="00B422F9">
              <w:rPr>
                <w:rFonts w:ascii="Calibri" w:hAnsi="Calibri"/>
                <w:sz w:val="18"/>
                <w:szCs w:val="18"/>
                <w:lang w:val="es-CO" w:eastAsia="es-CO"/>
              </w:rPr>
              <w:br/>
              <w:t>“El contrato de comisión es aquel mediante el cual el comisionista se obliga a realizar, por cuenta y encargo del comitente o cliente, la suscripción, compra o venta de unos determinados valores; este contrato se perfecciona o adquiere plena vigencia para las partes a partir del momento en que recibe la orden.”</w:t>
            </w:r>
            <w:r w:rsidRPr="00B422F9">
              <w:rPr>
                <w:rFonts w:ascii="Calibri" w:hAnsi="Calibri"/>
                <w:sz w:val="18"/>
                <w:szCs w:val="18"/>
                <w:lang w:val="es-CO" w:eastAsia="es-CO"/>
              </w:rPr>
              <w:br/>
              <w:t>(https://www.superfinanciera.gov.co/inicio/contrato-de-comision-11206)</w:t>
            </w:r>
            <w:r w:rsidRPr="00B422F9">
              <w:rPr>
                <w:rFonts w:ascii="Calibri" w:hAnsi="Calibri"/>
                <w:sz w:val="18"/>
                <w:szCs w:val="18"/>
                <w:lang w:val="es-CO" w:eastAsia="es-CO"/>
              </w:rPr>
              <w:br/>
            </w:r>
            <w:r w:rsidRPr="00B422F9">
              <w:rPr>
                <w:rFonts w:ascii="Calibri" w:hAnsi="Calibri"/>
                <w:sz w:val="18"/>
                <w:szCs w:val="18"/>
                <w:lang w:val="es-CO" w:eastAsia="es-CO"/>
              </w:rPr>
              <w:br/>
              <w:t>En virtud del desarrollo de este contrato los Miembros del mecanismo tienen los siguientes deberes respecto a sus clientes:</w:t>
            </w:r>
            <w:r w:rsidRPr="00B422F9">
              <w:rPr>
                <w:rFonts w:ascii="Calibri" w:hAnsi="Calibri"/>
                <w:sz w:val="18"/>
                <w:szCs w:val="18"/>
                <w:lang w:val="es-CO" w:eastAsia="es-CO"/>
              </w:rPr>
              <w:br/>
            </w:r>
            <w:r w:rsidRPr="00B422F9">
              <w:rPr>
                <w:rFonts w:ascii="Calibri" w:hAnsi="Calibri"/>
                <w:sz w:val="18"/>
                <w:szCs w:val="18"/>
                <w:lang w:val="es-CO" w:eastAsia="es-CO"/>
              </w:rPr>
              <w:br/>
              <w:t>• Cumplir el encargo y realizar los actos comprendidos dentro del mandato y los necesarios para su ejecución, a menos que rehúse la comisión.</w:t>
            </w:r>
            <w:r w:rsidRPr="00B422F9">
              <w:rPr>
                <w:rFonts w:ascii="Calibri" w:hAnsi="Calibri"/>
                <w:sz w:val="18"/>
                <w:szCs w:val="18"/>
                <w:lang w:val="es-CO" w:eastAsia="es-CO"/>
              </w:rPr>
              <w:br/>
              <w:t>• Realizar una labor intelectual y material previa a la ejecución de la orden consistente en adelantar todas las actividades previas al desarrollo del contrato, tales como determinar si la orden es legal, verificar los poderes, títulos, endosos, entre otros.</w:t>
            </w:r>
            <w:r w:rsidRPr="00B422F9">
              <w:rPr>
                <w:rFonts w:ascii="Calibri" w:hAnsi="Calibri"/>
                <w:sz w:val="18"/>
                <w:szCs w:val="18"/>
                <w:lang w:val="es-CO" w:eastAsia="es-CO"/>
              </w:rPr>
              <w:br/>
              <w:t>• Ejecutar en el plazo más breve o según la orden.</w:t>
            </w:r>
            <w:r w:rsidRPr="00B422F9">
              <w:rPr>
                <w:rFonts w:ascii="Calibri" w:hAnsi="Calibri"/>
                <w:sz w:val="18"/>
                <w:szCs w:val="18"/>
                <w:lang w:val="es-CO" w:eastAsia="es-CO"/>
              </w:rPr>
              <w:br/>
              <w:t>• Defender los intereses generales del cliente.</w:t>
            </w:r>
            <w:r w:rsidRPr="00B422F9">
              <w:rPr>
                <w:rFonts w:ascii="Calibri" w:hAnsi="Calibri"/>
                <w:sz w:val="18"/>
                <w:szCs w:val="18"/>
                <w:lang w:val="es-CO" w:eastAsia="es-CO"/>
              </w:rPr>
              <w:br/>
              <w:t>• Obedecer las órdenes del cliente.</w:t>
            </w:r>
            <w:r w:rsidRPr="00B422F9">
              <w:rPr>
                <w:rFonts w:ascii="Calibri" w:hAnsi="Calibri"/>
                <w:sz w:val="18"/>
                <w:szCs w:val="18"/>
                <w:lang w:val="es-CO" w:eastAsia="es-CO"/>
              </w:rPr>
              <w:br/>
              <w:t>• Informar detalladamente sobre la marcha del negocio, las transacciones ordenadas y rendir cuentas detalladas y justificadas de su gestión.</w:t>
            </w:r>
            <w:r w:rsidRPr="00B422F9">
              <w:rPr>
                <w:rFonts w:ascii="Calibri" w:hAnsi="Calibri"/>
                <w:sz w:val="18"/>
                <w:szCs w:val="18"/>
                <w:lang w:val="es-CO" w:eastAsia="es-CO"/>
              </w:rPr>
              <w:br/>
              <w:t>• Brindar asesoría al cliente entregándole toda la información necesaria que requiera un inversionista prudente y diligente en el desarrollo de sus negocios.</w:t>
            </w:r>
            <w:r w:rsidRPr="00B422F9">
              <w:rPr>
                <w:rFonts w:ascii="Calibri" w:hAnsi="Calibri"/>
                <w:sz w:val="18"/>
                <w:szCs w:val="18"/>
                <w:lang w:val="es-CO" w:eastAsia="es-CO"/>
              </w:rPr>
              <w:br/>
              <w:t>• Seguir las instrucciones del cliente sin exceder los límites del encargo.</w:t>
            </w:r>
            <w:r w:rsidRPr="00B422F9">
              <w:rPr>
                <w:rFonts w:ascii="Calibri" w:hAnsi="Calibri"/>
                <w:sz w:val="18"/>
                <w:szCs w:val="18"/>
                <w:lang w:val="es-CO" w:eastAsia="es-CO"/>
              </w:rPr>
              <w:br/>
              <w:t>• Responder por el pago cuando él sea la contraparte en posición propia.</w:t>
            </w:r>
            <w:r w:rsidRPr="00B422F9">
              <w:rPr>
                <w:rFonts w:ascii="Calibri" w:hAnsi="Calibri"/>
                <w:sz w:val="18"/>
                <w:szCs w:val="18"/>
                <w:lang w:val="es-CO" w:eastAsia="es-CO"/>
              </w:rPr>
              <w:br/>
              <w:t>• Entregar al comitente todo lo que haya recibido por causa de su gestión y cancelar el precio de su gestión sin que pueda aducir falta de recursos.</w:t>
            </w:r>
            <w:r w:rsidRPr="00B422F9">
              <w:rPr>
                <w:rFonts w:ascii="Calibri" w:hAnsi="Calibri"/>
                <w:sz w:val="18"/>
                <w:szCs w:val="18"/>
                <w:lang w:val="es-CO" w:eastAsia="es-CO"/>
              </w:rPr>
              <w:br/>
              <w:t>• Desarrollar personalmente el encargo.</w:t>
            </w:r>
            <w:r w:rsidRPr="00B422F9">
              <w:rPr>
                <w:rFonts w:ascii="Calibri" w:hAnsi="Calibri"/>
                <w:sz w:val="18"/>
                <w:szCs w:val="18"/>
                <w:lang w:val="es-CO" w:eastAsia="es-CO"/>
              </w:rPr>
              <w:br/>
              <w:t>• Abstenerse de emplear en sus propios negocios fondos o recursos del comitente o cliente.</w:t>
            </w:r>
            <w:r w:rsidRPr="00B422F9">
              <w:rPr>
                <w:rFonts w:ascii="Calibri" w:hAnsi="Calibri"/>
                <w:sz w:val="18"/>
                <w:szCs w:val="18"/>
                <w:lang w:val="es-CO" w:eastAsia="es-CO"/>
              </w:rPr>
              <w:br/>
              <w:t>• Guardar reserva sobre las órdenes y las operaciones.</w:t>
            </w:r>
            <w:r w:rsidRPr="00B422F9">
              <w:rPr>
                <w:rFonts w:ascii="Calibri" w:hAnsi="Calibri"/>
                <w:sz w:val="18"/>
                <w:szCs w:val="18"/>
                <w:lang w:val="es-CO" w:eastAsia="es-CO"/>
              </w:rPr>
              <w:br/>
              <w:t>• Observar lo dispuesto en las leyes y reglamentos.</w:t>
            </w:r>
            <w:r w:rsidRPr="00B422F9">
              <w:rPr>
                <w:rFonts w:ascii="Calibri" w:hAnsi="Calibri"/>
                <w:sz w:val="18"/>
                <w:szCs w:val="18"/>
                <w:lang w:val="es-CO" w:eastAsia="es-CO"/>
              </w:rPr>
              <w:br/>
              <w:t>• Entregar el comprobante de liquidación de la operación, dentro de los tres días hábiles siguientes a su realización.</w:t>
            </w:r>
            <w:r w:rsidRPr="00B422F9">
              <w:rPr>
                <w:rFonts w:ascii="Calibri" w:hAnsi="Calibri"/>
                <w:sz w:val="18"/>
                <w:szCs w:val="18"/>
                <w:lang w:val="es-CO" w:eastAsia="es-CO"/>
              </w:rPr>
              <w:br/>
              <w:t xml:space="preserve">• Cumplir estrictamente con las obligaciones establecidas por la Bolsa de Valores de Colombia o la </w:t>
            </w:r>
            <w:proofErr w:type="spellStart"/>
            <w:r w:rsidRPr="00B422F9">
              <w:rPr>
                <w:rFonts w:ascii="Calibri" w:hAnsi="Calibri"/>
                <w:sz w:val="18"/>
                <w:szCs w:val="18"/>
                <w:lang w:val="es-CO" w:eastAsia="es-CO"/>
              </w:rPr>
              <w:t>Camara</w:t>
            </w:r>
            <w:proofErr w:type="spellEnd"/>
            <w:r w:rsidRPr="00B422F9">
              <w:rPr>
                <w:rFonts w:ascii="Calibri" w:hAnsi="Calibri"/>
                <w:sz w:val="18"/>
                <w:szCs w:val="18"/>
                <w:lang w:val="es-CO" w:eastAsia="es-CO"/>
              </w:rPr>
              <w:t xml:space="preserve"> de Riesgo Central de contra parte y otorgar las garantías exigidas por ésta.</w:t>
            </w:r>
            <w:r w:rsidRPr="00B422F9">
              <w:rPr>
                <w:rFonts w:ascii="Calibri" w:hAnsi="Calibri"/>
                <w:sz w:val="18"/>
                <w:szCs w:val="18"/>
                <w:lang w:val="es-CO" w:eastAsia="es-CO"/>
              </w:rPr>
              <w:br/>
              <w:t>• Abstenerse de oponer a la Bolsa diferencias de la liquidación de operaciones derivadas del incumplimiento del comitente.</w:t>
            </w:r>
            <w:r w:rsidRPr="00B422F9">
              <w:rPr>
                <w:rFonts w:ascii="Calibri" w:hAnsi="Calibri"/>
                <w:sz w:val="18"/>
                <w:szCs w:val="18"/>
                <w:lang w:val="es-CO" w:eastAsia="es-CO"/>
              </w:rPr>
              <w:br/>
              <w:t>• Verificar la autenticidad de las firmas de los endosos de los clientes.</w:t>
            </w:r>
            <w:r w:rsidRPr="00B422F9">
              <w:rPr>
                <w:rFonts w:ascii="Calibri" w:hAnsi="Calibri"/>
                <w:sz w:val="18"/>
                <w:szCs w:val="18"/>
                <w:lang w:val="es-CO" w:eastAsia="es-CO"/>
              </w:rPr>
              <w:br/>
              <w:t>• Buscar la mayor utilidad en la ejecución de las órdenes de los clientes."</w:t>
            </w:r>
            <w:r w:rsidRPr="00B422F9">
              <w:rPr>
                <w:rFonts w:ascii="Calibri" w:hAnsi="Calibri"/>
                <w:sz w:val="18"/>
                <w:szCs w:val="18"/>
                <w:lang w:val="es-CO" w:eastAsia="es-CO"/>
              </w:rPr>
              <w:br/>
            </w:r>
            <w:r w:rsidRPr="00B422F9">
              <w:rPr>
                <w:rFonts w:ascii="Calibri" w:hAnsi="Calibri"/>
                <w:sz w:val="18"/>
                <w:szCs w:val="18"/>
                <w:lang w:val="es-CO" w:eastAsia="es-CO"/>
              </w:rPr>
              <w:br/>
              <w:t>Pág. 17</w:t>
            </w:r>
            <w:r w:rsidRPr="00B422F9">
              <w:rPr>
                <w:rFonts w:ascii="Calibri" w:hAnsi="Calibri"/>
                <w:sz w:val="18"/>
                <w:szCs w:val="18"/>
                <w:lang w:val="es-CO" w:eastAsia="es-CO"/>
              </w:rPr>
              <w:br/>
              <w:t xml:space="preserve">"En el caso de las operaciones de </w:t>
            </w:r>
            <w:proofErr w:type="spellStart"/>
            <w:r w:rsidRPr="00B422F9">
              <w:rPr>
                <w:rFonts w:ascii="Calibri" w:hAnsi="Calibri"/>
                <w:sz w:val="18"/>
                <w:szCs w:val="18"/>
                <w:lang w:val="es-CO" w:eastAsia="es-CO"/>
              </w:rPr>
              <w:t>Derivex</w:t>
            </w:r>
            <w:proofErr w:type="spellEnd"/>
            <w:r w:rsidRPr="00B422F9">
              <w:rPr>
                <w:rFonts w:ascii="Calibri" w:hAnsi="Calibri"/>
                <w:sz w:val="18"/>
                <w:szCs w:val="18"/>
                <w:lang w:val="es-CO" w:eastAsia="es-CO"/>
              </w:rPr>
              <w:t xml:space="preserve"> partimos de los supuestos que la información relevante del mercado y su subyacente es pública y todos los actores tienen el mismo acceso a ella. Por </w:t>
            </w:r>
            <w:proofErr w:type="gramStart"/>
            <w:r w:rsidRPr="00B422F9">
              <w:rPr>
                <w:rFonts w:ascii="Calibri" w:hAnsi="Calibri"/>
                <w:sz w:val="18"/>
                <w:szCs w:val="18"/>
                <w:lang w:val="es-CO" w:eastAsia="es-CO"/>
              </w:rPr>
              <w:t>ejemplo</w:t>
            </w:r>
            <w:proofErr w:type="gramEnd"/>
            <w:r w:rsidRPr="00B422F9">
              <w:rPr>
                <w:rFonts w:ascii="Calibri" w:hAnsi="Calibri"/>
                <w:sz w:val="18"/>
                <w:szCs w:val="18"/>
                <w:lang w:val="es-CO" w:eastAsia="es-CO"/>
              </w:rPr>
              <w:t xml:space="preserve"> nivel de embalse, posibilidades de fenómenos </w:t>
            </w:r>
            <w:proofErr w:type="spellStart"/>
            <w:r w:rsidRPr="00B422F9">
              <w:rPr>
                <w:rFonts w:ascii="Calibri" w:hAnsi="Calibri"/>
                <w:sz w:val="18"/>
                <w:szCs w:val="18"/>
                <w:lang w:val="es-CO" w:eastAsia="es-CO"/>
              </w:rPr>
              <w:t>climaticos</w:t>
            </w:r>
            <w:proofErr w:type="spellEnd"/>
            <w:r w:rsidRPr="00B422F9">
              <w:rPr>
                <w:rFonts w:ascii="Calibri" w:hAnsi="Calibri"/>
                <w:sz w:val="18"/>
                <w:szCs w:val="18"/>
                <w:lang w:val="es-CO" w:eastAsia="es-CO"/>
              </w:rPr>
              <w:t xml:space="preserve">, etc. El hecho que la </w:t>
            </w:r>
            <w:proofErr w:type="spellStart"/>
            <w:r w:rsidRPr="00B422F9">
              <w:rPr>
                <w:rFonts w:ascii="Calibri" w:hAnsi="Calibri"/>
                <w:sz w:val="18"/>
                <w:szCs w:val="18"/>
                <w:lang w:val="es-CO" w:eastAsia="es-CO"/>
              </w:rPr>
              <w:t>formacion</w:t>
            </w:r>
            <w:proofErr w:type="spellEnd"/>
            <w:r w:rsidRPr="00B422F9">
              <w:rPr>
                <w:rFonts w:ascii="Calibri" w:hAnsi="Calibri"/>
                <w:sz w:val="18"/>
                <w:szCs w:val="18"/>
                <w:lang w:val="es-CO" w:eastAsia="es-CO"/>
              </w:rPr>
              <w:t xml:space="preserve"> de precios se haga a través de pantallas con acceso </w:t>
            </w:r>
            <w:proofErr w:type="spellStart"/>
            <w:r w:rsidRPr="00B422F9">
              <w:rPr>
                <w:rFonts w:ascii="Calibri" w:hAnsi="Calibri"/>
                <w:sz w:val="18"/>
                <w:szCs w:val="18"/>
                <w:lang w:val="es-CO" w:eastAsia="es-CO"/>
              </w:rPr>
              <w:t>multiple</w:t>
            </w:r>
            <w:proofErr w:type="spellEnd"/>
            <w:r w:rsidRPr="00B422F9">
              <w:rPr>
                <w:rFonts w:ascii="Calibri" w:hAnsi="Calibri"/>
                <w:sz w:val="18"/>
                <w:szCs w:val="18"/>
                <w:lang w:val="es-CO" w:eastAsia="es-CO"/>
              </w:rPr>
              <w:t xml:space="preserve"> y simultaneo a todo el mercado, que </w:t>
            </w:r>
            <w:proofErr w:type="spellStart"/>
            <w:r w:rsidRPr="00B422F9">
              <w:rPr>
                <w:rFonts w:ascii="Calibri" w:hAnsi="Calibri"/>
                <w:sz w:val="18"/>
                <w:szCs w:val="18"/>
                <w:lang w:val="es-CO" w:eastAsia="es-CO"/>
              </w:rPr>
              <w:t>que</w:t>
            </w:r>
            <w:proofErr w:type="spellEnd"/>
            <w:r w:rsidRPr="00B422F9">
              <w:rPr>
                <w:rFonts w:ascii="Calibri" w:hAnsi="Calibri"/>
                <w:sz w:val="18"/>
                <w:szCs w:val="18"/>
                <w:lang w:val="es-CO" w:eastAsia="es-CO"/>
              </w:rPr>
              <w:t xml:space="preserve"> las posturas son operables para todo el mercado solo dependiendo de su capacidad de liquidez para constituir las </w:t>
            </w:r>
            <w:proofErr w:type="spellStart"/>
            <w:r w:rsidRPr="00B422F9">
              <w:rPr>
                <w:rFonts w:ascii="Calibri" w:hAnsi="Calibri"/>
                <w:sz w:val="18"/>
                <w:szCs w:val="18"/>
                <w:lang w:val="es-CO" w:eastAsia="es-CO"/>
              </w:rPr>
              <w:lastRenderedPageBreak/>
              <w:t>garantias</w:t>
            </w:r>
            <w:proofErr w:type="spellEnd"/>
            <w:r w:rsidRPr="00B422F9">
              <w:rPr>
                <w:rFonts w:ascii="Calibri" w:hAnsi="Calibri"/>
                <w:sz w:val="18"/>
                <w:szCs w:val="18"/>
                <w:lang w:val="es-CO" w:eastAsia="es-CO"/>
              </w:rPr>
              <w:t xml:space="preserve"> y que el mecanismo </w:t>
            </w:r>
            <w:proofErr w:type="gramStart"/>
            <w:r w:rsidRPr="00B422F9">
              <w:rPr>
                <w:rFonts w:ascii="Calibri" w:hAnsi="Calibri"/>
                <w:sz w:val="18"/>
                <w:szCs w:val="18"/>
                <w:lang w:val="es-CO" w:eastAsia="es-CO"/>
              </w:rPr>
              <w:t>le</w:t>
            </w:r>
            <w:proofErr w:type="gramEnd"/>
            <w:r w:rsidRPr="00B422F9">
              <w:rPr>
                <w:rFonts w:ascii="Calibri" w:hAnsi="Calibri"/>
                <w:sz w:val="18"/>
                <w:szCs w:val="18"/>
                <w:lang w:val="es-CO" w:eastAsia="es-CO"/>
              </w:rPr>
              <w:t xml:space="preserve"> permite a empresas de </w:t>
            </w:r>
            <w:proofErr w:type="spellStart"/>
            <w:r w:rsidRPr="00B422F9">
              <w:rPr>
                <w:rFonts w:ascii="Calibri" w:hAnsi="Calibri"/>
                <w:sz w:val="18"/>
                <w:szCs w:val="18"/>
                <w:lang w:val="es-CO" w:eastAsia="es-CO"/>
              </w:rPr>
              <w:t>indutrias</w:t>
            </w:r>
            <w:proofErr w:type="spellEnd"/>
            <w:r w:rsidRPr="00B422F9">
              <w:rPr>
                <w:rFonts w:ascii="Calibri" w:hAnsi="Calibri"/>
                <w:sz w:val="18"/>
                <w:szCs w:val="18"/>
                <w:lang w:val="es-CO" w:eastAsia="es-CO"/>
              </w:rPr>
              <w:t xml:space="preserve"> diferentes participar en el mercado, la eficiencia del mercado en información ayudará a aumentar el número de participantes del esquema."</w:t>
            </w:r>
          </w:p>
        </w:tc>
      </w:tr>
      <w:tr w:rsidR="00B422F9" w:rsidRPr="00B422F9" w14:paraId="66277BFC" w14:textId="77777777" w:rsidTr="00D31EE1">
        <w:trPr>
          <w:trHeight w:val="560"/>
        </w:trPr>
        <w:tc>
          <w:tcPr>
            <w:tcW w:w="906" w:type="pct"/>
            <w:tcBorders>
              <w:top w:val="single" w:sz="4" w:space="0" w:color="auto"/>
              <w:left w:val="single" w:sz="4" w:space="0" w:color="auto"/>
              <w:bottom w:val="single" w:sz="4" w:space="0" w:color="auto"/>
              <w:right w:val="single" w:sz="4" w:space="0" w:color="auto"/>
            </w:tcBorders>
            <w:shd w:val="clear" w:color="000000" w:fill="E7E6E6"/>
            <w:hideMark/>
          </w:tcPr>
          <w:p w14:paraId="593F142C" w14:textId="77777777" w:rsidR="00B422F9" w:rsidRPr="00B422F9" w:rsidRDefault="00B422F9" w:rsidP="002604F7">
            <w:pPr>
              <w:spacing w:before="0" w:after="0"/>
              <w:jc w:val="left"/>
              <w:rPr>
                <w:rFonts w:ascii="Calibri" w:hAnsi="Calibri"/>
                <w:b/>
                <w:bCs/>
                <w:color w:val="000000"/>
                <w:sz w:val="18"/>
                <w:szCs w:val="18"/>
                <w:lang w:val="es-CO" w:eastAsia="es-CO"/>
              </w:rPr>
            </w:pPr>
            <w:r w:rsidRPr="00B422F9">
              <w:rPr>
                <w:rFonts w:ascii="Calibri" w:hAnsi="Calibri"/>
                <w:b/>
                <w:bCs/>
                <w:color w:val="000000"/>
                <w:sz w:val="18"/>
                <w:szCs w:val="18"/>
                <w:lang w:val="es-CO" w:eastAsia="es-CO"/>
              </w:rPr>
              <w:lastRenderedPageBreak/>
              <w:t>Diego Jara</w:t>
            </w:r>
            <w:r w:rsidRPr="00B422F9">
              <w:rPr>
                <w:rFonts w:ascii="Calibri" w:hAnsi="Calibri"/>
                <w:b/>
                <w:bCs/>
                <w:color w:val="000000"/>
                <w:sz w:val="18"/>
                <w:szCs w:val="18"/>
                <w:lang w:val="es-CO" w:eastAsia="es-CO"/>
              </w:rPr>
              <w:br/>
              <w:t>(Riesgos)</w:t>
            </w:r>
          </w:p>
        </w:tc>
        <w:tc>
          <w:tcPr>
            <w:tcW w:w="4094" w:type="pct"/>
            <w:tcBorders>
              <w:top w:val="single" w:sz="4" w:space="0" w:color="auto"/>
              <w:left w:val="single" w:sz="4" w:space="0" w:color="auto"/>
              <w:bottom w:val="single" w:sz="4" w:space="0" w:color="auto"/>
              <w:right w:val="single" w:sz="4" w:space="0" w:color="auto"/>
            </w:tcBorders>
            <w:shd w:val="clear" w:color="auto" w:fill="auto"/>
            <w:hideMark/>
          </w:tcPr>
          <w:p w14:paraId="63F5C22F" w14:textId="77777777" w:rsidR="00B422F9" w:rsidRPr="00B422F9" w:rsidRDefault="00B422F9" w:rsidP="00C17C0F">
            <w:pPr>
              <w:spacing w:before="0" w:after="0"/>
              <w:jc w:val="left"/>
              <w:rPr>
                <w:rFonts w:ascii="Calibri" w:hAnsi="Calibri"/>
                <w:color w:val="000000"/>
                <w:sz w:val="18"/>
                <w:szCs w:val="18"/>
                <w:lang w:val="es-CO" w:eastAsia="es-CO"/>
              </w:rPr>
            </w:pPr>
            <w:r w:rsidRPr="00B422F9">
              <w:rPr>
                <w:rFonts w:ascii="Calibri" w:hAnsi="Calibri"/>
                <w:color w:val="000000"/>
                <w:sz w:val="18"/>
                <w:szCs w:val="18"/>
                <w:lang w:val="es-CO" w:eastAsia="es-CO"/>
              </w:rPr>
              <w:t> </w:t>
            </w:r>
          </w:p>
        </w:tc>
      </w:tr>
      <w:tr w:rsidR="00B422F9" w:rsidRPr="00B422F9" w14:paraId="49A074D8" w14:textId="77777777" w:rsidTr="00D31EE1">
        <w:trPr>
          <w:trHeight w:val="513"/>
        </w:trPr>
        <w:tc>
          <w:tcPr>
            <w:tcW w:w="906" w:type="pct"/>
            <w:tcBorders>
              <w:top w:val="single" w:sz="4" w:space="0" w:color="auto"/>
              <w:left w:val="single" w:sz="4" w:space="0" w:color="auto"/>
              <w:bottom w:val="single" w:sz="4" w:space="0" w:color="auto"/>
              <w:right w:val="single" w:sz="4" w:space="0" w:color="auto"/>
            </w:tcBorders>
            <w:shd w:val="clear" w:color="000000" w:fill="E7E6E6"/>
            <w:hideMark/>
          </w:tcPr>
          <w:p w14:paraId="13CC5681" w14:textId="77777777" w:rsidR="00B422F9" w:rsidRPr="00B422F9" w:rsidRDefault="00B422F9" w:rsidP="002604F7">
            <w:pPr>
              <w:spacing w:before="0" w:after="0"/>
              <w:jc w:val="left"/>
              <w:rPr>
                <w:rFonts w:ascii="Calibri" w:hAnsi="Calibri"/>
                <w:b/>
                <w:bCs/>
                <w:color w:val="000000"/>
                <w:sz w:val="18"/>
                <w:szCs w:val="18"/>
                <w:lang w:val="es-CO" w:eastAsia="es-CO"/>
              </w:rPr>
            </w:pPr>
            <w:r w:rsidRPr="00B422F9">
              <w:rPr>
                <w:rFonts w:ascii="Calibri" w:hAnsi="Calibri"/>
                <w:b/>
                <w:bCs/>
                <w:color w:val="000000"/>
                <w:sz w:val="18"/>
                <w:szCs w:val="18"/>
                <w:lang w:val="es-CO" w:eastAsia="es-CO"/>
              </w:rPr>
              <w:t>Roberto Borrás</w:t>
            </w:r>
            <w:r w:rsidRPr="00B422F9">
              <w:rPr>
                <w:rFonts w:ascii="Calibri" w:hAnsi="Calibri"/>
                <w:b/>
                <w:bCs/>
                <w:color w:val="000000"/>
                <w:sz w:val="18"/>
                <w:szCs w:val="18"/>
                <w:lang w:val="es-CO" w:eastAsia="es-CO"/>
              </w:rPr>
              <w:br/>
              <w:t>(Gobierno corporativo)</w:t>
            </w:r>
          </w:p>
        </w:tc>
        <w:tc>
          <w:tcPr>
            <w:tcW w:w="4094" w:type="pct"/>
            <w:tcBorders>
              <w:top w:val="single" w:sz="4" w:space="0" w:color="auto"/>
              <w:left w:val="single" w:sz="4" w:space="0" w:color="auto"/>
              <w:bottom w:val="single" w:sz="4" w:space="0" w:color="auto"/>
              <w:right w:val="single" w:sz="4" w:space="0" w:color="auto"/>
            </w:tcBorders>
            <w:shd w:val="clear" w:color="auto" w:fill="auto"/>
            <w:hideMark/>
          </w:tcPr>
          <w:p w14:paraId="211F522E" w14:textId="37E9B9DF" w:rsidR="00B422F9" w:rsidRPr="00B422F9" w:rsidRDefault="00B422F9" w:rsidP="00C17C0F">
            <w:pPr>
              <w:spacing w:before="0" w:after="0"/>
              <w:jc w:val="left"/>
              <w:rPr>
                <w:rFonts w:ascii="Calibri" w:hAnsi="Calibri"/>
                <w:color w:val="000000"/>
                <w:sz w:val="18"/>
                <w:szCs w:val="18"/>
                <w:lang w:val="es-CO" w:eastAsia="es-CO"/>
              </w:rPr>
            </w:pPr>
            <w:r w:rsidRPr="00B422F9">
              <w:rPr>
                <w:rFonts w:ascii="Calibri" w:hAnsi="Calibri"/>
                <w:color w:val="000000"/>
                <w:sz w:val="18"/>
                <w:szCs w:val="18"/>
                <w:lang w:val="es-CO" w:eastAsia="es-CO"/>
              </w:rPr>
              <w:t>Pag 11 "En particular el componente de Funciones de Supervisión incorpora el análisis de elementos de gobierno corporativo, entre ellos el funcionamiento de órganos como la Junta Directiva, la Alta Gerencia y la Auditoría Interna."</w:t>
            </w:r>
            <w:r w:rsidRPr="00B422F9">
              <w:rPr>
                <w:rFonts w:ascii="Calibri" w:hAnsi="Calibri"/>
                <w:color w:val="000000"/>
                <w:sz w:val="18"/>
                <w:szCs w:val="18"/>
                <w:lang w:val="es-CO" w:eastAsia="es-CO"/>
              </w:rPr>
              <w:br/>
            </w:r>
          </w:p>
        </w:tc>
      </w:tr>
    </w:tbl>
    <w:p w14:paraId="2D388D4A" w14:textId="4F8A49AC" w:rsidR="00602D1A" w:rsidRDefault="00D05BD8">
      <w:pPr>
        <w:spacing w:before="0" w:after="0"/>
        <w:rPr>
          <w:b/>
          <w:caps/>
          <w:szCs w:val="20"/>
          <w:lang w:val="es-CO"/>
        </w:rPr>
      </w:pPr>
      <w:r>
        <w:rPr>
          <w:b/>
          <w:caps/>
          <w:szCs w:val="20"/>
          <w:lang w:val="es-CO"/>
        </w:rPr>
        <w:br w:type="textWrapping" w:clear="all"/>
      </w:r>
    </w:p>
    <w:tbl>
      <w:tblPr>
        <w:tblW w:w="5000" w:type="pct"/>
        <w:tblLayout w:type="fixed"/>
        <w:tblCellMar>
          <w:left w:w="70" w:type="dxa"/>
          <w:right w:w="70" w:type="dxa"/>
        </w:tblCellMar>
        <w:tblLook w:val="04A0" w:firstRow="1" w:lastRow="0" w:firstColumn="1" w:lastColumn="0" w:noHBand="0" w:noVBand="1"/>
      </w:tblPr>
      <w:tblGrid>
        <w:gridCol w:w="1695"/>
        <w:gridCol w:w="7651"/>
      </w:tblGrid>
      <w:tr w:rsidR="00E87262" w:rsidRPr="00E87262" w14:paraId="77672665" w14:textId="77777777" w:rsidTr="00D31EE1">
        <w:trPr>
          <w:trHeight w:val="525"/>
        </w:trPr>
        <w:tc>
          <w:tcPr>
            <w:tcW w:w="907"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07D06F4" w14:textId="77777777" w:rsidR="00E87262" w:rsidRPr="00E87262" w:rsidRDefault="00E87262">
            <w:pPr>
              <w:spacing w:before="0" w:after="0"/>
              <w:jc w:val="center"/>
              <w:rPr>
                <w:rFonts w:ascii="Calibri" w:hAnsi="Calibri"/>
                <w:b/>
                <w:bCs/>
                <w:sz w:val="18"/>
                <w:szCs w:val="18"/>
                <w:lang w:val="es-CO" w:eastAsia="es-CO"/>
              </w:rPr>
            </w:pPr>
            <w:r w:rsidRPr="00E87262">
              <w:rPr>
                <w:rFonts w:ascii="Calibri" w:hAnsi="Calibri"/>
                <w:b/>
                <w:bCs/>
                <w:sz w:val="18"/>
                <w:szCs w:val="18"/>
                <w:lang w:val="es-CO" w:eastAsia="es-CO"/>
              </w:rPr>
              <w:t xml:space="preserve">Parámetro </w:t>
            </w:r>
          </w:p>
        </w:tc>
        <w:tc>
          <w:tcPr>
            <w:tcW w:w="4093" w:type="pct"/>
            <w:tcBorders>
              <w:top w:val="single" w:sz="4" w:space="0" w:color="auto"/>
              <w:left w:val="nil"/>
              <w:bottom w:val="single" w:sz="4" w:space="0" w:color="auto"/>
              <w:right w:val="single" w:sz="4" w:space="0" w:color="auto"/>
            </w:tcBorders>
            <w:shd w:val="clear" w:color="000000" w:fill="D9E1F2"/>
            <w:vAlign w:val="center"/>
            <w:hideMark/>
          </w:tcPr>
          <w:p w14:paraId="57807DCE" w14:textId="77777777" w:rsidR="00E87262" w:rsidRPr="00E87262" w:rsidRDefault="00E87262">
            <w:pPr>
              <w:spacing w:before="0" w:after="0"/>
              <w:jc w:val="center"/>
              <w:rPr>
                <w:rFonts w:ascii="Calibri" w:hAnsi="Calibri"/>
                <w:b/>
                <w:bCs/>
                <w:sz w:val="18"/>
                <w:szCs w:val="18"/>
                <w:lang w:val="es-CO" w:eastAsia="es-CO"/>
              </w:rPr>
            </w:pPr>
            <w:r w:rsidRPr="00E87262">
              <w:rPr>
                <w:rFonts w:ascii="Calibri" w:hAnsi="Calibri"/>
                <w:b/>
                <w:bCs/>
                <w:sz w:val="18"/>
                <w:szCs w:val="18"/>
                <w:lang w:val="es-CO" w:eastAsia="es-CO"/>
              </w:rPr>
              <w:t>Principio de fiabilidad</w:t>
            </w:r>
          </w:p>
        </w:tc>
      </w:tr>
      <w:tr w:rsidR="00E87262" w:rsidRPr="00E87262" w14:paraId="52F9D1C4" w14:textId="77777777" w:rsidTr="00D31EE1">
        <w:trPr>
          <w:trHeight w:val="480"/>
        </w:trPr>
        <w:tc>
          <w:tcPr>
            <w:tcW w:w="907" w:type="pct"/>
            <w:tcBorders>
              <w:top w:val="nil"/>
              <w:left w:val="single" w:sz="4" w:space="0" w:color="auto"/>
              <w:bottom w:val="single" w:sz="4" w:space="0" w:color="auto"/>
              <w:right w:val="single" w:sz="4" w:space="0" w:color="auto"/>
            </w:tcBorders>
            <w:shd w:val="clear" w:color="000000" w:fill="E7E6E6"/>
            <w:noWrap/>
            <w:hideMark/>
          </w:tcPr>
          <w:p w14:paraId="4B38DED6" w14:textId="77777777" w:rsidR="00E87262" w:rsidRPr="00E87262" w:rsidRDefault="00E87262">
            <w:pPr>
              <w:spacing w:before="0" w:after="0"/>
              <w:jc w:val="left"/>
              <w:rPr>
                <w:rFonts w:ascii="Calibri" w:hAnsi="Calibri"/>
                <w:b/>
                <w:bCs/>
                <w:sz w:val="18"/>
                <w:szCs w:val="18"/>
                <w:lang w:val="es-CO" w:eastAsia="es-CO"/>
              </w:rPr>
            </w:pPr>
            <w:r w:rsidRPr="00E87262">
              <w:rPr>
                <w:rFonts w:ascii="Calibri" w:hAnsi="Calibri"/>
                <w:b/>
                <w:bCs/>
                <w:sz w:val="18"/>
                <w:szCs w:val="18"/>
                <w:lang w:val="es-CO" w:eastAsia="es-CO"/>
              </w:rPr>
              <w:t>Descripción</w:t>
            </w:r>
          </w:p>
        </w:tc>
        <w:tc>
          <w:tcPr>
            <w:tcW w:w="4093" w:type="pct"/>
            <w:tcBorders>
              <w:top w:val="nil"/>
              <w:left w:val="nil"/>
              <w:bottom w:val="single" w:sz="4" w:space="0" w:color="auto"/>
              <w:right w:val="single" w:sz="4" w:space="0" w:color="auto"/>
            </w:tcBorders>
            <w:shd w:val="clear" w:color="auto" w:fill="auto"/>
            <w:hideMark/>
          </w:tcPr>
          <w:p w14:paraId="5FC9922E" w14:textId="77777777" w:rsidR="00E87262" w:rsidRPr="00E87262" w:rsidRDefault="00E87262">
            <w:pPr>
              <w:spacing w:before="0" w:after="0"/>
              <w:jc w:val="left"/>
              <w:rPr>
                <w:rFonts w:ascii="Calibri" w:hAnsi="Calibri"/>
                <w:sz w:val="18"/>
                <w:szCs w:val="18"/>
                <w:lang w:val="es-CO" w:eastAsia="es-CO"/>
              </w:rPr>
            </w:pPr>
            <w:r w:rsidRPr="00E87262">
              <w:rPr>
                <w:rFonts w:ascii="Calibri" w:hAnsi="Calibri"/>
                <w:sz w:val="18"/>
                <w:szCs w:val="18"/>
                <w:lang w:val="es-CO" w:eastAsia="es-CO"/>
              </w:rPr>
              <w:t>Las condiciones de participación y los procedimientos del mecanismo garantizan un acotamiento de riesgo para los participantes y generan información suficiente para determinar los riesgos que asumen los agentes del mercado mayorista de energía que participen en el mecanismo.</w:t>
            </w:r>
          </w:p>
        </w:tc>
      </w:tr>
      <w:tr w:rsidR="00E87262" w:rsidRPr="00E87262" w14:paraId="179DD74C" w14:textId="77777777" w:rsidTr="00D31EE1">
        <w:trPr>
          <w:trHeight w:val="1560"/>
        </w:trPr>
        <w:tc>
          <w:tcPr>
            <w:tcW w:w="907" w:type="pct"/>
            <w:tcBorders>
              <w:top w:val="nil"/>
              <w:left w:val="single" w:sz="4" w:space="0" w:color="auto"/>
              <w:bottom w:val="single" w:sz="4" w:space="0" w:color="auto"/>
              <w:right w:val="single" w:sz="4" w:space="0" w:color="auto"/>
            </w:tcBorders>
            <w:shd w:val="clear" w:color="000000" w:fill="E7E6E6"/>
            <w:noWrap/>
            <w:hideMark/>
          </w:tcPr>
          <w:p w14:paraId="54F12AFD" w14:textId="77777777" w:rsidR="00E87262" w:rsidRPr="00E87262" w:rsidRDefault="00E87262">
            <w:pPr>
              <w:spacing w:before="0" w:after="0"/>
              <w:jc w:val="left"/>
              <w:rPr>
                <w:rFonts w:ascii="Calibri" w:hAnsi="Calibri"/>
                <w:b/>
                <w:bCs/>
                <w:sz w:val="18"/>
                <w:szCs w:val="18"/>
                <w:lang w:val="es-CO" w:eastAsia="es-CO"/>
              </w:rPr>
            </w:pPr>
            <w:r w:rsidRPr="00E87262">
              <w:rPr>
                <w:rFonts w:ascii="Calibri" w:hAnsi="Calibri"/>
                <w:b/>
                <w:bCs/>
                <w:sz w:val="18"/>
                <w:szCs w:val="18"/>
                <w:lang w:val="es-CO" w:eastAsia="es-CO"/>
              </w:rPr>
              <w:t>Resumen de la evaluación</w:t>
            </w:r>
          </w:p>
        </w:tc>
        <w:tc>
          <w:tcPr>
            <w:tcW w:w="4093" w:type="pct"/>
            <w:tcBorders>
              <w:top w:val="nil"/>
              <w:left w:val="nil"/>
              <w:bottom w:val="single" w:sz="4" w:space="0" w:color="auto"/>
              <w:right w:val="single" w:sz="4" w:space="0" w:color="auto"/>
            </w:tcBorders>
            <w:shd w:val="clear" w:color="auto" w:fill="auto"/>
            <w:hideMark/>
          </w:tcPr>
          <w:p w14:paraId="430AFD22" w14:textId="77777777" w:rsidR="00E87262" w:rsidRPr="00E87262" w:rsidRDefault="00E87262">
            <w:pPr>
              <w:spacing w:before="0" w:after="0"/>
              <w:jc w:val="left"/>
              <w:rPr>
                <w:rFonts w:ascii="Calibri" w:hAnsi="Calibri"/>
                <w:sz w:val="18"/>
                <w:szCs w:val="18"/>
                <w:lang w:val="es-CO" w:eastAsia="es-CO"/>
              </w:rPr>
            </w:pPr>
            <w:r w:rsidRPr="00E87262">
              <w:rPr>
                <w:rFonts w:ascii="Calibri" w:hAnsi="Calibri"/>
                <w:sz w:val="18"/>
                <w:szCs w:val="18"/>
                <w:lang w:val="es-CO" w:eastAsia="es-CO"/>
              </w:rPr>
              <w:t>En el mecanismo se cuentan con políticas de información, para que los participantes del mercado cuenten con la información y asesoramiento pertinente para la toma de decisiones. De la misma manera, en la regulación financiera se establecen deberes de los intermediarios de valores para que los clientes tengan suficiente información para determinar el valor de sus posiciones y puedan gestionar las mismas.</w:t>
            </w:r>
            <w:r w:rsidRPr="00E87262">
              <w:rPr>
                <w:rFonts w:ascii="Calibri" w:hAnsi="Calibri"/>
                <w:sz w:val="18"/>
                <w:szCs w:val="18"/>
                <w:lang w:val="es-CO" w:eastAsia="es-CO"/>
              </w:rPr>
              <w:br/>
              <w:t>El mecanismo se basa en la cobertura de riesgos específicos a través de la Cámara de Riesgo Central de Contraparte que ejerce las acciones de liquidación y compensación de las operaciones bajo un esquema de respaldo que incluye los 6 anillos de seguridad.</w:t>
            </w:r>
            <w:r w:rsidRPr="00E87262">
              <w:rPr>
                <w:rFonts w:ascii="Calibri" w:hAnsi="Calibri"/>
                <w:sz w:val="18"/>
                <w:szCs w:val="18"/>
                <w:lang w:val="es-CO" w:eastAsia="es-CO"/>
              </w:rPr>
              <w:br/>
              <w:t>Adicionalmente, se tienen esquemas de gestión y prevención de riesgos y lavado de activos y financiación del terrorismo - LAFT.</w:t>
            </w:r>
          </w:p>
        </w:tc>
      </w:tr>
      <w:tr w:rsidR="00E87262" w:rsidRPr="00E87262" w14:paraId="69638103" w14:textId="77777777" w:rsidTr="00D31EE1">
        <w:trPr>
          <w:trHeight w:val="1440"/>
        </w:trPr>
        <w:tc>
          <w:tcPr>
            <w:tcW w:w="907" w:type="pct"/>
            <w:tcBorders>
              <w:top w:val="nil"/>
              <w:left w:val="single" w:sz="4" w:space="0" w:color="auto"/>
              <w:bottom w:val="single" w:sz="4" w:space="0" w:color="auto"/>
              <w:right w:val="single" w:sz="4" w:space="0" w:color="auto"/>
            </w:tcBorders>
            <w:shd w:val="clear" w:color="000000" w:fill="E7E6E6"/>
            <w:hideMark/>
          </w:tcPr>
          <w:p w14:paraId="1D593F33" w14:textId="77777777" w:rsidR="00E87262" w:rsidRPr="00E87262" w:rsidRDefault="00E87262">
            <w:pPr>
              <w:spacing w:before="0" w:after="0"/>
              <w:jc w:val="left"/>
              <w:rPr>
                <w:rFonts w:ascii="Calibri" w:hAnsi="Calibri"/>
                <w:b/>
                <w:bCs/>
                <w:sz w:val="18"/>
                <w:szCs w:val="18"/>
                <w:lang w:val="es-CO" w:eastAsia="es-CO"/>
              </w:rPr>
            </w:pPr>
            <w:r w:rsidRPr="00E87262">
              <w:rPr>
                <w:rFonts w:ascii="Calibri" w:hAnsi="Calibri"/>
                <w:b/>
                <w:bCs/>
                <w:sz w:val="18"/>
                <w:szCs w:val="18"/>
                <w:lang w:val="es-CO" w:eastAsia="es-CO"/>
              </w:rPr>
              <w:t xml:space="preserve">Referencia en la propuesta </w:t>
            </w:r>
          </w:p>
        </w:tc>
        <w:tc>
          <w:tcPr>
            <w:tcW w:w="4093" w:type="pct"/>
            <w:tcBorders>
              <w:top w:val="nil"/>
              <w:left w:val="nil"/>
              <w:bottom w:val="single" w:sz="4" w:space="0" w:color="auto"/>
              <w:right w:val="single" w:sz="4" w:space="0" w:color="auto"/>
            </w:tcBorders>
            <w:shd w:val="clear" w:color="auto" w:fill="auto"/>
            <w:hideMark/>
          </w:tcPr>
          <w:p w14:paraId="33116202" w14:textId="77777777" w:rsidR="00A368BA" w:rsidRDefault="00E87262">
            <w:pPr>
              <w:spacing w:before="0" w:after="0"/>
              <w:jc w:val="left"/>
              <w:rPr>
                <w:rFonts w:ascii="Calibri" w:hAnsi="Calibri"/>
                <w:sz w:val="18"/>
                <w:szCs w:val="18"/>
                <w:lang w:val="es-CO" w:eastAsia="es-CO"/>
              </w:rPr>
            </w:pPr>
            <w:r w:rsidRPr="00E87262">
              <w:rPr>
                <w:rFonts w:ascii="Calibri" w:hAnsi="Calibri"/>
                <w:sz w:val="18"/>
                <w:szCs w:val="18"/>
                <w:lang w:val="es-CO" w:eastAsia="es-CO"/>
              </w:rPr>
              <w:t xml:space="preserve">1. </w:t>
            </w:r>
            <w:r w:rsidRPr="00E87262">
              <w:rPr>
                <w:rFonts w:ascii="Calibri" w:hAnsi="Calibri"/>
                <w:b/>
                <w:bCs/>
                <w:sz w:val="18"/>
                <w:szCs w:val="18"/>
                <w:lang w:val="es-CO" w:eastAsia="es-CO"/>
              </w:rPr>
              <w:t>Numeral 3 de la propuesta: Descripción general del mecanismo.</w:t>
            </w:r>
            <w:r w:rsidRPr="00E87262">
              <w:rPr>
                <w:rFonts w:ascii="Calibri" w:hAnsi="Calibri"/>
                <w:sz w:val="18"/>
                <w:szCs w:val="18"/>
                <w:lang w:val="es-CO" w:eastAsia="es-CO"/>
              </w:rPr>
              <w:t xml:space="preserve"> Dentro de las características que mencionan del mecanismo, se establece que el mismo "Elimina el riesgo de contraparte que existe hoy en día en los contratos bilaterales, gracias a la interposición de la Cámara como contrapartida de los Contratos de Futuros y a la administración del riesgo por parte de la CRCC. De igual forma, el sistema de gestión de riesgos de la CRCC se caracteriza por una serie de anillos de seguridad que, más allá de la mitigación del riesgo de contraparte, permiten la mitigación del riesgo de liquidez, del riesgo legal, del riesgo operativo y del riesgo sistémico"</w:t>
            </w:r>
            <w:r w:rsidRPr="00E87262">
              <w:rPr>
                <w:rFonts w:ascii="Calibri" w:hAnsi="Calibri"/>
                <w:sz w:val="18"/>
                <w:szCs w:val="18"/>
                <w:lang w:val="es-CO" w:eastAsia="es-CO"/>
              </w:rPr>
              <w:br/>
            </w:r>
          </w:p>
          <w:p w14:paraId="03DA5109" w14:textId="07C1DB94" w:rsidR="00E87262" w:rsidRPr="00E87262" w:rsidRDefault="00E87262">
            <w:pPr>
              <w:spacing w:before="0" w:after="0"/>
              <w:jc w:val="left"/>
              <w:rPr>
                <w:rFonts w:ascii="Calibri" w:hAnsi="Calibri"/>
                <w:sz w:val="18"/>
                <w:szCs w:val="18"/>
                <w:lang w:val="es-CO" w:eastAsia="es-CO"/>
              </w:rPr>
            </w:pPr>
            <w:r w:rsidRPr="00E87262">
              <w:rPr>
                <w:rFonts w:ascii="Calibri" w:hAnsi="Calibri"/>
                <w:sz w:val="18"/>
                <w:szCs w:val="18"/>
                <w:lang w:val="es-CO" w:eastAsia="es-CO"/>
              </w:rPr>
              <w:t xml:space="preserve">2. </w:t>
            </w:r>
            <w:r w:rsidRPr="00E87262">
              <w:rPr>
                <w:rFonts w:ascii="Calibri" w:hAnsi="Calibri"/>
                <w:b/>
                <w:bCs/>
                <w:sz w:val="18"/>
                <w:szCs w:val="18"/>
                <w:lang w:val="es-CO" w:eastAsia="es-CO"/>
              </w:rPr>
              <w:t>Decreto 2555 de 2010:</w:t>
            </w:r>
            <w:r w:rsidRPr="00E87262">
              <w:rPr>
                <w:rFonts w:ascii="Calibri" w:hAnsi="Calibri"/>
                <w:sz w:val="18"/>
                <w:szCs w:val="18"/>
                <w:lang w:val="es-CO" w:eastAsia="es-CO"/>
              </w:rPr>
              <w:t xml:space="preserve"> </w:t>
            </w:r>
            <w:r w:rsidRPr="00E87262">
              <w:rPr>
                <w:rFonts w:ascii="Calibri" w:hAnsi="Calibri"/>
                <w:b/>
                <w:bCs/>
                <w:sz w:val="18"/>
                <w:szCs w:val="18"/>
                <w:lang w:val="es-CO" w:eastAsia="es-CO"/>
              </w:rPr>
              <w:t>Deberes de los intermediarios de valores:</w:t>
            </w:r>
            <w:r w:rsidRPr="00E87262">
              <w:rPr>
                <w:rFonts w:ascii="Calibri" w:hAnsi="Calibri"/>
                <w:sz w:val="18"/>
                <w:szCs w:val="18"/>
                <w:lang w:val="es-CO" w:eastAsia="es-CO"/>
              </w:rPr>
              <w:t xml:space="preserve"> Deber de documentación y deber de valoración.</w:t>
            </w:r>
          </w:p>
        </w:tc>
      </w:tr>
      <w:tr w:rsidR="00D05BD8" w:rsidRPr="00E87262" w14:paraId="28933800" w14:textId="77777777" w:rsidTr="00D31EE1">
        <w:trPr>
          <w:trHeight w:val="739"/>
        </w:trPr>
        <w:tc>
          <w:tcPr>
            <w:tcW w:w="907" w:type="pct"/>
            <w:tcBorders>
              <w:top w:val="single" w:sz="4" w:space="0" w:color="auto"/>
              <w:left w:val="single" w:sz="4" w:space="0" w:color="auto"/>
              <w:bottom w:val="single" w:sz="4" w:space="0" w:color="auto"/>
              <w:right w:val="single" w:sz="4" w:space="0" w:color="auto"/>
            </w:tcBorders>
            <w:shd w:val="clear" w:color="000000" w:fill="E7E6E6"/>
            <w:hideMark/>
          </w:tcPr>
          <w:p w14:paraId="29593984" w14:textId="77777777" w:rsidR="00E87262" w:rsidRPr="00E87262" w:rsidRDefault="00E87262">
            <w:pPr>
              <w:spacing w:before="0" w:after="0"/>
              <w:jc w:val="left"/>
              <w:rPr>
                <w:rFonts w:ascii="Calibri" w:hAnsi="Calibri"/>
                <w:b/>
                <w:bCs/>
                <w:sz w:val="18"/>
                <w:szCs w:val="18"/>
                <w:lang w:val="es-CO" w:eastAsia="es-CO"/>
              </w:rPr>
            </w:pPr>
            <w:r w:rsidRPr="00E87262">
              <w:rPr>
                <w:rFonts w:ascii="Calibri" w:hAnsi="Calibri"/>
                <w:b/>
                <w:bCs/>
                <w:sz w:val="18"/>
                <w:szCs w:val="18"/>
                <w:lang w:val="es-CO" w:eastAsia="es-CO"/>
              </w:rPr>
              <w:t>Juan Pablo Amorocho</w:t>
            </w:r>
            <w:r w:rsidRPr="00E87262">
              <w:rPr>
                <w:rFonts w:ascii="Calibri" w:hAnsi="Calibri"/>
                <w:b/>
                <w:bCs/>
                <w:sz w:val="18"/>
                <w:szCs w:val="18"/>
                <w:lang w:val="es-CO" w:eastAsia="es-CO"/>
              </w:rPr>
              <w:br/>
              <w:t>(Mercados)</w:t>
            </w:r>
          </w:p>
        </w:tc>
        <w:tc>
          <w:tcPr>
            <w:tcW w:w="4093" w:type="pct"/>
            <w:tcBorders>
              <w:top w:val="single" w:sz="4" w:space="0" w:color="auto"/>
              <w:left w:val="single" w:sz="4" w:space="0" w:color="auto"/>
              <w:bottom w:val="single" w:sz="4" w:space="0" w:color="auto"/>
              <w:right w:val="single" w:sz="4" w:space="0" w:color="auto"/>
            </w:tcBorders>
            <w:shd w:val="clear" w:color="auto" w:fill="auto"/>
            <w:hideMark/>
          </w:tcPr>
          <w:p w14:paraId="6416F1D4" w14:textId="77777777" w:rsidR="00E87262" w:rsidRDefault="00E87262">
            <w:pPr>
              <w:spacing w:before="0" w:after="0"/>
              <w:jc w:val="left"/>
              <w:rPr>
                <w:rFonts w:ascii="Calibri" w:hAnsi="Calibri"/>
                <w:sz w:val="18"/>
                <w:szCs w:val="18"/>
                <w:lang w:val="es-CO" w:eastAsia="es-CO"/>
              </w:rPr>
            </w:pPr>
            <w:proofErr w:type="spellStart"/>
            <w:r w:rsidRPr="00E87262">
              <w:rPr>
                <w:rFonts w:ascii="Calibri" w:hAnsi="Calibri"/>
                <w:sz w:val="18"/>
                <w:szCs w:val="18"/>
                <w:lang w:val="es-CO" w:eastAsia="es-CO"/>
              </w:rPr>
              <w:t>Pág</w:t>
            </w:r>
            <w:proofErr w:type="spellEnd"/>
            <w:r w:rsidRPr="00E87262">
              <w:rPr>
                <w:rFonts w:ascii="Calibri" w:hAnsi="Calibri"/>
                <w:sz w:val="18"/>
                <w:szCs w:val="18"/>
                <w:lang w:val="es-CO" w:eastAsia="es-CO"/>
              </w:rPr>
              <w:t xml:space="preserve"> 6</w:t>
            </w:r>
            <w:r w:rsidRPr="00E87262">
              <w:rPr>
                <w:rFonts w:ascii="Calibri" w:hAnsi="Calibri"/>
                <w:sz w:val="18"/>
                <w:szCs w:val="18"/>
                <w:lang w:val="es-CO" w:eastAsia="es-CO"/>
              </w:rPr>
              <w:br/>
              <w:t xml:space="preserve">"Estos requisitos permiten el buen funcionamiento de los sistemas de negociación y registro; por un lado se garantiza el profesionalismo en la creación de precio y su respectivo cierre, por otro lado </w:t>
            </w:r>
            <w:r w:rsidRPr="00E87262">
              <w:rPr>
                <w:rFonts w:ascii="Calibri" w:hAnsi="Calibri"/>
                <w:b/>
                <w:bCs/>
                <w:sz w:val="18"/>
                <w:szCs w:val="18"/>
                <w:lang w:val="es-CO" w:eastAsia="es-CO"/>
              </w:rPr>
              <w:t xml:space="preserve">se </w:t>
            </w:r>
            <w:proofErr w:type="spellStart"/>
            <w:r w:rsidRPr="00E87262">
              <w:rPr>
                <w:rFonts w:ascii="Calibri" w:hAnsi="Calibri"/>
                <w:b/>
                <w:bCs/>
                <w:sz w:val="18"/>
                <w:szCs w:val="18"/>
                <w:lang w:val="es-CO" w:eastAsia="es-CO"/>
              </w:rPr>
              <w:t>garatiza</w:t>
            </w:r>
            <w:proofErr w:type="spellEnd"/>
            <w:r w:rsidRPr="00E87262">
              <w:rPr>
                <w:rFonts w:ascii="Calibri" w:hAnsi="Calibri"/>
                <w:b/>
                <w:bCs/>
                <w:sz w:val="18"/>
                <w:szCs w:val="18"/>
                <w:lang w:val="es-CO" w:eastAsia="es-CO"/>
              </w:rPr>
              <w:t xml:space="preserve"> que los participantes conocen toda la normatividad de la ley  valores que describe este tipo de productos</w:t>
            </w:r>
            <w:r w:rsidRPr="00E87262">
              <w:rPr>
                <w:rFonts w:ascii="Calibri" w:hAnsi="Calibri"/>
                <w:sz w:val="18"/>
                <w:szCs w:val="18"/>
                <w:lang w:val="es-CO" w:eastAsia="es-CO"/>
              </w:rPr>
              <w:t xml:space="preserve"> y que todos los actores tienen las mismas </w:t>
            </w:r>
            <w:proofErr w:type="spellStart"/>
            <w:r w:rsidRPr="00E87262">
              <w:rPr>
                <w:rFonts w:ascii="Calibri" w:hAnsi="Calibri"/>
                <w:sz w:val="18"/>
                <w:szCs w:val="18"/>
                <w:lang w:val="es-CO" w:eastAsia="es-CO"/>
              </w:rPr>
              <w:t>oporunidades</w:t>
            </w:r>
            <w:proofErr w:type="spellEnd"/>
            <w:r w:rsidRPr="00E87262">
              <w:rPr>
                <w:rFonts w:ascii="Calibri" w:hAnsi="Calibri"/>
                <w:sz w:val="18"/>
                <w:szCs w:val="18"/>
                <w:lang w:val="es-CO" w:eastAsia="es-CO"/>
              </w:rPr>
              <w:t xml:space="preserve"> de acceso a los precios e información del mercado </w:t>
            </w:r>
            <w:r w:rsidRPr="00E87262">
              <w:rPr>
                <w:rFonts w:ascii="Calibri" w:hAnsi="Calibri"/>
                <w:b/>
                <w:bCs/>
                <w:sz w:val="18"/>
                <w:szCs w:val="18"/>
                <w:lang w:val="es-CO" w:eastAsia="es-CO"/>
              </w:rPr>
              <w:t>y hay un mínimo de requisitos tecnológicos que beneficia el adecuado funcionamiento del sistema</w:t>
            </w:r>
            <w:r w:rsidRPr="00E87262">
              <w:rPr>
                <w:rFonts w:ascii="Calibri" w:hAnsi="Calibri"/>
                <w:sz w:val="18"/>
                <w:szCs w:val="18"/>
                <w:lang w:val="es-CO" w:eastAsia="es-CO"/>
              </w:rPr>
              <w:t>."</w:t>
            </w:r>
            <w:r w:rsidRPr="00E87262">
              <w:rPr>
                <w:rFonts w:ascii="Calibri" w:hAnsi="Calibri"/>
                <w:sz w:val="18"/>
                <w:szCs w:val="18"/>
                <w:lang w:val="es-CO" w:eastAsia="es-CO"/>
              </w:rPr>
              <w:br/>
            </w:r>
            <w:r w:rsidRPr="00E87262">
              <w:rPr>
                <w:rFonts w:ascii="Calibri" w:hAnsi="Calibri"/>
                <w:sz w:val="18"/>
                <w:szCs w:val="18"/>
                <w:lang w:val="es-CO" w:eastAsia="es-CO"/>
              </w:rPr>
              <w:br/>
            </w:r>
            <w:proofErr w:type="spellStart"/>
            <w:r w:rsidRPr="00E87262">
              <w:rPr>
                <w:rFonts w:ascii="Calibri" w:hAnsi="Calibri"/>
                <w:sz w:val="18"/>
                <w:szCs w:val="18"/>
                <w:lang w:val="es-CO" w:eastAsia="es-CO"/>
              </w:rPr>
              <w:t>Pág</w:t>
            </w:r>
            <w:proofErr w:type="spellEnd"/>
            <w:r w:rsidRPr="00E87262">
              <w:rPr>
                <w:rFonts w:ascii="Calibri" w:hAnsi="Calibri"/>
                <w:sz w:val="18"/>
                <w:szCs w:val="18"/>
                <w:lang w:val="es-CO" w:eastAsia="es-CO"/>
              </w:rPr>
              <w:t xml:space="preserve"> 7-8</w:t>
            </w:r>
            <w:r w:rsidRPr="00E87262">
              <w:rPr>
                <w:rFonts w:ascii="Calibri" w:hAnsi="Calibri"/>
                <w:sz w:val="18"/>
                <w:szCs w:val="18"/>
                <w:lang w:val="es-CO" w:eastAsia="es-CO"/>
              </w:rPr>
              <w:br/>
              <w:t>"</w:t>
            </w:r>
            <w:r w:rsidRPr="00E87262">
              <w:rPr>
                <w:rFonts w:ascii="Calibri" w:hAnsi="Calibri"/>
                <w:b/>
                <w:bCs/>
                <w:sz w:val="18"/>
                <w:szCs w:val="18"/>
                <w:lang w:val="es-CO" w:eastAsia="es-CO"/>
              </w:rPr>
              <w:t>Deber de Información: Adoptar los mecanismos necesarios para que la información dirigida a sus clientes o posibles clientes en operaciones de intermediación sea: objetiva, oportuna, completa, imparcial y clara.</w:t>
            </w:r>
            <w:r w:rsidRPr="00E87262">
              <w:rPr>
                <w:rFonts w:ascii="Calibri" w:hAnsi="Calibri"/>
                <w:sz w:val="18"/>
                <w:szCs w:val="18"/>
                <w:lang w:val="es-CO" w:eastAsia="es-CO"/>
              </w:rPr>
              <w:t xml:space="preserve"> Por lo tanto, deberá informarle además de manera previa a la realización de la primera operación: Su naturaleza jurídica y las características de las operaciones de intermediación que se están contratando. Las características generales de los valores, productos o instrumentos financieros ofrecidos o promovidos, así como los riesgos inherentes a los mismos. </w:t>
            </w:r>
            <w:r w:rsidRPr="00E87262">
              <w:rPr>
                <w:rFonts w:ascii="Calibri" w:hAnsi="Calibri"/>
                <w:sz w:val="18"/>
                <w:szCs w:val="18"/>
                <w:lang w:val="es-CO" w:eastAsia="es-CO"/>
              </w:rPr>
              <w:br/>
              <w:t>Deberes frente a los conflictos de interés: Tener políticas y procedimientos aprobados por su Junta Directiva o el órgano que desarrolle funciones equivalentes para la detección, prevención y manejo de conflictos de interés en la realización de operaciones de intermediación. Tratándose del mercado mostrador, el intermediario de valores tiene el deber de abstenerse de realizar operaciones con sus vinculados.</w:t>
            </w:r>
            <w:r w:rsidRPr="00E87262">
              <w:rPr>
                <w:rFonts w:ascii="Calibri" w:hAnsi="Calibri"/>
                <w:sz w:val="18"/>
                <w:szCs w:val="18"/>
                <w:lang w:val="es-CO" w:eastAsia="es-CO"/>
              </w:rPr>
              <w:br/>
            </w:r>
            <w:r w:rsidRPr="00E87262">
              <w:rPr>
                <w:rFonts w:ascii="Calibri" w:hAnsi="Calibri"/>
                <w:b/>
                <w:bCs/>
                <w:sz w:val="18"/>
                <w:szCs w:val="18"/>
                <w:lang w:val="es-CO" w:eastAsia="es-CO"/>
              </w:rPr>
              <w:t>Deber de documentación: Los intermediarios de valores autorizados legalmente para recibir órdenes de clientes, deberán documentar oportuna y adecuadamente dichas órdenes y las operaciones sobre valores que realicen en virtud de éstas.</w:t>
            </w:r>
            <w:r w:rsidRPr="00E87262">
              <w:rPr>
                <w:rFonts w:ascii="Calibri" w:hAnsi="Calibri"/>
                <w:sz w:val="18"/>
                <w:szCs w:val="18"/>
                <w:lang w:val="es-CO" w:eastAsia="es-CO"/>
              </w:rPr>
              <w:br/>
              <w:t xml:space="preserve">Deber de reserva: Los intermediarios de valores, sus administradores y funcionarios, así como </w:t>
            </w:r>
            <w:r w:rsidRPr="00E87262">
              <w:rPr>
                <w:rFonts w:ascii="Calibri" w:hAnsi="Calibri"/>
                <w:sz w:val="18"/>
                <w:szCs w:val="18"/>
                <w:lang w:val="es-CO" w:eastAsia="es-CO"/>
              </w:rPr>
              <w:lastRenderedPageBreak/>
              <w:t>cualquier persona vinculada a ellos, están obligados a guardar reserva de las operaciones sobre valores ejecutadas en desarrollo de la relación contractual y sus resultados, así como cualquier información que de acuerdo con las normas del mercado de valores tenga carácter confidencial.</w:t>
            </w:r>
            <w:r w:rsidRPr="00E87262">
              <w:rPr>
                <w:rFonts w:ascii="Calibri" w:hAnsi="Calibri"/>
                <w:sz w:val="18"/>
                <w:szCs w:val="18"/>
                <w:lang w:val="es-CO" w:eastAsia="es-CO"/>
              </w:rPr>
              <w:br/>
              <w:t xml:space="preserve">Deber de separación de </w:t>
            </w:r>
            <w:proofErr w:type="spellStart"/>
            <w:r w:rsidRPr="00E87262">
              <w:rPr>
                <w:rFonts w:ascii="Calibri" w:hAnsi="Calibri"/>
                <w:sz w:val="18"/>
                <w:szCs w:val="18"/>
                <w:lang w:val="es-CO" w:eastAsia="es-CO"/>
              </w:rPr>
              <w:t>activos:Mantener</w:t>
            </w:r>
            <w:proofErr w:type="spellEnd"/>
            <w:r w:rsidRPr="00E87262">
              <w:rPr>
                <w:rFonts w:ascii="Calibri" w:hAnsi="Calibri"/>
                <w:sz w:val="18"/>
                <w:szCs w:val="18"/>
                <w:lang w:val="es-CO" w:eastAsia="es-CO"/>
              </w:rPr>
              <w:t xml:space="preserve"> separados los activos administrados o recibidos de sus clientes, de los propios y de los que correspondan a otros clientes. El intermediario nunca podrá utilizar los recursos de propiedad de terceros para el cumplimiento de sus operaciones por cuenta propia o de otros clientes.</w:t>
            </w:r>
            <w:r w:rsidRPr="00E87262">
              <w:rPr>
                <w:rFonts w:ascii="Calibri" w:hAnsi="Calibri"/>
                <w:sz w:val="18"/>
                <w:szCs w:val="18"/>
                <w:lang w:val="es-CO" w:eastAsia="es-CO"/>
              </w:rPr>
              <w:br/>
            </w:r>
            <w:r w:rsidRPr="00E87262">
              <w:rPr>
                <w:rFonts w:ascii="Calibri" w:hAnsi="Calibri"/>
                <w:b/>
                <w:bCs/>
                <w:sz w:val="18"/>
                <w:szCs w:val="18"/>
                <w:lang w:val="es-CO" w:eastAsia="es-CO"/>
              </w:rPr>
              <w:t>Deber de valoración: Al realizar alguna de las operaciones de intermediación en el mercado de valores, deben valorar a precios de mercado todos los activos de sus clientes. Así mismo, deben proveer mecanismos que permitan al cliente consultar su portafolio con la última valoración.</w:t>
            </w:r>
            <w:r w:rsidRPr="00E87262">
              <w:rPr>
                <w:rFonts w:ascii="Calibri" w:hAnsi="Calibri"/>
                <w:sz w:val="18"/>
                <w:szCs w:val="18"/>
                <w:lang w:val="es-CO" w:eastAsia="es-CO"/>
              </w:rPr>
              <w:t xml:space="preserve"> Este deber aplica a las operaciones ejecutadas en el desarrollo del contrato de comisión para la compra y venta de valores inscritos en el RNVE o de valores extranjeros listados en un sistema local de cotizaciones de valores extranjeros; así como, las operaciones de compra y venta de tales valores ejecutadas en desarrollo de contratos de administración de </w:t>
            </w:r>
            <w:proofErr w:type="spellStart"/>
            <w:r w:rsidRPr="00E87262">
              <w:rPr>
                <w:rFonts w:ascii="Calibri" w:hAnsi="Calibri"/>
                <w:sz w:val="18"/>
                <w:szCs w:val="18"/>
                <w:lang w:val="es-CO" w:eastAsia="es-CO"/>
              </w:rPr>
              <w:t>portafol</w:t>
            </w:r>
            <w:proofErr w:type="spellEnd"/>
            <w:r w:rsidRPr="00E87262">
              <w:rPr>
                <w:rFonts w:ascii="Calibri" w:hAnsi="Calibri"/>
                <w:sz w:val="18"/>
                <w:szCs w:val="18"/>
                <w:lang w:val="es-CO" w:eastAsia="es-CO"/>
              </w:rPr>
              <w:t xml:space="preserve"> </w:t>
            </w:r>
            <w:proofErr w:type="spellStart"/>
            <w:r w:rsidRPr="00E87262">
              <w:rPr>
                <w:rFonts w:ascii="Calibri" w:hAnsi="Calibri"/>
                <w:sz w:val="18"/>
                <w:szCs w:val="18"/>
                <w:lang w:val="es-CO" w:eastAsia="es-CO"/>
              </w:rPr>
              <w:t>ios</w:t>
            </w:r>
            <w:proofErr w:type="spellEnd"/>
            <w:r w:rsidRPr="00E87262">
              <w:rPr>
                <w:rFonts w:ascii="Calibri" w:hAnsi="Calibri"/>
                <w:sz w:val="18"/>
                <w:szCs w:val="18"/>
                <w:lang w:val="es-CO" w:eastAsia="es-CO"/>
              </w:rPr>
              <w:t xml:space="preserve"> de ter ceros y de administración de valores.</w:t>
            </w:r>
            <w:r w:rsidRPr="00E87262">
              <w:rPr>
                <w:rFonts w:ascii="Calibri" w:hAnsi="Calibri"/>
                <w:sz w:val="18"/>
                <w:szCs w:val="18"/>
                <w:lang w:val="es-CO" w:eastAsia="es-CO"/>
              </w:rPr>
              <w:br/>
              <w:t>Deber de mejor ejecución de las operaciones: Adoptar las políticas y procedimientos para la ejecución de sus operaciones, las cuales deben propender por el mejor resultado posible para su cliente de conformidad con sus instrucciones. Estas políticas deben ser informadas previamente al cliente, corresponder al tipo de cliente y al volumen de las órdenes. El intermediario de valores deberá contar con los mecanismos idóneos para establecer que las órdenes y operaciones encomendadas fueron ejecutadas de conformidad con la política de ejecución de la entidad y el cumplimiento de dicho deber. Este deber aplica a las operaciones ejecutadas en el desarrollo del contrato de comisión para la compra y venta de valores inscritos en el RNVE o de valores extranjeros listados en un sistema local de cotizaciones de valores extranjeros; así como las operaciones de compra y venta de tales valores."</w:t>
            </w:r>
            <w:r w:rsidRPr="00E87262">
              <w:rPr>
                <w:rFonts w:ascii="Calibri" w:hAnsi="Calibri"/>
                <w:sz w:val="18"/>
                <w:szCs w:val="18"/>
                <w:lang w:val="es-CO" w:eastAsia="es-CO"/>
              </w:rPr>
              <w:br/>
            </w:r>
            <w:r w:rsidRPr="00E87262">
              <w:rPr>
                <w:rFonts w:ascii="Calibri" w:hAnsi="Calibri"/>
                <w:sz w:val="18"/>
                <w:szCs w:val="18"/>
                <w:lang w:val="es-CO" w:eastAsia="es-CO"/>
              </w:rPr>
              <w:br/>
              <w:t>Pág. 9</w:t>
            </w:r>
            <w:r w:rsidRPr="00E87262">
              <w:rPr>
                <w:rFonts w:ascii="Calibri" w:hAnsi="Calibri"/>
                <w:sz w:val="18"/>
                <w:szCs w:val="18"/>
                <w:lang w:val="es-CO" w:eastAsia="es-CO"/>
              </w:rPr>
              <w:br/>
              <w:t xml:space="preserve">"El esquema que tiene </w:t>
            </w:r>
            <w:proofErr w:type="spellStart"/>
            <w:r w:rsidRPr="00E87262">
              <w:rPr>
                <w:rFonts w:ascii="Calibri" w:hAnsi="Calibri"/>
                <w:sz w:val="18"/>
                <w:szCs w:val="18"/>
                <w:lang w:val="es-CO" w:eastAsia="es-CO"/>
              </w:rPr>
              <w:t>Derivex</w:t>
            </w:r>
            <w:proofErr w:type="spellEnd"/>
            <w:r w:rsidRPr="00E87262">
              <w:rPr>
                <w:rFonts w:ascii="Calibri" w:hAnsi="Calibri"/>
                <w:sz w:val="18"/>
                <w:szCs w:val="18"/>
                <w:lang w:val="es-CO" w:eastAsia="es-CO"/>
              </w:rPr>
              <w:t xml:space="preserve">, permite garantizar que las personas naturales o jurídicas que van a participar o participan en este mercado; están debidamente asesoradas y entienden la estructura, las obligaciones y los riesgos que corren al efectuar dichas operaciones." </w:t>
            </w:r>
            <w:r w:rsidRPr="00E87262">
              <w:rPr>
                <w:rFonts w:ascii="Calibri" w:hAnsi="Calibri"/>
                <w:sz w:val="18"/>
                <w:szCs w:val="18"/>
                <w:lang w:val="es-CO" w:eastAsia="es-CO"/>
              </w:rPr>
              <w:br/>
            </w:r>
            <w:r w:rsidRPr="00E87262">
              <w:rPr>
                <w:rFonts w:ascii="Calibri" w:hAnsi="Calibri"/>
                <w:sz w:val="18"/>
                <w:szCs w:val="18"/>
                <w:lang w:val="es-CO" w:eastAsia="es-CO"/>
              </w:rPr>
              <w:br/>
              <w:t>Pág. 17</w:t>
            </w:r>
            <w:r w:rsidRPr="00E87262">
              <w:rPr>
                <w:rFonts w:ascii="Calibri" w:hAnsi="Calibri"/>
                <w:sz w:val="18"/>
                <w:szCs w:val="18"/>
                <w:lang w:val="es-CO" w:eastAsia="es-CO"/>
              </w:rPr>
              <w:br/>
              <w:t xml:space="preserve">"En el caso de las operaciones de </w:t>
            </w:r>
            <w:proofErr w:type="spellStart"/>
            <w:r w:rsidRPr="00E87262">
              <w:rPr>
                <w:rFonts w:ascii="Calibri" w:hAnsi="Calibri"/>
                <w:sz w:val="18"/>
                <w:szCs w:val="18"/>
                <w:lang w:val="es-CO" w:eastAsia="es-CO"/>
              </w:rPr>
              <w:t>Derivex</w:t>
            </w:r>
            <w:proofErr w:type="spellEnd"/>
            <w:r w:rsidRPr="00E87262">
              <w:rPr>
                <w:rFonts w:ascii="Calibri" w:hAnsi="Calibri"/>
                <w:sz w:val="18"/>
                <w:szCs w:val="18"/>
                <w:lang w:val="es-CO" w:eastAsia="es-CO"/>
              </w:rPr>
              <w:t xml:space="preserve"> partimos de los supuestos que la información relevante del mercado y su subyacente es pública y todos los actores tienen el mismo acceso a ella. Por </w:t>
            </w:r>
            <w:proofErr w:type="gramStart"/>
            <w:r w:rsidRPr="00E87262">
              <w:rPr>
                <w:rFonts w:ascii="Calibri" w:hAnsi="Calibri"/>
                <w:sz w:val="18"/>
                <w:szCs w:val="18"/>
                <w:lang w:val="es-CO" w:eastAsia="es-CO"/>
              </w:rPr>
              <w:t>ejemplo</w:t>
            </w:r>
            <w:proofErr w:type="gramEnd"/>
            <w:r w:rsidRPr="00E87262">
              <w:rPr>
                <w:rFonts w:ascii="Calibri" w:hAnsi="Calibri"/>
                <w:sz w:val="18"/>
                <w:szCs w:val="18"/>
                <w:lang w:val="es-CO" w:eastAsia="es-CO"/>
              </w:rPr>
              <w:t xml:space="preserve"> nivel de embalse, posibilidades de fenómenos </w:t>
            </w:r>
            <w:proofErr w:type="spellStart"/>
            <w:r w:rsidRPr="00E87262">
              <w:rPr>
                <w:rFonts w:ascii="Calibri" w:hAnsi="Calibri"/>
                <w:sz w:val="18"/>
                <w:szCs w:val="18"/>
                <w:lang w:val="es-CO" w:eastAsia="es-CO"/>
              </w:rPr>
              <w:t>climaticos</w:t>
            </w:r>
            <w:proofErr w:type="spellEnd"/>
            <w:r w:rsidRPr="00E87262">
              <w:rPr>
                <w:rFonts w:ascii="Calibri" w:hAnsi="Calibri"/>
                <w:sz w:val="18"/>
                <w:szCs w:val="18"/>
                <w:lang w:val="es-CO" w:eastAsia="es-CO"/>
              </w:rPr>
              <w:t xml:space="preserve">, etc. El hecho que la </w:t>
            </w:r>
            <w:proofErr w:type="spellStart"/>
            <w:r w:rsidRPr="00E87262">
              <w:rPr>
                <w:rFonts w:ascii="Calibri" w:hAnsi="Calibri"/>
                <w:sz w:val="18"/>
                <w:szCs w:val="18"/>
                <w:lang w:val="es-CO" w:eastAsia="es-CO"/>
              </w:rPr>
              <w:t>formacion</w:t>
            </w:r>
            <w:proofErr w:type="spellEnd"/>
            <w:r w:rsidRPr="00E87262">
              <w:rPr>
                <w:rFonts w:ascii="Calibri" w:hAnsi="Calibri"/>
                <w:sz w:val="18"/>
                <w:szCs w:val="18"/>
                <w:lang w:val="es-CO" w:eastAsia="es-CO"/>
              </w:rPr>
              <w:t xml:space="preserve"> de precios se haga a través de pantallas con acceso </w:t>
            </w:r>
            <w:proofErr w:type="spellStart"/>
            <w:r w:rsidRPr="00E87262">
              <w:rPr>
                <w:rFonts w:ascii="Calibri" w:hAnsi="Calibri"/>
                <w:sz w:val="18"/>
                <w:szCs w:val="18"/>
                <w:lang w:val="es-CO" w:eastAsia="es-CO"/>
              </w:rPr>
              <w:t>multiple</w:t>
            </w:r>
            <w:proofErr w:type="spellEnd"/>
            <w:r w:rsidRPr="00E87262">
              <w:rPr>
                <w:rFonts w:ascii="Calibri" w:hAnsi="Calibri"/>
                <w:sz w:val="18"/>
                <w:szCs w:val="18"/>
                <w:lang w:val="es-CO" w:eastAsia="es-CO"/>
              </w:rPr>
              <w:t xml:space="preserve"> y simultaneo a todo el mercado, que </w:t>
            </w:r>
            <w:proofErr w:type="spellStart"/>
            <w:r w:rsidRPr="00E87262">
              <w:rPr>
                <w:rFonts w:ascii="Calibri" w:hAnsi="Calibri"/>
                <w:sz w:val="18"/>
                <w:szCs w:val="18"/>
                <w:lang w:val="es-CO" w:eastAsia="es-CO"/>
              </w:rPr>
              <w:t>que</w:t>
            </w:r>
            <w:proofErr w:type="spellEnd"/>
            <w:r w:rsidRPr="00E87262">
              <w:rPr>
                <w:rFonts w:ascii="Calibri" w:hAnsi="Calibri"/>
                <w:sz w:val="18"/>
                <w:szCs w:val="18"/>
                <w:lang w:val="es-CO" w:eastAsia="es-CO"/>
              </w:rPr>
              <w:t xml:space="preserve"> las posturas son operables para todo el mercado solo dependiendo de su capacidad de liquidez para constituir las </w:t>
            </w:r>
            <w:proofErr w:type="spellStart"/>
            <w:r w:rsidRPr="00E87262">
              <w:rPr>
                <w:rFonts w:ascii="Calibri" w:hAnsi="Calibri"/>
                <w:sz w:val="18"/>
                <w:szCs w:val="18"/>
                <w:lang w:val="es-CO" w:eastAsia="es-CO"/>
              </w:rPr>
              <w:t>garantias</w:t>
            </w:r>
            <w:proofErr w:type="spellEnd"/>
            <w:r w:rsidRPr="00E87262">
              <w:rPr>
                <w:rFonts w:ascii="Calibri" w:hAnsi="Calibri"/>
                <w:sz w:val="18"/>
                <w:szCs w:val="18"/>
                <w:lang w:val="es-CO" w:eastAsia="es-CO"/>
              </w:rPr>
              <w:t xml:space="preserve"> y que el mecanismo </w:t>
            </w:r>
            <w:proofErr w:type="gramStart"/>
            <w:r w:rsidRPr="00E87262">
              <w:rPr>
                <w:rFonts w:ascii="Calibri" w:hAnsi="Calibri"/>
                <w:sz w:val="18"/>
                <w:szCs w:val="18"/>
                <w:lang w:val="es-CO" w:eastAsia="es-CO"/>
              </w:rPr>
              <w:t>le</w:t>
            </w:r>
            <w:proofErr w:type="gramEnd"/>
            <w:r w:rsidRPr="00E87262">
              <w:rPr>
                <w:rFonts w:ascii="Calibri" w:hAnsi="Calibri"/>
                <w:sz w:val="18"/>
                <w:szCs w:val="18"/>
                <w:lang w:val="es-CO" w:eastAsia="es-CO"/>
              </w:rPr>
              <w:t xml:space="preserve"> permite a empresas de </w:t>
            </w:r>
            <w:proofErr w:type="spellStart"/>
            <w:r w:rsidRPr="00E87262">
              <w:rPr>
                <w:rFonts w:ascii="Calibri" w:hAnsi="Calibri"/>
                <w:sz w:val="18"/>
                <w:szCs w:val="18"/>
                <w:lang w:val="es-CO" w:eastAsia="es-CO"/>
              </w:rPr>
              <w:t>indutrias</w:t>
            </w:r>
            <w:proofErr w:type="spellEnd"/>
            <w:r w:rsidRPr="00E87262">
              <w:rPr>
                <w:rFonts w:ascii="Calibri" w:hAnsi="Calibri"/>
                <w:sz w:val="18"/>
                <w:szCs w:val="18"/>
                <w:lang w:val="es-CO" w:eastAsia="es-CO"/>
              </w:rPr>
              <w:t xml:space="preserve"> diferentes participar en el mercado, la eficiencia del mercado en información ayudará a aumentar el número de participantes del esquema."</w:t>
            </w:r>
          </w:p>
          <w:p w14:paraId="5F00463B" w14:textId="4A2E0F8A" w:rsidR="00D05BD8" w:rsidRPr="00E87262" w:rsidRDefault="00D05BD8">
            <w:pPr>
              <w:spacing w:before="0" w:after="0"/>
              <w:jc w:val="left"/>
              <w:rPr>
                <w:rFonts w:ascii="Calibri" w:hAnsi="Calibri"/>
                <w:sz w:val="18"/>
                <w:szCs w:val="18"/>
                <w:lang w:val="es-CO" w:eastAsia="es-CO"/>
              </w:rPr>
            </w:pPr>
          </w:p>
        </w:tc>
      </w:tr>
      <w:tr w:rsidR="00E87262" w:rsidRPr="00E87262" w14:paraId="608CEAE1" w14:textId="77777777" w:rsidTr="00D31EE1">
        <w:trPr>
          <w:trHeight w:val="6372"/>
        </w:trPr>
        <w:tc>
          <w:tcPr>
            <w:tcW w:w="907" w:type="pct"/>
            <w:tcBorders>
              <w:top w:val="single" w:sz="4" w:space="0" w:color="auto"/>
              <w:left w:val="single" w:sz="4" w:space="0" w:color="auto"/>
              <w:bottom w:val="single" w:sz="4" w:space="0" w:color="auto"/>
              <w:right w:val="single" w:sz="4" w:space="0" w:color="auto"/>
            </w:tcBorders>
            <w:shd w:val="clear" w:color="000000" w:fill="E7E6E6"/>
            <w:hideMark/>
          </w:tcPr>
          <w:p w14:paraId="32D8276D" w14:textId="77777777" w:rsidR="00E87262" w:rsidRPr="00E87262" w:rsidRDefault="00E87262">
            <w:pPr>
              <w:spacing w:before="0" w:after="0"/>
              <w:jc w:val="left"/>
              <w:rPr>
                <w:rFonts w:ascii="Calibri" w:hAnsi="Calibri"/>
                <w:b/>
                <w:bCs/>
                <w:sz w:val="18"/>
                <w:szCs w:val="18"/>
                <w:lang w:val="es-CO" w:eastAsia="es-CO"/>
              </w:rPr>
            </w:pPr>
            <w:r w:rsidRPr="00E87262">
              <w:rPr>
                <w:rFonts w:ascii="Calibri" w:hAnsi="Calibri"/>
                <w:b/>
                <w:bCs/>
                <w:sz w:val="18"/>
                <w:szCs w:val="18"/>
                <w:lang w:val="es-CO" w:eastAsia="es-CO"/>
              </w:rPr>
              <w:lastRenderedPageBreak/>
              <w:t>Diego Jara</w:t>
            </w:r>
            <w:r w:rsidRPr="00E87262">
              <w:rPr>
                <w:rFonts w:ascii="Calibri" w:hAnsi="Calibri"/>
                <w:b/>
                <w:bCs/>
                <w:sz w:val="18"/>
                <w:szCs w:val="18"/>
                <w:lang w:val="es-CO" w:eastAsia="es-CO"/>
              </w:rPr>
              <w:br/>
              <w:t>(Riesgos)</w:t>
            </w:r>
          </w:p>
        </w:tc>
        <w:tc>
          <w:tcPr>
            <w:tcW w:w="4093" w:type="pct"/>
            <w:tcBorders>
              <w:top w:val="single" w:sz="4" w:space="0" w:color="auto"/>
              <w:left w:val="nil"/>
              <w:bottom w:val="single" w:sz="4" w:space="0" w:color="auto"/>
              <w:right w:val="single" w:sz="4" w:space="0" w:color="auto"/>
            </w:tcBorders>
            <w:shd w:val="clear" w:color="auto" w:fill="auto"/>
            <w:hideMark/>
          </w:tcPr>
          <w:p w14:paraId="4CD52C74" w14:textId="528AA49E" w:rsidR="00C80FBA" w:rsidRDefault="00E87262">
            <w:pPr>
              <w:spacing w:before="0" w:after="0"/>
              <w:jc w:val="left"/>
              <w:rPr>
                <w:rFonts w:ascii="Calibri" w:hAnsi="Calibri"/>
                <w:sz w:val="18"/>
                <w:szCs w:val="18"/>
                <w:lang w:val="es-CO" w:eastAsia="es-CO"/>
              </w:rPr>
            </w:pPr>
            <w:r w:rsidRPr="00E87262">
              <w:rPr>
                <w:rFonts w:ascii="Calibri" w:hAnsi="Calibri"/>
                <w:sz w:val="18"/>
                <w:szCs w:val="18"/>
                <w:lang w:val="es-CO" w:eastAsia="es-CO"/>
              </w:rPr>
              <w:t>Pág. 9</w:t>
            </w:r>
            <w:r w:rsidRPr="00E87262">
              <w:rPr>
                <w:rFonts w:ascii="Calibri" w:hAnsi="Calibri"/>
                <w:sz w:val="18"/>
                <w:szCs w:val="18"/>
                <w:lang w:val="es-CO" w:eastAsia="es-CO"/>
              </w:rPr>
              <w:br/>
              <w:t xml:space="preserve">El rol de la CRCC en este mecanismo radica en actuar como acreedora y deudora </w:t>
            </w:r>
            <w:proofErr w:type="spellStart"/>
            <w:r w:rsidRPr="00E87262">
              <w:rPr>
                <w:rFonts w:ascii="Calibri" w:hAnsi="Calibri"/>
                <w:sz w:val="18"/>
                <w:szCs w:val="18"/>
                <w:lang w:val="es-CO" w:eastAsia="es-CO"/>
              </w:rPr>
              <w:t>recíproca</w:t>
            </w:r>
            <w:proofErr w:type="spellEnd"/>
            <w:r w:rsidRPr="00E87262">
              <w:rPr>
                <w:rFonts w:ascii="Calibri" w:hAnsi="Calibri"/>
                <w:sz w:val="18"/>
                <w:szCs w:val="18"/>
                <w:lang w:val="es-CO" w:eastAsia="es-CO"/>
              </w:rPr>
              <w:t xml:space="preserve"> de los derechos y obligaciones que se derivan de las operaciones aceptadas para su compensación y liquidación, previa verificación de los controles y requisitos de riesgo de conformidad con lo establecido en el Reglamento de Funcionamiento..</w:t>
            </w:r>
            <w:r w:rsidRPr="00E87262">
              <w:rPr>
                <w:rFonts w:ascii="Calibri" w:hAnsi="Calibri"/>
                <w:sz w:val="18"/>
                <w:szCs w:val="18"/>
                <w:lang w:val="es-CO" w:eastAsia="es-CO"/>
              </w:rPr>
              <w:br/>
              <w:t>Al actuar la CRCC como el administrador de riesgos del mecanismo, con su estructura y sus seis anillos de seguridad busca mitigar diversos riesgos que podrían afectar potencialmente a los participantes del mecanismo</w:t>
            </w:r>
            <w:r w:rsidR="009B0E0A">
              <w:rPr>
                <w:rFonts w:ascii="Calibri" w:hAnsi="Calibri"/>
                <w:sz w:val="18"/>
                <w:szCs w:val="18"/>
                <w:lang w:val="es-CO" w:eastAsia="es-CO"/>
              </w:rPr>
              <w:t>.</w:t>
            </w:r>
            <w:r w:rsidRPr="00E87262">
              <w:rPr>
                <w:rFonts w:ascii="Calibri" w:hAnsi="Calibri"/>
                <w:sz w:val="18"/>
                <w:szCs w:val="18"/>
                <w:lang w:val="es-CO" w:eastAsia="es-CO"/>
              </w:rPr>
              <w:br/>
            </w:r>
            <w:r w:rsidRPr="00E87262">
              <w:rPr>
                <w:rFonts w:ascii="Calibri" w:hAnsi="Calibri"/>
                <w:sz w:val="18"/>
                <w:szCs w:val="18"/>
                <w:lang w:val="es-CO" w:eastAsia="es-CO"/>
              </w:rPr>
              <w:br/>
              <w:t>Riesgo LAFT Conclusión general del consultor</w:t>
            </w:r>
            <w:r w:rsidRPr="00E87262">
              <w:rPr>
                <w:rFonts w:ascii="Calibri" w:hAnsi="Calibri"/>
                <w:sz w:val="18"/>
                <w:szCs w:val="18"/>
                <w:lang w:val="es-CO" w:eastAsia="es-CO"/>
              </w:rPr>
              <w:br/>
              <w:t>Dado lo anterior, se puede afirmar que el mecanismo propuesto acata la Res. 114, en materia de gestión y prevención de riesgos LAFT por medio de sistemas de prevención: SIPLAFT, PLAFT, y diferentes cláusulas dentro del mecanismo que permite la gestión del riesgo al interior del sistema en estándares exigidos para el sector financiero.</w:t>
            </w:r>
            <w:r w:rsidRPr="00E87262">
              <w:rPr>
                <w:rFonts w:ascii="Calibri" w:hAnsi="Calibri"/>
                <w:sz w:val="18"/>
                <w:szCs w:val="18"/>
                <w:lang w:val="es-CO" w:eastAsia="es-CO"/>
              </w:rPr>
              <w:br/>
            </w:r>
            <w:r w:rsidRPr="00E87262">
              <w:rPr>
                <w:rFonts w:ascii="Calibri" w:hAnsi="Calibri"/>
                <w:sz w:val="18"/>
                <w:szCs w:val="18"/>
                <w:lang w:val="es-CO" w:eastAsia="es-CO"/>
              </w:rPr>
              <w:br/>
              <w:t>Para los promotores</w:t>
            </w:r>
            <w:r w:rsidRPr="00E87262">
              <w:rPr>
                <w:rFonts w:ascii="Calibri" w:hAnsi="Calibri"/>
                <w:sz w:val="18"/>
                <w:szCs w:val="18"/>
                <w:lang w:val="es-CO" w:eastAsia="es-CO"/>
              </w:rPr>
              <w:br/>
              <w:t>Pág. 10</w:t>
            </w:r>
            <w:r w:rsidRPr="00E87262">
              <w:rPr>
                <w:rFonts w:ascii="Calibri" w:hAnsi="Calibri"/>
                <w:sz w:val="18"/>
                <w:szCs w:val="18"/>
                <w:lang w:val="es-CO" w:eastAsia="es-CO"/>
              </w:rPr>
              <w:br/>
              <w:t>el mecanismo cumple con este requisito por medio del cumplimiento de la normativa</w:t>
            </w:r>
            <w:r w:rsidRPr="00E87262">
              <w:rPr>
                <w:rFonts w:ascii="Calibri" w:hAnsi="Calibri"/>
                <w:sz w:val="18"/>
                <w:szCs w:val="18"/>
                <w:lang w:val="es-CO" w:eastAsia="es-CO"/>
              </w:rPr>
              <w:br/>
              <w:t>LAFT impartida por la Superintendencia Financiera de Colombia (SFC) tanto para los proveedores</w:t>
            </w:r>
            <w:r w:rsidRPr="00E87262">
              <w:rPr>
                <w:rFonts w:ascii="Calibri" w:hAnsi="Calibri"/>
                <w:sz w:val="18"/>
                <w:szCs w:val="18"/>
                <w:lang w:val="es-CO" w:eastAsia="es-CO"/>
              </w:rPr>
              <w:br/>
              <w:t xml:space="preserve">de infraestructura, como para sus miembros (pg. 40, Propuesta </w:t>
            </w:r>
            <w:proofErr w:type="spellStart"/>
            <w:r w:rsidRPr="00E87262">
              <w:rPr>
                <w:rFonts w:ascii="Calibri" w:hAnsi="Calibri"/>
                <w:sz w:val="18"/>
                <w:szCs w:val="18"/>
                <w:lang w:val="es-CO" w:eastAsia="es-CO"/>
              </w:rPr>
              <w:t>Derivex</w:t>
            </w:r>
            <w:proofErr w:type="spellEnd"/>
            <w:r w:rsidRPr="00E87262">
              <w:rPr>
                <w:rFonts w:ascii="Calibri" w:hAnsi="Calibri"/>
                <w:sz w:val="18"/>
                <w:szCs w:val="18"/>
                <w:lang w:val="es-CO" w:eastAsia="es-CO"/>
              </w:rPr>
              <w:t xml:space="preserve"> &amp; CRCC). Es decir, al ser</w:t>
            </w:r>
            <w:r w:rsidRPr="00E87262">
              <w:rPr>
                <w:rFonts w:ascii="Calibri" w:hAnsi="Calibri"/>
                <w:sz w:val="18"/>
                <w:szCs w:val="18"/>
                <w:lang w:val="es-CO" w:eastAsia="es-CO"/>
              </w:rPr>
              <w:br/>
              <w:t>entidades vigiladas por la SFC, con obligaciones de administrar su riesgo de LAFT, los estándares</w:t>
            </w:r>
            <w:r w:rsidRPr="00E87262">
              <w:rPr>
                <w:rFonts w:ascii="Calibri" w:hAnsi="Calibri"/>
                <w:sz w:val="18"/>
                <w:szCs w:val="18"/>
                <w:lang w:val="es-CO" w:eastAsia="es-CO"/>
              </w:rPr>
              <w:br/>
              <w:t>del sector financiero se extienden a la administración del mecanismo propuesto.</w:t>
            </w:r>
            <w:r w:rsidRPr="00E87262">
              <w:rPr>
                <w:rFonts w:ascii="Calibri" w:hAnsi="Calibri"/>
                <w:sz w:val="18"/>
                <w:szCs w:val="18"/>
                <w:lang w:val="es-CO" w:eastAsia="es-CO"/>
              </w:rPr>
              <w:br/>
            </w:r>
            <w:r w:rsidRPr="00E87262">
              <w:rPr>
                <w:rFonts w:ascii="Calibri" w:hAnsi="Calibri"/>
                <w:sz w:val="18"/>
                <w:szCs w:val="18"/>
                <w:lang w:val="es-CO" w:eastAsia="es-CO"/>
              </w:rPr>
              <w:br/>
              <w:t>Para los liquidadores</w:t>
            </w:r>
            <w:r w:rsidRPr="00E87262">
              <w:rPr>
                <w:rFonts w:ascii="Calibri" w:hAnsi="Calibri"/>
                <w:sz w:val="18"/>
                <w:szCs w:val="18"/>
                <w:lang w:val="es-CO" w:eastAsia="es-CO"/>
              </w:rPr>
              <w:br/>
              <w:t>la mitigación del riesgo LAFT de los miembros liquidadores se encuentra mitigado</w:t>
            </w:r>
            <w:r w:rsidRPr="00E87262">
              <w:rPr>
                <w:rFonts w:ascii="Calibri" w:hAnsi="Calibri"/>
                <w:sz w:val="18"/>
                <w:szCs w:val="18"/>
                <w:lang w:val="es-CO" w:eastAsia="es-CO"/>
              </w:rPr>
              <w:br/>
              <w:t>en las obligaciones de los miembros de la CRCC que establece la:</w:t>
            </w:r>
            <w:r w:rsidRPr="00E87262">
              <w:rPr>
                <w:rFonts w:ascii="Calibri" w:hAnsi="Calibri"/>
                <w:sz w:val="18"/>
                <w:szCs w:val="18"/>
                <w:lang w:val="es-CO" w:eastAsia="es-CO"/>
              </w:rPr>
              <w:br/>
              <w:t>Exigencia y causa de cancelación del contrato: “el acaecimiento de hechos o actos, ajenos</w:t>
            </w:r>
            <w:r w:rsidRPr="00E87262">
              <w:rPr>
                <w:rFonts w:ascii="Calibri" w:hAnsi="Calibri"/>
                <w:sz w:val="18"/>
                <w:szCs w:val="18"/>
                <w:lang w:val="es-CO" w:eastAsia="es-CO"/>
              </w:rPr>
              <w:br/>
              <w:t xml:space="preserve">o no al Miembro Liquidador, que pongan en riesgo su relación con otros Miembros, </w:t>
            </w:r>
            <w:proofErr w:type="spellStart"/>
            <w:r w:rsidRPr="00E87262">
              <w:rPr>
                <w:rFonts w:ascii="Calibri" w:hAnsi="Calibri"/>
                <w:sz w:val="18"/>
                <w:szCs w:val="18"/>
                <w:lang w:val="es-CO" w:eastAsia="es-CO"/>
              </w:rPr>
              <w:t>conlos</w:t>
            </w:r>
            <w:proofErr w:type="spellEnd"/>
            <w:r w:rsidRPr="00E87262">
              <w:rPr>
                <w:rFonts w:ascii="Calibri" w:hAnsi="Calibri"/>
                <w:sz w:val="18"/>
                <w:szCs w:val="18"/>
                <w:lang w:val="es-CO" w:eastAsia="es-CO"/>
              </w:rPr>
              <w:t xml:space="preserve"> depósitos de valores o de dineros y con la propia Cámara. Tales hechos o actos pueden </w:t>
            </w:r>
            <w:proofErr w:type="gramStart"/>
            <w:r w:rsidRPr="00E87262">
              <w:rPr>
                <w:rFonts w:ascii="Calibri" w:hAnsi="Calibri"/>
                <w:sz w:val="18"/>
                <w:szCs w:val="18"/>
                <w:lang w:val="es-CO" w:eastAsia="es-CO"/>
              </w:rPr>
              <w:t>verse</w:t>
            </w:r>
            <w:proofErr w:type="gramEnd"/>
            <w:r w:rsidRPr="00E87262">
              <w:rPr>
                <w:rFonts w:ascii="Calibri" w:hAnsi="Calibri"/>
                <w:sz w:val="18"/>
                <w:szCs w:val="18"/>
                <w:lang w:val="es-CO" w:eastAsia="es-CO"/>
              </w:rPr>
              <w:t xml:space="preserve"> por ejemplo, sobre pronunciamientos, información o registros referidos a listas de bloqueo o de control de lavado de Activos y financiación del terrorismo, de carácter nacional o internacional, en las cuales de manera directa o indirecta pueda verse afectado el Miembro Liquidador, sus accionistas, administradores o personas vinculadas.”</w:t>
            </w:r>
            <w:r w:rsidRPr="00E87262">
              <w:rPr>
                <w:rFonts w:ascii="Calibri" w:hAnsi="Calibri"/>
                <w:sz w:val="18"/>
                <w:szCs w:val="18"/>
                <w:lang w:val="es-CO" w:eastAsia="es-CO"/>
              </w:rPr>
              <w:br/>
            </w:r>
            <w:r w:rsidRPr="00E87262">
              <w:rPr>
                <w:rFonts w:ascii="Calibri" w:hAnsi="Calibri"/>
                <w:sz w:val="18"/>
                <w:szCs w:val="18"/>
                <w:lang w:val="es-CO" w:eastAsia="es-CO"/>
              </w:rPr>
              <w:br/>
            </w:r>
            <w:r w:rsidR="00CD27E7" w:rsidRPr="00E87262">
              <w:rPr>
                <w:rFonts w:ascii="Calibri" w:hAnsi="Calibri"/>
                <w:sz w:val="18"/>
                <w:szCs w:val="18"/>
                <w:lang w:val="es-CO" w:eastAsia="es-CO"/>
              </w:rPr>
              <w:t>Pág</w:t>
            </w:r>
            <w:r w:rsidR="00C80FBA">
              <w:rPr>
                <w:rFonts w:ascii="Calibri" w:hAnsi="Calibri"/>
                <w:sz w:val="18"/>
                <w:szCs w:val="18"/>
                <w:lang w:val="es-CO" w:eastAsia="es-CO"/>
              </w:rPr>
              <w:t>.</w:t>
            </w:r>
            <w:r w:rsidR="00CD27E7" w:rsidRPr="00E87262">
              <w:rPr>
                <w:rFonts w:ascii="Calibri" w:hAnsi="Calibri"/>
                <w:sz w:val="18"/>
                <w:szCs w:val="18"/>
                <w:lang w:val="es-CO" w:eastAsia="es-CO"/>
              </w:rPr>
              <w:t xml:space="preserve"> 10</w:t>
            </w:r>
          </w:p>
          <w:p w14:paraId="296D48C1" w14:textId="2BDA30E5" w:rsidR="00E87262" w:rsidRPr="00E87262" w:rsidRDefault="00E87262">
            <w:pPr>
              <w:spacing w:before="0" w:after="0"/>
              <w:jc w:val="left"/>
              <w:rPr>
                <w:rFonts w:ascii="Calibri" w:hAnsi="Calibri"/>
                <w:sz w:val="18"/>
                <w:szCs w:val="18"/>
                <w:lang w:val="es-CO" w:eastAsia="es-CO"/>
              </w:rPr>
            </w:pPr>
            <w:r w:rsidRPr="00E87262">
              <w:rPr>
                <w:rFonts w:ascii="Calibri" w:hAnsi="Calibri"/>
                <w:sz w:val="18"/>
                <w:szCs w:val="18"/>
                <w:lang w:val="es-CO" w:eastAsia="es-CO"/>
              </w:rPr>
              <w:t>Para los agentes del MEM terceros se encuentra mitigado indirectamente por medio de los miembros liquidadores</w:t>
            </w:r>
          </w:p>
        </w:tc>
      </w:tr>
      <w:tr w:rsidR="00E87262" w:rsidRPr="00E87262" w14:paraId="5BB7A90D" w14:textId="77777777" w:rsidTr="00D31EE1">
        <w:trPr>
          <w:trHeight w:val="1590"/>
        </w:trPr>
        <w:tc>
          <w:tcPr>
            <w:tcW w:w="907" w:type="pct"/>
            <w:tcBorders>
              <w:top w:val="nil"/>
              <w:left w:val="single" w:sz="4" w:space="0" w:color="auto"/>
              <w:bottom w:val="single" w:sz="4" w:space="0" w:color="auto"/>
              <w:right w:val="single" w:sz="4" w:space="0" w:color="auto"/>
            </w:tcBorders>
            <w:shd w:val="clear" w:color="000000" w:fill="E7E6E6"/>
            <w:hideMark/>
          </w:tcPr>
          <w:p w14:paraId="191BA09E" w14:textId="77777777" w:rsidR="00E87262" w:rsidRPr="00E87262" w:rsidRDefault="00E87262">
            <w:pPr>
              <w:spacing w:before="0" w:after="0"/>
              <w:jc w:val="left"/>
              <w:rPr>
                <w:rFonts w:ascii="Calibri" w:hAnsi="Calibri"/>
                <w:b/>
                <w:bCs/>
                <w:sz w:val="18"/>
                <w:szCs w:val="18"/>
                <w:lang w:val="es-CO" w:eastAsia="es-CO"/>
              </w:rPr>
            </w:pPr>
            <w:r w:rsidRPr="00E87262">
              <w:rPr>
                <w:rFonts w:ascii="Calibri" w:hAnsi="Calibri"/>
                <w:b/>
                <w:bCs/>
                <w:sz w:val="18"/>
                <w:szCs w:val="18"/>
                <w:lang w:val="es-CO" w:eastAsia="es-CO"/>
              </w:rPr>
              <w:t>Roberto Borrás</w:t>
            </w:r>
            <w:r w:rsidRPr="00E87262">
              <w:rPr>
                <w:rFonts w:ascii="Calibri" w:hAnsi="Calibri"/>
                <w:b/>
                <w:bCs/>
                <w:sz w:val="18"/>
                <w:szCs w:val="18"/>
                <w:lang w:val="es-CO" w:eastAsia="es-CO"/>
              </w:rPr>
              <w:br/>
              <w:t>(Gobierno corporativo)</w:t>
            </w:r>
          </w:p>
        </w:tc>
        <w:tc>
          <w:tcPr>
            <w:tcW w:w="4093" w:type="pct"/>
            <w:tcBorders>
              <w:top w:val="nil"/>
              <w:left w:val="nil"/>
              <w:bottom w:val="single" w:sz="4" w:space="0" w:color="auto"/>
              <w:right w:val="single" w:sz="4" w:space="0" w:color="auto"/>
            </w:tcBorders>
            <w:shd w:val="clear" w:color="auto" w:fill="auto"/>
            <w:hideMark/>
          </w:tcPr>
          <w:p w14:paraId="53ED8FEF" w14:textId="77777777" w:rsidR="00E87262" w:rsidRPr="00E87262" w:rsidRDefault="00E87262">
            <w:pPr>
              <w:spacing w:before="0" w:after="0"/>
              <w:jc w:val="left"/>
              <w:rPr>
                <w:rFonts w:ascii="Calibri" w:hAnsi="Calibri"/>
                <w:sz w:val="18"/>
                <w:szCs w:val="18"/>
                <w:lang w:val="es-CO" w:eastAsia="es-CO"/>
              </w:rPr>
            </w:pPr>
            <w:r w:rsidRPr="00E87262">
              <w:rPr>
                <w:rFonts w:ascii="Calibri" w:hAnsi="Calibri"/>
                <w:sz w:val="18"/>
                <w:szCs w:val="18"/>
                <w:lang w:val="es-CO" w:eastAsia="es-CO"/>
              </w:rPr>
              <w:t xml:space="preserve">(i) Asegurar la confianza pública en el sistema financiero y velar porque las instituciones que lo integran, dentro de las que se encuentran </w:t>
            </w:r>
            <w:proofErr w:type="spellStart"/>
            <w:r w:rsidRPr="00E87262">
              <w:rPr>
                <w:rFonts w:ascii="Calibri" w:hAnsi="Calibri"/>
                <w:sz w:val="18"/>
                <w:szCs w:val="18"/>
                <w:lang w:val="es-CO" w:eastAsia="es-CO"/>
              </w:rPr>
              <w:t>Derivex</w:t>
            </w:r>
            <w:proofErr w:type="spellEnd"/>
            <w:r w:rsidRPr="00E87262">
              <w:rPr>
                <w:rFonts w:ascii="Calibri" w:hAnsi="Calibri"/>
                <w:sz w:val="18"/>
                <w:szCs w:val="18"/>
                <w:lang w:val="es-CO" w:eastAsia="es-CO"/>
              </w:rPr>
              <w:t xml:space="preserve"> y la CRCC, mantengan permanente solidez económica y coeficientes de liquidez apropiados para atender sus obligaciones</w:t>
            </w:r>
            <w:r w:rsidRPr="00E87262">
              <w:rPr>
                <w:rFonts w:ascii="Calibri" w:hAnsi="Calibri"/>
                <w:sz w:val="18"/>
                <w:szCs w:val="18"/>
                <w:lang w:val="es-CO" w:eastAsia="es-CO"/>
              </w:rPr>
              <w:br/>
              <w:t>(</w:t>
            </w:r>
            <w:proofErr w:type="spellStart"/>
            <w:r w:rsidRPr="00E87262">
              <w:rPr>
                <w:rFonts w:ascii="Calibri" w:hAnsi="Calibri"/>
                <w:sz w:val="18"/>
                <w:szCs w:val="18"/>
                <w:lang w:val="es-CO" w:eastAsia="es-CO"/>
              </w:rPr>
              <w:t>iii</w:t>
            </w:r>
            <w:proofErr w:type="spellEnd"/>
            <w:r w:rsidRPr="00E87262">
              <w:rPr>
                <w:rFonts w:ascii="Calibri" w:hAnsi="Calibri"/>
                <w:sz w:val="18"/>
                <w:szCs w:val="18"/>
                <w:lang w:val="es-CO" w:eastAsia="es-CO"/>
              </w:rPr>
              <w:t xml:space="preserve">) Supervisar las actividades que desarrollan las entidades sometidas a su control y vigilancia, dentro de las que se encuentran </w:t>
            </w:r>
            <w:proofErr w:type="spellStart"/>
            <w:r w:rsidRPr="00E87262">
              <w:rPr>
                <w:rFonts w:ascii="Calibri" w:hAnsi="Calibri"/>
                <w:sz w:val="18"/>
                <w:szCs w:val="18"/>
                <w:lang w:val="es-CO" w:eastAsia="es-CO"/>
              </w:rPr>
              <w:t>Derivex</w:t>
            </w:r>
            <w:proofErr w:type="spellEnd"/>
            <w:r w:rsidRPr="00E87262">
              <w:rPr>
                <w:rFonts w:ascii="Calibri" w:hAnsi="Calibri"/>
                <w:sz w:val="18"/>
                <w:szCs w:val="18"/>
                <w:lang w:val="es-CO" w:eastAsia="es-CO"/>
              </w:rPr>
              <w:t xml:space="preserve"> y la CRCC, con el objeto de velar por la adecuada prestación del servicio financiero, esto es, que su operación se realice en condiciones de seguridad, transparencia y eficiencia</w:t>
            </w:r>
            <w:r w:rsidRPr="00E87262">
              <w:rPr>
                <w:rFonts w:ascii="Calibri" w:hAnsi="Calibri"/>
                <w:sz w:val="18"/>
                <w:szCs w:val="18"/>
                <w:lang w:val="es-CO" w:eastAsia="es-CO"/>
              </w:rPr>
              <w:br/>
              <w:t xml:space="preserve">(v) Velar porque las entidades sometidas a su supervisión, dentro de las que se encuentran </w:t>
            </w:r>
            <w:proofErr w:type="spellStart"/>
            <w:r w:rsidRPr="00E87262">
              <w:rPr>
                <w:rFonts w:ascii="Calibri" w:hAnsi="Calibri"/>
                <w:sz w:val="18"/>
                <w:szCs w:val="18"/>
                <w:lang w:val="es-CO" w:eastAsia="es-CO"/>
              </w:rPr>
              <w:t>Derivex</w:t>
            </w:r>
            <w:proofErr w:type="spellEnd"/>
            <w:r w:rsidRPr="00E87262">
              <w:rPr>
                <w:rFonts w:ascii="Calibri" w:hAnsi="Calibri"/>
                <w:sz w:val="18"/>
                <w:szCs w:val="18"/>
                <w:lang w:val="es-CO" w:eastAsia="es-CO"/>
              </w:rPr>
              <w:t xml:space="preserve"> y la CRCC, no incurran en prácticas comerciales restrictivas del libre mercado y desarrollen su actividad con sujeción a las reglas y prácticas de la buena fe comercial; </w:t>
            </w:r>
          </w:p>
        </w:tc>
      </w:tr>
    </w:tbl>
    <w:p w14:paraId="3121E998" w14:textId="77777777" w:rsidR="001544E0" w:rsidRDefault="001544E0">
      <w:pPr>
        <w:spacing w:before="0" w:after="0"/>
        <w:rPr>
          <w:b/>
          <w:caps/>
          <w:szCs w:val="20"/>
          <w:lang w:val="es-CO"/>
        </w:rPr>
      </w:pPr>
    </w:p>
    <w:p w14:paraId="2ECF3C83" w14:textId="77777777" w:rsidR="004F79CB" w:rsidRDefault="004F79CB">
      <w:pPr>
        <w:spacing w:before="0" w:after="0"/>
        <w:rPr>
          <w:b/>
          <w:caps/>
          <w:szCs w:val="20"/>
          <w:lang w:val="es-CO"/>
        </w:rPr>
      </w:pPr>
    </w:p>
    <w:p w14:paraId="163037C7" w14:textId="77777777" w:rsidR="001D138A" w:rsidRDefault="001D138A">
      <w:pPr>
        <w:spacing w:before="0" w:after="0"/>
        <w:jc w:val="left"/>
        <w:rPr>
          <w:b/>
          <w:caps/>
          <w:szCs w:val="20"/>
          <w:lang w:val="es-CO"/>
        </w:rPr>
      </w:pPr>
      <w:r>
        <w:rPr>
          <w:b/>
          <w:caps/>
          <w:szCs w:val="20"/>
          <w:lang w:val="es-CO"/>
        </w:rPr>
        <w:br w:type="page"/>
      </w:r>
    </w:p>
    <w:p w14:paraId="46B84487" w14:textId="65A99A14" w:rsidR="00BF5E35" w:rsidRDefault="003A79B1">
      <w:pPr>
        <w:spacing w:before="0" w:after="0"/>
        <w:rPr>
          <w:b/>
          <w:szCs w:val="20"/>
          <w:lang w:val="es-CO"/>
        </w:rPr>
      </w:pPr>
      <w:r w:rsidRPr="00FD3AFF">
        <w:rPr>
          <w:b/>
          <w:caps/>
          <w:szCs w:val="20"/>
          <w:lang w:val="es-CO"/>
        </w:rPr>
        <w:lastRenderedPageBreak/>
        <w:t>E</w:t>
      </w:r>
      <w:r w:rsidRPr="003A79B1">
        <w:rPr>
          <w:b/>
          <w:szCs w:val="20"/>
          <w:lang w:val="es-CO"/>
        </w:rPr>
        <w:t>valuación de las condiciones</w:t>
      </w:r>
    </w:p>
    <w:p w14:paraId="3688DEF6" w14:textId="77777777" w:rsidR="001D138A" w:rsidRDefault="001D138A">
      <w:pPr>
        <w:spacing w:before="0" w:after="0"/>
        <w:rPr>
          <w:b/>
          <w:szCs w:val="20"/>
          <w:lang w:val="es-CO"/>
        </w:rPr>
      </w:pPr>
    </w:p>
    <w:tbl>
      <w:tblPr>
        <w:tblW w:w="5000" w:type="pct"/>
        <w:tblLayout w:type="fixed"/>
        <w:tblCellMar>
          <w:left w:w="70" w:type="dxa"/>
          <w:right w:w="70" w:type="dxa"/>
        </w:tblCellMar>
        <w:tblLook w:val="04A0" w:firstRow="1" w:lastRow="0" w:firstColumn="1" w:lastColumn="0" w:noHBand="0" w:noVBand="1"/>
      </w:tblPr>
      <w:tblGrid>
        <w:gridCol w:w="1695"/>
        <w:gridCol w:w="7651"/>
      </w:tblGrid>
      <w:tr w:rsidR="00202B56" w:rsidRPr="00202B56" w14:paraId="367EFA1D" w14:textId="77777777" w:rsidTr="00D31EE1">
        <w:trPr>
          <w:trHeight w:val="300"/>
        </w:trPr>
        <w:tc>
          <w:tcPr>
            <w:tcW w:w="907"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3AC1EAC" w14:textId="77777777" w:rsidR="00202B56" w:rsidRPr="00202B56" w:rsidRDefault="00202B56">
            <w:pPr>
              <w:spacing w:before="0" w:after="0"/>
              <w:jc w:val="center"/>
              <w:rPr>
                <w:rFonts w:ascii="Calibri" w:hAnsi="Calibri"/>
                <w:b/>
                <w:bCs/>
                <w:color w:val="000000"/>
                <w:sz w:val="18"/>
                <w:szCs w:val="18"/>
                <w:lang w:val="es-CO" w:eastAsia="es-CO"/>
              </w:rPr>
            </w:pPr>
            <w:r w:rsidRPr="00202B56">
              <w:rPr>
                <w:rFonts w:ascii="Calibri" w:hAnsi="Calibri"/>
                <w:b/>
                <w:bCs/>
                <w:color w:val="000000"/>
                <w:sz w:val="18"/>
                <w:szCs w:val="18"/>
                <w:lang w:val="es-CO" w:eastAsia="es-CO"/>
              </w:rPr>
              <w:t xml:space="preserve">Parámetro </w:t>
            </w:r>
          </w:p>
        </w:tc>
        <w:tc>
          <w:tcPr>
            <w:tcW w:w="4093" w:type="pct"/>
            <w:tcBorders>
              <w:top w:val="single" w:sz="4" w:space="0" w:color="auto"/>
              <w:left w:val="nil"/>
              <w:bottom w:val="single" w:sz="4" w:space="0" w:color="auto"/>
              <w:right w:val="single" w:sz="4" w:space="0" w:color="auto"/>
            </w:tcBorders>
            <w:shd w:val="clear" w:color="000000" w:fill="D9E1F2"/>
            <w:vAlign w:val="center"/>
            <w:hideMark/>
          </w:tcPr>
          <w:p w14:paraId="6D216DD2" w14:textId="77777777" w:rsidR="00202B56" w:rsidRPr="00202B56" w:rsidRDefault="00202B56">
            <w:pPr>
              <w:spacing w:before="0" w:after="0"/>
              <w:jc w:val="center"/>
              <w:rPr>
                <w:rFonts w:ascii="Calibri" w:hAnsi="Calibri"/>
                <w:b/>
                <w:bCs/>
                <w:color w:val="000000"/>
                <w:sz w:val="18"/>
                <w:szCs w:val="18"/>
                <w:lang w:val="es-CO" w:eastAsia="es-CO"/>
              </w:rPr>
            </w:pPr>
            <w:r w:rsidRPr="00202B56">
              <w:rPr>
                <w:rFonts w:ascii="Calibri" w:hAnsi="Calibri"/>
                <w:b/>
                <w:bCs/>
                <w:color w:val="000000"/>
                <w:sz w:val="18"/>
                <w:szCs w:val="18"/>
                <w:lang w:val="es-CO" w:eastAsia="es-CO"/>
              </w:rPr>
              <w:t>Condición de pluralidad</w:t>
            </w:r>
          </w:p>
        </w:tc>
      </w:tr>
      <w:tr w:rsidR="00202B56" w:rsidRPr="00202B56" w14:paraId="6871ADB0" w14:textId="77777777" w:rsidTr="00D31EE1">
        <w:trPr>
          <w:trHeight w:val="570"/>
        </w:trPr>
        <w:tc>
          <w:tcPr>
            <w:tcW w:w="907" w:type="pct"/>
            <w:tcBorders>
              <w:top w:val="nil"/>
              <w:left w:val="single" w:sz="4" w:space="0" w:color="auto"/>
              <w:bottom w:val="single" w:sz="4" w:space="0" w:color="auto"/>
              <w:right w:val="single" w:sz="4" w:space="0" w:color="auto"/>
            </w:tcBorders>
            <w:shd w:val="clear" w:color="000000" w:fill="E7E6E6"/>
            <w:noWrap/>
            <w:hideMark/>
          </w:tcPr>
          <w:p w14:paraId="404E08DF" w14:textId="77777777" w:rsidR="00202B56" w:rsidRPr="00202B56" w:rsidRDefault="00202B56">
            <w:pPr>
              <w:spacing w:before="0" w:after="0"/>
              <w:jc w:val="left"/>
              <w:rPr>
                <w:rFonts w:ascii="Calibri" w:hAnsi="Calibri"/>
                <w:b/>
                <w:bCs/>
                <w:color w:val="000000"/>
                <w:sz w:val="18"/>
                <w:szCs w:val="18"/>
                <w:lang w:val="es-CO" w:eastAsia="es-CO"/>
              </w:rPr>
            </w:pPr>
            <w:r w:rsidRPr="00202B56">
              <w:rPr>
                <w:rFonts w:ascii="Calibri" w:hAnsi="Calibri"/>
                <w:b/>
                <w:bCs/>
                <w:color w:val="000000"/>
                <w:sz w:val="18"/>
                <w:szCs w:val="18"/>
                <w:lang w:val="es-CO" w:eastAsia="es-CO"/>
              </w:rPr>
              <w:t>Descripción</w:t>
            </w:r>
          </w:p>
        </w:tc>
        <w:tc>
          <w:tcPr>
            <w:tcW w:w="4093" w:type="pct"/>
            <w:tcBorders>
              <w:top w:val="single" w:sz="4" w:space="0" w:color="auto"/>
              <w:left w:val="nil"/>
              <w:bottom w:val="single" w:sz="4" w:space="0" w:color="auto"/>
              <w:right w:val="single" w:sz="4" w:space="0" w:color="auto"/>
            </w:tcBorders>
            <w:shd w:val="clear" w:color="auto" w:fill="auto"/>
            <w:hideMark/>
          </w:tcPr>
          <w:p w14:paraId="0CB720CA" w14:textId="77777777" w:rsidR="00202B56" w:rsidRPr="00202B56" w:rsidRDefault="00202B56">
            <w:pPr>
              <w:spacing w:before="0" w:after="0"/>
              <w:jc w:val="left"/>
              <w:rPr>
                <w:rFonts w:ascii="Calibri" w:hAnsi="Calibri"/>
                <w:sz w:val="18"/>
                <w:szCs w:val="18"/>
                <w:lang w:val="es-CO" w:eastAsia="es-CO"/>
              </w:rPr>
            </w:pPr>
            <w:r w:rsidRPr="00202B56">
              <w:rPr>
                <w:rFonts w:ascii="Calibri" w:hAnsi="Calibri"/>
                <w:sz w:val="18"/>
                <w:szCs w:val="18"/>
                <w:lang w:val="es-CO" w:eastAsia="es-CO"/>
              </w:rPr>
              <w:t>El mecanismo para la comercialización de energía define una serie de requisitos de participación que permitan la concurrencia eficiente de múltiples agentes tanto de la oferta como de la demanda</w:t>
            </w:r>
          </w:p>
        </w:tc>
      </w:tr>
      <w:tr w:rsidR="00202B56" w:rsidRPr="00202B56" w14:paraId="02043058" w14:textId="77777777" w:rsidTr="00D31EE1">
        <w:trPr>
          <w:trHeight w:val="1060"/>
        </w:trPr>
        <w:tc>
          <w:tcPr>
            <w:tcW w:w="907" w:type="pct"/>
            <w:tcBorders>
              <w:top w:val="nil"/>
              <w:left w:val="single" w:sz="4" w:space="0" w:color="auto"/>
              <w:bottom w:val="single" w:sz="4" w:space="0" w:color="auto"/>
              <w:right w:val="single" w:sz="4" w:space="0" w:color="auto"/>
            </w:tcBorders>
            <w:shd w:val="clear" w:color="000000" w:fill="E7E6E6"/>
            <w:noWrap/>
            <w:hideMark/>
          </w:tcPr>
          <w:p w14:paraId="6C211DA4" w14:textId="77777777" w:rsidR="00202B56" w:rsidRPr="00202B56" w:rsidRDefault="00202B56">
            <w:pPr>
              <w:spacing w:before="0" w:after="0"/>
              <w:jc w:val="left"/>
              <w:rPr>
                <w:rFonts w:ascii="Calibri" w:hAnsi="Calibri"/>
                <w:b/>
                <w:bCs/>
                <w:color w:val="000000"/>
                <w:sz w:val="18"/>
                <w:szCs w:val="18"/>
                <w:lang w:val="es-CO" w:eastAsia="es-CO"/>
              </w:rPr>
            </w:pPr>
            <w:r w:rsidRPr="00202B56">
              <w:rPr>
                <w:rFonts w:ascii="Calibri" w:hAnsi="Calibri"/>
                <w:b/>
                <w:bCs/>
                <w:color w:val="000000"/>
                <w:sz w:val="18"/>
                <w:szCs w:val="18"/>
                <w:lang w:val="es-CO" w:eastAsia="es-CO"/>
              </w:rPr>
              <w:t>Resumen de la evaluación</w:t>
            </w:r>
          </w:p>
        </w:tc>
        <w:tc>
          <w:tcPr>
            <w:tcW w:w="4093" w:type="pct"/>
            <w:tcBorders>
              <w:top w:val="single" w:sz="4" w:space="0" w:color="auto"/>
              <w:left w:val="nil"/>
              <w:bottom w:val="single" w:sz="4" w:space="0" w:color="auto"/>
              <w:right w:val="single" w:sz="4" w:space="0" w:color="auto"/>
            </w:tcBorders>
            <w:shd w:val="clear" w:color="auto" w:fill="auto"/>
            <w:hideMark/>
          </w:tcPr>
          <w:p w14:paraId="4D7AFB36" w14:textId="77777777" w:rsidR="00202B56" w:rsidRPr="00202B56" w:rsidRDefault="00202B56">
            <w:pPr>
              <w:spacing w:before="0" w:after="0"/>
              <w:jc w:val="left"/>
              <w:rPr>
                <w:rFonts w:ascii="Calibri" w:hAnsi="Calibri"/>
                <w:color w:val="000000"/>
                <w:sz w:val="18"/>
                <w:szCs w:val="18"/>
                <w:lang w:val="es-CO" w:eastAsia="es-CO"/>
              </w:rPr>
            </w:pPr>
            <w:r w:rsidRPr="00202B56">
              <w:rPr>
                <w:rFonts w:ascii="Calibri" w:hAnsi="Calibri"/>
                <w:color w:val="000000"/>
                <w:sz w:val="18"/>
                <w:szCs w:val="18"/>
                <w:lang w:val="es-CO" w:eastAsia="es-CO"/>
              </w:rPr>
              <w:t>En el mecanismo se establecen deberes de publicación de las condiciones de participación, incluyendo los criterios de admisión que deben propender por el trato simétrico a los agentes.</w:t>
            </w:r>
            <w:r w:rsidRPr="00202B56">
              <w:rPr>
                <w:rFonts w:ascii="Calibri" w:hAnsi="Calibri"/>
                <w:color w:val="000000"/>
                <w:sz w:val="18"/>
                <w:szCs w:val="18"/>
                <w:lang w:val="es-CO" w:eastAsia="es-CO"/>
              </w:rPr>
              <w:br/>
              <w:t>El mecanismo provee diferentes sesiones para cubrir las necesidades de diferentes agentes. Además, por ser un sistema de negociación electrónico hace más fácil la interacción en el mecanismo y los agentes pueden tomar decisiones en el momento que lo crean pertinente.</w:t>
            </w:r>
          </w:p>
        </w:tc>
      </w:tr>
      <w:tr w:rsidR="00202B56" w:rsidRPr="00202B56" w14:paraId="113EC7E1" w14:textId="77777777" w:rsidTr="00D31EE1">
        <w:trPr>
          <w:trHeight w:val="565"/>
        </w:trPr>
        <w:tc>
          <w:tcPr>
            <w:tcW w:w="907" w:type="pct"/>
            <w:tcBorders>
              <w:top w:val="nil"/>
              <w:left w:val="single" w:sz="4" w:space="0" w:color="auto"/>
              <w:bottom w:val="single" w:sz="4" w:space="0" w:color="auto"/>
              <w:right w:val="single" w:sz="4" w:space="0" w:color="auto"/>
            </w:tcBorders>
            <w:shd w:val="clear" w:color="000000" w:fill="E7E6E6"/>
            <w:hideMark/>
          </w:tcPr>
          <w:p w14:paraId="75BF5EC1" w14:textId="77777777" w:rsidR="00202B56" w:rsidRPr="00202B56" w:rsidRDefault="00202B56">
            <w:pPr>
              <w:spacing w:before="0" w:after="0"/>
              <w:jc w:val="left"/>
              <w:rPr>
                <w:rFonts w:ascii="Calibri" w:hAnsi="Calibri"/>
                <w:b/>
                <w:bCs/>
                <w:color w:val="000000"/>
                <w:sz w:val="18"/>
                <w:szCs w:val="18"/>
                <w:lang w:val="es-CO" w:eastAsia="es-CO"/>
              </w:rPr>
            </w:pPr>
            <w:r w:rsidRPr="00202B56">
              <w:rPr>
                <w:rFonts w:ascii="Calibri" w:hAnsi="Calibri"/>
                <w:b/>
                <w:bCs/>
                <w:color w:val="000000"/>
                <w:sz w:val="18"/>
                <w:szCs w:val="18"/>
                <w:lang w:val="es-CO" w:eastAsia="es-CO"/>
              </w:rPr>
              <w:t xml:space="preserve">Referencia en la propuesta </w:t>
            </w:r>
          </w:p>
        </w:tc>
        <w:tc>
          <w:tcPr>
            <w:tcW w:w="4093" w:type="pct"/>
            <w:tcBorders>
              <w:top w:val="single" w:sz="4" w:space="0" w:color="auto"/>
              <w:left w:val="nil"/>
              <w:bottom w:val="single" w:sz="4" w:space="0" w:color="auto"/>
              <w:right w:val="single" w:sz="4" w:space="0" w:color="auto"/>
            </w:tcBorders>
            <w:shd w:val="clear" w:color="auto" w:fill="auto"/>
            <w:hideMark/>
          </w:tcPr>
          <w:p w14:paraId="49A31A8F" w14:textId="77777777" w:rsidR="00202B56" w:rsidRPr="00202B56" w:rsidRDefault="00202B56">
            <w:pPr>
              <w:spacing w:before="0" w:after="0"/>
              <w:jc w:val="left"/>
              <w:rPr>
                <w:rFonts w:ascii="Calibri" w:hAnsi="Calibri"/>
                <w:color w:val="000000"/>
                <w:sz w:val="18"/>
                <w:szCs w:val="18"/>
                <w:lang w:val="es-CO" w:eastAsia="es-CO"/>
              </w:rPr>
            </w:pPr>
            <w:r w:rsidRPr="00202B56">
              <w:rPr>
                <w:rFonts w:ascii="Calibri" w:hAnsi="Calibri"/>
                <w:color w:val="000000"/>
                <w:sz w:val="18"/>
                <w:szCs w:val="18"/>
                <w:lang w:val="es-CO" w:eastAsia="es-CO"/>
              </w:rPr>
              <w:t xml:space="preserve">1. </w:t>
            </w:r>
            <w:r w:rsidRPr="00202B56">
              <w:rPr>
                <w:rFonts w:ascii="Calibri" w:hAnsi="Calibri"/>
                <w:b/>
                <w:bCs/>
                <w:color w:val="000000"/>
                <w:sz w:val="18"/>
                <w:szCs w:val="18"/>
                <w:lang w:val="es-CO" w:eastAsia="es-CO"/>
              </w:rPr>
              <w:t>Numeral 3 de la propuesta: Descripción general del mecanismo. "</w:t>
            </w:r>
            <w:r w:rsidRPr="00202B56">
              <w:rPr>
                <w:rFonts w:ascii="Calibri" w:hAnsi="Calibri"/>
                <w:color w:val="000000"/>
                <w:sz w:val="18"/>
                <w:szCs w:val="18"/>
                <w:lang w:val="es-CO" w:eastAsia="es-CO"/>
              </w:rPr>
              <w:t xml:space="preserve">(...) El Mercado de Derivados Estandarizados de </w:t>
            </w:r>
            <w:proofErr w:type="spellStart"/>
            <w:r w:rsidRPr="00202B56">
              <w:rPr>
                <w:rFonts w:ascii="Calibri" w:hAnsi="Calibri"/>
                <w:color w:val="000000"/>
                <w:sz w:val="18"/>
                <w:szCs w:val="18"/>
                <w:lang w:val="es-CO" w:eastAsia="es-CO"/>
              </w:rPr>
              <w:t>Commodities</w:t>
            </w:r>
            <w:proofErr w:type="spellEnd"/>
            <w:r w:rsidRPr="00202B56">
              <w:rPr>
                <w:rFonts w:ascii="Calibri" w:hAnsi="Calibri"/>
                <w:color w:val="000000"/>
                <w:sz w:val="18"/>
                <w:szCs w:val="18"/>
                <w:lang w:val="es-CO" w:eastAsia="es-CO"/>
              </w:rPr>
              <w:t xml:space="preserve"> Energéticos de </w:t>
            </w:r>
            <w:proofErr w:type="spellStart"/>
            <w:r w:rsidRPr="00202B56">
              <w:rPr>
                <w:rFonts w:ascii="Calibri" w:hAnsi="Calibri"/>
                <w:color w:val="000000"/>
                <w:sz w:val="18"/>
                <w:szCs w:val="18"/>
                <w:lang w:val="es-CO" w:eastAsia="es-CO"/>
              </w:rPr>
              <w:t>Derivex</w:t>
            </w:r>
            <w:proofErr w:type="spellEnd"/>
            <w:r w:rsidRPr="00202B56">
              <w:rPr>
                <w:rFonts w:ascii="Calibri" w:hAnsi="Calibri"/>
                <w:color w:val="000000"/>
                <w:sz w:val="18"/>
                <w:szCs w:val="18"/>
                <w:lang w:val="es-CO" w:eastAsia="es-CO"/>
              </w:rPr>
              <w:t>, es un conjunto de actividades, acuerdos, miembros, normas, procedimientos,</w:t>
            </w:r>
            <w:r w:rsidRPr="00202B56">
              <w:rPr>
                <w:rFonts w:ascii="Calibri" w:hAnsi="Calibri"/>
                <w:b/>
                <w:bCs/>
                <w:color w:val="000000"/>
                <w:sz w:val="18"/>
                <w:szCs w:val="18"/>
                <w:lang w:val="es-CO" w:eastAsia="es-CO"/>
              </w:rPr>
              <w:t xml:space="preserve"> mecanismos de negociación electrónica, </w:t>
            </w:r>
            <w:r w:rsidRPr="00202B56">
              <w:rPr>
                <w:rFonts w:ascii="Calibri" w:hAnsi="Calibri"/>
                <w:color w:val="000000"/>
                <w:sz w:val="18"/>
                <w:szCs w:val="18"/>
                <w:lang w:val="es-CO" w:eastAsia="es-CO"/>
              </w:rPr>
              <w:t>de negociación mixta y de registro"</w:t>
            </w:r>
          </w:p>
        </w:tc>
      </w:tr>
      <w:tr w:rsidR="00202B56" w:rsidRPr="00202B56" w14:paraId="331592AB" w14:textId="77777777" w:rsidTr="00D31EE1">
        <w:trPr>
          <w:trHeight w:val="1878"/>
        </w:trPr>
        <w:tc>
          <w:tcPr>
            <w:tcW w:w="907" w:type="pct"/>
            <w:tcBorders>
              <w:top w:val="nil"/>
              <w:left w:val="single" w:sz="4" w:space="0" w:color="auto"/>
              <w:bottom w:val="single" w:sz="4" w:space="0" w:color="auto"/>
              <w:right w:val="single" w:sz="4" w:space="0" w:color="auto"/>
            </w:tcBorders>
            <w:shd w:val="clear" w:color="000000" w:fill="E7E6E6"/>
            <w:hideMark/>
          </w:tcPr>
          <w:p w14:paraId="3086B3BE" w14:textId="77777777" w:rsidR="00202B56" w:rsidRPr="00202B56" w:rsidRDefault="00202B56">
            <w:pPr>
              <w:spacing w:before="0" w:after="0"/>
              <w:jc w:val="left"/>
              <w:rPr>
                <w:rFonts w:ascii="Calibri" w:hAnsi="Calibri"/>
                <w:b/>
                <w:bCs/>
                <w:color w:val="000000"/>
                <w:sz w:val="18"/>
                <w:szCs w:val="18"/>
                <w:lang w:val="es-CO" w:eastAsia="es-CO"/>
              </w:rPr>
            </w:pPr>
            <w:r w:rsidRPr="00202B56">
              <w:rPr>
                <w:rFonts w:ascii="Calibri" w:hAnsi="Calibri"/>
                <w:b/>
                <w:bCs/>
                <w:color w:val="000000"/>
                <w:sz w:val="18"/>
                <w:szCs w:val="18"/>
                <w:lang w:val="es-CO" w:eastAsia="es-CO"/>
              </w:rPr>
              <w:t>Juan Pablo Amorocho</w:t>
            </w:r>
            <w:r w:rsidRPr="00202B56">
              <w:rPr>
                <w:rFonts w:ascii="Calibri" w:hAnsi="Calibri"/>
                <w:b/>
                <w:bCs/>
                <w:color w:val="000000"/>
                <w:sz w:val="18"/>
                <w:szCs w:val="18"/>
                <w:lang w:val="es-CO" w:eastAsia="es-CO"/>
              </w:rPr>
              <w:br/>
              <w:t>(Mercados)</w:t>
            </w:r>
          </w:p>
        </w:tc>
        <w:tc>
          <w:tcPr>
            <w:tcW w:w="4093" w:type="pct"/>
            <w:tcBorders>
              <w:top w:val="single" w:sz="4" w:space="0" w:color="auto"/>
              <w:left w:val="nil"/>
              <w:bottom w:val="single" w:sz="4" w:space="0" w:color="auto"/>
              <w:right w:val="single" w:sz="4" w:space="0" w:color="auto"/>
            </w:tcBorders>
            <w:shd w:val="clear" w:color="auto" w:fill="auto"/>
            <w:hideMark/>
          </w:tcPr>
          <w:p w14:paraId="3AAA51EC" w14:textId="1F24F68B" w:rsidR="00202B56" w:rsidRPr="00202B56" w:rsidRDefault="00202B56">
            <w:pPr>
              <w:spacing w:before="0" w:after="0"/>
              <w:jc w:val="left"/>
              <w:rPr>
                <w:rFonts w:ascii="Calibri" w:hAnsi="Calibri"/>
                <w:sz w:val="18"/>
                <w:szCs w:val="18"/>
                <w:lang w:val="es-CO" w:eastAsia="es-CO"/>
              </w:rPr>
            </w:pPr>
            <w:r w:rsidRPr="00202B56">
              <w:rPr>
                <w:rFonts w:ascii="Calibri" w:hAnsi="Calibri"/>
                <w:sz w:val="18"/>
                <w:szCs w:val="18"/>
                <w:lang w:val="es-CO" w:eastAsia="es-CO"/>
              </w:rPr>
              <w:t>Pág. 10</w:t>
            </w:r>
            <w:r w:rsidRPr="00202B56">
              <w:rPr>
                <w:rFonts w:ascii="Calibri" w:hAnsi="Calibri"/>
                <w:sz w:val="18"/>
                <w:szCs w:val="18"/>
                <w:lang w:val="es-CO" w:eastAsia="es-CO"/>
              </w:rPr>
              <w:br/>
              <w:t>"</w:t>
            </w:r>
            <w:proofErr w:type="spellStart"/>
            <w:r w:rsidRPr="00202B56">
              <w:rPr>
                <w:rFonts w:ascii="Calibri" w:hAnsi="Calibri"/>
                <w:sz w:val="18"/>
                <w:szCs w:val="18"/>
                <w:lang w:val="es-CO" w:eastAsia="es-CO"/>
              </w:rPr>
              <w:t>Derivex</w:t>
            </w:r>
            <w:proofErr w:type="spellEnd"/>
            <w:r w:rsidRPr="00202B56">
              <w:rPr>
                <w:rFonts w:ascii="Calibri" w:hAnsi="Calibri"/>
                <w:sz w:val="18"/>
                <w:szCs w:val="18"/>
                <w:lang w:val="es-CO" w:eastAsia="es-CO"/>
              </w:rPr>
              <w:t xml:space="preserve"> ha desarrollado varias sesiones que permiten la participación de todos sus miembros y los clientes de sus miembros.</w:t>
            </w:r>
            <w:r w:rsidR="00AC685D" w:rsidRPr="00202B56" w:rsidDel="00AC685D">
              <w:rPr>
                <w:rFonts w:ascii="Calibri" w:hAnsi="Calibri"/>
                <w:sz w:val="18"/>
                <w:szCs w:val="18"/>
                <w:lang w:val="es-CO" w:eastAsia="es-CO"/>
              </w:rPr>
              <w:t xml:space="preserve"> </w:t>
            </w:r>
            <w:r w:rsidRPr="00202B56">
              <w:rPr>
                <w:rFonts w:ascii="Calibri" w:hAnsi="Calibri"/>
                <w:sz w:val="18"/>
                <w:szCs w:val="18"/>
                <w:lang w:val="es-CO" w:eastAsia="es-CO"/>
              </w:rPr>
              <w:br/>
              <w:t>Pág. 17</w:t>
            </w:r>
            <w:r w:rsidRPr="00202B56">
              <w:rPr>
                <w:rFonts w:ascii="Calibri" w:hAnsi="Calibri"/>
                <w:sz w:val="18"/>
                <w:szCs w:val="18"/>
                <w:lang w:val="es-CO" w:eastAsia="es-CO"/>
              </w:rPr>
              <w:br/>
              <w:t xml:space="preserve">"El hecho que las sesiones creadas por </w:t>
            </w:r>
            <w:proofErr w:type="spellStart"/>
            <w:r w:rsidRPr="00202B56">
              <w:rPr>
                <w:rFonts w:ascii="Calibri" w:hAnsi="Calibri"/>
                <w:sz w:val="18"/>
                <w:szCs w:val="18"/>
                <w:lang w:val="es-CO" w:eastAsia="es-CO"/>
              </w:rPr>
              <w:t>Derivex</w:t>
            </w:r>
            <w:proofErr w:type="spellEnd"/>
            <w:r w:rsidRPr="00202B56">
              <w:rPr>
                <w:rFonts w:ascii="Calibri" w:hAnsi="Calibri"/>
                <w:sz w:val="18"/>
                <w:szCs w:val="18"/>
                <w:lang w:val="es-CO" w:eastAsia="es-CO"/>
              </w:rPr>
              <w:t xml:space="preserve"> el acceso sea por vía electrónica y permita la exposición de las posturas a todos los participantes del mercado, dando la misma oportunidad de puja o calce de precios permite la eficiencia e igualdad del sistema."</w:t>
            </w:r>
          </w:p>
        </w:tc>
      </w:tr>
      <w:tr w:rsidR="00202B56" w:rsidRPr="00202B56" w14:paraId="33166A03" w14:textId="77777777" w:rsidTr="00D31EE1">
        <w:trPr>
          <w:trHeight w:val="480"/>
        </w:trPr>
        <w:tc>
          <w:tcPr>
            <w:tcW w:w="907" w:type="pct"/>
            <w:tcBorders>
              <w:top w:val="nil"/>
              <w:left w:val="single" w:sz="4" w:space="0" w:color="auto"/>
              <w:bottom w:val="single" w:sz="4" w:space="0" w:color="auto"/>
              <w:right w:val="single" w:sz="4" w:space="0" w:color="auto"/>
            </w:tcBorders>
            <w:shd w:val="clear" w:color="000000" w:fill="E7E6E6"/>
            <w:hideMark/>
          </w:tcPr>
          <w:p w14:paraId="5DA86BFB" w14:textId="77777777" w:rsidR="00202B56" w:rsidRPr="00202B56" w:rsidRDefault="00202B56">
            <w:pPr>
              <w:spacing w:before="0" w:after="0"/>
              <w:jc w:val="left"/>
              <w:rPr>
                <w:rFonts w:ascii="Calibri" w:hAnsi="Calibri"/>
                <w:b/>
                <w:bCs/>
                <w:color w:val="000000"/>
                <w:sz w:val="18"/>
                <w:szCs w:val="18"/>
                <w:lang w:val="es-CO" w:eastAsia="es-CO"/>
              </w:rPr>
            </w:pPr>
            <w:r w:rsidRPr="00202B56">
              <w:rPr>
                <w:rFonts w:ascii="Calibri" w:hAnsi="Calibri"/>
                <w:b/>
                <w:bCs/>
                <w:color w:val="000000"/>
                <w:sz w:val="18"/>
                <w:szCs w:val="18"/>
                <w:lang w:val="es-CO" w:eastAsia="es-CO"/>
              </w:rPr>
              <w:t>Diego Jara</w:t>
            </w:r>
            <w:r w:rsidRPr="00202B56">
              <w:rPr>
                <w:rFonts w:ascii="Calibri" w:hAnsi="Calibri"/>
                <w:b/>
                <w:bCs/>
                <w:color w:val="000000"/>
                <w:sz w:val="18"/>
                <w:szCs w:val="18"/>
                <w:lang w:val="es-CO" w:eastAsia="es-CO"/>
              </w:rPr>
              <w:br/>
              <w:t>(Riesgos)</w:t>
            </w:r>
          </w:p>
        </w:tc>
        <w:tc>
          <w:tcPr>
            <w:tcW w:w="4093" w:type="pct"/>
            <w:tcBorders>
              <w:top w:val="single" w:sz="4" w:space="0" w:color="auto"/>
              <w:left w:val="nil"/>
              <w:bottom w:val="single" w:sz="4" w:space="0" w:color="auto"/>
              <w:right w:val="single" w:sz="4" w:space="0" w:color="auto"/>
            </w:tcBorders>
            <w:shd w:val="clear" w:color="auto" w:fill="auto"/>
            <w:hideMark/>
          </w:tcPr>
          <w:p w14:paraId="5AE5E295" w14:textId="77777777" w:rsidR="00526312" w:rsidRDefault="00526312">
            <w:pPr>
              <w:spacing w:before="0" w:after="0"/>
              <w:jc w:val="center"/>
              <w:rPr>
                <w:rFonts w:ascii="Calibri" w:hAnsi="Calibri"/>
                <w:color w:val="000000"/>
                <w:sz w:val="18"/>
                <w:szCs w:val="18"/>
                <w:lang w:val="es-CO" w:eastAsia="es-CO"/>
              </w:rPr>
            </w:pPr>
          </w:p>
          <w:p w14:paraId="63956B8C" w14:textId="77777777" w:rsidR="00526312" w:rsidRDefault="00526312">
            <w:pPr>
              <w:spacing w:before="0" w:after="0"/>
              <w:jc w:val="center"/>
              <w:rPr>
                <w:rFonts w:ascii="Calibri" w:hAnsi="Calibri"/>
                <w:color w:val="000000"/>
                <w:sz w:val="18"/>
                <w:szCs w:val="18"/>
                <w:lang w:val="es-CO" w:eastAsia="es-CO"/>
              </w:rPr>
            </w:pPr>
          </w:p>
          <w:p w14:paraId="21436F6D" w14:textId="40324532" w:rsidR="00202B56" w:rsidRPr="00202B56" w:rsidRDefault="00202B56">
            <w:pPr>
              <w:spacing w:before="0" w:after="0"/>
              <w:jc w:val="center"/>
              <w:rPr>
                <w:rFonts w:ascii="Calibri" w:hAnsi="Calibri"/>
                <w:color w:val="000000"/>
                <w:sz w:val="18"/>
                <w:szCs w:val="18"/>
                <w:lang w:val="es-CO" w:eastAsia="es-CO"/>
              </w:rPr>
            </w:pPr>
            <w:r w:rsidRPr="00202B56">
              <w:rPr>
                <w:rFonts w:ascii="Calibri" w:hAnsi="Calibri"/>
                <w:color w:val="000000"/>
                <w:sz w:val="18"/>
                <w:szCs w:val="18"/>
                <w:lang w:val="es-CO" w:eastAsia="es-CO"/>
              </w:rPr>
              <w:t> </w:t>
            </w:r>
          </w:p>
        </w:tc>
      </w:tr>
      <w:tr w:rsidR="00202B56" w:rsidRPr="00202B56" w14:paraId="7AA725C2" w14:textId="77777777" w:rsidTr="00D31EE1">
        <w:trPr>
          <w:trHeight w:val="3112"/>
        </w:trPr>
        <w:tc>
          <w:tcPr>
            <w:tcW w:w="907" w:type="pct"/>
            <w:tcBorders>
              <w:top w:val="single" w:sz="4" w:space="0" w:color="auto"/>
              <w:left w:val="single" w:sz="4" w:space="0" w:color="auto"/>
              <w:bottom w:val="single" w:sz="4" w:space="0" w:color="auto"/>
              <w:right w:val="single" w:sz="4" w:space="0" w:color="auto"/>
            </w:tcBorders>
            <w:shd w:val="clear" w:color="000000" w:fill="E7E6E6"/>
            <w:hideMark/>
          </w:tcPr>
          <w:p w14:paraId="7DEDBE84" w14:textId="77777777" w:rsidR="00202B56" w:rsidRPr="00202B56" w:rsidRDefault="00202B56">
            <w:pPr>
              <w:spacing w:before="0" w:after="0"/>
              <w:jc w:val="left"/>
              <w:rPr>
                <w:rFonts w:ascii="Calibri" w:hAnsi="Calibri"/>
                <w:b/>
                <w:bCs/>
                <w:color w:val="000000"/>
                <w:sz w:val="18"/>
                <w:szCs w:val="18"/>
                <w:lang w:val="es-CO" w:eastAsia="es-CO"/>
              </w:rPr>
            </w:pPr>
            <w:r w:rsidRPr="00202B56">
              <w:rPr>
                <w:rFonts w:ascii="Calibri" w:hAnsi="Calibri"/>
                <w:b/>
                <w:bCs/>
                <w:color w:val="000000"/>
                <w:sz w:val="18"/>
                <w:szCs w:val="18"/>
                <w:lang w:val="es-CO" w:eastAsia="es-CO"/>
              </w:rPr>
              <w:t>Roberto Borrás</w:t>
            </w:r>
            <w:r w:rsidRPr="00202B56">
              <w:rPr>
                <w:rFonts w:ascii="Calibri" w:hAnsi="Calibri"/>
                <w:b/>
                <w:bCs/>
                <w:color w:val="000000"/>
                <w:sz w:val="18"/>
                <w:szCs w:val="18"/>
                <w:lang w:val="es-CO" w:eastAsia="es-CO"/>
              </w:rPr>
              <w:br/>
              <w:t>(Gobierno corporativo)</w:t>
            </w:r>
          </w:p>
        </w:tc>
        <w:tc>
          <w:tcPr>
            <w:tcW w:w="4093" w:type="pct"/>
            <w:tcBorders>
              <w:top w:val="single" w:sz="4" w:space="0" w:color="auto"/>
              <w:left w:val="single" w:sz="4" w:space="0" w:color="auto"/>
              <w:bottom w:val="single" w:sz="4" w:space="0" w:color="auto"/>
              <w:right w:val="single" w:sz="4" w:space="0" w:color="auto"/>
            </w:tcBorders>
            <w:shd w:val="clear" w:color="auto" w:fill="auto"/>
            <w:hideMark/>
          </w:tcPr>
          <w:p w14:paraId="24B2CE75" w14:textId="77777777" w:rsidR="00202B56" w:rsidRPr="00202B56" w:rsidRDefault="00202B56">
            <w:pPr>
              <w:spacing w:before="0" w:after="0"/>
              <w:jc w:val="left"/>
              <w:rPr>
                <w:rFonts w:ascii="Calibri" w:hAnsi="Calibri"/>
                <w:color w:val="000000"/>
                <w:sz w:val="18"/>
                <w:szCs w:val="18"/>
                <w:lang w:val="es-CO" w:eastAsia="es-CO"/>
              </w:rPr>
            </w:pPr>
            <w:r w:rsidRPr="00202B56">
              <w:rPr>
                <w:rFonts w:ascii="Calibri" w:hAnsi="Calibri"/>
                <w:color w:val="000000"/>
                <w:sz w:val="18"/>
                <w:szCs w:val="18"/>
                <w:lang w:val="es-CO" w:eastAsia="es-CO"/>
              </w:rPr>
              <w:t>Pág. 31</w:t>
            </w:r>
            <w:r w:rsidRPr="00202B56">
              <w:rPr>
                <w:rFonts w:ascii="Calibri" w:hAnsi="Calibri"/>
                <w:color w:val="000000"/>
                <w:sz w:val="18"/>
                <w:szCs w:val="18"/>
                <w:lang w:val="es-CO" w:eastAsia="es-CO"/>
              </w:rPr>
              <w:br/>
              <w:t>"</w:t>
            </w:r>
            <w:proofErr w:type="gramStart"/>
            <w:r w:rsidRPr="00202B56">
              <w:rPr>
                <w:rFonts w:ascii="Calibri" w:hAnsi="Calibri"/>
                <w:color w:val="000000"/>
                <w:sz w:val="18"/>
                <w:szCs w:val="18"/>
                <w:lang w:val="es-CO" w:eastAsia="es-CO"/>
              </w:rPr>
              <w:t>(...)  dando</w:t>
            </w:r>
            <w:proofErr w:type="gramEnd"/>
            <w:r w:rsidRPr="00202B56">
              <w:rPr>
                <w:rFonts w:ascii="Calibri" w:hAnsi="Calibri"/>
                <w:color w:val="000000"/>
                <w:sz w:val="18"/>
                <w:szCs w:val="18"/>
                <w:lang w:val="es-CO" w:eastAsia="es-CO"/>
              </w:rPr>
              <w:t xml:space="preserve"> cumplimiento al Decreto 2555, el mecanismo a través del reglamento, la circular única, los instructivos, tiene ciertos deberes entre los que se encuentran los siguientes: "Recibir, evaluar, tramitar y decidir las solicitudes de afiliación al sistema o sistemas que administre. Para tal efecto, deberá establecer en su reglamento criterios de admisión que garanticen la igualdad de condiciones para los postulantes, que garantiza el cumplimiento del principio de Transparencia (...)" </w:t>
            </w:r>
            <w:r w:rsidRPr="00202B56">
              <w:rPr>
                <w:rFonts w:ascii="Calibri" w:hAnsi="Calibri"/>
                <w:color w:val="000000"/>
                <w:sz w:val="18"/>
                <w:szCs w:val="18"/>
                <w:lang w:val="es-CO" w:eastAsia="es-CO"/>
              </w:rPr>
              <w:br/>
            </w:r>
            <w:r w:rsidRPr="00202B56">
              <w:rPr>
                <w:rFonts w:ascii="Calibri" w:hAnsi="Calibri"/>
                <w:color w:val="000000"/>
                <w:sz w:val="18"/>
                <w:szCs w:val="18"/>
                <w:lang w:val="es-CO" w:eastAsia="es-CO"/>
              </w:rPr>
              <w:br/>
              <w:t>Pág. 32</w:t>
            </w:r>
            <w:r w:rsidRPr="00202B56">
              <w:rPr>
                <w:rFonts w:ascii="Calibri" w:hAnsi="Calibri"/>
                <w:color w:val="000000"/>
                <w:sz w:val="18"/>
                <w:szCs w:val="18"/>
                <w:lang w:val="es-CO" w:eastAsia="es-CO"/>
              </w:rPr>
              <w:br/>
              <w:t>"(i) Criterios para la admisión y desvinculación de afiliados;</w:t>
            </w:r>
            <w:r w:rsidRPr="00202B56">
              <w:rPr>
                <w:rFonts w:ascii="Calibri" w:hAnsi="Calibri"/>
                <w:color w:val="000000"/>
                <w:sz w:val="18"/>
                <w:szCs w:val="18"/>
                <w:lang w:val="es-CO" w:eastAsia="es-CO"/>
              </w:rPr>
              <w:br/>
            </w:r>
            <w:r w:rsidRPr="00202B56">
              <w:rPr>
                <w:rFonts w:ascii="Calibri" w:hAnsi="Calibri"/>
                <w:color w:val="000000"/>
                <w:sz w:val="18"/>
                <w:szCs w:val="18"/>
                <w:lang w:val="es-CO" w:eastAsia="es-CO"/>
              </w:rPr>
              <w:br/>
              <w:t>(</w:t>
            </w:r>
            <w:proofErr w:type="spellStart"/>
            <w:r w:rsidRPr="00202B56">
              <w:rPr>
                <w:rFonts w:ascii="Calibri" w:hAnsi="Calibri"/>
                <w:color w:val="000000"/>
                <w:sz w:val="18"/>
                <w:szCs w:val="18"/>
                <w:lang w:val="es-CO" w:eastAsia="es-CO"/>
              </w:rPr>
              <w:t>ii</w:t>
            </w:r>
            <w:proofErr w:type="spellEnd"/>
            <w:r w:rsidRPr="00202B56">
              <w:rPr>
                <w:rFonts w:ascii="Calibri" w:hAnsi="Calibri"/>
                <w:color w:val="000000"/>
                <w:sz w:val="18"/>
                <w:szCs w:val="18"/>
                <w:lang w:val="es-CO" w:eastAsia="es-CO"/>
              </w:rPr>
              <w:t>) Las reglas para el funcionamiento y operación del sistema de negociación de valores, así como las reglas para el funcionamiento y operación del sistema de registro de operaciones sobre valores, cuando corresponda; y</w:t>
            </w:r>
            <w:r w:rsidRPr="00202B56">
              <w:rPr>
                <w:rFonts w:ascii="Calibri" w:hAnsi="Calibri"/>
                <w:color w:val="000000"/>
                <w:sz w:val="18"/>
                <w:szCs w:val="18"/>
                <w:lang w:val="es-CO" w:eastAsia="es-CO"/>
              </w:rPr>
              <w:br/>
            </w:r>
            <w:r w:rsidRPr="00202B56">
              <w:rPr>
                <w:rFonts w:ascii="Calibri" w:hAnsi="Calibri"/>
                <w:color w:val="000000"/>
                <w:sz w:val="18"/>
                <w:szCs w:val="18"/>
                <w:lang w:val="es-CO" w:eastAsia="es-CO"/>
              </w:rPr>
              <w:br/>
              <w:t>(</w:t>
            </w:r>
            <w:proofErr w:type="spellStart"/>
            <w:r w:rsidRPr="00202B56">
              <w:rPr>
                <w:rFonts w:ascii="Calibri" w:hAnsi="Calibri"/>
                <w:color w:val="000000"/>
                <w:sz w:val="18"/>
                <w:szCs w:val="18"/>
                <w:lang w:val="es-CO" w:eastAsia="es-CO"/>
              </w:rPr>
              <w:t>iii</w:t>
            </w:r>
            <w:proofErr w:type="spellEnd"/>
            <w:r w:rsidRPr="00202B56">
              <w:rPr>
                <w:rFonts w:ascii="Calibri" w:hAnsi="Calibri"/>
                <w:color w:val="000000"/>
                <w:sz w:val="18"/>
                <w:szCs w:val="18"/>
                <w:lang w:val="es-CO" w:eastAsia="es-CO"/>
              </w:rPr>
              <w:t xml:space="preserve">) La política general en materia de derechos o tarifas a cargo de los afiliados por la utilización del servicio por el suministro de información. Las tarifas deberán ser publicadas en la página de Internet del administrador del sistema de negociación de valores o de registro de operaciones sobre valores, así como los criterios para su modificación" </w:t>
            </w:r>
          </w:p>
        </w:tc>
      </w:tr>
    </w:tbl>
    <w:p w14:paraId="7A95D010" w14:textId="2A1755A8" w:rsidR="004F79CB" w:rsidRDefault="004F79CB">
      <w:pPr>
        <w:spacing w:before="0" w:after="0"/>
        <w:rPr>
          <w:b/>
          <w:szCs w:val="20"/>
          <w:lang w:val="es-CO"/>
        </w:rPr>
      </w:pPr>
    </w:p>
    <w:tbl>
      <w:tblPr>
        <w:tblW w:w="5000" w:type="pct"/>
        <w:tblLayout w:type="fixed"/>
        <w:tblCellMar>
          <w:left w:w="70" w:type="dxa"/>
          <w:right w:w="70" w:type="dxa"/>
        </w:tblCellMar>
        <w:tblLook w:val="04A0" w:firstRow="1" w:lastRow="0" w:firstColumn="1" w:lastColumn="0" w:noHBand="0" w:noVBand="1"/>
      </w:tblPr>
      <w:tblGrid>
        <w:gridCol w:w="1695"/>
        <w:gridCol w:w="7651"/>
      </w:tblGrid>
      <w:tr w:rsidR="00685C9D" w:rsidRPr="00685C9D" w14:paraId="1F1C0E5B" w14:textId="77777777" w:rsidTr="00D31EE1">
        <w:trPr>
          <w:trHeight w:val="300"/>
        </w:trPr>
        <w:tc>
          <w:tcPr>
            <w:tcW w:w="907"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1368C98" w14:textId="77777777" w:rsidR="00685C9D" w:rsidRPr="00685C9D" w:rsidRDefault="00685C9D">
            <w:pPr>
              <w:spacing w:before="0" w:after="0"/>
              <w:jc w:val="center"/>
              <w:rPr>
                <w:rFonts w:ascii="Calibri" w:hAnsi="Calibri"/>
                <w:b/>
                <w:bCs/>
                <w:sz w:val="18"/>
                <w:szCs w:val="18"/>
                <w:lang w:val="es-CO" w:eastAsia="es-CO"/>
              </w:rPr>
            </w:pPr>
            <w:r w:rsidRPr="00685C9D">
              <w:rPr>
                <w:rFonts w:ascii="Calibri" w:hAnsi="Calibri"/>
                <w:b/>
                <w:bCs/>
                <w:sz w:val="18"/>
                <w:szCs w:val="18"/>
                <w:lang w:val="es-CO" w:eastAsia="es-CO"/>
              </w:rPr>
              <w:t xml:space="preserve">Parámetro </w:t>
            </w:r>
          </w:p>
        </w:tc>
        <w:tc>
          <w:tcPr>
            <w:tcW w:w="4093" w:type="pct"/>
            <w:tcBorders>
              <w:top w:val="single" w:sz="4" w:space="0" w:color="auto"/>
              <w:left w:val="nil"/>
              <w:bottom w:val="single" w:sz="4" w:space="0" w:color="auto"/>
              <w:right w:val="single" w:sz="4" w:space="0" w:color="auto"/>
            </w:tcBorders>
            <w:shd w:val="clear" w:color="000000" w:fill="D9E1F2"/>
            <w:vAlign w:val="center"/>
            <w:hideMark/>
          </w:tcPr>
          <w:p w14:paraId="14BC83E1" w14:textId="77777777" w:rsidR="00685C9D" w:rsidRPr="00685C9D" w:rsidRDefault="00685C9D">
            <w:pPr>
              <w:spacing w:before="0" w:after="0"/>
              <w:jc w:val="center"/>
              <w:rPr>
                <w:rFonts w:ascii="Calibri" w:hAnsi="Calibri"/>
                <w:b/>
                <w:bCs/>
                <w:sz w:val="18"/>
                <w:szCs w:val="18"/>
                <w:lang w:val="es-CO" w:eastAsia="es-CO"/>
              </w:rPr>
            </w:pPr>
            <w:r w:rsidRPr="00685C9D">
              <w:rPr>
                <w:rFonts w:ascii="Calibri" w:hAnsi="Calibri"/>
                <w:b/>
                <w:bCs/>
                <w:sz w:val="18"/>
                <w:szCs w:val="18"/>
                <w:lang w:val="es-CO" w:eastAsia="es-CO"/>
              </w:rPr>
              <w:t>Condición de estandarización</w:t>
            </w:r>
          </w:p>
        </w:tc>
      </w:tr>
      <w:tr w:rsidR="00685C9D" w:rsidRPr="00685C9D" w14:paraId="5113FF86" w14:textId="77777777" w:rsidTr="00D31EE1">
        <w:trPr>
          <w:trHeight w:val="464"/>
        </w:trPr>
        <w:tc>
          <w:tcPr>
            <w:tcW w:w="907" w:type="pct"/>
            <w:tcBorders>
              <w:top w:val="nil"/>
              <w:left w:val="single" w:sz="4" w:space="0" w:color="auto"/>
              <w:bottom w:val="single" w:sz="4" w:space="0" w:color="auto"/>
              <w:right w:val="single" w:sz="4" w:space="0" w:color="auto"/>
            </w:tcBorders>
            <w:shd w:val="clear" w:color="000000" w:fill="E7E6E6"/>
            <w:noWrap/>
            <w:hideMark/>
          </w:tcPr>
          <w:p w14:paraId="125F74B4" w14:textId="77777777" w:rsidR="00685C9D" w:rsidRPr="00685C9D" w:rsidRDefault="00685C9D">
            <w:pPr>
              <w:spacing w:before="0" w:after="0"/>
              <w:jc w:val="left"/>
              <w:rPr>
                <w:rFonts w:ascii="Calibri" w:hAnsi="Calibri"/>
                <w:b/>
                <w:bCs/>
                <w:sz w:val="18"/>
                <w:szCs w:val="18"/>
                <w:lang w:val="es-CO" w:eastAsia="es-CO"/>
              </w:rPr>
            </w:pPr>
            <w:r w:rsidRPr="00685C9D">
              <w:rPr>
                <w:rFonts w:ascii="Calibri" w:hAnsi="Calibri"/>
                <w:b/>
                <w:bCs/>
                <w:sz w:val="18"/>
                <w:szCs w:val="18"/>
                <w:lang w:val="es-CO" w:eastAsia="es-CO"/>
              </w:rPr>
              <w:t>Descripción</w:t>
            </w:r>
          </w:p>
        </w:tc>
        <w:tc>
          <w:tcPr>
            <w:tcW w:w="4093" w:type="pct"/>
            <w:tcBorders>
              <w:top w:val="single" w:sz="4" w:space="0" w:color="auto"/>
              <w:left w:val="nil"/>
              <w:bottom w:val="single" w:sz="4" w:space="0" w:color="auto"/>
              <w:right w:val="single" w:sz="4" w:space="0" w:color="auto"/>
            </w:tcBorders>
            <w:shd w:val="clear" w:color="auto" w:fill="auto"/>
            <w:hideMark/>
          </w:tcPr>
          <w:p w14:paraId="730CE758" w14:textId="77777777" w:rsidR="00685C9D" w:rsidRPr="00685C9D" w:rsidRDefault="00685C9D">
            <w:pPr>
              <w:spacing w:before="0" w:after="0"/>
              <w:jc w:val="left"/>
              <w:rPr>
                <w:rFonts w:ascii="Calibri" w:hAnsi="Calibri"/>
                <w:sz w:val="18"/>
                <w:szCs w:val="18"/>
                <w:lang w:val="es-CO" w:eastAsia="es-CO"/>
              </w:rPr>
            </w:pPr>
            <w:r w:rsidRPr="00685C9D">
              <w:rPr>
                <w:rFonts w:ascii="Calibri" w:hAnsi="Calibri"/>
                <w:sz w:val="18"/>
                <w:szCs w:val="18"/>
                <w:lang w:val="es-CO" w:eastAsia="es-CO"/>
              </w:rPr>
              <w:t xml:space="preserve">El mecanismo para la comercialización de energía define claramente las características mínimas y las cláusulas básicas del (de los) contrato(s) objeto de negociación. </w:t>
            </w:r>
          </w:p>
        </w:tc>
      </w:tr>
      <w:tr w:rsidR="00685C9D" w:rsidRPr="00685C9D" w14:paraId="319D5C6C" w14:textId="77777777" w:rsidTr="00D31EE1">
        <w:trPr>
          <w:trHeight w:val="1548"/>
        </w:trPr>
        <w:tc>
          <w:tcPr>
            <w:tcW w:w="907" w:type="pct"/>
            <w:tcBorders>
              <w:top w:val="nil"/>
              <w:left w:val="single" w:sz="4" w:space="0" w:color="auto"/>
              <w:bottom w:val="single" w:sz="4" w:space="0" w:color="auto"/>
              <w:right w:val="single" w:sz="4" w:space="0" w:color="auto"/>
            </w:tcBorders>
            <w:shd w:val="clear" w:color="000000" w:fill="E7E6E6"/>
            <w:noWrap/>
            <w:hideMark/>
          </w:tcPr>
          <w:p w14:paraId="073E8888" w14:textId="77777777" w:rsidR="00685C9D" w:rsidRPr="00685C9D" w:rsidRDefault="00685C9D">
            <w:pPr>
              <w:spacing w:before="0" w:after="0"/>
              <w:jc w:val="left"/>
              <w:rPr>
                <w:rFonts w:ascii="Calibri" w:hAnsi="Calibri"/>
                <w:b/>
                <w:bCs/>
                <w:sz w:val="18"/>
                <w:szCs w:val="18"/>
                <w:lang w:val="es-CO" w:eastAsia="es-CO"/>
              </w:rPr>
            </w:pPr>
            <w:r w:rsidRPr="00685C9D">
              <w:rPr>
                <w:rFonts w:ascii="Calibri" w:hAnsi="Calibri"/>
                <w:b/>
                <w:bCs/>
                <w:sz w:val="18"/>
                <w:szCs w:val="18"/>
                <w:lang w:val="es-CO" w:eastAsia="es-CO"/>
              </w:rPr>
              <w:t>Resumen de la evaluación</w:t>
            </w:r>
          </w:p>
        </w:tc>
        <w:tc>
          <w:tcPr>
            <w:tcW w:w="4093" w:type="pct"/>
            <w:tcBorders>
              <w:top w:val="single" w:sz="4" w:space="0" w:color="auto"/>
              <w:left w:val="nil"/>
              <w:bottom w:val="single" w:sz="4" w:space="0" w:color="auto"/>
              <w:right w:val="single" w:sz="4" w:space="0" w:color="auto"/>
            </w:tcBorders>
            <w:shd w:val="clear" w:color="auto" w:fill="auto"/>
            <w:hideMark/>
          </w:tcPr>
          <w:p w14:paraId="05087C83" w14:textId="77777777" w:rsidR="00685C9D" w:rsidRPr="00685C9D" w:rsidRDefault="00685C9D">
            <w:pPr>
              <w:spacing w:before="0" w:after="0"/>
              <w:jc w:val="left"/>
              <w:rPr>
                <w:rFonts w:ascii="Calibri" w:hAnsi="Calibri"/>
                <w:sz w:val="18"/>
                <w:szCs w:val="18"/>
                <w:lang w:val="es-CO" w:eastAsia="es-CO"/>
              </w:rPr>
            </w:pPr>
            <w:r w:rsidRPr="00685C9D">
              <w:rPr>
                <w:rFonts w:ascii="Calibri" w:hAnsi="Calibri"/>
                <w:sz w:val="18"/>
                <w:szCs w:val="18"/>
                <w:lang w:val="es-CO" w:eastAsia="es-CO"/>
              </w:rPr>
              <w:t xml:space="preserve">En el reglamento </w:t>
            </w:r>
            <w:proofErr w:type="spellStart"/>
            <w:r w:rsidRPr="00685C9D">
              <w:rPr>
                <w:rFonts w:ascii="Calibri" w:hAnsi="Calibri"/>
                <w:sz w:val="18"/>
                <w:szCs w:val="18"/>
                <w:lang w:val="es-CO" w:eastAsia="es-CO"/>
              </w:rPr>
              <w:t>Derivex</w:t>
            </w:r>
            <w:proofErr w:type="spellEnd"/>
            <w:r w:rsidRPr="00685C9D">
              <w:rPr>
                <w:rFonts w:ascii="Calibri" w:hAnsi="Calibri"/>
                <w:sz w:val="18"/>
                <w:szCs w:val="18"/>
                <w:lang w:val="es-CO" w:eastAsia="es-CO"/>
              </w:rPr>
              <w:t xml:space="preserve"> </w:t>
            </w:r>
            <w:proofErr w:type="spellStart"/>
            <w:r w:rsidRPr="00685C9D">
              <w:rPr>
                <w:rFonts w:ascii="Calibri" w:hAnsi="Calibri"/>
                <w:sz w:val="18"/>
                <w:szCs w:val="18"/>
                <w:lang w:val="es-CO" w:eastAsia="es-CO"/>
              </w:rPr>
              <w:t>esta</w:t>
            </w:r>
            <w:proofErr w:type="spellEnd"/>
            <w:r w:rsidRPr="00685C9D">
              <w:rPr>
                <w:rFonts w:ascii="Calibri" w:hAnsi="Calibri"/>
                <w:sz w:val="18"/>
                <w:szCs w:val="18"/>
                <w:lang w:val="es-CO" w:eastAsia="es-CO"/>
              </w:rPr>
              <w:t xml:space="preserve"> autorizado para administrar un sistema de negociación suscribiendo contratos estandarizados y no pueden cambiar a menos que reciban autorización expresa de la SFC. Estos contratos no son objeto de cambio y los miembros liquidadores se adhieren a los mismos. Los contratos tienen las mismas características en términos de deberes y obligaciones. Adicionalmente, los productos ofrecidos tienen un contrato de futuro de energía homogéneo, es decir, tiene las mismas condiciones en términos de cantidad de energía negociada, fechas de vencimiento y montos a garantizar.</w:t>
            </w:r>
            <w:r w:rsidRPr="00685C9D">
              <w:rPr>
                <w:rFonts w:ascii="Calibri" w:hAnsi="Calibri"/>
                <w:sz w:val="18"/>
                <w:szCs w:val="18"/>
                <w:lang w:val="es-CO" w:eastAsia="es-CO"/>
              </w:rPr>
              <w:br/>
              <w:t xml:space="preserve">Así mismo, los contratos entre los agentes del MEM y los intermediarios de valores se rigen por lo establecido para los contratos de comisión regulados y supervisados por la SFC. </w:t>
            </w:r>
          </w:p>
        </w:tc>
      </w:tr>
      <w:tr w:rsidR="00685C9D" w:rsidRPr="00685C9D" w14:paraId="429CFC70" w14:textId="77777777" w:rsidTr="00D31EE1">
        <w:trPr>
          <w:trHeight w:val="1035"/>
        </w:trPr>
        <w:tc>
          <w:tcPr>
            <w:tcW w:w="907" w:type="pct"/>
            <w:tcBorders>
              <w:top w:val="nil"/>
              <w:left w:val="single" w:sz="4" w:space="0" w:color="auto"/>
              <w:bottom w:val="single" w:sz="4" w:space="0" w:color="auto"/>
              <w:right w:val="single" w:sz="4" w:space="0" w:color="auto"/>
            </w:tcBorders>
            <w:shd w:val="clear" w:color="000000" w:fill="E7E6E6"/>
            <w:hideMark/>
          </w:tcPr>
          <w:p w14:paraId="7CEF62DD" w14:textId="77777777" w:rsidR="00685C9D" w:rsidRPr="00685C9D" w:rsidRDefault="00685C9D">
            <w:pPr>
              <w:spacing w:before="0" w:after="0"/>
              <w:jc w:val="left"/>
              <w:rPr>
                <w:rFonts w:ascii="Calibri" w:hAnsi="Calibri"/>
                <w:b/>
                <w:bCs/>
                <w:sz w:val="18"/>
                <w:szCs w:val="18"/>
                <w:lang w:val="es-CO" w:eastAsia="es-CO"/>
              </w:rPr>
            </w:pPr>
            <w:r w:rsidRPr="00685C9D">
              <w:rPr>
                <w:rFonts w:ascii="Calibri" w:hAnsi="Calibri"/>
                <w:b/>
                <w:bCs/>
                <w:sz w:val="18"/>
                <w:szCs w:val="18"/>
                <w:lang w:val="es-CO" w:eastAsia="es-CO"/>
              </w:rPr>
              <w:lastRenderedPageBreak/>
              <w:t xml:space="preserve">Referencia en la propuesta </w:t>
            </w:r>
          </w:p>
        </w:tc>
        <w:tc>
          <w:tcPr>
            <w:tcW w:w="4093" w:type="pct"/>
            <w:tcBorders>
              <w:top w:val="single" w:sz="4" w:space="0" w:color="auto"/>
              <w:left w:val="nil"/>
              <w:bottom w:val="single" w:sz="4" w:space="0" w:color="auto"/>
              <w:right w:val="single" w:sz="4" w:space="0" w:color="auto"/>
            </w:tcBorders>
            <w:shd w:val="clear" w:color="auto" w:fill="auto"/>
            <w:hideMark/>
          </w:tcPr>
          <w:p w14:paraId="06B0AB01" w14:textId="77777777" w:rsidR="00685C9D" w:rsidRPr="00685C9D" w:rsidRDefault="00685C9D">
            <w:pPr>
              <w:spacing w:before="0" w:after="0"/>
              <w:jc w:val="left"/>
              <w:rPr>
                <w:rFonts w:ascii="Calibri" w:hAnsi="Calibri"/>
                <w:sz w:val="18"/>
                <w:szCs w:val="18"/>
                <w:lang w:val="es-CO" w:eastAsia="es-CO"/>
              </w:rPr>
            </w:pPr>
            <w:r w:rsidRPr="00685C9D">
              <w:rPr>
                <w:rFonts w:ascii="Calibri" w:hAnsi="Calibri"/>
                <w:sz w:val="18"/>
                <w:szCs w:val="18"/>
                <w:lang w:val="es-CO" w:eastAsia="es-CO"/>
              </w:rPr>
              <w:t xml:space="preserve">1. </w:t>
            </w:r>
            <w:r w:rsidRPr="00685C9D">
              <w:rPr>
                <w:rFonts w:ascii="Calibri" w:hAnsi="Calibri"/>
                <w:b/>
                <w:bCs/>
                <w:sz w:val="18"/>
                <w:szCs w:val="18"/>
                <w:lang w:val="es-CO" w:eastAsia="es-CO"/>
              </w:rPr>
              <w:t>Numeral 3 de la propuesta: Descripción general del mecanismo.</w:t>
            </w:r>
            <w:r w:rsidRPr="00685C9D">
              <w:rPr>
                <w:rFonts w:ascii="Calibri" w:hAnsi="Calibri"/>
                <w:sz w:val="18"/>
                <w:szCs w:val="18"/>
                <w:lang w:val="es-CO" w:eastAsia="es-CO"/>
              </w:rPr>
              <w:t xml:space="preserve"> "(...) la estandarización de los contratos es un requisito fundamental para lograr aumentar la liquidez ya que permite a todos los agentes tener un “lenguaje común” y un mismo referente de intercambio, así como poder construir una curva referente de precios a plazo con base en contratos que son comparables y transar sus contratos en un mercado secundario.</w:t>
            </w:r>
          </w:p>
        </w:tc>
      </w:tr>
      <w:tr w:rsidR="00685C9D" w:rsidRPr="00685C9D" w14:paraId="112A1989" w14:textId="77777777" w:rsidTr="00D31EE1">
        <w:trPr>
          <w:trHeight w:val="5947"/>
        </w:trPr>
        <w:tc>
          <w:tcPr>
            <w:tcW w:w="907" w:type="pct"/>
            <w:tcBorders>
              <w:top w:val="single" w:sz="4" w:space="0" w:color="auto"/>
              <w:left w:val="single" w:sz="4" w:space="0" w:color="auto"/>
              <w:bottom w:val="single" w:sz="4" w:space="0" w:color="auto"/>
              <w:right w:val="single" w:sz="4" w:space="0" w:color="auto"/>
            </w:tcBorders>
            <w:shd w:val="clear" w:color="000000" w:fill="E7E6E6"/>
            <w:hideMark/>
          </w:tcPr>
          <w:p w14:paraId="1B8D1B92" w14:textId="77777777" w:rsidR="00685C9D" w:rsidRPr="00685C9D" w:rsidRDefault="00685C9D">
            <w:pPr>
              <w:spacing w:before="0" w:after="0"/>
              <w:jc w:val="left"/>
              <w:rPr>
                <w:rFonts w:ascii="Calibri" w:hAnsi="Calibri"/>
                <w:b/>
                <w:bCs/>
                <w:sz w:val="18"/>
                <w:szCs w:val="18"/>
                <w:lang w:val="es-CO" w:eastAsia="es-CO"/>
              </w:rPr>
            </w:pPr>
            <w:r w:rsidRPr="00685C9D">
              <w:rPr>
                <w:rFonts w:ascii="Calibri" w:hAnsi="Calibri"/>
                <w:b/>
                <w:bCs/>
                <w:sz w:val="18"/>
                <w:szCs w:val="18"/>
                <w:lang w:val="es-CO" w:eastAsia="es-CO"/>
              </w:rPr>
              <w:t>Juan Pablo Amorocho</w:t>
            </w:r>
            <w:r w:rsidRPr="00685C9D">
              <w:rPr>
                <w:rFonts w:ascii="Calibri" w:hAnsi="Calibri"/>
                <w:b/>
                <w:bCs/>
                <w:sz w:val="18"/>
                <w:szCs w:val="18"/>
                <w:lang w:val="es-CO" w:eastAsia="es-CO"/>
              </w:rPr>
              <w:br/>
              <w:t>(Mercados)</w:t>
            </w:r>
          </w:p>
        </w:tc>
        <w:tc>
          <w:tcPr>
            <w:tcW w:w="4093" w:type="pct"/>
            <w:tcBorders>
              <w:top w:val="single" w:sz="4" w:space="0" w:color="auto"/>
              <w:left w:val="single" w:sz="4" w:space="0" w:color="auto"/>
              <w:bottom w:val="single" w:sz="4" w:space="0" w:color="auto"/>
              <w:right w:val="single" w:sz="4" w:space="0" w:color="auto"/>
            </w:tcBorders>
            <w:shd w:val="clear" w:color="auto" w:fill="auto"/>
            <w:hideMark/>
          </w:tcPr>
          <w:p w14:paraId="0F678370" w14:textId="77777777" w:rsidR="00685C9D" w:rsidRPr="00685C9D" w:rsidRDefault="00685C9D">
            <w:pPr>
              <w:spacing w:before="0" w:after="0"/>
              <w:jc w:val="left"/>
              <w:rPr>
                <w:rFonts w:ascii="Calibri" w:hAnsi="Calibri"/>
                <w:sz w:val="18"/>
                <w:szCs w:val="18"/>
                <w:lang w:val="es-CO" w:eastAsia="es-CO"/>
              </w:rPr>
            </w:pPr>
            <w:r w:rsidRPr="00685C9D">
              <w:rPr>
                <w:rFonts w:ascii="Calibri" w:hAnsi="Calibri"/>
                <w:sz w:val="18"/>
                <w:szCs w:val="18"/>
                <w:lang w:val="es-CO" w:eastAsia="es-CO"/>
              </w:rPr>
              <w:t>Pág. 5</w:t>
            </w:r>
            <w:r w:rsidRPr="00685C9D">
              <w:rPr>
                <w:rFonts w:ascii="Calibri" w:hAnsi="Calibri"/>
                <w:sz w:val="18"/>
                <w:szCs w:val="18"/>
                <w:lang w:val="es-CO" w:eastAsia="es-CO"/>
              </w:rPr>
              <w:br/>
              <w:t xml:space="preserve">"En su reglamento, </w:t>
            </w:r>
            <w:proofErr w:type="spellStart"/>
            <w:r w:rsidRPr="00685C9D">
              <w:rPr>
                <w:rFonts w:ascii="Calibri" w:hAnsi="Calibri"/>
                <w:sz w:val="18"/>
                <w:szCs w:val="18"/>
                <w:lang w:val="es-CO" w:eastAsia="es-CO"/>
              </w:rPr>
              <w:t>Derivex</w:t>
            </w:r>
            <w:proofErr w:type="spellEnd"/>
            <w:r w:rsidRPr="00685C9D">
              <w:rPr>
                <w:rFonts w:ascii="Calibri" w:hAnsi="Calibri"/>
                <w:sz w:val="18"/>
                <w:szCs w:val="18"/>
                <w:lang w:val="es-CO" w:eastAsia="es-CO"/>
              </w:rPr>
              <w:t xml:space="preserve"> está autorizado para administrar un sistema de negociación y registro de contratos con subyacente de energía. Estos contratos son estandarizados y no pueden cambiar sus </w:t>
            </w:r>
            <w:proofErr w:type="spellStart"/>
            <w:r w:rsidRPr="00685C9D">
              <w:rPr>
                <w:rFonts w:ascii="Calibri" w:hAnsi="Calibri"/>
                <w:sz w:val="18"/>
                <w:szCs w:val="18"/>
                <w:lang w:val="es-CO" w:eastAsia="es-CO"/>
              </w:rPr>
              <w:t>característcas</w:t>
            </w:r>
            <w:proofErr w:type="spellEnd"/>
            <w:r w:rsidRPr="00685C9D">
              <w:rPr>
                <w:rFonts w:ascii="Calibri" w:hAnsi="Calibri"/>
                <w:sz w:val="18"/>
                <w:szCs w:val="18"/>
                <w:lang w:val="es-CO" w:eastAsia="es-CO"/>
              </w:rPr>
              <w:t xml:space="preserve"> al menos que reciban la </w:t>
            </w:r>
            <w:proofErr w:type="spellStart"/>
            <w:r w:rsidRPr="00685C9D">
              <w:rPr>
                <w:rFonts w:ascii="Calibri" w:hAnsi="Calibri"/>
                <w:sz w:val="18"/>
                <w:szCs w:val="18"/>
                <w:lang w:val="es-CO" w:eastAsia="es-CO"/>
              </w:rPr>
              <w:t>autorizacion</w:t>
            </w:r>
            <w:proofErr w:type="spellEnd"/>
            <w:r w:rsidRPr="00685C9D">
              <w:rPr>
                <w:rFonts w:ascii="Calibri" w:hAnsi="Calibri"/>
                <w:sz w:val="18"/>
                <w:szCs w:val="18"/>
                <w:lang w:val="es-CO" w:eastAsia="es-CO"/>
              </w:rPr>
              <w:t xml:space="preserve"> expresa de la SFC."</w:t>
            </w:r>
            <w:r w:rsidRPr="00685C9D">
              <w:rPr>
                <w:rFonts w:ascii="Calibri" w:hAnsi="Calibri"/>
                <w:sz w:val="18"/>
                <w:szCs w:val="18"/>
                <w:lang w:val="es-CO" w:eastAsia="es-CO"/>
              </w:rPr>
              <w:br/>
            </w:r>
            <w:r w:rsidRPr="00685C9D">
              <w:rPr>
                <w:rFonts w:ascii="Calibri" w:hAnsi="Calibri"/>
                <w:sz w:val="18"/>
                <w:szCs w:val="18"/>
                <w:lang w:val="es-CO" w:eastAsia="es-CO"/>
              </w:rPr>
              <w:br/>
              <w:t>Pág. 7</w:t>
            </w:r>
            <w:r w:rsidRPr="00685C9D">
              <w:rPr>
                <w:rFonts w:ascii="Calibri" w:hAnsi="Calibri"/>
                <w:sz w:val="18"/>
                <w:szCs w:val="18"/>
                <w:lang w:val="es-CO" w:eastAsia="es-CO"/>
              </w:rPr>
              <w:br/>
              <w:t xml:space="preserve">"Las personas naturales y jurídicas que </w:t>
            </w:r>
            <w:proofErr w:type="spellStart"/>
            <w:r w:rsidRPr="00685C9D">
              <w:rPr>
                <w:rFonts w:ascii="Calibri" w:hAnsi="Calibri"/>
                <w:sz w:val="18"/>
                <w:szCs w:val="18"/>
                <w:lang w:val="es-CO" w:eastAsia="es-CO"/>
              </w:rPr>
              <w:t>esten</w:t>
            </w:r>
            <w:proofErr w:type="spellEnd"/>
            <w:r w:rsidRPr="00685C9D">
              <w:rPr>
                <w:rFonts w:ascii="Calibri" w:hAnsi="Calibri"/>
                <w:sz w:val="18"/>
                <w:szCs w:val="18"/>
                <w:lang w:val="es-CO" w:eastAsia="es-CO"/>
              </w:rPr>
              <w:t xml:space="preserve"> interesadas hacer operaciones de derivados </w:t>
            </w:r>
            <w:proofErr w:type="spellStart"/>
            <w:r w:rsidRPr="00685C9D">
              <w:rPr>
                <w:rFonts w:ascii="Calibri" w:hAnsi="Calibri"/>
                <w:sz w:val="18"/>
                <w:szCs w:val="18"/>
                <w:lang w:val="es-CO" w:eastAsia="es-CO"/>
              </w:rPr>
              <w:t>estanadarizados</w:t>
            </w:r>
            <w:proofErr w:type="spellEnd"/>
            <w:r w:rsidRPr="00685C9D">
              <w:rPr>
                <w:rFonts w:ascii="Calibri" w:hAnsi="Calibri"/>
                <w:sz w:val="18"/>
                <w:szCs w:val="18"/>
                <w:lang w:val="es-CO" w:eastAsia="es-CO"/>
              </w:rPr>
              <w:t xml:space="preserve"> de energía, deben hacerlo a través de un miembro de </w:t>
            </w:r>
            <w:proofErr w:type="spellStart"/>
            <w:r w:rsidRPr="00685C9D">
              <w:rPr>
                <w:rFonts w:ascii="Calibri" w:hAnsi="Calibri"/>
                <w:sz w:val="18"/>
                <w:szCs w:val="18"/>
                <w:lang w:val="es-CO" w:eastAsia="es-CO"/>
              </w:rPr>
              <w:t>Derivex</w:t>
            </w:r>
            <w:proofErr w:type="spellEnd"/>
            <w:r w:rsidRPr="00685C9D">
              <w:rPr>
                <w:rFonts w:ascii="Calibri" w:hAnsi="Calibri"/>
                <w:sz w:val="18"/>
                <w:szCs w:val="18"/>
                <w:lang w:val="es-CO" w:eastAsia="es-CO"/>
              </w:rPr>
              <w:t>.</w:t>
            </w:r>
            <w:r w:rsidRPr="00685C9D">
              <w:rPr>
                <w:rFonts w:ascii="Calibri" w:hAnsi="Calibri"/>
                <w:sz w:val="18"/>
                <w:szCs w:val="18"/>
                <w:lang w:val="es-CO" w:eastAsia="es-CO"/>
              </w:rPr>
              <w:br/>
              <w:t xml:space="preserve">Esta relación estará regida por el contrato de comisión que tiene las </w:t>
            </w:r>
            <w:proofErr w:type="spellStart"/>
            <w:r w:rsidRPr="00685C9D">
              <w:rPr>
                <w:rFonts w:ascii="Calibri" w:hAnsi="Calibri"/>
                <w:sz w:val="18"/>
                <w:szCs w:val="18"/>
                <w:lang w:val="es-CO" w:eastAsia="es-CO"/>
              </w:rPr>
              <w:t>sigueintes</w:t>
            </w:r>
            <w:proofErr w:type="spellEnd"/>
            <w:r w:rsidRPr="00685C9D">
              <w:rPr>
                <w:rFonts w:ascii="Calibri" w:hAnsi="Calibri"/>
                <w:sz w:val="18"/>
                <w:szCs w:val="18"/>
                <w:lang w:val="es-CO" w:eastAsia="es-CO"/>
              </w:rPr>
              <w:t xml:space="preserve"> </w:t>
            </w:r>
            <w:proofErr w:type="spellStart"/>
            <w:r w:rsidRPr="00685C9D">
              <w:rPr>
                <w:rFonts w:ascii="Calibri" w:hAnsi="Calibri"/>
                <w:sz w:val="18"/>
                <w:szCs w:val="18"/>
                <w:lang w:val="es-CO" w:eastAsia="es-CO"/>
              </w:rPr>
              <w:t>caractaristicas</w:t>
            </w:r>
            <w:proofErr w:type="spellEnd"/>
            <w:r w:rsidRPr="00685C9D">
              <w:rPr>
                <w:rFonts w:ascii="Calibri" w:hAnsi="Calibri"/>
                <w:sz w:val="18"/>
                <w:szCs w:val="18"/>
                <w:lang w:val="es-CO" w:eastAsia="es-CO"/>
              </w:rPr>
              <w:t>:</w:t>
            </w:r>
            <w:r w:rsidRPr="00685C9D">
              <w:rPr>
                <w:rFonts w:ascii="Calibri" w:hAnsi="Calibri"/>
                <w:sz w:val="18"/>
                <w:szCs w:val="18"/>
                <w:lang w:val="es-CO" w:eastAsia="es-CO"/>
              </w:rPr>
              <w:br/>
              <w:t>Definición: El contrato de comisión es aquel mediante el cual el comisionista se obliga a realizar, por cuenta y encargo del comitente o cliente, la suscripción, compra o venta de unos determinados valores; este contrato se perfecciona o adquiere plena vigencia para las partes a partir del momento en que recibe la orden. (https://www.superfinanciera.gov.co/inicio/contrato-de-comision-11206)"</w:t>
            </w:r>
            <w:r w:rsidRPr="00685C9D">
              <w:rPr>
                <w:rFonts w:ascii="Calibri" w:hAnsi="Calibri"/>
                <w:sz w:val="18"/>
                <w:szCs w:val="18"/>
                <w:lang w:val="es-CO" w:eastAsia="es-CO"/>
              </w:rPr>
              <w:br/>
            </w:r>
            <w:r w:rsidRPr="00685C9D">
              <w:rPr>
                <w:rFonts w:ascii="Calibri" w:hAnsi="Calibri"/>
                <w:sz w:val="18"/>
                <w:szCs w:val="18"/>
                <w:lang w:val="es-CO" w:eastAsia="es-CO"/>
              </w:rPr>
              <w:br/>
            </w:r>
            <w:proofErr w:type="spellStart"/>
            <w:r w:rsidRPr="00685C9D">
              <w:rPr>
                <w:rFonts w:ascii="Calibri" w:hAnsi="Calibri"/>
                <w:sz w:val="18"/>
                <w:szCs w:val="18"/>
                <w:lang w:val="es-CO" w:eastAsia="es-CO"/>
              </w:rPr>
              <w:t>Pág</w:t>
            </w:r>
            <w:proofErr w:type="spellEnd"/>
            <w:r w:rsidRPr="00685C9D">
              <w:rPr>
                <w:rFonts w:ascii="Calibri" w:hAnsi="Calibri"/>
                <w:sz w:val="18"/>
                <w:szCs w:val="18"/>
                <w:lang w:val="es-CO" w:eastAsia="es-CO"/>
              </w:rPr>
              <w:t xml:space="preserve"> 17</w:t>
            </w:r>
            <w:r w:rsidRPr="00685C9D">
              <w:rPr>
                <w:rFonts w:ascii="Calibri" w:hAnsi="Calibri"/>
                <w:sz w:val="18"/>
                <w:szCs w:val="18"/>
                <w:lang w:val="es-CO" w:eastAsia="es-CO"/>
              </w:rPr>
              <w:br/>
              <w:t>"• Los criterios para los agentes energéticos son los mismos que se le aplican a cualquier cliente de las comisionistas bajo el contrato de comisión. Sin embargo, las condiciones económicas y exigencia de garantías pueden variar dependiendo del riesgo y tamaño de cada empresa"</w:t>
            </w:r>
            <w:r w:rsidRPr="00685C9D">
              <w:rPr>
                <w:rFonts w:ascii="Calibri" w:hAnsi="Calibri"/>
                <w:sz w:val="18"/>
                <w:szCs w:val="18"/>
                <w:lang w:val="es-CO" w:eastAsia="es-CO"/>
              </w:rPr>
              <w:br/>
            </w:r>
            <w:r w:rsidRPr="00685C9D">
              <w:rPr>
                <w:rFonts w:ascii="Calibri" w:hAnsi="Calibri"/>
                <w:sz w:val="18"/>
                <w:szCs w:val="18"/>
                <w:lang w:val="es-CO" w:eastAsia="es-CO"/>
              </w:rPr>
              <w:br/>
            </w:r>
            <w:proofErr w:type="spellStart"/>
            <w:r w:rsidRPr="00685C9D">
              <w:rPr>
                <w:rFonts w:ascii="Calibri" w:hAnsi="Calibri"/>
                <w:sz w:val="18"/>
                <w:szCs w:val="18"/>
                <w:lang w:val="es-CO" w:eastAsia="es-CO"/>
              </w:rPr>
              <w:t>Pág</w:t>
            </w:r>
            <w:proofErr w:type="spellEnd"/>
            <w:r w:rsidRPr="00685C9D">
              <w:rPr>
                <w:rFonts w:ascii="Calibri" w:hAnsi="Calibri"/>
                <w:sz w:val="18"/>
                <w:szCs w:val="18"/>
                <w:lang w:val="es-CO" w:eastAsia="es-CO"/>
              </w:rPr>
              <w:t xml:space="preserve"> 18</w:t>
            </w:r>
            <w:r w:rsidRPr="00685C9D">
              <w:rPr>
                <w:rFonts w:ascii="Calibri" w:hAnsi="Calibri"/>
                <w:sz w:val="18"/>
                <w:szCs w:val="18"/>
                <w:lang w:val="es-CO" w:eastAsia="es-CO"/>
              </w:rPr>
              <w:br/>
              <w:t xml:space="preserve">"• El reglamento de </w:t>
            </w:r>
            <w:proofErr w:type="spellStart"/>
            <w:r w:rsidRPr="00685C9D">
              <w:rPr>
                <w:rFonts w:ascii="Calibri" w:hAnsi="Calibri"/>
                <w:sz w:val="18"/>
                <w:szCs w:val="18"/>
                <w:lang w:val="es-CO" w:eastAsia="es-CO"/>
              </w:rPr>
              <w:t>Derivex</w:t>
            </w:r>
            <w:proofErr w:type="spellEnd"/>
            <w:r w:rsidRPr="00685C9D">
              <w:rPr>
                <w:rFonts w:ascii="Calibri" w:hAnsi="Calibri"/>
                <w:sz w:val="18"/>
                <w:szCs w:val="18"/>
                <w:lang w:val="es-CO" w:eastAsia="es-CO"/>
              </w:rPr>
              <w:t xml:space="preserve"> es Único y los </w:t>
            </w:r>
            <w:proofErr w:type="spellStart"/>
            <w:r w:rsidRPr="00685C9D">
              <w:rPr>
                <w:rFonts w:ascii="Calibri" w:hAnsi="Calibri"/>
                <w:sz w:val="18"/>
                <w:szCs w:val="18"/>
                <w:lang w:val="es-CO" w:eastAsia="es-CO"/>
              </w:rPr>
              <w:t>usarios</w:t>
            </w:r>
            <w:proofErr w:type="spellEnd"/>
            <w:r w:rsidRPr="00685C9D">
              <w:rPr>
                <w:rFonts w:ascii="Calibri" w:hAnsi="Calibri"/>
                <w:sz w:val="18"/>
                <w:szCs w:val="18"/>
                <w:lang w:val="es-CO" w:eastAsia="es-CO"/>
              </w:rPr>
              <w:t xml:space="preserve"> se adhieren a él, lo que no permite condiciones especiales para algún participante.</w:t>
            </w:r>
            <w:r w:rsidRPr="00685C9D">
              <w:rPr>
                <w:rFonts w:ascii="Calibri" w:hAnsi="Calibri"/>
                <w:sz w:val="18"/>
                <w:szCs w:val="18"/>
                <w:lang w:val="es-CO" w:eastAsia="es-CO"/>
              </w:rPr>
              <w:br/>
              <w:t>• Respecto a usuario final y el intermediario los rige el contrato de comisión contemplado en el código de comercio y en el decreto 2555 y vigilado por la SFC</w:t>
            </w:r>
            <w:r w:rsidRPr="00685C9D">
              <w:rPr>
                <w:rFonts w:ascii="Calibri" w:hAnsi="Calibri"/>
                <w:sz w:val="18"/>
                <w:szCs w:val="18"/>
                <w:lang w:val="es-CO" w:eastAsia="es-CO"/>
              </w:rPr>
              <w:br/>
              <w:t>• El hecho que se trate de un contrato de futuro de energía; garantiza la homogeneidad del producto, es decir los montos, fechas y garantías se aplican para cualquier persona natural o jurídica que quiera participar en este mercado."</w:t>
            </w:r>
            <w:r w:rsidRPr="00685C9D">
              <w:rPr>
                <w:rFonts w:ascii="Calibri" w:hAnsi="Calibri"/>
                <w:sz w:val="18"/>
                <w:szCs w:val="18"/>
                <w:lang w:val="es-CO" w:eastAsia="es-CO"/>
              </w:rPr>
              <w:br/>
            </w:r>
            <w:r w:rsidRPr="00685C9D">
              <w:rPr>
                <w:rFonts w:ascii="Calibri" w:hAnsi="Calibri"/>
                <w:sz w:val="18"/>
                <w:szCs w:val="18"/>
                <w:lang w:val="es-CO" w:eastAsia="es-CO"/>
              </w:rPr>
              <w:br/>
              <w:t>Pág. 25</w:t>
            </w:r>
            <w:r w:rsidRPr="00685C9D">
              <w:rPr>
                <w:rFonts w:ascii="Calibri" w:hAnsi="Calibri"/>
                <w:sz w:val="18"/>
                <w:szCs w:val="18"/>
                <w:lang w:val="es-CO" w:eastAsia="es-CO"/>
              </w:rPr>
              <w:br/>
              <w:t xml:space="preserve">"Un mercado estandarizado como lo es el futuro de </w:t>
            </w:r>
            <w:proofErr w:type="spellStart"/>
            <w:r w:rsidRPr="00685C9D">
              <w:rPr>
                <w:rFonts w:ascii="Calibri" w:hAnsi="Calibri"/>
                <w:sz w:val="18"/>
                <w:szCs w:val="18"/>
                <w:lang w:val="es-CO" w:eastAsia="es-CO"/>
              </w:rPr>
              <w:t>energia</w:t>
            </w:r>
            <w:proofErr w:type="spellEnd"/>
            <w:r w:rsidRPr="00685C9D">
              <w:rPr>
                <w:rFonts w:ascii="Calibri" w:hAnsi="Calibri"/>
                <w:sz w:val="18"/>
                <w:szCs w:val="18"/>
                <w:lang w:val="es-CO" w:eastAsia="es-CO"/>
              </w:rPr>
              <w:t xml:space="preserve"> implica que las fechas son las mismas para todo el mercado, los </w:t>
            </w:r>
            <w:proofErr w:type="spellStart"/>
            <w:r w:rsidRPr="00685C9D">
              <w:rPr>
                <w:rFonts w:ascii="Calibri" w:hAnsi="Calibri"/>
                <w:sz w:val="18"/>
                <w:szCs w:val="18"/>
                <w:lang w:val="es-CO" w:eastAsia="es-CO"/>
              </w:rPr>
              <w:t>volumenes</w:t>
            </w:r>
            <w:proofErr w:type="spellEnd"/>
            <w:r w:rsidRPr="00685C9D">
              <w:rPr>
                <w:rFonts w:ascii="Calibri" w:hAnsi="Calibri"/>
                <w:sz w:val="18"/>
                <w:szCs w:val="18"/>
                <w:lang w:val="es-CO" w:eastAsia="es-CO"/>
              </w:rPr>
              <w:t xml:space="preserve"> son </w:t>
            </w:r>
            <w:proofErr w:type="spellStart"/>
            <w:r w:rsidRPr="00685C9D">
              <w:rPr>
                <w:rFonts w:ascii="Calibri" w:hAnsi="Calibri"/>
                <w:sz w:val="18"/>
                <w:szCs w:val="18"/>
                <w:lang w:val="es-CO" w:eastAsia="es-CO"/>
              </w:rPr>
              <w:t>multiplos</w:t>
            </w:r>
            <w:proofErr w:type="spellEnd"/>
            <w:r w:rsidRPr="00685C9D">
              <w:rPr>
                <w:rFonts w:ascii="Calibri" w:hAnsi="Calibri"/>
                <w:sz w:val="18"/>
                <w:szCs w:val="18"/>
                <w:lang w:val="es-CO" w:eastAsia="es-CO"/>
              </w:rPr>
              <w:t xml:space="preserve"> de cada uno de los contratos, todas las operaciones deben estar respaldadas por </w:t>
            </w:r>
            <w:proofErr w:type="spellStart"/>
            <w:r w:rsidRPr="00685C9D">
              <w:rPr>
                <w:rFonts w:ascii="Calibri" w:hAnsi="Calibri"/>
                <w:sz w:val="18"/>
                <w:szCs w:val="18"/>
                <w:lang w:val="es-CO" w:eastAsia="es-CO"/>
              </w:rPr>
              <w:t>garantias</w:t>
            </w:r>
            <w:proofErr w:type="spellEnd"/>
            <w:r w:rsidRPr="00685C9D">
              <w:rPr>
                <w:rFonts w:ascii="Calibri" w:hAnsi="Calibri"/>
                <w:sz w:val="18"/>
                <w:szCs w:val="18"/>
                <w:lang w:val="es-CO" w:eastAsia="es-CO"/>
              </w:rPr>
              <w:t xml:space="preserve"> y todas deben pasar a través de un sistema de negociación. En el caso de </w:t>
            </w:r>
            <w:proofErr w:type="spellStart"/>
            <w:r w:rsidRPr="00685C9D">
              <w:rPr>
                <w:rFonts w:ascii="Calibri" w:hAnsi="Calibri"/>
                <w:sz w:val="18"/>
                <w:szCs w:val="18"/>
                <w:lang w:val="es-CO" w:eastAsia="es-CO"/>
              </w:rPr>
              <w:t>Derivex</w:t>
            </w:r>
            <w:proofErr w:type="spellEnd"/>
            <w:r w:rsidRPr="00685C9D">
              <w:rPr>
                <w:rFonts w:ascii="Calibri" w:hAnsi="Calibri"/>
                <w:sz w:val="18"/>
                <w:szCs w:val="18"/>
                <w:lang w:val="es-CO" w:eastAsia="es-CO"/>
              </w:rPr>
              <w:t xml:space="preserve"> estos </w:t>
            </w:r>
            <w:proofErr w:type="spellStart"/>
            <w:r w:rsidRPr="00685C9D">
              <w:rPr>
                <w:rFonts w:ascii="Calibri" w:hAnsi="Calibri"/>
                <w:sz w:val="18"/>
                <w:szCs w:val="18"/>
                <w:lang w:val="es-CO" w:eastAsia="es-CO"/>
              </w:rPr>
              <w:t>contartos</w:t>
            </w:r>
            <w:proofErr w:type="spellEnd"/>
            <w:r w:rsidRPr="00685C9D">
              <w:rPr>
                <w:rFonts w:ascii="Calibri" w:hAnsi="Calibri"/>
                <w:sz w:val="18"/>
                <w:szCs w:val="18"/>
                <w:lang w:val="es-CO" w:eastAsia="es-CO"/>
              </w:rPr>
              <w:t xml:space="preserve"> se negocian en todas sus sesiones, subastas y se pueden registrar.</w:t>
            </w:r>
            <w:r w:rsidRPr="00685C9D">
              <w:rPr>
                <w:rFonts w:ascii="Calibri" w:hAnsi="Calibri"/>
                <w:sz w:val="18"/>
                <w:szCs w:val="18"/>
                <w:lang w:val="es-CO" w:eastAsia="es-CO"/>
              </w:rPr>
              <w:br/>
              <w:t>Estas características hacen que el producto ofrecido por el mecanismo sea homogéneo para todos los participantes."</w:t>
            </w:r>
          </w:p>
        </w:tc>
      </w:tr>
      <w:tr w:rsidR="00685C9D" w:rsidRPr="00685C9D" w14:paraId="66ED0CA7" w14:textId="77777777" w:rsidTr="00D31EE1">
        <w:trPr>
          <w:trHeight w:val="1397"/>
        </w:trPr>
        <w:tc>
          <w:tcPr>
            <w:tcW w:w="907" w:type="pct"/>
            <w:tcBorders>
              <w:top w:val="single" w:sz="4" w:space="0" w:color="auto"/>
              <w:left w:val="single" w:sz="4" w:space="0" w:color="auto"/>
              <w:bottom w:val="single" w:sz="4" w:space="0" w:color="auto"/>
              <w:right w:val="single" w:sz="4" w:space="0" w:color="auto"/>
            </w:tcBorders>
            <w:shd w:val="clear" w:color="000000" w:fill="E7E6E6"/>
            <w:hideMark/>
          </w:tcPr>
          <w:p w14:paraId="172258F1" w14:textId="77777777" w:rsidR="00685C9D" w:rsidRPr="00685C9D" w:rsidRDefault="00685C9D">
            <w:pPr>
              <w:spacing w:before="0" w:after="0"/>
              <w:jc w:val="left"/>
              <w:rPr>
                <w:rFonts w:ascii="Calibri" w:hAnsi="Calibri"/>
                <w:b/>
                <w:bCs/>
                <w:sz w:val="18"/>
                <w:szCs w:val="18"/>
                <w:lang w:val="es-CO" w:eastAsia="es-CO"/>
              </w:rPr>
            </w:pPr>
            <w:r w:rsidRPr="00685C9D">
              <w:rPr>
                <w:rFonts w:ascii="Calibri" w:hAnsi="Calibri"/>
                <w:b/>
                <w:bCs/>
                <w:sz w:val="18"/>
                <w:szCs w:val="18"/>
                <w:lang w:val="es-CO" w:eastAsia="es-CO"/>
              </w:rPr>
              <w:t>Diego Jara</w:t>
            </w:r>
            <w:r w:rsidRPr="00685C9D">
              <w:rPr>
                <w:rFonts w:ascii="Calibri" w:hAnsi="Calibri"/>
                <w:b/>
                <w:bCs/>
                <w:sz w:val="18"/>
                <w:szCs w:val="18"/>
                <w:lang w:val="es-CO" w:eastAsia="es-CO"/>
              </w:rPr>
              <w:br/>
              <w:t>(Riesgos)</w:t>
            </w:r>
          </w:p>
        </w:tc>
        <w:tc>
          <w:tcPr>
            <w:tcW w:w="4093" w:type="pct"/>
            <w:tcBorders>
              <w:top w:val="single" w:sz="4" w:space="0" w:color="auto"/>
              <w:left w:val="nil"/>
              <w:bottom w:val="single" w:sz="4" w:space="0" w:color="auto"/>
              <w:right w:val="single" w:sz="4" w:space="0" w:color="auto"/>
            </w:tcBorders>
            <w:shd w:val="clear" w:color="auto" w:fill="auto"/>
            <w:hideMark/>
          </w:tcPr>
          <w:p w14:paraId="1BBAC38F" w14:textId="77777777" w:rsidR="00685C9D" w:rsidRPr="00685C9D" w:rsidRDefault="00685C9D">
            <w:pPr>
              <w:spacing w:before="0" w:after="0"/>
              <w:jc w:val="left"/>
              <w:rPr>
                <w:rFonts w:ascii="Calibri" w:hAnsi="Calibri"/>
                <w:sz w:val="18"/>
                <w:szCs w:val="18"/>
                <w:lang w:val="es-CO" w:eastAsia="es-CO"/>
              </w:rPr>
            </w:pPr>
            <w:r w:rsidRPr="00685C9D">
              <w:rPr>
                <w:rFonts w:ascii="Calibri" w:hAnsi="Calibri"/>
                <w:sz w:val="18"/>
                <w:szCs w:val="18"/>
                <w:lang w:val="es-CO" w:eastAsia="es-CO"/>
              </w:rPr>
              <w:t>Pág. 6</w:t>
            </w:r>
            <w:r w:rsidRPr="00685C9D">
              <w:rPr>
                <w:rFonts w:ascii="Calibri" w:hAnsi="Calibri"/>
                <w:sz w:val="18"/>
                <w:szCs w:val="18"/>
                <w:lang w:val="es-CO" w:eastAsia="es-CO"/>
              </w:rPr>
              <w:br/>
              <w:t xml:space="preserve">"(...) el mecanismo propuesto por </w:t>
            </w:r>
            <w:proofErr w:type="spellStart"/>
            <w:r w:rsidRPr="00685C9D">
              <w:rPr>
                <w:rFonts w:ascii="Calibri" w:hAnsi="Calibri"/>
                <w:sz w:val="18"/>
                <w:szCs w:val="18"/>
                <w:lang w:val="es-CO" w:eastAsia="es-CO"/>
              </w:rPr>
              <w:t>Derivex</w:t>
            </w:r>
            <w:proofErr w:type="spellEnd"/>
            <w:r w:rsidRPr="00685C9D">
              <w:rPr>
                <w:rFonts w:ascii="Calibri" w:hAnsi="Calibri"/>
                <w:sz w:val="18"/>
                <w:szCs w:val="18"/>
                <w:lang w:val="es-CO" w:eastAsia="es-CO"/>
              </w:rPr>
              <w:t xml:space="preserve"> y la CRCC permite la suscripción de dos tipos de contratos estandarizados de compra y venta de energía eléctrica.</w:t>
            </w:r>
            <w:r w:rsidRPr="00685C9D">
              <w:rPr>
                <w:rFonts w:ascii="Calibri" w:hAnsi="Calibri"/>
                <w:sz w:val="18"/>
                <w:szCs w:val="18"/>
                <w:lang w:val="es-CO" w:eastAsia="es-CO"/>
              </w:rPr>
              <w:br/>
              <w:t>1. Contrato Futuro de Electricidad Mensual.</w:t>
            </w:r>
            <w:r w:rsidRPr="00685C9D">
              <w:rPr>
                <w:rFonts w:ascii="Calibri" w:hAnsi="Calibri"/>
                <w:sz w:val="18"/>
                <w:szCs w:val="18"/>
                <w:lang w:val="es-CO" w:eastAsia="es-CO"/>
              </w:rPr>
              <w:br/>
              <w:t xml:space="preserve">2. Contrato Mini de Futuro de Electricidad Mensual (ELM), el cual conserva todas las características del Contrato Futuro de Electricidad Mensual (ELS) a excepción del tamaño del contrato que pasa de ser de 360.000 kWh a 10.000 kWh para el ELS, y la cantidad </w:t>
            </w:r>
            <w:proofErr w:type="spellStart"/>
            <w:r w:rsidRPr="00685C9D">
              <w:rPr>
                <w:rFonts w:ascii="Calibri" w:hAnsi="Calibri"/>
                <w:sz w:val="18"/>
                <w:szCs w:val="18"/>
                <w:lang w:val="es-CO" w:eastAsia="es-CO"/>
              </w:rPr>
              <w:t>máxima</w:t>
            </w:r>
            <w:proofErr w:type="spellEnd"/>
            <w:r w:rsidRPr="00685C9D">
              <w:rPr>
                <w:rFonts w:ascii="Calibri" w:hAnsi="Calibri"/>
                <w:sz w:val="18"/>
                <w:szCs w:val="18"/>
                <w:lang w:val="es-CO" w:eastAsia="es-CO"/>
              </w:rPr>
              <w:t xml:space="preserve"> para ingresar una orden que pasa de ser de 2.000 a 72.000 contratos para el ELS (...)"</w:t>
            </w:r>
          </w:p>
        </w:tc>
      </w:tr>
      <w:tr w:rsidR="00685C9D" w:rsidRPr="00685C9D" w14:paraId="5336D47A" w14:textId="77777777" w:rsidTr="00D31EE1">
        <w:trPr>
          <w:trHeight w:val="480"/>
        </w:trPr>
        <w:tc>
          <w:tcPr>
            <w:tcW w:w="907" w:type="pct"/>
            <w:tcBorders>
              <w:top w:val="nil"/>
              <w:left w:val="single" w:sz="4" w:space="0" w:color="auto"/>
              <w:bottom w:val="single" w:sz="4" w:space="0" w:color="auto"/>
              <w:right w:val="single" w:sz="4" w:space="0" w:color="auto"/>
            </w:tcBorders>
            <w:shd w:val="clear" w:color="000000" w:fill="E7E6E6"/>
            <w:hideMark/>
          </w:tcPr>
          <w:p w14:paraId="2F0B5C5A" w14:textId="77777777" w:rsidR="00685C9D" w:rsidRPr="00685C9D" w:rsidRDefault="00685C9D">
            <w:pPr>
              <w:spacing w:before="0" w:after="0"/>
              <w:jc w:val="left"/>
              <w:rPr>
                <w:rFonts w:ascii="Calibri" w:hAnsi="Calibri"/>
                <w:b/>
                <w:bCs/>
                <w:sz w:val="18"/>
                <w:szCs w:val="18"/>
                <w:lang w:val="es-CO" w:eastAsia="es-CO"/>
              </w:rPr>
            </w:pPr>
            <w:r w:rsidRPr="00685C9D">
              <w:rPr>
                <w:rFonts w:ascii="Calibri" w:hAnsi="Calibri"/>
                <w:b/>
                <w:bCs/>
                <w:sz w:val="18"/>
                <w:szCs w:val="18"/>
                <w:lang w:val="es-CO" w:eastAsia="es-CO"/>
              </w:rPr>
              <w:t>Roberto Borrás</w:t>
            </w:r>
            <w:r w:rsidRPr="00685C9D">
              <w:rPr>
                <w:rFonts w:ascii="Calibri" w:hAnsi="Calibri"/>
                <w:b/>
                <w:bCs/>
                <w:sz w:val="18"/>
                <w:szCs w:val="18"/>
                <w:lang w:val="es-CO" w:eastAsia="es-CO"/>
              </w:rPr>
              <w:br/>
              <w:t>(Gobierno corporativo)</w:t>
            </w:r>
          </w:p>
        </w:tc>
        <w:tc>
          <w:tcPr>
            <w:tcW w:w="4093" w:type="pct"/>
            <w:tcBorders>
              <w:top w:val="single" w:sz="4" w:space="0" w:color="auto"/>
              <w:left w:val="nil"/>
              <w:bottom w:val="single" w:sz="4" w:space="0" w:color="auto"/>
              <w:right w:val="single" w:sz="4" w:space="0" w:color="000000"/>
            </w:tcBorders>
            <w:shd w:val="clear" w:color="auto" w:fill="auto"/>
            <w:noWrap/>
            <w:hideMark/>
          </w:tcPr>
          <w:p w14:paraId="61E2C1EF" w14:textId="77777777" w:rsidR="00685C9D" w:rsidRPr="00685C9D" w:rsidRDefault="00685C9D">
            <w:pPr>
              <w:spacing w:before="0" w:after="0"/>
              <w:jc w:val="center"/>
              <w:rPr>
                <w:rFonts w:ascii="Calibri" w:hAnsi="Calibri"/>
                <w:sz w:val="18"/>
                <w:szCs w:val="18"/>
                <w:lang w:val="es-CO" w:eastAsia="es-CO"/>
              </w:rPr>
            </w:pPr>
            <w:r w:rsidRPr="00685C9D">
              <w:rPr>
                <w:rFonts w:ascii="Calibri" w:hAnsi="Calibri"/>
                <w:sz w:val="18"/>
                <w:szCs w:val="18"/>
                <w:lang w:val="es-CO" w:eastAsia="es-CO"/>
              </w:rPr>
              <w:t> </w:t>
            </w:r>
          </w:p>
        </w:tc>
      </w:tr>
    </w:tbl>
    <w:p w14:paraId="5C3DD9DB" w14:textId="409F5CF1" w:rsidR="008750D4" w:rsidRDefault="008750D4">
      <w:pPr>
        <w:spacing w:before="0" w:after="0"/>
        <w:rPr>
          <w:b/>
          <w:szCs w:val="20"/>
          <w:lang w:val="es-CO"/>
        </w:rPr>
      </w:pPr>
    </w:p>
    <w:p w14:paraId="3CBD5887" w14:textId="77777777" w:rsidR="007C6045" w:rsidRDefault="007C6045">
      <w:pPr>
        <w:spacing w:before="0" w:after="0"/>
        <w:rPr>
          <w:b/>
          <w:szCs w:val="20"/>
          <w:lang w:val="es-CO"/>
        </w:rPr>
      </w:pPr>
    </w:p>
    <w:tbl>
      <w:tblPr>
        <w:tblW w:w="5000" w:type="pct"/>
        <w:tblLayout w:type="fixed"/>
        <w:tblCellMar>
          <w:left w:w="70" w:type="dxa"/>
          <w:right w:w="70" w:type="dxa"/>
        </w:tblCellMar>
        <w:tblLook w:val="04A0" w:firstRow="1" w:lastRow="0" w:firstColumn="1" w:lastColumn="0" w:noHBand="0" w:noVBand="1"/>
      </w:tblPr>
      <w:tblGrid>
        <w:gridCol w:w="1695"/>
        <w:gridCol w:w="7651"/>
      </w:tblGrid>
      <w:tr w:rsidR="007C6045" w:rsidRPr="007C6045" w14:paraId="3B39E3D2" w14:textId="77777777" w:rsidTr="00D31EE1">
        <w:trPr>
          <w:trHeight w:val="300"/>
        </w:trPr>
        <w:tc>
          <w:tcPr>
            <w:tcW w:w="907"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A596A61" w14:textId="77777777" w:rsidR="007C6045" w:rsidRPr="007C6045" w:rsidRDefault="007C6045">
            <w:pPr>
              <w:spacing w:before="0" w:after="0"/>
              <w:jc w:val="center"/>
              <w:rPr>
                <w:rFonts w:ascii="Calibri" w:hAnsi="Calibri"/>
                <w:b/>
                <w:bCs/>
                <w:color w:val="000000"/>
                <w:sz w:val="18"/>
                <w:szCs w:val="18"/>
                <w:lang w:val="es-CO" w:eastAsia="es-CO"/>
              </w:rPr>
            </w:pPr>
            <w:r w:rsidRPr="007C6045">
              <w:rPr>
                <w:rFonts w:ascii="Calibri" w:hAnsi="Calibri"/>
                <w:b/>
                <w:bCs/>
                <w:color w:val="000000"/>
                <w:sz w:val="18"/>
                <w:szCs w:val="18"/>
                <w:lang w:val="es-CO" w:eastAsia="es-CO"/>
              </w:rPr>
              <w:t xml:space="preserve">Parámetro </w:t>
            </w:r>
          </w:p>
        </w:tc>
        <w:tc>
          <w:tcPr>
            <w:tcW w:w="4093" w:type="pct"/>
            <w:tcBorders>
              <w:top w:val="single" w:sz="4" w:space="0" w:color="auto"/>
              <w:left w:val="nil"/>
              <w:bottom w:val="single" w:sz="4" w:space="0" w:color="auto"/>
              <w:right w:val="single" w:sz="4" w:space="0" w:color="auto"/>
            </w:tcBorders>
            <w:shd w:val="clear" w:color="000000" w:fill="D9E1F2"/>
            <w:vAlign w:val="center"/>
            <w:hideMark/>
          </w:tcPr>
          <w:p w14:paraId="2352D173" w14:textId="77777777" w:rsidR="007C6045" w:rsidRPr="007C6045" w:rsidRDefault="007C6045">
            <w:pPr>
              <w:spacing w:before="0" w:after="0"/>
              <w:jc w:val="center"/>
              <w:rPr>
                <w:rFonts w:ascii="Calibri" w:hAnsi="Calibri"/>
                <w:b/>
                <w:bCs/>
                <w:sz w:val="18"/>
                <w:szCs w:val="18"/>
                <w:lang w:val="es-CO" w:eastAsia="es-CO"/>
              </w:rPr>
            </w:pPr>
            <w:r w:rsidRPr="007C6045">
              <w:rPr>
                <w:rFonts w:ascii="Calibri" w:hAnsi="Calibri"/>
                <w:b/>
                <w:bCs/>
                <w:sz w:val="18"/>
                <w:szCs w:val="18"/>
                <w:lang w:val="es-CO" w:eastAsia="es-CO"/>
              </w:rPr>
              <w:t>Condición de simplicidad</w:t>
            </w:r>
          </w:p>
        </w:tc>
      </w:tr>
      <w:tr w:rsidR="007C6045" w:rsidRPr="007C6045" w14:paraId="150FF55A" w14:textId="77777777" w:rsidTr="00D31EE1">
        <w:trPr>
          <w:trHeight w:val="780"/>
        </w:trPr>
        <w:tc>
          <w:tcPr>
            <w:tcW w:w="907" w:type="pct"/>
            <w:tcBorders>
              <w:top w:val="single" w:sz="4" w:space="0" w:color="auto"/>
              <w:left w:val="single" w:sz="4" w:space="0" w:color="auto"/>
              <w:bottom w:val="single" w:sz="4" w:space="0" w:color="auto"/>
              <w:right w:val="single" w:sz="4" w:space="0" w:color="auto"/>
            </w:tcBorders>
            <w:shd w:val="clear" w:color="000000" w:fill="E7E6E6"/>
            <w:noWrap/>
            <w:hideMark/>
          </w:tcPr>
          <w:p w14:paraId="36E5CE39" w14:textId="77777777" w:rsidR="007C6045" w:rsidRPr="007C6045" w:rsidRDefault="007C6045">
            <w:pPr>
              <w:spacing w:before="0" w:after="0"/>
              <w:jc w:val="left"/>
              <w:rPr>
                <w:rFonts w:ascii="Calibri" w:hAnsi="Calibri"/>
                <w:b/>
                <w:bCs/>
                <w:color w:val="000000"/>
                <w:sz w:val="18"/>
                <w:szCs w:val="18"/>
                <w:lang w:val="es-CO" w:eastAsia="es-CO"/>
              </w:rPr>
            </w:pPr>
            <w:r w:rsidRPr="007C6045">
              <w:rPr>
                <w:rFonts w:ascii="Calibri" w:hAnsi="Calibri"/>
                <w:b/>
                <w:bCs/>
                <w:color w:val="000000"/>
                <w:sz w:val="18"/>
                <w:szCs w:val="18"/>
                <w:lang w:val="es-CO" w:eastAsia="es-CO"/>
              </w:rPr>
              <w:t>Descripción</w:t>
            </w:r>
          </w:p>
        </w:tc>
        <w:tc>
          <w:tcPr>
            <w:tcW w:w="4093" w:type="pct"/>
            <w:tcBorders>
              <w:top w:val="single" w:sz="4" w:space="0" w:color="auto"/>
              <w:left w:val="single" w:sz="4" w:space="0" w:color="auto"/>
              <w:bottom w:val="single" w:sz="4" w:space="0" w:color="auto"/>
              <w:right w:val="single" w:sz="4" w:space="0" w:color="auto"/>
            </w:tcBorders>
            <w:shd w:val="clear" w:color="auto" w:fill="auto"/>
            <w:hideMark/>
          </w:tcPr>
          <w:p w14:paraId="29253FDE" w14:textId="77777777" w:rsidR="007C6045" w:rsidRPr="007C6045" w:rsidRDefault="007C6045">
            <w:pPr>
              <w:spacing w:before="0" w:after="0"/>
              <w:jc w:val="left"/>
              <w:rPr>
                <w:rFonts w:ascii="Calibri" w:hAnsi="Calibri"/>
                <w:sz w:val="18"/>
                <w:szCs w:val="18"/>
                <w:lang w:val="es-CO" w:eastAsia="es-CO"/>
              </w:rPr>
            </w:pPr>
            <w:r w:rsidRPr="007C6045">
              <w:rPr>
                <w:rFonts w:ascii="Calibri" w:hAnsi="Calibri"/>
                <w:sz w:val="18"/>
                <w:szCs w:val="18"/>
                <w:lang w:val="es-CO" w:eastAsia="es-CO"/>
              </w:rPr>
              <w:t>La forma de adjudicación y la formación de precio del mecanismo para la comercialización de energía están claramente definidas. Tanto los procedimientos como los resultados son replicables y auditables.</w:t>
            </w:r>
          </w:p>
        </w:tc>
      </w:tr>
      <w:tr w:rsidR="007C6045" w:rsidRPr="007C6045" w14:paraId="40632A32" w14:textId="77777777" w:rsidTr="00D31EE1">
        <w:trPr>
          <w:trHeight w:val="1215"/>
        </w:trPr>
        <w:tc>
          <w:tcPr>
            <w:tcW w:w="907" w:type="pct"/>
            <w:tcBorders>
              <w:top w:val="single" w:sz="4" w:space="0" w:color="auto"/>
              <w:left w:val="single" w:sz="4" w:space="0" w:color="auto"/>
              <w:bottom w:val="single" w:sz="4" w:space="0" w:color="auto"/>
              <w:right w:val="single" w:sz="4" w:space="0" w:color="auto"/>
            </w:tcBorders>
            <w:shd w:val="clear" w:color="000000" w:fill="E7E6E6"/>
            <w:noWrap/>
            <w:hideMark/>
          </w:tcPr>
          <w:p w14:paraId="20443F09" w14:textId="77777777" w:rsidR="007C6045" w:rsidRPr="007C6045" w:rsidRDefault="007C6045">
            <w:pPr>
              <w:spacing w:before="0" w:after="0"/>
              <w:jc w:val="left"/>
              <w:rPr>
                <w:rFonts w:ascii="Calibri" w:hAnsi="Calibri"/>
                <w:b/>
                <w:bCs/>
                <w:color w:val="000000"/>
                <w:sz w:val="18"/>
                <w:szCs w:val="18"/>
                <w:lang w:val="es-CO" w:eastAsia="es-CO"/>
              </w:rPr>
            </w:pPr>
            <w:r w:rsidRPr="007C6045">
              <w:rPr>
                <w:rFonts w:ascii="Calibri" w:hAnsi="Calibri"/>
                <w:b/>
                <w:bCs/>
                <w:color w:val="000000"/>
                <w:sz w:val="18"/>
                <w:szCs w:val="18"/>
                <w:lang w:val="es-CO" w:eastAsia="es-CO"/>
              </w:rPr>
              <w:lastRenderedPageBreak/>
              <w:t>Resumen de la evaluación</w:t>
            </w:r>
          </w:p>
        </w:tc>
        <w:tc>
          <w:tcPr>
            <w:tcW w:w="4093" w:type="pct"/>
            <w:tcBorders>
              <w:top w:val="single" w:sz="4" w:space="0" w:color="auto"/>
              <w:left w:val="single" w:sz="4" w:space="0" w:color="auto"/>
              <w:bottom w:val="single" w:sz="4" w:space="0" w:color="auto"/>
              <w:right w:val="single" w:sz="4" w:space="0" w:color="auto"/>
            </w:tcBorders>
            <w:shd w:val="clear" w:color="auto" w:fill="auto"/>
            <w:hideMark/>
          </w:tcPr>
          <w:p w14:paraId="7532FEBA" w14:textId="77777777" w:rsidR="007C6045" w:rsidRPr="007C6045" w:rsidRDefault="007C6045">
            <w:pPr>
              <w:spacing w:before="0" w:after="0"/>
              <w:jc w:val="left"/>
              <w:rPr>
                <w:rFonts w:ascii="Calibri" w:hAnsi="Calibri"/>
                <w:sz w:val="18"/>
                <w:szCs w:val="18"/>
                <w:lang w:val="es-CO" w:eastAsia="es-CO"/>
              </w:rPr>
            </w:pPr>
            <w:r w:rsidRPr="007C6045">
              <w:rPr>
                <w:rFonts w:ascii="Calibri" w:hAnsi="Calibri"/>
                <w:sz w:val="18"/>
                <w:szCs w:val="18"/>
                <w:lang w:val="es-CO" w:eastAsia="es-CO"/>
              </w:rPr>
              <w:t xml:space="preserve">En el mecanismo se definen las etapas y procedimientos para realizar operaciones en cada una de las sesiones para conocimiento de los participantes. Estas etapas y procedimientos permiten tener trazabilidad sobre las operaciones y facilitar la supervisión de </w:t>
            </w:r>
            <w:proofErr w:type="gramStart"/>
            <w:r w:rsidRPr="007C6045">
              <w:rPr>
                <w:rFonts w:ascii="Calibri" w:hAnsi="Calibri"/>
                <w:sz w:val="18"/>
                <w:szCs w:val="18"/>
                <w:lang w:val="es-CO" w:eastAsia="es-CO"/>
              </w:rPr>
              <w:t>las mismas</w:t>
            </w:r>
            <w:proofErr w:type="gramEnd"/>
            <w:r w:rsidRPr="007C6045">
              <w:rPr>
                <w:rFonts w:ascii="Calibri" w:hAnsi="Calibri"/>
                <w:sz w:val="18"/>
                <w:szCs w:val="18"/>
                <w:lang w:val="es-CO" w:eastAsia="es-CO"/>
              </w:rPr>
              <w:t>.</w:t>
            </w:r>
            <w:r w:rsidRPr="007C6045">
              <w:rPr>
                <w:rFonts w:ascii="Calibri" w:hAnsi="Calibri"/>
                <w:sz w:val="18"/>
                <w:szCs w:val="18"/>
                <w:lang w:val="es-CO" w:eastAsia="es-CO"/>
              </w:rPr>
              <w:br/>
              <w:t xml:space="preserve">En el caso de las subastas, las reglas son claras y predefinidas, permite la participación masiva de </w:t>
            </w:r>
            <w:proofErr w:type="spellStart"/>
            <w:r w:rsidRPr="007C6045">
              <w:rPr>
                <w:rFonts w:ascii="Calibri" w:hAnsi="Calibri"/>
                <w:sz w:val="18"/>
                <w:szCs w:val="18"/>
                <w:lang w:val="es-CO" w:eastAsia="es-CO"/>
              </w:rPr>
              <w:t>lo</w:t>
            </w:r>
            <w:proofErr w:type="spellEnd"/>
            <w:r w:rsidRPr="007C6045">
              <w:rPr>
                <w:rFonts w:ascii="Calibri" w:hAnsi="Calibri"/>
                <w:sz w:val="18"/>
                <w:szCs w:val="18"/>
                <w:lang w:val="es-CO" w:eastAsia="es-CO"/>
              </w:rPr>
              <w:t xml:space="preserve"> interesados en el nivel de precio. En este sentido, se tiene un algoritmo de cierre de las </w:t>
            </w:r>
            <w:proofErr w:type="gramStart"/>
            <w:r w:rsidRPr="007C6045">
              <w:rPr>
                <w:rFonts w:ascii="Calibri" w:hAnsi="Calibri"/>
                <w:sz w:val="18"/>
                <w:szCs w:val="18"/>
                <w:lang w:val="es-CO" w:eastAsia="es-CO"/>
              </w:rPr>
              <w:t>subasta dispuesto</w:t>
            </w:r>
            <w:proofErr w:type="gramEnd"/>
            <w:r w:rsidRPr="007C6045">
              <w:rPr>
                <w:rFonts w:ascii="Calibri" w:hAnsi="Calibri"/>
                <w:sz w:val="18"/>
                <w:szCs w:val="18"/>
                <w:lang w:val="es-CO" w:eastAsia="es-CO"/>
              </w:rPr>
              <w:t xml:space="preserve"> en el reglamento del mecanismo con reglas claras para su aplicación.</w:t>
            </w:r>
          </w:p>
        </w:tc>
      </w:tr>
      <w:tr w:rsidR="007C6045" w:rsidRPr="007C6045" w14:paraId="16F4F837" w14:textId="77777777" w:rsidTr="00D31EE1">
        <w:trPr>
          <w:trHeight w:val="885"/>
        </w:trPr>
        <w:tc>
          <w:tcPr>
            <w:tcW w:w="907" w:type="pct"/>
            <w:tcBorders>
              <w:top w:val="single" w:sz="4" w:space="0" w:color="auto"/>
              <w:left w:val="single" w:sz="4" w:space="0" w:color="auto"/>
              <w:bottom w:val="single" w:sz="4" w:space="0" w:color="auto"/>
              <w:right w:val="single" w:sz="4" w:space="0" w:color="auto"/>
            </w:tcBorders>
            <w:shd w:val="clear" w:color="000000" w:fill="E7E6E6"/>
            <w:hideMark/>
          </w:tcPr>
          <w:p w14:paraId="3756871F" w14:textId="77777777" w:rsidR="007C6045" w:rsidRPr="007C6045" w:rsidRDefault="007C6045">
            <w:pPr>
              <w:spacing w:before="0" w:after="0"/>
              <w:jc w:val="left"/>
              <w:rPr>
                <w:rFonts w:ascii="Calibri" w:hAnsi="Calibri"/>
                <w:b/>
                <w:bCs/>
                <w:color w:val="000000"/>
                <w:sz w:val="18"/>
                <w:szCs w:val="18"/>
                <w:lang w:val="es-CO" w:eastAsia="es-CO"/>
              </w:rPr>
            </w:pPr>
            <w:r w:rsidRPr="007C6045">
              <w:rPr>
                <w:rFonts w:ascii="Calibri" w:hAnsi="Calibri"/>
                <w:b/>
                <w:bCs/>
                <w:color w:val="000000"/>
                <w:sz w:val="18"/>
                <w:szCs w:val="18"/>
                <w:lang w:val="es-CO" w:eastAsia="es-CO"/>
              </w:rPr>
              <w:t xml:space="preserve">Referencia en la propuesta </w:t>
            </w:r>
          </w:p>
        </w:tc>
        <w:tc>
          <w:tcPr>
            <w:tcW w:w="4093" w:type="pct"/>
            <w:tcBorders>
              <w:top w:val="single" w:sz="4" w:space="0" w:color="auto"/>
              <w:left w:val="single" w:sz="4" w:space="0" w:color="auto"/>
              <w:bottom w:val="single" w:sz="4" w:space="0" w:color="auto"/>
              <w:right w:val="single" w:sz="4" w:space="0" w:color="auto"/>
            </w:tcBorders>
            <w:shd w:val="clear" w:color="auto" w:fill="auto"/>
            <w:hideMark/>
          </w:tcPr>
          <w:p w14:paraId="0D8A8AA1" w14:textId="77777777" w:rsidR="007C6045" w:rsidRPr="007C6045" w:rsidRDefault="007C6045">
            <w:pPr>
              <w:spacing w:before="0" w:after="0"/>
              <w:jc w:val="left"/>
              <w:rPr>
                <w:rFonts w:ascii="Calibri" w:hAnsi="Calibri"/>
                <w:sz w:val="18"/>
                <w:szCs w:val="18"/>
                <w:lang w:val="es-CO" w:eastAsia="es-CO"/>
              </w:rPr>
            </w:pPr>
            <w:r w:rsidRPr="007C6045">
              <w:rPr>
                <w:rFonts w:ascii="Calibri" w:hAnsi="Calibri"/>
                <w:sz w:val="18"/>
                <w:szCs w:val="18"/>
                <w:lang w:val="es-CO" w:eastAsia="es-CO"/>
              </w:rPr>
              <w:t xml:space="preserve">1. </w:t>
            </w:r>
            <w:r w:rsidRPr="007C6045">
              <w:rPr>
                <w:rFonts w:ascii="Calibri" w:hAnsi="Calibri"/>
                <w:b/>
                <w:bCs/>
                <w:sz w:val="18"/>
                <w:szCs w:val="18"/>
                <w:lang w:val="es-CO" w:eastAsia="es-CO"/>
              </w:rPr>
              <w:t>Numeral 12.1 de la propuesta: Proceso de formación de precios.</w:t>
            </w:r>
            <w:r w:rsidRPr="007C6045">
              <w:rPr>
                <w:rFonts w:ascii="Calibri" w:hAnsi="Calibri"/>
                <w:sz w:val="18"/>
                <w:szCs w:val="18"/>
                <w:lang w:val="es-CO" w:eastAsia="es-CO"/>
              </w:rPr>
              <w:t xml:space="preserve"> En referencia al precio de la subasta "(…) el hecho de que el proceso de formación de precios responda a algoritmos claros y operados de forma automática permite su replicación al tiempo que son auditables."</w:t>
            </w:r>
            <w:r w:rsidRPr="007C6045">
              <w:rPr>
                <w:rFonts w:ascii="Calibri" w:hAnsi="Calibri"/>
                <w:sz w:val="18"/>
                <w:szCs w:val="18"/>
                <w:lang w:val="es-CO" w:eastAsia="es-CO"/>
              </w:rPr>
              <w:br/>
              <w:t>Frente a las sesiones se tiene el seguimiento de las operaciones a través de la trazabilidad de operaciones registradas en el libro electrónico de operaciones -LEO-</w:t>
            </w:r>
          </w:p>
        </w:tc>
      </w:tr>
      <w:tr w:rsidR="007C6045" w:rsidRPr="007C6045" w14:paraId="5AA56782" w14:textId="77777777" w:rsidTr="00D31EE1">
        <w:trPr>
          <w:trHeight w:val="4419"/>
        </w:trPr>
        <w:tc>
          <w:tcPr>
            <w:tcW w:w="907" w:type="pct"/>
            <w:tcBorders>
              <w:top w:val="single" w:sz="4" w:space="0" w:color="auto"/>
              <w:left w:val="single" w:sz="4" w:space="0" w:color="auto"/>
              <w:bottom w:val="single" w:sz="4" w:space="0" w:color="auto"/>
              <w:right w:val="single" w:sz="4" w:space="0" w:color="auto"/>
            </w:tcBorders>
            <w:shd w:val="clear" w:color="000000" w:fill="E7E6E6"/>
            <w:hideMark/>
          </w:tcPr>
          <w:p w14:paraId="4EE31286" w14:textId="77777777" w:rsidR="007C6045" w:rsidRPr="007C6045" w:rsidRDefault="007C6045">
            <w:pPr>
              <w:spacing w:before="0" w:after="0"/>
              <w:jc w:val="left"/>
              <w:rPr>
                <w:rFonts w:ascii="Calibri" w:hAnsi="Calibri"/>
                <w:b/>
                <w:bCs/>
                <w:color w:val="000000"/>
                <w:sz w:val="18"/>
                <w:szCs w:val="18"/>
                <w:lang w:val="es-CO" w:eastAsia="es-CO"/>
              </w:rPr>
            </w:pPr>
            <w:r w:rsidRPr="007C6045">
              <w:rPr>
                <w:rFonts w:ascii="Calibri" w:hAnsi="Calibri"/>
                <w:b/>
                <w:bCs/>
                <w:color w:val="000000"/>
                <w:sz w:val="18"/>
                <w:szCs w:val="18"/>
                <w:lang w:val="es-CO" w:eastAsia="es-CO"/>
              </w:rPr>
              <w:t>Juan Pablo Amorocho</w:t>
            </w:r>
            <w:r w:rsidRPr="007C6045">
              <w:rPr>
                <w:rFonts w:ascii="Calibri" w:hAnsi="Calibri"/>
                <w:b/>
                <w:bCs/>
                <w:color w:val="000000"/>
                <w:sz w:val="18"/>
                <w:szCs w:val="18"/>
                <w:lang w:val="es-CO" w:eastAsia="es-CO"/>
              </w:rPr>
              <w:br/>
              <w:t>(Mercados)</w:t>
            </w:r>
          </w:p>
        </w:tc>
        <w:tc>
          <w:tcPr>
            <w:tcW w:w="4093" w:type="pct"/>
            <w:tcBorders>
              <w:top w:val="single" w:sz="4" w:space="0" w:color="auto"/>
              <w:left w:val="single" w:sz="4" w:space="0" w:color="auto"/>
              <w:bottom w:val="single" w:sz="4" w:space="0" w:color="auto"/>
              <w:right w:val="single" w:sz="4" w:space="0" w:color="auto"/>
            </w:tcBorders>
            <w:shd w:val="clear" w:color="auto" w:fill="auto"/>
            <w:hideMark/>
          </w:tcPr>
          <w:p w14:paraId="784A6F86" w14:textId="6812F7E1" w:rsidR="007C6045" w:rsidRPr="007C6045" w:rsidRDefault="007C6045">
            <w:pPr>
              <w:spacing w:before="0" w:after="0"/>
              <w:jc w:val="left"/>
              <w:rPr>
                <w:rFonts w:ascii="Calibri" w:hAnsi="Calibri"/>
                <w:sz w:val="18"/>
                <w:szCs w:val="18"/>
                <w:lang w:val="es-CO" w:eastAsia="es-CO"/>
              </w:rPr>
            </w:pPr>
            <w:r w:rsidRPr="007C6045">
              <w:rPr>
                <w:rFonts w:ascii="Calibri" w:hAnsi="Calibri"/>
                <w:sz w:val="18"/>
                <w:szCs w:val="18"/>
                <w:lang w:val="es-CO" w:eastAsia="es-CO"/>
              </w:rPr>
              <w:t>Pág. 8</w:t>
            </w:r>
            <w:r w:rsidRPr="007C6045">
              <w:rPr>
                <w:rFonts w:ascii="Calibri" w:hAnsi="Calibri"/>
                <w:sz w:val="18"/>
                <w:szCs w:val="18"/>
                <w:lang w:val="es-CO" w:eastAsia="es-CO"/>
              </w:rPr>
              <w:br/>
              <w:t>"(...)</w:t>
            </w:r>
            <w:r w:rsidRPr="007C6045">
              <w:rPr>
                <w:rFonts w:ascii="Calibri" w:hAnsi="Calibri"/>
                <w:sz w:val="18"/>
                <w:szCs w:val="18"/>
                <w:lang w:val="es-CO" w:eastAsia="es-CO"/>
              </w:rPr>
              <w:br/>
              <w:t>Libro Electrónico de Órdenes</w:t>
            </w:r>
            <w:r w:rsidRPr="007C6045">
              <w:rPr>
                <w:rFonts w:ascii="Calibri" w:hAnsi="Calibri"/>
                <w:sz w:val="18"/>
                <w:szCs w:val="18"/>
                <w:lang w:val="es-CO" w:eastAsia="es-CO"/>
              </w:rPr>
              <w:br/>
              <w:t>(...)</w:t>
            </w:r>
            <w:r w:rsidRPr="007C6045">
              <w:rPr>
                <w:rFonts w:ascii="Calibri" w:hAnsi="Calibri"/>
                <w:sz w:val="18"/>
                <w:szCs w:val="18"/>
                <w:lang w:val="es-CO" w:eastAsia="es-CO"/>
              </w:rPr>
              <w:br/>
              <w:t>El LEO debe reconocer las siguientes etapas:</w:t>
            </w:r>
            <w:r w:rsidRPr="007C6045">
              <w:rPr>
                <w:rFonts w:ascii="Calibri" w:hAnsi="Calibri"/>
                <w:sz w:val="18"/>
                <w:szCs w:val="18"/>
                <w:lang w:val="es-CO" w:eastAsia="es-CO"/>
              </w:rPr>
              <w:br/>
              <w:t>Recepción de órdenes.</w:t>
            </w:r>
            <w:r w:rsidRPr="007C6045">
              <w:rPr>
                <w:rFonts w:ascii="Calibri" w:hAnsi="Calibri"/>
                <w:sz w:val="18"/>
                <w:szCs w:val="18"/>
                <w:lang w:val="es-CO" w:eastAsia="es-CO"/>
              </w:rPr>
              <w:br/>
              <w:t>Registro de órdenes en el LEO.</w:t>
            </w:r>
            <w:r w:rsidRPr="007C6045">
              <w:rPr>
                <w:rFonts w:ascii="Calibri" w:hAnsi="Calibri"/>
                <w:sz w:val="18"/>
                <w:szCs w:val="18"/>
                <w:lang w:val="es-CO" w:eastAsia="es-CO"/>
              </w:rPr>
              <w:br/>
              <w:t>Transmisión de las órdenes a un sistema de negociación o a diferentes contrapartes cuando se trate del mercado mostrador.</w:t>
            </w:r>
            <w:r w:rsidRPr="007C6045">
              <w:rPr>
                <w:rFonts w:ascii="Calibri" w:hAnsi="Calibri"/>
                <w:sz w:val="18"/>
                <w:szCs w:val="18"/>
                <w:lang w:val="es-CO" w:eastAsia="es-CO"/>
              </w:rPr>
              <w:br/>
              <w:t>Ejecución de órdenes.</w:t>
            </w:r>
            <w:r w:rsidRPr="007C6045">
              <w:rPr>
                <w:rFonts w:ascii="Calibri" w:hAnsi="Calibri"/>
                <w:sz w:val="18"/>
                <w:szCs w:val="18"/>
                <w:lang w:val="es-CO" w:eastAsia="es-CO"/>
              </w:rPr>
              <w:br/>
              <w:t xml:space="preserve">Procesos operativos posteriores a la ejecución." </w:t>
            </w:r>
            <w:r w:rsidRPr="007C6045">
              <w:rPr>
                <w:rFonts w:ascii="Calibri" w:hAnsi="Calibri"/>
                <w:sz w:val="18"/>
                <w:szCs w:val="18"/>
                <w:lang w:val="es-CO" w:eastAsia="es-CO"/>
              </w:rPr>
              <w:br/>
            </w:r>
            <w:r w:rsidRPr="007C6045">
              <w:rPr>
                <w:rFonts w:ascii="Calibri" w:hAnsi="Calibri"/>
                <w:sz w:val="18"/>
                <w:szCs w:val="18"/>
                <w:lang w:val="es-CO" w:eastAsia="es-CO"/>
              </w:rPr>
              <w:br/>
              <w:t>Pág. 14</w:t>
            </w:r>
            <w:r w:rsidRPr="007C6045">
              <w:rPr>
                <w:rFonts w:ascii="Calibri" w:hAnsi="Calibri"/>
                <w:sz w:val="18"/>
                <w:szCs w:val="18"/>
                <w:lang w:val="es-CO" w:eastAsia="es-CO"/>
              </w:rPr>
              <w:br/>
              <w:t>"Se tiene un algoritmo de cierre de la subasta dispuesto en el reglamento del mecanismo, con reglas claras para su aplicación."</w:t>
            </w:r>
            <w:r w:rsidRPr="007C6045">
              <w:rPr>
                <w:rFonts w:ascii="Calibri" w:hAnsi="Calibri"/>
                <w:sz w:val="18"/>
                <w:szCs w:val="18"/>
                <w:lang w:val="es-CO" w:eastAsia="es-CO"/>
              </w:rPr>
              <w:br/>
            </w:r>
            <w:r w:rsidRPr="007C6045">
              <w:rPr>
                <w:rFonts w:ascii="Calibri" w:hAnsi="Calibri"/>
                <w:sz w:val="18"/>
                <w:szCs w:val="18"/>
                <w:lang w:val="es-CO" w:eastAsia="es-CO"/>
              </w:rPr>
              <w:br/>
              <w:t>Pág. 17</w:t>
            </w:r>
            <w:r w:rsidRPr="007C6045">
              <w:rPr>
                <w:rFonts w:ascii="Calibri" w:hAnsi="Calibri"/>
                <w:sz w:val="18"/>
                <w:szCs w:val="18"/>
                <w:lang w:val="es-CO" w:eastAsia="es-CO"/>
              </w:rPr>
              <w:br/>
              <w:t xml:space="preserve">"Por otro lado, las sesiones con las que cuenta </w:t>
            </w:r>
            <w:proofErr w:type="spellStart"/>
            <w:r w:rsidRPr="007C6045">
              <w:rPr>
                <w:rFonts w:ascii="Calibri" w:hAnsi="Calibri"/>
                <w:sz w:val="18"/>
                <w:szCs w:val="18"/>
                <w:lang w:val="es-CO" w:eastAsia="es-CO"/>
              </w:rPr>
              <w:t>Derivex</w:t>
            </w:r>
            <w:proofErr w:type="spellEnd"/>
            <w:r w:rsidRPr="007C6045">
              <w:rPr>
                <w:rFonts w:ascii="Calibri" w:hAnsi="Calibri"/>
                <w:sz w:val="18"/>
                <w:szCs w:val="18"/>
                <w:lang w:val="es-CO" w:eastAsia="es-CO"/>
              </w:rPr>
              <w:t xml:space="preserve"> son transparentes y permiten una libre formación de precio y participación. En la medida que más jugadores participen el margen de mercado deberá tender a disminuir"</w:t>
            </w:r>
            <w:r w:rsidRPr="007C6045">
              <w:rPr>
                <w:rFonts w:ascii="Calibri" w:hAnsi="Calibri"/>
                <w:sz w:val="18"/>
                <w:szCs w:val="18"/>
                <w:lang w:val="es-CO" w:eastAsia="es-CO"/>
              </w:rPr>
              <w:br/>
            </w:r>
            <w:r w:rsidRPr="007C6045">
              <w:rPr>
                <w:rFonts w:ascii="Calibri" w:hAnsi="Calibri"/>
                <w:sz w:val="18"/>
                <w:szCs w:val="18"/>
                <w:lang w:val="es-CO" w:eastAsia="es-CO"/>
              </w:rPr>
              <w:br/>
              <w:t>Pág. 18</w:t>
            </w:r>
            <w:r w:rsidRPr="007C6045">
              <w:rPr>
                <w:rFonts w:ascii="Calibri" w:hAnsi="Calibri"/>
                <w:sz w:val="18"/>
                <w:szCs w:val="18"/>
                <w:lang w:val="es-CO" w:eastAsia="es-CO"/>
              </w:rPr>
              <w:br/>
              <w:t xml:space="preserve">" Para ser intermediario de valores autorizado en </w:t>
            </w:r>
            <w:proofErr w:type="spellStart"/>
            <w:r w:rsidRPr="007C6045">
              <w:rPr>
                <w:rFonts w:ascii="Calibri" w:hAnsi="Calibri"/>
                <w:sz w:val="18"/>
                <w:szCs w:val="18"/>
                <w:lang w:val="es-CO" w:eastAsia="es-CO"/>
              </w:rPr>
              <w:t>Derivex</w:t>
            </w:r>
            <w:proofErr w:type="spellEnd"/>
            <w:r w:rsidRPr="007C6045">
              <w:rPr>
                <w:rFonts w:ascii="Calibri" w:hAnsi="Calibri"/>
                <w:sz w:val="18"/>
                <w:szCs w:val="18"/>
                <w:lang w:val="es-CO" w:eastAsia="es-CO"/>
              </w:rPr>
              <w:t xml:space="preserve"> se exigen requisitos objetivos, verificables y razonables expresados en su reglamento."</w:t>
            </w:r>
          </w:p>
        </w:tc>
      </w:tr>
      <w:tr w:rsidR="007C6045" w:rsidRPr="007C6045" w14:paraId="57E615C8" w14:textId="77777777" w:rsidTr="00D31EE1">
        <w:trPr>
          <w:trHeight w:val="480"/>
        </w:trPr>
        <w:tc>
          <w:tcPr>
            <w:tcW w:w="907" w:type="pct"/>
            <w:tcBorders>
              <w:top w:val="single" w:sz="4" w:space="0" w:color="auto"/>
              <w:left w:val="single" w:sz="4" w:space="0" w:color="auto"/>
              <w:bottom w:val="single" w:sz="4" w:space="0" w:color="auto"/>
              <w:right w:val="single" w:sz="4" w:space="0" w:color="auto"/>
            </w:tcBorders>
            <w:shd w:val="clear" w:color="000000" w:fill="E7E6E6"/>
            <w:hideMark/>
          </w:tcPr>
          <w:p w14:paraId="1680BB93" w14:textId="77777777" w:rsidR="007C6045" w:rsidRPr="007C6045" w:rsidRDefault="007C6045">
            <w:pPr>
              <w:spacing w:before="0" w:after="0"/>
              <w:jc w:val="left"/>
              <w:rPr>
                <w:rFonts w:ascii="Calibri" w:hAnsi="Calibri"/>
                <w:b/>
                <w:bCs/>
                <w:color w:val="000000"/>
                <w:sz w:val="18"/>
                <w:szCs w:val="18"/>
                <w:lang w:val="es-CO" w:eastAsia="es-CO"/>
              </w:rPr>
            </w:pPr>
            <w:r w:rsidRPr="007C6045">
              <w:rPr>
                <w:rFonts w:ascii="Calibri" w:hAnsi="Calibri"/>
                <w:b/>
                <w:bCs/>
                <w:color w:val="000000"/>
                <w:sz w:val="18"/>
                <w:szCs w:val="18"/>
                <w:lang w:val="es-CO" w:eastAsia="es-CO"/>
              </w:rPr>
              <w:t>Diego Jara</w:t>
            </w:r>
            <w:r w:rsidRPr="007C6045">
              <w:rPr>
                <w:rFonts w:ascii="Calibri" w:hAnsi="Calibri"/>
                <w:b/>
                <w:bCs/>
                <w:color w:val="000000"/>
                <w:sz w:val="18"/>
                <w:szCs w:val="18"/>
                <w:lang w:val="es-CO" w:eastAsia="es-CO"/>
              </w:rPr>
              <w:br/>
              <w:t>(Riesgos)</w:t>
            </w:r>
          </w:p>
        </w:tc>
        <w:tc>
          <w:tcPr>
            <w:tcW w:w="4093" w:type="pct"/>
            <w:tcBorders>
              <w:top w:val="single" w:sz="4" w:space="0" w:color="auto"/>
              <w:left w:val="nil"/>
              <w:bottom w:val="single" w:sz="4" w:space="0" w:color="auto"/>
              <w:right w:val="single" w:sz="4" w:space="0" w:color="auto"/>
            </w:tcBorders>
            <w:shd w:val="clear" w:color="auto" w:fill="auto"/>
            <w:hideMark/>
          </w:tcPr>
          <w:p w14:paraId="63A8A59B" w14:textId="77777777" w:rsidR="007C6045" w:rsidRPr="007C6045" w:rsidRDefault="007C6045">
            <w:pPr>
              <w:spacing w:before="0" w:after="0"/>
              <w:jc w:val="center"/>
              <w:rPr>
                <w:rFonts w:ascii="Calibri" w:hAnsi="Calibri"/>
                <w:sz w:val="18"/>
                <w:szCs w:val="18"/>
                <w:lang w:val="es-CO" w:eastAsia="es-CO"/>
              </w:rPr>
            </w:pPr>
            <w:r w:rsidRPr="007C6045">
              <w:rPr>
                <w:rFonts w:ascii="Calibri" w:hAnsi="Calibri"/>
                <w:sz w:val="18"/>
                <w:szCs w:val="18"/>
                <w:lang w:val="es-CO" w:eastAsia="es-CO"/>
              </w:rPr>
              <w:t> </w:t>
            </w:r>
          </w:p>
        </w:tc>
      </w:tr>
      <w:tr w:rsidR="007C6045" w:rsidRPr="007C6045" w14:paraId="2430925C" w14:textId="77777777" w:rsidTr="00D31EE1">
        <w:trPr>
          <w:trHeight w:val="480"/>
        </w:trPr>
        <w:tc>
          <w:tcPr>
            <w:tcW w:w="907" w:type="pct"/>
            <w:tcBorders>
              <w:top w:val="nil"/>
              <w:left w:val="single" w:sz="4" w:space="0" w:color="auto"/>
              <w:bottom w:val="single" w:sz="4" w:space="0" w:color="auto"/>
              <w:right w:val="single" w:sz="4" w:space="0" w:color="auto"/>
            </w:tcBorders>
            <w:shd w:val="clear" w:color="000000" w:fill="E7E6E6"/>
            <w:hideMark/>
          </w:tcPr>
          <w:p w14:paraId="30DE77C4" w14:textId="77777777" w:rsidR="007C6045" w:rsidRPr="007C6045" w:rsidRDefault="007C6045">
            <w:pPr>
              <w:spacing w:before="0" w:after="0"/>
              <w:jc w:val="left"/>
              <w:rPr>
                <w:rFonts w:ascii="Calibri" w:hAnsi="Calibri"/>
                <w:b/>
                <w:bCs/>
                <w:color w:val="000000"/>
                <w:sz w:val="18"/>
                <w:szCs w:val="18"/>
                <w:lang w:val="es-CO" w:eastAsia="es-CO"/>
              </w:rPr>
            </w:pPr>
            <w:r w:rsidRPr="007C6045">
              <w:rPr>
                <w:rFonts w:ascii="Calibri" w:hAnsi="Calibri"/>
                <w:b/>
                <w:bCs/>
                <w:color w:val="000000"/>
                <w:sz w:val="18"/>
                <w:szCs w:val="18"/>
                <w:lang w:val="es-CO" w:eastAsia="es-CO"/>
              </w:rPr>
              <w:t>Roberto Borrás</w:t>
            </w:r>
            <w:r w:rsidRPr="007C6045">
              <w:rPr>
                <w:rFonts w:ascii="Calibri" w:hAnsi="Calibri"/>
                <w:b/>
                <w:bCs/>
                <w:color w:val="000000"/>
                <w:sz w:val="18"/>
                <w:szCs w:val="18"/>
                <w:lang w:val="es-CO" w:eastAsia="es-CO"/>
              </w:rPr>
              <w:br/>
              <w:t>(Gobierno corporativo)</w:t>
            </w:r>
          </w:p>
        </w:tc>
        <w:tc>
          <w:tcPr>
            <w:tcW w:w="4093" w:type="pct"/>
            <w:tcBorders>
              <w:top w:val="single" w:sz="4" w:space="0" w:color="auto"/>
              <w:left w:val="nil"/>
              <w:bottom w:val="single" w:sz="4" w:space="0" w:color="auto"/>
              <w:right w:val="single" w:sz="4" w:space="0" w:color="auto"/>
            </w:tcBorders>
            <w:shd w:val="clear" w:color="auto" w:fill="auto"/>
            <w:hideMark/>
          </w:tcPr>
          <w:p w14:paraId="61A5796F" w14:textId="77777777" w:rsidR="007C6045" w:rsidRPr="007C6045" w:rsidRDefault="007C6045">
            <w:pPr>
              <w:spacing w:before="0" w:after="0"/>
              <w:jc w:val="center"/>
              <w:rPr>
                <w:rFonts w:ascii="Calibri" w:hAnsi="Calibri"/>
                <w:sz w:val="18"/>
                <w:szCs w:val="18"/>
                <w:lang w:val="es-CO" w:eastAsia="es-CO"/>
              </w:rPr>
            </w:pPr>
            <w:r w:rsidRPr="007C6045">
              <w:rPr>
                <w:rFonts w:ascii="Calibri" w:hAnsi="Calibri"/>
                <w:sz w:val="18"/>
                <w:szCs w:val="18"/>
                <w:lang w:val="es-CO" w:eastAsia="es-CO"/>
              </w:rPr>
              <w:t> </w:t>
            </w:r>
          </w:p>
        </w:tc>
      </w:tr>
    </w:tbl>
    <w:p w14:paraId="102AFC8B" w14:textId="14916951" w:rsidR="004017D5" w:rsidRDefault="004017D5">
      <w:pPr>
        <w:spacing w:before="0" w:after="0"/>
        <w:rPr>
          <w:b/>
          <w:szCs w:val="20"/>
          <w:lang w:val="es-CO"/>
        </w:rPr>
      </w:pPr>
    </w:p>
    <w:tbl>
      <w:tblPr>
        <w:tblW w:w="5000" w:type="pct"/>
        <w:tblLayout w:type="fixed"/>
        <w:tblCellMar>
          <w:left w:w="70" w:type="dxa"/>
          <w:right w:w="70" w:type="dxa"/>
        </w:tblCellMar>
        <w:tblLook w:val="04A0" w:firstRow="1" w:lastRow="0" w:firstColumn="1" w:lastColumn="0" w:noHBand="0" w:noVBand="1"/>
      </w:tblPr>
      <w:tblGrid>
        <w:gridCol w:w="1695"/>
        <w:gridCol w:w="7651"/>
      </w:tblGrid>
      <w:tr w:rsidR="00E72405" w:rsidRPr="00E72405" w14:paraId="4A31DC2E" w14:textId="77777777" w:rsidTr="00D31EE1">
        <w:trPr>
          <w:trHeight w:val="390"/>
        </w:trPr>
        <w:tc>
          <w:tcPr>
            <w:tcW w:w="907"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D686638" w14:textId="77777777" w:rsidR="00E72405" w:rsidRPr="00E72405" w:rsidRDefault="00E72405">
            <w:pPr>
              <w:spacing w:before="0" w:after="0"/>
              <w:jc w:val="center"/>
              <w:rPr>
                <w:rFonts w:ascii="Calibri" w:hAnsi="Calibri"/>
                <w:b/>
                <w:bCs/>
                <w:color w:val="000000"/>
                <w:sz w:val="18"/>
                <w:szCs w:val="18"/>
                <w:lang w:val="es-CO" w:eastAsia="es-CO"/>
              </w:rPr>
            </w:pPr>
            <w:r w:rsidRPr="00E72405">
              <w:rPr>
                <w:rFonts w:ascii="Calibri" w:hAnsi="Calibri"/>
                <w:b/>
                <w:bCs/>
                <w:color w:val="000000"/>
                <w:sz w:val="18"/>
                <w:szCs w:val="18"/>
                <w:lang w:val="es-CO" w:eastAsia="es-CO"/>
              </w:rPr>
              <w:t xml:space="preserve">Parámetro </w:t>
            </w:r>
          </w:p>
        </w:tc>
        <w:tc>
          <w:tcPr>
            <w:tcW w:w="4093" w:type="pct"/>
            <w:tcBorders>
              <w:top w:val="single" w:sz="4" w:space="0" w:color="auto"/>
              <w:left w:val="nil"/>
              <w:bottom w:val="single" w:sz="4" w:space="0" w:color="auto"/>
              <w:right w:val="single" w:sz="4" w:space="0" w:color="auto"/>
            </w:tcBorders>
            <w:shd w:val="clear" w:color="000000" w:fill="D9E1F2"/>
            <w:vAlign w:val="center"/>
            <w:hideMark/>
          </w:tcPr>
          <w:p w14:paraId="792637A6" w14:textId="77777777" w:rsidR="00E72405" w:rsidRPr="00E72405" w:rsidRDefault="00E72405">
            <w:pPr>
              <w:spacing w:before="0" w:after="0"/>
              <w:jc w:val="center"/>
              <w:rPr>
                <w:rFonts w:ascii="Calibri" w:hAnsi="Calibri"/>
                <w:b/>
                <w:bCs/>
                <w:color w:val="000000"/>
                <w:sz w:val="18"/>
                <w:szCs w:val="18"/>
                <w:lang w:val="es-CO" w:eastAsia="es-CO"/>
              </w:rPr>
            </w:pPr>
            <w:r w:rsidRPr="00E72405">
              <w:rPr>
                <w:rFonts w:ascii="Calibri" w:hAnsi="Calibri"/>
                <w:b/>
                <w:bCs/>
                <w:color w:val="000000"/>
                <w:sz w:val="18"/>
                <w:szCs w:val="18"/>
                <w:lang w:val="es-CO" w:eastAsia="es-CO"/>
              </w:rPr>
              <w:t>Condición de disponibilidad de la información</w:t>
            </w:r>
          </w:p>
        </w:tc>
      </w:tr>
      <w:tr w:rsidR="00E72405" w:rsidRPr="00E72405" w14:paraId="5E78E71D" w14:textId="77777777" w:rsidTr="00D31EE1">
        <w:trPr>
          <w:trHeight w:val="1125"/>
        </w:trPr>
        <w:tc>
          <w:tcPr>
            <w:tcW w:w="907" w:type="pct"/>
            <w:tcBorders>
              <w:top w:val="nil"/>
              <w:left w:val="single" w:sz="4" w:space="0" w:color="auto"/>
              <w:bottom w:val="single" w:sz="4" w:space="0" w:color="auto"/>
              <w:right w:val="single" w:sz="4" w:space="0" w:color="auto"/>
            </w:tcBorders>
            <w:shd w:val="clear" w:color="000000" w:fill="E7E6E6"/>
            <w:noWrap/>
            <w:hideMark/>
          </w:tcPr>
          <w:p w14:paraId="75D8BABB" w14:textId="77777777" w:rsidR="00E72405" w:rsidRPr="00E72405" w:rsidRDefault="00E72405">
            <w:pPr>
              <w:spacing w:before="0" w:after="0"/>
              <w:jc w:val="left"/>
              <w:rPr>
                <w:rFonts w:ascii="Calibri" w:hAnsi="Calibri"/>
                <w:b/>
                <w:bCs/>
                <w:color w:val="000000"/>
                <w:sz w:val="18"/>
                <w:szCs w:val="18"/>
                <w:lang w:val="es-CO" w:eastAsia="es-CO"/>
              </w:rPr>
            </w:pPr>
            <w:r w:rsidRPr="00E72405">
              <w:rPr>
                <w:rFonts w:ascii="Calibri" w:hAnsi="Calibri"/>
                <w:b/>
                <w:bCs/>
                <w:color w:val="000000"/>
                <w:sz w:val="18"/>
                <w:szCs w:val="18"/>
                <w:lang w:val="es-CO" w:eastAsia="es-CO"/>
              </w:rPr>
              <w:t>Descripción</w:t>
            </w:r>
          </w:p>
        </w:tc>
        <w:tc>
          <w:tcPr>
            <w:tcW w:w="4093" w:type="pct"/>
            <w:tcBorders>
              <w:top w:val="single" w:sz="4" w:space="0" w:color="auto"/>
              <w:left w:val="nil"/>
              <w:bottom w:val="single" w:sz="4" w:space="0" w:color="auto"/>
              <w:right w:val="single" w:sz="4" w:space="0" w:color="auto"/>
            </w:tcBorders>
            <w:shd w:val="clear" w:color="auto" w:fill="auto"/>
            <w:hideMark/>
          </w:tcPr>
          <w:p w14:paraId="168098F7" w14:textId="77777777" w:rsidR="00E72405" w:rsidRPr="00E72405" w:rsidRDefault="00E72405">
            <w:pPr>
              <w:spacing w:before="0" w:after="0"/>
              <w:jc w:val="left"/>
              <w:rPr>
                <w:rFonts w:ascii="Calibri" w:hAnsi="Calibri"/>
                <w:sz w:val="18"/>
                <w:szCs w:val="18"/>
                <w:lang w:val="es-CO" w:eastAsia="es-CO"/>
              </w:rPr>
            </w:pPr>
            <w:r w:rsidRPr="00E72405">
              <w:rPr>
                <w:rFonts w:ascii="Calibri" w:hAnsi="Calibri"/>
                <w:sz w:val="18"/>
                <w:szCs w:val="18"/>
                <w:lang w:val="es-CO" w:eastAsia="es-CO"/>
              </w:rPr>
              <w:t>El mecanismo para la comercialización de energía cuenta con un reglamento de operación claro y completo. Así mismo, el mecanismo para la comercialización define una política de publicación de información relevante para la toma de decisiones ex ante y ex post a las transacciones. Los precios resultantes del mecanismo son obtenidos de una función observable de las ofertas presentadas y variables objetivas definidas por el mecanismo. El mecanismo proporciona la información necesaria para que las autoridades de vigilancia y control lleven a cabo las verificaciones según su competencia.</w:t>
            </w:r>
          </w:p>
        </w:tc>
      </w:tr>
      <w:tr w:rsidR="00E72405" w:rsidRPr="00E72405" w14:paraId="69E879BC" w14:textId="77777777" w:rsidTr="00D31EE1">
        <w:trPr>
          <w:trHeight w:val="1277"/>
        </w:trPr>
        <w:tc>
          <w:tcPr>
            <w:tcW w:w="907" w:type="pct"/>
            <w:tcBorders>
              <w:top w:val="nil"/>
              <w:left w:val="single" w:sz="4" w:space="0" w:color="auto"/>
              <w:bottom w:val="single" w:sz="4" w:space="0" w:color="auto"/>
              <w:right w:val="single" w:sz="4" w:space="0" w:color="auto"/>
            </w:tcBorders>
            <w:shd w:val="clear" w:color="000000" w:fill="E7E6E6"/>
            <w:noWrap/>
            <w:hideMark/>
          </w:tcPr>
          <w:p w14:paraId="5F4723E4" w14:textId="77777777" w:rsidR="00E72405" w:rsidRPr="00E72405" w:rsidRDefault="00E72405">
            <w:pPr>
              <w:spacing w:before="0" w:after="0"/>
              <w:jc w:val="left"/>
              <w:rPr>
                <w:rFonts w:ascii="Calibri" w:hAnsi="Calibri"/>
                <w:b/>
                <w:bCs/>
                <w:color w:val="000000"/>
                <w:sz w:val="18"/>
                <w:szCs w:val="18"/>
                <w:lang w:val="es-CO" w:eastAsia="es-CO"/>
              </w:rPr>
            </w:pPr>
            <w:r w:rsidRPr="00E72405">
              <w:rPr>
                <w:rFonts w:ascii="Calibri" w:hAnsi="Calibri"/>
                <w:b/>
                <w:bCs/>
                <w:color w:val="000000"/>
                <w:sz w:val="18"/>
                <w:szCs w:val="18"/>
                <w:lang w:val="es-CO" w:eastAsia="es-CO"/>
              </w:rPr>
              <w:t>Resumen de la evaluación</w:t>
            </w:r>
          </w:p>
        </w:tc>
        <w:tc>
          <w:tcPr>
            <w:tcW w:w="4093" w:type="pct"/>
            <w:tcBorders>
              <w:top w:val="single" w:sz="4" w:space="0" w:color="auto"/>
              <w:left w:val="nil"/>
              <w:bottom w:val="single" w:sz="4" w:space="0" w:color="auto"/>
              <w:right w:val="single" w:sz="4" w:space="0" w:color="auto"/>
            </w:tcBorders>
            <w:shd w:val="clear" w:color="auto" w:fill="auto"/>
            <w:hideMark/>
          </w:tcPr>
          <w:p w14:paraId="4738D24C" w14:textId="77777777" w:rsidR="00E72405" w:rsidRPr="00E72405" w:rsidRDefault="00E72405">
            <w:pPr>
              <w:spacing w:before="0" w:after="0"/>
              <w:jc w:val="left"/>
              <w:rPr>
                <w:rFonts w:ascii="Calibri" w:hAnsi="Calibri"/>
                <w:color w:val="000000"/>
                <w:sz w:val="18"/>
                <w:szCs w:val="18"/>
                <w:lang w:val="es-CO" w:eastAsia="es-CO"/>
              </w:rPr>
            </w:pPr>
            <w:r w:rsidRPr="00E72405">
              <w:rPr>
                <w:rFonts w:ascii="Calibri" w:hAnsi="Calibri"/>
                <w:color w:val="000000"/>
                <w:sz w:val="18"/>
                <w:szCs w:val="18"/>
                <w:lang w:val="es-CO" w:eastAsia="es-CO"/>
              </w:rPr>
              <w:t>El mecanismo define un reglamento con políticas claras de información y formas de publicación de información ex ante y ex post de las operaciones. Dentro de este reglamento se establece el suministro de información procesada sobre estadísticas del mecanismo para valoración de posiciones. Adicionalmente, se tienen procedimientos para realizar operaciones en las diferentes sesiones dispuestas y estas operaciones se pueden auditar. Este reglamento es parte de los elementos supervisados y vigilados por la SFC.</w:t>
            </w:r>
            <w:r w:rsidRPr="00E72405">
              <w:rPr>
                <w:rFonts w:ascii="Calibri" w:hAnsi="Calibri"/>
                <w:color w:val="000000"/>
                <w:sz w:val="18"/>
                <w:szCs w:val="18"/>
                <w:lang w:val="es-CO" w:eastAsia="es-CO"/>
              </w:rPr>
              <w:br/>
              <w:t>La difusión de la información es amplia a través de los mecanismos electrónicos que tienen dispuestos con condiciones de información simultánea y homogénea para todos los agentes.</w:t>
            </w:r>
          </w:p>
        </w:tc>
      </w:tr>
      <w:tr w:rsidR="00E72405" w:rsidRPr="00E72405" w14:paraId="3DC563BE" w14:textId="77777777" w:rsidTr="00D31EE1">
        <w:trPr>
          <w:trHeight w:val="300"/>
        </w:trPr>
        <w:tc>
          <w:tcPr>
            <w:tcW w:w="907" w:type="pct"/>
            <w:tcBorders>
              <w:top w:val="nil"/>
              <w:left w:val="single" w:sz="4" w:space="0" w:color="auto"/>
              <w:bottom w:val="single" w:sz="4" w:space="0" w:color="auto"/>
              <w:right w:val="single" w:sz="4" w:space="0" w:color="auto"/>
            </w:tcBorders>
            <w:shd w:val="clear" w:color="000000" w:fill="E7E6E6"/>
            <w:hideMark/>
          </w:tcPr>
          <w:p w14:paraId="1693101E" w14:textId="77777777" w:rsidR="00E72405" w:rsidRPr="00E72405" w:rsidRDefault="00E72405">
            <w:pPr>
              <w:spacing w:before="0" w:after="0"/>
              <w:jc w:val="left"/>
              <w:rPr>
                <w:rFonts w:ascii="Calibri" w:hAnsi="Calibri"/>
                <w:b/>
                <w:bCs/>
                <w:color w:val="000000"/>
                <w:sz w:val="18"/>
                <w:szCs w:val="18"/>
                <w:lang w:val="es-CO" w:eastAsia="es-CO"/>
              </w:rPr>
            </w:pPr>
            <w:r w:rsidRPr="00E72405">
              <w:rPr>
                <w:rFonts w:ascii="Calibri" w:hAnsi="Calibri"/>
                <w:b/>
                <w:bCs/>
                <w:color w:val="000000"/>
                <w:sz w:val="18"/>
                <w:szCs w:val="18"/>
                <w:lang w:val="es-CO" w:eastAsia="es-CO"/>
              </w:rPr>
              <w:t>Referencia en la propuesta</w:t>
            </w:r>
          </w:p>
        </w:tc>
        <w:tc>
          <w:tcPr>
            <w:tcW w:w="4093" w:type="pct"/>
            <w:tcBorders>
              <w:top w:val="single" w:sz="4" w:space="0" w:color="auto"/>
              <w:left w:val="nil"/>
              <w:bottom w:val="single" w:sz="4" w:space="0" w:color="auto"/>
              <w:right w:val="single" w:sz="4" w:space="0" w:color="auto"/>
            </w:tcBorders>
            <w:shd w:val="clear" w:color="auto" w:fill="auto"/>
            <w:hideMark/>
          </w:tcPr>
          <w:p w14:paraId="044E5E17" w14:textId="3ABC5438" w:rsidR="00E72405" w:rsidRDefault="00E72405">
            <w:pPr>
              <w:spacing w:before="0" w:after="0"/>
              <w:jc w:val="left"/>
              <w:rPr>
                <w:rFonts w:ascii="Calibri" w:hAnsi="Calibri"/>
                <w:color w:val="000000"/>
                <w:sz w:val="18"/>
                <w:szCs w:val="18"/>
                <w:lang w:val="es-CO" w:eastAsia="es-CO"/>
              </w:rPr>
            </w:pPr>
            <w:r w:rsidRPr="00E72405">
              <w:rPr>
                <w:rFonts w:ascii="Calibri" w:hAnsi="Calibri"/>
                <w:b/>
                <w:bCs/>
                <w:color w:val="000000"/>
                <w:sz w:val="18"/>
                <w:szCs w:val="18"/>
                <w:lang w:val="es-CO" w:eastAsia="es-CO"/>
              </w:rPr>
              <w:t>Capítulo 15</w:t>
            </w:r>
            <w:r w:rsidRPr="00E72405">
              <w:rPr>
                <w:rFonts w:ascii="Calibri" w:hAnsi="Calibri"/>
                <w:color w:val="000000"/>
                <w:sz w:val="18"/>
                <w:szCs w:val="18"/>
                <w:lang w:val="es-CO" w:eastAsia="es-CO"/>
              </w:rPr>
              <w:t xml:space="preserve"> - Normas para el suministro de información oportuna y fidedigna para el funcionamiento del mecanismo. </w:t>
            </w:r>
          </w:p>
          <w:p w14:paraId="22DE1B2D" w14:textId="25C4A72E" w:rsidR="00E72405" w:rsidRPr="00E72405" w:rsidRDefault="00E72405">
            <w:pPr>
              <w:spacing w:before="0" w:after="0"/>
              <w:jc w:val="left"/>
              <w:rPr>
                <w:rFonts w:ascii="Calibri" w:hAnsi="Calibri"/>
                <w:color w:val="000000"/>
                <w:sz w:val="18"/>
                <w:szCs w:val="18"/>
                <w:lang w:val="es-CO" w:eastAsia="es-CO"/>
              </w:rPr>
            </w:pPr>
          </w:p>
        </w:tc>
      </w:tr>
      <w:tr w:rsidR="00E72405" w:rsidRPr="00E72405" w14:paraId="787F5635" w14:textId="77777777" w:rsidTr="00D31EE1">
        <w:trPr>
          <w:trHeight w:val="8192"/>
        </w:trPr>
        <w:tc>
          <w:tcPr>
            <w:tcW w:w="907" w:type="pct"/>
            <w:tcBorders>
              <w:top w:val="single" w:sz="4" w:space="0" w:color="auto"/>
              <w:left w:val="single" w:sz="4" w:space="0" w:color="auto"/>
              <w:bottom w:val="single" w:sz="4" w:space="0" w:color="auto"/>
              <w:right w:val="single" w:sz="4" w:space="0" w:color="auto"/>
            </w:tcBorders>
            <w:shd w:val="clear" w:color="000000" w:fill="E7E6E6"/>
            <w:hideMark/>
          </w:tcPr>
          <w:p w14:paraId="5890340F" w14:textId="77777777" w:rsidR="00E72405" w:rsidRPr="00E72405" w:rsidRDefault="00E72405">
            <w:pPr>
              <w:spacing w:before="0" w:after="0"/>
              <w:jc w:val="left"/>
              <w:rPr>
                <w:rFonts w:ascii="Calibri" w:hAnsi="Calibri"/>
                <w:b/>
                <w:bCs/>
                <w:color w:val="000000"/>
                <w:sz w:val="18"/>
                <w:szCs w:val="18"/>
                <w:lang w:val="es-CO" w:eastAsia="es-CO"/>
              </w:rPr>
            </w:pPr>
            <w:r w:rsidRPr="00E72405">
              <w:rPr>
                <w:rFonts w:ascii="Calibri" w:hAnsi="Calibri"/>
                <w:b/>
                <w:bCs/>
                <w:color w:val="000000"/>
                <w:sz w:val="18"/>
                <w:szCs w:val="18"/>
                <w:lang w:val="es-CO" w:eastAsia="es-CO"/>
              </w:rPr>
              <w:lastRenderedPageBreak/>
              <w:t>Juan Pablo Amorocho</w:t>
            </w:r>
            <w:r w:rsidRPr="00E72405">
              <w:rPr>
                <w:rFonts w:ascii="Calibri" w:hAnsi="Calibri"/>
                <w:b/>
                <w:bCs/>
                <w:color w:val="000000"/>
                <w:sz w:val="18"/>
                <w:szCs w:val="18"/>
                <w:lang w:val="es-CO" w:eastAsia="es-CO"/>
              </w:rPr>
              <w:br/>
              <w:t>(Mercados)</w:t>
            </w:r>
          </w:p>
        </w:tc>
        <w:tc>
          <w:tcPr>
            <w:tcW w:w="4093" w:type="pct"/>
            <w:tcBorders>
              <w:top w:val="single" w:sz="4" w:space="0" w:color="auto"/>
              <w:left w:val="single" w:sz="4" w:space="0" w:color="auto"/>
              <w:bottom w:val="single" w:sz="4" w:space="0" w:color="auto"/>
              <w:right w:val="single" w:sz="4" w:space="0" w:color="auto"/>
            </w:tcBorders>
            <w:shd w:val="clear" w:color="auto" w:fill="auto"/>
            <w:hideMark/>
          </w:tcPr>
          <w:p w14:paraId="2F29FA98" w14:textId="65F7CE3F" w:rsidR="00E72405" w:rsidRPr="00E72405" w:rsidRDefault="00E72405">
            <w:pPr>
              <w:spacing w:before="0" w:after="0"/>
              <w:jc w:val="left"/>
              <w:rPr>
                <w:rFonts w:ascii="Calibri" w:hAnsi="Calibri"/>
                <w:sz w:val="18"/>
                <w:szCs w:val="18"/>
                <w:lang w:val="es-CO" w:eastAsia="es-CO"/>
              </w:rPr>
            </w:pPr>
            <w:r w:rsidRPr="00E72405">
              <w:rPr>
                <w:rFonts w:ascii="Calibri" w:hAnsi="Calibri"/>
                <w:sz w:val="18"/>
                <w:szCs w:val="18"/>
                <w:lang w:val="es-CO" w:eastAsia="es-CO"/>
              </w:rPr>
              <w:t>Pág. 2</w:t>
            </w:r>
            <w:r w:rsidRPr="00E72405">
              <w:rPr>
                <w:rFonts w:ascii="Calibri" w:hAnsi="Calibri"/>
                <w:sz w:val="18"/>
                <w:szCs w:val="18"/>
                <w:lang w:val="es-CO" w:eastAsia="es-CO"/>
              </w:rPr>
              <w:br/>
              <w:t xml:space="preserve">"En su calidad de sistema de negociación de derivados debe tener un reglamento aprobado por la SFC donde se ven reflejadas todas las condiciones de </w:t>
            </w:r>
            <w:proofErr w:type="spellStart"/>
            <w:r w:rsidRPr="00E72405">
              <w:rPr>
                <w:rFonts w:ascii="Calibri" w:hAnsi="Calibri"/>
                <w:sz w:val="18"/>
                <w:szCs w:val="18"/>
                <w:lang w:val="es-CO" w:eastAsia="es-CO"/>
              </w:rPr>
              <w:t>operacón</w:t>
            </w:r>
            <w:proofErr w:type="spellEnd"/>
            <w:r w:rsidRPr="00E72405">
              <w:rPr>
                <w:rFonts w:ascii="Calibri" w:hAnsi="Calibri"/>
                <w:sz w:val="18"/>
                <w:szCs w:val="18"/>
                <w:lang w:val="es-CO" w:eastAsia="es-CO"/>
              </w:rPr>
              <w:t xml:space="preserve"> del sistema cumpliendo con </w:t>
            </w:r>
            <w:proofErr w:type="spellStart"/>
            <w:r w:rsidRPr="00E72405">
              <w:rPr>
                <w:rFonts w:ascii="Calibri" w:hAnsi="Calibri"/>
                <w:sz w:val="18"/>
                <w:szCs w:val="18"/>
                <w:lang w:val="es-CO" w:eastAsia="es-CO"/>
              </w:rPr>
              <w:t>lo</w:t>
            </w:r>
            <w:proofErr w:type="spellEnd"/>
            <w:r w:rsidRPr="00E72405">
              <w:rPr>
                <w:rFonts w:ascii="Calibri" w:hAnsi="Calibri"/>
                <w:sz w:val="18"/>
                <w:szCs w:val="18"/>
                <w:lang w:val="es-CO" w:eastAsia="es-CO"/>
              </w:rPr>
              <w:t xml:space="preserve"> deberes exigidos por la regulación. La regulación colombiana </w:t>
            </w:r>
            <w:proofErr w:type="spellStart"/>
            <w:r w:rsidRPr="00E72405">
              <w:rPr>
                <w:rFonts w:ascii="Calibri" w:hAnsi="Calibri"/>
                <w:sz w:val="18"/>
                <w:szCs w:val="18"/>
                <w:lang w:val="es-CO" w:eastAsia="es-CO"/>
              </w:rPr>
              <w:t>esta</w:t>
            </w:r>
            <w:proofErr w:type="spellEnd"/>
            <w:r w:rsidRPr="00E72405">
              <w:rPr>
                <w:rFonts w:ascii="Calibri" w:hAnsi="Calibri"/>
                <w:sz w:val="18"/>
                <w:szCs w:val="18"/>
                <w:lang w:val="es-CO" w:eastAsia="es-CO"/>
              </w:rPr>
              <w:t xml:space="preserve"> basada en los principios internacionales que son dados por entidades como el BIS y IOSCO. Esto garantiza que todos los miembros de </w:t>
            </w:r>
            <w:proofErr w:type="spellStart"/>
            <w:r w:rsidRPr="00E72405">
              <w:rPr>
                <w:rFonts w:ascii="Calibri" w:hAnsi="Calibri"/>
                <w:sz w:val="18"/>
                <w:szCs w:val="18"/>
                <w:lang w:val="es-CO" w:eastAsia="es-CO"/>
              </w:rPr>
              <w:t>Derivex</w:t>
            </w:r>
            <w:proofErr w:type="spellEnd"/>
            <w:r w:rsidRPr="00E72405">
              <w:rPr>
                <w:rFonts w:ascii="Calibri" w:hAnsi="Calibri"/>
                <w:sz w:val="18"/>
                <w:szCs w:val="18"/>
                <w:lang w:val="es-CO" w:eastAsia="es-CO"/>
              </w:rPr>
              <w:t xml:space="preserve"> tienen las misma obligaciones y derechos, la formación de precios es pública y la información del mercado es transparente para el </w:t>
            </w:r>
            <w:proofErr w:type="spellStart"/>
            <w:r w:rsidRPr="00E72405">
              <w:rPr>
                <w:rFonts w:ascii="Calibri" w:hAnsi="Calibri"/>
                <w:sz w:val="18"/>
                <w:szCs w:val="18"/>
                <w:lang w:val="es-CO" w:eastAsia="es-CO"/>
              </w:rPr>
              <w:t>publico</w:t>
            </w:r>
            <w:proofErr w:type="spellEnd"/>
            <w:r w:rsidRPr="00E72405">
              <w:rPr>
                <w:rFonts w:ascii="Calibri" w:hAnsi="Calibri"/>
                <w:sz w:val="18"/>
                <w:szCs w:val="18"/>
                <w:lang w:val="es-CO" w:eastAsia="es-CO"/>
              </w:rPr>
              <w:t>"</w:t>
            </w:r>
            <w:r w:rsidRPr="00E72405">
              <w:rPr>
                <w:rFonts w:ascii="Calibri" w:hAnsi="Calibri"/>
                <w:sz w:val="18"/>
                <w:szCs w:val="18"/>
                <w:lang w:val="es-CO" w:eastAsia="es-CO"/>
              </w:rPr>
              <w:br/>
            </w:r>
            <w:r w:rsidRPr="00E72405">
              <w:rPr>
                <w:rFonts w:ascii="Calibri" w:hAnsi="Calibri"/>
                <w:sz w:val="18"/>
                <w:szCs w:val="18"/>
                <w:lang w:val="es-CO" w:eastAsia="es-CO"/>
              </w:rPr>
              <w:br/>
              <w:t>Pág. 12</w:t>
            </w:r>
            <w:r w:rsidRPr="00E72405">
              <w:rPr>
                <w:rFonts w:ascii="Calibri" w:hAnsi="Calibri"/>
                <w:sz w:val="18"/>
                <w:szCs w:val="18"/>
                <w:lang w:val="es-CO" w:eastAsia="es-CO"/>
              </w:rPr>
              <w:br/>
              <w:t xml:space="preserve">"Los sistemas de negociación electrónicos permiten la formación de precio de manera eficiente y transparente porque las </w:t>
            </w:r>
            <w:proofErr w:type="spellStart"/>
            <w:r w:rsidRPr="00E72405">
              <w:rPr>
                <w:rFonts w:ascii="Calibri" w:hAnsi="Calibri"/>
                <w:sz w:val="18"/>
                <w:szCs w:val="18"/>
                <w:lang w:val="es-CO" w:eastAsia="es-CO"/>
              </w:rPr>
              <w:t>porturas</w:t>
            </w:r>
            <w:proofErr w:type="spellEnd"/>
            <w:r w:rsidRPr="00E72405">
              <w:rPr>
                <w:rFonts w:ascii="Calibri" w:hAnsi="Calibri"/>
                <w:sz w:val="18"/>
                <w:szCs w:val="18"/>
                <w:lang w:val="es-CO" w:eastAsia="es-CO"/>
              </w:rPr>
              <w:t xml:space="preserve"> que forman los precios llegan a todo mercado de manera oportuna. Las pantallas de negociación facilitan que la información llegue simultáneamente a todos los participantes del mercado haciendo que los posibles arbitrajes en precios sean corregidos rápidamente por el mismo mercado. Es decir, si algún participante quiere manipular el precio sin una razón económica que justifique el cambio de este, el mercado ajusta el precio al nivel adecuado a la demanda y oferta de este mismo."</w:t>
            </w:r>
            <w:r w:rsidRPr="00E72405">
              <w:rPr>
                <w:rFonts w:ascii="Calibri" w:hAnsi="Calibri"/>
                <w:sz w:val="18"/>
                <w:szCs w:val="18"/>
                <w:lang w:val="es-CO" w:eastAsia="es-CO"/>
              </w:rPr>
              <w:br/>
            </w:r>
            <w:r w:rsidRPr="00E72405">
              <w:rPr>
                <w:rFonts w:ascii="Calibri" w:hAnsi="Calibri"/>
                <w:sz w:val="18"/>
                <w:szCs w:val="18"/>
                <w:lang w:val="es-CO" w:eastAsia="es-CO"/>
              </w:rPr>
              <w:br/>
              <w:t>Pág. 17</w:t>
            </w:r>
            <w:r w:rsidRPr="00E72405">
              <w:rPr>
                <w:rFonts w:ascii="Calibri" w:hAnsi="Calibri"/>
                <w:sz w:val="18"/>
                <w:szCs w:val="18"/>
                <w:lang w:val="es-CO" w:eastAsia="es-CO"/>
              </w:rPr>
              <w:br/>
              <w:t xml:space="preserve">"En el caso de las subastas, las reglas son claras y predefinidas, permite la participación masiva de </w:t>
            </w:r>
            <w:proofErr w:type="spellStart"/>
            <w:r w:rsidRPr="00E72405">
              <w:rPr>
                <w:rFonts w:ascii="Calibri" w:hAnsi="Calibri"/>
                <w:sz w:val="18"/>
                <w:szCs w:val="18"/>
                <w:lang w:val="es-CO" w:eastAsia="es-CO"/>
              </w:rPr>
              <w:t>lo</w:t>
            </w:r>
            <w:proofErr w:type="spellEnd"/>
            <w:r w:rsidRPr="00E72405">
              <w:rPr>
                <w:rFonts w:ascii="Calibri" w:hAnsi="Calibri"/>
                <w:sz w:val="18"/>
                <w:szCs w:val="18"/>
                <w:lang w:val="es-CO" w:eastAsia="es-CO"/>
              </w:rPr>
              <w:t xml:space="preserve"> interesados en el nivel de precio"</w:t>
            </w:r>
            <w:r w:rsidRPr="00E72405">
              <w:rPr>
                <w:rFonts w:ascii="Calibri" w:hAnsi="Calibri"/>
                <w:sz w:val="18"/>
                <w:szCs w:val="18"/>
                <w:lang w:val="es-CO" w:eastAsia="es-CO"/>
              </w:rPr>
              <w:br/>
            </w:r>
            <w:r w:rsidRPr="00E72405">
              <w:rPr>
                <w:rFonts w:ascii="Calibri" w:hAnsi="Calibri"/>
                <w:sz w:val="18"/>
                <w:szCs w:val="18"/>
                <w:lang w:val="es-CO" w:eastAsia="es-CO"/>
              </w:rPr>
              <w:br/>
              <w:t>Pág. 18</w:t>
            </w:r>
            <w:r w:rsidRPr="00E72405">
              <w:rPr>
                <w:rFonts w:ascii="Calibri" w:hAnsi="Calibri"/>
                <w:sz w:val="18"/>
                <w:szCs w:val="18"/>
                <w:lang w:val="es-CO" w:eastAsia="es-CO"/>
              </w:rPr>
              <w:br/>
              <w:t xml:space="preserve">"• La información del sistema de negociación y registro </w:t>
            </w:r>
            <w:proofErr w:type="spellStart"/>
            <w:r w:rsidRPr="00E72405">
              <w:rPr>
                <w:rFonts w:ascii="Calibri" w:hAnsi="Calibri"/>
                <w:sz w:val="18"/>
                <w:szCs w:val="18"/>
                <w:lang w:val="es-CO" w:eastAsia="es-CO"/>
              </w:rPr>
              <w:t>Derivex</w:t>
            </w:r>
            <w:proofErr w:type="spellEnd"/>
            <w:r w:rsidRPr="00E72405">
              <w:rPr>
                <w:rFonts w:ascii="Calibri" w:hAnsi="Calibri"/>
                <w:sz w:val="18"/>
                <w:szCs w:val="18"/>
                <w:lang w:val="es-CO" w:eastAsia="es-CO"/>
              </w:rPr>
              <w:t xml:space="preserve"> es homogénea de manera que en su </w:t>
            </w:r>
            <w:proofErr w:type="spellStart"/>
            <w:r w:rsidRPr="00E72405">
              <w:rPr>
                <w:rFonts w:ascii="Calibri" w:hAnsi="Calibri"/>
                <w:sz w:val="18"/>
                <w:szCs w:val="18"/>
                <w:lang w:val="es-CO" w:eastAsia="es-CO"/>
              </w:rPr>
              <w:t>pagina</w:t>
            </w:r>
            <w:proofErr w:type="spellEnd"/>
            <w:r w:rsidRPr="00E72405">
              <w:rPr>
                <w:rFonts w:ascii="Calibri" w:hAnsi="Calibri"/>
                <w:sz w:val="18"/>
                <w:szCs w:val="18"/>
                <w:lang w:val="es-CO" w:eastAsia="es-CO"/>
              </w:rPr>
              <w:t xml:space="preserve"> de internet púbica diariamente la información de las operaciones realizadas de acuerdo con sus obligaciones como entidad de infraestructura autorizada y vigilada por la Superintendencia Financiera de Colombia.</w:t>
            </w:r>
            <w:r w:rsidRPr="00E72405">
              <w:rPr>
                <w:rFonts w:ascii="Calibri" w:hAnsi="Calibri"/>
                <w:sz w:val="18"/>
                <w:szCs w:val="18"/>
                <w:lang w:val="es-CO" w:eastAsia="es-CO"/>
              </w:rPr>
              <w:br/>
              <w:t xml:space="preserve">• Los participantes del mercado tienen acceso a la misma información sobre las posturas de las diferentes sesiones, lo que garantiza el acceso a la información por parte de los oferentes y demandantes. En la mayoría de los mercados existe información sobre las posturas de compra y venta para el </w:t>
            </w:r>
            <w:proofErr w:type="spellStart"/>
            <w:r w:rsidRPr="00E72405">
              <w:rPr>
                <w:rFonts w:ascii="Calibri" w:hAnsi="Calibri"/>
                <w:sz w:val="18"/>
                <w:szCs w:val="18"/>
                <w:lang w:val="es-CO" w:eastAsia="es-CO"/>
              </w:rPr>
              <w:t>publico</w:t>
            </w:r>
            <w:proofErr w:type="spellEnd"/>
            <w:r w:rsidRPr="00E72405">
              <w:rPr>
                <w:rFonts w:ascii="Calibri" w:hAnsi="Calibri"/>
                <w:sz w:val="18"/>
                <w:szCs w:val="18"/>
                <w:lang w:val="es-CO" w:eastAsia="es-CO"/>
              </w:rPr>
              <w:t xml:space="preserve"> en general en algunos sistemas de información o en las </w:t>
            </w:r>
            <w:proofErr w:type="spellStart"/>
            <w:r w:rsidRPr="00E72405">
              <w:rPr>
                <w:rFonts w:ascii="Calibri" w:hAnsi="Calibri"/>
                <w:sz w:val="18"/>
                <w:szCs w:val="18"/>
                <w:lang w:val="es-CO" w:eastAsia="es-CO"/>
              </w:rPr>
              <w:t>paginas</w:t>
            </w:r>
            <w:proofErr w:type="spellEnd"/>
            <w:r w:rsidRPr="00E72405">
              <w:rPr>
                <w:rFonts w:ascii="Calibri" w:hAnsi="Calibri"/>
                <w:sz w:val="18"/>
                <w:szCs w:val="18"/>
                <w:lang w:val="es-CO" w:eastAsia="es-CO"/>
              </w:rPr>
              <w:t xml:space="preserve"> de internet de los sistemas de negociación; </w:t>
            </w:r>
            <w:r w:rsidRPr="00E72405">
              <w:rPr>
                <w:rFonts w:ascii="Calibri" w:hAnsi="Calibri"/>
                <w:sz w:val="18"/>
                <w:szCs w:val="18"/>
                <w:u w:val="single"/>
                <w:lang w:val="es-CO" w:eastAsia="es-CO"/>
              </w:rPr>
              <w:t>este mercado no cuenta con estos mecanismos.</w:t>
            </w:r>
            <w:r w:rsidRPr="00E72405">
              <w:rPr>
                <w:rFonts w:ascii="Calibri" w:hAnsi="Calibri"/>
                <w:sz w:val="18"/>
                <w:szCs w:val="18"/>
                <w:lang w:val="es-CO" w:eastAsia="es-CO"/>
              </w:rPr>
              <w:br/>
              <w:t xml:space="preserve">• La información sobre el subyacente es muy especializada y su poca divulgación puede favorecer a una parte del mercado, esta información no </w:t>
            </w:r>
            <w:proofErr w:type="spellStart"/>
            <w:r w:rsidRPr="00E72405">
              <w:rPr>
                <w:rFonts w:ascii="Calibri" w:hAnsi="Calibri"/>
                <w:sz w:val="18"/>
                <w:szCs w:val="18"/>
                <w:lang w:val="es-CO" w:eastAsia="es-CO"/>
              </w:rPr>
              <w:t>esta</w:t>
            </w:r>
            <w:proofErr w:type="spellEnd"/>
            <w:r w:rsidRPr="00E72405">
              <w:rPr>
                <w:rFonts w:ascii="Calibri" w:hAnsi="Calibri"/>
                <w:sz w:val="18"/>
                <w:szCs w:val="18"/>
                <w:lang w:val="es-CO" w:eastAsia="es-CO"/>
              </w:rPr>
              <w:t xml:space="preserve"> en manos de </w:t>
            </w:r>
            <w:proofErr w:type="spellStart"/>
            <w:r w:rsidRPr="00E72405">
              <w:rPr>
                <w:rFonts w:ascii="Calibri" w:hAnsi="Calibri"/>
                <w:sz w:val="18"/>
                <w:szCs w:val="18"/>
                <w:lang w:val="es-CO" w:eastAsia="es-CO"/>
              </w:rPr>
              <w:t>Derivex</w:t>
            </w:r>
            <w:proofErr w:type="spellEnd"/>
            <w:r w:rsidRPr="00E72405">
              <w:rPr>
                <w:rFonts w:ascii="Calibri" w:hAnsi="Calibri"/>
                <w:sz w:val="18"/>
                <w:szCs w:val="18"/>
                <w:lang w:val="es-CO" w:eastAsia="es-CO"/>
              </w:rPr>
              <w:t xml:space="preserve"> por lo que no puede controlarla.</w:t>
            </w:r>
            <w:r w:rsidRPr="00E72405">
              <w:rPr>
                <w:rFonts w:ascii="Calibri" w:hAnsi="Calibri"/>
                <w:sz w:val="18"/>
                <w:szCs w:val="18"/>
                <w:lang w:val="es-CO" w:eastAsia="es-CO"/>
              </w:rPr>
              <w:br/>
              <w:t>• La información sobre las operaciones hace parte de la reserva bursátil, por lo que deben buscarse los mecanismos de autorización expresa para que pueda ser usada por la Creg, XM, Superintendencia de servicios o a quien la comisión asigne."</w:t>
            </w:r>
            <w:r w:rsidRPr="00E72405">
              <w:rPr>
                <w:rFonts w:ascii="Calibri" w:hAnsi="Calibri"/>
                <w:sz w:val="18"/>
                <w:szCs w:val="18"/>
                <w:lang w:val="es-CO" w:eastAsia="es-CO"/>
              </w:rPr>
              <w:br/>
            </w:r>
            <w:r w:rsidRPr="00E72405">
              <w:rPr>
                <w:rFonts w:ascii="Calibri" w:hAnsi="Calibri"/>
                <w:sz w:val="18"/>
                <w:szCs w:val="18"/>
                <w:lang w:val="es-CO" w:eastAsia="es-CO"/>
              </w:rPr>
              <w:br/>
            </w:r>
            <w:proofErr w:type="spellStart"/>
            <w:r w:rsidRPr="00E72405">
              <w:rPr>
                <w:rFonts w:ascii="Calibri" w:hAnsi="Calibri"/>
                <w:sz w:val="18"/>
                <w:szCs w:val="18"/>
                <w:lang w:val="es-CO" w:eastAsia="es-CO"/>
              </w:rPr>
              <w:t>Pág</w:t>
            </w:r>
            <w:proofErr w:type="spellEnd"/>
            <w:r w:rsidRPr="00E72405">
              <w:rPr>
                <w:rFonts w:ascii="Calibri" w:hAnsi="Calibri"/>
                <w:sz w:val="18"/>
                <w:szCs w:val="18"/>
                <w:lang w:val="es-CO" w:eastAsia="es-CO"/>
              </w:rPr>
              <w:t xml:space="preserve"> 20 -21</w:t>
            </w:r>
            <w:r w:rsidRPr="00E72405">
              <w:rPr>
                <w:rFonts w:ascii="Calibri" w:hAnsi="Calibri"/>
                <w:sz w:val="18"/>
                <w:szCs w:val="18"/>
                <w:lang w:val="es-CO" w:eastAsia="es-CO"/>
              </w:rPr>
              <w:br/>
              <w:t>"La información dada por los clientes a los Miembros sobre las órdenes de compra o venta, sean operadas o no, debe quedar registro en el libro electrónico de órdenes de todos los detalles, como fecha, hora, monto, precio, especie y de todas sus modificaciones. Este mecanismo permite:</w:t>
            </w:r>
            <w:r w:rsidRPr="00E72405">
              <w:rPr>
                <w:rFonts w:ascii="Calibri" w:hAnsi="Calibri"/>
                <w:sz w:val="18"/>
                <w:szCs w:val="18"/>
                <w:lang w:val="es-CO" w:eastAsia="es-CO"/>
              </w:rPr>
              <w:br/>
              <w:t xml:space="preserve">• Trazabilidad de las operaciones. Consiste en la posibilidad de verificar y auditar las condiciones en las cuales se surte cada una de las etapas para el procesamiento de las órdenes. </w:t>
            </w:r>
            <w:r w:rsidRPr="00E72405">
              <w:rPr>
                <w:rFonts w:ascii="Calibri" w:hAnsi="Calibri"/>
                <w:sz w:val="18"/>
                <w:szCs w:val="18"/>
                <w:lang w:val="es-CO" w:eastAsia="es-CO"/>
              </w:rPr>
              <w:br/>
              <w:t>• Equidad. Consiste en el trato equitativo que deben dar los intermediarios de valores a las órdenes realizadas por sus clientes, evitando un trato discriminatorio por tamaño o característica de cada cliente. (Neutralidad)</w:t>
            </w:r>
            <w:r w:rsidRPr="00E72405">
              <w:rPr>
                <w:rFonts w:ascii="Calibri" w:hAnsi="Calibri"/>
                <w:sz w:val="18"/>
                <w:szCs w:val="18"/>
                <w:lang w:val="es-CO" w:eastAsia="es-CO"/>
              </w:rPr>
              <w:br/>
              <w:t>• Revelación del sistema para el procesamiento de órdenes. Consiste en la información que deben dar los intermediarios de valores a sus clientes acerca de las características generales del sistema de registro de órdenes.</w:t>
            </w:r>
            <w:r w:rsidRPr="00E72405">
              <w:rPr>
                <w:rFonts w:ascii="Calibri" w:hAnsi="Calibri"/>
                <w:sz w:val="18"/>
                <w:szCs w:val="18"/>
                <w:lang w:val="es-CO" w:eastAsia="es-CO"/>
              </w:rPr>
              <w:br/>
              <w:t xml:space="preserve">(...) La información pública </w:t>
            </w:r>
            <w:proofErr w:type="gramStart"/>
            <w:r w:rsidRPr="00E72405">
              <w:rPr>
                <w:rFonts w:ascii="Calibri" w:hAnsi="Calibri"/>
                <w:sz w:val="18"/>
                <w:szCs w:val="18"/>
                <w:lang w:val="es-CO" w:eastAsia="es-CO"/>
              </w:rPr>
              <w:t>de acuerdo a</w:t>
            </w:r>
            <w:proofErr w:type="gramEnd"/>
            <w:r w:rsidRPr="00E72405">
              <w:rPr>
                <w:rFonts w:ascii="Calibri" w:hAnsi="Calibri"/>
                <w:sz w:val="18"/>
                <w:szCs w:val="18"/>
                <w:lang w:val="es-CO" w:eastAsia="es-CO"/>
              </w:rPr>
              <w:t xml:space="preserve"> como la presenta </w:t>
            </w:r>
            <w:proofErr w:type="spellStart"/>
            <w:r w:rsidRPr="00E72405">
              <w:rPr>
                <w:rFonts w:ascii="Calibri" w:hAnsi="Calibri"/>
                <w:sz w:val="18"/>
                <w:szCs w:val="18"/>
                <w:lang w:val="es-CO" w:eastAsia="es-CO"/>
              </w:rPr>
              <w:t>Derivex</w:t>
            </w:r>
            <w:proofErr w:type="spellEnd"/>
            <w:r w:rsidRPr="00E72405">
              <w:rPr>
                <w:rFonts w:ascii="Calibri" w:hAnsi="Calibri"/>
                <w:sz w:val="18"/>
                <w:szCs w:val="18"/>
                <w:lang w:val="es-CO" w:eastAsia="es-CO"/>
              </w:rPr>
              <w:t>, es igual en oportunidad y accesibilidad para todos los participantes del mercado, de tal manera que no se presta para que algún jugador pueda sacar ventaja de la información pública."</w:t>
            </w:r>
          </w:p>
        </w:tc>
      </w:tr>
      <w:tr w:rsidR="00E72405" w:rsidRPr="00E72405" w14:paraId="562974B3" w14:textId="77777777" w:rsidTr="00D31EE1">
        <w:trPr>
          <w:trHeight w:val="1110"/>
        </w:trPr>
        <w:tc>
          <w:tcPr>
            <w:tcW w:w="907" w:type="pct"/>
            <w:tcBorders>
              <w:top w:val="single" w:sz="4" w:space="0" w:color="auto"/>
              <w:left w:val="single" w:sz="4" w:space="0" w:color="auto"/>
              <w:bottom w:val="single" w:sz="4" w:space="0" w:color="auto"/>
              <w:right w:val="single" w:sz="4" w:space="0" w:color="auto"/>
            </w:tcBorders>
            <w:shd w:val="clear" w:color="000000" w:fill="E7E6E6"/>
            <w:hideMark/>
          </w:tcPr>
          <w:p w14:paraId="481B29E9" w14:textId="77777777" w:rsidR="00E72405" w:rsidRPr="00E72405" w:rsidRDefault="00E72405">
            <w:pPr>
              <w:spacing w:before="0" w:after="0"/>
              <w:jc w:val="left"/>
              <w:rPr>
                <w:rFonts w:ascii="Calibri" w:hAnsi="Calibri"/>
                <w:b/>
                <w:bCs/>
                <w:color w:val="000000"/>
                <w:sz w:val="18"/>
                <w:szCs w:val="18"/>
                <w:lang w:val="es-CO" w:eastAsia="es-CO"/>
              </w:rPr>
            </w:pPr>
            <w:r w:rsidRPr="00E72405">
              <w:rPr>
                <w:rFonts w:ascii="Calibri" w:hAnsi="Calibri"/>
                <w:b/>
                <w:bCs/>
                <w:color w:val="000000"/>
                <w:sz w:val="18"/>
                <w:szCs w:val="18"/>
                <w:lang w:val="es-CO" w:eastAsia="es-CO"/>
              </w:rPr>
              <w:t>Diego Jara</w:t>
            </w:r>
            <w:r w:rsidRPr="00E72405">
              <w:rPr>
                <w:rFonts w:ascii="Calibri" w:hAnsi="Calibri"/>
                <w:b/>
                <w:bCs/>
                <w:color w:val="000000"/>
                <w:sz w:val="18"/>
                <w:szCs w:val="18"/>
                <w:lang w:val="es-CO" w:eastAsia="es-CO"/>
              </w:rPr>
              <w:br/>
              <w:t>(Riesgos)</w:t>
            </w:r>
          </w:p>
        </w:tc>
        <w:tc>
          <w:tcPr>
            <w:tcW w:w="4093" w:type="pct"/>
            <w:tcBorders>
              <w:top w:val="single" w:sz="4" w:space="0" w:color="auto"/>
              <w:left w:val="nil"/>
              <w:bottom w:val="single" w:sz="4" w:space="0" w:color="auto"/>
              <w:right w:val="single" w:sz="4" w:space="0" w:color="auto"/>
            </w:tcBorders>
            <w:shd w:val="clear" w:color="auto" w:fill="auto"/>
            <w:hideMark/>
          </w:tcPr>
          <w:p w14:paraId="5523B6D2" w14:textId="6EB021EC" w:rsidR="00E72405" w:rsidRPr="00E72405" w:rsidRDefault="00E72405">
            <w:pPr>
              <w:spacing w:before="0" w:after="0"/>
              <w:jc w:val="left"/>
              <w:rPr>
                <w:rFonts w:ascii="Calibri" w:hAnsi="Calibri"/>
                <w:sz w:val="18"/>
                <w:szCs w:val="18"/>
                <w:lang w:val="es-CO" w:eastAsia="es-CO"/>
              </w:rPr>
            </w:pPr>
            <w:r w:rsidRPr="00E72405">
              <w:rPr>
                <w:rFonts w:ascii="Calibri" w:hAnsi="Calibri"/>
                <w:sz w:val="18"/>
                <w:szCs w:val="18"/>
                <w:lang w:val="es-CO" w:eastAsia="es-CO"/>
              </w:rPr>
              <w:t>Pág. 12</w:t>
            </w:r>
            <w:r w:rsidRPr="00E72405">
              <w:rPr>
                <w:rFonts w:ascii="Calibri" w:hAnsi="Calibri"/>
                <w:sz w:val="18"/>
                <w:szCs w:val="18"/>
                <w:lang w:val="es-CO" w:eastAsia="es-CO"/>
              </w:rPr>
              <w:br/>
              <w:t>“El mecanismo para la comercialización de energía dispone y prevé la entrega de la información necesaria para que la Superintendencia de Servicios Públicos Domiciliarios (SSPD) pueda llevar a cabo la valoración y monitoreo del riesgo de los agentes que participen en el mecanismo (...)</w:t>
            </w:r>
            <w:r w:rsidRPr="00E72405">
              <w:rPr>
                <w:rFonts w:ascii="Calibri" w:hAnsi="Calibri"/>
                <w:sz w:val="18"/>
                <w:szCs w:val="18"/>
                <w:lang w:val="es-CO" w:eastAsia="es-CO"/>
              </w:rPr>
              <w:br/>
              <w:t>".</w:t>
            </w:r>
          </w:p>
        </w:tc>
      </w:tr>
      <w:tr w:rsidR="00E72405" w:rsidRPr="00E72405" w14:paraId="24F8509E" w14:textId="77777777" w:rsidTr="00D31EE1">
        <w:trPr>
          <w:trHeight w:val="7364"/>
        </w:trPr>
        <w:tc>
          <w:tcPr>
            <w:tcW w:w="907" w:type="pct"/>
            <w:tcBorders>
              <w:top w:val="single" w:sz="4" w:space="0" w:color="auto"/>
              <w:left w:val="single" w:sz="4" w:space="0" w:color="auto"/>
              <w:bottom w:val="single" w:sz="4" w:space="0" w:color="auto"/>
              <w:right w:val="single" w:sz="4" w:space="0" w:color="auto"/>
            </w:tcBorders>
            <w:shd w:val="clear" w:color="000000" w:fill="E7E6E6"/>
            <w:hideMark/>
          </w:tcPr>
          <w:p w14:paraId="0F6ECBC6" w14:textId="77777777" w:rsidR="00E72405" w:rsidRPr="00E72405" w:rsidRDefault="00E72405">
            <w:pPr>
              <w:spacing w:before="0" w:after="0"/>
              <w:jc w:val="left"/>
              <w:rPr>
                <w:rFonts w:ascii="Calibri" w:hAnsi="Calibri"/>
                <w:b/>
                <w:bCs/>
                <w:color w:val="000000"/>
                <w:sz w:val="18"/>
                <w:szCs w:val="18"/>
                <w:lang w:val="es-CO" w:eastAsia="es-CO"/>
              </w:rPr>
            </w:pPr>
            <w:r w:rsidRPr="00E72405">
              <w:rPr>
                <w:rFonts w:ascii="Calibri" w:hAnsi="Calibri"/>
                <w:b/>
                <w:bCs/>
                <w:color w:val="000000"/>
                <w:sz w:val="18"/>
                <w:szCs w:val="18"/>
                <w:lang w:val="es-CO" w:eastAsia="es-CO"/>
              </w:rPr>
              <w:lastRenderedPageBreak/>
              <w:t>Roberto Borrás</w:t>
            </w:r>
            <w:r w:rsidRPr="00E72405">
              <w:rPr>
                <w:rFonts w:ascii="Calibri" w:hAnsi="Calibri"/>
                <w:b/>
                <w:bCs/>
                <w:color w:val="000000"/>
                <w:sz w:val="18"/>
                <w:szCs w:val="18"/>
                <w:lang w:val="es-CO" w:eastAsia="es-CO"/>
              </w:rPr>
              <w:br/>
              <w:t>(Gobierno corporativo)</w:t>
            </w:r>
          </w:p>
        </w:tc>
        <w:tc>
          <w:tcPr>
            <w:tcW w:w="4093" w:type="pct"/>
            <w:tcBorders>
              <w:top w:val="single" w:sz="4" w:space="0" w:color="auto"/>
              <w:left w:val="single" w:sz="4" w:space="0" w:color="auto"/>
              <w:bottom w:val="single" w:sz="4" w:space="0" w:color="auto"/>
              <w:right w:val="single" w:sz="4" w:space="0" w:color="auto"/>
            </w:tcBorders>
            <w:shd w:val="clear" w:color="auto" w:fill="auto"/>
            <w:hideMark/>
          </w:tcPr>
          <w:p w14:paraId="0615F81B" w14:textId="77777777" w:rsidR="00AD2F61" w:rsidRDefault="00E72405">
            <w:pPr>
              <w:spacing w:before="0" w:after="0"/>
              <w:jc w:val="left"/>
              <w:rPr>
                <w:rFonts w:ascii="Calibri" w:hAnsi="Calibri"/>
                <w:sz w:val="18"/>
                <w:szCs w:val="18"/>
                <w:lang w:val="es-CO" w:eastAsia="es-CO"/>
              </w:rPr>
            </w:pPr>
            <w:proofErr w:type="spellStart"/>
            <w:r w:rsidRPr="00E72405">
              <w:rPr>
                <w:rFonts w:ascii="Calibri" w:hAnsi="Calibri"/>
                <w:sz w:val="18"/>
                <w:szCs w:val="18"/>
                <w:lang w:val="es-CO" w:eastAsia="es-CO"/>
              </w:rPr>
              <w:t>Pág</w:t>
            </w:r>
            <w:proofErr w:type="spellEnd"/>
            <w:r w:rsidRPr="00E72405">
              <w:rPr>
                <w:rFonts w:ascii="Calibri" w:hAnsi="Calibri"/>
                <w:sz w:val="18"/>
                <w:szCs w:val="18"/>
                <w:lang w:val="es-CO" w:eastAsia="es-CO"/>
              </w:rPr>
              <w:t xml:space="preserve"> 26.</w:t>
            </w:r>
            <w:r w:rsidRPr="00E72405">
              <w:rPr>
                <w:rFonts w:ascii="Calibri" w:hAnsi="Calibri"/>
                <w:sz w:val="18"/>
                <w:szCs w:val="18"/>
                <w:lang w:val="es-CO" w:eastAsia="es-CO"/>
              </w:rPr>
              <w:br/>
              <w:t>"es pertinente mencionar que el Mecanismo prevé el suministro de información pública de la valoración y operaciones (precios y cantidades) de los instrumentos que allí se negocian, según lo impone el deber previsto en el literal k del Artículo 2.15.1.2.3 del Decreto 2555 de 2010, lo que garantiza que los participantes del mercado de energía, sin importar el rol que tenga, se encontrarán en una situación de igualdad en materia de acceso a información."</w:t>
            </w:r>
            <w:r w:rsidRPr="00E72405">
              <w:rPr>
                <w:rFonts w:ascii="Calibri" w:hAnsi="Calibri"/>
                <w:sz w:val="18"/>
                <w:szCs w:val="18"/>
                <w:lang w:val="es-CO" w:eastAsia="es-CO"/>
              </w:rPr>
              <w:br/>
              <w:t xml:space="preserve"> </w:t>
            </w:r>
          </w:p>
          <w:p w14:paraId="288C2F1E" w14:textId="689A64B2" w:rsidR="00E72405" w:rsidRPr="00E72405" w:rsidRDefault="00E72405">
            <w:pPr>
              <w:spacing w:before="0" w:after="0"/>
              <w:jc w:val="left"/>
              <w:rPr>
                <w:rFonts w:ascii="Calibri" w:hAnsi="Calibri"/>
                <w:sz w:val="18"/>
                <w:szCs w:val="18"/>
                <w:lang w:val="es-CO" w:eastAsia="es-CO"/>
              </w:rPr>
            </w:pPr>
            <w:r w:rsidRPr="00E72405">
              <w:rPr>
                <w:rFonts w:ascii="Calibri" w:hAnsi="Calibri"/>
                <w:sz w:val="18"/>
                <w:szCs w:val="18"/>
                <w:lang w:val="es-CO" w:eastAsia="es-CO"/>
              </w:rPr>
              <w:t xml:space="preserve">"(i) De acuerdo a lo señalado en el artículo 1.2, </w:t>
            </w:r>
            <w:proofErr w:type="spellStart"/>
            <w:r w:rsidRPr="00E72405">
              <w:rPr>
                <w:rFonts w:ascii="Calibri" w:hAnsi="Calibri"/>
                <w:sz w:val="18"/>
                <w:szCs w:val="18"/>
                <w:lang w:val="es-CO" w:eastAsia="es-CO"/>
              </w:rPr>
              <w:t>Derivex</w:t>
            </w:r>
            <w:proofErr w:type="spellEnd"/>
            <w:r w:rsidRPr="00E72405">
              <w:rPr>
                <w:rFonts w:ascii="Calibri" w:hAnsi="Calibri"/>
                <w:sz w:val="18"/>
                <w:szCs w:val="18"/>
                <w:lang w:val="es-CO" w:eastAsia="es-CO"/>
              </w:rPr>
              <w:t xml:space="preserve"> en virtud del principio de transparencia y para efectos de garantizar la adecuada formación de precios, garantizará de forma permanente la seguridad y transparencia en las operaciones celebradas o registradas a través del Mecanismo, poniendo a disposición de sus Miembros y del público en general, oportuna y suficientemente, la información relativa a la inscripción de los Contratos de Derivados de </w:t>
            </w:r>
            <w:proofErr w:type="spellStart"/>
            <w:r w:rsidRPr="00E72405">
              <w:rPr>
                <w:rFonts w:ascii="Calibri" w:hAnsi="Calibri"/>
                <w:sz w:val="18"/>
                <w:szCs w:val="18"/>
                <w:lang w:val="es-CO" w:eastAsia="es-CO"/>
              </w:rPr>
              <w:t>Commodities</w:t>
            </w:r>
            <w:proofErr w:type="spellEnd"/>
            <w:r w:rsidRPr="00E72405">
              <w:rPr>
                <w:rFonts w:ascii="Calibri" w:hAnsi="Calibri"/>
                <w:sz w:val="18"/>
                <w:szCs w:val="18"/>
                <w:lang w:val="es-CO" w:eastAsia="es-CO"/>
              </w:rPr>
              <w:t xml:space="preserve"> Energéticos y la celebración o registro de operaciones sobre los mismos, los precios de las operaciones y el volumen de éstas" </w:t>
            </w:r>
            <w:r w:rsidRPr="00E72405">
              <w:rPr>
                <w:rFonts w:ascii="Calibri" w:hAnsi="Calibri"/>
                <w:sz w:val="18"/>
                <w:szCs w:val="18"/>
                <w:lang w:val="es-CO" w:eastAsia="es-CO"/>
              </w:rPr>
              <w:br/>
            </w:r>
            <w:r w:rsidRPr="00E72405">
              <w:rPr>
                <w:rFonts w:ascii="Calibri" w:hAnsi="Calibri"/>
                <w:sz w:val="18"/>
                <w:szCs w:val="18"/>
                <w:lang w:val="es-CO" w:eastAsia="es-CO"/>
              </w:rPr>
              <w:br/>
            </w:r>
            <w:proofErr w:type="spellStart"/>
            <w:r w:rsidRPr="00E72405">
              <w:rPr>
                <w:rFonts w:ascii="Calibri" w:hAnsi="Calibri"/>
                <w:sz w:val="18"/>
                <w:szCs w:val="18"/>
                <w:lang w:val="es-CO" w:eastAsia="es-CO"/>
              </w:rPr>
              <w:t>Pág</w:t>
            </w:r>
            <w:proofErr w:type="spellEnd"/>
            <w:r w:rsidRPr="00E72405">
              <w:rPr>
                <w:rFonts w:ascii="Calibri" w:hAnsi="Calibri"/>
                <w:sz w:val="18"/>
                <w:szCs w:val="18"/>
                <w:lang w:val="es-CO" w:eastAsia="es-CO"/>
              </w:rPr>
              <w:t xml:space="preserve"> 29.</w:t>
            </w:r>
            <w:r w:rsidRPr="00E72405">
              <w:rPr>
                <w:rFonts w:ascii="Calibri" w:hAnsi="Calibri"/>
                <w:sz w:val="18"/>
                <w:szCs w:val="18"/>
                <w:lang w:val="es-CO" w:eastAsia="es-CO"/>
              </w:rPr>
              <w:br/>
              <w:t>Ahora bien, dadas las siguientes condiciones subrayadas por el consultor, se está garantizando las mismas condiciones de acceso para los agentes, que están relacionadas a las condiciones de pluralidad y disponibilidad de la información: "(i)  Transparencia en Precios y Tarifas: La CRCC deberá otorgar y garantizar la mayor transparencia a los clientes o potenciales clientes sobre los servicios prestados. La Junta Directiva de la CRCC definirá las políticas de definición y divulgación de sus tarifas;</w:t>
            </w:r>
            <w:r w:rsidRPr="00E72405">
              <w:rPr>
                <w:rFonts w:ascii="Calibri" w:hAnsi="Calibri"/>
                <w:sz w:val="18"/>
                <w:szCs w:val="18"/>
                <w:lang w:val="es-CO" w:eastAsia="es-CO"/>
              </w:rPr>
              <w:br/>
              <w:t>(</w:t>
            </w:r>
            <w:proofErr w:type="spellStart"/>
            <w:r w:rsidRPr="00E72405">
              <w:rPr>
                <w:rFonts w:ascii="Calibri" w:hAnsi="Calibri"/>
                <w:sz w:val="18"/>
                <w:szCs w:val="18"/>
                <w:lang w:val="es-CO" w:eastAsia="es-CO"/>
              </w:rPr>
              <w:t>ii</w:t>
            </w:r>
            <w:proofErr w:type="spellEnd"/>
            <w:r w:rsidRPr="00E72405">
              <w:rPr>
                <w:rFonts w:ascii="Calibri" w:hAnsi="Calibri"/>
                <w:sz w:val="18"/>
                <w:szCs w:val="18"/>
                <w:lang w:val="es-CO" w:eastAsia="es-CO"/>
              </w:rPr>
              <w:t xml:space="preserve">) Desagregación de servicios: Los clientes tendrán la posibilidad de escoger cada servicio de la cadena de servicios con una entidad distinta. La CRCC no puede obligar a un cliente a adquirir varios servicios al mismo tiempo, lo cual no impedirá que las entidades integradas ofrezcan servicios conjuntos ofreciendo algún tipo de beneficio en términos de precios y tarifas, los cuales serán de libre elección por parte de los clientes. </w:t>
            </w:r>
            <w:r w:rsidRPr="00E72405">
              <w:rPr>
                <w:rFonts w:ascii="Calibri" w:hAnsi="Calibri"/>
                <w:sz w:val="18"/>
                <w:szCs w:val="18"/>
                <w:lang w:val="es-CO" w:eastAsia="es-CO"/>
              </w:rPr>
              <w:br/>
              <w:t>(</w:t>
            </w:r>
            <w:proofErr w:type="spellStart"/>
            <w:r w:rsidRPr="00E72405">
              <w:rPr>
                <w:rFonts w:ascii="Calibri" w:hAnsi="Calibri"/>
                <w:sz w:val="18"/>
                <w:szCs w:val="18"/>
                <w:lang w:val="es-CO" w:eastAsia="es-CO"/>
              </w:rPr>
              <w:t>iii</w:t>
            </w:r>
            <w:proofErr w:type="spellEnd"/>
            <w:r w:rsidRPr="00E72405">
              <w:rPr>
                <w:rFonts w:ascii="Calibri" w:hAnsi="Calibri"/>
                <w:sz w:val="18"/>
                <w:szCs w:val="18"/>
                <w:lang w:val="es-CO" w:eastAsia="es-CO"/>
              </w:rPr>
              <w:t xml:space="preserve">) Interoperabilidad. La CRCC debe garantizar a cualquier cliente el acceso a su plataforma y asegurar la interoperabilidad entre los agentes o partes que intervienen en la cadena de servicios, incluyendo la negociación de valores. De igual manera, los agentes o partes que intervienen en la cadena de servicios deberán garantizarle el libre acceso a la Cámara de Riesgo Central de Contraparte, sin importar su composición accionaria. </w:t>
            </w:r>
            <w:r w:rsidRPr="00E72405">
              <w:rPr>
                <w:rFonts w:ascii="Calibri" w:hAnsi="Calibri"/>
                <w:sz w:val="18"/>
                <w:szCs w:val="18"/>
                <w:lang w:val="es-CO" w:eastAsia="es-CO"/>
              </w:rPr>
              <w:br/>
              <w:t xml:space="preserve">La CRCC no puede establecer prácticas discriminatorias frente a clientes o potenciales clientes, independientemente del sistema de negociación donde realicen sus operaciones. Sin embargo, establecerá los requisitos mínimos de acceso basados en riesgos."  </w:t>
            </w:r>
            <w:r w:rsidRPr="00E72405">
              <w:rPr>
                <w:rFonts w:ascii="Calibri" w:hAnsi="Calibri"/>
                <w:sz w:val="18"/>
                <w:szCs w:val="18"/>
                <w:lang w:val="es-CO" w:eastAsia="es-CO"/>
              </w:rPr>
              <w:br/>
            </w:r>
            <w:r w:rsidRPr="00E72405">
              <w:rPr>
                <w:rFonts w:ascii="Calibri" w:hAnsi="Calibri"/>
                <w:sz w:val="18"/>
                <w:szCs w:val="18"/>
                <w:lang w:val="es-CO" w:eastAsia="es-CO"/>
              </w:rPr>
              <w:br/>
              <w:t>Pág. 32</w:t>
            </w:r>
            <w:r w:rsidRPr="00E72405">
              <w:rPr>
                <w:rFonts w:ascii="Calibri" w:hAnsi="Calibri"/>
                <w:sz w:val="18"/>
                <w:szCs w:val="18"/>
                <w:lang w:val="es-CO" w:eastAsia="es-CO"/>
              </w:rPr>
              <w:br/>
              <w:t>"Estas características previstas en la regulación financiera vigente, fueron evidenciadas de igual forma por el Consultor a partir de la revisión formal del Reglamento General del Mecanismo, del cual se resaltan los siguientes aspectos relevantes, que contribuyen a la salvaguarda de los principios que espera la CREG, sean garantizados:</w:t>
            </w:r>
            <w:r w:rsidRPr="00E72405">
              <w:rPr>
                <w:rFonts w:ascii="Calibri" w:hAnsi="Calibri"/>
                <w:sz w:val="18"/>
                <w:szCs w:val="18"/>
                <w:lang w:val="es-CO" w:eastAsia="es-CO"/>
              </w:rPr>
              <w:br/>
            </w:r>
            <w:r w:rsidRPr="00E72405">
              <w:rPr>
                <w:rFonts w:ascii="Calibri" w:hAnsi="Calibri"/>
                <w:sz w:val="18"/>
                <w:szCs w:val="18"/>
                <w:lang w:val="es-CO" w:eastAsia="es-CO"/>
              </w:rPr>
              <w:br/>
              <w:t xml:space="preserve">(i) De conformidad con el artículo 1.2.1 del Reglamento, </w:t>
            </w:r>
            <w:proofErr w:type="spellStart"/>
            <w:r w:rsidRPr="00E72405">
              <w:rPr>
                <w:rFonts w:ascii="Calibri" w:hAnsi="Calibri"/>
                <w:sz w:val="18"/>
                <w:szCs w:val="18"/>
                <w:lang w:val="es-CO" w:eastAsia="es-CO"/>
              </w:rPr>
              <w:t>Derivex</w:t>
            </w:r>
            <w:proofErr w:type="spellEnd"/>
            <w:r w:rsidRPr="00E72405">
              <w:rPr>
                <w:rFonts w:ascii="Calibri" w:hAnsi="Calibri"/>
                <w:sz w:val="18"/>
                <w:szCs w:val="18"/>
                <w:lang w:val="es-CO" w:eastAsia="es-CO"/>
              </w:rPr>
              <w:t xml:space="preserve"> tiene la obligación de: </w:t>
            </w:r>
            <w:r w:rsidRPr="00E72405">
              <w:rPr>
                <w:rFonts w:ascii="Calibri" w:hAnsi="Calibri"/>
                <w:sz w:val="18"/>
                <w:szCs w:val="18"/>
                <w:lang w:val="es-CO" w:eastAsia="es-CO"/>
              </w:rPr>
              <w:br/>
              <w:t>a. Suministrar información procesada a los miembros, sus clientes, a proveedores de información y al público en general sobre el comportamiento o las estadísticas del Mecanismo en condiciones comerciales razonables;</w:t>
            </w:r>
            <w:r w:rsidRPr="00E72405">
              <w:rPr>
                <w:rFonts w:ascii="Calibri" w:hAnsi="Calibri"/>
                <w:sz w:val="18"/>
                <w:szCs w:val="18"/>
                <w:lang w:val="es-CO" w:eastAsia="es-CO"/>
              </w:rPr>
              <w:br/>
            </w:r>
            <w:r w:rsidRPr="00E72405">
              <w:rPr>
                <w:rFonts w:ascii="Calibri" w:hAnsi="Calibri"/>
                <w:sz w:val="18"/>
                <w:szCs w:val="18"/>
                <w:lang w:val="es-CO" w:eastAsia="es-CO"/>
              </w:rPr>
              <w:br/>
              <w:t>b. Velar porque el Mecanismo opere de manera organizada y adecuada;</w:t>
            </w:r>
            <w:r w:rsidRPr="00E72405">
              <w:rPr>
                <w:rFonts w:ascii="Calibri" w:hAnsi="Calibri"/>
                <w:sz w:val="18"/>
                <w:szCs w:val="18"/>
                <w:lang w:val="es-CO" w:eastAsia="es-CO"/>
              </w:rPr>
              <w:br/>
            </w:r>
            <w:r w:rsidRPr="00E72405">
              <w:rPr>
                <w:rFonts w:ascii="Calibri" w:hAnsi="Calibri"/>
                <w:sz w:val="18"/>
                <w:szCs w:val="18"/>
                <w:lang w:val="es-CO" w:eastAsia="es-CO"/>
              </w:rPr>
              <w:br/>
              <w:t>c. Facilitar a los miembros la celebración y registro de operaciones a través del sistema de acuerdo con la Ley aplicable y el Reglamento del Mecanismo;"</w:t>
            </w:r>
          </w:p>
        </w:tc>
      </w:tr>
    </w:tbl>
    <w:p w14:paraId="6AA0C309" w14:textId="346719B2" w:rsidR="00E86C71" w:rsidRDefault="00E86C71">
      <w:pPr>
        <w:spacing w:before="0" w:after="0"/>
        <w:rPr>
          <w:b/>
          <w:szCs w:val="20"/>
          <w:lang w:val="es-CO"/>
        </w:rPr>
      </w:pPr>
    </w:p>
    <w:p w14:paraId="72518AF1" w14:textId="77777777" w:rsidR="00E86C71" w:rsidRDefault="00E86C71">
      <w:pPr>
        <w:spacing w:before="0" w:after="0"/>
        <w:rPr>
          <w:b/>
          <w:szCs w:val="20"/>
          <w:lang w:val="es-CO"/>
        </w:rPr>
      </w:pPr>
    </w:p>
    <w:tbl>
      <w:tblPr>
        <w:tblW w:w="0" w:type="auto"/>
        <w:tblLayout w:type="fixed"/>
        <w:tblCellMar>
          <w:left w:w="70" w:type="dxa"/>
          <w:right w:w="70" w:type="dxa"/>
        </w:tblCellMar>
        <w:tblLook w:val="04A0" w:firstRow="1" w:lastRow="0" w:firstColumn="1" w:lastColumn="0" w:noHBand="0" w:noVBand="1"/>
      </w:tblPr>
      <w:tblGrid>
        <w:gridCol w:w="1696"/>
        <w:gridCol w:w="7650"/>
      </w:tblGrid>
      <w:tr w:rsidR="00CF7532" w:rsidRPr="00CF7532" w14:paraId="2E049FAF" w14:textId="77777777" w:rsidTr="00D31EE1">
        <w:trPr>
          <w:trHeight w:val="375"/>
        </w:trPr>
        <w:tc>
          <w:tcPr>
            <w:tcW w:w="1696" w:type="dxa"/>
            <w:tcBorders>
              <w:top w:val="single" w:sz="4" w:space="0" w:color="auto"/>
              <w:left w:val="single" w:sz="4" w:space="0" w:color="auto"/>
              <w:bottom w:val="single" w:sz="4" w:space="0" w:color="auto"/>
              <w:right w:val="single" w:sz="4" w:space="0" w:color="auto"/>
            </w:tcBorders>
            <w:shd w:val="clear" w:color="000000" w:fill="EDEDED"/>
            <w:noWrap/>
            <w:hideMark/>
          </w:tcPr>
          <w:p w14:paraId="72B29D65" w14:textId="77777777" w:rsidR="00CF7532" w:rsidRPr="00CF7532" w:rsidRDefault="00CF7532">
            <w:pPr>
              <w:spacing w:before="0" w:after="0"/>
              <w:jc w:val="center"/>
              <w:rPr>
                <w:rFonts w:ascii="Calibri" w:hAnsi="Calibri"/>
                <w:b/>
                <w:bCs/>
                <w:sz w:val="18"/>
                <w:szCs w:val="18"/>
                <w:lang w:val="es-CO" w:eastAsia="es-CO"/>
              </w:rPr>
            </w:pPr>
            <w:r w:rsidRPr="00CF7532">
              <w:rPr>
                <w:rFonts w:ascii="Calibri" w:hAnsi="Calibri"/>
                <w:b/>
                <w:bCs/>
                <w:sz w:val="18"/>
                <w:szCs w:val="18"/>
                <w:lang w:val="es-CO" w:eastAsia="es-CO"/>
              </w:rPr>
              <w:t xml:space="preserve">Parámetro </w:t>
            </w:r>
          </w:p>
        </w:tc>
        <w:tc>
          <w:tcPr>
            <w:tcW w:w="7650" w:type="dxa"/>
            <w:tcBorders>
              <w:top w:val="single" w:sz="4" w:space="0" w:color="auto"/>
              <w:left w:val="nil"/>
              <w:bottom w:val="single" w:sz="4" w:space="0" w:color="auto"/>
              <w:right w:val="single" w:sz="4" w:space="0" w:color="auto"/>
            </w:tcBorders>
            <w:shd w:val="clear" w:color="000000" w:fill="D9E1F2"/>
            <w:vAlign w:val="center"/>
            <w:hideMark/>
          </w:tcPr>
          <w:p w14:paraId="494D1AA9" w14:textId="77777777" w:rsidR="00CF7532" w:rsidRPr="00CF7532" w:rsidRDefault="00CF7532">
            <w:pPr>
              <w:spacing w:before="0" w:after="0"/>
              <w:jc w:val="center"/>
              <w:rPr>
                <w:rFonts w:ascii="Calibri" w:hAnsi="Calibri"/>
                <w:b/>
                <w:bCs/>
                <w:sz w:val="18"/>
                <w:szCs w:val="18"/>
                <w:lang w:val="es-CO" w:eastAsia="es-CO"/>
              </w:rPr>
            </w:pPr>
            <w:r w:rsidRPr="00CF7532">
              <w:rPr>
                <w:rFonts w:ascii="Calibri" w:hAnsi="Calibri"/>
                <w:b/>
                <w:bCs/>
                <w:sz w:val="18"/>
                <w:szCs w:val="18"/>
                <w:lang w:val="es-CO" w:eastAsia="es-CO"/>
              </w:rPr>
              <w:t>Condición de acreditación</w:t>
            </w:r>
          </w:p>
        </w:tc>
      </w:tr>
      <w:tr w:rsidR="00CF7532" w:rsidRPr="00CF7532" w14:paraId="7AE918FD" w14:textId="77777777" w:rsidTr="00D31EE1">
        <w:trPr>
          <w:trHeight w:val="878"/>
        </w:trPr>
        <w:tc>
          <w:tcPr>
            <w:tcW w:w="1696" w:type="dxa"/>
            <w:tcBorders>
              <w:top w:val="nil"/>
              <w:left w:val="single" w:sz="4" w:space="0" w:color="auto"/>
              <w:bottom w:val="single" w:sz="4" w:space="0" w:color="auto"/>
              <w:right w:val="single" w:sz="4" w:space="0" w:color="auto"/>
            </w:tcBorders>
            <w:shd w:val="clear" w:color="000000" w:fill="EDEDED"/>
            <w:noWrap/>
            <w:hideMark/>
          </w:tcPr>
          <w:p w14:paraId="026ED1B2" w14:textId="77777777" w:rsidR="00CF7532" w:rsidRPr="00CF7532" w:rsidRDefault="00CF7532">
            <w:pPr>
              <w:spacing w:before="0" w:after="0"/>
              <w:jc w:val="left"/>
              <w:rPr>
                <w:rFonts w:ascii="Calibri" w:hAnsi="Calibri"/>
                <w:b/>
                <w:bCs/>
                <w:sz w:val="18"/>
                <w:szCs w:val="18"/>
                <w:lang w:val="es-CO" w:eastAsia="es-CO"/>
              </w:rPr>
            </w:pPr>
            <w:r w:rsidRPr="00CF7532">
              <w:rPr>
                <w:rFonts w:ascii="Calibri" w:hAnsi="Calibri"/>
                <w:b/>
                <w:bCs/>
                <w:sz w:val="18"/>
                <w:szCs w:val="18"/>
                <w:lang w:val="es-CO" w:eastAsia="es-CO"/>
              </w:rPr>
              <w:t>Descripción</w:t>
            </w:r>
          </w:p>
        </w:tc>
        <w:tc>
          <w:tcPr>
            <w:tcW w:w="7650" w:type="dxa"/>
            <w:tcBorders>
              <w:top w:val="single" w:sz="4" w:space="0" w:color="auto"/>
              <w:left w:val="nil"/>
              <w:bottom w:val="single" w:sz="4" w:space="0" w:color="auto"/>
              <w:right w:val="single" w:sz="4" w:space="0" w:color="auto"/>
            </w:tcBorders>
            <w:shd w:val="clear" w:color="auto" w:fill="auto"/>
            <w:hideMark/>
          </w:tcPr>
          <w:p w14:paraId="706F5A53" w14:textId="77777777" w:rsidR="00CF7532" w:rsidRPr="00CF7532" w:rsidRDefault="00CF7532">
            <w:pPr>
              <w:spacing w:before="0" w:after="0"/>
              <w:jc w:val="left"/>
              <w:rPr>
                <w:rFonts w:ascii="Calibri" w:hAnsi="Calibri"/>
                <w:sz w:val="18"/>
                <w:szCs w:val="18"/>
                <w:lang w:val="es-CO" w:eastAsia="es-CO"/>
              </w:rPr>
            </w:pPr>
            <w:r w:rsidRPr="00CF7532">
              <w:rPr>
                <w:rFonts w:ascii="Calibri" w:hAnsi="Calibri"/>
                <w:sz w:val="18"/>
                <w:szCs w:val="18"/>
                <w:lang w:val="es-CO" w:eastAsia="es-CO"/>
              </w:rPr>
              <w:t>El mecanismo para la comercialización de energía establece de antemano los requisitos y el procedimiento que deben cumplir los agentes interesados en participar, los cuales se sustentan en criterios objetivos, verificables, razonables y proporcionados. Todos los agentes que cumplan los requisitos de entrada al mecanismo para la comercialización tienen la misma oportunidad de participación</w:t>
            </w:r>
          </w:p>
        </w:tc>
      </w:tr>
      <w:tr w:rsidR="00CF7532" w:rsidRPr="00CF7532" w14:paraId="050A1C3B" w14:textId="77777777" w:rsidTr="00D31EE1">
        <w:trPr>
          <w:trHeight w:val="1543"/>
        </w:trPr>
        <w:tc>
          <w:tcPr>
            <w:tcW w:w="1696" w:type="dxa"/>
            <w:tcBorders>
              <w:top w:val="nil"/>
              <w:left w:val="single" w:sz="4" w:space="0" w:color="auto"/>
              <w:bottom w:val="single" w:sz="4" w:space="0" w:color="auto"/>
              <w:right w:val="single" w:sz="4" w:space="0" w:color="auto"/>
            </w:tcBorders>
            <w:shd w:val="clear" w:color="000000" w:fill="EDEDED"/>
            <w:noWrap/>
            <w:hideMark/>
          </w:tcPr>
          <w:p w14:paraId="5B7095F9" w14:textId="77777777" w:rsidR="00CF7532" w:rsidRPr="00CF7532" w:rsidRDefault="00CF7532">
            <w:pPr>
              <w:spacing w:before="0" w:after="0"/>
              <w:jc w:val="left"/>
              <w:rPr>
                <w:rFonts w:ascii="Calibri" w:hAnsi="Calibri"/>
                <w:b/>
                <w:bCs/>
                <w:sz w:val="18"/>
                <w:szCs w:val="18"/>
                <w:lang w:val="es-CO" w:eastAsia="es-CO"/>
              </w:rPr>
            </w:pPr>
            <w:r w:rsidRPr="00CF7532">
              <w:rPr>
                <w:rFonts w:ascii="Calibri" w:hAnsi="Calibri"/>
                <w:b/>
                <w:bCs/>
                <w:sz w:val="18"/>
                <w:szCs w:val="18"/>
                <w:lang w:val="es-CO" w:eastAsia="es-CO"/>
              </w:rPr>
              <w:lastRenderedPageBreak/>
              <w:t>Resumen de la evaluación</w:t>
            </w:r>
          </w:p>
        </w:tc>
        <w:tc>
          <w:tcPr>
            <w:tcW w:w="7650" w:type="dxa"/>
            <w:tcBorders>
              <w:top w:val="single" w:sz="4" w:space="0" w:color="auto"/>
              <w:left w:val="nil"/>
              <w:bottom w:val="single" w:sz="4" w:space="0" w:color="auto"/>
              <w:right w:val="single" w:sz="4" w:space="0" w:color="auto"/>
            </w:tcBorders>
            <w:shd w:val="clear" w:color="auto" w:fill="auto"/>
            <w:hideMark/>
          </w:tcPr>
          <w:p w14:paraId="5FC6FDB4" w14:textId="77777777" w:rsidR="00187EDA" w:rsidRDefault="00CF7532">
            <w:pPr>
              <w:spacing w:before="0" w:after="0"/>
              <w:jc w:val="left"/>
              <w:rPr>
                <w:rFonts w:ascii="Calibri" w:hAnsi="Calibri"/>
                <w:sz w:val="18"/>
                <w:szCs w:val="18"/>
                <w:lang w:val="es-CO" w:eastAsia="es-CO"/>
              </w:rPr>
            </w:pPr>
            <w:r w:rsidRPr="00CF7532">
              <w:rPr>
                <w:rFonts w:ascii="Calibri" w:hAnsi="Calibri"/>
                <w:sz w:val="18"/>
                <w:szCs w:val="18"/>
                <w:lang w:val="es-CO" w:eastAsia="es-CO"/>
              </w:rPr>
              <w:t>La participación en el mecanismo se tiene que realizar a través de los miembros liquidadores. El proceso y requisitos de vinculación de los agentes deben ser públicos y estar disponibles.</w:t>
            </w:r>
            <w:r w:rsidRPr="00CF7532">
              <w:rPr>
                <w:rFonts w:ascii="Calibri" w:hAnsi="Calibri"/>
                <w:sz w:val="18"/>
                <w:szCs w:val="18"/>
                <w:lang w:val="es-CO" w:eastAsia="es-CO"/>
              </w:rPr>
              <w:br/>
            </w:r>
          </w:p>
          <w:p w14:paraId="0936593D" w14:textId="47AD55F2" w:rsidR="00CF7532" w:rsidRPr="00CF7532" w:rsidRDefault="00CF7532">
            <w:pPr>
              <w:spacing w:before="0" w:after="0"/>
              <w:jc w:val="left"/>
              <w:rPr>
                <w:rFonts w:ascii="Calibri" w:hAnsi="Calibri"/>
                <w:sz w:val="18"/>
                <w:szCs w:val="18"/>
                <w:lang w:val="es-CO" w:eastAsia="es-CO"/>
              </w:rPr>
            </w:pPr>
            <w:r w:rsidRPr="00CF7532">
              <w:rPr>
                <w:rFonts w:ascii="Calibri" w:hAnsi="Calibri"/>
                <w:sz w:val="18"/>
                <w:szCs w:val="18"/>
                <w:lang w:val="es-CO" w:eastAsia="es-CO"/>
              </w:rPr>
              <w:t xml:space="preserve">Adicionalmente, las operaciones responden a la relación contractual a través de contratos de comisión entre los miembros liquidadores y los agentes que quieran participar. </w:t>
            </w:r>
            <w:r w:rsidRPr="00CF7532">
              <w:rPr>
                <w:rFonts w:ascii="Calibri" w:hAnsi="Calibri"/>
                <w:sz w:val="18"/>
                <w:szCs w:val="18"/>
                <w:lang w:val="es-CO" w:eastAsia="es-CO"/>
              </w:rPr>
              <w:br/>
            </w:r>
            <w:r w:rsidRPr="00CF7532">
              <w:rPr>
                <w:rFonts w:ascii="Calibri" w:hAnsi="Calibri"/>
                <w:sz w:val="18"/>
                <w:szCs w:val="18"/>
                <w:lang w:val="es-CO" w:eastAsia="es-CO"/>
              </w:rPr>
              <w:br/>
              <w:t>La publicación de las condiciones de vinculación y el contrato de comisión son objeto de supervisión de la SFC.</w:t>
            </w:r>
          </w:p>
        </w:tc>
      </w:tr>
      <w:tr w:rsidR="00CF7532" w:rsidRPr="00CF7532" w14:paraId="7E4FD686" w14:textId="77777777" w:rsidTr="00D31EE1">
        <w:trPr>
          <w:trHeight w:val="1530"/>
        </w:trPr>
        <w:tc>
          <w:tcPr>
            <w:tcW w:w="1696" w:type="dxa"/>
            <w:tcBorders>
              <w:top w:val="nil"/>
              <w:left w:val="single" w:sz="4" w:space="0" w:color="auto"/>
              <w:bottom w:val="single" w:sz="4" w:space="0" w:color="auto"/>
              <w:right w:val="single" w:sz="4" w:space="0" w:color="auto"/>
            </w:tcBorders>
            <w:shd w:val="clear" w:color="000000" w:fill="EDEDED"/>
            <w:hideMark/>
          </w:tcPr>
          <w:p w14:paraId="6FE9B735" w14:textId="77777777" w:rsidR="00CF7532" w:rsidRPr="00CF7532" w:rsidRDefault="00CF7532">
            <w:pPr>
              <w:spacing w:before="0" w:after="0"/>
              <w:jc w:val="left"/>
              <w:rPr>
                <w:rFonts w:ascii="Calibri" w:hAnsi="Calibri"/>
                <w:b/>
                <w:bCs/>
                <w:sz w:val="18"/>
                <w:szCs w:val="18"/>
                <w:lang w:val="es-CO" w:eastAsia="es-CO"/>
              </w:rPr>
            </w:pPr>
            <w:r w:rsidRPr="00CF7532">
              <w:rPr>
                <w:rFonts w:ascii="Calibri" w:hAnsi="Calibri"/>
                <w:b/>
                <w:bCs/>
                <w:sz w:val="18"/>
                <w:szCs w:val="18"/>
                <w:lang w:val="es-CO" w:eastAsia="es-CO"/>
              </w:rPr>
              <w:t>Referencia en la propuesta</w:t>
            </w:r>
          </w:p>
        </w:tc>
        <w:tc>
          <w:tcPr>
            <w:tcW w:w="7650" w:type="dxa"/>
            <w:tcBorders>
              <w:top w:val="single" w:sz="4" w:space="0" w:color="auto"/>
              <w:left w:val="nil"/>
              <w:bottom w:val="single" w:sz="4" w:space="0" w:color="auto"/>
              <w:right w:val="single" w:sz="4" w:space="0" w:color="auto"/>
            </w:tcBorders>
            <w:shd w:val="clear" w:color="auto" w:fill="auto"/>
            <w:hideMark/>
          </w:tcPr>
          <w:p w14:paraId="742659CC" w14:textId="77777777" w:rsidR="00CF7532" w:rsidRPr="00CF7532" w:rsidRDefault="00CF7532">
            <w:pPr>
              <w:spacing w:before="0" w:after="0"/>
              <w:jc w:val="left"/>
              <w:rPr>
                <w:rFonts w:ascii="Calibri" w:hAnsi="Calibri"/>
                <w:sz w:val="18"/>
                <w:szCs w:val="18"/>
                <w:lang w:val="es-CO" w:eastAsia="es-CO"/>
              </w:rPr>
            </w:pPr>
            <w:r w:rsidRPr="00CF7532">
              <w:rPr>
                <w:rFonts w:ascii="Calibri" w:hAnsi="Calibri"/>
                <w:sz w:val="18"/>
                <w:szCs w:val="18"/>
                <w:lang w:val="es-CO" w:eastAsia="es-CO"/>
              </w:rPr>
              <w:t xml:space="preserve">1. </w:t>
            </w:r>
            <w:r w:rsidRPr="00CF7532">
              <w:rPr>
                <w:rFonts w:ascii="Calibri" w:hAnsi="Calibri"/>
                <w:b/>
                <w:bCs/>
                <w:sz w:val="18"/>
                <w:szCs w:val="18"/>
                <w:lang w:val="es-CO" w:eastAsia="es-CO"/>
              </w:rPr>
              <w:t xml:space="preserve">Numeral 10.1 de la propuesta: </w:t>
            </w:r>
            <w:r w:rsidRPr="00CF7532">
              <w:rPr>
                <w:rFonts w:ascii="Calibri" w:hAnsi="Calibri"/>
                <w:sz w:val="18"/>
                <w:szCs w:val="18"/>
                <w:lang w:val="es-CO" w:eastAsia="es-CO"/>
              </w:rPr>
              <w:t xml:space="preserve">Criterios para la Admisión y Desvinculación de los Participantes – </w:t>
            </w:r>
            <w:proofErr w:type="spellStart"/>
            <w:r w:rsidRPr="00CF7532">
              <w:rPr>
                <w:rFonts w:ascii="Calibri" w:hAnsi="Calibri"/>
                <w:sz w:val="18"/>
                <w:szCs w:val="18"/>
                <w:lang w:val="es-CO" w:eastAsia="es-CO"/>
              </w:rPr>
              <w:t>Derivex</w:t>
            </w:r>
            <w:proofErr w:type="spellEnd"/>
            <w:r w:rsidRPr="00CF7532">
              <w:rPr>
                <w:rFonts w:ascii="Calibri" w:hAnsi="Calibri"/>
                <w:sz w:val="18"/>
                <w:szCs w:val="18"/>
                <w:lang w:val="es-CO" w:eastAsia="es-CO"/>
              </w:rPr>
              <w:t xml:space="preserve">. "(...) existen normas referentes a la admisión y desvinculación de participantes, que establecen tanto los deberes de los sistemas, como los requisitos de participación, los cuales deben ser desarrollados en detalle en los reglamentos y circulares de los respectivos sistemas. </w:t>
            </w:r>
            <w:r w:rsidRPr="00CF7532">
              <w:rPr>
                <w:rFonts w:ascii="Calibri" w:hAnsi="Calibri"/>
                <w:sz w:val="18"/>
                <w:szCs w:val="18"/>
                <w:lang w:val="es-CO" w:eastAsia="es-CO"/>
              </w:rPr>
              <w:br/>
              <w:t>(...) es deber de las entidades administradoras de sistemas de negociación de valores y registro de operaciones “Recibir, evaluar, tramitar y decidir las solicitudes de afiliación al sistema o sistemas que administre. Para tal efecto, deberá establecer en su reglamento criterios de admisión que garanticen la igualdad de condiciones para los postulantes”</w:t>
            </w:r>
          </w:p>
        </w:tc>
      </w:tr>
      <w:tr w:rsidR="00CF7532" w:rsidRPr="00CF7532" w14:paraId="2CE65C81" w14:textId="77777777" w:rsidTr="00D31EE1">
        <w:trPr>
          <w:trHeight w:val="1916"/>
        </w:trPr>
        <w:tc>
          <w:tcPr>
            <w:tcW w:w="1696" w:type="dxa"/>
            <w:tcBorders>
              <w:top w:val="single" w:sz="4" w:space="0" w:color="auto"/>
              <w:left w:val="single" w:sz="4" w:space="0" w:color="auto"/>
              <w:bottom w:val="single" w:sz="4" w:space="0" w:color="auto"/>
              <w:right w:val="single" w:sz="4" w:space="0" w:color="auto"/>
            </w:tcBorders>
            <w:shd w:val="clear" w:color="000000" w:fill="EDEDED"/>
            <w:hideMark/>
          </w:tcPr>
          <w:p w14:paraId="57E5D6C7" w14:textId="77777777" w:rsidR="00CF7532" w:rsidRPr="00CF7532" w:rsidRDefault="00CF7532">
            <w:pPr>
              <w:spacing w:before="0" w:after="0"/>
              <w:jc w:val="left"/>
              <w:rPr>
                <w:rFonts w:ascii="Calibri" w:hAnsi="Calibri"/>
                <w:b/>
                <w:bCs/>
                <w:sz w:val="18"/>
                <w:szCs w:val="18"/>
                <w:lang w:val="es-CO" w:eastAsia="es-CO"/>
              </w:rPr>
            </w:pPr>
            <w:r w:rsidRPr="00CF7532">
              <w:rPr>
                <w:rFonts w:ascii="Calibri" w:hAnsi="Calibri"/>
                <w:b/>
                <w:bCs/>
                <w:sz w:val="18"/>
                <w:szCs w:val="18"/>
                <w:lang w:val="es-CO" w:eastAsia="es-CO"/>
              </w:rPr>
              <w:t>Juan Pablo Amorocho</w:t>
            </w:r>
            <w:r w:rsidRPr="00CF7532">
              <w:rPr>
                <w:rFonts w:ascii="Calibri" w:hAnsi="Calibri"/>
                <w:b/>
                <w:bCs/>
                <w:sz w:val="18"/>
                <w:szCs w:val="18"/>
                <w:lang w:val="es-CO" w:eastAsia="es-CO"/>
              </w:rPr>
              <w:br/>
              <w:t>(Mercados)</w:t>
            </w:r>
          </w:p>
        </w:tc>
        <w:tc>
          <w:tcPr>
            <w:tcW w:w="7650" w:type="dxa"/>
            <w:tcBorders>
              <w:top w:val="single" w:sz="4" w:space="0" w:color="auto"/>
              <w:left w:val="single" w:sz="4" w:space="0" w:color="auto"/>
              <w:bottom w:val="single" w:sz="4" w:space="0" w:color="auto"/>
              <w:right w:val="single" w:sz="4" w:space="0" w:color="auto"/>
            </w:tcBorders>
            <w:shd w:val="clear" w:color="auto" w:fill="auto"/>
            <w:hideMark/>
          </w:tcPr>
          <w:p w14:paraId="276D7320" w14:textId="37742F50" w:rsidR="00CF7532" w:rsidRPr="00CF7532" w:rsidRDefault="00CF7532">
            <w:pPr>
              <w:spacing w:before="0" w:after="0"/>
              <w:jc w:val="left"/>
              <w:rPr>
                <w:rFonts w:ascii="Calibri" w:hAnsi="Calibri"/>
                <w:sz w:val="18"/>
                <w:szCs w:val="18"/>
                <w:lang w:val="es-CO" w:eastAsia="es-CO"/>
              </w:rPr>
            </w:pPr>
            <w:r w:rsidRPr="00CF7532">
              <w:rPr>
                <w:rFonts w:ascii="Calibri" w:hAnsi="Calibri"/>
                <w:sz w:val="18"/>
                <w:szCs w:val="18"/>
                <w:lang w:val="es-CO" w:eastAsia="es-CO"/>
              </w:rPr>
              <w:t>Pág. 6</w:t>
            </w:r>
            <w:r w:rsidRPr="00CF7532">
              <w:rPr>
                <w:rFonts w:ascii="Calibri" w:hAnsi="Calibri"/>
                <w:sz w:val="18"/>
                <w:szCs w:val="18"/>
                <w:lang w:val="es-CO" w:eastAsia="es-CO"/>
              </w:rPr>
              <w:br/>
              <w:t>(...)</w:t>
            </w:r>
            <w:r w:rsidRPr="00CF7532">
              <w:rPr>
                <w:rFonts w:ascii="Calibri" w:hAnsi="Calibri"/>
                <w:sz w:val="18"/>
                <w:szCs w:val="18"/>
                <w:lang w:val="es-CO" w:eastAsia="es-CO"/>
              </w:rPr>
              <w:br/>
              <w:t xml:space="preserve">"Estos requisitos permiten el buen funcionamiento de los sistemas de negociación y registro; por un lado se garantiza el profesionalismo en la creación de precio y su respectivo cierre, por otro lado se </w:t>
            </w:r>
            <w:proofErr w:type="spellStart"/>
            <w:r w:rsidRPr="00CF7532">
              <w:rPr>
                <w:rFonts w:ascii="Calibri" w:hAnsi="Calibri"/>
                <w:sz w:val="18"/>
                <w:szCs w:val="18"/>
                <w:lang w:val="es-CO" w:eastAsia="es-CO"/>
              </w:rPr>
              <w:t>garatiza</w:t>
            </w:r>
            <w:proofErr w:type="spellEnd"/>
            <w:r w:rsidRPr="00CF7532">
              <w:rPr>
                <w:rFonts w:ascii="Calibri" w:hAnsi="Calibri"/>
                <w:sz w:val="18"/>
                <w:szCs w:val="18"/>
                <w:lang w:val="es-CO" w:eastAsia="es-CO"/>
              </w:rPr>
              <w:t xml:space="preserve"> que los participantes conocen toda la normatividad de la ley  valores que describe este tipo de productos y que todos los actores tienen las mismas </w:t>
            </w:r>
            <w:proofErr w:type="spellStart"/>
            <w:r w:rsidRPr="00CF7532">
              <w:rPr>
                <w:rFonts w:ascii="Calibri" w:hAnsi="Calibri"/>
                <w:sz w:val="18"/>
                <w:szCs w:val="18"/>
                <w:lang w:val="es-CO" w:eastAsia="es-CO"/>
              </w:rPr>
              <w:t>oporunidades</w:t>
            </w:r>
            <w:proofErr w:type="spellEnd"/>
            <w:r w:rsidRPr="00CF7532">
              <w:rPr>
                <w:rFonts w:ascii="Calibri" w:hAnsi="Calibri"/>
                <w:sz w:val="18"/>
                <w:szCs w:val="18"/>
                <w:lang w:val="es-CO" w:eastAsia="es-CO"/>
              </w:rPr>
              <w:t xml:space="preserve"> de acceso a los precios e información del mercado y hay un mínimo de requisitos tecnológicos que beneficia el adecuado funcionamiento del sistema."</w:t>
            </w:r>
            <w:r w:rsidRPr="00CF7532">
              <w:rPr>
                <w:rFonts w:ascii="Calibri" w:hAnsi="Calibri"/>
                <w:sz w:val="18"/>
                <w:szCs w:val="18"/>
                <w:lang w:val="es-CO" w:eastAsia="es-CO"/>
              </w:rPr>
              <w:br/>
            </w:r>
            <w:r w:rsidRPr="00CF7532">
              <w:rPr>
                <w:rFonts w:ascii="Calibri" w:hAnsi="Calibri"/>
                <w:sz w:val="18"/>
                <w:szCs w:val="18"/>
                <w:lang w:val="es-CO" w:eastAsia="es-CO"/>
              </w:rPr>
              <w:br/>
              <w:t>Pág. 9</w:t>
            </w:r>
            <w:r w:rsidRPr="00CF7532">
              <w:rPr>
                <w:rFonts w:ascii="Calibri" w:hAnsi="Calibri"/>
                <w:sz w:val="18"/>
                <w:szCs w:val="18"/>
                <w:lang w:val="es-CO" w:eastAsia="es-CO"/>
              </w:rPr>
              <w:br/>
              <w:t>"(...)</w:t>
            </w:r>
            <w:r w:rsidRPr="00CF7532">
              <w:rPr>
                <w:rFonts w:ascii="Calibri" w:hAnsi="Calibri"/>
                <w:sz w:val="18"/>
                <w:szCs w:val="18"/>
                <w:lang w:val="es-CO" w:eastAsia="es-CO"/>
              </w:rPr>
              <w:br/>
              <w:t>Cada uno de los clientes debe surtir un proceso de vinculación donde de verifican su solvencia económica, las atribuciones de las personas para comprometer a las empresas y la idoneidad desde el punto de vista de lavado de activos y financiación del terrorismo. Esta vinculación activa el contrato de comisión por las dos partes. "</w:t>
            </w:r>
            <w:r w:rsidRPr="00CF7532">
              <w:rPr>
                <w:rFonts w:ascii="Calibri" w:hAnsi="Calibri"/>
                <w:sz w:val="18"/>
                <w:szCs w:val="18"/>
                <w:lang w:val="es-CO" w:eastAsia="es-CO"/>
              </w:rPr>
              <w:br/>
            </w:r>
            <w:r w:rsidRPr="00CF7532">
              <w:rPr>
                <w:rFonts w:ascii="Calibri" w:hAnsi="Calibri"/>
                <w:sz w:val="18"/>
                <w:szCs w:val="18"/>
                <w:lang w:val="es-CO" w:eastAsia="es-CO"/>
              </w:rPr>
              <w:br/>
            </w:r>
            <w:proofErr w:type="spellStart"/>
            <w:r w:rsidRPr="00CF7532">
              <w:rPr>
                <w:rFonts w:ascii="Calibri" w:hAnsi="Calibri"/>
                <w:sz w:val="18"/>
                <w:szCs w:val="18"/>
                <w:lang w:val="es-CO" w:eastAsia="es-CO"/>
              </w:rPr>
              <w:t>Pág</w:t>
            </w:r>
            <w:proofErr w:type="spellEnd"/>
            <w:r w:rsidRPr="00CF7532">
              <w:rPr>
                <w:rFonts w:ascii="Calibri" w:hAnsi="Calibri"/>
                <w:sz w:val="18"/>
                <w:szCs w:val="18"/>
                <w:lang w:val="es-CO" w:eastAsia="es-CO"/>
              </w:rPr>
              <w:t xml:space="preserve"> 10</w:t>
            </w:r>
            <w:r w:rsidRPr="00CF7532">
              <w:rPr>
                <w:rFonts w:ascii="Calibri" w:hAnsi="Calibri"/>
                <w:sz w:val="18"/>
                <w:szCs w:val="18"/>
                <w:lang w:val="es-CO" w:eastAsia="es-CO"/>
              </w:rPr>
              <w:br/>
              <w:t xml:space="preserve">"El esquema que tiene </w:t>
            </w:r>
            <w:proofErr w:type="spellStart"/>
            <w:r w:rsidRPr="00CF7532">
              <w:rPr>
                <w:rFonts w:ascii="Calibri" w:hAnsi="Calibri"/>
                <w:sz w:val="18"/>
                <w:szCs w:val="18"/>
                <w:lang w:val="es-CO" w:eastAsia="es-CO"/>
              </w:rPr>
              <w:t>Derivex</w:t>
            </w:r>
            <w:proofErr w:type="spellEnd"/>
            <w:r w:rsidRPr="00CF7532">
              <w:rPr>
                <w:rFonts w:ascii="Calibri" w:hAnsi="Calibri"/>
                <w:sz w:val="18"/>
                <w:szCs w:val="18"/>
                <w:lang w:val="es-CO" w:eastAsia="es-CO"/>
              </w:rPr>
              <w:t>, permite garantizar que las personas naturales o jurídicas que van a participar o participan en este mercado; están debidamente asesoradas y entienden la estructura, las obligaciones y los riesgos que corren al efectuar dichas operaciones. Cada uno de los clientes debe surtir un proceso de vinculación donde de verifican su solvencia económica, las atribuciones de las personas para comprometer a las empresas y la idoneidad desde el punto de vista de lavado de activos y financiación del terrorismo."</w:t>
            </w:r>
            <w:r w:rsidRPr="00CF7532">
              <w:rPr>
                <w:rFonts w:ascii="Calibri" w:hAnsi="Calibri"/>
                <w:sz w:val="18"/>
                <w:szCs w:val="18"/>
                <w:lang w:val="es-CO" w:eastAsia="es-CO"/>
              </w:rPr>
              <w:br/>
            </w:r>
            <w:r w:rsidRPr="00CF7532">
              <w:rPr>
                <w:rFonts w:ascii="Calibri" w:hAnsi="Calibri"/>
                <w:sz w:val="18"/>
                <w:szCs w:val="18"/>
                <w:lang w:val="es-CO" w:eastAsia="es-CO"/>
              </w:rPr>
              <w:br/>
              <w:t>Pág. 18</w:t>
            </w:r>
            <w:r w:rsidRPr="00CF7532">
              <w:rPr>
                <w:rFonts w:ascii="Calibri" w:hAnsi="Calibri"/>
                <w:sz w:val="18"/>
                <w:szCs w:val="18"/>
                <w:lang w:val="es-CO" w:eastAsia="es-CO"/>
              </w:rPr>
              <w:br/>
              <w:t>"Por otro lado, los clientes de los miembros deben cumplir con un proceso de vinculación con el miembro a través del cual desean operar; donde deben demostrar su capacidad económica, autorizaciones de la junta directiva u órgano correspondiente para comprometer a la entidad en las operaciones que va a realizar, composición accionaria, entre otros requisitos que cada Miembro podrá exigir. Con la vinculación se entiende que se firma el contrato de comisión.</w:t>
            </w:r>
            <w:r w:rsidRPr="00CF7532">
              <w:rPr>
                <w:rFonts w:ascii="Calibri" w:hAnsi="Calibri"/>
                <w:sz w:val="18"/>
                <w:szCs w:val="18"/>
                <w:lang w:val="es-CO" w:eastAsia="es-CO"/>
              </w:rPr>
              <w:br/>
              <w:t xml:space="preserve">(...) </w:t>
            </w:r>
            <w:proofErr w:type="gramStart"/>
            <w:r w:rsidRPr="00CF7532">
              <w:rPr>
                <w:rFonts w:ascii="Calibri" w:hAnsi="Calibri"/>
                <w:sz w:val="18"/>
                <w:szCs w:val="18"/>
                <w:lang w:val="es-CO" w:eastAsia="es-CO"/>
              </w:rPr>
              <w:t>De acuerdo al</w:t>
            </w:r>
            <w:proofErr w:type="gramEnd"/>
            <w:r w:rsidRPr="00CF7532">
              <w:rPr>
                <w:rFonts w:ascii="Calibri" w:hAnsi="Calibri"/>
                <w:sz w:val="18"/>
                <w:szCs w:val="18"/>
                <w:lang w:val="es-CO" w:eastAsia="es-CO"/>
              </w:rPr>
              <w:t xml:space="preserve"> estudio, no existe ninguna limitación o diferenciación para una empresa generadora o </w:t>
            </w:r>
            <w:proofErr w:type="spellStart"/>
            <w:r w:rsidRPr="00CF7532">
              <w:rPr>
                <w:rFonts w:ascii="Calibri" w:hAnsi="Calibri"/>
                <w:sz w:val="18"/>
                <w:szCs w:val="18"/>
                <w:lang w:val="es-CO" w:eastAsia="es-CO"/>
              </w:rPr>
              <w:t>comercalizadora</w:t>
            </w:r>
            <w:proofErr w:type="spellEnd"/>
            <w:r w:rsidRPr="00CF7532">
              <w:rPr>
                <w:rFonts w:ascii="Calibri" w:hAnsi="Calibri"/>
                <w:sz w:val="18"/>
                <w:szCs w:val="18"/>
                <w:lang w:val="es-CO" w:eastAsia="es-CO"/>
              </w:rPr>
              <w:t xml:space="preserve"> de energía. Los miembros de </w:t>
            </w:r>
            <w:proofErr w:type="spellStart"/>
            <w:r w:rsidRPr="00CF7532">
              <w:rPr>
                <w:rFonts w:ascii="Calibri" w:hAnsi="Calibri"/>
                <w:sz w:val="18"/>
                <w:szCs w:val="18"/>
                <w:lang w:val="es-CO" w:eastAsia="es-CO"/>
              </w:rPr>
              <w:t>Derivex</w:t>
            </w:r>
            <w:proofErr w:type="spellEnd"/>
            <w:r w:rsidRPr="00CF7532">
              <w:rPr>
                <w:rFonts w:ascii="Calibri" w:hAnsi="Calibri"/>
                <w:sz w:val="18"/>
                <w:szCs w:val="18"/>
                <w:lang w:val="es-CO" w:eastAsia="es-CO"/>
              </w:rPr>
              <w:t xml:space="preserve"> son conscientes de la necesidad de </w:t>
            </w:r>
            <w:proofErr w:type="spellStart"/>
            <w:r w:rsidRPr="00CF7532">
              <w:rPr>
                <w:rFonts w:ascii="Calibri" w:hAnsi="Calibri"/>
                <w:sz w:val="18"/>
                <w:szCs w:val="18"/>
                <w:lang w:val="es-CO" w:eastAsia="es-CO"/>
              </w:rPr>
              <w:t>multiples</w:t>
            </w:r>
            <w:proofErr w:type="spellEnd"/>
            <w:r w:rsidRPr="00CF7532">
              <w:rPr>
                <w:rFonts w:ascii="Calibri" w:hAnsi="Calibri"/>
                <w:sz w:val="18"/>
                <w:szCs w:val="18"/>
                <w:lang w:val="es-CO" w:eastAsia="es-CO"/>
              </w:rPr>
              <w:t xml:space="preserve"> actores en las pantallas de negociación que permitan dar liquidez al mecanismo y así lograr un volumen de cierre superior y mejores precios"</w:t>
            </w:r>
            <w:r w:rsidRPr="00CF7532">
              <w:rPr>
                <w:rFonts w:ascii="Calibri" w:hAnsi="Calibri"/>
                <w:sz w:val="18"/>
                <w:szCs w:val="18"/>
                <w:lang w:val="es-CO" w:eastAsia="es-CO"/>
              </w:rPr>
              <w:br/>
            </w:r>
            <w:r w:rsidRPr="00CF7532">
              <w:rPr>
                <w:rFonts w:ascii="Calibri" w:hAnsi="Calibri"/>
                <w:sz w:val="18"/>
                <w:szCs w:val="18"/>
                <w:lang w:val="es-CO" w:eastAsia="es-CO"/>
              </w:rPr>
              <w:br/>
              <w:t>Pág. 19</w:t>
            </w:r>
            <w:r w:rsidRPr="00CF7532">
              <w:rPr>
                <w:rFonts w:ascii="Calibri" w:hAnsi="Calibri"/>
                <w:sz w:val="18"/>
                <w:szCs w:val="18"/>
                <w:lang w:val="es-CO" w:eastAsia="es-CO"/>
              </w:rPr>
              <w:br/>
              <w:t xml:space="preserve">"las entidades deben tener mecanismos claros de admisión para </w:t>
            </w:r>
            <w:proofErr w:type="spellStart"/>
            <w:r w:rsidRPr="00CF7532">
              <w:rPr>
                <w:rFonts w:ascii="Calibri" w:hAnsi="Calibri"/>
                <w:sz w:val="18"/>
                <w:szCs w:val="18"/>
                <w:lang w:val="es-CO" w:eastAsia="es-CO"/>
              </w:rPr>
              <w:t>cuaquier</w:t>
            </w:r>
            <w:proofErr w:type="spellEnd"/>
            <w:r w:rsidRPr="00CF7532">
              <w:rPr>
                <w:rFonts w:ascii="Calibri" w:hAnsi="Calibri"/>
                <w:sz w:val="18"/>
                <w:szCs w:val="18"/>
                <w:lang w:val="es-CO" w:eastAsia="es-CO"/>
              </w:rPr>
              <w:t xml:space="preserve"> cliente. </w:t>
            </w:r>
            <w:r w:rsidRPr="00CF7532">
              <w:rPr>
                <w:rFonts w:ascii="Calibri" w:hAnsi="Calibri"/>
                <w:sz w:val="18"/>
                <w:szCs w:val="18"/>
                <w:lang w:val="es-CO" w:eastAsia="es-CO"/>
              </w:rPr>
              <w:br/>
              <w:t xml:space="preserve">(...) La mayoría de </w:t>
            </w:r>
            <w:proofErr w:type="spellStart"/>
            <w:r w:rsidRPr="00CF7532">
              <w:rPr>
                <w:rFonts w:ascii="Calibri" w:hAnsi="Calibri"/>
                <w:sz w:val="18"/>
                <w:szCs w:val="18"/>
                <w:lang w:val="es-CO" w:eastAsia="es-CO"/>
              </w:rPr>
              <w:t>Compañias</w:t>
            </w:r>
            <w:proofErr w:type="spellEnd"/>
            <w:r w:rsidRPr="00CF7532">
              <w:rPr>
                <w:rFonts w:ascii="Calibri" w:hAnsi="Calibri"/>
                <w:sz w:val="18"/>
                <w:szCs w:val="18"/>
                <w:lang w:val="es-CO" w:eastAsia="es-CO"/>
              </w:rPr>
              <w:t xml:space="preserve"> Comisionistas de Bolsa en su página de internet publican los requisitos para ser vinculados como clientes. Estos procesos no son </w:t>
            </w:r>
            <w:proofErr w:type="spellStart"/>
            <w:r w:rsidRPr="00CF7532">
              <w:rPr>
                <w:rFonts w:ascii="Calibri" w:hAnsi="Calibri"/>
                <w:sz w:val="18"/>
                <w:szCs w:val="18"/>
                <w:lang w:val="es-CO" w:eastAsia="es-CO"/>
              </w:rPr>
              <w:t>automaticos</w:t>
            </w:r>
            <w:proofErr w:type="spellEnd"/>
            <w:r w:rsidRPr="00CF7532">
              <w:rPr>
                <w:rFonts w:ascii="Calibri" w:hAnsi="Calibri"/>
                <w:sz w:val="18"/>
                <w:szCs w:val="18"/>
                <w:lang w:val="es-CO" w:eastAsia="es-CO"/>
              </w:rPr>
              <w:t xml:space="preserve"> ya que deben pasar por listas restrictivas y en el caso de derivados por </w:t>
            </w:r>
            <w:proofErr w:type="spellStart"/>
            <w:r w:rsidRPr="00CF7532">
              <w:rPr>
                <w:rFonts w:ascii="Calibri" w:hAnsi="Calibri"/>
                <w:sz w:val="18"/>
                <w:szCs w:val="18"/>
                <w:lang w:val="es-CO" w:eastAsia="es-CO"/>
              </w:rPr>
              <w:t>comites</w:t>
            </w:r>
            <w:proofErr w:type="spellEnd"/>
            <w:r w:rsidRPr="00CF7532">
              <w:rPr>
                <w:rFonts w:ascii="Calibri" w:hAnsi="Calibri"/>
                <w:sz w:val="18"/>
                <w:szCs w:val="18"/>
                <w:lang w:val="es-CO" w:eastAsia="es-CO"/>
              </w:rPr>
              <w:t xml:space="preserve"> de crédito que asignen los cupos con los cuales cada empresa podrá participar en cada uno de los mercados."</w:t>
            </w:r>
          </w:p>
        </w:tc>
      </w:tr>
      <w:tr w:rsidR="00CF7532" w:rsidRPr="00CF7532" w14:paraId="770096BB" w14:textId="77777777" w:rsidTr="00D31EE1">
        <w:trPr>
          <w:trHeight w:val="480"/>
        </w:trPr>
        <w:tc>
          <w:tcPr>
            <w:tcW w:w="1696" w:type="dxa"/>
            <w:tcBorders>
              <w:top w:val="single" w:sz="4" w:space="0" w:color="auto"/>
              <w:left w:val="single" w:sz="4" w:space="0" w:color="auto"/>
              <w:bottom w:val="single" w:sz="4" w:space="0" w:color="auto"/>
              <w:right w:val="single" w:sz="4" w:space="0" w:color="auto"/>
            </w:tcBorders>
            <w:shd w:val="clear" w:color="000000" w:fill="EDEDED"/>
            <w:hideMark/>
          </w:tcPr>
          <w:p w14:paraId="1C779E74" w14:textId="77777777" w:rsidR="00CF7532" w:rsidRPr="00CF7532" w:rsidRDefault="00CF7532">
            <w:pPr>
              <w:spacing w:before="0" w:after="0"/>
              <w:jc w:val="left"/>
              <w:rPr>
                <w:rFonts w:ascii="Calibri" w:hAnsi="Calibri"/>
                <w:b/>
                <w:bCs/>
                <w:sz w:val="18"/>
                <w:szCs w:val="18"/>
                <w:lang w:val="es-CO" w:eastAsia="es-CO"/>
              </w:rPr>
            </w:pPr>
            <w:r w:rsidRPr="00CF7532">
              <w:rPr>
                <w:rFonts w:ascii="Calibri" w:hAnsi="Calibri"/>
                <w:b/>
                <w:bCs/>
                <w:sz w:val="18"/>
                <w:szCs w:val="18"/>
                <w:lang w:val="es-CO" w:eastAsia="es-CO"/>
              </w:rPr>
              <w:t>Diego Jara</w:t>
            </w:r>
            <w:r w:rsidRPr="00CF7532">
              <w:rPr>
                <w:rFonts w:ascii="Calibri" w:hAnsi="Calibri"/>
                <w:b/>
                <w:bCs/>
                <w:sz w:val="18"/>
                <w:szCs w:val="18"/>
                <w:lang w:val="es-CO" w:eastAsia="es-CO"/>
              </w:rPr>
              <w:br/>
              <w:t>(Riesgos)</w:t>
            </w:r>
          </w:p>
        </w:tc>
        <w:tc>
          <w:tcPr>
            <w:tcW w:w="7650" w:type="dxa"/>
            <w:tcBorders>
              <w:top w:val="single" w:sz="4" w:space="0" w:color="auto"/>
              <w:left w:val="nil"/>
              <w:bottom w:val="single" w:sz="4" w:space="0" w:color="auto"/>
              <w:right w:val="single" w:sz="4" w:space="0" w:color="auto"/>
            </w:tcBorders>
            <w:shd w:val="clear" w:color="auto" w:fill="auto"/>
            <w:hideMark/>
          </w:tcPr>
          <w:p w14:paraId="34067699" w14:textId="77777777" w:rsidR="00CF7532" w:rsidRPr="00CF7532" w:rsidRDefault="00CF7532">
            <w:pPr>
              <w:spacing w:before="0" w:after="0"/>
              <w:jc w:val="center"/>
              <w:rPr>
                <w:rFonts w:ascii="Calibri" w:hAnsi="Calibri"/>
                <w:sz w:val="18"/>
                <w:szCs w:val="18"/>
                <w:lang w:val="es-CO" w:eastAsia="es-CO"/>
              </w:rPr>
            </w:pPr>
            <w:r w:rsidRPr="00CF7532">
              <w:rPr>
                <w:rFonts w:ascii="Calibri" w:hAnsi="Calibri"/>
                <w:sz w:val="18"/>
                <w:szCs w:val="18"/>
                <w:lang w:val="es-CO" w:eastAsia="es-CO"/>
              </w:rPr>
              <w:t> </w:t>
            </w:r>
          </w:p>
        </w:tc>
      </w:tr>
      <w:tr w:rsidR="00CF7532" w:rsidRPr="00CF7532" w14:paraId="0C092EC9" w14:textId="77777777" w:rsidTr="00D31EE1">
        <w:trPr>
          <w:trHeight w:val="3254"/>
        </w:trPr>
        <w:tc>
          <w:tcPr>
            <w:tcW w:w="1696" w:type="dxa"/>
            <w:tcBorders>
              <w:top w:val="single" w:sz="4" w:space="0" w:color="auto"/>
              <w:left w:val="single" w:sz="4" w:space="0" w:color="auto"/>
              <w:bottom w:val="single" w:sz="4" w:space="0" w:color="auto"/>
              <w:right w:val="single" w:sz="4" w:space="0" w:color="auto"/>
            </w:tcBorders>
            <w:shd w:val="clear" w:color="000000" w:fill="EDEDED"/>
            <w:hideMark/>
          </w:tcPr>
          <w:p w14:paraId="6CA38B40" w14:textId="77777777" w:rsidR="00CF7532" w:rsidRPr="00CF7532" w:rsidRDefault="00CF7532">
            <w:pPr>
              <w:spacing w:before="0" w:after="0"/>
              <w:jc w:val="left"/>
              <w:rPr>
                <w:rFonts w:ascii="Calibri" w:hAnsi="Calibri"/>
                <w:b/>
                <w:bCs/>
                <w:sz w:val="18"/>
                <w:szCs w:val="18"/>
                <w:lang w:val="es-CO" w:eastAsia="es-CO"/>
              </w:rPr>
            </w:pPr>
            <w:r w:rsidRPr="00CF7532">
              <w:rPr>
                <w:rFonts w:ascii="Calibri" w:hAnsi="Calibri"/>
                <w:b/>
                <w:bCs/>
                <w:sz w:val="18"/>
                <w:szCs w:val="18"/>
                <w:lang w:val="es-CO" w:eastAsia="es-CO"/>
              </w:rPr>
              <w:lastRenderedPageBreak/>
              <w:t>Roberto Borrás</w:t>
            </w:r>
            <w:r w:rsidRPr="00CF7532">
              <w:rPr>
                <w:rFonts w:ascii="Calibri" w:hAnsi="Calibri"/>
                <w:b/>
                <w:bCs/>
                <w:sz w:val="18"/>
                <w:szCs w:val="18"/>
                <w:lang w:val="es-CO" w:eastAsia="es-CO"/>
              </w:rPr>
              <w:br/>
              <w:t>(Gobierno corporativo)</w:t>
            </w:r>
          </w:p>
        </w:tc>
        <w:tc>
          <w:tcPr>
            <w:tcW w:w="7650" w:type="dxa"/>
            <w:tcBorders>
              <w:top w:val="single" w:sz="4" w:space="0" w:color="auto"/>
              <w:left w:val="single" w:sz="4" w:space="0" w:color="auto"/>
              <w:bottom w:val="single" w:sz="4" w:space="0" w:color="auto"/>
              <w:right w:val="single" w:sz="4" w:space="0" w:color="auto"/>
            </w:tcBorders>
            <w:shd w:val="clear" w:color="auto" w:fill="auto"/>
            <w:hideMark/>
          </w:tcPr>
          <w:p w14:paraId="59221840" w14:textId="77777777" w:rsidR="00CF7532" w:rsidRPr="00CF7532" w:rsidRDefault="00CF7532">
            <w:pPr>
              <w:spacing w:before="0" w:after="0"/>
              <w:jc w:val="left"/>
              <w:rPr>
                <w:rFonts w:ascii="Calibri" w:hAnsi="Calibri"/>
                <w:sz w:val="18"/>
                <w:szCs w:val="18"/>
                <w:lang w:val="es-CO" w:eastAsia="es-CO"/>
              </w:rPr>
            </w:pPr>
            <w:r w:rsidRPr="00CF7532">
              <w:rPr>
                <w:rFonts w:ascii="Calibri" w:hAnsi="Calibri"/>
                <w:sz w:val="18"/>
                <w:szCs w:val="18"/>
                <w:lang w:val="es-CO" w:eastAsia="es-CO"/>
              </w:rPr>
              <w:t>Pág. 31</w:t>
            </w:r>
            <w:r w:rsidRPr="00CF7532">
              <w:rPr>
                <w:rFonts w:ascii="Calibri" w:hAnsi="Calibri"/>
                <w:sz w:val="18"/>
                <w:szCs w:val="18"/>
                <w:lang w:val="es-CO" w:eastAsia="es-CO"/>
              </w:rPr>
              <w:br/>
              <w:t xml:space="preserve">"Recibir, evaluar, tramitar y decidir las solicitudes de afiliación al sistema o sistemas que administre. Para tal efecto, deberá establecer en su reglamento criterios de admisión que garanticen la igualdad de condiciones para los postulantes, que garantiza el cumplimiento del principio de Transparencia" </w:t>
            </w:r>
            <w:r w:rsidRPr="00CF7532">
              <w:rPr>
                <w:rFonts w:ascii="Calibri" w:hAnsi="Calibri"/>
                <w:sz w:val="18"/>
                <w:szCs w:val="18"/>
                <w:lang w:val="es-CO" w:eastAsia="es-CO"/>
              </w:rPr>
              <w:br/>
            </w:r>
            <w:r w:rsidRPr="00CF7532">
              <w:rPr>
                <w:rFonts w:ascii="Calibri" w:hAnsi="Calibri"/>
                <w:sz w:val="18"/>
                <w:szCs w:val="18"/>
                <w:lang w:val="es-CO" w:eastAsia="es-CO"/>
              </w:rPr>
              <w:br/>
            </w:r>
            <w:proofErr w:type="spellStart"/>
            <w:r w:rsidRPr="00CF7532">
              <w:rPr>
                <w:rFonts w:ascii="Calibri" w:hAnsi="Calibri"/>
                <w:sz w:val="18"/>
                <w:szCs w:val="18"/>
                <w:lang w:val="es-CO" w:eastAsia="es-CO"/>
              </w:rPr>
              <w:t>Pág</w:t>
            </w:r>
            <w:proofErr w:type="spellEnd"/>
            <w:r w:rsidRPr="00CF7532">
              <w:rPr>
                <w:rFonts w:ascii="Calibri" w:hAnsi="Calibri"/>
                <w:sz w:val="18"/>
                <w:szCs w:val="18"/>
                <w:lang w:val="es-CO" w:eastAsia="es-CO"/>
              </w:rPr>
              <w:t xml:space="preserve"> 32.</w:t>
            </w:r>
            <w:r w:rsidRPr="00CF7532">
              <w:rPr>
                <w:rFonts w:ascii="Calibri" w:hAnsi="Calibri"/>
                <w:sz w:val="18"/>
                <w:szCs w:val="18"/>
                <w:lang w:val="es-CO" w:eastAsia="es-CO"/>
              </w:rPr>
              <w:br/>
              <w:t>"(i) Criterios para la admisión y desvinculación de afiliados;</w:t>
            </w:r>
            <w:r w:rsidRPr="00CF7532">
              <w:rPr>
                <w:rFonts w:ascii="Calibri" w:hAnsi="Calibri"/>
                <w:sz w:val="18"/>
                <w:szCs w:val="18"/>
                <w:lang w:val="es-CO" w:eastAsia="es-CO"/>
              </w:rPr>
              <w:br/>
              <w:t>(</w:t>
            </w:r>
            <w:proofErr w:type="spellStart"/>
            <w:r w:rsidRPr="00CF7532">
              <w:rPr>
                <w:rFonts w:ascii="Calibri" w:hAnsi="Calibri"/>
                <w:sz w:val="18"/>
                <w:szCs w:val="18"/>
                <w:lang w:val="es-CO" w:eastAsia="es-CO"/>
              </w:rPr>
              <w:t>ii</w:t>
            </w:r>
            <w:proofErr w:type="spellEnd"/>
            <w:r w:rsidRPr="00CF7532">
              <w:rPr>
                <w:rFonts w:ascii="Calibri" w:hAnsi="Calibri"/>
                <w:sz w:val="18"/>
                <w:szCs w:val="18"/>
                <w:lang w:val="es-CO" w:eastAsia="es-CO"/>
              </w:rPr>
              <w:t>) Las reglas para el funcionamiento y operación del sistema de negociación de valores, así como las reglas para el funcionamiento y operación del sistema de registro de operaciones sobre valores, cuando corresponda; y</w:t>
            </w:r>
            <w:r w:rsidRPr="00CF7532">
              <w:rPr>
                <w:rFonts w:ascii="Calibri" w:hAnsi="Calibri"/>
                <w:sz w:val="18"/>
                <w:szCs w:val="18"/>
                <w:lang w:val="es-CO" w:eastAsia="es-CO"/>
              </w:rPr>
              <w:br/>
              <w:t>(</w:t>
            </w:r>
            <w:proofErr w:type="spellStart"/>
            <w:r w:rsidRPr="00CF7532">
              <w:rPr>
                <w:rFonts w:ascii="Calibri" w:hAnsi="Calibri"/>
                <w:sz w:val="18"/>
                <w:szCs w:val="18"/>
                <w:lang w:val="es-CO" w:eastAsia="es-CO"/>
              </w:rPr>
              <w:t>iii</w:t>
            </w:r>
            <w:proofErr w:type="spellEnd"/>
            <w:r w:rsidRPr="00CF7532">
              <w:rPr>
                <w:rFonts w:ascii="Calibri" w:hAnsi="Calibri"/>
                <w:sz w:val="18"/>
                <w:szCs w:val="18"/>
                <w:lang w:val="es-CO" w:eastAsia="es-CO"/>
              </w:rPr>
              <w:t xml:space="preserve">) La política general en materia de derechos o tarifas a cargo de los afiliados por la utilización del servicio por el suministro de información. Las tarifas deberán ser publicadas en la página de Internet del administrador del sistema de negociación de valores o de registro de operaciones sobre valores, así como los criterios para su modificación" </w:t>
            </w:r>
            <w:r w:rsidRPr="00CF7532">
              <w:rPr>
                <w:rFonts w:ascii="Calibri" w:hAnsi="Calibri"/>
                <w:sz w:val="18"/>
                <w:szCs w:val="18"/>
                <w:lang w:val="es-CO" w:eastAsia="es-CO"/>
              </w:rPr>
              <w:br/>
            </w:r>
            <w:r w:rsidRPr="00CF7532">
              <w:rPr>
                <w:rFonts w:ascii="Calibri" w:hAnsi="Calibri"/>
                <w:sz w:val="18"/>
                <w:szCs w:val="18"/>
                <w:lang w:val="es-CO" w:eastAsia="es-CO"/>
              </w:rPr>
              <w:br/>
              <w:t>Pág. 33</w:t>
            </w:r>
            <w:r w:rsidRPr="00CF7532">
              <w:rPr>
                <w:rFonts w:ascii="Calibri" w:hAnsi="Calibri"/>
                <w:sz w:val="18"/>
                <w:szCs w:val="18"/>
                <w:lang w:val="es-CO" w:eastAsia="es-CO"/>
              </w:rPr>
              <w:br/>
              <w:t>"(</w:t>
            </w:r>
            <w:proofErr w:type="spellStart"/>
            <w:r w:rsidRPr="00CF7532">
              <w:rPr>
                <w:rFonts w:ascii="Calibri" w:hAnsi="Calibri"/>
                <w:sz w:val="18"/>
                <w:szCs w:val="18"/>
                <w:lang w:val="es-CO" w:eastAsia="es-CO"/>
              </w:rPr>
              <w:t>ii</w:t>
            </w:r>
            <w:proofErr w:type="spellEnd"/>
            <w:r w:rsidRPr="00CF7532">
              <w:rPr>
                <w:rFonts w:ascii="Calibri" w:hAnsi="Calibri"/>
                <w:sz w:val="18"/>
                <w:szCs w:val="18"/>
                <w:lang w:val="es-CO" w:eastAsia="es-CO"/>
              </w:rPr>
              <w:t>) Los requisitos mínimos que debe acreditar quien pretenda ser miembro del Mecanismo, se encuentran establecidos en el artículo 1.4.2 del Reglamento, así como el procedimiento que deben seguir para estos formalizar el proceso de admisión;"</w:t>
            </w:r>
          </w:p>
        </w:tc>
      </w:tr>
    </w:tbl>
    <w:p w14:paraId="5C632D92" w14:textId="319D2DF8" w:rsidR="00E72405" w:rsidRDefault="00E72405">
      <w:pPr>
        <w:spacing w:before="0" w:after="0"/>
        <w:rPr>
          <w:b/>
          <w:szCs w:val="20"/>
          <w:lang w:val="es-CO"/>
        </w:rPr>
      </w:pPr>
    </w:p>
    <w:tbl>
      <w:tblPr>
        <w:tblW w:w="0" w:type="auto"/>
        <w:tblLayout w:type="fixed"/>
        <w:tblCellMar>
          <w:left w:w="70" w:type="dxa"/>
          <w:right w:w="70" w:type="dxa"/>
        </w:tblCellMar>
        <w:tblLook w:val="04A0" w:firstRow="1" w:lastRow="0" w:firstColumn="1" w:lastColumn="0" w:noHBand="0" w:noVBand="1"/>
      </w:tblPr>
      <w:tblGrid>
        <w:gridCol w:w="1696"/>
        <w:gridCol w:w="7650"/>
      </w:tblGrid>
      <w:tr w:rsidR="002556FE" w:rsidRPr="002556FE" w14:paraId="7981B40E" w14:textId="77777777" w:rsidTr="00D31EE1">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E7E6E6"/>
            <w:noWrap/>
            <w:hideMark/>
          </w:tcPr>
          <w:p w14:paraId="1820C67C" w14:textId="77777777" w:rsidR="002556FE" w:rsidRPr="002556FE" w:rsidRDefault="002556FE">
            <w:pPr>
              <w:spacing w:before="0" w:after="0"/>
              <w:jc w:val="center"/>
              <w:rPr>
                <w:rFonts w:ascii="Calibri" w:hAnsi="Calibri"/>
                <w:b/>
                <w:bCs/>
                <w:sz w:val="18"/>
                <w:szCs w:val="18"/>
                <w:lang w:val="es-CO" w:eastAsia="es-CO"/>
              </w:rPr>
            </w:pPr>
            <w:r w:rsidRPr="002556FE">
              <w:rPr>
                <w:rFonts w:ascii="Calibri" w:hAnsi="Calibri"/>
                <w:b/>
                <w:bCs/>
                <w:sz w:val="18"/>
                <w:szCs w:val="18"/>
                <w:lang w:val="es-CO" w:eastAsia="es-CO"/>
              </w:rPr>
              <w:t>Parámetro</w:t>
            </w:r>
          </w:p>
        </w:tc>
        <w:tc>
          <w:tcPr>
            <w:tcW w:w="7650" w:type="dxa"/>
            <w:tcBorders>
              <w:top w:val="single" w:sz="4" w:space="0" w:color="auto"/>
              <w:left w:val="nil"/>
              <w:bottom w:val="single" w:sz="4" w:space="0" w:color="auto"/>
              <w:right w:val="single" w:sz="4" w:space="0" w:color="auto"/>
            </w:tcBorders>
            <w:shd w:val="clear" w:color="000000" w:fill="D9E1F2"/>
            <w:vAlign w:val="center"/>
            <w:hideMark/>
          </w:tcPr>
          <w:p w14:paraId="3C6B3FF7" w14:textId="77777777" w:rsidR="002556FE" w:rsidRPr="002556FE" w:rsidRDefault="002556FE">
            <w:pPr>
              <w:spacing w:before="0" w:after="0"/>
              <w:jc w:val="center"/>
              <w:rPr>
                <w:rFonts w:ascii="Calibri" w:hAnsi="Calibri"/>
                <w:b/>
                <w:bCs/>
                <w:sz w:val="18"/>
                <w:szCs w:val="18"/>
                <w:lang w:val="es-CO" w:eastAsia="es-CO"/>
              </w:rPr>
            </w:pPr>
            <w:r w:rsidRPr="002556FE">
              <w:rPr>
                <w:rFonts w:ascii="Calibri" w:hAnsi="Calibri"/>
                <w:b/>
                <w:bCs/>
                <w:sz w:val="18"/>
                <w:szCs w:val="18"/>
                <w:lang w:val="es-CO" w:eastAsia="es-CO"/>
              </w:rPr>
              <w:t>Condiciones de anonimato</w:t>
            </w:r>
          </w:p>
        </w:tc>
      </w:tr>
      <w:tr w:rsidR="002556FE" w:rsidRPr="002556FE" w14:paraId="7DB89C88" w14:textId="77777777" w:rsidTr="00D31EE1">
        <w:trPr>
          <w:trHeight w:val="480"/>
        </w:trPr>
        <w:tc>
          <w:tcPr>
            <w:tcW w:w="1696" w:type="dxa"/>
            <w:tcBorders>
              <w:top w:val="nil"/>
              <w:left w:val="single" w:sz="4" w:space="0" w:color="auto"/>
              <w:bottom w:val="single" w:sz="4" w:space="0" w:color="auto"/>
              <w:right w:val="single" w:sz="4" w:space="0" w:color="auto"/>
            </w:tcBorders>
            <w:shd w:val="clear" w:color="000000" w:fill="E7E6E6"/>
            <w:noWrap/>
            <w:hideMark/>
          </w:tcPr>
          <w:p w14:paraId="7FE5684E" w14:textId="77777777" w:rsidR="002556FE" w:rsidRPr="002556FE" w:rsidRDefault="002556FE">
            <w:pPr>
              <w:spacing w:before="0" w:after="0"/>
              <w:jc w:val="left"/>
              <w:rPr>
                <w:rFonts w:ascii="Calibri" w:hAnsi="Calibri"/>
                <w:b/>
                <w:bCs/>
                <w:sz w:val="18"/>
                <w:szCs w:val="18"/>
                <w:lang w:val="es-CO" w:eastAsia="es-CO"/>
              </w:rPr>
            </w:pPr>
            <w:r w:rsidRPr="002556FE">
              <w:rPr>
                <w:rFonts w:ascii="Calibri" w:hAnsi="Calibri"/>
                <w:b/>
                <w:bCs/>
                <w:sz w:val="18"/>
                <w:szCs w:val="18"/>
                <w:lang w:val="es-CO" w:eastAsia="es-CO"/>
              </w:rPr>
              <w:t>Descripción</w:t>
            </w:r>
          </w:p>
        </w:tc>
        <w:tc>
          <w:tcPr>
            <w:tcW w:w="7650" w:type="dxa"/>
            <w:tcBorders>
              <w:top w:val="nil"/>
              <w:left w:val="nil"/>
              <w:bottom w:val="single" w:sz="4" w:space="0" w:color="auto"/>
              <w:right w:val="single" w:sz="4" w:space="0" w:color="auto"/>
            </w:tcBorders>
            <w:shd w:val="clear" w:color="auto" w:fill="auto"/>
            <w:hideMark/>
          </w:tcPr>
          <w:p w14:paraId="1EDF75D8" w14:textId="77777777" w:rsidR="002556FE" w:rsidRPr="002556FE" w:rsidRDefault="002556FE">
            <w:pPr>
              <w:spacing w:before="0" w:after="0"/>
              <w:jc w:val="left"/>
              <w:rPr>
                <w:rFonts w:ascii="Calibri" w:hAnsi="Calibri"/>
                <w:sz w:val="18"/>
                <w:szCs w:val="18"/>
                <w:lang w:val="es-CO" w:eastAsia="es-CO"/>
              </w:rPr>
            </w:pPr>
            <w:r w:rsidRPr="002556FE">
              <w:rPr>
                <w:rFonts w:ascii="Calibri" w:hAnsi="Calibri"/>
                <w:sz w:val="18"/>
                <w:szCs w:val="18"/>
                <w:lang w:val="es-CO" w:eastAsia="es-CO"/>
              </w:rPr>
              <w:t>El mecanismo para la comercialización de energía garantiza que la información sobre la identidad de los participantes de oferta y demanda no pueda ser utilizada estratégicamente para afectar la asignación de cantidades y el proceso de formación de precio.</w:t>
            </w:r>
          </w:p>
        </w:tc>
      </w:tr>
      <w:tr w:rsidR="002556FE" w:rsidRPr="002556FE" w14:paraId="19390406" w14:textId="77777777" w:rsidTr="00D31EE1">
        <w:trPr>
          <w:trHeight w:val="1920"/>
        </w:trPr>
        <w:tc>
          <w:tcPr>
            <w:tcW w:w="1696" w:type="dxa"/>
            <w:tcBorders>
              <w:top w:val="nil"/>
              <w:left w:val="single" w:sz="4" w:space="0" w:color="auto"/>
              <w:bottom w:val="single" w:sz="4" w:space="0" w:color="auto"/>
              <w:right w:val="single" w:sz="4" w:space="0" w:color="auto"/>
            </w:tcBorders>
            <w:shd w:val="clear" w:color="000000" w:fill="E7E6E6"/>
            <w:noWrap/>
            <w:hideMark/>
          </w:tcPr>
          <w:p w14:paraId="2E5A0F09" w14:textId="77777777" w:rsidR="002556FE" w:rsidRPr="002556FE" w:rsidRDefault="002556FE">
            <w:pPr>
              <w:spacing w:before="0" w:after="0"/>
              <w:jc w:val="left"/>
              <w:rPr>
                <w:rFonts w:ascii="Calibri" w:hAnsi="Calibri"/>
                <w:b/>
                <w:bCs/>
                <w:sz w:val="18"/>
                <w:szCs w:val="18"/>
                <w:lang w:val="es-CO" w:eastAsia="es-CO"/>
              </w:rPr>
            </w:pPr>
            <w:r w:rsidRPr="002556FE">
              <w:rPr>
                <w:rFonts w:ascii="Calibri" w:hAnsi="Calibri"/>
                <w:b/>
                <w:bCs/>
                <w:sz w:val="18"/>
                <w:szCs w:val="18"/>
                <w:lang w:val="es-CO" w:eastAsia="es-CO"/>
              </w:rPr>
              <w:t>Resumen de la evaluación</w:t>
            </w:r>
          </w:p>
        </w:tc>
        <w:tc>
          <w:tcPr>
            <w:tcW w:w="7650" w:type="dxa"/>
            <w:tcBorders>
              <w:top w:val="nil"/>
              <w:left w:val="nil"/>
              <w:bottom w:val="single" w:sz="4" w:space="0" w:color="auto"/>
              <w:right w:val="single" w:sz="4" w:space="0" w:color="auto"/>
            </w:tcBorders>
            <w:shd w:val="clear" w:color="auto" w:fill="auto"/>
            <w:hideMark/>
          </w:tcPr>
          <w:p w14:paraId="4FFF8909" w14:textId="77777777" w:rsidR="002556FE" w:rsidRPr="002556FE" w:rsidRDefault="002556FE">
            <w:pPr>
              <w:spacing w:before="0" w:after="0"/>
              <w:jc w:val="left"/>
              <w:rPr>
                <w:rFonts w:ascii="Calibri" w:hAnsi="Calibri"/>
                <w:sz w:val="18"/>
                <w:szCs w:val="18"/>
                <w:lang w:val="es-CO" w:eastAsia="es-CO"/>
              </w:rPr>
            </w:pPr>
            <w:r w:rsidRPr="002556FE">
              <w:rPr>
                <w:rFonts w:ascii="Calibri" w:hAnsi="Calibri"/>
                <w:sz w:val="18"/>
                <w:szCs w:val="18"/>
                <w:lang w:val="es-CO" w:eastAsia="es-CO"/>
              </w:rPr>
              <w:t>El mecanismo está diseñado con sesiones con posturas ciegas que no permite identificar a la contraparte. Del mismo modo, al tener a la CRCC como liquidador de las operaciones, se mantiene la condición de anonimato en las transacciones.</w:t>
            </w:r>
            <w:r w:rsidRPr="002556FE">
              <w:rPr>
                <w:rFonts w:ascii="Calibri" w:hAnsi="Calibri"/>
                <w:sz w:val="18"/>
                <w:szCs w:val="18"/>
                <w:lang w:val="es-CO" w:eastAsia="es-CO"/>
              </w:rPr>
              <w:br/>
            </w:r>
            <w:r w:rsidRPr="002556FE">
              <w:rPr>
                <w:rFonts w:ascii="Calibri" w:hAnsi="Calibri"/>
                <w:sz w:val="18"/>
                <w:szCs w:val="18"/>
                <w:lang w:val="es-CO" w:eastAsia="es-CO"/>
              </w:rPr>
              <w:br/>
              <w:t xml:space="preserve">Las posturas son públicas en </w:t>
            </w:r>
            <w:proofErr w:type="gramStart"/>
            <w:r w:rsidRPr="002556FE">
              <w:rPr>
                <w:rFonts w:ascii="Calibri" w:hAnsi="Calibri"/>
                <w:sz w:val="18"/>
                <w:szCs w:val="18"/>
                <w:lang w:val="es-CO" w:eastAsia="es-CO"/>
              </w:rPr>
              <w:t>las sesión electrónica</w:t>
            </w:r>
            <w:proofErr w:type="gramEnd"/>
            <w:r w:rsidRPr="002556FE">
              <w:rPr>
                <w:rFonts w:ascii="Calibri" w:hAnsi="Calibri"/>
                <w:sz w:val="18"/>
                <w:szCs w:val="18"/>
                <w:lang w:val="es-CO" w:eastAsia="es-CO"/>
              </w:rPr>
              <w:t xml:space="preserve"> </w:t>
            </w:r>
            <w:proofErr w:type="spellStart"/>
            <w:r w:rsidRPr="002556FE">
              <w:rPr>
                <w:rFonts w:ascii="Calibri" w:hAnsi="Calibri"/>
                <w:sz w:val="18"/>
                <w:szCs w:val="18"/>
                <w:lang w:val="es-CO" w:eastAsia="es-CO"/>
              </w:rPr>
              <w:t>contínua</w:t>
            </w:r>
            <w:proofErr w:type="spellEnd"/>
            <w:r w:rsidRPr="002556FE">
              <w:rPr>
                <w:rFonts w:ascii="Calibri" w:hAnsi="Calibri"/>
                <w:sz w:val="18"/>
                <w:szCs w:val="18"/>
                <w:lang w:val="es-CO" w:eastAsia="es-CO"/>
              </w:rPr>
              <w:t xml:space="preserve"> para que todos los agentes tengan la misma información. En la sesión de subasta se cuenta con la información del precio bajo el cual los agentes pueden tomar las decisiones pertinentes y en la adjudicación se mantiene la condición de anonimato de la contraparte.</w:t>
            </w:r>
            <w:r w:rsidRPr="002556FE">
              <w:rPr>
                <w:rFonts w:ascii="Calibri" w:hAnsi="Calibri"/>
                <w:sz w:val="18"/>
                <w:szCs w:val="18"/>
                <w:lang w:val="es-CO" w:eastAsia="es-CO"/>
              </w:rPr>
              <w:br/>
            </w:r>
            <w:r w:rsidRPr="002556FE">
              <w:rPr>
                <w:rFonts w:ascii="Calibri" w:hAnsi="Calibri"/>
                <w:sz w:val="18"/>
                <w:szCs w:val="18"/>
                <w:lang w:val="es-CO" w:eastAsia="es-CO"/>
              </w:rPr>
              <w:br/>
              <w:t xml:space="preserve">Así mismo, el deber de confidencialidad tiene que ser cumplido por los miembros liquidadores que hagan parte del mecanismo. </w:t>
            </w:r>
          </w:p>
        </w:tc>
      </w:tr>
      <w:tr w:rsidR="002556FE" w:rsidRPr="002556FE" w14:paraId="3199C463" w14:textId="77777777" w:rsidTr="00D31EE1">
        <w:trPr>
          <w:trHeight w:val="720"/>
        </w:trPr>
        <w:tc>
          <w:tcPr>
            <w:tcW w:w="1696" w:type="dxa"/>
            <w:tcBorders>
              <w:top w:val="nil"/>
              <w:left w:val="single" w:sz="4" w:space="0" w:color="auto"/>
              <w:bottom w:val="single" w:sz="4" w:space="0" w:color="auto"/>
              <w:right w:val="single" w:sz="4" w:space="0" w:color="auto"/>
            </w:tcBorders>
            <w:shd w:val="clear" w:color="000000" w:fill="E7E6E6"/>
            <w:hideMark/>
          </w:tcPr>
          <w:p w14:paraId="3B5C2748" w14:textId="77777777" w:rsidR="002556FE" w:rsidRPr="002556FE" w:rsidRDefault="002556FE">
            <w:pPr>
              <w:spacing w:before="0" w:after="0"/>
              <w:jc w:val="left"/>
              <w:rPr>
                <w:rFonts w:ascii="Calibri" w:hAnsi="Calibri"/>
                <w:b/>
                <w:bCs/>
                <w:sz w:val="18"/>
                <w:szCs w:val="18"/>
                <w:lang w:val="es-CO" w:eastAsia="es-CO"/>
              </w:rPr>
            </w:pPr>
            <w:r w:rsidRPr="002556FE">
              <w:rPr>
                <w:rFonts w:ascii="Calibri" w:hAnsi="Calibri"/>
                <w:b/>
                <w:bCs/>
                <w:sz w:val="18"/>
                <w:szCs w:val="18"/>
                <w:lang w:val="es-CO" w:eastAsia="es-CO"/>
              </w:rPr>
              <w:t xml:space="preserve">Referencia en la propuesta </w:t>
            </w:r>
          </w:p>
        </w:tc>
        <w:tc>
          <w:tcPr>
            <w:tcW w:w="7650" w:type="dxa"/>
            <w:tcBorders>
              <w:top w:val="nil"/>
              <w:left w:val="nil"/>
              <w:bottom w:val="single" w:sz="4" w:space="0" w:color="auto"/>
              <w:right w:val="single" w:sz="4" w:space="0" w:color="auto"/>
            </w:tcBorders>
            <w:shd w:val="clear" w:color="auto" w:fill="auto"/>
            <w:hideMark/>
          </w:tcPr>
          <w:p w14:paraId="595BCB79" w14:textId="77777777" w:rsidR="002556FE" w:rsidRPr="002556FE" w:rsidRDefault="002556FE">
            <w:pPr>
              <w:spacing w:before="0" w:after="0"/>
              <w:jc w:val="left"/>
              <w:rPr>
                <w:rFonts w:ascii="Calibri" w:hAnsi="Calibri"/>
                <w:sz w:val="18"/>
                <w:szCs w:val="18"/>
                <w:lang w:val="es-CO" w:eastAsia="es-CO"/>
              </w:rPr>
            </w:pPr>
            <w:r w:rsidRPr="002556FE">
              <w:rPr>
                <w:rFonts w:ascii="Calibri" w:hAnsi="Calibri"/>
                <w:sz w:val="18"/>
                <w:szCs w:val="18"/>
                <w:lang w:val="es-CO" w:eastAsia="es-CO"/>
              </w:rPr>
              <w:t>1.</w:t>
            </w:r>
            <w:r w:rsidRPr="002556FE">
              <w:rPr>
                <w:rFonts w:ascii="Calibri" w:hAnsi="Calibri"/>
                <w:b/>
                <w:bCs/>
                <w:sz w:val="18"/>
                <w:szCs w:val="18"/>
                <w:lang w:val="es-CO" w:eastAsia="es-CO"/>
              </w:rPr>
              <w:t xml:space="preserve"> Numeral 12.1 de la propuesta: Proceso de formación de precios.</w:t>
            </w:r>
            <w:r w:rsidRPr="002556FE">
              <w:rPr>
                <w:rFonts w:ascii="Calibri" w:hAnsi="Calibri"/>
                <w:sz w:val="18"/>
                <w:szCs w:val="18"/>
                <w:lang w:val="es-CO" w:eastAsia="es-CO"/>
              </w:rPr>
              <w:t xml:space="preserve"> "(...) En cuanto al Anonimato del Mecanismo, cabe resaltar que los sistemas de negociación y </w:t>
            </w:r>
            <w:proofErr w:type="gramStart"/>
            <w:r w:rsidRPr="002556FE">
              <w:rPr>
                <w:rFonts w:ascii="Calibri" w:hAnsi="Calibri"/>
                <w:sz w:val="18"/>
                <w:szCs w:val="18"/>
                <w:lang w:val="es-CO" w:eastAsia="es-CO"/>
              </w:rPr>
              <w:t>registro,</w:t>
            </w:r>
            <w:proofErr w:type="gramEnd"/>
            <w:r w:rsidRPr="002556FE">
              <w:rPr>
                <w:rFonts w:ascii="Calibri" w:hAnsi="Calibri"/>
                <w:sz w:val="18"/>
                <w:szCs w:val="18"/>
                <w:lang w:val="es-CO" w:eastAsia="es-CO"/>
              </w:rPr>
              <w:t xml:space="preserve"> tienen la obligación de guardar reserva sobre determinada información de las operaciones que se realizan o se registran. Lo anterior a fin de proteger la información de las contrapartes en dichas operaciones."</w:t>
            </w:r>
          </w:p>
        </w:tc>
      </w:tr>
      <w:tr w:rsidR="002556FE" w:rsidRPr="002556FE" w14:paraId="14695B9E" w14:textId="77777777" w:rsidTr="00D31EE1">
        <w:trPr>
          <w:trHeight w:val="598"/>
        </w:trPr>
        <w:tc>
          <w:tcPr>
            <w:tcW w:w="1696" w:type="dxa"/>
            <w:tcBorders>
              <w:top w:val="single" w:sz="4" w:space="0" w:color="auto"/>
              <w:left w:val="single" w:sz="4" w:space="0" w:color="auto"/>
              <w:bottom w:val="single" w:sz="4" w:space="0" w:color="auto"/>
              <w:right w:val="single" w:sz="4" w:space="0" w:color="auto"/>
            </w:tcBorders>
            <w:shd w:val="clear" w:color="000000" w:fill="E7E6E6"/>
            <w:hideMark/>
          </w:tcPr>
          <w:p w14:paraId="730FE53A" w14:textId="77777777" w:rsidR="002556FE" w:rsidRPr="002556FE" w:rsidRDefault="002556FE">
            <w:pPr>
              <w:spacing w:before="0" w:after="0"/>
              <w:jc w:val="left"/>
              <w:rPr>
                <w:rFonts w:ascii="Calibri" w:hAnsi="Calibri"/>
                <w:b/>
                <w:bCs/>
                <w:sz w:val="18"/>
                <w:szCs w:val="18"/>
                <w:lang w:val="es-CO" w:eastAsia="es-CO"/>
              </w:rPr>
            </w:pPr>
            <w:r w:rsidRPr="002556FE">
              <w:rPr>
                <w:rFonts w:ascii="Calibri" w:hAnsi="Calibri"/>
                <w:b/>
                <w:bCs/>
                <w:sz w:val="18"/>
                <w:szCs w:val="18"/>
                <w:lang w:val="es-CO" w:eastAsia="es-CO"/>
              </w:rPr>
              <w:t>Juan Pablo Amorocho</w:t>
            </w:r>
            <w:r w:rsidRPr="002556FE">
              <w:rPr>
                <w:rFonts w:ascii="Calibri" w:hAnsi="Calibri"/>
                <w:b/>
                <w:bCs/>
                <w:sz w:val="18"/>
                <w:szCs w:val="18"/>
                <w:lang w:val="es-CO" w:eastAsia="es-CO"/>
              </w:rPr>
              <w:br/>
              <w:t>(Mercados)</w:t>
            </w:r>
          </w:p>
        </w:tc>
        <w:tc>
          <w:tcPr>
            <w:tcW w:w="7650" w:type="dxa"/>
            <w:tcBorders>
              <w:top w:val="single" w:sz="4" w:space="0" w:color="auto"/>
              <w:left w:val="single" w:sz="4" w:space="0" w:color="auto"/>
              <w:bottom w:val="single" w:sz="4" w:space="0" w:color="auto"/>
              <w:right w:val="single" w:sz="4" w:space="0" w:color="auto"/>
            </w:tcBorders>
            <w:shd w:val="clear" w:color="auto" w:fill="auto"/>
            <w:hideMark/>
          </w:tcPr>
          <w:p w14:paraId="43D9C50D" w14:textId="7F47F24A" w:rsidR="002556FE" w:rsidRPr="002556FE" w:rsidRDefault="002556FE">
            <w:pPr>
              <w:spacing w:before="0" w:after="0"/>
              <w:jc w:val="left"/>
              <w:rPr>
                <w:rFonts w:ascii="Calibri" w:hAnsi="Calibri"/>
                <w:sz w:val="18"/>
                <w:szCs w:val="18"/>
                <w:lang w:val="es-CO" w:eastAsia="es-CO"/>
              </w:rPr>
            </w:pPr>
            <w:proofErr w:type="spellStart"/>
            <w:r w:rsidRPr="002556FE">
              <w:rPr>
                <w:rFonts w:ascii="Calibri" w:hAnsi="Calibri"/>
                <w:sz w:val="18"/>
                <w:szCs w:val="18"/>
                <w:lang w:val="es-CO" w:eastAsia="es-CO"/>
              </w:rPr>
              <w:t>Pág</w:t>
            </w:r>
            <w:proofErr w:type="spellEnd"/>
            <w:r w:rsidRPr="002556FE">
              <w:rPr>
                <w:rFonts w:ascii="Calibri" w:hAnsi="Calibri"/>
                <w:sz w:val="18"/>
                <w:szCs w:val="18"/>
                <w:lang w:val="es-CO" w:eastAsia="es-CO"/>
              </w:rPr>
              <w:t xml:space="preserve"> 12."Derivex ha diseñado unas sesiones de mercado con posturas ciegas, lo que significa que las posturas en las pantallas y en las subastas son confidenciales y al ser liquidadas por la CRCC las contrapartes no se conocen entre sí. Este mercado ciego ayuda a que no existan participantes en el mercado que reaccionen dependiendo del nombre de quien demanda u oferte. Evita distorsiones en la creación del precio en las pujas." </w:t>
            </w:r>
            <w:r w:rsidRPr="002556FE">
              <w:rPr>
                <w:rFonts w:ascii="Calibri" w:hAnsi="Calibri"/>
                <w:sz w:val="18"/>
                <w:szCs w:val="18"/>
                <w:lang w:val="es-CO" w:eastAsia="es-CO"/>
              </w:rPr>
              <w:br/>
            </w:r>
            <w:r w:rsidRPr="002556FE">
              <w:rPr>
                <w:rFonts w:ascii="Calibri" w:hAnsi="Calibri"/>
                <w:sz w:val="18"/>
                <w:szCs w:val="18"/>
                <w:lang w:val="es-CO" w:eastAsia="es-CO"/>
              </w:rPr>
              <w:br/>
              <w:t>Pág. 18</w:t>
            </w:r>
            <w:r w:rsidRPr="002556FE">
              <w:rPr>
                <w:rFonts w:ascii="Calibri" w:hAnsi="Calibri"/>
                <w:sz w:val="18"/>
                <w:szCs w:val="18"/>
                <w:lang w:val="es-CO" w:eastAsia="es-CO"/>
              </w:rPr>
              <w:br/>
              <w:t xml:space="preserve">"• Las posturas en las pantallas de negociación son </w:t>
            </w:r>
            <w:proofErr w:type="spellStart"/>
            <w:r w:rsidRPr="002556FE">
              <w:rPr>
                <w:rFonts w:ascii="Calibri" w:hAnsi="Calibri"/>
                <w:sz w:val="18"/>
                <w:szCs w:val="18"/>
                <w:lang w:val="es-CO" w:eastAsia="es-CO"/>
              </w:rPr>
              <w:t>publicas</w:t>
            </w:r>
            <w:proofErr w:type="spellEnd"/>
            <w:r w:rsidRPr="002556FE">
              <w:rPr>
                <w:rFonts w:ascii="Calibri" w:hAnsi="Calibri"/>
                <w:sz w:val="18"/>
                <w:szCs w:val="18"/>
                <w:lang w:val="es-CO" w:eastAsia="es-CO"/>
              </w:rPr>
              <w:t xml:space="preserve"> para todos los participantes del esquema.</w:t>
            </w:r>
            <w:r w:rsidRPr="002556FE">
              <w:rPr>
                <w:rFonts w:ascii="Calibri" w:hAnsi="Calibri"/>
                <w:sz w:val="18"/>
                <w:szCs w:val="18"/>
                <w:lang w:val="es-CO" w:eastAsia="es-CO"/>
              </w:rPr>
              <w:br/>
              <w:t>• El mecanismo propuesto no permite a ningún participante identificar quien es la contraparte, ni quienes son los dueños de las posturas en la oferta o la demanda.</w:t>
            </w:r>
            <w:r w:rsidRPr="002556FE">
              <w:rPr>
                <w:rFonts w:ascii="Calibri" w:hAnsi="Calibri"/>
                <w:sz w:val="18"/>
                <w:szCs w:val="18"/>
                <w:lang w:val="es-CO" w:eastAsia="es-CO"/>
              </w:rPr>
              <w:br/>
              <w:t>• Al estar compensados con la Cámara de Riesgo Central de Contraparte, esta hace las veces de contraparte que además mantiene la identidad oculta de los participantes en cada operación inclusive en su liquidación."</w:t>
            </w:r>
            <w:r w:rsidRPr="002556FE">
              <w:rPr>
                <w:rFonts w:ascii="Calibri" w:hAnsi="Calibri"/>
                <w:sz w:val="18"/>
                <w:szCs w:val="18"/>
                <w:lang w:val="es-CO" w:eastAsia="es-CO"/>
              </w:rPr>
              <w:br/>
            </w:r>
            <w:r w:rsidRPr="002556FE">
              <w:rPr>
                <w:rFonts w:ascii="Calibri" w:hAnsi="Calibri"/>
                <w:sz w:val="18"/>
                <w:szCs w:val="18"/>
                <w:lang w:val="es-CO" w:eastAsia="es-CO"/>
              </w:rPr>
              <w:br/>
            </w:r>
            <w:proofErr w:type="spellStart"/>
            <w:r w:rsidRPr="002556FE">
              <w:rPr>
                <w:rFonts w:ascii="Calibri" w:hAnsi="Calibri"/>
                <w:sz w:val="18"/>
                <w:szCs w:val="18"/>
                <w:lang w:val="es-CO" w:eastAsia="es-CO"/>
              </w:rPr>
              <w:t>Pág</w:t>
            </w:r>
            <w:proofErr w:type="spellEnd"/>
            <w:r w:rsidRPr="002556FE">
              <w:rPr>
                <w:rFonts w:ascii="Calibri" w:hAnsi="Calibri"/>
                <w:sz w:val="18"/>
                <w:szCs w:val="18"/>
                <w:lang w:val="es-CO" w:eastAsia="es-CO"/>
              </w:rPr>
              <w:t xml:space="preserve"> 24</w:t>
            </w:r>
            <w:r w:rsidRPr="002556FE">
              <w:rPr>
                <w:rFonts w:ascii="Calibri" w:hAnsi="Calibri"/>
                <w:sz w:val="18"/>
                <w:szCs w:val="18"/>
                <w:lang w:val="es-CO" w:eastAsia="es-CO"/>
              </w:rPr>
              <w:br/>
              <w:t>"</w:t>
            </w:r>
            <w:r w:rsidRPr="00D4711B">
              <w:rPr>
                <w:rFonts w:ascii="Calibri" w:hAnsi="Calibri"/>
                <w:sz w:val="18"/>
                <w:szCs w:val="18"/>
                <w:lang w:val="es-CO" w:eastAsia="es-CO"/>
              </w:rPr>
              <w:t>Una de las características de las sesiones continuas, mixtas o subastas es que son mercados ciegos, que no permiten identificar la contraparte antes o después de ejecutada una orden</w:t>
            </w:r>
            <w:r w:rsidRPr="002556FE">
              <w:rPr>
                <w:rFonts w:ascii="Calibri" w:hAnsi="Calibri"/>
                <w:sz w:val="18"/>
                <w:szCs w:val="18"/>
                <w:lang w:val="es-CO" w:eastAsia="es-CO"/>
              </w:rPr>
              <w:t xml:space="preserve"> a un precio y un volumen determinado, permitiendo la independencia en la determinación de los precios y cantidades asignadas.</w:t>
            </w:r>
            <w:r w:rsidRPr="002556FE">
              <w:rPr>
                <w:rFonts w:ascii="Calibri" w:hAnsi="Calibri"/>
                <w:sz w:val="18"/>
                <w:szCs w:val="18"/>
                <w:lang w:val="es-CO" w:eastAsia="es-CO"/>
              </w:rPr>
              <w:br/>
              <w:t xml:space="preserve">En el caso de la operación de registro, </w:t>
            </w:r>
            <w:r w:rsidRPr="00D4711B">
              <w:rPr>
                <w:rFonts w:ascii="Calibri" w:hAnsi="Calibri"/>
                <w:sz w:val="18"/>
                <w:szCs w:val="18"/>
                <w:lang w:val="es-CO" w:eastAsia="es-CO"/>
              </w:rPr>
              <w:t>está en manos de los intermediarios de valores guardar la confidencialidad de las contrapartes</w:t>
            </w:r>
            <w:r w:rsidRPr="002556FE">
              <w:rPr>
                <w:rFonts w:ascii="Calibri" w:hAnsi="Calibri"/>
                <w:sz w:val="18"/>
                <w:szCs w:val="18"/>
                <w:lang w:val="es-CO" w:eastAsia="es-CO"/>
              </w:rPr>
              <w:t xml:space="preserve">." </w:t>
            </w:r>
          </w:p>
        </w:tc>
      </w:tr>
      <w:tr w:rsidR="002556FE" w:rsidRPr="002556FE" w14:paraId="15446A25" w14:textId="77777777" w:rsidTr="00D31EE1">
        <w:trPr>
          <w:trHeight w:val="480"/>
        </w:trPr>
        <w:tc>
          <w:tcPr>
            <w:tcW w:w="1696" w:type="dxa"/>
            <w:tcBorders>
              <w:top w:val="single" w:sz="4" w:space="0" w:color="auto"/>
              <w:left w:val="single" w:sz="4" w:space="0" w:color="auto"/>
              <w:bottom w:val="single" w:sz="4" w:space="0" w:color="auto"/>
              <w:right w:val="single" w:sz="4" w:space="0" w:color="auto"/>
            </w:tcBorders>
            <w:shd w:val="clear" w:color="000000" w:fill="E7E6E6"/>
            <w:hideMark/>
          </w:tcPr>
          <w:p w14:paraId="28EC7259" w14:textId="77777777" w:rsidR="002556FE" w:rsidRPr="002556FE" w:rsidRDefault="002556FE">
            <w:pPr>
              <w:spacing w:before="0" w:after="0"/>
              <w:jc w:val="left"/>
              <w:rPr>
                <w:rFonts w:ascii="Calibri" w:hAnsi="Calibri"/>
                <w:b/>
                <w:bCs/>
                <w:sz w:val="18"/>
                <w:szCs w:val="18"/>
                <w:lang w:val="es-CO" w:eastAsia="es-CO"/>
              </w:rPr>
            </w:pPr>
            <w:r w:rsidRPr="002556FE">
              <w:rPr>
                <w:rFonts w:ascii="Calibri" w:hAnsi="Calibri"/>
                <w:b/>
                <w:bCs/>
                <w:sz w:val="18"/>
                <w:szCs w:val="18"/>
                <w:lang w:val="es-CO" w:eastAsia="es-CO"/>
              </w:rPr>
              <w:lastRenderedPageBreak/>
              <w:t>Diego Jara</w:t>
            </w:r>
            <w:r w:rsidRPr="002556FE">
              <w:rPr>
                <w:rFonts w:ascii="Calibri" w:hAnsi="Calibri"/>
                <w:b/>
                <w:bCs/>
                <w:sz w:val="18"/>
                <w:szCs w:val="18"/>
                <w:lang w:val="es-CO" w:eastAsia="es-CO"/>
              </w:rPr>
              <w:br/>
              <w:t>(Riesgos)</w:t>
            </w:r>
          </w:p>
        </w:tc>
        <w:tc>
          <w:tcPr>
            <w:tcW w:w="7650" w:type="dxa"/>
            <w:tcBorders>
              <w:top w:val="single" w:sz="4" w:space="0" w:color="auto"/>
              <w:left w:val="nil"/>
              <w:bottom w:val="single" w:sz="4" w:space="0" w:color="auto"/>
              <w:right w:val="single" w:sz="4" w:space="0" w:color="auto"/>
            </w:tcBorders>
            <w:shd w:val="clear" w:color="auto" w:fill="auto"/>
            <w:hideMark/>
          </w:tcPr>
          <w:p w14:paraId="11EB91C8" w14:textId="0627061C" w:rsidR="002556FE" w:rsidRPr="002556FE" w:rsidRDefault="002556FE">
            <w:pPr>
              <w:spacing w:before="0" w:after="0"/>
              <w:jc w:val="left"/>
              <w:rPr>
                <w:rFonts w:ascii="Calibri" w:hAnsi="Calibri"/>
                <w:sz w:val="18"/>
                <w:szCs w:val="18"/>
                <w:lang w:val="es-CO" w:eastAsia="es-CO"/>
              </w:rPr>
            </w:pPr>
            <w:r w:rsidRPr="002556FE">
              <w:rPr>
                <w:rFonts w:ascii="Calibri" w:hAnsi="Calibri"/>
                <w:sz w:val="18"/>
                <w:szCs w:val="18"/>
                <w:lang w:val="es-CO" w:eastAsia="es-CO"/>
              </w:rPr>
              <w:t>Pág. 22</w:t>
            </w:r>
            <w:r w:rsidRPr="002556FE">
              <w:rPr>
                <w:rFonts w:ascii="Calibri" w:hAnsi="Calibri"/>
                <w:sz w:val="18"/>
                <w:szCs w:val="18"/>
                <w:lang w:val="es-CO" w:eastAsia="es-CO"/>
              </w:rPr>
              <w:br/>
            </w:r>
            <w:r w:rsidR="004F4D21">
              <w:rPr>
                <w:rFonts w:ascii="Calibri" w:hAnsi="Calibri"/>
                <w:sz w:val="18"/>
                <w:szCs w:val="18"/>
                <w:lang w:val="es-CO" w:eastAsia="es-CO"/>
              </w:rPr>
              <w:t xml:space="preserve">“(…) </w:t>
            </w:r>
            <w:r w:rsidRPr="002556FE">
              <w:rPr>
                <w:rFonts w:ascii="Calibri" w:hAnsi="Calibri"/>
                <w:sz w:val="18"/>
                <w:szCs w:val="18"/>
                <w:lang w:val="es-CO" w:eastAsia="es-CO"/>
              </w:rPr>
              <w:t>El mecanismo, sin embargo, promueve el anonimato en sus sistemas transaccionales</w:t>
            </w:r>
            <w:r w:rsidR="004F4D21">
              <w:rPr>
                <w:rFonts w:ascii="Calibri" w:hAnsi="Calibri"/>
                <w:sz w:val="18"/>
                <w:szCs w:val="18"/>
                <w:lang w:val="es-CO" w:eastAsia="es-CO"/>
              </w:rPr>
              <w:t xml:space="preserve"> (…)”</w:t>
            </w:r>
          </w:p>
        </w:tc>
      </w:tr>
      <w:tr w:rsidR="002556FE" w:rsidRPr="002556FE" w14:paraId="21D6A74B" w14:textId="77777777" w:rsidTr="00D31EE1">
        <w:trPr>
          <w:trHeight w:val="480"/>
        </w:trPr>
        <w:tc>
          <w:tcPr>
            <w:tcW w:w="1696" w:type="dxa"/>
            <w:tcBorders>
              <w:top w:val="nil"/>
              <w:left w:val="single" w:sz="4" w:space="0" w:color="auto"/>
              <w:bottom w:val="single" w:sz="4" w:space="0" w:color="auto"/>
              <w:right w:val="single" w:sz="4" w:space="0" w:color="auto"/>
            </w:tcBorders>
            <w:shd w:val="clear" w:color="000000" w:fill="E7E6E6"/>
            <w:hideMark/>
          </w:tcPr>
          <w:p w14:paraId="7CA8C1AA" w14:textId="77777777" w:rsidR="002556FE" w:rsidRPr="002556FE" w:rsidRDefault="002556FE">
            <w:pPr>
              <w:spacing w:before="0" w:after="0"/>
              <w:jc w:val="left"/>
              <w:rPr>
                <w:rFonts w:ascii="Calibri" w:hAnsi="Calibri"/>
                <w:b/>
                <w:bCs/>
                <w:sz w:val="18"/>
                <w:szCs w:val="18"/>
                <w:lang w:val="es-CO" w:eastAsia="es-CO"/>
              </w:rPr>
            </w:pPr>
            <w:r w:rsidRPr="002556FE">
              <w:rPr>
                <w:rFonts w:ascii="Calibri" w:hAnsi="Calibri"/>
                <w:b/>
                <w:bCs/>
                <w:sz w:val="18"/>
                <w:szCs w:val="18"/>
                <w:lang w:val="es-CO" w:eastAsia="es-CO"/>
              </w:rPr>
              <w:t>Roberto Borrás</w:t>
            </w:r>
            <w:r w:rsidRPr="002556FE">
              <w:rPr>
                <w:rFonts w:ascii="Calibri" w:hAnsi="Calibri"/>
                <w:b/>
                <w:bCs/>
                <w:sz w:val="18"/>
                <w:szCs w:val="18"/>
                <w:lang w:val="es-CO" w:eastAsia="es-CO"/>
              </w:rPr>
              <w:br/>
              <w:t>(Gobierno corporativo)</w:t>
            </w:r>
          </w:p>
        </w:tc>
        <w:tc>
          <w:tcPr>
            <w:tcW w:w="7650" w:type="dxa"/>
            <w:tcBorders>
              <w:top w:val="nil"/>
              <w:left w:val="nil"/>
              <w:bottom w:val="single" w:sz="4" w:space="0" w:color="auto"/>
              <w:right w:val="single" w:sz="4" w:space="0" w:color="auto"/>
            </w:tcBorders>
            <w:shd w:val="clear" w:color="auto" w:fill="auto"/>
            <w:noWrap/>
            <w:hideMark/>
          </w:tcPr>
          <w:p w14:paraId="711A87BF" w14:textId="77777777" w:rsidR="002556FE" w:rsidRPr="002556FE" w:rsidRDefault="002556FE">
            <w:pPr>
              <w:spacing w:before="0" w:after="0"/>
              <w:jc w:val="left"/>
              <w:rPr>
                <w:rFonts w:ascii="Calibri" w:hAnsi="Calibri"/>
                <w:sz w:val="18"/>
                <w:szCs w:val="18"/>
                <w:lang w:val="es-CO" w:eastAsia="es-CO"/>
              </w:rPr>
            </w:pPr>
            <w:r w:rsidRPr="002556FE">
              <w:rPr>
                <w:rFonts w:ascii="Calibri" w:hAnsi="Calibri"/>
                <w:sz w:val="18"/>
                <w:szCs w:val="18"/>
                <w:lang w:val="es-CO" w:eastAsia="es-CO"/>
              </w:rPr>
              <w:t> </w:t>
            </w:r>
          </w:p>
        </w:tc>
      </w:tr>
    </w:tbl>
    <w:p w14:paraId="75F959A2" w14:textId="77777777" w:rsidR="00187EDA" w:rsidRDefault="00187EDA">
      <w:pPr>
        <w:spacing w:before="0" w:after="0"/>
        <w:rPr>
          <w:b/>
          <w:szCs w:val="20"/>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7650"/>
      </w:tblGrid>
      <w:tr w:rsidR="00EF4BC3" w:rsidRPr="00EF4BC3" w14:paraId="4603C739" w14:textId="77777777" w:rsidTr="00D31EE1">
        <w:trPr>
          <w:trHeight w:val="300"/>
        </w:trPr>
        <w:tc>
          <w:tcPr>
            <w:tcW w:w="1696" w:type="dxa"/>
            <w:shd w:val="clear" w:color="000000" w:fill="E7E6E6"/>
            <w:noWrap/>
            <w:vAlign w:val="center"/>
            <w:hideMark/>
          </w:tcPr>
          <w:p w14:paraId="44DF62ED" w14:textId="77777777" w:rsidR="00EF4BC3" w:rsidRPr="00EF4BC3" w:rsidRDefault="00EF4BC3">
            <w:pPr>
              <w:spacing w:before="0" w:after="0"/>
              <w:jc w:val="center"/>
              <w:rPr>
                <w:rFonts w:ascii="Calibri" w:hAnsi="Calibri"/>
                <w:b/>
                <w:bCs/>
                <w:sz w:val="18"/>
                <w:szCs w:val="18"/>
                <w:lang w:val="es-CO" w:eastAsia="es-CO"/>
              </w:rPr>
            </w:pPr>
            <w:r w:rsidRPr="00EF4BC3">
              <w:rPr>
                <w:rFonts w:ascii="Calibri" w:hAnsi="Calibri"/>
                <w:b/>
                <w:bCs/>
                <w:sz w:val="18"/>
                <w:szCs w:val="18"/>
                <w:lang w:val="es-CO" w:eastAsia="es-CO"/>
              </w:rPr>
              <w:t>Parámetro</w:t>
            </w:r>
          </w:p>
        </w:tc>
        <w:tc>
          <w:tcPr>
            <w:tcW w:w="7650" w:type="dxa"/>
            <w:shd w:val="clear" w:color="000000" w:fill="D9E1F2"/>
            <w:vAlign w:val="center"/>
            <w:hideMark/>
          </w:tcPr>
          <w:p w14:paraId="48E2F5FD" w14:textId="77777777" w:rsidR="00EF4BC3" w:rsidRPr="00EF4BC3" w:rsidRDefault="00EF4BC3">
            <w:pPr>
              <w:spacing w:before="0" w:after="0"/>
              <w:jc w:val="center"/>
              <w:rPr>
                <w:rFonts w:ascii="Calibri" w:hAnsi="Calibri"/>
                <w:b/>
                <w:bCs/>
                <w:sz w:val="18"/>
                <w:szCs w:val="18"/>
                <w:lang w:val="es-CO" w:eastAsia="es-CO"/>
              </w:rPr>
            </w:pPr>
            <w:r w:rsidRPr="00EF4BC3">
              <w:rPr>
                <w:rFonts w:ascii="Calibri" w:hAnsi="Calibri"/>
                <w:b/>
                <w:bCs/>
                <w:sz w:val="18"/>
                <w:szCs w:val="18"/>
                <w:lang w:val="es-CO" w:eastAsia="es-CO"/>
              </w:rPr>
              <w:t>Condiciones de seguridad operativa</w:t>
            </w:r>
          </w:p>
        </w:tc>
      </w:tr>
      <w:tr w:rsidR="00EF4BC3" w:rsidRPr="00EF4BC3" w14:paraId="3D0C6A0B" w14:textId="77777777" w:rsidTr="00D31EE1">
        <w:trPr>
          <w:trHeight w:val="480"/>
        </w:trPr>
        <w:tc>
          <w:tcPr>
            <w:tcW w:w="1696" w:type="dxa"/>
            <w:shd w:val="clear" w:color="000000" w:fill="E7E6E6"/>
            <w:noWrap/>
            <w:hideMark/>
          </w:tcPr>
          <w:p w14:paraId="19FEA728" w14:textId="77777777" w:rsidR="00EF4BC3" w:rsidRPr="00EF4BC3" w:rsidRDefault="00EF4BC3">
            <w:pPr>
              <w:spacing w:before="0" w:after="0"/>
              <w:jc w:val="left"/>
              <w:rPr>
                <w:rFonts w:ascii="Calibri" w:hAnsi="Calibri"/>
                <w:b/>
                <w:bCs/>
                <w:sz w:val="18"/>
                <w:szCs w:val="18"/>
                <w:lang w:val="es-CO" w:eastAsia="es-CO"/>
              </w:rPr>
            </w:pPr>
            <w:r w:rsidRPr="00EF4BC3">
              <w:rPr>
                <w:rFonts w:ascii="Calibri" w:hAnsi="Calibri"/>
                <w:b/>
                <w:bCs/>
                <w:sz w:val="18"/>
                <w:szCs w:val="18"/>
                <w:lang w:val="es-CO" w:eastAsia="es-CO"/>
              </w:rPr>
              <w:t>Descripción</w:t>
            </w:r>
          </w:p>
        </w:tc>
        <w:tc>
          <w:tcPr>
            <w:tcW w:w="7650" w:type="dxa"/>
            <w:shd w:val="clear" w:color="auto" w:fill="auto"/>
            <w:hideMark/>
          </w:tcPr>
          <w:p w14:paraId="595F6E04" w14:textId="77777777" w:rsidR="00EF4BC3" w:rsidRPr="00EF4BC3" w:rsidRDefault="00EF4BC3">
            <w:pPr>
              <w:spacing w:before="0" w:after="0"/>
              <w:jc w:val="left"/>
              <w:rPr>
                <w:rFonts w:ascii="Calibri" w:hAnsi="Calibri"/>
                <w:sz w:val="18"/>
                <w:szCs w:val="18"/>
                <w:lang w:val="es-CO" w:eastAsia="es-CO"/>
              </w:rPr>
            </w:pPr>
            <w:r w:rsidRPr="00EF4BC3">
              <w:rPr>
                <w:rFonts w:ascii="Calibri" w:hAnsi="Calibri"/>
                <w:sz w:val="18"/>
                <w:szCs w:val="18"/>
                <w:lang w:val="es-CO" w:eastAsia="es-CO"/>
              </w:rPr>
              <w:t>El mecanismo para la comercialización de energía define procesos eficaces para garantizar la operación continua del mismo. Adicionalmente, permite la verificación de las operaciones resultantes del mismo.</w:t>
            </w:r>
          </w:p>
        </w:tc>
      </w:tr>
      <w:tr w:rsidR="00EF4BC3" w:rsidRPr="00EF4BC3" w14:paraId="277A0418" w14:textId="77777777" w:rsidTr="00D31EE1">
        <w:trPr>
          <w:trHeight w:val="1815"/>
        </w:trPr>
        <w:tc>
          <w:tcPr>
            <w:tcW w:w="1696" w:type="dxa"/>
            <w:shd w:val="clear" w:color="000000" w:fill="E7E6E6"/>
            <w:noWrap/>
            <w:hideMark/>
          </w:tcPr>
          <w:p w14:paraId="204CF2A0" w14:textId="77777777" w:rsidR="00EF4BC3" w:rsidRPr="00EF4BC3" w:rsidRDefault="00EF4BC3">
            <w:pPr>
              <w:spacing w:before="0" w:after="0"/>
              <w:jc w:val="left"/>
              <w:rPr>
                <w:rFonts w:ascii="Calibri" w:hAnsi="Calibri"/>
                <w:b/>
                <w:bCs/>
                <w:sz w:val="18"/>
                <w:szCs w:val="18"/>
                <w:lang w:val="es-CO" w:eastAsia="es-CO"/>
              </w:rPr>
            </w:pPr>
            <w:r w:rsidRPr="00EF4BC3">
              <w:rPr>
                <w:rFonts w:ascii="Calibri" w:hAnsi="Calibri"/>
                <w:b/>
                <w:bCs/>
                <w:sz w:val="18"/>
                <w:szCs w:val="18"/>
                <w:lang w:val="es-CO" w:eastAsia="es-CO"/>
              </w:rPr>
              <w:t>Resumen de la evaluación</w:t>
            </w:r>
          </w:p>
        </w:tc>
        <w:tc>
          <w:tcPr>
            <w:tcW w:w="7650" w:type="dxa"/>
            <w:shd w:val="clear" w:color="auto" w:fill="auto"/>
            <w:hideMark/>
          </w:tcPr>
          <w:p w14:paraId="6B1AD9FB" w14:textId="77777777" w:rsidR="00EF4BC3" w:rsidRDefault="00EF4BC3">
            <w:pPr>
              <w:spacing w:before="0" w:after="0"/>
              <w:jc w:val="left"/>
              <w:rPr>
                <w:rFonts w:ascii="Calibri" w:hAnsi="Calibri"/>
                <w:sz w:val="18"/>
                <w:szCs w:val="18"/>
                <w:lang w:val="es-CO" w:eastAsia="es-CO"/>
              </w:rPr>
            </w:pPr>
            <w:r w:rsidRPr="00EF4BC3">
              <w:rPr>
                <w:rFonts w:ascii="Calibri" w:hAnsi="Calibri"/>
                <w:sz w:val="18"/>
                <w:szCs w:val="18"/>
                <w:lang w:val="es-CO" w:eastAsia="es-CO"/>
              </w:rPr>
              <w:t>El mecanismo cuenta con el respaldo de la BVC en términos de conocimiento y tecnología. Adicionalmente, con el acuerdo de interoperabilidad con la CRCC se establece el funcionamiento del mecanismo.</w:t>
            </w:r>
            <w:r w:rsidRPr="00EF4BC3">
              <w:rPr>
                <w:rFonts w:ascii="Calibri" w:hAnsi="Calibri"/>
                <w:sz w:val="18"/>
                <w:szCs w:val="18"/>
                <w:lang w:val="es-CO" w:eastAsia="es-CO"/>
              </w:rPr>
              <w:br/>
            </w:r>
            <w:r w:rsidRPr="00EF4BC3">
              <w:rPr>
                <w:rFonts w:ascii="Calibri" w:hAnsi="Calibri"/>
                <w:sz w:val="18"/>
                <w:szCs w:val="18"/>
                <w:lang w:val="es-CO" w:eastAsia="es-CO"/>
              </w:rPr>
              <w:br/>
              <w:t xml:space="preserve">Por otro lado, todas las entidades supervisadas por la SFC deben contar con planes de gestión del riesgo operativo, razón por la cual, tanto </w:t>
            </w:r>
            <w:proofErr w:type="spellStart"/>
            <w:r w:rsidRPr="00EF4BC3">
              <w:rPr>
                <w:rFonts w:ascii="Calibri" w:hAnsi="Calibri"/>
                <w:sz w:val="18"/>
                <w:szCs w:val="18"/>
                <w:lang w:val="es-CO" w:eastAsia="es-CO"/>
              </w:rPr>
              <w:t>Derivex</w:t>
            </w:r>
            <w:proofErr w:type="spellEnd"/>
            <w:r w:rsidRPr="00EF4BC3">
              <w:rPr>
                <w:rFonts w:ascii="Calibri" w:hAnsi="Calibri"/>
                <w:sz w:val="18"/>
                <w:szCs w:val="18"/>
                <w:lang w:val="es-CO" w:eastAsia="es-CO"/>
              </w:rPr>
              <w:t>, la CRCC y los intermediarios de valores deben contar con manuales SARO que propendan por la continuidad de sus procesos.</w:t>
            </w:r>
            <w:r w:rsidRPr="00EF4BC3">
              <w:rPr>
                <w:rFonts w:ascii="Calibri" w:hAnsi="Calibri"/>
                <w:sz w:val="18"/>
                <w:szCs w:val="18"/>
                <w:lang w:val="es-CO" w:eastAsia="es-CO"/>
              </w:rPr>
              <w:br/>
            </w:r>
            <w:r w:rsidRPr="00EF4BC3">
              <w:rPr>
                <w:rFonts w:ascii="Calibri" w:hAnsi="Calibri"/>
                <w:sz w:val="18"/>
                <w:szCs w:val="18"/>
                <w:lang w:val="es-CO" w:eastAsia="es-CO"/>
              </w:rPr>
              <w:br/>
              <w:t xml:space="preserve">Tanto </w:t>
            </w:r>
            <w:proofErr w:type="spellStart"/>
            <w:r w:rsidRPr="00EF4BC3">
              <w:rPr>
                <w:rFonts w:ascii="Calibri" w:hAnsi="Calibri"/>
                <w:sz w:val="18"/>
                <w:szCs w:val="18"/>
                <w:lang w:val="es-CO" w:eastAsia="es-CO"/>
              </w:rPr>
              <w:t>Derivex</w:t>
            </w:r>
            <w:proofErr w:type="spellEnd"/>
            <w:r w:rsidRPr="00EF4BC3">
              <w:rPr>
                <w:rFonts w:ascii="Calibri" w:hAnsi="Calibri"/>
                <w:sz w:val="18"/>
                <w:szCs w:val="18"/>
                <w:lang w:val="es-CO" w:eastAsia="es-CO"/>
              </w:rPr>
              <w:t xml:space="preserve"> como la CRCC cuentan con Manuales de Continuidad del Negocio.</w:t>
            </w:r>
            <w:r w:rsidRPr="00EF4BC3">
              <w:rPr>
                <w:rFonts w:ascii="Calibri" w:hAnsi="Calibri"/>
                <w:sz w:val="18"/>
                <w:szCs w:val="18"/>
                <w:lang w:val="es-CO" w:eastAsia="es-CO"/>
              </w:rPr>
              <w:br/>
            </w:r>
            <w:r w:rsidRPr="00EF4BC3">
              <w:rPr>
                <w:rFonts w:ascii="Calibri" w:hAnsi="Calibri"/>
                <w:sz w:val="18"/>
                <w:szCs w:val="18"/>
                <w:lang w:val="es-CO" w:eastAsia="es-CO"/>
              </w:rPr>
              <w:br/>
              <w:t>La CRCC cuenta con seis (6) anillos de seguridad para la mitigación de los riesgos a los que se expone, dentro de los cuales se destacan la solidez de sus Miembros, su esquema de garantías y de límites, sus Recursos Propios Específicos destinados a cada Segmento, los Fondos de Garantía Colectiva, independientes para cada uno de los Segmentos y sus reposiciones, las contribuciones para la continuidad del servicio, obligatorias y voluntarias y el Patrimonio de la CRCC.</w:t>
            </w:r>
          </w:p>
          <w:p w14:paraId="51890C8A" w14:textId="77777777" w:rsidR="008109FC" w:rsidRDefault="008109FC">
            <w:pPr>
              <w:spacing w:before="0" w:after="0"/>
              <w:jc w:val="left"/>
              <w:rPr>
                <w:rFonts w:ascii="Calibri" w:hAnsi="Calibri"/>
                <w:sz w:val="18"/>
                <w:szCs w:val="18"/>
                <w:lang w:val="es-CO" w:eastAsia="es-CO"/>
              </w:rPr>
            </w:pPr>
          </w:p>
          <w:p w14:paraId="4304BAAB" w14:textId="3E0277F7" w:rsidR="00EF4BC3" w:rsidRPr="00EF4BC3" w:rsidRDefault="00B21625">
            <w:pPr>
              <w:spacing w:before="0" w:after="0"/>
              <w:jc w:val="left"/>
              <w:rPr>
                <w:rFonts w:ascii="Calibri" w:hAnsi="Calibri"/>
                <w:sz w:val="18"/>
                <w:szCs w:val="18"/>
                <w:lang w:val="es-CO" w:eastAsia="es-CO"/>
              </w:rPr>
            </w:pPr>
            <w:r>
              <w:rPr>
                <w:rFonts w:ascii="Calibri" w:hAnsi="Calibri"/>
                <w:sz w:val="18"/>
                <w:szCs w:val="18"/>
                <w:lang w:val="es-CO" w:eastAsia="es-CO"/>
              </w:rPr>
              <w:t>Se incorporan un Protocolo</w:t>
            </w:r>
            <w:r w:rsidR="00832935">
              <w:rPr>
                <w:rFonts w:ascii="Calibri" w:hAnsi="Calibri"/>
                <w:sz w:val="18"/>
                <w:szCs w:val="18"/>
                <w:lang w:val="es-CO" w:eastAsia="es-CO"/>
              </w:rPr>
              <w:t xml:space="preserve"> de crisis</w:t>
            </w:r>
            <w:r>
              <w:rPr>
                <w:rFonts w:ascii="Calibri" w:hAnsi="Calibri"/>
                <w:sz w:val="18"/>
                <w:szCs w:val="18"/>
                <w:lang w:val="es-CO" w:eastAsia="es-CO"/>
              </w:rPr>
              <w:t xml:space="preserve"> del </w:t>
            </w:r>
            <w:r w:rsidR="00832935">
              <w:rPr>
                <w:rFonts w:ascii="Calibri" w:hAnsi="Calibri"/>
                <w:sz w:val="18"/>
                <w:szCs w:val="18"/>
                <w:lang w:val="es-CO" w:eastAsia="es-CO"/>
              </w:rPr>
              <w:t>m</w:t>
            </w:r>
            <w:r>
              <w:rPr>
                <w:rFonts w:ascii="Calibri" w:hAnsi="Calibri"/>
                <w:sz w:val="18"/>
                <w:szCs w:val="18"/>
                <w:lang w:val="es-CO" w:eastAsia="es-CO"/>
              </w:rPr>
              <w:t>ercado de valores</w:t>
            </w:r>
            <w:r w:rsidR="003A1C7A">
              <w:rPr>
                <w:rFonts w:ascii="Calibri" w:hAnsi="Calibri"/>
                <w:sz w:val="18"/>
                <w:szCs w:val="18"/>
                <w:lang w:val="es-CO" w:eastAsia="es-CO"/>
              </w:rPr>
              <w:t xml:space="preserve"> y divisas.</w:t>
            </w:r>
          </w:p>
        </w:tc>
      </w:tr>
      <w:tr w:rsidR="00F12C52" w:rsidRPr="00EF4BC3" w14:paraId="7E5CC21C" w14:textId="77777777" w:rsidTr="00D31EE1">
        <w:trPr>
          <w:trHeight w:val="1978"/>
        </w:trPr>
        <w:tc>
          <w:tcPr>
            <w:tcW w:w="1696" w:type="dxa"/>
            <w:shd w:val="clear" w:color="000000" w:fill="E7E6E6"/>
            <w:hideMark/>
          </w:tcPr>
          <w:p w14:paraId="0EFBDB9F" w14:textId="77777777" w:rsidR="00EF4BC3" w:rsidRPr="00EF4BC3" w:rsidRDefault="00EF4BC3">
            <w:pPr>
              <w:spacing w:before="0" w:after="0"/>
              <w:jc w:val="left"/>
              <w:rPr>
                <w:rFonts w:ascii="Calibri" w:hAnsi="Calibri"/>
                <w:b/>
                <w:bCs/>
                <w:sz w:val="18"/>
                <w:szCs w:val="18"/>
                <w:lang w:val="es-CO" w:eastAsia="es-CO"/>
              </w:rPr>
            </w:pPr>
            <w:r w:rsidRPr="00EF4BC3">
              <w:rPr>
                <w:rFonts w:ascii="Calibri" w:hAnsi="Calibri"/>
                <w:b/>
                <w:bCs/>
                <w:sz w:val="18"/>
                <w:szCs w:val="18"/>
                <w:lang w:val="es-CO" w:eastAsia="es-CO"/>
              </w:rPr>
              <w:t xml:space="preserve">Referencia en la propuesta </w:t>
            </w:r>
          </w:p>
        </w:tc>
        <w:tc>
          <w:tcPr>
            <w:tcW w:w="7650" w:type="dxa"/>
            <w:shd w:val="clear" w:color="auto" w:fill="auto"/>
            <w:hideMark/>
          </w:tcPr>
          <w:p w14:paraId="4EC36750" w14:textId="77777777" w:rsidR="00733ABF" w:rsidRDefault="00EF4BC3">
            <w:pPr>
              <w:spacing w:before="0" w:after="0"/>
              <w:jc w:val="left"/>
              <w:rPr>
                <w:rFonts w:ascii="Calibri" w:hAnsi="Calibri"/>
                <w:sz w:val="18"/>
                <w:szCs w:val="18"/>
                <w:lang w:val="es-CO" w:eastAsia="es-CO"/>
              </w:rPr>
            </w:pPr>
            <w:r w:rsidRPr="00EF4BC3">
              <w:rPr>
                <w:rFonts w:ascii="Calibri" w:hAnsi="Calibri"/>
                <w:b/>
                <w:bCs/>
                <w:sz w:val="18"/>
                <w:szCs w:val="18"/>
                <w:lang w:val="es-CO" w:eastAsia="es-CO"/>
              </w:rPr>
              <w:t>1. En cumplimiento de la normatividad establecida por la SFC se definen:</w:t>
            </w:r>
            <w:r w:rsidRPr="00EF4BC3">
              <w:rPr>
                <w:rFonts w:ascii="Calibri" w:hAnsi="Calibri"/>
                <w:sz w:val="18"/>
                <w:szCs w:val="18"/>
                <w:lang w:val="es-CO" w:eastAsia="es-CO"/>
              </w:rPr>
              <w:t>​</w:t>
            </w:r>
            <w:r w:rsidRPr="00EF4BC3">
              <w:rPr>
                <w:rFonts w:ascii="Calibri" w:hAnsi="Calibri"/>
                <w:sz w:val="18"/>
                <w:szCs w:val="18"/>
                <w:lang w:val="es-CO" w:eastAsia="es-CO"/>
              </w:rPr>
              <w:br/>
              <w:t>Manuales SARO (</w:t>
            </w:r>
            <w:proofErr w:type="spellStart"/>
            <w:r w:rsidRPr="00EF4BC3">
              <w:rPr>
                <w:rFonts w:ascii="Calibri" w:hAnsi="Calibri"/>
                <w:sz w:val="18"/>
                <w:szCs w:val="18"/>
                <w:lang w:val="es-CO" w:eastAsia="es-CO"/>
              </w:rPr>
              <w:t>Derivex</w:t>
            </w:r>
            <w:proofErr w:type="spellEnd"/>
            <w:r w:rsidRPr="00EF4BC3">
              <w:rPr>
                <w:rFonts w:ascii="Calibri" w:hAnsi="Calibri"/>
                <w:sz w:val="18"/>
                <w:szCs w:val="18"/>
                <w:lang w:val="es-CO" w:eastAsia="es-CO"/>
              </w:rPr>
              <w:t>, CRCC e intermediarios de valores)​</w:t>
            </w:r>
            <w:r w:rsidRPr="00EF4BC3">
              <w:rPr>
                <w:rFonts w:ascii="Calibri" w:hAnsi="Calibri"/>
                <w:sz w:val="18"/>
                <w:szCs w:val="18"/>
                <w:lang w:val="es-CO" w:eastAsia="es-CO"/>
              </w:rPr>
              <w:br/>
              <w:t>Manuales de continuidad del negocio (</w:t>
            </w:r>
            <w:proofErr w:type="spellStart"/>
            <w:r w:rsidRPr="00EF4BC3">
              <w:rPr>
                <w:rFonts w:ascii="Calibri" w:hAnsi="Calibri"/>
                <w:sz w:val="18"/>
                <w:szCs w:val="18"/>
                <w:lang w:val="es-CO" w:eastAsia="es-CO"/>
              </w:rPr>
              <w:t>Derivex</w:t>
            </w:r>
            <w:proofErr w:type="spellEnd"/>
            <w:r w:rsidRPr="00EF4BC3">
              <w:rPr>
                <w:rFonts w:ascii="Calibri" w:hAnsi="Calibri"/>
                <w:sz w:val="18"/>
                <w:szCs w:val="18"/>
                <w:lang w:val="es-CO" w:eastAsia="es-CO"/>
              </w:rPr>
              <w:t xml:space="preserve"> y CRCC)​</w:t>
            </w:r>
          </w:p>
          <w:p w14:paraId="6F252080" w14:textId="1BC132BD" w:rsidR="00EF4BC3" w:rsidRPr="00EF4BC3" w:rsidRDefault="00733ABF">
            <w:pPr>
              <w:spacing w:before="0" w:after="0"/>
              <w:jc w:val="left"/>
              <w:rPr>
                <w:rFonts w:ascii="Calibri" w:hAnsi="Calibri"/>
                <w:sz w:val="18"/>
                <w:szCs w:val="18"/>
                <w:lang w:val="es-CO" w:eastAsia="es-CO"/>
              </w:rPr>
            </w:pPr>
            <w:r>
              <w:rPr>
                <w:rFonts w:ascii="Calibri" w:hAnsi="Calibri"/>
                <w:sz w:val="18"/>
                <w:szCs w:val="18"/>
                <w:lang w:val="es-CO" w:eastAsia="es-CO"/>
              </w:rPr>
              <w:t>Protocolo de crisis del mercado de valores y divisas.</w:t>
            </w:r>
            <w:r w:rsidR="00EF4BC3" w:rsidRPr="00EF4BC3">
              <w:rPr>
                <w:rFonts w:ascii="Calibri" w:hAnsi="Calibri"/>
                <w:sz w:val="18"/>
                <w:szCs w:val="18"/>
                <w:lang w:val="es-CO" w:eastAsia="es-CO"/>
              </w:rPr>
              <w:br/>
            </w:r>
            <w:r w:rsidR="00EF4BC3" w:rsidRPr="00EF4BC3">
              <w:rPr>
                <w:rFonts w:ascii="Calibri" w:hAnsi="Calibri"/>
                <w:sz w:val="18"/>
                <w:szCs w:val="18"/>
                <w:lang w:val="es-CO" w:eastAsia="es-CO"/>
              </w:rPr>
              <w:br/>
            </w:r>
            <w:r w:rsidR="00EF4BC3" w:rsidRPr="00EF4BC3">
              <w:rPr>
                <w:rFonts w:ascii="Calibri" w:hAnsi="Calibri"/>
                <w:b/>
                <w:bCs/>
                <w:sz w:val="18"/>
                <w:szCs w:val="18"/>
                <w:lang w:val="es-CO" w:eastAsia="es-CO"/>
              </w:rPr>
              <w:t>2. Numeral 3 de la propuesta: "</w:t>
            </w:r>
            <w:r w:rsidR="00EF4BC3" w:rsidRPr="00EF4BC3">
              <w:rPr>
                <w:rFonts w:ascii="Calibri" w:hAnsi="Calibri"/>
                <w:sz w:val="18"/>
                <w:szCs w:val="18"/>
                <w:lang w:val="es-CO" w:eastAsia="es-CO"/>
              </w:rPr>
              <w:t>De igual forma, el sistema de gestión de riesgos de la CRCC se caracteriza por una serie de anillos de seguridad que, más allá de la mitigación del riesgo de contraparte, permiten la mitigación del riesgo de liquidez, del riesgo legal, del riesgo operativo y del riesgo sistémico de manera suficiente".</w:t>
            </w:r>
            <w:r w:rsidR="00EF4BC3" w:rsidRPr="00EF4BC3">
              <w:rPr>
                <w:rFonts w:ascii="Calibri" w:hAnsi="Calibri"/>
                <w:sz w:val="18"/>
                <w:szCs w:val="18"/>
                <w:lang w:val="es-CO" w:eastAsia="es-CO"/>
              </w:rPr>
              <w:br/>
            </w:r>
            <w:r w:rsidR="00EF4BC3" w:rsidRPr="00EF4BC3">
              <w:rPr>
                <w:rFonts w:ascii="Calibri" w:hAnsi="Calibri"/>
                <w:sz w:val="18"/>
                <w:szCs w:val="18"/>
                <w:lang w:val="es-CO" w:eastAsia="es-CO"/>
              </w:rPr>
              <w:br/>
            </w:r>
            <w:r w:rsidR="00EF4BC3" w:rsidRPr="00EF4BC3">
              <w:rPr>
                <w:rFonts w:ascii="Calibri" w:hAnsi="Calibri"/>
                <w:b/>
                <w:bCs/>
                <w:sz w:val="18"/>
                <w:szCs w:val="18"/>
                <w:lang w:val="es-CO" w:eastAsia="es-CO"/>
              </w:rPr>
              <w:t>3. Numeral 13.1 de la propuesta</w:t>
            </w:r>
            <w:r w:rsidR="007F371A">
              <w:rPr>
                <w:rFonts w:ascii="Calibri" w:hAnsi="Calibri"/>
                <w:b/>
                <w:bCs/>
                <w:sz w:val="18"/>
                <w:szCs w:val="18"/>
                <w:lang w:val="es-CO" w:eastAsia="es-CO"/>
              </w:rPr>
              <w:t xml:space="preserve"> </w:t>
            </w:r>
            <w:r w:rsidR="00976F81">
              <w:rPr>
                <w:rFonts w:ascii="Calibri" w:hAnsi="Calibri"/>
                <w:b/>
                <w:bCs/>
                <w:sz w:val="18"/>
                <w:szCs w:val="18"/>
                <w:lang w:val="es-CO" w:eastAsia="es-CO"/>
              </w:rPr>
              <w:t>“</w:t>
            </w:r>
            <w:r w:rsidR="00976F81" w:rsidRPr="00976F81">
              <w:rPr>
                <w:rFonts w:ascii="Calibri" w:hAnsi="Calibri"/>
                <w:b/>
                <w:bCs/>
                <w:sz w:val="18"/>
                <w:szCs w:val="18"/>
                <w:lang w:val="es-CO" w:eastAsia="es-CO"/>
              </w:rPr>
              <w:t>Riesgo de Crédito y de Contraparte</w:t>
            </w:r>
            <w:r w:rsidR="00976F81">
              <w:rPr>
                <w:rFonts w:ascii="Calibri" w:hAnsi="Calibri"/>
                <w:b/>
                <w:bCs/>
                <w:sz w:val="18"/>
                <w:szCs w:val="18"/>
                <w:lang w:val="es-CO" w:eastAsia="es-CO"/>
              </w:rPr>
              <w:t>”</w:t>
            </w:r>
          </w:p>
        </w:tc>
      </w:tr>
      <w:tr w:rsidR="00EF4BC3" w:rsidRPr="00EF4BC3" w14:paraId="620A8CD0" w14:textId="77777777" w:rsidTr="00D31EE1">
        <w:trPr>
          <w:trHeight w:val="3600"/>
        </w:trPr>
        <w:tc>
          <w:tcPr>
            <w:tcW w:w="1696" w:type="dxa"/>
            <w:shd w:val="clear" w:color="000000" w:fill="E7E6E6"/>
            <w:hideMark/>
          </w:tcPr>
          <w:p w14:paraId="478FB6DD" w14:textId="77777777" w:rsidR="00EF4BC3" w:rsidRPr="00EF4BC3" w:rsidRDefault="00EF4BC3">
            <w:pPr>
              <w:spacing w:before="0" w:after="0"/>
              <w:jc w:val="left"/>
              <w:rPr>
                <w:rFonts w:ascii="Calibri" w:hAnsi="Calibri"/>
                <w:b/>
                <w:bCs/>
                <w:sz w:val="18"/>
                <w:szCs w:val="18"/>
                <w:lang w:val="es-CO" w:eastAsia="es-CO"/>
              </w:rPr>
            </w:pPr>
            <w:r w:rsidRPr="00EF4BC3">
              <w:rPr>
                <w:rFonts w:ascii="Calibri" w:hAnsi="Calibri"/>
                <w:b/>
                <w:bCs/>
                <w:sz w:val="18"/>
                <w:szCs w:val="18"/>
                <w:lang w:val="es-CO" w:eastAsia="es-CO"/>
              </w:rPr>
              <w:t>Juan Pablo Amorocho</w:t>
            </w:r>
            <w:r w:rsidRPr="00EF4BC3">
              <w:rPr>
                <w:rFonts w:ascii="Calibri" w:hAnsi="Calibri"/>
                <w:b/>
                <w:bCs/>
                <w:sz w:val="18"/>
                <w:szCs w:val="18"/>
                <w:lang w:val="es-CO" w:eastAsia="es-CO"/>
              </w:rPr>
              <w:br/>
              <w:t>(Mercados)</w:t>
            </w:r>
          </w:p>
        </w:tc>
        <w:tc>
          <w:tcPr>
            <w:tcW w:w="7650" w:type="dxa"/>
            <w:shd w:val="clear" w:color="auto" w:fill="auto"/>
            <w:hideMark/>
          </w:tcPr>
          <w:p w14:paraId="6F671E83" w14:textId="77777777" w:rsidR="00EF4BC3" w:rsidRPr="00EF4BC3" w:rsidRDefault="00EF4BC3">
            <w:pPr>
              <w:spacing w:before="0" w:after="0"/>
              <w:jc w:val="left"/>
              <w:rPr>
                <w:rFonts w:ascii="Calibri" w:hAnsi="Calibri"/>
                <w:sz w:val="18"/>
                <w:szCs w:val="18"/>
                <w:lang w:val="es-CO" w:eastAsia="es-CO"/>
              </w:rPr>
            </w:pPr>
            <w:r w:rsidRPr="00EF4BC3">
              <w:rPr>
                <w:rFonts w:ascii="Calibri" w:hAnsi="Calibri"/>
                <w:sz w:val="18"/>
                <w:szCs w:val="18"/>
                <w:lang w:val="es-CO" w:eastAsia="es-CO"/>
              </w:rPr>
              <w:t>Pág. 2</w:t>
            </w:r>
            <w:r w:rsidRPr="00EF4BC3">
              <w:rPr>
                <w:rFonts w:ascii="Calibri" w:hAnsi="Calibri"/>
                <w:sz w:val="18"/>
                <w:szCs w:val="18"/>
                <w:lang w:val="es-CO" w:eastAsia="es-CO"/>
              </w:rPr>
              <w:br/>
              <w:t xml:space="preserve">"Es importante tener en cuenta que </w:t>
            </w:r>
            <w:proofErr w:type="spellStart"/>
            <w:r w:rsidRPr="00EF4BC3">
              <w:rPr>
                <w:rFonts w:ascii="Calibri" w:hAnsi="Calibri"/>
                <w:sz w:val="18"/>
                <w:szCs w:val="18"/>
                <w:lang w:val="es-CO" w:eastAsia="es-CO"/>
              </w:rPr>
              <w:t>Derivex</w:t>
            </w:r>
            <w:proofErr w:type="spellEnd"/>
            <w:r w:rsidRPr="00EF4BC3">
              <w:rPr>
                <w:rFonts w:ascii="Calibri" w:hAnsi="Calibri"/>
                <w:sz w:val="18"/>
                <w:szCs w:val="18"/>
                <w:lang w:val="es-CO" w:eastAsia="es-CO"/>
              </w:rPr>
              <w:t xml:space="preserve"> cuenta con la Bolsa de Valores de Colombia como uno de sus socios, lo que le permite tener el respaldo en el conocimiento y tecnología que es aplicada a los mercados de valores colombianos."</w:t>
            </w:r>
            <w:r w:rsidRPr="00EF4BC3">
              <w:rPr>
                <w:rFonts w:ascii="Calibri" w:hAnsi="Calibri"/>
                <w:sz w:val="18"/>
                <w:szCs w:val="18"/>
                <w:lang w:val="es-CO" w:eastAsia="es-CO"/>
              </w:rPr>
              <w:br/>
            </w:r>
            <w:r w:rsidRPr="00EF4BC3">
              <w:rPr>
                <w:rFonts w:ascii="Calibri" w:hAnsi="Calibri"/>
                <w:sz w:val="18"/>
                <w:szCs w:val="18"/>
                <w:lang w:val="es-CO" w:eastAsia="es-CO"/>
              </w:rPr>
              <w:br/>
            </w:r>
            <w:proofErr w:type="spellStart"/>
            <w:r w:rsidRPr="00EF4BC3">
              <w:rPr>
                <w:rFonts w:ascii="Calibri" w:hAnsi="Calibri"/>
                <w:sz w:val="18"/>
                <w:szCs w:val="18"/>
                <w:lang w:val="es-CO" w:eastAsia="es-CO"/>
              </w:rPr>
              <w:t>Pág</w:t>
            </w:r>
            <w:proofErr w:type="spellEnd"/>
            <w:r w:rsidRPr="00EF4BC3">
              <w:rPr>
                <w:rFonts w:ascii="Calibri" w:hAnsi="Calibri"/>
                <w:sz w:val="18"/>
                <w:szCs w:val="18"/>
                <w:lang w:val="es-CO" w:eastAsia="es-CO"/>
              </w:rPr>
              <w:t xml:space="preserve"> 12</w:t>
            </w:r>
            <w:r w:rsidRPr="00EF4BC3">
              <w:rPr>
                <w:rFonts w:ascii="Calibri" w:hAnsi="Calibri"/>
                <w:sz w:val="18"/>
                <w:szCs w:val="18"/>
                <w:lang w:val="es-CO" w:eastAsia="es-CO"/>
              </w:rPr>
              <w:br/>
              <w:t>"- El registro de las posturas y operaciones de sus miembros en cada una de sus sesiones; planes de contingencia y continuidad de negocio.</w:t>
            </w:r>
            <w:r w:rsidRPr="00EF4BC3">
              <w:rPr>
                <w:rFonts w:ascii="Calibri" w:hAnsi="Calibri"/>
                <w:sz w:val="18"/>
                <w:szCs w:val="18"/>
                <w:lang w:val="es-CO" w:eastAsia="es-CO"/>
              </w:rPr>
              <w:br/>
              <w:t xml:space="preserve">Además, en su calidad de vigilado debe cumplir entre otras con un sistema de control interno, sistema de lavado de activos, estándares de seguridad de la información, sistemas de atención a los usuarios." </w:t>
            </w:r>
            <w:r w:rsidRPr="00EF4BC3">
              <w:rPr>
                <w:rFonts w:ascii="Calibri" w:hAnsi="Calibri"/>
                <w:sz w:val="18"/>
                <w:szCs w:val="18"/>
                <w:lang w:val="es-CO" w:eastAsia="es-CO"/>
              </w:rPr>
              <w:br/>
            </w:r>
            <w:r w:rsidRPr="00EF4BC3">
              <w:rPr>
                <w:rFonts w:ascii="Calibri" w:hAnsi="Calibri"/>
                <w:sz w:val="18"/>
                <w:szCs w:val="18"/>
                <w:lang w:val="es-CO" w:eastAsia="es-CO"/>
              </w:rPr>
              <w:br/>
              <w:t>Pág. 17</w:t>
            </w:r>
            <w:r w:rsidRPr="00EF4BC3">
              <w:rPr>
                <w:rFonts w:ascii="Calibri" w:hAnsi="Calibri"/>
                <w:sz w:val="18"/>
                <w:szCs w:val="18"/>
                <w:lang w:val="es-CO" w:eastAsia="es-CO"/>
              </w:rPr>
              <w:br/>
              <w:t xml:space="preserve">"Teniendo en cuenta que </w:t>
            </w:r>
            <w:proofErr w:type="spellStart"/>
            <w:r w:rsidRPr="00EF4BC3">
              <w:rPr>
                <w:rFonts w:ascii="Calibri" w:hAnsi="Calibri"/>
                <w:sz w:val="18"/>
                <w:szCs w:val="18"/>
                <w:lang w:val="es-CO" w:eastAsia="es-CO"/>
              </w:rPr>
              <w:t>Derivex</w:t>
            </w:r>
            <w:proofErr w:type="spellEnd"/>
            <w:r w:rsidRPr="00EF4BC3">
              <w:rPr>
                <w:rFonts w:ascii="Calibri" w:hAnsi="Calibri"/>
                <w:sz w:val="18"/>
                <w:szCs w:val="18"/>
                <w:lang w:val="es-CO" w:eastAsia="es-CO"/>
              </w:rPr>
              <w:t xml:space="preserve"> es un administrador de sistemas de negociación y registro de valores y que los contratos de energía son considerados un valor, la normatividad que le aplica tanto al administrador como a sus miembros permite establecer que hay unos estándares mínimos en la creación de precio, participación en las sesiones y una adecuada supervisión del mecanismo."</w:t>
            </w:r>
          </w:p>
        </w:tc>
      </w:tr>
      <w:tr w:rsidR="00EF4BC3" w:rsidRPr="00EF4BC3" w14:paraId="244F4BEF" w14:textId="77777777" w:rsidTr="00D31EE1">
        <w:trPr>
          <w:trHeight w:val="7680"/>
        </w:trPr>
        <w:tc>
          <w:tcPr>
            <w:tcW w:w="1696" w:type="dxa"/>
            <w:shd w:val="clear" w:color="000000" w:fill="E7E6E6"/>
            <w:hideMark/>
          </w:tcPr>
          <w:p w14:paraId="49C8DFE7" w14:textId="77777777" w:rsidR="00EF4BC3" w:rsidRPr="00EF4BC3" w:rsidRDefault="00EF4BC3">
            <w:pPr>
              <w:spacing w:before="0" w:after="0"/>
              <w:jc w:val="left"/>
              <w:rPr>
                <w:rFonts w:ascii="Calibri" w:hAnsi="Calibri"/>
                <w:b/>
                <w:bCs/>
                <w:sz w:val="18"/>
                <w:szCs w:val="18"/>
                <w:lang w:val="es-CO" w:eastAsia="es-CO"/>
              </w:rPr>
            </w:pPr>
            <w:r w:rsidRPr="00EF4BC3">
              <w:rPr>
                <w:rFonts w:ascii="Calibri" w:hAnsi="Calibri"/>
                <w:b/>
                <w:bCs/>
                <w:sz w:val="18"/>
                <w:szCs w:val="18"/>
                <w:lang w:val="es-CO" w:eastAsia="es-CO"/>
              </w:rPr>
              <w:lastRenderedPageBreak/>
              <w:t>Diego Jara</w:t>
            </w:r>
            <w:r w:rsidRPr="00EF4BC3">
              <w:rPr>
                <w:rFonts w:ascii="Calibri" w:hAnsi="Calibri"/>
                <w:b/>
                <w:bCs/>
                <w:sz w:val="18"/>
                <w:szCs w:val="18"/>
                <w:lang w:val="es-CO" w:eastAsia="es-CO"/>
              </w:rPr>
              <w:br/>
              <w:t>(Riesgos)</w:t>
            </w:r>
          </w:p>
        </w:tc>
        <w:tc>
          <w:tcPr>
            <w:tcW w:w="7650" w:type="dxa"/>
            <w:shd w:val="clear" w:color="auto" w:fill="auto"/>
            <w:hideMark/>
          </w:tcPr>
          <w:p w14:paraId="3A4280AD" w14:textId="22221227" w:rsidR="00EF4BC3" w:rsidRPr="00EF4BC3" w:rsidRDefault="00EF4BC3">
            <w:pPr>
              <w:spacing w:before="0" w:after="0"/>
              <w:jc w:val="left"/>
              <w:rPr>
                <w:rFonts w:ascii="Calibri" w:hAnsi="Calibri"/>
                <w:sz w:val="18"/>
                <w:szCs w:val="18"/>
                <w:lang w:val="es-CO" w:eastAsia="es-CO"/>
              </w:rPr>
            </w:pPr>
            <w:proofErr w:type="spellStart"/>
            <w:r w:rsidRPr="00EF4BC3">
              <w:rPr>
                <w:rFonts w:ascii="Calibri" w:hAnsi="Calibri"/>
                <w:sz w:val="18"/>
                <w:szCs w:val="18"/>
                <w:lang w:val="es-CO" w:eastAsia="es-CO"/>
              </w:rPr>
              <w:t>Pág</w:t>
            </w:r>
            <w:proofErr w:type="spellEnd"/>
            <w:r w:rsidRPr="00EF4BC3">
              <w:rPr>
                <w:rFonts w:ascii="Calibri" w:hAnsi="Calibri"/>
                <w:sz w:val="18"/>
                <w:szCs w:val="18"/>
                <w:lang w:val="es-CO" w:eastAsia="es-CO"/>
              </w:rPr>
              <w:t xml:space="preserve"> 12. La seguridad operativa del mecanismo se soporta en términos del cumplimiento de lo establecido en la regulación financiera (Manuales de Riesgo Operativo y Manuales de Continuidad del Negocio). Específicamente se menciona "la gestión de riesgos operativos se gestionan por medio del cumplimiento de la normativa del Sistema de Administración de Riesgo Operativo (SARO) impartida por la SFC a </w:t>
            </w:r>
            <w:proofErr w:type="spellStart"/>
            <w:r w:rsidRPr="00EF4BC3">
              <w:rPr>
                <w:rFonts w:ascii="Calibri" w:hAnsi="Calibri"/>
                <w:sz w:val="18"/>
                <w:szCs w:val="18"/>
                <w:lang w:val="es-CO" w:eastAsia="es-CO"/>
              </w:rPr>
              <w:t>Derivex</w:t>
            </w:r>
            <w:proofErr w:type="spellEnd"/>
            <w:r w:rsidRPr="00EF4BC3">
              <w:rPr>
                <w:rFonts w:ascii="Calibri" w:hAnsi="Calibri"/>
                <w:sz w:val="18"/>
                <w:szCs w:val="18"/>
                <w:lang w:val="es-CO" w:eastAsia="es-CO"/>
              </w:rPr>
              <w:t xml:space="preserve"> y la CRCC"</w:t>
            </w:r>
            <w:r w:rsidRPr="00EF4BC3">
              <w:rPr>
                <w:rFonts w:ascii="Calibri" w:hAnsi="Calibri"/>
                <w:sz w:val="18"/>
                <w:szCs w:val="18"/>
                <w:lang w:val="es-CO" w:eastAsia="es-CO"/>
              </w:rPr>
              <w:br/>
            </w:r>
            <w:r w:rsidRPr="00EF4BC3">
              <w:rPr>
                <w:rFonts w:ascii="Calibri" w:hAnsi="Calibri"/>
                <w:sz w:val="18"/>
                <w:szCs w:val="18"/>
                <w:lang w:val="es-CO" w:eastAsia="es-CO"/>
              </w:rPr>
              <w:br/>
              <w:t>SARO - Procesos internos definidos para la gestión de riesgo operativo, con base en la normativa ISO 31000:2009 y la Circular básica contable y financiera.</w:t>
            </w:r>
            <w:r w:rsidRPr="00EF4BC3">
              <w:rPr>
                <w:rFonts w:ascii="Calibri" w:hAnsi="Calibri"/>
                <w:sz w:val="18"/>
                <w:szCs w:val="18"/>
                <w:lang w:val="es-CO" w:eastAsia="es-CO"/>
              </w:rPr>
              <w:br/>
            </w:r>
            <w:r w:rsidRPr="00EF4BC3">
              <w:rPr>
                <w:rFonts w:ascii="Calibri" w:hAnsi="Calibri"/>
                <w:sz w:val="18"/>
                <w:szCs w:val="18"/>
                <w:lang w:val="es-CO" w:eastAsia="es-CO"/>
              </w:rPr>
              <w:br/>
              <w:t>Para miembros liquidadores se tiene el control del cumplimiento de la Circular Básica Contable y Financiera.</w:t>
            </w:r>
            <w:r w:rsidRPr="00EF4BC3">
              <w:rPr>
                <w:rFonts w:ascii="Calibri" w:hAnsi="Calibri"/>
                <w:sz w:val="18"/>
                <w:szCs w:val="18"/>
                <w:lang w:val="es-CO" w:eastAsia="es-CO"/>
              </w:rPr>
              <w:br/>
            </w:r>
            <w:r w:rsidRPr="00EF4BC3">
              <w:rPr>
                <w:rFonts w:ascii="Calibri" w:hAnsi="Calibri"/>
                <w:sz w:val="18"/>
                <w:szCs w:val="18"/>
                <w:lang w:val="es-CO" w:eastAsia="es-CO"/>
              </w:rPr>
              <w:br/>
            </w:r>
            <w:proofErr w:type="spellStart"/>
            <w:r w:rsidRPr="00EF4BC3">
              <w:rPr>
                <w:rFonts w:ascii="Calibri" w:hAnsi="Calibri"/>
                <w:sz w:val="18"/>
                <w:szCs w:val="18"/>
                <w:lang w:val="es-CO" w:eastAsia="es-CO"/>
              </w:rPr>
              <w:t>Pág</w:t>
            </w:r>
            <w:proofErr w:type="spellEnd"/>
            <w:r w:rsidRPr="00EF4BC3">
              <w:rPr>
                <w:rFonts w:ascii="Calibri" w:hAnsi="Calibri"/>
                <w:sz w:val="18"/>
                <w:szCs w:val="18"/>
                <w:lang w:val="es-CO" w:eastAsia="es-CO"/>
              </w:rPr>
              <w:t xml:space="preserve"> 23 y 24</w:t>
            </w:r>
            <w:r w:rsidRPr="00EF4BC3">
              <w:rPr>
                <w:rFonts w:ascii="Calibri" w:hAnsi="Calibri"/>
                <w:sz w:val="18"/>
                <w:szCs w:val="18"/>
                <w:lang w:val="es-CO" w:eastAsia="es-CO"/>
              </w:rPr>
              <w:br/>
              <w:t xml:space="preserve">Este riesgo está claramente definido y mapeado en el Manual SARO (Anexo 30) de </w:t>
            </w:r>
            <w:proofErr w:type="spellStart"/>
            <w:r w:rsidRPr="00EF4BC3">
              <w:rPr>
                <w:rFonts w:ascii="Calibri" w:hAnsi="Calibri"/>
                <w:sz w:val="18"/>
                <w:szCs w:val="18"/>
                <w:lang w:val="es-CO" w:eastAsia="es-CO"/>
              </w:rPr>
              <w:t>Derivex</w:t>
            </w:r>
            <w:proofErr w:type="spellEnd"/>
            <w:r w:rsidRPr="00EF4BC3">
              <w:rPr>
                <w:rFonts w:ascii="Calibri" w:hAnsi="Calibri"/>
                <w:sz w:val="18"/>
                <w:szCs w:val="18"/>
                <w:lang w:val="es-CO" w:eastAsia="es-CO"/>
              </w:rPr>
              <w:t>. En donde se define claramente:</w:t>
            </w:r>
            <w:r w:rsidRPr="00EF4BC3">
              <w:rPr>
                <w:rFonts w:ascii="Calibri" w:hAnsi="Calibri"/>
                <w:sz w:val="18"/>
                <w:szCs w:val="18"/>
                <w:lang w:val="es-CO" w:eastAsia="es-CO"/>
              </w:rPr>
              <w:br/>
              <w:t>● Principios metodológicos</w:t>
            </w:r>
            <w:r w:rsidRPr="00EF4BC3">
              <w:rPr>
                <w:rFonts w:ascii="Calibri" w:hAnsi="Calibri"/>
                <w:sz w:val="18"/>
                <w:szCs w:val="18"/>
                <w:lang w:val="es-CO" w:eastAsia="es-CO"/>
              </w:rPr>
              <w:br/>
              <w:t>● Definición del contexto</w:t>
            </w:r>
            <w:r w:rsidRPr="00EF4BC3">
              <w:rPr>
                <w:rFonts w:ascii="Calibri" w:hAnsi="Calibri"/>
                <w:sz w:val="18"/>
                <w:szCs w:val="18"/>
                <w:lang w:val="es-CO" w:eastAsia="es-CO"/>
              </w:rPr>
              <w:br/>
              <w:t>● Identificación y análisis de riesgos</w:t>
            </w:r>
            <w:r w:rsidRPr="00EF4BC3">
              <w:rPr>
                <w:rFonts w:ascii="Calibri" w:hAnsi="Calibri"/>
                <w:sz w:val="18"/>
                <w:szCs w:val="18"/>
                <w:lang w:val="es-CO" w:eastAsia="es-CO"/>
              </w:rPr>
              <w:br/>
              <w:t>● Evaluación de riesgos</w:t>
            </w:r>
            <w:r w:rsidRPr="00EF4BC3">
              <w:rPr>
                <w:rFonts w:ascii="Calibri" w:hAnsi="Calibri"/>
                <w:sz w:val="18"/>
                <w:szCs w:val="18"/>
                <w:lang w:val="es-CO" w:eastAsia="es-CO"/>
              </w:rPr>
              <w:br/>
            </w:r>
            <w:r w:rsidRPr="00EF4BC3">
              <w:rPr>
                <w:rFonts w:ascii="Calibri" w:hAnsi="Calibri"/>
                <w:sz w:val="18"/>
                <w:szCs w:val="18"/>
                <w:lang w:val="es-CO" w:eastAsia="es-CO"/>
              </w:rPr>
              <w:br/>
              <w:t>● Tratamiento a riesgos</w:t>
            </w:r>
            <w:r w:rsidRPr="00EF4BC3">
              <w:rPr>
                <w:rFonts w:ascii="Calibri" w:hAnsi="Calibri"/>
                <w:sz w:val="18"/>
                <w:szCs w:val="18"/>
                <w:lang w:val="es-CO" w:eastAsia="es-CO"/>
              </w:rPr>
              <w:br/>
              <w:t>● Monitoreo y revisión de riesgos</w:t>
            </w:r>
            <w:r w:rsidRPr="00EF4BC3">
              <w:rPr>
                <w:rFonts w:ascii="Calibri" w:hAnsi="Calibri"/>
                <w:sz w:val="18"/>
                <w:szCs w:val="18"/>
                <w:lang w:val="es-CO" w:eastAsia="es-CO"/>
              </w:rPr>
              <w:br/>
              <w:t xml:space="preserve">De forma similar a la consideración de riesgos anteriores, </w:t>
            </w:r>
            <w:r w:rsidRPr="00EF4BC3">
              <w:rPr>
                <w:rFonts w:ascii="Calibri" w:hAnsi="Calibri"/>
                <w:b/>
                <w:bCs/>
                <w:sz w:val="18"/>
                <w:szCs w:val="18"/>
                <w:lang w:val="es-CO" w:eastAsia="es-CO"/>
              </w:rPr>
              <w:t xml:space="preserve">el estándar que debe cumplir </w:t>
            </w:r>
            <w:proofErr w:type="spellStart"/>
            <w:r w:rsidRPr="00EF4BC3">
              <w:rPr>
                <w:rFonts w:ascii="Calibri" w:hAnsi="Calibri"/>
                <w:b/>
                <w:bCs/>
                <w:sz w:val="18"/>
                <w:szCs w:val="18"/>
                <w:lang w:val="es-CO" w:eastAsia="es-CO"/>
              </w:rPr>
              <w:t>Derivex</w:t>
            </w:r>
            <w:proofErr w:type="spellEnd"/>
            <w:r w:rsidRPr="00EF4BC3">
              <w:rPr>
                <w:rFonts w:ascii="Calibri" w:hAnsi="Calibri"/>
                <w:b/>
                <w:bCs/>
                <w:sz w:val="18"/>
                <w:szCs w:val="18"/>
                <w:lang w:val="es-CO" w:eastAsia="es-CO"/>
              </w:rPr>
              <w:t xml:space="preserve"> para administrar su riesgo operativo es el establecido en la normativa del sector financiero, y los riesgos residuales son analizados y monitoreados bajo esos estándares.</w:t>
            </w:r>
            <w:r w:rsidRPr="00EF4BC3">
              <w:rPr>
                <w:rFonts w:ascii="Calibri" w:hAnsi="Calibri"/>
                <w:sz w:val="18"/>
                <w:szCs w:val="18"/>
                <w:lang w:val="es-CO" w:eastAsia="es-CO"/>
              </w:rPr>
              <w:br/>
            </w:r>
            <w:r w:rsidRPr="00EF4BC3">
              <w:rPr>
                <w:rFonts w:ascii="Calibri" w:hAnsi="Calibri"/>
                <w:sz w:val="18"/>
                <w:szCs w:val="18"/>
                <w:lang w:val="es-CO" w:eastAsia="es-CO"/>
              </w:rPr>
              <w:br/>
              <w:t xml:space="preserve">De forma similar a la consideración de riesgos anteriores, </w:t>
            </w:r>
            <w:r w:rsidRPr="00EF4BC3">
              <w:rPr>
                <w:rFonts w:ascii="Calibri" w:hAnsi="Calibri"/>
                <w:b/>
                <w:bCs/>
                <w:sz w:val="18"/>
                <w:szCs w:val="18"/>
                <w:lang w:val="es-CO" w:eastAsia="es-CO"/>
              </w:rPr>
              <w:t>el estándar que debe cumplir la CRCC para administrar su riesgo operativo es el establecido en la normativa del sector financiero, y los riesgos residuales son analizados y monitoreados bajo esos estándares.</w:t>
            </w:r>
            <w:r w:rsidRPr="00EF4BC3">
              <w:rPr>
                <w:rFonts w:ascii="Calibri" w:hAnsi="Calibri"/>
                <w:sz w:val="18"/>
                <w:szCs w:val="18"/>
                <w:lang w:val="es-CO" w:eastAsia="es-CO"/>
              </w:rPr>
              <w:br/>
            </w:r>
            <w:r w:rsidRPr="00EF4BC3">
              <w:rPr>
                <w:rFonts w:ascii="Calibri" w:hAnsi="Calibri"/>
                <w:b/>
                <w:bCs/>
                <w:sz w:val="18"/>
                <w:szCs w:val="18"/>
                <w:lang w:val="es-CO" w:eastAsia="es-CO"/>
              </w:rPr>
              <w:br/>
              <w:t xml:space="preserve">El riesgo operativo, legal y reputacional del mecanismo puede proyectarse al de </w:t>
            </w:r>
            <w:proofErr w:type="spellStart"/>
            <w:r w:rsidRPr="00EF4BC3">
              <w:rPr>
                <w:rFonts w:ascii="Calibri" w:hAnsi="Calibri"/>
                <w:b/>
                <w:bCs/>
                <w:sz w:val="18"/>
                <w:szCs w:val="18"/>
                <w:lang w:val="es-CO" w:eastAsia="es-CO"/>
              </w:rPr>
              <w:t>Derivex</w:t>
            </w:r>
            <w:proofErr w:type="spellEnd"/>
            <w:r w:rsidRPr="00EF4BC3">
              <w:rPr>
                <w:rFonts w:ascii="Calibri" w:hAnsi="Calibri"/>
                <w:b/>
                <w:bCs/>
                <w:sz w:val="18"/>
                <w:szCs w:val="18"/>
                <w:lang w:val="es-CO" w:eastAsia="es-CO"/>
              </w:rPr>
              <w:t xml:space="preserve"> y la CRCC, luego esta discusión es la de los dos puntos anteriores.</w:t>
            </w:r>
            <w:r w:rsidRPr="00EF4BC3">
              <w:rPr>
                <w:rFonts w:ascii="Calibri" w:hAnsi="Calibri"/>
                <w:b/>
                <w:bCs/>
                <w:sz w:val="18"/>
                <w:szCs w:val="18"/>
                <w:lang w:val="es-CO" w:eastAsia="es-CO"/>
              </w:rPr>
              <w:br/>
            </w:r>
            <w:r w:rsidRPr="00EF4BC3">
              <w:rPr>
                <w:rFonts w:ascii="Calibri" w:hAnsi="Calibri"/>
                <w:sz w:val="18"/>
                <w:szCs w:val="18"/>
                <w:lang w:val="es-CO" w:eastAsia="es-CO"/>
              </w:rPr>
              <w:br/>
            </w:r>
            <w:proofErr w:type="spellStart"/>
            <w:r w:rsidRPr="00EF4BC3">
              <w:rPr>
                <w:rFonts w:ascii="Calibri" w:hAnsi="Calibri"/>
                <w:sz w:val="18"/>
                <w:szCs w:val="18"/>
                <w:lang w:val="es-CO" w:eastAsia="es-CO"/>
              </w:rPr>
              <w:t>Pág</w:t>
            </w:r>
            <w:proofErr w:type="spellEnd"/>
            <w:r w:rsidRPr="00EF4BC3">
              <w:rPr>
                <w:rFonts w:ascii="Calibri" w:hAnsi="Calibri"/>
                <w:sz w:val="18"/>
                <w:szCs w:val="18"/>
                <w:lang w:val="es-CO" w:eastAsia="es-CO"/>
              </w:rPr>
              <w:t xml:space="preserve"> 26</w:t>
            </w:r>
            <w:r w:rsidRPr="00EF4BC3">
              <w:rPr>
                <w:rFonts w:ascii="Calibri" w:hAnsi="Calibri"/>
                <w:sz w:val="18"/>
                <w:szCs w:val="18"/>
                <w:lang w:val="es-CO" w:eastAsia="es-CO"/>
              </w:rPr>
              <w:br/>
              <w:t>En desarrollo de sus operaciones, las entidades sometidas a la inspección y vigilancia de la SFC se exponen al Riesgo Operativo (RO). Por reglamentación requieren un manual SARO que mitigue este riesgo. Por lo cual el riesgo reputacional de los miembros liquidadores es mitigado bajo los estándares SARO del sistema financiero.</w:t>
            </w:r>
          </w:p>
        </w:tc>
      </w:tr>
      <w:tr w:rsidR="005A1216" w:rsidRPr="00EF4BC3" w14:paraId="64E10B3B" w14:textId="77777777" w:rsidTr="00D31EE1">
        <w:trPr>
          <w:trHeight w:val="1304"/>
        </w:trPr>
        <w:tc>
          <w:tcPr>
            <w:tcW w:w="1696" w:type="dxa"/>
            <w:shd w:val="clear" w:color="000000" w:fill="E7E6E6"/>
            <w:hideMark/>
          </w:tcPr>
          <w:p w14:paraId="1120D68F" w14:textId="77777777" w:rsidR="00EF4BC3" w:rsidRPr="00EF4BC3" w:rsidRDefault="00EF4BC3">
            <w:pPr>
              <w:spacing w:before="0" w:after="0"/>
              <w:jc w:val="left"/>
              <w:rPr>
                <w:rFonts w:ascii="Calibri" w:hAnsi="Calibri"/>
                <w:b/>
                <w:bCs/>
                <w:sz w:val="18"/>
                <w:szCs w:val="18"/>
                <w:lang w:val="es-CO" w:eastAsia="es-CO"/>
              </w:rPr>
            </w:pPr>
            <w:r w:rsidRPr="00EF4BC3">
              <w:rPr>
                <w:rFonts w:ascii="Calibri" w:hAnsi="Calibri"/>
                <w:b/>
                <w:bCs/>
                <w:sz w:val="18"/>
                <w:szCs w:val="18"/>
                <w:lang w:val="es-CO" w:eastAsia="es-CO"/>
              </w:rPr>
              <w:t>Roberto Borrás</w:t>
            </w:r>
            <w:r w:rsidRPr="00EF4BC3">
              <w:rPr>
                <w:rFonts w:ascii="Calibri" w:hAnsi="Calibri"/>
                <w:b/>
                <w:bCs/>
                <w:sz w:val="18"/>
                <w:szCs w:val="18"/>
                <w:lang w:val="es-CO" w:eastAsia="es-CO"/>
              </w:rPr>
              <w:br/>
              <w:t>(Gobierno corporativo)</w:t>
            </w:r>
          </w:p>
        </w:tc>
        <w:tc>
          <w:tcPr>
            <w:tcW w:w="7650" w:type="dxa"/>
            <w:shd w:val="clear" w:color="auto" w:fill="auto"/>
            <w:hideMark/>
          </w:tcPr>
          <w:p w14:paraId="33D3F169" w14:textId="101F1B91" w:rsidR="00EF4BC3" w:rsidRPr="00EF4BC3" w:rsidRDefault="00EF4BC3">
            <w:pPr>
              <w:spacing w:before="0" w:after="0"/>
              <w:jc w:val="left"/>
              <w:rPr>
                <w:rFonts w:ascii="Calibri" w:hAnsi="Calibri"/>
                <w:sz w:val="18"/>
                <w:szCs w:val="18"/>
                <w:lang w:val="es-CO" w:eastAsia="es-CO"/>
              </w:rPr>
            </w:pPr>
            <w:proofErr w:type="spellStart"/>
            <w:r w:rsidRPr="00EF4BC3">
              <w:rPr>
                <w:rFonts w:ascii="Calibri" w:hAnsi="Calibri"/>
                <w:sz w:val="18"/>
                <w:szCs w:val="18"/>
                <w:lang w:val="es-CO" w:eastAsia="es-CO"/>
              </w:rPr>
              <w:t>Pág</w:t>
            </w:r>
            <w:proofErr w:type="spellEnd"/>
            <w:r w:rsidRPr="00EF4BC3">
              <w:rPr>
                <w:rFonts w:ascii="Calibri" w:hAnsi="Calibri"/>
                <w:sz w:val="18"/>
                <w:szCs w:val="18"/>
                <w:lang w:val="es-CO" w:eastAsia="es-CO"/>
              </w:rPr>
              <w:t xml:space="preserve"> 31 </w:t>
            </w:r>
            <w:r w:rsidRPr="00EF4BC3">
              <w:rPr>
                <w:rFonts w:ascii="Calibri" w:hAnsi="Calibri"/>
                <w:sz w:val="18"/>
                <w:szCs w:val="18"/>
                <w:lang w:val="es-CO" w:eastAsia="es-CO"/>
              </w:rPr>
              <w:br/>
              <w:t>" (</w:t>
            </w:r>
            <w:proofErr w:type="spellStart"/>
            <w:r w:rsidRPr="00EF4BC3">
              <w:rPr>
                <w:rFonts w:ascii="Calibri" w:hAnsi="Calibri"/>
                <w:sz w:val="18"/>
                <w:szCs w:val="18"/>
                <w:lang w:val="es-CO" w:eastAsia="es-CO"/>
              </w:rPr>
              <w:t>iii</w:t>
            </w:r>
            <w:proofErr w:type="spellEnd"/>
            <w:r w:rsidRPr="00EF4BC3">
              <w:rPr>
                <w:rFonts w:ascii="Calibri" w:hAnsi="Calibri"/>
                <w:sz w:val="18"/>
                <w:szCs w:val="18"/>
                <w:lang w:val="es-CO" w:eastAsia="es-CO"/>
              </w:rPr>
              <w:t>)Contar con mecanismos y procesos para el manejo de la información de los sistemas que administran, en concordancia con el principio de transparencia;</w:t>
            </w:r>
            <w:r w:rsidRPr="00EF4BC3">
              <w:rPr>
                <w:rFonts w:ascii="Calibri" w:hAnsi="Calibri"/>
                <w:sz w:val="18"/>
                <w:szCs w:val="18"/>
                <w:lang w:val="es-CO" w:eastAsia="es-CO"/>
              </w:rPr>
              <w:br/>
              <w:t>(</w:t>
            </w:r>
            <w:proofErr w:type="spellStart"/>
            <w:r w:rsidRPr="00EF4BC3">
              <w:rPr>
                <w:rFonts w:ascii="Calibri" w:hAnsi="Calibri"/>
                <w:sz w:val="18"/>
                <w:szCs w:val="18"/>
                <w:lang w:val="es-CO" w:eastAsia="es-CO"/>
              </w:rPr>
              <w:t>iv</w:t>
            </w:r>
            <w:proofErr w:type="spellEnd"/>
            <w:r w:rsidRPr="00EF4BC3">
              <w:rPr>
                <w:rFonts w:ascii="Calibri" w:hAnsi="Calibri"/>
                <w:sz w:val="18"/>
                <w:szCs w:val="18"/>
                <w:lang w:val="es-CO" w:eastAsia="es-CO"/>
              </w:rPr>
              <w:t xml:space="preserve">) Identificar, controlar y gestionar adecuadamente los riesgos a los que está expuesta la entidad y los sistemas que administre, estaría alineado con el principio de fiabilidad" </w:t>
            </w:r>
            <w:r w:rsidRPr="00EF4BC3">
              <w:rPr>
                <w:rFonts w:ascii="Calibri" w:hAnsi="Calibri"/>
                <w:sz w:val="18"/>
                <w:szCs w:val="18"/>
                <w:lang w:val="es-CO" w:eastAsia="es-CO"/>
              </w:rPr>
              <w:br/>
            </w:r>
            <w:r w:rsidRPr="00EF4BC3">
              <w:rPr>
                <w:rFonts w:ascii="Calibri" w:hAnsi="Calibri"/>
                <w:sz w:val="18"/>
                <w:szCs w:val="18"/>
                <w:lang w:val="es-CO" w:eastAsia="es-CO"/>
              </w:rPr>
              <w:br/>
            </w:r>
            <w:proofErr w:type="spellStart"/>
            <w:r w:rsidRPr="00EF4BC3">
              <w:rPr>
                <w:rFonts w:ascii="Calibri" w:hAnsi="Calibri"/>
                <w:sz w:val="18"/>
                <w:szCs w:val="18"/>
                <w:lang w:val="es-CO" w:eastAsia="es-CO"/>
              </w:rPr>
              <w:t>Pág</w:t>
            </w:r>
            <w:proofErr w:type="spellEnd"/>
            <w:r w:rsidRPr="00EF4BC3">
              <w:rPr>
                <w:rFonts w:ascii="Calibri" w:hAnsi="Calibri"/>
                <w:sz w:val="18"/>
                <w:szCs w:val="18"/>
                <w:lang w:val="es-CO" w:eastAsia="es-CO"/>
              </w:rPr>
              <w:t xml:space="preserve"> 29</w:t>
            </w:r>
            <w:r w:rsidRPr="00EF4BC3">
              <w:rPr>
                <w:rFonts w:ascii="Calibri" w:hAnsi="Calibri"/>
                <w:sz w:val="18"/>
                <w:szCs w:val="18"/>
                <w:lang w:val="es-CO" w:eastAsia="es-CO"/>
              </w:rPr>
              <w:br/>
              <w:t>"(</w:t>
            </w:r>
            <w:proofErr w:type="spellStart"/>
            <w:r w:rsidRPr="00EF4BC3">
              <w:rPr>
                <w:rFonts w:ascii="Calibri" w:hAnsi="Calibri"/>
                <w:sz w:val="18"/>
                <w:szCs w:val="18"/>
                <w:lang w:val="es-CO" w:eastAsia="es-CO"/>
              </w:rPr>
              <w:t>iii</w:t>
            </w:r>
            <w:proofErr w:type="spellEnd"/>
            <w:r w:rsidRPr="00EF4BC3">
              <w:rPr>
                <w:rFonts w:ascii="Calibri" w:hAnsi="Calibri"/>
                <w:sz w:val="18"/>
                <w:szCs w:val="18"/>
                <w:lang w:val="es-CO" w:eastAsia="es-CO"/>
              </w:rPr>
              <w:t xml:space="preserve">) Interoperabilidad. La CRCC debe garantizar a cualquier cliente el acceso a su plataforma y asegurar la interoperabilidad entre los agentes o partes que intervienen en la cadena de servicios, incluyendo la negociación de valores. De igual manera, los agentes o partes que intervienen en la cadena de servicios deberán garantizarle el libre acceso a la Cámara de Riesgo Central de Contraparte, sin importar su composición accionaria. " </w:t>
            </w:r>
            <w:r w:rsidRPr="00EF4BC3">
              <w:rPr>
                <w:rFonts w:ascii="Calibri" w:hAnsi="Calibri"/>
                <w:sz w:val="18"/>
                <w:szCs w:val="18"/>
                <w:lang w:val="es-CO" w:eastAsia="es-CO"/>
              </w:rPr>
              <w:br/>
            </w:r>
            <w:r w:rsidRPr="00EF4BC3">
              <w:rPr>
                <w:rFonts w:ascii="Calibri" w:hAnsi="Calibri"/>
                <w:sz w:val="18"/>
                <w:szCs w:val="18"/>
                <w:lang w:val="es-CO" w:eastAsia="es-CO"/>
              </w:rPr>
              <w:br/>
              <w:t>Pág. 33</w:t>
            </w:r>
            <w:r w:rsidRPr="00EF4BC3">
              <w:rPr>
                <w:rFonts w:ascii="Calibri" w:hAnsi="Calibri"/>
                <w:sz w:val="18"/>
                <w:szCs w:val="18"/>
                <w:lang w:val="es-CO" w:eastAsia="es-CO"/>
              </w:rPr>
              <w:br/>
              <w:t>Estas características previstas en la regulación financiera vigente, fueron evidenciadas de igual forma por el Consultor a partir de la revisión formal del Reglamento General del Mecanismo, del cual se resaltan los siguientes aspectos relevantes, que contribuyen a la salvaguarda de los principios que espera la CREG, sean garantizados:</w:t>
            </w:r>
            <w:r w:rsidRPr="00EF4BC3">
              <w:rPr>
                <w:rFonts w:ascii="Calibri" w:hAnsi="Calibri"/>
                <w:sz w:val="18"/>
                <w:szCs w:val="18"/>
                <w:lang w:val="es-CO" w:eastAsia="es-CO"/>
              </w:rPr>
              <w:br/>
            </w:r>
            <w:r w:rsidRPr="00EF4BC3">
              <w:rPr>
                <w:rFonts w:ascii="Calibri" w:hAnsi="Calibri"/>
                <w:sz w:val="18"/>
                <w:szCs w:val="18"/>
                <w:lang w:val="es-CO" w:eastAsia="es-CO"/>
              </w:rPr>
              <w:br/>
              <w:t>"d. Generar y difundir la información sobre las órdenes activas en el sistema, así como de las operaciones celebradas o registradas a través del Mecanismo a todos los operadores en tiempo real</w:t>
            </w:r>
            <w:r w:rsidR="00B42033">
              <w:rPr>
                <w:rFonts w:ascii="Calibri" w:hAnsi="Calibri"/>
                <w:sz w:val="18"/>
                <w:szCs w:val="18"/>
                <w:lang w:val="es-CO" w:eastAsia="es-CO"/>
              </w:rPr>
              <w:t xml:space="preserve"> (…)</w:t>
            </w:r>
            <w:r w:rsidRPr="00EF4BC3">
              <w:rPr>
                <w:rFonts w:ascii="Calibri" w:hAnsi="Calibri"/>
                <w:sz w:val="18"/>
                <w:szCs w:val="18"/>
                <w:lang w:val="es-CO" w:eastAsia="es-CO"/>
              </w:rPr>
              <w:t>"</w:t>
            </w:r>
          </w:p>
        </w:tc>
      </w:tr>
    </w:tbl>
    <w:p w14:paraId="632811AE" w14:textId="088A1CE8" w:rsidR="00CF7532" w:rsidRDefault="00CF7532">
      <w:pPr>
        <w:spacing w:before="0" w:after="0"/>
        <w:rPr>
          <w:b/>
          <w:szCs w:val="20"/>
          <w:lang w:val="es-CO"/>
        </w:rPr>
      </w:pPr>
    </w:p>
    <w:p w14:paraId="3583A542" w14:textId="77777777" w:rsidR="00937EA3" w:rsidRDefault="00937EA3">
      <w:pPr>
        <w:spacing w:before="0" w:after="0"/>
        <w:rPr>
          <w:b/>
          <w:szCs w:val="20"/>
          <w:lang w:val="es-CO"/>
        </w:rPr>
      </w:pPr>
    </w:p>
    <w:tbl>
      <w:tblPr>
        <w:tblW w:w="0" w:type="auto"/>
        <w:tblCellMar>
          <w:left w:w="70" w:type="dxa"/>
          <w:right w:w="70" w:type="dxa"/>
        </w:tblCellMar>
        <w:tblLook w:val="04A0" w:firstRow="1" w:lastRow="0" w:firstColumn="1" w:lastColumn="0" w:noHBand="0" w:noVBand="1"/>
      </w:tblPr>
      <w:tblGrid>
        <w:gridCol w:w="1696"/>
        <w:gridCol w:w="7650"/>
      </w:tblGrid>
      <w:tr w:rsidR="008D7525" w:rsidRPr="008D7525" w14:paraId="31C7E3FF" w14:textId="77777777" w:rsidTr="00D31EE1">
        <w:trPr>
          <w:trHeight w:val="375"/>
        </w:trPr>
        <w:tc>
          <w:tcPr>
            <w:tcW w:w="1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3A68EFA" w14:textId="77777777" w:rsidR="008D7525" w:rsidRPr="008D7525" w:rsidRDefault="008D7525">
            <w:pPr>
              <w:spacing w:before="0" w:after="0"/>
              <w:jc w:val="center"/>
              <w:rPr>
                <w:rFonts w:ascii="Calibri" w:hAnsi="Calibri"/>
                <w:b/>
                <w:bCs/>
                <w:color w:val="000000"/>
                <w:sz w:val="18"/>
                <w:szCs w:val="18"/>
                <w:lang w:val="es-CO" w:eastAsia="es-CO"/>
              </w:rPr>
            </w:pPr>
            <w:r w:rsidRPr="008D7525">
              <w:rPr>
                <w:rFonts w:ascii="Calibri" w:hAnsi="Calibri"/>
                <w:b/>
                <w:bCs/>
                <w:color w:val="000000"/>
                <w:sz w:val="18"/>
                <w:szCs w:val="18"/>
                <w:lang w:val="es-CO" w:eastAsia="es-CO"/>
              </w:rPr>
              <w:lastRenderedPageBreak/>
              <w:t>Parámetro</w:t>
            </w:r>
          </w:p>
        </w:tc>
        <w:tc>
          <w:tcPr>
            <w:tcW w:w="7650" w:type="dxa"/>
            <w:tcBorders>
              <w:top w:val="single" w:sz="4" w:space="0" w:color="auto"/>
              <w:left w:val="nil"/>
              <w:bottom w:val="single" w:sz="4" w:space="0" w:color="auto"/>
              <w:right w:val="single" w:sz="4" w:space="0" w:color="auto"/>
            </w:tcBorders>
            <w:shd w:val="clear" w:color="000000" w:fill="D9E1F2"/>
            <w:vAlign w:val="center"/>
            <w:hideMark/>
          </w:tcPr>
          <w:p w14:paraId="57C81484" w14:textId="77777777" w:rsidR="008D7525" w:rsidRPr="008D7525" w:rsidRDefault="008D7525">
            <w:pPr>
              <w:spacing w:before="0" w:after="0"/>
              <w:jc w:val="center"/>
              <w:rPr>
                <w:rFonts w:ascii="Calibri" w:hAnsi="Calibri"/>
                <w:b/>
                <w:bCs/>
                <w:sz w:val="18"/>
                <w:szCs w:val="18"/>
                <w:lang w:val="es-CO" w:eastAsia="es-CO"/>
              </w:rPr>
            </w:pPr>
            <w:r w:rsidRPr="008D7525">
              <w:rPr>
                <w:rFonts w:ascii="Calibri" w:hAnsi="Calibri"/>
                <w:b/>
                <w:bCs/>
                <w:sz w:val="18"/>
                <w:szCs w:val="18"/>
                <w:lang w:val="es-CO" w:eastAsia="es-CO"/>
              </w:rPr>
              <w:t>Condición de gestión de riesgos</w:t>
            </w:r>
          </w:p>
        </w:tc>
      </w:tr>
      <w:tr w:rsidR="008D7525" w:rsidRPr="008D7525" w14:paraId="15C4CBB4" w14:textId="77777777" w:rsidTr="00D31EE1">
        <w:trPr>
          <w:trHeight w:val="720"/>
        </w:trPr>
        <w:tc>
          <w:tcPr>
            <w:tcW w:w="1696" w:type="dxa"/>
            <w:tcBorders>
              <w:top w:val="nil"/>
              <w:left w:val="single" w:sz="4" w:space="0" w:color="auto"/>
              <w:bottom w:val="single" w:sz="4" w:space="0" w:color="auto"/>
              <w:right w:val="single" w:sz="4" w:space="0" w:color="auto"/>
            </w:tcBorders>
            <w:shd w:val="clear" w:color="000000" w:fill="E7E6E6"/>
            <w:noWrap/>
            <w:hideMark/>
          </w:tcPr>
          <w:p w14:paraId="5C827185" w14:textId="77777777" w:rsidR="008D7525" w:rsidRPr="008D7525" w:rsidRDefault="008D7525">
            <w:pPr>
              <w:spacing w:before="0" w:after="0"/>
              <w:jc w:val="left"/>
              <w:rPr>
                <w:rFonts w:ascii="Calibri" w:hAnsi="Calibri"/>
                <w:b/>
                <w:bCs/>
                <w:color w:val="000000"/>
                <w:sz w:val="18"/>
                <w:szCs w:val="18"/>
                <w:lang w:val="es-CO" w:eastAsia="es-CO"/>
              </w:rPr>
            </w:pPr>
            <w:r w:rsidRPr="008D7525">
              <w:rPr>
                <w:rFonts w:ascii="Calibri" w:hAnsi="Calibri"/>
                <w:b/>
                <w:bCs/>
                <w:color w:val="000000"/>
                <w:sz w:val="18"/>
                <w:szCs w:val="18"/>
                <w:lang w:val="es-CO" w:eastAsia="es-CO"/>
              </w:rPr>
              <w:t>Descripción</w:t>
            </w:r>
          </w:p>
        </w:tc>
        <w:tc>
          <w:tcPr>
            <w:tcW w:w="7650" w:type="dxa"/>
            <w:tcBorders>
              <w:top w:val="nil"/>
              <w:left w:val="nil"/>
              <w:bottom w:val="single" w:sz="4" w:space="0" w:color="auto"/>
              <w:right w:val="single" w:sz="4" w:space="0" w:color="auto"/>
            </w:tcBorders>
            <w:shd w:val="clear" w:color="auto" w:fill="auto"/>
            <w:hideMark/>
          </w:tcPr>
          <w:p w14:paraId="1349EAE3" w14:textId="77777777" w:rsidR="008D7525" w:rsidRPr="008D7525" w:rsidRDefault="008D7525">
            <w:pPr>
              <w:spacing w:before="0" w:after="0"/>
              <w:jc w:val="left"/>
              <w:rPr>
                <w:rFonts w:ascii="Calibri" w:hAnsi="Calibri"/>
                <w:sz w:val="18"/>
                <w:szCs w:val="18"/>
                <w:lang w:val="es-CO" w:eastAsia="es-CO"/>
              </w:rPr>
            </w:pPr>
            <w:r w:rsidRPr="008D7525">
              <w:rPr>
                <w:rFonts w:ascii="Calibri" w:hAnsi="Calibri"/>
                <w:sz w:val="18"/>
                <w:szCs w:val="18"/>
                <w:lang w:val="es-CO" w:eastAsia="es-CO"/>
              </w:rPr>
              <w:t>El mecanismo para la comercialización de energía cuenta con esquemas de gestión de riesgo que les permiten a sus participantes acotar los riesgos asociados a su implementación, incluyendo como mínimo al riesgo asociado con el incumplimiento de las obligaciones derivadas de la participación en el mecanismo.</w:t>
            </w:r>
          </w:p>
        </w:tc>
      </w:tr>
      <w:tr w:rsidR="008D7525" w:rsidRPr="008D7525" w14:paraId="0F92655E" w14:textId="77777777" w:rsidTr="00D31EE1">
        <w:trPr>
          <w:trHeight w:val="1620"/>
        </w:trPr>
        <w:tc>
          <w:tcPr>
            <w:tcW w:w="1696" w:type="dxa"/>
            <w:tcBorders>
              <w:top w:val="nil"/>
              <w:left w:val="single" w:sz="4" w:space="0" w:color="auto"/>
              <w:bottom w:val="single" w:sz="4" w:space="0" w:color="auto"/>
              <w:right w:val="single" w:sz="4" w:space="0" w:color="auto"/>
            </w:tcBorders>
            <w:shd w:val="clear" w:color="000000" w:fill="E7E6E6"/>
            <w:hideMark/>
          </w:tcPr>
          <w:p w14:paraId="39C76593" w14:textId="77777777" w:rsidR="008D7525" w:rsidRPr="008D7525" w:rsidRDefault="008D7525">
            <w:pPr>
              <w:spacing w:before="0" w:after="0"/>
              <w:jc w:val="left"/>
              <w:rPr>
                <w:rFonts w:ascii="Calibri" w:hAnsi="Calibri"/>
                <w:b/>
                <w:bCs/>
                <w:color w:val="000000"/>
                <w:sz w:val="18"/>
                <w:szCs w:val="18"/>
                <w:lang w:val="es-CO" w:eastAsia="es-CO"/>
              </w:rPr>
            </w:pPr>
            <w:r w:rsidRPr="008D7525">
              <w:rPr>
                <w:rFonts w:ascii="Calibri" w:hAnsi="Calibri"/>
                <w:b/>
                <w:bCs/>
                <w:color w:val="000000"/>
                <w:sz w:val="18"/>
                <w:szCs w:val="18"/>
                <w:lang w:val="es-CO" w:eastAsia="es-CO"/>
              </w:rPr>
              <w:t>Resumen de la evaluación</w:t>
            </w:r>
          </w:p>
        </w:tc>
        <w:tc>
          <w:tcPr>
            <w:tcW w:w="7650" w:type="dxa"/>
            <w:tcBorders>
              <w:top w:val="nil"/>
              <w:left w:val="nil"/>
              <w:bottom w:val="single" w:sz="4" w:space="0" w:color="auto"/>
              <w:right w:val="single" w:sz="4" w:space="0" w:color="auto"/>
            </w:tcBorders>
            <w:shd w:val="clear" w:color="auto" w:fill="auto"/>
            <w:hideMark/>
          </w:tcPr>
          <w:p w14:paraId="3190802F" w14:textId="77777777" w:rsidR="008D7525" w:rsidRPr="008D7525" w:rsidRDefault="008D7525">
            <w:pPr>
              <w:spacing w:before="0" w:after="0"/>
              <w:jc w:val="left"/>
              <w:rPr>
                <w:rFonts w:ascii="Calibri" w:hAnsi="Calibri"/>
                <w:sz w:val="18"/>
                <w:szCs w:val="18"/>
                <w:lang w:val="es-CO" w:eastAsia="es-CO"/>
              </w:rPr>
            </w:pPr>
            <w:r w:rsidRPr="008D7525">
              <w:rPr>
                <w:rFonts w:ascii="Calibri" w:hAnsi="Calibri"/>
                <w:sz w:val="18"/>
                <w:szCs w:val="18"/>
                <w:lang w:val="es-CO" w:eastAsia="es-CO"/>
              </w:rPr>
              <w:t>El mecanismo propone un esquema con centralización de compensación y liquidación de las operaciones, por tanto, en relación con el riesgo de crédito y riesgo de contraparte, la propuesta lo identifica, lo gestiona y lo mitiga a través de la CRCC.</w:t>
            </w:r>
            <w:r w:rsidRPr="008D7525">
              <w:rPr>
                <w:rFonts w:ascii="Calibri" w:hAnsi="Calibri"/>
                <w:sz w:val="18"/>
                <w:szCs w:val="18"/>
                <w:lang w:val="es-CO" w:eastAsia="es-CO"/>
              </w:rPr>
              <w:br/>
            </w:r>
            <w:r w:rsidRPr="008D7525">
              <w:rPr>
                <w:rFonts w:ascii="Calibri" w:hAnsi="Calibri"/>
                <w:sz w:val="18"/>
                <w:szCs w:val="18"/>
                <w:lang w:val="es-CO" w:eastAsia="es-CO"/>
              </w:rPr>
              <w:br/>
              <w:t xml:space="preserve">Tanto </w:t>
            </w:r>
            <w:proofErr w:type="spellStart"/>
            <w:r w:rsidRPr="008D7525">
              <w:rPr>
                <w:rFonts w:ascii="Calibri" w:hAnsi="Calibri"/>
                <w:sz w:val="18"/>
                <w:szCs w:val="18"/>
                <w:lang w:val="es-CO" w:eastAsia="es-CO"/>
              </w:rPr>
              <w:t>Derivex</w:t>
            </w:r>
            <w:proofErr w:type="spellEnd"/>
            <w:r w:rsidRPr="008D7525">
              <w:rPr>
                <w:rFonts w:ascii="Calibri" w:hAnsi="Calibri"/>
                <w:sz w:val="18"/>
                <w:szCs w:val="18"/>
                <w:lang w:val="es-CO" w:eastAsia="es-CO"/>
              </w:rPr>
              <w:t>, la CRCC y los miembros liquidadores cuentan con los siguientes manuales de riesgo (SARL, SARM, cumplimiento de SARLAFT).</w:t>
            </w:r>
            <w:r w:rsidRPr="008D7525">
              <w:rPr>
                <w:rFonts w:ascii="Calibri" w:hAnsi="Calibri"/>
                <w:sz w:val="18"/>
                <w:szCs w:val="18"/>
                <w:lang w:val="es-CO" w:eastAsia="es-CO"/>
              </w:rPr>
              <w:br/>
            </w:r>
            <w:r w:rsidRPr="008D7525">
              <w:rPr>
                <w:rFonts w:ascii="Calibri" w:hAnsi="Calibri"/>
                <w:sz w:val="18"/>
                <w:szCs w:val="18"/>
                <w:lang w:val="es-CO" w:eastAsia="es-CO"/>
              </w:rPr>
              <w:br/>
              <w:t>La CRCC presenta un esquema de seguridad para cubrir las posturas tomadas en el mecanismo con seis (6) anillos de seguridad para la mitigación de los riesgos a los que se expone, dentro de los cuales se destacan la solidez de sus Miembros, su esquema de garantías y de límites, sus Recursos Propios Específicos destinados a cada Segmento, los Fondos de Garantía Colectiva, independientes para cada uno de los Segmentos y sus reposiciones, las contribuciones para la continuidad del servicio, obligatorias y voluntarias y el Patrimonio de la CRCC.</w:t>
            </w:r>
          </w:p>
        </w:tc>
      </w:tr>
      <w:tr w:rsidR="008D7525" w:rsidRPr="008D7525" w14:paraId="3B87E576" w14:textId="77777777" w:rsidTr="00D31EE1">
        <w:trPr>
          <w:trHeight w:val="570"/>
        </w:trPr>
        <w:tc>
          <w:tcPr>
            <w:tcW w:w="1696" w:type="dxa"/>
            <w:tcBorders>
              <w:top w:val="nil"/>
              <w:left w:val="single" w:sz="4" w:space="0" w:color="auto"/>
              <w:bottom w:val="single" w:sz="4" w:space="0" w:color="auto"/>
              <w:right w:val="single" w:sz="4" w:space="0" w:color="auto"/>
            </w:tcBorders>
            <w:shd w:val="clear" w:color="000000" w:fill="E7E6E6"/>
            <w:hideMark/>
          </w:tcPr>
          <w:p w14:paraId="7E4775E6" w14:textId="77777777" w:rsidR="008D7525" w:rsidRPr="008D7525" w:rsidRDefault="008D7525">
            <w:pPr>
              <w:spacing w:before="0" w:after="0"/>
              <w:jc w:val="left"/>
              <w:rPr>
                <w:rFonts w:ascii="Calibri" w:hAnsi="Calibri"/>
                <w:b/>
                <w:bCs/>
                <w:color w:val="000000"/>
                <w:sz w:val="18"/>
                <w:szCs w:val="18"/>
                <w:lang w:val="es-CO" w:eastAsia="es-CO"/>
              </w:rPr>
            </w:pPr>
            <w:r w:rsidRPr="008D7525">
              <w:rPr>
                <w:rFonts w:ascii="Calibri" w:hAnsi="Calibri"/>
                <w:b/>
                <w:bCs/>
                <w:color w:val="000000"/>
                <w:sz w:val="18"/>
                <w:szCs w:val="18"/>
                <w:lang w:val="es-CO" w:eastAsia="es-CO"/>
              </w:rPr>
              <w:t xml:space="preserve">Referencia en la propuesta </w:t>
            </w:r>
          </w:p>
        </w:tc>
        <w:tc>
          <w:tcPr>
            <w:tcW w:w="7650" w:type="dxa"/>
            <w:tcBorders>
              <w:top w:val="nil"/>
              <w:left w:val="nil"/>
              <w:bottom w:val="single" w:sz="4" w:space="0" w:color="auto"/>
              <w:right w:val="single" w:sz="4" w:space="0" w:color="auto"/>
            </w:tcBorders>
            <w:shd w:val="clear" w:color="auto" w:fill="auto"/>
            <w:hideMark/>
          </w:tcPr>
          <w:p w14:paraId="168305F2" w14:textId="77777777" w:rsidR="008D7525" w:rsidRPr="008D7525" w:rsidRDefault="008D7525">
            <w:pPr>
              <w:spacing w:before="0" w:after="0"/>
              <w:jc w:val="left"/>
              <w:rPr>
                <w:rFonts w:ascii="Calibri" w:hAnsi="Calibri"/>
                <w:sz w:val="18"/>
                <w:szCs w:val="18"/>
                <w:lang w:val="es-CO" w:eastAsia="es-CO"/>
              </w:rPr>
            </w:pPr>
            <w:r w:rsidRPr="008D7525">
              <w:rPr>
                <w:rFonts w:ascii="Calibri" w:hAnsi="Calibri"/>
                <w:b/>
                <w:bCs/>
                <w:sz w:val="18"/>
                <w:szCs w:val="18"/>
                <w:lang w:val="es-CO" w:eastAsia="es-CO"/>
              </w:rPr>
              <w:t>1. Numeral 13 de la propuesta</w:t>
            </w:r>
            <w:r w:rsidRPr="008D7525">
              <w:rPr>
                <w:rFonts w:ascii="Calibri" w:hAnsi="Calibri"/>
                <w:sz w:val="18"/>
                <w:szCs w:val="18"/>
                <w:lang w:val="es-CO" w:eastAsia="es-CO"/>
              </w:rPr>
              <w:t xml:space="preserve"> - Esquemas de administración de riesgos y gestión de riesgos</w:t>
            </w:r>
          </w:p>
        </w:tc>
      </w:tr>
      <w:tr w:rsidR="008D7525" w:rsidRPr="008D7525" w14:paraId="6E77D439" w14:textId="77777777" w:rsidTr="00D31EE1">
        <w:trPr>
          <w:trHeight w:val="480"/>
        </w:trPr>
        <w:tc>
          <w:tcPr>
            <w:tcW w:w="1696" w:type="dxa"/>
            <w:tcBorders>
              <w:top w:val="nil"/>
              <w:left w:val="single" w:sz="4" w:space="0" w:color="auto"/>
              <w:bottom w:val="single" w:sz="4" w:space="0" w:color="auto"/>
              <w:right w:val="single" w:sz="4" w:space="0" w:color="auto"/>
            </w:tcBorders>
            <w:shd w:val="clear" w:color="000000" w:fill="E7E6E6"/>
            <w:hideMark/>
          </w:tcPr>
          <w:p w14:paraId="677AC3D2" w14:textId="77777777" w:rsidR="008D7525" w:rsidRPr="008D7525" w:rsidRDefault="008D7525">
            <w:pPr>
              <w:spacing w:before="0" w:after="0"/>
              <w:jc w:val="left"/>
              <w:rPr>
                <w:rFonts w:ascii="Calibri" w:hAnsi="Calibri"/>
                <w:b/>
                <w:bCs/>
                <w:color w:val="000000"/>
                <w:sz w:val="18"/>
                <w:szCs w:val="18"/>
                <w:lang w:val="es-CO" w:eastAsia="es-CO"/>
              </w:rPr>
            </w:pPr>
            <w:r w:rsidRPr="008D7525">
              <w:rPr>
                <w:rFonts w:ascii="Calibri" w:hAnsi="Calibri"/>
                <w:b/>
                <w:bCs/>
                <w:color w:val="000000"/>
                <w:sz w:val="18"/>
                <w:szCs w:val="18"/>
                <w:lang w:val="es-CO" w:eastAsia="es-CO"/>
              </w:rPr>
              <w:t>Juan Pablo Amorocho</w:t>
            </w:r>
            <w:r w:rsidRPr="008D7525">
              <w:rPr>
                <w:rFonts w:ascii="Calibri" w:hAnsi="Calibri"/>
                <w:b/>
                <w:bCs/>
                <w:color w:val="000000"/>
                <w:sz w:val="18"/>
                <w:szCs w:val="18"/>
                <w:lang w:val="es-CO" w:eastAsia="es-CO"/>
              </w:rPr>
              <w:br/>
              <w:t>(Mercados)</w:t>
            </w:r>
          </w:p>
        </w:tc>
        <w:tc>
          <w:tcPr>
            <w:tcW w:w="7650" w:type="dxa"/>
            <w:tcBorders>
              <w:top w:val="nil"/>
              <w:left w:val="nil"/>
              <w:bottom w:val="single" w:sz="4" w:space="0" w:color="auto"/>
              <w:right w:val="single" w:sz="4" w:space="0" w:color="auto"/>
            </w:tcBorders>
            <w:shd w:val="clear" w:color="auto" w:fill="auto"/>
            <w:noWrap/>
            <w:vAlign w:val="center"/>
            <w:hideMark/>
          </w:tcPr>
          <w:p w14:paraId="6BB734F7" w14:textId="77777777" w:rsidR="008D7525" w:rsidRPr="008D7525" w:rsidRDefault="008D7525">
            <w:pPr>
              <w:spacing w:before="0" w:after="0"/>
              <w:jc w:val="center"/>
              <w:rPr>
                <w:rFonts w:ascii="Calibri" w:hAnsi="Calibri"/>
                <w:sz w:val="18"/>
                <w:szCs w:val="18"/>
                <w:lang w:val="es-CO" w:eastAsia="es-CO"/>
              </w:rPr>
            </w:pPr>
            <w:r w:rsidRPr="008D7525">
              <w:rPr>
                <w:rFonts w:ascii="Calibri" w:hAnsi="Calibri"/>
                <w:sz w:val="18"/>
                <w:szCs w:val="18"/>
                <w:lang w:val="es-CO" w:eastAsia="es-CO"/>
              </w:rPr>
              <w:t> </w:t>
            </w:r>
          </w:p>
        </w:tc>
      </w:tr>
      <w:tr w:rsidR="008D7525" w:rsidRPr="008D7525" w14:paraId="2650F5D0" w14:textId="77777777" w:rsidTr="00D31EE1">
        <w:trPr>
          <w:trHeight w:val="1978"/>
        </w:trPr>
        <w:tc>
          <w:tcPr>
            <w:tcW w:w="1696" w:type="dxa"/>
            <w:tcBorders>
              <w:top w:val="single" w:sz="4" w:space="0" w:color="auto"/>
              <w:left w:val="single" w:sz="4" w:space="0" w:color="auto"/>
              <w:bottom w:val="single" w:sz="4" w:space="0" w:color="auto"/>
              <w:right w:val="single" w:sz="4" w:space="0" w:color="auto"/>
            </w:tcBorders>
            <w:shd w:val="clear" w:color="000000" w:fill="E7E6E6"/>
            <w:hideMark/>
          </w:tcPr>
          <w:p w14:paraId="06158F83" w14:textId="77777777" w:rsidR="008D7525" w:rsidRPr="008D7525" w:rsidRDefault="008D7525">
            <w:pPr>
              <w:spacing w:before="0" w:after="0"/>
              <w:jc w:val="left"/>
              <w:rPr>
                <w:rFonts w:ascii="Calibri" w:hAnsi="Calibri"/>
                <w:b/>
                <w:bCs/>
                <w:color w:val="000000"/>
                <w:sz w:val="18"/>
                <w:szCs w:val="18"/>
                <w:lang w:val="es-CO" w:eastAsia="es-CO"/>
              </w:rPr>
            </w:pPr>
            <w:r w:rsidRPr="008D7525">
              <w:rPr>
                <w:rFonts w:ascii="Calibri" w:hAnsi="Calibri"/>
                <w:b/>
                <w:bCs/>
                <w:color w:val="000000"/>
                <w:sz w:val="18"/>
                <w:szCs w:val="18"/>
                <w:lang w:val="es-CO" w:eastAsia="es-CO"/>
              </w:rPr>
              <w:t>Diego Jara</w:t>
            </w:r>
            <w:r w:rsidRPr="008D7525">
              <w:rPr>
                <w:rFonts w:ascii="Calibri" w:hAnsi="Calibri"/>
                <w:b/>
                <w:bCs/>
                <w:color w:val="000000"/>
                <w:sz w:val="18"/>
                <w:szCs w:val="18"/>
                <w:lang w:val="es-CO" w:eastAsia="es-CO"/>
              </w:rPr>
              <w:br/>
              <w:t>(Riesgos)</w:t>
            </w:r>
          </w:p>
        </w:tc>
        <w:tc>
          <w:tcPr>
            <w:tcW w:w="7650" w:type="dxa"/>
            <w:tcBorders>
              <w:top w:val="single" w:sz="4" w:space="0" w:color="auto"/>
              <w:left w:val="single" w:sz="4" w:space="0" w:color="auto"/>
              <w:bottom w:val="single" w:sz="4" w:space="0" w:color="auto"/>
              <w:right w:val="single" w:sz="4" w:space="0" w:color="auto"/>
            </w:tcBorders>
            <w:shd w:val="clear" w:color="auto" w:fill="auto"/>
            <w:hideMark/>
          </w:tcPr>
          <w:p w14:paraId="042F515C" w14:textId="77777777" w:rsidR="008D7525" w:rsidRPr="008D7525" w:rsidRDefault="008D7525">
            <w:pPr>
              <w:spacing w:before="0" w:after="0"/>
              <w:jc w:val="left"/>
              <w:rPr>
                <w:rFonts w:ascii="Calibri" w:hAnsi="Calibri"/>
                <w:sz w:val="18"/>
                <w:szCs w:val="18"/>
                <w:lang w:val="es-CO" w:eastAsia="es-CO"/>
              </w:rPr>
            </w:pPr>
            <w:proofErr w:type="spellStart"/>
            <w:r w:rsidRPr="008D7525">
              <w:rPr>
                <w:rFonts w:ascii="Calibri" w:hAnsi="Calibri"/>
                <w:sz w:val="18"/>
                <w:szCs w:val="18"/>
                <w:lang w:val="es-CO" w:eastAsia="es-CO"/>
              </w:rPr>
              <w:t>Pág</w:t>
            </w:r>
            <w:proofErr w:type="spellEnd"/>
            <w:r w:rsidRPr="008D7525">
              <w:rPr>
                <w:rFonts w:ascii="Calibri" w:hAnsi="Calibri"/>
                <w:sz w:val="18"/>
                <w:szCs w:val="18"/>
                <w:lang w:val="es-CO" w:eastAsia="es-CO"/>
              </w:rPr>
              <w:t xml:space="preserve"> 9. En </w:t>
            </w:r>
            <w:proofErr w:type="spellStart"/>
            <w:r w:rsidRPr="008D7525">
              <w:rPr>
                <w:rFonts w:ascii="Calibri" w:hAnsi="Calibri"/>
                <w:sz w:val="18"/>
                <w:szCs w:val="18"/>
                <w:lang w:val="es-CO" w:eastAsia="es-CO"/>
              </w:rPr>
              <w:t>términios</w:t>
            </w:r>
            <w:proofErr w:type="spellEnd"/>
            <w:r w:rsidRPr="008D7525">
              <w:rPr>
                <w:rFonts w:ascii="Calibri" w:hAnsi="Calibri"/>
                <w:sz w:val="18"/>
                <w:szCs w:val="18"/>
                <w:lang w:val="es-CO" w:eastAsia="es-CO"/>
              </w:rPr>
              <w:t xml:space="preserve"> de riesgo se presenta la figura de CRCC como un elemento que permite delimitar el riesgo de crédito y de contraparte. En este sentido se expone lo siguiente "Las Cámaras de Riesgo Central de Contraparte tendrán por objeto exclusivo la prestación del servicio de compensación como contraparte central de operaciones, con el propósito de reducir o eliminar los riesgos de incumplimiento de las obligaciones derivadas de las mismas. (Ley 963 de 2005)". </w:t>
            </w:r>
            <w:proofErr w:type="spellStart"/>
            <w:r w:rsidRPr="008D7525">
              <w:rPr>
                <w:rFonts w:ascii="Calibri" w:hAnsi="Calibri"/>
                <w:sz w:val="18"/>
                <w:szCs w:val="18"/>
                <w:lang w:val="es-CO" w:eastAsia="es-CO"/>
              </w:rPr>
              <w:t>Pág</w:t>
            </w:r>
            <w:proofErr w:type="spellEnd"/>
            <w:r w:rsidRPr="008D7525">
              <w:rPr>
                <w:rFonts w:ascii="Calibri" w:hAnsi="Calibri"/>
                <w:sz w:val="18"/>
                <w:szCs w:val="18"/>
                <w:lang w:val="es-CO" w:eastAsia="es-CO"/>
              </w:rPr>
              <w:t xml:space="preserve"> 11. Así mismo, se extiende el cubrimiento a los riesgos de liquidez, legal, operativo, sistémico para los miembros liquidadores, evitando el traslado a terceros, en este caso a los agentes del MEM.  </w:t>
            </w:r>
            <w:r w:rsidRPr="008D7525">
              <w:rPr>
                <w:rFonts w:ascii="Calibri" w:hAnsi="Calibri"/>
                <w:sz w:val="18"/>
                <w:szCs w:val="18"/>
                <w:lang w:val="es-CO" w:eastAsia="es-CO"/>
              </w:rPr>
              <w:br/>
            </w:r>
            <w:r w:rsidRPr="008D7525">
              <w:rPr>
                <w:rFonts w:ascii="Calibri" w:hAnsi="Calibri"/>
                <w:sz w:val="18"/>
                <w:szCs w:val="18"/>
                <w:lang w:val="es-CO" w:eastAsia="es-CO"/>
              </w:rPr>
              <w:br/>
            </w:r>
            <w:proofErr w:type="spellStart"/>
            <w:r w:rsidRPr="008D7525">
              <w:rPr>
                <w:rFonts w:ascii="Calibri" w:hAnsi="Calibri"/>
                <w:sz w:val="18"/>
                <w:szCs w:val="18"/>
                <w:lang w:val="es-CO" w:eastAsia="es-CO"/>
              </w:rPr>
              <w:t>Pág</w:t>
            </w:r>
            <w:proofErr w:type="spellEnd"/>
            <w:r w:rsidRPr="008D7525">
              <w:rPr>
                <w:rFonts w:ascii="Calibri" w:hAnsi="Calibri"/>
                <w:sz w:val="18"/>
                <w:szCs w:val="18"/>
                <w:lang w:val="es-CO" w:eastAsia="es-CO"/>
              </w:rPr>
              <w:t xml:space="preserve"> 10. Cumplimiento de la política LAFT determinada por la SFC, extensiva a los miembros liquidadores. (Manuales LAFT y Códigos de Ética y Conducta). El riesgo LAFT de los agentes MEM no está inmerso en los controles del mecanismo.</w:t>
            </w:r>
            <w:r w:rsidRPr="008D7525">
              <w:rPr>
                <w:rFonts w:ascii="Calibri" w:hAnsi="Calibri"/>
                <w:sz w:val="18"/>
                <w:szCs w:val="18"/>
                <w:lang w:val="es-CO" w:eastAsia="es-CO"/>
              </w:rPr>
              <w:br/>
            </w:r>
            <w:r w:rsidRPr="008D7525">
              <w:rPr>
                <w:rFonts w:ascii="Calibri" w:hAnsi="Calibri"/>
                <w:sz w:val="18"/>
                <w:szCs w:val="18"/>
                <w:lang w:val="es-CO" w:eastAsia="es-CO"/>
              </w:rPr>
              <w:br/>
            </w:r>
            <w:proofErr w:type="spellStart"/>
            <w:r w:rsidRPr="008D7525">
              <w:rPr>
                <w:rFonts w:ascii="Calibri" w:hAnsi="Calibri"/>
                <w:sz w:val="18"/>
                <w:szCs w:val="18"/>
                <w:lang w:val="es-CO" w:eastAsia="es-CO"/>
              </w:rPr>
              <w:t>Pág</w:t>
            </w:r>
            <w:proofErr w:type="spellEnd"/>
            <w:r w:rsidRPr="008D7525">
              <w:rPr>
                <w:rFonts w:ascii="Calibri" w:hAnsi="Calibri"/>
                <w:sz w:val="18"/>
                <w:szCs w:val="18"/>
                <w:lang w:val="es-CO" w:eastAsia="es-CO"/>
              </w:rPr>
              <w:t xml:space="preserve"> 11</w:t>
            </w:r>
            <w:r w:rsidRPr="008D7525">
              <w:rPr>
                <w:rFonts w:ascii="Calibri" w:hAnsi="Calibri"/>
                <w:sz w:val="18"/>
                <w:szCs w:val="18"/>
                <w:lang w:val="es-CO" w:eastAsia="es-CO"/>
              </w:rPr>
              <w:br/>
              <w:t>el esquema de administración de riesgos, en el que se presentan los riesgos asociados a los participantes y al administrador. Respecto a los riesgos asociados a los participantes en materia de riesgo de crédito y riesgo de contraparte, la propuesta acata los requerimientos de la Res. 114 e identifica los riesgos, la gestión y mitigación de estos,</w:t>
            </w:r>
            <w:r w:rsidRPr="008D7525">
              <w:rPr>
                <w:rFonts w:ascii="Calibri" w:hAnsi="Calibri"/>
                <w:sz w:val="18"/>
                <w:szCs w:val="18"/>
                <w:lang w:val="es-CO" w:eastAsia="es-CO"/>
              </w:rPr>
              <w:br/>
            </w:r>
            <w:r w:rsidRPr="008D7525">
              <w:rPr>
                <w:rFonts w:ascii="Calibri" w:hAnsi="Calibri"/>
                <w:sz w:val="18"/>
                <w:szCs w:val="18"/>
                <w:lang w:val="es-CO" w:eastAsia="es-CO"/>
              </w:rPr>
              <w:br/>
              <w:t>1. Riesgos asociados a los participantes: Riesgo de crédito y contraparte</w:t>
            </w:r>
            <w:r w:rsidRPr="008D7525">
              <w:rPr>
                <w:rFonts w:ascii="Calibri" w:hAnsi="Calibri"/>
                <w:sz w:val="18"/>
                <w:szCs w:val="18"/>
                <w:lang w:val="es-CO" w:eastAsia="es-CO"/>
              </w:rPr>
              <w:br/>
              <w:t>La propuesta plantea que el riesgo de crédito y riesgo de contraparte de los participantes es mitigado directamente por la CRCC y su esquema de seguridad de anillos...Adicionalmente, en la página 34 de la propuesta se plantea que la CRCC, como administrador de riesgo en el mecanismo, monitorea y gestiona los siguientes riesgos.</w:t>
            </w:r>
            <w:r w:rsidRPr="008D7525">
              <w:rPr>
                <w:rFonts w:ascii="Calibri" w:hAnsi="Calibri"/>
                <w:sz w:val="18"/>
                <w:szCs w:val="18"/>
                <w:lang w:val="es-CO" w:eastAsia="es-CO"/>
              </w:rPr>
              <w:br/>
              <w:t>Riesgo de liquidez</w:t>
            </w:r>
            <w:r w:rsidRPr="008D7525">
              <w:rPr>
                <w:rFonts w:ascii="Calibri" w:hAnsi="Calibri"/>
                <w:sz w:val="18"/>
                <w:szCs w:val="18"/>
                <w:lang w:val="es-CO" w:eastAsia="es-CO"/>
              </w:rPr>
              <w:br/>
              <w:t xml:space="preserve">Riesgo legal </w:t>
            </w:r>
            <w:r w:rsidRPr="008D7525">
              <w:rPr>
                <w:rFonts w:ascii="Calibri" w:hAnsi="Calibri"/>
                <w:sz w:val="18"/>
                <w:szCs w:val="18"/>
                <w:lang w:val="es-CO" w:eastAsia="es-CO"/>
              </w:rPr>
              <w:br/>
            </w:r>
            <w:proofErr w:type="spellStart"/>
            <w:r w:rsidRPr="008D7525">
              <w:rPr>
                <w:rFonts w:ascii="Calibri" w:hAnsi="Calibri"/>
                <w:sz w:val="18"/>
                <w:szCs w:val="18"/>
                <w:lang w:val="es-CO" w:eastAsia="es-CO"/>
              </w:rPr>
              <w:t>RIesgo</w:t>
            </w:r>
            <w:proofErr w:type="spellEnd"/>
            <w:r w:rsidRPr="008D7525">
              <w:rPr>
                <w:rFonts w:ascii="Calibri" w:hAnsi="Calibri"/>
                <w:sz w:val="18"/>
                <w:szCs w:val="18"/>
                <w:lang w:val="es-CO" w:eastAsia="es-CO"/>
              </w:rPr>
              <w:t xml:space="preserve"> operativo</w:t>
            </w:r>
            <w:r w:rsidRPr="008D7525">
              <w:rPr>
                <w:rFonts w:ascii="Calibri" w:hAnsi="Calibri"/>
                <w:sz w:val="18"/>
                <w:szCs w:val="18"/>
                <w:lang w:val="es-CO" w:eastAsia="es-CO"/>
              </w:rPr>
              <w:br/>
              <w:t>Riesgo sistémico</w:t>
            </w:r>
            <w:r w:rsidRPr="008D7525">
              <w:rPr>
                <w:rFonts w:ascii="Calibri" w:hAnsi="Calibri"/>
                <w:sz w:val="18"/>
                <w:szCs w:val="18"/>
                <w:lang w:val="es-CO" w:eastAsia="es-CO"/>
              </w:rPr>
              <w:br/>
            </w:r>
            <w:r w:rsidRPr="008D7525">
              <w:rPr>
                <w:rFonts w:ascii="Calibri" w:hAnsi="Calibri"/>
                <w:sz w:val="18"/>
                <w:szCs w:val="18"/>
                <w:lang w:val="es-CO" w:eastAsia="es-CO"/>
              </w:rPr>
              <w:br/>
              <w:t xml:space="preserve">2. Riesgos asociados al administrador: administración y gestión de los riesgos </w:t>
            </w:r>
            <w:proofErr w:type="spellStart"/>
            <w:proofErr w:type="gramStart"/>
            <w:r w:rsidRPr="008D7525">
              <w:rPr>
                <w:rFonts w:ascii="Calibri" w:hAnsi="Calibri"/>
                <w:sz w:val="18"/>
                <w:szCs w:val="18"/>
                <w:lang w:val="es-CO" w:eastAsia="es-CO"/>
              </w:rPr>
              <w:t>operativos.P</w:t>
            </w:r>
            <w:proofErr w:type="spellEnd"/>
            <w:proofErr w:type="gramEnd"/>
            <w:r w:rsidRPr="008D7525">
              <w:rPr>
                <w:rFonts w:ascii="Calibri" w:hAnsi="Calibri"/>
                <w:sz w:val="18"/>
                <w:szCs w:val="18"/>
                <w:lang w:val="es-CO" w:eastAsia="es-CO"/>
              </w:rPr>
              <w:br/>
              <w:t xml:space="preserve">Por otra parte, los riesgos asociados al administrador y la gestión de riesgos operativos se gestionan por medio del cumplimiento de la normativa del Sistema de Administración de Riesgo Operativo (SARO) impartida por la SFC a </w:t>
            </w:r>
            <w:proofErr w:type="spellStart"/>
            <w:r w:rsidRPr="008D7525">
              <w:rPr>
                <w:rFonts w:ascii="Calibri" w:hAnsi="Calibri"/>
                <w:sz w:val="18"/>
                <w:szCs w:val="18"/>
                <w:lang w:val="es-CO" w:eastAsia="es-CO"/>
              </w:rPr>
              <w:t>Derivex</w:t>
            </w:r>
            <w:proofErr w:type="spellEnd"/>
            <w:r w:rsidRPr="008D7525">
              <w:rPr>
                <w:rFonts w:ascii="Calibri" w:hAnsi="Calibri"/>
                <w:sz w:val="18"/>
                <w:szCs w:val="18"/>
                <w:lang w:val="es-CO" w:eastAsia="es-CO"/>
              </w:rPr>
              <w:t xml:space="preserve"> y la CRCC.</w:t>
            </w:r>
            <w:r w:rsidRPr="008D7525">
              <w:rPr>
                <w:rFonts w:ascii="Calibri" w:hAnsi="Calibri"/>
                <w:sz w:val="18"/>
                <w:szCs w:val="18"/>
                <w:lang w:val="es-CO" w:eastAsia="es-CO"/>
              </w:rPr>
              <w:br/>
            </w:r>
            <w:r w:rsidRPr="008D7525">
              <w:rPr>
                <w:rFonts w:ascii="Calibri" w:hAnsi="Calibri"/>
                <w:sz w:val="18"/>
                <w:szCs w:val="18"/>
                <w:lang w:val="es-CO" w:eastAsia="es-CO"/>
              </w:rPr>
              <w:br/>
              <w:t xml:space="preserve">El Consultor dice que tanto </w:t>
            </w:r>
            <w:proofErr w:type="spellStart"/>
            <w:r w:rsidRPr="008D7525">
              <w:rPr>
                <w:rFonts w:ascii="Calibri" w:hAnsi="Calibri"/>
                <w:sz w:val="18"/>
                <w:szCs w:val="18"/>
                <w:lang w:val="es-CO" w:eastAsia="es-CO"/>
              </w:rPr>
              <w:t>Derivex</w:t>
            </w:r>
            <w:proofErr w:type="spellEnd"/>
            <w:r w:rsidRPr="008D7525">
              <w:rPr>
                <w:rFonts w:ascii="Calibri" w:hAnsi="Calibri"/>
                <w:sz w:val="18"/>
                <w:szCs w:val="18"/>
                <w:lang w:val="es-CO" w:eastAsia="es-CO"/>
              </w:rPr>
              <w:t xml:space="preserve"> como la CRCC cuentan con manuales de administración de los diferentes riesgos y operación del negocio. </w:t>
            </w:r>
            <w:r w:rsidRPr="008D7525">
              <w:rPr>
                <w:rFonts w:ascii="Calibri" w:hAnsi="Calibri"/>
                <w:sz w:val="18"/>
                <w:szCs w:val="18"/>
                <w:lang w:val="es-CO" w:eastAsia="es-CO"/>
              </w:rPr>
              <w:br/>
            </w:r>
            <w:r w:rsidRPr="008D7525">
              <w:rPr>
                <w:rFonts w:ascii="Calibri" w:hAnsi="Calibri"/>
                <w:sz w:val="18"/>
                <w:szCs w:val="18"/>
                <w:lang w:val="es-CO" w:eastAsia="es-CO"/>
              </w:rPr>
              <w:br/>
            </w:r>
            <w:proofErr w:type="spellStart"/>
            <w:r w:rsidRPr="008D7525">
              <w:rPr>
                <w:rFonts w:ascii="Calibri" w:hAnsi="Calibri"/>
                <w:sz w:val="18"/>
                <w:szCs w:val="18"/>
                <w:lang w:val="es-CO" w:eastAsia="es-CO"/>
              </w:rPr>
              <w:t>Pág</w:t>
            </w:r>
            <w:proofErr w:type="spellEnd"/>
            <w:r w:rsidRPr="008D7525">
              <w:rPr>
                <w:rFonts w:ascii="Calibri" w:hAnsi="Calibri"/>
                <w:sz w:val="18"/>
                <w:szCs w:val="18"/>
                <w:lang w:val="es-CO" w:eastAsia="es-CO"/>
              </w:rPr>
              <w:t xml:space="preserve"> 16. El mecanismo establece la alternativa para la situación de la salida de un miembro liquidador, dejando un riesgo bajo de cara a las posiciones de un agente del MEM (</w:t>
            </w:r>
            <w:proofErr w:type="spellStart"/>
            <w:r w:rsidRPr="008D7525">
              <w:rPr>
                <w:rFonts w:ascii="Calibri" w:hAnsi="Calibri"/>
                <w:sz w:val="18"/>
                <w:szCs w:val="18"/>
                <w:lang w:val="es-CO" w:eastAsia="es-CO"/>
              </w:rPr>
              <w:t>Pág</w:t>
            </w:r>
            <w:proofErr w:type="spellEnd"/>
            <w:r w:rsidRPr="008D7525">
              <w:rPr>
                <w:rFonts w:ascii="Calibri" w:hAnsi="Calibri"/>
                <w:sz w:val="18"/>
                <w:szCs w:val="18"/>
                <w:lang w:val="es-CO" w:eastAsia="es-CO"/>
              </w:rPr>
              <w:t xml:space="preserve"> 115, Reglamento de la </w:t>
            </w:r>
            <w:r w:rsidRPr="008D7525">
              <w:rPr>
                <w:rFonts w:ascii="Calibri" w:hAnsi="Calibri"/>
                <w:sz w:val="18"/>
                <w:szCs w:val="18"/>
                <w:lang w:val="es-CO" w:eastAsia="es-CO"/>
              </w:rPr>
              <w:lastRenderedPageBreak/>
              <w:t>CRCC)</w:t>
            </w:r>
            <w:r w:rsidRPr="008D7525">
              <w:rPr>
                <w:rFonts w:ascii="Calibri" w:hAnsi="Calibri"/>
                <w:sz w:val="18"/>
                <w:szCs w:val="18"/>
                <w:lang w:val="es-CO" w:eastAsia="es-CO"/>
              </w:rPr>
              <w:br/>
            </w:r>
            <w:r w:rsidRPr="008D7525">
              <w:rPr>
                <w:rFonts w:ascii="Calibri" w:hAnsi="Calibri"/>
                <w:sz w:val="18"/>
                <w:szCs w:val="18"/>
                <w:lang w:val="es-CO" w:eastAsia="es-CO"/>
              </w:rPr>
              <w:br/>
              <w:t>Pág. 16</w:t>
            </w:r>
            <w:r w:rsidRPr="008D7525">
              <w:rPr>
                <w:rFonts w:ascii="Calibri" w:hAnsi="Calibri"/>
                <w:sz w:val="18"/>
                <w:szCs w:val="18"/>
                <w:lang w:val="es-CO" w:eastAsia="es-CO"/>
              </w:rPr>
              <w:br/>
              <w:t>Sin embargo, esta situación puede considerarse de bajo impacto para el mecanismo propuesto debido a que la CRCC tiene un procedimiento claro y definido en el caso en el que un miembro liquidador incumpla sus obligaciones. Este procedimiento se define en el Capítulo Octavo, Incumplimientos del reglamento de funcionamiento de la CRCC.</w:t>
            </w:r>
            <w:r w:rsidRPr="008D7525">
              <w:rPr>
                <w:rFonts w:ascii="Calibri" w:hAnsi="Calibri"/>
                <w:sz w:val="18"/>
                <w:szCs w:val="18"/>
                <w:lang w:val="es-CO" w:eastAsia="es-CO"/>
              </w:rPr>
              <w:br/>
            </w:r>
            <w:r w:rsidRPr="008D7525">
              <w:rPr>
                <w:rFonts w:ascii="Calibri" w:hAnsi="Calibri"/>
                <w:sz w:val="18"/>
                <w:szCs w:val="18"/>
                <w:lang w:val="es-CO" w:eastAsia="es-CO"/>
              </w:rPr>
              <w:br/>
            </w:r>
            <w:proofErr w:type="spellStart"/>
            <w:r w:rsidRPr="008D7525">
              <w:rPr>
                <w:rFonts w:ascii="Calibri" w:hAnsi="Calibri"/>
                <w:sz w:val="18"/>
                <w:szCs w:val="18"/>
                <w:lang w:val="es-CO" w:eastAsia="es-CO"/>
              </w:rPr>
              <w:t>Pág</w:t>
            </w:r>
            <w:proofErr w:type="spellEnd"/>
            <w:r w:rsidRPr="008D7525">
              <w:rPr>
                <w:rFonts w:ascii="Calibri" w:hAnsi="Calibri"/>
                <w:sz w:val="18"/>
                <w:szCs w:val="18"/>
                <w:lang w:val="es-CO" w:eastAsia="es-CO"/>
              </w:rPr>
              <w:t xml:space="preserve"> 16-17. El incumplimiento de un agente del MEM no llevaría a eventos sistémicos en la medida que se tiene el conducto del agente liquidador frente al sistema. Se mitiga el riesgo de contraparte con esquema de cupos y garantías bilaterales.</w:t>
            </w:r>
            <w:r w:rsidRPr="008D7525">
              <w:rPr>
                <w:rFonts w:ascii="Calibri" w:hAnsi="Calibri"/>
                <w:sz w:val="18"/>
                <w:szCs w:val="18"/>
                <w:lang w:val="es-CO" w:eastAsia="es-CO"/>
              </w:rPr>
              <w:br/>
            </w:r>
            <w:r w:rsidRPr="008D7525">
              <w:rPr>
                <w:rFonts w:ascii="Calibri" w:hAnsi="Calibri"/>
                <w:sz w:val="18"/>
                <w:szCs w:val="18"/>
                <w:lang w:val="es-CO" w:eastAsia="es-CO"/>
              </w:rPr>
              <w:br/>
            </w:r>
            <w:proofErr w:type="spellStart"/>
            <w:r w:rsidRPr="008D7525">
              <w:rPr>
                <w:rFonts w:ascii="Calibri" w:hAnsi="Calibri"/>
                <w:sz w:val="18"/>
                <w:szCs w:val="18"/>
                <w:lang w:val="es-CO" w:eastAsia="es-CO"/>
              </w:rPr>
              <w:t>Pág</w:t>
            </w:r>
            <w:proofErr w:type="spellEnd"/>
            <w:r w:rsidRPr="008D7525">
              <w:rPr>
                <w:rFonts w:ascii="Calibri" w:hAnsi="Calibri"/>
                <w:sz w:val="18"/>
                <w:szCs w:val="18"/>
                <w:lang w:val="es-CO" w:eastAsia="es-CO"/>
              </w:rPr>
              <w:t xml:space="preserve"> 17. El mecanismo establece mecanismos de gestión del riesgo de liquidez, que se ven desarrollados en los SARL de los proponentes y los miembros liquidadores, regulados y vigilados por la SFC.</w:t>
            </w:r>
            <w:r w:rsidRPr="008D7525">
              <w:rPr>
                <w:rFonts w:ascii="Calibri" w:hAnsi="Calibri"/>
                <w:sz w:val="18"/>
                <w:szCs w:val="18"/>
                <w:lang w:val="es-CO" w:eastAsia="es-CO"/>
              </w:rPr>
              <w:br/>
            </w:r>
            <w:r w:rsidRPr="008D7525">
              <w:rPr>
                <w:rFonts w:ascii="Calibri" w:hAnsi="Calibri"/>
                <w:sz w:val="18"/>
                <w:szCs w:val="18"/>
                <w:lang w:val="es-CO" w:eastAsia="es-CO"/>
              </w:rPr>
              <w:br/>
            </w:r>
            <w:proofErr w:type="spellStart"/>
            <w:r w:rsidRPr="008D7525">
              <w:rPr>
                <w:rFonts w:ascii="Calibri" w:hAnsi="Calibri"/>
                <w:sz w:val="18"/>
                <w:szCs w:val="18"/>
                <w:lang w:val="es-CO" w:eastAsia="es-CO"/>
              </w:rPr>
              <w:t>Pág</w:t>
            </w:r>
            <w:proofErr w:type="spellEnd"/>
            <w:r w:rsidRPr="008D7525">
              <w:rPr>
                <w:rFonts w:ascii="Calibri" w:hAnsi="Calibri"/>
                <w:sz w:val="18"/>
                <w:szCs w:val="18"/>
                <w:lang w:val="es-CO" w:eastAsia="es-CO"/>
              </w:rPr>
              <w:t xml:space="preserve"> 19. Riesgo sistémico. Se establecen los anillos de seguridad de la CRCC para enfrentar la salida de un miembro liquidador grande que afecte la seguridad del mecanismo, con un efecto dominó sobre los otros miembros liquidadores.</w:t>
            </w:r>
            <w:r w:rsidRPr="008D7525">
              <w:rPr>
                <w:rFonts w:ascii="Calibri" w:hAnsi="Calibri"/>
                <w:sz w:val="18"/>
                <w:szCs w:val="18"/>
                <w:lang w:val="es-CO" w:eastAsia="es-CO"/>
              </w:rPr>
              <w:br/>
            </w:r>
            <w:r w:rsidRPr="008D7525">
              <w:rPr>
                <w:rFonts w:ascii="Calibri" w:hAnsi="Calibri"/>
                <w:sz w:val="18"/>
                <w:szCs w:val="18"/>
                <w:lang w:val="es-CO" w:eastAsia="es-CO"/>
              </w:rPr>
              <w:br/>
            </w:r>
            <w:proofErr w:type="spellStart"/>
            <w:r w:rsidRPr="008D7525">
              <w:rPr>
                <w:rFonts w:ascii="Calibri" w:hAnsi="Calibri"/>
                <w:sz w:val="18"/>
                <w:szCs w:val="18"/>
                <w:lang w:val="es-CO" w:eastAsia="es-CO"/>
              </w:rPr>
              <w:t>Pág</w:t>
            </w:r>
            <w:proofErr w:type="spellEnd"/>
            <w:r w:rsidRPr="008D7525">
              <w:rPr>
                <w:rFonts w:ascii="Calibri" w:hAnsi="Calibri"/>
                <w:sz w:val="18"/>
                <w:szCs w:val="18"/>
                <w:lang w:val="es-CO" w:eastAsia="es-CO"/>
              </w:rPr>
              <w:t xml:space="preserve"> 20 -21. Riesgo de participación significativa de posiciones en un agente del MEM, y riesgo de concentración en un agente del MEM. No se tiene estipulado un control sobre este riesgo específico, que podría conllevar a situaciones de alta volatilidad en los precios del mecanismo.</w:t>
            </w:r>
            <w:r w:rsidRPr="008D7525">
              <w:rPr>
                <w:rFonts w:ascii="Calibri" w:hAnsi="Calibri"/>
                <w:sz w:val="18"/>
                <w:szCs w:val="18"/>
                <w:lang w:val="es-CO" w:eastAsia="es-CO"/>
              </w:rPr>
              <w:br/>
            </w:r>
            <w:r w:rsidRPr="008D7525">
              <w:rPr>
                <w:rFonts w:ascii="Calibri" w:hAnsi="Calibri"/>
                <w:sz w:val="18"/>
                <w:szCs w:val="18"/>
                <w:lang w:val="es-CO" w:eastAsia="es-CO"/>
              </w:rPr>
              <w:br/>
            </w:r>
            <w:proofErr w:type="spellStart"/>
            <w:r w:rsidRPr="008D7525">
              <w:rPr>
                <w:rFonts w:ascii="Calibri" w:hAnsi="Calibri"/>
                <w:sz w:val="18"/>
                <w:szCs w:val="18"/>
                <w:lang w:val="es-CO" w:eastAsia="es-CO"/>
              </w:rPr>
              <w:t>Pág</w:t>
            </w:r>
            <w:proofErr w:type="spellEnd"/>
            <w:r w:rsidRPr="008D7525">
              <w:rPr>
                <w:rFonts w:ascii="Calibri" w:hAnsi="Calibri"/>
                <w:sz w:val="18"/>
                <w:szCs w:val="18"/>
                <w:lang w:val="es-CO" w:eastAsia="es-CO"/>
              </w:rPr>
              <w:t xml:space="preserve"> 20. Riesgo de concentración de un miembro liquidador. </w:t>
            </w:r>
            <w:proofErr w:type="spellStart"/>
            <w:r w:rsidRPr="008D7525">
              <w:rPr>
                <w:rFonts w:ascii="Calibri" w:hAnsi="Calibri"/>
                <w:sz w:val="18"/>
                <w:szCs w:val="18"/>
                <w:lang w:val="es-CO" w:eastAsia="es-CO"/>
              </w:rPr>
              <w:t>MAnejado</w:t>
            </w:r>
            <w:proofErr w:type="spellEnd"/>
            <w:r w:rsidRPr="008D7525">
              <w:rPr>
                <w:rFonts w:ascii="Calibri" w:hAnsi="Calibri"/>
                <w:sz w:val="18"/>
                <w:szCs w:val="18"/>
                <w:lang w:val="es-CO" w:eastAsia="es-CO"/>
              </w:rPr>
              <w:t xml:space="preserve"> a través de un mecanismo de garantías extraordinarias definidas en el reglamento operativo de la CRCC.</w:t>
            </w:r>
            <w:r w:rsidRPr="008D7525">
              <w:rPr>
                <w:rFonts w:ascii="Calibri" w:hAnsi="Calibri"/>
                <w:sz w:val="18"/>
                <w:szCs w:val="18"/>
                <w:lang w:val="es-CO" w:eastAsia="es-CO"/>
              </w:rPr>
              <w:br/>
            </w:r>
            <w:r w:rsidRPr="008D7525">
              <w:rPr>
                <w:rFonts w:ascii="Calibri" w:hAnsi="Calibri"/>
                <w:sz w:val="18"/>
                <w:szCs w:val="18"/>
                <w:lang w:val="es-CO" w:eastAsia="es-CO"/>
              </w:rPr>
              <w:br/>
            </w:r>
            <w:proofErr w:type="spellStart"/>
            <w:r w:rsidRPr="008D7525">
              <w:rPr>
                <w:rFonts w:ascii="Calibri" w:hAnsi="Calibri"/>
                <w:sz w:val="18"/>
                <w:szCs w:val="18"/>
                <w:lang w:val="es-CO" w:eastAsia="es-CO"/>
              </w:rPr>
              <w:t>Pág</w:t>
            </w:r>
            <w:proofErr w:type="spellEnd"/>
            <w:r w:rsidRPr="008D7525">
              <w:rPr>
                <w:rFonts w:ascii="Calibri" w:hAnsi="Calibri"/>
                <w:sz w:val="18"/>
                <w:szCs w:val="18"/>
                <w:lang w:val="es-CO" w:eastAsia="es-CO"/>
              </w:rPr>
              <w:t xml:space="preserve"> 28 - 29. Riesgo de mercado. Se tiene un esquema de manejo de garantías establecido para hacer </w:t>
            </w:r>
            <w:proofErr w:type="spellStart"/>
            <w:r w:rsidRPr="008D7525">
              <w:rPr>
                <w:rFonts w:ascii="Calibri" w:hAnsi="Calibri"/>
                <w:sz w:val="18"/>
                <w:szCs w:val="18"/>
                <w:lang w:val="es-CO" w:eastAsia="es-CO"/>
              </w:rPr>
              <w:t>seguimeinto</w:t>
            </w:r>
            <w:proofErr w:type="spellEnd"/>
            <w:r w:rsidRPr="008D7525">
              <w:rPr>
                <w:rFonts w:ascii="Calibri" w:hAnsi="Calibri"/>
                <w:sz w:val="18"/>
                <w:szCs w:val="18"/>
                <w:lang w:val="es-CO" w:eastAsia="es-CO"/>
              </w:rPr>
              <w:t xml:space="preserve"> a las posiciones de cada miembro liquidador, con mecanismos de garantías para mitigar estos riesgos por parte del administrador de riesgo (CRCC). Los miembros liquidadores tienen mecanismos de gestión definidos a través de los SARM, vigilados por la SFC.</w:t>
            </w:r>
            <w:r w:rsidRPr="008D7525">
              <w:rPr>
                <w:rFonts w:ascii="Calibri" w:hAnsi="Calibri"/>
                <w:sz w:val="18"/>
                <w:szCs w:val="18"/>
                <w:lang w:val="es-CO" w:eastAsia="es-CO"/>
              </w:rPr>
              <w:br/>
              <w:t>.</w:t>
            </w:r>
          </w:p>
        </w:tc>
      </w:tr>
      <w:tr w:rsidR="008D7525" w:rsidRPr="008D7525" w14:paraId="69754D54" w14:textId="77777777" w:rsidTr="00D31EE1">
        <w:trPr>
          <w:trHeight w:val="480"/>
        </w:trPr>
        <w:tc>
          <w:tcPr>
            <w:tcW w:w="1696" w:type="dxa"/>
            <w:tcBorders>
              <w:top w:val="single" w:sz="4" w:space="0" w:color="auto"/>
              <w:left w:val="single" w:sz="4" w:space="0" w:color="auto"/>
              <w:bottom w:val="single" w:sz="4" w:space="0" w:color="auto"/>
              <w:right w:val="single" w:sz="4" w:space="0" w:color="auto"/>
            </w:tcBorders>
            <w:shd w:val="clear" w:color="000000" w:fill="E7E6E6"/>
            <w:hideMark/>
          </w:tcPr>
          <w:p w14:paraId="0AF2F9AB" w14:textId="77777777" w:rsidR="008D7525" w:rsidRPr="008D7525" w:rsidRDefault="008D7525">
            <w:pPr>
              <w:spacing w:before="0" w:after="0"/>
              <w:jc w:val="left"/>
              <w:rPr>
                <w:rFonts w:ascii="Calibri" w:hAnsi="Calibri"/>
                <w:b/>
                <w:bCs/>
                <w:color w:val="000000"/>
                <w:sz w:val="18"/>
                <w:szCs w:val="18"/>
                <w:lang w:val="es-CO" w:eastAsia="es-CO"/>
              </w:rPr>
            </w:pPr>
            <w:r w:rsidRPr="008D7525">
              <w:rPr>
                <w:rFonts w:ascii="Calibri" w:hAnsi="Calibri"/>
                <w:b/>
                <w:bCs/>
                <w:color w:val="000000"/>
                <w:sz w:val="18"/>
                <w:szCs w:val="18"/>
                <w:lang w:val="es-CO" w:eastAsia="es-CO"/>
              </w:rPr>
              <w:lastRenderedPageBreak/>
              <w:t>Roberto Borrás</w:t>
            </w:r>
            <w:r w:rsidRPr="008D7525">
              <w:rPr>
                <w:rFonts w:ascii="Calibri" w:hAnsi="Calibri"/>
                <w:b/>
                <w:bCs/>
                <w:color w:val="000000"/>
                <w:sz w:val="18"/>
                <w:szCs w:val="18"/>
                <w:lang w:val="es-CO" w:eastAsia="es-CO"/>
              </w:rPr>
              <w:br/>
              <w:t>(Gobierno corporativo)</w:t>
            </w:r>
          </w:p>
        </w:tc>
        <w:tc>
          <w:tcPr>
            <w:tcW w:w="7650" w:type="dxa"/>
            <w:tcBorders>
              <w:top w:val="single" w:sz="4" w:space="0" w:color="auto"/>
              <w:left w:val="nil"/>
              <w:bottom w:val="single" w:sz="4" w:space="0" w:color="auto"/>
              <w:right w:val="single" w:sz="4" w:space="0" w:color="auto"/>
            </w:tcBorders>
            <w:shd w:val="clear" w:color="auto" w:fill="auto"/>
            <w:noWrap/>
            <w:hideMark/>
          </w:tcPr>
          <w:p w14:paraId="2660C514" w14:textId="77777777" w:rsidR="008D7525" w:rsidRPr="008D7525" w:rsidRDefault="008D7525">
            <w:pPr>
              <w:spacing w:before="0" w:after="0"/>
              <w:jc w:val="left"/>
              <w:rPr>
                <w:rFonts w:ascii="Calibri" w:hAnsi="Calibri"/>
                <w:sz w:val="18"/>
                <w:szCs w:val="18"/>
                <w:lang w:val="es-CO" w:eastAsia="es-CO"/>
              </w:rPr>
            </w:pPr>
            <w:r w:rsidRPr="008D7525">
              <w:rPr>
                <w:rFonts w:ascii="Calibri" w:hAnsi="Calibri"/>
                <w:sz w:val="18"/>
                <w:szCs w:val="18"/>
                <w:lang w:val="es-CO" w:eastAsia="es-CO"/>
              </w:rPr>
              <w:t> </w:t>
            </w:r>
          </w:p>
        </w:tc>
      </w:tr>
    </w:tbl>
    <w:p w14:paraId="3F93F565" w14:textId="4F4CF962" w:rsidR="007C6045" w:rsidRDefault="007C6045">
      <w:pPr>
        <w:spacing w:before="0" w:after="0"/>
        <w:rPr>
          <w:b/>
          <w:szCs w:val="20"/>
          <w:lang w:val="es-CO"/>
        </w:rPr>
      </w:pPr>
    </w:p>
    <w:tbl>
      <w:tblPr>
        <w:tblW w:w="0" w:type="auto"/>
        <w:tblLayout w:type="fixed"/>
        <w:tblCellMar>
          <w:left w:w="70" w:type="dxa"/>
          <w:right w:w="70" w:type="dxa"/>
        </w:tblCellMar>
        <w:tblLook w:val="04A0" w:firstRow="1" w:lastRow="0" w:firstColumn="1" w:lastColumn="0" w:noHBand="0" w:noVBand="1"/>
      </w:tblPr>
      <w:tblGrid>
        <w:gridCol w:w="1696"/>
        <w:gridCol w:w="7650"/>
      </w:tblGrid>
      <w:tr w:rsidR="00A45D82" w:rsidRPr="00A45D82" w14:paraId="425DE858" w14:textId="77777777" w:rsidTr="00D31EE1">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E7E6E6"/>
            <w:noWrap/>
            <w:hideMark/>
          </w:tcPr>
          <w:p w14:paraId="02FE07ED" w14:textId="77777777" w:rsidR="00A45D82" w:rsidRPr="00A45D82" w:rsidRDefault="00A45D82">
            <w:pPr>
              <w:spacing w:before="0" w:after="0"/>
              <w:jc w:val="center"/>
              <w:rPr>
                <w:rFonts w:ascii="Calibri" w:hAnsi="Calibri"/>
                <w:b/>
                <w:bCs/>
                <w:sz w:val="18"/>
                <w:szCs w:val="18"/>
                <w:lang w:val="es-CO" w:eastAsia="es-CO"/>
              </w:rPr>
            </w:pPr>
            <w:r w:rsidRPr="00A45D82">
              <w:rPr>
                <w:rFonts w:ascii="Calibri" w:hAnsi="Calibri"/>
                <w:b/>
                <w:bCs/>
                <w:sz w:val="18"/>
                <w:szCs w:val="18"/>
                <w:lang w:val="es-CO" w:eastAsia="es-CO"/>
              </w:rPr>
              <w:t>Parámetro</w:t>
            </w:r>
          </w:p>
        </w:tc>
        <w:tc>
          <w:tcPr>
            <w:tcW w:w="7650" w:type="dxa"/>
            <w:tcBorders>
              <w:top w:val="single" w:sz="4" w:space="0" w:color="auto"/>
              <w:left w:val="nil"/>
              <w:bottom w:val="single" w:sz="4" w:space="0" w:color="auto"/>
              <w:right w:val="single" w:sz="4" w:space="0" w:color="auto"/>
            </w:tcBorders>
            <w:shd w:val="clear" w:color="000000" w:fill="D9E1F2"/>
            <w:hideMark/>
          </w:tcPr>
          <w:p w14:paraId="6682C8CA" w14:textId="77777777" w:rsidR="00A45D82" w:rsidRPr="00A45D82" w:rsidRDefault="00A45D82">
            <w:pPr>
              <w:spacing w:before="0" w:after="0"/>
              <w:jc w:val="center"/>
              <w:rPr>
                <w:rFonts w:ascii="Calibri" w:hAnsi="Calibri"/>
                <w:b/>
                <w:bCs/>
                <w:sz w:val="18"/>
                <w:szCs w:val="18"/>
                <w:lang w:val="es-CO" w:eastAsia="es-CO"/>
              </w:rPr>
            </w:pPr>
            <w:r w:rsidRPr="00A45D82">
              <w:rPr>
                <w:rFonts w:ascii="Calibri" w:hAnsi="Calibri"/>
                <w:b/>
                <w:bCs/>
                <w:sz w:val="18"/>
                <w:szCs w:val="18"/>
                <w:lang w:val="es-CO" w:eastAsia="es-CO"/>
              </w:rPr>
              <w:t>Condiciones de información para valoración de riesgos</w:t>
            </w:r>
          </w:p>
        </w:tc>
      </w:tr>
      <w:tr w:rsidR="00A45D82" w:rsidRPr="00A45D82" w14:paraId="35D51DC5" w14:textId="77777777" w:rsidTr="00D31EE1">
        <w:trPr>
          <w:trHeight w:val="885"/>
        </w:trPr>
        <w:tc>
          <w:tcPr>
            <w:tcW w:w="1696" w:type="dxa"/>
            <w:tcBorders>
              <w:top w:val="nil"/>
              <w:left w:val="single" w:sz="4" w:space="0" w:color="auto"/>
              <w:bottom w:val="single" w:sz="4" w:space="0" w:color="auto"/>
              <w:right w:val="single" w:sz="4" w:space="0" w:color="auto"/>
            </w:tcBorders>
            <w:shd w:val="clear" w:color="000000" w:fill="E7E6E6"/>
            <w:noWrap/>
            <w:hideMark/>
          </w:tcPr>
          <w:p w14:paraId="27A74539" w14:textId="77777777" w:rsidR="00A45D82" w:rsidRPr="00A45D82" w:rsidRDefault="00A45D82">
            <w:pPr>
              <w:spacing w:before="0" w:after="0"/>
              <w:jc w:val="left"/>
              <w:rPr>
                <w:rFonts w:ascii="Calibri" w:hAnsi="Calibri"/>
                <w:b/>
                <w:bCs/>
                <w:sz w:val="18"/>
                <w:szCs w:val="18"/>
                <w:lang w:val="es-CO" w:eastAsia="es-CO"/>
              </w:rPr>
            </w:pPr>
            <w:r w:rsidRPr="00A45D82">
              <w:rPr>
                <w:rFonts w:ascii="Calibri" w:hAnsi="Calibri"/>
                <w:b/>
                <w:bCs/>
                <w:sz w:val="18"/>
                <w:szCs w:val="18"/>
                <w:lang w:val="es-CO" w:eastAsia="es-CO"/>
              </w:rPr>
              <w:t>Descripción</w:t>
            </w:r>
          </w:p>
        </w:tc>
        <w:tc>
          <w:tcPr>
            <w:tcW w:w="7650" w:type="dxa"/>
            <w:tcBorders>
              <w:top w:val="nil"/>
              <w:left w:val="nil"/>
              <w:bottom w:val="single" w:sz="4" w:space="0" w:color="auto"/>
              <w:right w:val="single" w:sz="4" w:space="0" w:color="auto"/>
            </w:tcBorders>
            <w:shd w:val="clear" w:color="auto" w:fill="auto"/>
            <w:hideMark/>
          </w:tcPr>
          <w:p w14:paraId="57175999" w14:textId="77777777" w:rsidR="00A45D82" w:rsidRPr="00A45D82" w:rsidRDefault="00A45D82">
            <w:pPr>
              <w:spacing w:before="0" w:after="0"/>
              <w:jc w:val="left"/>
              <w:rPr>
                <w:rFonts w:ascii="Calibri" w:hAnsi="Calibri"/>
                <w:sz w:val="18"/>
                <w:szCs w:val="18"/>
                <w:lang w:val="es-CO" w:eastAsia="es-CO"/>
              </w:rPr>
            </w:pPr>
            <w:r w:rsidRPr="00A45D82">
              <w:rPr>
                <w:rFonts w:ascii="Calibri" w:hAnsi="Calibri"/>
                <w:sz w:val="18"/>
                <w:szCs w:val="18"/>
                <w:lang w:val="es-CO" w:eastAsia="es-CO"/>
              </w:rPr>
              <w:t>El mecanismo para la comercialización de energía dispone y prevé la entrega de la información necesaria para que la Superintendencia de Servicios Públicos Domiciliarios (SSPD) pueda llevar a cabo la valoración y monitoreo del riesgo de los agentes que participen en el mecanismo y que a su vez sean agentes regulados del mercado de energía mayorista.</w:t>
            </w:r>
          </w:p>
        </w:tc>
      </w:tr>
      <w:tr w:rsidR="00A45D82" w:rsidRPr="00A45D82" w14:paraId="19ECCD5D" w14:textId="77777777" w:rsidTr="00D31EE1">
        <w:trPr>
          <w:trHeight w:val="615"/>
        </w:trPr>
        <w:tc>
          <w:tcPr>
            <w:tcW w:w="1696" w:type="dxa"/>
            <w:tcBorders>
              <w:top w:val="nil"/>
              <w:left w:val="single" w:sz="4" w:space="0" w:color="auto"/>
              <w:bottom w:val="single" w:sz="4" w:space="0" w:color="auto"/>
              <w:right w:val="single" w:sz="4" w:space="0" w:color="auto"/>
            </w:tcBorders>
            <w:shd w:val="clear" w:color="000000" w:fill="E7E6E6"/>
            <w:noWrap/>
            <w:hideMark/>
          </w:tcPr>
          <w:p w14:paraId="4BE3EA94" w14:textId="77777777" w:rsidR="00A45D82" w:rsidRPr="00A45D82" w:rsidRDefault="00A45D82">
            <w:pPr>
              <w:spacing w:before="0" w:after="0"/>
              <w:jc w:val="left"/>
              <w:rPr>
                <w:rFonts w:ascii="Calibri" w:hAnsi="Calibri"/>
                <w:b/>
                <w:bCs/>
                <w:sz w:val="18"/>
                <w:szCs w:val="18"/>
                <w:lang w:val="es-CO" w:eastAsia="es-CO"/>
              </w:rPr>
            </w:pPr>
            <w:r w:rsidRPr="00A45D82">
              <w:rPr>
                <w:rFonts w:ascii="Calibri" w:hAnsi="Calibri"/>
                <w:b/>
                <w:bCs/>
                <w:sz w:val="18"/>
                <w:szCs w:val="18"/>
                <w:lang w:val="es-CO" w:eastAsia="es-CO"/>
              </w:rPr>
              <w:t>Resumen de la evaluación</w:t>
            </w:r>
          </w:p>
        </w:tc>
        <w:tc>
          <w:tcPr>
            <w:tcW w:w="7650" w:type="dxa"/>
            <w:tcBorders>
              <w:top w:val="nil"/>
              <w:left w:val="nil"/>
              <w:bottom w:val="single" w:sz="4" w:space="0" w:color="auto"/>
              <w:right w:val="single" w:sz="4" w:space="0" w:color="auto"/>
            </w:tcBorders>
            <w:shd w:val="clear" w:color="auto" w:fill="auto"/>
            <w:hideMark/>
          </w:tcPr>
          <w:p w14:paraId="01AB0BB5" w14:textId="77777777" w:rsidR="00A45D82" w:rsidRPr="00A45D82" w:rsidRDefault="00A45D82">
            <w:pPr>
              <w:spacing w:before="0" w:after="0"/>
              <w:jc w:val="left"/>
              <w:rPr>
                <w:rFonts w:ascii="Calibri" w:hAnsi="Calibri"/>
                <w:sz w:val="18"/>
                <w:szCs w:val="18"/>
                <w:lang w:val="es-CO" w:eastAsia="es-CO"/>
              </w:rPr>
            </w:pPr>
            <w:r w:rsidRPr="00A45D82">
              <w:rPr>
                <w:rFonts w:ascii="Calibri" w:hAnsi="Calibri"/>
                <w:sz w:val="18"/>
                <w:szCs w:val="18"/>
                <w:lang w:val="es-CO" w:eastAsia="es-CO"/>
              </w:rPr>
              <w:t>En el reglamento de la CRCC se cuenta con una disposición de información de las transacciones directamente a la SSPD. Con esta disposición la SSPD podría realizar el seguimiento para valoración de riesgo de los agentes y las actuaciones de oficio que considere pertinentes.</w:t>
            </w:r>
          </w:p>
        </w:tc>
      </w:tr>
      <w:tr w:rsidR="00A45D82" w:rsidRPr="00A45D82" w14:paraId="13BE89DF" w14:textId="77777777" w:rsidTr="00D31EE1">
        <w:trPr>
          <w:trHeight w:val="300"/>
        </w:trPr>
        <w:tc>
          <w:tcPr>
            <w:tcW w:w="1696" w:type="dxa"/>
            <w:tcBorders>
              <w:top w:val="nil"/>
              <w:left w:val="single" w:sz="4" w:space="0" w:color="auto"/>
              <w:bottom w:val="single" w:sz="4" w:space="0" w:color="auto"/>
              <w:right w:val="single" w:sz="4" w:space="0" w:color="auto"/>
            </w:tcBorders>
            <w:shd w:val="clear" w:color="000000" w:fill="E7E6E6"/>
            <w:hideMark/>
          </w:tcPr>
          <w:p w14:paraId="2C8F1B84" w14:textId="77777777" w:rsidR="00A45D82" w:rsidRPr="00A45D82" w:rsidRDefault="00A45D82">
            <w:pPr>
              <w:spacing w:before="0" w:after="0"/>
              <w:jc w:val="left"/>
              <w:rPr>
                <w:rFonts w:ascii="Calibri" w:hAnsi="Calibri"/>
                <w:b/>
                <w:bCs/>
                <w:sz w:val="18"/>
                <w:szCs w:val="18"/>
                <w:lang w:val="es-CO" w:eastAsia="es-CO"/>
              </w:rPr>
            </w:pPr>
            <w:r w:rsidRPr="00A45D82">
              <w:rPr>
                <w:rFonts w:ascii="Calibri" w:hAnsi="Calibri"/>
                <w:b/>
                <w:bCs/>
                <w:sz w:val="18"/>
                <w:szCs w:val="18"/>
                <w:lang w:val="es-CO" w:eastAsia="es-CO"/>
              </w:rPr>
              <w:t xml:space="preserve">Referencia en la propuesta </w:t>
            </w:r>
          </w:p>
        </w:tc>
        <w:tc>
          <w:tcPr>
            <w:tcW w:w="7650" w:type="dxa"/>
            <w:tcBorders>
              <w:top w:val="nil"/>
              <w:left w:val="nil"/>
              <w:bottom w:val="single" w:sz="4" w:space="0" w:color="auto"/>
              <w:right w:val="single" w:sz="4" w:space="0" w:color="auto"/>
            </w:tcBorders>
            <w:shd w:val="clear" w:color="auto" w:fill="auto"/>
            <w:hideMark/>
          </w:tcPr>
          <w:p w14:paraId="091F6050" w14:textId="14714266" w:rsidR="00A45D82" w:rsidRPr="00A45D82" w:rsidRDefault="00A45D82">
            <w:pPr>
              <w:spacing w:before="0" w:after="0"/>
              <w:jc w:val="left"/>
              <w:rPr>
                <w:rFonts w:ascii="Calibri" w:hAnsi="Calibri"/>
                <w:sz w:val="18"/>
                <w:szCs w:val="18"/>
                <w:lang w:val="es-CO" w:eastAsia="es-CO"/>
              </w:rPr>
            </w:pPr>
            <w:r w:rsidRPr="00A45D82">
              <w:rPr>
                <w:rFonts w:ascii="Calibri" w:hAnsi="Calibri"/>
                <w:b/>
                <w:bCs/>
                <w:sz w:val="18"/>
                <w:szCs w:val="18"/>
                <w:lang w:val="es-CO" w:eastAsia="es-CO"/>
              </w:rPr>
              <w:t>1. Nu</w:t>
            </w:r>
            <w:r w:rsidR="001518EE">
              <w:rPr>
                <w:rFonts w:ascii="Calibri" w:hAnsi="Calibri"/>
                <w:b/>
                <w:bCs/>
                <w:sz w:val="18"/>
                <w:szCs w:val="18"/>
                <w:lang w:val="es-CO" w:eastAsia="es-CO"/>
              </w:rPr>
              <w:t>m</w:t>
            </w:r>
            <w:r w:rsidRPr="00A45D82">
              <w:rPr>
                <w:rFonts w:ascii="Calibri" w:hAnsi="Calibri"/>
                <w:b/>
                <w:bCs/>
                <w:sz w:val="18"/>
                <w:szCs w:val="18"/>
                <w:lang w:val="es-CO" w:eastAsia="es-CO"/>
              </w:rPr>
              <w:t>eral 17 de la propuesta</w:t>
            </w:r>
            <w:r w:rsidRPr="00A45D82">
              <w:rPr>
                <w:rFonts w:ascii="Calibri" w:hAnsi="Calibri"/>
                <w:sz w:val="18"/>
                <w:szCs w:val="18"/>
                <w:lang w:val="es-CO" w:eastAsia="es-CO"/>
              </w:rPr>
              <w:t xml:space="preserve"> - Política de disponibilidad y entrega de información a la SSPD.</w:t>
            </w:r>
          </w:p>
        </w:tc>
      </w:tr>
      <w:tr w:rsidR="00A45D82" w:rsidRPr="00A45D82" w14:paraId="0E07FC41" w14:textId="77777777" w:rsidTr="00D31EE1">
        <w:trPr>
          <w:trHeight w:val="480"/>
        </w:trPr>
        <w:tc>
          <w:tcPr>
            <w:tcW w:w="1696" w:type="dxa"/>
            <w:tcBorders>
              <w:top w:val="nil"/>
              <w:left w:val="single" w:sz="4" w:space="0" w:color="auto"/>
              <w:bottom w:val="single" w:sz="4" w:space="0" w:color="auto"/>
              <w:right w:val="single" w:sz="4" w:space="0" w:color="auto"/>
            </w:tcBorders>
            <w:shd w:val="clear" w:color="000000" w:fill="E7E6E6"/>
            <w:hideMark/>
          </w:tcPr>
          <w:p w14:paraId="0FBBFB51" w14:textId="77777777" w:rsidR="00A45D82" w:rsidRPr="00A45D82" w:rsidRDefault="00A45D82">
            <w:pPr>
              <w:spacing w:before="0" w:after="0"/>
              <w:jc w:val="left"/>
              <w:rPr>
                <w:rFonts w:ascii="Calibri" w:hAnsi="Calibri"/>
                <w:b/>
                <w:bCs/>
                <w:sz w:val="18"/>
                <w:szCs w:val="18"/>
                <w:lang w:val="es-CO" w:eastAsia="es-CO"/>
              </w:rPr>
            </w:pPr>
            <w:r w:rsidRPr="00A45D82">
              <w:rPr>
                <w:rFonts w:ascii="Calibri" w:hAnsi="Calibri"/>
                <w:b/>
                <w:bCs/>
                <w:sz w:val="18"/>
                <w:szCs w:val="18"/>
                <w:lang w:val="es-CO" w:eastAsia="es-CO"/>
              </w:rPr>
              <w:t>Juan Pablo Amorocho</w:t>
            </w:r>
            <w:r w:rsidRPr="00A45D82">
              <w:rPr>
                <w:rFonts w:ascii="Calibri" w:hAnsi="Calibri"/>
                <w:b/>
                <w:bCs/>
                <w:sz w:val="18"/>
                <w:szCs w:val="18"/>
                <w:lang w:val="es-CO" w:eastAsia="es-CO"/>
              </w:rPr>
              <w:br/>
              <w:t>(Mercados)</w:t>
            </w:r>
          </w:p>
        </w:tc>
        <w:tc>
          <w:tcPr>
            <w:tcW w:w="7650" w:type="dxa"/>
            <w:tcBorders>
              <w:top w:val="nil"/>
              <w:left w:val="nil"/>
              <w:bottom w:val="single" w:sz="4" w:space="0" w:color="auto"/>
              <w:right w:val="single" w:sz="4" w:space="0" w:color="auto"/>
            </w:tcBorders>
            <w:shd w:val="clear" w:color="auto" w:fill="auto"/>
            <w:hideMark/>
          </w:tcPr>
          <w:p w14:paraId="39A51AF5" w14:textId="77777777" w:rsidR="00A45D82" w:rsidRPr="00A45D82" w:rsidRDefault="00A45D82">
            <w:pPr>
              <w:spacing w:before="0" w:after="0"/>
              <w:jc w:val="left"/>
              <w:rPr>
                <w:rFonts w:ascii="Calibri" w:hAnsi="Calibri"/>
                <w:sz w:val="18"/>
                <w:szCs w:val="18"/>
                <w:lang w:val="es-CO" w:eastAsia="es-CO"/>
              </w:rPr>
            </w:pPr>
            <w:r w:rsidRPr="00A45D82">
              <w:rPr>
                <w:rFonts w:ascii="Calibri" w:hAnsi="Calibri"/>
                <w:sz w:val="18"/>
                <w:szCs w:val="18"/>
                <w:lang w:val="es-CO" w:eastAsia="es-CO"/>
              </w:rPr>
              <w:t> </w:t>
            </w:r>
          </w:p>
        </w:tc>
      </w:tr>
      <w:tr w:rsidR="00A45D82" w:rsidRPr="00A45D82" w14:paraId="345A77FA" w14:textId="77777777" w:rsidTr="00D31EE1">
        <w:trPr>
          <w:trHeight w:val="2025"/>
        </w:trPr>
        <w:tc>
          <w:tcPr>
            <w:tcW w:w="1696" w:type="dxa"/>
            <w:tcBorders>
              <w:top w:val="nil"/>
              <w:left w:val="single" w:sz="4" w:space="0" w:color="auto"/>
              <w:bottom w:val="single" w:sz="4" w:space="0" w:color="auto"/>
              <w:right w:val="single" w:sz="4" w:space="0" w:color="auto"/>
            </w:tcBorders>
            <w:shd w:val="clear" w:color="000000" w:fill="E7E6E6"/>
            <w:hideMark/>
          </w:tcPr>
          <w:p w14:paraId="6364F585" w14:textId="77777777" w:rsidR="00A45D82" w:rsidRPr="00A45D82" w:rsidRDefault="00A45D82">
            <w:pPr>
              <w:spacing w:before="0" w:after="0"/>
              <w:jc w:val="left"/>
              <w:rPr>
                <w:rFonts w:ascii="Calibri" w:hAnsi="Calibri"/>
                <w:b/>
                <w:bCs/>
                <w:sz w:val="18"/>
                <w:szCs w:val="18"/>
                <w:lang w:val="es-CO" w:eastAsia="es-CO"/>
              </w:rPr>
            </w:pPr>
            <w:r w:rsidRPr="00A45D82">
              <w:rPr>
                <w:rFonts w:ascii="Calibri" w:hAnsi="Calibri"/>
                <w:b/>
                <w:bCs/>
                <w:sz w:val="18"/>
                <w:szCs w:val="18"/>
                <w:lang w:val="es-CO" w:eastAsia="es-CO"/>
              </w:rPr>
              <w:t>Diego Jara</w:t>
            </w:r>
            <w:r w:rsidRPr="00A45D82">
              <w:rPr>
                <w:rFonts w:ascii="Calibri" w:hAnsi="Calibri"/>
                <w:b/>
                <w:bCs/>
                <w:sz w:val="18"/>
                <w:szCs w:val="18"/>
                <w:lang w:val="es-CO" w:eastAsia="es-CO"/>
              </w:rPr>
              <w:br/>
              <w:t>(Riesgos)</w:t>
            </w:r>
          </w:p>
        </w:tc>
        <w:tc>
          <w:tcPr>
            <w:tcW w:w="7650" w:type="dxa"/>
            <w:tcBorders>
              <w:top w:val="nil"/>
              <w:left w:val="nil"/>
              <w:bottom w:val="single" w:sz="4" w:space="0" w:color="auto"/>
              <w:right w:val="single" w:sz="4" w:space="0" w:color="auto"/>
            </w:tcBorders>
            <w:shd w:val="clear" w:color="auto" w:fill="auto"/>
            <w:hideMark/>
          </w:tcPr>
          <w:p w14:paraId="332BDA17" w14:textId="62C8DF1A" w:rsidR="00A45D82" w:rsidRPr="00A45D82" w:rsidRDefault="00A45D82">
            <w:pPr>
              <w:spacing w:before="0" w:after="0"/>
              <w:jc w:val="left"/>
              <w:rPr>
                <w:rFonts w:ascii="Calibri" w:hAnsi="Calibri"/>
                <w:sz w:val="18"/>
                <w:szCs w:val="18"/>
                <w:lang w:val="es-CO" w:eastAsia="es-CO"/>
              </w:rPr>
            </w:pPr>
            <w:proofErr w:type="spellStart"/>
            <w:r w:rsidRPr="00A45D82">
              <w:rPr>
                <w:rFonts w:ascii="Calibri" w:hAnsi="Calibri"/>
                <w:sz w:val="18"/>
                <w:szCs w:val="18"/>
                <w:lang w:val="es-CO" w:eastAsia="es-CO"/>
              </w:rPr>
              <w:t>Pág</w:t>
            </w:r>
            <w:proofErr w:type="spellEnd"/>
            <w:r w:rsidRPr="00A45D82">
              <w:rPr>
                <w:rFonts w:ascii="Calibri" w:hAnsi="Calibri"/>
                <w:sz w:val="18"/>
                <w:szCs w:val="18"/>
                <w:lang w:val="es-CO" w:eastAsia="es-CO"/>
              </w:rPr>
              <w:t xml:space="preserve"> 13. </w:t>
            </w:r>
            <w:r w:rsidRPr="00A45D82">
              <w:rPr>
                <w:rFonts w:ascii="Calibri" w:hAnsi="Calibri"/>
                <w:sz w:val="18"/>
                <w:szCs w:val="18"/>
                <w:lang w:val="es-CO" w:eastAsia="es-CO"/>
              </w:rPr>
              <w:br/>
              <w:t>“</w:t>
            </w:r>
            <w:proofErr w:type="spellStart"/>
            <w:r w:rsidRPr="00A45D82">
              <w:rPr>
                <w:rFonts w:ascii="Calibri" w:hAnsi="Calibri"/>
                <w:sz w:val="18"/>
                <w:szCs w:val="18"/>
                <w:lang w:val="es-CO" w:eastAsia="es-CO"/>
              </w:rPr>
              <w:t>Derivex</w:t>
            </w:r>
            <w:proofErr w:type="spellEnd"/>
            <w:r w:rsidRPr="00A45D82">
              <w:rPr>
                <w:rFonts w:ascii="Calibri" w:hAnsi="Calibri"/>
                <w:sz w:val="18"/>
                <w:szCs w:val="18"/>
                <w:lang w:val="es-CO" w:eastAsia="es-CO"/>
              </w:rPr>
              <w:t xml:space="preserve"> y la CRCC están en disposición de trabajar en conjunto con la SSPD, una vez el Mecanismo sea autorizado por la CREG, en un procedimiento o en una alternativa para que esta última acceda a la información pública del Mercado de Derivados Estandarizados de </w:t>
            </w:r>
            <w:proofErr w:type="spellStart"/>
            <w:r w:rsidRPr="00A45D82">
              <w:rPr>
                <w:rFonts w:ascii="Calibri" w:hAnsi="Calibri"/>
                <w:sz w:val="18"/>
                <w:szCs w:val="18"/>
                <w:lang w:val="es-CO" w:eastAsia="es-CO"/>
              </w:rPr>
              <w:t>Commodities</w:t>
            </w:r>
            <w:proofErr w:type="spellEnd"/>
            <w:r w:rsidRPr="00A45D82">
              <w:rPr>
                <w:rFonts w:ascii="Calibri" w:hAnsi="Calibri"/>
                <w:sz w:val="18"/>
                <w:szCs w:val="18"/>
                <w:lang w:val="es-CO" w:eastAsia="es-CO"/>
              </w:rPr>
              <w:t xml:space="preserve">, en caso de ser esto necesario.” </w:t>
            </w:r>
          </w:p>
        </w:tc>
      </w:tr>
      <w:tr w:rsidR="00A45D82" w:rsidRPr="00A45D82" w14:paraId="5800C1BF" w14:textId="77777777" w:rsidTr="00D31EE1">
        <w:trPr>
          <w:trHeight w:val="2545"/>
        </w:trPr>
        <w:tc>
          <w:tcPr>
            <w:tcW w:w="1696" w:type="dxa"/>
            <w:tcBorders>
              <w:top w:val="nil"/>
              <w:left w:val="single" w:sz="4" w:space="0" w:color="auto"/>
              <w:bottom w:val="single" w:sz="4" w:space="0" w:color="auto"/>
              <w:right w:val="single" w:sz="4" w:space="0" w:color="auto"/>
            </w:tcBorders>
            <w:shd w:val="clear" w:color="000000" w:fill="E7E6E6"/>
            <w:hideMark/>
          </w:tcPr>
          <w:p w14:paraId="0DB98093" w14:textId="77777777" w:rsidR="00A45D82" w:rsidRPr="00A45D82" w:rsidRDefault="00A45D82">
            <w:pPr>
              <w:spacing w:before="0" w:after="0"/>
              <w:jc w:val="left"/>
              <w:rPr>
                <w:rFonts w:ascii="Calibri" w:hAnsi="Calibri"/>
                <w:b/>
                <w:bCs/>
                <w:sz w:val="18"/>
                <w:szCs w:val="18"/>
                <w:lang w:val="es-CO" w:eastAsia="es-CO"/>
              </w:rPr>
            </w:pPr>
            <w:r w:rsidRPr="00A45D82">
              <w:rPr>
                <w:rFonts w:ascii="Calibri" w:hAnsi="Calibri"/>
                <w:b/>
                <w:bCs/>
                <w:sz w:val="18"/>
                <w:szCs w:val="18"/>
                <w:lang w:val="es-CO" w:eastAsia="es-CO"/>
              </w:rPr>
              <w:lastRenderedPageBreak/>
              <w:t>Roberto Borrás</w:t>
            </w:r>
            <w:r w:rsidRPr="00A45D82">
              <w:rPr>
                <w:rFonts w:ascii="Calibri" w:hAnsi="Calibri"/>
                <w:b/>
                <w:bCs/>
                <w:sz w:val="18"/>
                <w:szCs w:val="18"/>
                <w:lang w:val="es-CO" w:eastAsia="es-CO"/>
              </w:rPr>
              <w:br/>
              <w:t>(Gobierno corporativo)</w:t>
            </w:r>
          </w:p>
        </w:tc>
        <w:tc>
          <w:tcPr>
            <w:tcW w:w="7650" w:type="dxa"/>
            <w:tcBorders>
              <w:top w:val="nil"/>
              <w:left w:val="nil"/>
              <w:bottom w:val="single" w:sz="4" w:space="0" w:color="auto"/>
              <w:right w:val="single" w:sz="4" w:space="0" w:color="auto"/>
            </w:tcBorders>
            <w:shd w:val="clear" w:color="auto" w:fill="auto"/>
            <w:hideMark/>
          </w:tcPr>
          <w:p w14:paraId="20863735" w14:textId="77777777" w:rsidR="00A45D82" w:rsidRPr="00A45D82" w:rsidRDefault="00A45D82">
            <w:pPr>
              <w:spacing w:before="0" w:after="0"/>
              <w:jc w:val="left"/>
              <w:rPr>
                <w:rFonts w:ascii="Calibri" w:hAnsi="Calibri"/>
                <w:sz w:val="18"/>
                <w:szCs w:val="18"/>
                <w:lang w:val="es-CO" w:eastAsia="es-CO"/>
              </w:rPr>
            </w:pPr>
            <w:r w:rsidRPr="00A45D82">
              <w:rPr>
                <w:rFonts w:ascii="Calibri" w:hAnsi="Calibri"/>
                <w:sz w:val="18"/>
                <w:szCs w:val="18"/>
                <w:lang w:val="es-CO" w:eastAsia="es-CO"/>
              </w:rPr>
              <w:t xml:space="preserve"> </w:t>
            </w:r>
            <w:proofErr w:type="spellStart"/>
            <w:r w:rsidRPr="00A45D82">
              <w:rPr>
                <w:rFonts w:ascii="Calibri" w:hAnsi="Calibri"/>
                <w:sz w:val="18"/>
                <w:szCs w:val="18"/>
                <w:lang w:val="es-CO" w:eastAsia="es-CO"/>
              </w:rPr>
              <w:t>Pág</w:t>
            </w:r>
            <w:proofErr w:type="spellEnd"/>
            <w:r w:rsidRPr="00A45D82">
              <w:rPr>
                <w:rFonts w:ascii="Calibri" w:hAnsi="Calibri"/>
                <w:sz w:val="18"/>
                <w:szCs w:val="18"/>
                <w:lang w:val="es-CO" w:eastAsia="es-CO"/>
              </w:rPr>
              <w:t xml:space="preserve"> 31</w:t>
            </w:r>
            <w:r w:rsidRPr="00A45D82">
              <w:rPr>
                <w:rFonts w:ascii="Calibri" w:hAnsi="Calibri"/>
                <w:sz w:val="18"/>
                <w:szCs w:val="18"/>
                <w:lang w:val="es-CO" w:eastAsia="es-CO"/>
              </w:rPr>
              <w:br/>
              <w:t xml:space="preserve">"(v) Guardar estricta confidencialidad sobre toda información reservada de los afiliados y los antecedentes relacionados con las operaciones y los negocios realizados, sean </w:t>
            </w:r>
            <w:proofErr w:type="gramStart"/>
            <w:r w:rsidRPr="00A45D82">
              <w:rPr>
                <w:rFonts w:ascii="Calibri" w:hAnsi="Calibri"/>
                <w:sz w:val="18"/>
                <w:szCs w:val="18"/>
                <w:lang w:val="es-CO" w:eastAsia="es-CO"/>
              </w:rPr>
              <w:t>éstos</w:t>
            </w:r>
            <w:proofErr w:type="gramEnd"/>
            <w:r w:rsidRPr="00A45D82">
              <w:rPr>
                <w:rFonts w:ascii="Calibri" w:hAnsi="Calibri"/>
                <w:sz w:val="18"/>
                <w:szCs w:val="18"/>
                <w:lang w:val="es-CO" w:eastAsia="es-CO"/>
              </w:rPr>
              <w:t xml:space="preserve"> pasados, presentes o futuros. Lo anterior sin perjuicio de aquella información que deba reportar periódica o eventualmente a las autoridades o a los organismos de autorregulación, en relación con los sistemas y sus respectivas operaciones realizadas o registradas, o de aquella información que deba entregar por decisión judicial o administrativa, en salvaguarda del principio de transparencia."</w:t>
            </w:r>
            <w:r w:rsidRPr="00A45D82">
              <w:rPr>
                <w:rFonts w:ascii="Calibri" w:hAnsi="Calibri"/>
                <w:sz w:val="18"/>
                <w:szCs w:val="18"/>
                <w:lang w:val="es-CO" w:eastAsia="es-CO"/>
              </w:rPr>
              <w:br/>
            </w:r>
            <w:r w:rsidRPr="00A45D82">
              <w:rPr>
                <w:rFonts w:ascii="Calibri" w:hAnsi="Calibri"/>
                <w:sz w:val="18"/>
                <w:szCs w:val="18"/>
                <w:lang w:val="es-CO" w:eastAsia="es-CO"/>
              </w:rPr>
              <w:br/>
              <w:t>Pág. 33</w:t>
            </w:r>
            <w:r w:rsidRPr="00A45D82">
              <w:rPr>
                <w:rFonts w:ascii="Calibri" w:hAnsi="Calibri"/>
                <w:sz w:val="18"/>
                <w:szCs w:val="18"/>
                <w:lang w:val="es-CO" w:eastAsia="es-CO"/>
              </w:rPr>
              <w:br/>
              <w:t>Estas características previstas en la regulación financiera vigente, fueron evidenciadas de igual forma por el Consultor a partir de la revisión formal del Reglamento General del Mecanismo, del cual se resaltan los siguientes aspectos relevantes, que contribuyen a la salvaguarda de los principios que espera la CREG, sean garantizados:</w:t>
            </w:r>
            <w:r w:rsidRPr="00A45D82">
              <w:rPr>
                <w:rFonts w:ascii="Calibri" w:hAnsi="Calibri"/>
                <w:sz w:val="18"/>
                <w:szCs w:val="18"/>
                <w:lang w:val="es-CO" w:eastAsia="es-CO"/>
              </w:rPr>
              <w:br/>
              <w:t>"e. Proporcionar la información que tenga disponible en el sistema, de las Operaciones celebradas o registradas, de los miembros que celebren o registren operaciones a través del mismo y de sus operadores, a las autoridades competentes, sin perjuicio del deber de confidencialidad previsto en el artículo 1.2.10 del mismo Reglamento".</w:t>
            </w:r>
          </w:p>
        </w:tc>
      </w:tr>
    </w:tbl>
    <w:p w14:paraId="5707FCCB" w14:textId="13A0F719" w:rsidR="008D7525" w:rsidRDefault="008D7525">
      <w:pPr>
        <w:spacing w:before="0" w:after="0"/>
        <w:rPr>
          <w:b/>
          <w:szCs w:val="20"/>
          <w:lang w:val="es-CO"/>
        </w:rPr>
      </w:pPr>
    </w:p>
    <w:tbl>
      <w:tblPr>
        <w:tblW w:w="0" w:type="auto"/>
        <w:tblCellMar>
          <w:left w:w="70" w:type="dxa"/>
          <w:right w:w="70" w:type="dxa"/>
        </w:tblCellMar>
        <w:tblLook w:val="04A0" w:firstRow="1" w:lastRow="0" w:firstColumn="1" w:lastColumn="0" w:noHBand="0" w:noVBand="1"/>
      </w:tblPr>
      <w:tblGrid>
        <w:gridCol w:w="1696"/>
        <w:gridCol w:w="7650"/>
      </w:tblGrid>
      <w:tr w:rsidR="00867D75" w:rsidRPr="00867D75" w14:paraId="0A8DB81D" w14:textId="77777777" w:rsidTr="00D31EE1">
        <w:trPr>
          <w:trHeight w:val="300"/>
        </w:trPr>
        <w:tc>
          <w:tcPr>
            <w:tcW w:w="1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D157BDB" w14:textId="77777777" w:rsidR="00867D75" w:rsidRPr="00867D75" w:rsidRDefault="00867D75">
            <w:pPr>
              <w:spacing w:before="0" w:after="0"/>
              <w:jc w:val="center"/>
              <w:rPr>
                <w:rFonts w:ascii="Calibri" w:hAnsi="Calibri"/>
                <w:b/>
                <w:bCs/>
                <w:color w:val="000000"/>
                <w:sz w:val="18"/>
                <w:szCs w:val="18"/>
                <w:lang w:val="es-CO" w:eastAsia="es-CO"/>
              </w:rPr>
            </w:pPr>
            <w:r w:rsidRPr="00867D75">
              <w:rPr>
                <w:rFonts w:ascii="Calibri" w:hAnsi="Calibri"/>
                <w:b/>
                <w:bCs/>
                <w:color w:val="000000"/>
                <w:sz w:val="18"/>
                <w:szCs w:val="18"/>
                <w:lang w:val="es-CO" w:eastAsia="es-CO"/>
              </w:rPr>
              <w:t>Parámetro</w:t>
            </w:r>
          </w:p>
        </w:tc>
        <w:tc>
          <w:tcPr>
            <w:tcW w:w="7650" w:type="dxa"/>
            <w:tcBorders>
              <w:top w:val="single" w:sz="4" w:space="0" w:color="auto"/>
              <w:left w:val="nil"/>
              <w:bottom w:val="single" w:sz="4" w:space="0" w:color="auto"/>
              <w:right w:val="single" w:sz="4" w:space="0" w:color="auto"/>
            </w:tcBorders>
            <w:shd w:val="clear" w:color="000000" w:fill="D9E1F2"/>
            <w:vAlign w:val="center"/>
            <w:hideMark/>
          </w:tcPr>
          <w:p w14:paraId="6C3D6662" w14:textId="77777777" w:rsidR="00867D75" w:rsidRPr="00867D75" w:rsidRDefault="00867D75">
            <w:pPr>
              <w:spacing w:before="0" w:after="0"/>
              <w:jc w:val="center"/>
              <w:rPr>
                <w:rFonts w:ascii="Calibri" w:hAnsi="Calibri"/>
                <w:b/>
                <w:bCs/>
                <w:sz w:val="18"/>
                <w:szCs w:val="18"/>
                <w:lang w:val="es-CO" w:eastAsia="es-CO"/>
              </w:rPr>
            </w:pPr>
            <w:r w:rsidRPr="00867D75">
              <w:rPr>
                <w:rFonts w:ascii="Calibri" w:hAnsi="Calibri"/>
                <w:b/>
                <w:bCs/>
                <w:sz w:val="18"/>
                <w:szCs w:val="18"/>
                <w:lang w:val="es-CO" w:eastAsia="es-CO"/>
              </w:rPr>
              <w:t>Condición de adaptabilidad al mercado</w:t>
            </w:r>
          </w:p>
        </w:tc>
      </w:tr>
      <w:tr w:rsidR="00867D75" w:rsidRPr="00867D75" w14:paraId="53A37B41" w14:textId="77777777" w:rsidTr="00D31EE1">
        <w:trPr>
          <w:trHeight w:val="1103"/>
        </w:trPr>
        <w:tc>
          <w:tcPr>
            <w:tcW w:w="1696" w:type="dxa"/>
            <w:tcBorders>
              <w:top w:val="nil"/>
              <w:left w:val="single" w:sz="4" w:space="0" w:color="auto"/>
              <w:bottom w:val="single" w:sz="4" w:space="0" w:color="auto"/>
              <w:right w:val="single" w:sz="4" w:space="0" w:color="auto"/>
            </w:tcBorders>
            <w:shd w:val="clear" w:color="000000" w:fill="E7E6E6"/>
            <w:noWrap/>
            <w:hideMark/>
          </w:tcPr>
          <w:p w14:paraId="79DCE369" w14:textId="77777777" w:rsidR="00867D75" w:rsidRPr="00867D75" w:rsidRDefault="00867D75">
            <w:pPr>
              <w:spacing w:before="0" w:after="0"/>
              <w:jc w:val="left"/>
              <w:rPr>
                <w:rFonts w:ascii="Calibri" w:hAnsi="Calibri"/>
                <w:b/>
                <w:bCs/>
                <w:color w:val="000000"/>
                <w:sz w:val="18"/>
                <w:szCs w:val="18"/>
                <w:lang w:val="es-CO" w:eastAsia="es-CO"/>
              </w:rPr>
            </w:pPr>
            <w:r w:rsidRPr="00867D75">
              <w:rPr>
                <w:rFonts w:ascii="Calibri" w:hAnsi="Calibri"/>
                <w:b/>
                <w:bCs/>
                <w:color w:val="000000"/>
                <w:sz w:val="18"/>
                <w:szCs w:val="18"/>
                <w:lang w:val="es-CO" w:eastAsia="es-CO"/>
              </w:rPr>
              <w:t>Descripción</w:t>
            </w:r>
          </w:p>
        </w:tc>
        <w:tc>
          <w:tcPr>
            <w:tcW w:w="7650" w:type="dxa"/>
            <w:tcBorders>
              <w:top w:val="nil"/>
              <w:left w:val="nil"/>
              <w:bottom w:val="single" w:sz="4" w:space="0" w:color="auto"/>
              <w:right w:val="single" w:sz="4" w:space="0" w:color="auto"/>
            </w:tcBorders>
            <w:shd w:val="clear" w:color="auto" w:fill="auto"/>
            <w:hideMark/>
          </w:tcPr>
          <w:p w14:paraId="2A0D19CC" w14:textId="77777777" w:rsidR="00867D75" w:rsidRPr="00867D75" w:rsidRDefault="00867D75">
            <w:pPr>
              <w:spacing w:before="0" w:after="0"/>
              <w:jc w:val="left"/>
              <w:rPr>
                <w:rFonts w:ascii="Calibri" w:hAnsi="Calibri"/>
                <w:sz w:val="18"/>
                <w:szCs w:val="18"/>
                <w:lang w:val="es-CO" w:eastAsia="es-CO"/>
              </w:rPr>
            </w:pPr>
            <w:r w:rsidRPr="00867D75">
              <w:rPr>
                <w:rFonts w:ascii="Calibri" w:hAnsi="Calibri"/>
                <w:sz w:val="18"/>
                <w:szCs w:val="18"/>
                <w:lang w:val="es-CO" w:eastAsia="es-CO"/>
              </w:rPr>
              <w:t>El mecanismo es funcional bajo el marco regulatorio vigente y no requiere modificaciones a la regulación por parte de la CREG, para su adecuada ejecución. El mecanismo dispone de instancias y procedimientos de ajuste propios, que le permiten operar ante cambios de mercado, regulatorios y operativos que modifiquen las reglas del mercado de energía mayorista u otras instancias que pudieran afectar la operatividad del mecanismo. Por lo tanto, el mecanismo deberá contemplar explícitamente esquemas de solución de controversias que surjan entre los participantes y cláusulas de ajuste regulatorio en los contratos resultantes.</w:t>
            </w:r>
          </w:p>
        </w:tc>
      </w:tr>
      <w:tr w:rsidR="00867D75" w:rsidRPr="00867D75" w14:paraId="66BDC8EF" w14:textId="77777777" w:rsidTr="00D31EE1">
        <w:trPr>
          <w:trHeight w:val="555"/>
        </w:trPr>
        <w:tc>
          <w:tcPr>
            <w:tcW w:w="1696" w:type="dxa"/>
            <w:tcBorders>
              <w:top w:val="nil"/>
              <w:left w:val="single" w:sz="4" w:space="0" w:color="auto"/>
              <w:bottom w:val="single" w:sz="4" w:space="0" w:color="auto"/>
              <w:right w:val="single" w:sz="4" w:space="0" w:color="auto"/>
            </w:tcBorders>
            <w:shd w:val="clear" w:color="000000" w:fill="E7E6E6"/>
            <w:hideMark/>
          </w:tcPr>
          <w:p w14:paraId="41BC45C7" w14:textId="77777777" w:rsidR="00867D75" w:rsidRPr="00867D75" w:rsidRDefault="00867D75">
            <w:pPr>
              <w:spacing w:before="0" w:after="0"/>
              <w:jc w:val="left"/>
              <w:rPr>
                <w:rFonts w:ascii="Calibri" w:hAnsi="Calibri"/>
                <w:b/>
                <w:bCs/>
                <w:color w:val="000000"/>
                <w:sz w:val="18"/>
                <w:szCs w:val="18"/>
                <w:lang w:val="es-CO" w:eastAsia="es-CO"/>
              </w:rPr>
            </w:pPr>
            <w:r w:rsidRPr="00867D75">
              <w:rPr>
                <w:rFonts w:ascii="Calibri" w:hAnsi="Calibri"/>
                <w:b/>
                <w:bCs/>
                <w:color w:val="000000"/>
                <w:sz w:val="18"/>
                <w:szCs w:val="18"/>
                <w:lang w:val="es-CO" w:eastAsia="es-CO"/>
              </w:rPr>
              <w:t xml:space="preserve">Resumen de la evaluación </w:t>
            </w:r>
          </w:p>
        </w:tc>
        <w:tc>
          <w:tcPr>
            <w:tcW w:w="7650" w:type="dxa"/>
            <w:tcBorders>
              <w:top w:val="nil"/>
              <w:left w:val="nil"/>
              <w:bottom w:val="single" w:sz="4" w:space="0" w:color="auto"/>
              <w:right w:val="single" w:sz="4" w:space="0" w:color="auto"/>
            </w:tcBorders>
            <w:shd w:val="clear" w:color="auto" w:fill="auto"/>
            <w:hideMark/>
          </w:tcPr>
          <w:p w14:paraId="6ECDC2F9" w14:textId="77777777" w:rsidR="00867D75" w:rsidRPr="00867D75" w:rsidRDefault="00867D75">
            <w:pPr>
              <w:spacing w:before="0" w:after="0"/>
              <w:jc w:val="left"/>
              <w:rPr>
                <w:rFonts w:ascii="Calibri" w:hAnsi="Calibri"/>
                <w:sz w:val="18"/>
                <w:szCs w:val="18"/>
                <w:lang w:val="es-CO" w:eastAsia="es-CO"/>
              </w:rPr>
            </w:pPr>
            <w:r w:rsidRPr="00867D75">
              <w:rPr>
                <w:rFonts w:ascii="Calibri" w:hAnsi="Calibri"/>
                <w:sz w:val="18"/>
                <w:szCs w:val="18"/>
                <w:lang w:val="es-CO" w:eastAsia="es-CO"/>
              </w:rPr>
              <w:t xml:space="preserve">Se identifican procedimientos para la solución de controversias entre los diferentes agentes que </w:t>
            </w:r>
            <w:proofErr w:type="spellStart"/>
            <w:r w:rsidRPr="00867D75">
              <w:rPr>
                <w:rFonts w:ascii="Calibri" w:hAnsi="Calibri"/>
                <w:sz w:val="18"/>
                <w:szCs w:val="18"/>
                <w:lang w:val="es-CO" w:eastAsia="es-CO"/>
              </w:rPr>
              <w:t>interactuan</w:t>
            </w:r>
            <w:proofErr w:type="spellEnd"/>
            <w:r w:rsidRPr="00867D75">
              <w:rPr>
                <w:rFonts w:ascii="Calibri" w:hAnsi="Calibri"/>
                <w:sz w:val="18"/>
                <w:szCs w:val="18"/>
                <w:lang w:val="es-CO" w:eastAsia="es-CO"/>
              </w:rPr>
              <w:t xml:space="preserve"> en el mecanismo. Se identifican tres (3) formas de controversias y para cada una de ellas se establecen reglas claras para su manejo.</w:t>
            </w:r>
          </w:p>
        </w:tc>
      </w:tr>
      <w:tr w:rsidR="00867D75" w:rsidRPr="00867D75" w14:paraId="47A6043D" w14:textId="77777777" w:rsidTr="00D31EE1">
        <w:trPr>
          <w:trHeight w:val="300"/>
        </w:trPr>
        <w:tc>
          <w:tcPr>
            <w:tcW w:w="1696" w:type="dxa"/>
            <w:tcBorders>
              <w:top w:val="nil"/>
              <w:left w:val="single" w:sz="4" w:space="0" w:color="auto"/>
              <w:bottom w:val="single" w:sz="4" w:space="0" w:color="auto"/>
              <w:right w:val="single" w:sz="4" w:space="0" w:color="auto"/>
            </w:tcBorders>
            <w:shd w:val="clear" w:color="000000" w:fill="E7E6E6"/>
            <w:hideMark/>
          </w:tcPr>
          <w:p w14:paraId="19D26A0B" w14:textId="77777777" w:rsidR="00867D75" w:rsidRPr="00867D75" w:rsidRDefault="00867D75">
            <w:pPr>
              <w:spacing w:before="0" w:after="0"/>
              <w:jc w:val="left"/>
              <w:rPr>
                <w:rFonts w:ascii="Calibri" w:hAnsi="Calibri"/>
                <w:b/>
                <w:bCs/>
                <w:color w:val="000000"/>
                <w:sz w:val="18"/>
                <w:szCs w:val="18"/>
                <w:lang w:val="es-CO" w:eastAsia="es-CO"/>
              </w:rPr>
            </w:pPr>
            <w:r w:rsidRPr="00867D75">
              <w:rPr>
                <w:rFonts w:ascii="Calibri" w:hAnsi="Calibri"/>
                <w:b/>
                <w:bCs/>
                <w:color w:val="000000"/>
                <w:sz w:val="18"/>
                <w:szCs w:val="18"/>
                <w:lang w:val="es-CO" w:eastAsia="es-CO"/>
              </w:rPr>
              <w:t xml:space="preserve">Referencia en la propuesta </w:t>
            </w:r>
          </w:p>
        </w:tc>
        <w:tc>
          <w:tcPr>
            <w:tcW w:w="7650" w:type="dxa"/>
            <w:tcBorders>
              <w:top w:val="nil"/>
              <w:left w:val="nil"/>
              <w:bottom w:val="single" w:sz="4" w:space="0" w:color="auto"/>
              <w:right w:val="single" w:sz="4" w:space="0" w:color="auto"/>
            </w:tcBorders>
            <w:shd w:val="clear" w:color="auto" w:fill="auto"/>
            <w:hideMark/>
          </w:tcPr>
          <w:p w14:paraId="383AED15" w14:textId="77777777" w:rsidR="00867D75" w:rsidRPr="00867D75" w:rsidRDefault="00867D75">
            <w:pPr>
              <w:spacing w:before="0" w:after="0"/>
              <w:jc w:val="left"/>
              <w:rPr>
                <w:rFonts w:ascii="Calibri" w:hAnsi="Calibri"/>
                <w:sz w:val="18"/>
                <w:szCs w:val="18"/>
                <w:lang w:val="es-CO" w:eastAsia="es-CO"/>
              </w:rPr>
            </w:pPr>
            <w:r w:rsidRPr="00867D75">
              <w:rPr>
                <w:rFonts w:ascii="Calibri" w:hAnsi="Calibri"/>
                <w:b/>
                <w:bCs/>
                <w:sz w:val="18"/>
                <w:szCs w:val="18"/>
                <w:lang w:val="es-CO" w:eastAsia="es-CO"/>
              </w:rPr>
              <w:t xml:space="preserve">1. Capítulo 14 de la propuesta </w:t>
            </w:r>
            <w:r w:rsidRPr="00867D75">
              <w:rPr>
                <w:rFonts w:ascii="Calibri" w:hAnsi="Calibri"/>
                <w:sz w:val="18"/>
                <w:szCs w:val="18"/>
                <w:lang w:val="es-CO" w:eastAsia="es-CO"/>
              </w:rPr>
              <w:t>- Esquema para resolución de controversias</w:t>
            </w:r>
          </w:p>
        </w:tc>
      </w:tr>
      <w:tr w:rsidR="00867D75" w:rsidRPr="00867D75" w14:paraId="4FF4DF32" w14:textId="77777777" w:rsidTr="00D31EE1">
        <w:trPr>
          <w:trHeight w:val="480"/>
        </w:trPr>
        <w:tc>
          <w:tcPr>
            <w:tcW w:w="1696" w:type="dxa"/>
            <w:tcBorders>
              <w:top w:val="nil"/>
              <w:left w:val="single" w:sz="4" w:space="0" w:color="auto"/>
              <w:bottom w:val="single" w:sz="4" w:space="0" w:color="auto"/>
              <w:right w:val="single" w:sz="4" w:space="0" w:color="auto"/>
            </w:tcBorders>
            <w:shd w:val="clear" w:color="000000" w:fill="E7E6E6"/>
            <w:hideMark/>
          </w:tcPr>
          <w:p w14:paraId="46FD682F" w14:textId="77777777" w:rsidR="00867D75" w:rsidRPr="00867D75" w:rsidRDefault="00867D75">
            <w:pPr>
              <w:spacing w:before="0" w:after="0"/>
              <w:jc w:val="left"/>
              <w:rPr>
                <w:rFonts w:ascii="Calibri" w:hAnsi="Calibri"/>
                <w:b/>
                <w:bCs/>
                <w:color w:val="000000"/>
                <w:sz w:val="18"/>
                <w:szCs w:val="18"/>
                <w:lang w:val="es-CO" w:eastAsia="es-CO"/>
              </w:rPr>
            </w:pPr>
            <w:r w:rsidRPr="00867D75">
              <w:rPr>
                <w:rFonts w:ascii="Calibri" w:hAnsi="Calibri"/>
                <w:b/>
                <w:bCs/>
                <w:color w:val="000000"/>
                <w:sz w:val="18"/>
                <w:szCs w:val="18"/>
                <w:lang w:val="es-CO" w:eastAsia="es-CO"/>
              </w:rPr>
              <w:t>Juan Pablo Amorocho</w:t>
            </w:r>
            <w:r w:rsidRPr="00867D75">
              <w:rPr>
                <w:rFonts w:ascii="Calibri" w:hAnsi="Calibri"/>
                <w:b/>
                <w:bCs/>
                <w:color w:val="000000"/>
                <w:sz w:val="18"/>
                <w:szCs w:val="18"/>
                <w:lang w:val="es-CO" w:eastAsia="es-CO"/>
              </w:rPr>
              <w:br/>
              <w:t>(Mercados)</w:t>
            </w:r>
          </w:p>
        </w:tc>
        <w:tc>
          <w:tcPr>
            <w:tcW w:w="7650" w:type="dxa"/>
            <w:tcBorders>
              <w:top w:val="nil"/>
              <w:left w:val="nil"/>
              <w:bottom w:val="single" w:sz="4" w:space="0" w:color="auto"/>
              <w:right w:val="single" w:sz="4" w:space="0" w:color="auto"/>
            </w:tcBorders>
            <w:shd w:val="clear" w:color="auto" w:fill="auto"/>
            <w:vAlign w:val="center"/>
            <w:hideMark/>
          </w:tcPr>
          <w:p w14:paraId="0292AC9E" w14:textId="77777777" w:rsidR="00867D75" w:rsidRPr="00867D75" w:rsidRDefault="00867D75">
            <w:pPr>
              <w:spacing w:before="0" w:after="0"/>
              <w:jc w:val="center"/>
              <w:rPr>
                <w:rFonts w:ascii="Calibri" w:hAnsi="Calibri"/>
                <w:sz w:val="18"/>
                <w:szCs w:val="18"/>
                <w:lang w:val="es-CO" w:eastAsia="es-CO"/>
              </w:rPr>
            </w:pPr>
            <w:r w:rsidRPr="00867D75">
              <w:rPr>
                <w:rFonts w:ascii="Calibri" w:hAnsi="Calibri"/>
                <w:sz w:val="18"/>
                <w:szCs w:val="18"/>
                <w:lang w:val="es-CO" w:eastAsia="es-CO"/>
              </w:rPr>
              <w:t> </w:t>
            </w:r>
          </w:p>
        </w:tc>
      </w:tr>
      <w:tr w:rsidR="00867D75" w:rsidRPr="00867D75" w14:paraId="28D4BA90" w14:textId="77777777" w:rsidTr="00D31EE1">
        <w:trPr>
          <w:trHeight w:val="2828"/>
        </w:trPr>
        <w:tc>
          <w:tcPr>
            <w:tcW w:w="1696" w:type="dxa"/>
            <w:tcBorders>
              <w:top w:val="single" w:sz="4" w:space="0" w:color="auto"/>
              <w:left w:val="single" w:sz="4" w:space="0" w:color="auto"/>
              <w:bottom w:val="single" w:sz="4" w:space="0" w:color="auto"/>
              <w:right w:val="single" w:sz="4" w:space="0" w:color="auto"/>
            </w:tcBorders>
            <w:shd w:val="clear" w:color="000000" w:fill="E7E6E6"/>
            <w:hideMark/>
          </w:tcPr>
          <w:p w14:paraId="00236B0B" w14:textId="77777777" w:rsidR="00867D75" w:rsidRPr="00867D75" w:rsidRDefault="00867D75">
            <w:pPr>
              <w:spacing w:before="0" w:after="0"/>
              <w:jc w:val="left"/>
              <w:rPr>
                <w:rFonts w:ascii="Calibri" w:hAnsi="Calibri"/>
                <w:b/>
                <w:bCs/>
                <w:color w:val="000000"/>
                <w:sz w:val="18"/>
                <w:szCs w:val="18"/>
                <w:lang w:val="es-CO" w:eastAsia="es-CO"/>
              </w:rPr>
            </w:pPr>
            <w:r w:rsidRPr="00867D75">
              <w:rPr>
                <w:rFonts w:ascii="Calibri" w:hAnsi="Calibri"/>
                <w:b/>
                <w:bCs/>
                <w:color w:val="000000"/>
                <w:sz w:val="18"/>
                <w:szCs w:val="18"/>
                <w:lang w:val="es-CO" w:eastAsia="es-CO"/>
              </w:rPr>
              <w:t>Diego Jara</w:t>
            </w:r>
            <w:r w:rsidRPr="00867D75">
              <w:rPr>
                <w:rFonts w:ascii="Calibri" w:hAnsi="Calibri"/>
                <w:b/>
                <w:bCs/>
                <w:color w:val="000000"/>
                <w:sz w:val="18"/>
                <w:szCs w:val="18"/>
                <w:lang w:val="es-CO" w:eastAsia="es-CO"/>
              </w:rPr>
              <w:br/>
              <w:t>(Riesgos)</w:t>
            </w:r>
          </w:p>
        </w:tc>
        <w:tc>
          <w:tcPr>
            <w:tcW w:w="7650" w:type="dxa"/>
            <w:tcBorders>
              <w:top w:val="single" w:sz="4" w:space="0" w:color="auto"/>
              <w:left w:val="single" w:sz="4" w:space="0" w:color="auto"/>
              <w:bottom w:val="single" w:sz="4" w:space="0" w:color="auto"/>
              <w:right w:val="single" w:sz="4" w:space="0" w:color="auto"/>
            </w:tcBorders>
            <w:shd w:val="clear" w:color="auto" w:fill="auto"/>
            <w:hideMark/>
          </w:tcPr>
          <w:p w14:paraId="69CE425C" w14:textId="36928190" w:rsidR="00867D75" w:rsidRPr="00867D75" w:rsidRDefault="00867D75">
            <w:pPr>
              <w:spacing w:before="0" w:after="0"/>
              <w:jc w:val="left"/>
              <w:rPr>
                <w:rFonts w:ascii="Calibri" w:hAnsi="Calibri"/>
                <w:sz w:val="18"/>
                <w:szCs w:val="18"/>
                <w:lang w:val="es-CO" w:eastAsia="es-CO"/>
              </w:rPr>
            </w:pPr>
            <w:proofErr w:type="spellStart"/>
            <w:r w:rsidRPr="00867D75">
              <w:rPr>
                <w:rFonts w:ascii="Calibri" w:hAnsi="Calibri"/>
                <w:sz w:val="18"/>
                <w:szCs w:val="18"/>
                <w:lang w:val="es-CO" w:eastAsia="es-CO"/>
              </w:rPr>
              <w:t>Pág</w:t>
            </w:r>
            <w:proofErr w:type="spellEnd"/>
            <w:r w:rsidRPr="00867D75">
              <w:rPr>
                <w:rFonts w:ascii="Calibri" w:hAnsi="Calibri"/>
                <w:sz w:val="18"/>
                <w:szCs w:val="18"/>
                <w:lang w:val="es-CO" w:eastAsia="es-CO"/>
              </w:rPr>
              <w:t xml:space="preserve"> 26</w:t>
            </w:r>
            <w:r w:rsidRPr="00867D75">
              <w:rPr>
                <w:rFonts w:ascii="Calibri" w:hAnsi="Calibri"/>
                <w:sz w:val="18"/>
                <w:szCs w:val="18"/>
                <w:lang w:val="es-CO" w:eastAsia="es-CO"/>
              </w:rPr>
              <w:br/>
              <w:t>"Por otro lado, debido al rol de liquidador y a la estructura del mecanismo propuesto, el riesgo legal al que se enfrentan los liquidadores está acotado al universo de agentes del MEM y la CRCC. Este riesgo se mitiga de la siguiente manera:</w:t>
            </w:r>
            <w:r w:rsidRPr="00867D75">
              <w:rPr>
                <w:rFonts w:ascii="Calibri" w:hAnsi="Calibri"/>
                <w:sz w:val="18"/>
                <w:szCs w:val="18"/>
                <w:lang w:val="es-CO" w:eastAsia="es-CO"/>
              </w:rPr>
              <w:br/>
              <w:t xml:space="preserve">- Miembro con la CRCC: Un miembro liquidador o no liquidador que tenga una controversia legal con la CRCC. Este riesgo se mitiga por medio del reglamento general de </w:t>
            </w:r>
            <w:proofErr w:type="spellStart"/>
            <w:r w:rsidRPr="00867D75">
              <w:rPr>
                <w:rFonts w:ascii="Calibri" w:hAnsi="Calibri"/>
                <w:sz w:val="18"/>
                <w:szCs w:val="18"/>
                <w:lang w:val="es-CO" w:eastAsia="es-CO"/>
              </w:rPr>
              <w:t>Derivex</w:t>
            </w:r>
            <w:proofErr w:type="spellEnd"/>
            <w:r w:rsidRPr="00867D75">
              <w:rPr>
                <w:rFonts w:ascii="Calibri" w:hAnsi="Calibri"/>
                <w:sz w:val="18"/>
                <w:szCs w:val="18"/>
                <w:lang w:val="es-CO" w:eastAsia="es-CO"/>
              </w:rPr>
              <w:t xml:space="preserve"> (Anexo 2) y el reglamento de funcionamiento de la CRCC (Anexo 1) en el los cuales se presentan unas </w:t>
            </w:r>
            <w:proofErr w:type="spellStart"/>
            <w:r w:rsidRPr="00867D75">
              <w:rPr>
                <w:rFonts w:ascii="Calibri" w:hAnsi="Calibri"/>
                <w:sz w:val="18"/>
                <w:szCs w:val="18"/>
                <w:lang w:val="es-CO" w:eastAsia="es-CO"/>
              </w:rPr>
              <w:t>cláusulas</w:t>
            </w:r>
            <w:proofErr w:type="spellEnd"/>
            <w:r w:rsidRPr="00867D75">
              <w:rPr>
                <w:rFonts w:ascii="Calibri" w:hAnsi="Calibri"/>
                <w:sz w:val="18"/>
                <w:szCs w:val="18"/>
                <w:lang w:val="es-CO" w:eastAsia="es-CO"/>
              </w:rPr>
              <w:t xml:space="preserve"> arbitrales que les permiten resolver por ese medio las diferencias que se puedan presentar y que no se puedan solucionar de manera directa. </w:t>
            </w:r>
            <w:r w:rsidRPr="00867D75">
              <w:rPr>
                <w:rFonts w:ascii="Calibri" w:hAnsi="Calibri"/>
                <w:sz w:val="18"/>
                <w:szCs w:val="18"/>
                <w:lang w:val="es-CO" w:eastAsia="es-CO"/>
              </w:rPr>
              <w:br/>
              <w:t xml:space="preserve">- Miembro con un cliente: Un agente del MEM tenga una controversia con miembro liquidador o no liquidador. Este riesgo se mitiga por medio del sistema de Atención al Consumidor Financiero (SAC) que exige la SFC a las entidades vigiladas. El SAC debe contener como </w:t>
            </w:r>
            <w:proofErr w:type="spellStart"/>
            <w:r w:rsidRPr="00867D75">
              <w:rPr>
                <w:rFonts w:ascii="Calibri" w:hAnsi="Calibri"/>
                <w:sz w:val="18"/>
                <w:szCs w:val="18"/>
                <w:lang w:val="es-CO" w:eastAsia="es-CO"/>
              </w:rPr>
              <w:t>mínimo</w:t>
            </w:r>
            <w:proofErr w:type="spellEnd"/>
            <w:r w:rsidRPr="00867D75">
              <w:rPr>
                <w:rFonts w:ascii="Calibri" w:hAnsi="Calibri"/>
                <w:sz w:val="18"/>
                <w:szCs w:val="18"/>
                <w:lang w:val="es-CO" w:eastAsia="es-CO"/>
              </w:rPr>
              <w:t xml:space="preserve"> “</w:t>
            </w:r>
            <w:proofErr w:type="spellStart"/>
            <w:r w:rsidRPr="00867D75">
              <w:rPr>
                <w:rFonts w:ascii="Calibri" w:hAnsi="Calibri"/>
                <w:sz w:val="18"/>
                <w:szCs w:val="18"/>
                <w:lang w:val="es-CO" w:eastAsia="es-CO"/>
              </w:rPr>
              <w:t>políticas</w:t>
            </w:r>
            <w:proofErr w:type="spellEnd"/>
            <w:r w:rsidRPr="00867D75">
              <w:rPr>
                <w:rFonts w:ascii="Calibri" w:hAnsi="Calibri"/>
                <w:sz w:val="18"/>
                <w:szCs w:val="18"/>
                <w:lang w:val="es-CO" w:eastAsia="es-CO"/>
              </w:rPr>
              <w:t xml:space="preserve">, procedimientos y controles para la debida protección del consumidor financiero y que propicien un ambiente de atención y respeto por el mismo”, lo que obliga a las instituciones financieras a contar con mecanismos para atención de sus clientes, incluyendo mecanismos para suministrar la información adecuada a sus clientes, procedimientos para la atención de peticiones, quejas y reclamos, entre otros. Adicionalmente, las Sociedades Comisionistas de Bolsa (SCB) </w:t>
            </w:r>
            <w:proofErr w:type="spellStart"/>
            <w:r w:rsidRPr="00867D75">
              <w:rPr>
                <w:rFonts w:ascii="Calibri" w:hAnsi="Calibri"/>
                <w:sz w:val="18"/>
                <w:szCs w:val="18"/>
                <w:lang w:val="es-CO" w:eastAsia="es-CO"/>
              </w:rPr>
              <w:t>están</w:t>
            </w:r>
            <w:proofErr w:type="spellEnd"/>
            <w:r w:rsidRPr="00867D75">
              <w:rPr>
                <w:rFonts w:ascii="Calibri" w:hAnsi="Calibri"/>
                <w:sz w:val="18"/>
                <w:szCs w:val="18"/>
                <w:lang w:val="es-CO" w:eastAsia="es-CO"/>
              </w:rPr>
              <w:t xml:space="preserve"> obligadas a contar con un Defensor del Consumidor Financiero, en los </w:t>
            </w:r>
            <w:proofErr w:type="spellStart"/>
            <w:r w:rsidRPr="00867D75">
              <w:rPr>
                <w:rFonts w:ascii="Calibri" w:hAnsi="Calibri"/>
                <w:sz w:val="18"/>
                <w:szCs w:val="18"/>
                <w:lang w:val="es-CO" w:eastAsia="es-CO"/>
              </w:rPr>
              <w:t>términos</w:t>
            </w:r>
            <w:proofErr w:type="spellEnd"/>
            <w:r w:rsidRPr="00867D75">
              <w:rPr>
                <w:rFonts w:ascii="Calibri" w:hAnsi="Calibri"/>
                <w:sz w:val="18"/>
                <w:szCs w:val="18"/>
                <w:lang w:val="es-CO" w:eastAsia="es-CO"/>
              </w:rPr>
              <w:t xml:space="preserve"> establecidos en las normas vigentes. </w:t>
            </w:r>
          </w:p>
        </w:tc>
      </w:tr>
      <w:tr w:rsidR="00867D75" w:rsidRPr="00867D75" w14:paraId="3DC79033" w14:textId="77777777" w:rsidTr="00D31EE1">
        <w:trPr>
          <w:trHeight w:val="722"/>
        </w:trPr>
        <w:tc>
          <w:tcPr>
            <w:tcW w:w="1696" w:type="dxa"/>
            <w:tcBorders>
              <w:top w:val="single" w:sz="4" w:space="0" w:color="auto"/>
              <w:left w:val="single" w:sz="4" w:space="0" w:color="auto"/>
              <w:bottom w:val="single" w:sz="4" w:space="0" w:color="auto"/>
              <w:right w:val="single" w:sz="4" w:space="0" w:color="auto"/>
            </w:tcBorders>
            <w:shd w:val="clear" w:color="000000" w:fill="E7E6E6"/>
            <w:hideMark/>
          </w:tcPr>
          <w:p w14:paraId="0405E0D6" w14:textId="77777777" w:rsidR="00867D75" w:rsidRPr="00867D75" w:rsidRDefault="00867D75">
            <w:pPr>
              <w:spacing w:before="0" w:after="0"/>
              <w:jc w:val="left"/>
              <w:rPr>
                <w:rFonts w:ascii="Calibri" w:hAnsi="Calibri"/>
                <w:b/>
                <w:bCs/>
                <w:color w:val="000000"/>
                <w:sz w:val="18"/>
                <w:szCs w:val="18"/>
                <w:lang w:val="es-CO" w:eastAsia="es-CO"/>
              </w:rPr>
            </w:pPr>
            <w:r w:rsidRPr="00867D75">
              <w:rPr>
                <w:rFonts w:ascii="Calibri" w:hAnsi="Calibri"/>
                <w:b/>
                <w:bCs/>
                <w:color w:val="000000"/>
                <w:sz w:val="18"/>
                <w:szCs w:val="18"/>
                <w:lang w:val="es-CO" w:eastAsia="es-CO"/>
              </w:rPr>
              <w:t>Roberto Borrás</w:t>
            </w:r>
            <w:r w:rsidRPr="00867D75">
              <w:rPr>
                <w:rFonts w:ascii="Calibri" w:hAnsi="Calibri"/>
                <w:b/>
                <w:bCs/>
                <w:color w:val="000000"/>
                <w:sz w:val="18"/>
                <w:szCs w:val="18"/>
                <w:lang w:val="es-CO" w:eastAsia="es-CO"/>
              </w:rPr>
              <w:br/>
              <w:t>(Gobierno corporativo)</w:t>
            </w:r>
          </w:p>
        </w:tc>
        <w:tc>
          <w:tcPr>
            <w:tcW w:w="7650" w:type="dxa"/>
            <w:tcBorders>
              <w:top w:val="single" w:sz="4" w:space="0" w:color="auto"/>
              <w:left w:val="nil"/>
              <w:bottom w:val="single" w:sz="4" w:space="0" w:color="auto"/>
              <w:right w:val="single" w:sz="4" w:space="0" w:color="auto"/>
            </w:tcBorders>
            <w:shd w:val="clear" w:color="auto" w:fill="auto"/>
            <w:hideMark/>
          </w:tcPr>
          <w:p w14:paraId="708F1FE5" w14:textId="4C08F20F" w:rsidR="00F12C52" w:rsidRPr="00F12C52" w:rsidRDefault="00867D75">
            <w:pPr>
              <w:spacing w:before="0" w:after="0"/>
              <w:jc w:val="left"/>
              <w:rPr>
                <w:rFonts w:ascii="Calibri" w:hAnsi="Calibri"/>
                <w:sz w:val="18"/>
                <w:szCs w:val="18"/>
                <w:lang w:val="es-CO" w:eastAsia="es-CO"/>
              </w:rPr>
            </w:pPr>
            <w:r w:rsidRPr="00867D75">
              <w:rPr>
                <w:rFonts w:ascii="Calibri" w:hAnsi="Calibri"/>
                <w:sz w:val="18"/>
                <w:szCs w:val="18"/>
                <w:lang w:val="es-CO" w:eastAsia="es-CO"/>
              </w:rPr>
              <w:t>Pág. 35</w:t>
            </w:r>
            <w:r w:rsidRPr="00867D75">
              <w:rPr>
                <w:rFonts w:ascii="Calibri" w:hAnsi="Calibri"/>
                <w:sz w:val="18"/>
                <w:szCs w:val="18"/>
                <w:lang w:val="es-CO" w:eastAsia="es-CO"/>
              </w:rPr>
              <w:br/>
              <w:t xml:space="preserve">"a partir del desarrollo del Mecanismo, los Promotores han identificado tres eventos en los que se pueden generar controversias, estos son: (i) Miembro vs </w:t>
            </w:r>
            <w:proofErr w:type="spellStart"/>
            <w:r w:rsidRPr="00867D75">
              <w:rPr>
                <w:rFonts w:ascii="Calibri" w:hAnsi="Calibri"/>
                <w:sz w:val="18"/>
                <w:szCs w:val="18"/>
                <w:lang w:val="es-CO" w:eastAsia="es-CO"/>
              </w:rPr>
              <w:t>Derivex</w:t>
            </w:r>
            <w:proofErr w:type="spellEnd"/>
            <w:r w:rsidRPr="00867D75">
              <w:rPr>
                <w:rFonts w:ascii="Calibri" w:hAnsi="Calibri"/>
                <w:sz w:val="18"/>
                <w:szCs w:val="18"/>
                <w:lang w:val="es-CO" w:eastAsia="es-CO"/>
              </w:rPr>
              <w:t>; (</w:t>
            </w:r>
            <w:proofErr w:type="spellStart"/>
            <w:r w:rsidRPr="00867D75">
              <w:rPr>
                <w:rFonts w:ascii="Calibri" w:hAnsi="Calibri"/>
                <w:sz w:val="18"/>
                <w:szCs w:val="18"/>
                <w:lang w:val="es-CO" w:eastAsia="es-CO"/>
              </w:rPr>
              <w:t>ii</w:t>
            </w:r>
            <w:proofErr w:type="spellEnd"/>
            <w:r w:rsidRPr="00867D75">
              <w:rPr>
                <w:rFonts w:ascii="Calibri" w:hAnsi="Calibri"/>
                <w:sz w:val="18"/>
                <w:szCs w:val="18"/>
                <w:lang w:val="es-CO" w:eastAsia="es-CO"/>
              </w:rPr>
              <w:t>) Miembro vs CRCC; y (</w:t>
            </w:r>
            <w:proofErr w:type="spellStart"/>
            <w:r w:rsidRPr="00867D75">
              <w:rPr>
                <w:rFonts w:ascii="Calibri" w:hAnsi="Calibri"/>
                <w:sz w:val="18"/>
                <w:szCs w:val="18"/>
                <w:lang w:val="es-CO" w:eastAsia="es-CO"/>
              </w:rPr>
              <w:t>iii</w:t>
            </w:r>
            <w:proofErr w:type="spellEnd"/>
            <w:r w:rsidRPr="00867D75">
              <w:rPr>
                <w:rFonts w:ascii="Calibri" w:hAnsi="Calibri"/>
                <w:sz w:val="18"/>
                <w:szCs w:val="18"/>
                <w:lang w:val="es-CO" w:eastAsia="es-CO"/>
              </w:rPr>
              <w:t xml:space="preserve">) Miembro vs </w:t>
            </w:r>
            <w:proofErr w:type="gramStart"/>
            <w:r w:rsidRPr="00867D75">
              <w:rPr>
                <w:rFonts w:ascii="Calibri" w:hAnsi="Calibri"/>
                <w:sz w:val="18"/>
                <w:szCs w:val="18"/>
                <w:lang w:val="es-CO" w:eastAsia="es-CO"/>
              </w:rPr>
              <w:t>Cliente ,</w:t>
            </w:r>
            <w:proofErr w:type="gramEnd"/>
            <w:r w:rsidRPr="00867D75">
              <w:rPr>
                <w:rFonts w:ascii="Calibri" w:hAnsi="Calibri"/>
                <w:sz w:val="18"/>
                <w:szCs w:val="18"/>
                <w:lang w:val="es-CO" w:eastAsia="es-CO"/>
              </w:rPr>
              <w:t xml:space="preserve"> los cuales serían administrados y resueltos como se detalla a continuación:"</w:t>
            </w:r>
            <w:r w:rsidRPr="00867D75">
              <w:rPr>
                <w:rFonts w:ascii="Calibri" w:hAnsi="Calibri"/>
                <w:sz w:val="18"/>
                <w:szCs w:val="18"/>
                <w:lang w:val="es-CO" w:eastAsia="es-CO"/>
              </w:rPr>
              <w:br/>
            </w:r>
            <w:r w:rsidRPr="00867D75">
              <w:rPr>
                <w:rFonts w:ascii="Calibri" w:hAnsi="Calibri"/>
                <w:sz w:val="18"/>
                <w:szCs w:val="18"/>
                <w:lang w:val="es-CO" w:eastAsia="es-CO"/>
              </w:rPr>
              <w:br/>
            </w:r>
            <w:proofErr w:type="spellStart"/>
            <w:r w:rsidRPr="00867D75">
              <w:rPr>
                <w:rFonts w:ascii="Calibri" w:hAnsi="Calibri"/>
                <w:sz w:val="18"/>
                <w:szCs w:val="18"/>
                <w:lang w:val="es-CO" w:eastAsia="es-CO"/>
              </w:rPr>
              <w:t>Miebro</w:t>
            </w:r>
            <w:proofErr w:type="spellEnd"/>
            <w:r w:rsidRPr="00867D75">
              <w:rPr>
                <w:rFonts w:ascii="Calibri" w:hAnsi="Calibri"/>
                <w:sz w:val="18"/>
                <w:szCs w:val="18"/>
                <w:lang w:val="es-CO" w:eastAsia="es-CO"/>
              </w:rPr>
              <w:t xml:space="preserve"> vs </w:t>
            </w:r>
            <w:proofErr w:type="spellStart"/>
            <w:r w:rsidRPr="00867D75">
              <w:rPr>
                <w:rFonts w:ascii="Calibri" w:hAnsi="Calibri"/>
                <w:sz w:val="18"/>
                <w:szCs w:val="18"/>
                <w:lang w:val="es-CO" w:eastAsia="es-CO"/>
              </w:rPr>
              <w:t>Derivex</w:t>
            </w:r>
            <w:proofErr w:type="spellEnd"/>
            <w:r w:rsidRPr="00867D75">
              <w:rPr>
                <w:rFonts w:ascii="Calibri" w:hAnsi="Calibri"/>
                <w:sz w:val="18"/>
                <w:szCs w:val="18"/>
                <w:lang w:val="es-CO" w:eastAsia="es-CO"/>
              </w:rPr>
              <w:br/>
              <w:t xml:space="preserve">"A juicio de Consultor, el mecanismo propuesto no contraviene ninguno de los principios previstos en el Anexo 1 de la Resolución 114." </w:t>
            </w:r>
            <w:r w:rsidRPr="00867D75">
              <w:rPr>
                <w:rFonts w:ascii="Calibri" w:hAnsi="Calibri"/>
                <w:sz w:val="18"/>
                <w:szCs w:val="18"/>
                <w:lang w:val="es-CO" w:eastAsia="es-CO"/>
              </w:rPr>
              <w:br/>
            </w:r>
            <w:r w:rsidRPr="00867D75">
              <w:rPr>
                <w:rFonts w:ascii="Calibri" w:hAnsi="Calibri"/>
                <w:sz w:val="18"/>
                <w:szCs w:val="18"/>
                <w:lang w:val="es-CO" w:eastAsia="es-CO"/>
              </w:rPr>
              <w:br/>
            </w:r>
            <w:proofErr w:type="spellStart"/>
            <w:r w:rsidRPr="00867D75">
              <w:rPr>
                <w:rFonts w:ascii="Calibri" w:hAnsi="Calibri"/>
                <w:sz w:val="18"/>
                <w:szCs w:val="18"/>
                <w:lang w:val="es-CO" w:eastAsia="es-CO"/>
              </w:rPr>
              <w:lastRenderedPageBreak/>
              <w:t>Pág</w:t>
            </w:r>
            <w:proofErr w:type="spellEnd"/>
            <w:r w:rsidRPr="00867D75">
              <w:rPr>
                <w:rFonts w:ascii="Calibri" w:hAnsi="Calibri"/>
                <w:sz w:val="18"/>
                <w:szCs w:val="18"/>
                <w:lang w:val="es-CO" w:eastAsia="es-CO"/>
              </w:rPr>
              <w:t xml:space="preserve"> 37</w:t>
            </w:r>
            <w:r w:rsidRPr="00867D75">
              <w:rPr>
                <w:rFonts w:ascii="Calibri" w:hAnsi="Calibri"/>
                <w:sz w:val="18"/>
                <w:szCs w:val="18"/>
                <w:lang w:val="es-CO" w:eastAsia="es-CO"/>
              </w:rPr>
              <w:br/>
              <w:t>Miembro Vs. CRCC</w:t>
            </w:r>
            <w:r w:rsidRPr="00867D75">
              <w:rPr>
                <w:rFonts w:ascii="Calibri" w:hAnsi="Calibri"/>
                <w:sz w:val="18"/>
                <w:szCs w:val="18"/>
                <w:lang w:val="es-CO" w:eastAsia="es-CO"/>
              </w:rPr>
              <w:br/>
              <w:t xml:space="preserve">"Por resultar las condiciones y términos del mecanismo de solución de controversias similar al previsto en el Reglamento de </w:t>
            </w:r>
            <w:proofErr w:type="spellStart"/>
            <w:r w:rsidRPr="00867D75">
              <w:rPr>
                <w:rFonts w:ascii="Calibri" w:hAnsi="Calibri"/>
                <w:sz w:val="18"/>
                <w:szCs w:val="18"/>
                <w:lang w:val="es-CO" w:eastAsia="es-CO"/>
              </w:rPr>
              <w:t>Derivex</w:t>
            </w:r>
            <w:proofErr w:type="spellEnd"/>
            <w:r w:rsidRPr="00867D75">
              <w:rPr>
                <w:rFonts w:ascii="Calibri" w:hAnsi="Calibri"/>
                <w:sz w:val="18"/>
                <w:szCs w:val="18"/>
                <w:lang w:val="es-CO" w:eastAsia="es-CO"/>
              </w:rPr>
              <w:t xml:space="preserve">, remitimos a las consideraciones expuestas frente al mismo". </w:t>
            </w:r>
            <w:r w:rsidRPr="00867D75">
              <w:rPr>
                <w:rFonts w:ascii="Calibri" w:hAnsi="Calibri"/>
                <w:sz w:val="18"/>
                <w:szCs w:val="18"/>
                <w:lang w:val="es-CO" w:eastAsia="es-CO"/>
              </w:rPr>
              <w:br/>
            </w:r>
            <w:r w:rsidRPr="00867D75">
              <w:rPr>
                <w:rFonts w:ascii="Calibri" w:hAnsi="Calibri"/>
                <w:sz w:val="18"/>
                <w:szCs w:val="18"/>
                <w:lang w:val="es-CO" w:eastAsia="es-CO"/>
              </w:rPr>
              <w:br/>
            </w:r>
            <w:proofErr w:type="spellStart"/>
            <w:r w:rsidRPr="00867D75">
              <w:rPr>
                <w:rFonts w:ascii="Calibri" w:hAnsi="Calibri"/>
                <w:sz w:val="18"/>
                <w:szCs w:val="18"/>
                <w:lang w:val="es-CO" w:eastAsia="es-CO"/>
              </w:rPr>
              <w:t>Pág</w:t>
            </w:r>
            <w:proofErr w:type="spellEnd"/>
            <w:r w:rsidRPr="00867D75">
              <w:rPr>
                <w:rFonts w:ascii="Calibri" w:hAnsi="Calibri"/>
                <w:sz w:val="18"/>
                <w:szCs w:val="18"/>
                <w:lang w:val="es-CO" w:eastAsia="es-CO"/>
              </w:rPr>
              <w:t xml:space="preserve"> 39</w:t>
            </w:r>
            <w:r w:rsidRPr="00867D75">
              <w:rPr>
                <w:rFonts w:ascii="Calibri" w:hAnsi="Calibri"/>
                <w:sz w:val="18"/>
                <w:szCs w:val="18"/>
                <w:lang w:val="es-CO" w:eastAsia="es-CO"/>
              </w:rPr>
              <w:br/>
            </w:r>
            <w:proofErr w:type="spellStart"/>
            <w:r w:rsidRPr="00867D75">
              <w:rPr>
                <w:rFonts w:ascii="Calibri" w:hAnsi="Calibri"/>
                <w:sz w:val="18"/>
                <w:szCs w:val="18"/>
                <w:lang w:val="es-CO" w:eastAsia="es-CO"/>
              </w:rPr>
              <w:t>Miebro</w:t>
            </w:r>
            <w:proofErr w:type="spellEnd"/>
            <w:r w:rsidRPr="00867D75">
              <w:rPr>
                <w:rFonts w:ascii="Calibri" w:hAnsi="Calibri"/>
                <w:sz w:val="18"/>
                <w:szCs w:val="18"/>
                <w:lang w:val="es-CO" w:eastAsia="es-CO"/>
              </w:rPr>
              <w:t xml:space="preserve"> Vs. Cliente</w:t>
            </w:r>
            <w:r w:rsidRPr="00867D75">
              <w:rPr>
                <w:rFonts w:ascii="Calibri" w:hAnsi="Calibri"/>
                <w:sz w:val="18"/>
                <w:szCs w:val="18"/>
                <w:lang w:val="es-CO" w:eastAsia="es-CO"/>
              </w:rPr>
              <w:br/>
              <w:t xml:space="preserve">"considerando que los participantes del mercado de energía mayorista no pueden intervenir directamente, conviene mencionar que estos al acudir ante las sociedades comisionistas de bolsa, cuentan con mecanismos suficientes para resolver sus eventuales controversias, los cuales garantizan la debida protección de </w:t>
            </w:r>
            <w:proofErr w:type="gramStart"/>
            <w:r w:rsidRPr="00867D75">
              <w:rPr>
                <w:rFonts w:ascii="Calibri" w:hAnsi="Calibri"/>
                <w:sz w:val="18"/>
                <w:szCs w:val="18"/>
                <w:lang w:val="es-CO" w:eastAsia="es-CO"/>
              </w:rPr>
              <w:t>los mismos</w:t>
            </w:r>
            <w:proofErr w:type="gramEnd"/>
            <w:r w:rsidRPr="00867D75">
              <w:rPr>
                <w:rFonts w:ascii="Calibri" w:hAnsi="Calibri"/>
                <w:sz w:val="18"/>
                <w:szCs w:val="18"/>
                <w:lang w:val="es-CO" w:eastAsia="es-CO"/>
              </w:rPr>
              <w:t xml:space="preserve">. </w:t>
            </w:r>
            <w:r w:rsidRPr="00867D75">
              <w:rPr>
                <w:rFonts w:ascii="Calibri" w:hAnsi="Calibri"/>
                <w:sz w:val="18"/>
                <w:szCs w:val="18"/>
                <w:lang w:val="es-CO" w:eastAsia="es-CO"/>
              </w:rPr>
              <w:br/>
            </w:r>
            <w:r w:rsidRPr="00867D75">
              <w:rPr>
                <w:rFonts w:ascii="Calibri" w:hAnsi="Calibri"/>
                <w:sz w:val="18"/>
                <w:szCs w:val="18"/>
                <w:lang w:val="es-CO" w:eastAsia="es-CO"/>
              </w:rPr>
              <w:br/>
              <w:t xml:space="preserve">Es de resaltar la posibilidad que tienen los consumidores financieros de, ante un conflicto, acudir o bien ante la misma comisionista, obligada a implementar un Sistema de Atención al Consumidor Financiero, ante el Defensor del Consumidor, o la misma </w:t>
            </w:r>
            <w:proofErr w:type="spellStart"/>
            <w:r w:rsidRPr="00867D75">
              <w:rPr>
                <w:rFonts w:ascii="Calibri" w:hAnsi="Calibri"/>
                <w:sz w:val="18"/>
                <w:szCs w:val="18"/>
                <w:lang w:val="es-CO" w:eastAsia="es-CO"/>
              </w:rPr>
              <w:t>SFC.""a</w:t>
            </w:r>
            <w:proofErr w:type="spellEnd"/>
            <w:r w:rsidRPr="00867D75">
              <w:rPr>
                <w:rFonts w:ascii="Calibri" w:hAnsi="Calibri"/>
                <w:sz w:val="18"/>
                <w:szCs w:val="18"/>
                <w:lang w:val="es-CO" w:eastAsia="es-CO"/>
              </w:rPr>
              <w:t xml:space="preserve"> juicio del Consultor, garantiza que los participantes del mercado de energía mayorista, en lo que tiene que ver con la relación contractual que surgirá con las sociedades comisionistas, cuenten con los mecanismos suficientes y eficientes para que las eventuales controversias sean resueltas de manera transparente, eficiente fiable, y sin imponer barreras para poder acceder a uno u otro." </w:t>
            </w:r>
            <w:r w:rsidRPr="00867D75">
              <w:rPr>
                <w:rFonts w:ascii="Calibri" w:hAnsi="Calibri"/>
                <w:sz w:val="18"/>
                <w:szCs w:val="18"/>
                <w:lang w:val="es-CO" w:eastAsia="es-CO"/>
              </w:rPr>
              <w:br/>
            </w:r>
            <w:r w:rsidRPr="00867D75">
              <w:rPr>
                <w:rFonts w:ascii="Calibri" w:hAnsi="Calibri"/>
                <w:sz w:val="18"/>
                <w:szCs w:val="18"/>
                <w:lang w:val="es-CO" w:eastAsia="es-CO"/>
              </w:rPr>
              <w:br/>
              <w:t>Pág. 40</w:t>
            </w:r>
            <w:r w:rsidRPr="00867D75">
              <w:rPr>
                <w:rFonts w:ascii="Calibri" w:hAnsi="Calibri"/>
                <w:sz w:val="18"/>
                <w:szCs w:val="18"/>
                <w:lang w:val="es-CO" w:eastAsia="es-CO"/>
              </w:rPr>
              <w:br/>
              <w:t xml:space="preserve">"A manera de conclusión, el Consultor resalta que los mecanismos de solución de controversias con los que cuenta el Mecanismo, tanto para el caso de </w:t>
            </w:r>
            <w:proofErr w:type="spellStart"/>
            <w:r w:rsidRPr="00867D75">
              <w:rPr>
                <w:rFonts w:ascii="Calibri" w:hAnsi="Calibri"/>
                <w:sz w:val="18"/>
                <w:szCs w:val="18"/>
                <w:lang w:val="es-CO" w:eastAsia="es-CO"/>
              </w:rPr>
              <w:t>Derivex</w:t>
            </w:r>
            <w:proofErr w:type="spellEnd"/>
            <w:r w:rsidRPr="00867D75">
              <w:rPr>
                <w:rFonts w:ascii="Calibri" w:hAnsi="Calibri"/>
                <w:sz w:val="18"/>
                <w:szCs w:val="18"/>
                <w:lang w:val="es-CO" w:eastAsia="es-CO"/>
              </w:rPr>
              <w:t xml:space="preserve"> como para la CRCC no incluyen condiciones que permitan inferir que se contravienen los principios de eficiencia, transparencia, neutralidad y fiabilidad."</w:t>
            </w:r>
          </w:p>
        </w:tc>
      </w:tr>
    </w:tbl>
    <w:p w14:paraId="2134380D" w14:textId="40A19363" w:rsidR="00A45D82" w:rsidRDefault="00A45D82">
      <w:pPr>
        <w:spacing w:before="0" w:after="0"/>
        <w:rPr>
          <w:b/>
          <w:szCs w:val="20"/>
          <w:lang w:val="es-CO"/>
        </w:rPr>
      </w:pPr>
    </w:p>
    <w:p w14:paraId="5CE87001" w14:textId="77777777" w:rsidR="00937EA3" w:rsidRDefault="00937EA3">
      <w:pPr>
        <w:spacing w:before="0" w:after="0"/>
        <w:jc w:val="left"/>
        <w:rPr>
          <w:b/>
          <w:szCs w:val="20"/>
          <w:lang w:val="es-CO"/>
        </w:rPr>
      </w:pPr>
      <w:r>
        <w:rPr>
          <w:b/>
          <w:szCs w:val="20"/>
          <w:lang w:val="es-CO"/>
        </w:rPr>
        <w:br w:type="page"/>
      </w:r>
    </w:p>
    <w:p w14:paraId="11A0177B" w14:textId="77252D7C" w:rsidR="00F12C52" w:rsidRDefault="00F548A5">
      <w:pPr>
        <w:spacing w:before="0" w:after="0"/>
        <w:rPr>
          <w:b/>
          <w:szCs w:val="20"/>
          <w:lang w:val="es-CO"/>
        </w:rPr>
      </w:pPr>
      <w:r>
        <w:rPr>
          <w:b/>
          <w:szCs w:val="20"/>
          <w:lang w:val="es-CO"/>
        </w:rPr>
        <w:lastRenderedPageBreak/>
        <w:t>Evaluación Condiciones mínimas del Promotor</w:t>
      </w:r>
    </w:p>
    <w:p w14:paraId="684EE36B" w14:textId="77777777" w:rsidR="00937EA3" w:rsidRDefault="00937EA3">
      <w:pPr>
        <w:spacing w:before="0" w:after="0"/>
        <w:rPr>
          <w:b/>
          <w:szCs w:val="20"/>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7650"/>
      </w:tblGrid>
      <w:tr w:rsidR="00692A2A" w:rsidRPr="00692A2A" w14:paraId="3705B494" w14:textId="77777777" w:rsidTr="00D31EE1">
        <w:trPr>
          <w:trHeight w:val="525"/>
        </w:trPr>
        <w:tc>
          <w:tcPr>
            <w:tcW w:w="1696" w:type="dxa"/>
            <w:shd w:val="clear" w:color="000000" w:fill="EDEDED"/>
            <w:noWrap/>
            <w:vAlign w:val="center"/>
            <w:hideMark/>
          </w:tcPr>
          <w:p w14:paraId="591DEAD2" w14:textId="77777777" w:rsidR="00692A2A" w:rsidRPr="00692A2A" w:rsidRDefault="00692A2A">
            <w:pPr>
              <w:spacing w:before="0" w:after="0"/>
              <w:jc w:val="center"/>
              <w:rPr>
                <w:rFonts w:ascii="Calibri" w:hAnsi="Calibri"/>
                <w:b/>
                <w:bCs/>
                <w:sz w:val="18"/>
                <w:szCs w:val="18"/>
                <w:lang w:val="es-CO" w:eastAsia="es-CO"/>
              </w:rPr>
            </w:pPr>
            <w:r w:rsidRPr="00692A2A">
              <w:rPr>
                <w:rFonts w:ascii="Calibri" w:hAnsi="Calibri"/>
                <w:b/>
                <w:bCs/>
                <w:sz w:val="18"/>
                <w:szCs w:val="18"/>
                <w:lang w:val="es-CO" w:eastAsia="es-CO"/>
              </w:rPr>
              <w:t xml:space="preserve">Parámetro </w:t>
            </w:r>
          </w:p>
        </w:tc>
        <w:tc>
          <w:tcPr>
            <w:tcW w:w="7650" w:type="dxa"/>
            <w:shd w:val="clear" w:color="000000" w:fill="D9E1F2"/>
            <w:vAlign w:val="center"/>
            <w:hideMark/>
          </w:tcPr>
          <w:p w14:paraId="6BC671B9" w14:textId="77777777" w:rsidR="00692A2A" w:rsidRPr="00692A2A" w:rsidRDefault="00692A2A">
            <w:pPr>
              <w:spacing w:before="0" w:after="0"/>
              <w:jc w:val="center"/>
              <w:rPr>
                <w:rFonts w:ascii="Calibri" w:hAnsi="Calibri"/>
                <w:b/>
                <w:bCs/>
                <w:color w:val="000000"/>
                <w:sz w:val="18"/>
                <w:szCs w:val="18"/>
                <w:lang w:val="es-CO" w:eastAsia="es-CO"/>
              </w:rPr>
            </w:pPr>
            <w:r w:rsidRPr="00692A2A">
              <w:rPr>
                <w:rFonts w:ascii="Calibri" w:hAnsi="Calibri"/>
                <w:b/>
                <w:bCs/>
                <w:color w:val="000000"/>
                <w:sz w:val="18"/>
                <w:szCs w:val="18"/>
                <w:lang w:val="es-CO" w:eastAsia="es-CO"/>
              </w:rPr>
              <w:t>Condición mínima de experiencia del Promotor</w:t>
            </w:r>
          </w:p>
        </w:tc>
      </w:tr>
      <w:tr w:rsidR="00692A2A" w:rsidRPr="00692A2A" w14:paraId="3E2AFD49" w14:textId="77777777" w:rsidTr="00D31EE1">
        <w:trPr>
          <w:trHeight w:val="1620"/>
        </w:trPr>
        <w:tc>
          <w:tcPr>
            <w:tcW w:w="1696" w:type="dxa"/>
            <w:shd w:val="clear" w:color="000000" w:fill="EDEDED"/>
            <w:noWrap/>
            <w:hideMark/>
          </w:tcPr>
          <w:p w14:paraId="70ED5AAB" w14:textId="77777777" w:rsidR="00692A2A" w:rsidRPr="00692A2A" w:rsidRDefault="00692A2A">
            <w:pPr>
              <w:spacing w:before="0" w:after="0"/>
              <w:jc w:val="left"/>
              <w:rPr>
                <w:rFonts w:ascii="Calibri" w:hAnsi="Calibri"/>
                <w:b/>
                <w:bCs/>
                <w:color w:val="000000"/>
                <w:sz w:val="18"/>
                <w:szCs w:val="18"/>
                <w:lang w:val="es-CO" w:eastAsia="es-CO"/>
              </w:rPr>
            </w:pPr>
            <w:r w:rsidRPr="00692A2A">
              <w:rPr>
                <w:rFonts w:ascii="Calibri" w:hAnsi="Calibri"/>
                <w:b/>
                <w:bCs/>
                <w:color w:val="000000"/>
                <w:sz w:val="18"/>
                <w:szCs w:val="18"/>
                <w:lang w:val="es-CO" w:eastAsia="es-CO"/>
              </w:rPr>
              <w:t>Descripción</w:t>
            </w:r>
          </w:p>
        </w:tc>
        <w:tc>
          <w:tcPr>
            <w:tcW w:w="7650" w:type="dxa"/>
            <w:shd w:val="clear" w:color="auto" w:fill="auto"/>
            <w:hideMark/>
          </w:tcPr>
          <w:p w14:paraId="5CBC4835" w14:textId="77777777" w:rsidR="00692A2A" w:rsidRPr="00692A2A" w:rsidRDefault="00692A2A">
            <w:pPr>
              <w:spacing w:before="0" w:after="0"/>
              <w:jc w:val="left"/>
              <w:rPr>
                <w:rFonts w:ascii="Calibri" w:hAnsi="Calibri"/>
                <w:color w:val="000000"/>
                <w:sz w:val="18"/>
                <w:szCs w:val="18"/>
                <w:lang w:val="es-CO" w:eastAsia="es-CO"/>
              </w:rPr>
            </w:pPr>
            <w:r w:rsidRPr="00692A2A">
              <w:rPr>
                <w:rFonts w:ascii="Calibri" w:hAnsi="Calibri"/>
                <w:color w:val="000000"/>
                <w:sz w:val="18"/>
                <w:szCs w:val="18"/>
                <w:lang w:val="es-CO" w:eastAsia="es-CO"/>
              </w:rPr>
              <w:t>El Promotor, para cada rol a desempeñar, debe acreditar experiencia en mecanismos de comercialización y capacidad en las obligaciones definidas en el mecanismo de comercialización propuesto.</w:t>
            </w:r>
            <w:r w:rsidRPr="00692A2A">
              <w:rPr>
                <w:rFonts w:ascii="Calibri" w:hAnsi="Calibri"/>
                <w:color w:val="000000"/>
                <w:sz w:val="18"/>
                <w:szCs w:val="18"/>
                <w:lang w:val="es-CO" w:eastAsia="es-CO"/>
              </w:rPr>
              <w:br/>
            </w:r>
            <w:r w:rsidRPr="00692A2A">
              <w:rPr>
                <w:rFonts w:ascii="Calibri" w:hAnsi="Calibri"/>
                <w:color w:val="000000"/>
                <w:sz w:val="18"/>
                <w:szCs w:val="18"/>
                <w:lang w:val="es-CO" w:eastAsia="es-CO"/>
              </w:rPr>
              <w:br/>
              <w:t>Adicionalmente, quienes compongan el Promotor deberán presentar sendas declaraciones en las que señalen que no han sido objeto de fallos o sanciones en firme por conductas calificadas como prácticas contrarias a la libre competencia, fraude, abuso de autoridad o violación de reglas relativas a manejo de información reservada, delitos contra el orden económico y social o contra el sistema financiero.</w:t>
            </w:r>
          </w:p>
        </w:tc>
      </w:tr>
      <w:tr w:rsidR="00692A2A" w:rsidRPr="00692A2A" w14:paraId="584156A5" w14:textId="77777777" w:rsidTr="00D31EE1">
        <w:trPr>
          <w:trHeight w:val="560"/>
        </w:trPr>
        <w:tc>
          <w:tcPr>
            <w:tcW w:w="1696" w:type="dxa"/>
            <w:shd w:val="clear" w:color="000000" w:fill="EDEDED"/>
            <w:noWrap/>
            <w:hideMark/>
          </w:tcPr>
          <w:p w14:paraId="12439FCE" w14:textId="77777777" w:rsidR="00692A2A" w:rsidRPr="00692A2A" w:rsidRDefault="00692A2A">
            <w:pPr>
              <w:spacing w:before="0" w:after="0"/>
              <w:jc w:val="left"/>
              <w:rPr>
                <w:rFonts w:ascii="Calibri" w:hAnsi="Calibri"/>
                <w:b/>
                <w:bCs/>
                <w:color w:val="000000"/>
                <w:sz w:val="18"/>
                <w:szCs w:val="18"/>
                <w:lang w:val="es-CO" w:eastAsia="es-CO"/>
              </w:rPr>
            </w:pPr>
            <w:r w:rsidRPr="00692A2A">
              <w:rPr>
                <w:rFonts w:ascii="Calibri" w:hAnsi="Calibri"/>
                <w:b/>
                <w:bCs/>
                <w:color w:val="000000"/>
                <w:sz w:val="18"/>
                <w:szCs w:val="18"/>
                <w:lang w:val="es-CO" w:eastAsia="es-CO"/>
              </w:rPr>
              <w:t>Resumen de la evaluación</w:t>
            </w:r>
          </w:p>
        </w:tc>
        <w:tc>
          <w:tcPr>
            <w:tcW w:w="7650" w:type="dxa"/>
            <w:shd w:val="clear" w:color="auto" w:fill="auto"/>
            <w:hideMark/>
          </w:tcPr>
          <w:p w14:paraId="475663D9" w14:textId="77777777" w:rsidR="00692A2A" w:rsidRPr="00692A2A" w:rsidRDefault="00692A2A">
            <w:pPr>
              <w:spacing w:before="0" w:after="0"/>
              <w:jc w:val="left"/>
              <w:rPr>
                <w:rFonts w:ascii="Calibri" w:hAnsi="Calibri"/>
                <w:color w:val="000000"/>
                <w:sz w:val="18"/>
                <w:szCs w:val="18"/>
                <w:lang w:val="es-CO" w:eastAsia="es-CO"/>
              </w:rPr>
            </w:pPr>
            <w:proofErr w:type="spellStart"/>
            <w:r w:rsidRPr="00692A2A">
              <w:rPr>
                <w:rFonts w:ascii="Calibri" w:hAnsi="Calibri"/>
                <w:color w:val="000000"/>
                <w:sz w:val="18"/>
                <w:szCs w:val="18"/>
                <w:lang w:val="es-CO" w:eastAsia="es-CO"/>
              </w:rPr>
              <w:t>Derivex</w:t>
            </w:r>
            <w:proofErr w:type="spellEnd"/>
            <w:r w:rsidRPr="00692A2A">
              <w:rPr>
                <w:rFonts w:ascii="Calibri" w:hAnsi="Calibri"/>
                <w:color w:val="000000"/>
                <w:sz w:val="18"/>
                <w:szCs w:val="18"/>
                <w:lang w:val="es-CO" w:eastAsia="es-CO"/>
              </w:rPr>
              <w:t xml:space="preserve"> se ha venido desempeñando como administrador de un sistema de negociaciones desde 2010, cuando fue aprobado su funcionamiento por la SFC. Así mismo la CRCC también ha funcionado como cámara de compensación y liquidación de diferentes mercados desde que obtuvo su permiso de funcionamiento por parte de la SFC en 2008.</w:t>
            </w:r>
          </w:p>
        </w:tc>
      </w:tr>
      <w:tr w:rsidR="00692A2A" w:rsidRPr="00692A2A" w14:paraId="72065A98" w14:textId="77777777" w:rsidTr="00D31EE1">
        <w:trPr>
          <w:trHeight w:val="300"/>
        </w:trPr>
        <w:tc>
          <w:tcPr>
            <w:tcW w:w="1696" w:type="dxa"/>
            <w:shd w:val="clear" w:color="000000" w:fill="EDEDED"/>
            <w:hideMark/>
          </w:tcPr>
          <w:p w14:paraId="5DA5D779" w14:textId="77777777" w:rsidR="00692A2A" w:rsidRPr="00692A2A" w:rsidRDefault="00692A2A">
            <w:pPr>
              <w:spacing w:before="0" w:after="0"/>
              <w:jc w:val="left"/>
              <w:rPr>
                <w:rFonts w:ascii="Calibri" w:hAnsi="Calibri"/>
                <w:b/>
                <w:bCs/>
                <w:color w:val="000000"/>
                <w:sz w:val="18"/>
                <w:szCs w:val="18"/>
                <w:lang w:val="es-CO" w:eastAsia="es-CO"/>
              </w:rPr>
            </w:pPr>
            <w:r w:rsidRPr="00692A2A">
              <w:rPr>
                <w:rFonts w:ascii="Calibri" w:hAnsi="Calibri"/>
                <w:b/>
                <w:bCs/>
                <w:color w:val="000000"/>
                <w:sz w:val="18"/>
                <w:szCs w:val="18"/>
                <w:lang w:val="es-CO" w:eastAsia="es-CO"/>
              </w:rPr>
              <w:t xml:space="preserve">Referencia en la propuesta </w:t>
            </w:r>
          </w:p>
        </w:tc>
        <w:tc>
          <w:tcPr>
            <w:tcW w:w="7650" w:type="dxa"/>
            <w:shd w:val="clear" w:color="auto" w:fill="auto"/>
            <w:hideMark/>
          </w:tcPr>
          <w:p w14:paraId="3E482D80" w14:textId="77777777" w:rsidR="00692A2A" w:rsidRPr="00692A2A" w:rsidRDefault="00692A2A">
            <w:pPr>
              <w:spacing w:before="0" w:after="0"/>
              <w:jc w:val="left"/>
              <w:rPr>
                <w:rFonts w:ascii="Calibri" w:hAnsi="Calibri"/>
                <w:sz w:val="18"/>
                <w:szCs w:val="18"/>
                <w:lang w:val="es-CO" w:eastAsia="es-CO"/>
              </w:rPr>
            </w:pPr>
            <w:r w:rsidRPr="00692A2A">
              <w:rPr>
                <w:rFonts w:ascii="Calibri" w:hAnsi="Calibri"/>
                <w:b/>
                <w:bCs/>
                <w:sz w:val="18"/>
                <w:szCs w:val="18"/>
                <w:lang w:val="es-CO" w:eastAsia="es-CO"/>
              </w:rPr>
              <w:t>1. Capítulo 4 de la propuesta</w:t>
            </w:r>
            <w:r w:rsidRPr="00692A2A">
              <w:rPr>
                <w:rFonts w:ascii="Calibri" w:hAnsi="Calibri"/>
                <w:sz w:val="18"/>
                <w:szCs w:val="18"/>
                <w:lang w:val="es-CO" w:eastAsia="es-CO"/>
              </w:rPr>
              <w:t>. Carta de presentación definición de roles.</w:t>
            </w:r>
          </w:p>
        </w:tc>
      </w:tr>
      <w:tr w:rsidR="00692A2A" w:rsidRPr="00692A2A" w14:paraId="3239E820" w14:textId="77777777" w:rsidTr="00D31EE1">
        <w:trPr>
          <w:trHeight w:val="517"/>
        </w:trPr>
        <w:tc>
          <w:tcPr>
            <w:tcW w:w="1696" w:type="dxa"/>
            <w:shd w:val="clear" w:color="000000" w:fill="EDEDED"/>
            <w:hideMark/>
          </w:tcPr>
          <w:p w14:paraId="78CE63EA" w14:textId="77777777" w:rsidR="00692A2A" w:rsidRPr="00692A2A" w:rsidRDefault="00692A2A">
            <w:pPr>
              <w:spacing w:before="0" w:after="0"/>
              <w:jc w:val="left"/>
              <w:rPr>
                <w:rFonts w:ascii="Calibri" w:hAnsi="Calibri"/>
                <w:b/>
                <w:bCs/>
                <w:color w:val="000000"/>
                <w:sz w:val="18"/>
                <w:szCs w:val="18"/>
                <w:lang w:val="es-CO" w:eastAsia="es-CO"/>
              </w:rPr>
            </w:pPr>
            <w:r w:rsidRPr="00692A2A">
              <w:rPr>
                <w:rFonts w:ascii="Calibri" w:hAnsi="Calibri"/>
                <w:b/>
                <w:bCs/>
                <w:color w:val="000000"/>
                <w:sz w:val="18"/>
                <w:szCs w:val="18"/>
                <w:lang w:val="es-CO" w:eastAsia="es-CO"/>
              </w:rPr>
              <w:t>Juan Pablo Amorocho</w:t>
            </w:r>
            <w:r w:rsidRPr="00692A2A">
              <w:rPr>
                <w:rFonts w:ascii="Calibri" w:hAnsi="Calibri"/>
                <w:b/>
                <w:bCs/>
                <w:color w:val="000000"/>
                <w:sz w:val="18"/>
                <w:szCs w:val="18"/>
                <w:lang w:val="es-CO" w:eastAsia="es-CO"/>
              </w:rPr>
              <w:br/>
              <w:t>(Mercados)</w:t>
            </w:r>
          </w:p>
        </w:tc>
        <w:tc>
          <w:tcPr>
            <w:tcW w:w="7650" w:type="dxa"/>
            <w:shd w:val="clear" w:color="auto" w:fill="auto"/>
            <w:hideMark/>
          </w:tcPr>
          <w:p w14:paraId="20DBFB06" w14:textId="77777777" w:rsidR="00692A2A" w:rsidRPr="00692A2A" w:rsidRDefault="00692A2A">
            <w:pPr>
              <w:spacing w:before="0" w:after="0"/>
              <w:jc w:val="left"/>
              <w:rPr>
                <w:rFonts w:ascii="Calibri" w:hAnsi="Calibri"/>
                <w:color w:val="000000"/>
                <w:sz w:val="18"/>
                <w:szCs w:val="18"/>
                <w:lang w:val="es-CO" w:eastAsia="es-CO"/>
              </w:rPr>
            </w:pPr>
            <w:r w:rsidRPr="00692A2A">
              <w:rPr>
                <w:rFonts w:ascii="Calibri" w:hAnsi="Calibri"/>
                <w:color w:val="000000"/>
                <w:sz w:val="18"/>
                <w:szCs w:val="18"/>
                <w:lang w:val="es-CO" w:eastAsia="es-CO"/>
              </w:rPr>
              <w:t> </w:t>
            </w:r>
          </w:p>
        </w:tc>
      </w:tr>
      <w:tr w:rsidR="00692A2A" w:rsidRPr="00692A2A" w14:paraId="21BCFC1F" w14:textId="77777777" w:rsidTr="00D31EE1">
        <w:trPr>
          <w:trHeight w:val="1920"/>
        </w:trPr>
        <w:tc>
          <w:tcPr>
            <w:tcW w:w="1696" w:type="dxa"/>
            <w:shd w:val="clear" w:color="000000" w:fill="EDEDED"/>
            <w:hideMark/>
          </w:tcPr>
          <w:p w14:paraId="728AF062" w14:textId="77777777" w:rsidR="00692A2A" w:rsidRPr="00692A2A" w:rsidRDefault="00692A2A">
            <w:pPr>
              <w:spacing w:before="0" w:after="0"/>
              <w:jc w:val="left"/>
              <w:rPr>
                <w:rFonts w:ascii="Calibri" w:hAnsi="Calibri"/>
                <w:b/>
                <w:bCs/>
                <w:color w:val="000000"/>
                <w:sz w:val="18"/>
                <w:szCs w:val="18"/>
                <w:lang w:val="es-CO" w:eastAsia="es-CO"/>
              </w:rPr>
            </w:pPr>
            <w:r w:rsidRPr="00692A2A">
              <w:rPr>
                <w:rFonts w:ascii="Calibri" w:hAnsi="Calibri"/>
                <w:b/>
                <w:bCs/>
                <w:color w:val="000000"/>
                <w:sz w:val="18"/>
                <w:szCs w:val="18"/>
                <w:lang w:val="es-CO" w:eastAsia="es-CO"/>
              </w:rPr>
              <w:t>Diego Jara</w:t>
            </w:r>
            <w:r w:rsidRPr="00692A2A">
              <w:rPr>
                <w:rFonts w:ascii="Calibri" w:hAnsi="Calibri"/>
                <w:b/>
                <w:bCs/>
                <w:color w:val="000000"/>
                <w:sz w:val="18"/>
                <w:szCs w:val="18"/>
                <w:lang w:val="es-CO" w:eastAsia="es-CO"/>
              </w:rPr>
              <w:br/>
              <w:t>(Riesgos)</w:t>
            </w:r>
          </w:p>
        </w:tc>
        <w:tc>
          <w:tcPr>
            <w:tcW w:w="7650" w:type="dxa"/>
            <w:shd w:val="clear" w:color="auto" w:fill="auto"/>
            <w:hideMark/>
          </w:tcPr>
          <w:p w14:paraId="5734DADC" w14:textId="77777777" w:rsidR="00692A2A" w:rsidRPr="00692A2A" w:rsidRDefault="00692A2A">
            <w:pPr>
              <w:spacing w:before="0" w:after="0"/>
              <w:jc w:val="left"/>
              <w:rPr>
                <w:rFonts w:ascii="Calibri" w:hAnsi="Calibri"/>
                <w:sz w:val="18"/>
                <w:szCs w:val="18"/>
                <w:lang w:val="es-CO" w:eastAsia="es-CO"/>
              </w:rPr>
            </w:pPr>
            <w:proofErr w:type="spellStart"/>
            <w:r w:rsidRPr="00692A2A">
              <w:rPr>
                <w:rFonts w:ascii="Calibri" w:hAnsi="Calibri"/>
                <w:sz w:val="18"/>
                <w:szCs w:val="18"/>
                <w:lang w:val="es-CO" w:eastAsia="es-CO"/>
              </w:rPr>
              <w:t>Pág</w:t>
            </w:r>
            <w:proofErr w:type="spellEnd"/>
            <w:r w:rsidRPr="00692A2A">
              <w:rPr>
                <w:rFonts w:ascii="Calibri" w:hAnsi="Calibri"/>
                <w:sz w:val="18"/>
                <w:szCs w:val="18"/>
                <w:lang w:val="es-CO" w:eastAsia="es-CO"/>
              </w:rPr>
              <w:t xml:space="preserve"> 8. </w:t>
            </w:r>
            <w:r w:rsidRPr="00692A2A">
              <w:rPr>
                <w:rFonts w:ascii="Calibri" w:hAnsi="Calibri"/>
                <w:sz w:val="18"/>
                <w:szCs w:val="18"/>
                <w:lang w:val="es-CO" w:eastAsia="es-CO"/>
              </w:rPr>
              <w:br/>
              <w:t xml:space="preserve">En términos de los roles en la propuesta en el informe se establece los siguiente: "(...) notar que las dos entidades que presentan la propuesta – </w:t>
            </w:r>
            <w:proofErr w:type="spellStart"/>
            <w:r w:rsidRPr="00692A2A">
              <w:rPr>
                <w:rFonts w:ascii="Calibri" w:hAnsi="Calibri"/>
                <w:sz w:val="18"/>
                <w:szCs w:val="18"/>
                <w:lang w:val="es-CO" w:eastAsia="es-CO"/>
              </w:rPr>
              <w:t>Derivex</w:t>
            </w:r>
            <w:proofErr w:type="spellEnd"/>
            <w:r w:rsidRPr="00692A2A">
              <w:rPr>
                <w:rFonts w:ascii="Calibri" w:hAnsi="Calibri"/>
                <w:sz w:val="18"/>
                <w:szCs w:val="18"/>
                <w:lang w:val="es-CO" w:eastAsia="es-CO"/>
              </w:rPr>
              <w:t xml:space="preserve"> y la CRCC – son vigiladas por la Superintendencia Financiera de Colombia (SFC) y están sujetas a lo dispuesto en el Decreto Único 2555 de 2010, lo cual define requisitos mínimos para su operación."</w:t>
            </w:r>
          </w:p>
        </w:tc>
      </w:tr>
      <w:tr w:rsidR="00692A2A" w:rsidRPr="00692A2A" w14:paraId="171FB1BB" w14:textId="77777777" w:rsidTr="00D31EE1">
        <w:trPr>
          <w:trHeight w:val="2140"/>
        </w:trPr>
        <w:tc>
          <w:tcPr>
            <w:tcW w:w="1696" w:type="dxa"/>
            <w:shd w:val="clear" w:color="000000" w:fill="EDEDED"/>
            <w:hideMark/>
          </w:tcPr>
          <w:p w14:paraId="6A20EEB3" w14:textId="77777777" w:rsidR="00692A2A" w:rsidRPr="00692A2A" w:rsidRDefault="00692A2A">
            <w:pPr>
              <w:spacing w:before="0" w:after="0"/>
              <w:jc w:val="left"/>
              <w:rPr>
                <w:rFonts w:ascii="Calibri" w:hAnsi="Calibri"/>
                <w:b/>
                <w:bCs/>
                <w:color w:val="000000"/>
                <w:sz w:val="18"/>
                <w:szCs w:val="18"/>
                <w:lang w:val="es-CO" w:eastAsia="es-CO"/>
              </w:rPr>
            </w:pPr>
            <w:r w:rsidRPr="00692A2A">
              <w:rPr>
                <w:rFonts w:ascii="Calibri" w:hAnsi="Calibri"/>
                <w:b/>
                <w:bCs/>
                <w:color w:val="000000"/>
                <w:sz w:val="18"/>
                <w:szCs w:val="18"/>
                <w:lang w:val="es-CO" w:eastAsia="es-CO"/>
              </w:rPr>
              <w:t>Roberto Borrás</w:t>
            </w:r>
            <w:r w:rsidRPr="00692A2A">
              <w:rPr>
                <w:rFonts w:ascii="Calibri" w:hAnsi="Calibri"/>
                <w:b/>
                <w:bCs/>
                <w:color w:val="000000"/>
                <w:sz w:val="18"/>
                <w:szCs w:val="18"/>
                <w:lang w:val="es-CO" w:eastAsia="es-CO"/>
              </w:rPr>
              <w:br/>
              <w:t>(Gobierno corporativo)</w:t>
            </w:r>
          </w:p>
        </w:tc>
        <w:tc>
          <w:tcPr>
            <w:tcW w:w="7650" w:type="dxa"/>
            <w:shd w:val="clear" w:color="auto" w:fill="auto"/>
            <w:vAlign w:val="bottom"/>
            <w:hideMark/>
          </w:tcPr>
          <w:p w14:paraId="0C724723" w14:textId="2D813BDE" w:rsidR="00692A2A" w:rsidRPr="00692A2A" w:rsidRDefault="00692A2A">
            <w:pPr>
              <w:spacing w:before="0" w:after="0"/>
              <w:jc w:val="left"/>
              <w:rPr>
                <w:rFonts w:ascii="Calibri" w:hAnsi="Calibri"/>
                <w:color w:val="000000"/>
                <w:sz w:val="18"/>
                <w:szCs w:val="18"/>
                <w:lang w:val="es-CO" w:eastAsia="es-CO"/>
              </w:rPr>
            </w:pPr>
            <w:r w:rsidRPr="00692A2A">
              <w:rPr>
                <w:rFonts w:ascii="Calibri" w:hAnsi="Calibri"/>
                <w:color w:val="000000"/>
                <w:sz w:val="18"/>
                <w:szCs w:val="18"/>
                <w:lang w:val="es-CO" w:eastAsia="es-CO"/>
              </w:rPr>
              <w:t xml:space="preserve">En relación con </w:t>
            </w:r>
            <w:proofErr w:type="spellStart"/>
            <w:r w:rsidRPr="00692A2A">
              <w:rPr>
                <w:rFonts w:ascii="Calibri" w:hAnsi="Calibri"/>
                <w:color w:val="000000"/>
                <w:sz w:val="18"/>
                <w:szCs w:val="18"/>
                <w:lang w:val="es-CO" w:eastAsia="es-CO"/>
              </w:rPr>
              <w:t>Derivex</w:t>
            </w:r>
            <w:proofErr w:type="spellEnd"/>
            <w:r w:rsidRPr="00692A2A">
              <w:rPr>
                <w:rFonts w:ascii="Calibri" w:hAnsi="Calibri"/>
                <w:color w:val="000000"/>
                <w:sz w:val="18"/>
                <w:szCs w:val="18"/>
                <w:lang w:val="es-CO" w:eastAsia="es-CO"/>
              </w:rPr>
              <w:br/>
              <w:t>Pág. 13 y 14</w:t>
            </w:r>
            <w:r w:rsidRPr="00692A2A">
              <w:rPr>
                <w:rFonts w:ascii="Calibri" w:hAnsi="Calibri"/>
                <w:color w:val="000000"/>
                <w:sz w:val="18"/>
                <w:szCs w:val="18"/>
                <w:lang w:val="es-CO" w:eastAsia="es-CO"/>
              </w:rPr>
              <w:br/>
              <w:t xml:space="preserve">"... de la lectura y revisión de los certificados aportados, es posible afirmar que, desde el año 2010, </w:t>
            </w:r>
            <w:proofErr w:type="spellStart"/>
            <w:r w:rsidRPr="00692A2A">
              <w:rPr>
                <w:rFonts w:ascii="Calibri" w:hAnsi="Calibri"/>
                <w:color w:val="000000"/>
                <w:sz w:val="18"/>
                <w:szCs w:val="18"/>
                <w:lang w:val="es-CO" w:eastAsia="es-CO"/>
              </w:rPr>
              <w:t>Derivex</w:t>
            </w:r>
            <w:proofErr w:type="spellEnd"/>
            <w:r w:rsidRPr="00692A2A">
              <w:rPr>
                <w:rFonts w:ascii="Calibri" w:hAnsi="Calibri"/>
                <w:color w:val="000000"/>
                <w:sz w:val="18"/>
                <w:szCs w:val="18"/>
                <w:lang w:val="es-CO" w:eastAsia="es-CO"/>
              </w:rPr>
              <w:t xml:space="preserve"> se encuentra debidamente autorizada para adelantar las actividades de administración de sistemas de negociación de valores y administración de sistema de registro de operaciones sobre valores, esta información ha sido corroborada por parte del Consultor, a partir de la revisión de la información consignada en el Registro Nacional de Valores y Emisores (“RNVE”), para lo cual se aporta la siguiente captura de pantalla.</w:t>
            </w:r>
            <w:r w:rsidRPr="00692A2A">
              <w:rPr>
                <w:rFonts w:ascii="Calibri" w:hAnsi="Calibri"/>
                <w:color w:val="000000"/>
                <w:sz w:val="18"/>
                <w:szCs w:val="18"/>
                <w:lang w:val="es-CO" w:eastAsia="es-CO"/>
              </w:rPr>
              <w:br/>
              <w:t xml:space="preserve">De igual forma, se aprecia en los certificados aportados, que </w:t>
            </w:r>
            <w:proofErr w:type="spellStart"/>
            <w:r w:rsidRPr="00692A2A">
              <w:rPr>
                <w:rFonts w:ascii="Calibri" w:hAnsi="Calibri"/>
                <w:color w:val="000000"/>
                <w:sz w:val="18"/>
                <w:szCs w:val="18"/>
                <w:lang w:val="es-CO" w:eastAsia="es-CO"/>
              </w:rPr>
              <w:t>Derivex</w:t>
            </w:r>
            <w:proofErr w:type="spellEnd"/>
            <w:r w:rsidRPr="00692A2A">
              <w:rPr>
                <w:rFonts w:ascii="Calibri" w:hAnsi="Calibri"/>
                <w:color w:val="000000"/>
                <w:sz w:val="18"/>
                <w:szCs w:val="18"/>
                <w:lang w:val="es-CO" w:eastAsia="es-CO"/>
              </w:rPr>
              <w:t xml:space="preserve"> tendría listados en su sistema de negociación dos tipos de contratos de futuros sobre energía eléctrica, correspondientes al Futuro de Electricidad Mensual y al Futuro mini de Electricidad mensual. Esta información pudo ser corroborada por parte del Consultor a partir de la información pública consignada en el </w:t>
            </w:r>
            <w:proofErr w:type="gramStart"/>
            <w:r w:rsidRPr="00692A2A">
              <w:rPr>
                <w:rFonts w:ascii="Calibri" w:hAnsi="Calibri"/>
                <w:color w:val="000000"/>
                <w:sz w:val="18"/>
                <w:szCs w:val="18"/>
                <w:lang w:val="es-CO" w:eastAsia="es-CO"/>
              </w:rPr>
              <w:t>RNVE..</w:t>
            </w:r>
            <w:proofErr w:type="gramEnd"/>
            <w:r w:rsidRPr="00692A2A">
              <w:rPr>
                <w:rFonts w:ascii="Calibri" w:hAnsi="Calibri"/>
                <w:color w:val="000000"/>
                <w:sz w:val="18"/>
                <w:szCs w:val="18"/>
                <w:lang w:val="es-CO" w:eastAsia="es-CO"/>
              </w:rPr>
              <w:t>"</w:t>
            </w:r>
            <w:r w:rsidRPr="00692A2A">
              <w:rPr>
                <w:rFonts w:ascii="Calibri" w:hAnsi="Calibri"/>
                <w:color w:val="000000"/>
                <w:sz w:val="18"/>
                <w:szCs w:val="18"/>
                <w:lang w:val="es-CO" w:eastAsia="es-CO"/>
              </w:rPr>
              <w:br/>
            </w:r>
            <w:r w:rsidRPr="00692A2A">
              <w:rPr>
                <w:rFonts w:ascii="Calibri" w:hAnsi="Calibri"/>
                <w:color w:val="000000"/>
                <w:sz w:val="18"/>
                <w:szCs w:val="18"/>
                <w:lang w:val="es-CO" w:eastAsia="es-CO"/>
              </w:rPr>
              <w:br/>
              <w:t>Pág. 15</w:t>
            </w:r>
            <w:r w:rsidRPr="00692A2A">
              <w:rPr>
                <w:rFonts w:ascii="Calibri" w:hAnsi="Calibri"/>
                <w:color w:val="000000"/>
                <w:sz w:val="18"/>
                <w:szCs w:val="18"/>
                <w:lang w:val="es-CO" w:eastAsia="es-CO"/>
              </w:rPr>
              <w:br/>
              <w:t xml:space="preserve">"El Consultor pudo acceder a las bases de datos públicas correspondientes de la SFC y la Superintendencia de Industria y Comercio, y pudo evidenciar que, con corte al 29 de noviembre de 2019, </w:t>
            </w:r>
            <w:proofErr w:type="spellStart"/>
            <w:r w:rsidRPr="00692A2A">
              <w:rPr>
                <w:rFonts w:ascii="Calibri" w:hAnsi="Calibri"/>
                <w:color w:val="000000"/>
                <w:sz w:val="18"/>
                <w:szCs w:val="18"/>
                <w:lang w:val="es-CO" w:eastAsia="es-CO"/>
              </w:rPr>
              <w:t>Derivex</w:t>
            </w:r>
            <w:proofErr w:type="spellEnd"/>
            <w:r w:rsidRPr="00692A2A">
              <w:rPr>
                <w:rFonts w:ascii="Calibri" w:hAnsi="Calibri"/>
                <w:color w:val="000000"/>
                <w:sz w:val="18"/>
                <w:szCs w:val="18"/>
                <w:lang w:val="es-CO" w:eastAsia="es-CO"/>
              </w:rPr>
              <w:t xml:space="preserve"> no registra sanciones en firme impuestas por parte de estas autoridades en materia de competencia y financiera. Se destaca que el Consultor no ha realizado búsquedas adicionales a las enunciadas.</w:t>
            </w:r>
            <w:r w:rsidRPr="00692A2A">
              <w:rPr>
                <w:rFonts w:ascii="Calibri" w:hAnsi="Calibri"/>
                <w:color w:val="000000"/>
                <w:sz w:val="18"/>
                <w:szCs w:val="18"/>
                <w:lang w:val="es-CO" w:eastAsia="es-CO"/>
              </w:rPr>
              <w:br/>
              <w:t>(...)</w:t>
            </w:r>
            <w:r w:rsidRPr="00692A2A">
              <w:rPr>
                <w:rFonts w:ascii="Calibri" w:hAnsi="Calibri"/>
                <w:color w:val="000000"/>
                <w:sz w:val="18"/>
                <w:szCs w:val="18"/>
                <w:lang w:val="es-CO" w:eastAsia="es-CO"/>
              </w:rPr>
              <w:br/>
              <w:t xml:space="preserve"> Así las cosas, a juicio del Consultor, </w:t>
            </w:r>
            <w:proofErr w:type="spellStart"/>
            <w:r w:rsidRPr="00692A2A">
              <w:rPr>
                <w:rFonts w:ascii="Calibri" w:hAnsi="Calibri"/>
                <w:color w:val="000000"/>
                <w:sz w:val="18"/>
                <w:szCs w:val="18"/>
                <w:lang w:val="es-CO" w:eastAsia="es-CO"/>
              </w:rPr>
              <w:t>Derivex</w:t>
            </w:r>
            <w:proofErr w:type="spellEnd"/>
            <w:r w:rsidRPr="00692A2A">
              <w:rPr>
                <w:rFonts w:ascii="Calibri" w:hAnsi="Calibri"/>
                <w:color w:val="000000"/>
                <w:sz w:val="18"/>
                <w:szCs w:val="18"/>
                <w:lang w:val="es-CO" w:eastAsia="es-CO"/>
              </w:rPr>
              <w:t xml:space="preserve"> en su condición de Sociedad Administradora de un Sistema de Negociación de Valores, y a partir de la información remitida, ha logrado acreditar la experiencia necesaria para actuar en su condición de Diseñador, Ejecutor y Administrador del Mecanismo, el cual a la fecha se encuentra ya en funcionamiento y sometido a la supervisión de la SFC.</w:t>
            </w:r>
            <w:r w:rsidRPr="00692A2A">
              <w:rPr>
                <w:rFonts w:ascii="Calibri" w:hAnsi="Calibri"/>
                <w:color w:val="000000"/>
                <w:sz w:val="18"/>
                <w:szCs w:val="18"/>
                <w:lang w:val="es-CO" w:eastAsia="es-CO"/>
              </w:rPr>
              <w:br/>
            </w:r>
            <w:r w:rsidRPr="00692A2A">
              <w:rPr>
                <w:rFonts w:ascii="Calibri" w:hAnsi="Calibri"/>
                <w:color w:val="000000"/>
                <w:sz w:val="18"/>
                <w:szCs w:val="18"/>
                <w:lang w:val="es-CO" w:eastAsia="es-CO"/>
              </w:rPr>
              <w:br/>
              <w:t>En relación con la CRCC</w:t>
            </w:r>
            <w:r w:rsidRPr="00692A2A">
              <w:rPr>
                <w:rFonts w:ascii="Calibri" w:hAnsi="Calibri"/>
                <w:color w:val="000000"/>
                <w:sz w:val="18"/>
                <w:szCs w:val="18"/>
                <w:lang w:val="es-CO" w:eastAsia="es-CO"/>
              </w:rPr>
              <w:br/>
              <w:t>Página 16.</w:t>
            </w:r>
            <w:r w:rsidRPr="00692A2A">
              <w:rPr>
                <w:rFonts w:ascii="Calibri" w:hAnsi="Calibri"/>
                <w:color w:val="000000"/>
                <w:sz w:val="18"/>
                <w:szCs w:val="18"/>
                <w:lang w:val="es-CO" w:eastAsia="es-CO"/>
              </w:rPr>
              <w:br/>
              <w:t xml:space="preserve">"destacamos que mediante Resolución 923 de 2008, expedida por la SFC se le autorizó a la CRCC a prestar los servicios de compensación y liquidación actuando como contraparte central de operaciones. Esta información ha sido corroborada con corte al 29 de noviembre de 2019 por el </w:t>
            </w:r>
            <w:r w:rsidRPr="00692A2A">
              <w:rPr>
                <w:rFonts w:ascii="Calibri" w:hAnsi="Calibri"/>
                <w:color w:val="000000"/>
                <w:sz w:val="18"/>
                <w:szCs w:val="18"/>
                <w:lang w:val="es-CO" w:eastAsia="es-CO"/>
              </w:rPr>
              <w:lastRenderedPageBreak/>
              <w:t>Consultor a partir de la información pública del RNVE..."</w:t>
            </w:r>
            <w:r w:rsidRPr="00692A2A">
              <w:rPr>
                <w:rFonts w:ascii="Calibri" w:hAnsi="Calibri"/>
                <w:color w:val="000000"/>
                <w:sz w:val="18"/>
                <w:szCs w:val="18"/>
                <w:lang w:val="es-CO" w:eastAsia="es-CO"/>
              </w:rPr>
              <w:br/>
            </w:r>
            <w:r w:rsidRPr="00692A2A">
              <w:rPr>
                <w:rFonts w:ascii="Calibri" w:hAnsi="Calibri"/>
                <w:color w:val="000000"/>
                <w:sz w:val="18"/>
                <w:szCs w:val="18"/>
                <w:lang w:val="es-CO" w:eastAsia="es-CO"/>
              </w:rPr>
              <w:br/>
              <w:t>Página 18</w:t>
            </w:r>
            <w:r w:rsidRPr="00692A2A">
              <w:rPr>
                <w:rFonts w:ascii="Calibri" w:hAnsi="Calibri"/>
                <w:color w:val="000000"/>
                <w:sz w:val="18"/>
                <w:szCs w:val="18"/>
                <w:lang w:val="es-CO" w:eastAsia="es-CO"/>
              </w:rPr>
              <w:br/>
              <w:t>"El Consultor pudo acceder a las bases de datos públicas correspondientes de la SFC y la Superintendencia de Industria y Comercio, y pudo evidenciar que, con corte al 29 de noviembre de 2019, la CRCC no registra sanciones en firme impuestas por parte de estas autoridades en materia de competencia y financiera. Se destaca que el Consultor no ha realizado búsquedas adicionales a las enunciadas...</w:t>
            </w:r>
            <w:r w:rsidRPr="00692A2A">
              <w:rPr>
                <w:rFonts w:ascii="Calibri" w:hAnsi="Calibri"/>
                <w:color w:val="000000"/>
                <w:sz w:val="18"/>
                <w:szCs w:val="18"/>
                <w:lang w:val="es-CO" w:eastAsia="es-CO"/>
              </w:rPr>
              <w:br/>
              <w:t>Así las cosas, a partir de la información compartida por los Promotores es posible concluir que, desde junio de 2008, fecha en la cual la CRCC obtuvo el correspondiente permiso de funcionamiento de la SFC, esta sociedad ha venido prestando el servicio de compensación y liquidación de operaciones actuando como contraparte central de las mismas, con el propósito de reducir o eliminar los riesgos de incumplimiento de las obligaciones que de ellas se derivan".</w:t>
            </w:r>
            <w:r w:rsidRPr="00692A2A">
              <w:rPr>
                <w:rFonts w:ascii="Calibri" w:hAnsi="Calibri"/>
                <w:color w:val="000000"/>
                <w:sz w:val="18"/>
                <w:szCs w:val="18"/>
                <w:lang w:val="es-CO" w:eastAsia="es-CO"/>
              </w:rPr>
              <w:br/>
            </w:r>
            <w:r w:rsidRPr="00692A2A">
              <w:rPr>
                <w:rFonts w:ascii="Calibri" w:hAnsi="Calibri"/>
                <w:color w:val="000000"/>
                <w:sz w:val="18"/>
                <w:szCs w:val="18"/>
                <w:lang w:val="es-CO" w:eastAsia="es-CO"/>
              </w:rPr>
              <w:br/>
            </w:r>
            <w:proofErr w:type="spellStart"/>
            <w:r w:rsidRPr="00692A2A">
              <w:rPr>
                <w:rFonts w:ascii="Calibri" w:hAnsi="Calibri"/>
                <w:color w:val="000000"/>
                <w:sz w:val="18"/>
                <w:szCs w:val="18"/>
                <w:lang w:val="es-CO" w:eastAsia="es-CO"/>
              </w:rPr>
              <w:t>Pág</w:t>
            </w:r>
            <w:proofErr w:type="spellEnd"/>
            <w:r w:rsidRPr="00692A2A">
              <w:rPr>
                <w:rFonts w:ascii="Calibri" w:hAnsi="Calibri"/>
                <w:color w:val="000000"/>
                <w:sz w:val="18"/>
                <w:szCs w:val="18"/>
                <w:lang w:val="es-CO" w:eastAsia="es-CO"/>
              </w:rPr>
              <w:t xml:space="preserve"> 19.</w:t>
            </w:r>
            <w:r w:rsidRPr="00692A2A">
              <w:rPr>
                <w:rFonts w:ascii="Calibri" w:hAnsi="Calibri"/>
                <w:color w:val="000000"/>
                <w:sz w:val="18"/>
                <w:szCs w:val="18"/>
                <w:lang w:val="es-CO" w:eastAsia="es-CO"/>
              </w:rPr>
              <w:br/>
              <w:t xml:space="preserve">"frente a la gestión de riesgos que se generan como resultado de la aplicación del Mecanismo, se destaca el modelo de riesgos que ha implementado la CRCC basado en una red de seguridad que garantiza el cumplimiento de obligaciones derivadas de las operaciones aceptadas. Conviene mencionar que, en los términos previstos en el artículo 2.13.1.1.9 del Decreto 2555 de 2010, la SFC al momento de haber aprobado el reglamento de la CRCC realizó el proceso de estudio y verificación que las garantías, incluidos los márgenes iniciales, llamados al margen, recursos financieros, fondos de garantía y, en general, las salvaguardas financieras que deberán constituir las contrapartes para asegurar el cumplimiento de las operaciones, resultarán suficientes para poder considerar como nulo el riesgo de crédito de contraparte en las operaciones aceptadas por dicha Cámara." </w:t>
            </w:r>
          </w:p>
        </w:tc>
      </w:tr>
    </w:tbl>
    <w:p w14:paraId="2A8604F2" w14:textId="31038C54" w:rsidR="00F548A5" w:rsidRDefault="00F548A5">
      <w:pPr>
        <w:spacing w:before="0" w:after="0"/>
        <w:rPr>
          <w:b/>
          <w:szCs w:val="20"/>
          <w:lang w:val="es-CO"/>
        </w:rPr>
      </w:pPr>
    </w:p>
    <w:tbl>
      <w:tblPr>
        <w:tblW w:w="0" w:type="auto"/>
        <w:tblLayout w:type="fixed"/>
        <w:tblCellMar>
          <w:left w:w="70" w:type="dxa"/>
          <w:right w:w="70" w:type="dxa"/>
        </w:tblCellMar>
        <w:tblLook w:val="04A0" w:firstRow="1" w:lastRow="0" w:firstColumn="1" w:lastColumn="0" w:noHBand="0" w:noVBand="1"/>
      </w:tblPr>
      <w:tblGrid>
        <w:gridCol w:w="1696"/>
        <w:gridCol w:w="7650"/>
      </w:tblGrid>
      <w:tr w:rsidR="007158C5" w:rsidRPr="007158C5" w14:paraId="62972AFD" w14:textId="77777777" w:rsidTr="00D31EE1">
        <w:trPr>
          <w:trHeight w:val="450"/>
        </w:trPr>
        <w:tc>
          <w:tcPr>
            <w:tcW w:w="169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49E9E19B" w14:textId="77777777" w:rsidR="007158C5" w:rsidRPr="007158C5" w:rsidRDefault="007158C5">
            <w:pPr>
              <w:spacing w:before="0" w:after="0"/>
              <w:jc w:val="center"/>
              <w:rPr>
                <w:rFonts w:ascii="Calibri" w:hAnsi="Calibri"/>
                <w:b/>
                <w:bCs/>
                <w:sz w:val="18"/>
                <w:szCs w:val="18"/>
                <w:lang w:val="es-CO" w:eastAsia="es-CO"/>
              </w:rPr>
            </w:pPr>
            <w:r w:rsidRPr="007158C5">
              <w:rPr>
                <w:rFonts w:ascii="Calibri" w:hAnsi="Calibri"/>
                <w:b/>
                <w:bCs/>
                <w:sz w:val="18"/>
                <w:szCs w:val="18"/>
                <w:lang w:val="es-CO" w:eastAsia="es-CO"/>
              </w:rPr>
              <w:t>Parámetro</w:t>
            </w:r>
          </w:p>
        </w:tc>
        <w:tc>
          <w:tcPr>
            <w:tcW w:w="7650" w:type="dxa"/>
            <w:tcBorders>
              <w:top w:val="single" w:sz="4" w:space="0" w:color="auto"/>
              <w:left w:val="nil"/>
              <w:bottom w:val="single" w:sz="4" w:space="0" w:color="auto"/>
              <w:right w:val="single" w:sz="4" w:space="0" w:color="auto"/>
            </w:tcBorders>
            <w:shd w:val="clear" w:color="auto" w:fill="D9E1F2"/>
            <w:vAlign w:val="center"/>
            <w:hideMark/>
          </w:tcPr>
          <w:p w14:paraId="2C80C1CA" w14:textId="77777777" w:rsidR="007158C5" w:rsidRPr="007158C5" w:rsidRDefault="007158C5">
            <w:pPr>
              <w:spacing w:before="0" w:after="0"/>
              <w:jc w:val="center"/>
              <w:rPr>
                <w:rFonts w:ascii="Calibri" w:hAnsi="Calibri"/>
                <w:b/>
                <w:bCs/>
                <w:sz w:val="18"/>
                <w:szCs w:val="18"/>
                <w:lang w:val="es-CO" w:eastAsia="es-CO"/>
              </w:rPr>
            </w:pPr>
            <w:r w:rsidRPr="007158C5">
              <w:rPr>
                <w:rFonts w:ascii="Calibri" w:hAnsi="Calibri"/>
                <w:b/>
                <w:bCs/>
                <w:sz w:val="18"/>
                <w:szCs w:val="18"/>
                <w:lang w:val="es-CO" w:eastAsia="es-CO"/>
              </w:rPr>
              <w:t xml:space="preserve">Condición mínima de Independencia del Promotor </w:t>
            </w:r>
          </w:p>
        </w:tc>
      </w:tr>
      <w:tr w:rsidR="007158C5" w:rsidRPr="007158C5" w14:paraId="4298E214" w14:textId="77777777" w:rsidTr="00D31EE1">
        <w:trPr>
          <w:trHeight w:val="580"/>
        </w:trPr>
        <w:tc>
          <w:tcPr>
            <w:tcW w:w="1696" w:type="dxa"/>
            <w:tcBorders>
              <w:top w:val="nil"/>
              <w:left w:val="single" w:sz="4" w:space="0" w:color="auto"/>
              <w:bottom w:val="single" w:sz="4" w:space="0" w:color="auto"/>
              <w:right w:val="single" w:sz="4" w:space="0" w:color="auto"/>
            </w:tcBorders>
            <w:shd w:val="clear" w:color="auto" w:fill="E7E6E6"/>
            <w:noWrap/>
            <w:hideMark/>
          </w:tcPr>
          <w:p w14:paraId="5C59061F" w14:textId="77777777" w:rsidR="007158C5" w:rsidRPr="007158C5" w:rsidRDefault="007158C5">
            <w:pPr>
              <w:spacing w:before="0" w:after="0"/>
              <w:jc w:val="left"/>
              <w:rPr>
                <w:rFonts w:ascii="Calibri" w:hAnsi="Calibri"/>
                <w:b/>
                <w:bCs/>
                <w:sz w:val="18"/>
                <w:szCs w:val="18"/>
                <w:lang w:val="es-CO" w:eastAsia="es-CO"/>
              </w:rPr>
            </w:pPr>
            <w:r w:rsidRPr="007158C5">
              <w:rPr>
                <w:rFonts w:ascii="Calibri" w:hAnsi="Calibri"/>
                <w:b/>
                <w:bCs/>
                <w:sz w:val="18"/>
                <w:szCs w:val="18"/>
                <w:lang w:val="es-CO" w:eastAsia="es-CO"/>
              </w:rPr>
              <w:t>Descripción</w:t>
            </w:r>
          </w:p>
        </w:tc>
        <w:tc>
          <w:tcPr>
            <w:tcW w:w="7650" w:type="dxa"/>
            <w:tcBorders>
              <w:top w:val="nil"/>
              <w:left w:val="nil"/>
              <w:bottom w:val="single" w:sz="4" w:space="0" w:color="auto"/>
              <w:right w:val="single" w:sz="4" w:space="0" w:color="auto"/>
            </w:tcBorders>
            <w:shd w:val="clear" w:color="auto" w:fill="auto"/>
            <w:hideMark/>
          </w:tcPr>
          <w:p w14:paraId="5E4CC7C6" w14:textId="77777777" w:rsidR="007158C5" w:rsidRPr="007158C5" w:rsidRDefault="007158C5">
            <w:pPr>
              <w:spacing w:before="0" w:after="0"/>
              <w:jc w:val="left"/>
              <w:rPr>
                <w:rFonts w:ascii="Calibri" w:hAnsi="Calibri"/>
                <w:sz w:val="18"/>
                <w:szCs w:val="18"/>
                <w:lang w:val="es-CO" w:eastAsia="es-CO"/>
              </w:rPr>
            </w:pPr>
            <w:r w:rsidRPr="007158C5">
              <w:rPr>
                <w:rFonts w:ascii="Calibri" w:hAnsi="Calibri"/>
                <w:sz w:val="18"/>
                <w:szCs w:val="18"/>
                <w:lang w:val="es-CO" w:eastAsia="es-CO"/>
              </w:rPr>
              <w:t>Declaraciones de situaciones de control y conflictos de interés. Quienes compongan el Promotor, independiente del rol que tengan, deberán presentar respectivas declaraciones escritas, dirigidas a la CREG, en las que identifiquen si se encuentran en situación de control, en los términos definidos en los artículos 261 y 262 del Código de Comercio y el numeral 4 del artículo 45 del Decreto 2153 de 1992, con participantes del mercado de energía eléctrica o conflictos de interés, en cuyo caso se deberá establecer en un documento cómo se administran dichas situaciones de control y conflictos de interés.</w:t>
            </w:r>
            <w:r w:rsidRPr="007158C5">
              <w:rPr>
                <w:rFonts w:ascii="Calibri" w:hAnsi="Calibri"/>
                <w:sz w:val="18"/>
                <w:szCs w:val="18"/>
                <w:lang w:val="es-CO" w:eastAsia="es-CO"/>
              </w:rPr>
              <w:br/>
              <w:t>Restricciones de participación. En todo caso, para los roles de administrador, ejecutor o administrador de riesgo se deben cumplir las siguientes condiciones:</w:t>
            </w:r>
            <w:r w:rsidRPr="007158C5">
              <w:rPr>
                <w:rFonts w:ascii="Calibri" w:hAnsi="Calibri"/>
                <w:sz w:val="18"/>
                <w:szCs w:val="18"/>
                <w:lang w:val="es-CO" w:eastAsia="es-CO"/>
              </w:rPr>
              <w:br/>
              <w:t>a) Ningún participante del mercado de energía mayorista podrá tener una participación directa o indirecta en el capital o en la propiedad del administrador, o del ejecutor o del administrador de riesgo que exceda el 5%.</w:t>
            </w:r>
            <w:r w:rsidRPr="007158C5">
              <w:rPr>
                <w:rFonts w:ascii="Calibri" w:hAnsi="Calibri"/>
                <w:sz w:val="18"/>
                <w:szCs w:val="18"/>
                <w:lang w:val="es-CO" w:eastAsia="es-CO"/>
              </w:rPr>
              <w:br/>
              <w:t>b) El administrador del mecanismo, el ejecutor o el administrador de riesgo no pueden tener participación directa o indirecta en el capital o en la propiedad de alguno de los participantes del mercado de energía mayorista.</w:t>
            </w:r>
          </w:p>
        </w:tc>
      </w:tr>
      <w:tr w:rsidR="007158C5" w:rsidRPr="007158C5" w14:paraId="4E7E9649" w14:textId="77777777" w:rsidTr="00D31EE1">
        <w:trPr>
          <w:trHeight w:val="960"/>
        </w:trPr>
        <w:tc>
          <w:tcPr>
            <w:tcW w:w="1696" w:type="dxa"/>
            <w:tcBorders>
              <w:top w:val="nil"/>
              <w:left w:val="single" w:sz="4" w:space="0" w:color="auto"/>
              <w:bottom w:val="single" w:sz="4" w:space="0" w:color="auto"/>
              <w:right w:val="single" w:sz="4" w:space="0" w:color="auto"/>
            </w:tcBorders>
            <w:shd w:val="clear" w:color="auto" w:fill="E7E6E6"/>
            <w:noWrap/>
            <w:hideMark/>
          </w:tcPr>
          <w:p w14:paraId="7E25E95C" w14:textId="77777777" w:rsidR="007158C5" w:rsidRPr="007158C5" w:rsidRDefault="007158C5">
            <w:pPr>
              <w:spacing w:before="0" w:after="0"/>
              <w:jc w:val="left"/>
              <w:rPr>
                <w:rFonts w:ascii="Calibri" w:hAnsi="Calibri"/>
                <w:b/>
                <w:bCs/>
                <w:sz w:val="18"/>
                <w:szCs w:val="18"/>
                <w:lang w:val="es-CO" w:eastAsia="es-CO"/>
              </w:rPr>
            </w:pPr>
            <w:r w:rsidRPr="007158C5">
              <w:rPr>
                <w:rFonts w:ascii="Calibri" w:hAnsi="Calibri"/>
                <w:b/>
                <w:bCs/>
                <w:sz w:val="18"/>
                <w:szCs w:val="18"/>
                <w:lang w:val="es-CO" w:eastAsia="es-CO"/>
              </w:rPr>
              <w:t>Resumen de la evaluación</w:t>
            </w:r>
          </w:p>
        </w:tc>
        <w:tc>
          <w:tcPr>
            <w:tcW w:w="7650" w:type="dxa"/>
            <w:tcBorders>
              <w:top w:val="nil"/>
              <w:left w:val="nil"/>
              <w:bottom w:val="single" w:sz="4" w:space="0" w:color="auto"/>
              <w:right w:val="single" w:sz="4" w:space="0" w:color="auto"/>
            </w:tcBorders>
            <w:shd w:val="clear" w:color="auto" w:fill="auto"/>
            <w:hideMark/>
          </w:tcPr>
          <w:p w14:paraId="652E912E" w14:textId="79C04689" w:rsidR="007158C5" w:rsidRDefault="007158C5">
            <w:pPr>
              <w:spacing w:before="0" w:after="0"/>
              <w:jc w:val="left"/>
              <w:rPr>
                <w:rFonts w:ascii="Calibri" w:hAnsi="Calibri"/>
                <w:sz w:val="18"/>
                <w:szCs w:val="18"/>
                <w:lang w:val="es-CO" w:eastAsia="es-CO"/>
              </w:rPr>
            </w:pPr>
            <w:r w:rsidRPr="007158C5">
              <w:rPr>
                <w:rFonts w:ascii="Calibri" w:hAnsi="Calibri"/>
                <w:sz w:val="18"/>
                <w:szCs w:val="18"/>
                <w:lang w:val="es-CO" w:eastAsia="es-CO"/>
              </w:rPr>
              <w:t xml:space="preserve">Se presentan las declaraciones de conflictos de interés y en el documento de gobernanza se establecen de forma clara los procedimientos de toma de decisión tanto en </w:t>
            </w:r>
            <w:proofErr w:type="spellStart"/>
            <w:r w:rsidRPr="007158C5">
              <w:rPr>
                <w:rFonts w:ascii="Calibri" w:hAnsi="Calibri"/>
                <w:sz w:val="18"/>
                <w:szCs w:val="18"/>
                <w:lang w:val="es-CO" w:eastAsia="es-CO"/>
              </w:rPr>
              <w:t>Derivex</w:t>
            </w:r>
            <w:proofErr w:type="spellEnd"/>
            <w:r w:rsidRPr="007158C5">
              <w:rPr>
                <w:rFonts w:ascii="Calibri" w:hAnsi="Calibri"/>
                <w:sz w:val="18"/>
                <w:szCs w:val="18"/>
                <w:lang w:val="es-CO" w:eastAsia="es-CO"/>
              </w:rPr>
              <w:t xml:space="preserve"> como en la CRCC. Frente a los participantes del MEM que son accionistas en </w:t>
            </w:r>
            <w:proofErr w:type="spellStart"/>
            <w:r w:rsidRPr="007158C5">
              <w:rPr>
                <w:rFonts w:ascii="Calibri" w:hAnsi="Calibri"/>
                <w:sz w:val="18"/>
                <w:szCs w:val="18"/>
                <w:lang w:val="es-CO" w:eastAsia="es-CO"/>
              </w:rPr>
              <w:t>Derivex</w:t>
            </w:r>
            <w:proofErr w:type="spellEnd"/>
            <w:r w:rsidR="004C531E">
              <w:rPr>
                <w:rFonts w:ascii="Calibri" w:hAnsi="Calibri"/>
                <w:sz w:val="18"/>
                <w:szCs w:val="18"/>
                <w:lang w:val="es-CO" w:eastAsia="es-CO"/>
              </w:rPr>
              <w:t xml:space="preserve"> (</w:t>
            </w:r>
            <w:r w:rsidR="004C531E" w:rsidRPr="007158C5">
              <w:rPr>
                <w:rFonts w:ascii="Calibri" w:hAnsi="Calibri"/>
                <w:sz w:val="18"/>
                <w:szCs w:val="18"/>
                <w:lang w:val="es-CO" w:eastAsia="es-CO"/>
              </w:rPr>
              <w:t>AES Chivor S.A., Emgesa S.A.</w:t>
            </w:r>
            <w:r w:rsidR="004C531E">
              <w:rPr>
                <w:rFonts w:ascii="Calibri" w:hAnsi="Calibri"/>
                <w:sz w:val="18"/>
                <w:szCs w:val="18"/>
                <w:lang w:val="es-CO" w:eastAsia="es-CO"/>
              </w:rPr>
              <w:t>,</w:t>
            </w:r>
            <w:r w:rsidR="004C531E" w:rsidRPr="007158C5">
              <w:rPr>
                <w:rFonts w:ascii="Calibri" w:hAnsi="Calibri"/>
                <w:sz w:val="18"/>
                <w:szCs w:val="18"/>
                <w:lang w:val="es-CO" w:eastAsia="es-CO"/>
              </w:rPr>
              <w:t xml:space="preserve"> EPSA S.A</w:t>
            </w:r>
            <w:r w:rsidR="004C531E">
              <w:rPr>
                <w:rFonts w:ascii="Calibri" w:hAnsi="Calibri"/>
                <w:sz w:val="18"/>
                <w:szCs w:val="18"/>
                <w:lang w:val="es-CO" w:eastAsia="es-CO"/>
              </w:rPr>
              <w:t xml:space="preserve"> y VATIA S.A.)</w:t>
            </w:r>
            <w:r w:rsidRPr="007158C5">
              <w:rPr>
                <w:rFonts w:ascii="Calibri" w:hAnsi="Calibri"/>
                <w:sz w:val="18"/>
                <w:szCs w:val="18"/>
                <w:lang w:val="es-CO" w:eastAsia="es-CO"/>
              </w:rPr>
              <w:t>, la forma en la que está definida su participación no tiene efectos sobre el funcionamiento del mecanismo. En todo caso, al estar descrito en el reglamento, cualquier cambio es objeto de revisión en la SFC.</w:t>
            </w:r>
          </w:p>
          <w:p w14:paraId="7D263248" w14:textId="79C32E3C" w:rsidR="00DD0913" w:rsidRDefault="00DD0913">
            <w:pPr>
              <w:spacing w:before="0" w:after="0"/>
              <w:jc w:val="left"/>
              <w:rPr>
                <w:rFonts w:ascii="Calibri" w:hAnsi="Calibri"/>
                <w:sz w:val="18"/>
                <w:szCs w:val="18"/>
                <w:lang w:val="es-CO" w:eastAsia="es-CO"/>
              </w:rPr>
            </w:pPr>
          </w:p>
          <w:p w14:paraId="63077BE8" w14:textId="4FE0C228" w:rsidR="00F35037" w:rsidRDefault="00DD0913">
            <w:pPr>
              <w:spacing w:before="0" w:after="0"/>
              <w:jc w:val="left"/>
              <w:rPr>
                <w:rFonts w:ascii="Calibri" w:hAnsi="Calibri"/>
                <w:sz w:val="18"/>
                <w:szCs w:val="18"/>
                <w:lang w:val="es-CO" w:eastAsia="es-CO"/>
              </w:rPr>
            </w:pPr>
            <w:r w:rsidRPr="007158C5">
              <w:rPr>
                <w:rFonts w:ascii="Calibri" w:hAnsi="Calibri"/>
                <w:sz w:val="18"/>
                <w:szCs w:val="18"/>
                <w:lang w:val="es-CO" w:eastAsia="es-CO"/>
              </w:rPr>
              <w:t xml:space="preserve">Así mismo, en lo que se refiere a la composición de la Junta Directiva de </w:t>
            </w:r>
            <w:proofErr w:type="spellStart"/>
            <w:r w:rsidRPr="007158C5">
              <w:rPr>
                <w:rFonts w:ascii="Calibri" w:hAnsi="Calibri"/>
                <w:sz w:val="18"/>
                <w:szCs w:val="18"/>
                <w:lang w:val="es-CO" w:eastAsia="es-CO"/>
              </w:rPr>
              <w:t>Derivex</w:t>
            </w:r>
            <w:proofErr w:type="spellEnd"/>
            <w:r w:rsidRPr="007158C5">
              <w:rPr>
                <w:rFonts w:ascii="Calibri" w:hAnsi="Calibri"/>
                <w:sz w:val="18"/>
                <w:szCs w:val="18"/>
                <w:lang w:val="es-CO" w:eastAsia="es-CO"/>
              </w:rPr>
              <w:t>,</w:t>
            </w:r>
            <w:r w:rsidR="00FD5AF8">
              <w:rPr>
                <w:rFonts w:ascii="Calibri" w:hAnsi="Calibri"/>
                <w:sz w:val="18"/>
                <w:szCs w:val="18"/>
                <w:lang w:val="es-CO" w:eastAsia="es-CO"/>
              </w:rPr>
              <w:t xml:space="preserve"> el</w:t>
            </w:r>
            <w:r w:rsidRPr="007158C5">
              <w:rPr>
                <w:rFonts w:ascii="Calibri" w:hAnsi="Calibri"/>
                <w:sz w:val="18"/>
                <w:szCs w:val="18"/>
                <w:lang w:val="es-CO" w:eastAsia="es-CO"/>
              </w:rPr>
              <w:t xml:space="preserve"> </w:t>
            </w:r>
            <w:r w:rsidR="00BD174E">
              <w:rPr>
                <w:rFonts w:ascii="Calibri" w:hAnsi="Calibri"/>
                <w:sz w:val="18"/>
                <w:szCs w:val="18"/>
                <w:lang w:val="es-CO" w:eastAsia="es-CO"/>
              </w:rPr>
              <w:t>A</w:t>
            </w:r>
            <w:r w:rsidRPr="007158C5">
              <w:rPr>
                <w:rFonts w:ascii="Calibri" w:hAnsi="Calibri"/>
                <w:sz w:val="18"/>
                <w:szCs w:val="18"/>
                <w:lang w:val="es-CO" w:eastAsia="es-CO"/>
              </w:rPr>
              <w:t>cuerdo</w:t>
            </w:r>
            <w:r w:rsidR="00BD174E">
              <w:rPr>
                <w:rFonts w:ascii="Calibri" w:hAnsi="Calibri"/>
                <w:sz w:val="18"/>
                <w:szCs w:val="18"/>
                <w:lang w:val="es-CO" w:eastAsia="es-CO"/>
              </w:rPr>
              <w:t xml:space="preserve"> de Accionistas</w:t>
            </w:r>
            <w:r w:rsidR="0087376F">
              <w:rPr>
                <w:rFonts w:ascii="Calibri" w:hAnsi="Calibri"/>
                <w:sz w:val="18"/>
                <w:szCs w:val="18"/>
                <w:lang w:val="es-CO" w:eastAsia="es-CO"/>
              </w:rPr>
              <w:t xml:space="preserve"> suscrito en el mes de marzo de 2021 y</w:t>
            </w:r>
            <w:r w:rsidR="007B0F1E">
              <w:rPr>
                <w:rFonts w:ascii="Calibri" w:hAnsi="Calibri"/>
                <w:sz w:val="18"/>
                <w:szCs w:val="18"/>
                <w:lang w:val="es-CO" w:eastAsia="es-CO"/>
              </w:rPr>
              <w:t xml:space="preserve"> </w:t>
            </w:r>
            <w:r w:rsidR="00A34FC3">
              <w:rPr>
                <w:rFonts w:ascii="Calibri" w:hAnsi="Calibri"/>
                <w:sz w:val="18"/>
                <w:szCs w:val="18"/>
                <w:lang w:val="es-CO" w:eastAsia="es-CO"/>
              </w:rPr>
              <w:t>allegado a esta Comisión el 24 de agosto de 2021</w:t>
            </w:r>
            <w:r w:rsidRPr="007158C5">
              <w:rPr>
                <w:rFonts w:ascii="Calibri" w:hAnsi="Calibri"/>
                <w:sz w:val="18"/>
                <w:szCs w:val="18"/>
                <w:lang w:val="es-CO" w:eastAsia="es-CO"/>
              </w:rPr>
              <w:t xml:space="preserve"> </w:t>
            </w:r>
            <w:r w:rsidR="006E62CA">
              <w:rPr>
                <w:rFonts w:ascii="Calibri" w:hAnsi="Calibri"/>
                <w:sz w:val="18"/>
                <w:szCs w:val="18"/>
                <w:lang w:val="es-CO" w:eastAsia="es-CO"/>
              </w:rPr>
              <w:t>evidencia la ausencia</w:t>
            </w:r>
            <w:r w:rsidRPr="007158C5">
              <w:rPr>
                <w:rFonts w:ascii="Calibri" w:hAnsi="Calibri"/>
                <w:sz w:val="18"/>
                <w:szCs w:val="18"/>
                <w:lang w:val="es-CO" w:eastAsia="es-CO"/>
              </w:rPr>
              <w:t xml:space="preserve"> de control</w:t>
            </w:r>
            <w:r w:rsidR="006E62CA">
              <w:rPr>
                <w:rFonts w:ascii="Calibri" w:hAnsi="Calibri"/>
                <w:sz w:val="18"/>
                <w:szCs w:val="18"/>
                <w:lang w:val="es-CO" w:eastAsia="es-CO"/>
              </w:rPr>
              <w:t xml:space="preserve"> </w:t>
            </w:r>
            <w:r w:rsidR="003744BB">
              <w:rPr>
                <w:rFonts w:ascii="Calibri" w:hAnsi="Calibri"/>
                <w:sz w:val="18"/>
                <w:szCs w:val="18"/>
                <w:lang w:val="es-CO" w:eastAsia="es-CO"/>
              </w:rPr>
              <w:t>de las decisiones que se tomen por parte de este órgano</w:t>
            </w:r>
            <w:r w:rsidR="00142772">
              <w:rPr>
                <w:rFonts w:ascii="Calibri" w:hAnsi="Calibri"/>
                <w:sz w:val="18"/>
                <w:szCs w:val="18"/>
                <w:lang w:val="es-CO" w:eastAsia="es-CO"/>
              </w:rPr>
              <w:t xml:space="preserve"> por cualquiera de los Accionistas que hacen parte del Mercado de Energía Mayorista</w:t>
            </w:r>
            <w:r w:rsidRPr="007158C5">
              <w:rPr>
                <w:rFonts w:ascii="Calibri" w:hAnsi="Calibri"/>
                <w:sz w:val="18"/>
                <w:szCs w:val="18"/>
                <w:lang w:val="es-CO" w:eastAsia="es-CO"/>
              </w:rPr>
              <w:t>.</w:t>
            </w:r>
          </w:p>
          <w:p w14:paraId="3433C6BF" w14:textId="3FD10F2C" w:rsidR="00DD0913" w:rsidRDefault="00DD0913">
            <w:pPr>
              <w:spacing w:before="0" w:after="0"/>
              <w:jc w:val="left"/>
              <w:rPr>
                <w:rFonts w:ascii="Calibri" w:hAnsi="Calibri"/>
                <w:sz w:val="18"/>
                <w:szCs w:val="18"/>
                <w:lang w:val="es-CO" w:eastAsia="es-CO"/>
              </w:rPr>
            </w:pPr>
          </w:p>
          <w:p w14:paraId="4BC09ACD" w14:textId="7C854927" w:rsidR="000D10BA" w:rsidRDefault="00AB4E22">
            <w:pPr>
              <w:spacing w:before="0" w:after="0"/>
              <w:jc w:val="left"/>
              <w:rPr>
                <w:rFonts w:ascii="Calibri" w:hAnsi="Calibri"/>
                <w:sz w:val="18"/>
                <w:szCs w:val="18"/>
                <w:lang w:val="es-CO" w:eastAsia="es-CO"/>
              </w:rPr>
            </w:pPr>
            <w:r>
              <w:rPr>
                <w:rFonts w:ascii="Calibri" w:hAnsi="Calibri"/>
                <w:sz w:val="18"/>
                <w:szCs w:val="18"/>
                <w:lang w:val="es-CO" w:eastAsia="es-CO"/>
              </w:rPr>
              <w:t>Se describe la conformación</w:t>
            </w:r>
            <w:r w:rsidR="00F35037" w:rsidRPr="007158C5">
              <w:rPr>
                <w:rFonts w:ascii="Calibri" w:hAnsi="Calibri"/>
                <w:sz w:val="18"/>
                <w:szCs w:val="18"/>
                <w:lang w:val="es-CO" w:eastAsia="es-CO"/>
              </w:rPr>
              <w:t xml:space="preserve"> de un Comité Asesor de la Junta Directiva de </w:t>
            </w:r>
            <w:proofErr w:type="spellStart"/>
            <w:r w:rsidR="00F35037" w:rsidRPr="007158C5">
              <w:rPr>
                <w:rFonts w:ascii="Calibri" w:hAnsi="Calibri"/>
                <w:sz w:val="18"/>
                <w:szCs w:val="18"/>
                <w:lang w:val="es-CO" w:eastAsia="es-CO"/>
              </w:rPr>
              <w:t>Derivex</w:t>
            </w:r>
            <w:proofErr w:type="spellEnd"/>
            <w:r w:rsidR="00F35037" w:rsidRPr="007158C5">
              <w:rPr>
                <w:rFonts w:ascii="Calibri" w:hAnsi="Calibri"/>
                <w:sz w:val="18"/>
                <w:szCs w:val="18"/>
                <w:lang w:val="es-CO" w:eastAsia="es-CO"/>
              </w:rPr>
              <w:t>, cuya finalidad es la de apoyar a este órgano en: (a) desarrollo del mercado; y (b) la implementación de nuevos productos. Este comité, cuyas decisiones no son vinculantes, se encuentra conformado por 5 miembros, designados así: (a) un miembro por parte de AES Chivor S.A., Emgesa S.A.</w:t>
            </w:r>
            <w:r w:rsidR="00F07165">
              <w:rPr>
                <w:rFonts w:ascii="Calibri" w:hAnsi="Calibri"/>
                <w:sz w:val="18"/>
                <w:szCs w:val="18"/>
                <w:lang w:val="es-CO" w:eastAsia="es-CO"/>
              </w:rPr>
              <w:t>,</w:t>
            </w:r>
            <w:r w:rsidR="00F35037" w:rsidRPr="007158C5">
              <w:rPr>
                <w:rFonts w:ascii="Calibri" w:hAnsi="Calibri"/>
                <w:sz w:val="18"/>
                <w:szCs w:val="18"/>
                <w:lang w:val="es-CO" w:eastAsia="es-CO"/>
              </w:rPr>
              <w:t xml:space="preserve"> EPSA S.A</w:t>
            </w:r>
            <w:r w:rsidR="00F07165">
              <w:rPr>
                <w:rFonts w:ascii="Calibri" w:hAnsi="Calibri"/>
                <w:sz w:val="18"/>
                <w:szCs w:val="18"/>
                <w:lang w:val="es-CO" w:eastAsia="es-CO"/>
              </w:rPr>
              <w:t xml:space="preserve"> y VATIA S.A.</w:t>
            </w:r>
            <w:r w:rsidR="00F35037" w:rsidRPr="007158C5">
              <w:rPr>
                <w:rFonts w:ascii="Calibri" w:hAnsi="Calibri"/>
                <w:sz w:val="18"/>
                <w:szCs w:val="18"/>
                <w:lang w:val="es-CO" w:eastAsia="es-CO"/>
              </w:rPr>
              <w:t>, cada uno; (b) uno por parte de XM Compañía de Expertos en Mercados S.A. E.S.P; y (c) uno por parte de la BVC S.A.</w:t>
            </w:r>
          </w:p>
          <w:p w14:paraId="0F76754C" w14:textId="2D8956D6" w:rsidR="007158C5" w:rsidRPr="007158C5" w:rsidRDefault="007158C5">
            <w:pPr>
              <w:spacing w:before="0" w:after="0"/>
              <w:jc w:val="left"/>
              <w:rPr>
                <w:rFonts w:ascii="Calibri" w:hAnsi="Calibri"/>
                <w:sz w:val="18"/>
                <w:szCs w:val="18"/>
                <w:lang w:val="es-CO" w:eastAsia="es-CO"/>
              </w:rPr>
            </w:pPr>
          </w:p>
        </w:tc>
      </w:tr>
      <w:tr w:rsidR="007158C5" w:rsidRPr="007158C5" w14:paraId="5871DF2A" w14:textId="77777777" w:rsidTr="00D31EE1">
        <w:trPr>
          <w:trHeight w:val="300"/>
        </w:trPr>
        <w:tc>
          <w:tcPr>
            <w:tcW w:w="1696" w:type="dxa"/>
            <w:tcBorders>
              <w:top w:val="nil"/>
              <w:left w:val="single" w:sz="4" w:space="0" w:color="auto"/>
              <w:bottom w:val="single" w:sz="4" w:space="0" w:color="auto"/>
              <w:right w:val="single" w:sz="4" w:space="0" w:color="auto"/>
            </w:tcBorders>
            <w:shd w:val="clear" w:color="auto" w:fill="E7E6E6"/>
            <w:hideMark/>
          </w:tcPr>
          <w:p w14:paraId="695858C4" w14:textId="77777777" w:rsidR="007158C5" w:rsidRPr="007158C5" w:rsidRDefault="007158C5">
            <w:pPr>
              <w:spacing w:before="0" w:after="0"/>
              <w:jc w:val="left"/>
              <w:rPr>
                <w:rFonts w:ascii="Calibri" w:hAnsi="Calibri"/>
                <w:b/>
                <w:bCs/>
                <w:sz w:val="18"/>
                <w:szCs w:val="18"/>
                <w:lang w:val="es-CO" w:eastAsia="es-CO"/>
              </w:rPr>
            </w:pPr>
            <w:r w:rsidRPr="007158C5">
              <w:rPr>
                <w:rFonts w:ascii="Calibri" w:hAnsi="Calibri"/>
                <w:b/>
                <w:bCs/>
                <w:sz w:val="18"/>
                <w:szCs w:val="18"/>
                <w:lang w:val="es-CO" w:eastAsia="es-CO"/>
              </w:rPr>
              <w:t xml:space="preserve">Referencia en la propuesta </w:t>
            </w:r>
          </w:p>
        </w:tc>
        <w:tc>
          <w:tcPr>
            <w:tcW w:w="7650" w:type="dxa"/>
            <w:tcBorders>
              <w:top w:val="nil"/>
              <w:left w:val="nil"/>
              <w:bottom w:val="single" w:sz="4" w:space="0" w:color="auto"/>
              <w:right w:val="single" w:sz="4" w:space="0" w:color="auto"/>
            </w:tcBorders>
            <w:shd w:val="clear" w:color="auto" w:fill="auto"/>
            <w:hideMark/>
          </w:tcPr>
          <w:p w14:paraId="7D5246C5" w14:textId="77777777" w:rsidR="007158C5" w:rsidRPr="007158C5" w:rsidRDefault="007158C5">
            <w:pPr>
              <w:spacing w:before="0" w:after="0"/>
              <w:jc w:val="left"/>
              <w:rPr>
                <w:rFonts w:ascii="Calibri" w:hAnsi="Calibri"/>
                <w:sz w:val="18"/>
                <w:szCs w:val="18"/>
                <w:lang w:val="es-CO" w:eastAsia="es-CO"/>
              </w:rPr>
            </w:pPr>
            <w:r w:rsidRPr="007158C5">
              <w:rPr>
                <w:rFonts w:ascii="Calibri" w:hAnsi="Calibri"/>
                <w:b/>
                <w:bCs/>
                <w:sz w:val="18"/>
                <w:szCs w:val="18"/>
                <w:lang w:val="es-CO" w:eastAsia="es-CO"/>
              </w:rPr>
              <w:t>1. Anexos 20 y 21 de la propuesta.</w:t>
            </w:r>
            <w:r w:rsidRPr="007158C5">
              <w:rPr>
                <w:rFonts w:ascii="Calibri" w:hAnsi="Calibri"/>
                <w:sz w:val="18"/>
                <w:szCs w:val="18"/>
                <w:lang w:val="es-CO" w:eastAsia="es-CO"/>
              </w:rPr>
              <w:t xml:space="preserve"> Declaraciones juramentadas sobre la inexistencia de vínculos económicos o conflictos de interés.  </w:t>
            </w:r>
          </w:p>
        </w:tc>
      </w:tr>
      <w:tr w:rsidR="007158C5" w:rsidRPr="007158C5" w14:paraId="333DBEB0" w14:textId="77777777" w:rsidTr="00D31EE1">
        <w:trPr>
          <w:trHeight w:val="480"/>
        </w:trPr>
        <w:tc>
          <w:tcPr>
            <w:tcW w:w="1696" w:type="dxa"/>
            <w:tcBorders>
              <w:top w:val="nil"/>
              <w:left w:val="single" w:sz="4" w:space="0" w:color="auto"/>
              <w:bottom w:val="single" w:sz="4" w:space="0" w:color="auto"/>
              <w:right w:val="single" w:sz="4" w:space="0" w:color="auto"/>
            </w:tcBorders>
            <w:shd w:val="clear" w:color="auto" w:fill="E7E6E6"/>
            <w:hideMark/>
          </w:tcPr>
          <w:p w14:paraId="238B21CE" w14:textId="77777777" w:rsidR="007158C5" w:rsidRPr="007158C5" w:rsidRDefault="007158C5">
            <w:pPr>
              <w:spacing w:before="0" w:after="0"/>
              <w:jc w:val="left"/>
              <w:rPr>
                <w:rFonts w:ascii="Calibri" w:hAnsi="Calibri"/>
                <w:b/>
                <w:bCs/>
                <w:sz w:val="18"/>
                <w:szCs w:val="18"/>
                <w:lang w:val="es-CO" w:eastAsia="es-CO"/>
              </w:rPr>
            </w:pPr>
            <w:r w:rsidRPr="007158C5">
              <w:rPr>
                <w:rFonts w:ascii="Calibri" w:hAnsi="Calibri"/>
                <w:b/>
                <w:bCs/>
                <w:sz w:val="18"/>
                <w:szCs w:val="18"/>
                <w:lang w:val="es-CO" w:eastAsia="es-CO"/>
              </w:rPr>
              <w:lastRenderedPageBreak/>
              <w:t>Juan Pablo Amorocho</w:t>
            </w:r>
            <w:r w:rsidRPr="007158C5">
              <w:rPr>
                <w:rFonts w:ascii="Calibri" w:hAnsi="Calibri"/>
                <w:b/>
                <w:bCs/>
                <w:sz w:val="18"/>
                <w:szCs w:val="18"/>
                <w:lang w:val="es-CO" w:eastAsia="es-CO"/>
              </w:rPr>
              <w:br/>
              <w:t>(Mercados)</w:t>
            </w:r>
          </w:p>
        </w:tc>
        <w:tc>
          <w:tcPr>
            <w:tcW w:w="7650" w:type="dxa"/>
            <w:tcBorders>
              <w:top w:val="nil"/>
              <w:left w:val="nil"/>
              <w:bottom w:val="single" w:sz="4" w:space="0" w:color="auto"/>
              <w:right w:val="single" w:sz="4" w:space="0" w:color="auto"/>
            </w:tcBorders>
            <w:shd w:val="clear" w:color="auto" w:fill="auto"/>
            <w:hideMark/>
          </w:tcPr>
          <w:p w14:paraId="2B9CA39E" w14:textId="77777777" w:rsidR="007158C5" w:rsidRPr="007158C5" w:rsidRDefault="007158C5">
            <w:pPr>
              <w:spacing w:before="0" w:after="0"/>
              <w:jc w:val="left"/>
              <w:rPr>
                <w:rFonts w:ascii="Calibri" w:hAnsi="Calibri"/>
                <w:sz w:val="18"/>
                <w:szCs w:val="18"/>
                <w:lang w:val="es-CO" w:eastAsia="es-CO"/>
              </w:rPr>
            </w:pPr>
            <w:r w:rsidRPr="007158C5">
              <w:rPr>
                <w:rFonts w:ascii="Calibri" w:hAnsi="Calibri"/>
                <w:sz w:val="18"/>
                <w:szCs w:val="18"/>
                <w:lang w:val="es-CO" w:eastAsia="es-CO"/>
              </w:rPr>
              <w:t> </w:t>
            </w:r>
          </w:p>
        </w:tc>
      </w:tr>
      <w:tr w:rsidR="007158C5" w:rsidRPr="007158C5" w14:paraId="4F127C02" w14:textId="77777777" w:rsidTr="00D31EE1">
        <w:trPr>
          <w:trHeight w:val="480"/>
        </w:trPr>
        <w:tc>
          <w:tcPr>
            <w:tcW w:w="1696" w:type="dxa"/>
            <w:tcBorders>
              <w:top w:val="nil"/>
              <w:left w:val="single" w:sz="4" w:space="0" w:color="auto"/>
              <w:bottom w:val="single" w:sz="4" w:space="0" w:color="auto"/>
              <w:right w:val="single" w:sz="4" w:space="0" w:color="auto"/>
            </w:tcBorders>
            <w:shd w:val="clear" w:color="auto" w:fill="E7E6E6"/>
            <w:hideMark/>
          </w:tcPr>
          <w:p w14:paraId="62C93B0E" w14:textId="77777777" w:rsidR="007158C5" w:rsidRPr="007158C5" w:rsidRDefault="007158C5">
            <w:pPr>
              <w:spacing w:before="0" w:after="0"/>
              <w:jc w:val="left"/>
              <w:rPr>
                <w:rFonts w:ascii="Calibri" w:hAnsi="Calibri"/>
                <w:b/>
                <w:bCs/>
                <w:sz w:val="18"/>
                <w:szCs w:val="18"/>
                <w:lang w:val="es-CO" w:eastAsia="es-CO"/>
              </w:rPr>
            </w:pPr>
            <w:r w:rsidRPr="007158C5">
              <w:rPr>
                <w:rFonts w:ascii="Calibri" w:hAnsi="Calibri"/>
                <w:b/>
                <w:bCs/>
                <w:sz w:val="18"/>
                <w:szCs w:val="18"/>
                <w:lang w:val="es-CO" w:eastAsia="es-CO"/>
              </w:rPr>
              <w:t>Diego Jara</w:t>
            </w:r>
            <w:r w:rsidRPr="007158C5">
              <w:rPr>
                <w:rFonts w:ascii="Calibri" w:hAnsi="Calibri"/>
                <w:b/>
                <w:bCs/>
                <w:sz w:val="18"/>
                <w:szCs w:val="18"/>
                <w:lang w:val="es-CO" w:eastAsia="es-CO"/>
              </w:rPr>
              <w:br/>
              <w:t>(Riesgos)</w:t>
            </w:r>
          </w:p>
        </w:tc>
        <w:tc>
          <w:tcPr>
            <w:tcW w:w="7650" w:type="dxa"/>
            <w:tcBorders>
              <w:top w:val="nil"/>
              <w:left w:val="nil"/>
              <w:bottom w:val="single" w:sz="4" w:space="0" w:color="auto"/>
              <w:right w:val="single" w:sz="4" w:space="0" w:color="auto"/>
            </w:tcBorders>
            <w:shd w:val="clear" w:color="auto" w:fill="auto"/>
            <w:noWrap/>
            <w:hideMark/>
          </w:tcPr>
          <w:p w14:paraId="5CEB6F1C" w14:textId="77777777" w:rsidR="007158C5" w:rsidRPr="007158C5" w:rsidRDefault="007158C5">
            <w:pPr>
              <w:spacing w:before="0" w:after="0"/>
              <w:jc w:val="left"/>
              <w:rPr>
                <w:rFonts w:ascii="Calibri" w:hAnsi="Calibri"/>
                <w:sz w:val="18"/>
                <w:szCs w:val="18"/>
                <w:lang w:val="es-CO" w:eastAsia="es-CO"/>
              </w:rPr>
            </w:pPr>
            <w:r w:rsidRPr="007158C5">
              <w:rPr>
                <w:rFonts w:ascii="Calibri" w:hAnsi="Calibri"/>
                <w:sz w:val="18"/>
                <w:szCs w:val="18"/>
                <w:lang w:val="es-CO" w:eastAsia="es-CO"/>
              </w:rPr>
              <w:t> </w:t>
            </w:r>
          </w:p>
        </w:tc>
      </w:tr>
      <w:tr w:rsidR="007158C5" w:rsidRPr="007158C5" w14:paraId="2B99AD22" w14:textId="77777777" w:rsidTr="00D31EE1">
        <w:trPr>
          <w:trHeight w:val="1873"/>
        </w:trPr>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132C35B7" w14:textId="77777777" w:rsidR="007158C5" w:rsidRPr="007158C5" w:rsidRDefault="007158C5">
            <w:pPr>
              <w:spacing w:before="0" w:after="0"/>
              <w:jc w:val="left"/>
              <w:rPr>
                <w:rFonts w:ascii="Calibri" w:hAnsi="Calibri"/>
                <w:b/>
                <w:bCs/>
                <w:sz w:val="18"/>
                <w:szCs w:val="18"/>
                <w:lang w:val="es-CO" w:eastAsia="es-CO"/>
              </w:rPr>
            </w:pPr>
            <w:r w:rsidRPr="007158C5">
              <w:rPr>
                <w:rFonts w:ascii="Calibri" w:hAnsi="Calibri"/>
                <w:b/>
                <w:bCs/>
                <w:sz w:val="18"/>
                <w:szCs w:val="18"/>
                <w:lang w:val="es-CO" w:eastAsia="es-CO"/>
              </w:rPr>
              <w:t>Roberto Borrás</w:t>
            </w:r>
            <w:r w:rsidRPr="007158C5">
              <w:rPr>
                <w:rFonts w:ascii="Calibri" w:hAnsi="Calibri"/>
                <w:b/>
                <w:bCs/>
                <w:sz w:val="18"/>
                <w:szCs w:val="18"/>
                <w:lang w:val="es-CO" w:eastAsia="es-CO"/>
              </w:rPr>
              <w:br/>
              <w:t>(Gobierno corporativo)</w:t>
            </w:r>
          </w:p>
        </w:tc>
        <w:tc>
          <w:tcPr>
            <w:tcW w:w="7650" w:type="dxa"/>
            <w:tcBorders>
              <w:top w:val="single" w:sz="4" w:space="0" w:color="auto"/>
              <w:left w:val="single" w:sz="4" w:space="0" w:color="auto"/>
              <w:bottom w:val="single" w:sz="4" w:space="0" w:color="auto"/>
              <w:right w:val="single" w:sz="4" w:space="0" w:color="auto"/>
            </w:tcBorders>
            <w:shd w:val="clear" w:color="auto" w:fill="auto"/>
            <w:hideMark/>
          </w:tcPr>
          <w:p w14:paraId="221570EB" w14:textId="0FAFB6C4" w:rsidR="007158C5" w:rsidRPr="007158C5" w:rsidRDefault="007158C5">
            <w:pPr>
              <w:spacing w:before="0" w:after="0"/>
              <w:jc w:val="left"/>
              <w:rPr>
                <w:rFonts w:ascii="Calibri" w:hAnsi="Calibri"/>
                <w:sz w:val="18"/>
                <w:szCs w:val="18"/>
                <w:lang w:val="es-CO" w:eastAsia="es-CO"/>
              </w:rPr>
            </w:pPr>
            <w:r w:rsidRPr="007158C5">
              <w:rPr>
                <w:rFonts w:ascii="Calibri" w:hAnsi="Calibri"/>
                <w:sz w:val="18"/>
                <w:szCs w:val="18"/>
                <w:lang w:val="es-CO" w:eastAsia="es-CO"/>
              </w:rPr>
              <w:t>Pág. 11</w:t>
            </w:r>
            <w:r w:rsidRPr="007158C5">
              <w:rPr>
                <w:rFonts w:ascii="Calibri" w:hAnsi="Calibri"/>
                <w:sz w:val="18"/>
                <w:szCs w:val="18"/>
                <w:lang w:val="es-CO" w:eastAsia="es-CO"/>
              </w:rPr>
              <w:br/>
              <w:t>"En materia de conformación de las juntas directivas de las entidades vigiladas, en desarrollo del artículo 73 del EOSF, las entidades vigiladas no pueden designar como miembros principales y suplentes de sus juntas directivas a un número de personas vinculadas laboralmente a la respectiva entidad que, reunidas en sesión y en ejercicio de los cargos de miembros de tales órganos, puedan conformar, entre ellas, mayorías decisorias generales o especiales"</w:t>
            </w:r>
            <w:r w:rsidRPr="007158C5">
              <w:rPr>
                <w:rFonts w:ascii="Calibri" w:hAnsi="Calibri"/>
                <w:sz w:val="18"/>
                <w:szCs w:val="18"/>
                <w:lang w:val="es-CO" w:eastAsia="es-CO"/>
              </w:rPr>
              <w:br/>
            </w:r>
            <w:r w:rsidRPr="007158C5">
              <w:rPr>
                <w:rFonts w:ascii="Calibri" w:hAnsi="Calibri"/>
                <w:sz w:val="18"/>
                <w:szCs w:val="18"/>
                <w:lang w:val="es-CO" w:eastAsia="es-CO"/>
              </w:rPr>
              <w:br/>
              <w:t>Pág. 19</w:t>
            </w:r>
            <w:r w:rsidRPr="007158C5">
              <w:rPr>
                <w:rFonts w:ascii="Calibri" w:hAnsi="Calibri"/>
                <w:sz w:val="18"/>
                <w:szCs w:val="18"/>
                <w:lang w:val="es-CO" w:eastAsia="es-CO"/>
              </w:rPr>
              <w:br/>
              <w:t xml:space="preserve">"...según lo manifestado por los Promotores, estos aseguran no tener vínculos económicos, ni encontrarse en situación de control, ni presentar conflictos de interés con ningún participante (generadores, ni comercializadores) del mercado de energía mayorista que puedan o resulten obstaculizando o imposibilitando la independencia de </w:t>
            </w:r>
            <w:proofErr w:type="spellStart"/>
            <w:r w:rsidRPr="007158C5">
              <w:rPr>
                <w:rFonts w:ascii="Calibri" w:hAnsi="Calibri"/>
                <w:sz w:val="18"/>
                <w:szCs w:val="18"/>
                <w:lang w:val="es-CO" w:eastAsia="es-CO"/>
              </w:rPr>
              <w:t>Derivex</w:t>
            </w:r>
            <w:proofErr w:type="spellEnd"/>
            <w:r w:rsidRPr="007158C5">
              <w:rPr>
                <w:rFonts w:ascii="Calibri" w:hAnsi="Calibri"/>
                <w:sz w:val="18"/>
                <w:szCs w:val="18"/>
                <w:lang w:val="es-CO" w:eastAsia="es-CO"/>
              </w:rPr>
              <w:t xml:space="preserve"> como Diseñador, Administrador y Ejecutor del Mecanismo propuesto o de la CRCC como Administrador de Riesgo del mismo".</w:t>
            </w:r>
            <w:r w:rsidRPr="007158C5">
              <w:rPr>
                <w:rFonts w:ascii="Calibri" w:hAnsi="Calibri"/>
                <w:sz w:val="18"/>
                <w:szCs w:val="18"/>
                <w:lang w:val="es-CO" w:eastAsia="es-CO"/>
              </w:rPr>
              <w:br/>
            </w:r>
            <w:r w:rsidRPr="007158C5">
              <w:rPr>
                <w:rFonts w:ascii="Calibri" w:hAnsi="Calibri"/>
                <w:sz w:val="18"/>
                <w:szCs w:val="18"/>
                <w:lang w:val="es-CO" w:eastAsia="es-CO"/>
              </w:rPr>
              <w:br/>
              <w:t>Pág. 20</w:t>
            </w:r>
            <w:r w:rsidRPr="007158C5">
              <w:rPr>
                <w:rFonts w:ascii="Calibri" w:hAnsi="Calibri"/>
                <w:sz w:val="18"/>
                <w:szCs w:val="18"/>
                <w:lang w:val="es-CO" w:eastAsia="es-CO"/>
              </w:rPr>
              <w:br/>
              <w:t xml:space="preserve">"el Consultor encuentra que por cuenta del proceso de capitalización realizado en </w:t>
            </w:r>
            <w:proofErr w:type="spellStart"/>
            <w:r w:rsidRPr="007158C5">
              <w:rPr>
                <w:rFonts w:ascii="Calibri" w:hAnsi="Calibri"/>
                <w:sz w:val="18"/>
                <w:szCs w:val="18"/>
                <w:lang w:val="es-CO" w:eastAsia="es-CO"/>
              </w:rPr>
              <w:t>Derivex</w:t>
            </w:r>
            <w:proofErr w:type="spellEnd"/>
            <w:r w:rsidRPr="007158C5">
              <w:rPr>
                <w:rFonts w:ascii="Calibri" w:hAnsi="Calibri"/>
                <w:sz w:val="18"/>
                <w:szCs w:val="18"/>
                <w:lang w:val="es-CO" w:eastAsia="es-CO"/>
              </w:rPr>
              <w:t>, no se estaría vulnerando la restricción incluida en la Resolución 114 correspondiente a la restricción de participación (...)</w:t>
            </w:r>
            <w:r w:rsidRPr="007158C5">
              <w:rPr>
                <w:rFonts w:ascii="Calibri" w:hAnsi="Calibri"/>
                <w:sz w:val="18"/>
                <w:szCs w:val="18"/>
                <w:lang w:val="es-CO" w:eastAsia="es-CO"/>
              </w:rPr>
              <w:br/>
            </w:r>
            <w:r w:rsidRPr="007158C5">
              <w:rPr>
                <w:rFonts w:ascii="Calibri" w:hAnsi="Calibri"/>
                <w:sz w:val="18"/>
                <w:szCs w:val="18"/>
                <w:lang w:val="es-CO" w:eastAsia="es-CO"/>
              </w:rPr>
              <w:br/>
              <w:t xml:space="preserve">(...) a juicio del Consultor, la simple participación o vinculación de manera minoritaria de tres participantes del mercado de energía en </w:t>
            </w:r>
            <w:proofErr w:type="spellStart"/>
            <w:r w:rsidRPr="007158C5">
              <w:rPr>
                <w:rFonts w:ascii="Calibri" w:hAnsi="Calibri"/>
                <w:sz w:val="18"/>
                <w:szCs w:val="18"/>
                <w:lang w:val="es-CO" w:eastAsia="es-CO"/>
              </w:rPr>
              <w:t>Derivex</w:t>
            </w:r>
            <w:proofErr w:type="spellEnd"/>
            <w:r w:rsidRPr="007158C5">
              <w:rPr>
                <w:rFonts w:ascii="Calibri" w:hAnsi="Calibri"/>
                <w:sz w:val="18"/>
                <w:szCs w:val="18"/>
                <w:lang w:val="es-CO" w:eastAsia="es-CO"/>
              </w:rPr>
              <w:t xml:space="preserve"> no es una situación generadora de conflictos de interés que pueda tener el efecto reprochable de afectar u obstaculizar su independencia e imparcialidad en la gestión del Mecanismo, éste advierte de igual forma que, a partir del ingreso de estos tres nuevos, este Promotor adelantó una modificación a su estructura de gobierno corporativo que refuerza este entendimiento."</w:t>
            </w:r>
            <w:r w:rsidRPr="007158C5">
              <w:rPr>
                <w:rFonts w:ascii="Calibri" w:hAnsi="Calibri"/>
                <w:sz w:val="18"/>
                <w:szCs w:val="18"/>
                <w:lang w:val="es-CO" w:eastAsia="es-CO"/>
              </w:rPr>
              <w:br/>
            </w:r>
            <w:r w:rsidRPr="007158C5">
              <w:rPr>
                <w:rFonts w:ascii="Calibri" w:hAnsi="Calibri"/>
                <w:sz w:val="18"/>
                <w:szCs w:val="18"/>
                <w:lang w:val="es-CO" w:eastAsia="es-CO"/>
              </w:rPr>
              <w:br/>
            </w:r>
            <w:proofErr w:type="spellStart"/>
            <w:r w:rsidRPr="007158C5">
              <w:rPr>
                <w:rFonts w:ascii="Calibri" w:hAnsi="Calibri"/>
                <w:sz w:val="18"/>
                <w:szCs w:val="18"/>
                <w:lang w:val="es-CO" w:eastAsia="es-CO"/>
              </w:rPr>
              <w:t>Pág</w:t>
            </w:r>
            <w:proofErr w:type="spellEnd"/>
            <w:r w:rsidRPr="007158C5">
              <w:rPr>
                <w:rFonts w:ascii="Calibri" w:hAnsi="Calibri"/>
                <w:sz w:val="18"/>
                <w:szCs w:val="18"/>
                <w:lang w:val="es-CO" w:eastAsia="es-CO"/>
              </w:rPr>
              <w:t xml:space="preserve"> 20 y 21</w:t>
            </w:r>
            <w:r w:rsidRPr="007158C5">
              <w:rPr>
                <w:rFonts w:ascii="Calibri" w:hAnsi="Calibri"/>
                <w:sz w:val="18"/>
                <w:szCs w:val="18"/>
                <w:lang w:val="es-CO" w:eastAsia="es-CO"/>
              </w:rPr>
              <w:br/>
              <w:t xml:space="preserve">"...el Consultor resalta que, a pesar de que los actuales accionistas de </w:t>
            </w:r>
            <w:proofErr w:type="spellStart"/>
            <w:r w:rsidRPr="007158C5">
              <w:rPr>
                <w:rFonts w:ascii="Calibri" w:hAnsi="Calibri"/>
                <w:sz w:val="18"/>
                <w:szCs w:val="18"/>
                <w:lang w:val="es-CO" w:eastAsia="es-CO"/>
              </w:rPr>
              <w:t>Derivex</w:t>
            </w:r>
            <w:proofErr w:type="spellEnd"/>
            <w:r w:rsidRPr="007158C5">
              <w:rPr>
                <w:rFonts w:ascii="Calibri" w:hAnsi="Calibri"/>
                <w:sz w:val="18"/>
                <w:szCs w:val="18"/>
                <w:lang w:val="es-CO" w:eastAsia="es-CO"/>
              </w:rPr>
              <w:t xml:space="preserve">, (incluyendo los tres participantes del mercado de energía mayorista) han suscrito un acuerdo de accionistas, </w:t>
            </w:r>
            <w:r w:rsidRPr="007158C5">
              <w:rPr>
                <w:rFonts w:ascii="Calibri" w:hAnsi="Calibri"/>
                <w:b/>
                <w:bCs/>
                <w:sz w:val="18"/>
                <w:szCs w:val="18"/>
                <w:lang w:val="es-CO" w:eastAsia="es-CO"/>
              </w:rPr>
              <w:t xml:space="preserve">el mismo no tiene como efecto la constitución de una situación de control </w:t>
            </w:r>
            <w:r w:rsidRPr="007158C5">
              <w:rPr>
                <w:rFonts w:ascii="Calibri" w:hAnsi="Calibri"/>
                <w:sz w:val="18"/>
                <w:szCs w:val="18"/>
                <w:lang w:val="es-CO" w:eastAsia="es-CO"/>
              </w:rPr>
              <w:t xml:space="preserve">por parte de estos. Por el contrario, se refuerza la prohibición de que alguno de estos controle o incluso sea beneficiario real de más del 5% de las acciones que representan el capital emitido y en circulación de </w:t>
            </w:r>
            <w:proofErr w:type="spellStart"/>
            <w:r w:rsidRPr="007158C5">
              <w:rPr>
                <w:rFonts w:ascii="Calibri" w:hAnsi="Calibri"/>
                <w:sz w:val="18"/>
                <w:szCs w:val="18"/>
                <w:lang w:val="es-CO" w:eastAsia="es-CO"/>
              </w:rPr>
              <w:t>Derivex</w:t>
            </w:r>
            <w:proofErr w:type="spellEnd"/>
            <w:r w:rsidRPr="007158C5">
              <w:rPr>
                <w:rFonts w:ascii="Calibri" w:hAnsi="Calibri"/>
                <w:sz w:val="18"/>
                <w:szCs w:val="18"/>
                <w:lang w:val="es-CO" w:eastAsia="es-CO"/>
              </w:rPr>
              <w:t xml:space="preserve">. </w:t>
            </w:r>
            <w:r w:rsidRPr="007158C5">
              <w:rPr>
                <w:rFonts w:ascii="Calibri" w:hAnsi="Calibri"/>
                <w:sz w:val="18"/>
                <w:szCs w:val="18"/>
                <w:lang w:val="es-CO" w:eastAsia="es-CO"/>
              </w:rPr>
              <w:br/>
            </w:r>
            <w:r w:rsidRPr="007158C5">
              <w:rPr>
                <w:rFonts w:ascii="Calibri" w:hAnsi="Calibri"/>
                <w:sz w:val="18"/>
                <w:szCs w:val="18"/>
                <w:lang w:val="es-CO" w:eastAsia="es-CO"/>
              </w:rPr>
              <w:br/>
              <w:t xml:space="preserve">De esta manera concluye el Consultor que los proponentes cumplen con el requisito de independencia en los términos señalados en la Resolución 114". </w:t>
            </w:r>
            <w:r w:rsidRPr="007158C5">
              <w:rPr>
                <w:rFonts w:ascii="Calibri" w:hAnsi="Calibri"/>
                <w:sz w:val="18"/>
                <w:szCs w:val="18"/>
                <w:lang w:val="es-CO" w:eastAsia="es-CO"/>
              </w:rPr>
              <w:br/>
            </w:r>
            <w:r w:rsidRPr="007158C5">
              <w:rPr>
                <w:rFonts w:ascii="Calibri" w:hAnsi="Calibri"/>
                <w:sz w:val="18"/>
                <w:szCs w:val="18"/>
                <w:lang w:val="es-CO" w:eastAsia="es-CO"/>
              </w:rPr>
              <w:br/>
            </w:r>
            <w:proofErr w:type="spellStart"/>
            <w:r w:rsidRPr="007158C5">
              <w:rPr>
                <w:rFonts w:ascii="Calibri" w:hAnsi="Calibri"/>
                <w:sz w:val="18"/>
                <w:szCs w:val="18"/>
                <w:lang w:val="es-CO" w:eastAsia="es-CO"/>
              </w:rPr>
              <w:t>Pág</w:t>
            </w:r>
            <w:proofErr w:type="spellEnd"/>
            <w:r w:rsidRPr="007158C5">
              <w:rPr>
                <w:rFonts w:ascii="Calibri" w:hAnsi="Calibri"/>
                <w:sz w:val="18"/>
                <w:szCs w:val="18"/>
                <w:lang w:val="es-CO" w:eastAsia="es-CO"/>
              </w:rPr>
              <w:t xml:space="preserve"> 21</w:t>
            </w:r>
            <w:r w:rsidRPr="007158C5">
              <w:rPr>
                <w:rFonts w:ascii="Calibri" w:hAnsi="Calibri"/>
                <w:sz w:val="18"/>
                <w:szCs w:val="18"/>
                <w:lang w:val="es-CO" w:eastAsia="es-CO"/>
              </w:rPr>
              <w:br/>
              <w:t xml:space="preserve">"En cuanto a las reformas estatutarias introducidas al gobierno corporativo de </w:t>
            </w:r>
            <w:proofErr w:type="spellStart"/>
            <w:r w:rsidRPr="007158C5">
              <w:rPr>
                <w:rFonts w:ascii="Calibri" w:hAnsi="Calibri"/>
                <w:sz w:val="18"/>
                <w:szCs w:val="18"/>
                <w:lang w:val="es-CO" w:eastAsia="es-CO"/>
              </w:rPr>
              <w:t>Derivex</w:t>
            </w:r>
            <w:proofErr w:type="spellEnd"/>
            <w:r w:rsidRPr="007158C5">
              <w:rPr>
                <w:rFonts w:ascii="Calibri" w:hAnsi="Calibri"/>
                <w:sz w:val="18"/>
                <w:szCs w:val="18"/>
                <w:lang w:val="es-CO" w:eastAsia="es-CO"/>
              </w:rPr>
              <w:t xml:space="preserve"> y que fueron protocolizadas mediante Escritura Pública 5022 del 1 de octubre de 2019 en la Notaría 21 del </w:t>
            </w:r>
            <w:proofErr w:type="spellStart"/>
            <w:r w:rsidRPr="007158C5">
              <w:rPr>
                <w:rFonts w:ascii="Calibri" w:hAnsi="Calibri"/>
                <w:sz w:val="18"/>
                <w:szCs w:val="18"/>
                <w:lang w:val="es-CO" w:eastAsia="es-CO"/>
              </w:rPr>
              <w:t>Circulo</w:t>
            </w:r>
            <w:proofErr w:type="spellEnd"/>
            <w:r w:rsidRPr="007158C5">
              <w:rPr>
                <w:rFonts w:ascii="Calibri" w:hAnsi="Calibri"/>
                <w:sz w:val="18"/>
                <w:szCs w:val="18"/>
                <w:lang w:val="es-CO" w:eastAsia="es-CO"/>
              </w:rPr>
              <w:t xml:space="preserve"> de Bogotá, nos referiremos en mayor detalle en el capítulo 4 del presente informe, no obstante, por tratarse éste de la independencia de los Promotores, a continuación, las principales reformas que apartan cualquier asomo de duda acerca del cumplimiento de este criterio.   </w:t>
            </w:r>
            <w:r w:rsidRPr="007158C5">
              <w:rPr>
                <w:rFonts w:ascii="Calibri" w:hAnsi="Calibri"/>
                <w:sz w:val="18"/>
                <w:szCs w:val="18"/>
                <w:lang w:val="es-CO" w:eastAsia="es-CO"/>
              </w:rPr>
              <w:br/>
              <w:t xml:space="preserve">(i) Se estableció la mayoría especial del 90% como quorum decisorio especial para la adopción de, entre otras, las siguientes decisiones: (a) reforma del objeto social; (b) fusionarse, escindirse o transformase en otra sociedad; y (c) disolver la sociedad. </w:t>
            </w:r>
            <w:r w:rsidRPr="007158C5">
              <w:rPr>
                <w:rFonts w:ascii="Calibri" w:hAnsi="Calibri"/>
                <w:sz w:val="18"/>
                <w:szCs w:val="18"/>
                <w:lang w:val="es-CO" w:eastAsia="es-CO"/>
              </w:rPr>
              <w:br/>
              <w:t>(</w:t>
            </w:r>
            <w:proofErr w:type="spellStart"/>
            <w:r w:rsidRPr="007158C5">
              <w:rPr>
                <w:rFonts w:ascii="Calibri" w:hAnsi="Calibri"/>
                <w:sz w:val="18"/>
                <w:szCs w:val="18"/>
                <w:lang w:val="es-CO" w:eastAsia="es-CO"/>
              </w:rPr>
              <w:t>ii</w:t>
            </w:r>
            <w:proofErr w:type="spellEnd"/>
            <w:r w:rsidRPr="007158C5">
              <w:rPr>
                <w:rFonts w:ascii="Calibri" w:hAnsi="Calibri"/>
                <w:sz w:val="18"/>
                <w:szCs w:val="18"/>
                <w:lang w:val="es-CO" w:eastAsia="es-CO"/>
              </w:rPr>
              <w:t xml:space="preserve">) Creación de un Comité Asesor de la Junta Directiva de </w:t>
            </w:r>
            <w:proofErr w:type="spellStart"/>
            <w:r w:rsidRPr="007158C5">
              <w:rPr>
                <w:rFonts w:ascii="Calibri" w:hAnsi="Calibri"/>
                <w:sz w:val="18"/>
                <w:szCs w:val="18"/>
                <w:lang w:val="es-CO" w:eastAsia="es-CO"/>
              </w:rPr>
              <w:t>Derivex</w:t>
            </w:r>
            <w:proofErr w:type="spellEnd"/>
            <w:r w:rsidRPr="007158C5">
              <w:rPr>
                <w:rFonts w:ascii="Calibri" w:hAnsi="Calibri"/>
                <w:sz w:val="18"/>
                <w:szCs w:val="18"/>
                <w:lang w:val="es-CO" w:eastAsia="es-CO"/>
              </w:rPr>
              <w:t>, cuya finalidad es la de apoyar a este órgano en: (a) desarrollo del mercado; y (b) la implementación de nuevos productos. Este comité, cuyas decisiones no son vinculantes, se encuentra conformado por 5 miembros</w:t>
            </w:r>
            <w:r w:rsidR="00F35037">
              <w:rPr>
                <w:rFonts w:ascii="Calibri" w:hAnsi="Calibri"/>
                <w:sz w:val="18"/>
                <w:szCs w:val="18"/>
                <w:lang w:val="es-CO" w:eastAsia="es-CO"/>
              </w:rPr>
              <w:t>.</w:t>
            </w:r>
            <w:r w:rsidRPr="007158C5">
              <w:rPr>
                <w:rFonts w:ascii="Calibri" w:hAnsi="Calibri"/>
                <w:sz w:val="18"/>
                <w:szCs w:val="18"/>
                <w:lang w:val="es-CO" w:eastAsia="es-CO"/>
              </w:rPr>
              <w:br/>
              <w:t>(</w:t>
            </w:r>
            <w:proofErr w:type="spellStart"/>
            <w:r w:rsidRPr="007158C5">
              <w:rPr>
                <w:rFonts w:ascii="Calibri" w:hAnsi="Calibri"/>
                <w:sz w:val="18"/>
                <w:szCs w:val="18"/>
                <w:lang w:val="es-CO" w:eastAsia="es-CO"/>
              </w:rPr>
              <w:t>iii</w:t>
            </w:r>
            <w:proofErr w:type="spellEnd"/>
            <w:r w:rsidRPr="007158C5">
              <w:rPr>
                <w:rFonts w:ascii="Calibri" w:hAnsi="Calibri"/>
                <w:sz w:val="18"/>
                <w:szCs w:val="18"/>
                <w:lang w:val="es-CO" w:eastAsia="es-CO"/>
              </w:rPr>
              <w:t xml:space="preserve">) Se incluyeron de forma no taxativa algunas nuevas situaciones que se entienden generadoras de conflicto de interés, dentro de las que se destacan: (a) cuando un administrador se encuentre en la posibilidad de efectuar, incidir y/o decidir en alguna medida, en una decisión que tenga por objeto favorecer o negar la admonición de un participante y/o registro que administre </w:t>
            </w:r>
            <w:proofErr w:type="spellStart"/>
            <w:r w:rsidRPr="007158C5">
              <w:rPr>
                <w:rFonts w:ascii="Calibri" w:hAnsi="Calibri"/>
                <w:sz w:val="18"/>
                <w:szCs w:val="18"/>
                <w:lang w:val="es-CO" w:eastAsia="es-CO"/>
              </w:rPr>
              <w:t>Derivex</w:t>
            </w:r>
            <w:proofErr w:type="spellEnd"/>
            <w:r w:rsidRPr="007158C5">
              <w:rPr>
                <w:rFonts w:ascii="Calibri" w:hAnsi="Calibri"/>
                <w:sz w:val="18"/>
                <w:szCs w:val="18"/>
                <w:lang w:val="es-CO" w:eastAsia="es-CO"/>
              </w:rPr>
              <w:t xml:space="preserve">, en beneficio propio o de un tercero; y (b) cuando la persona vinculada se encuentre en la posibilidad de incidir y/o decidir en alguna medida, en una decisión que tenga como objeto o efecto directo o indirecto, crear o modificar las características de los productos listados o en las reglas del sistema de negociación y registro de operaciones sobre valores que administra el Mercado de Derivados Estandarizados de </w:t>
            </w:r>
            <w:proofErr w:type="spellStart"/>
            <w:r w:rsidRPr="007158C5">
              <w:rPr>
                <w:rFonts w:ascii="Calibri" w:hAnsi="Calibri"/>
                <w:sz w:val="18"/>
                <w:szCs w:val="18"/>
                <w:lang w:val="es-CO" w:eastAsia="es-CO"/>
              </w:rPr>
              <w:t>Commodities</w:t>
            </w:r>
            <w:proofErr w:type="spellEnd"/>
            <w:r w:rsidRPr="007158C5">
              <w:rPr>
                <w:rFonts w:ascii="Calibri" w:hAnsi="Calibri"/>
                <w:sz w:val="18"/>
                <w:szCs w:val="18"/>
                <w:lang w:val="es-CO" w:eastAsia="es-CO"/>
              </w:rPr>
              <w:t xml:space="preserve"> Energéticos de </w:t>
            </w:r>
            <w:proofErr w:type="spellStart"/>
            <w:r w:rsidRPr="007158C5">
              <w:rPr>
                <w:rFonts w:ascii="Calibri" w:hAnsi="Calibri"/>
                <w:sz w:val="18"/>
                <w:szCs w:val="18"/>
                <w:lang w:val="es-CO" w:eastAsia="es-CO"/>
              </w:rPr>
              <w:t>Derivex</w:t>
            </w:r>
            <w:proofErr w:type="spellEnd"/>
            <w:r w:rsidRPr="007158C5">
              <w:rPr>
                <w:rFonts w:ascii="Calibri" w:hAnsi="Calibri"/>
                <w:sz w:val="18"/>
                <w:szCs w:val="18"/>
                <w:lang w:val="es-CO" w:eastAsia="es-CO"/>
              </w:rPr>
              <w:t>, en provecho propio o de un tercero."</w:t>
            </w:r>
            <w:r w:rsidRPr="007158C5">
              <w:rPr>
                <w:rFonts w:ascii="Calibri" w:hAnsi="Calibri"/>
                <w:sz w:val="18"/>
                <w:szCs w:val="18"/>
                <w:lang w:val="es-CO" w:eastAsia="es-CO"/>
              </w:rPr>
              <w:br/>
            </w:r>
            <w:r w:rsidRPr="007158C5">
              <w:rPr>
                <w:rFonts w:ascii="Calibri" w:hAnsi="Calibri"/>
                <w:sz w:val="18"/>
                <w:szCs w:val="18"/>
                <w:lang w:val="es-CO" w:eastAsia="es-CO"/>
              </w:rPr>
              <w:lastRenderedPageBreak/>
              <w:br/>
              <w:t xml:space="preserve">Pág. 25 </w:t>
            </w:r>
            <w:r w:rsidRPr="007158C5">
              <w:rPr>
                <w:rFonts w:ascii="Calibri" w:hAnsi="Calibri"/>
                <w:sz w:val="18"/>
                <w:szCs w:val="18"/>
                <w:lang w:val="es-CO" w:eastAsia="es-CO"/>
              </w:rPr>
              <w:br/>
              <w:t xml:space="preserve">"El Consultor ha podido concluir que la estructura de gobierno corporativo con el que cuenta </w:t>
            </w:r>
            <w:proofErr w:type="spellStart"/>
            <w:r w:rsidRPr="007158C5">
              <w:rPr>
                <w:rFonts w:ascii="Calibri" w:hAnsi="Calibri"/>
                <w:sz w:val="18"/>
                <w:szCs w:val="18"/>
                <w:lang w:val="es-CO" w:eastAsia="es-CO"/>
              </w:rPr>
              <w:t>Derivex</w:t>
            </w:r>
            <w:proofErr w:type="spellEnd"/>
            <w:r w:rsidRPr="007158C5">
              <w:rPr>
                <w:rFonts w:ascii="Calibri" w:hAnsi="Calibri"/>
                <w:sz w:val="18"/>
                <w:szCs w:val="18"/>
                <w:lang w:val="es-CO" w:eastAsia="es-CO"/>
              </w:rPr>
              <w:t xml:space="preserve"> en su condición de diseñador, ejecutor y administrador del Mecanismo, no atentan contra los principios contemplados en el Anexo 1 de la Resolución 114. "</w:t>
            </w:r>
          </w:p>
        </w:tc>
      </w:tr>
    </w:tbl>
    <w:p w14:paraId="3BF54C88" w14:textId="77777777" w:rsidR="009E0FBE" w:rsidRDefault="009E0FBE">
      <w:pPr>
        <w:spacing w:before="0" w:after="0"/>
        <w:rPr>
          <w:b/>
          <w:szCs w:val="20"/>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7650"/>
      </w:tblGrid>
      <w:tr w:rsidR="001A6E86" w:rsidRPr="001A6E86" w14:paraId="1325CF54" w14:textId="77777777" w:rsidTr="00D31EE1">
        <w:trPr>
          <w:trHeight w:val="510"/>
        </w:trPr>
        <w:tc>
          <w:tcPr>
            <w:tcW w:w="1696" w:type="dxa"/>
            <w:shd w:val="clear" w:color="000000" w:fill="E7E6E6"/>
            <w:noWrap/>
            <w:vAlign w:val="center"/>
            <w:hideMark/>
          </w:tcPr>
          <w:p w14:paraId="6149394E" w14:textId="77777777" w:rsidR="001A6E86" w:rsidRPr="001A6E86" w:rsidRDefault="001A6E86">
            <w:pPr>
              <w:spacing w:before="0" w:after="0"/>
              <w:jc w:val="center"/>
              <w:rPr>
                <w:rFonts w:ascii="Calibri" w:hAnsi="Calibri"/>
                <w:b/>
                <w:bCs/>
                <w:color w:val="000000"/>
                <w:sz w:val="18"/>
                <w:szCs w:val="18"/>
                <w:lang w:val="es-CO" w:eastAsia="es-CO"/>
              </w:rPr>
            </w:pPr>
            <w:r w:rsidRPr="001A6E86">
              <w:rPr>
                <w:rFonts w:ascii="Calibri" w:hAnsi="Calibri"/>
                <w:b/>
                <w:bCs/>
                <w:color w:val="000000"/>
                <w:sz w:val="18"/>
                <w:szCs w:val="18"/>
                <w:lang w:val="es-CO" w:eastAsia="es-CO"/>
              </w:rPr>
              <w:t>Parámetro</w:t>
            </w:r>
          </w:p>
        </w:tc>
        <w:tc>
          <w:tcPr>
            <w:tcW w:w="7650" w:type="dxa"/>
            <w:shd w:val="clear" w:color="000000" w:fill="D9E1F2"/>
            <w:vAlign w:val="center"/>
            <w:hideMark/>
          </w:tcPr>
          <w:p w14:paraId="512853DB" w14:textId="77777777" w:rsidR="001A6E86" w:rsidRPr="001A6E86" w:rsidRDefault="001A6E86">
            <w:pPr>
              <w:spacing w:before="0" w:after="0"/>
              <w:jc w:val="center"/>
              <w:rPr>
                <w:rFonts w:ascii="Calibri" w:hAnsi="Calibri"/>
                <w:b/>
                <w:bCs/>
                <w:sz w:val="18"/>
                <w:szCs w:val="18"/>
                <w:lang w:val="es-CO" w:eastAsia="es-CO"/>
              </w:rPr>
            </w:pPr>
            <w:r w:rsidRPr="001A6E86">
              <w:rPr>
                <w:rFonts w:ascii="Calibri" w:hAnsi="Calibri"/>
                <w:b/>
                <w:bCs/>
                <w:sz w:val="18"/>
                <w:szCs w:val="18"/>
                <w:lang w:val="es-CO" w:eastAsia="es-CO"/>
              </w:rPr>
              <w:t>Condición mínima de supervisión del Promotor</w:t>
            </w:r>
          </w:p>
        </w:tc>
      </w:tr>
      <w:tr w:rsidR="001A6E86" w:rsidRPr="001A6E86" w14:paraId="6D232F47" w14:textId="77777777" w:rsidTr="00D31EE1">
        <w:trPr>
          <w:trHeight w:val="720"/>
        </w:trPr>
        <w:tc>
          <w:tcPr>
            <w:tcW w:w="1696" w:type="dxa"/>
            <w:shd w:val="clear" w:color="auto" w:fill="auto"/>
            <w:noWrap/>
            <w:hideMark/>
          </w:tcPr>
          <w:p w14:paraId="2C8F8A08" w14:textId="77777777" w:rsidR="001A6E86" w:rsidRPr="001A6E86" w:rsidRDefault="001A6E86">
            <w:pPr>
              <w:spacing w:before="0" w:after="0"/>
              <w:jc w:val="left"/>
              <w:rPr>
                <w:rFonts w:ascii="Calibri" w:hAnsi="Calibri"/>
                <w:b/>
                <w:bCs/>
                <w:color w:val="000000"/>
                <w:sz w:val="18"/>
                <w:szCs w:val="18"/>
                <w:lang w:val="es-CO" w:eastAsia="es-CO"/>
              </w:rPr>
            </w:pPr>
            <w:r w:rsidRPr="001A6E86">
              <w:rPr>
                <w:rFonts w:ascii="Calibri" w:hAnsi="Calibri"/>
                <w:b/>
                <w:bCs/>
                <w:color w:val="000000"/>
                <w:sz w:val="18"/>
                <w:szCs w:val="18"/>
                <w:lang w:val="es-CO" w:eastAsia="es-CO"/>
              </w:rPr>
              <w:t>Descripción</w:t>
            </w:r>
          </w:p>
        </w:tc>
        <w:tc>
          <w:tcPr>
            <w:tcW w:w="7650" w:type="dxa"/>
            <w:shd w:val="clear" w:color="auto" w:fill="auto"/>
            <w:hideMark/>
          </w:tcPr>
          <w:p w14:paraId="19AF1772" w14:textId="77777777" w:rsidR="001A6E86" w:rsidRPr="001A6E86" w:rsidRDefault="001A6E86">
            <w:pPr>
              <w:spacing w:before="0" w:after="0"/>
              <w:jc w:val="left"/>
              <w:rPr>
                <w:rFonts w:ascii="Calibri" w:hAnsi="Calibri"/>
                <w:sz w:val="18"/>
                <w:szCs w:val="18"/>
                <w:lang w:val="es-CO" w:eastAsia="es-CO"/>
              </w:rPr>
            </w:pPr>
            <w:r w:rsidRPr="001A6E86">
              <w:rPr>
                <w:rFonts w:ascii="Calibri" w:hAnsi="Calibri"/>
                <w:sz w:val="18"/>
                <w:szCs w:val="18"/>
                <w:lang w:val="es-CO" w:eastAsia="es-CO"/>
              </w:rPr>
              <w:t>El ejecutor del mecanismo, el administrador del mecanismo y el administrador de riesgo deben contar con la participación de por lo menos un agente vigilado por la Superintendencia de Servicios Públicos Domiciliarios (SSPD) o por la Superintendencia Financiera de Colombia (SFC), sujeto a las restricciones de participación que se establecen en el Anexo 3 de la Resolución CREG 114 de 2018</w:t>
            </w:r>
          </w:p>
        </w:tc>
      </w:tr>
      <w:tr w:rsidR="001A6E86" w:rsidRPr="001A6E86" w14:paraId="26286DB1" w14:textId="77777777" w:rsidTr="00D31EE1">
        <w:trPr>
          <w:trHeight w:val="480"/>
        </w:trPr>
        <w:tc>
          <w:tcPr>
            <w:tcW w:w="1696" w:type="dxa"/>
            <w:shd w:val="clear" w:color="auto" w:fill="auto"/>
            <w:noWrap/>
            <w:hideMark/>
          </w:tcPr>
          <w:p w14:paraId="79D99FD7" w14:textId="77777777" w:rsidR="001A6E86" w:rsidRPr="001A6E86" w:rsidRDefault="001A6E86">
            <w:pPr>
              <w:spacing w:before="0" w:after="0"/>
              <w:jc w:val="left"/>
              <w:rPr>
                <w:rFonts w:ascii="Calibri" w:hAnsi="Calibri"/>
                <w:b/>
                <w:bCs/>
                <w:color w:val="000000"/>
                <w:sz w:val="18"/>
                <w:szCs w:val="18"/>
                <w:lang w:val="es-CO" w:eastAsia="es-CO"/>
              </w:rPr>
            </w:pPr>
            <w:r w:rsidRPr="001A6E86">
              <w:rPr>
                <w:rFonts w:ascii="Calibri" w:hAnsi="Calibri"/>
                <w:b/>
                <w:bCs/>
                <w:color w:val="000000"/>
                <w:sz w:val="18"/>
                <w:szCs w:val="18"/>
                <w:lang w:val="es-CO" w:eastAsia="es-CO"/>
              </w:rPr>
              <w:t>Resumen de la evaluación</w:t>
            </w:r>
          </w:p>
        </w:tc>
        <w:tc>
          <w:tcPr>
            <w:tcW w:w="7650" w:type="dxa"/>
            <w:shd w:val="clear" w:color="auto" w:fill="auto"/>
            <w:hideMark/>
          </w:tcPr>
          <w:p w14:paraId="2CD5EE6C" w14:textId="77777777" w:rsidR="001A6E86" w:rsidRPr="001A6E86" w:rsidRDefault="001A6E86">
            <w:pPr>
              <w:spacing w:before="0" w:after="0"/>
              <w:jc w:val="left"/>
              <w:rPr>
                <w:rFonts w:ascii="Calibri" w:hAnsi="Calibri"/>
                <w:sz w:val="18"/>
                <w:szCs w:val="18"/>
                <w:lang w:val="es-CO" w:eastAsia="es-CO"/>
              </w:rPr>
            </w:pPr>
            <w:r w:rsidRPr="001A6E86">
              <w:rPr>
                <w:rFonts w:ascii="Calibri" w:hAnsi="Calibri"/>
                <w:sz w:val="18"/>
                <w:szCs w:val="18"/>
                <w:lang w:val="es-CO" w:eastAsia="es-CO"/>
              </w:rPr>
              <w:t>El mecanismo y sus reglamentos, así como todas las entidades que participan en el mecanismo están bajo la supervisión y control de la SFC. En este sentido se entiende cumplido el principio de supervisión.</w:t>
            </w:r>
          </w:p>
        </w:tc>
      </w:tr>
      <w:tr w:rsidR="001A6E86" w:rsidRPr="001A6E86" w14:paraId="5BBEE001" w14:textId="77777777" w:rsidTr="00D31EE1">
        <w:trPr>
          <w:trHeight w:val="300"/>
        </w:trPr>
        <w:tc>
          <w:tcPr>
            <w:tcW w:w="1696" w:type="dxa"/>
            <w:shd w:val="clear" w:color="auto" w:fill="auto"/>
            <w:hideMark/>
          </w:tcPr>
          <w:p w14:paraId="7804EB93" w14:textId="77777777" w:rsidR="001A6E86" w:rsidRPr="001A6E86" w:rsidRDefault="001A6E86">
            <w:pPr>
              <w:spacing w:before="0" w:after="0"/>
              <w:jc w:val="left"/>
              <w:rPr>
                <w:rFonts w:ascii="Calibri" w:hAnsi="Calibri"/>
                <w:b/>
                <w:bCs/>
                <w:color w:val="000000"/>
                <w:sz w:val="18"/>
                <w:szCs w:val="18"/>
                <w:lang w:val="es-CO" w:eastAsia="es-CO"/>
              </w:rPr>
            </w:pPr>
            <w:r w:rsidRPr="001A6E86">
              <w:rPr>
                <w:rFonts w:ascii="Calibri" w:hAnsi="Calibri"/>
                <w:b/>
                <w:bCs/>
                <w:color w:val="000000"/>
                <w:sz w:val="18"/>
                <w:szCs w:val="18"/>
                <w:lang w:val="es-CO" w:eastAsia="es-CO"/>
              </w:rPr>
              <w:t>Referencia en la propuesta</w:t>
            </w:r>
          </w:p>
        </w:tc>
        <w:tc>
          <w:tcPr>
            <w:tcW w:w="7650" w:type="dxa"/>
            <w:shd w:val="clear" w:color="auto" w:fill="auto"/>
            <w:hideMark/>
          </w:tcPr>
          <w:p w14:paraId="6FCE6328" w14:textId="77777777" w:rsidR="001A6E86" w:rsidRPr="001A6E86" w:rsidRDefault="001A6E86">
            <w:pPr>
              <w:spacing w:before="0" w:after="0"/>
              <w:jc w:val="left"/>
              <w:rPr>
                <w:rFonts w:ascii="Calibri" w:hAnsi="Calibri"/>
                <w:sz w:val="18"/>
                <w:szCs w:val="18"/>
                <w:lang w:val="es-CO" w:eastAsia="es-CO"/>
              </w:rPr>
            </w:pPr>
            <w:r w:rsidRPr="001A6E86">
              <w:rPr>
                <w:rFonts w:ascii="Calibri" w:hAnsi="Calibri"/>
                <w:b/>
                <w:bCs/>
                <w:sz w:val="18"/>
                <w:szCs w:val="18"/>
                <w:lang w:val="es-CO" w:eastAsia="es-CO"/>
              </w:rPr>
              <w:t>1. Capítulo 4 de la propuesta.</w:t>
            </w:r>
            <w:r w:rsidRPr="001A6E86">
              <w:rPr>
                <w:rFonts w:ascii="Calibri" w:hAnsi="Calibri"/>
                <w:sz w:val="18"/>
                <w:szCs w:val="18"/>
                <w:lang w:val="es-CO" w:eastAsia="es-CO"/>
              </w:rPr>
              <w:t xml:space="preserve"> Carta de presentación de la propuesta y definición de roles.</w:t>
            </w:r>
          </w:p>
        </w:tc>
      </w:tr>
      <w:tr w:rsidR="001A6E86" w:rsidRPr="001A6E86" w14:paraId="5CAA775C" w14:textId="77777777" w:rsidTr="00D31EE1">
        <w:trPr>
          <w:trHeight w:val="480"/>
        </w:trPr>
        <w:tc>
          <w:tcPr>
            <w:tcW w:w="1696" w:type="dxa"/>
            <w:shd w:val="clear" w:color="auto" w:fill="auto"/>
            <w:hideMark/>
          </w:tcPr>
          <w:p w14:paraId="44A4648C" w14:textId="77777777" w:rsidR="001A6E86" w:rsidRPr="001A6E86" w:rsidRDefault="001A6E86">
            <w:pPr>
              <w:spacing w:before="0" w:after="0"/>
              <w:jc w:val="left"/>
              <w:rPr>
                <w:rFonts w:ascii="Calibri" w:hAnsi="Calibri"/>
                <w:b/>
                <w:bCs/>
                <w:color w:val="000000"/>
                <w:sz w:val="18"/>
                <w:szCs w:val="18"/>
                <w:lang w:val="es-CO" w:eastAsia="es-CO"/>
              </w:rPr>
            </w:pPr>
            <w:r w:rsidRPr="001A6E86">
              <w:rPr>
                <w:rFonts w:ascii="Calibri" w:hAnsi="Calibri"/>
                <w:b/>
                <w:bCs/>
                <w:color w:val="000000"/>
                <w:sz w:val="18"/>
                <w:szCs w:val="18"/>
                <w:lang w:val="es-CO" w:eastAsia="es-CO"/>
              </w:rPr>
              <w:t>Juan Pablo Amorocho</w:t>
            </w:r>
            <w:r w:rsidRPr="001A6E86">
              <w:rPr>
                <w:rFonts w:ascii="Calibri" w:hAnsi="Calibri"/>
                <w:b/>
                <w:bCs/>
                <w:color w:val="000000"/>
                <w:sz w:val="18"/>
                <w:szCs w:val="18"/>
                <w:lang w:val="es-CO" w:eastAsia="es-CO"/>
              </w:rPr>
              <w:br/>
              <w:t>(Mercados)</w:t>
            </w:r>
          </w:p>
        </w:tc>
        <w:tc>
          <w:tcPr>
            <w:tcW w:w="7650" w:type="dxa"/>
            <w:shd w:val="clear" w:color="auto" w:fill="auto"/>
            <w:hideMark/>
          </w:tcPr>
          <w:p w14:paraId="71B2350F" w14:textId="77777777" w:rsidR="001A6E86" w:rsidRPr="001A6E86" w:rsidRDefault="001A6E86">
            <w:pPr>
              <w:spacing w:before="0" w:after="0"/>
              <w:jc w:val="left"/>
              <w:rPr>
                <w:rFonts w:ascii="Calibri" w:hAnsi="Calibri"/>
                <w:sz w:val="18"/>
                <w:szCs w:val="18"/>
                <w:lang w:val="es-CO" w:eastAsia="es-CO"/>
              </w:rPr>
            </w:pPr>
            <w:r w:rsidRPr="001A6E86">
              <w:rPr>
                <w:rFonts w:ascii="Calibri" w:hAnsi="Calibri"/>
                <w:sz w:val="18"/>
                <w:szCs w:val="18"/>
                <w:lang w:val="es-CO" w:eastAsia="es-CO"/>
              </w:rPr>
              <w:t> </w:t>
            </w:r>
          </w:p>
        </w:tc>
      </w:tr>
      <w:tr w:rsidR="001A6E86" w:rsidRPr="001A6E86" w14:paraId="0CF8C79D" w14:textId="77777777" w:rsidTr="00D31EE1">
        <w:trPr>
          <w:trHeight w:val="743"/>
        </w:trPr>
        <w:tc>
          <w:tcPr>
            <w:tcW w:w="1696" w:type="dxa"/>
            <w:shd w:val="clear" w:color="auto" w:fill="auto"/>
            <w:hideMark/>
          </w:tcPr>
          <w:p w14:paraId="12B1E874" w14:textId="77777777" w:rsidR="001A6E86" w:rsidRPr="001A6E86" w:rsidRDefault="001A6E86">
            <w:pPr>
              <w:spacing w:before="0" w:after="0"/>
              <w:jc w:val="left"/>
              <w:rPr>
                <w:rFonts w:ascii="Calibri" w:hAnsi="Calibri"/>
                <w:b/>
                <w:bCs/>
                <w:color w:val="000000"/>
                <w:sz w:val="18"/>
                <w:szCs w:val="18"/>
                <w:lang w:val="es-CO" w:eastAsia="es-CO"/>
              </w:rPr>
            </w:pPr>
            <w:r w:rsidRPr="001A6E86">
              <w:rPr>
                <w:rFonts w:ascii="Calibri" w:hAnsi="Calibri"/>
                <w:b/>
                <w:bCs/>
                <w:color w:val="000000"/>
                <w:sz w:val="18"/>
                <w:szCs w:val="18"/>
                <w:lang w:val="es-CO" w:eastAsia="es-CO"/>
              </w:rPr>
              <w:t>Diego Jara</w:t>
            </w:r>
            <w:r w:rsidRPr="001A6E86">
              <w:rPr>
                <w:rFonts w:ascii="Calibri" w:hAnsi="Calibri"/>
                <w:b/>
                <w:bCs/>
                <w:color w:val="000000"/>
                <w:sz w:val="18"/>
                <w:szCs w:val="18"/>
                <w:lang w:val="es-CO" w:eastAsia="es-CO"/>
              </w:rPr>
              <w:br/>
              <w:t>(Riesgos)</w:t>
            </w:r>
          </w:p>
        </w:tc>
        <w:tc>
          <w:tcPr>
            <w:tcW w:w="7650" w:type="dxa"/>
            <w:shd w:val="clear" w:color="auto" w:fill="auto"/>
            <w:hideMark/>
          </w:tcPr>
          <w:p w14:paraId="4E2F706C" w14:textId="77777777" w:rsidR="001A6E86" w:rsidRPr="001A6E86" w:rsidRDefault="001A6E86">
            <w:pPr>
              <w:spacing w:before="0" w:after="0"/>
              <w:jc w:val="left"/>
              <w:rPr>
                <w:rFonts w:ascii="Calibri" w:hAnsi="Calibri"/>
                <w:sz w:val="18"/>
                <w:szCs w:val="18"/>
                <w:lang w:val="es-CO" w:eastAsia="es-CO"/>
              </w:rPr>
            </w:pPr>
            <w:proofErr w:type="spellStart"/>
            <w:r w:rsidRPr="001A6E86">
              <w:rPr>
                <w:rFonts w:ascii="Calibri" w:hAnsi="Calibri"/>
                <w:sz w:val="18"/>
                <w:szCs w:val="18"/>
                <w:lang w:val="es-CO" w:eastAsia="es-CO"/>
              </w:rPr>
              <w:t>Pág</w:t>
            </w:r>
            <w:proofErr w:type="spellEnd"/>
            <w:r w:rsidRPr="001A6E86">
              <w:rPr>
                <w:rFonts w:ascii="Calibri" w:hAnsi="Calibri"/>
                <w:sz w:val="18"/>
                <w:szCs w:val="18"/>
                <w:lang w:val="es-CO" w:eastAsia="es-CO"/>
              </w:rPr>
              <w:t xml:space="preserve"> 8. En términos de los roles en la propuesta en el informe se establece los siguiente: "(...) notar que las dos entidades que presentan la propuesta – </w:t>
            </w:r>
            <w:proofErr w:type="spellStart"/>
            <w:r w:rsidRPr="001A6E86">
              <w:rPr>
                <w:rFonts w:ascii="Calibri" w:hAnsi="Calibri"/>
                <w:sz w:val="18"/>
                <w:szCs w:val="18"/>
                <w:lang w:val="es-CO" w:eastAsia="es-CO"/>
              </w:rPr>
              <w:t>Derivex</w:t>
            </w:r>
            <w:proofErr w:type="spellEnd"/>
            <w:r w:rsidRPr="001A6E86">
              <w:rPr>
                <w:rFonts w:ascii="Calibri" w:hAnsi="Calibri"/>
                <w:sz w:val="18"/>
                <w:szCs w:val="18"/>
                <w:lang w:val="es-CO" w:eastAsia="es-CO"/>
              </w:rPr>
              <w:t xml:space="preserve"> y la CRCC – son vigiladas por la Superintendencia Financiera de Colombia (SFC) y están sujetas a lo dispuesto en el Decreto Único 2555 de 2010, lo cual define requisitos mínimos para su operación."</w:t>
            </w:r>
          </w:p>
        </w:tc>
      </w:tr>
      <w:tr w:rsidR="001A6E86" w:rsidRPr="001A6E86" w14:paraId="561D784F" w14:textId="77777777" w:rsidTr="00D31EE1">
        <w:trPr>
          <w:trHeight w:val="3375"/>
        </w:trPr>
        <w:tc>
          <w:tcPr>
            <w:tcW w:w="1696" w:type="dxa"/>
            <w:shd w:val="clear" w:color="auto" w:fill="auto"/>
            <w:hideMark/>
          </w:tcPr>
          <w:p w14:paraId="3F0E867C" w14:textId="77777777" w:rsidR="001A6E86" w:rsidRPr="001A6E86" w:rsidRDefault="001A6E86">
            <w:pPr>
              <w:spacing w:before="0" w:after="0"/>
              <w:jc w:val="left"/>
              <w:rPr>
                <w:rFonts w:ascii="Calibri" w:hAnsi="Calibri"/>
                <w:b/>
                <w:bCs/>
                <w:color w:val="000000"/>
                <w:sz w:val="18"/>
                <w:szCs w:val="18"/>
                <w:lang w:val="es-CO" w:eastAsia="es-CO"/>
              </w:rPr>
            </w:pPr>
            <w:r w:rsidRPr="001A6E86">
              <w:rPr>
                <w:rFonts w:ascii="Calibri" w:hAnsi="Calibri"/>
                <w:b/>
                <w:bCs/>
                <w:color w:val="000000"/>
                <w:sz w:val="18"/>
                <w:szCs w:val="18"/>
                <w:lang w:val="es-CO" w:eastAsia="es-CO"/>
              </w:rPr>
              <w:t>Roberto Borrás</w:t>
            </w:r>
            <w:r w:rsidRPr="001A6E86">
              <w:rPr>
                <w:rFonts w:ascii="Calibri" w:hAnsi="Calibri"/>
                <w:b/>
                <w:bCs/>
                <w:color w:val="000000"/>
                <w:sz w:val="18"/>
                <w:szCs w:val="18"/>
                <w:lang w:val="es-CO" w:eastAsia="es-CO"/>
              </w:rPr>
              <w:br/>
              <w:t>(Gobierno corporativo)</w:t>
            </w:r>
          </w:p>
        </w:tc>
        <w:tc>
          <w:tcPr>
            <w:tcW w:w="7650" w:type="dxa"/>
            <w:shd w:val="clear" w:color="auto" w:fill="auto"/>
            <w:vAlign w:val="bottom"/>
            <w:hideMark/>
          </w:tcPr>
          <w:p w14:paraId="2B4A2295" w14:textId="77777777" w:rsidR="001A6E86" w:rsidRPr="001A6E86" w:rsidRDefault="001A6E86">
            <w:pPr>
              <w:spacing w:before="0" w:after="0"/>
              <w:jc w:val="left"/>
              <w:rPr>
                <w:rFonts w:ascii="Calibri" w:hAnsi="Calibri"/>
                <w:sz w:val="18"/>
                <w:szCs w:val="18"/>
                <w:lang w:val="es-CO" w:eastAsia="es-CO"/>
              </w:rPr>
            </w:pPr>
            <w:r w:rsidRPr="001A6E86">
              <w:rPr>
                <w:rFonts w:ascii="Calibri" w:hAnsi="Calibri"/>
                <w:sz w:val="18"/>
                <w:szCs w:val="18"/>
                <w:lang w:val="es-CO" w:eastAsia="es-CO"/>
              </w:rPr>
              <w:t>Pág. 8</w:t>
            </w:r>
            <w:r w:rsidRPr="001A6E86">
              <w:rPr>
                <w:rFonts w:ascii="Calibri" w:hAnsi="Calibri"/>
                <w:sz w:val="18"/>
                <w:szCs w:val="18"/>
                <w:lang w:val="es-CO" w:eastAsia="es-CO"/>
              </w:rPr>
              <w:br/>
              <w:t xml:space="preserve">"tanto </w:t>
            </w:r>
            <w:proofErr w:type="spellStart"/>
            <w:r w:rsidRPr="001A6E86">
              <w:rPr>
                <w:rFonts w:ascii="Calibri" w:hAnsi="Calibri"/>
                <w:sz w:val="18"/>
                <w:szCs w:val="18"/>
                <w:lang w:val="es-CO" w:eastAsia="es-CO"/>
              </w:rPr>
              <w:t>Derivex</w:t>
            </w:r>
            <w:proofErr w:type="spellEnd"/>
            <w:r w:rsidRPr="001A6E86">
              <w:rPr>
                <w:rFonts w:ascii="Calibri" w:hAnsi="Calibri"/>
                <w:sz w:val="18"/>
                <w:szCs w:val="18"/>
                <w:lang w:val="es-CO" w:eastAsia="es-CO"/>
              </w:rPr>
              <w:t xml:space="preserve"> como la CRCC se encuentran sometidas a la inspección, vigilancia y control de la SFC, esto implica, entre otras cosas, que, desde su concepción misma, se encuentran sujetas al escrutinio de la regulación financiera y a las instrucciones que imparta dicha autoridad de supervisión".</w:t>
            </w:r>
            <w:r w:rsidRPr="001A6E86">
              <w:rPr>
                <w:rFonts w:ascii="Calibri" w:hAnsi="Calibri"/>
                <w:sz w:val="18"/>
                <w:szCs w:val="18"/>
                <w:lang w:val="es-CO" w:eastAsia="es-CO"/>
              </w:rPr>
              <w:br/>
            </w:r>
            <w:r w:rsidRPr="001A6E86">
              <w:rPr>
                <w:rFonts w:ascii="Calibri" w:hAnsi="Calibri"/>
                <w:sz w:val="18"/>
                <w:szCs w:val="18"/>
                <w:lang w:val="es-CO" w:eastAsia="es-CO"/>
              </w:rPr>
              <w:br/>
              <w:t>Pág. 11</w:t>
            </w:r>
            <w:r w:rsidRPr="001A6E86">
              <w:rPr>
                <w:rFonts w:ascii="Calibri" w:hAnsi="Calibri"/>
                <w:sz w:val="18"/>
                <w:szCs w:val="18"/>
                <w:lang w:val="es-CO" w:eastAsia="es-CO"/>
              </w:rPr>
              <w:br/>
              <w:t>"Debe destacarse además que la SFC ha previsto en el modelo de supervisión en base a riesgos la evaluación de distintos elementos de las entidades vigiladas: Actividades significativas, Riesgos inherentes y Funciones de supervisión, para determinar el Riesgo Neto.</w:t>
            </w:r>
            <w:r w:rsidRPr="001A6E86">
              <w:rPr>
                <w:rFonts w:ascii="Calibri" w:hAnsi="Calibri"/>
                <w:sz w:val="18"/>
                <w:szCs w:val="18"/>
                <w:lang w:val="es-CO" w:eastAsia="es-CO"/>
              </w:rPr>
              <w:br/>
              <w:t>En particular el componente de Funciones de Supervisión incorpora el análisis de elementos de gobierno corporativo, entre ellos el funcionamiento de órganos como la Junta Directiva, la Alta Gerencia y la Auditoría Interna".</w:t>
            </w:r>
            <w:r w:rsidRPr="001A6E86">
              <w:rPr>
                <w:rFonts w:ascii="Calibri" w:hAnsi="Calibri"/>
                <w:sz w:val="18"/>
                <w:szCs w:val="18"/>
                <w:lang w:val="es-CO" w:eastAsia="es-CO"/>
              </w:rPr>
              <w:br/>
            </w:r>
            <w:r w:rsidRPr="001A6E86">
              <w:rPr>
                <w:rFonts w:ascii="Calibri" w:hAnsi="Calibri"/>
                <w:sz w:val="18"/>
                <w:szCs w:val="18"/>
                <w:lang w:val="es-CO" w:eastAsia="es-CO"/>
              </w:rPr>
              <w:br/>
              <w:t>Pág. 22</w:t>
            </w:r>
            <w:r w:rsidRPr="001A6E86">
              <w:rPr>
                <w:rFonts w:ascii="Calibri" w:hAnsi="Calibri"/>
                <w:sz w:val="18"/>
                <w:szCs w:val="18"/>
                <w:lang w:val="es-CO" w:eastAsia="es-CO"/>
              </w:rPr>
              <w:br/>
              <w:t xml:space="preserve">"...como se desarrolló en el capítulo 2.1 del presente informe, tanto </w:t>
            </w:r>
            <w:proofErr w:type="spellStart"/>
            <w:r w:rsidRPr="001A6E86">
              <w:rPr>
                <w:rFonts w:ascii="Calibri" w:hAnsi="Calibri"/>
                <w:sz w:val="18"/>
                <w:szCs w:val="18"/>
                <w:lang w:val="es-CO" w:eastAsia="es-CO"/>
              </w:rPr>
              <w:t>Derivex</w:t>
            </w:r>
            <w:proofErr w:type="spellEnd"/>
            <w:r w:rsidRPr="001A6E86">
              <w:rPr>
                <w:rFonts w:ascii="Calibri" w:hAnsi="Calibri"/>
                <w:sz w:val="18"/>
                <w:szCs w:val="18"/>
                <w:lang w:val="es-CO" w:eastAsia="es-CO"/>
              </w:rPr>
              <w:t xml:space="preserve"> como la CRCC se encuentran sometidas a la inspección, vigilancia y control de la SFC, con lo cual esta condición, al igual que las anteriores, se entiende debidamente acreditada".</w:t>
            </w:r>
          </w:p>
        </w:tc>
      </w:tr>
    </w:tbl>
    <w:p w14:paraId="4F2629EC" w14:textId="77777777" w:rsidR="00442D4A" w:rsidRDefault="00442D4A">
      <w:pPr>
        <w:spacing w:before="0" w:after="0"/>
        <w:jc w:val="left"/>
      </w:pPr>
      <w:bookmarkStart w:id="24" w:name="_Ref54618872"/>
      <w:bookmarkStart w:id="25" w:name="_Ref54714751"/>
      <w:bookmarkEnd w:id="22"/>
      <w:bookmarkEnd w:id="23"/>
    </w:p>
    <w:p w14:paraId="0B73ABEF" w14:textId="77777777" w:rsidR="00442D4A" w:rsidRDefault="00442D4A">
      <w:pPr>
        <w:spacing w:before="0" w:after="0"/>
        <w:jc w:val="left"/>
        <w:rPr>
          <w:b/>
          <w:caps/>
          <w:szCs w:val="20"/>
          <w:lang w:val="es-CO"/>
        </w:rPr>
      </w:pPr>
      <w:r>
        <w:br w:type="page"/>
      </w:r>
    </w:p>
    <w:p w14:paraId="5EBF8B5B" w14:textId="0623189B" w:rsidR="004309C4" w:rsidRDefault="004309C4">
      <w:pPr>
        <w:pStyle w:val="Ttulo1"/>
        <w:numPr>
          <w:ilvl w:val="0"/>
          <w:numId w:val="0"/>
        </w:numPr>
        <w:spacing w:before="0" w:after="0"/>
        <w:rPr>
          <w:b w:val="0"/>
        </w:rPr>
      </w:pPr>
      <w:r w:rsidRPr="00AC1E60">
        <w:lastRenderedPageBreak/>
        <w:t xml:space="preserve">ANEXO </w:t>
      </w:r>
      <w:bookmarkEnd w:id="24"/>
      <w:bookmarkEnd w:id="25"/>
      <w:r w:rsidR="00070587">
        <w:t>2</w:t>
      </w:r>
    </w:p>
    <w:p w14:paraId="45202814" w14:textId="256CB2F7" w:rsidR="0093047A" w:rsidRPr="00963681" w:rsidRDefault="0093047A">
      <w:pPr>
        <w:spacing w:before="0" w:after="0"/>
        <w:jc w:val="center"/>
        <w:rPr>
          <w:b/>
        </w:rPr>
      </w:pPr>
      <w:r w:rsidRPr="00963681">
        <w:rPr>
          <w:b/>
        </w:rPr>
        <w:t xml:space="preserve">Indicadores de </w:t>
      </w:r>
      <w:r w:rsidR="00963681" w:rsidRPr="00963681">
        <w:rPr>
          <w:b/>
        </w:rPr>
        <w:t xml:space="preserve">evaluación </w:t>
      </w:r>
      <w:r w:rsidR="00963681" w:rsidRPr="002707D2">
        <w:rPr>
          <w:b/>
        </w:rPr>
        <w:t>del resultado</w:t>
      </w:r>
      <w:r w:rsidR="00963681">
        <w:rPr>
          <w:b/>
        </w:rPr>
        <w:t xml:space="preserve"> del mecanismo</w:t>
      </w:r>
    </w:p>
    <w:p w14:paraId="233C0E83" w14:textId="5E84A6C6" w:rsidR="0078596E" w:rsidRDefault="0078596E">
      <w:pPr>
        <w:spacing w:before="0" w:after="0"/>
        <w:jc w:val="left"/>
        <w:rPr>
          <w:bCs/>
        </w:rPr>
      </w:pPr>
    </w:p>
    <w:p w14:paraId="43080D05" w14:textId="7C236450" w:rsidR="005E47AC" w:rsidRPr="00D4711B" w:rsidRDefault="005E47AC" w:rsidP="001C7682">
      <w:pPr>
        <w:pStyle w:val="Prrafodelista"/>
        <w:numPr>
          <w:ilvl w:val="0"/>
          <w:numId w:val="13"/>
        </w:numPr>
        <w:spacing w:before="0" w:after="0"/>
        <w:ind w:left="567" w:hanging="567"/>
        <w:jc w:val="left"/>
        <w:rPr>
          <w:b/>
        </w:rPr>
      </w:pPr>
      <w:r w:rsidRPr="00D4711B">
        <w:rPr>
          <w:b/>
        </w:rPr>
        <w:t>Indicadores de compete</w:t>
      </w:r>
      <w:r w:rsidR="00EB64DF" w:rsidRPr="00D4711B">
        <w:rPr>
          <w:b/>
        </w:rPr>
        <w:t>ncia:</w:t>
      </w:r>
    </w:p>
    <w:p w14:paraId="5F3D335F" w14:textId="77777777" w:rsidR="00057EB5" w:rsidRPr="002707D2" w:rsidRDefault="00057EB5">
      <w:pPr>
        <w:spacing w:before="0" w:after="0"/>
        <w:jc w:val="left"/>
        <w:rPr>
          <w:bCs/>
        </w:rPr>
      </w:pPr>
    </w:p>
    <w:p w14:paraId="6B8DF7BF" w14:textId="3B9596D9" w:rsidR="00F175C6" w:rsidRDefault="00D17361" w:rsidP="001C7682">
      <w:pPr>
        <w:pStyle w:val="Prrafodelista"/>
        <w:numPr>
          <w:ilvl w:val="0"/>
          <w:numId w:val="8"/>
        </w:numPr>
        <w:spacing w:before="0" w:after="0"/>
        <w:jc w:val="left"/>
        <w:rPr>
          <w:bCs/>
        </w:rPr>
      </w:pPr>
      <w:r w:rsidRPr="00C46227">
        <w:rPr>
          <w:bCs/>
        </w:rPr>
        <w:t>Calce de operaciones</w:t>
      </w:r>
      <w:r w:rsidR="00A76ADB" w:rsidRPr="00C46227">
        <w:rPr>
          <w:bCs/>
        </w:rPr>
        <w:t xml:space="preserve"> de venta</w:t>
      </w:r>
      <w:r w:rsidR="00345995" w:rsidRPr="00C46227">
        <w:rPr>
          <w:bCs/>
        </w:rPr>
        <w:t xml:space="preserve"> en </w:t>
      </w:r>
      <w:r w:rsidR="00C46227" w:rsidRPr="00D4711B">
        <w:rPr>
          <w:bCs/>
        </w:rPr>
        <w:t>Convocatorias de Participación en Subastas de Cierre</w:t>
      </w:r>
      <w:r w:rsidR="00524036">
        <w:rPr>
          <w:bCs/>
        </w:rPr>
        <w:t xml:space="preserve"> durante el Periodo Anual de Evaluación</w:t>
      </w:r>
    </w:p>
    <w:p w14:paraId="0ACA7F5A" w14:textId="239B04A4" w:rsidR="00A76ADB" w:rsidRDefault="00A76ADB">
      <w:pPr>
        <w:spacing w:before="0" w:after="0"/>
        <w:jc w:val="left"/>
        <w:rPr>
          <w:bCs/>
        </w:rPr>
      </w:pPr>
    </w:p>
    <w:p w14:paraId="65A2392A" w14:textId="0A50863C" w:rsidR="00A76ADB" w:rsidRPr="00D33B1F" w:rsidRDefault="00A76ADB">
      <w:pPr>
        <w:pStyle w:val="Prrafodelista"/>
        <w:spacing w:before="0" w:after="0"/>
        <w:ind w:left="851"/>
        <w:rPr>
          <w:iCs/>
          <w:sz w:val="22"/>
          <w:szCs w:val="22"/>
        </w:rPr>
      </w:pPr>
      <m:oMath>
        <m:r>
          <w:rPr>
            <w:rFonts w:ascii="Cambria Math" w:hAnsi="Cambria Math"/>
            <w:sz w:val="22"/>
            <w:szCs w:val="22"/>
          </w:rPr>
          <m:t>Calces_venta= </m:t>
        </m:r>
        <m:f>
          <m:fPr>
            <m:ctrlPr>
              <w:rPr>
                <w:rFonts w:ascii="Cambria Math" w:hAnsi="Cambria Math"/>
                <w:i/>
                <w:iCs/>
                <w:sz w:val="22"/>
                <w:szCs w:val="22"/>
              </w:rPr>
            </m:ctrlPr>
          </m:fPr>
          <m:num>
            <m:r>
              <w:rPr>
                <w:rFonts w:ascii="Cambria Math" w:hAnsi="Cambria Math"/>
                <w:sz w:val="22"/>
                <w:szCs w:val="22"/>
              </w:rPr>
              <m:t>Total posturas de venta calzadas</m:t>
            </m:r>
          </m:num>
          <m:den>
            <m:r>
              <w:rPr>
                <w:rFonts w:ascii="Cambria Math" w:hAnsi="Cambria Math"/>
                <w:sz w:val="22"/>
                <w:szCs w:val="22"/>
              </w:rPr>
              <m:t>Total posturas de venta en mecanismo</m:t>
            </m:r>
          </m:den>
        </m:f>
        <m:r>
          <w:rPr>
            <w:rFonts w:ascii="Cambria Math" w:hAnsi="Cambria Math"/>
            <w:sz w:val="22"/>
            <w:szCs w:val="22"/>
          </w:rPr>
          <m:t>*100</m:t>
        </m:r>
      </m:oMath>
      <w:r w:rsidRPr="00D33B1F">
        <w:rPr>
          <w:iCs/>
          <w:sz w:val="22"/>
          <w:szCs w:val="22"/>
        </w:rPr>
        <w:tab/>
      </w:r>
      <w:r w:rsidRPr="00D33B1F">
        <w:rPr>
          <w:iCs/>
          <w:sz w:val="22"/>
          <w:szCs w:val="22"/>
        </w:rPr>
        <w:tab/>
      </w:r>
      <w:r>
        <w:rPr>
          <w:iCs/>
          <w:sz w:val="22"/>
          <w:szCs w:val="22"/>
        </w:rPr>
        <w:tab/>
      </w:r>
    </w:p>
    <w:p w14:paraId="0D0DCDF0" w14:textId="7C58C76A" w:rsidR="00A76ADB" w:rsidRDefault="00A76ADB">
      <w:pPr>
        <w:spacing w:before="0" w:after="0"/>
        <w:jc w:val="left"/>
        <w:rPr>
          <w:bCs/>
        </w:rPr>
      </w:pPr>
    </w:p>
    <w:p w14:paraId="74E72D42" w14:textId="77777777" w:rsidR="00057EB5" w:rsidRDefault="00057EB5">
      <w:pPr>
        <w:spacing w:before="0" w:after="0"/>
        <w:jc w:val="left"/>
        <w:rPr>
          <w:bCs/>
        </w:rPr>
      </w:pPr>
    </w:p>
    <w:p w14:paraId="791DA5E9" w14:textId="4F393E02" w:rsidR="00C46227" w:rsidRPr="00C46227" w:rsidRDefault="006C2F26" w:rsidP="001C7682">
      <w:pPr>
        <w:pStyle w:val="Prrafodelista"/>
        <w:numPr>
          <w:ilvl w:val="0"/>
          <w:numId w:val="8"/>
        </w:numPr>
        <w:spacing w:before="0" w:after="0"/>
        <w:jc w:val="left"/>
        <w:rPr>
          <w:bCs/>
        </w:rPr>
      </w:pPr>
      <w:r w:rsidRPr="00D17361">
        <w:rPr>
          <w:bCs/>
        </w:rPr>
        <w:t>Calce de operaciones</w:t>
      </w:r>
      <w:r>
        <w:rPr>
          <w:bCs/>
        </w:rPr>
        <w:t xml:space="preserve"> de compra</w:t>
      </w:r>
      <w:r w:rsidR="003C3A3E">
        <w:rPr>
          <w:bCs/>
        </w:rPr>
        <w:t xml:space="preserve"> </w:t>
      </w:r>
      <w:r w:rsidR="003C3A3E" w:rsidRPr="00D4711B">
        <w:t xml:space="preserve">en </w:t>
      </w:r>
      <w:r w:rsidR="00C46227" w:rsidRPr="00D4711B">
        <w:rPr>
          <w:bCs/>
        </w:rPr>
        <w:t>Convocatorias de Participación en Subastas de Cierre</w:t>
      </w:r>
      <w:r w:rsidR="00524036">
        <w:rPr>
          <w:bCs/>
        </w:rPr>
        <w:t xml:space="preserve"> durante el Periodo Anual de Evaluación</w:t>
      </w:r>
    </w:p>
    <w:p w14:paraId="3DDF999A" w14:textId="46147FB6" w:rsidR="006C2F26" w:rsidRDefault="006C2F26">
      <w:pPr>
        <w:spacing w:before="0" w:after="0"/>
        <w:ind w:left="360"/>
        <w:jc w:val="left"/>
        <w:rPr>
          <w:bCs/>
        </w:rPr>
      </w:pPr>
    </w:p>
    <w:p w14:paraId="582DAC2C" w14:textId="4E3A5D40" w:rsidR="006C2F26" w:rsidRDefault="000027C8">
      <w:pPr>
        <w:pStyle w:val="Prrafodelista"/>
        <w:spacing w:before="0" w:after="0"/>
        <w:ind w:left="851"/>
        <w:rPr>
          <w:iCs/>
          <w:sz w:val="22"/>
          <w:szCs w:val="22"/>
        </w:rPr>
      </w:pPr>
      <m:oMath>
        <m:r>
          <w:rPr>
            <w:rFonts w:ascii="Cambria Math" w:hAnsi="Cambria Math"/>
            <w:sz w:val="22"/>
            <w:szCs w:val="22"/>
          </w:rPr>
          <m:t> Calces_compra=</m:t>
        </m:r>
        <m:f>
          <m:fPr>
            <m:ctrlPr>
              <w:rPr>
                <w:rFonts w:ascii="Cambria Math" w:hAnsi="Cambria Math"/>
                <w:i/>
                <w:iCs/>
                <w:sz w:val="22"/>
                <w:szCs w:val="22"/>
              </w:rPr>
            </m:ctrlPr>
          </m:fPr>
          <m:num>
            <m:r>
              <w:rPr>
                <w:rFonts w:ascii="Cambria Math" w:hAnsi="Cambria Math"/>
                <w:sz w:val="22"/>
                <w:szCs w:val="22"/>
              </w:rPr>
              <m:t>Total posturas de compra calzadas</m:t>
            </m:r>
          </m:num>
          <m:den>
            <m:r>
              <w:rPr>
                <w:rFonts w:ascii="Cambria Math" w:hAnsi="Cambria Math"/>
                <w:sz w:val="22"/>
                <w:szCs w:val="22"/>
              </w:rPr>
              <m:t>Total posturas de compra en mecanismo</m:t>
            </m:r>
          </m:den>
        </m:f>
        <m:r>
          <w:rPr>
            <w:rFonts w:ascii="Cambria Math" w:hAnsi="Cambria Math"/>
            <w:sz w:val="22"/>
            <w:szCs w:val="22"/>
          </w:rPr>
          <m:t>*100</m:t>
        </m:r>
      </m:oMath>
      <w:r w:rsidR="006C2F26" w:rsidRPr="00D33B1F">
        <w:rPr>
          <w:iCs/>
          <w:sz w:val="22"/>
          <w:szCs w:val="22"/>
        </w:rPr>
        <w:tab/>
      </w:r>
      <w:r w:rsidR="006C2F26">
        <w:rPr>
          <w:iCs/>
          <w:sz w:val="22"/>
          <w:szCs w:val="22"/>
        </w:rPr>
        <w:tab/>
      </w:r>
      <w:r w:rsidR="006C2F26">
        <w:rPr>
          <w:iCs/>
          <w:sz w:val="22"/>
          <w:szCs w:val="22"/>
        </w:rPr>
        <w:tab/>
      </w:r>
    </w:p>
    <w:p w14:paraId="1B744FFF" w14:textId="3323980E" w:rsidR="006C2F26" w:rsidRDefault="006C2F26">
      <w:pPr>
        <w:spacing w:before="0" w:after="0"/>
        <w:jc w:val="left"/>
        <w:rPr>
          <w:bCs/>
        </w:rPr>
      </w:pPr>
    </w:p>
    <w:p w14:paraId="778D21DB" w14:textId="77777777" w:rsidR="00057EB5" w:rsidRDefault="00057EB5">
      <w:pPr>
        <w:spacing w:before="0" w:after="0"/>
        <w:jc w:val="left"/>
        <w:rPr>
          <w:bCs/>
        </w:rPr>
      </w:pPr>
    </w:p>
    <w:p w14:paraId="081CBB47" w14:textId="19AFBA96" w:rsidR="003C46AA" w:rsidRPr="00C46227" w:rsidRDefault="003C46AA" w:rsidP="001C7682">
      <w:pPr>
        <w:pStyle w:val="Prrafodelista"/>
        <w:numPr>
          <w:ilvl w:val="0"/>
          <w:numId w:val="8"/>
        </w:numPr>
        <w:spacing w:before="0" w:after="0"/>
        <w:jc w:val="left"/>
      </w:pPr>
      <w:bookmarkStart w:id="26" w:name="_Hlk50105341"/>
      <w:r>
        <w:t xml:space="preserve">Participación de agentes </w:t>
      </w:r>
      <w:r w:rsidR="00C46227" w:rsidRPr="00D4711B">
        <w:rPr>
          <w:bCs/>
        </w:rPr>
        <w:t>en Convocatorias de Participación en Subastas de Cierre</w:t>
      </w:r>
      <w:r w:rsidR="00524036">
        <w:rPr>
          <w:bCs/>
        </w:rPr>
        <w:t xml:space="preserve"> durante el Periodo Anual de Evaluación</w:t>
      </w:r>
    </w:p>
    <w:p w14:paraId="51495AB9" w14:textId="77777777" w:rsidR="003C46AA" w:rsidRPr="002707D2" w:rsidRDefault="003C46AA">
      <w:pPr>
        <w:pStyle w:val="Prrafodelista"/>
        <w:spacing w:before="0" w:after="0"/>
        <w:ind w:left="851"/>
        <w:rPr>
          <w:iCs/>
          <w:szCs w:val="24"/>
        </w:rPr>
      </w:pPr>
    </w:p>
    <w:bookmarkEnd w:id="26"/>
    <w:p w14:paraId="56C20A4D" w14:textId="5886893F" w:rsidR="003C46AA" w:rsidRPr="002707D2" w:rsidRDefault="003C46AA">
      <w:pPr>
        <w:pStyle w:val="Prrafodelista"/>
        <w:spacing w:before="0" w:after="0"/>
        <w:ind w:left="851"/>
        <w:rPr>
          <w:iCs/>
          <w:szCs w:val="24"/>
        </w:rPr>
      </w:pPr>
      <m:oMath>
        <m:r>
          <w:rPr>
            <w:rFonts w:ascii="Cambria Math" w:hAnsi="Cambria Math"/>
            <w:sz w:val="22"/>
            <w:szCs w:val="22"/>
          </w:rPr>
          <m:t>Agentes_activos= </m:t>
        </m:r>
        <m:f>
          <m:fPr>
            <m:ctrlPr>
              <w:rPr>
                <w:rFonts w:ascii="Cambria Math" w:hAnsi="Cambria Math"/>
                <w:i/>
                <w:iCs/>
                <w:sz w:val="22"/>
                <w:szCs w:val="22"/>
              </w:rPr>
            </m:ctrlPr>
          </m:fPr>
          <m:num>
            <m:r>
              <w:rPr>
                <w:rFonts w:ascii="Cambria Math" w:hAnsi="Cambria Math"/>
                <w:sz w:val="22"/>
                <w:szCs w:val="22"/>
              </w:rPr>
              <m:t>Total agentes con posturas de compra o venta</m:t>
            </m:r>
          </m:num>
          <m:den>
            <m:r>
              <w:rPr>
                <w:rFonts w:ascii="Cambria Math" w:hAnsi="Cambria Math"/>
                <w:sz w:val="22"/>
                <w:szCs w:val="22"/>
              </w:rPr>
              <m:t>Total agentes registrados en el mecanismo</m:t>
            </m:r>
          </m:den>
        </m:f>
        <m:r>
          <w:rPr>
            <w:rFonts w:ascii="Cambria Math" w:hAnsi="Cambria Math"/>
            <w:sz w:val="22"/>
            <w:szCs w:val="22"/>
          </w:rPr>
          <m:t>*100</m:t>
        </m:r>
      </m:oMath>
      <w:r w:rsidRPr="002707D2">
        <w:rPr>
          <w:iCs/>
          <w:szCs w:val="24"/>
        </w:rPr>
        <w:tab/>
      </w:r>
      <w:r w:rsidRPr="002707D2">
        <w:rPr>
          <w:iCs/>
          <w:szCs w:val="24"/>
        </w:rPr>
        <w:tab/>
      </w:r>
    </w:p>
    <w:p w14:paraId="6D121BC3" w14:textId="406C6350" w:rsidR="003C46AA" w:rsidRDefault="003C46AA">
      <w:pPr>
        <w:pStyle w:val="Prrafodelista"/>
        <w:spacing w:before="0" w:after="0"/>
        <w:ind w:left="851"/>
        <w:rPr>
          <w:rFonts w:cs="Arial"/>
          <w:szCs w:val="24"/>
        </w:rPr>
      </w:pPr>
    </w:p>
    <w:p w14:paraId="192AC13E" w14:textId="77777777" w:rsidR="00EB64DF" w:rsidRDefault="00EB64DF">
      <w:pPr>
        <w:pStyle w:val="Prrafodelista"/>
        <w:spacing w:before="0" w:after="0"/>
        <w:ind w:left="851"/>
        <w:rPr>
          <w:rFonts w:cs="Arial"/>
          <w:szCs w:val="24"/>
        </w:rPr>
      </w:pPr>
    </w:p>
    <w:p w14:paraId="0EA08DCB" w14:textId="473F89C0" w:rsidR="00EB64DF" w:rsidRPr="008E08FA" w:rsidRDefault="00EB64DF" w:rsidP="001C7682">
      <w:pPr>
        <w:pStyle w:val="Prrafodelista"/>
        <w:numPr>
          <w:ilvl w:val="0"/>
          <w:numId w:val="13"/>
        </w:numPr>
        <w:spacing w:before="0" w:after="0"/>
        <w:ind w:left="567" w:hanging="567"/>
        <w:jc w:val="left"/>
        <w:rPr>
          <w:b/>
        </w:rPr>
      </w:pPr>
      <w:r w:rsidRPr="008E08FA">
        <w:rPr>
          <w:b/>
        </w:rPr>
        <w:t xml:space="preserve">Indicadores de </w:t>
      </w:r>
      <w:r w:rsidR="00C412DD">
        <w:rPr>
          <w:b/>
        </w:rPr>
        <w:t>representatividad</w:t>
      </w:r>
      <w:r w:rsidRPr="008E08FA">
        <w:rPr>
          <w:b/>
        </w:rPr>
        <w:t>:</w:t>
      </w:r>
    </w:p>
    <w:p w14:paraId="640CDF39" w14:textId="77777777" w:rsidR="003C46AA" w:rsidRPr="002707D2" w:rsidRDefault="003C46AA">
      <w:pPr>
        <w:pStyle w:val="Prrafodelista"/>
        <w:spacing w:before="0" w:after="0"/>
        <w:ind w:left="851"/>
        <w:rPr>
          <w:iCs/>
          <w:szCs w:val="24"/>
        </w:rPr>
      </w:pPr>
    </w:p>
    <w:p w14:paraId="5CDC83F1" w14:textId="5DB8B5D7" w:rsidR="003C46AA" w:rsidRPr="002707D2" w:rsidRDefault="003C46AA" w:rsidP="001C7682">
      <w:pPr>
        <w:pStyle w:val="Prrafodelista"/>
        <w:numPr>
          <w:ilvl w:val="0"/>
          <w:numId w:val="14"/>
        </w:numPr>
        <w:spacing w:before="0" w:after="0"/>
        <w:jc w:val="left"/>
        <w:rPr>
          <w:bCs/>
          <w:szCs w:val="24"/>
        </w:rPr>
      </w:pPr>
      <w:r>
        <w:t>Representatividad de la energía transada</w:t>
      </w:r>
      <w:r w:rsidR="00524036">
        <w:t xml:space="preserve"> </w:t>
      </w:r>
      <w:r w:rsidR="00524036">
        <w:rPr>
          <w:bCs/>
        </w:rPr>
        <w:t>durante el Periodo Anual de Evaluación</w:t>
      </w:r>
    </w:p>
    <w:p w14:paraId="12BEA685" w14:textId="77777777" w:rsidR="003C46AA" w:rsidRPr="002707D2" w:rsidRDefault="003C46AA">
      <w:pPr>
        <w:pStyle w:val="Prrafodelista"/>
        <w:spacing w:before="0" w:after="0"/>
        <w:ind w:left="851"/>
        <w:rPr>
          <w:iCs/>
          <w:szCs w:val="24"/>
        </w:rPr>
      </w:pPr>
    </w:p>
    <w:p w14:paraId="458D04D8" w14:textId="3EAE941A" w:rsidR="003C46AA" w:rsidRPr="002707D2" w:rsidRDefault="003C46AA">
      <w:pPr>
        <w:pStyle w:val="Prrafodelista"/>
        <w:spacing w:before="0" w:after="0"/>
        <w:ind w:left="851"/>
        <w:rPr>
          <w:iCs/>
          <w:szCs w:val="24"/>
        </w:rPr>
      </w:pPr>
      <m:oMath>
        <m:r>
          <w:rPr>
            <w:rFonts w:ascii="Cambria Math" w:hAnsi="Cambria Math"/>
            <w:sz w:val="22"/>
            <w:szCs w:val="22"/>
          </w:rPr>
          <m:t>EE_transada= </m:t>
        </m:r>
        <m:f>
          <m:fPr>
            <m:ctrlPr>
              <w:rPr>
                <w:rFonts w:ascii="Cambria Math" w:hAnsi="Cambria Math"/>
                <w:i/>
                <w:iCs/>
                <w:sz w:val="22"/>
                <w:szCs w:val="22"/>
              </w:rPr>
            </m:ctrlPr>
          </m:fPr>
          <m:num>
            <m:r>
              <w:rPr>
                <w:rFonts w:ascii="Cambria Math" w:hAnsi="Cambria Math"/>
                <w:sz w:val="22"/>
                <w:szCs w:val="22"/>
              </w:rPr>
              <m:t>Volumen EE comprada en el mecanismo</m:t>
            </m:r>
          </m:num>
          <m:den>
            <m:r>
              <w:rPr>
                <w:rFonts w:ascii="Cambria Math" w:hAnsi="Cambria Math"/>
                <w:sz w:val="22"/>
                <w:szCs w:val="22"/>
              </w:rPr>
              <m:t>Volumen EE demanda comercial regulada MEM</m:t>
            </m:r>
          </m:den>
        </m:f>
        <m:r>
          <w:rPr>
            <w:rFonts w:ascii="Cambria Math" w:hAnsi="Cambria Math"/>
            <w:sz w:val="22"/>
            <w:szCs w:val="22"/>
          </w:rPr>
          <m:t>*100</m:t>
        </m:r>
      </m:oMath>
      <w:r w:rsidRPr="002707D2">
        <w:rPr>
          <w:iCs/>
          <w:szCs w:val="24"/>
        </w:rPr>
        <w:tab/>
      </w:r>
      <w:r w:rsidRPr="002707D2">
        <w:rPr>
          <w:iCs/>
          <w:szCs w:val="24"/>
        </w:rPr>
        <w:tab/>
      </w:r>
      <w:r w:rsidRPr="002707D2">
        <w:rPr>
          <w:iCs/>
          <w:szCs w:val="24"/>
        </w:rPr>
        <w:tab/>
      </w:r>
    </w:p>
    <w:p w14:paraId="20F42C0C" w14:textId="77777777" w:rsidR="00057EB5" w:rsidRPr="002707D2" w:rsidRDefault="00057EB5">
      <w:pPr>
        <w:pStyle w:val="Prrafodelista"/>
        <w:spacing w:before="0" w:after="0"/>
        <w:ind w:left="851"/>
        <w:rPr>
          <w:iCs/>
          <w:szCs w:val="24"/>
        </w:rPr>
      </w:pPr>
    </w:p>
    <w:p w14:paraId="513A38D9" w14:textId="244925E3" w:rsidR="003C46AA" w:rsidRPr="002707D2" w:rsidRDefault="0077246C" w:rsidP="001C7682">
      <w:pPr>
        <w:pStyle w:val="Prrafodelista"/>
        <w:numPr>
          <w:ilvl w:val="0"/>
          <w:numId w:val="14"/>
        </w:numPr>
        <w:spacing w:before="0" w:after="0"/>
        <w:jc w:val="left"/>
        <w:rPr>
          <w:bCs/>
          <w:szCs w:val="24"/>
        </w:rPr>
      </w:pPr>
      <w:r>
        <w:t>Representatividad de participantes</w:t>
      </w:r>
      <w:r w:rsidR="00524036">
        <w:t xml:space="preserve"> </w:t>
      </w:r>
      <w:r w:rsidR="00524036">
        <w:rPr>
          <w:bCs/>
        </w:rPr>
        <w:t>durante el Periodo Anual de Evaluación</w:t>
      </w:r>
    </w:p>
    <w:p w14:paraId="43EA91D4" w14:textId="77777777" w:rsidR="003C46AA" w:rsidRPr="002707D2" w:rsidRDefault="003C46AA">
      <w:pPr>
        <w:pStyle w:val="Prrafodelista"/>
        <w:spacing w:before="0" w:after="0"/>
        <w:ind w:left="851"/>
        <w:rPr>
          <w:iCs/>
          <w:szCs w:val="24"/>
        </w:rPr>
      </w:pPr>
    </w:p>
    <w:p w14:paraId="18E95BF8" w14:textId="20B0F516" w:rsidR="003C46AA" w:rsidRPr="002A515D" w:rsidRDefault="000027C8">
      <w:pPr>
        <w:pStyle w:val="Prrafodelista"/>
        <w:tabs>
          <w:tab w:val="left" w:pos="8931"/>
        </w:tabs>
        <w:spacing w:before="0" w:after="0"/>
        <w:ind w:left="851"/>
        <w:rPr>
          <w:iCs/>
          <w:sz w:val="22"/>
          <w:szCs w:val="22"/>
        </w:rPr>
      </w:pPr>
      <m:oMath>
        <m:r>
          <w:rPr>
            <w:rFonts w:ascii="Cambria Math" w:hAnsi="Cambria Math"/>
            <w:sz w:val="22"/>
            <w:szCs w:val="22"/>
          </w:rPr>
          <m:t>Participantes_MEM= </m:t>
        </m:r>
        <m:f>
          <m:fPr>
            <m:ctrlPr>
              <w:rPr>
                <w:rFonts w:ascii="Cambria Math" w:hAnsi="Cambria Math"/>
                <w:i/>
                <w:iCs/>
                <w:sz w:val="22"/>
                <w:szCs w:val="22"/>
              </w:rPr>
            </m:ctrlPr>
          </m:fPr>
          <m:num>
            <m:r>
              <w:rPr>
                <w:rFonts w:ascii="Cambria Math" w:hAnsi="Cambria Math"/>
                <w:sz w:val="22"/>
                <w:szCs w:val="22"/>
              </w:rPr>
              <m:t>Total agentes del MEM registrados en el mecanismo</m:t>
            </m:r>
          </m:num>
          <m:den>
            <m:r>
              <w:rPr>
                <w:rFonts w:ascii="Cambria Math" w:hAnsi="Cambria Math"/>
                <w:sz w:val="22"/>
                <w:szCs w:val="22"/>
              </w:rPr>
              <m:t>Total agentes registrados en el MEM</m:t>
            </m:r>
          </m:den>
        </m:f>
        <m:r>
          <w:rPr>
            <w:rFonts w:ascii="Cambria Math" w:hAnsi="Cambria Math"/>
            <w:sz w:val="22"/>
            <w:szCs w:val="22"/>
          </w:rPr>
          <m:t xml:space="preserve"> *100</m:t>
        </m:r>
      </m:oMath>
      <w:r w:rsidR="003C46AA" w:rsidRPr="002A515D">
        <w:rPr>
          <w:iCs/>
          <w:sz w:val="22"/>
          <w:szCs w:val="22"/>
        </w:rPr>
        <w:tab/>
      </w:r>
    </w:p>
    <w:p w14:paraId="4B79E66D" w14:textId="77777777" w:rsidR="003C46AA" w:rsidRPr="002707D2" w:rsidRDefault="003C46AA">
      <w:pPr>
        <w:pStyle w:val="Prrafodelista"/>
        <w:spacing w:before="0" w:after="0"/>
        <w:ind w:left="851"/>
        <w:rPr>
          <w:iCs/>
          <w:szCs w:val="24"/>
        </w:rPr>
      </w:pPr>
    </w:p>
    <w:p w14:paraId="198CB6E5" w14:textId="16D22B3C" w:rsidR="00A2009B" w:rsidRDefault="00A2009B">
      <w:pPr>
        <w:spacing w:before="0" w:after="0"/>
        <w:jc w:val="left"/>
        <w:rPr>
          <w:bCs/>
          <w:szCs w:val="20"/>
          <w:lang w:val="es-CO"/>
        </w:rPr>
      </w:pPr>
      <w:r>
        <w:rPr>
          <w:bCs/>
        </w:rPr>
        <w:br w:type="page"/>
      </w:r>
    </w:p>
    <w:p w14:paraId="5CD18F2C" w14:textId="6914937B" w:rsidR="002707D2" w:rsidRPr="002707D2" w:rsidRDefault="00A2009B">
      <w:pPr>
        <w:pStyle w:val="Ttulo1"/>
        <w:numPr>
          <w:ilvl w:val="0"/>
          <w:numId w:val="0"/>
        </w:numPr>
        <w:spacing w:before="0" w:after="0"/>
      </w:pPr>
      <w:bookmarkStart w:id="27" w:name="_Ref54856880"/>
      <w:r w:rsidRPr="00AC1E60">
        <w:lastRenderedPageBreak/>
        <w:t xml:space="preserve">ANEXO </w:t>
      </w:r>
      <w:bookmarkEnd w:id="27"/>
      <w:r w:rsidR="00752B59">
        <w:t>3</w:t>
      </w:r>
    </w:p>
    <w:p w14:paraId="7044D278" w14:textId="77777777" w:rsidR="00A2009B" w:rsidRPr="00963681" w:rsidRDefault="00A2009B">
      <w:pPr>
        <w:spacing w:before="0" w:after="0"/>
        <w:jc w:val="center"/>
        <w:rPr>
          <w:b/>
        </w:rPr>
      </w:pPr>
      <w:r>
        <w:rPr>
          <w:b/>
        </w:rPr>
        <w:t>Calificación de los i</w:t>
      </w:r>
      <w:r w:rsidRPr="00963681">
        <w:rPr>
          <w:b/>
        </w:rPr>
        <w:t xml:space="preserve">ndicadores de </w:t>
      </w:r>
      <w:r w:rsidRPr="00B82C71">
        <w:rPr>
          <w:b/>
        </w:rPr>
        <w:t>resultado</w:t>
      </w:r>
      <w:r>
        <w:rPr>
          <w:b/>
        </w:rPr>
        <w:t xml:space="preserve"> del mecanismo</w:t>
      </w:r>
    </w:p>
    <w:p w14:paraId="1B4B3C0F" w14:textId="77777777" w:rsidR="00A2009B" w:rsidRDefault="00A2009B">
      <w:pPr>
        <w:spacing w:before="0" w:after="0"/>
        <w:rPr>
          <w:bCs/>
        </w:rPr>
      </w:pPr>
    </w:p>
    <w:p w14:paraId="304BC5AB" w14:textId="556AC4A7" w:rsidR="00A2009B" w:rsidRDefault="00A2009B">
      <w:pPr>
        <w:spacing w:before="0" w:after="0"/>
        <w:rPr>
          <w:bCs/>
        </w:rPr>
      </w:pPr>
      <w:r>
        <w:rPr>
          <w:bCs/>
        </w:rPr>
        <w:t>Para determinar la calificación de los indicadores de resultado, el Auditor utilizará la siguiente metodología para cada Periodo Anual de Evaluación según sea el caso:</w:t>
      </w:r>
    </w:p>
    <w:p w14:paraId="65EB1021" w14:textId="77777777" w:rsidR="00A2009B" w:rsidRDefault="00A2009B">
      <w:pPr>
        <w:spacing w:before="0" w:after="0"/>
        <w:rPr>
          <w:bCs/>
        </w:rPr>
      </w:pPr>
    </w:p>
    <w:p w14:paraId="05D6A81F" w14:textId="7C0714E1" w:rsidR="00A2009B" w:rsidRDefault="00A2009B" w:rsidP="001C7682">
      <w:pPr>
        <w:pStyle w:val="Prrafodelista"/>
        <w:numPr>
          <w:ilvl w:val="0"/>
          <w:numId w:val="9"/>
        </w:numPr>
        <w:spacing w:before="0" w:after="0"/>
        <w:ind w:left="426" w:hanging="426"/>
        <w:rPr>
          <w:bCs/>
        </w:rPr>
      </w:pPr>
      <w:r>
        <w:rPr>
          <w:bCs/>
        </w:rPr>
        <w:t>Para cada indicador, el Auditor eval</w:t>
      </w:r>
      <w:r w:rsidR="00A16AF3">
        <w:rPr>
          <w:bCs/>
        </w:rPr>
        <w:t>ú</w:t>
      </w:r>
      <w:r>
        <w:rPr>
          <w:bCs/>
        </w:rPr>
        <w:t>a si se cumplen los criterios que se señalan en la siguiente tabla:</w:t>
      </w:r>
    </w:p>
    <w:p w14:paraId="16FC507B" w14:textId="77777777" w:rsidR="00A2009B" w:rsidRDefault="00A2009B">
      <w:pPr>
        <w:spacing w:before="0" w:after="0"/>
        <w:rPr>
          <w:bCs/>
        </w:rPr>
      </w:pPr>
    </w:p>
    <w:tbl>
      <w:tblPr>
        <w:tblStyle w:val="Tablanormal2"/>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534"/>
      </w:tblGrid>
      <w:tr w:rsidR="00B76C48" w:rsidRPr="0041008A" w14:paraId="03691910" w14:textId="77777777" w:rsidTr="009B5A4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30" w:type="dxa"/>
            <w:hideMark/>
          </w:tcPr>
          <w:p w14:paraId="06290768" w14:textId="0EF45B97" w:rsidR="00B76C48" w:rsidRPr="0041008A" w:rsidRDefault="00925D93">
            <w:pPr>
              <w:spacing w:before="0" w:after="0"/>
              <w:jc w:val="center"/>
              <w:rPr>
                <w:rFonts w:ascii="Calibri" w:hAnsi="Calibri"/>
                <w:color w:val="000000"/>
                <w:sz w:val="22"/>
                <w:szCs w:val="22"/>
                <w:lang w:val="es-419" w:eastAsia="es-419"/>
              </w:rPr>
            </w:pPr>
            <w:r w:rsidRPr="0041008A">
              <w:rPr>
                <w:rFonts w:ascii="Calibri" w:hAnsi="Calibri"/>
                <w:color w:val="000000"/>
                <w:sz w:val="22"/>
                <w:szCs w:val="22"/>
                <w:lang w:val="es-419" w:eastAsia="es-419"/>
              </w:rPr>
              <w:t>INDICADOR</w:t>
            </w:r>
          </w:p>
        </w:tc>
        <w:tc>
          <w:tcPr>
            <w:tcW w:w="5534" w:type="dxa"/>
            <w:hideMark/>
          </w:tcPr>
          <w:p w14:paraId="6F0DE723" w14:textId="3E01961B" w:rsidR="00B76C48" w:rsidRPr="0041008A" w:rsidRDefault="00925D93">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2"/>
                <w:szCs w:val="22"/>
                <w:lang w:val="es-419" w:eastAsia="es-419"/>
              </w:rPr>
            </w:pPr>
            <w:r w:rsidRPr="0041008A">
              <w:rPr>
                <w:rFonts w:ascii="Calibri" w:hAnsi="Calibri"/>
                <w:color w:val="000000"/>
                <w:sz w:val="22"/>
                <w:szCs w:val="22"/>
                <w:lang w:val="es-419" w:eastAsia="es-419"/>
              </w:rPr>
              <w:t>COMPORTAMIENTO ESPERADO</w:t>
            </w:r>
          </w:p>
        </w:tc>
      </w:tr>
      <w:tr w:rsidR="00325396" w:rsidRPr="0041008A" w14:paraId="1725FB80" w14:textId="77777777" w:rsidTr="003833A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30" w:type="dxa"/>
            <w:noWrap/>
            <w:vAlign w:val="center"/>
            <w:hideMark/>
          </w:tcPr>
          <w:p w14:paraId="71F32B4A" w14:textId="77777777" w:rsidR="00325396" w:rsidRPr="0041008A" w:rsidRDefault="00325396">
            <w:pPr>
              <w:spacing w:before="0" w:after="0"/>
              <w:jc w:val="left"/>
              <w:rPr>
                <w:rFonts w:ascii="Calibri" w:hAnsi="Calibri"/>
                <w:color w:val="000000"/>
                <w:sz w:val="22"/>
                <w:szCs w:val="22"/>
                <w:lang w:val="es-419" w:eastAsia="es-419"/>
              </w:rPr>
            </w:pPr>
            <w:r w:rsidRPr="0041008A">
              <w:rPr>
                <w:rFonts w:ascii="Calibri" w:hAnsi="Calibri"/>
                <w:color w:val="000000"/>
                <w:sz w:val="22"/>
                <w:szCs w:val="22"/>
                <w:lang w:val="es-419" w:eastAsia="es-419"/>
              </w:rPr>
              <w:t>Calce de operaciones de oferta</w:t>
            </w:r>
          </w:p>
        </w:tc>
        <w:tc>
          <w:tcPr>
            <w:tcW w:w="5534" w:type="dxa"/>
            <w:vMerge w:val="restart"/>
            <w:noWrap/>
            <w:vAlign w:val="center"/>
            <w:hideMark/>
          </w:tcPr>
          <w:p w14:paraId="0820E4DE" w14:textId="077E9DB4" w:rsidR="00325396" w:rsidRPr="0041008A" w:rsidRDefault="00325396" w:rsidP="00DB73C1">
            <w:pPr>
              <w:spacing w:before="0" w:after="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s-419" w:eastAsia="es-419"/>
              </w:rPr>
            </w:pPr>
            <w:r>
              <w:rPr>
                <w:rFonts w:ascii="Calibri" w:hAnsi="Calibri"/>
                <w:color w:val="000000"/>
                <w:sz w:val="22"/>
                <w:szCs w:val="22"/>
                <w:lang w:val="es-419" w:eastAsia="es-419"/>
              </w:rPr>
              <w:t>Valor observado del indicador debe ser mayor o igual al valor base fijado</w:t>
            </w:r>
            <w:r w:rsidR="000D5854">
              <w:rPr>
                <w:rFonts w:ascii="Calibri" w:hAnsi="Calibri"/>
                <w:color w:val="000000"/>
                <w:sz w:val="22"/>
                <w:szCs w:val="22"/>
                <w:lang w:val="es-419" w:eastAsia="es-419"/>
              </w:rPr>
              <w:t xml:space="preserve"> para el periodo en evaluación</w:t>
            </w:r>
            <w:r>
              <w:rPr>
                <w:rFonts w:ascii="Calibri" w:hAnsi="Calibri"/>
                <w:color w:val="000000"/>
                <w:sz w:val="22"/>
                <w:szCs w:val="22"/>
                <w:lang w:val="es-419" w:eastAsia="es-419"/>
              </w:rPr>
              <w:t xml:space="preserve">, según la metodología referida en el </w:t>
            </w:r>
            <w:r w:rsidRPr="00D23AF4">
              <w:rPr>
                <w:rFonts w:ascii="Calibri" w:hAnsi="Calibri"/>
                <w:b/>
                <w:bCs/>
                <w:color w:val="000000"/>
                <w:sz w:val="22"/>
                <w:szCs w:val="22"/>
                <w:lang w:val="es-419" w:eastAsia="es-419"/>
              </w:rPr>
              <w:t>Anexo 4</w:t>
            </w:r>
            <w:r>
              <w:rPr>
                <w:rFonts w:ascii="Calibri" w:hAnsi="Calibri"/>
                <w:color w:val="000000"/>
                <w:sz w:val="22"/>
                <w:szCs w:val="22"/>
                <w:lang w:val="es-419" w:eastAsia="es-419"/>
              </w:rPr>
              <w:t>.</w:t>
            </w:r>
          </w:p>
          <w:p w14:paraId="4E92C03B" w14:textId="1F74C0A9" w:rsidR="00F67ABD" w:rsidRPr="0041008A" w:rsidRDefault="00F67ABD">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s-419" w:eastAsia="es-419"/>
              </w:rPr>
            </w:pPr>
          </w:p>
          <w:p w14:paraId="18D0A3BB" w14:textId="5D0FC4B2" w:rsidR="00325396" w:rsidRPr="0041008A" w:rsidRDefault="00325396">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s-419" w:eastAsia="es-419"/>
              </w:rPr>
            </w:pPr>
          </w:p>
        </w:tc>
      </w:tr>
      <w:tr w:rsidR="00325396" w:rsidRPr="0041008A" w14:paraId="686653A9" w14:textId="77777777" w:rsidTr="003833AD">
        <w:trPr>
          <w:trHeight w:val="300"/>
          <w:jc w:val="center"/>
        </w:trPr>
        <w:tc>
          <w:tcPr>
            <w:cnfStyle w:val="001000000000" w:firstRow="0" w:lastRow="0" w:firstColumn="1" w:lastColumn="0" w:oddVBand="0" w:evenVBand="0" w:oddHBand="0" w:evenHBand="0" w:firstRowFirstColumn="0" w:firstRowLastColumn="0" w:lastRowFirstColumn="0" w:lastRowLastColumn="0"/>
            <w:tcW w:w="2830" w:type="dxa"/>
            <w:noWrap/>
            <w:vAlign w:val="center"/>
            <w:hideMark/>
          </w:tcPr>
          <w:p w14:paraId="272E2AAE" w14:textId="77777777" w:rsidR="00325396" w:rsidRPr="0041008A" w:rsidRDefault="00325396">
            <w:pPr>
              <w:spacing w:before="0" w:after="0"/>
              <w:jc w:val="left"/>
              <w:rPr>
                <w:rFonts w:ascii="Calibri" w:hAnsi="Calibri"/>
                <w:color w:val="000000"/>
                <w:sz w:val="22"/>
                <w:szCs w:val="22"/>
                <w:lang w:val="es-419" w:eastAsia="es-419"/>
              </w:rPr>
            </w:pPr>
            <w:r w:rsidRPr="0041008A">
              <w:rPr>
                <w:rFonts w:ascii="Calibri" w:hAnsi="Calibri"/>
                <w:color w:val="000000"/>
                <w:sz w:val="22"/>
                <w:szCs w:val="22"/>
                <w:lang w:val="es-419" w:eastAsia="es-419"/>
              </w:rPr>
              <w:t>Calce de operaciones de demanda</w:t>
            </w:r>
          </w:p>
        </w:tc>
        <w:tc>
          <w:tcPr>
            <w:tcW w:w="5534" w:type="dxa"/>
            <w:vMerge/>
            <w:noWrap/>
          </w:tcPr>
          <w:p w14:paraId="31280C22" w14:textId="143314A2" w:rsidR="00325396" w:rsidRPr="0041008A" w:rsidRDefault="00325396">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s-419" w:eastAsia="es-419"/>
              </w:rPr>
            </w:pPr>
          </w:p>
        </w:tc>
      </w:tr>
      <w:tr w:rsidR="00325396" w:rsidRPr="0041008A" w14:paraId="7C68E95B" w14:textId="77777777" w:rsidTr="00C04A2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30" w:type="dxa"/>
            <w:noWrap/>
            <w:vAlign w:val="center"/>
            <w:hideMark/>
          </w:tcPr>
          <w:p w14:paraId="38A45608" w14:textId="40F9CE6F" w:rsidR="00325396" w:rsidRPr="0041008A" w:rsidRDefault="00325396">
            <w:pPr>
              <w:spacing w:before="0" w:after="0"/>
              <w:jc w:val="left"/>
              <w:rPr>
                <w:rFonts w:ascii="Calibri" w:hAnsi="Calibri"/>
                <w:color w:val="000000"/>
                <w:sz w:val="22"/>
                <w:szCs w:val="22"/>
                <w:lang w:val="es-419" w:eastAsia="es-419"/>
              </w:rPr>
            </w:pPr>
            <w:r w:rsidRPr="0041008A">
              <w:rPr>
                <w:rFonts w:ascii="Calibri" w:hAnsi="Calibri"/>
                <w:color w:val="000000"/>
                <w:sz w:val="22"/>
                <w:szCs w:val="22"/>
                <w:lang w:val="es-419" w:eastAsia="es-419"/>
              </w:rPr>
              <w:t>Participación</w:t>
            </w:r>
            <w:r>
              <w:rPr>
                <w:rFonts w:ascii="Calibri" w:hAnsi="Calibri"/>
                <w:color w:val="000000"/>
                <w:sz w:val="22"/>
                <w:szCs w:val="22"/>
                <w:lang w:val="es-419" w:eastAsia="es-419"/>
              </w:rPr>
              <w:t xml:space="preserve"> de </w:t>
            </w:r>
            <w:r w:rsidRPr="0041008A">
              <w:rPr>
                <w:rFonts w:ascii="Calibri" w:hAnsi="Calibri"/>
                <w:color w:val="000000"/>
                <w:sz w:val="22"/>
                <w:szCs w:val="22"/>
                <w:lang w:val="es-419" w:eastAsia="es-419"/>
              </w:rPr>
              <w:t>agentes registrados</w:t>
            </w:r>
          </w:p>
        </w:tc>
        <w:tc>
          <w:tcPr>
            <w:tcW w:w="5534" w:type="dxa"/>
            <w:vMerge/>
            <w:noWrap/>
          </w:tcPr>
          <w:p w14:paraId="1385505E" w14:textId="3C2F0E8E" w:rsidR="00325396" w:rsidRPr="0041008A" w:rsidRDefault="00325396">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s-419" w:eastAsia="es-419"/>
              </w:rPr>
            </w:pPr>
          </w:p>
        </w:tc>
      </w:tr>
      <w:tr w:rsidR="00325396" w:rsidRPr="0041008A" w14:paraId="41B8464E" w14:textId="77777777" w:rsidTr="003833AD">
        <w:trPr>
          <w:trHeight w:val="300"/>
          <w:jc w:val="center"/>
        </w:trPr>
        <w:tc>
          <w:tcPr>
            <w:cnfStyle w:val="001000000000" w:firstRow="0" w:lastRow="0" w:firstColumn="1" w:lastColumn="0" w:oddVBand="0" w:evenVBand="0" w:oddHBand="0" w:evenHBand="0" w:firstRowFirstColumn="0" w:firstRowLastColumn="0" w:lastRowFirstColumn="0" w:lastRowLastColumn="0"/>
            <w:tcW w:w="2830" w:type="dxa"/>
            <w:noWrap/>
            <w:hideMark/>
          </w:tcPr>
          <w:p w14:paraId="5FCD45A3" w14:textId="79024012" w:rsidR="00325396" w:rsidRPr="0041008A" w:rsidRDefault="00325396">
            <w:pPr>
              <w:spacing w:before="0" w:after="0"/>
              <w:jc w:val="left"/>
              <w:rPr>
                <w:rFonts w:ascii="Calibri" w:hAnsi="Calibri"/>
                <w:color w:val="000000"/>
                <w:sz w:val="22"/>
                <w:szCs w:val="22"/>
                <w:lang w:val="es-419" w:eastAsia="es-419"/>
              </w:rPr>
            </w:pPr>
            <w:r w:rsidRPr="0041008A">
              <w:rPr>
                <w:rFonts w:ascii="Calibri" w:hAnsi="Calibri"/>
                <w:color w:val="000000"/>
                <w:sz w:val="22"/>
                <w:szCs w:val="22"/>
                <w:lang w:val="es-419" w:eastAsia="es-419"/>
              </w:rPr>
              <w:t>Representatividad de la energía tra</w:t>
            </w:r>
            <w:r>
              <w:rPr>
                <w:rFonts w:ascii="Calibri" w:hAnsi="Calibri"/>
                <w:color w:val="000000"/>
                <w:sz w:val="22"/>
                <w:szCs w:val="22"/>
                <w:lang w:val="es-419" w:eastAsia="es-419"/>
              </w:rPr>
              <w:t>n</w:t>
            </w:r>
            <w:r w:rsidRPr="0041008A">
              <w:rPr>
                <w:rFonts w:ascii="Calibri" w:hAnsi="Calibri"/>
                <w:color w:val="000000"/>
                <w:sz w:val="22"/>
                <w:szCs w:val="22"/>
                <w:lang w:val="es-419" w:eastAsia="es-419"/>
              </w:rPr>
              <w:t>s</w:t>
            </w:r>
            <w:r>
              <w:rPr>
                <w:rFonts w:ascii="Calibri" w:hAnsi="Calibri"/>
                <w:color w:val="000000"/>
                <w:sz w:val="22"/>
                <w:szCs w:val="22"/>
                <w:lang w:val="es-419" w:eastAsia="es-419"/>
              </w:rPr>
              <w:t>ada</w:t>
            </w:r>
          </w:p>
        </w:tc>
        <w:tc>
          <w:tcPr>
            <w:tcW w:w="5534" w:type="dxa"/>
            <w:vMerge/>
            <w:noWrap/>
          </w:tcPr>
          <w:p w14:paraId="60F56889" w14:textId="4D8C09F9" w:rsidR="00325396" w:rsidRPr="0041008A" w:rsidRDefault="00325396">
            <w:pPr>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s-419" w:eastAsia="es-419"/>
              </w:rPr>
            </w:pPr>
          </w:p>
        </w:tc>
      </w:tr>
      <w:tr w:rsidR="00B76C48" w:rsidRPr="0041008A" w14:paraId="0A07E94F" w14:textId="77777777" w:rsidTr="00F67AB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30" w:type="dxa"/>
            <w:noWrap/>
            <w:hideMark/>
          </w:tcPr>
          <w:p w14:paraId="556E05D0" w14:textId="6660FE0E" w:rsidR="00B76C48" w:rsidRPr="0041008A" w:rsidRDefault="00E674F6">
            <w:pPr>
              <w:spacing w:before="0" w:after="0"/>
              <w:jc w:val="left"/>
              <w:rPr>
                <w:rFonts w:ascii="Calibri" w:hAnsi="Calibri"/>
                <w:color w:val="000000"/>
                <w:sz w:val="22"/>
                <w:szCs w:val="22"/>
                <w:lang w:val="es-419" w:eastAsia="es-419"/>
              </w:rPr>
            </w:pPr>
            <w:r w:rsidRPr="0041008A">
              <w:rPr>
                <w:rFonts w:ascii="Calibri" w:hAnsi="Calibri"/>
                <w:color w:val="000000"/>
                <w:sz w:val="22"/>
                <w:szCs w:val="22"/>
                <w:lang w:val="es-419" w:eastAsia="es-419"/>
              </w:rPr>
              <w:t xml:space="preserve">Representatividad de </w:t>
            </w:r>
            <w:r>
              <w:rPr>
                <w:rFonts w:ascii="Calibri" w:hAnsi="Calibri"/>
                <w:color w:val="000000"/>
                <w:sz w:val="22"/>
                <w:szCs w:val="22"/>
                <w:lang w:val="es-419" w:eastAsia="es-419"/>
              </w:rPr>
              <w:t>participantes</w:t>
            </w:r>
            <w:r w:rsidRPr="0041008A" w:rsidDel="00E674F6">
              <w:rPr>
                <w:rFonts w:ascii="Calibri" w:hAnsi="Calibri"/>
                <w:color w:val="000000"/>
                <w:sz w:val="22"/>
                <w:szCs w:val="22"/>
                <w:lang w:val="es-419" w:eastAsia="es-419"/>
              </w:rPr>
              <w:t xml:space="preserve"> </w:t>
            </w:r>
            <w:r w:rsidR="001B04BF">
              <w:rPr>
                <w:rFonts w:ascii="Calibri" w:hAnsi="Calibri"/>
                <w:color w:val="000000"/>
                <w:sz w:val="22"/>
                <w:szCs w:val="22"/>
                <w:lang w:val="es-419" w:eastAsia="es-419"/>
              </w:rPr>
              <w:t>del MEM</w:t>
            </w:r>
          </w:p>
        </w:tc>
        <w:tc>
          <w:tcPr>
            <w:tcW w:w="5534" w:type="dxa"/>
            <w:vMerge/>
            <w:noWrap/>
          </w:tcPr>
          <w:p w14:paraId="78E1D07B" w14:textId="2F016B62" w:rsidR="00B76C48" w:rsidRPr="0041008A" w:rsidRDefault="00B76C48">
            <w:pPr>
              <w:spacing w:before="0" w:after="0"/>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s-419" w:eastAsia="es-419"/>
              </w:rPr>
            </w:pPr>
          </w:p>
        </w:tc>
      </w:tr>
    </w:tbl>
    <w:p w14:paraId="68A84065" w14:textId="36B8F041" w:rsidR="00A2009B" w:rsidRDefault="00A2009B">
      <w:pPr>
        <w:spacing w:before="0" w:after="0"/>
        <w:ind w:left="426"/>
        <w:jc w:val="center"/>
        <w:rPr>
          <w:bCs/>
        </w:rPr>
      </w:pPr>
    </w:p>
    <w:p w14:paraId="19BB47FF" w14:textId="77777777" w:rsidR="00A2009B" w:rsidRDefault="00A2009B">
      <w:pPr>
        <w:spacing w:before="0" w:after="0"/>
        <w:jc w:val="center"/>
        <w:rPr>
          <w:bCs/>
        </w:rPr>
      </w:pPr>
    </w:p>
    <w:p w14:paraId="40C5CB4B" w14:textId="77777777" w:rsidR="00A2009B" w:rsidRDefault="00A2009B" w:rsidP="001C7682">
      <w:pPr>
        <w:pStyle w:val="Prrafodelista"/>
        <w:numPr>
          <w:ilvl w:val="0"/>
          <w:numId w:val="9"/>
        </w:numPr>
        <w:spacing w:before="0" w:after="0"/>
        <w:ind w:left="426" w:hanging="426"/>
        <w:rPr>
          <w:bCs/>
        </w:rPr>
      </w:pPr>
      <w:r>
        <w:rPr>
          <w:bCs/>
        </w:rPr>
        <w:t>Si el Auditor verifica el comportamiento esperado de un indicador para el periodo de evaluación, se asignará un puntaje de cien (100) para ese indicador, de lo contrario, se le asignará un puntaje de cero (0).</w:t>
      </w:r>
    </w:p>
    <w:p w14:paraId="7F14C4EC" w14:textId="77777777" w:rsidR="00A2009B" w:rsidRDefault="00A2009B">
      <w:pPr>
        <w:pStyle w:val="Prrafodelista"/>
        <w:spacing w:before="0" w:after="0"/>
        <w:ind w:left="426"/>
        <w:rPr>
          <w:bCs/>
        </w:rPr>
      </w:pPr>
    </w:p>
    <w:p w14:paraId="6C0761B1" w14:textId="5CE08BB5" w:rsidR="00B42D27" w:rsidRDefault="00A2009B" w:rsidP="001C7682">
      <w:pPr>
        <w:pStyle w:val="Prrafodelista"/>
        <w:numPr>
          <w:ilvl w:val="0"/>
          <w:numId w:val="9"/>
        </w:numPr>
        <w:spacing w:before="0" w:after="0"/>
        <w:ind w:left="426" w:hanging="426"/>
        <w:rPr>
          <w:bCs/>
        </w:rPr>
      </w:pPr>
      <w:r>
        <w:rPr>
          <w:bCs/>
        </w:rPr>
        <w:t>Una vez determinado el puntaje de cada indicador, el Auditor debe</w:t>
      </w:r>
      <w:r w:rsidR="007064B1">
        <w:rPr>
          <w:bCs/>
        </w:rPr>
        <w:t xml:space="preserve"> verificar que </w:t>
      </w:r>
      <w:r w:rsidR="005370E6">
        <w:rPr>
          <w:bCs/>
        </w:rPr>
        <w:t>la suma de los puntajes asignados en el punto 2 sea mínimo de 300</w:t>
      </w:r>
      <w:r w:rsidR="007064B1">
        <w:rPr>
          <w:bCs/>
        </w:rPr>
        <w:t>, con al menos un</w:t>
      </w:r>
      <w:r w:rsidR="00853F5D">
        <w:rPr>
          <w:bCs/>
        </w:rPr>
        <w:t xml:space="preserve"> indicador</w:t>
      </w:r>
      <w:r w:rsidR="007064B1">
        <w:rPr>
          <w:bCs/>
        </w:rPr>
        <w:t xml:space="preserve"> </w:t>
      </w:r>
      <w:r w:rsidR="005370E6">
        <w:rPr>
          <w:bCs/>
        </w:rPr>
        <w:t xml:space="preserve">cumplido en cada </w:t>
      </w:r>
      <w:r w:rsidR="00853F5D">
        <w:rPr>
          <w:bCs/>
        </w:rPr>
        <w:t>atributo (competencia y representatividad)</w:t>
      </w:r>
      <w:r w:rsidR="005370E6">
        <w:rPr>
          <w:bCs/>
        </w:rPr>
        <w:t>.</w:t>
      </w:r>
    </w:p>
    <w:p w14:paraId="02AC2944" w14:textId="2D5C96F1" w:rsidR="00D13477" w:rsidRDefault="00A354C4" w:rsidP="001C7682">
      <w:pPr>
        <w:pStyle w:val="Prrafodelista"/>
        <w:numPr>
          <w:ilvl w:val="0"/>
          <w:numId w:val="9"/>
        </w:numPr>
        <w:rPr>
          <w:bCs/>
        </w:rPr>
      </w:pPr>
      <w:r>
        <w:rPr>
          <w:bCs/>
        </w:rPr>
        <w:t xml:space="preserve">Adicionalmente, </w:t>
      </w:r>
      <w:r w:rsidR="00CB17BF">
        <w:rPr>
          <w:bCs/>
        </w:rPr>
        <w:t xml:space="preserve">si </w:t>
      </w:r>
      <w:r w:rsidR="00AE281C">
        <w:rPr>
          <w:bCs/>
        </w:rPr>
        <w:t>al momento de evaluar el desempeño del mecanismo,</w:t>
      </w:r>
      <w:r w:rsidR="00EC4C73">
        <w:rPr>
          <w:bCs/>
        </w:rPr>
        <w:t xml:space="preserve"> el Auditor verifica </w:t>
      </w:r>
      <w:r w:rsidR="009C75F8">
        <w:rPr>
          <w:bCs/>
        </w:rPr>
        <w:t xml:space="preserve">que </w:t>
      </w:r>
      <w:r w:rsidR="00FE0ECF">
        <w:rPr>
          <w:bCs/>
        </w:rPr>
        <w:t xml:space="preserve">el indicador de </w:t>
      </w:r>
      <w:r w:rsidR="00FE0ECF" w:rsidRPr="009B5A4C">
        <w:rPr>
          <w:b/>
          <w:i/>
          <w:iCs/>
        </w:rPr>
        <w:t>Participación</w:t>
      </w:r>
      <w:r w:rsidR="008D6B4F" w:rsidRPr="009B5A4C">
        <w:rPr>
          <w:b/>
          <w:i/>
          <w:iCs/>
        </w:rPr>
        <w:t xml:space="preserve"> </w:t>
      </w:r>
      <w:r w:rsidR="007A309C" w:rsidRPr="009B5A4C">
        <w:rPr>
          <w:b/>
          <w:i/>
          <w:iCs/>
        </w:rPr>
        <w:t>de agentes registrados</w:t>
      </w:r>
      <w:r w:rsidR="007A309C">
        <w:rPr>
          <w:bCs/>
        </w:rPr>
        <w:t xml:space="preserve"> </w:t>
      </w:r>
      <w:r w:rsidR="00905704">
        <w:rPr>
          <w:bCs/>
        </w:rPr>
        <w:t>resulta incumplido junto al indicador de</w:t>
      </w:r>
      <w:r w:rsidR="001B04BF">
        <w:rPr>
          <w:bCs/>
        </w:rPr>
        <w:t xml:space="preserve"> </w:t>
      </w:r>
      <w:r w:rsidR="001B04BF" w:rsidRPr="009B5A4C">
        <w:rPr>
          <w:b/>
          <w:i/>
          <w:iCs/>
        </w:rPr>
        <w:t>Representatividad d</w:t>
      </w:r>
      <w:r w:rsidR="00341931" w:rsidRPr="009B5A4C">
        <w:rPr>
          <w:b/>
          <w:i/>
          <w:iCs/>
        </w:rPr>
        <w:t>e participantes del MEM</w:t>
      </w:r>
      <w:r w:rsidR="00341931" w:rsidRPr="009B5A4C">
        <w:rPr>
          <w:bCs/>
        </w:rPr>
        <w:t>,</w:t>
      </w:r>
      <w:r w:rsidR="00EC4C73">
        <w:rPr>
          <w:bCs/>
        </w:rPr>
        <w:t xml:space="preserve"> </w:t>
      </w:r>
      <w:r w:rsidR="00341931">
        <w:rPr>
          <w:bCs/>
        </w:rPr>
        <w:t xml:space="preserve">al indicador de </w:t>
      </w:r>
      <w:r w:rsidR="007E11CF" w:rsidRPr="009B5A4C">
        <w:rPr>
          <w:b/>
          <w:i/>
          <w:iCs/>
        </w:rPr>
        <w:t>Calce de operaciones de demanda</w:t>
      </w:r>
      <w:r w:rsidR="007E11CF" w:rsidRPr="009B5A4C">
        <w:rPr>
          <w:bCs/>
        </w:rPr>
        <w:t xml:space="preserve">, o al indicador </w:t>
      </w:r>
      <w:r w:rsidR="007E11CF">
        <w:rPr>
          <w:bCs/>
        </w:rPr>
        <w:t xml:space="preserve">de </w:t>
      </w:r>
      <w:r w:rsidR="00006893" w:rsidRPr="009B5A4C">
        <w:rPr>
          <w:b/>
        </w:rPr>
        <w:t>Calce de operaciones de oferta</w:t>
      </w:r>
      <w:r w:rsidR="00903FCD" w:rsidRPr="009B5A4C">
        <w:rPr>
          <w:bCs/>
        </w:rPr>
        <w:t>,</w:t>
      </w:r>
      <w:r w:rsidR="00006893">
        <w:rPr>
          <w:bCs/>
        </w:rPr>
        <w:t xml:space="preserve"> </w:t>
      </w:r>
      <w:r w:rsidR="007C6F14" w:rsidRPr="00096873">
        <w:t xml:space="preserve">el </w:t>
      </w:r>
      <w:r w:rsidR="007C6F14" w:rsidRPr="0080519C">
        <w:t>Informe anual de evaluación por parte del Auditor</w:t>
      </w:r>
      <w:r w:rsidR="007C6F14" w:rsidRPr="0080519C" w:rsidDel="0080519C">
        <w:t xml:space="preserve"> </w:t>
      </w:r>
      <w:r w:rsidR="007C6F14" w:rsidRPr="00096873">
        <w:t xml:space="preserve">de que trata el </w:t>
      </w:r>
      <w:r w:rsidR="007C6F14" w:rsidRPr="009B5A4C">
        <w:rPr>
          <w:b/>
        </w:rPr>
        <w:t>Artículo 1</w:t>
      </w:r>
      <w:r w:rsidR="009A6571" w:rsidRPr="009A6571">
        <w:rPr>
          <w:b/>
        </w:rPr>
        <w:t>2</w:t>
      </w:r>
      <w:r w:rsidR="007C6F14">
        <w:t xml:space="preserve"> </w:t>
      </w:r>
      <w:r w:rsidR="007C6F14" w:rsidRPr="00096873">
        <w:rPr>
          <w:bCs/>
        </w:rPr>
        <w:t>d</w:t>
      </w:r>
      <w:r w:rsidR="005202D1">
        <w:rPr>
          <w:bCs/>
        </w:rPr>
        <w:t>ebe tener</w:t>
      </w:r>
      <w:r w:rsidR="007C6F14" w:rsidRPr="00096873">
        <w:rPr>
          <w:bCs/>
        </w:rPr>
        <w:t xml:space="preserve"> como resultado</w:t>
      </w:r>
      <w:r w:rsidR="007C6F14" w:rsidDel="006A6AA5">
        <w:t xml:space="preserve"> </w:t>
      </w:r>
      <w:r w:rsidR="007C6F14">
        <w:t>“</w:t>
      </w:r>
      <w:r w:rsidR="007C6F14" w:rsidRPr="000365E5">
        <w:rPr>
          <w:i/>
          <w:iCs/>
        </w:rPr>
        <w:t xml:space="preserve">No </w:t>
      </w:r>
      <w:r w:rsidR="007C6F14">
        <w:rPr>
          <w:i/>
          <w:iCs/>
        </w:rPr>
        <w:t>c</w:t>
      </w:r>
      <w:r w:rsidR="007C6F14" w:rsidRPr="000365E5">
        <w:rPr>
          <w:i/>
          <w:iCs/>
        </w:rPr>
        <w:t>umple</w:t>
      </w:r>
      <w:r w:rsidR="007C6F14">
        <w:rPr>
          <w:i/>
          <w:iCs/>
        </w:rPr>
        <w:t>”</w:t>
      </w:r>
      <w:r w:rsidR="000257DC">
        <w:rPr>
          <w:bCs/>
        </w:rPr>
        <w:t>.</w:t>
      </w:r>
    </w:p>
    <w:p w14:paraId="197FE592" w14:textId="4783D437" w:rsidR="00D13477" w:rsidRPr="002707D2" w:rsidRDefault="00D13477" w:rsidP="00D13477">
      <w:pPr>
        <w:pStyle w:val="Ttulo1"/>
        <w:numPr>
          <w:ilvl w:val="0"/>
          <w:numId w:val="0"/>
        </w:numPr>
        <w:spacing w:before="0" w:after="0"/>
      </w:pPr>
      <w:r>
        <w:rPr>
          <w:bCs/>
        </w:rPr>
        <w:br w:type="page"/>
      </w:r>
      <w:r w:rsidRPr="00AC1E60">
        <w:lastRenderedPageBreak/>
        <w:t xml:space="preserve">ANEXO </w:t>
      </w:r>
      <w:r>
        <w:t>4</w:t>
      </w:r>
    </w:p>
    <w:p w14:paraId="5A96D386" w14:textId="7396B933" w:rsidR="00D13477" w:rsidRPr="00963681" w:rsidRDefault="00D13477" w:rsidP="00D13477">
      <w:pPr>
        <w:spacing w:before="0" w:after="0"/>
        <w:jc w:val="center"/>
        <w:rPr>
          <w:b/>
        </w:rPr>
      </w:pPr>
      <w:r>
        <w:rPr>
          <w:b/>
        </w:rPr>
        <w:t>Metodología de actualización del valor base de calificación de los i</w:t>
      </w:r>
      <w:r w:rsidRPr="00963681">
        <w:rPr>
          <w:b/>
        </w:rPr>
        <w:t xml:space="preserve">ndicadores de </w:t>
      </w:r>
      <w:r w:rsidRPr="00B82C71">
        <w:rPr>
          <w:b/>
        </w:rPr>
        <w:t>resultado</w:t>
      </w:r>
      <w:r>
        <w:rPr>
          <w:b/>
        </w:rPr>
        <w:t xml:space="preserve"> del mecanismo</w:t>
      </w:r>
    </w:p>
    <w:p w14:paraId="673DB270" w14:textId="77777777" w:rsidR="00D13477" w:rsidRDefault="00D13477" w:rsidP="00D13477">
      <w:pPr>
        <w:spacing w:before="0" w:after="0"/>
        <w:rPr>
          <w:bCs/>
        </w:rPr>
      </w:pPr>
    </w:p>
    <w:p w14:paraId="44F36F12" w14:textId="7FA0F3F7" w:rsidR="00D13477" w:rsidRDefault="00D13477" w:rsidP="00D13477">
      <w:pPr>
        <w:spacing w:before="0" w:after="0"/>
        <w:rPr>
          <w:bCs/>
        </w:rPr>
      </w:pPr>
      <w:r>
        <w:rPr>
          <w:bCs/>
        </w:rPr>
        <w:t xml:space="preserve">Para determinar </w:t>
      </w:r>
      <w:r w:rsidR="00B01FF4">
        <w:rPr>
          <w:bCs/>
        </w:rPr>
        <w:t xml:space="preserve">el valor base </w:t>
      </w:r>
      <w:r w:rsidR="00E83D34">
        <w:rPr>
          <w:bCs/>
        </w:rPr>
        <w:t xml:space="preserve">aplicable a </w:t>
      </w:r>
      <w:r>
        <w:rPr>
          <w:bCs/>
        </w:rPr>
        <w:t>la calificación de los indicadores de resultado, el Auditor utilizará la siguiente metodología para cada Periodo Anual de Evaluación según sea el caso:</w:t>
      </w:r>
    </w:p>
    <w:p w14:paraId="49F8CD18" w14:textId="77777777" w:rsidR="00D13477" w:rsidRDefault="00D13477" w:rsidP="00D13477">
      <w:pPr>
        <w:spacing w:before="0" w:after="0"/>
        <w:rPr>
          <w:bCs/>
        </w:rPr>
      </w:pPr>
    </w:p>
    <w:p w14:paraId="6BFCC28C" w14:textId="6559E28E" w:rsidR="00C17C0F" w:rsidRDefault="00F66ABB" w:rsidP="00D13477">
      <w:pPr>
        <w:spacing w:before="0" w:after="0"/>
        <w:rPr>
          <w:bCs/>
        </w:rPr>
      </w:pPr>
      <w:r>
        <w:rPr>
          <w:bCs/>
        </w:rPr>
        <w:t xml:space="preserve">A partir de los últimos cinco (5) datos </w:t>
      </w:r>
      <w:r w:rsidR="00E56F03">
        <w:rPr>
          <w:bCs/>
        </w:rPr>
        <w:t>observados para cada indicador</w:t>
      </w:r>
      <w:r w:rsidR="007D55F7">
        <w:rPr>
          <w:bCs/>
        </w:rPr>
        <w:t xml:space="preserve"> se procede a calcular</w:t>
      </w:r>
      <w:r w:rsidR="00722128">
        <w:rPr>
          <w:bCs/>
        </w:rPr>
        <w:t xml:space="preserve"> la mediana </w:t>
      </w:r>
      <m:oMath>
        <m:r>
          <w:rPr>
            <w:rFonts w:ascii="Cambria Math" w:hAnsi="Cambria Math"/>
          </w:rPr>
          <m:t>Med</m:t>
        </m:r>
        <m:d>
          <m:dPr>
            <m:ctrlPr>
              <w:rPr>
                <w:rFonts w:ascii="Cambria Math" w:hAnsi="Cambria Math"/>
                <w:bCs/>
                <w:i/>
              </w:rPr>
            </m:ctrlPr>
          </m:dPr>
          <m:e>
            <m:sSub>
              <m:sSubPr>
                <m:ctrlPr>
                  <w:rPr>
                    <w:rFonts w:ascii="Cambria Math" w:hAnsi="Cambria Math"/>
                    <w:bCs/>
                    <w:i/>
                  </w:rPr>
                </m:ctrlPr>
              </m:sSubPr>
              <m:e>
                <m:r>
                  <w:rPr>
                    <w:rFonts w:ascii="Cambria Math" w:hAnsi="Cambria Math"/>
                  </w:rPr>
                  <m:t>x</m:t>
                </m:r>
              </m:e>
              <m:sub>
                <m:r>
                  <w:rPr>
                    <w:rFonts w:ascii="Cambria Math" w:hAnsi="Cambria Math"/>
                  </w:rPr>
                  <m:t>t-i</m:t>
                </m:r>
              </m:sub>
            </m:sSub>
          </m:e>
        </m:d>
      </m:oMath>
      <w:r w:rsidR="008021DA">
        <w:rPr>
          <w:bCs/>
        </w:rPr>
        <w:t xml:space="preserve">, el valor máximo </w:t>
      </w:r>
      <m:oMath>
        <m:r>
          <w:rPr>
            <w:rFonts w:ascii="Cambria Math" w:hAnsi="Cambria Math"/>
          </w:rPr>
          <m:t>Max</m:t>
        </m:r>
        <m:d>
          <m:dPr>
            <m:ctrlPr>
              <w:rPr>
                <w:rFonts w:ascii="Cambria Math" w:hAnsi="Cambria Math"/>
                <w:bCs/>
                <w:i/>
              </w:rPr>
            </m:ctrlPr>
          </m:dPr>
          <m:e>
            <m:sSub>
              <m:sSubPr>
                <m:ctrlPr>
                  <w:rPr>
                    <w:rFonts w:ascii="Cambria Math" w:hAnsi="Cambria Math"/>
                    <w:bCs/>
                    <w:i/>
                  </w:rPr>
                </m:ctrlPr>
              </m:sSubPr>
              <m:e>
                <m:r>
                  <w:rPr>
                    <w:rFonts w:ascii="Cambria Math" w:hAnsi="Cambria Math"/>
                  </w:rPr>
                  <m:t>x</m:t>
                </m:r>
              </m:e>
              <m:sub>
                <m:r>
                  <w:rPr>
                    <w:rFonts w:ascii="Cambria Math" w:hAnsi="Cambria Math"/>
                  </w:rPr>
                  <m:t>t-i</m:t>
                </m:r>
              </m:sub>
            </m:sSub>
          </m:e>
        </m:d>
      </m:oMath>
      <w:r w:rsidR="000D3C7B">
        <w:rPr>
          <w:bCs/>
        </w:rPr>
        <w:t>,</w:t>
      </w:r>
      <w:r w:rsidR="00EA524A">
        <w:rPr>
          <w:bCs/>
        </w:rPr>
        <w:t xml:space="preserve"> y la desviación</w:t>
      </w:r>
      <w:r w:rsidR="00ED3E62">
        <w:rPr>
          <w:bCs/>
        </w:rPr>
        <w:t xml:space="preserve"> alrededor</w:t>
      </w:r>
      <w:r w:rsidR="00EA524A">
        <w:rPr>
          <w:bCs/>
        </w:rPr>
        <w:t xml:space="preserve"> </w:t>
      </w:r>
      <w:r w:rsidR="00ED3E62">
        <w:rPr>
          <w:bCs/>
        </w:rPr>
        <w:t xml:space="preserve">de la </w:t>
      </w:r>
      <w:r w:rsidR="00D674F0">
        <w:rPr>
          <w:bCs/>
        </w:rPr>
        <w:t>media</w:t>
      </w:r>
      <w:r w:rsidR="00ED3E62">
        <w:rPr>
          <w:bCs/>
        </w:rPr>
        <w:t>na</w:t>
      </w:r>
      <w:r w:rsidR="00D674F0">
        <w:rPr>
          <w:bCs/>
        </w:rPr>
        <w:t xml:space="preserve"> </w:t>
      </w:r>
      <m:oMath>
        <m:r>
          <w:rPr>
            <w:rFonts w:ascii="Cambria Math" w:hAnsi="Cambria Math"/>
          </w:rPr>
          <m:t>DMed</m:t>
        </m:r>
        <m:d>
          <m:dPr>
            <m:ctrlPr>
              <w:rPr>
                <w:rFonts w:ascii="Cambria Math" w:hAnsi="Cambria Math"/>
                <w:bCs/>
                <w:i/>
              </w:rPr>
            </m:ctrlPr>
          </m:dPr>
          <m:e>
            <m:sSub>
              <m:sSubPr>
                <m:ctrlPr>
                  <w:rPr>
                    <w:rFonts w:ascii="Cambria Math" w:hAnsi="Cambria Math"/>
                    <w:bCs/>
                    <w:i/>
                  </w:rPr>
                </m:ctrlPr>
              </m:sSubPr>
              <m:e>
                <m:r>
                  <w:rPr>
                    <w:rFonts w:ascii="Cambria Math" w:hAnsi="Cambria Math"/>
                  </w:rPr>
                  <m:t>x</m:t>
                </m:r>
              </m:e>
              <m:sub>
                <m:r>
                  <w:rPr>
                    <w:rFonts w:ascii="Cambria Math" w:hAnsi="Cambria Math"/>
                  </w:rPr>
                  <m:t>t-i</m:t>
                </m:r>
              </m:sub>
            </m:sSub>
          </m:e>
        </m:d>
      </m:oMath>
      <w:r w:rsidR="00D73579">
        <w:rPr>
          <w:bCs/>
        </w:rPr>
        <w:t xml:space="preserve">, siguiendo las fórmulas estadísticas </w:t>
      </w:r>
      <w:r w:rsidR="00E15A52">
        <w:rPr>
          <w:bCs/>
        </w:rPr>
        <w:t>que se presentan a continuación:</w:t>
      </w:r>
    </w:p>
    <w:p w14:paraId="20DAB8DD" w14:textId="77777777" w:rsidR="00E15A52" w:rsidRDefault="00E15A52" w:rsidP="00D13477">
      <w:pPr>
        <w:spacing w:before="0" w:after="0"/>
        <w:rPr>
          <w:bCs/>
        </w:rPr>
      </w:pPr>
    </w:p>
    <w:p w14:paraId="50D1419B" w14:textId="6CB3FFAD" w:rsidR="00BC27F5" w:rsidRPr="00F54178" w:rsidRDefault="00D3375C" w:rsidP="001C7682">
      <w:pPr>
        <w:pStyle w:val="Prrafodelista"/>
        <w:numPr>
          <w:ilvl w:val="0"/>
          <w:numId w:val="17"/>
        </w:numPr>
        <w:spacing w:before="0" w:after="0"/>
        <w:rPr>
          <w:bCs/>
        </w:rPr>
      </w:pPr>
      <w:r w:rsidRPr="00F54178">
        <w:rPr>
          <w:bCs/>
        </w:rPr>
        <w:t>Mediana</w:t>
      </w:r>
    </w:p>
    <w:p w14:paraId="55814E59" w14:textId="546DDC72" w:rsidR="00E15A52" w:rsidRPr="00D3375C" w:rsidRDefault="00E15A52" w:rsidP="00D13477">
      <w:pPr>
        <w:spacing w:before="0" w:after="0"/>
        <w:rPr>
          <w:bCs/>
        </w:rPr>
      </w:pPr>
      <m:oMathPara>
        <m:oMathParaPr>
          <m:jc m:val="center"/>
        </m:oMathParaPr>
        <m:oMath>
          <m:r>
            <w:rPr>
              <w:rFonts w:ascii="Cambria Math" w:hAnsi="Cambria Math"/>
            </w:rPr>
            <m:t>Med</m:t>
          </m:r>
          <m:d>
            <m:dPr>
              <m:ctrlPr>
                <w:rPr>
                  <w:rFonts w:ascii="Cambria Math" w:hAnsi="Cambria Math"/>
                  <w:bCs/>
                  <w:i/>
                </w:rPr>
              </m:ctrlPr>
            </m:dPr>
            <m:e>
              <m:sSub>
                <m:sSubPr>
                  <m:ctrlPr>
                    <w:rPr>
                      <w:rFonts w:ascii="Cambria Math" w:hAnsi="Cambria Math"/>
                      <w:bCs/>
                      <w:i/>
                    </w:rPr>
                  </m:ctrlPr>
                </m:sSubPr>
                <m:e>
                  <m:r>
                    <w:rPr>
                      <w:rFonts w:ascii="Cambria Math" w:hAnsi="Cambria Math"/>
                    </w:rPr>
                    <m:t>x</m:t>
                  </m:r>
                </m:e>
                <m:sub>
                  <m:r>
                    <w:rPr>
                      <w:rFonts w:ascii="Cambria Math" w:hAnsi="Cambria Math"/>
                    </w:rPr>
                    <m:t>t-i</m:t>
                  </m:r>
                </m:sub>
              </m:sSub>
            </m:e>
          </m:d>
          <m:r>
            <w:rPr>
              <w:rFonts w:ascii="Cambria Math" w:hAnsi="Cambria Math"/>
            </w:rPr>
            <m:t xml:space="preserve">= </m:t>
          </m:r>
          <m:d>
            <m:dPr>
              <m:begChr m:val="{"/>
              <m:endChr m:val=""/>
              <m:ctrlPr>
                <w:rPr>
                  <w:rFonts w:ascii="Cambria Math" w:hAnsi="Cambria Math"/>
                  <w:bCs/>
                  <w:i/>
                </w:rPr>
              </m:ctrlPr>
            </m:dPr>
            <m:e>
              <m:m>
                <m:mPr>
                  <m:mcs>
                    <m:mc>
                      <m:mcPr>
                        <m:count m:val="1"/>
                        <m:mcJc m:val="center"/>
                      </m:mcPr>
                    </m:mc>
                  </m:mcs>
                  <m:ctrlPr>
                    <w:rPr>
                      <w:rFonts w:ascii="Cambria Math" w:hAnsi="Cambria Math"/>
                      <w:bCs/>
                      <w:i/>
                    </w:rPr>
                  </m:ctrlPr>
                </m:mPr>
                <m:mr>
                  <m:e>
                    <m:sSub>
                      <m:sSubPr>
                        <m:ctrlPr>
                          <w:rPr>
                            <w:rFonts w:ascii="Cambria Math" w:hAnsi="Cambria Math"/>
                            <w:bCs/>
                            <w:i/>
                          </w:rPr>
                        </m:ctrlPr>
                      </m:sSubPr>
                      <m:e>
                        <m:r>
                          <w:rPr>
                            <w:rFonts w:ascii="Cambria Math" w:hAnsi="Cambria Math"/>
                          </w:rPr>
                          <m:t>x</m:t>
                        </m:r>
                      </m:e>
                      <m:sub>
                        <m:f>
                          <m:fPr>
                            <m:ctrlPr>
                              <w:rPr>
                                <w:rFonts w:ascii="Cambria Math" w:hAnsi="Cambria Math"/>
                                <w:bCs/>
                                <w:i/>
                              </w:rPr>
                            </m:ctrlPr>
                          </m:fPr>
                          <m:num>
                            <m:r>
                              <w:rPr>
                                <w:rFonts w:ascii="Cambria Math" w:hAnsi="Cambria Math"/>
                              </w:rPr>
                              <m:t>N+1</m:t>
                            </m:r>
                          </m:num>
                          <m:den>
                            <m:r>
                              <w:rPr>
                                <w:rFonts w:ascii="Cambria Math" w:hAnsi="Cambria Math"/>
                              </w:rPr>
                              <m:t>2</m:t>
                            </m:r>
                          </m:den>
                        </m:f>
                      </m:sub>
                    </m:sSub>
                    <m:r>
                      <w:rPr>
                        <w:rFonts w:ascii="Cambria Math" w:hAnsi="Cambria Math"/>
                      </w:rPr>
                      <m:t xml:space="preserve"> si N impar</m:t>
                    </m:r>
                  </m:e>
                </m:mr>
                <m:mr>
                  <m:e>
                    <m:f>
                      <m:fPr>
                        <m:ctrlPr>
                          <w:rPr>
                            <w:rFonts w:ascii="Cambria Math" w:hAnsi="Cambria Math"/>
                            <w:bCs/>
                            <w:i/>
                          </w:rPr>
                        </m:ctrlPr>
                      </m:fPr>
                      <m:num>
                        <m:d>
                          <m:dPr>
                            <m:ctrlPr>
                              <w:rPr>
                                <w:rFonts w:ascii="Cambria Math" w:hAnsi="Cambria Math"/>
                                <w:bCs/>
                                <w:i/>
                              </w:rPr>
                            </m:ctrlPr>
                          </m:dPr>
                          <m:e>
                            <m:sSub>
                              <m:sSubPr>
                                <m:ctrlPr>
                                  <w:rPr>
                                    <w:rFonts w:ascii="Cambria Math" w:hAnsi="Cambria Math"/>
                                    <w:bCs/>
                                    <w:i/>
                                  </w:rPr>
                                </m:ctrlPr>
                              </m:sSubPr>
                              <m:e>
                                <m:r>
                                  <w:rPr>
                                    <w:rFonts w:ascii="Cambria Math" w:hAnsi="Cambria Math"/>
                                  </w:rPr>
                                  <m:t>x</m:t>
                                </m:r>
                              </m:e>
                              <m:sub>
                                <m:f>
                                  <m:fPr>
                                    <m:ctrlPr>
                                      <w:rPr>
                                        <w:rFonts w:ascii="Cambria Math" w:hAnsi="Cambria Math"/>
                                        <w:bCs/>
                                        <w:i/>
                                      </w:rPr>
                                    </m:ctrlPr>
                                  </m:fPr>
                                  <m:num>
                                    <m:r>
                                      <w:rPr>
                                        <w:rFonts w:ascii="Cambria Math" w:hAnsi="Cambria Math"/>
                                      </w:rPr>
                                      <m:t>N</m:t>
                                    </m:r>
                                  </m:num>
                                  <m:den>
                                    <m:r>
                                      <w:rPr>
                                        <w:rFonts w:ascii="Cambria Math" w:hAnsi="Cambria Math"/>
                                      </w:rPr>
                                      <m:t>2</m:t>
                                    </m:r>
                                  </m:den>
                                </m:f>
                              </m:sub>
                            </m:sSub>
                            <m:r>
                              <w:rPr>
                                <w:rFonts w:ascii="Cambria Math" w:hAnsi="Cambria Math"/>
                              </w:rPr>
                              <m:t>+</m:t>
                            </m:r>
                            <m:sSub>
                              <m:sSubPr>
                                <m:ctrlPr>
                                  <w:rPr>
                                    <w:rFonts w:ascii="Cambria Math" w:hAnsi="Cambria Math"/>
                                    <w:bCs/>
                                    <w:i/>
                                  </w:rPr>
                                </m:ctrlPr>
                              </m:sSubPr>
                              <m:e>
                                <m:r>
                                  <w:rPr>
                                    <w:rFonts w:ascii="Cambria Math" w:hAnsi="Cambria Math"/>
                                  </w:rPr>
                                  <m:t>x</m:t>
                                </m:r>
                              </m:e>
                              <m:sub>
                                <m:f>
                                  <m:fPr>
                                    <m:ctrlPr>
                                      <w:rPr>
                                        <w:rFonts w:ascii="Cambria Math" w:hAnsi="Cambria Math"/>
                                        <w:bCs/>
                                        <w:i/>
                                      </w:rPr>
                                    </m:ctrlPr>
                                  </m:fPr>
                                  <m:num>
                                    <m:r>
                                      <w:rPr>
                                        <w:rFonts w:ascii="Cambria Math" w:hAnsi="Cambria Math"/>
                                      </w:rPr>
                                      <m:t>N</m:t>
                                    </m:r>
                                  </m:num>
                                  <m:den>
                                    <m:r>
                                      <w:rPr>
                                        <w:rFonts w:ascii="Cambria Math" w:hAnsi="Cambria Math"/>
                                      </w:rPr>
                                      <m:t>2</m:t>
                                    </m:r>
                                  </m:den>
                                </m:f>
                                <m:r>
                                  <w:rPr>
                                    <w:rFonts w:ascii="Cambria Math" w:hAnsi="Cambria Math"/>
                                  </w:rPr>
                                  <m:t>+1</m:t>
                                </m:r>
                              </m:sub>
                            </m:sSub>
                          </m:e>
                        </m:d>
                      </m:num>
                      <m:den>
                        <m:r>
                          <w:rPr>
                            <w:rFonts w:ascii="Cambria Math" w:hAnsi="Cambria Math"/>
                          </w:rPr>
                          <m:t>2</m:t>
                        </m:r>
                      </m:den>
                    </m:f>
                    <m:r>
                      <w:rPr>
                        <w:rFonts w:ascii="Cambria Math" w:hAnsi="Cambria Math"/>
                      </w:rPr>
                      <m:t xml:space="preserve"> si N par</m:t>
                    </m:r>
                  </m:e>
                </m:mr>
              </m:m>
            </m:e>
          </m:d>
        </m:oMath>
      </m:oMathPara>
    </w:p>
    <w:p w14:paraId="227ED10C" w14:textId="77777777" w:rsidR="0048365B" w:rsidRDefault="0048365B" w:rsidP="00D13477">
      <w:pPr>
        <w:spacing w:before="0" w:after="0"/>
        <w:rPr>
          <w:bCs/>
        </w:rPr>
      </w:pPr>
    </w:p>
    <w:p w14:paraId="3DAB2293" w14:textId="31B41405" w:rsidR="0048365B" w:rsidRDefault="00BC27F5" w:rsidP="001C7682">
      <w:pPr>
        <w:pStyle w:val="Prrafodelista"/>
        <w:numPr>
          <w:ilvl w:val="0"/>
          <w:numId w:val="17"/>
        </w:numPr>
        <w:spacing w:before="0" w:after="0"/>
        <w:rPr>
          <w:bCs/>
        </w:rPr>
      </w:pPr>
      <w:r>
        <w:rPr>
          <w:bCs/>
        </w:rPr>
        <w:t>Desviación alred</w:t>
      </w:r>
      <w:r w:rsidR="006351C3">
        <w:rPr>
          <w:bCs/>
        </w:rPr>
        <w:t>ed</w:t>
      </w:r>
      <w:r>
        <w:rPr>
          <w:bCs/>
        </w:rPr>
        <w:t>or de la mediana</w:t>
      </w:r>
    </w:p>
    <w:p w14:paraId="39849C19" w14:textId="77777777" w:rsidR="00094742" w:rsidRPr="00F54178" w:rsidRDefault="00094742" w:rsidP="009B5A4C">
      <w:pPr>
        <w:pStyle w:val="Prrafodelista"/>
        <w:spacing w:before="0" w:after="0"/>
        <w:ind w:left="720"/>
        <w:rPr>
          <w:bCs/>
        </w:rPr>
      </w:pPr>
    </w:p>
    <w:p w14:paraId="7D256EA9" w14:textId="1666C370" w:rsidR="00D7532B" w:rsidRDefault="00D7532B" w:rsidP="009B5A4C">
      <w:pPr>
        <w:spacing w:before="0" w:after="0"/>
        <w:jc w:val="left"/>
        <w:rPr>
          <w:bCs/>
        </w:rPr>
      </w:pPr>
      <m:oMathPara>
        <m:oMath>
          <m:r>
            <w:rPr>
              <w:rFonts w:ascii="Cambria Math" w:hAnsi="Cambria Math"/>
            </w:rPr>
            <m:t>DMed</m:t>
          </m:r>
          <m:d>
            <m:dPr>
              <m:ctrlPr>
                <w:rPr>
                  <w:rFonts w:ascii="Cambria Math" w:hAnsi="Cambria Math"/>
                  <w:bCs/>
                  <w:i/>
                </w:rPr>
              </m:ctrlPr>
            </m:dPr>
            <m:e>
              <m:sSub>
                <m:sSubPr>
                  <m:ctrlPr>
                    <w:rPr>
                      <w:rFonts w:ascii="Cambria Math" w:hAnsi="Cambria Math"/>
                      <w:bCs/>
                      <w:i/>
                    </w:rPr>
                  </m:ctrlPr>
                </m:sSubPr>
                <m:e>
                  <m:r>
                    <w:rPr>
                      <w:rFonts w:ascii="Cambria Math" w:hAnsi="Cambria Math"/>
                    </w:rPr>
                    <m:t>x</m:t>
                  </m:r>
                </m:e>
                <m:sub>
                  <m:r>
                    <w:rPr>
                      <w:rFonts w:ascii="Cambria Math" w:hAnsi="Cambria Math"/>
                    </w:rPr>
                    <m:t>t-i</m:t>
                  </m:r>
                </m:sub>
              </m:sSub>
            </m:e>
          </m:d>
          <m:r>
            <w:rPr>
              <w:rFonts w:ascii="Cambria Math" w:hAnsi="Cambria Math"/>
            </w:rPr>
            <m:t xml:space="preserve">= </m:t>
          </m:r>
          <m:f>
            <m:fPr>
              <m:ctrlPr>
                <w:rPr>
                  <w:rFonts w:ascii="Cambria Math" w:hAnsi="Cambria Math"/>
                  <w:bCs/>
                  <w:i/>
                </w:rPr>
              </m:ctrlPr>
            </m:fPr>
            <m:num>
              <m:r>
                <w:rPr>
                  <w:rFonts w:ascii="Cambria Math" w:hAnsi="Cambria Math"/>
                </w:rPr>
                <m:t>1</m:t>
              </m:r>
            </m:num>
            <m:den>
              <m:r>
                <w:rPr>
                  <w:rFonts w:ascii="Cambria Math" w:hAnsi="Cambria Math"/>
                </w:rPr>
                <m:t>N</m:t>
              </m:r>
            </m:den>
          </m:f>
          <m:r>
            <w:rPr>
              <w:rFonts w:ascii="Cambria Math" w:hAnsi="Cambria Math"/>
            </w:rPr>
            <m:t xml:space="preserve"> ×</m:t>
          </m:r>
          <m:nary>
            <m:naryPr>
              <m:chr m:val="∑"/>
              <m:limLoc m:val="undOvr"/>
              <m:ctrlPr>
                <w:rPr>
                  <w:rFonts w:ascii="Cambria Math" w:hAnsi="Cambria Math"/>
                  <w:bCs/>
                  <w:i/>
                </w:rPr>
              </m:ctrlPr>
            </m:naryPr>
            <m:sub>
              <m:r>
                <w:rPr>
                  <w:rFonts w:ascii="Cambria Math" w:hAnsi="Cambria Math"/>
                </w:rPr>
                <m:t>i=1</m:t>
              </m:r>
            </m:sub>
            <m:sup>
              <m:r>
                <w:rPr>
                  <w:rFonts w:ascii="Cambria Math" w:hAnsi="Cambria Math"/>
                </w:rPr>
                <m:t>N</m:t>
              </m:r>
            </m:sup>
            <m:e>
              <m:d>
                <m:dPr>
                  <m:begChr m:val="|"/>
                  <m:endChr m:val="|"/>
                  <m:ctrlPr>
                    <w:rPr>
                      <w:rFonts w:ascii="Cambria Math" w:hAnsi="Cambria Math"/>
                      <w:bCs/>
                      <w:i/>
                    </w:rPr>
                  </m:ctrlPr>
                </m:dPr>
                <m:e>
                  <m:sSub>
                    <m:sSubPr>
                      <m:ctrlPr>
                        <w:rPr>
                          <w:rFonts w:ascii="Cambria Math" w:hAnsi="Cambria Math"/>
                          <w:bCs/>
                          <w:i/>
                        </w:rPr>
                      </m:ctrlPr>
                    </m:sSubPr>
                    <m:e>
                      <m:r>
                        <w:rPr>
                          <w:rFonts w:ascii="Cambria Math" w:hAnsi="Cambria Math"/>
                        </w:rPr>
                        <m:t>x</m:t>
                      </m:r>
                    </m:e>
                    <m:sub>
                      <m:r>
                        <w:rPr>
                          <w:rFonts w:ascii="Cambria Math" w:hAnsi="Cambria Math"/>
                        </w:rPr>
                        <m:t>i</m:t>
                      </m:r>
                    </m:sub>
                  </m:sSub>
                  <m:r>
                    <w:rPr>
                      <w:rFonts w:ascii="Cambria Math" w:hAnsi="Cambria Math"/>
                    </w:rPr>
                    <m:t>-Med(</m:t>
                  </m:r>
                  <m:sSub>
                    <m:sSubPr>
                      <m:ctrlPr>
                        <w:rPr>
                          <w:rFonts w:ascii="Cambria Math" w:hAnsi="Cambria Math"/>
                          <w:bCs/>
                          <w:i/>
                        </w:rPr>
                      </m:ctrlPr>
                    </m:sSubPr>
                    <m:e>
                      <m:r>
                        <w:rPr>
                          <w:rFonts w:ascii="Cambria Math" w:hAnsi="Cambria Math"/>
                        </w:rPr>
                        <m:t>x</m:t>
                      </m:r>
                    </m:e>
                    <m:sub>
                      <m:r>
                        <w:rPr>
                          <w:rFonts w:ascii="Cambria Math" w:hAnsi="Cambria Math"/>
                        </w:rPr>
                        <m:t>t-i</m:t>
                      </m:r>
                    </m:sub>
                  </m:sSub>
                  <m:r>
                    <w:rPr>
                      <w:rFonts w:ascii="Cambria Math" w:hAnsi="Cambria Math"/>
                    </w:rPr>
                    <m:t>)</m:t>
                  </m:r>
                </m:e>
              </m:d>
            </m:e>
          </m:nary>
        </m:oMath>
      </m:oMathPara>
    </w:p>
    <w:p w14:paraId="208232BE" w14:textId="77777777" w:rsidR="00D7532B" w:rsidRDefault="00D7532B" w:rsidP="00D13477">
      <w:pPr>
        <w:spacing w:before="0" w:after="0"/>
        <w:rPr>
          <w:bCs/>
        </w:rPr>
      </w:pPr>
    </w:p>
    <w:p w14:paraId="5D6DB74E" w14:textId="7899CF79" w:rsidR="001710DD" w:rsidRPr="00F54178" w:rsidRDefault="0080133C" w:rsidP="001C7682">
      <w:pPr>
        <w:pStyle w:val="Prrafodelista"/>
        <w:numPr>
          <w:ilvl w:val="0"/>
          <w:numId w:val="17"/>
        </w:numPr>
        <w:spacing w:before="0" w:after="0"/>
        <w:rPr>
          <w:bCs/>
        </w:rPr>
      </w:pPr>
      <w:r>
        <w:rPr>
          <w:bCs/>
        </w:rPr>
        <w:t>Valor m</w:t>
      </w:r>
      <w:r w:rsidR="006351C3">
        <w:rPr>
          <w:bCs/>
        </w:rPr>
        <w:t>áximo</w:t>
      </w:r>
    </w:p>
    <w:p w14:paraId="7DB06706" w14:textId="77777777" w:rsidR="00094742" w:rsidRDefault="00094742" w:rsidP="00D13477">
      <w:pPr>
        <w:spacing w:before="0" w:after="0"/>
        <w:rPr>
          <w:bCs/>
        </w:rPr>
      </w:pPr>
    </w:p>
    <w:p w14:paraId="2D930618" w14:textId="11A651EB" w:rsidR="001710DD" w:rsidRPr="006351C3" w:rsidRDefault="001710DD" w:rsidP="00D13477">
      <w:pPr>
        <w:spacing w:before="0" w:after="0"/>
        <w:rPr>
          <w:bCs/>
        </w:rPr>
      </w:pPr>
      <m:oMathPara>
        <m:oMathParaPr>
          <m:jc m:val="center"/>
        </m:oMathParaPr>
        <m:oMath>
          <m:r>
            <w:rPr>
              <w:rFonts w:ascii="Cambria Math" w:hAnsi="Cambria Math"/>
            </w:rPr>
            <m:t>Max</m:t>
          </m:r>
          <m:d>
            <m:dPr>
              <m:ctrlPr>
                <w:rPr>
                  <w:rFonts w:ascii="Cambria Math" w:hAnsi="Cambria Math"/>
                  <w:bCs/>
                  <w:i/>
                </w:rPr>
              </m:ctrlPr>
            </m:dPr>
            <m:e>
              <m:sSub>
                <m:sSubPr>
                  <m:ctrlPr>
                    <w:rPr>
                      <w:rFonts w:ascii="Cambria Math" w:hAnsi="Cambria Math"/>
                      <w:bCs/>
                      <w:i/>
                    </w:rPr>
                  </m:ctrlPr>
                </m:sSubPr>
                <m:e>
                  <m:r>
                    <w:rPr>
                      <w:rFonts w:ascii="Cambria Math" w:hAnsi="Cambria Math"/>
                    </w:rPr>
                    <m:t>x</m:t>
                  </m:r>
                </m:e>
                <m:sub>
                  <m:r>
                    <w:rPr>
                      <w:rFonts w:ascii="Cambria Math" w:hAnsi="Cambria Math"/>
                    </w:rPr>
                    <m:t>t-i</m:t>
                  </m:r>
                </m:sub>
              </m:sSub>
            </m:e>
          </m:d>
          <m:r>
            <w:rPr>
              <w:rFonts w:ascii="Cambria Math" w:hAnsi="Cambria Math"/>
            </w:rPr>
            <m:t xml:space="preserve">= </m:t>
          </m:r>
          <m:sSub>
            <m:sSubPr>
              <m:ctrlPr>
                <w:rPr>
                  <w:rFonts w:ascii="Cambria Math" w:hAnsi="Cambria Math"/>
                  <w:bCs/>
                  <w:i/>
                </w:rPr>
              </m:ctrlPr>
            </m:sSubPr>
            <m:e>
              <m:r>
                <w:rPr>
                  <w:rFonts w:ascii="Cambria Math" w:hAnsi="Cambria Math"/>
                </w:rPr>
                <m:t>x</m:t>
              </m:r>
            </m:e>
            <m:sub>
              <m:r>
                <w:rPr>
                  <w:rFonts w:ascii="Cambria Math" w:hAnsi="Cambria Math"/>
                </w:rPr>
                <m:t>t-a</m:t>
              </m:r>
            </m:sub>
          </m:sSub>
          <m:r>
            <w:rPr>
              <w:rFonts w:ascii="Cambria Math" w:hAnsi="Cambria Math"/>
            </w:rPr>
            <m:t xml:space="preserve"> tal que (</m:t>
          </m:r>
          <m:sSub>
            <m:sSubPr>
              <m:ctrlPr>
                <w:rPr>
                  <w:rFonts w:ascii="Cambria Math" w:hAnsi="Cambria Math"/>
                  <w:bCs/>
                  <w:i/>
                </w:rPr>
              </m:ctrlPr>
            </m:sSubPr>
            <m:e>
              <m:r>
                <w:rPr>
                  <w:rFonts w:ascii="Cambria Math" w:hAnsi="Cambria Math"/>
                </w:rPr>
                <m:t>x</m:t>
              </m:r>
            </m:e>
            <m:sub>
              <m:r>
                <w:rPr>
                  <w:rFonts w:ascii="Cambria Math" w:hAnsi="Cambria Math"/>
                </w:rPr>
                <m:t>t-a</m:t>
              </m:r>
            </m:sub>
          </m:sSub>
          <m:r>
            <w:rPr>
              <w:rFonts w:ascii="Cambria Math" w:hAnsi="Cambria Math"/>
            </w:rPr>
            <m:t>&gt;</m:t>
          </m:r>
          <m:sSub>
            <m:sSubPr>
              <m:ctrlPr>
                <w:rPr>
                  <w:rFonts w:ascii="Cambria Math" w:hAnsi="Cambria Math"/>
                  <w:bCs/>
                  <w:i/>
                </w:rPr>
              </m:ctrlPr>
            </m:sSubPr>
            <m:e>
              <m:r>
                <w:rPr>
                  <w:rFonts w:ascii="Cambria Math" w:hAnsi="Cambria Math"/>
                </w:rPr>
                <m:t>x</m:t>
              </m:r>
            </m:e>
            <m:sub>
              <m:r>
                <w:rPr>
                  <w:rFonts w:ascii="Cambria Math" w:hAnsi="Cambria Math"/>
                </w:rPr>
                <m:t>t-i</m:t>
              </m:r>
            </m:sub>
          </m:sSub>
          <m:r>
            <w:rPr>
              <w:rFonts w:ascii="Cambria Math" w:hAnsi="Cambria Math"/>
            </w:rPr>
            <m:t>) para todo i</m:t>
          </m:r>
        </m:oMath>
      </m:oMathPara>
    </w:p>
    <w:p w14:paraId="2D5011DC" w14:textId="77777777" w:rsidR="001710DD" w:rsidRDefault="001710DD" w:rsidP="00D13477">
      <w:pPr>
        <w:spacing w:before="0" w:after="0"/>
        <w:rPr>
          <w:bCs/>
        </w:rPr>
      </w:pPr>
    </w:p>
    <w:p w14:paraId="610398BA" w14:textId="77777777" w:rsidR="000E5620" w:rsidRDefault="000E5620" w:rsidP="00D13477">
      <w:pPr>
        <w:spacing w:before="0" w:after="0"/>
        <w:rPr>
          <w:bCs/>
        </w:rPr>
      </w:pPr>
    </w:p>
    <w:p w14:paraId="23550433" w14:textId="5D09EE30" w:rsidR="00C17C0F" w:rsidRDefault="008D51FE" w:rsidP="00D13477">
      <w:pPr>
        <w:spacing w:before="0" w:after="0"/>
        <w:rPr>
          <w:bCs/>
        </w:rPr>
      </w:pPr>
      <w:r>
        <w:rPr>
          <w:bCs/>
        </w:rPr>
        <w:t xml:space="preserve">Para todas las expresiones anteriores </w:t>
      </w:r>
      <m:oMath>
        <m:r>
          <w:rPr>
            <w:rFonts w:ascii="Cambria Math" w:hAnsi="Cambria Math"/>
          </w:rPr>
          <m:t>i=[1,5]</m:t>
        </m:r>
      </m:oMath>
      <w:r w:rsidR="00F46AB7">
        <w:rPr>
          <w:bCs/>
        </w:rPr>
        <w:t xml:space="preserve"> y </w:t>
      </w:r>
      <m:oMath>
        <m:r>
          <w:rPr>
            <w:rFonts w:ascii="Cambria Math" w:hAnsi="Cambria Math"/>
          </w:rPr>
          <m:t>t</m:t>
        </m:r>
      </m:oMath>
      <w:r w:rsidR="00F46AB7">
        <w:rPr>
          <w:bCs/>
        </w:rPr>
        <w:t xml:space="preserve"> definido como el periodo actual.</w:t>
      </w:r>
    </w:p>
    <w:p w14:paraId="3953E1D9" w14:textId="77777777" w:rsidR="008D51FE" w:rsidRDefault="008D51FE" w:rsidP="00D13477">
      <w:pPr>
        <w:spacing w:before="0" w:after="0"/>
        <w:rPr>
          <w:bCs/>
        </w:rPr>
      </w:pPr>
    </w:p>
    <w:p w14:paraId="2AF3B719" w14:textId="482218C4" w:rsidR="00D674F0" w:rsidRPr="003F27A1" w:rsidRDefault="00D674F0" w:rsidP="00D13477">
      <w:pPr>
        <w:spacing w:before="0" w:after="0"/>
        <w:rPr>
          <w:bCs/>
        </w:rPr>
      </w:pPr>
      <w:r>
        <w:rPr>
          <w:bCs/>
        </w:rPr>
        <w:t xml:space="preserve">Con </w:t>
      </w:r>
      <w:r w:rsidR="003F27A1">
        <w:rPr>
          <w:bCs/>
        </w:rPr>
        <w:t xml:space="preserve">los valores de mediana, máximo y desviación media, se define el valor base para el periodo </w:t>
      </w:r>
      <w:r w:rsidR="003F27A1" w:rsidRPr="009B5A4C">
        <w:rPr>
          <w:bCs/>
          <w:i/>
          <w:iCs/>
        </w:rPr>
        <w:t>t</w:t>
      </w:r>
      <w:r w:rsidR="003F27A1">
        <w:rPr>
          <w:bCs/>
        </w:rPr>
        <w:t xml:space="preserve"> </w:t>
      </w:r>
      <w:r w:rsidR="00AA590E">
        <w:rPr>
          <w:bCs/>
        </w:rPr>
        <w:t>a partir de la siguiente fórmula:</w:t>
      </w:r>
    </w:p>
    <w:p w14:paraId="79063C8D" w14:textId="77777777" w:rsidR="00C17C0F" w:rsidRDefault="00C17C0F" w:rsidP="00D13477">
      <w:pPr>
        <w:spacing w:before="0" w:after="0"/>
        <w:rPr>
          <w:bCs/>
        </w:rPr>
      </w:pPr>
    </w:p>
    <w:p w14:paraId="6B0D66C1" w14:textId="1727CC62" w:rsidR="00C17C0F" w:rsidRDefault="00C337A1" w:rsidP="00D13477">
      <w:pPr>
        <w:spacing w:before="0" w:after="0"/>
        <w:rPr>
          <w:bCs/>
        </w:rPr>
      </w:pPr>
      <m:oMathPara>
        <m:oMath>
          <m:sSub>
            <m:sSubPr>
              <m:ctrlPr>
                <w:rPr>
                  <w:rFonts w:ascii="Cambria Math" w:hAnsi="Cambria Math"/>
                  <w:bCs/>
                  <w:i/>
                  <w:sz w:val="22"/>
                  <w:szCs w:val="22"/>
                </w:rPr>
              </m:ctrlPr>
            </m:sSubPr>
            <m:e>
              <m:r>
                <w:rPr>
                  <w:rFonts w:ascii="Cambria Math" w:hAnsi="Cambria Math"/>
                  <w:sz w:val="22"/>
                  <w:szCs w:val="22"/>
                </w:rPr>
                <m:t>Valor base</m:t>
              </m:r>
            </m:e>
            <m:sub>
              <m:r>
                <w:rPr>
                  <w:rFonts w:ascii="Cambria Math" w:hAnsi="Cambria Math"/>
                  <w:sz w:val="22"/>
                  <w:szCs w:val="22"/>
                </w:rPr>
                <m:t>t</m:t>
              </m:r>
            </m:sub>
          </m:sSub>
          <m:r>
            <w:rPr>
              <w:rFonts w:ascii="Cambria Math" w:hAnsi="Cambria Math"/>
              <w:sz w:val="22"/>
              <w:szCs w:val="22"/>
            </w:rPr>
            <m:t>=Max</m:t>
          </m:r>
          <m:d>
            <m:dPr>
              <m:begChr m:val="{"/>
              <m:endChr m:val="}"/>
              <m:ctrlPr>
                <w:rPr>
                  <w:rFonts w:ascii="Cambria Math" w:hAnsi="Cambria Math"/>
                  <w:bCs/>
                  <w:i/>
                  <w:sz w:val="22"/>
                  <w:szCs w:val="22"/>
                </w:rPr>
              </m:ctrlPr>
            </m:dPr>
            <m:e>
              <m:f>
                <m:fPr>
                  <m:ctrlPr>
                    <w:rPr>
                      <w:rFonts w:ascii="Cambria Math" w:hAnsi="Cambria Math"/>
                      <w:bCs/>
                      <w:i/>
                      <w:sz w:val="22"/>
                      <w:szCs w:val="22"/>
                    </w:rPr>
                  </m:ctrlPr>
                </m:fPr>
                <m:num>
                  <m:r>
                    <w:rPr>
                      <w:rFonts w:ascii="Cambria Math" w:hAnsi="Cambria Math"/>
                      <w:sz w:val="22"/>
                      <w:szCs w:val="22"/>
                    </w:rPr>
                    <m:t xml:space="preserve"> [Med</m:t>
                  </m:r>
                  <m:d>
                    <m:dPr>
                      <m:ctrlPr>
                        <w:rPr>
                          <w:rFonts w:ascii="Cambria Math" w:hAnsi="Cambria Math"/>
                          <w:bCs/>
                          <w:i/>
                          <w:sz w:val="22"/>
                          <w:szCs w:val="22"/>
                        </w:rPr>
                      </m:ctrlPr>
                    </m:dPr>
                    <m:e>
                      <m:sSub>
                        <m:sSubPr>
                          <m:ctrlPr>
                            <w:rPr>
                              <w:rFonts w:ascii="Cambria Math" w:hAnsi="Cambria Math"/>
                              <w:bCs/>
                              <w:i/>
                              <w:sz w:val="22"/>
                              <w:szCs w:val="22"/>
                            </w:rPr>
                          </m:ctrlPr>
                        </m:sSubPr>
                        <m:e>
                          <m:r>
                            <w:rPr>
                              <w:rFonts w:ascii="Cambria Math" w:hAnsi="Cambria Math"/>
                              <w:sz w:val="22"/>
                              <w:szCs w:val="22"/>
                            </w:rPr>
                            <m:t>x</m:t>
                          </m:r>
                        </m:e>
                        <m:sub>
                          <m:r>
                            <w:rPr>
                              <w:rFonts w:ascii="Cambria Math" w:hAnsi="Cambria Math"/>
                              <w:sz w:val="22"/>
                              <w:szCs w:val="22"/>
                            </w:rPr>
                            <m:t>t-i</m:t>
                          </m:r>
                        </m:sub>
                      </m:sSub>
                    </m:e>
                  </m:d>
                  <m:r>
                    <w:rPr>
                      <w:rFonts w:ascii="Cambria Math" w:hAnsi="Cambria Math"/>
                      <w:sz w:val="22"/>
                      <w:szCs w:val="22"/>
                    </w:rPr>
                    <m:t>-DMed</m:t>
                  </m:r>
                  <m:d>
                    <m:dPr>
                      <m:ctrlPr>
                        <w:rPr>
                          <w:rFonts w:ascii="Cambria Math" w:hAnsi="Cambria Math"/>
                          <w:bCs/>
                          <w:i/>
                          <w:sz w:val="22"/>
                          <w:szCs w:val="22"/>
                        </w:rPr>
                      </m:ctrlPr>
                    </m:dPr>
                    <m:e>
                      <m:sSub>
                        <m:sSubPr>
                          <m:ctrlPr>
                            <w:rPr>
                              <w:rFonts w:ascii="Cambria Math" w:hAnsi="Cambria Math"/>
                              <w:bCs/>
                              <w:i/>
                              <w:sz w:val="22"/>
                              <w:szCs w:val="22"/>
                            </w:rPr>
                          </m:ctrlPr>
                        </m:sSubPr>
                        <m:e>
                          <m:r>
                            <w:rPr>
                              <w:rFonts w:ascii="Cambria Math" w:hAnsi="Cambria Math"/>
                              <w:sz w:val="22"/>
                              <w:szCs w:val="22"/>
                            </w:rPr>
                            <m:t>x</m:t>
                          </m:r>
                        </m:e>
                        <m:sub>
                          <m:r>
                            <w:rPr>
                              <w:rFonts w:ascii="Cambria Math" w:hAnsi="Cambria Math"/>
                              <w:sz w:val="22"/>
                              <w:szCs w:val="22"/>
                            </w:rPr>
                            <m:t>t-i</m:t>
                          </m:r>
                        </m:sub>
                      </m:sSub>
                    </m:e>
                  </m:d>
                  <m:r>
                    <w:rPr>
                      <w:rFonts w:ascii="Cambria Math" w:hAnsi="Cambria Math"/>
                      <w:sz w:val="22"/>
                      <w:szCs w:val="22"/>
                    </w:rPr>
                    <m:t>]+Med(</m:t>
                  </m:r>
                  <m:sSub>
                    <m:sSubPr>
                      <m:ctrlPr>
                        <w:rPr>
                          <w:rFonts w:ascii="Cambria Math" w:hAnsi="Cambria Math"/>
                          <w:bCs/>
                          <w:i/>
                          <w:sz w:val="22"/>
                          <w:szCs w:val="22"/>
                        </w:rPr>
                      </m:ctrlPr>
                    </m:sSubPr>
                    <m:e>
                      <m:r>
                        <w:rPr>
                          <w:rFonts w:ascii="Cambria Math" w:hAnsi="Cambria Math"/>
                          <w:sz w:val="22"/>
                          <w:szCs w:val="22"/>
                        </w:rPr>
                        <m:t>x</m:t>
                      </m:r>
                    </m:e>
                    <m:sub>
                      <m:r>
                        <w:rPr>
                          <w:rFonts w:ascii="Cambria Math" w:hAnsi="Cambria Math"/>
                          <w:sz w:val="22"/>
                          <w:szCs w:val="22"/>
                        </w:rPr>
                        <m:t>t-i</m:t>
                      </m:r>
                    </m:sub>
                  </m:sSub>
                  <m:r>
                    <w:rPr>
                      <w:rFonts w:ascii="Cambria Math" w:hAnsi="Cambria Math"/>
                      <w:sz w:val="22"/>
                      <w:szCs w:val="22"/>
                    </w:rPr>
                    <m:t>)+Max(</m:t>
                  </m:r>
                  <m:sSub>
                    <m:sSubPr>
                      <m:ctrlPr>
                        <w:rPr>
                          <w:rFonts w:ascii="Cambria Math" w:hAnsi="Cambria Math"/>
                          <w:bCs/>
                          <w:i/>
                          <w:sz w:val="22"/>
                          <w:szCs w:val="22"/>
                        </w:rPr>
                      </m:ctrlPr>
                    </m:sSubPr>
                    <m:e>
                      <m:r>
                        <w:rPr>
                          <w:rFonts w:ascii="Cambria Math" w:hAnsi="Cambria Math"/>
                          <w:sz w:val="22"/>
                          <w:szCs w:val="22"/>
                        </w:rPr>
                        <m:t>x</m:t>
                      </m:r>
                    </m:e>
                    <m:sub>
                      <m:r>
                        <w:rPr>
                          <w:rFonts w:ascii="Cambria Math" w:hAnsi="Cambria Math"/>
                          <w:sz w:val="22"/>
                          <w:szCs w:val="22"/>
                        </w:rPr>
                        <m:t>t-i</m:t>
                      </m:r>
                    </m:sub>
                  </m:sSub>
                  <m:r>
                    <w:rPr>
                      <w:rFonts w:ascii="Cambria Math" w:hAnsi="Cambria Math"/>
                      <w:sz w:val="22"/>
                      <w:szCs w:val="22"/>
                    </w:rPr>
                    <m:t>)</m:t>
                  </m:r>
                </m:num>
                <m:den>
                  <m:r>
                    <w:rPr>
                      <w:rFonts w:ascii="Cambria Math" w:hAnsi="Cambria Math"/>
                      <w:sz w:val="22"/>
                      <w:szCs w:val="22"/>
                    </w:rPr>
                    <m:t>3</m:t>
                  </m:r>
                </m:den>
              </m:f>
              <m:r>
                <w:rPr>
                  <w:rFonts w:ascii="Cambria Math" w:hAnsi="Cambria Math"/>
                  <w:sz w:val="22"/>
                  <w:szCs w:val="22"/>
                </w:rPr>
                <m:t xml:space="preserve">, </m:t>
              </m:r>
              <m:sSub>
                <m:sSubPr>
                  <m:ctrlPr>
                    <w:rPr>
                      <w:rFonts w:ascii="Cambria Math" w:hAnsi="Cambria Math"/>
                      <w:bCs/>
                      <w:i/>
                      <w:sz w:val="22"/>
                      <w:szCs w:val="22"/>
                    </w:rPr>
                  </m:ctrlPr>
                </m:sSubPr>
                <m:e>
                  <m:r>
                    <w:rPr>
                      <w:rFonts w:ascii="Cambria Math" w:hAnsi="Cambria Math"/>
                      <w:sz w:val="22"/>
                      <w:szCs w:val="22"/>
                    </w:rPr>
                    <m:t>Valor base</m:t>
                  </m:r>
                </m:e>
                <m:sub>
                  <m:r>
                    <w:rPr>
                      <w:rFonts w:ascii="Cambria Math" w:hAnsi="Cambria Math"/>
                      <w:sz w:val="22"/>
                      <w:szCs w:val="22"/>
                    </w:rPr>
                    <m:t>2022</m:t>
                  </m:r>
                </m:sub>
              </m:sSub>
              <m:r>
                <w:rPr>
                  <w:rFonts w:ascii="Cambria Math" w:hAnsi="Cambria Math"/>
                  <w:sz w:val="22"/>
                  <w:szCs w:val="22"/>
                </w:rPr>
                <m:t xml:space="preserve"> </m:t>
              </m:r>
            </m:e>
          </m:d>
        </m:oMath>
      </m:oMathPara>
    </w:p>
    <w:p w14:paraId="3BFB6085" w14:textId="77777777" w:rsidR="00C17C0F" w:rsidRDefault="00C17C0F" w:rsidP="00D13477">
      <w:pPr>
        <w:spacing w:before="0" w:after="0"/>
        <w:rPr>
          <w:bCs/>
        </w:rPr>
      </w:pPr>
    </w:p>
    <w:p w14:paraId="710E9FE0" w14:textId="141AB39F" w:rsidR="00B55971" w:rsidRDefault="00B55971" w:rsidP="00D13477">
      <w:pPr>
        <w:spacing w:before="0" w:after="0"/>
        <w:jc w:val="left"/>
        <w:rPr>
          <w:bCs/>
        </w:rPr>
      </w:pPr>
      <w:r>
        <w:rPr>
          <w:bCs/>
          <w:szCs w:val="20"/>
          <w:lang w:val="es-CO"/>
        </w:rPr>
        <w:t xml:space="preserve">En virtud de lo anterior, </w:t>
      </w:r>
      <w:r w:rsidR="00555C5E">
        <w:rPr>
          <w:bCs/>
          <w:szCs w:val="20"/>
          <w:lang w:val="es-CO"/>
        </w:rPr>
        <w:t xml:space="preserve">el </w:t>
      </w:r>
      <m:oMath>
        <m:sSub>
          <m:sSubPr>
            <m:ctrlPr>
              <w:rPr>
                <w:rFonts w:ascii="Cambria Math" w:hAnsi="Cambria Math"/>
                <w:bCs/>
                <w:i/>
                <w:szCs w:val="20"/>
                <w:lang w:val="es-CO"/>
              </w:rPr>
            </m:ctrlPr>
          </m:sSubPr>
          <m:e>
            <m:r>
              <w:rPr>
                <w:rFonts w:ascii="Cambria Math" w:hAnsi="Cambria Math"/>
                <w:szCs w:val="20"/>
                <w:lang w:val="es-CO"/>
              </w:rPr>
              <m:t>Valor base</m:t>
            </m:r>
          </m:e>
          <m:sub>
            <m:r>
              <w:rPr>
                <w:rFonts w:ascii="Cambria Math" w:hAnsi="Cambria Math"/>
                <w:szCs w:val="20"/>
                <w:lang w:val="es-CO"/>
              </w:rPr>
              <m:t>2022</m:t>
            </m:r>
          </m:sub>
        </m:sSub>
      </m:oMath>
      <w:r w:rsidR="003F1AAE">
        <w:rPr>
          <w:bCs/>
        </w:rPr>
        <w:t xml:space="preserve"> </w:t>
      </w:r>
      <w:r w:rsidR="008B59FE">
        <w:rPr>
          <w:bCs/>
        </w:rPr>
        <w:t>para los indicadores</w:t>
      </w:r>
      <w:r w:rsidR="00BD5434">
        <w:rPr>
          <w:bCs/>
        </w:rPr>
        <w:t>,</w:t>
      </w:r>
      <w:r w:rsidR="008B59FE">
        <w:rPr>
          <w:bCs/>
        </w:rPr>
        <w:t xml:space="preserve"> </w:t>
      </w:r>
      <w:r w:rsidR="00BD5434">
        <w:rPr>
          <w:bCs/>
        </w:rPr>
        <w:t xml:space="preserve">que se calculó </w:t>
      </w:r>
      <w:r w:rsidR="003F1AAE">
        <w:rPr>
          <w:bCs/>
        </w:rPr>
        <w:t xml:space="preserve">a partir de los valores observados en los cinco (5) años anteriores y siguiendo la metodología </w:t>
      </w:r>
      <w:r w:rsidR="00BD5434">
        <w:rPr>
          <w:bCs/>
        </w:rPr>
        <w:t>descrita</w:t>
      </w:r>
      <w:r w:rsidR="003F1AAE">
        <w:rPr>
          <w:bCs/>
        </w:rPr>
        <w:t xml:space="preserve">, se </w:t>
      </w:r>
      <w:r w:rsidR="00BD5434">
        <w:rPr>
          <w:bCs/>
        </w:rPr>
        <w:t>present</w:t>
      </w:r>
      <w:r w:rsidR="003F1AAE">
        <w:rPr>
          <w:bCs/>
        </w:rPr>
        <w:t>a</w:t>
      </w:r>
      <w:r w:rsidR="00BD5434">
        <w:rPr>
          <w:bCs/>
        </w:rPr>
        <w:t>n</w:t>
      </w:r>
      <w:r w:rsidR="003F1AAE">
        <w:rPr>
          <w:bCs/>
        </w:rPr>
        <w:t xml:space="preserve"> continuación:</w:t>
      </w:r>
    </w:p>
    <w:p w14:paraId="09A46022" w14:textId="77777777" w:rsidR="00EE06A8" w:rsidRDefault="00EE06A8" w:rsidP="00D13477">
      <w:pPr>
        <w:spacing w:before="0" w:after="0"/>
        <w:jc w:val="left"/>
        <w:rPr>
          <w:bCs/>
        </w:rPr>
      </w:pPr>
    </w:p>
    <w:tbl>
      <w:tblPr>
        <w:tblStyle w:val="Tablanormal2"/>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835"/>
      </w:tblGrid>
      <w:tr w:rsidR="00EE06A8" w:rsidRPr="0041008A" w14:paraId="1E089EDC" w14:textId="77777777" w:rsidTr="009B5A4C">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4390" w:type="dxa"/>
            <w:hideMark/>
          </w:tcPr>
          <w:p w14:paraId="65BA4EFC" w14:textId="77777777" w:rsidR="00EE06A8" w:rsidRPr="0041008A" w:rsidRDefault="00EE06A8" w:rsidP="003833AD">
            <w:pPr>
              <w:spacing w:before="0" w:after="0"/>
              <w:jc w:val="center"/>
              <w:rPr>
                <w:rFonts w:ascii="Calibri" w:hAnsi="Calibri"/>
                <w:color w:val="000000"/>
                <w:sz w:val="22"/>
                <w:szCs w:val="22"/>
                <w:lang w:val="es-419" w:eastAsia="es-419"/>
              </w:rPr>
            </w:pPr>
            <w:r w:rsidRPr="0041008A">
              <w:rPr>
                <w:rFonts w:ascii="Calibri" w:hAnsi="Calibri"/>
                <w:color w:val="000000"/>
                <w:sz w:val="22"/>
                <w:szCs w:val="22"/>
                <w:lang w:val="es-419" w:eastAsia="es-419"/>
              </w:rPr>
              <w:t>INDICADOR</w:t>
            </w:r>
          </w:p>
        </w:tc>
        <w:tc>
          <w:tcPr>
            <w:tcW w:w="2835" w:type="dxa"/>
            <w:hideMark/>
          </w:tcPr>
          <w:p w14:paraId="3774FC87" w14:textId="0C3F440D" w:rsidR="00EE06A8" w:rsidRPr="0041008A" w:rsidRDefault="00C337A1" w:rsidP="003833AD">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2"/>
                <w:szCs w:val="22"/>
                <w:lang w:val="es-419" w:eastAsia="es-419"/>
              </w:rPr>
            </w:pPr>
            <m:oMathPara>
              <m:oMath>
                <m:sSub>
                  <m:sSubPr>
                    <m:ctrlPr>
                      <w:rPr>
                        <w:rFonts w:ascii="Cambria Math" w:hAnsi="Cambria Math"/>
                        <w:i/>
                        <w:color w:val="000000"/>
                        <w:sz w:val="22"/>
                        <w:szCs w:val="22"/>
                        <w:lang w:val="es-419" w:eastAsia="es-419"/>
                      </w:rPr>
                    </m:ctrlPr>
                  </m:sSubPr>
                  <m:e>
                    <m:r>
                      <m:rPr>
                        <m:sty m:val="bi"/>
                      </m:rPr>
                      <w:rPr>
                        <w:rFonts w:ascii="Cambria Math" w:hAnsi="Cambria Math"/>
                        <w:color w:val="000000"/>
                        <w:sz w:val="22"/>
                        <w:szCs w:val="22"/>
                        <w:lang w:val="es-419" w:eastAsia="es-419"/>
                      </w:rPr>
                      <m:t>Valor base</m:t>
                    </m:r>
                  </m:e>
                  <m:sub>
                    <m:r>
                      <m:rPr>
                        <m:sty m:val="bi"/>
                      </m:rPr>
                      <w:rPr>
                        <w:rFonts w:ascii="Cambria Math" w:hAnsi="Cambria Math"/>
                        <w:color w:val="000000"/>
                        <w:sz w:val="22"/>
                        <w:szCs w:val="22"/>
                        <w:lang w:val="es-419" w:eastAsia="es-419"/>
                      </w:rPr>
                      <m:t>2022</m:t>
                    </m:r>
                  </m:sub>
                </m:sSub>
              </m:oMath>
            </m:oMathPara>
          </w:p>
        </w:tc>
      </w:tr>
      <w:tr w:rsidR="0067797E" w:rsidRPr="0041008A" w14:paraId="7484D072" w14:textId="77777777" w:rsidTr="009B5A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90" w:type="dxa"/>
            <w:noWrap/>
            <w:vAlign w:val="center"/>
          </w:tcPr>
          <w:p w14:paraId="797B81BF" w14:textId="349E13EC" w:rsidR="005377FE" w:rsidRPr="009B5A4C" w:rsidRDefault="005377FE" w:rsidP="005377FE">
            <w:pPr>
              <w:spacing w:before="0" w:after="0"/>
              <w:jc w:val="left"/>
              <w:rPr>
                <w:rFonts w:ascii="Calibri" w:hAnsi="Calibri"/>
                <w:b w:val="0"/>
                <w:bCs w:val="0"/>
                <w:color w:val="000000"/>
                <w:sz w:val="22"/>
                <w:szCs w:val="22"/>
                <w:lang w:val="es-419" w:eastAsia="es-419"/>
              </w:rPr>
            </w:pPr>
            <w:r w:rsidRPr="0067797E">
              <w:rPr>
                <w:rFonts w:ascii="Calibri" w:hAnsi="Calibri"/>
                <w:color w:val="000000"/>
                <w:sz w:val="22"/>
                <w:szCs w:val="22"/>
                <w:lang w:val="es-419" w:eastAsia="es-419"/>
              </w:rPr>
              <w:t>Calce de operaciones de oferta</w:t>
            </w:r>
          </w:p>
        </w:tc>
        <w:tc>
          <w:tcPr>
            <w:tcW w:w="2835" w:type="dxa"/>
            <w:noWrap/>
          </w:tcPr>
          <w:p w14:paraId="122D7241" w14:textId="283F40BD" w:rsidR="005377FE" w:rsidRPr="0041008A" w:rsidRDefault="00B745DC" w:rsidP="009B5A4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s-419" w:eastAsia="es-419"/>
              </w:rPr>
            </w:pPr>
            <w:r>
              <w:rPr>
                <w:rFonts w:ascii="Calibri" w:hAnsi="Calibri"/>
                <w:color w:val="000000"/>
                <w:sz w:val="22"/>
                <w:szCs w:val="22"/>
                <w:lang w:val="es-419" w:eastAsia="es-419"/>
              </w:rPr>
              <w:t>57,43%</w:t>
            </w:r>
          </w:p>
        </w:tc>
      </w:tr>
      <w:tr w:rsidR="005377FE" w:rsidRPr="0041008A" w14:paraId="55DF606A" w14:textId="77777777" w:rsidTr="009B5A4C">
        <w:trPr>
          <w:trHeight w:val="300"/>
          <w:jc w:val="center"/>
        </w:trPr>
        <w:tc>
          <w:tcPr>
            <w:cnfStyle w:val="001000000000" w:firstRow="0" w:lastRow="0" w:firstColumn="1" w:lastColumn="0" w:oddVBand="0" w:evenVBand="0" w:oddHBand="0" w:evenHBand="0" w:firstRowFirstColumn="0" w:firstRowLastColumn="0" w:lastRowFirstColumn="0" w:lastRowLastColumn="0"/>
            <w:tcW w:w="4390" w:type="dxa"/>
            <w:noWrap/>
            <w:vAlign w:val="center"/>
          </w:tcPr>
          <w:p w14:paraId="265D1543" w14:textId="2F6F0420" w:rsidR="005377FE" w:rsidRPr="009B5A4C" w:rsidRDefault="005377FE" w:rsidP="005377FE">
            <w:pPr>
              <w:spacing w:before="0" w:after="0"/>
              <w:jc w:val="left"/>
              <w:rPr>
                <w:rFonts w:ascii="Calibri" w:hAnsi="Calibri"/>
                <w:b w:val="0"/>
                <w:bCs w:val="0"/>
                <w:color w:val="000000"/>
                <w:sz w:val="22"/>
                <w:szCs w:val="22"/>
                <w:lang w:val="es-419" w:eastAsia="es-419"/>
              </w:rPr>
            </w:pPr>
            <w:r w:rsidRPr="0067797E">
              <w:rPr>
                <w:rFonts w:ascii="Calibri" w:hAnsi="Calibri"/>
                <w:color w:val="000000"/>
                <w:sz w:val="22"/>
                <w:szCs w:val="22"/>
                <w:lang w:val="es-419" w:eastAsia="es-419"/>
              </w:rPr>
              <w:t>Calce de operaciones de demanda</w:t>
            </w:r>
          </w:p>
        </w:tc>
        <w:tc>
          <w:tcPr>
            <w:tcW w:w="2835" w:type="dxa"/>
            <w:noWrap/>
          </w:tcPr>
          <w:p w14:paraId="5C056422" w14:textId="51CC9633" w:rsidR="005377FE" w:rsidRPr="0041008A" w:rsidRDefault="004B3FA4" w:rsidP="009B5A4C">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s-419" w:eastAsia="es-419"/>
              </w:rPr>
            </w:pPr>
            <w:r>
              <w:rPr>
                <w:rFonts w:ascii="Calibri" w:hAnsi="Calibri"/>
                <w:color w:val="000000"/>
                <w:sz w:val="22"/>
                <w:szCs w:val="22"/>
                <w:lang w:val="es-419" w:eastAsia="es-419"/>
              </w:rPr>
              <w:t>60,27%</w:t>
            </w:r>
          </w:p>
        </w:tc>
      </w:tr>
      <w:tr w:rsidR="005377FE" w:rsidRPr="0041008A" w14:paraId="64FFCF83" w14:textId="77777777" w:rsidTr="009B5A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90" w:type="dxa"/>
            <w:noWrap/>
            <w:vAlign w:val="center"/>
          </w:tcPr>
          <w:p w14:paraId="1B18899A" w14:textId="219D7A20" w:rsidR="005377FE" w:rsidRPr="009B5A4C" w:rsidRDefault="005377FE" w:rsidP="005377FE">
            <w:pPr>
              <w:spacing w:before="0" w:after="0"/>
              <w:jc w:val="left"/>
              <w:rPr>
                <w:rFonts w:ascii="Calibri" w:hAnsi="Calibri"/>
                <w:b w:val="0"/>
                <w:bCs w:val="0"/>
                <w:color w:val="000000"/>
                <w:sz w:val="22"/>
                <w:szCs w:val="22"/>
                <w:lang w:val="es-419" w:eastAsia="es-419"/>
              </w:rPr>
            </w:pPr>
            <w:r w:rsidRPr="0067797E">
              <w:rPr>
                <w:rFonts w:ascii="Calibri" w:hAnsi="Calibri"/>
                <w:color w:val="000000"/>
                <w:sz w:val="22"/>
                <w:szCs w:val="22"/>
                <w:lang w:val="es-419" w:eastAsia="es-419"/>
              </w:rPr>
              <w:t>Participación de agentes registrados</w:t>
            </w:r>
          </w:p>
        </w:tc>
        <w:tc>
          <w:tcPr>
            <w:tcW w:w="2835" w:type="dxa"/>
            <w:noWrap/>
          </w:tcPr>
          <w:p w14:paraId="1763A6B9" w14:textId="1DDF7710" w:rsidR="005377FE" w:rsidRPr="0041008A" w:rsidRDefault="00167C94" w:rsidP="009B5A4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s-419" w:eastAsia="es-419"/>
              </w:rPr>
            </w:pPr>
            <w:r>
              <w:rPr>
                <w:rFonts w:ascii="Calibri" w:hAnsi="Calibri"/>
                <w:color w:val="000000"/>
                <w:sz w:val="22"/>
                <w:szCs w:val="22"/>
                <w:lang w:val="es-419" w:eastAsia="es-419"/>
              </w:rPr>
              <w:t>17,60%</w:t>
            </w:r>
          </w:p>
        </w:tc>
      </w:tr>
      <w:tr w:rsidR="005377FE" w:rsidRPr="0041008A" w14:paraId="1C32F502" w14:textId="77777777" w:rsidTr="009B5A4C">
        <w:trPr>
          <w:trHeight w:val="300"/>
          <w:jc w:val="center"/>
        </w:trPr>
        <w:tc>
          <w:tcPr>
            <w:cnfStyle w:val="001000000000" w:firstRow="0" w:lastRow="0" w:firstColumn="1" w:lastColumn="0" w:oddVBand="0" w:evenVBand="0" w:oddHBand="0" w:evenHBand="0" w:firstRowFirstColumn="0" w:firstRowLastColumn="0" w:lastRowFirstColumn="0" w:lastRowLastColumn="0"/>
            <w:tcW w:w="4390" w:type="dxa"/>
            <w:noWrap/>
          </w:tcPr>
          <w:p w14:paraId="4020B163" w14:textId="3162DF73" w:rsidR="005377FE" w:rsidRPr="009B5A4C" w:rsidRDefault="005377FE" w:rsidP="005377FE">
            <w:pPr>
              <w:spacing w:before="0" w:after="0"/>
              <w:jc w:val="left"/>
              <w:rPr>
                <w:rFonts w:ascii="Calibri" w:hAnsi="Calibri"/>
                <w:b w:val="0"/>
                <w:bCs w:val="0"/>
                <w:color w:val="000000"/>
                <w:sz w:val="22"/>
                <w:szCs w:val="22"/>
                <w:lang w:val="es-419" w:eastAsia="es-419"/>
              </w:rPr>
            </w:pPr>
            <w:r w:rsidRPr="0067797E">
              <w:rPr>
                <w:rFonts w:ascii="Calibri" w:hAnsi="Calibri"/>
                <w:color w:val="000000"/>
                <w:sz w:val="22"/>
                <w:szCs w:val="22"/>
                <w:lang w:val="es-419" w:eastAsia="es-419"/>
              </w:rPr>
              <w:t>Representatividad de la energía transada</w:t>
            </w:r>
          </w:p>
        </w:tc>
        <w:tc>
          <w:tcPr>
            <w:tcW w:w="2835" w:type="dxa"/>
            <w:noWrap/>
          </w:tcPr>
          <w:p w14:paraId="41420126" w14:textId="74C5E653" w:rsidR="005377FE" w:rsidRPr="0041008A" w:rsidRDefault="00174F7E" w:rsidP="009B5A4C">
            <w:pPr>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s-419" w:eastAsia="es-419"/>
              </w:rPr>
            </w:pPr>
            <w:r w:rsidRPr="003A04BB">
              <w:rPr>
                <w:rFonts w:ascii="Calibri" w:hAnsi="Calibri"/>
                <w:color w:val="000000"/>
                <w:sz w:val="22"/>
                <w:szCs w:val="22"/>
                <w:lang w:val="es-419" w:eastAsia="es-419"/>
              </w:rPr>
              <w:t>0</w:t>
            </w:r>
            <w:r w:rsidR="00CB6646" w:rsidRPr="003A04BB">
              <w:rPr>
                <w:rFonts w:ascii="Calibri" w:hAnsi="Calibri"/>
                <w:color w:val="000000"/>
                <w:sz w:val="22"/>
                <w:szCs w:val="22"/>
                <w:lang w:val="es-419" w:eastAsia="es-419"/>
              </w:rPr>
              <w:t>,</w:t>
            </w:r>
            <w:r w:rsidR="003A04BB" w:rsidRPr="009B5A4C">
              <w:rPr>
                <w:rFonts w:ascii="Calibri" w:hAnsi="Calibri"/>
                <w:color w:val="000000"/>
                <w:sz w:val="22"/>
                <w:szCs w:val="22"/>
                <w:lang w:val="es-419" w:eastAsia="es-419"/>
              </w:rPr>
              <w:t>1</w:t>
            </w:r>
            <w:r w:rsidR="007D2E90">
              <w:rPr>
                <w:rFonts w:ascii="Calibri" w:hAnsi="Calibri"/>
                <w:color w:val="000000"/>
                <w:sz w:val="22"/>
                <w:szCs w:val="22"/>
                <w:lang w:val="es-419" w:eastAsia="es-419"/>
              </w:rPr>
              <w:t>0</w:t>
            </w:r>
            <w:r w:rsidR="003A04BB" w:rsidRPr="009B5A4C">
              <w:rPr>
                <w:rFonts w:ascii="Calibri" w:hAnsi="Calibri"/>
                <w:color w:val="000000"/>
                <w:sz w:val="22"/>
                <w:szCs w:val="22"/>
                <w:lang w:val="es-419" w:eastAsia="es-419"/>
              </w:rPr>
              <w:t>%</w:t>
            </w:r>
          </w:p>
        </w:tc>
      </w:tr>
      <w:tr w:rsidR="005377FE" w:rsidRPr="0041008A" w14:paraId="0A688132" w14:textId="77777777" w:rsidTr="009B5A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90" w:type="dxa"/>
            <w:noWrap/>
          </w:tcPr>
          <w:p w14:paraId="451B6047" w14:textId="39231B5A" w:rsidR="005377FE" w:rsidRPr="009B5A4C" w:rsidRDefault="005377FE" w:rsidP="005377FE">
            <w:pPr>
              <w:spacing w:before="0" w:after="0"/>
              <w:jc w:val="left"/>
              <w:rPr>
                <w:rFonts w:ascii="Calibri" w:hAnsi="Calibri"/>
                <w:b w:val="0"/>
                <w:bCs w:val="0"/>
                <w:color w:val="000000"/>
                <w:sz w:val="22"/>
                <w:szCs w:val="22"/>
                <w:lang w:val="es-419" w:eastAsia="es-419"/>
              </w:rPr>
            </w:pPr>
            <w:r w:rsidRPr="0067797E">
              <w:rPr>
                <w:rFonts w:ascii="Calibri" w:hAnsi="Calibri"/>
                <w:color w:val="000000"/>
                <w:sz w:val="22"/>
                <w:szCs w:val="22"/>
                <w:lang w:val="es-419" w:eastAsia="es-419"/>
              </w:rPr>
              <w:lastRenderedPageBreak/>
              <w:t>Representatividad de participantes</w:t>
            </w:r>
            <w:r w:rsidRPr="0067797E" w:rsidDel="00E674F6">
              <w:rPr>
                <w:rFonts w:ascii="Calibri" w:hAnsi="Calibri"/>
                <w:color w:val="000000"/>
                <w:sz w:val="22"/>
                <w:szCs w:val="22"/>
                <w:lang w:val="es-419" w:eastAsia="es-419"/>
              </w:rPr>
              <w:t xml:space="preserve"> </w:t>
            </w:r>
            <w:r w:rsidRPr="0067797E">
              <w:rPr>
                <w:rFonts w:ascii="Calibri" w:hAnsi="Calibri"/>
                <w:color w:val="000000"/>
                <w:sz w:val="22"/>
                <w:szCs w:val="22"/>
                <w:lang w:val="es-419" w:eastAsia="es-419"/>
              </w:rPr>
              <w:t>del MEM</w:t>
            </w:r>
          </w:p>
        </w:tc>
        <w:tc>
          <w:tcPr>
            <w:tcW w:w="2835" w:type="dxa"/>
            <w:noWrap/>
          </w:tcPr>
          <w:p w14:paraId="4649705D" w14:textId="343538B1" w:rsidR="005377FE" w:rsidRPr="0041008A" w:rsidRDefault="0039591F" w:rsidP="009B5A4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s-419" w:eastAsia="es-419"/>
              </w:rPr>
            </w:pPr>
            <w:r>
              <w:rPr>
                <w:rFonts w:ascii="Calibri" w:hAnsi="Calibri"/>
                <w:color w:val="000000"/>
                <w:sz w:val="22"/>
                <w:szCs w:val="22"/>
                <w:lang w:val="es-419" w:eastAsia="es-419"/>
              </w:rPr>
              <w:t>10</w:t>
            </w:r>
            <w:r w:rsidR="00BE4874">
              <w:rPr>
                <w:rFonts w:ascii="Calibri" w:hAnsi="Calibri"/>
                <w:color w:val="000000"/>
                <w:sz w:val="22"/>
                <w:szCs w:val="22"/>
                <w:lang w:val="es-419" w:eastAsia="es-419"/>
              </w:rPr>
              <w:t>,0</w:t>
            </w:r>
            <w:r w:rsidR="00FF5E33">
              <w:rPr>
                <w:rFonts w:ascii="Calibri" w:hAnsi="Calibri"/>
                <w:color w:val="000000"/>
                <w:sz w:val="22"/>
                <w:szCs w:val="22"/>
                <w:lang w:val="es-419" w:eastAsia="es-419"/>
              </w:rPr>
              <w:t>%</w:t>
            </w:r>
          </w:p>
        </w:tc>
      </w:tr>
    </w:tbl>
    <w:p w14:paraId="3AE4351E" w14:textId="6F4A2635" w:rsidR="00EE35F3" w:rsidRPr="00BE4874" w:rsidRDefault="00EE35F3">
      <w:pPr>
        <w:rPr>
          <w:bCs/>
          <w:szCs w:val="20"/>
          <w:lang w:val="es-CO"/>
        </w:rPr>
      </w:pPr>
      <w:r>
        <w:rPr>
          <w:bCs/>
          <w:szCs w:val="20"/>
          <w:lang w:val="es-CO"/>
        </w:rPr>
        <w:t xml:space="preserve">El valor base </w:t>
      </w:r>
      <w:r w:rsidR="005B183B">
        <w:rPr>
          <w:bCs/>
          <w:szCs w:val="20"/>
          <w:lang w:val="es-CO"/>
        </w:rPr>
        <w:t xml:space="preserve">del indicador </w:t>
      </w:r>
      <w:r w:rsidR="005B183B" w:rsidRPr="005D2EF6">
        <w:rPr>
          <w:b/>
          <w:i/>
          <w:iCs/>
          <w:szCs w:val="20"/>
          <w:lang w:val="es-CO"/>
        </w:rPr>
        <w:t>Representatividad de participantes del MEM</w:t>
      </w:r>
      <w:r w:rsidR="005B183B" w:rsidRPr="005D2EF6">
        <w:rPr>
          <w:bCs/>
          <w:szCs w:val="20"/>
          <w:lang w:val="es-CO"/>
        </w:rPr>
        <w:t xml:space="preserve">, </w:t>
      </w:r>
      <w:r w:rsidR="002D3EBF">
        <w:rPr>
          <w:bCs/>
          <w:szCs w:val="20"/>
          <w:lang w:val="es-CO"/>
        </w:rPr>
        <w:t xml:space="preserve">se actualizará bajo la metodología arriba expuesta </w:t>
      </w:r>
      <w:r w:rsidR="0031203C">
        <w:rPr>
          <w:bCs/>
          <w:szCs w:val="20"/>
          <w:lang w:val="es-CO"/>
        </w:rPr>
        <w:t>a partir de la cuarta evaluación de modo que, para las evaluaciones uno, dos y tres, el valor base será el aplicado para 2022 y que se expone en el cuadro anterior.</w:t>
      </w:r>
    </w:p>
    <w:p w14:paraId="56DCE784" w14:textId="480C2404" w:rsidR="00943EE8" w:rsidRPr="002707D2" w:rsidRDefault="00C26C60" w:rsidP="00D31EE1">
      <w:pPr>
        <w:spacing w:before="0" w:after="0"/>
        <w:jc w:val="left"/>
      </w:pPr>
      <w:r>
        <w:rPr>
          <w:bCs/>
          <w:szCs w:val="20"/>
          <w:lang w:val="es-CO"/>
        </w:rPr>
        <w:t xml:space="preserve">El valor base </w:t>
      </w:r>
      <w:r w:rsidRPr="00153976">
        <w:rPr>
          <w:bCs/>
          <w:szCs w:val="20"/>
          <w:lang w:val="es-CO"/>
        </w:rPr>
        <w:t>de calificación de los indicadores de resultado del mecanismo</w:t>
      </w:r>
      <w:r>
        <w:rPr>
          <w:bCs/>
          <w:szCs w:val="20"/>
          <w:lang w:val="es-CO"/>
        </w:rPr>
        <w:t xml:space="preserve">, calculado para el periodo </w:t>
      </w:r>
      <w:r w:rsidRPr="00D23AF4">
        <w:rPr>
          <w:bCs/>
          <w:i/>
          <w:iCs/>
          <w:szCs w:val="20"/>
          <w:lang w:val="es-CO"/>
        </w:rPr>
        <w:t>t</w:t>
      </w:r>
      <w:r>
        <w:rPr>
          <w:bCs/>
          <w:szCs w:val="20"/>
          <w:lang w:val="es-CO"/>
        </w:rPr>
        <w:t>, es el valor mínimo que el Auditor considera para determinar si un indicador “Cumple”.</w:t>
      </w:r>
    </w:p>
    <w:sectPr w:rsidR="00943EE8" w:rsidRPr="002707D2" w:rsidSect="00D91187">
      <w:headerReference w:type="default" r:id="rId11"/>
      <w:footerReference w:type="default" r:id="rId12"/>
      <w:headerReference w:type="first" r:id="rId13"/>
      <w:footerReference w:type="first" r:id="rId14"/>
      <w:pgSz w:w="12242" w:h="18722" w:code="123"/>
      <w:pgMar w:top="2268" w:right="1185" w:bottom="1276" w:left="1701"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03EC1" w14:textId="77777777" w:rsidR="00F50897" w:rsidRDefault="00F50897">
      <w:r>
        <w:separator/>
      </w:r>
    </w:p>
  </w:endnote>
  <w:endnote w:type="continuationSeparator" w:id="0">
    <w:p w14:paraId="14F7DE87" w14:textId="77777777" w:rsidR="00F50897" w:rsidRDefault="00F50897">
      <w:r>
        <w:continuationSeparator/>
      </w:r>
    </w:p>
  </w:endnote>
  <w:endnote w:type="continuationNotice" w:id="1">
    <w:p w14:paraId="71759DE8" w14:textId="77777777" w:rsidR="00F50897" w:rsidRDefault="00F5089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763762" w14:paraId="6007188B" w14:textId="77777777" w:rsidTr="002B6EFD">
      <w:tc>
        <w:tcPr>
          <w:tcW w:w="3119" w:type="dxa"/>
        </w:tcPr>
        <w:p w14:paraId="621D518E" w14:textId="6E44D4A7" w:rsidR="00763762" w:rsidRDefault="00763762" w:rsidP="002B6EFD">
          <w:pPr>
            <w:pStyle w:val="Encabezado"/>
            <w:ind w:left="-115"/>
            <w:jc w:val="left"/>
          </w:pPr>
        </w:p>
      </w:tc>
      <w:tc>
        <w:tcPr>
          <w:tcW w:w="3119" w:type="dxa"/>
        </w:tcPr>
        <w:p w14:paraId="6A1D3C99" w14:textId="085D5E71" w:rsidR="00763762" w:rsidRDefault="00763762" w:rsidP="002B6EFD">
          <w:pPr>
            <w:pStyle w:val="Encabezado"/>
            <w:jc w:val="center"/>
          </w:pPr>
        </w:p>
      </w:tc>
      <w:tc>
        <w:tcPr>
          <w:tcW w:w="3119" w:type="dxa"/>
        </w:tcPr>
        <w:p w14:paraId="4E243630" w14:textId="39091386" w:rsidR="00763762" w:rsidRDefault="00763762" w:rsidP="002B6EFD">
          <w:pPr>
            <w:pStyle w:val="Encabezado"/>
            <w:ind w:right="-115"/>
            <w:jc w:val="right"/>
          </w:pPr>
        </w:p>
      </w:tc>
    </w:tr>
  </w:tbl>
  <w:p w14:paraId="0D40246F" w14:textId="7B00BDDD" w:rsidR="00763762" w:rsidRDefault="007637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763762" w14:paraId="7EC907FA" w14:textId="77777777" w:rsidTr="004B7FBD">
      <w:tc>
        <w:tcPr>
          <w:tcW w:w="3119" w:type="dxa"/>
        </w:tcPr>
        <w:p w14:paraId="4CCEB555" w14:textId="08121091" w:rsidR="00763762" w:rsidRDefault="00763762" w:rsidP="00225A99">
          <w:pPr>
            <w:pStyle w:val="Encabezado"/>
            <w:ind w:left="-115"/>
            <w:jc w:val="left"/>
          </w:pPr>
        </w:p>
      </w:tc>
      <w:tc>
        <w:tcPr>
          <w:tcW w:w="3119" w:type="dxa"/>
        </w:tcPr>
        <w:p w14:paraId="50F3965C" w14:textId="5612DF93" w:rsidR="00763762" w:rsidRDefault="00763762" w:rsidP="00225A99">
          <w:pPr>
            <w:pStyle w:val="Encabezado"/>
            <w:jc w:val="center"/>
          </w:pPr>
        </w:p>
      </w:tc>
      <w:tc>
        <w:tcPr>
          <w:tcW w:w="3119" w:type="dxa"/>
        </w:tcPr>
        <w:p w14:paraId="767FE1DF" w14:textId="6BFABC55" w:rsidR="00763762" w:rsidRDefault="00763762" w:rsidP="00225A99">
          <w:pPr>
            <w:pStyle w:val="Encabezado"/>
            <w:ind w:right="-115"/>
            <w:jc w:val="right"/>
          </w:pPr>
        </w:p>
      </w:tc>
    </w:tr>
  </w:tbl>
  <w:p w14:paraId="613B7500" w14:textId="31A37FC2" w:rsidR="00763762" w:rsidRDefault="007637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D97E5" w14:textId="77777777" w:rsidR="00F50897" w:rsidRDefault="00F50897">
      <w:r>
        <w:separator/>
      </w:r>
    </w:p>
  </w:footnote>
  <w:footnote w:type="continuationSeparator" w:id="0">
    <w:p w14:paraId="4D4D51AC" w14:textId="77777777" w:rsidR="00F50897" w:rsidRDefault="00F50897">
      <w:r>
        <w:continuationSeparator/>
      </w:r>
    </w:p>
  </w:footnote>
  <w:footnote w:type="continuationNotice" w:id="1">
    <w:p w14:paraId="6ABECB2C" w14:textId="77777777" w:rsidR="00F50897" w:rsidRDefault="00F5089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B761" w14:textId="77777777" w:rsidR="00D05BD8" w:rsidRDefault="00D05BD8" w:rsidP="003F7B66">
    <w:pPr>
      <w:keepNext/>
      <w:spacing w:before="0" w:after="0"/>
      <w:ind w:right="6"/>
      <w:jc w:val="left"/>
      <w:outlineLvl w:val="0"/>
      <w:rPr>
        <w:rFonts w:cs="Arial"/>
        <w:sz w:val="22"/>
        <w:szCs w:val="22"/>
        <w:lang w:val="es-CO"/>
      </w:rPr>
    </w:pPr>
  </w:p>
  <w:p w14:paraId="4E6C5BDE" w14:textId="77777777" w:rsidR="00D05BD8" w:rsidRDefault="00D05BD8" w:rsidP="003F7B66">
    <w:pPr>
      <w:keepNext/>
      <w:spacing w:before="0" w:after="0"/>
      <w:ind w:right="6"/>
      <w:jc w:val="left"/>
      <w:outlineLvl w:val="0"/>
      <w:rPr>
        <w:rFonts w:cs="Arial"/>
        <w:sz w:val="22"/>
        <w:szCs w:val="22"/>
        <w:lang w:val="es-CO"/>
      </w:rPr>
    </w:pPr>
  </w:p>
  <w:p w14:paraId="4BFE35EA" w14:textId="77777777" w:rsidR="00D05BD8" w:rsidRDefault="00D05BD8" w:rsidP="003F7B66">
    <w:pPr>
      <w:keepNext/>
      <w:spacing w:before="0" w:after="0"/>
      <w:ind w:right="6"/>
      <w:jc w:val="left"/>
      <w:outlineLvl w:val="0"/>
      <w:rPr>
        <w:rFonts w:cs="Arial"/>
        <w:sz w:val="22"/>
        <w:szCs w:val="22"/>
        <w:lang w:val="es-CO"/>
      </w:rPr>
    </w:pPr>
  </w:p>
  <w:p w14:paraId="241CA966" w14:textId="418F83C5" w:rsidR="003F7B66" w:rsidRPr="00ED0BB3" w:rsidRDefault="003F7B66" w:rsidP="003F7B66">
    <w:pPr>
      <w:keepNext/>
      <w:spacing w:before="0" w:after="0"/>
      <w:ind w:right="6"/>
      <w:jc w:val="left"/>
      <w:outlineLvl w:val="0"/>
      <w:rPr>
        <w:rFonts w:cs="Arial"/>
        <w:bCs/>
        <w:sz w:val="22"/>
        <w:szCs w:val="22"/>
        <w:lang w:val="es-CO"/>
      </w:rPr>
    </w:pPr>
    <w:r w:rsidRPr="00ED0BB3">
      <w:rPr>
        <w:rFonts w:cs="Arial"/>
        <w:sz w:val="22"/>
        <w:szCs w:val="22"/>
        <w:lang w:val="es-CO"/>
      </w:rPr>
      <w:t xml:space="preserve">RESOLUCIÓN </w:t>
    </w:r>
    <w:proofErr w:type="gramStart"/>
    <w:r w:rsidRPr="00ED0BB3">
      <w:rPr>
        <w:rFonts w:cs="Arial"/>
        <w:sz w:val="22"/>
        <w:szCs w:val="22"/>
        <w:lang w:val="es-CO"/>
      </w:rPr>
      <w:t xml:space="preserve">No.  </w:t>
    </w:r>
    <w:r w:rsidR="00DB7DCC" w:rsidRPr="00DB7DCC">
      <w:rPr>
        <w:rFonts w:cs="Arial"/>
        <w:b/>
        <w:bCs/>
        <w:u w:val="single"/>
        <w:lang w:val="es-CO"/>
      </w:rPr>
      <w:t>101</w:t>
    </w:r>
    <w:proofErr w:type="gramEnd"/>
    <w:r w:rsidR="00DB7DCC" w:rsidRPr="00DB7DCC">
      <w:rPr>
        <w:rFonts w:cs="Arial"/>
        <w:b/>
        <w:bCs/>
        <w:u w:val="single"/>
        <w:lang w:val="es-CO"/>
      </w:rPr>
      <w:t xml:space="preserve"> </w:t>
    </w:r>
    <w:r w:rsidR="007E3042">
      <w:rPr>
        <w:rFonts w:cs="Arial"/>
        <w:b/>
        <w:bCs/>
        <w:u w:val="single"/>
        <w:lang w:val="es-CO"/>
      </w:rPr>
      <w:t>020</w:t>
    </w:r>
    <w:r>
      <w:rPr>
        <w:rFonts w:cs="Arial"/>
        <w:sz w:val="22"/>
        <w:szCs w:val="22"/>
        <w:lang w:val="es-CO"/>
      </w:rPr>
      <w:t xml:space="preserve">  </w:t>
    </w:r>
    <w:r w:rsidRPr="00ED0BB3">
      <w:rPr>
        <w:rFonts w:cs="Arial"/>
        <w:sz w:val="22"/>
        <w:szCs w:val="22"/>
        <w:lang w:val="es-CO"/>
      </w:rPr>
      <w:tab/>
      <w:t xml:space="preserve">DE </w:t>
    </w:r>
    <w:r>
      <w:rPr>
        <w:rFonts w:cs="Arial"/>
        <w:sz w:val="22"/>
        <w:szCs w:val="22"/>
        <w:lang w:val="es-CO"/>
      </w:rPr>
      <w:t xml:space="preserve"> </w:t>
    </w:r>
    <w:r w:rsidR="007E3042">
      <w:rPr>
        <w:rFonts w:cs="Arial"/>
        <w:b/>
        <w:bCs/>
        <w:u w:val="single"/>
        <w:lang w:val="es-CO"/>
      </w:rPr>
      <w:t>08 JUL.</w:t>
    </w:r>
    <w:r w:rsidR="000C28D3">
      <w:rPr>
        <w:rFonts w:cs="Arial"/>
        <w:b/>
        <w:bCs/>
        <w:u w:val="single"/>
        <w:lang w:val="es-CO"/>
      </w:rPr>
      <w:t xml:space="preserve"> </w:t>
    </w:r>
    <w:r w:rsidRPr="00CE59BA">
      <w:rPr>
        <w:rFonts w:cs="Arial"/>
        <w:b/>
        <w:bCs/>
        <w:u w:val="single"/>
        <w:lang w:val="es-CO"/>
      </w:rPr>
      <w:t>202</w:t>
    </w:r>
    <w:r w:rsidR="001B5725">
      <w:rPr>
        <w:rFonts w:cs="Arial"/>
        <w:b/>
        <w:bCs/>
        <w:u w:val="single"/>
        <w:lang w:val="es-CO"/>
      </w:rPr>
      <w:t>2</w:t>
    </w:r>
    <w:r>
      <w:rPr>
        <w:rFonts w:cs="Arial"/>
        <w:sz w:val="22"/>
        <w:szCs w:val="22"/>
        <w:lang w:val="es-CO"/>
      </w:rPr>
      <w:t xml:space="preserve">    </w:t>
    </w:r>
    <w:r w:rsidRPr="00ED0BB3">
      <w:rPr>
        <w:rFonts w:cs="Arial"/>
        <w:sz w:val="22"/>
        <w:szCs w:val="22"/>
        <w:lang w:val="es-CO"/>
      </w:rPr>
      <w:tab/>
      <w:t xml:space="preserve">HOJA No. </w:t>
    </w:r>
    <w:r w:rsidRPr="00ED0BB3">
      <w:rPr>
        <w:rFonts w:cs="Arial"/>
        <w:sz w:val="22"/>
        <w:szCs w:val="22"/>
        <w:lang w:val="es-CO"/>
      </w:rPr>
      <w:fldChar w:fldCharType="begin"/>
    </w:r>
    <w:r w:rsidRPr="00ED0BB3">
      <w:rPr>
        <w:rFonts w:cs="Arial"/>
        <w:sz w:val="22"/>
        <w:szCs w:val="22"/>
        <w:lang w:val="es-CO"/>
      </w:rPr>
      <w:instrText xml:space="preserve"> PAGE   \* MERGEFORMAT </w:instrText>
    </w:r>
    <w:r w:rsidRPr="00ED0BB3">
      <w:rPr>
        <w:rFonts w:cs="Arial"/>
        <w:sz w:val="22"/>
        <w:szCs w:val="22"/>
        <w:lang w:val="es-CO"/>
      </w:rPr>
      <w:fldChar w:fldCharType="separate"/>
    </w:r>
    <w:r>
      <w:rPr>
        <w:rFonts w:cs="Arial"/>
        <w:sz w:val="22"/>
        <w:szCs w:val="22"/>
        <w:lang w:val="es-CO"/>
      </w:rPr>
      <w:t>2</w:t>
    </w:r>
    <w:r w:rsidRPr="00ED0BB3">
      <w:rPr>
        <w:rFonts w:cs="Arial"/>
        <w:sz w:val="22"/>
        <w:szCs w:val="22"/>
        <w:lang w:val="es-CO"/>
      </w:rPr>
      <w:fldChar w:fldCharType="end"/>
    </w:r>
    <w:r w:rsidRPr="00ED0BB3">
      <w:rPr>
        <w:rFonts w:cs="Arial"/>
        <w:sz w:val="22"/>
        <w:szCs w:val="22"/>
        <w:lang w:val="es-CO"/>
      </w:rPr>
      <w:t>/</w:t>
    </w:r>
    <w:r w:rsidRPr="00ED0BB3">
      <w:rPr>
        <w:rFonts w:ascii="CG Times" w:hAnsi="CG Times"/>
        <w:bCs/>
        <w:szCs w:val="20"/>
        <w:lang w:val="es-CO"/>
      </w:rPr>
      <w:fldChar w:fldCharType="begin"/>
    </w:r>
    <w:r w:rsidRPr="00ED0BB3">
      <w:rPr>
        <w:rFonts w:ascii="CG Times" w:hAnsi="CG Times"/>
        <w:bCs/>
        <w:szCs w:val="20"/>
        <w:lang w:val="es-CO"/>
      </w:rPr>
      <w:instrText xml:space="preserve"> NUMPAGES  \* MERGEFORMAT </w:instrText>
    </w:r>
    <w:r w:rsidRPr="00ED0BB3">
      <w:rPr>
        <w:rFonts w:ascii="CG Times" w:hAnsi="CG Times"/>
        <w:bCs/>
        <w:szCs w:val="20"/>
        <w:lang w:val="es-CO"/>
      </w:rPr>
      <w:fldChar w:fldCharType="separate"/>
    </w:r>
    <w:r>
      <w:rPr>
        <w:rFonts w:ascii="CG Times" w:hAnsi="CG Times"/>
        <w:bCs/>
        <w:szCs w:val="20"/>
        <w:lang w:val="es-CO"/>
      </w:rPr>
      <w:t>44</w:t>
    </w:r>
    <w:r w:rsidRPr="00ED0BB3">
      <w:rPr>
        <w:rFonts w:cs="Arial"/>
        <w:bCs/>
        <w:noProof/>
        <w:sz w:val="22"/>
        <w:szCs w:val="22"/>
        <w:lang w:val="es-CO"/>
      </w:rPr>
      <w:fldChar w:fldCharType="end"/>
    </w:r>
  </w:p>
  <w:p w14:paraId="7A9B856B" w14:textId="77777777" w:rsidR="003F7B66" w:rsidRPr="00ED0BB3" w:rsidRDefault="003F7B66" w:rsidP="003F7B66">
    <w:pPr>
      <w:spacing w:before="0" w:after="0"/>
      <w:ind w:left="142" w:right="148"/>
      <w:jc w:val="left"/>
      <w:rPr>
        <w:rFonts w:cs="Arial"/>
      </w:rPr>
    </w:pPr>
    <w:r w:rsidRPr="00ED0BB3">
      <w:rPr>
        <w:rFonts w:ascii="Times New Roman" w:hAnsi="Times New Roman"/>
        <w:noProof/>
        <w:lang w:val="es-CO" w:eastAsia="es-CO"/>
      </w:rPr>
      <mc:AlternateContent>
        <mc:Choice Requires="wps">
          <w:drawing>
            <wp:anchor distT="0" distB="0" distL="114300" distR="114300" simplePos="0" relativeHeight="251658241" behindDoc="0" locked="0" layoutInCell="1" allowOverlap="1" wp14:anchorId="130DAA5C" wp14:editId="008F1427">
              <wp:simplePos x="0" y="0"/>
              <wp:positionH relativeFrom="column">
                <wp:posOffset>-171450</wp:posOffset>
              </wp:positionH>
              <wp:positionV relativeFrom="paragraph">
                <wp:posOffset>139700</wp:posOffset>
              </wp:positionV>
              <wp:extent cx="6267600" cy="9900000"/>
              <wp:effectExtent l="0" t="0" r="19050" b="2540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600" cy="99000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B267A" id="Rectangle 1" o:spid="_x0000_s1026" style="position:absolute;margin-left:-13.5pt;margin-top:11pt;width:493.5pt;height:779.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" filled="f" strokeweight="1.5pt"/>
          </w:pict>
        </mc:Fallback>
      </mc:AlternateContent>
    </w:r>
  </w:p>
  <w:p w14:paraId="3B5A5222" w14:textId="63275FCF" w:rsidR="003F7B66" w:rsidRDefault="001B6807" w:rsidP="003F7B66">
    <w:pPr>
      <w:pStyle w:val="Encabezado"/>
      <w:spacing w:before="0" w:after="0"/>
      <w:rPr>
        <w:rFonts w:ascii="Bookman Old Style" w:hAnsi="Bookman Old Style"/>
        <w:sz w:val="22"/>
        <w:szCs w:val="22"/>
        <w:lang w:val="es-ES"/>
      </w:rPr>
    </w:pPr>
    <w:r w:rsidRPr="001B6807">
      <w:rPr>
        <w:rFonts w:ascii="Bookman Old Style" w:hAnsi="Bookman Old Style"/>
        <w:sz w:val="22"/>
        <w:szCs w:val="22"/>
        <w:lang w:val="es-ES"/>
      </w:rPr>
      <w:t xml:space="preserve">Por la cual se definen las condiciones para el traslado de los precios de los contratos resultantes del mecanismo presentado por </w:t>
    </w:r>
    <w:proofErr w:type="spellStart"/>
    <w:r w:rsidRPr="001B6807">
      <w:rPr>
        <w:rFonts w:ascii="Bookman Old Style" w:hAnsi="Bookman Old Style"/>
        <w:sz w:val="22"/>
        <w:szCs w:val="22"/>
        <w:lang w:val="es-ES"/>
      </w:rPr>
      <w:t>Derivex</w:t>
    </w:r>
    <w:proofErr w:type="spellEnd"/>
    <w:r w:rsidRPr="001B6807">
      <w:rPr>
        <w:rFonts w:ascii="Bookman Old Style" w:hAnsi="Bookman Old Style"/>
        <w:sz w:val="22"/>
        <w:szCs w:val="22"/>
        <w:lang w:val="es-ES"/>
      </w:rPr>
      <w:t xml:space="preserve"> S.A. E.S.P. y la Cámara de Riesgo Central de Contraparte, y se establecen los indicadores de evaluación conforme a lo previsto en la Resolución CREG 114 de 2018</w:t>
    </w:r>
  </w:p>
  <w:p w14:paraId="5B828723" w14:textId="5527B0EE" w:rsidR="00D91187" w:rsidRDefault="00D91187" w:rsidP="003F7B66">
    <w:pPr>
      <w:pStyle w:val="Encabezado"/>
      <w:spacing w:before="0" w:after="0"/>
      <w:rPr>
        <w:rFonts w:ascii="Bookman Old Style" w:hAnsi="Bookman Old Style"/>
        <w:sz w:val="22"/>
        <w:szCs w:val="22"/>
        <w:lang w:val="es-ES"/>
      </w:rPr>
    </w:pPr>
    <w:r>
      <w:rPr>
        <w:rFonts w:ascii="Bookman Old Style" w:hAnsi="Bookman Old Style"/>
        <w:sz w:val="22"/>
        <w:szCs w:val="22"/>
        <w:lang w:val="es-ES"/>
      </w:rPr>
      <w:t>____________________________________________________________________________________</w:t>
    </w:r>
  </w:p>
  <w:p w14:paraId="441B6D3F" w14:textId="77777777" w:rsidR="000D31FA" w:rsidRDefault="000D31FA" w:rsidP="003F7B66">
    <w:pPr>
      <w:pStyle w:val="Encabezado"/>
      <w:spacing w:before="0" w:after="0"/>
      <w:rPr>
        <w:rFonts w:ascii="Bookman Old Style" w:hAnsi="Bookman Old Style"/>
        <w:sz w:val="22"/>
        <w:szCs w:val="22"/>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96F5" w14:textId="77777777" w:rsidR="003F7B66" w:rsidRDefault="003F7B66" w:rsidP="003F7B66">
    <w:pPr>
      <w:tabs>
        <w:tab w:val="center" w:pos="4252"/>
        <w:tab w:val="right" w:pos="8504"/>
      </w:tabs>
      <w:spacing w:before="0" w:after="0"/>
      <w:ind w:left="567"/>
      <w:rPr>
        <w:rFonts w:ascii="Arial" w:hAnsi="Arial" w:cs="Arial"/>
        <w:spacing w:val="20"/>
        <w:sz w:val="20"/>
        <w:szCs w:val="20"/>
        <w:lang w:val="es-CO"/>
      </w:rPr>
    </w:pPr>
  </w:p>
  <w:p w14:paraId="0C48215B" w14:textId="77777777" w:rsidR="003F7B66" w:rsidRPr="00ED0BB3" w:rsidRDefault="003F7B66" w:rsidP="003F7B66">
    <w:pPr>
      <w:tabs>
        <w:tab w:val="center" w:pos="4252"/>
        <w:tab w:val="right" w:pos="8504"/>
      </w:tabs>
      <w:spacing w:before="0" w:after="0"/>
      <w:ind w:left="567"/>
      <w:rPr>
        <w:rFonts w:ascii="Arial" w:hAnsi="Arial" w:cs="Arial"/>
        <w:spacing w:val="20"/>
        <w:sz w:val="20"/>
        <w:szCs w:val="20"/>
        <w:lang w:val="es-CO"/>
      </w:rPr>
    </w:pPr>
    <w:r w:rsidRPr="00ED0BB3">
      <w:rPr>
        <w:rFonts w:ascii="Arial" w:hAnsi="Arial" w:cs="Arial"/>
        <w:spacing w:val="20"/>
        <w:sz w:val="20"/>
        <w:szCs w:val="20"/>
        <w:lang w:val="es-CO"/>
      </w:rPr>
      <w:t xml:space="preserve">                                   República de Colombia</w:t>
    </w:r>
  </w:p>
  <w:p w14:paraId="46345D33" w14:textId="77777777" w:rsidR="003F7B66" w:rsidRPr="00ED0BB3" w:rsidRDefault="003F7B66" w:rsidP="003F7B66">
    <w:pPr>
      <w:tabs>
        <w:tab w:val="center" w:pos="4252"/>
        <w:tab w:val="right" w:pos="8504"/>
      </w:tabs>
      <w:spacing w:before="0" w:after="0"/>
      <w:ind w:left="567"/>
      <w:jc w:val="center"/>
      <w:rPr>
        <w:rFonts w:ascii="Arial" w:hAnsi="Arial" w:cs="Arial"/>
        <w:spacing w:val="20"/>
        <w:sz w:val="20"/>
        <w:szCs w:val="20"/>
        <w:lang w:val="es-CO"/>
      </w:rPr>
    </w:pPr>
  </w:p>
  <w:p w14:paraId="61E84FC2" w14:textId="5CB0EB84" w:rsidR="003F7B66" w:rsidRPr="00ED0BB3" w:rsidRDefault="00C337A1" w:rsidP="003F7B66">
    <w:pPr>
      <w:tabs>
        <w:tab w:val="center" w:pos="4252"/>
        <w:tab w:val="right" w:pos="8504"/>
      </w:tabs>
      <w:spacing w:before="0" w:after="0"/>
      <w:ind w:left="567"/>
      <w:jc w:val="center"/>
      <w:rPr>
        <w:rFonts w:ascii="CG Times" w:hAnsi="CG Times"/>
        <w:szCs w:val="20"/>
        <w:lang w:val="es-CO"/>
      </w:rPr>
    </w:pPr>
    <w:r>
      <w:rPr>
        <w:rFonts w:ascii="Arial" w:hAnsi="Arial" w:cs="Arial"/>
        <w:noProof/>
        <w:spacing w:val="20"/>
        <w:sz w:val="20"/>
        <w:szCs w:val="20"/>
        <w:lang w:val="es-CO"/>
      </w:rPr>
      <w:object w:dxaOrig="1440" w:dyaOrig="1440" w14:anchorId="0083F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07.65pt;margin-top:7.4pt;width:52.5pt;height:48.75pt;z-index:251658242" fillcolor="#0c9">
          <v:imagedata r:id="rId1" o:title=""/>
        </v:shape>
        <o:OLEObject Type="Embed" ProgID="PBrush" ShapeID="_x0000_s1025" DrawAspect="Content" ObjectID="_1720275522" r:id="rId2"/>
      </w:object>
    </w:r>
  </w:p>
  <w:p w14:paraId="2848A456" w14:textId="0A482151" w:rsidR="003F7B66" w:rsidRDefault="00442D4A" w:rsidP="003F7B66">
    <w:pPr>
      <w:pStyle w:val="Encabezado"/>
    </w:pPr>
    <w:r w:rsidRPr="00ED0BB3">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3DFB182" wp14:editId="3C2CB785">
              <wp:simplePos x="0" y="0"/>
              <wp:positionH relativeFrom="margin">
                <wp:align>center</wp:align>
              </wp:positionH>
              <wp:positionV relativeFrom="paragraph">
                <wp:posOffset>201930</wp:posOffset>
              </wp:positionV>
              <wp:extent cx="6267450" cy="9899650"/>
              <wp:effectExtent l="0" t="0" r="19050" b="254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8996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7E4A4" id="Rectangle 2" o:spid="_x0000_s1026" style="position:absolute;margin-left:0;margin-top:15.9pt;width:493.5pt;height:779.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" filled="f"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8FE3A1B"/>
    <w:multiLevelType w:val="hybridMultilevel"/>
    <w:tmpl w:val="FAB80FDA"/>
    <w:lvl w:ilvl="0" w:tplc="00504628">
      <w:start w:val="1"/>
      <w:numFmt w:val="lowerRoman"/>
      <w:lvlText w:val="%1)"/>
      <w:lvlJc w:val="left"/>
      <w:pPr>
        <w:ind w:left="795" w:hanging="360"/>
      </w:pPr>
      <w:rPr>
        <w:rFonts w:hint="default"/>
      </w:rPr>
    </w:lvl>
    <w:lvl w:ilvl="1" w:tplc="580A0019" w:tentative="1">
      <w:start w:val="1"/>
      <w:numFmt w:val="lowerLetter"/>
      <w:lvlText w:val="%2."/>
      <w:lvlJc w:val="left"/>
      <w:pPr>
        <w:ind w:left="1515" w:hanging="360"/>
      </w:pPr>
    </w:lvl>
    <w:lvl w:ilvl="2" w:tplc="580A001B" w:tentative="1">
      <w:start w:val="1"/>
      <w:numFmt w:val="lowerRoman"/>
      <w:lvlText w:val="%3."/>
      <w:lvlJc w:val="right"/>
      <w:pPr>
        <w:ind w:left="2235" w:hanging="180"/>
      </w:pPr>
    </w:lvl>
    <w:lvl w:ilvl="3" w:tplc="580A000F" w:tentative="1">
      <w:start w:val="1"/>
      <w:numFmt w:val="decimal"/>
      <w:lvlText w:val="%4."/>
      <w:lvlJc w:val="left"/>
      <w:pPr>
        <w:ind w:left="2955" w:hanging="360"/>
      </w:pPr>
    </w:lvl>
    <w:lvl w:ilvl="4" w:tplc="580A0019" w:tentative="1">
      <w:start w:val="1"/>
      <w:numFmt w:val="lowerLetter"/>
      <w:lvlText w:val="%5."/>
      <w:lvlJc w:val="left"/>
      <w:pPr>
        <w:ind w:left="3675" w:hanging="360"/>
      </w:pPr>
    </w:lvl>
    <w:lvl w:ilvl="5" w:tplc="580A001B" w:tentative="1">
      <w:start w:val="1"/>
      <w:numFmt w:val="lowerRoman"/>
      <w:lvlText w:val="%6."/>
      <w:lvlJc w:val="right"/>
      <w:pPr>
        <w:ind w:left="4395" w:hanging="180"/>
      </w:pPr>
    </w:lvl>
    <w:lvl w:ilvl="6" w:tplc="580A000F" w:tentative="1">
      <w:start w:val="1"/>
      <w:numFmt w:val="decimal"/>
      <w:lvlText w:val="%7."/>
      <w:lvlJc w:val="left"/>
      <w:pPr>
        <w:ind w:left="5115" w:hanging="360"/>
      </w:pPr>
    </w:lvl>
    <w:lvl w:ilvl="7" w:tplc="580A0019" w:tentative="1">
      <w:start w:val="1"/>
      <w:numFmt w:val="lowerLetter"/>
      <w:lvlText w:val="%8."/>
      <w:lvlJc w:val="left"/>
      <w:pPr>
        <w:ind w:left="5835" w:hanging="360"/>
      </w:pPr>
    </w:lvl>
    <w:lvl w:ilvl="8" w:tplc="580A001B" w:tentative="1">
      <w:start w:val="1"/>
      <w:numFmt w:val="lowerRoman"/>
      <w:lvlText w:val="%9."/>
      <w:lvlJc w:val="right"/>
      <w:pPr>
        <w:ind w:left="6555" w:hanging="180"/>
      </w:pPr>
    </w:lvl>
  </w:abstractNum>
  <w:abstractNum w:abstractNumId="3" w15:restartNumberingAfterBreak="0">
    <w:nsid w:val="11EB2059"/>
    <w:multiLevelType w:val="hybridMultilevel"/>
    <w:tmpl w:val="2424DC26"/>
    <w:lvl w:ilvl="0" w:tplc="92D812B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CDB88006"/>
    <w:lvl w:ilvl="0">
      <w:start w:val="1"/>
      <w:numFmt w:val="decimal"/>
      <w:pStyle w:val="Ttulo1"/>
      <w:lvlText w:val="CAPITULO %1."/>
      <w:lvlJc w:val="left"/>
      <w:pPr>
        <w:ind w:left="6173" w:hanging="360"/>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tulo6"/>
      <w:lvlText w:val="%1.%2.%3.%4.%5.%6"/>
      <w:lvlJc w:val="left"/>
      <w:pPr>
        <w:ind w:left="1152" w:hanging="1152"/>
      </w:pPr>
      <w:rPr>
        <w:rFonts w:hint="default"/>
      </w:rPr>
    </w:lvl>
    <w:lvl w:ilvl="6">
      <w:start w:val="1"/>
      <w:numFmt w:val="lowerLetter"/>
      <w:pStyle w:val="Ttulo7"/>
      <w:lvlText w:val="%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15:restartNumberingAfterBreak="0">
    <w:nsid w:val="156B4BA6"/>
    <w:multiLevelType w:val="hybridMultilevel"/>
    <w:tmpl w:val="7ABACD60"/>
    <w:name w:val="WW8Num64232"/>
    <w:lvl w:ilvl="0" w:tplc="0C0A0001">
      <w:start w:val="1"/>
      <w:numFmt w:val="lowerLetter"/>
      <w:lvlText w:val="%1)"/>
      <w:lvlJc w:val="left"/>
      <w:pPr>
        <w:ind w:left="720" w:hanging="360"/>
      </w:pPr>
      <w:rPr>
        <w:rFonts w:cs="Arial" w:hint="default"/>
        <w:b/>
        <w:color w:val="auto"/>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6" w15:restartNumberingAfterBreak="0">
    <w:nsid w:val="15993AC2"/>
    <w:multiLevelType w:val="hybridMultilevel"/>
    <w:tmpl w:val="D158A68C"/>
    <w:lvl w:ilvl="0" w:tplc="A2505E2C">
      <w:start w:val="1"/>
      <w:numFmt w:val="upperRoman"/>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6033740"/>
    <w:multiLevelType w:val="hybridMultilevel"/>
    <w:tmpl w:val="744C1474"/>
    <w:lvl w:ilvl="0" w:tplc="B76C1F0E">
      <w:start w:val="1"/>
      <w:numFmt w:val="bullet"/>
      <w:pStyle w:val="Sangradetextonormal"/>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8430850"/>
    <w:multiLevelType w:val="hybridMultilevel"/>
    <w:tmpl w:val="8B7E0348"/>
    <w:lvl w:ilvl="0" w:tplc="EA3C90E0">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22C35A84"/>
    <w:multiLevelType w:val="hybridMultilevel"/>
    <w:tmpl w:val="0F300B16"/>
    <w:lvl w:ilvl="0" w:tplc="0050462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E718C2"/>
    <w:multiLevelType w:val="hybridMultilevel"/>
    <w:tmpl w:val="C37E72E6"/>
    <w:lvl w:ilvl="0" w:tplc="9ABEE2C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0A30704"/>
    <w:multiLevelType w:val="hybridMultilevel"/>
    <w:tmpl w:val="4AACFD30"/>
    <w:lvl w:ilvl="0" w:tplc="BE520500">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6115F16"/>
    <w:multiLevelType w:val="hybridMultilevel"/>
    <w:tmpl w:val="DC30E0AC"/>
    <w:lvl w:ilvl="0" w:tplc="EE4A38EA">
      <w:start w:val="1"/>
      <w:numFmt w:val="low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46BE2F0F"/>
    <w:multiLevelType w:val="hybridMultilevel"/>
    <w:tmpl w:val="11AA2ECA"/>
    <w:name w:val="Lista4322222"/>
    <w:lvl w:ilvl="0" w:tplc="07E05BCA">
      <w:start w:val="1"/>
      <w:numFmt w:val="decimal"/>
      <w:lvlText w:val="%1."/>
      <w:lvlJc w:val="left"/>
      <w:pPr>
        <w:ind w:left="720" w:hanging="360"/>
      </w:pPr>
      <w:rPr>
        <w:rFonts w:hint="default"/>
      </w:rPr>
    </w:lvl>
    <w:lvl w:ilvl="1" w:tplc="CD9430A6" w:tentative="1">
      <w:start w:val="1"/>
      <w:numFmt w:val="lowerLetter"/>
      <w:lvlText w:val="%2."/>
      <w:lvlJc w:val="left"/>
      <w:pPr>
        <w:ind w:left="1440" w:hanging="360"/>
      </w:pPr>
    </w:lvl>
    <w:lvl w:ilvl="2" w:tplc="A3940E8A" w:tentative="1">
      <w:start w:val="1"/>
      <w:numFmt w:val="lowerRoman"/>
      <w:lvlText w:val="%3."/>
      <w:lvlJc w:val="right"/>
      <w:pPr>
        <w:ind w:left="2160" w:hanging="180"/>
      </w:pPr>
    </w:lvl>
    <w:lvl w:ilvl="3" w:tplc="187A6DB8" w:tentative="1">
      <w:start w:val="1"/>
      <w:numFmt w:val="decimal"/>
      <w:lvlText w:val="%4."/>
      <w:lvlJc w:val="left"/>
      <w:pPr>
        <w:ind w:left="2880" w:hanging="360"/>
      </w:pPr>
    </w:lvl>
    <w:lvl w:ilvl="4" w:tplc="B1CEA2E0" w:tentative="1">
      <w:start w:val="1"/>
      <w:numFmt w:val="lowerLetter"/>
      <w:lvlText w:val="%5."/>
      <w:lvlJc w:val="left"/>
      <w:pPr>
        <w:ind w:left="3600" w:hanging="360"/>
      </w:pPr>
    </w:lvl>
    <w:lvl w:ilvl="5" w:tplc="DD268AD8" w:tentative="1">
      <w:start w:val="1"/>
      <w:numFmt w:val="lowerRoman"/>
      <w:lvlText w:val="%6."/>
      <w:lvlJc w:val="right"/>
      <w:pPr>
        <w:ind w:left="4320" w:hanging="180"/>
      </w:pPr>
    </w:lvl>
    <w:lvl w:ilvl="6" w:tplc="FE7A34A2" w:tentative="1">
      <w:start w:val="1"/>
      <w:numFmt w:val="decimal"/>
      <w:lvlText w:val="%7."/>
      <w:lvlJc w:val="left"/>
      <w:pPr>
        <w:ind w:left="5040" w:hanging="360"/>
      </w:pPr>
    </w:lvl>
    <w:lvl w:ilvl="7" w:tplc="AFCA5AC2" w:tentative="1">
      <w:start w:val="1"/>
      <w:numFmt w:val="lowerLetter"/>
      <w:lvlText w:val="%8."/>
      <w:lvlJc w:val="left"/>
      <w:pPr>
        <w:ind w:left="5760" w:hanging="360"/>
      </w:pPr>
    </w:lvl>
    <w:lvl w:ilvl="8" w:tplc="179AB3D2" w:tentative="1">
      <w:start w:val="1"/>
      <w:numFmt w:val="lowerRoman"/>
      <w:lvlText w:val="%9."/>
      <w:lvlJc w:val="right"/>
      <w:pPr>
        <w:ind w:left="6480" w:hanging="180"/>
      </w:pPr>
    </w:lvl>
  </w:abstractNum>
  <w:abstractNum w:abstractNumId="15" w15:restartNumberingAfterBreak="0">
    <w:nsid w:val="5DF84726"/>
    <w:multiLevelType w:val="hybridMultilevel"/>
    <w:tmpl w:val="BF42C520"/>
    <w:lvl w:ilvl="0" w:tplc="580A000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6"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7" w15:restartNumberingAfterBreak="0">
    <w:nsid w:val="6F240E1D"/>
    <w:multiLevelType w:val="hybridMultilevel"/>
    <w:tmpl w:val="4EDE113A"/>
    <w:lvl w:ilvl="0" w:tplc="385ED6D2">
      <w:start w:val="1"/>
      <w:numFmt w:val="lowerRoman"/>
      <w:lvlText w:val="%1)"/>
      <w:lvlJc w:val="left"/>
      <w:pPr>
        <w:ind w:left="1080" w:hanging="72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5940483"/>
    <w:multiLevelType w:val="hybridMultilevel"/>
    <w:tmpl w:val="8B7E0348"/>
    <w:lvl w:ilvl="0" w:tplc="EA3C90E0">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780B10EA"/>
    <w:multiLevelType w:val="hybridMultilevel"/>
    <w:tmpl w:val="78BC44FC"/>
    <w:lvl w:ilvl="0" w:tplc="E86AAA86">
      <w:start w:val="1"/>
      <w:numFmt w:val="decimal"/>
      <w:pStyle w:val="Artculo"/>
      <w:lvlText w:val="Artículo %1."/>
      <w:lvlJc w:val="left"/>
      <w:pPr>
        <w:ind w:left="7731"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904" w:hanging="360"/>
      </w:pPr>
    </w:lvl>
    <w:lvl w:ilvl="2" w:tplc="240A001B" w:tentative="1">
      <w:start w:val="1"/>
      <w:numFmt w:val="lowerRoman"/>
      <w:lvlText w:val="%3."/>
      <w:lvlJc w:val="right"/>
      <w:pPr>
        <w:ind w:left="-184" w:hanging="180"/>
      </w:pPr>
    </w:lvl>
    <w:lvl w:ilvl="3" w:tplc="240A000F" w:tentative="1">
      <w:start w:val="1"/>
      <w:numFmt w:val="decimal"/>
      <w:lvlText w:val="%4."/>
      <w:lvlJc w:val="left"/>
      <w:pPr>
        <w:ind w:left="536" w:hanging="360"/>
      </w:pPr>
    </w:lvl>
    <w:lvl w:ilvl="4" w:tplc="240A0019" w:tentative="1">
      <w:start w:val="1"/>
      <w:numFmt w:val="lowerLetter"/>
      <w:lvlText w:val="%5."/>
      <w:lvlJc w:val="left"/>
      <w:pPr>
        <w:ind w:left="1256" w:hanging="360"/>
      </w:pPr>
    </w:lvl>
    <w:lvl w:ilvl="5" w:tplc="240A001B" w:tentative="1">
      <w:start w:val="1"/>
      <w:numFmt w:val="lowerRoman"/>
      <w:lvlText w:val="%6."/>
      <w:lvlJc w:val="right"/>
      <w:pPr>
        <w:ind w:left="1976" w:hanging="180"/>
      </w:pPr>
    </w:lvl>
    <w:lvl w:ilvl="6" w:tplc="240A000F" w:tentative="1">
      <w:start w:val="1"/>
      <w:numFmt w:val="decimal"/>
      <w:lvlText w:val="%7."/>
      <w:lvlJc w:val="left"/>
      <w:pPr>
        <w:ind w:left="2696" w:hanging="360"/>
      </w:pPr>
    </w:lvl>
    <w:lvl w:ilvl="7" w:tplc="240A0019" w:tentative="1">
      <w:start w:val="1"/>
      <w:numFmt w:val="lowerLetter"/>
      <w:lvlText w:val="%8."/>
      <w:lvlJc w:val="left"/>
      <w:pPr>
        <w:ind w:left="3416" w:hanging="360"/>
      </w:pPr>
    </w:lvl>
    <w:lvl w:ilvl="8" w:tplc="240A001B" w:tentative="1">
      <w:start w:val="1"/>
      <w:numFmt w:val="lowerRoman"/>
      <w:lvlText w:val="%9."/>
      <w:lvlJc w:val="right"/>
      <w:pPr>
        <w:ind w:left="4136" w:hanging="180"/>
      </w:pPr>
    </w:lvl>
  </w:abstractNum>
  <w:abstractNum w:abstractNumId="21" w15:restartNumberingAfterBreak="0">
    <w:nsid w:val="794360D2"/>
    <w:multiLevelType w:val="hybridMultilevel"/>
    <w:tmpl w:val="BE86A62E"/>
    <w:lvl w:ilvl="0" w:tplc="0C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83791019">
    <w:abstractNumId w:val="1"/>
  </w:num>
  <w:num w:numId="2" w16cid:durableId="220869363">
    <w:abstractNumId w:val="7"/>
  </w:num>
  <w:num w:numId="3" w16cid:durableId="520436116">
    <w:abstractNumId w:val="11"/>
  </w:num>
  <w:num w:numId="4" w16cid:durableId="354120653">
    <w:abstractNumId w:val="4"/>
  </w:num>
  <w:num w:numId="5" w16cid:durableId="111756248">
    <w:abstractNumId w:val="20"/>
  </w:num>
  <w:num w:numId="6" w16cid:durableId="1850756050">
    <w:abstractNumId w:val="18"/>
  </w:num>
  <w:num w:numId="7" w16cid:durableId="221720445">
    <w:abstractNumId w:val="3"/>
  </w:num>
  <w:num w:numId="8" w16cid:durableId="588737314">
    <w:abstractNumId w:val="19"/>
  </w:num>
  <w:num w:numId="9" w16cid:durableId="657612637">
    <w:abstractNumId w:val="15"/>
  </w:num>
  <w:num w:numId="10" w16cid:durableId="1839270741">
    <w:abstractNumId w:val="2"/>
  </w:num>
  <w:num w:numId="11" w16cid:durableId="286661255">
    <w:abstractNumId w:val="13"/>
  </w:num>
  <w:num w:numId="12" w16cid:durableId="1943417672">
    <w:abstractNumId w:val="17"/>
  </w:num>
  <w:num w:numId="13" w16cid:durableId="1585450984">
    <w:abstractNumId w:val="6"/>
  </w:num>
  <w:num w:numId="14" w16cid:durableId="1255824772">
    <w:abstractNumId w:val="8"/>
  </w:num>
  <w:num w:numId="15" w16cid:durableId="1518689195">
    <w:abstractNumId w:val="9"/>
  </w:num>
  <w:num w:numId="16" w16cid:durableId="1439760516">
    <w:abstractNumId w:val="10"/>
  </w:num>
  <w:num w:numId="17" w16cid:durableId="49379528">
    <w:abstractNumId w:val="12"/>
  </w:num>
  <w:num w:numId="18" w16cid:durableId="1054549070">
    <w:abstractNumId w:val="21"/>
  </w:num>
  <w:num w:numId="19" w16cid:durableId="840970052">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s-CO"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proofState w:spelling="clean" w:grammar="clean"/>
  <w:attachedTemplate r:id="rId1"/>
  <w:defaultTabStop w:val="113"/>
  <w:hyphenationZone w:val="425"/>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1C8"/>
    <w:rsid w:val="000003AE"/>
    <w:rsid w:val="00000C6B"/>
    <w:rsid w:val="00000D13"/>
    <w:rsid w:val="00000D76"/>
    <w:rsid w:val="00000EB6"/>
    <w:rsid w:val="00001090"/>
    <w:rsid w:val="000011A9"/>
    <w:rsid w:val="00001472"/>
    <w:rsid w:val="000018B3"/>
    <w:rsid w:val="000019C9"/>
    <w:rsid w:val="000021C0"/>
    <w:rsid w:val="000024C8"/>
    <w:rsid w:val="00002502"/>
    <w:rsid w:val="0000276F"/>
    <w:rsid w:val="000027C8"/>
    <w:rsid w:val="00002F55"/>
    <w:rsid w:val="00002F75"/>
    <w:rsid w:val="00003094"/>
    <w:rsid w:val="0000326A"/>
    <w:rsid w:val="000034B9"/>
    <w:rsid w:val="00003CFC"/>
    <w:rsid w:val="00003DE7"/>
    <w:rsid w:val="00003FBF"/>
    <w:rsid w:val="00004072"/>
    <w:rsid w:val="0000438A"/>
    <w:rsid w:val="00004479"/>
    <w:rsid w:val="00004661"/>
    <w:rsid w:val="000047FA"/>
    <w:rsid w:val="00004A6B"/>
    <w:rsid w:val="00004CEB"/>
    <w:rsid w:val="00004D5D"/>
    <w:rsid w:val="000054E1"/>
    <w:rsid w:val="00005536"/>
    <w:rsid w:val="000055AB"/>
    <w:rsid w:val="000055D9"/>
    <w:rsid w:val="00005CF2"/>
    <w:rsid w:val="00005FD0"/>
    <w:rsid w:val="0000607C"/>
    <w:rsid w:val="0000630F"/>
    <w:rsid w:val="0000679D"/>
    <w:rsid w:val="00006893"/>
    <w:rsid w:val="00006958"/>
    <w:rsid w:val="00006AE2"/>
    <w:rsid w:val="00006F43"/>
    <w:rsid w:val="00007053"/>
    <w:rsid w:val="000073B4"/>
    <w:rsid w:val="000075B9"/>
    <w:rsid w:val="0000768E"/>
    <w:rsid w:val="000076A1"/>
    <w:rsid w:val="00007762"/>
    <w:rsid w:val="0000776B"/>
    <w:rsid w:val="00007AC8"/>
    <w:rsid w:val="00007CF4"/>
    <w:rsid w:val="00010373"/>
    <w:rsid w:val="000106E6"/>
    <w:rsid w:val="000107DC"/>
    <w:rsid w:val="00010A70"/>
    <w:rsid w:val="00010CE8"/>
    <w:rsid w:val="0001117B"/>
    <w:rsid w:val="0001118C"/>
    <w:rsid w:val="0001119D"/>
    <w:rsid w:val="0001122B"/>
    <w:rsid w:val="000115D0"/>
    <w:rsid w:val="00011A18"/>
    <w:rsid w:val="00011A35"/>
    <w:rsid w:val="00011A72"/>
    <w:rsid w:val="00011B11"/>
    <w:rsid w:val="00011DA8"/>
    <w:rsid w:val="00011F75"/>
    <w:rsid w:val="000121A7"/>
    <w:rsid w:val="00012259"/>
    <w:rsid w:val="000128A8"/>
    <w:rsid w:val="00012BB8"/>
    <w:rsid w:val="000131F0"/>
    <w:rsid w:val="0001340A"/>
    <w:rsid w:val="00013740"/>
    <w:rsid w:val="00013824"/>
    <w:rsid w:val="0001393F"/>
    <w:rsid w:val="00013A38"/>
    <w:rsid w:val="00014074"/>
    <w:rsid w:val="0001408C"/>
    <w:rsid w:val="0001412E"/>
    <w:rsid w:val="00014423"/>
    <w:rsid w:val="000144CD"/>
    <w:rsid w:val="00014BAA"/>
    <w:rsid w:val="00015010"/>
    <w:rsid w:val="000150E4"/>
    <w:rsid w:val="000152F0"/>
    <w:rsid w:val="00015447"/>
    <w:rsid w:val="00015492"/>
    <w:rsid w:val="00015746"/>
    <w:rsid w:val="00015E23"/>
    <w:rsid w:val="00016183"/>
    <w:rsid w:val="000170EC"/>
    <w:rsid w:val="00017164"/>
    <w:rsid w:val="00017358"/>
    <w:rsid w:val="0001744C"/>
    <w:rsid w:val="0001759F"/>
    <w:rsid w:val="00017C15"/>
    <w:rsid w:val="00017C6A"/>
    <w:rsid w:val="00017FA6"/>
    <w:rsid w:val="0002012E"/>
    <w:rsid w:val="000202AD"/>
    <w:rsid w:val="0002035C"/>
    <w:rsid w:val="0002053C"/>
    <w:rsid w:val="00020ACC"/>
    <w:rsid w:val="00020E05"/>
    <w:rsid w:val="00020E77"/>
    <w:rsid w:val="0002118E"/>
    <w:rsid w:val="00021193"/>
    <w:rsid w:val="000211D8"/>
    <w:rsid w:val="0002143E"/>
    <w:rsid w:val="00021765"/>
    <w:rsid w:val="00021777"/>
    <w:rsid w:val="00021D02"/>
    <w:rsid w:val="00021D87"/>
    <w:rsid w:val="00021DBE"/>
    <w:rsid w:val="00021FE2"/>
    <w:rsid w:val="00022975"/>
    <w:rsid w:val="00022A2C"/>
    <w:rsid w:val="00022BDB"/>
    <w:rsid w:val="0002324D"/>
    <w:rsid w:val="00023835"/>
    <w:rsid w:val="00023945"/>
    <w:rsid w:val="00023B33"/>
    <w:rsid w:val="00024524"/>
    <w:rsid w:val="000246F2"/>
    <w:rsid w:val="000247FC"/>
    <w:rsid w:val="00024CC1"/>
    <w:rsid w:val="00024E77"/>
    <w:rsid w:val="00024F79"/>
    <w:rsid w:val="00025383"/>
    <w:rsid w:val="000253CE"/>
    <w:rsid w:val="0002565C"/>
    <w:rsid w:val="000257DC"/>
    <w:rsid w:val="000258C1"/>
    <w:rsid w:val="00025B5C"/>
    <w:rsid w:val="00025BB2"/>
    <w:rsid w:val="00025F3B"/>
    <w:rsid w:val="000260AE"/>
    <w:rsid w:val="0002686B"/>
    <w:rsid w:val="00026923"/>
    <w:rsid w:val="00026B80"/>
    <w:rsid w:val="00026BB5"/>
    <w:rsid w:val="00026BCA"/>
    <w:rsid w:val="00026C39"/>
    <w:rsid w:val="00026C44"/>
    <w:rsid w:val="00026E94"/>
    <w:rsid w:val="00026EC6"/>
    <w:rsid w:val="00027044"/>
    <w:rsid w:val="0002754A"/>
    <w:rsid w:val="00027808"/>
    <w:rsid w:val="00027BD8"/>
    <w:rsid w:val="00027E1B"/>
    <w:rsid w:val="0003028A"/>
    <w:rsid w:val="0003030D"/>
    <w:rsid w:val="0003033B"/>
    <w:rsid w:val="00030649"/>
    <w:rsid w:val="0003094A"/>
    <w:rsid w:val="00030B22"/>
    <w:rsid w:val="00030B5F"/>
    <w:rsid w:val="00030D24"/>
    <w:rsid w:val="00030D72"/>
    <w:rsid w:val="00031310"/>
    <w:rsid w:val="00031929"/>
    <w:rsid w:val="00031AA5"/>
    <w:rsid w:val="00031BE4"/>
    <w:rsid w:val="00031E13"/>
    <w:rsid w:val="00031F52"/>
    <w:rsid w:val="00031F83"/>
    <w:rsid w:val="0003217E"/>
    <w:rsid w:val="00032536"/>
    <w:rsid w:val="000326C0"/>
    <w:rsid w:val="00032A9D"/>
    <w:rsid w:val="00032AC3"/>
    <w:rsid w:val="00032B55"/>
    <w:rsid w:val="00033220"/>
    <w:rsid w:val="000332E0"/>
    <w:rsid w:val="0003352A"/>
    <w:rsid w:val="0003362E"/>
    <w:rsid w:val="00033864"/>
    <w:rsid w:val="00033E94"/>
    <w:rsid w:val="00033F56"/>
    <w:rsid w:val="00034C7F"/>
    <w:rsid w:val="00035067"/>
    <w:rsid w:val="00035441"/>
    <w:rsid w:val="000354E0"/>
    <w:rsid w:val="000357BE"/>
    <w:rsid w:val="00035838"/>
    <w:rsid w:val="000359C9"/>
    <w:rsid w:val="00035E4F"/>
    <w:rsid w:val="00035FFF"/>
    <w:rsid w:val="000360CD"/>
    <w:rsid w:val="00036225"/>
    <w:rsid w:val="000363BD"/>
    <w:rsid w:val="00036431"/>
    <w:rsid w:val="000364A9"/>
    <w:rsid w:val="000365E5"/>
    <w:rsid w:val="00036985"/>
    <w:rsid w:val="00036A68"/>
    <w:rsid w:val="00036CF8"/>
    <w:rsid w:val="00036E4F"/>
    <w:rsid w:val="0003734F"/>
    <w:rsid w:val="00037490"/>
    <w:rsid w:val="000374F3"/>
    <w:rsid w:val="000378D1"/>
    <w:rsid w:val="00037B4F"/>
    <w:rsid w:val="00040403"/>
    <w:rsid w:val="00040516"/>
    <w:rsid w:val="000412E9"/>
    <w:rsid w:val="0004142A"/>
    <w:rsid w:val="00041735"/>
    <w:rsid w:val="00041884"/>
    <w:rsid w:val="000418CE"/>
    <w:rsid w:val="00041B4F"/>
    <w:rsid w:val="00041B54"/>
    <w:rsid w:val="00041D2C"/>
    <w:rsid w:val="00041E75"/>
    <w:rsid w:val="00042134"/>
    <w:rsid w:val="000422E6"/>
    <w:rsid w:val="00042420"/>
    <w:rsid w:val="000426F4"/>
    <w:rsid w:val="000427BE"/>
    <w:rsid w:val="00042C2A"/>
    <w:rsid w:val="00042D62"/>
    <w:rsid w:val="00043209"/>
    <w:rsid w:val="000434E6"/>
    <w:rsid w:val="00043A2A"/>
    <w:rsid w:val="00043C76"/>
    <w:rsid w:val="00043FE7"/>
    <w:rsid w:val="00044111"/>
    <w:rsid w:val="0004435A"/>
    <w:rsid w:val="00044D31"/>
    <w:rsid w:val="000450A3"/>
    <w:rsid w:val="000450FF"/>
    <w:rsid w:val="000451C2"/>
    <w:rsid w:val="00045289"/>
    <w:rsid w:val="0004541E"/>
    <w:rsid w:val="00045599"/>
    <w:rsid w:val="00045BE3"/>
    <w:rsid w:val="00045D3D"/>
    <w:rsid w:val="00045DDF"/>
    <w:rsid w:val="00045FA4"/>
    <w:rsid w:val="000460F7"/>
    <w:rsid w:val="0004621F"/>
    <w:rsid w:val="00046490"/>
    <w:rsid w:val="000464B1"/>
    <w:rsid w:val="0004661E"/>
    <w:rsid w:val="00046855"/>
    <w:rsid w:val="000469B8"/>
    <w:rsid w:val="00046E26"/>
    <w:rsid w:val="0004701C"/>
    <w:rsid w:val="0004706B"/>
    <w:rsid w:val="000474CD"/>
    <w:rsid w:val="000475FA"/>
    <w:rsid w:val="000477F1"/>
    <w:rsid w:val="00047C64"/>
    <w:rsid w:val="00050084"/>
    <w:rsid w:val="000502FA"/>
    <w:rsid w:val="00050684"/>
    <w:rsid w:val="00050834"/>
    <w:rsid w:val="000511A6"/>
    <w:rsid w:val="0005126C"/>
    <w:rsid w:val="00051790"/>
    <w:rsid w:val="00051834"/>
    <w:rsid w:val="00051BE7"/>
    <w:rsid w:val="00051D51"/>
    <w:rsid w:val="00051DEA"/>
    <w:rsid w:val="000521F4"/>
    <w:rsid w:val="0005270C"/>
    <w:rsid w:val="000529E6"/>
    <w:rsid w:val="00052AA7"/>
    <w:rsid w:val="00052C6B"/>
    <w:rsid w:val="00052CF6"/>
    <w:rsid w:val="00052DED"/>
    <w:rsid w:val="00052ECB"/>
    <w:rsid w:val="00052FC9"/>
    <w:rsid w:val="00053439"/>
    <w:rsid w:val="000537CF"/>
    <w:rsid w:val="00053E8B"/>
    <w:rsid w:val="0005404D"/>
    <w:rsid w:val="000542A1"/>
    <w:rsid w:val="00054C43"/>
    <w:rsid w:val="00054C7D"/>
    <w:rsid w:val="00054CC3"/>
    <w:rsid w:val="00055691"/>
    <w:rsid w:val="000558DE"/>
    <w:rsid w:val="00055DC8"/>
    <w:rsid w:val="00055DCE"/>
    <w:rsid w:val="00056051"/>
    <w:rsid w:val="000564A5"/>
    <w:rsid w:val="00056B89"/>
    <w:rsid w:val="0005721D"/>
    <w:rsid w:val="0005722D"/>
    <w:rsid w:val="00057327"/>
    <w:rsid w:val="000577E1"/>
    <w:rsid w:val="00057A15"/>
    <w:rsid w:val="00057EB5"/>
    <w:rsid w:val="0006007D"/>
    <w:rsid w:val="00060153"/>
    <w:rsid w:val="00060588"/>
    <w:rsid w:val="00060729"/>
    <w:rsid w:val="00060757"/>
    <w:rsid w:val="000607EB"/>
    <w:rsid w:val="0006080F"/>
    <w:rsid w:val="00060872"/>
    <w:rsid w:val="00060C04"/>
    <w:rsid w:val="00060C7D"/>
    <w:rsid w:val="00060F36"/>
    <w:rsid w:val="00060F6E"/>
    <w:rsid w:val="00060F70"/>
    <w:rsid w:val="00061128"/>
    <w:rsid w:val="0006168E"/>
    <w:rsid w:val="00061A9D"/>
    <w:rsid w:val="00061DE4"/>
    <w:rsid w:val="00062396"/>
    <w:rsid w:val="00062651"/>
    <w:rsid w:val="000626D3"/>
    <w:rsid w:val="0006297A"/>
    <w:rsid w:val="00062AC3"/>
    <w:rsid w:val="00062F45"/>
    <w:rsid w:val="00063423"/>
    <w:rsid w:val="00063493"/>
    <w:rsid w:val="0006350C"/>
    <w:rsid w:val="0006360B"/>
    <w:rsid w:val="00063657"/>
    <w:rsid w:val="0006390E"/>
    <w:rsid w:val="00063C5D"/>
    <w:rsid w:val="00063F9B"/>
    <w:rsid w:val="000640CF"/>
    <w:rsid w:val="00064354"/>
    <w:rsid w:val="00064489"/>
    <w:rsid w:val="00064853"/>
    <w:rsid w:val="0006544C"/>
    <w:rsid w:val="00065465"/>
    <w:rsid w:val="000659D5"/>
    <w:rsid w:val="00065A02"/>
    <w:rsid w:val="00065A33"/>
    <w:rsid w:val="00065A68"/>
    <w:rsid w:val="00065BC5"/>
    <w:rsid w:val="0006600D"/>
    <w:rsid w:val="0006608D"/>
    <w:rsid w:val="00066407"/>
    <w:rsid w:val="00066500"/>
    <w:rsid w:val="00066878"/>
    <w:rsid w:val="00066E3E"/>
    <w:rsid w:val="00066E71"/>
    <w:rsid w:val="000671F3"/>
    <w:rsid w:val="00067221"/>
    <w:rsid w:val="0006747E"/>
    <w:rsid w:val="0006752E"/>
    <w:rsid w:val="000702BD"/>
    <w:rsid w:val="00070587"/>
    <w:rsid w:val="000708C8"/>
    <w:rsid w:val="00070B43"/>
    <w:rsid w:val="00070D59"/>
    <w:rsid w:val="00070E80"/>
    <w:rsid w:val="00070FD9"/>
    <w:rsid w:val="0007103F"/>
    <w:rsid w:val="00071141"/>
    <w:rsid w:val="000713EA"/>
    <w:rsid w:val="0007145D"/>
    <w:rsid w:val="00071554"/>
    <w:rsid w:val="00071D9A"/>
    <w:rsid w:val="00071EF3"/>
    <w:rsid w:val="00072067"/>
    <w:rsid w:val="00072110"/>
    <w:rsid w:val="0007246C"/>
    <w:rsid w:val="00072A8B"/>
    <w:rsid w:val="00072C89"/>
    <w:rsid w:val="00072DC8"/>
    <w:rsid w:val="00073115"/>
    <w:rsid w:val="00073201"/>
    <w:rsid w:val="00073284"/>
    <w:rsid w:val="000732A8"/>
    <w:rsid w:val="00073883"/>
    <w:rsid w:val="00073FAB"/>
    <w:rsid w:val="00074091"/>
    <w:rsid w:val="0007454A"/>
    <w:rsid w:val="0007499E"/>
    <w:rsid w:val="00074B9B"/>
    <w:rsid w:val="00074C28"/>
    <w:rsid w:val="00074E5B"/>
    <w:rsid w:val="00074F0C"/>
    <w:rsid w:val="00075019"/>
    <w:rsid w:val="000753BF"/>
    <w:rsid w:val="000757B2"/>
    <w:rsid w:val="000758E1"/>
    <w:rsid w:val="00075DB9"/>
    <w:rsid w:val="0007651E"/>
    <w:rsid w:val="00076680"/>
    <w:rsid w:val="00076A1D"/>
    <w:rsid w:val="00076C55"/>
    <w:rsid w:val="00076CA9"/>
    <w:rsid w:val="00076DD7"/>
    <w:rsid w:val="00076F76"/>
    <w:rsid w:val="000774CF"/>
    <w:rsid w:val="00077527"/>
    <w:rsid w:val="000779D4"/>
    <w:rsid w:val="00077E62"/>
    <w:rsid w:val="00077F92"/>
    <w:rsid w:val="0008058B"/>
    <w:rsid w:val="000806D1"/>
    <w:rsid w:val="0008073E"/>
    <w:rsid w:val="000807AA"/>
    <w:rsid w:val="00080B0F"/>
    <w:rsid w:val="00080BD9"/>
    <w:rsid w:val="00080C8A"/>
    <w:rsid w:val="00080C90"/>
    <w:rsid w:val="00080E0E"/>
    <w:rsid w:val="00081412"/>
    <w:rsid w:val="00081416"/>
    <w:rsid w:val="00081583"/>
    <w:rsid w:val="00081591"/>
    <w:rsid w:val="00081803"/>
    <w:rsid w:val="00081811"/>
    <w:rsid w:val="0008187A"/>
    <w:rsid w:val="00081D32"/>
    <w:rsid w:val="000824CF"/>
    <w:rsid w:val="000825A6"/>
    <w:rsid w:val="000828FE"/>
    <w:rsid w:val="00082B5D"/>
    <w:rsid w:val="000830E2"/>
    <w:rsid w:val="0008337B"/>
    <w:rsid w:val="0008346D"/>
    <w:rsid w:val="000836B4"/>
    <w:rsid w:val="0008384D"/>
    <w:rsid w:val="00083E57"/>
    <w:rsid w:val="000844FE"/>
    <w:rsid w:val="00084711"/>
    <w:rsid w:val="00084CA6"/>
    <w:rsid w:val="00084EEF"/>
    <w:rsid w:val="00085045"/>
    <w:rsid w:val="000850E0"/>
    <w:rsid w:val="00085BA4"/>
    <w:rsid w:val="000861C8"/>
    <w:rsid w:val="00086666"/>
    <w:rsid w:val="00086773"/>
    <w:rsid w:val="00086BC3"/>
    <w:rsid w:val="00086E96"/>
    <w:rsid w:val="00087007"/>
    <w:rsid w:val="0008742D"/>
    <w:rsid w:val="0008761E"/>
    <w:rsid w:val="00087918"/>
    <w:rsid w:val="00087F4D"/>
    <w:rsid w:val="0009002F"/>
    <w:rsid w:val="00090536"/>
    <w:rsid w:val="00090640"/>
    <w:rsid w:val="000906F4"/>
    <w:rsid w:val="000907FD"/>
    <w:rsid w:val="00090877"/>
    <w:rsid w:val="00090902"/>
    <w:rsid w:val="00090917"/>
    <w:rsid w:val="00090CA4"/>
    <w:rsid w:val="00090CCE"/>
    <w:rsid w:val="00090EBB"/>
    <w:rsid w:val="00090F7B"/>
    <w:rsid w:val="00090FA2"/>
    <w:rsid w:val="000910EF"/>
    <w:rsid w:val="0009123C"/>
    <w:rsid w:val="00091535"/>
    <w:rsid w:val="0009166D"/>
    <w:rsid w:val="000916BE"/>
    <w:rsid w:val="000918E5"/>
    <w:rsid w:val="00091B94"/>
    <w:rsid w:val="00091CDB"/>
    <w:rsid w:val="000922E8"/>
    <w:rsid w:val="00092426"/>
    <w:rsid w:val="00092430"/>
    <w:rsid w:val="000925C2"/>
    <w:rsid w:val="00092773"/>
    <w:rsid w:val="0009287D"/>
    <w:rsid w:val="000928E5"/>
    <w:rsid w:val="0009294C"/>
    <w:rsid w:val="00092CF2"/>
    <w:rsid w:val="000930A7"/>
    <w:rsid w:val="000933ED"/>
    <w:rsid w:val="000936DF"/>
    <w:rsid w:val="000937FB"/>
    <w:rsid w:val="00093A12"/>
    <w:rsid w:val="00093C50"/>
    <w:rsid w:val="00093D7C"/>
    <w:rsid w:val="00093E9C"/>
    <w:rsid w:val="0009400E"/>
    <w:rsid w:val="00094219"/>
    <w:rsid w:val="000945E6"/>
    <w:rsid w:val="00094632"/>
    <w:rsid w:val="000946D9"/>
    <w:rsid w:val="000946E1"/>
    <w:rsid w:val="0009472D"/>
    <w:rsid w:val="00094742"/>
    <w:rsid w:val="000948EB"/>
    <w:rsid w:val="000948FA"/>
    <w:rsid w:val="00094B22"/>
    <w:rsid w:val="00094BED"/>
    <w:rsid w:val="00094D49"/>
    <w:rsid w:val="00094DE2"/>
    <w:rsid w:val="00094F2A"/>
    <w:rsid w:val="00094FC1"/>
    <w:rsid w:val="0009549E"/>
    <w:rsid w:val="000957B1"/>
    <w:rsid w:val="00095892"/>
    <w:rsid w:val="00095DC0"/>
    <w:rsid w:val="00095E05"/>
    <w:rsid w:val="00095F66"/>
    <w:rsid w:val="00095F99"/>
    <w:rsid w:val="00096352"/>
    <w:rsid w:val="000965EE"/>
    <w:rsid w:val="000966ED"/>
    <w:rsid w:val="00096787"/>
    <w:rsid w:val="000967D8"/>
    <w:rsid w:val="000967DB"/>
    <w:rsid w:val="00096873"/>
    <w:rsid w:val="00096D2B"/>
    <w:rsid w:val="00096E26"/>
    <w:rsid w:val="00096F90"/>
    <w:rsid w:val="000973CA"/>
    <w:rsid w:val="00097420"/>
    <w:rsid w:val="00097DBC"/>
    <w:rsid w:val="00097E0C"/>
    <w:rsid w:val="00097F3C"/>
    <w:rsid w:val="000A01DA"/>
    <w:rsid w:val="000A024B"/>
    <w:rsid w:val="000A055F"/>
    <w:rsid w:val="000A05F0"/>
    <w:rsid w:val="000A07A8"/>
    <w:rsid w:val="000A0C29"/>
    <w:rsid w:val="000A0D39"/>
    <w:rsid w:val="000A0DA3"/>
    <w:rsid w:val="000A0F78"/>
    <w:rsid w:val="000A139C"/>
    <w:rsid w:val="000A13B9"/>
    <w:rsid w:val="000A1503"/>
    <w:rsid w:val="000A19AC"/>
    <w:rsid w:val="000A1AB7"/>
    <w:rsid w:val="000A230B"/>
    <w:rsid w:val="000A2414"/>
    <w:rsid w:val="000A26EA"/>
    <w:rsid w:val="000A2B4E"/>
    <w:rsid w:val="000A2B86"/>
    <w:rsid w:val="000A2DB7"/>
    <w:rsid w:val="000A34BF"/>
    <w:rsid w:val="000A3CD5"/>
    <w:rsid w:val="000A3D2F"/>
    <w:rsid w:val="000A3D65"/>
    <w:rsid w:val="000A450B"/>
    <w:rsid w:val="000A489D"/>
    <w:rsid w:val="000A4B57"/>
    <w:rsid w:val="000A535C"/>
    <w:rsid w:val="000A59FF"/>
    <w:rsid w:val="000A5A3F"/>
    <w:rsid w:val="000A5A89"/>
    <w:rsid w:val="000A5A97"/>
    <w:rsid w:val="000A5A9E"/>
    <w:rsid w:val="000A5AD6"/>
    <w:rsid w:val="000A5BD9"/>
    <w:rsid w:val="000A5ECE"/>
    <w:rsid w:val="000A6258"/>
    <w:rsid w:val="000A67B8"/>
    <w:rsid w:val="000A6C8D"/>
    <w:rsid w:val="000A6FD9"/>
    <w:rsid w:val="000A6FDF"/>
    <w:rsid w:val="000A6FE6"/>
    <w:rsid w:val="000A71B3"/>
    <w:rsid w:val="000A7670"/>
    <w:rsid w:val="000A7E23"/>
    <w:rsid w:val="000B0071"/>
    <w:rsid w:val="000B008F"/>
    <w:rsid w:val="000B04A7"/>
    <w:rsid w:val="000B0ACE"/>
    <w:rsid w:val="000B0EE0"/>
    <w:rsid w:val="000B0F45"/>
    <w:rsid w:val="000B0F81"/>
    <w:rsid w:val="000B1508"/>
    <w:rsid w:val="000B18C8"/>
    <w:rsid w:val="000B1944"/>
    <w:rsid w:val="000B1E76"/>
    <w:rsid w:val="000B21A9"/>
    <w:rsid w:val="000B2282"/>
    <w:rsid w:val="000B2599"/>
    <w:rsid w:val="000B26C1"/>
    <w:rsid w:val="000B27AE"/>
    <w:rsid w:val="000B29F9"/>
    <w:rsid w:val="000B2BD1"/>
    <w:rsid w:val="000B2EC9"/>
    <w:rsid w:val="000B390C"/>
    <w:rsid w:val="000B3AAC"/>
    <w:rsid w:val="000B3CBF"/>
    <w:rsid w:val="000B40CD"/>
    <w:rsid w:val="000B42D7"/>
    <w:rsid w:val="000B44C8"/>
    <w:rsid w:val="000B455E"/>
    <w:rsid w:val="000B493F"/>
    <w:rsid w:val="000B49BA"/>
    <w:rsid w:val="000B4DC0"/>
    <w:rsid w:val="000B4E0D"/>
    <w:rsid w:val="000B4E51"/>
    <w:rsid w:val="000B507D"/>
    <w:rsid w:val="000B5148"/>
    <w:rsid w:val="000B562C"/>
    <w:rsid w:val="000B5CDE"/>
    <w:rsid w:val="000B5F26"/>
    <w:rsid w:val="000B6312"/>
    <w:rsid w:val="000B6CB7"/>
    <w:rsid w:val="000B7218"/>
    <w:rsid w:val="000B742D"/>
    <w:rsid w:val="000B743A"/>
    <w:rsid w:val="000B7920"/>
    <w:rsid w:val="000B796E"/>
    <w:rsid w:val="000B7AEA"/>
    <w:rsid w:val="000B7B30"/>
    <w:rsid w:val="000C0092"/>
    <w:rsid w:val="000C04B6"/>
    <w:rsid w:val="000C04D3"/>
    <w:rsid w:val="000C071A"/>
    <w:rsid w:val="000C0FD1"/>
    <w:rsid w:val="000C1049"/>
    <w:rsid w:val="000C13C0"/>
    <w:rsid w:val="000C16DF"/>
    <w:rsid w:val="000C1B79"/>
    <w:rsid w:val="000C1C22"/>
    <w:rsid w:val="000C1E08"/>
    <w:rsid w:val="000C21E3"/>
    <w:rsid w:val="000C2435"/>
    <w:rsid w:val="000C24CD"/>
    <w:rsid w:val="000C2507"/>
    <w:rsid w:val="000C2650"/>
    <w:rsid w:val="000C2789"/>
    <w:rsid w:val="000C28D3"/>
    <w:rsid w:val="000C29BD"/>
    <w:rsid w:val="000C2B78"/>
    <w:rsid w:val="000C3057"/>
    <w:rsid w:val="000C3101"/>
    <w:rsid w:val="000C311B"/>
    <w:rsid w:val="000C3151"/>
    <w:rsid w:val="000C3712"/>
    <w:rsid w:val="000C3BEF"/>
    <w:rsid w:val="000C3CA4"/>
    <w:rsid w:val="000C43AC"/>
    <w:rsid w:val="000C43B5"/>
    <w:rsid w:val="000C46E9"/>
    <w:rsid w:val="000C4927"/>
    <w:rsid w:val="000C4A7C"/>
    <w:rsid w:val="000C4ADC"/>
    <w:rsid w:val="000C4AF8"/>
    <w:rsid w:val="000C4E95"/>
    <w:rsid w:val="000C51DB"/>
    <w:rsid w:val="000C5254"/>
    <w:rsid w:val="000C5262"/>
    <w:rsid w:val="000C55DD"/>
    <w:rsid w:val="000C5BF3"/>
    <w:rsid w:val="000C6115"/>
    <w:rsid w:val="000C6457"/>
    <w:rsid w:val="000C6561"/>
    <w:rsid w:val="000C66E4"/>
    <w:rsid w:val="000C6B0E"/>
    <w:rsid w:val="000C6B63"/>
    <w:rsid w:val="000C6BD9"/>
    <w:rsid w:val="000C6BEE"/>
    <w:rsid w:val="000C7351"/>
    <w:rsid w:val="000C73C7"/>
    <w:rsid w:val="000C7B41"/>
    <w:rsid w:val="000C7C4B"/>
    <w:rsid w:val="000C7E93"/>
    <w:rsid w:val="000C7FB2"/>
    <w:rsid w:val="000D0067"/>
    <w:rsid w:val="000D01CC"/>
    <w:rsid w:val="000D0261"/>
    <w:rsid w:val="000D04BF"/>
    <w:rsid w:val="000D0521"/>
    <w:rsid w:val="000D06B2"/>
    <w:rsid w:val="000D0A05"/>
    <w:rsid w:val="000D0CBC"/>
    <w:rsid w:val="000D10BA"/>
    <w:rsid w:val="000D1137"/>
    <w:rsid w:val="000D1655"/>
    <w:rsid w:val="000D17BD"/>
    <w:rsid w:val="000D1879"/>
    <w:rsid w:val="000D2239"/>
    <w:rsid w:val="000D25F9"/>
    <w:rsid w:val="000D26F8"/>
    <w:rsid w:val="000D26FE"/>
    <w:rsid w:val="000D2938"/>
    <w:rsid w:val="000D2A82"/>
    <w:rsid w:val="000D2B66"/>
    <w:rsid w:val="000D2D56"/>
    <w:rsid w:val="000D2D9A"/>
    <w:rsid w:val="000D2E2C"/>
    <w:rsid w:val="000D3010"/>
    <w:rsid w:val="000D3082"/>
    <w:rsid w:val="000D31FA"/>
    <w:rsid w:val="000D32E3"/>
    <w:rsid w:val="000D346E"/>
    <w:rsid w:val="000D379F"/>
    <w:rsid w:val="000D39CF"/>
    <w:rsid w:val="000D3C7B"/>
    <w:rsid w:val="000D3CB7"/>
    <w:rsid w:val="000D435C"/>
    <w:rsid w:val="000D439F"/>
    <w:rsid w:val="000D4432"/>
    <w:rsid w:val="000D44A5"/>
    <w:rsid w:val="000D4524"/>
    <w:rsid w:val="000D476C"/>
    <w:rsid w:val="000D4F99"/>
    <w:rsid w:val="000D523E"/>
    <w:rsid w:val="000D5257"/>
    <w:rsid w:val="000D527D"/>
    <w:rsid w:val="000D54E7"/>
    <w:rsid w:val="000D5854"/>
    <w:rsid w:val="000D5B0B"/>
    <w:rsid w:val="000D5F53"/>
    <w:rsid w:val="000D63A2"/>
    <w:rsid w:val="000D69CB"/>
    <w:rsid w:val="000D6DED"/>
    <w:rsid w:val="000D71F4"/>
    <w:rsid w:val="000D7757"/>
    <w:rsid w:val="000D7816"/>
    <w:rsid w:val="000D79E1"/>
    <w:rsid w:val="000D7C6C"/>
    <w:rsid w:val="000E0164"/>
    <w:rsid w:val="000E043F"/>
    <w:rsid w:val="000E04D4"/>
    <w:rsid w:val="000E05C8"/>
    <w:rsid w:val="000E07CD"/>
    <w:rsid w:val="000E0930"/>
    <w:rsid w:val="000E0E8A"/>
    <w:rsid w:val="000E1317"/>
    <w:rsid w:val="000E13B6"/>
    <w:rsid w:val="000E14D9"/>
    <w:rsid w:val="000E1786"/>
    <w:rsid w:val="000E1857"/>
    <w:rsid w:val="000E1A73"/>
    <w:rsid w:val="000E1C41"/>
    <w:rsid w:val="000E1C76"/>
    <w:rsid w:val="000E1F13"/>
    <w:rsid w:val="000E1FDE"/>
    <w:rsid w:val="000E2167"/>
    <w:rsid w:val="000E2444"/>
    <w:rsid w:val="000E2626"/>
    <w:rsid w:val="000E26E9"/>
    <w:rsid w:val="000E2A2C"/>
    <w:rsid w:val="000E2D4E"/>
    <w:rsid w:val="000E2F5A"/>
    <w:rsid w:val="000E30DE"/>
    <w:rsid w:val="000E3178"/>
    <w:rsid w:val="000E3346"/>
    <w:rsid w:val="000E3509"/>
    <w:rsid w:val="000E38EE"/>
    <w:rsid w:val="000E3A57"/>
    <w:rsid w:val="000E3AA5"/>
    <w:rsid w:val="000E3B57"/>
    <w:rsid w:val="000E3B5F"/>
    <w:rsid w:val="000E3D2B"/>
    <w:rsid w:val="000E3E50"/>
    <w:rsid w:val="000E4101"/>
    <w:rsid w:val="000E43C2"/>
    <w:rsid w:val="000E4560"/>
    <w:rsid w:val="000E4585"/>
    <w:rsid w:val="000E4AAB"/>
    <w:rsid w:val="000E4E87"/>
    <w:rsid w:val="000E5115"/>
    <w:rsid w:val="000E52E7"/>
    <w:rsid w:val="000E53EE"/>
    <w:rsid w:val="000E5447"/>
    <w:rsid w:val="000E5510"/>
    <w:rsid w:val="000E5620"/>
    <w:rsid w:val="000E57C2"/>
    <w:rsid w:val="000E5E05"/>
    <w:rsid w:val="000E64AB"/>
    <w:rsid w:val="000E667A"/>
    <w:rsid w:val="000E66F0"/>
    <w:rsid w:val="000E6A38"/>
    <w:rsid w:val="000E6EF7"/>
    <w:rsid w:val="000E74A3"/>
    <w:rsid w:val="000E7EE8"/>
    <w:rsid w:val="000F000E"/>
    <w:rsid w:val="000F00A8"/>
    <w:rsid w:val="000F027A"/>
    <w:rsid w:val="000F02A1"/>
    <w:rsid w:val="000F038B"/>
    <w:rsid w:val="000F064C"/>
    <w:rsid w:val="000F072A"/>
    <w:rsid w:val="000F0986"/>
    <w:rsid w:val="000F0B42"/>
    <w:rsid w:val="000F0ED7"/>
    <w:rsid w:val="000F0FA8"/>
    <w:rsid w:val="000F0FD7"/>
    <w:rsid w:val="000F1026"/>
    <w:rsid w:val="000F14F7"/>
    <w:rsid w:val="000F154B"/>
    <w:rsid w:val="000F16C2"/>
    <w:rsid w:val="000F17CF"/>
    <w:rsid w:val="000F1A6B"/>
    <w:rsid w:val="000F1E48"/>
    <w:rsid w:val="000F1E9E"/>
    <w:rsid w:val="000F1EB8"/>
    <w:rsid w:val="000F1F85"/>
    <w:rsid w:val="000F23BE"/>
    <w:rsid w:val="000F2659"/>
    <w:rsid w:val="000F2B0F"/>
    <w:rsid w:val="000F2E92"/>
    <w:rsid w:val="000F2FED"/>
    <w:rsid w:val="000F3240"/>
    <w:rsid w:val="000F3514"/>
    <w:rsid w:val="000F3515"/>
    <w:rsid w:val="000F39A1"/>
    <w:rsid w:val="000F3D52"/>
    <w:rsid w:val="000F3FCB"/>
    <w:rsid w:val="000F40F5"/>
    <w:rsid w:val="000F4114"/>
    <w:rsid w:val="000F4347"/>
    <w:rsid w:val="000F447A"/>
    <w:rsid w:val="000F4507"/>
    <w:rsid w:val="000F4D71"/>
    <w:rsid w:val="000F4DDF"/>
    <w:rsid w:val="000F4F2D"/>
    <w:rsid w:val="000F535E"/>
    <w:rsid w:val="000F554B"/>
    <w:rsid w:val="000F5720"/>
    <w:rsid w:val="000F5A2E"/>
    <w:rsid w:val="000F5D2C"/>
    <w:rsid w:val="000F611F"/>
    <w:rsid w:val="000F688E"/>
    <w:rsid w:val="000F697F"/>
    <w:rsid w:val="000F6DB6"/>
    <w:rsid w:val="000F701C"/>
    <w:rsid w:val="000F7091"/>
    <w:rsid w:val="000F71E5"/>
    <w:rsid w:val="000F76DE"/>
    <w:rsid w:val="000F777B"/>
    <w:rsid w:val="000F7956"/>
    <w:rsid w:val="000F7A2A"/>
    <w:rsid w:val="000F7A3E"/>
    <w:rsid w:val="000F7F54"/>
    <w:rsid w:val="001001EA"/>
    <w:rsid w:val="001002CD"/>
    <w:rsid w:val="001005B5"/>
    <w:rsid w:val="001006BB"/>
    <w:rsid w:val="00100739"/>
    <w:rsid w:val="00100815"/>
    <w:rsid w:val="00100853"/>
    <w:rsid w:val="0010098E"/>
    <w:rsid w:val="00100AAC"/>
    <w:rsid w:val="00100E0D"/>
    <w:rsid w:val="00101389"/>
    <w:rsid w:val="001013FF"/>
    <w:rsid w:val="00101401"/>
    <w:rsid w:val="0010147B"/>
    <w:rsid w:val="001015D8"/>
    <w:rsid w:val="0010162F"/>
    <w:rsid w:val="001016CD"/>
    <w:rsid w:val="00101914"/>
    <w:rsid w:val="00101C53"/>
    <w:rsid w:val="00101DCA"/>
    <w:rsid w:val="00101DFC"/>
    <w:rsid w:val="00102142"/>
    <w:rsid w:val="0010272A"/>
    <w:rsid w:val="00102788"/>
    <w:rsid w:val="001028F9"/>
    <w:rsid w:val="0010293A"/>
    <w:rsid w:val="00102951"/>
    <w:rsid w:val="00102A14"/>
    <w:rsid w:val="00102A2F"/>
    <w:rsid w:val="00102A6E"/>
    <w:rsid w:val="00103163"/>
    <w:rsid w:val="0010375B"/>
    <w:rsid w:val="00103824"/>
    <w:rsid w:val="00103920"/>
    <w:rsid w:val="00103E29"/>
    <w:rsid w:val="00103E42"/>
    <w:rsid w:val="0010408F"/>
    <w:rsid w:val="001041E7"/>
    <w:rsid w:val="00104218"/>
    <w:rsid w:val="00104221"/>
    <w:rsid w:val="0010436F"/>
    <w:rsid w:val="00104383"/>
    <w:rsid w:val="00104414"/>
    <w:rsid w:val="00104451"/>
    <w:rsid w:val="0010474A"/>
    <w:rsid w:val="00104750"/>
    <w:rsid w:val="00104CA1"/>
    <w:rsid w:val="00104F50"/>
    <w:rsid w:val="0010510A"/>
    <w:rsid w:val="0010519E"/>
    <w:rsid w:val="00105225"/>
    <w:rsid w:val="00105321"/>
    <w:rsid w:val="0010586A"/>
    <w:rsid w:val="00105DDD"/>
    <w:rsid w:val="0010689B"/>
    <w:rsid w:val="00106CDA"/>
    <w:rsid w:val="00106D07"/>
    <w:rsid w:val="00106FAE"/>
    <w:rsid w:val="0010709F"/>
    <w:rsid w:val="00107653"/>
    <w:rsid w:val="001078D1"/>
    <w:rsid w:val="00107932"/>
    <w:rsid w:val="00107A16"/>
    <w:rsid w:val="00107EA7"/>
    <w:rsid w:val="00107EDF"/>
    <w:rsid w:val="00107FAB"/>
    <w:rsid w:val="0011007B"/>
    <w:rsid w:val="001101D1"/>
    <w:rsid w:val="001103C1"/>
    <w:rsid w:val="00110753"/>
    <w:rsid w:val="00110898"/>
    <w:rsid w:val="001108AD"/>
    <w:rsid w:val="00110BC0"/>
    <w:rsid w:val="00110BF4"/>
    <w:rsid w:val="00111287"/>
    <w:rsid w:val="0011178A"/>
    <w:rsid w:val="00111860"/>
    <w:rsid w:val="00111B4D"/>
    <w:rsid w:val="00111C72"/>
    <w:rsid w:val="00111EB8"/>
    <w:rsid w:val="0011213D"/>
    <w:rsid w:val="001124F3"/>
    <w:rsid w:val="001127D1"/>
    <w:rsid w:val="00112C37"/>
    <w:rsid w:val="00112E40"/>
    <w:rsid w:val="001130D5"/>
    <w:rsid w:val="00113660"/>
    <w:rsid w:val="0011378B"/>
    <w:rsid w:val="00113D49"/>
    <w:rsid w:val="00113D5A"/>
    <w:rsid w:val="00113E5C"/>
    <w:rsid w:val="0011460A"/>
    <w:rsid w:val="0011473A"/>
    <w:rsid w:val="001147DF"/>
    <w:rsid w:val="00114951"/>
    <w:rsid w:val="00114A9E"/>
    <w:rsid w:val="00114D4A"/>
    <w:rsid w:val="00114F92"/>
    <w:rsid w:val="00115363"/>
    <w:rsid w:val="0011588D"/>
    <w:rsid w:val="001159F3"/>
    <w:rsid w:val="00115A7E"/>
    <w:rsid w:val="00115BD9"/>
    <w:rsid w:val="00115D44"/>
    <w:rsid w:val="00115D4B"/>
    <w:rsid w:val="00115FB8"/>
    <w:rsid w:val="001160C2"/>
    <w:rsid w:val="00116145"/>
    <w:rsid w:val="00116246"/>
    <w:rsid w:val="00116394"/>
    <w:rsid w:val="00116605"/>
    <w:rsid w:val="00116694"/>
    <w:rsid w:val="001166BE"/>
    <w:rsid w:val="00116ABE"/>
    <w:rsid w:val="00116E22"/>
    <w:rsid w:val="0011712D"/>
    <w:rsid w:val="00117608"/>
    <w:rsid w:val="0011776F"/>
    <w:rsid w:val="001177EF"/>
    <w:rsid w:val="001178CA"/>
    <w:rsid w:val="001178E1"/>
    <w:rsid w:val="00117A30"/>
    <w:rsid w:val="00117D2F"/>
    <w:rsid w:val="001203A0"/>
    <w:rsid w:val="00120781"/>
    <w:rsid w:val="00120A62"/>
    <w:rsid w:val="00120AD3"/>
    <w:rsid w:val="00120C59"/>
    <w:rsid w:val="00120F9C"/>
    <w:rsid w:val="00121537"/>
    <w:rsid w:val="001216FB"/>
    <w:rsid w:val="0012178A"/>
    <w:rsid w:val="001217E7"/>
    <w:rsid w:val="0012181A"/>
    <w:rsid w:val="00121AC3"/>
    <w:rsid w:val="00121C34"/>
    <w:rsid w:val="00121E15"/>
    <w:rsid w:val="001221BE"/>
    <w:rsid w:val="001221FF"/>
    <w:rsid w:val="00122300"/>
    <w:rsid w:val="0012262C"/>
    <w:rsid w:val="001229E2"/>
    <w:rsid w:val="00122BF9"/>
    <w:rsid w:val="00122DED"/>
    <w:rsid w:val="00122FA6"/>
    <w:rsid w:val="00123490"/>
    <w:rsid w:val="00123606"/>
    <w:rsid w:val="00123755"/>
    <w:rsid w:val="0012381F"/>
    <w:rsid w:val="001238F7"/>
    <w:rsid w:val="00123B9C"/>
    <w:rsid w:val="00123D27"/>
    <w:rsid w:val="00123E12"/>
    <w:rsid w:val="00123E84"/>
    <w:rsid w:val="0012403A"/>
    <w:rsid w:val="00124360"/>
    <w:rsid w:val="001245ED"/>
    <w:rsid w:val="0012486F"/>
    <w:rsid w:val="00124B6F"/>
    <w:rsid w:val="00125076"/>
    <w:rsid w:val="00125720"/>
    <w:rsid w:val="001258BA"/>
    <w:rsid w:val="00125A77"/>
    <w:rsid w:val="00125C6F"/>
    <w:rsid w:val="00125F33"/>
    <w:rsid w:val="00125F87"/>
    <w:rsid w:val="00125F94"/>
    <w:rsid w:val="00125FA4"/>
    <w:rsid w:val="0012613B"/>
    <w:rsid w:val="001263F2"/>
    <w:rsid w:val="00126781"/>
    <w:rsid w:val="00126A60"/>
    <w:rsid w:val="00127399"/>
    <w:rsid w:val="00127AB9"/>
    <w:rsid w:val="00127CC7"/>
    <w:rsid w:val="00127CE6"/>
    <w:rsid w:val="00127E25"/>
    <w:rsid w:val="00127F9B"/>
    <w:rsid w:val="0013030A"/>
    <w:rsid w:val="00130350"/>
    <w:rsid w:val="00130585"/>
    <w:rsid w:val="00130C00"/>
    <w:rsid w:val="0013127F"/>
    <w:rsid w:val="00131350"/>
    <w:rsid w:val="00131716"/>
    <w:rsid w:val="00131BD1"/>
    <w:rsid w:val="001321F4"/>
    <w:rsid w:val="001323BA"/>
    <w:rsid w:val="0013294A"/>
    <w:rsid w:val="00132DCB"/>
    <w:rsid w:val="00132E6F"/>
    <w:rsid w:val="001336A0"/>
    <w:rsid w:val="00133BD2"/>
    <w:rsid w:val="00133F26"/>
    <w:rsid w:val="001340B1"/>
    <w:rsid w:val="00134192"/>
    <w:rsid w:val="0013442B"/>
    <w:rsid w:val="00134445"/>
    <w:rsid w:val="00134544"/>
    <w:rsid w:val="00134549"/>
    <w:rsid w:val="001347D1"/>
    <w:rsid w:val="00134A78"/>
    <w:rsid w:val="00134FE5"/>
    <w:rsid w:val="0013525B"/>
    <w:rsid w:val="0013526C"/>
    <w:rsid w:val="001352E7"/>
    <w:rsid w:val="00135AD7"/>
    <w:rsid w:val="00135BDE"/>
    <w:rsid w:val="00135ED6"/>
    <w:rsid w:val="00136011"/>
    <w:rsid w:val="001362C1"/>
    <w:rsid w:val="001365E2"/>
    <w:rsid w:val="00136A21"/>
    <w:rsid w:val="00136CF5"/>
    <w:rsid w:val="00136E7A"/>
    <w:rsid w:val="00136ED0"/>
    <w:rsid w:val="00136FDF"/>
    <w:rsid w:val="0013728F"/>
    <w:rsid w:val="00137331"/>
    <w:rsid w:val="0013740E"/>
    <w:rsid w:val="0013771D"/>
    <w:rsid w:val="001379D7"/>
    <w:rsid w:val="00140423"/>
    <w:rsid w:val="001405C6"/>
    <w:rsid w:val="0014062D"/>
    <w:rsid w:val="00140884"/>
    <w:rsid w:val="00140A6E"/>
    <w:rsid w:val="00140CBC"/>
    <w:rsid w:val="00141013"/>
    <w:rsid w:val="00141098"/>
    <w:rsid w:val="001417DD"/>
    <w:rsid w:val="00141B29"/>
    <w:rsid w:val="00141E64"/>
    <w:rsid w:val="0014211C"/>
    <w:rsid w:val="0014273A"/>
    <w:rsid w:val="00142772"/>
    <w:rsid w:val="001429AF"/>
    <w:rsid w:val="00142A34"/>
    <w:rsid w:val="00142D75"/>
    <w:rsid w:val="0014320F"/>
    <w:rsid w:val="001432A6"/>
    <w:rsid w:val="0014389A"/>
    <w:rsid w:val="00143984"/>
    <w:rsid w:val="00143C48"/>
    <w:rsid w:val="00143EE8"/>
    <w:rsid w:val="00143F1D"/>
    <w:rsid w:val="00143F3C"/>
    <w:rsid w:val="0014418D"/>
    <w:rsid w:val="0014422A"/>
    <w:rsid w:val="0014437D"/>
    <w:rsid w:val="001444F7"/>
    <w:rsid w:val="00144A7A"/>
    <w:rsid w:val="00144FC6"/>
    <w:rsid w:val="001450F5"/>
    <w:rsid w:val="00145254"/>
    <w:rsid w:val="0014551F"/>
    <w:rsid w:val="00145897"/>
    <w:rsid w:val="00145DA2"/>
    <w:rsid w:val="00145E81"/>
    <w:rsid w:val="00145F6C"/>
    <w:rsid w:val="0014643A"/>
    <w:rsid w:val="0014647C"/>
    <w:rsid w:val="0014652E"/>
    <w:rsid w:val="00146934"/>
    <w:rsid w:val="00146A05"/>
    <w:rsid w:val="00146CCC"/>
    <w:rsid w:val="001470C5"/>
    <w:rsid w:val="001473BB"/>
    <w:rsid w:val="00147408"/>
    <w:rsid w:val="00147420"/>
    <w:rsid w:val="00147B85"/>
    <w:rsid w:val="00147D6E"/>
    <w:rsid w:val="00147ECF"/>
    <w:rsid w:val="00147FA7"/>
    <w:rsid w:val="00150093"/>
    <w:rsid w:val="001501A6"/>
    <w:rsid w:val="00150339"/>
    <w:rsid w:val="001503F0"/>
    <w:rsid w:val="00150430"/>
    <w:rsid w:val="0015044E"/>
    <w:rsid w:val="001504DB"/>
    <w:rsid w:val="00150B63"/>
    <w:rsid w:val="00150C27"/>
    <w:rsid w:val="00150CF1"/>
    <w:rsid w:val="00150D27"/>
    <w:rsid w:val="00150DCB"/>
    <w:rsid w:val="00151061"/>
    <w:rsid w:val="001513E7"/>
    <w:rsid w:val="00151495"/>
    <w:rsid w:val="001518EE"/>
    <w:rsid w:val="00151950"/>
    <w:rsid w:val="00151C4E"/>
    <w:rsid w:val="0015208B"/>
    <w:rsid w:val="00152169"/>
    <w:rsid w:val="001527E0"/>
    <w:rsid w:val="00152AA7"/>
    <w:rsid w:val="00152BEA"/>
    <w:rsid w:val="00152C9A"/>
    <w:rsid w:val="00152CA9"/>
    <w:rsid w:val="00153079"/>
    <w:rsid w:val="00153522"/>
    <w:rsid w:val="00153560"/>
    <w:rsid w:val="00153914"/>
    <w:rsid w:val="00153976"/>
    <w:rsid w:val="00153B38"/>
    <w:rsid w:val="00153B8A"/>
    <w:rsid w:val="00153E0D"/>
    <w:rsid w:val="001544E0"/>
    <w:rsid w:val="00154516"/>
    <w:rsid w:val="001545D3"/>
    <w:rsid w:val="001547EC"/>
    <w:rsid w:val="001548FE"/>
    <w:rsid w:val="00154A26"/>
    <w:rsid w:val="00154E20"/>
    <w:rsid w:val="00154E89"/>
    <w:rsid w:val="00155453"/>
    <w:rsid w:val="001555A6"/>
    <w:rsid w:val="00155681"/>
    <w:rsid w:val="00155723"/>
    <w:rsid w:val="0015577C"/>
    <w:rsid w:val="00155993"/>
    <w:rsid w:val="00155D78"/>
    <w:rsid w:val="00155E84"/>
    <w:rsid w:val="00156602"/>
    <w:rsid w:val="001567F6"/>
    <w:rsid w:val="0015689E"/>
    <w:rsid w:val="00156DB2"/>
    <w:rsid w:val="001571A1"/>
    <w:rsid w:val="001571E3"/>
    <w:rsid w:val="001575BA"/>
    <w:rsid w:val="001577D3"/>
    <w:rsid w:val="001577F4"/>
    <w:rsid w:val="0015781F"/>
    <w:rsid w:val="00157C86"/>
    <w:rsid w:val="00157FD9"/>
    <w:rsid w:val="0016020E"/>
    <w:rsid w:val="0016051E"/>
    <w:rsid w:val="0016095D"/>
    <w:rsid w:val="00160BD9"/>
    <w:rsid w:val="00160CF9"/>
    <w:rsid w:val="00161396"/>
    <w:rsid w:val="0016156D"/>
    <w:rsid w:val="001615FC"/>
    <w:rsid w:val="00161B0C"/>
    <w:rsid w:val="00161E81"/>
    <w:rsid w:val="00161F84"/>
    <w:rsid w:val="001621B7"/>
    <w:rsid w:val="001623D6"/>
    <w:rsid w:val="001631B0"/>
    <w:rsid w:val="0016352A"/>
    <w:rsid w:val="00164141"/>
    <w:rsid w:val="001645A0"/>
    <w:rsid w:val="0016484B"/>
    <w:rsid w:val="001648BB"/>
    <w:rsid w:val="00164980"/>
    <w:rsid w:val="001649BE"/>
    <w:rsid w:val="00164C3F"/>
    <w:rsid w:val="00165093"/>
    <w:rsid w:val="001652BC"/>
    <w:rsid w:val="001652E2"/>
    <w:rsid w:val="001658CA"/>
    <w:rsid w:val="00165C18"/>
    <w:rsid w:val="00165C8F"/>
    <w:rsid w:val="00165D09"/>
    <w:rsid w:val="00165EC8"/>
    <w:rsid w:val="00166275"/>
    <w:rsid w:val="00166563"/>
    <w:rsid w:val="00166714"/>
    <w:rsid w:val="00166778"/>
    <w:rsid w:val="00166D2E"/>
    <w:rsid w:val="001672F1"/>
    <w:rsid w:val="0016738D"/>
    <w:rsid w:val="001674E3"/>
    <w:rsid w:val="00167984"/>
    <w:rsid w:val="00167A1A"/>
    <w:rsid w:val="00167A50"/>
    <w:rsid w:val="00167C94"/>
    <w:rsid w:val="00167F32"/>
    <w:rsid w:val="0017014C"/>
    <w:rsid w:val="0017027C"/>
    <w:rsid w:val="0017096E"/>
    <w:rsid w:val="00170B99"/>
    <w:rsid w:val="00170D90"/>
    <w:rsid w:val="00170F3B"/>
    <w:rsid w:val="001710DD"/>
    <w:rsid w:val="00171234"/>
    <w:rsid w:val="0017134E"/>
    <w:rsid w:val="00171698"/>
    <w:rsid w:val="001719AB"/>
    <w:rsid w:val="00171C29"/>
    <w:rsid w:val="00172074"/>
    <w:rsid w:val="001721D9"/>
    <w:rsid w:val="00172247"/>
    <w:rsid w:val="0017291B"/>
    <w:rsid w:val="00172D6E"/>
    <w:rsid w:val="00172EF7"/>
    <w:rsid w:val="001735BC"/>
    <w:rsid w:val="001735DB"/>
    <w:rsid w:val="00173C92"/>
    <w:rsid w:val="001742D2"/>
    <w:rsid w:val="00174313"/>
    <w:rsid w:val="00174544"/>
    <w:rsid w:val="0017493F"/>
    <w:rsid w:val="001749CE"/>
    <w:rsid w:val="00174A4F"/>
    <w:rsid w:val="00174C2E"/>
    <w:rsid w:val="00174F26"/>
    <w:rsid w:val="00174F7E"/>
    <w:rsid w:val="00175118"/>
    <w:rsid w:val="00175361"/>
    <w:rsid w:val="00175591"/>
    <w:rsid w:val="00175953"/>
    <w:rsid w:val="00175A12"/>
    <w:rsid w:val="00175B29"/>
    <w:rsid w:val="00175D56"/>
    <w:rsid w:val="00175E71"/>
    <w:rsid w:val="00175F00"/>
    <w:rsid w:val="0017602F"/>
    <w:rsid w:val="00176124"/>
    <w:rsid w:val="00176291"/>
    <w:rsid w:val="00176573"/>
    <w:rsid w:val="00176720"/>
    <w:rsid w:val="0017673B"/>
    <w:rsid w:val="0017680A"/>
    <w:rsid w:val="001768F5"/>
    <w:rsid w:val="001769C3"/>
    <w:rsid w:val="00176A18"/>
    <w:rsid w:val="00176C1F"/>
    <w:rsid w:val="00176E91"/>
    <w:rsid w:val="001770A7"/>
    <w:rsid w:val="0017713C"/>
    <w:rsid w:val="00177408"/>
    <w:rsid w:val="001775ED"/>
    <w:rsid w:val="001778E1"/>
    <w:rsid w:val="0017796B"/>
    <w:rsid w:val="001779BF"/>
    <w:rsid w:val="00177BD8"/>
    <w:rsid w:val="00177C13"/>
    <w:rsid w:val="00181059"/>
    <w:rsid w:val="00181108"/>
    <w:rsid w:val="00181460"/>
    <w:rsid w:val="001815F4"/>
    <w:rsid w:val="0018168B"/>
    <w:rsid w:val="00181CB7"/>
    <w:rsid w:val="00181CE7"/>
    <w:rsid w:val="00181E3B"/>
    <w:rsid w:val="001823D6"/>
    <w:rsid w:val="001825F4"/>
    <w:rsid w:val="00182665"/>
    <w:rsid w:val="0018279A"/>
    <w:rsid w:val="00182A20"/>
    <w:rsid w:val="00182A2B"/>
    <w:rsid w:val="00182A8F"/>
    <w:rsid w:val="00182EC0"/>
    <w:rsid w:val="00183106"/>
    <w:rsid w:val="001832F0"/>
    <w:rsid w:val="00183752"/>
    <w:rsid w:val="00183CE5"/>
    <w:rsid w:val="00183ECF"/>
    <w:rsid w:val="00183F48"/>
    <w:rsid w:val="00184039"/>
    <w:rsid w:val="00184230"/>
    <w:rsid w:val="001842C5"/>
    <w:rsid w:val="001849A5"/>
    <w:rsid w:val="001854C6"/>
    <w:rsid w:val="00185630"/>
    <w:rsid w:val="00185652"/>
    <w:rsid w:val="001857B9"/>
    <w:rsid w:val="001859F2"/>
    <w:rsid w:val="00185EC6"/>
    <w:rsid w:val="00186BF4"/>
    <w:rsid w:val="00186C72"/>
    <w:rsid w:val="00186D23"/>
    <w:rsid w:val="00187374"/>
    <w:rsid w:val="00187491"/>
    <w:rsid w:val="00187575"/>
    <w:rsid w:val="00187A3F"/>
    <w:rsid w:val="00187B33"/>
    <w:rsid w:val="00187EDA"/>
    <w:rsid w:val="001907FA"/>
    <w:rsid w:val="00190A01"/>
    <w:rsid w:val="00190FB0"/>
    <w:rsid w:val="00191323"/>
    <w:rsid w:val="00191B3A"/>
    <w:rsid w:val="001921CF"/>
    <w:rsid w:val="001926CE"/>
    <w:rsid w:val="0019277A"/>
    <w:rsid w:val="00192808"/>
    <w:rsid w:val="00192C57"/>
    <w:rsid w:val="00192CBF"/>
    <w:rsid w:val="00192FF1"/>
    <w:rsid w:val="00193054"/>
    <w:rsid w:val="00193062"/>
    <w:rsid w:val="001935B0"/>
    <w:rsid w:val="001936F9"/>
    <w:rsid w:val="001938C8"/>
    <w:rsid w:val="00193AF4"/>
    <w:rsid w:val="00193BF9"/>
    <w:rsid w:val="00193DCD"/>
    <w:rsid w:val="00193F01"/>
    <w:rsid w:val="00194042"/>
    <w:rsid w:val="001941A5"/>
    <w:rsid w:val="0019440A"/>
    <w:rsid w:val="00194423"/>
    <w:rsid w:val="0019452F"/>
    <w:rsid w:val="00194AC0"/>
    <w:rsid w:val="00194E4F"/>
    <w:rsid w:val="001950A3"/>
    <w:rsid w:val="00195342"/>
    <w:rsid w:val="001958D2"/>
    <w:rsid w:val="001958DB"/>
    <w:rsid w:val="00195C3C"/>
    <w:rsid w:val="00195E5F"/>
    <w:rsid w:val="00195F92"/>
    <w:rsid w:val="0019614B"/>
    <w:rsid w:val="001961B0"/>
    <w:rsid w:val="00196221"/>
    <w:rsid w:val="001962D4"/>
    <w:rsid w:val="001965CE"/>
    <w:rsid w:val="00196728"/>
    <w:rsid w:val="00196788"/>
    <w:rsid w:val="001968AF"/>
    <w:rsid w:val="001969C4"/>
    <w:rsid w:val="00196A6E"/>
    <w:rsid w:val="00196AA5"/>
    <w:rsid w:val="00197102"/>
    <w:rsid w:val="001975C1"/>
    <w:rsid w:val="00197B80"/>
    <w:rsid w:val="001A0191"/>
    <w:rsid w:val="001A0212"/>
    <w:rsid w:val="001A02B3"/>
    <w:rsid w:val="001A03C3"/>
    <w:rsid w:val="001A0498"/>
    <w:rsid w:val="001A07A9"/>
    <w:rsid w:val="001A08E9"/>
    <w:rsid w:val="001A1169"/>
    <w:rsid w:val="001A16A0"/>
    <w:rsid w:val="001A16F1"/>
    <w:rsid w:val="001A17A1"/>
    <w:rsid w:val="001A1853"/>
    <w:rsid w:val="001A18E1"/>
    <w:rsid w:val="001A1B96"/>
    <w:rsid w:val="001A1BF9"/>
    <w:rsid w:val="001A1E3B"/>
    <w:rsid w:val="001A1FEE"/>
    <w:rsid w:val="001A26AB"/>
    <w:rsid w:val="001A2C0D"/>
    <w:rsid w:val="001A2CD7"/>
    <w:rsid w:val="001A2EC9"/>
    <w:rsid w:val="001A3267"/>
    <w:rsid w:val="001A3371"/>
    <w:rsid w:val="001A399D"/>
    <w:rsid w:val="001A3BD0"/>
    <w:rsid w:val="001A49D0"/>
    <w:rsid w:val="001A4B8F"/>
    <w:rsid w:val="001A4CA1"/>
    <w:rsid w:val="001A4FCE"/>
    <w:rsid w:val="001A5017"/>
    <w:rsid w:val="001A5056"/>
    <w:rsid w:val="001A50AC"/>
    <w:rsid w:val="001A50E8"/>
    <w:rsid w:val="001A51B4"/>
    <w:rsid w:val="001A53A3"/>
    <w:rsid w:val="001A5629"/>
    <w:rsid w:val="001A56B6"/>
    <w:rsid w:val="001A57C3"/>
    <w:rsid w:val="001A58B3"/>
    <w:rsid w:val="001A58CE"/>
    <w:rsid w:val="001A5C57"/>
    <w:rsid w:val="001A5F1B"/>
    <w:rsid w:val="001A5F74"/>
    <w:rsid w:val="001A6220"/>
    <w:rsid w:val="001A623D"/>
    <w:rsid w:val="001A6AEC"/>
    <w:rsid w:val="001A6D3A"/>
    <w:rsid w:val="001A6E86"/>
    <w:rsid w:val="001A6EEA"/>
    <w:rsid w:val="001A6F4B"/>
    <w:rsid w:val="001A6FA3"/>
    <w:rsid w:val="001A704F"/>
    <w:rsid w:val="001A7501"/>
    <w:rsid w:val="001A7764"/>
    <w:rsid w:val="001A7C13"/>
    <w:rsid w:val="001A7D69"/>
    <w:rsid w:val="001B04BF"/>
    <w:rsid w:val="001B0C20"/>
    <w:rsid w:val="001B0DEE"/>
    <w:rsid w:val="001B0E24"/>
    <w:rsid w:val="001B0EDE"/>
    <w:rsid w:val="001B0EEA"/>
    <w:rsid w:val="001B0EFB"/>
    <w:rsid w:val="001B1476"/>
    <w:rsid w:val="001B1BB8"/>
    <w:rsid w:val="001B1C22"/>
    <w:rsid w:val="001B1DF4"/>
    <w:rsid w:val="001B2022"/>
    <w:rsid w:val="001B2145"/>
    <w:rsid w:val="001B23C4"/>
    <w:rsid w:val="001B255A"/>
    <w:rsid w:val="001B29C2"/>
    <w:rsid w:val="001B2B3A"/>
    <w:rsid w:val="001B2C11"/>
    <w:rsid w:val="001B308C"/>
    <w:rsid w:val="001B3186"/>
    <w:rsid w:val="001B34C6"/>
    <w:rsid w:val="001B3515"/>
    <w:rsid w:val="001B357F"/>
    <w:rsid w:val="001B381F"/>
    <w:rsid w:val="001B4547"/>
    <w:rsid w:val="001B4746"/>
    <w:rsid w:val="001B4803"/>
    <w:rsid w:val="001B4ADD"/>
    <w:rsid w:val="001B4DD1"/>
    <w:rsid w:val="001B519F"/>
    <w:rsid w:val="001B51BB"/>
    <w:rsid w:val="001B5725"/>
    <w:rsid w:val="001B591F"/>
    <w:rsid w:val="001B595C"/>
    <w:rsid w:val="001B59DA"/>
    <w:rsid w:val="001B5CB0"/>
    <w:rsid w:val="001B5CF1"/>
    <w:rsid w:val="001B6629"/>
    <w:rsid w:val="001B66AF"/>
    <w:rsid w:val="001B6807"/>
    <w:rsid w:val="001B6AD0"/>
    <w:rsid w:val="001B6D44"/>
    <w:rsid w:val="001B6D7F"/>
    <w:rsid w:val="001B712F"/>
    <w:rsid w:val="001B71D7"/>
    <w:rsid w:val="001B7270"/>
    <w:rsid w:val="001B78F6"/>
    <w:rsid w:val="001B7B2A"/>
    <w:rsid w:val="001B7E69"/>
    <w:rsid w:val="001C0461"/>
    <w:rsid w:val="001C070C"/>
    <w:rsid w:val="001C0D72"/>
    <w:rsid w:val="001C10FC"/>
    <w:rsid w:val="001C113D"/>
    <w:rsid w:val="001C1369"/>
    <w:rsid w:val="001C1390"/>
    <w:rsid w:val="001C173A"/>
    <w:rsid w:val="001C1C74"/>
    <w:rsid w:val="001C1F1F"/>
    <w:rsid w:val="001C27CC"/>
    <w:rsid w:val="001C2969"/>
    <w:rsid w:val="001C2C87"/>
    <w:rsid w:val="001C2F56"/>
    <w:rsid w:val="001C300F"/>
    <w:rsid w:val="001C31CC"/>
    <w:rsid w:val="001C37B7"/>
    <w:rsid w:val="001C38B7"/>
    <w:rsid w:val="001C3E98"/>
    <w:rsid w:val="001C3F2B"/>
    <w:rsid w:val="001C3F2F"/>
    <w:rsid w:val="001C4076"/>
    <w:rsid w:val="001C4094"/>
    <w:rsid w:val="001C42B2"/>
    <w:rsid w:val="001C45D1"/>
    <w:rsid w:val="001C49C7"/>
    <w:rsid w:val="001C4D0D"/>
    <w:rsid w:val="001C4DC0"/>
    <w:rsid w:val="001C4FAE"/>
    <w:rsid w:val="001C503F"/>
    <w:rsid w:val="001C516F"/>
    <w:rsid w:val="001C52AA"/>
    <w:rsid w:val="001C5A92"/>
    <w:rsid w:val="001C5D44"/>
    <w:rsid w:val="001C5FEE"/>
    <w:rsid w:val="001C63D8"/>
    <w:rsid w:val="001C643E"/>
    <w:rsid w:val="001C649B"/>
    <w:rsid w:val="001C65CB"/>
    <w:rsid w:val="001C664D"/>
    <w:rsid w:val="001C676E"/>
    <w:rsid w:val="001C6D6F"/>
    <w:rsid w:val="001C6E20"/>
    <w:rsid w:val="001C7265"/>
    <w:rsid w:val="001C73AA"/>
    <w:rsid w:val="001C7682"/>
    <w:rsid w:val="001C78BA"/>
    <w:rsid w:val="001C7E74"/>
    <w:rsid w:val="001C7F6C"/>
    <w:rsid w:val="001D03C4"/>
    <w:rsid w:val="001D0858"/>
    <w:rsid w:val="001D0A90"/>
    <w:rsid w:val="001D0A98"/>
    <w:rsid w:val="001D0E22"/>
    <w:rsid w:val="001D111E"/>
    <w:rsid w:val="001D1156"/>
    <w:rsid w:val="001D138A"/>
    <w:rsid w:val="001D14CF"/>
    <w:rsid w:val="001D16C9"/>
    <w:rsid w:val="001D16EF"/>
    <w:rsid w:val="001D1A6C"/>
    <w:rsid w:val="001D1BD8"/>
    <w:rsid w:val="001D23C6"/>
    <w:rsid w:val="001D2796"/>
    <w:rsid w:val="001D2A7F"/>
    <w:rsid w:val="001D2CA2"/>
    <w:rsid w:val="001D2E63"/>
    <w:rsid w:val="001D3622"/>
    <w:rsid w:val="001D3DB5"/>
    <w:rsid w:val="001D4942"/>
    <w:rsid w:val="001D4949"/>
    <w:rsid w:val="001D496D"/>
    <w:rsid w:val="001D4BD3"/>
    <w:rsid w:val="001D4EB0"/>
    <w:rsid w:val="001D4FE3"/>
    <w:rsid w:val="001D5011"/>
    <w:rsid w:val="001D5295"/>
    <w:rsid w:val="001D5364"/>
    <w:rsid w:val="001D5435"/>
    <w:rsid w:val="001D54CF"/>
    <w:rsid w:val="001D58C9"/>
    <w:rsid w:val="001D5E03"/>
    <w:rsid w:val="001D5F0A"/>
    <w:rsid w:val="001D5FB9"/>
    <w:rsid w:val="001D6031"/>
    <w:rsid w:val="001D609F"/>
    <w:rsid w:val="001D6151"/>
    <w:rsid w:val="001D6298"/>
    <w:rsid w:val="001D63AF"/>
    <w:rsid w:val="001D63B7"/>
    <w:rsid w:val="001D642A"/>
    <w:rsid w:val="001D66AF"/>
    <w:rsid w:val="001D6AC7"/>
    <w:rsid w:val="001D6C55"/>
    <w:rsid w:val="001D732E"/>
    <w:rsid w:val="001D747B"/>
    <w:rsid w:val="001D7499"/>
    <w:rsid w:val="001D770F"/>
    <w:rsid w:val="001D7832"/>
    <w:rsid w:val="001D7986"/>
    <w:rsid w:val="001D7C4F"/>
    <w:rsid w:val="001D7EFA"/>
    <w:rsid w:val="001D7F29"/>
    <w:rsid w:val="001E008F"/>
    <w:rsid w:val="001E0237"/>
    <w:rsid w:val="001E0653"/>
    <w:rsid w:val="001E0662"/>
    <w:rsid w:val="001E0945"/>
    <w:rsid w:val="001E0A4B"/>
    <w:rsid w:val="001E0B7B"/>
    <w:rsid w:val="001E12A0"/>
    <w:rsid w:val="001E1811"/>
    <w:rsid w:val="001E1821"/>
    <w:rsid w:val="001E1B44"/>
    <w:rsid w:val="001E20BD"/>
    <w:rsid w:val="001E220F"/>
    <w:rsid w:val="001E24ED"/>
    <w:rsid w:val="001E2763"/>
    <w:rsid w:val="001E2964"/>
    <w:rsid w:val="001E33F2"/>
    <w:rsid w:val="001E35F1"/>
    <w:rsid w:val="001E3615"/>
    <w:rsid w:val="001E363B"/>
    <w:rsid w:val="001E392A"/>
    <w:rsid w:val="001E39CC"/>
    <w:rsid w:val="001E3AA7"/>
    <w:rsid w:val="001E3CBC"/>
    <w:rsid w:val="001E3F11"/>
    <w:rsid w:val="001E3FD7"/>
    <w:rsid w:val="001E40EF"/>
    <w:rsid w:val="001E477D"/>
    <w:rsid w:val="001E48EC"/>
    <w:rsid w:val="001E4AD2"/>
    <w:rsid w:val="001E4CBA"/>
    <w:rsid w:val="001E53A8"/>
    <w:rsid w:val="001E5A2F"/>
    <w:rsid w:val="001E5D33"/>
    <w:rsid w:val="001E5E3F"/>
    <w:rsid w:val="001E5E65"/>
    <w:rsid w:val="001E6690"/>
    <w:rsid w:val="001E69E4"/>
    <w:rsid w:val="001E6C61"/>
    <w:rsid w:val="001E6E2F"/>
    <w:rsid w:val="001E6FBE"/>
    <w:rsid w:val="001E70CF"/>
    <w:rsid w:val="001E71A1"/>
    <w:rsid w:val="001E7456"/>
    <w:rsid w:val="001E7969"/>
    <w:rsid w:val="001E7C8B"/>
    <w:rsid w:val="001F0081"/>
    <w:rsid w:val="001F09B6"/>
    <w:rsid w:val="001F0E3E"/>
    <w:rsid w:val="001F0F46"/>
    <w:rsid w:val="001F133C"/>
    <w:rsid w:val="001F162F"/>
    <w:rsid w:val="001F1C37"/>
    <w:rsid w:val="001F2288"/>
    <w:rsid w:val="001F2A6E"/>
    <w:rsid w:val="001F2B5F"/>
    <w:rsid w:val="001F2E6E"/>
    <w:rsid w:val="001F2ECA"/>
    <w:rsid w:val="001F2FC1"/>
    <w:rsid w:val="001F30EE"/>
    <w:rsid w:val="001F330D"/>
    <w:rsid w:val="001F4264"/>
    <w:rsid w:val="001F47ED"/>
    <w:rsid w:val="001F4A57"/>
    <w:rsid w:val="001F52A0"/>
    <w:rsid w:val="001F5619"/>
    <w:rsid w:val="001F5718"/>
    <w:rsid w:val="001F5A38"/>
    <w:rsid w:val="001F5AB0"/>
    <w:rsid w:val="001F5BFE"/>
    <w:rsid w:val="001F5E7C"/>
    <w:rsid w:val="001F60F1"/>
    <w:rsid w:val="001F625F"/>
    <w:rsid w:val="001F626B"/>
    <w:rsid w:val="001F661E"/>
    <w:rsid w:val="001F6949"/>
    <w:rsid w:val="001F6B3B"/>
    <w:rsid w:val="001F6E1B"/>
    <w:rsid w:val="001F6E5B"/>
    <w:rsid w:val="001F6F01"/>
    <w:rsid w:val="001F6F48"/>
    <w:rsid w:val="001F7359"/>
    <w:rsid w:val="001F795E"/>
    <w:rsid w:val="001F79F6"/>
    <w:rsid w:val="001F7A01"/>
    <w:rsid w:val="001F7F2D"/>
    <w:rsid w:val="001F7FB9"/>
    <w:rsid w:val="001FA4C4"/>
    <w:rsid w:val="00200148"/>
    <w:rsid w:val="002003CE"/>
    <w:rsid w:val="002006CC"/>
    <w:rsid w:val="00200EE1"/>
    <w:rsid w:val="0020105F"/>
    <w:rsid w:val="00201A3E"/>
    <w:rsid w:val="00201B29"/>
    <w:rsid w:val="0020206C"/>
    <w:rsid w:val="0020212A"/>
    <w:rsid w:val="002023E9"/>
    <w:rsid w:val="002025B4"/>
    <w:rsid w:val="002027F9"/>
    <w:rsid w:val="002028A9"/>
    <w:rsid w:val="00202B56"/>
    <w:rsid w:val="00202C80"/>
    <w:rsid w:val="00202E4D"/>
    <w:rsid w:val="002032D0"/>
    <w:rsid w:val="002034ED"/>
    <w:rsid w:val="002036BE"/>
    <w:rsid w:val="00203A57"/>
    <w:rsid w:val="00203B7D"/>
    <w:rsid w:val="00203DCE"/>
    <w:rsid w:val="00203DFD"/>
    <w:rsid w:val="00204090"/>
    <w:rsid w:val="002044C3"/>
    <w:rsid w:val="00204B4F"/>
    <w:rsid w:val="00204D12"/>
    <w:rsid w:val="00204D40"/>
    <w:rsid w:val="00204E07"/>
    <w:rsid w:val="00204EBE"/>
    <w:rsid w:val="00204F21"/>
    <w:rsid w:val="00205121"/>
    <w:rsid w:val="002051B4"/>
    <w:rsid w:val="00205A21"/>
    <w:rsid w:val="00205AE7"/>
    <w:rsid w:val="0020605B"/>
    <w:rsid w:val="00206152"/>
    <w:rsid w:val="002063F9"/>
    <w:rsid w:val="002066BA"/>
    <w:rsid w:val="002067EF"/>
    <w:rsid w:val="00206AFC"/>
    <w:rsid w:val="00206B94"/>
    <w:rsid w:val="00206ECA"/>
    <w:rsid w:val="00207194"/>
    <w:rsid w:val="00207838"/>
    <w:rsid w:val="00207AA4"/>
    <w:rsid w:val="00207DFE"/>
    <w:rsid w:val="00207F5E"/>
    <w:rsid w:val="002100C3"/>
    <w:rsid w:val="002102DF"/>
    <w:rsid w:val="00210513"/>
    <w:rsid w:val="00210BE6"/>
    <w:rsid w:val="00210DC1"/>
    <w:rsid w:val="0021138C"/>
    <w:rsid w:val="0021160E"/>
    <w:rsid w:val="0021165D"/>
    <w:rsid w:val="0021174C"/>
    <w:rsid w:val="00211D34"/>
    <w:rsid w:val="00211F02"/>
    <w:rsid w:val="00211FA8"/>
    <w:rsid w:val="00212040"/>
    <w:rsid w:val="002122F9"/>
    <w:rsid w:val="00212564"/>
    <w:rsid w:val="0021275F"/>
    <w:rsid w:val="00212B16"/>
    <w:rsid w:val="00212C74"/>
    <w:rsid w:val="002130E6"/>
    <w:rsid w:val="00213103"/>
    <w:rsid w:val="00213218"/>
    <w:rsid w:val="0021321C"/>
    <w:rsid w:val="0021349A"/>
    <w:rsid w:val="002135D5"/>
    <w:rsid w:val="00213835"/>
    <w:rsid w:val="002138EB"/>
    <w:rsid w:val="00213AB3"/>
    <w:rsid w:val="00213C4E"/>
    <w:rsid w:val="00213DFB"/>
    <w:rsid w:val="002141E4"/>
    <w:rsid w:val="0021468D"/>
    <w:rsid w:val="0021480F"/>
    <w:rsid w:val="00214847"/>
    <w:rsid w:val="00214A20"/>
    <w:rsid w:val="00214D3F"/>
    <w:rsid w:val="00214DD7"/>
    <w:rsid w:val="00214F04"/>
    <w:rsid w:val="00215EB0"/>
    <w:rsid w:val="00215EF4"/>
    <w:rsid w:val="00215FC4"/>
    <w:rsid w:val="002160B1"/>
    <w:rsid w:val="002160DB"/>
    <w:rsid w:val="00216339"/>
    <w:rsid w:val="002163A4"/>
    <w:rsid w:val="002168A4"/>
    <w:rsid w:val="00216AE0"/>
    <w:rsid w:val="00216BC2"/>
    <w:rsid w:val="00216DEB"/>
    <w:rsid w:val="002171BE"/>
    <w:rsid w:val="00217464"/>
    <w:rsid w:val="002176E7"/>
    <w:rsid w:val="00217809"/>
    <w:rsid w:val="00217907"/>
    <w:rsid w:val="00217AE4"/>
    <w:rsid w:val="00217E63"/>
    <w:rsid w:val="00220639"/>
    <w:rsid w:val="00220730"/>
    <w:rsid w:val="00220858"/>
    <w:rsid w:val="00220D31"/>
    <w:rsid w:val="002215F2"/>
    <w:rsid w:val="00221D5F"/>
    <w:rsid w:val="00221E28"/>
    <w:rsid w:val="00222069"/>
    <w:rsid w:val="0022206B"/>
    <w:rsid w:val="002220EE"/>
    <w:rsid w:val="0022251E"/>
    <w:rsid w:val="002225BD"/>
    <w:rsid w:val="002225E1"/>
    <w:rsid w:val="00222619"/>
    <w:rsid w:val="002227FD"/>
    <w:rsid w:val="00222B70"/>
    <w:rsid w:val="00222E03"/>
    <w:rsid w:val="00222F77"/>
    <w:rsid w:val="00222F95"/>
    <w:rsid w:val="002230B4"/>
    <w:rsid w:val="00223B3A"/>
    <w:rsid w:val="00223C69"/>
    <w:rsid w:val="00223F4C"/>
    <w:rsid w:val="00224051"/>
    <w:rsid w:val="002244A0"/>
    <w:rsid w:val="00224670"/>
    <w:rsid w:val="002246A4"/>
    <w:rsid w:val="002246AB"/>
    <w:rsid w:val="002248E7"/>
    <w:rsid w:val="00224968"/>
    <w:rsid w:val="00224A3D"/>
    <w:rsid w:val="00224D0E"/>
    <w:rsid w:val="00224E89"/>
    <w:rsid w:val="00224F36"/>
    <w:rsid w:val="0022515C"/>
    <w:rsid w:val="0022530A"/>
    <w:rsid w:val="002253A2"/>
    <w:rsid w:val="0022546E"/>
    <w:rsid w:val="00225A99"/>
    <w:rsid w:val="00225AC3"/>
    <w:rsid w:val="00225C9F"/>
    <w:rsid w:val="00225DC8"/>
    <w:rsid w:val="00225E6D"/>
    <w:rsid w:val="00225FB7"/>
    <w:rsid w:val="00225FC5"/>
    <w:rsid w:val="00226376"/>
    <w:rsid w:val="0022642C"/>
    <w:rsid w:val="00226AE4"/>
    <w:rsid w:val="00226BBC"/>
    <w:rsid w:val="00226E66"/>
    <w:rsid w:val="0022702A"/>
    <w:rsid w:val="0022702E"/>
    <w:rsid w:val="00227431"/>
    <w:rsid w:val="002276FA"/>
    <w:rsid w:val="002277AE"/>
    <w:rsid w:val="00227F01"/>
    <w:rsid w:val="00230118"/>
    <w:rsid w:val="0023033C"/>
    <w:rsid w:val="002308B5"/>
    <w:rsid w:val="00230909"/>
    <w:rsid w:val="00230F8B"/>
    <w:rsid w:val="002310E8"/>
    <w:rsid w:val="00231148"/>
    <w:rsid w:val="0023129D"/>
    <w:rsid w:val="00231371"/>
    <w:rsid w:val="00231C0A"/>
    <w:rsid w:val="00231D73"/>
    <w:rsid w:val="00232223"/>
    <w:rsid w:val="00232336"/>
    <w:rsid w:val="002324BF"/>
    <w:rsid w:val="0023262E"/>
    <w:rsid w:val="00232987"/>
    <w:rsid w:val="00232BF9"/>
    <w:rsid w:val="00232C01"/>
    <w:rsid w:val="00233086"/>
    <w:rsid w:val="0023360C"/>
    <w:rsid w:val="00233F2A"/>
    <w:rsid w:val="0023406C"/>
    <w:rsid w:val="00234D68"/>
    <w:rsid w:val="00234D8A"/>
    <w:rsid w:val="00234D90"/>
    <w:rsid w:val="0023531B"/>
    <w:rsid w:val="0023538E"/>
    <w:rsid w:val="002358E1"/>
    <w:rsid w:val="00235A64"/>
    <w:rsid w:val="00235B33"/>
    <w:rsid w:val="00235B3D"/>
    <w:rsid w:val="00235C60"/>
    <w:rsid w:val="00235E7C"/>
    <w:rsid w:val="0023603B"/>
    <w:rsid w:val="0023638C"/>
    <w:rsid w:val="00236839"/>
    <w:rsid w:val="002369D3"/>
    <w:rsid w:val="00236DE2"/>
    <w:rsid w:val="00236FD5"/>
    <w:rsid w:val="002372C9"/>
    <w:rsid w:val="00237749"/>
    <w:rsid w:val="00237DF3"/>
    <w:rsid w:val="00237E5B"/>
    <w:rsid w:val="00240335"/>
    <w:rsid w:val="002404D2"/>
    <w:rsid w:val="0024068A"/>
    <w:rsid w:val="002408AC"/>
    <w:rsid w:val="0024095C"/>
    <w:rsid w:val="00240CFE"/>
    <w:rsid w:val="00241108"/>
    <w:rsid w:val="002412EF"/>
    <w:rsid w:val="00241365"/>
    <w:rsid w:val="00241569"/>
    <w:rsid w:val="002416A2"/>
    <w:rsid w:val="0024197A"/>
    <w:rsid w:val="00241C0F"/>
    <w:rsid w:val="00241C92"/>
    <w:rsid w:val="00241E9E"/>
    <w:rsid w:val="002420ED"/>
    <w:rsid w:val="00242146"/>
    <w:rsid w:val="00242C28"/>
    <w:rsid w:val="00242F5C"/>
    <w:rsid w:val="002433E7"/>
    <w:rsid w:val="00243767"/>
    <w:rsid w:val="002437BF"/>
    <w:rsid w:val="00243B31"/>
    <w:rsid w:val="00243CDC"/>
    <w:rsid w:val="002440B1"/>
    <w:rsid w:val="002441BD"/>
    <w:rsid w:val="0024437D"/>
    <w:rsid w:val="00244837"/>
    <w:rsid w:val="00244896"/>
    <w:rsid w:val="0024499F"/>
    <w:rsid w:val="00244A5A"/>
    <w:rsid w:val="00244A66"/>
    <w:rsid w:val="00244AEC"/>
    <w:rsid w:val="00244D92"/>
    <w:rsid w:val="0024515A"/>
    <w:rsid w:val="002453E6"/>
    <w:rsid w:val="002453F8"/>
    <w:rsid w:val="00245881"/>
    <w:rsid w:val="002461B3"/>
    <w:rsid w:val="00246A04"/>
    <w:rsid w:val="00246E7A"/>
    <w:rsid w:val="00246FA0"/>
    <w:rsid w:val="002473E7"/>
    <w:rsid w:val="002474CF"/>
    <w:rsid w:val="00247B3C"/>
    <w:rsid w:val="00250105"/>
    <w:rsid w:val="002502E9"/>
    <w:rsid w:val="00250301"/>
    <w:rsid w:val="00250494"/>
    <w:rsid w:val="002505BB"/>
    <w:rsid w:val="00250611"/>
    <w:rsid w:val="0025074A"/>
    <w:rsid w:val="00250A35"/>
    <w:rsid w:val="00250C72"/>
    <w:rsid w:val="00250E32"/>
    <w:rsid w:val="0025134D"/>
    <w:rsid w:val="00251433"/>
    <w:rsid w:val="00251492"/>
    <w:rsid w:val="002514EA"/>
    <w:rsid w:val="002517C2"/>
    <w:rsid w:val="00251948"/>
    <w:rsid w:val="00251AC0"/>
    <w:rsid w:val="00251D32"/>
    <w:rsid w:val="00252374"/>
    <w:rsid w:val="002523E9"/>
    <w:rsid w:val="002525C6"/>
    <w:rsid w:val="00252CD8"/>
    <w:rsid w:val="002530CA"/>
    <w:rsid w:val="002533A8"/>
    <w:rsid w:val="002534B1"/>
    <w:rsid w:val="00253814"/>
    <w:rsid w:val="00253D10"/>
    <w:rsid w:val="00253DA8"/>
    <w:rsid w:val="002540F4"/>
    <w:rsid w:val="002542DA"/>
    <w:rsid w:val="002556FE"/>
    <w:rsid w:val="00255EE3"/>
    <w:rsid w:val="002561AB"/>
    <w:rsid w:val="002565EE"/>
    <w:rsid w:val="0025678F"/>
    <w:rsid w:val="00256EA2"/>
    <w:rsid w:val="00257396"/>
    <w:rsid w:val="0025759E"/>
    <w:rsid w:val="002575CD"/>
    <w:rsid w:val="002575DF"/>
    <w:rsid w:val="0025768D"/>
    <w:rsid w:val="00257BF4"/>
    <w:rsid w:val="00257C81"/>
    <w:rsid w:val="00257E20"/>
    <w:rsid w:val="00260035"/>
    <w:rsid w:val="002602A6"/>
    <w:rsid w:val="002604F7"/>
    <w:rsid w:val="0026063D"/>
    <w:rsid w:val="002608F3"/>
    <w:rsid w:val="00260D34"/>
    <w:rsid w:val="00260E39"/>
    <w:rsid w:val="002610C3"/>
    <w:rsid w:val="0026111F"/>
    <w:rsid w:val="0026140A"/>
    <w:rsid w:val="00261785"/>
    <w:rsid w:val="00261A6A"/>
    <w:rsid w:val="00261CD1"/>
    <w:rsid w:val="00261D52"/>
    <w:rsid w:val="00262901"/>
    <w:rsid w:val="00262A29"/>
    <w:rsid w:val="00263362"/>
    <w:rsid w:val="0026340C"/>
    <w:rsid w:val="0026368E"/>
    <w:rsid w:val="0026373E"/>
    <w:rsid w:val="00263B6E"/>
    <w:rsid w:val="00263D4F"/>
    <w:rsid w:val="0026403A"/>
    <w:rsid w:val="00264459"/>
    <w:rsid w:val="002646F1"/>
    <w:rsid w:val="00264993"/>
    <w:rsid w:val="00264E97"/>
    <w:rsid w:val="002650C4"/>
    <w:rsid w:val="00265190"/>
    <w:rsid w:val="0026526E"/>
    <w:rsid w:val="00265B86"/>
    <w:rsid w:val="00265DE9"/>
    <w:rsid w:val="00265E23"/>
    <w:rsid w:val="0026606C"/>
    <w:rsid w:val="0026654B"/>
    <w:rsid w:val="0026655D"/>
    <w:rsid w:val="00266717"/>
    <w:rsid w:val="002669E8"/>
    <w:rsid w:val="00266CD6"/>
    <w:rsid w:val="00266D8C"/>
    <w:rsid w:val="00266E87"/>
    <w:rsid w:val="00267079"/>
    <w:rsid w:val="0026764B"/>
    <w:rsid w:val="00267777"/>
    <w:rsid w:val="002700F2"/>
    <w:rsid w:val="00270282"/>
    <w:rsid w:val="002702EE"/>
    <w:rsid w:val="0027062A"/>
    <w:rsid w:val="0027078B"/>
    <w:rsid w:val="002707D2"/>
    <w:rsid w:val="0027082D"/>
    <w:rsid w:val="002708C8"/>
    <w:rsid w:val="002709CA"/>
    <w:rsid w:val="00271473"/>
    <w:rsid w:val="0027181E"/>
    <w:rsid w:val="0027185D"/>
    <w:rsid w:val="002718FE"/>
    <w:rsid w:val="00271D87"/>
    <w:rsid w:val="00271E74"/>
    <w:rsid w:val="0027217B"/>
    <w:rsid w:val="002721BD"/>
    <w:rsid w:val="00272512"/>
    <w:rsid w:val="00272781"/>
    <w:rsid w:val="00272919"/>
    <w:rsid w:val="00272C3D"/>
    <w:rsid w:val="00272E8E"/>
    <w:rsid w:val="00272EFE"/>
    <w:rsid w:val="0027310A"/>
    <w:rsid w:val="002731DB"/>
    <w:rsid w:val="00273336"/>
    <w:rsid w:val="00273735"/>
    <w:rsid w:val="00273835"/>
    <w:rsid w:val="00273A1E"/>
    <w:rsid w:val="00273ECB"/>
    <w:rsid w:val="00274001"/>
    <w:rsid w:val="00274055"/>
    <w:rsid w:val="002740E3"/>
    <w:rsid w:val="00274233"/>
    <w:rsid w:val="002746E9"/>
    <w:rsid w:val="00274ACA"/>
    <w:rsid w:val="00274B4B"/>
    <w:rsid w:val="0027560B"/>
    <w:rsid w:val="00275772"/>
    <w:rsid w:val="00275DAB"/>
    <w:rsid w:val="00275FF2"/>
    <w:rsid w:val="00276684"/>
    <w:rsid w:val="00276704"/>
    <w:rsid w:val="00276B26"/>
    <w:rsid w:val="00276CE2"/>
    <w:rsid w:val="00277328"/>
    <w:rsid w:val="0027736F"/>
    <w:rsid w:val="00277BB0"/>
    <w:rsid w:val="00277DCC"/>
    <w:rsid w:val="00277ECA"/>
    <w:rsid w:val="00280127"/>
    <w:rsid w:val="002801E5"/>
    <w:rsid w:val="00280364"/>
    <w:rsid w:val="002805CF"/>
    <w:rsid w:val="002806FE"/>
    <w:rsid w:val="00280D3D"/>
    <w:rsid w:val="00280D75"/>
    <w:rsid w:val="00280D8C"/>
    <w:rsid w:val="00280F12"/>
    <w:rsid w:val="002810E6"/>
    <w:rsid w:val="00281740"/>
    <w:rsid w:val="002818A4"/>
    <w:rsid w:val="00281AAB"/>
    <w:rsid w:val="00281CD5"/>
    <w:rsid w:val="00281FD7"/>
    <w:rsid w:val="002820FA"/>
    <w:rsid w:val="002821B7"/>
    <w:rsid w:val="002822C6"/>
    <w:rsid w:val="002826A8"/>
    <w:rsid w:val="002827C9"/>
    <w:rsid w:val="0028299D"/>
    <w:rsid w:val="00282CF2"/>
    <w:rsid w:val="00282DB0"/>
    <w:rsid w:val="00282F47"/>
    <w:rsid w:val="00283363"/>
    <w:rsid w:val="00283553"/>
    <w:rsid w:val="00283958"/>
    <w:rsid w:val="00283D02"/>
    <w:rsid w:val="00283D6C"/>
    <w:rsid w:val="00283DEF"/>
    <w:rsid w:val="002840CE"/>
    <w:rsid w:val="0028445E"/>
    <w:rsid w:val="00284C1D"/>
    <w:rsid w:val="00284CA9"/>
    <w:rsid w:val="00284D75"/>
    <w:rsid w:val="00284D96"/>
    <w:rsid w:val="0028500B"/>
    <w:rsid w:val="0028506B"/>
    <w:rsid w:val="002850C3"/>
    <w:rsid w:val="00285847"/>
    <w:rsid w:val="002858F2"/>
    <w:rsid w:val="00285940"/>
    <w:rsid w:val="00285A2D"/>
    <w:rsid w:val="00285B72"/>
    <w:rsid w:val="00285C73"/>
    <w:rsid w:val="00285D8E"/>
    <w:rsid w:val="00285D9A"/>
    <w:rsid w:val="00285DF0"/>
    <w:rsid w:val="0028684D"/>
    <w:rsid w:val="002868D7"/>
    <w:rsid w:val="00286CCB"/>
    <w:rsid w:val="00286D5D"/>
    <w:rsid w:val="00286F97"/>
    <w:rsid w:val="002872CE"/>
    <w:rsid w:val="002873B3"/>
    <w:rsid w:val="002875B4"/>
    <w:rsid w:val="0028796F"/>
    <w:rsid w:val="00287A81"/>
    <w:rsid w:val="00287B7F"/>
    <w:rsid w:val="00287F08"/>
    <w:rsid w:val="002901B5"/>
    <w:rsid w:val="002901F4"/>
    <w:rsid w:val="00290290"/>
    <w:rsid w:val="00290600"/>
    <w:rsid w:val="00290790"/>
    <w:rsid w:val="00290EEC"/>
    <w:rsid w:val="00290F6E"/>
    <w:rsid w:val="0029104E"/>
    <w:rsid w:val="002918E9"/>
    <w:rsid w:val="00291904"/>
    <w:rsid w:val="002919E6"/>
    <w:rsid w:val="00291F3F"/>
    <w:rsid w:val="00292143"/>
    <w:rsid w:val="0029220C"/>
    <w:rsid w:val="00292249"/>
    <w:rsid w:val="00292360"/>
    <w:rsid w:val="00292446"/>
    <w:rsid w:val="0029253B"/>
    <w:rsid w:val="0029271E"/>
    <w:rsid w:val="002928AE"/>
    <w:rsid w:val="00292A47"/>
    <w:rsid w:val="00292A92"/>
    <w:rsid w:val="00292E7E"/>
    <w:rsid w:val="00293094"/>
    <w:rsid w:val="0029322F"/>
    <w:rsid w:val="002932A0"/>
    <w:rsid w:val="002932FB"/>
    <w:rsid w:val="00293630"/>
    <w:rsid w:val="002936AD"/>
    <w:rsid w:val="002937E6"/>
    <w:rsid w:val="00293EA7"/>
    <w:rsid w:val="00294253"/>
    <w:rsid w:val="00294328"/>
    <w:rsid w:val="002943B5"/>
    <w:rsid w:val="002949AE"/>
    <w:rsid w:val="00294B0F"/>
    <w:rsid w:val="00295068"/>
    <w:rsid w:val="0029532B"/>
    <w:rsid w:val="002954C4"/>
    <w:rsid w:val="002954DC"/>
    <w:rsid w:val="00295527"/>
    <w:rsid w:val="0029572A"/>
    <w:rsid w:val="0029586A"/>
    <w:rsid w:val="00295A22"/>
    <w:rsid w:val="002965A4"/>
    <w:rsid w:val="00296613"/>
    <w:rsid w:val="00296773"/>
    <w:rsid w:val="002972EE"/>
    <w:rsid w:val="002974CD"/>
    <w:rsid w:val="002975B5"/>
    <w:rsid w:val="002976E5"/>
    <w:rsid w:val="002979C8"/>
    <w:rsid w:val="002979E9"/>
    <w:rsid w:val="002979EC"/>
    <w:rsid w:val="00297BA4"/>
    <w:rsid w:val="00297E47"/>
    <w:rsid w:val="00297F09"/>
    <w:rsid w:val="002A0593"/>
    <w:rsid w:val="002A0A79"/>
    <w:rsid w:val="002A0AA3"/>
    <w:rsid w:val="002A0AF0"/>
    <w:rsid w:val="002A0CFB"/>
    <w:rsid w:val="002A0EC3"/>
    <w:rsid w:val="002A12DD"/>
    <w:rsid w:val="002A13AD"/>
    <w:rsid w:val="002A1678"/>
    <w:rsid w:val="002A17E2"/>
    <w:rsid w:val="002A1DE2"/>
    <w:rsid w:val="002A210D"/>
    <w:rsid w:val="002A214A"/>
    <w:rsid w:val="002A2941"/>
    <w:rsid w:val="002A29F2"/>
    <w:rsid w:val="002A2AAE"/>
    <w:rsid w:val="002A2AF7"/>
    <w:rsid w:val="002A3645"/>
    <w:rsid w:val="002A371B"/>
    <w:rsid w:val="002A38CA"/>
    <w:rsid w:val="002A3A2F"/>
    <w:rsid w:val="002A3D08"/>
    <w:rsid w:val="002A3D10"/>
    <w:rsid w:val="002A44EE"/>
    <w:rsid w:val="002A4608"/>
    <w:rsid w:val="002A4683"/>
    <w:rsid w:val="002A4836"/>
    <w:rsid w:val="002A4D18"/>
    <w:rsid w:val="002A4F25"/>
    <w:rsid w:val="002A515D"/>
    <w:rsid w:val="002A56C2"/>
    <w:rsid w:val="002A595F"/>
    <w:rsid w:val="002A5BC6"/>
    <w:rsid w:val="002A5C20"/>
    <w:rsid w:val="002A5C9A"/>
    <w:rsid w:val="002A6029"/>
    <w:rsid w:val="002A61B6"/>
    <w:rsid w:val="002A6434"/>
    <w:rsid w:val="002A6694"/>
    <w:rsid w:val="002A6B50"/>
    <w:rsid w:val="002A6D88"/>
    <w:rsid w:val="002A6DA8"/>
    <w:rsid w:val="002A6E73"/>
    <w:rsid w:val="002A72D3"/>
    <w:rsid w:val="002A7607"/>
    <w:rsid w:val="002A782A"/>
    <w:rsid w:val="002A7A92"/>
    <w:rsid w:val="002A7BF1"/>
    <w:rsid w:val="002A7E28"/>
    <w:rsid w:val="002B0309"/>
    <w:rsid w:val="002B05F1"/>
    <w:rsid w:val="002B0738"/>
    <w:rsid w:val="002B0AB2"/>
    <w:rsid w:val="002B0B1E"/>
    <w:rsid w:val="002B0C17"/>
    <w:rsid w:val="002B0D11"/>
    <w:rsid w:val="002B0E48"/>
    <w:rsid w:val="002B11E2"/>
    <w:rsid w:val="002B151B"/>
    <w:rsid w:val="002B1697"/>
    <w:rsid w:val="002B1799"/>
    <w:rsid w:val="002B198B"/>
    <w:rsid w:val="002B1CB4"/>
    <w:rsid w:val="002B1D47"/>
    <w:rsid w:val="002B2028"/>
    <w:rsid w:val="002B24B8"/>
    <w:rsid w:val="002B2596"/>
    <w:rsid w:val="002B2771"/>
    <w:rsid w:val="002B29C4"/>
    <w:rsid w:val="002B2D46"/>
    <w:rsid w:val="002B2F05"/>
    <w:rsid w:val="002B2FBC"/>
    <w:rsid w:val="002B3288"/>
    <w:rsid w:val="002B3631"/>
    <w:rsid w:val="002B3CC9"/>
    <w:rsid w:val="002B3DF7"/>
    <w:rsid w:val="002B3E52"/>
    <w:rsid w:val="002B3ED3"/>
    <w:rsid w:val="002B46D8"/>
    <w:rsid w:val="002B4A55"/>
    <w:rsid w:val="002B4AFD"/>
    <w:rsid w:val="002B4EBD"/>
    <w:rsid w:val="002B4EC7"/>
    <w:rsid w:val="002B4EF9"/>
    <w:rsid w:val="002B50B3"/>
    <w:rsid w:val="002B514A"/>
    <w:rsid w:val="002B52B2"/>
    <w:rsid w:val="002B52C0"/>
    <w:rsid w:val="002B57C3"/>
    <w:rsid w:val="002B5A8A"/>
    <w:rsid w:val="002B5C37"/>
    <w:rsid w:val="002B5FC7"/>
    <w:rsid w:val="002B6258"/>
    <w:rsid w:val="002B6475"/>
    <w:rsid w:val="002B6AFD"/>
    <w:rsid w:val="002B6ECE"/>
    <w:rsid w:val="002B6EFD"/>
    <w:rsid w:val="002B72BA"/>
    <w:rsid w:val="002B7442"/>
    <w:rsid w:val="002B7A16"/>
    <w:rsid w:val="002B7B50"/>
    <w:rsid w:val="002B7E8C"/>
    <w:rsid w:val="002B7EEB"/>
    <w:rsid w:val="002C0698"/>
    <w:rsid w:val="002C069E"/>
    <w:rsid w:val="002C07C6"/>
    <w:rsid w:val="002C0816"/>
    <w:rsid w:val="002C0A85"/>
    <w:rsid w:val="002C0FC5"/>
    <w:rsid w:val="002C1511"/>
    <w:rsid w:val="002C161A"/>
    <w:rsid w:val="002C164E"/>
    <w:rsid w:val="002C1837"/>
    <w:rsid w:val="002C1AD3"/>
    <w:rsid w:val="002C1BB8"/>
    <w:rsid w:val="002C1C81"/>
    <w:rsid w:val="002C2D5A"/>
    <w:rsid w:val="002C2DC6"/>
    <w:rsid w:val="002C2FB8"/>
    <w:rsid w:val="002C2FC3"/>
    <w:rsid w:val="002C3245"/>
    <w:rsid w:val="002C328B"/>
    <w:rsid w:val="002C33BE"/>
    <w:rsid w:val="002C36FC"/>
    <w:rsid w:val="002C3CD3"/>
    <w:rsid w:val="002C3E4D"/>
    <w:rsid w:val="002C4399"/>
    <w:rsid w:val="002C499B"/>
    <w:rsid w:val="002C4B52"/>
    <w:rsid w:val="002C4C83"/>
    <w:rsid w:val="002C5284"/>
    <w:rsid w:val="002C52D9"/>
    <w:rsid w:val="002C54DE"/>
    <w:rsid w:val="002C5519"/>
    <w:rsid w:val="002C586D"/>
    <w:rsid w:val="002C5A55"/>
    <w:rsid w:val="002C5D51"/>
    <w:rsid w:val="002C6569"/>
    <w:rsid w:val="002C69FE"/>
    <w:rsid w:val="002C6D0B"/>
    <w:rsid w:val="002C6FFB"/>
    <w:rsid w:val="002C6FFF"/>
    <w:rsid w:val="002C7079"/>
    <w:rsid w:val="002C72C5"/>
    <w:rsid w:val="002C7A3A"/>
    <w:rsid w:val="002C7AA4"/>
    <w:rsid w:val="002C7B21"/>
    <w:rsid w:val="002C7C7A"/>
    <w:rsid w:val="002C7E2B"/>
    <w:rsid w:val="002D016C"/>
    <w:rsid w:val="002D060D"/>
    <w:rsid w:val="002D0CE3"/>
    <w:rsid w:val="002D0E05"/>
    <w:rsid w:val="002D0F92"/>
    <w:rsid w:val="002D0FB8"/>
    <w:rsid w:val="002D113D"/>
    <w:rsid w:val="002D1917"/>
    <w:rsid w:val="002D1D82"/>
    <w:rsid w:val="002D1DBC"/>
    <w:rsid w:val="002D2105"/>
    <w:rsid w:val="002D2B8A"/>
    <w:rsid w:val="002D2EC9"/>
    <w:rsid w:val="002D2FA4"/>
    <w:rsid w:val="002D3008"/>
    <w:rsid w:val="002D330F"/>
    <w:rsid w:val="002D348D"/>
    <w:rsid w:val="002D36D8"/>
    <w:rsid w:val="002D3AE9"/>
    <w:rsid w:val="002D3EBF"/>
    <w:rsid w:val="002D41E0"/>
    <w:rsid w:val="002D4510"/>
    <w:rsid w:val="002D4998"/>
    <w:rsid w:val="002D4E7A"/>
    <w:rsid w:val="002D527F"/>
    <w:rsid w:val="002D5434"/>
    <w:rsid w:val="002D56CF"/>
    <w:rsid w:val="002D5B3D"/>
    <w:rsid w:val="002D5E3D"/>
    <w:rsid w:val="002D671D"/>
    <w:rsid w:val="002D681D"/>
    <w:rsid w:val="002D6A61"/>
    <w:rsid w:val="002D6BA7"/>
    <w:rsid w:val="002D6BF7"/>
    <w:rsid w:val="002D6E24"/>
    <w:rsid w:val="002D6E72"/>
    <w:rsid w:val="002D6FA1"/>
    <w:rsid w:val="002D701E"/>
    <w:rsid w:val="002D70F8"/>
    <w:rsid w:val="002D74FB"/>
    <w:rsid w:val="002D77CB"/>
    <w:rsid w:val="002D77EB"/>
    <w:rsid w:val="002D7CA0"/>
    <w:rsid w:val="002D7DCD"/>
    <w:rsid w:val="002E05E7"/>
    <w:rsid w:val="002E08E5"/>
    <w:rsid w:val="002E153D"/>
    <w:rsid w:val="002E1546"/>
    <w:rsid w:val="002E1661"/>
    <w:rsid w:val="002E1A05"/>
    <w:rsid w:val="002E1AC1"/>
    <w:rsid w:val="002E1CA7"/>
    <w:rsid w:val="002E1D7A"/>
    <w:rsid w:val="002E1D88"/>
    <w:rsid w:val="002E204E"/>
    <w:rsid w:val="002E217E"/>
    <w:rsid w:val="002E2293"/>
    <w:rsid w:val="002E269E"/>
    <w:rsid w:val="002E26EF"/>
    <w:rsid w:val="002E276A"/>
    <w:rsid w:val="002E289E"/>
    <w:rsid w:val="002E2964"/>
    <w:rsid w:val="002E2A1A"/>
    <w:rsid w:val="002E2D23"/>
    <w:rsid w:val="002E2D84"/>
    <w:rsid w:val="002E32D0"/>
    <w:rsid w:val="002E3664"/>
    <w:rsid w:val="002E3903"/>
    <w:rsid w:val="002E3C5A"/>
    <w:rsid w:val="002E3DC2"/>
    <w:rsid w:val="002E42A3"/>
    <w:rsid w:val="002E49B7"/>
    <w:rsid w:val="002E4DF7"/>
    <w:rsid w:val="002E4FA7"/>
    <w:rsid w:val="002E5292"/>
    <w:rsid w:val="002E5ACC"/>
    <w:rsid w:val="002E5EA8"/>
    <w:rsid w:val="002E5F0C"/>
    <w:rsid w:val="002E5FC9"/>
    <w:rsid w:val="002E6353"/>
    <w:rsid w:val="002E64E4"/>
    <w:rsid w:val="002E64E5"/>
    <w:rsid w:val="002E6523"/>
    <w:rsid w:val="002E6547"/>
    <w:rsid w:val="002E6639"/>
    <w:rsid w:val="002E66D6"/>
    <w:rsid w:val="002E68ED"/>
    <w:rsid w:val="002E70EE"/>
    <w:rsid w:val="002E7201"/>
    <w:rsid w:val="002E72BD"/>
    <w:rsid w:val="002E7346"/>
    <w:rsid w:val="002E739C"/>
    <w:rsid w:val="002E79D0"/>
    <w:rsid w:val="002E7AC3"/>
    <w:rsid w:val="002E7DB9"/>
    <w:rsid w:val="002E7DFC"/>
    <w:rsid w:val="002E7F45"/>
    <w:rsid w:val="002F00B9"/>
    <w:rsid w:val="002F0349"/>
    <w:rsid w:val="002F04AD"/>
    <w:rsid w:val="002F0734"/>
    <w:rsid w:val="002F0A79"/>
    <w:rsid w:val="002F0AC7"/>
    <w:rsid w:val="002F0DFE"/>
    <w:rsid w:val="002F11BD"/>
    <w:rsid w:val="002F1753"/>
    <w:rsid w:val="002F1875"/>
    <w:rsid w:val="002F1AC1"/>
    <w:rsid w:val="002F1B63"/>
    <w:rsid w:val="002F1BED"/>
    <w:rsid w:val="002F1DDC"/>
    <w:rsid w:val="002F1F62"/>
    <w:rsid w:val="002F226E"/>
    <w:rsid w:val="002F2BDE"/>
    <w:rsid w:val="002F2F75"/>
    <w:rsid w:val="002F3831"/>
    <w:rsid w:val="002F3A2C"/>
    <w:rsid w:val="002F3CAE"/>
    <w:rsid w:val="002F3D5B"/>
    <w:rsid w:val="002F3DF0"/>
    <w:rsid w:val="002F41E5"/>
    <w:rsid w:val="002F46E7"/>
    <w:rsid w:val="002F4A44"/>
    <w:rsid w:val="002F4AAC"/>
    <w:rsid w:val="002F4E1B"/>
    <w:rsid w:val="002F57E4"/>
    <w:rsid w:val="002F5B06"/>
    <w:rsid w:val="002F5B1C"/>
    <w:rsid w:val="002F5D06"/>
    <w:rsid w:val="002F5DDE"/>
    <w:rsid w:val="002F5FDC"/>
    <w:rsid w:val="002F6134"/>
    <w:rsid w:val="002F6153"/>
    <w:rsid w:val="002F61D2"/>
    <w:rsid w:val="002F61E6"/>
    <w:rsid w:val="002F695F"/>
    <w:rsid w:val="002F6B1D"/>
    <w:rsid w:val="002F6B95"/>
    <w:rsid w:val="002F6DA3"/>
    <w:rsid w:val="002F7050"/>
    <w:rsid w:val="002F760D"/>
    <w:rsid w:val="002F76B6"/>
    <w:rsid w:val="002F77F1"/>
    <w:rsid w:val="002F7B4D"/>
    <w:rsid w:val="002F7EB4"/>
    <w:rsid w:val="002F7EC2"/>
    <w:rsid w:val="002F7F4A"/>
    <w:rsid w:val="003001AC"/>
    <w:rsid w:val="00300267"/>
    <w:rsid w:val="0030084A"/>
    <w:rsid w:val="0030096D"/>
    <w:rsid w:val="003011BA"/>
    <w:rsid w:val="00301340"/>
    <w:rsid w:val="003016D1"/>
    <w:rsid w:val="003016D9"/>
    <w:rsid w:val="00301947"/>
    <w:rsid w:val="00301B84"/>
    <w:rsid w:val="00301ECE"/>
    <w:rsid w:val="00301F80"/>
    <w:rsid w:val="00302254"/>
    <w:rsid w:val="003022B4"/>
    <w:rsid w:val="00302325"/>
    <w:rsid w:val="003023AC"/>
    <w:rsid w:val="00302CB7"/>
    <w:rsid w:val="00303849"/>
    <w:rsid w:val="00303917"/>
    <w:rsid w:val="00303C9B"/>
    <w:rsid w:val="00303CCE"/>
    <w:rsid w:val="0030429F"/>
    <w:rsid w:val="00304403"/>
    <w:rsid w:val="003048F1"/>
    <w:rsid w:val="00304B3F"/>
    <w:rsid w:val="00304F49"/>
    <w:rsid w:val="003051E8"/>
    <w:rsid w:val="003053C8"/>
    <w:rsid w:val="00305510"/>
    <w:rsid w:val="00305615"/>
    <w:rsid w:val="00305630"/>
    <w:rsid w:val="00305842"/>
    <w:rsid w:val="003058C4"/>
    <w:rsid w:val="003059BC"/>
    <w:rsid w:val="00305FAE"/>
    <w:rsid w:val="00306063"/>
    <w:rsid w:val="00306299"/>
    <w:rsid w:val="003064AD"/>
    <w:rsid w:val="00306853"/>
    <w:rsid w:val="00306952"/>
    <w:rsid w:val="003069FA"/>
    <w:rsid w:val="00306C55"/>
    <w:rsid w:val="00306E15"/>
    <w:rsid w:val="00307468"/>
    <w:rsid w:val="003074CD"/>
    <w:rsid w:val="00307647"/>
    <w:rsid w:val="00307990"/>
    <w:rsid w:val="003079AC"/>
    <w:rsid w:val="00307EBF"/>
    <w:rsid w:val="003101DA"/>
    <w:rsid w:val="00310439"/>
    <w:rsid w:val="003106D9"/>
    <w:rsid w:val="00310940"/>
    <w:rsid w:val="00310D2A"/>
    <w:rsid w:val="00310E35"/>
    <w:rsid w:val="00310E62"/>
    <w:rsid w:val="003111CA"/>
    <w:rsid w:val="0031131D"/>
    <w:rsid w:val="003114D7"/>
    <w:rsid w:val="003116C4"/>
    <w:rsid w:val="003119A2"/>
    <w:rsid w:val="00311A09"/>
    <w:rsid w:val="00311C2D"/>
    <w:rsid w:val="00311D9A"/>
    <w:rsid w:val="0031200B"/>
    <w:rsid w:val="0031203C"/>
    <w:rsid w:val="00312323"/>
    <w:rsid w:val="00312335"/>
    <w:rsid w:val="003123C5"/>
    <w:rsid w:val="00312586"/>
    <w:rsid w:val="00312710"/>
    <w:rsid w:val="003127A3"/>
    <w:rsid w:val="003128ED"/>
    <w:rsid w:val="00312B3B"/>
    <w:rsid w:val="00312C10"/>
    <w:rsid w:val="00312D68"/>
    <w:rsid w:val="0031316C"/>
    <w:rsid w:val="0031331B"/>
    <w:rsid w:val="00313371"/>
    <w:rsid w:val="003133FD"/>
    <w:rsid w:val="00313A7B"/>
    <w:rsid w:val="00313EDE"/>
    <w:rsid w:val="0031438C"/>
    <w:rsid w:val="00314420"/>
    <w:rsid w:val="00314715"/>
    <w:rsid w:val="00314757"/>
    <w:rsid w:val="003148DE"/>
    <w:rsid w:val="00314B22"/>
    <w:rsid w:val="00314F4D"/>
    <w:rsid w:val="003150AD"/>
    <w:rsid w:val="0031513C"/>
    <w:rsid w:val="00315221"/>
    <w:rsid w:val="003157E4"/>
    <w:rsid w:val="00315A2A"/>
    <w:rsid w:val="00315A48"/>
    <w:rsid w:val="00315A66"/>
    <w:rsid w:val="00315BAB"/>
    <w:rsid w:val="00315CDA"/>
    <w:rsid w:val="00315D56"/>
    <w:rsid w:val="00315DD8"/>
    <w:rsid w:val="00315FF9"/>
    <w:rsid w:val="00315FFF"/>
    <w:rsid w:val="003161F8"/>
    <w:rsid w:val="003161F9"/>
    <w:rsid w:val="003163BC"/>
    <w:rsid w:val="003164F7"/>
    <w:rsid w:val="0031689E"/>
    <w:rsid w:val="003169FC"/>
    <w:rsid w:val="00316E5D"/>
    <w:rsid w:val="003171AF"/>
    <w:rsid w:val="0031725A"/>
    <w:rsid w:val="00317324"/>
    <w:rsid w:val="00317479"/>
    <w:rsid w:val="00317660"/>
    <w:rsid w:val="003178A3"/>
    <w:rsid w:val="00317AA2"/>
    <w:rsid w:val="00317B16"/>
    <w:rsid w:val="00317BD2"/>
    <w:rsid w:val="00320381"/>
    <w:rsid w:val="00320529"/>
    <w:rsid w:val="00320558"/>
    <w:rsid w:val="003208DE"/>
    <w:rsid w:val="00320929"/>
    <w:rsid w:val="00320BDD"/>
    <w:rsid w:val="00320BF7"/>
    <w:rsid w:val="00321193"/>
    <w:rsid w:val="003211CE"/>
    <w:rsid w:val="003213C6"/>
    <w:rsid w:val="00321488"/>
    <w:rsid w:val="003217FC"/>
    <w:rsid w:val="00321C4E"/>
    <w:rsid w:val="00321DF9"/>
    <w:rsid w:val="00321EE7"/>
    <w:rsid w:val="00321FB3"/>
    <w:rsid w:val="00322218"/>
    <w:rsid w:val="00322A44"/>
    <w:rsid w:val="00322B0C"/>
    <w:rsid w:val="00322C92"/>
    <w:rsid w:val="00322E0E"/>
    <w:rsid w:val="00322FC9"/>
    <w:rsid w:val="00323157"/>
    <w:rsid w:val="003234E0"/>
    <w:rsid w:val="00323586"/>
    <w:rsid w:val="00323688"/>
    <w:rsid w:val="003237E5"/>
    <w:rsid w:val="00323AA4"/>
    <w:rsid w:val="00324118"/>
    <w:rsid w:val="0032415C"/>
    <w:rsid w:val="003244CB"/>
    <w:rsid w:val="00324514"/>
    <w:rsid w:val="003248F9"/>
    <w:rsid w:val="003249BA"/>
    <w:rsid w:val="00324A52"/>
    <w:rsid w:val="00324C20"/>
    <w:rsid w:val="00324D7D"/>
    <w:rsid w:val="00325396"/>
    <w:rsid w:val="003253D5"/>
    <w:rsid w:val="003253E8"/>
    <w:rsid w:val="00325ACA"/>
    <w:rsid w:val="00325E06"/>
    <w:rsid w:val="003262DA"/>
    <w:rsid w:val="00326D4A"/>
    <w:rsid w:val="00326F0E"/>
    <w:rsid w:val="003271B2"/>
    <w:rsid w:val="0032769C"/>
    <w:rsid w:val="0032792D"/>
    <w:rsid w:val="00327A69"/>
    <w:rsid w:val="00327C45"/>
    <w:rsid w:val="003300D7"/>
    <w:rsid w:val="00330183"/>
    <w:rsid w:val="003306ED"/>
    <w:rsid w:val="00330729"/>
    <w:rsid w:val="003309F2"/>
    <w:rsid w:val="00330C73"/>
    <w:rsid w:val="00330D8C"/>
    <w:rsid w:val="00331433"/>
    <w:rsid w:val="00331568"/>
    <w:rsid w:val="003318CE"/>
    <w:rsid w:val="003318DA"/>
    <w:rsid w:val="00331A26"/>
    <w:rsid w:val="00331E1A"/>
    <w:rsid w:val="0033221B"/>
    <w:rsid w:val="003322D6"/>
    <w:rsid w:val="00332421"/>
    <w:rsid w:val="00332455"/>
    <w:rsid w:val="003327DF"/>
    <w:rsid w:val="003328F1"/>
    <w:rsid w:val="003329BD"/>
    <w:rsid w:val="00332ADD"/>
    <w:rsid w:val="00332EBA"/>
    <w:rsid w:val="003333B6"/>
    <w:rsid w:val="0033357A"/>
    <w:rsid w:val="0033359E"/>
    <w:rsid w:val="00333664"/>
    <w:rsid w:val="00333827"/>
    <w:rsid w:val="00333A36"/>
    <w:rsid w:val="00333E89"/>
    <w:rsid w:val="00334221"/>
    <w:rsid w:val="00334245"/>
    <w:rsid w:val="00334311"/>
    <w:rsid w:val="0033446F"/>
    <w:rsid w:val="0033465B"/>
    <w:rsid w:val="00334750"/>
    <w:rsid w:val="0033478A"/>
    <w:rsid w:val="0033481D"/>
    <w:rsid w:val="00334854"/>
    <w:rsid w:val="00334A72"/>
    <w:rsid w:val="00334DE8"/>
    <w:rsid w:val="00334E71"/>
    <w:rsid w:val="00334F9E"/>
    <w:rsid w:val="0033531B"/>
    <w:rsid w:val="003353D1"/>
    <w:rsid w:val="00335695"/>
    <w:rsid w:val="00335A1C"/>
    <w:rsid w:val="0033622B"/>
    <w:rsid w:val="00336332"/>
    <w:rsid w:val="003365F9"/>
    <w:rsid w:val="0033669B"/>
    <w:rsid w:val="003368F3"/>
    <w:rsid w:val="003371C2"/>
    <w:rsid w:val="003371CB"/>
    <w:rsid w:val="003373CC"/>
    <w:rsid w:val="003374F9"/>
    <w:rsid w:val="003378BC"/>
    <w:rsid w:val="003378FD"/>
    <w:rsid w:val="00337A20"/>
    <w:rsid w:val="00337AB8"/>
    <w:rsid w:val="00337D24"/>
    <w:rsid w:val="00337F7E"/>
    <w:rsid w:val="0034009C"/>
    <w:rsid w:val="00340223"/>
    <w:rsid w:val="00340272"/>
    <w:rsid w:val="003405EF"/>
    <w:rsid w:val="003407C1"/>
    <w:rsid w:val="00340B4F"/>
    <w:rsid w:val="00340E1E"/>
    <w:rsid w:val="00340F2F"/>
    <w:rsid w:val="003416C4"/>
    <w:rsid w:val="00341738"/>
    <w:rsid w:val="003418C9"/>
    <w:rsid w:val="00341931"/>
    <w:rsid w:val="00341C87"/>
    <w:rsid w:val="00341F16"/>
    <w:rsid w:val="003420F6"/>
    <w:rsid w:val="003423FE"/>
    <w:rsid w:val="00342910"/>
    <w:rsid w:val="00342984"/>
    <w:rsid w:val="00342BB5"/>
    <w:rsid w:val="00342C96"/>
    <w:rsid w:val="00342D6D"/>
    <w:rsid w:val="00342EC4"/>
    <w:rsid w:val="00342FC5"/>
    <w:rsid w:val="00343343"/>
    <w:rsid w:val="003433DC"/>
    <w:rsid w:val="003439B5"/>
    <w:rsid w:val="00343B37"/>
    <w:rsid w:val="00343CBE"/>
    <w:rsid w:val="00343DBD"/>
    <w:rsid w:val="00344131"/>
    <w:rsid w:val="003441EE"/>
    <w:rsid w:val="003443B3"/>
    <w:rsid w:val="003444FB"/>
    <w:rsid w:val="003446BB"/>
    <w:rsid w:val="00344FBD"/>
    <w:rsid w:val="003451A7"/>
    <w:rsid w:val="0034535E"/>
    <w:rsid w:val="00345787"/>
    <w:rsid w:val="0034592D"/>
    <w:rsid w:val="00345995"/>
    <w:rsid w:val="00345DB1"/>
    <w:rsid w:val="00345DB6"/>
    <w:rsid w:val="00345EE4"/>
    <w:rsid w:val="0034625F"/>
    <w:rsid w:val="0034640E"/>
    <w:rsid w:val="00346467"/>
    <w:rsid w:val="00346C03"/>
    <w:rsid w:val="00346C6D"/>
    <w:rsid w:val="00346EC0"/>
    <w:rsid w:val="00347085"/>
    <w:rsid w:val="003474BF"/>
    <w:rsid w:val="00347CDB"/>
    <w:rsid w:val="00347D02"/>
    <w:rsid w:val="0035005A"/>
    <w:rsid w:val="0035010E"/>
    <w:rsid w:val="0035011B"/>
    <w:rsid w:val="0035012C"/>
    <w:rsid w:val="003501D5"/>
    <w:rsid w:val="0035025E"/>
    <w:rsid w:val="0035026B"/>
    <w:rsid w:val="003502C3"/>
    <w:rsid w:val="0035034F"/>
    <w:rsid w:val="00350533"/>
    <w:rsid w:val="0035055D"/>
    <w:rsid w:val="00350765"/>
    <w:rsid w:val="00350A7D"/>
    <w:rsid w:val="00350D58"/>
    <w:rsid w:val="00350D9E"/>
    <w:rsid w:val="00351186"/>
    <w:rsid w:val="00351339"/>
    <w:rsid w:val="00351397"/>
    <w:rsid w:val="00351708"/>
    <w:rsid w:val="00351782"/>
    <w:rsid w:val="00351BE1"/>
    <w:rsid w:val="00351E31"/>
    <w:rsid w:val="00351FA0"/>
    <w:rsid w:val="00351FF1"/>
    <w:rsid w:val="00352012"/>
    <w:rsid w:val="0035222F"/>
    <w:rsid w:val="0035286E"/>
    <w:rsid w:val="00352EAD"/>
    <w:rsid w:val="00352EEF"/>
    <w:rsid w:val="00353062"/>
    <w:rsid w:val="00353135"/>
    <w:rsid w:val="003531D4"/>
    <w:rsid w:val="00353232"/>
    <w:rsid w:val="0035350E"/>
    <w:rsid w:val="00353D14"/>
    <w:rsid w:val="0035403A"/>
    <w:rsid w:val="0035414E"/>
    <w:rsid w:val="00354344"/>
    <w:rsid w:val="00354428"/>
    <w:rsid w:val="0035446E"/>
    <w:rsid w:val="00354490"/>
    <w:rsid w:val="003549C4"/>
    <w:rsid w:val="00354D6C"/>
    <w:rsid w:val="003551F8"/>
    <w:rsid w:val="00355260"/>
    <w:rsid w:val="00355320"/>
    <w:rsid w:val="00355618"/>
    <w:rsid w:val="003557CE"/>
    <w:rsid w:val="00355DA5"/>
    <w:rsid w:val="003560DD"/>
    <w:rsid w:val="0035627D"/>
    <w:rsid w:val="00356A07"/>
    <w:rsid w:val="003570A4"/>
    <w:rsid w:val="003574AE"/>
    <w:rsid w:val="00357660"/>
    <w:rsid w:val="003576AC"/>
    <w:rsid w:val="0035796A"/>
    <w:rsid w:val="00357A23"/>
    <w:rsid w:val="00357AE3"/>
    <w:rsid w:val="00357B81"/>
    <w:rsid w:val="00357C74"/>
    <w:rsid w:val="00360047"/>
    <w:rsid w:val="0036029B"/>
    <w:rsid w:val="003602CB"/>
    <w:rsid w:val="00360A35"/>
    <w:rsid w:val="00360D16"/>
    <w:rsid w:val="00360F6B"/>
    <w:rsid w:val="00360FA9"/>
    <w:rsid w:val="00360FD1"/>
    <w:rsid w:val="003613B0"/>
    <w:rsid w:val="003618A5"/>
    <w:rsid w:val="003618EA"/>
    <w:rsid w:val="00361CEC"/>
    <w:rsid w:val="00361D79"/>
    <w:rsid w:val="0036238B"/>
    <w:rsid w:val="003623A4"/>
    <w:rsid w:val="00362731"/>
    <w:rsid w:val="003627C4"/>
    <w:rsid w:val="0036286F"/>
    <w:rsid w:val="00363127"/>
    <w:rsid w:val="003631C2"/>
    <w:rsid w:val="0036328C"/>
    <w:rsid w:val="003635CB"/>
    <w:rsid w:val="003636BA"/>
    <w:rsid w:val="00363810"/>
    <w:rsid w:val="00363857"/>
    <w:rsid w:val="0036394B"/>
    <w:rsid w:val="00363C6E"/>
    <w:rsid w:val="00363F3F"/>
    <w:rsid w:val="00363FA5"/>
    <w:rsid w:val="00364310"/>
    <w:rsid w:val="00364C9B"/>
    <w:rsid w:val="00364D96"/>
    <w:rsid w:val="00364F54"/>
    <w:rsid w:val="00364FC1"/>
    <w:rsid w:val="0036500E"/>
    <w:rsid w:val="00365453"/>
    <w:rsid w:val="00365492"/>
    <w:rsid w:val="0036567E"/>
    <w:rsid w:val="003657D6"/>
    <w:rsid w:val="00365855"/>
    <w:rsid w:val="00365A38"/>
    <w:rsid w:val="00365C2F"/>
    <w:rsid w:val="00365E50"/>
    <w:rsid w:val="00366694"/>
    <w:rsid w:val="0036691A"/>
    <w:rsid w:val="00366DB6"/>
    <w:rsid w:val="00366F07"/>
    <w:rsid w:val="0036711C"/>
    <w:rsid w:val="0036758F"/>
    <w:rsid w:val="003677DB"/>
    <w:rsid w:val="003679A4"/>
    <w:rsid w:val="00367A95"/>
    <w:rsid w:val="00367E26"/>
    <w:rsid w:val="00370061"/>
    <w:rsid w:val="0037012E"/>
    <w:rsid w:val="003705FD"/>
    <w:rsid w:val="003709B5"/>
    <w:rsid w:val="00370DAE"/>
    <w:rsid w:val="00370F52"/>
    <w:rsid w:val="00370F68"/>
    <w:rsid w:val="003711F4"/>
    <w:rsid w:val="00371598"/>
    <w:rsid w:val="00371778"/>
    <w:rsid w:val="003721FA"/>
    <w:rsid w:val="00372334"/>
    <w:rsid w:val="003723E8"/>
    <w:rsid w:val="003725D2"/>
    <w:rsid w:val="003727EB"/>
    <w:rsid w:val="00372D9C"/>
    <w:rsid w:val="00373E83"/>
    <w:rsid w:val="00374049"/>
    <w:rsid w:val="003743BC"/>
    <w:rsid w:val="003744BB"/>
    <w:rsid w:val="00374637"/>
    <w:rsid w:val="003746E9"/>
    <w:rsid w:val="00374AAA"/>
    <w:rsid w:val="003752D8"/>
    <w:rsid w:val="00375344"/>
    <w:rsid w:val="00375748"/>
    <w:rsid w:val="003757FA"/>
    <w:rsid w:val="00375884"/>
    <w:rsid w:val="00375978"/>
    <w:rsid w:val="003759C2"/>
    <w:rsid w:val="00375A39"/>
    <w:rsid w:val="00375A5C"/>
    <w:rsid w:val="00375AC8"/>
    <w:rsid w:val="00375F44"/>
    <w:rsid w:val="003764CC"/>
    <w:rsid w:val="00376826"/>
    <w:rsid w:val="003768AC"/>
    <w:rsid w:val="003770C5"/>
    <w:rsid w:val="0037714A"/>
    <w:rsid w:val="003776D1"/>
    <w:rsid w:val="003777E1"/>
    <w:rsid w:val="003778B3"/>
    <w:rsid w:val="0038031F"/>
    <w:rsid w:val="003804C8"/>
    <w:rsid w:val="00380881"/>
    <w:rsid w:val="00380888"/>
    <w:rsid w:val="00380962"/>
    <w:rsid w:val="00380A4C"/>
    <w:rsid w:val="00380AA9"/>
    <w:rsid w:val="00380E05"/>
    <w:rsid w:val="00380E53"/>
    <w:rsid w:val="00380FBF"/>
    <w:rsid w:val="00381212"/>
    <w:rsid w:val="003815E8"/>
    <w:rsid w:val="00381611"/>
    <w:rsid w:val="00381F9D"/>
    <w:rsid w:val="00382335"/>
    <w:rsid w:val="00382569"/>
    <w:rsid w:val="00382ABA"/>
    <w:rsid w:val="00382EA8"/>
    <w:rsid w:val="003830C6"/>
    <w:rsid w:val="003833AD"/>
    <w:rsid w:val="0038367D"/>
    <w:rsid w:val="00383708"/>
    <w:rsid w:val="00383832"/>
    <w:rsid w:val="00383D5E"/>
    <w:rsid w:val="00383FF8"/>
    <w:rsid w:val="00384711"/>
    <w:rsid w:val="00384B4E"/>
    <w:rsid w:val="00384CC6"/>
    <w:rsid w:val="00384CE3"/>
    <w:rsid w:val="00384DAB"/>
    <w:rsid w:val="003851E7"/>
    <w:rsid w:val="0038550C"/>
    <w:rsid w:val="003857DE"/>
    <w:rsid w:val="003859A4"/>
    <w:rsid w:val="00385AC2"/>
    <w:rsid w:val="00385D66"/>
    <w:rsid w:val="003860B7"/>
    <w:rsid w:val="003864D7"/>
    <w:rsid w:val="003867C2"/>
    <w:rsid w:val="003867D1"/>
    <w:rsid w:val="00386A11"/>
    <w:rsid w:val="00386AD4"/>
    <w:rsid w:val="00386EB9"/>
    <w:rsid w:val="0038716D"/>
    <w:rsid w:val="0038722D"/>
    <w:rsid w:val="003872F6"/>
    <w:rsid w:val="00387549"/>
    <w:rsid w:val="0038762D"/>
    <w:rsid w:val="00387961"/>
    <w:rsid w:val="00387F15"/>
    <w:rsid w:val="003900D9"/>
    <w:rsid w:val="00390130"/>
    <w:rsid w:val="00390146"/>
    <w:rsid w:val="003904B7"/>
    <w:rsid w:val="003907AC"/>
    <w:rsid w:val="00390C90"/>
    <w:rsid w:val="003910D5"/>
    <w:rsid w:val="0039120C"/>
    <w:rsid w:val="00391294"/>
    <w:rsid w:val="003913F6"/>
    <w:rsid w:val="0039170F"/>
    <w:rsid w:val="003917A1"/>
    <w:rsid w:val="00391B2B"/>
    <w:rsid w:val="00391D5C"/>
    <w:rsid w:val="00391F37"/>
    <w:rsid w:val="00391FC6"/>
    <w:rsid w:val="0039230C"/>
    <w:rsid w:val="0039256B"/>
    <w:rsid w:val="00392624"/>
    <w:rsid w:val="0039288C"/>
    <w:rsid w:val="00392972"/>
    <w:rsid w:val="00392979"/>
    <w:rsid w:val="00392A0B"/>
    <w:rsid w:val="00393059"/>
    <w:rsid w:val="00393553"/>
    <w:rsid w:val="00393683"/>
    <w:rsid w:val="003936B0"/>
    <w:rsid w:val="00394287"/>
    <w:rsid w:val="00394452"/>
    <w:rsid w:val="00394986"/>
    <w:rsid w:val="003952F3"/>
    <w:rsid w:val="00395570"/>
    <w:rsid w:val="0039591F"/>
    <w:rsid w:val="00395E25"/>
    <w:rsid w:val="00395F48"/>
    <w:rsid w:val="003965E4"/>
    <w:rsid w:val="003966BD"/>
    <w:rsid w:val="00396B51"/>
    <w:rsid w:val="00396C0F"/>
    <w:rsid w:val="00396D97"/>
    <w:rsid w:val="00396EB0"/>
    <w:rsid w:val="00397365"/>
    <w:rsid w:val="0039756B"/>
    <w:rsid w:val="003975E6"/>
    <w:rsid w:val="00397676"/>
    <w:rsid w:val="003976D0"/>
    <w:rsid w:val="003979A2"/>
    <w:rsid w:val="00397B9A"/>
    <w:rsid w:val="00397D62"/>
    <w:rsid w:val="003A0062"/>
    <w:rsid w:val="003A00E1"/>
    <w:rsid w:val="003A01BF"/>
    <w:rsid w:val="003A0200"/>
    <w:rsid w:val="003A04BB"/>
    <w:rsid w:val="003A07E0"/>
    <w:rsid w:val="003A0A31"/>
    <w:rsid w:val="003A11EF"/>
    <w:rsid w:val="003A1542"/>
    <w:rsid w:val="003A1718"/>
    <w:rsid w:val="003A1C39"/>
    <w:rsid w:val="003A1C7A"/>
    <w:rsid w:val="003A2197"/>
    <w:rsid w:val="003A23A6"/>
    <w:rsid w:val="003A2768"/>
    <w:rsid w:val="003A299A"/>
    <w:rsid w:val="003A2A73"/>
    <w:rsid w:val="003A2B62"/>
    <w:rsid w:val="003A2BAF"/>
    <w:rsid w:val="003A2DD1"/>
    <w:rsid w:val="003A2EB6"/>
    <w:rsid w:val="003A31F6"/>
    <w:rsid w:val="003A3455"/>
    <w:rsid w:val="003A36C4"/>
    <w:rsid w:val="003A3952"/>
    <w:rsid w:val="003A3975"/>
    <w:rsid w:val="003A3A73"/>
    <w:rsid w:val="003A3DAF"/>
    <w:rsid w:val="003A3EFF"/>
    <w:rsid w:val="003A40A8"/>
    <w:rsid w:val="003A40FD"/>
    <w:rsid w:val="003A41DC"/>
    <w:rsid w:val="003A4458"/>
    <w:rsid w:val="003A4763"/>
    <w:rsid w:val="003A4772"/>
    <w:rsid w:val="003A496E"/>
    <w:rsid w:val="003A4A06"/>
    <w:rsid w:val="003A4D0D"/>
    <w:rsid w:val="003A520C"/>
    <w:rsid w:val="003A5A45"/>
    <w:rsid w:val="003A5C56"/>
    <w:rsid w:val="003A5C6B"/>
    <w:rsid w:val="003A5CAA"/>
    <w:rsid w:val="003A5DDF"/>
    <w:rsid w:val="003A653D"/>
    <w:rsid w:val="003A6599"/>
    <w:rsid w:val="003A6811"/>
    <w:rsid w:val="003A6F6E"/>
    <w:rsid w:val="003A7216"/>
    <w:rsid w:val="003A72ED"/>
    <w:rsid w:val="003A7659"/>
    <w:rsid w:val="003A7695"/>
    <w:rsid w:val="003A79B1"/>
    <w:rsid w:val="003A7CDD"/>
    <w:rsid w:val="003B01C3"/>
    <w:rsid w:val="003B0B29"/>
    <w:rsid w:val="003B0D61"/>
    <w:rsid w:val="003B0E42"/>
    <w:rsid w:val="003B0FAE"/>
    <w:rsid w:val="003B14FA"/>
    <w:rsid w:val="003B175D"/>
    <w:rsid w:val="003B1814"/>
    <w:rsid w:val="003B1819"/>
    <w:rsid w:val="003B1914"/>
    <w:rsid w:val="003B1F7A"/>
    <w:rsid w:val="003B2179"/>
    <w:rsid w:val="003B26BE"/>
    <w:rsid w:val="003B2D3B"/>
    <w:rsid w:val="003B2E7B"/>
    <w:rsid w:val="003B30CB"/>
    <w:rsid w:val="003B339D"/>
    <w:rsid w:val="003B341F"/>
    <w:rsid w:val="003B38AF"/>
    <w:rsid w:val="003B3A35"/>
    <w:rsid w:val="003B3B07"/>
    <w:rsid w:val="003B410A"/>
    <w:rsid w:val="003B4335"/>
    <w:rsid w:val="003B4402"/>
    <w:rsid w:val="003B484C"/>
    <w:rsid w:val="003B4BFA"/>
    <w:rsid w:val="003B4C9E"/>
    <w:rsid w:val="003B4CF8"/>
    <w:rsid w:val="003B4EA9"/>
    <w:rsid w:val="003B4FAA"/>
    <w:rsid w:val="003B503A"/>
    <w:rsid w:val="003B5051"/>
    <w:rsid w:val="003B5297"/>
    <w:rsid w:val="003B53BE"/>
    <w:rsid w:val="003B54EA"/>
    <w:rsid w:val="003B5640"/>
    <w:rsid w:val="003B57E8"/>
    <w:rsid w:val="003B5D60"/>
    <w:rsid w:val="003B5E31"/>
    <w:rsid w:val="003B5FB4"/>
    <w:rsid w:val="003B60CE"/>
    <w:rsid w:val="003B669B"/>
    <w:rsid w:val="003B6DB8"/>
    <w:rsid w:val="003B6EA8"/>
    <w:rsid w:val="003B7365"/>
    <w:rsid w:val="003B74D7"/>
    <w:rsid w:val="003C039B"/>
    <w:rsid w:val="003C0416"/>
    <w:rsid w:val="003C047D"/>
    <w:rsid w:val="003C0750"/>
    <w:rsid w:val="003C0A61"/>
    <w:rsid w:val="003C0E0C"/>
    <w:rsid w:val="003C0F95"/>
    <w:rsid w:val="003C1069"/>
    <w:rsid w:val="003C13A9"/>
    <w:rsid w:val="003C13B4"/>
    <w:rsid w:val="003C142F"/>
    <w:rsid w:val="003C1470"/>
    <w:rsid w:val="003C1593"/>
    <w:rsid w:val="003C15D7"/>
    <w:rsid w:val="003C1867"/>
    <w:rsid w:val="003C1AA8"/>
    <w:rsid w:val="003C1B03"/>
    <w:rsid w:val="003C1B89"/>
    <w:rsid w:val="003C1DAD"/>
    <w:rsid w:val="003C1F00"/>
    <w:rsid w:val="003C22F0"/>
    <w:rsid w:val="003C2473"/>
    <w:rsid w:val="003C2B93"/>
    <w:rsid w:val="003C2C3B"/>
    <w:rsid w:val="003C319C"/>
    <w:rsid w:val="003C31E5"/>
    <w:rsid w:val="003C3447"/>
    <w:rsid w:val="003C348D"/>
    <w:rsid w:val="003C3603"/>
    <w:rsid w:val="003C3606"/>
    <w:rsid w:val="003C3A3E"/>
    <w:rsid w:val="003C3C34"/>
    <w:rsid w:val="003C40C1"/>
    <w:rsid w:val="003C4342"/>
    <w:rsid w:val="003C4481"/>
    <w:rsid w:val="003C46AA"/>
    <w:rsid w:val="003C47AC"/>
    <w:rsid w:val="003C47FE"/>
    <w:rsid w:val="003C48ED"/>
    <w:rsid w:val="003C4940"/>
    <w:rsid w:val="003C4965"/>
    <w:rsid w:val="003C4E67"/>
    <w:rsid w:val="003C5153"/>
    <w:rsid w:val="003C5289"/>
    <w:rsid w:val="003C5322"/>
    <w:rsid w:val="003C54C9"/>
    <w:rsid w:val="003C56E6"/>
    <w:rsid w:val="003C5727"/>
    <w:rsid w:val="003C5AD6"/>
    <w:rsid w:val="003C5DAC"/>
    <w:rsid w:val="003C5E0F"/>
    <w:rsid w:val="003C5F69"/>
    <w:rsid w:val="003C5F6A"/>
    <w:rsid w:val="003C635C"/>
    <w:rsid w:val="003C65EA"/>
    <w:rsid w:val="003C6642"/>
    <w:rsid w:val="003C6789"/>
    <w:rsid w:val="003C6A78"/>
    <w:rsid w:val="003C6DA0"/>
    <w:rsid w:val="003C7024"/>
    <w:rsid w:val="003C70F9"/>
    <w:rsid w:val="003C73C2"/>
    <w:rsid w:val="003C767A"/>
    <w:rsid w:val="003C7691"/>
    <w:rsid w:val="003C77BA"/>
    <w:rsid w:val="003C7A36"/>
    <w:rsid w:val="003C7A45"/>
    <w:rsid w:val="003C7A74"/>
    <w:rsid w:val="003C7B2C"/>
    <w:rsid w:val="003C7C23"/>
    <w:rsid w:val="003C7DAA"/>
    <w:rsid w:val="003D0119"/>
    <w:rsid w:val="003D020E"/>
    <w:rsid w:val="003D032C"/>
    <w:rsid w:val="003D048C"/>
    <w:rsid w:val="003D0537"/>
    <w:rsid w:val="003D076C"/>
    <w:rsid w:val="003D0772"/>
    <w:rsid w:val="003D0BF5"/>
    <w:rsid w:val="003D0EB3"/>
    <w:rsid w:val="003D0FFC"/>
    <w:rsid w:val="003D1375"/>
    <w:rsid w:val="003D15AC"/>
    <w:rsid w:val="003D168B"/>
    <w:rsid w:val="003D241F"/>
    <w:rsid w:val="003D2529"/>
    <w:rsid w:val="003D32C3"/>
    <w:rsid w:val="003D32C7"/>
    <w:rsid w:val="003D34BB"/>
    <w:rsid w:val="003D371F"/>
    <w:rsid w:val="003D3860"/>
    <w:rsid w:val="003D395A"/>
    <w:rsid w:val="003D3DF8"/>
    <w:rsid w:val="003D4138"/>
    <w:rsid w:val="003D428E"/>
    <w:rsid w:val="003D4509"/>
    <w:rsid w:val="003D453E"/>
    <w:rsid w:val="003D4623"/>
    <w:rsid w:val="003D4767"/>
    <w:rsid w:val="003D4DEA"/>
    <w:rsid w:val="003D5105"/>
    <w:rsid w:val="003D5521"/>
    <w:rsid w:val="003D56D5"/>
    <w:rsid w:val="003D5AB4"/>
    <w:rsid w:val="003D5EE1"/>
    <w:rsid w:val="003D63C7"/>
    <w:rsid w:val="003D6976"/>
    <w:rsid w:val="003D6D44"/>
    <w:rsid w:val="003D6E62"/>
    <w:rsid w:val="003D7366"/>
    <w:rsid w:val="003D7475"/>
    <w:rsid w:val="003D7FE4"/>
    <w:rsid w:val="003E0290"/>
    <w:rsid w:val="003E047D"/>
    <w:rsid w:val="003E04B8"/>
    <w:rsid w:val="003E071C"/>
    <w:rsid w:val="003E0735"/>
    <w:rsid w:val="003E0C9A"/>
    <w:rsid w:val="003E127D"/>
    <w:rsid w:val="003E15F2"/>
    <w:rsid w:val="003E18B4"/>
    <w:rsid w:val="003E1A62"/>
    <w:rsid w:val="003E1C78"/>
    <w:rsid w:val="003E21FE"/>
    <w:rsid w:val="003E2327"/>
    <w:rsid w:val="003E267C"/>
    <w:rsid w:val="003E2949"/>
    <w:rsid w:val="003E2CE0"/>
    <w:rsid w:val="003E2D57"/>
    <w:rsid w:val="003E3340"/>
    <w:rsid w:val="003E336C"/>
    <w:rsid w:val="003E3534"/>
    <w:rsid w:val="003E398B"/>
    <w:rsid w:val="003E3BBE"/>
    <w:rsid w:val="003E3CA6"/>
    <w:rsid w:val="003E3D50"/>
    <w:rsid w:val="003E3F37"/>
    <w:rsid w:val="003E43F7"/>
    <w:rsid w:val="003E453A"/>
    <w:rsid w:val="003E473F"/>
    <w:rsid w:val="003E492E"/>
    <w:rsid w:val="003E4A61"/>
    <w:rsid w:val="003E4BBF"/>
    <w:rsid w:val="003E4BCC"/>
    <w:rsid w:val="003E4DEC"/>
    <w:rsid w:val="003E4E9F"/>
    <w:rsid w:val="003E52D5"/>
    <w:rsid w:val="003E57E7"/>
    <w:rsid w:val="003E5BDB"/>
    <w:rsid w:val="003E5CC7"/>
    <w:rsid w:val="003E640A"/>
    <w:rsid w:val="003E68E2"/>
    <w:rsid w:val="003E68E8"/>
    <w:rsid w:val="003E6E3E"/>
    <w:rsid w:val="003E6F4D"/>
    <w:rsid w:val="003E6FF1"/>
    <w:rsid w:val="003E718E"/>
    <w:rsid w:val="003E7434"/>
    <w:rsid w:val="003E78B5"/>
    <w:rsid w:val="003E7A49"/>
    <w:rsid w:val="003E7F21"/>
    <w:rsid w:val="003F0088"/>
    <w:rsid w:val="003F09BF"/>
    <w:rsid w:val="003F0D0C"/>
    <w:rsid w:val="003F0DF9"/>
    <w:rsid w:val="003F10AF"/>
    <w:rsid w:val="003F10FF"/>
    <w:rsid w:val="003F122C"/>
    <w:rsid w:val="003F13F9"/>
    <w:rsid w:val="003F1830"/>
    <w:rsid w:val="003F1926"/>
    <w:rsid w:val="003F1AAE"/>
    <w:rsid w:val="003F1BA0"/>
    <w:rsid w:val="003F1D8F"/>
    <w:rsid w:val="003F1E8C"/>
    <w:rsid w:val="003F214B"/>
    <w:rsid w:val="003F248D"/>
    <w:rsid w:val="003F24DF"/>
    <w:rsid w:val="003F27A1"/>
    <w:rsid w:val="003F2829"/>
    <w:rsid w:val="003F297B"/>
    <w:rsid w:val="003F2EF0"/>
    <w:rsid w:val="003F2F7D"/>
    <w:rsid w:val="003F327C"/>
    <w:rsid w:val="003F3ADE"/>
    <w:rsid w:val="003F3C56"/>
    <w:rsid w:val="003F3CCB"/>
    <w:rsid w:val="003F3E00"/>
    <w:rsid w:val="003F3E9C"/>
    <w:rsid w:val="003F3F4B"/>
    <w:rsid w:val="003F3F85"/>
    <w:rsid w:val="003F4196"/>
    <w:rsid w:val="003F4340"/>
    <w:rsid w:val="003F468A"/>
    <w:rsid w:val="003F46AF"/>
    <w:rsid w:val="003F4816"/>
    <w:rsid w:val="003F50CA"/>
    <w:rsid w:val="003F52AB"/>
    <w:rsid w:val="003F588A"/>
    <w:rsid w:val="003F5A5F"/>
    <w:rsid w:val="003F5A6C"/>
    <w:rsid w:val="003F5D6E"/>
    <w:rsid w:val="003F5D97"/>
    <w:rsid w:val="003F5DCC"/>
    <w:rsid w:val="003F6331"/>
    <w:rsid w:val="003F6477"/>
    <w:rsid w:val="003F6582"/>
    <w:rsid w:val="003F658E"/>
    <w:rsid w:val="003F6722"/>
    <w:rsid w:val="003F6D76"/>
    <w:rsid w:val="003F6ED8"/>
    <w:rsid w:val="003F73FB"/>
    <w:rsid w:val="003F74AA"/>
    <w:rsid w:val="003F7693"/>
    <w:rsid w:val="003F7B66"/>
    <w:rsid w:val="003F7E29"/>
    <w:rsid w:val="00400262"/>
    <w:rsid w:val="004003B7"/>
    <w:rsid w:val="0040097B"/>
    <w:rsid w:val="00400B9B"/>
    <w:rsid w:val="00400FA1"/>
    <w:rsid w:val="004011AE"/>
    <w:rsid w:val="004017D5"/>
    <w:rsid w:val="004018AF"/>
    <w:rsid w:val="004019DC"/>
    <w:rsid w:val="00401D5B"/>
    <w:rsid w:val="00401DCE"/>
    <w:rsid w:val="00401E00"/>
    <w:rsid w:val="00401EE5"/>
    <w:rsid w:val="004020DB"/>
    <w:rsid w:val="0040214B"/>
    <w:rsid w:val="00402D2E"/>
    <w:rsid w:val="00402F6F"/>
    <w:rsid w:val="00403246"/>
    <w:rsid w:val="00403306"/>
    <w:rsid w:val="00403487"/>
    <w:rsid w:val="00403543"/>
    <w:rsid w:val="0040398D"/>
    <w:rsid w:val="00403D65"/>
    <w:rsid w:val="00404009"/>
    <w:rsid w:val="00404022"/>
    <w:rsid w:val="00404516"/>
    <w:rsid w:val="004046E0"/>
    <w:rsid w:val="004048DB"/>
    <w:rsid w:val="00404C12"/>
    <w:rsid w:val="00404ED6"/>
    <w:rsid w:val="00405264"/>
    <w:rsid w:val="00405466"/>
    <w:rsid w:val="0040573B"/>
    <w:rsid w:val="004058C2"/>
    <w:rsid w:val="0040596C"/>
    <w:rsid w:val="004061A5"/>
    <w:rsid w:val="004061C7"/>
    <w:rsid w:val="0040634A"/>
    <w:rsid w:val="0040663B"/>
    <w:rsid w:val="00406654"/>
    <w:rsid w:val="004068F9"/>
    <w:rsid w:val="0040697D"/>
    <w:rsid w:val="00406A8D"/>
    <w:rsid w:val="00406AED"/>
    <w:rsid w:val="00406D40"/>
    <w:rsid w:val="00406D4B"/>
    <w:rsid w:val="00406D5D"/>
    <w:rsid w:val="00407449"/>
    <w:rsid w:val="00407652"/>
    <w:rsid w:val="00407989"/>
    <w:rsid w:val="00407A9C"/>
    <w:rsid w:val="00407BD8"/>
    <w:rsid w:val="00407F1E"/>
    <w:rsid w:val="004102E7"/>
    <w:rsid w:val="004103C5"/>
    <w:rsid w:val="004103C6"/>
    <w:rsid w:val="0041042C"/>
    <w:rsid w:val="00410704"/>
    <w:rsid w:val="0041074E"/>
    <w:rsid w:val="004108A2"/>
    <w:rsid w:val="0041100D"/>
    <w:rsid w:val="00411345"/>
    <w:rsid w:val="0041158F"/>
    <w:rsid w:val="00411622"/>
    <w:rsid w:val="00411C51"/>
    <w:rsid w:val="00411C97"/>
    <w:rsid w:val="00412370"/>
    <w:rsid w:val="00412407"/>
    <w:rsid w:val="00412822"/>
    <w:rsid w:val="00412888"/>
    <w:rsid w:val="00412898"/>
    <w:rsid w:val="004129EE"/>
    <w:rsid w:val="004131A5"/>
    <w:rsid w:val="00413259"/>
    <w:rsid w:val="00413479"/>
    <w:rsid w:val="00413A54"/>
    <w:rsid w:val="00413EA1"/>
    <w:rsid w:val="00413F5B"/>
    <w:rsid w:val="00414024"/>
    <w:rsid w:val="00414275"/>
    <w:rsid w:val="00414388"/>
    <w:rsid w:val="004145ED"/>
    <w:rsid w:val="0041468C"/>
    <w:rsid w:val="00414881"/>
    <w:rsid w:val="004148E1"/>
    <w:rsid w:val="00414B86"/>
    <w:rsid w:val="00414BB9"/>
    <w:rsid w:val="00414C52"/>
    <w:rsid w:val="00414FDF"/>
    <w:rsid w:val="0041585A"/>
    <w:rsid w:val="0041593B"/>
    <w:rsid w:val="00415BAB"/>
    <w:rsid w:val="00415C6A"/>
    <w:rsid w:val="00415ED2"/>
    <w:rsid w:val="00415FAC"/>
    <w:rsid w:val="004165DF"/>
    <w:rsid w:val="004166D2"/>
    <w:rsid w:val="00416839"/>
    <w:rsid w:val="00416AAE"/>
    <w:rsid w:val="00416B3D"/>
    <w:rsid w:val="00416F45"/>
    <w:rsid w:val="00416FD1"/>
    <w:rsid w:val="00417041"/>
    <w:rsid w:val="00417146"/>
    <w:rsid w:val="0041768C"/>
    <w:rsid w:val="004176F6"/>
    <w:rsid w:val="00417D7B"/>
    <w:rsid w:val="00417F31"/>
    <w:rsid w:val="0042009F"/>
    <w:rsid w:val="0042068C"/>
    <w:rsid w:val="004207DF"/>
    <w:rsid w:val="00421562"/>
    <w:rsid w:val="00421643"/>
    <w:rsid w:val="004219A9"/>
    <w:rsid w:val="004219DC"/>
    <w:rsid w:val="00421A0D"/>
    <w:rsid w:val="00421D80"/>
    <w:rsid w:val="004220B8"/>
    <w:rsid w:val="004220EA"/>
    <w:rsid w:val="0042211E"/>
    <w:rsid w:val="004222A7"/>
    <w:rsid w:val="00422466"/>
    <w:rsid w:val="004224BE"/>
    <w:rsid w:val="00422509"/>
    <w:rsid w:val="004225E8"/>
    <w:rsid w:val="004228CD"/>
    <w:rsid w:val="004228F0"/>
    <w:rsid w:val="00422D86"/>
    <w:rsid w:val="004230FE"/>
    <w:rsid w:val="004231B4"/>
    <w:rsid w:val="004232E6"/>
    <w:rsid w:val="00423417"/>
    <w:rsid w:val="004239AF"/>
    <w:rsid w:val="004239E6"/>
    <w:rsid w:val="00423AD3"/>
    <w:rsid w:val="00423B45"/>
    <w:rsid w:val="00423BE8"/>
    <w:rsid w:val="00423DC0"/>
    <w:rsid w:val="0042409B"/>
    <w:rsid w:val="004242BC"/>
    <w:rsid w:val="0042441F"/>
    <w:rsid w:val="00424708"/>
    <w:rsid w:val="00424B18"/>
    <w:rsid w:val="004254DA"/>
    <w:rsid w:val="004259C5"/>
    <w:rsid w:val="00425CE0"/>
    <w:rsid w:val="00425FB3"/>
    <w:rsid w:val="00426186"/>
    <w:rsid w:val="00426340"/>
    <w:rsid w:val="004264BB"/>
    <w:rsid w:val="0042660D"/>
    <w:rsid w:val="00426C7D"/>
    <w:rsid w:val="00426E75"/>
    <w:rsid w:val="00427037"/>
    <w:rsid w:val="0042725B"/>
    <w:rsid w:val="004275EC"/>
    <w:rsid w:val="00427C0B"/>
    <w:rsid w:val="00427C44"/>
    <w:rsid w:val="0043033F"/>
    <w:rsid w:val="00430405"/>
    <w:rsid w:val="004304BC"/>
    <w:rsid w:val="004306C4"/>
    <w:rsid w:val="004309C4"/>
    <w:rsid w:val="00431014"/>
    <w:rsid w:val="00431440"/>
    <w:rsid w:val="0043158F"/>
    <w:rsid w:val="004316DF"/>
    <w:rsid w:val="00431C56"/>
    <w:rsid w:val="00431F80"/>
    <w:rsid w:val="00432113"/>
    <w:rsid w:val="004321AF"/>
    <w:rsid w:val="0043250A"/>
    <w:rsid w:val="004326D9"/>
    <w:rsid w:val="00432C34"/>
    <w:rsid w:val="0043307F"/>
    <w:rsid w:val="0043347C"/>
    <w:rsid w:val="00433AC9"/>
    <w:rsid w:val="00433F36"/>
    <w:rsid w:val="004340CA"/>
    <w:rsid w:val="00434DA7"/>
    <w:rsid w:val="00434F1A"/>
    <w:rsid w:val="00435061"/>
    <w:rsid w:val="00435075"/>
    <w:rsid w:val="004351C1"/>
    <w:rsid w:val="004359E1"/>
    <w:rsid w:val="00435FB0"/>
    <w:rsid w:val="0043630A"/>
    <w:rsid w:val="00436618"/>
    <w:rsid w:val="0043694B"/>
    <w:rsid w:val="00436963"/>
    <w:rsid w:val="00436B0A"/>
    <w:rsid w:val="00436F01"/>
    <w:rsid w:val="00437369"/>
    <w:rsid w:val="00437918"/>
    <w:rsid w:val="00437AC9"/>
    <w:rsid w:val="00437C60"/>
    <w:rsid w:val="00437C8A"/>
    <w:rsid w:val="00437DB0"/>
    <w:rsid w:val="00437E97"/>
    <w:rsid w:val="00440106"/>
    <w:rsid w:val="00440513"/>
    <w:rsid w:val="00440A54"/>
    <w:rsid w:val="00440C05"/>
    <w:rsid w:val="00440C18"/>
    <w:rsid w:val="00440C55"/>
    <w:rsid w:val="004411C2"/>
    <w:rsid w:val="004411F3"/>
    <w:rsid w:val="00441764"/>
    <w:rsid w:val="0044198A"/>
    <w:rsid w:val="00441AFB"/>
    <w:rsid w:val="00441BF8"/>
    <w:rsid w:val="00441DA4"/>
    <w:rsid w:val="00441EA4"/>
    <w:rsid w:val="00441EBA"/>
    <w:rsid w:val="0044208B"/>
    <w:rsid w:val="004421A1"/>
    <w:rsid w:val="004421B7"/>
    <w:rsid w:val="00442210"/>
    <w:rsid w:val="0044228D"/>
    <w:rsid w:val="00442860"/>
    <w:rsid w:val="00442D4A"/>
    <w:rsid w:val="00442DB6"/>
    <w:rsid w:val="00442E5C"/>
    <w:rsid w:val="00442E69"/>
    <w:rsid w:val="00442E8A"/>
    <w:rsid w:val="00442F4C"/>
    <w:rsid w:val="0044303A"/>
    <w:rsid w:val="0044318E"/>
    <w:rsid w:val="004431EE"/>
    <w:rsid w:val="004433BF"/>
    <w:rsid w:val="004434F7"/>
    <w:rsid w:val="00443619"/>
    <w:rsid w:val="00443828"/>
    <w:rsid w:val="00443ADC"/>
    <w:rsid w:val="00443B35"/>
    <w:rsid w:val="00443DA3"/>
    <w:rsid w:val="00443F8B"/>
    <w:rsid w:val="00444588"/>
    <w:rsid w:val="00444776"/>
    <w:rsid w:val="00444B92"/>
    <w:rsid w:val="004452DF"/>
    <w:rsid w:val="004455B6"/>
    <w:rsid w:val="00445797"/>
    <w:rsid w:val="00445BBA"/>
    <w:rsid w:val="00445CD0"/>
    <w:rsid w:val="00446168"/>
    <w:rsid w:val="00446479"/>
    <w:rsid w:val="004469DF"/>
    <w:rsid w:val="004472B4"/>
    <w:rsid w:val="00447576"/>
    <w:rsid w:val="004477E3"/>
    <w:rsid w:val="00447A62"/>
    <w:rsid w:val="00447B18"/>
    <w:rsid w:val="00447D5B"/>
    <w:rsid w:val="00447E61"/>
    <w:rsid w:val="004500E0"/>
    <w:rsid w:val="00450104"/>
    <w:rsid w:val="004502ED"/>
    <w:rsid w:val="0045039C"/>
    <w:rsid w:val="004507B1"/>
    <w:rsid w:val="0045087D"/>
    <w:rsid w:val="00450EA4"/>
    <w:rsid w:val="00450F92"/>
    <w:rsid w:val="00451690"/>
    <w:rsid w:val="0045173E"/>
    <w:rsid w:val="004517F8"/>
    <w:rsid w:val="00451BBF"/>
    <w:rsid w:val="00451C7A"/>
    <w:rsid w:val="00451DAA"/>
    <w:rsid w:val="00451F50"/>
    <w:rsid w:val="00452113"/>
    <w:rsid w:val="00452507"/>
    <w:rsid w:val="00452705"/>
    <w:rsid w:val="00452B78"/>
    <w:rsid w:val="00452DA3"/>
    <w:rsid w:val="00453011"/>
    <w:rsid w:val="0045383F"/>
    <w:rsid w:val="00453971"/>
    <w:rsid w:val="00453B14"/>
    <w:rsid w:val="00453E7C"/>
    <w:rsid w:val="0045408A"/>
    <w:rsid w:val="0045414E"/>
    <w:rsid w:val="00454334"/>
    <w:rsid w:val="004547E1"/>
    <w:rsid w:val="00454A67"/>
    <w:rsid w:val="00454DD9"/>
    <w:rsid w:val="00454E5F"/>
    <w:rsid w:val="00455259"/>
    <w:rsid w:val="00455289"/>
    <w:rsid w:val="0045532F"/>
    <w:rsid w:val="00455668"/>
    <w:rsid w:val="00455A24"/>
    <w:rsid w:val="00455B5B"/>
    <w:rsid w:val="00455C30"/>
    <w:rsid w:val="00455DE2"/>
    <w:rsid w:val="00455E28"/>
    <w:rsid w:val="00456466"/>
    <w:rsid w:val="004564C3"/>
    <w:rsid w:val="004565A8"/>
    <w:rsid w:val="00456CBB"/>
    <w:rsid w:val="00456FA9"/>
    <w:rsid w:val="0045700E"/>
    <w:rsid w:val="00457760"/>
    <w:rsid w:val="004577A0"/>
    <w:rsid w:val="00457B11"/>
    <w:rsid w:val="00457C49"/>
    <w:rsid w:val="004605CB"/>
    <w:rsid w:val="0046060C"/>
    <w:rsid w:val="004606B7"/>
    <w:rsid w:val="00460A2F"/>
    <w:rsid w:val="00460D2A"/>
    <w:rsid w:val="00460F4C"/>
    <w:rsid w:val="004614F3"/>
    <w:rsid w:val="0046173C"/>
    <w:rsid w:val="00461930"/>
    <w:rsid w:val="00461949"/>
    <w:rsid w:val="00461B93"/>
    <w:rsid w:val="00461BFF"/>
    <w:rsid w:val="00462078"/>
    <w:rsid w:val="004622D6"/>
    <w:rsid w:val="0046231C"/>
    <w:rsid w:val="00462AB7"/>
    <w:rsid w:val="00462F7C"/>
    <w:rsid w:val="00463210"/>
    <w:rsid w:val="00463520"/>
    <w:rsid w:val="0046362A"/>
    <w:rsid w:val="00463906"/>
    <w:rsid w:val="00463A73"/>
    <w:rsid w:val="00463B90"/>
    <w:rsid w:val="00464066"/>
    <w:rsid w:val="00464135"/>
    <w:rsid w:val="0046427D"/>
    <w:rsid w:val="00464524"/>
    <w:rsid w:val="00464847"/>
    <w:rsid w:val="00464C49"/>
    <w:rsid w:val="00464CAD"/>
    <w:rsid w:val="00464DB4"/>
    <w:rsid w:val="00464E6A"/>
    <w:rsid w:val="00464EA2"/>
    <w:rsid w:val="004650A2"/>
    <w:rsid w:val="00465176"/>
    <w:rsid w:val="004652C9"/>
    <w:rsid w:val="0046552B"/>
    <w:rsid w:val="00465814"/>
    <w:rsid w:val="00465825"/>
    <w:rsid w:val="00465FBA"/>
    <w:rsid w:val="0046639A"/>
    <w:rsid w:val="00466485"/>
    <w:rsid w:val="004665CB"/>
    <w:rsid w:val="00466649"/>
    <w:rsid w:val="00466740"/>
    <w:rsid w:val="00466C5E"/>
    <w:rsid w:val="00466E1D"/>
    <w:rsid w:val="00467213"/>
    <w:rsid w:val="00467253"/>
    <w:rsid w:val="00467862"/>
    <w:rsid w:val="004701BA"/>
    <w:rsid w:val="00470286"/>
    <w:rsid w:val="00470631"/>
    <w:rsid w:val="0047065A"/>
    <w:rsid w:val="004706A6"/>
    <w:rsid w:val="004706E5"/>
    <w:rsid w:val="00470716"/>
    <w:rsid w:val="0047082F"/>
    <w:rsid w:val="00470B2C"/>
    <w:rsid w:val="0047122B"/>
    <w:rsid w:val="00471304"/>
    <w:rsid w:val="00471357"/>
    <w:rsid w:val="00471773"/>
    <w:rsid w:val="00471787"/>
    <w:rsid w:val="004719F3"/>
    <w:rsid w:val="00471A77"/>
    <w:rsid w:val="00471B4B"/>
    <w:rsid w:val="004721E3"/>
    <w:rsid w:val="00472319"/>
    <w:rsid w:val="0047244E"/>
    <w:rsid w:val="004725D5"/>
    <w:rsid w:val="004728E2"/>
    <w:rsid w:val="00472ACA"/>
    <w:rsid w:val="00472B11"/>
    <w:rsid w:val="00472E1D"/>
    <w:rsid w:val="00472E58"/>
    <w:rsid w:val="00472F3D"/>
    <w:rsid w:val="00473038"/>
    <w:rsid w:val="0047304B"/>
    <w:rsid w:val="00473051"/>
    <w:rsid w:val="0047310E"/>
    <w:rsid w:val="00473388"/>
    <w:rsid w:val="00473913"/>
    <w:rsid w:val="00473B7A"/>
    <w:rsid w:val="00473BBF"/>
    <w:rsid w:val="00473FD6"/>
    <w:rsid w:val="004746F6"/>
    <w:rsid w:val="00474BAC"/>
    <w:rsid w:val="00474D40"/>
    <w:rsid w:val="00474D42"/>
    <w:rsid w:val="00474DC2"/>
    <w:rsid w:val="004750A6"/>
    <w:rsid w:val="0047528B"/>
    <w:rsid w:val="004757A4"/>
    <w:rsid w:val="00475975"/>
    <w:rsid w:val="00475F38"/>
    <w:rsid w:val="004762CE"/>
    <w:rsid w:val="00476480"/>
    <w:rsid w:val="00476BE4"/>
    <w:rsid w:val="00476CAB"/>
    <w:rsid w:val="00476E0E"/>
    <w:rsid w:val="004773CD"/>
    <w:rsid w:val="004774F6"/>
    <w:rsid w:val="0047793D"/>
    <w:rsid w:val="00477D30"/>
    <w:rsid w:val="00477D65"/>
    <w:rsid w:val="0048025A"/>
    <w:rsid w:val="004803A1"/>
    <w:rsid w:val="00480A41"/>
    <w:rsid w:val="00480F44"/>
    <w:rsid w:val="004810ED"/>
    <w:rsid w:val="00481700"/>
    <w:rsid w:val="00481A27"/>
    <w:rsid w:val="00481C06"/>
    <w:rsid w:val="00482104"/>
    <w:rsid w:val="00482739"/>
    <w:rsid w:val="0048280A"/>
    <w:rsid w:val="00482ACA"/>
    <w:rsid w:val="00482B07"/>
    <w:rsid w:val="00482E08"/>
    <w:rsid w:val="00482FCF"/>
    <w:rsid w:val="0048340A"/>
    <w:rsid w:val="0048358F"/>
    <w:rsid w:val="0048365B"/>
    <w:rsid w:val="00483807"/>
    <w:rsid w:val="00483BD4"/>
    <w:rsid w:val="00483C9F"/>
    <w:rsid w:val="00483CC7"/>
    <w:rsid w:val="00483E37"/>
    <w:rsid w:val="004842F4"/>
    <w:rsid w:val="004843F7"/>
    <w:rsid w:val="004845D5"/>
    <w:rsid w:val="004847C1"/>
    <w:rsid w:val="00484D7F"/>
    <w:rsid w:val="004850F9"/>
    <w:rsid w:val="0048528A"/>
    <w:rsid w:val="0048528D"/>
    <w:rsid w:val="00485510"/>
    <w:rsid w:val="00485591"/>
    <w:rsid w:val="0048595C"/>
    <w:rsid w:val="004859B3"/>
    <w:rsid w:val="00485AD9"/>
    <w:rsid w:val="00485C46"/>
    <w:rsid w:val="00485DF7"/>
    <w:rsid w:val="00485EA8"/>
    <w:rsid w:val="00485F14"/>
    <w:rsid w:val="00485F7F"/>
    <w:rsid w:val="004861AB"/>
    <w:rsid w:val="0048699C"/>
    <w:rsid w:val="00486A76"/>
    <w:rsid w:val="00486AE8"/>
    <w:rsid w:val="00486B2C"/>
    <w:rsid w:val="00486D6A"/>
    <w:rsid w:val="004872FE"/>
    <w:rsid w:val="00487815"/>
    <w:rsid w:val="00490450"/>
    <w:rsid w:val="00490473"/>
    <w:rsid w:val="004905D8"/>
    <w:rsid w:val="00490639"/>
    <w:rsid w:val="0049063D"/>
    <w:rsid w:val="004908FB"/>
    <w:rsid w:val="004909A7"/>
    <w:rsid w:val="00490C13"/>
    <w:rsid w:val="00490C46"/>
    <w:rsid w:val="00490CD1"/>
    <w:rsid w:val="00490DA6"/>
    <w:rsid w:val="00491226"/>
    <w:rsid w:val="00491296"/>
    <w:rsid w:val="004912FB"/>
    <w:rsid w:val="0049142D"/>
    <w:rsid w:val="00491BAF"/>
    <w:rsid w:val="00491C22"/>
    <w:rsid w:val="00491FE7"/>
    <w:rsid w:val="004926A8"/>
    <w:rsid w:val="00492906"/>
    <w:rsid w:val="00492CCB"/>
    <w:rsid w:val="00492D55"/>
    <w:rsid w:val="00492E4F"/>
    <w:rsid w:val="00492EC9"/>
    <w:rsid w:val="0049323B"/>
    <w:rsid w:val="0049323C"/>
    <w:rsid w:val="00493329"/>
    <w:rsid w:val="00493519"/>
    <w:rsid w:val="00493589"/>
    <w:rsid w:val="0049390B"/>
    <w:rsid w:val="00493954"/>
    <w:rsid w:val="004945BF"/>
    <w:rsid w:val="004947F2"/>
    <w:rsid w:val="00494A44"/>
    <w:rsid w:val="00494BF2"/>
    <w:rsid w:val="00494D4A"/>
    <w:rsid w:val="00494E6D"/>
    <w:rsid w:val="0049502F"/>
    <w:rsid w:val="0049505E"/>
    <w:rsid w:val="004950FE"/>
    <w:rsid w:val="00495477"/>
    <w:rsid w:val="0049554F"/>
    <w:rsid w:val="004955BA"/>
    <w:rsid w:val="00495E6B"/>
    <w:rsid w:val="004960D9"/>
    <w:rsid w:val="004960E9"/>
    <w:rsid w:val="00496284"/>
    <w:rsid w:val="00496327"/>
    <w:rsid w:val="00496584"/>
    <w:rsid w:val="004965A3"/>
    <w:rsid w:val="004965F5"/>
    <w:rsid w:val="00496729"/>
    <w:rsid w:val="00496A8C"/>
    <w:rsid w:val="00496D01"/>
    <w:rsid w:val="00496E73"/>
    <w:rsid w:val="00496F84"/>
    <w:rsid w:val="0049707D"/>
    <w:rsid w:val="004972E5"/>
    <w:rsid w:val="00497627"/>
    <w:rsid w:val="00497670"/>
    <w:rsid w:val="004976AB"/>
    <w:rsid w:val="004976F0"/>
    <w:rsid w:val="004977B8"/>
    <w:rsid w:val="004978AD"/>
    <w:rsid w:val="00497B0C"/>
    <w:rsid w:val="00497D05"/>
    <w:rsid w:val="00497E2A"/>
    <w:rsid w:val="00497F9B"/>
    <w:rsid w:val="004A0073"/>
    <w:rsid w:val="004A04FE"/>
    <w:rsid w:val="004A0A13"/>
    <w:rsid w:val="004A1326"/>
    <w:rsid w:val="004A1783"/>
    <w:rsid w:val="004A1A77"/>
    <w:rsid w:val="004A1AA4"/>
    <w:rsid w:val="004A1C10"/>
    <w:rsid w:val="004A1C2F"/>
    <w:rsid w:val="004A1FA5"/>
    <w:rsid w:val="004A209D"/>
    <w:rsid w:val="004A2309"/>
    <w:rsid w:val="004A230B"/>
    <w:rsid w:val="004A2350"/>
    <w:rsid w:val="004A2496"/>
    <w:rsid w:val="004A25F9"/>
    <w:rsid w:val="004A26A8"/>
    <w:rsid w:val="004A2885"/>
    <w:rsid w:val="004A2A57"/>
    <w:rsid w:val="004A2ADC"/>
    <w:rsid w:val="004A2B5F"/>
    <w:rsid w:val="004A2E88"/>
    <w:rsid w:val="004A2F7E"/>
    <w:rsid w:val="004A30A2"/>
    <w:rsid w:val="004A3232"/>
    <w:rsid w:val="004A3642"/>
    <w:rsid w:val="004A372F"/>
    <w:rsid w:val="004A37E6"/>
    <w:rsid w:val="004A3A9D"/>
    <w:rsid w:val="004A3D15"/>
    <w:rsid w:val="004A3F9C"/>
    <w:rsid w:val="004A40CF"/>
    <w:rsid w:val="004A41AD"/>
    <w:rsid w:val="004A46C3"/>
    <w:rsid w:val="004A4C71"/>
    <w:rsid w:val="004A4DD6"/>
    <w:rsid w:val="004A4FF1"/>
    <w:rsid w:val="004A5305"/>
    <w:rsid w:val="004A5763"/>
    <w:rsid w:val="004A5CAC"/>
    <w:rsid w:val="004A6539"/>
    <w:rsid w:val="004A67AD"/>
    <w:rsid w:val="004A7105"/>
    <w:rsid w:val="004A715D"/>
    <w:rsid w:val="004A7166"/>
    <w:rsid w:val="004A73F3"/>
    <w:rsid w:val="004A7445"/>
    <w:rsid w:val="004A78BE"/>
    <w:rsid w:val="004B01D2"/>
    <w:rsid w:val="004B06C0"/>
    <w:rsid w:val="004B0731"/>
    <w:rsid w:val="004B0805"/>
    <w:rsid w:val="004B0C53"/>
    <w:rsid w:val="004B0CC2"/>
    <w:rsid w:val="004B0D0A"/>
    <w:rsid w:val="004B0D26"/>
    <w:rsid w:val="004B0DC0"/>
    <w:rsid w:val="004B0E7D"/>
    <w:rsid w:val="004B1462"/>
    <w:rsid w:val="004B15DF"/>
    <w:rsid w:val="004B166D"/>
    <w:rsid w:val="004B1B11"/>
    <w:rsid w:val="004B1C18"/>
    <w:rsid w:val="004B1F7E"/>
    <w:rsid w:val="004B2780"/>
    <w:rsid w:val="004B2B9D"/>
    <w:rsid w:val="004B3471"/>
    <w:rsid w:val="004B3632"/>
    <w:rsid w:val="004B3833"/>
    <w:rsid w:val="004B3FA4"/>
    <w:rsid w:val="004B42BE"/>
    <w:rsid w:val="004B44BC"/>
    <w:rsid w:val="004B474F"/>
    <w:rsid w:val="004B4865"/>
    <w:rsid w:val="004B49DF"/>
    <w:rsid w:val="004B4E52"/>
    <w:rsid w:val="004B5158"/>
    <w:rsid w:val="004B523D"/>
    <w:rsid w:val="004B57EE"/>
    <w:rsid w:val="004B5944"/>
    <w:rsid w:val="004B5B56"/>
    <w:rsid w:val="004B5BC6"/>
    <w:rsid w:val="004B5F08"/>
    <w:rsid w:val="004B5F5F"/>
    <w:rsid w:val="004B6060"/>
    <w:rsid w:val="004B6169"/>
    <w:rsid w:val="004B624A"/>
    <w:rsid w:val="004B6319"/>
    <w:rsid w:val="004B6701"/>
    <w:rsid w:val="004B681B"/>
    <w:rsid w:val="004B6A0F"/>
    <w:rsid w:val="004B6D7D"/>
    <w:rsid w:val="004B747A"/>
    <w:rsid w:val="004B76F8"/>
    <w:rsid w:val="004B7742"/>
    <w:rsid w:val="004B7A91"/>
    <w:rsid w:val="004B7AB9"/>
    <w:rsid w:val="004B7AE9"/>
    <w:rsid w:val="004B7C26"/>
    <w:rsid w:val="004B7FBD"/>
    <w:rsid w:val="004C0082"/>
    <w:rsid w:val="004C017A"/>
    <w:rsid w:val="004C0221"/>
    <w:rsid w:val="004C0270"/>
    <w:rsid w:val="004C04B4"/>
    <w:rsid w:val="004C0C6C"/>
    <w:rsid w:val="004C0E24"/>
    <w:rsid w:val="004C0F9C"/>
    <w:rsid w:val="004C1027"/>
    <w:rsid w:val="004C1396"/>
    <w:rsid w:val="004C13E4"/>
    <w:rsid w:val="004C16DB"/>
    <w:rsid w:val="004C1754"/>
    <w:rsid w:val="004C1A15"/>
    <w:rsid w:val="004C1AE9"/>
    <w:rsid w:val="004C225C"/>
    <w:rsid w:val="004C2314"/>
    <w:rsid w:val="004C2565"/>
    <w:rsid w:val="004C28A8"/>
    <w:rsid w:val="004C2908"/>
    <w:rsid w:val="004C29AB"/>
    <w:rsid w:val="004C2A7F"/>
    <w:rsid w:val="004C304B"/>
    <w:rsid w:val="004C3315"/>
    <w:rsid w:val="004C341E"/>
    <w:rsid w:val="004C3421"/>
    <w:rsid w:val="004C3578"/>
    <w:rsid w:val="004C37E4"/>
    <w:rsid w:val="004C3914"/>
    <w:rsid w:val="004C3A7C"/>
    <w:rsid w:val="004C3B5D"/>
    <w:rsid w:val="004C424F"/>
    <w:rsid w:val="004C44CE"/>
    <w:rsid w:val="004C4550"/>
    <w:rsid w:val="004C460D"/>
    <w:rsid w:val="004C4A35"/>
    <w:rsid w:val="004C4D3C"/>
    <w:rsid w:val="004C4F8D"/>
    <w:rsid w:val="004C531E"/>
    <w:rsid w:val="004C558C"/>
    <w:rsid w:val="004C570A"/>
    <w:rsid w:val="004C584E"/>
    <w:rsid w:val="004C589A"/>
    <w:rsid w:val="004C5994"/>
    <w:rsid w:val="004C5D62"/>
    <w:rsid w:val="004C621B"/>
    <w:rsid w:val="004C678A"/>
    <w:rsid w:val="004C69AB"/>
    <w:rsid w:val="004C6B46"/>
    <w:rsid w:val="004C6D14"/>
    <w:rsid w:val="004C734D"/>
    <w:rsid w:val="004C7492"/>
    <w:rsid w:val="004C74FA"/>
    <w:rsid w:val="004C75F0"/>
    <w:rsid w:val="004C7F90"/>
    <w:rsid w:val="004C7FF2"/>
    <w:rsid w:val="004D04C5"/>
    <w:rsid w:val="004D06F0"/>
    <w:rsid w:val="004D08BD"/>
    <w:rsid w:val="004D0991"/>
    <w:rsid w:val="004D0E58"/>
    <w:rsid w:val="004D0ED5"/>
    <w:rsid w:val="004D167D"/>
    <w:rsid w:val="004D179B"/>
    <w:rsid w:val="004D17ED"/>
    <w:rsid w:val="004D1ACC"/>
    <w:rsid w:val="004D1CFA"/>
    <w:rsid w:val="004D1D01"/>
    <w:rsid w:val="004D2070"/>
    <w:rsid w:val="004D2396"/>
    <w:rsid w:val="004D23F6"/>
    <w:rsid w:val="004D2434"/>
    <w:rsid w:val="004D2480"/>
    <w:rsid w:val="004D2689"/>
    <w:rsid w:val="004D2A39"/>
    <w:rsid w:val="004D2F5E"/>
    <w:rsid w:val="004D39CB"/>
    <w:rsid w:val="004D3B3E"/>
    <w:rsid w:val="004D434D"/>
    <w:rsid w:val="004D4478"/>
    <w:rsid w:val="004D468E"/>
    <w:rsid w:val="004D483B"/>
    <w:rsid w:val="004D4AF9"/>
    <w:rsid w:val="004D4B72"/>
    <w:rsid w:val="004D50C0"/>
    <w:rsid w:val="004D522C"/>
    <w:rsid w:val="004D5492"/>
    <w:rsid w:val="004D57BC"/>
    <w:rsid w:val="004D5B35"/>
    <w:rsid w:val="004D5E3D"/>
    <w:rsid w:val="004D5EAB"/>
    <w:rsid w:val="004D61E2"/>
    <w:rsid w:val="004D6252"/>
    <w:rsid w:val="004D6633"/>
    <w:rsid w:val="004D6A05"/>
    <w:rsid w:val="004D6A4A"/>
    <w:rsid w:val="004D6DAB"/>
    <w:rsid w:val="004D6E18"/>
    <w:rsid w:val="004D6F61"/>
    <w:rsid w:val="004D7178"/>
    <w:rsid w:val="004D71CC"/>
    <w:rsid w:val="004D7634"/>
    <w:rsid w:val="004D784F"/>
    <w:rsid w:val="004D7A72"/>
    <w:rsid w:val="004D7DC1"/>
    <w:rsid w:val="004D7F22"/>
    <w:rsid w:val="004E001D"/>
    <w:rsid w:val="004E058B"/>
    <w:rsid w:val="004E0701"/>
    <w:rsid w:val="004E0F99"/>
    <w:rsid w:val="004E10D7"/>
    <w:rsid w:val="004E11F9"/>
    <w:rsid w:val="004E12A4"/>
    <w:rsid w:val="004E168E"/>
    <w:rsid w:val="004E1747"/>
    <w:rsid w:val="004E1840"/>
    <w:rsid w:val="004E198F"/>
    <w:rsid w:val="004E1C6F"/>
    <w:rsid w:val="004E1F1F"/>
    <w:rsid w:val="004E1FFA"/>
    <w:rsid w:val="004E2085"/>
    <w:rsid w:val="004E210E"/>
    <w:rsid w:val="004E2131"/>
    <w:rsid w:val="004E217F"/>
    <w:rsid w:val="004E296E"/>
    <w:rsid w:val="004E2E16"/>
    <w:rsid w:val="004E2E6B"/>
    <w:rsid w:val="004E3255"/>
    <w:rsid w:val="004E366E"/>
    <w:rsid w:val="004E39A3"/>
    <w:rsid w:val="004E39C4"/>
    <w:rsid w:val="004E3B12"/>
    <w:rsid w:val="004E3BAF"/>
    <w:rsid w:val="004E3F53"/>
    <w:rsid w:val="004E3F58"/>
    <w:rsid w:val="004E4251"/>
    <w:rsid w:val="004E42A7"/>
    <w:rsid w:val="004E436B"/>
    <w:rsid w:val="004E4477"/>
    <w:rsid w:val="004E4587"/>
    <w:rsid w:val="004E48DC"/>
    <w:rsid w:val="004E4903"/>
    <w:rsid w:val="004E49AF"/>
    <w:rsid w:val="004E4D35"/>
    <w:rsid w:val="004E4DFE"/>
    <w:rsid w:val="004E5274"/>
    <w:rsid w:val="004E58A1"/>
    <w:rsid w:val="004E5B7A"/>
    <w:rsid w:val="004E5D5C"/>
    <w:rsid w:val="004E611A"/>
    <w:rsid w:val="004E63D1"/>
    <w:rsid w:val="004E6532"/>
    <w:rsid w:val="004E6649"/>
    <w:rsid w:val="004E6856"/>
    <w:rsid w:val="004E6CFC"/>
    <w:rsid w:val="004E703B"/>
    <w:rsid w:val="004E7090"/>
    <w:rsid w:val="004E7450"/>
    <w:rsid w:val="004E76E9"/>
    <w:rsid w:val="004E77B3"/>
    <w:rsid w:val="004E78B0"/>
    <w:rsid w:val="004E7B04"/>
    <w:rsid w:val="004E7CB7"/>
    <w:rsid w:val="004E7DDC"/>
    <w:rsid w:val="004E7F49"/>
    <w:rsid w:val="004F0103"/>
    <w:rsid w:val="004F016C"/>
    <w:rsid w:val="004F0818"/>
    <w:rsid w:val="004F0B5E"/>
    <w:rsid w:val="004F0C44"/>
    <w:rsid w:val="004F1623"/>
    <w:rsid w:val="004F1C86"/>
    <w:rsid w:val="004F1CF7"/>
    <w:rsid w:val="004F203C"/>
    <w:rsid w:val="004F2CEE"/>
    <w:rsid w:val="004F2DB8"/>
    <w:rsid w:val="004F3217"/>
    <w:rsid w:val="004F3234"/>
    <w:rsid w:val="004F33FA"/>
    <w:rsid w:val="004F3424"/>
    <w:rsid w:val="004F35D7"/>
    <w:rsid w:val="004F3768"/>
    <w:rsid w:val="004F3A4D"/>
    <w:rsid w:val="004F3A59"/>
    <w:rsid w:val="004F4029"/>
    <w:rsid w:val="004F40BA"/>
    <w:rsid w:val="004F4700"/>
    <w:rsid w:val="004F4754"/>
    <w:rsid w:val="004F4813"/>
    <w:rsid w:val="004F4A53"/>
    <w:rsid w:val="004F4D21"/>
    <w:rsid w:val="004F4FD2"/>
    <w:rsid w:val="004F520B"/>
    <w:rsid w:val="004F5262"/>
    <w:rsid w:val="004F5297"/>
    <w:rsid w:val="004F538D"/>
    <w:rsid w:val="004F557E"/>
    <w:rsid w:val="004F59D3"/>
    <w:rsid w:val="004F60D0"/>
    <w:rsid w:val="004F6391"/>
    <w:rsid w:val="004F65A0"/>
    <w:rsid w:val="004F682F"/>
    <w:rsid w:val="004F6955"/>
    <w:rsid w:val="004F7249"/>
    <w:rsid w:val="004F72AE"/>
    <w:rsid w:val="004F74E0"/>
    <w:rsid w:val="004F786C"/>
    <w:rsid w:val="004F79CB"/>
    <w:rsid w:val="004F7CB0"/>
    <w:rsid w:val="004F7D78"/>
    <w:rsid w:val="00500038"/>
    <w:rsid w:val="0050011D"/>
    <w:rsid w:val="005001AD"/>
    <w:rsid w:val="005003EF"/>
    <w:rsid w:val="0050057B"/>
    <w:rsid w:val="005008CF"/>
    <w:rsid w:val="00500CC0"/>
    <w:rsid w:val="00500D05"/>
    <w:rsid w:val="00500FC2"/>
    <w:rsid w:val="00501000"/>
    <w:rsid w:val="00501448"/>
    <w:rsid w:val="005014BD"/>
    <w:rsid w:val="00501843"/>
    <w:rsid w:val="005018B7"/>
    <w:rsid w:val="00501AD2"/>
    <w:rsid w:val="00501BEC"/>
    <w:rsid w:val="00501CA6"/>
    <w:rsid w:val="00501F24"/>
    <w:rsid w:val="0050279D"/>
    <w:rsid w:val="005027DA"/>
    <w:rsid w:val="00502A20"/>
    <w:rsid w:val="00502B6E"/>
    <w:rsid w:val="00502EE7"/>
    <w:rsid w:val="005030D7"/>
    <w:rsid w:val="00503467"/>
    <w:rsid w:val="0050384C"/>
    <w:rsid w:val="00503D30"/>
    <w:rsid w:val="00503E22"/>
    <w:rsid w:val="00503E92"/>
    <w:rsid w:val="00504395"/>
    <w:rsid w:val="00504438"/>
    <w:rsid w:val="0050445E"/>
    <w:rsid w:val="005048F1"/>
    <w:rsid w:val="00504A15"/>
    <w:rsid w:val="00504B1C"/>
    <w:rsid w:val="00504C02"/>
    <w:rsid w:val="00504DBA"/>
    <w:rsid w:val="005050D3"/>
    <w:rsid w:val="005053BD"/>
    <w:rsid w:val="005055E7"/>
    <w:rsid w:val="00505613"/>
    <w:rsid w:val="0050581D"/>
    <w:rsid w:val="00505AEA"/>
    <w:rsid w:val="00505D26"/>
    <w:rsid w:val="00506335"/>
    <w:rsid w:val="00506380"/>
    <w:rsid w:val="0050658A"/>
    <w:rsid w:val="00506C62"/>
    <w:rsid w:val="00506CF2"/>
    <w:rsid w:val="00506E5A"/>
    <w:rsid w:val="00506F04"/>
    <w:rsid w:val="005070D2"/>
    <w:rsid w:val="005074BF"/>
    <w:rsid w:val="005075C3"/>
    <w:rsid w:val="0050763F"/>
    <w:rsid w:val="00507A36"/>
    <w:rsid w:val="00507C79"/>
    <w:rsid w:val="005100DD"/>
    <w:rsid w:val="0051016E"/>
    <w:rsid w:val="0051057E"/>
    <w:rsid w:val="005105EA"/>
    <w:rsid w:val="00510610"/>
    <w:rsid w:val="0051068E"/>
    <w:rsid w:val="00510CDC"/>
    <w:rsid w:val="00510E8C"/>
    <w:rsid w:val="00511156"/>
    <w:rsid w:val="0051122E"/>
    <w:rsid w:val="00511360"/>
    <w:rsid w:val="005118A1"/>
    <w:rsid w:val="00511BF3"/>
    <w:rsid w:val="0051231F"/>
    <w:rsid w:val="005123CD"/>
    <w:rsid w:val="005129B7"/>
    <w:rsid w:val="00512A04"/>
    <w:rsid w:val="00512CDD"/>
    <w:rsid w:val="00512F13"/>
    <w:rsid w:val="00513254"/>
    <w:rsid w:val="00513455"/>
    <w:rsid w:val="005134B9"/>
    <w:rsid w:val="00513A49"/>
    <w:rsid w:val="00513B2F"/>
    <w:rsid w:val="005144DF"/>
    <w:rsid w:val="00514620"/>
    <w:rsid w:val="005146B5"/>
    <w:rsid w:val="0051488C"/>
    <w:rsid w:val="00514941"/>
    <w:rsid w:val="00514BF1"/>
    <w:rsid w:val="00514C8C"/>
    <w:rsid w:val="0051516F"/>
    <w:rsid w:val="00515654"/>
    <w:rsid w:val="005156F8"/>
    <w:rsid w:val="0051570F"/>
    <w:rsid w:val="00515A86"/>
    <w:rsid w:val="00515C3A"/>
    <w:rsid w:val="005168BF"/>
    <w:rsid w:val="005170EA"/>
    <w:rsid w:val="00517468"/>
    <w:rsid w:val="005175B6"/>
    <w:rsid w:val="005179C1"/>
    <w:rsid w:val="00517A1C"/>
    <w:rsid w:val="00517A92"/>
    <w:rsid w:val="00517B31"/>
    <w:rsid w:val="00517BBF"/>
    <w:rsid w:val="00517F2B"/>
    <w:rsid w:val="0052029D"/>
    <w:rsid w:val="005202D1"/>
    <w:rsid w:val="00520334"/>
    <w:rsid w:val="00520431"/>
    <w:rsid w:val="005206E3"/>
    <w:rsid w:val="00520A19"/>
    <w:rsid w:val="00520E6D"/>
    <w:rsid w:val="00521739"/>
    <w:rsid w:val="00521A4E"/>
    <w:rsid w:val="00521D7E"/>
    <w:rsid w:val="00521DA2"/>
    <w:rsid w:val="00521EBE"/>
    <w:rsid w:val="005220D8"/>
    <w:rsid w:val="0052221B"/>
    <w:rsid w:val="005228EE"/>
    <w:rsid w:val="00522ABA"/>
    <w:rsid w:val="00522C1C"/>
    <w:rsid w:val="00522CA9"/>
    <w:rsid w:val="00522E2E"/>
    <w:rsid w:val="00522EDB"/>
    <w:rsid w:val="0052323C"/>
    <w:rsid w:val="00523486"/>
    <w:rsid w:val="00523559"/>
    <w:rsid w:val="00523E15"/>
    <w:rsid w:val="00524036"/>
    <w:rsid w:val="005245FA"/>
    <w:rsid w:val="00524731"/>
    <w:rsid w:val="00524824"/>
    <w:rsid w:val="00524B87"/>
    <w:rsid w:val="00524BE8"/>
    <w:rsid w:val="00524BF8"/>
    <w:rsid w:val="00524D75"/>
    <w:rsid w:val="00525340"/>
    <w:rsid w:val="0052590D"/>
    <w:rsid w:val="00525E8D"/>
    <w:rsid w:val="00525ED0"/>
    <w:rsid w:val="00525F3C"/>
    <w:rsid w:val="00526312"/>
    <w:rsid w:val="005268CA"/>
    <w:rsid w:val="0052690C"/>
    <w:rsid w:val="00526AE5"/>
    <w:rsid w:val="00526C88"/>
    <w:rsid w:val="00526D67"/>
    <w:rsid w:val="00526DF5"/>
    <w:rsid w:val="00526E63"/>
    <w:rsid w:val="00526F3B"/>
    <w:rsid w:val="005273EE"/>
    <w:rsid w:val="0052746D"/>
    <w:rsid w:val="0052779D"/>
    <w:rsid w:val="0052789F"/>
    <w:rsid w:val="00527D47"/>
    <w:rsid w:val="00527D68"/>
    <w:rsid w:val="00527E94"/>
    <w:rsid w:val="00527FCE"/>
    <w:rsid w:val="0053006E"/>
    <w:rsid w:val="005300D3"/>
    <w:rsid w:val="0053016B"/>
    <w:rsid w:val="00530875"/>
    <w:rsid w:val="00530AA1"/>
    <w:rsid w:val="00530B0A"/>
    <w:rsid w:val="00530D22"/>
    <w:rsid w:val="0053108D"/>
    <w:rsid w:val="00531238"/>
    <w:rsid w:val="0053143C"/>
    <w:rsid w:val="00531842"/>
    <w:rsid w:val="00531A94"/>
    <w:rsid w:val="00531E77"/>
    <w:rsid w:val="00531F95"/>
    <w:rsid w:val="005326BE"/>
    <w:rsid w:val="005327E7"/>
    <w:rsid w:val="005327EE"/>
    <w:rsid w:val="005328C4"/>
    <w:rsid w:val="00532CDA"/>
    <w:rsid w:val="00532E62"/>
    <w:rsid w:val="005331DF"/>
    <w:rsid w:val="00533488"/>
    <w:rsid w:val="005334BE"/>
    <w:rsid w:val="00533528"/>
    <w:rsid w:val="00533603"/>
    <w:rsid w:val="0053384A"/>
    <w:rsid w:val="00533A76"/>
    <w:rsid w:val="00534402"/>
    <w:rsid w:val="00534673"/>
    <w:rsid w:val="005347DB"/>
    <w:rsid w:val="0053480C"/>
    <w:rsid w:val="00534CE8"/>
    <w:rsid w:val="00535998"/>
    <w:rsid w:val="00535EFA"/>
    <w:rsid w:val="00535F7A"/>
    <w:rsid w:val="005361BA"/>
    <w:rsid w:val="00536575"/>
    <w:rsid w:val="00536B97"/>
    <w:rsid w:val="00536F0D"/>
    <w:rsid w:val="005370E6"/>
    <w:rsid w:val="00537381"/>
    <w:rsid w:val="005375A5"/>
    <w:rsid w:val="005377FE"/>
    <w:rsid w:val="00537C4E"/>
    <w:rsid w:val="00537F0E"/>
    <w:rsid w:val="00540182"/>
    <w:rsid w:val="005402BE"/>
    <w:rsid w:val="0054063F"/>
    <w:rsid w:val="005406E9"/>
    <w:rsid w:val="00540762"/>
    <w:rsid w:val="005407AC"/>
    <w:rsid w:val="00540A5F"/>
    <w:rsid w:val="00540B9A"/>
    <w:rsid w:val="00541308"/>
    <w:rsid w:val="00541947"/>
    <w:rsid w:val="00541B3F"/>
    <w:rsid w:val="00541E5B"/>
    <w:rsid w:val="005421B6"/>
    <w:rsid w:val="0054231B"/>
    <w:rsid w:val="005423EB"/>
    <w:rsid w:val="00542464"/>
    <w:rsid w:val="00542821"/>
    <w:rsid w:val="00542958"/>
    <w:rsid w:val="00542FDE"/>
    <w:rsid w:val="005431FF"/>
    <w:rsid w:val="005434DC"/>
    <w:rsid w:val="0054374C"/>
    <w:rsid w:val="00543761"/>
    <w:rsid w:val="00543B97"/>
    <w:rsid w:val="00543D81"/>
    <w:rsid w:val="00544263"/>
    <w:rsid w:val="005443C6"/>
    <w:rsid w:val="00544BA0"/>
    <w:rsid w:val="00544BEA"/>
    <w:rsid w:val="00544C59"/>
    <w:rsid w:val="00544F82"/>
    <w:rsid w:val="00545058"/>
    <w:rsid w:val="0054520C"/>
    <w:rsid w:val="0054548F"/>
    <w:rsid w:val="005459E0"/>
    <w:rsid w:val="00545AA4"/>
    <w:rsid w:val="00545C2D"/>
    <w:rsid w:val="00545E52"/>
    <w:rsid w:val="00545F76"/>
    <w:rsid w:val="005461BF"/>
    <w:rsid w:val="005462B1"/>
    <w:rsid w:val="00546303"/>
    <w:rsid w:val="00546591"/>
    <w:rsid w:val="00546726"/>
    <w:rsid w:val="005468F2"/>
    <w:rsid w:val="00546F21"/>
    <w:rsid w:val="00547080"/>
    <w:rsid w:val="005470E0"/>
    <w:rsid w:val="00547119"/>
    <w:rsid w:val="0054719D"/>
    <w:rsid w:val="0054758D"/>
    <w:rsid w:val="00547622"/>
    <w:rsid w:val="005479CD"/>
    <w:rsid w:val="00547BCF"/>
    <w:rsid w:val="00547C49"/>
    <w:rsid w:val="00547E6A"/>
    <w:rsid w:val="00547E7A"/>
    <w:rsid w:val="00547EFC"/>
    <w:rsid w:val="005506E3"/>
    <w:rsid w:val="00550781"/>
    <w:rsid w:val="005507A3"/>
    <w:rsid w:val="005509CE"/>
    <w:rsid w:val="005509D2"/>
    <w:rsid w:val="00550D71"/>
    <w:rsid w:val="00550F90"/>
    <w:rsid w:val="00551583"/>
    <w:rsid w:val="005515E0"/>
    <w:rsid w:val="005516B5"/>
    <w:rsid w:val="005519A7"/>
    <w:rsid w:val="00551A1E"/>
    <w:rsid w:val="00551B2D"/>
    <w:rsid w:val="00551E7B"/>
    <w:rsid w:val="00551FD2"/>
    <w:rsid w:val="0055206E"/>
    <w:rsid w:val="0055247C"/>
    <w:rsid w:val="0055254B"/>
    <w:rsid w:val="00552EB3"/>
    <w:rsid w:val="0055320F"/>
    <w:rsid w:val="00553340"/>
    <w:rsid w:val="00553738"/>
    <w:rsid w:val="005539BB"/>
    <w:rsid w:val="00553A24"/>
    <w:rsid w:val="00553F13"/>
    <w:rsid w:val="005543FD"/>
    <w:rsid w:val="005546EB"/>
    <w:rsid w:val="00554881"/>
    <w:rsid w:val="00554A68"/>
    <w:rsid w:val="00554A92"/>
    <w:rsid w:val="00554AFF"/>
    <w:rsid w:val="00554B43"/>
    <w:rsid w:val="00554CCC"/>
    <w:rsid w:val="00554FEC"/>
    <w:rsid w:val="00555005"/>
    <w:rsid w:val="005550EB"/>
    <w:rsid w:val="0055510A"/>
    <w:rsid w:val="0055537E"/>
    <w:rsid w:val="00555713"/>
    <w:rsid w:val="00555838"/>
    <w:rsid w:val="00555932"/>
    <w:rsid w:val="00555A2C"/>
    <w:rsid w:val="00555C5E"/>
    <w:rsid w:val="00555D94"/>
    <w:rsid w:val="00556144"/>
    <w:rsid w:val="005562EC"/>
    <w:rsid w:val="0055640A"/>
    <w:rsid w:val="0055657A"/>
    <w:rsid w:val="005567B1"/>
    <w:rsid w:val="00556945"/>
    <w:rsid w:val="00556D66"/>
    <w:rsid w:val="00557136"/>
    <w:rsid w:val="005577EB"/>
    <w:rsid w:val="0056004E"/>
    <w:rsid w:val="00560245"/>
    <w:rsid w:val="005605C9"/>
    <w:rsid w:val="00560783"/>
    <w:rsid w:val="005608B4"/>
    <w:rsid w:val="00560F1F"/>
    <w:rsid w:val="00560F2B"/>
    <w:rsid w:val="00561086"/>
    <w:rsid w:val="005612F4"/>
    <w:rsid w:val="0056135A"/>
    <w:rsid w:val="00561980"/>
    <w:rsid w:val="00561A55"/>
    <w:rsid w:val="00561B45"/>
    <w:rsid w:val="00561FAA"/>
    <w:rsid w:val="005621CA"/>
    <w:rsid w:val="005622C9"/>
    <w:rsid w:val="005623D8"/>
    <w:rsid w:val="00562740"/>
    <w:rsid w:val="005628BD"/>
    <w:rsid w:val="00562AAE"/>
    <w:rsid w:val="00562B49"/>
    <w:rsid w:val="005630AD"/>
    <w:rsid w:val="00563198"/>
    <w:rsid w:val="0056352E"/>
    <w:rsid w:val="005637D5"/>
    <w:rsid w:val="00563BCD"/>
    <w:rsid w:val="00563D21"/>
    <w:rsid w:val="00563DA3"/>
    <w:rsid w:val="00563E61"/>
    <w:rsid w:val="00563F81"/>
    <w:rsid w:val="00564288"/>
    <w:rsid w:val="00564438"/>
    <w:rsid w:val="00564902"/>
    <w:rsid w:val="0056493F"/>
    <w:rsid w:val="00564E04"/>
    <w:rsid w:val="0056519A"/>
    <w:rsid w:val="0056533B"/>
    <w:rsid w:val="005653C2"/>
    <w:rsid w:val="00565805"/>
    <w:rsid w:val="005658B4"/>
    <w:rsid w:val="00565E02"/>
    <w:rsid w:val="00565EA3"/>
    <w:rsid w:val="00566042"/>
    <w:rsid w:val="00566499"/>
    <w:rsid w:val="00566671"/>
    <w:rsid w:val="00566878"/>
    <w:rsid w:val="005668E7"/>
    <w:rsid w:val="00566A00"/>
    <w:rsid w:val="00566F46"/>
    <w:rsid w:val="00566F91"/>
    <w:rsid w:val="0056701E"/>
    <w:rsid w:val="00567325"/>
    <w:rsid w:val="00567894"/>
    <w:rsid w:val="00567BFB"/>
    <w:rsid w:val="00567D46"/>
    <w:rsid w:val="00567F9D"/>
    <w:rsid w:val="005706C4"/>
    <w:rsid w:val="0057076D"/>
    <w:rsid w:val="005710AF"/>
    <w:rsid w:val="005710DB"/>
    <w:rsid w:val="00571108"/>
    <w:rsid w:val="00571173"/>
    <w:rsid w:val="0057147C"/>
    <w:rsid w:val="005714A0"/>
    <w:rsid w:val="005714CA"/>
    <w:rsid w:val="00571579"/>
    <w:rsid w:val="005716BA"/>
    <w:rsid w:val="0057172D"/>
    <w:rsid w:val="0057187A"/>
    <w:rsid w:val="00571DFD"/>
    <w:rsid w:val="0057219F"/>
    <w:rsid w:val="005722E9"/>
    <w:rsid w:val="00572790"/>
    <w:rsid w:val="005729F4"/>
    <w:rsid w:val="0057320F"/>
    <w:rsid w:val="00573233"/>
    <w:rsid w:val="005734BF"/>
    <w:rsid w:val="0057361F"/>
    <w:rsid w:val="00573690"/>
    <w:rsid w:val="0057374B"/>
    <w:rsid w:val="00573855"/>
    <w:rsid w:val="00573930"/>
    <w:rsid w:val="00573B8E"/>
    <w:rsid w:val="00573D5E"/>
    <w:rsid w:val="00573E48"/>
    <w:rsid w:val="00573FFF"/>
    <w:rsid w:val="005744BC"/>
    <w:rsid w:val="00574868"/>
    <w:rsid w:val="00574958"/>
    <w:rsid w:val="00574D5C"/>
    <w:rsid w:val="00574EB9"/>
    <w:rsid w:val="00575395"/>
    <w:rsid w:val="00575729"/>
    <w:rsid w:val="0057576C"/>
    <w:rsid w:val="00575A98"/>
    <w:rsid w:val="00575D57"/>
    <w:rsid w:val="00575F20"/>
    <w:rsid w:val="0057623C"/>
    <w:rsid w:val="0057636B"/>
    <w:rsid w:val="0057658C"/>
    <w:rsid w:val="005767AD"/>
    <w:rsid w:val="0057687F"/>
    <w:rsid w:val="0057689C"/>
    <w:rsid w:val="00576C37"/>
    <w:rsid w:val="00576CEB"/>
    <w:rsid w:val="00576E0F"/>
    <w:rsid w:val="00576F91"/>
    <w:rsid w:val="00577264"/>
    <w:rsid w:val="0057753A"/>
    <w:rsid w:val="005779F8"/>
    <w:rsid w:val="00580376"/>
    <w:rsid w:val="00580593"/>
    <w:rsid w:val="005808AB"/>
    <w:rsid w:val="005809B2"/>
    <w:rsid w:val="00580A35"/>
    <w:rsid w:val="00580DEC"/>
    <w:rsid w:val="00580F98"/>
    <w:rsid w:val="00581410"/>
    <w:rsid w:val="00581720"/>
    <w:rsid w:val="00581C1E"/>
    <w:rsid w:val="00581D2C"/>
    <w:rsid w:val="00581DA1"/>
    <w:rsid w:val="00582275"/>
    <w:rsid w:val="00582763"/>
    <w:rsid w:val="00582E01"/>
    <w:rsid w:val="0058374D"/>
    <w:rsid w:val="00583A07"/>
    <w:rsid w:val="00583B65"/>
    <w:rsid w:val="00584062"/>
    <w:rsid w:val="005841B5"/>
    <w:rsid w:val="005844F7"/>
    <w:rsid w:val="00584519"/>
    <w:rsid w:val="005846C4"/>
    <w:rsid w:val="005847C0"/>
    <w:rsid w:val="00584918"/>
    <w:rsid w:val="00584A21"/>
    <w:rsid w:val="00584BD8"/>
    <w:rsid w:val="00584DF1"/>
    <w:rsid w:val="00585015"/>
    <w:rsid w:val="005867EB"/>
    <w:rsid w:val="0058681A"/>
    <w:rsid w:val="005869E3"/>
    <w:rsid w:val="00587121"/>
    <w:rsid w:val="00587536"/>
    <w:rsid w:val="0058759F"/>
    <w:rsid w:val="005876EE"/>
    <w:rsid w:val="0058771C"/>
    <w:rsid w:val="005878B5"/>
    <w:rsid w:val="005879D5"/>
    <w:rsid w:val="00587A74"/>
    <w:rsid w:val="00587C9E"/>
    <w:rsid w:val="00587DD6"/>
    <w:rsid w:val="00590024"/>
    <w:rsid w:val="005902FB"/>
    <w:rsid w:val="0059031D"/>
    <w:rsid w:val="005908FE"/>
    <w:rsid w:val="00590A9B"/>
    <w:rsid w:val="005910C6"/>
    <w:rsid w:val="005911EC"/>
    <w:rsid w:val="00591336"/>
    <w:rsid w:val="005916C9"/>
    <w:rsid w:val="005917A0"/>
    <w:rsid w:val="00591912"/>
    <w:rsid w:val="00591A42"/>
    <w:rsid w:val="00591B0D"/>
    <w:rsid w:val="00591BFE"/>
    <w:rsid w:val="005929C0"/>
    <w:rsid w:val="00592AA8"/>
    <w:rsid w:val="00592AB3"/>
    <w:rsid w:val="00592B83"/>
    <w:rsid w:val="00592B99"/>
    <w:rsid w:val="00592BC5"/>
    <w:rsid w:val="00592FB4"/>
    <w:rsid w:val="00593076"/>
    <w:rsid w:val="005931C0"/>
    <w:rsid w:val="00593C4F"/>
    <w:rsid w:val="00593E23"/>
    <w:rsid w:val="00593E35"/>
    <w:rsid w:val="00593EB2"/>
    <w:rsid w:val="00593F55"/>
    <w:rsid w:val="0059407C"/>
    <w:rsid w:val="005943A9"/>
    <w:rsid w:val="0059443F"/>
    <w:rsid w:val="005946A8"/>
    <w:rsid w:val="0059489E"/>
    <w:rsid w:val="00594B69"/>
    <w:rsid w:val="00594DF0"/>
    <w:rsid w:val="00595535"/>
    <w:rsid w:val="00595774"/>
    <w:rsid w:val="00595B60"/>
    <w:rsid w:val="00595BE8"/>
    <w:rsid w:val="00595C9E"/>
    <w:rsid w:val="00595D25"/>
    <w:rsid w:val="00595DBE"/>
    <w:rsid w:val="005962EF"/>
    <w:rsid w:val="00596435"/>
    <w:rsid w:val="00596461"/>
    <w:rsid w:val="005964C2"/>
    <w:rsid w:val="0059652D"/>
    <w:rsid w:val="0059659C"/>
    <w:rsid w:val="0059670F"/>
    <w:rsid w:val="00596943"/>
    <w:rsid w:val="00596C37"/>
    <w:rsid w:val="00596C70"/>
    <w:rsid w:val="005971AA"/>
    <w:rsid w:val="00597346"/>
    <w:rsid w:val="00597458"/>
    <w:rsid w:val="00597493"/>
    <w:rsid w:val="005979B9"/>
    <w:rsid w:val="00597DD9"/>
    <w:rsid w:val="005A013D"/>
    <w:rsid w:val="005A056A"/>
    <w:rsid w:val="005A070D"/>
    <w:rsid w:val="005A0725"/>
    <w:rsid w:val="005A096D"/>
    <w:rsid w:val="005A0BA6"/>
    <w:rsid w:val="005A1216"/>
    <w:rsid w:val="005A12A3"/>
    <w:rsid w:val="005A1985"/>
    <w:rsid w:val="005A19A0"/>
    <w:rsid w:val="005A1B1D"/>
    <w:rsid w:val="005A1B43"/>
    <w:rsid w:val="005A1FD8"/>
    <w:rsid w:val="005A200A"/>
    <w:rsid w:val="005A27FF"/>
    <w:rsid w:val="005A2DF2"/>
    <w:rsid w:val="005A2E42"/>
    <w:rsid w:val="005A2F0E"/>
    <w:rsid w:val="005A305C"/>
    <w:rsid w:val="005A3089"/>
    <w:rsid w:val="005A3303"/>
    <w:rsid w:val="005A3A4F"/>
    <w:rsid w:val="005A3AEA"/>
    <w:rsid w:val="005A3E6D"/>
    <w:rsid w:val="005A3F35"/>
    <w:rsid w:val="005A4254"/>
    <w:rsid w:val="005A4407"/>
    <w:rsid w:val="005A4846"/>
    <w:rsid w:val="005A4B35"/>
    <w:rsid w:val="005A4BD6"/>
    <w:rsid w:val="005A5337"/>
    <w:rsid w:val="005A5421"/>
    <w:rsid w:val="005A5611"/>
    <w:rsid w:val="005A5712"/>
    <w:rsid w:val="005A5880"/>
    <w:rsid w:val="005A597F"/>
    <w:rsid w:val="005A5986"/>
    <w:rsid w:val="005A59EF"/>
    <w:rsid w:val="005A5B48"/>
    <w:rsid w:val="005A5BFB"/>
    <w:rsid w:val="005A5FAB"/>
    <w:rsid w:val="005A615A"/>
    <w:rsid w:val="005A631F"/>
    <w:rsid w:val="005A6474"/>
    <w:rsid w:val="005A65A1"/>
    <w:rsid w:val="005A65B4"/>
    <w:rsid w:val="005A65F0"/>
    <w:rsid w:val="005A661E"/>
    <w:rsid w:val="005A671C"/>
    <w:rsid w:val="005A6AAE"/>
    <w:rsid w:val="005A7289"/>
    <w:rsid w:val="005A729B"/>
    <w:rsid w:val="005A79C1"/>
    <w:rsid w:val="005A7A3E"/>
    <w:rsid w:val="005A7C03"/>
    <w:rsid w:val="005A7CAD"/>
    <w:rsid w:val="005A7DD3"/>
    <w:rsid w:val="005A7EAA"/>
    <w:rsid w:val="005B0230"/>
    <w:rsid w:val="005B07F1"/>
    <w:rsid w:val="005B0953"/>
    <w:rsid w:val="005B0AFD"/>
    <w:rsid w:val="005B10B1"/>
    <w:rsid w:val="005B1181"/>
    <w:rsid w:val="005B119D"/>
    <w:rsid w:val="005B1231"/>
    <w:rsid w:val="005B183B"/>
    <w:rsid w:val="005B1C7E"/>
    <w:rsid w:val="005B20BF"/>
    <w:rsid w:val="005B2103"/>
    <w:rsid w:val="005B220E"/>
    <w:rsid w:val="005B2216"/>
    <w:rsid w:val="005B24A5"/>
    <w:rsid w:val="005B26E1"/>
    <w:rsid w:val="005B2B1A"/>
    <w:rsid w:val="005B3045"/>
    <w:rsid w:val="005B3308"/>
    <w:rsid w:val="005B3EB3"/>
    <w:rsid w:val="005B4088"/>
    <w:rsid w:val="005B40E2"/>
    <w:rsid w:val="005B45D9"/>
    <w:rsid w:val="005B4A4D"/>
    <w:rsid w:val="005B4DB2"/>
    <w:rsid w:val="005B51CC"/>
    <w:rsid w:val="005B538C"/>
    <w:rsid w:val="005B540F"/>
    <w:rsid w:val="005B54E8"/>
    <w:rsid w:val="005B563F"/>
    <w:rsid w:val="005B5681"/>
    <w:rsid w:val="005B573C"/>
    <w:rsid w:val="005B57A0"/>
    <w:rsid w:val="005B5D2D"/>
    <w:rsid w:val="005B62A4"/>
    <w:rsid w:val="005B633A"/>
    <w:rsid w:val="005B6926"/>
    <w:rsid w:val="005B6A99"/>
    <w:rsid w:val="005B6DDC"/>
    <w:rsid w:val="005B7134"/>
    <w:rsid w:val="005B725D"/>
    <w:rsid w:val="005B743F"/>
    <w:rsid w:val="005B75DB"/>
    <w:rsid w:val="005B787D"/>
    <w:rsid w:val="005B7A5E"/>
    <w:rsid w:val="005B7AFC"/>
    <w:rsid w:val="005C0016"/>
    <w:rsid w:val="005C00CD"/>
    <w:rsid w:val="005C01A6"/>
    <w:rsid w:val="005C0429"/>
    <w:rsid w:val="005C081C"/>
    <w:rsid w:val="005C0945"/>
    <w:rsid w:val="005C095E"/>
    <w:rsid w:val="005C0CEB"/>
    <w:rsid w:val="005C1048"/>
    <w:rsid w:val="005C1895"/>
    <w:rsid w:val="005C1CB5"/>
    <w:rsid w:val="005C1CBC"/>
    <w:rsid w:val="005C1FD3"/>
    <w:rsid w:val="005C234C"/>
    <w:rsid w:val="005C2402"/>
    <w:rsid w:val="005C26FA"/>
    <w:rsid w:val="005C275B"/>
    <w:rsid w:val="005C284B"/>
    <w:rsid w:val="005C297A"/>
    <w:rsid w:val="005C2A21"/>
    <w:rsid w:val="005C2D29"/>
    <w:rsid w:val="005C2F0C"/>
    <w:rsid w:val="005C310B"/>
    <w:rsid w:val="005C34DC"/>
    <w:rsid w:val="005C366A"/>
    <w:rsid w:val="005C3AE0"/>
    <w:rsid w:val="005C3EE9"/>
    <w:rsid w:val="005C4162"/>
    <w:rsid w:val="005C416C"/>
    <w:rsid w:val="005C4358"/>
    <w:rsid w:val="005C44A1"/>
    <w:rsid w:val="005C4524"/>
    <w:rsid w:val="005C4550"/>
    <w:rsid w:val="005C45AE"/>
    <w:rsid w:val="005C46E0"/>
    <w:rsid w:val="005C47F5"/>
    <w:rsid w:val="005C4827"/>
    <w:rsid w:val="005C5388"/>
    <w:rsid w:val="005C56BB"/>
    <w:rsid w:val="005C5706"/>
    <w:rsid w:val="005C58D8"/>
    <w:rsid w:val="005C5B8D"/>
    <w:rsid w:val="005C5D75"/>
    <w:rsid w:val="005C5DB4"/>
    <w:rsid w:val="005C5DDA"/>
    <w:rsid w:val="005C60D6"/>
    <w:rsid w:val="005C61CE"/>
    <w:rsid w:val="005C6668"/>
    <w:rsid w:val="005C68B1"/>
    <w:rsid w:val="005C6976"/>
    <w:rsid w:val="005C69A1"/>
    <w:rsid w:val="005C711E"/>
    <w:rsid w:val="005C7381"/>
    <w:rsid w:val="005C73AB"/>
    <w:rsid w:val="005C7680"/>
    <w:rsid w:val="005C79AB"/>
    <w:rsid w:val="005D02EE"/>
    <w:rsid w:val="005D0606"/>
    <w:rsid w:val="005D08CF"/>
    <w:rsid w:val="005D0A52"/>
    <w:rsid w:val="005D0A8D"/>
    <w:rsid w:val="005D0B30"/>
    <w:rsid w:val="005D12B4"/>
    <w:rsid w:val="005D1844"/>
    <w:rsid w:val="005D1A91"/>
    <w:rsid w:val="005D1B23"/>
    <w:rsid w:val="005D1D28"/>
    <w:rsid w:val="005D1D5A"/>
    <w:rsid w:val="005D2181"/>
    <w:rsid w:val="005D24B0"/>
    <w:rsid w:val="005D2908"/>
    <w:rsid w:val="005D2B7B"/>
    <w:rsid w:val="005D2E42"/>
    <w:rsid w:val="005D2EF6"/>
    <w:rsid w:val="005D2F6D"/>
    <w:rsid w:val="005D34C8"/>
    <w:rsid w:val="005D34EA"/>
    <w:rsid w:val="005D3A52"/>
    <w:rsid w:val="005D3B91"/>
    <w:rsid w:val="005D3F6F"/>
    <w:rsid w:val="005D4716"/>
    <w:rsid w:val="005D4A13"/>
    <w:rsid w:val="005D4A37"/>
    <w:rsid w:val="005D4D65"/>
    <w:rsid w:val="005D4E83"/>
    <w:rsid w:val="005D4EEB"/>
    <w:rsid w:val="005D521C"/>
    <w:rsid w:val="005D540D"/>
    <w:rsid w:val="005D5657"/>
    <w:rsid w:val="005D57D6"/>
    <w:rsid w:val="005D5C62"/>
    <w:rsid w:val="005D61F7"/>
    <w:rsid w:val="005D6440"/>
    <w:rsid w:val="005D6600"/>
    <w:rsid w:val="005D667F"/>
    <w:rsid w:val="005D682B"/>
    <w:rsid w:val="005D6897"/>
    <w:rsid w:val="005D6A5D"/>
    <w:rsid w:val="005D6D0A"/>
    <w:rsid w:val="005D6D66"/>
    <w:rsid w:val="005D6E1B"/>
    <w:rsid w:val="005D6F13"/>
    <w:rsid w:val="005D6F51"/>
    <w:rsid w:val="005D7530"/>
    <w:rsid w:val="005D7938"/>
    <w:rsid w:val="005D7AAC"/>
    <w:rsid w:val="005D7AF1"/>
    <w:rsid w:val="005D7D81"/>
    <w:rsid w:val="005D7DC1"/>
    <w:rsid w:val="005D7E4B"/>
    <w:rsid w:val="005E00FF"/>
    <w:rsid w:val="005E01AB"/>
    <w:rsid w:val="005E044A"/>
    <w:rsid w:val="005E045F"/>
    <w:rsid w:val="005E04EC"/>
    <w:rsid w:val="005E0677"/>
    <w:rsid w:val="005E09BC"/>
    <w:rsid w:val="005E0AAD"/>
    <w:rsid w:val="005E0C3A"/>
    <w:rsid w:val="005E0CC2"/>
    <w:rsid w:val="005E10EF"/>
    <w:rsid w:val="005E117C"/>
    <w:rsid w:val="005E1218"/>
    <w:rsid w:val="005E1326"/>
    <w:rsid w:val="005E132B"/>
    <w:rsid w:val="005E142C"/>
    <w:rsid w:val="005E1CEB"/>
    <w:rsid w:val="005E1D3C"/>
    <w:rsid w:val="005E1ECF"/>
    <w:rsid w:val="005E2230"/>
    <w:rsid w:val="005E2637"/>
    <w:rsid w:val="005E26D2"/>
    <w:rsid w:val="005E2A1D"/>
    <w:rsid w:val="005E2C8D"/>
    <w:rsid w:val="005E2F54"/>
    <w:rsid w:val="005E3186"/>
    <w:rsid w:val="005E31F1"/>
    <w:rsid w:val="005E357B"/>
    <w:rsid w:val="005E3A1C"/>
    <w:rsid w:val="005E3A7E"/>
    <w:rsid w:val="005E3B51"/>
    <w:rsid w:val="005E3BED"/>
    <w:rsid w:val="005E3C29"/>
    <w:rsid w:val="005E402A"/>
    <w:rsid w:val="005E475A"/>
    <w:rsid w:val="005E47AC"/>
    <w:rsid w:val="005E4B2F"/>
    <w:rsid w:val="005E4BCC"/>
    <w:rsid w:val="005E4EC2"/>
    <w:rsid w:val="005E4FDA"/>
    <w:rsid w:val="005E5354"/>
    <w:rsid w:val="005E5529"/>
    <w:rsid w:val="005E556C"/>
    <w:rsid w:val="005E59EE"/>
    <w:rsid w:val="005E5A3B"/>
    <w:rsid w:val="005E5C31"/>
    <w:rsid w:val="005E6075"/>
    <w:rsid w:val="005E63E0"/>
    <w:rsid w:val="005E6B45"/>
    <w:rsid w:val="005E6BC4"/>
    <w:rsid w:val="005E6E24"/>
    <w:rsid w:val="005E6E31"/>
    <w:rsid w:val="005E762A"/>
    <w:rsid w:val="005E779F"/>
    <w:rsid w:val="005E7934"/>
    <w:rsid w:val="005E7FA1"/>
    <w:rsid w:val="005F004C"/>
    <w:rsid w:val="005F0281"/>
    <w:rsid w:val="005F03CA"/>
    <w:rsid w:val="005F0426"/>
    <w:rsid w:val="005F05DF"/>
    <w:rsid w:val="005F0785"/>
    <w:rsid w:val="005F0CCD"/>
    <w:rsid w:val="005F0F06"/>
    <w:rsid w:val="005F1087"/>
    <w:rsid w:val="005F12BE"/>
    <w:rsid w:val="005F1508"/>
    <w:rsid w:val="005F16B0"/>
    <w:rsid w:val="005F18AD"/>
    <w:rsid w:val="005F19E8"/>
    <w:rsid w:val="005F1A84"/>
    <w:rsid w:val="005F1A8B"/>
    <w:rsid w:val="005F1BA7"/>
    <w:rsid w:val="005F1F60"/>
    <w:rsid w:val="005F2266"/>
    <w:rsid w:val="005F25E4"/>
    <w:rsid w:val="005F28FA"/>
    <w:rsid w:val="005F2E58"/>
    <w:rsid w:val="005F3079"/>
    <w:rsid w:val="005F30E2"/>
    <w:rsid w:val="005F321B"/>
    <w:rsid w:val="005F3414"/>
    <w:rsid w:val="005F3426"/>
    <w:rsid w:val="005F344C"/>
    <w:rsid w:val="005F347E"/>
    <w:rsid w:val="005F3AA4"/>
    <w:rsid w:val="005F3C82"/>
    <w:rsid w:val="005F43CB"/>
    <w:rsid w:val="005F44D1"/>
    <w:rsid w:val="005F4599"/>
    <w:rsid w:val="005F4681"/>
    <w:rsid w:val="005F46C2"/>
    <w:rsid w:val="005F46F5"/>
    <w:rsid w:val="005F4A37"/>
    <w:rsid w:val="005F4B35"/>
    <w:rsid w:val="005F4DDE"/>
    <w:rsid w:val="005F4F23"/>
    <w:rsid w:val="005F5183"/>
    <w:rsid w:val="005F518A"/>
    <w:rsid w:val="005F5225"/>
    <w:rsid w:val="005F5972"/>
    <w:rsid w:val="005F5E20"/>
    <w:rsid w:val="005F60BD"/>
    <w:rsid w:val="005F66E0"/>
    <w:rsid w:val="005F67C6"/>
    <w:rsid w:val="005F680E"/>
    <w:rsid w:val="005F6855"/>
    <w:rsid w:val="005F6F41"/>
    <w:rsid w:val="005F7114"/>
    <w:rsid w:val="005F734F"/>
    <w:rsid w:val="005F77A9"/>
    <w:rsid w:val="005F7A9E"/>
    <w:rsid w:val="005F7D01"/>
    <w:rsid w:val="006005B6"/>
    <w:rsid w:val="0060072C"/>
    <w:rsid w:val="00600949"/>
    <w:rsid w:val="00600DD3"/>
    <w:rsid w:val="00600EE0"/>
    <w:rsid w:val="00600FA7"/>
    <w:rsid w:val="006018FD"/>
    <w:rsid w:val="00601AB3"/>
    <w:rsid w:val="00601BD0"/>
    <w:rsid w:val="00601C6B"/>
    <w:rsid w:val="00601D03"/>
    <w:rsid w:val="00601D08"/>
    <w:rsid w:val="00601D8C"/>
    <w:rsid w:val="00601FAA"/>
    <w:rsid w:val="00602B3C"/>
    <w:rsid w:val="00602D1A"/>
    <w:rsid w:val="00603473"/>
    <w:rsid w:val="00603539"/>
    <w:rsid w:val="006038CC"/>
    <w:rsid w:val="00603AA1"/>
    <w:rsid w:val="00603B13"/>
    <w:rsid w:val="00603B22"/>
    <w:rsid w:val="00603C90"/>
    <w:rsid w:val="00604452"/>
    <w:rsid w:val="00604BC4"/>
    <w:rsid w:val="00604C10"/>
    <w:rsid w:val="00604E0D"/>
    <w:rsid w:val="00605120"/>
    <w:rsid w:val="00605200"/>
    <w:rsid w:val="0060545A"/>
    <w:rsid w:val="0060555B"/>
    <w:rsid w:val="00605722"/>
    <w:rsid w:val="00605A4E"/>
    <w:rsid w:val="00605E4D"/>
    <w:rsid w:val="00606714"/>
    <w:rsid w:val="006069F2"/>
    <w:rsid w:val="00606BAE"/>
    <w:rsid w:val="00606DE8"/>
    <w:rsid w:val="00607615"/>
    <w:rsid w:val="00607A12"/>
    <w:rsid w:val="006106CC"/>
    <w:rsid w:val="006107B3"/>
    <w:rsid w:val="00610816"/>
    <w:rsid w:val="006108C7"/>
    <w:rsid w:val="00610DA6"/>
    <w:rsid w:val="00610DF2"/>
    <w:rsid w:val="00611295"/>
    <w:rsid w:val="006115A6"/>
    <w:rsid w:val="006117BE"/>
    <w:rsid w:val="00611884"/>
    <w:rsid w:val="0061196E"/>
    <w:rsid w:val="00611ADE"/>
    <w:rsid w:val="00611CEE"/>
    <w:rsid w:val="00611CF6"/>
    <w:rsid w:val="0061213D"/>
    <w:rsid w:val="00612DD3"/>
    <w:rsid w:val="00613156"/>
    <w:rsid w:val="00613483"/>
    <w:rsid w:val="00613841"/>
    <w:rsid w:val="00613B2E"/>
    <w:rsid w:val="00613CC4"/>
    <w:rsid w:val="00613D8B"/>
    <w:rsid w:val="006140E4"/>
    <w:rsid w:val="00614245"/>
    <w:rsid w:val="00614356"/>
    <w:rsid w:val="006147F3"/>
    <w:rsid w:val="00614888"/>
    <w:rsid w:val="00614AF3"/>
    <w:rsid w:val="00614B9B"/>
    <w:rsid w:val="006156A9"/>
    <w:rsid w:val="006159A7"/>
    <w:rsid w:val="00616399"/>
    <w:rsid w:val="00616459"/>
    <w:rsid w:val="00616695"/>
    <w:rsid w:val="00616A8C"/>
    <w:rsid w:val="00616B6D"/>
    <w:rsid w:val="00616D9F"/>
    <w:rsid w:val="00616E5B"/>
    <w:rsid w:val="00617031"/>
    <w:rsid w:val="006171A2"/>
    <w:rsid w:val="00617260"/>
    <w:rsid w:val="006172EA"/>
    <w:rsid w:val="0061758A"/>
    <w:rsid w:val="006178BD"/>
    <w:rsid w:val="00620097"/>
    <w:rsid w:val="0062037A"/>
    <w:rsid w:val="00620498"/>
    <w:rsid w:val="00620590"/>
    <w:rsid w:val="00620775"/>
    <w:rsid w:val="006207AA"/>
    <w:rsid w:val="0062097D"/>
    <w:rsid w:val="00620B80"/>
    <w:rsid w:val="00620C16"/>
    <w:rsid w:val="00620FBC"/>
    <w:rsid w:val="0062100F"/>
    <w:rsid w:val="006210EA"/>
    <w:rsid w:val="00621484"/>
    <w:rsid w:val="00621968"/>
    <w:rsid w:val="006219B6"/>
    <w:rsid w:val="00621A55"/>
    <w:rsid w:val="00621BEB"/>
    <w:rsid w:val="00621DA2"/>
    <w:rsid w:val="0062238F"/>
    <w:rsid w:val="006224B9"/>
    <w:rsid w:val="00622554"/>
    <w:rsid w:val="00622666"/>
    <w:rsid w:val="00622D25"/>
    <w:rsid w:val="00622E8A"/>
    <w:rsid w:val="00622F4F"/>
    <w:rsid w:val="00622FE9"/>
    <w:rsid w:val="006231DC"/>
    <w:rsid w:val="0062370D"/>
    <w:rsid w:val="00623BB6"/>
    <w:rsid w:val="00623F77"/>
    <w:rsid w:val="00624AE3"/>
    <w:rsid w:val="00624CA9"/>
    <w:rsid w:val="00624FEE"/>
    <w:rsid w:val="006254BE"/>
    <w:rsid w:val="006258C5"/>
    <w:rsid w:val="00625C18"/>
    <w:rsid w:val="00625DC6"/>
    <w:rsid w:val="00625F80"/>
    <w:rsid w:val="006262E1"/>
    <w:rsid w:val="00626482"/>
    <w:rsid w:val="00626535"/>
    <w:rsid w:val="006268D2"/>
    <w:rsid w:val="00626A26"/>
    <w:rsid w:val="00626AF4"/>
    <w:rsid w:val="00626B42"/>
    <w:rsid w:val="00626BE2"/>
    <w:rsid w:val="00626DF4"/>
    <w:rsid w:val="00626DFE"/>
    <w:rsid w:val="006272B6"/>
    <w:rsid w:val="006274CE"/>
    <w:rsid w:val="00627834"/>
    <w:rsid w:val="00627A09"/>
    <w:rsid w:val="00627CBB"/>
    <w:rsid w:val="006303DB"/>
    <w:rsid w:val="0063043B"/>
    <w:rsid w:val="006304DF"/>
    <w:rsid w:val="0063056B"/>
    <w:rsid w:val="00630AF1"/>
    <w:rsid w:val="00630E67"/>
    <w:rsid w:val="00631344"/>
    <w:rsid w:val="006314C7"/>
    <w:rsid w:val="006314D8"/>
    <w:rsid w:val="006317E0"/>
    <w:rsid w:val="00631814"/>
    <w:rsid w:val="00631878"/>
    <w:rsid w:val="00631DD9"/>
    <w:rsid w:val="00632045"/>
    <w:rsid w:val="006325C5"/>
    <w:rsid w:val="00632795"/>
    <w:rsid w:val="00632C1A"/>
    <w:rsid w:val="00632C56"/>
    <w:rsid w:val="00632D3F"/>
    <w:rsid w:val="00632E98"/>
    <w:rsid w:val="00633181"/>
    <w:rsid w:val="006331C9"/>
    <w:rsid w:val="0063328C"/>
    <w:rsid w:val="006332CC"/>
    <w:rsid w:val="006335C4"/>
    <w:rsid w:val="00633745"/>
    <w:rsid w:val="00633E1D"/>
    <w:rsid w:val="00633E7C"/>
    <w:rsid w:val="00634545"/>
    <w:rsid w:val="00634754"/>
    <w:rsid w:val="006347B5"/>
    <w:rsid w:val="00634AE9"/>
    <w:rsid w:val="00634C7D"/>
    <w:rsid w:val="00634FB7"/>
    <w:rsid w:val="0063506E"/>
    <w:rsid w:val="0063508C"/>
    <w:rsid w:val="006351C3"/>
    <w:rsid w:val="00635402"/>
    <w:rsid w:val="0063540A"/>
    <w:rsid w:val="0063558B"/>
    <w:rsid w:val="006356D6"/>
    <w:rsid w:val="0063598D"/>
    <w:rsid w:val="00635A35"/>
    <w:rsid w:val="0063608C"/>
    <w:rsid w:val="006362DE"/>
    <w:rsid w:val="0063638C"/>
    <w:rsid w:val="0063658B"/>
    <w:rsid w:val="00636686"/>
    <w:rsid w:val="006366EE"/>
    <w:rsid w:val="0063694F"/>
    <w:rsid w:val="00636A0E"/>
    <w:rsid w:val="00636ADD"/>
    <w:rsid w:val="00636B65"/>
    <w:rsid w:val="00636B8E"/>
    <w:rsid w:val="00636DA5"/>
    <w:rsid w:val="00637A07"/>
    <w:rsid w:val="00637A3F"/>
    <w:rsid w:val="00637AA2"/>
    <w:rsid w:val="00637DE5"/>
    <w:rsid w:val="006401C5"/>
    <w:rsid w:val="006402F0"/>
    <w:rsid w:val="006403CB"/>
    <w:rsid w:val="0064046C"/>
    <w:rsid w:val="00640802"/>
    <w:rsid w:val="006409BD"/>
    <w:rsid w:val="00640C01"/>
    <w:rsid w:val="00640DA9"/>
    <w:rsid w:val="0064144A"/>
    <w:rsid w:val="00641CF3"/>
    <w:rsid w:val="00641D2A"/>
    <w:rsid w:val="00642186"/>
    <w:rsid w:val="0064223F"/>
    <w:rsid w:val="00642491"/>
    <w:rsid w:val="0064284E"/>
    <w:rsid w:val="00642D17"/>
    <w:rsid w:val="00642E89"/>
    <w:rsid w:val="0064307A"/>
    <w:rsid w:val="00643376"/>
    <w:rsid w:val="006433AE"/>
    <w:rsid w:val="006433CD"/>
    <w:rsid w:val="0064391D"/>
    <w:rsid w:val="00643D58"/>
    <w:rsid w:val="00643EB1"/>
    <w:rsid w:val="006440D4"/>
    <w:rsid w:val="006443CE"/>
    <w:rsid w:val="006445AE"/>
    <w:rsid w:val="00644682"/>
    <w:rsid w:val="00644963"/>
    <w:rsid w:val="00644970"/>
    <w:rsid w:val="006449C2"/>
    <w:rsid w:val="00644B0B"/>
    <w:rsid w:val="00645011"/>
    <w:rsid w:val="006451E3"/>
    <w:rsid w:val="006453D1"/>
    <w:rsid w:val="006453F7"/>
    <w:rsid w:val="006456F9"/>
    <w:rsid w:val="00645710"/>
    <w:rsid w:val="00645C1D"/>
    <w:rsid w:val="00645C6E"/>
    <w:rsid w:val="00645D79"/>
    <w:rsid w:val="00645E66"/>
    <w:rsid w:val="00646080"/>
    <w:rsid w:val="00646122"/>
    <w:rsid w:val="00646214"/>
    <w:rsid w:val="00646231"/>
    <w:rsid w:val="0064641F"/>
    <w:rsid w:val="00646678"/>
    <w:rsid w:val="00646FB4"/>
    <w:rsid w:val="0064716B"/>
    <w:rsid w:val="00647262"/>
    <w:rsid w:val="00647463"/>
    <w:rsid w:val="0064760E"/>
    <w:rsid w:val="006476F1"/>
    <w:rsid w:val="00647862"/>
    <w:rsid w:val="006478A5"/>
    <w:rsid w:val="00647A22"/>
    <w:rsid w:val="00647DAD"/>
    <w:rsid w:val="00647FAC"/>
    <w:rsid w:val="006501D0"/>
    <w:rsid w:val="006507F9"/>
    <w:rsid w:val="00650AA1"/>
    <w:rsid w:val="00650BBA"/>
    <w:rsid w:val="00650C7C"/>
    <w:rsid w:val="00650CA6"/>
    <w:rsid w:val="00650CE3"/>
    <w:rsid w:val="00650D01"/>
    <w:rsid w:val="00651253"/>
    <w:rsid w:val="0065178C"/>
    <w:rsid w:val="00651821"/>
    <w:rsid w:val="0065185F"/>
    <w:rsid w:val="0065224F"/>
    <w:rsid w:val="0065236E"/>
    <w:rsid w:val="00652391"/>
    <w:rsid w:val="006527A9"/>
    <w:rsid w:val="00652988"/>
    <w:rsid w:val="006529F2"/>
    <w:rsid w:val="00652B4C"/>
    <w:rsid w:val="00652C80"/>
    <w:rsid w:val="006530E9"/>
    <w:rsid w:val="0065327D"/>
    <w:rsid w:val="006538FB"/>
    <w:rsid w:val="00653B82"/>
    <w:rsid w:val="00653BC3"/>
    <w:rsid w:val="00653BF0"/>
    <w:rsid w:val="00653D8A"/>
    <w:rsid w:val="00654357"/>
    <w:rsid w:val="00654384"/>
    <w:rsid w:val="00654478"/>
    <w:rsid w:val="0065470F"/>
    <w:rsid w:val="0065496E"/>
    <w:rsid w:val="00654B01"/>
    <w:rsid w:val="00654B22"/>
    <w:rsid w:val="00654F79"/>
    <w:rsid w:val="006552D8"/>
    <w:rsid w:val="00655314"/>
    <w:rsid w:val="006553D1"/>
    <w:rsid w:val="0065562B"/>
    <w:rsid w:val="006559E5"/>
    <w:rsid w:val="00655A5B"/>
    <w:rsid w:val="0065627A"/>
    <w:rsid w:val="00656317"/>
    <w:rsid w:val="006564DA"/>
    <w:rsid w:val="00656670"/>
    <w:rsid w:val="00656753"/>
    <w:rsid w:val="00656883"/>
    <w:rsid w:val="00656A92"/>
    <w:rsid w:val="00656B3A"/>
    <w:rsid w:val="006576A7"/>
    <w:rsid w:val="00657771"/>
    <w:rsid w:val="0065780B"/>
    <w:rsid w:val="00657824"/>
    <w:rsid w:val="006579CF"/>
    <w:rsid w:val="0066008D"/>
    <w:rsid w:val="00660121"/>
    <w:rsid w:val="00660569"/>
    <w:rsid w:val="006605C7"/>
    <w:rsid w:val="006606AE"/>
    <w:rsid w:val="00660AEF"/>
    <w:rsid w:val="00661429"/>
    <w:rsid w:val="00661ACD"/>
    <w:rsid w:val="00661CA4"/>
    <w:rsid w:val="0066254A"/>
    <w:rsid w:val="00662619"/>
    <w:rsid w:val="00662E92"/>
    <w:rsid w:val="00662EC0"/>
    <w:rsid w:val="00663081"/>
    <w:rsid w:val="0066311A"/>
    <w:rsid w:val="00663481"/>
    <w:rsid w:val="00663697"/>
    <w:rsid w:val="0066377B"/>
    <w:rsid w:val="00663988"/>
    <w:rsid w:val="00663D33"/>
    <w:rsid w:val="00663EF1"/>
    <w:rsid w:val="00664E3C"/>
    <w:rsid w:val="006651B4"/>
    <w:rsid w:val="0066550F"/>
    <w:rsid w:val="00665729"/>
    <w:rsid w:val="00665740"/>
    <w:rsid w:val="0066579B"/>
    <w:rsid w:val="0066585E"/>
    <w:rsid w:val="00666233"/>
    <w:rsid w:val="006663D8"/>
    <w:rsid w:val="00666416"/>
    <w:rsid w:val="00666777"/>
    <w:rsid w:val="0066695D"/>
    <w:rsid w:val="00666B06"/>
    <w:rsid w:val="00666EE8"/>
    <w:rsid w:val="00666F71"/>
    <w:rsid w:val="00666F8C"/>
    <w:rsid w:val="006670FF"/>
    <w:rsid w:val="006675CD"/>
    <w:rsid w:val="00667B72"/>
    <w:rsid w:val="00670087"/>
    <w:rsid w:val="0067013D"/>
    <w:rsid w:val="00670178"/>
    <w:rsid w:val="006701D5"/>
    <w:rsid w:val="00670401"/>
    <w:rsid w:val="006708E8"/>
    <w:rsid w:val="006709D9"/>
    <w:rsid w:val="00670AAB"/>
    <w:rsid w:val="00670B37"/>
    <w:rsid w:val="00670C55"/>
    <w:rsid w:val="00670C8D"/>
    <w:rsid w:val="00670D02"/>
    <w:rsid w:val="00670D1B"/>
    <w:rsid w:val="00670D53"/>
    <w:rsid w:val="00670F25"/>
    <w:rsid w:val="006712CA"/>
    <w:rsid w:val="0067140F"/>
    <w:rsid w:val="00671D0B"/>
    <w:rsid w:val="006721C2"/>
    <w:rsid w:val="006722CF"/>
    <w:rsid w:val="006723EF"/>
    <w:rsid w:val="00672592"/>
    <w:rsid w:val="0067264B"/>
    <w:rsid w:val="00672C81"/>
    <w:rsid w:val="00672D6A"/>
    <w:rsid w:val="00672DEA"/>
    <w:rsid w:val="00672E49"/>
    <w:rsid w:val="00673C86"/>
    <w:rsid w:val="0067470F"/>
    <w:rsid w:val="00674832"/>
    <w:rsid w:val="00674939"/>
    <w:rsid w:val="00674987"/>
    <w:rsid w:val="00674C66"/>
    <w:rsid w:val="00674D22"/>
    <w:rsid w:val="006752A2"/>
    <w:rsid w:val="00675938"/>
    <w:rsid w:val="00675C1D"/>
    <w:rsid w:val="00675D07"/>
    <w:rsid w:val="00675EA6"/>
    <w:rsid w:val="00675FBE"/>
    <w:rsid w:val="00676324"/>
    <w:rsid w:val="006766E1"/>
    <w:rsid w:val="00676ABB"/>
    <w:rsid w:val="00676AF6"/>
    <w:rsid w:val="00676BC6"/>
    <w:rsid w:val="00676C0B"/>
    <w:rsid w:val="00677272"/>
    <w:rsid w:val="00677341"/>
    <w:rsid w:val="00677564"/>
    <w:rsid w:val="0067797E"/>
    <w:rsid w:val="00677E32"/>
    <w:rsid w:val="00677EB4"/>
    <w:rsid w:val="00680172"/>
    <w:rsid w:val="0068032F"/>
    <w:rsid w:val="0068084D"/>
    <w:rsid w:val="006808AB"/>
    <w:rsid w:val="00681370"/>
    <w:rsid w:val="00681603"/>
    <w:rsid w:val="00681908"/>
    <w:rsid w:val="00681973"/>
    <w:rsid w:val="00681AFC"/>
    <w:rsid w:val="00681B4A"/>
    <w:rsid w:val="00681E8A"/>
    <w:rsid w:val="00682175"/>
    <w:rsid w:val="006822AE"/>
    <w:rsid w:val="00682685"/>
    <w:rsid w:val="00682722"/>
    <w:rsid w:val="00682827"/>
    <w:rsid w:val="00682EEF"/>
    <w:rsid w:val="00683629"/>
    <w:rsid w:val="0068404C"/>
    <w:rsid w:val="00684174"/>
    <w:rsid w:val="0068425D"/>
    <w:rsid w:val="00684347"/>
    <w:rsid w:val="00684620"/>
    <w:rsid w:val="00684752"/>
    <w:rsid w:val="00684809"/>
    <w:rsid w:val="00684D9B"/>
    <w:rsid w:val="00684EEE"/>
    <w:rsid w:val="0068536F"/>
    <w:rsid w:val="0068545F"/>
    <w:rsid w:val="0068568D"/>
    <w:rsid w:val="006858E3"/>
    <w:rsid w:val="00685C9D"/>
    <w:rsid w:val="00685FDC"/>
    <w:rsid w:val="00685FE6"/>
    <w:rsid w:val="006865BB"/>
    <w:rsid w:val="00686665"/>
    <w:rsid w:val="0068695A"/>
    <w:rsid w:val="00686FFE"/>
    <w:rsid w:val="00687734"/>
    <w:rsid w:val="00687797"/>
    <w:rsid w:val="006878DC"/>
    <w:rsid w:val="00687CF4"/>
    <w:rsid w:val="00687D1B"/>
    <w:rsid w:val="00687ED7"/>
    <w:rsid w:val="00687EDB"/>
    <w:rsid w:val="00690411"/>
    <w:rsid w:val="0069073A"/>
    <w:rsid w:val="00690C47"/>
    <w:rsid w:val="00690F28"/>
    <w:rsid w:val="00690F39"/>
    <w:rsid w:val="0069186B"/>
    <w:rsid w:val="0069195C"/>
    <w:rsid w:val="006919D9"/>
    <w:rsid w:val="00691E01"/>
    <w:rsid w:val="00691F57"/>
    <w:rsid w:val="00692414"/>
    <w:rsid w:val="00692657"/>
    <w:rsid w:val="006927EB"/>
    <w:rsid w:val="00692906"/>
    <w:rsid w:val="00692A2A"/>
    <w:rsid w:val="00692E0B"/>
    <w:rsid w:val="00692FF0"/>
    <w:rsid w:val="0069336E"/>
    <w:rsid w:val="006936E5"/>
    <w:rsid w:val="00693BE7"/>
    <w:rsid w:val="00693CDB"/>
    <w:rsid w:val="00694105"/>
    <w:rsid w:val="0069414C"/>
    <w:rsid w:val="00694154"/>
    <w:rsid w:val="00694365"/>
    <w:rsid w:val="0069474F"/>
    <w:rsid w:val="00694A96"/>
    <w:rsid w:val="00694EBF"/>
    <w:rsid w:val="006950FA"/>
    <w:rsid w:val="006953EB"/>
    <w:rsid w:val="00695531"/>
    <w:rsid w:val="0069558D"/>
    <w:rsid w:val="0069565C"/>
    <w:rsid w:val="00695B96"/>
    <w:rsid w:val="00695EBD"/>
    <w:rsid w:val="0069603C"/>
    <w:rsid w:val="00696372"/>
    <w:rsid w:val="0069645F"/>
    <w:rsid w:val="00696A41"/>
    <w:rsid w:val="00696BC7"/>
    <w:rsid w:val="00696D31"/>
    <w:rsid w:val="00696DA4"/>
    <w:rsid w:val="00696F61"/>
    <w:rsid w:val="00697252"/>
    <w:rsid w:val="006973BE"/>
    <w:rsid w:val="006974FB"/>
    <w:rsid w:val="00697556"/>
    <w:rsid w:val="00697B96"/>
    <w:rsid w:val="00697F60"/>
    <w:rsid w:val="00697FDD"/>
    <w:rsid w:val="006A033C"/>
    <w:rsid w:val="006A05CD"/>
    <w:rsid w:val="006A07F8"/>
    <w:rsid w:val="006A0EFF"/>
    <w:rsid w:val="006A0FE2"/>
    <w:rsid w:val="006A147C"/>
    <w:rsid w:val="006A14A5"/>
    <w:rsid w:val="006A14F2"/>
    <w:rsid w:val="006A15CB"/>
    <w:rsid w:val="006A1F4F"/>
    <w:rsid w:val="006A2059"/>
    <w:rsid w:val="006A2214"/>
    <w:rsid w:val="006A26E8"/>
    <w:rsid w:val="006A2995"/>
    <w:rsid w:val="006A2D03"/>
    <w:rsid w:val="006A2F2C"/>
    <w:rsid w:val="006A30F3"/>
    <w:rsid w:val="006A31ED"/>
    <w:rsid w:val="006A3B15"/>
    <w:rsid w:val="006A3D1A"/>
    <w:rsid w:val="006A3FCF"/>
    <w:rsid w:val="006A438F"/>
    <w:rsid w:val="006A478F"/>
    <w:rsid w:val="006A47D4"/>
    <w:rsid w:val="006A4A4E"/>
    <w:rsid w:val="006A4BA1"/>
    <w:rsid w:val="006A53F5"/>
    <w:rsid w:val="006A552B"/>
    <w:rsid w:val="006A569F"/>
    <w:rsid w:val="006A576F"/>
    <w:rsid w:val="006A597A"/>
    <w:rsid w:val="006A5AE9"/>
    <w:rsid w:val="006A5D25"/>
    <w:rsid w:val="006A5EDE"/>
    <w:rsid w:val="006A62E4"/>
    <w:rsid w:val="006A6702"/>
    <w:rsid w:val="006A68F5"/>
    <w:rsid w:val="006A69EE"/>
    <w:rsid w:val="006A6AA5"/>
    <w:rsid w:val="006A6E17"/>
    <w:rsid w:val="006A6E29"/>
    <w:rsid w:val="006A7510"/>
    <w:rsid w:val="006A76B5"/>
    <w:rsid w:val="006A778F"/>
    <w:rsid w:val="006A7915"/>
    <w:rsid w:val="006A79D6"/>
    <w:rsid w:val="006A7C84"/>
    <w:rsid w:val="006A7FB3"/>
    <w:rsid w:val="006B00BA"/>
    <w:rsid w:val="006B0313"/>
    <w:rsid w:val="006B0372"/>
    <w:rsid w:val="006B03FE"/>
    <w:rsid w:val="006B0643"/>
    <w:rsid w:val="006B0949"/>
    <w:rsid w:val="006B0A39"/>
    <w:rsid w:val="006B0B1A"/>
    <w:rsid w:val="006B0FC9"/>
    <w:rsid w:val="006B117E"/>
    <w:rsid w:val="006B1316"/>
    <w:rsid w:val="006B13DB"/>
    <w:rsid w:val="006B1B50"/>
    <w:rsid w:val="006B1CF3"/>
    <w:rsid w:val="006B1F40"/>
    <w:rsid w:val="006B211A"/>
    <w:rsid w:val="006B219A"/>
    <w:rsid w:val="006B221B"/>
    <w:rsid w:val="006B2524"/>
    <w:rsid w:val="006B2560"/>
    <w:rsid w:val="006B2795"/>
    <w:rsid w:val="006B27B0"/>
    <w:rsid w:val="006B32F3"/>
    <w:rsid w:val="006B35C0"/>
    <w:rsid w:val="006B3725"/>
    <w:rsid w:val="006B38F3"/>
    <w:rsid w:val="006B3F29"/>
    <w:rsid w:val="006B40C3"/>
    <w:rsid w:val="006B4647"/>
    <w:rsid w:val="006B4769"/>
    <w:rsid w:val="006B4797"/>
    <w:rsid w:val="006B4A88"/>
    <w:rsid w:val="006B4C2B"/>
    <w:rsid w:val="006B4FDF"/>
    <w:rsid w:val="006B4FE5"/>
    <w:rsid w:val="006B51CC"/>
    <w:rsid w:val="006B5288"/>
    <w:rsid w:val="006B539D"/>
    <w:rsid w:val="006B550B"/>
    <w:rsid w:val="006B56D4"/>
    <w:rsid w:val="006B5D0B"/>
    <w:rsid w:val="006B5E0B"/>
    <w:rsid w:val="006B5E80"/>
    <w:rsid w:val="006B5FC5"/>
    <w:rsid w:val="006B6194"/>
    <w:rsid w:val="006B61CE"/>
    <w:rsid w:val="006B6443"/>
    <w:rsid w:val="006B66DE"/>
    <w:rsid w:val="006B6947"/>
    <w:rsid w:val="006B6D2D"/>
    <w:rsid w:val="006B6D47"/>
    <w:rsid w:val="006B6DB1"/>
    <w:rsid w:val="006B732A"/>
    <w:rsid w:val="006B73CE"/>
    <w:rsid w:val="006B76FE"/>
    <w:rsid w:val="006C02B3"/>
    <w:rsid w:val="006C030F"/>
    <w:rsid w:val="006C0641"/>
    <w:rsid w:val="006C0999"/>
    <w:rsid w:val="006C09D3"/>
    <w:rsid w:val="006C0ADB"/>
    <w:rsid w:val="006C12F7"/>
    <w:rsid w:val="006C1346"/>
    <w:rsid w:val="006C13F8"/>
    <w:rsid w:val="006C1897"/>
    <w:rsid w:val="006C1D6A"/>
    <w:rsid w:val="006C2AFE"/>
    <w:rsid w:val="006C2F25"/>
    <w:rsid w:val="006C2F26"/>
    <w:rsid w:val="006C3152"/>
    <w:rsid w:val="006C32C5"/>
    <w:rsid w:val="006C3501"/>
    <w:rsid w:val="006C3547"/>
    <w:rsid w:val="006C3769"/>
    <w:rsid w:val="006C3919"/>
    <w:rsid w:val="006C3D56"/>
    <w:rsid w:val="006C3DB7"/>
    <w:rsid w:val="006C4465"/>
    <w:rsid w:val="006C4779"/>
    <w:rsid w:val="006C4847"/>
    <w:rsid w:val="006C4ACB"/>
    <w:rsid w:val="006C4B3D"/>
    <w:rsid w:val="006C4CAC"/>
    <w:rsid w:val="006C4DA0"/>
    <w:rsid w:val="006C4F39"/>
    <w:rsid w:val="006C505C"/>
    <w:rsid w:val="006C5473"/>
    <w:rsid w:val="006C55A9"/>
    <w:rsid w:val="006C57A1"/>
    <w:rsid w:val="006C580C"/>
    <w:rsid w:val="006C597E"/>
    <w:rsid w:val="006C59BA"/>
    <w:rsid w:val="006C5AFE"/>
    <w:rsid w:val="006C5BD4"/>
    <w:rsid w:val="006C5C3D"/>
    <w:rsid w:val="006C5DFB"/>
    <w:rsid w:val="006C6202"/>
    <w:rsid w:val="006C6279"/>
    <w:rsid w:val="006C6335"/>
    <w:rsid w:val="006C6564"/>
    <w:rsid w:val="006C6988"/>
    <w:rsid w:val="006C69C5"/>
    <w:rsid w:val="006C6C13"/>
    <w:rsid w:val="006C6C96"/>
    <w:rsid w:val="006C6E77"/>
    <w:rsid w:val="006C72A6"/>
    <w:rsid w:val="006C72D4"/>
    <w:rsid w:val="006C74B1"/>
    <w:rsid w:val="006D0157"/>
    <w:rsid w:val="006D03D9"/>
    <w:rsid w:val="006D047A"/>
    <w:rsid w:val="006D0596"/>
    <w:rsid w:val="006D0604"/>
    <w:rsid w:val="006D067E"/>
    <w:rsid w:val="006D0ACA"/>
    <w:rsid w:val="006D0EB2"/>
    <w:rsid w:val="006D0FCB"/>
    <w:rsid w:val="006D10BB"/>
    <w:rsid w:val="006D10F8"/>
    <w:rsid w:val="006D1125"/>
    <w:rsid w:val="006D1138"/>
    <w:rsid w:val="006D12AE"/>
    <w:rsid w:val="006D13F4"/>
    <w:rsid w:val="006D1510"/>
    <w:rsid w:val="006D1524"/>
    <w:rsid w:val="006D15CD"/>
    <w:rsid w:val="006D15EB"/>
    <w:rsid w:val="006D17F5"/>
    <w:rsid w:val="006D1BE9"/>
    <w:rsid w:val="006D1DB9"/>
    <w:rsid w:val="006D1E82"/>
    <w:rsid w:val="006D2025"/>
    <w:rsid w:val="006D2417"/>
    <w:rsid w:val="006D279B"/>
    <w:rsid w:val="006D2E78"/>
    <w:rsid w:val="006D2E9E"/>
    <w:rsid w:val="006D2F02"/>
    <w:rsid w:val="006D3042"/>
    <w:rsid w:val="006D37A9"/>
    <w:rsid w:val="006D3BAF"/>
    <w:rsid w:val="006D3CA0"/>
    <w:rsid w:val="006D402E"/>
    <w:rsid w:val="006D4217"/>
    <w:rsid w:val="006D43BA"/>
    <w:rsid w:val="006D46C1"/>
    <w:rsid w:val="006D46C9"/>
    <w:rsid w:val="006D4B96"/>
    <w:rsid w:val="006D515B"/>
    <w:rsid w:val="006D5349"/>
    <w:rsid w:val="006D54F5"/>
    <w:rsid w:val="006D5F87"/>
    <w:rsid w:val="006D66A1"/>
    <w:rsid w:val="006D6700"/>
    <w:rsid w:val="006D6AB6"/>
    <w:rsid w:val="006D6B5B"/>
    <w:rsid w:val="006D6B9F"/>
    <w:rsid w:val="006D6DD7"/>
    <w:rsid w:val="006D6E5D"/>
    <w:rsid w:val="006D6FA9"/>
    <w:rsid w:val="006D7220"/>
    <w:rsid w:val="006D73BB"/>
    <w:rsid w:val="006D7404"/>
    <w:rsid w:val="006D745B"/>
    <w:rsid w:val="006D773E"/>
    <w:rsid w:val="006D7BD2"/>
    <w:rsid w:val="006D7D1E"/>
    <w:rsid w:val="006D7D6D"/>
    <w:rsid w:val="006D7D89"/>
    <w:rsid w:val="006D7E8C"/>
    <w:rsid w:val="006E02BD"/>
    <w:rsid w:val="006E09CA"/>
    <w:rsid w:val="006E0A15"/>
    <w:rsid w:val="006E0AD2"/>
    <w:rsid w:val="006E0DA1"/>
    <w:rsid w:val="006E0DDC"/>
    <w:rsid w:val="006E0EA8"/>
    <w:rsid w:val="006E130E"/>
    <w:rsid w:val="006E14F7"/>
    <w:rsid w:val="006E15AE"/>
    <w:rsid w:val="006E19B5"/>
    <w:rsid w:val="006E1D26"/>
    <w:rsid w:val="006E1FCD"/>
    <w:rsid w:val="006E20C9"/>
    <w:rsid w:val="006E210A"/>
    <w:rsid w:val="006E216E"/>
    <w:rsid w:val="006E230C"/>
    <w:rsid w:val="006E23FE"/>
    <w:rsid w:val="006E2909"/>
    <w:rsid w:val="006E2951"/>
    <w:rsid w:val="006E2A4F"/>
    <w:rsid w:val="006E2A55"/>
    <w:rsid w:val="006E3252"/>
    <w:rsid w:val="006E3A5B"/>
    <w:rsid w:val="006E3A60"/>
    <w:rsid w:val="006E3BBF"/>
    <w:rsid w:val="006E3C2E"/>
    <w:rsid w:val="006E3C3E"/>
    <w:rsid w:val="006E403F"/>
    <w:rsid w:val="006E4463"/>
    <w:rsid w:val="006E45F7"/>
    <w:rsid w:val="006E4772"/>
    <w:rsid w:val="006E47C3"/>
    <w:rsid w:val="006E4FB3"/>
    <w:rsid w:val="006E50BB"/>
    <w:rsid w:val="006E50E9"/>
    <w:rsid w:val="006E5174"/>
    <w:rsid w:val="006E5B3A"/>
    <w:rsid w:val="006E5EB9"/>
    <w:rsid w:val="006E6087"/>
    <w:rsid w:val="006E6235"/>
    <w:rsid w:val="006E62CA"/>
    <w:rsid w:val="006E657F"/>
    <w:rsid w:val="006E6765"/>
    <w:rsid w:val="006E6BFA"/>
    <w:rsid w:val="006E6D64"/>
    <w:rsid w:val="006E6DBC"/>
    <w:rsid w:val="006E702B"/>
    <w:rsid w:val="006E743C"/>
    <w:rsid w:val="006E74FE"/>
    <w:rsid w:val="006E7853"/>
    <w:rsid w:val="006E792E"/>
    <w:rsid w:val="006E7E57"/>
    <w:rsid w:val="006E7EC4"/>
    <w:rsid w:val="006E7F1D"/>
    <w:rsid w:val="006F06E6"/>
    <w:rsid w:val="006F0817"/>
    <w:rsid w:val="006F0EDE"/>
    <w:rsid w:val="006F0FE7"/>
    <w:rsid w:val="006F1426"/>
    <w:rsid w:val="006F144B"/>
    <w:rsid w:val="006F15F6"/>
    <w:rsid w:val="006F161B"/>
    <w:rsid w:val="006F168B"/>
    <w:rsid w:val="006F1804"/>
    <w:rsid w:val="006F19C0"/>
    <w:rsid w:val="006F1C13"/>
    <w:rsid w:val="006F2330"/>
    <w:rsid w:val="006F25FC"/>
    <w:rsid w:val="006F2AE7"/>
    <w:rsid w:val="006F2BC4"/>
    <w:rsid w:val="006F30EA"/>
    <w:rsid w:val="006F3285"/>
    <w:rsid w:val="006F3496"/>
    <w:rsid w:val="006F39B2"/>
    <w:rsid w:val="006F39F3"/>
    <w:rsid w:val="006F3F9C"/>
    <w:rsid w:val="006F45C0"/>
    <w:rsid w:val="006F45CD"/>
    <w:rsid w:val="006F47D9"/>
    <w:rsid w:val="006F4930"/>
    <w:rsid w:val="006F49DC"/>
    <w:rsid w:val="006F4A63"/>
    <w:rsid w:val="006F4D33"/>
    <w:rsid w:val="006F4F40"/>
    <w:rsid w:val="006F510F"/>
    <w:rsid w:val="006F5693"/>
    <w:rsid w:val="006F5749"/>
    <w:rsid w:val="006F5A13"/>
    <w:rsid w:val="006F5CC9"/>
    <w:rsid w:val="006F5E6D"/>
    <w:rsid w:val="006F5EDC"/>
    <w:rsid w:val="006F6204"/>
    <w:rsid w:val="006F64F2"/>
    <w:rsid w:val="006F6674"/>
    <w:rsid w:val="006F6D03"/>
    <w:rsid w:val="006F6D95"/>
    <w:rsid w:val="006F75E8"/>
    <w:rsid w:val="006F7722"/>
    <w:rsid w:val="006F7ACB"/>
    <w:rsid w:val="006F7AD7"/>
    <w:rsid w:val="006F7DCF"/>
    <w:rsid w:val="006F7FB5"/>
    <w:rsid w:val="00700158"/>
    <w:rsid w:val="007001CE"/>
    <w:rsid w:val="00700672"/>
    <w:rsid w:val="0070067B"/>
    <w:rsid w:val="007007B5"/>
    <w:rsid w:val="007009B2"/>
    <w:rsid w:val="00700B60"/>
    <w:rsid w:val="00700CB3"/>
    <w:rsid w:val="00700EB9"/>
    <w:rsid w:val="00700F6A"/>
    <w:rsid w:val="00701556"/>
    <w:rsid w:val="00701767"/>
    <w:rsid w:val="00701A6A"/>
    <w:rsid w:val="00701A7C"/>
    <w:rsid w:val="00701F62"/>
    <w:rsid w:val="0070233F"/>
    <w:rsid w:val="00702621"/>
    <w:rsid w:val="00702727"/>
    <w:rsid w:val="007028FF"/>
    <w:rsid w:val="00702A20"/>
    <w:rsid w:val="00702AE8"/>
    <w:rsid w:val="00703C70"/>
    <w:rsid w:val="00703F90"/>
    <w:rsid w:val="0070472C"/>
    <w:rsid w:val="00704D01"/>
    <w:rsid w:val="00704DC6"/>
    <w:rsid w:val="007050F7"/>
    <w:rsid w:val="00705478"/>
    <w:rsid w:val="007054F4"/>
    <w:rsid w:val="007055F4"/>
    <w:rsid w:val="00705C44"/>
    <w:rsid w:val="007064B1"/>
    <w:rsid w:val="00706937"/>
    <w:rsid w:val="00706BED"/>
    <w:rsid w:val="00706F13"/>
    <w:rsid w:val="007072A3"/>
    <w:rsid w:val="007072E8"/>
    <w:rsid w:val="007073C7"/>
    <w:rsid w:val="00707909"/>
    <w:rsid w:val="00707B9C"/>
    <w:rsid w:val="00707C5D"/>
    <w:rsid w:val="00707ED9"/>
    <w:rsid w:val="00707EDD"/>
    <w:rsid w:val="00710225"/>
    <w:rsid w:val="00710660"/>
    <w:rsid w:val="007106FF"/>
    <w:rsid w:val="007107C8"/>
    <w:rsid w:val="00710A3E"/>
    <w:rsid w:val="0071163F"/>
    <w:rsid w:val="00711C0B"/>
    <w:rsid w:val="007126B1"/>
    <w:rsid w:val="007126C3"/>
    <w:rsid w:val="00712733"/>
    <w:rsid w:val="00712877"/>
    <w:rsid w:val="007134A1"/>
    <w:rsid w:val="00713589"/>
    <w:rsid w:val="00713796"/>
    <w:rsid w:val="007138D0"/>
    <w:rsid w:val="00713E41"/>
    <w:rsid w:val="00714141"/>
    <w:rsid w:val="0071425D"/>
    <w:rsid w:val="007142AE"/>
    <w:rsid w:val="007144F3"/>
    <w:rsid w:val="007148A6"/>
    <w:rsid w:val="00714AC0"/>
    <w:rsid w:val="00714B0D"/>
    <w:rsid w:val="00714C78"/>
    <w:rsid w:val="00714CD1"/>
    <w:rsid w:val="00714D3C"/>
    <w:rsid w:val="00715036"/>
    <w:rsid w:val="0071555E"/>
    <w:rsid w:val="007155AF"/>
    <w:rsid w:val="00715770"/>
    <w:rsid w:val="00715858"/>
    <w:rsid w:val="007158C5"/>
    <w:rsid w:val="0071596B"/>
    <w:rsid w:val="00715994"/>
    <w:rsid w:val="00715D46"/>
    <w:rsid w:val="0071618D"/>
    <w:rsid w:val="00716358"/>
    <w:rsid w:val="007167F3"/>
    <w:rsid w:val="00716B2B"/>
    <w:rsid w:val="007170C6"/>
    <w:rsid w:val="0071731A"/>
    <w:rsid w:val="00717992"/>
    <w:rsid w:val="00717B1A"/>
    <w:rsid w:val="00717B73"/>
    <w:rsid w:val="00717BBD"/>
    <w:rsid w:val="007200C7"/>
    <w:rsid w:val="00720181"/>
    <w:rsid w:val="0072028D"/>
    <w:rsid w:val="007202AB"/>
    <w:rsid w:val="00720D45"/>
    <w:rsid w:val="00720D62"/>
    <w:rsid w:val="007215D9"/>
    <w:rsid w:val="00721626"/>
    <w:rsid w:val="00721736"/>
    <w:rsid w:val="00721CD5"/>
    <w:rsid w:val="00721D1B"/>
    <w:rsid w:val="00721DFF"/>
    <w:rsid w:val="00721ED7"/>
    <w:rsid w:val="00721ED9"/>
    <w:rsid w:val="00721F55"/>
    <w:rsid w:val="00722035"/>
    <w:rsid w:val="00722128"/>
    <w:rsid w:val="007227EE"/>
    <w:rsid w:val="00722825"/>
    <w:rsid w:val="007231B3"/>
    <w:rsid w:val="00723311"/>
    <w:rsid w:val="0072334C"/>
    <w:rsid w:val="00723C0B"/>
    <w:rsid w:val="00723C39"/>
    <w:rsid w:val="00723EAB"/>
    <w:rsid w:val="007240A9"/>
    <w:rsid w:val="00724153"/>
    <w:rsid w:val="007242B3"/>
    <w:rsid w:val="00724B28"/>
    <w:rsid w:val="00724D31"/>
    <w:rsid w:val="00724E59"/>
    <w:rsid w:val="00724F48"/>
    <w:rsid w:val="00725287"/>
    <w:rsid w:val="007254DD"/>
    <w:rsid w:val="00725629"/>
    <w:rsid w:val="007256F0"/>
    <w:rsid w:val="007257A5"/>
    <w:rsid w:val="0072587D"/>
    <w:rsid w:val="007258DE"/>
    <w:rsid w:val="007259BE"/>
    <w:rsid w:val="00725E7A"/>
    <w:rsid w:val="00725FA4"/>
    <w:rsid w:val="0072663B"/>
    <w:rsid w:val="00726944"/>
    <w:rsid w:val="00726E22"/>
    <w:rsid w:val="00727159"/>
    <w:rsid w:val="00727402"/>
    <w:rsid w:val="007277B9"/>
    <w:rsid w:val="0072782B"/>
    <w:rsid w:val="00727C71"/>
    <w:rsid w:val="00727D85"/>
    <w:rsid w:val="00730048"/>
    <w:rsid w:val="007300A4"/>
    <w:rsid w:val="00730305"/>
    <w:rsid w:val="00730447"/>
    <w:rsid w:val="00730567"/>
    <w:rsid w:val="0073078D"/>
    <w:rsid w:val="0073080B"/>
    <w:rsid w:val="007308B2"/>
    <w:rsid w:val="007309EB"/>
    <w:rsid w:val="00730D7F"/>
    <w:rsid w:val="00731219"/>
    <w:rsid w:val="00731306"/>
    <w:rsid w:val="007316E9"/>
    <w:rsid w:val="00731703"/>
    <w:rsid w:val="0073186B"/>
    <w:rsid w:val="00731C13"/>
    <w:rsid w:val="007320FA"/>
    <w:rsid w:val="0073218A"/>
    <w:rsid w:val="00732476"/>
    <w:rsid w:val="007324B3"/>
    <w:rsid w:val="00733272"/>
    <w:rsid w:val="0073351D"/>
    <w:rsid w:val="00733627"/>
    <w:rsid w:val="00733630"/>
    <w:rsid w:val="0073381D"/>
    <w:rsid w:val="0073383D"/>
    <w:rsid w:val="00733ABF"/>
    <w:rsid w:val="007340D5"/>
    <w:rsid w:val="00734139"/>
    <w:rsid w:val="007341F0"/>
    <w:rsid w:val="007346CC"/>
    <w:rsid w:val="0073494D"/>
    <w:rsid w:val="00734CDA"/>
    <w:rsid w:val="00735271"/>
    <w:rsid w:val="0073529F"/>
    <w:rsid w:val="007354FD"/>
    <w:rsid w:val="00735618"/>
    <w:rsid w:val="007359D9"/>
    <w:rsid w:val="007363D7"/>
    <w:rsid w:val="00736A3B"/>
    <w:rsid w:val="00736B88"/>
    <w:rsid w:val="00736CBC"/>
    <w:rsid w:val="00736E61"/>
    <w:rsid w:val="00736F45"/>
    <w:rsid w:val="00737178"/>
    <w:rsid w:val="00737293"/>
    <w:rsid w:val="00737359"/>
    <w:rsid w:val="00737382"/>
    <w:rsid w:val="0073770C"/>
    <w:rsid w:val="0073794E"/>
    <w:rsid w:val="00737AF6"/>
    <w:rsid w:val="00737BCC"/>
    <w:rsid w:val="00737CAC"/>
    <w:rsid w:val="00737CFA"/>
    <w:rsid w:val="00737DC5"/>
    <w:rsid w:val="00737E07"/>
    <w:rsid w:val="00737FB6"/>
    <w:rsid w:val="00740446"/>
    <w:rsid w:val="007407C0"/>
    <w:rsid w:val="00740D6C"/>
    <w:rsid w:val="00741017"/>
    <w:rsid w:val="00741336"/>
    <w:rsid w:val="0074175F"/>
    <w:rsid w:val="00741BCA"/>
    <w:rsid w:val="00741F51"/>
    <w:rsid w:val="00742148"/>
    <w:rsid w:val="00742426"/>
    <w:rsid w:val="00742641"/>
    <w:rsid w:val="007427AE"/>
    <w:rsid w:val="00742A7B"/>
    <w:rsid w:val="00742C31"/>
    <w:rsid w:val="00743124"/>
    <w:rsid w:val="007431B5"/>
    <w:rsid w:val="00743283"/>
    <w:rsid w:val="0074343A"/>
    <w:rsid w:val="007438A9"/>
    <w:rsid w:val="00743B00"/>
    <w:rsid w:val="00743F0B"/>
    <w:rsid w:val="00744499"/>
    <w:rsid w:val="0074458C"/>
    <w:rsid w:val="007446E8"/>
    <w:rsid w:val="0074491E"/>
    <w:rsid w:val="00744A6D"/>
    <w:rsid w:val="00744BB5"/>
    <w:rsid w:val="00744D55"/>
    <w:rsid w:val="00744F56"/>
    <w:rsid w:val="00745374"/>
    <w:rsid w:val="007456EF"/>
    <w:rsid w:val="007459BC"/>
    <w:rsid w:val="00745F56"/>
    <w:rsid w:val="00746064"/>
    <w:rsid w:val="007460A7"/>
    <w:rsid w:val="007460E4"/>
    <w:rsid w:val="00746807"/>
    <w:rsid w:val="00746850"/>
    <w:rsid w:val="00746977"/>
    <w:rsid w:val="007469A1"/>
    <w:rsid w:val="00746FEA"/>
    <w:rsid w:val="007473B0"/>
    <w:rsid w:val="007476E5"/>
    <w:rsid w:val="00747938"/>
    <w:rsid w:val="00747C0B"/>
    <w:rsid w:val="00747FC1"/>
    <w:rsid w:val="007503A0"/>
    <w:rsid w:val="00750530"/>
    <w:rsid w:val="00751B90"/>
    <w:rsid w:val="00751E9E"/>
    <w:rsid w:val="00751FC5"/>
    <w:rsid w:val="007521B7"/>
    <w:rsid w:val="0075240B"/>
    <w:rsid w:val="00752B59"/>
    <w:rsid w:val="00752C22"/>
    <w:rsid w:val="00752C84"/>
    <w:rsid w:val="00752EA0"/>
    <w:rsid w:val="00753047"/>
    <w:rsid w:val="00753155"/>
    <w:rsid w:val="0075321E"/>
    <w:rsid w:val="0075334D"/>
    <w:rsid w:val="00753691"/>
    <w:rsid w:val="0075383A"/>
    <w:rsid w:val="00753B8E"/>
    <w:rsid w:val="00753E64"/>
    <w:rsid w:val="0075406D"/>
    <w:rsid w:val="00754083"/>
    <w:rsid w:val="007545F5"/>
    <w:rsid w:val="00754C85"/>
    <w:rsid w:val="00754D20"/>
    <w:rsid w:val="00754D5C"/>
    <w:rsid w:val="0075515E"/>
    <w:rsid w:val="00755480"/>
    <w:rsid w:val="00755A00"/>
    <w:rsid w:val="00755BEC"/>
    <w:rsid w:val="00755DC6"/>
    <w:rsid w:val="0075610E"/>
    <w:rsid w:val="007561B4"/>
    <w:rsid w:val="007563A5"/>
    <w:rsid w:val="007565EE"/>
    <w:rsid w:val="00756BA1"/>
    <w:rsid w:val="00756CB3"/>
    <w:rsid w:val="00756CB6"/>
    <w:rsid w:val="007571E7"/>
    <w:rsid w:val="00757963"/>
    <w:rsid w:val="007600F2"/>
    <w:rsid w:val="0076034A"/>
    <w:rsid w:val="007604CF"/>
    <w:rsid w:val="00760652"/>
    <w:rsid w:val="0076088B"/>
    <w:rsid w:val="007609BA"/>
    <w:rsid w:val="00761458"/>
    <w:rsid w:val="007615BE"/>
    <w:rsid w:val="00761837"/>
    <w:rsid w:val="00761843"/>
    <w:rsid w:val="00761913"/>
    <w:rsid w:val="00761E02"/>
    <w:rsid w:val="00761E79"/>
    <w:rsid w:val="0076247A"/>
    <w:rsid w:val="00762555"/>
    <w:rsid w:val="007628A5"/>
    <w:rsid w:val="00762941"/>
    <w:rsid w:val="00762E9B"/>
    <w:rsid w:val="00762EEC"/>
    <w:rsid w:val="007630DC"/>
    <w:rsid w:val="0076317C"/>
    <w:rsid w:val="00763695"/>
    <w:rsid w:val="007636B0"/>
    <w:rsid w:val="00763762"/>
    <w:rsid w:val="007638C8"/>
    <w:rsid w:val="0076398B"/>
    <w:rsid w:val="00763C36"/>
    <w:rsid w:val="00763DEB"/>
    <w:rsid w:val="007640BF"/>
    <w:rsid w:val="007643D5"/>
    <w:rsid w:val="0076484E"/>
    <w:rsid w:val="00764A20"/>
    <w:rsid w:val="00765227"/>
    <w:rsid w:val="00765261"/>
    <w:rsid w:val="00765873"/>
    <w:rsid w:val="007658DC"/>
    <w:rsid w:val="00765999"/>
    <w:rsid w:val="00765A78"/>
    <w:rsid w:val="00765E5B"/>
    <w:rsid w:val="007662BA"/>
    <w:rsid w:val="0076634E"/>
    <w:rsid w:val="00766911"/>
    <w:rsid w:val="007669BB"/>
    <w:rsid w:val="007669C9"/>
    <w:rsid w:val="00766A32"/>
    <w:rsid w:val="00767394"/>
    <w:rsid w:val="0077011B"/>
    <w:rsid w:val="007701CE"/>
    <w:rsid w:val="00770479"/>
    <w:rsid w:val="00770965"/>
    <w:rsid w:val="00770971"/>
    <w:rsid w:val="007710D8"/>
    <w:rsid w:val="0077128F"/>
    <w:rsid w:val="0077151D"/>
    <w:rsid w:val="007717A1"/>
    <w:rsid w:val="00771919"/>
    <w:rsid w:val="00771A2F"/>
    <w:rsid w:val="00771A4E"/>
    <w:rsid w:val="00771DB0"/>
    <w:rsid w:val="0077204D"/>
    <w:rsid w:val="007720CC"/>
    <w:rsid w:val="007722E2"/>
    <w:rsid w:val="0077246C"/>
    <w:rsid w:val="00772A77"/>
    <w:rsid w:val="00772AE8"/>
    <w:rsid w:val="00772B9A"/>
    <w:rsid w:val="00772DC7"/>
    <w:rsid w:val="00772E8B"/>
    <w:rsid w:val="00772EA9"/>
    <w:rsid w:val="00772ED9"/>
    <w:rsid w:val="0077311C"/>
    <w:rsid w:val="00773167"/>
    <w:rsid w:val="00773729"/>
    <w:rsid w:val="00773744"/>
    <w:rsid w:val="007738D7"/>
    <w:rsid w:val="00773B71"/>
    <w:rsid w:val="007741C3"/>
    <w:rsid w:val="007742D7"/>
    <w:rsid w:val="00774552"/>
    <w:rsid w:val="00774C0A"/>
    <w:rsid w:val="00774D7A"/>
    <w:rsid w:val="007750EF"/>
    <w:rsid w:val="0077523F"/>
    <w:rsid w:val="007753C9"/>
    <w:rsid w:val="00775505"/>
    <w:rsid w:val="0077554F"/>
    <w:rsid w:val="0077559E"/>
    <w:rsid w:val="00775851"/>
    <w:rsid w:val="00775964"/>
    <w:rsid w:val="00775A4E"/>
    <w:rsid w:val="00775BE6"/>
    <w:rsid w:val="00775D97"/>
    <w:rsid w:val="00775F38"/>
    <w:rsid w:val="00775F9C"/>
    <w:rsid w:val="007765FE"/>
    <w:rsid w:val="0077673A"/>
    <w:rsid w:val="00776779"/>
    <w:rsid w:val="007767E0"/>
    <w:rsid w:val="00776A65"/>
    <w:rsid w:val="00776C45"/>
    <w:rsid w:val="00776CA3"/>
    <w:rsid w:val="00777004"/>
    <w:rsid w:val="007770A3"/>
    <w:rsid w:val="007773D3"/>
    <w:rsid w:val="0077755E"/>
    <w:rsid w:val="00777604"/>
    <w:rsid w:val="00777738"/>
    <w:rsid w:val="00777842"/>
    <w:rsid w:val="00777A18"/>
    <w:rsid w:val="00777BFF"/>
    <w:rsid w:val="00777F93"/>
    <w:rsid w:val="0078054C"/>
    <w:rsid w:val="00780B30"/>
    <w:rsid w:val="00780C55"/>
    <w:rsid w:val="00780DB1"/>
    <w:rsid w:val="00781149"/>
    <w:rsid w:val="0078166D"/>
    <w:rsid w:val="00781A9A"/>
    <w:rsid w:val="00781BD4"/>
    <w:rsid w:val="00781C44"/>
    <w:rsid w:val="00781CD4"/>
    <w:rsid w:val="00781D39"/>
    <w:rsid w:val="00782016"/>
    <w:rsid w:val="0078201F"/>
    <w:rsid w:val="00782364"/>
    <w:rsid w:val="00782379"/>
    <w:rsid w:val="007825E6"/>
    <w:rsid w:val="00782A3F"/>
    <w:rsid w:val="00782B03"/>
    <w:rsid w:val="00782B34"/>
    <w:rsid w:val="00782F97"/>
    <w:rsid w:val="007835BC"/>
    <w:rsid w:val="0078377A"/>
    <w:rsid w:val="007837D1"/>
    <w:rsid w:val="00783D05"/>
    <w:rsid w:val="007843AE"/>
    <w:rsid w:val="00784B83"/>
    <w:rsid w:val="00784B9D"/>
    <w:rsid w:val="00784F43"/>
    <w:rsid w:val="00785147"/>
    <w:rsid w:val="007853BD"/>
    <w:rsid w:val="00785932"/>
    <w:rsid w:val="0078596E"/>
    <w:rsid w:val="0078598A"/>
    <w:rsid w:val="00785998"/>
    <w:rsid w:val="007859D8"/>
    <w:rsid w:val="00785D19"/>
    <w:rsid w:val="00786622"/>
    <w:rsid w:val="00786660"/>
    <w:rsid w:val="00786698"/>
    <w:rsid w:val="007867BC"/>
    <w:rsid w:val="0078681C"/>
    <w:rsid w:val="0078694A"/>
    <w:rsid w:val="00786BE5"/>
    <w:rsid w:val="00786C4E"/>
    <w:rsid w:val="00786D33"/>
    <w:rsid w:val="00787113"/>
    <w:rsid w:val="007872BC"/>
    <w:rsid w:val="007874EA"/>
    <w:rsid w:val="0078758F"/>
    <w:rsid w:val="00787732"/>
    <w:rsid w:val="0078796E"/>
    <w:rsid w:val="00787A61"/>
    <w:rsid w:val="00787D0A"/>
    <w:rsid w:val="00787D39"/>
    <w:rsid w:val="0079009A"/>
    <w:rsid w:val="007902B2"/>
    <w:rsid w:val="007902E9"/>
    <w:rsid w:val="00790B21"/>
    <w:rsid w:val="00790B3B"/>
    <w:rsid w:val="00791164"/>
    <w:rsid w:val="00791391"/>
    <w:rsid w:val="007922E2"/>
    <w:rsid w:val="007922F3"/>
    <w:rsid w:val="0079240A"/>
    <w:rsid w:val="00792440"/>
    <w:rsid w:val="00792460"/>
    <w:rsid w:val="0079266B"/>
    <w:rsid w:val="00792684"/>
    <w:rsid w:val="00792752"/>
    <w:rsid w:val="00792772"/>
    <w:rsid w:val="00792937"/>
    <w:rsid w:val="00792B0E"/>
    <w:rsid w:val="0079376E"/>
    <w:rsid w:val="007937AD"/>
    <w:rsid w:val="00793ABB"/>
    <w:rsid w:val="00794446"/>
    <w:rsid w:val="00794505"/>
    <w:rsid w:val="00794801"/>
    <w:rsid w:val="0079490C"/>
    <w:rsid w:val="00794B12"/>
    <w:rsid w:val="00794C69"/>
    <w:rsid w:val="00794E2E"/>
    <w:rsid w:val="00794E73"/>
    <w:rsid w:val="00794F93"/>
    <w:rsid w:val="00795017"/>
    <w:rsid w:val="0079504E"/>
    <w:rsid w:val="007953F5"/>
    <w:rsid w:val="007954D5"/>
    <w:rsid w:val="007955D7"/>
    <w:rsid w:val="0079591B"/>
    <w:rsid w:val="00795BFB"/>
    <w:rsid w:val="00795E23"/>
    <w:rsid w:val="00795FC0"/>
    <w:rsid w:val="0079666C"/>
    <w:rsid w:val="00796C88"/>
    <w:rsid w:val="00796F53"/>
    <w:rsid w:val="00796F6B"/>
    <w:rsid w:val="0079743F"/>
    <w:rsid w:val="007975BE"/>
    <w:rsid w:val="007A0272"/>
    <w:rsid w:val="007A07B2"/>
    <w:rsid w:val="007A0DE6"/>
    <w:rsid w:val="007A0EBD"/>
    <w:rsid w:val="007A129E"/>
    <w:rsid w:val="007A15F5"/>
    <w:rsid w:val="007A18F5"/>
    <w:rsid w:val="007A1ACB"/>
    <w:rsid w:val="007A1C6A"/>
    <w:rsid w:val="007A1D97"/>
    <w:rsid w:val="007A23F1"/>
    <w:rsid w:val="007A265F"/>
    <w:rsid w:val="007A2DAA"/>
    <w:rsid w:val="007A2DF9"/>
    <w:rsid w:val="007A309C"/>
    <w:rsid w:val="007A342E"/>
    <w:rsid w:val="007A3A54"/>
    <w:rsid w:val="007A3C1F"/>
    <w:rsid w:val="007A3CFD"/>
    <w:rsid w:val="007A3DA7"/>
    <w:rsid w:val="007A3DFB"/>
    <w:rsid w:val="007A3F26"/>
    <w:rsid w:val="007A40D5"/>
    <w:rsid w:val="007A4115"/>
    <w:rsid w:val="007A4291"/>
    <w:rsid w:val="007A4386"/>
    <w:rsid w:val="007A4475"/>
    <w:rsid w:val="007A45BF"/>
    <w:rsid w:val="007A4B33"/>
    <w:rsid w:val="007A4BAE"/>
    <w:rsid w:val="007A4C3C"/>
    <w:rsid w:val="007A4E7B"/>
    <w:rsid w:val="007A4F0A"/>
    <w:rsid w:val="007A5209"/>
    <w:rsid w:val="007A53AC"/>
    <w:rsid w:val="007A5464"/>
    <w:rsid w:val="007A610E"/>
    <w:rsid w:val="007A61D7"/>
    <w:rsid w:val="007A6AFA"/>
    <w:rsid w:val="007A7625"/>
    <w:rsid w:val="007A771C"/>
    <w:rsid w:val="007A785B"/>
    <w:rsid w:val="007A7923"/>
    <w:rsid w:val="007A7A98"/>
    <w:rsid w:val="007A7E33"/>
    <w:rsid w:val="007A7E6D"/>
    <w:rsid w:val="007A7EA0"/>
    <w:rsid w:val="007A7F25"/>
    <w:rsid w:val="007A7FD2"/>
    <w:rsid w:val="007B007F"/>
    <w:rsid w:val="007B00CA"/>
    <w:rsid w:val="007B0377"/>
    <w:rsid w:val="007B03B7"/>
    <w:rsid w:val="007B0412"/>
    <w:rsid w:val="007B0CC5"/>
    <w:rsid w:val="007B0F1E"/>
    <w:rsid w:val="007B116E"/>
    <w:rsid w:val="007B131B"/>
    <w:rsid w:val="007B132C"/>
    <w:rsid w:val="007B14E8"/>
    <w:rsid w:val="007B150B"/>
    <w:rsid w:val="007B1774"/>
    <w:rsid w:val="007B1AE9"/>
    <w:rsid w:val="007B1C68"/>
    <w:rsid w:val="007B2231"/>
    <w:rsid w:val="007B25F8"/>
    <w:rsid w:val="007B2760"/>
    <w:rsid w:val="007B29A8"/>
    <w:rsid w:val="007B2CBB"/>
    <w:rsid w:val="007B2D39"/>
    <w:rsid w:val="007B3270"/>
    <w:rsid w:val="007B352A"/>
    <w:rsid w:val="007B352B"/>
    <w:rsid w:val="007B3582"/>
    <w:rsid w:val="007B377C"/>
    <w:rsid w:val="007B3F49"/>
    <w:rsid w:val="007B3F75"/>
    <w:rsid w:val="007B441A"/>
    <w:rsid w:val="007B44C0"/>
    <w:rsid w:val="007B470C"/>
    <w:rsid w:val="007B474E"/>
    <w:rsid w:val="007B4843"/>
    <w:rsid w:val="007B49B9"/>
    <w:rsid w:val="007B4C6E"/>
    <w:rsid w:val="007B4D98"/>
    <w:rsid w:val="007B4E83"/>
    <w:rsid w:val="007B510D"/>
    <w:rsid w:val="007B5114"/>
    <w:rsid w:val="007B5759"/>
    <w:rsid w:val="007B59C9"/>
    <w:rsid w:val="007B5CAA"/>
    <w:rsid w:val="007B5E4C"/>
    <w:rsid w:val="007B5E59"/>
    <w:rsid w:val="007B5E5C"/>
    <w:rsid w:val="007B6026"/>
    <w:rsid w:val="007B62B9"/>
    <w:rsid w:val="007B62BA"/>
    <w:rsid w:val="007B643B"/>
    <w:rsid w:val="007B6457"/>
    <w:rsid w:val="007B6576"/>
    <w:rsid w:val="007B6717"/>
    <w:rsid w:val="007B6826"/>
    <w:rsid w:val="007B6BF9"/>
    <w:rsid w:val="007B6D2D"/>
    <w:rsid w:val="007B6D68"/>
    <w:rsid w:val="007B6DD1"/>
    <w:rsid w:val="007B6DDF"/>
    <w:rsid w:val="007B6E05"/>
    <w:rsid w:val="007B6F74"/>
    <w:rsid w:val="007B6FE6"/>
    <w:rsid w:val="007B7246"/>
    <w:rsid w:val="007B742D"/>
    <w:rsid w:val="007B76AA"/>
    <w:rsid w:val="007B7D14"/>
    <w:rsid w:val="007B7D56"/>
    <w:rsid w:val="007C0481"/>
    <w:rsid w:val="007C07CB"/>
    <w:rsid w:val="007C088A"/>
    <w:rsid w:val="007C0FA9"/>
    <w:rsid w:val="007C1110"/>
    <w:rsid w:val="007C12FD"/>
    <w:rsid w:val="007C1402"/>
    <w:rsid w:val="007C150E"/>
    <w:rsid w:val="007C1512"/>
    <w:rsid w:val="007C181F"/>
    <w:rsid w:val="007C1879"/>
    <w:rsid w:val="007C1A38"/>
    <w:rsid w:val="007C1C3C"/>
    <w:rsid w:val="007C2240"/>
    <w:rsid w:val="007C277D"/>
    <w:rsid w:val="007C2C87"/>
    <w:rsid w:val="007C3393"/>
    <w:rsid w:val="007C33F4"/>
    <w:rsid w:val="007C361A"/>
    <w:rsid w:val="007C37CD"/>
    <w:rsid w:val="007C3AC7"/>
    <w:rsid w:val="007C3C4F"/>
    <w:rsid w:val="007C43A9"/>
    <w:rsid w:val="007C448E"/>
    <w:rsid w:val="007C4499"/>
    <w:rsid w:val="007C4597"/>
    <w:rsid w:val="007C47DC"/>
    <w:rsid w:val="007C4D88"/>
    <w:rsid w:val="007C4E12"/>
    <w:rsid w:val="007C4F25"/>
    <w:rsid w:val="007C511E"/>
    <w:rsid w:val="007C51E1"/>
    <w:rsid w:val="007C52E9"/>
    <w:rsid w:val="007C53C2"/>
    <w:rsid w:val="007C5ADE"/>
    <w:rsid w:val="007C5B46"/>
    <w:rsid w:val="007C5DE6"/>
    <w:rsid w:val="007C5FAE"/>
    <w:rsid w:val="007C6045"/>
    <w:rsid w:val="007C614E"/>
    <w:rsid w:val="007C6236"/>
    <w:rsid w:val="007C63E0"/>
    <w:rsid w:val="007C6409"/>
    <w:rsid w:val="007C64D1"/>
    <w:rsid w:val="007C6633"/>
    <w:rsid w:val="007C67CF"/>
    <w:rsid w:val="007C69CC"/>
    <w:rsid w:val="007C6D7D"/>
    <w:rsid w:val="007C6DF7"/>
    <w:rsid w:val="007C6F14"/>
    <w:rsid w:val="007C7002"/>
    <w:rsid w:val="007C70F0"/>
    <w:rsid w:val="007C755F"/>
    <w:rsid w:val="007C7BFC"/>
    <w:rsid w:val="007C7CA0"/>
    <w:rsid w:val="007C7D40"/>
    <w:rsid w:val="007C7DE3"/>
    <w:rsid w:val="007C7E6E"/>
    <w:rsid w:val="007D02D0"/>
    <w:rsid w:val="007D03D9"/>
    <w:rsid w:val="007D04E4"/>
    <w:rsid w:val="007D065A"/>
    <w:rsid w:val="007D07F9"/>
    <w:rsid w:val="007D096C"/>
    <w:rsid w:val="007D0C0B"/>
    <w:rsid w:val="007D10B1"/>
    <w:rsid w:val="007D10FA"/>
    <w:rsid w:val="007D12A4"/>
    <w:rsid w:val="007D1509"/>
    <w:rsid w:val="007D1668"/>
    <w:rsid w:val="007D16F5"/>
    <w:rsid w:val="007D1A9E"/>
    <w:rsid w:val="007D2017"/>
    <w:rsid w:val="007D222C"/>
    <w:rsid w:val="007D22A1"/>
    <w:rsid w:val="007D22EF"/>
    <w:rsid w:val="007D230E"/>
    <w:rsid w:val="007D2356"/>
    <w:rsid w:val="007D2A19"/>
    <w:rsid w:val="007D2CC8"/>
    <w:rsid w:val="007D2E90"/>
    <w:rsid w:val="007D2F0D"/>
    <w:rsid w:val="007D3700"/>
    <w:rsid w:val="007D3894"/>
    <w:rsid w:val="007D38F4"/>
    <w:rsid w:val="007D3BEF"/>
    <w:rsid w:val="007D3D5A"/>
    <w:rsid w:val="007D407B"/>
    <w:rsid w:val="007D4342"/>
    <w:rsid w:val="007D4B82"/>
    <w:rsid w:val="007D4C4B"/>
    <w:rsid w:val="007D4DF4"/>
    <w:rsid w:val="007D4EA4"/>
    <w:rsid w:val="007D5015"/>
    <w:rsid w:val="007D5368"/>
    <w:rsid w:val="007D5523"/>
    <w:rsid w:val="007D55F7"/>
    <w:rsid w:val="007D5750"/>
    <w:rsid w:val="007D5CF5"/>
    <w:rsid w:val="007D5D9E"/>
    <w:rsid w:val="007D60CA"/>
    <w:rsid w:val="007D70DA"/>
    <w:rsid w:val="007D7539"/>
    <w:rsid w:val="007D7721"/>
    <w:rsid w:val="007D78D2"/>
    <w:rsid w:val="007D7AAC"/>
    <w:rsid w:val="007D7B00"/>
    <w:rsid w:val="007D7CCD"/>
    <w:rsid w:val="007D7E8A"/>
    <w:rsid w:val="007E0404"/>
    <w:rsid w:val="007E0632"/>
    <w:rsid w:val="007E063B"/>
    <w:rsid w:val="007E0850"/>
    <w:rsid w:val="007E0DCC"/>
    <w:rsid w:val="007E11CF"/>
    <w:rsid w:val="007E1306"/>
    <w:rsid w:val="007E1663"/>
    <w:rsid w:val="007E16AB"/>
    <w:rsid w:val="007E1804"/>
    <w:rsid w:val="007E1843"/>
    <w:rsid w:val="007E1979"/>
    <w:rsid w:val="007E1992"/>
    <w:rsid w:val="007E1BDF"/>
    <w:rsid w:val="007E1CB4"/>
    <w:rsid w:val="007E1CDF"/>
    <w:rsid w:val="007E1EDE"/>
    <w:rsid w:val="007E1F1C"/>
    <w:rsid w:val="007E1F5E"/>
    <w:rsid w:val="007E209B"/>
    <w:rsid w:val="007E20AC"/>
    <w:rsid w:val="007E21BF"/>
    <w:rsid w:val="007E21F8"/>
    <w:rsid w:val="007E237B"/>
    <w:rsid w:val="007E2656"/>
    <w:rsid w:val="007E29D9"/>
    <w:rsid w:val="007E2A58"/>
    <w:rsid w:val="007E2C29"/>
    <w:rsid w:val="007E2D7F"/>
    <w:rsid w:val="007E3042"/>
    <w:rsid w:val="007E3197"/>
    <w:rsid w:val="007E3393"/>
    <w:rsid w:val="007E3475"/>
    <w:rsid w:val="007E3546"/>
    <w:rsid w:val="007E3765"/>
    <w:rsid w:val="007E38F5"/>
    <w:rsid w:val="007E3B3C"/>
    <w:rsid w:val="007E3CA7"/>
    <w:rsid w:val="007E3EAF"/>
    <w:rsid w:val="007E40D5"/>
    <w:rsid w:val="007E412B"/>
    <w:rsid w:val="007E4324"/>
    <w:rsid w:val="007E4796"/>
    <w:rsid w:val="007E48A8"/>
    <w:rsid w:val="007E4CE0"/>
    <w:rsid w:val="007E4EB2"/>
    <w:rsid w:val="007E57B5"/>
    <w:rsid w:val="007E5AFF"/>
    <w:rsid w:val="007E5C1B"/>
    <w:rsid w:val="007E5D70"/>
    <w:rsid w:val="007E5E0A"/>
    <w:rsid w:val="007E5F93"/>
    <w:rsid w:val="007E5FAC"/>
    <w:rsid w:val="007E61DD"/>
    <w:rsid w:val="007E624E"/>
    <w:rsid w:val="007E6327"/>
    <w:rsid w:val="007E64E3"/>
    <w:rsid w:val="007E66CE"/>
    <w:rsid w:val="007E6884"/>
    <w:rsid w:val="007E6902"/>
    <w:rsid w:val="007E6A60"/>
    <w:rsid w:val="007E6B05"/>
    <w:rsid w:val="007E7091"/>
    <w:rsid w:val="007E71C9"/>
    <w:rsid w:val="007E7400"/>
    <w:rsid w:val="007E7608"/>
    <w:rsid w:val="007E76CA"/>
    <w:rsid w:val="007E77B2"/>
    <w:rsid w:val="007E797F"/>
    <w:rsid w:val="007E7A60"/>
    <w:rsid w:val="007E7CE9"/>
    <w:rsid w:val="007ED7EF"/>
    <w:rsid w:val="007F008A"/>
    <w:rsid w:val="007F026B"/>
    <w:rsid w:val="007F03CA"/>
    <w:rsid w:val="007F0D1E"/>
    <w:rsid w:val="007F118F"/>
    <w:rsid w:val="007F1446"/>
    <w:rsid w:val="007F1A29"/>
    <w:rsid w:val="007F1AEE"/>
    <w:rsid w:val="007F1BE3"/>
    <w:rsid w:val="007F1E63"/>
    <w:rsid w:val="007F214C"/>
    <w:rsid w:val="007F2531"/>
    <w:rsid w:val="007F256A"/>
    <w:rsid w:val="007F2570"/>
    <w:rsid w:val="007F2624"/>
    <w:rsid w:val="007F29B5"/>
    <w:rsid w:val="007F29EA"/>
    <w:rsid w:val="007F2BAC"/>
    <w:rsid w:val="007F2C10"/>
    <w:rsid w:val="007F2C38"/>
    <w:rsid w:val="007F2CF2"/>
    <w:rsid w:val="007F2E14"/>
    <w:rsid w:val="007F32C9"/>
    <w:rsid w:val="007F3463"/>
    <w:rsid w:val="007F36CC"/>
    <w:rsid w:val="007F36E1"/>
    <w:rsid w:val="007F371A"/>
    <w:rsid w:val="007F3B23"/>
    <w:rsid w:val="007F3E49"/>
    <w:rsid w:val="007F3EA2"/>
    <w:rsid w:val="007F41D6"/>
    <w:rsid w:val="007F42A6"/>
    <w:rsid w:val="007F43C0"/>
    <w:rsid w:val="007F4EBD"/>
    <w:rsid w:val="007F51CD"/>
    <w:rsid w:val="007F52E7"/>
    <w:rsid w:val="007F5318"/>
    <w:rsid w:val="007F5544"/>
    <w:rsid w:val="007F5AB6"/>
    <w:rsid w:val="007F63A6"/>
    <w:rsid w:val="007F6992"/>
    <w:rsid w:val="007F6EB9"/>
    <w:rsid w:val="007F6F6D"/>
    <w:rsid w:val="007F71CF"/>
    <w:rsid w:val="007F739D"/>
    <w:rsid w:val="007F7594"/>
    <w:rsid w:val="007F75DF"/>
    <w:rsid w:val="007F76E0"/>
    <w:rsid w:val="007F7A2F"/>
    <w:rsid w:val="007F7DAC"/>
    <w:rsid w:val="0080004F"/>
    <w:rsid w:val="00800404"/>
    <w:rsid w:val="00800869"/>
    <w:rsid w:val="00800C8C"/>
    <w:rsid w:val="00800D63"/>
    <w:rsid w:val="00800FA1"/>
    <w:rsid w:val="0080127C"/>
    <w:rsid w:val="0080133C"/>
    <w:rsid w:val="00801427"/>
    <w:rsid w:val="00801632"/>
    <w:rsid w:val="0080213C"/>
    <w:rsid w:val="008021DA"/>
    <w:rsid w:val="00802358"/>
    <w:rsid w:val="008023CD"/>
    <w:rsid w:val="008027CC"/>
    <w:rsid w:val="00802DDF"/>
    <w:rsid w:val="00803000"/>
    <w:rsid w:val="0080301D"/>
    <w:rsid w:val="00803036"/>
    <w:rsid w:val="008030FE"/>
    <w:rsid w:val="0080397C"/>
    <w:rsid w:val="00803ABB"/>
    <w:rsid w:val="00803D6F"/>
    <w:rsid w:val="00804004"/>
    <w:rsid w:val="0080423C"/>
    <w:rsid w:val="0080437A"/>
    <w:rsid w:val="00804505"/>
    <w:rsid w:val="008046CF"/>
    <w:rsid w:val="008046FC"/>
    <w:rsid w:val="008048C5"/>
    <w:rsid w:val="00804DB5"/>
    <w:rsid w:val="0080519C"/>
    <w:rsid w:val="008056D6"/>
    <w:rsid w:val="0080580B"/>
    <w:rsid w:val="00805A34"/>
    <w:rsid w:val="00805AD9"/>
    <w:rsid w:val="00805B4E"/>
    <w:rsid w:val="00805C12"/>
    <w:rsid w:val="00805EDC"/>
    <w:rsid w:val="008061EB"/>
    <w:rsid w:val="00806534"/>
    <w:rsid w:val="00806882"/>
    <w:rsid w:val="008069DB"/>
    <w:rsid w:val="00806A7A"/>
    <w:rsid w:val="00806C01"/>
    <w:rsid w:val="008071A5"/>
    <w:rsid w:val="00807336"/>
    <w:rsid w:val="008074A2"/>
    <w:rsid w:val="00807520"/>
    <w:rsid w:val="0080756E"/>
    <w:rsid w:val="0080773F"/>
    <w:rsid w:val="00807BE6"/>
    <w:rsid w:val="00807CBA"/>
    <w:rsid w:val="00807CCE"/>
    <w:rsid w:val="00807F31"/>
    <w:rsid w:val="00807FB7"/>
    <w:rsid w:val="00807FF5"/>
    <w:rsid w:val="0081057A"/>
    <w:rsid w:val="008106FD"/>
    <w:rsid w:val="00810887"/>
    <w:rsid w:val="008109FC"/>
    <w:rsid w:val="00810BCA"/>
    <w:rsid w:val="00810F72"/>
    <w:rsid w:val="00810FE7"/>
    <w:rsid w:val="008113D2"/>
    <w:rsid w:val="0081156D"/>
    <w:rsid w:val="00811713"/>
    <w:rsid w:val="008117B7"/>
    <w:rsid w:val="00811824"/>
    <w:rsid w:val="0081185E"/>
    <w:rsid w:val="008118CA"/>
    <w:rsid w:val="00811AC7"/>
    <w:rsid w:val="00811BDD"/>
    <w:rsid w:val="00811D93"/>
    <w:rsid w:val="0081234E"/>
    <w:rsid w:val="00812657"/>
    <w:rsid w:val="008128D8"/>
    <w:rsid w:val="00812B11"/>
    <w:rsid w:val="00813851"/>
    <w:rsid w:val="008138C8"/>
    <w:rsid w:val="00813AF1"/>
    <w:rsid w:val="00813BEC"/>
    <w:rsid w:val="00813D2C"/>
    <w:rsid w:val="00813E3C"/>
    <w:rsid w:val="00813F05"/>
    <w:rsid w:val="0081414B"/>
    <w:rsid w:val="0081462E"/>
    <w:rsid w:val="008148CC"/>
    <w:rsid w:val="00814B3A"/>
    <w:rsid w:val="00814E24"/>
    <w:rsid w:val="00814E7A"/>
    <w:rsid w:val="00814FFC"/>
    <w:rsid w:val="0081517C"/>
    <w:rsid w:val="00815384"/>
    <w:rsid w:val="0081574A"/>
    <w:rsid w:val="008158FB"/>
    <w:rsid w:val="00815B0B"/>
    <w:rsid w:val="00815BBA"/>
    <w:rsid w:val="00815FD9"/>
    <w:rsid w:val="00816139"/>
    <w:rsid w:val="0081615E"/>
    <w:rsid w:val="008161F9"/>
    <w:rsid w:val="008167E8"/>
    <w:rsid w:val="00816927"/>
    <w:rsid w:val="00816A70"/>
    <w:rsid w:val="00816D43"/>
    <w:rsid w:val="00816E82"/>
    <w:rsid w:val="008170AC"/>
    <w:rsid w:val="008170DF"/>
    <w:rsid w:val="008170FF"/>
    <w:rsid w:val="00817261"/>
    <w:rsid w:val="008173BC"/>
    <w:rsid w:val="00817845"/>
    <w:rsid w:val="0081786E"/>
    <w:rsid w:val="00817AB4"/>
    <w:rsid w:val="00817BF5"/>
    <w:rsid w:val="00820462"/>
    <w:rsid w:val="008205C8"/>
    <w:rsid w:val="0082075D"/>
    <w:rsid w:val="008207DB"/>
    <w:rsid w:val="00820ABF"/>
    <w:rsid w:val="00820C26"/>
    <w:rsid w:val="008210C4"/>
    <w:rsid w:val="008211A4"/>
    <w:rsid w:val="0082122F"/>
    <w:rsid w:val="00821258"/>
    <w:rsid w:val="0082146B"/>
    <w:rsid w:val="00821532"/>
    <w:rsid w:val="0082164B"/>
    <w:rsid w:val="00821871"/>
    <w:rsid w:val="008219FE"/>
    <w:rsid w:val="00821DBE"/>
    <w:rsid w:val="00821EB8"/>
    <w:rsid w:val="00821F5E"/>
    <w:rsid w:val="00821F6F"/>
    <w:rsid w:val="008221A9"/>
    <w:rsid w:val="008222AA"/>
    <w:rsid w:val="0082246B"/>
    <w:rsid w:val="0082248C"/>
    <w:rsid w:val="008225AA"/>
    <w:rsid w:val="008227AD"/>
    <w:rsid w:val="008227C7"/>
    <w:rsid w:val="00822981"/>
    <w:rsid w:val="0082298E"/>
    <w:rsid w:val="00822B74"/>
    <w:rsid w:val="00822CC3"/>
    <w:rsid w:val="008230C4"/>
    <w:rsid w:val="00823750"/>
    <w:rsid w:val="008239B5"/>
    <w:rsid w:val="00823A92"/>
    <w:rsid w:val="00823BDB"/>
    <w:rsid w:val="00823CF4"/>
    <w:rsid w:val="00823D18"/>
    <w:rsid w:val="00823EED"/>
    <w:rsid w:val="008243DD"/>
    <w:rsid w:val="008245CF"/>
    <w:rsid w:val="00824685"/>
    <w:rsid w:val="0082474F"/>
    <w:rsid w:val="00824978"/>
    <w:rsid w:val="00824B12"/>
    <w:rsid w:val="00824BBE"/>
    <w:rsid w:val="0082537A"/>
    <w:rsid w:val="008253B1"/>
    <w:rsid w:val="0082569C"/>
    <w:rsid w:val="0082572D"/>
    <w:rsid w:val="008258C2"/>
    <w:rsid w:val="008259B6"/>
    <w:rsid w:val="00825B85"/>
    <w:rsid w:val="00825BA9"/>
    <w:rsid w:val="00825BE8"/>
    <w:rsid w:val="00825EF2"/>
    <w:rsid w:val="00825F84"/>
    <w:rsid w:val="00826106"/>
    <w:rsid w:val="008261F0"/>
    <w:rsid w:val="008266EF"/>
    <w:rsid w:val="0082685D"/>
    <w:rsid w:val="00826D56"/>
    <w:rsid w:val="00827176"/>
    <w:rsid w:val="008271E4"/>
    <w:rsid w:val="00827711"/>
    <w:rsid w:val="0082775E"/>
    <w:rsid w:val="0082778E"/>
    <w:rsid w:val="00827938"/>
    <w:rsid w:val="0083026B"/>
    <w:rsid w:val="00830380"/>
    <w:rsid w:val="008305EB"/>
    <w:rsid w:val="00830DC2"/>
    <w:rsid w:val="008313EF"/>
    <w:rsid w:val="0083145B"/>
    <w:rsid w:val="008315FE"/>
    <w:rsid w:val="00831887"/>
    <w:rsid w:val="00831A6C"/>
    <w:rsid w:val="00832076"/>
    <w:rsid w:val="008320F8"/>
    <w:rsid w:val="00832195"/>
    <w:rsid w:val="00832340"/>
    <w:rsid w:val="00832362"/>
    <w:rsid w:val="008323A2"/>
    <w:rsid w:val="0083268D"/>
    <w:rsid w:val="00832798"/>
    <w:rsid w:val="008327AC"/>
    <w:rsid w:val="00832935"/>
    <w:rsid w:val="0083293B"/>
    <w:rsid w:val="00832B77"/>
    <w:rsid w:val="00832CEE"/>
    <w:rsid w:val="00832DE0"/>
    <w:rsid w:val="00832EED"/>
    <w:rsid w:val="00832F92"/>
    <w:rsid w:val="00832FF3"/>
    <w:rsid w:val="008337F3"/>
    <w:rsid w:val="00833F91"/>
    <w:rsid w:val="00834184"/>
    <w:rsid w:val="0083421E"/>
    <w:rsid w:val="008348E6"/>
    <w:rsid w:val="00834E30"/>
    <w:rsid w:val="00835191"/>
    <w:rsid w:val="008351C8"/>
    <w:rsid w:val="00835338"/>
    <w:rsid w:val="0083577A"/>
    <w:rsid w:val="008357CA"/>
    <w:rsid w:val="00835C77"/>
    <w:rsid w:val="00835D2D"/>
    <w:rsid w:val="00835DE5"/>
    <w:rsid w:val="00835EF0"/>
    <w:rsid w:val="0083601D"/>
    <w:rsid w:val="00836151"/>
    <w:rsid w:val="00836861"/>
    <w:rsid w:val="0083712C"/>
    <w:rsid w:val="00837398"/>
    <w:rsid w:val="00837924"/>
    <w:rsid w:val="00837A3E"/>
    <w:rsid w:val="008404FD"/>
    <w:rsid w:val="0084072C"/>
    <w:rsid w:val="00841015"/>
    <w:rsid w:val="00841743"/>
    <w:rsid w:val="00841988"/>
    <w:rsid w:val="00841C80"/>
    <w:rsid w:val="00841C96"/>
    <w:rsid w:val="00841D0E"/>
    <w:rsid w:val="00841FDE"/>
    <w:rsid w:val="0084221B"/>
    <w:rsid w:val="008424AE"/>
    <w:rsid w:val="008424C8"/>
    <w:rsid w:val="00842559"/>
    <w:rsid w:val="0084265F"/>
    <w:rsid w:val="00842935"/>
    <w:rsid w:val="00842D25"/>
    <w:rsid w:val="008430D4"/>
    <w:rsid w:val="00843E1F"/>
    <w:rsid w:val="00844075"/>
    <w:rsid w:val="0084464B"/>
    <w:rsid w:val="00844A74"/>
    <w:rsid w:val="00844AF4"/>
    <w:rsid w:val="00844DF7"/>
    <w:rsid w:val="00844EDC"/>
    <w:rsid w:val="0084500E"/>
    <w:rsid w:val="008451B9"/>
    <w:rsid w:val="0084546A"/>
    <w:rsid w:val="00845485"/>
    <w:rsid w:val="008454AE"/>
    <w:rsid w:val="0084591B"/>
    <w:rsid w:val="00845BFA"/>
    <w:rsid w:val="00845E0A"/>
    <w:rsid w:val="00846045"/>
    <w:rsid w:val="00846408"/>
    <w:rsid w:val="00846504"/>
    <w:rsid w:val="0084690D"/>
    <w:rsid w:val="00846B6F"/>
    <w:rsid w:val="00846CA4"/>
    <w:rsid w:val="00846E2D"/>
    <w:rsid w:val="00846F7C"/>
    <w:rsid w:val="00847212"/>
    <w:rsid w:val="00847C0C"/>
    <w:rsid w:val="00847DAF"/>
    <w:rsid w:val="008500FE"/>
    <w:rsid w:val="0085054C"/>
    <w:rsid w:val="00850557"/>
    <w:rsid w:val="00850562"/>
    <w:rsid w:val="008506F7"/>
    <w:rsid w:val="00850849"/>
    <w:rsid w:val="00850951"/>
    <w:rsid w:val="00850B71"/>
    <w:rsid w:val="00850C21"/>
    <w:rsid w:val="008513F9"/>
    <w:rsid w:val="008516B4"/>
    <w:rsid w:val="00851B40"/>
    <w:rsid w:val="00852008"/>
    <w:rsid w:val="008520C3"/>
    <w:rsid w:val="0085212B"/>
    <w:rsid w:val="00852210"/>
    <w:rsid w:val="008522DD"/>
    <w:rsid w:val="008528FF"/>
    <w:rsid w:val="0085321B"/>
    <w:rsid w:val="00853520"/>
    <w:rsid w:val="00853561"/>
    <w:rsid w:val="00853937"/>
    <w:rsid w:val="00853F5D"/>
    <w:rsid w:val="00854494"/>
    <w:rsid w:val="00854899"/>
    <w:rsid w:val="00854C45"/>
    <w:rsid w:val="00854E5D"/>
    <w:rsid w:val="00855204"/>
    <w:rsid w:val="00855393"/>
    <w:rsid w:val="00855422"/>
    <w:rsid w:val="0085550A"/>
    <w:rsid w:val="008555E9"/>
    <w:rsid w:val="00855712"/>
    <w:rsid w:val="00855961"/>
    <w:rsid w:val="008559E2"/>
    <w:rsid w:val="00855C37"/>
    <w:rsid w:val="00855EE9"/>
    <w:rsid w:val="00855FFD"/>
    <w:rsid w:val="008560FC"/>
    <w:rsid w:val="00856108"/>
    <w:rsid w:val="008561F7"/>
    <w:rsid w:val="0085623D"/>
    <w:rsid w:val="008563CA"/>
    <w:rsid w:val="008565CE"/>
    <w:rsid w:val="00856620"/>
    <w:rsid w:val="00856798"/>
    <w:rsid w:val="00856803"/>
    <w:rsid w:val="00856929"/>
    <w:rsid w:val="008571EF"/>
    <w:rsid w:val="00857208"/>
    <w:rsid w:val="0085726E"/>
    <w:rsid w:val="008573FC"/>
    <w:rsid w:val="0085755B"/>
    <w:rsid w:val="008579B6"/>
    <w:rsid w:val="00857A4A"/>
    <w:rsid w:val="00857B39"/>
    <w:rsid w:val="00857E29"/>
    <w:rsid w:val="00860247"/>
    <w:rsid w:val="008604E7"/>
    <w:rsid w:val="0086062F"/>
    <w:rsid w:val="00860630"/>
    <w:rsid w:val="0086066F"/>
    <w:rsid w:val="008607D6"/>
    <w:rsid w:val="0086093E"/>
    <w:rsid w:val="00860C6C"/>
    <w:rsid w:val="00860DBE"/>
    <w:rsid w:val="00860E0A"/>
    <w:rsid w:val="0086138C"/>
    <w:rsid w:val="008614DC"/>
    <w:rsid w:val="00861561"/>
    <w:rsid w:val="008615E5"/>
    <w:rsid w:val="00861699"/>
    <w:rsid w:val="008619FA"/>
    <w:rsid w:val="00861BDE"/>
    <w:rsid w:val="00861EBF"/>
    <w:rsid w:val="00861F18"/>
    <w:rsid w:val="0086210A"/>
    <w:rsid w:val="00862453"/>
    <w:rsid w:val="008624F4"/>
    <w:rsid w:val="008626D6"/>
    <w:rsid w:val="008627C8"/>
    <w:rsid w:val="008627D4"/>
    <w:rsid w:val="00862973"/>
    <w:rsid w:val="00862A10"/>
    <w:rsid w:val="00862AB1"/>
    <w:rsid w:val="0086316C"/>
    <w:rsid w:val="008633E0"/>
    <w:rsid w:val="00863432"/>
    <w:rsid w:val="00863A44"/>
    <w:rsid w:val="00863B1E"/>
    <w:rsid w:val="00863BA3"/>
    <w:rsid w:val="00863C4D"/>
    <w:rsid w:val="00863DAE"/>
    <w:rsid w:val="00863F91"/>
    <w:rsid w:val="008640F4"/>
    <w:rsid w:val="00864112"/>
    <w:rsid w:val="008641E3"/>
    <w:rsid w:val="008641FE"/>
    <w:rsid w:val="008643A3"/>
    <w:rsid w:val="00864618"/>
    <w:rsid w:val="008649CF"/>
    <w:rsid w:val="00864C08"/>
    <w:rsid w:val="00864C46"/>
    <w:rsid w:val="00864D7C"/>
    <w:rsid w:val="00864F20"/>
    <w:rsid w:val="00865453"/>
    <w:rsid w:val="00865983"/>
    <w:rsid w:val="00865F50"/>
    <w:rsid w:val="00865FCA"/>
    <w:rsid w:val="00866466"/>
    <w:rsid w:val="0086647D"/>
    <w:rsid w:val="00866673"/>
    <w:rsid w:val="00866E50"/>
    <w:rsid w:val="00866EFF"/>
    <w:rsid w:val="00866F33"/>
    <w:rsid w:val="0086709E"/>
    <w:rsid w:val="0086730C"/>
    <w:rsid w:val="008674B0"/>
    <w:rsid w:val="00867D75"/>
    <w:rsid w:val="00867FF0"/>
    <w:rsid w:val="008702D7"/>
    <w:rsid w:val="0087034F"/>
    <w:rsid w:val="00870B8F"/>
    <w:rsid w:val="00870BEC"/>
    <w:rsid w:val="00870E8F"/>
    <w:rsid w:val="008710A8"/>
    <w:rsid w:val="0087123B"/>
    <w:rsid w:val="0087155E"/>
    <w:rsid w:val="008718B6"/>
    <w:rsid w:val="0087190E"/>
    <w:rsid w:val="00872079"/>
    <w:rsid w:val="008720B6"/>
    <w:rsid w:val="00872258"/>
    <w:rsid w:val="0087275E"/>
    <w:rsid w:val="0087284A"/>
    <w:rsid w:val="00872BB6"/>
    <w:rsid w:val="00873150"/>
    <w:rsid w:val="008734D6"/>
    <w:rsid w:val="00873642"/>
    <w:rsid w:val="0087376F"/>
    <w:rsid w:val="00873960"/>
    <w:rsid w:val="00873C68"/>
    <w:rsid w:val="00873E04"/>
    <w:rsid w:val="00873E62"/>
    <w:rsid w:val="008742F4"/>
    <w:rsid w:val="00874331"/>
    <w:rsid w:val="008744AE"/>
    <w:rsid w:val="00874A90"/>
    <w:rsid w:val="00874B17"/>
    <w:rsid w:val="00874D75"/>
    <w:rsid w:val="00874E3F"/>
    <w:rsid w:val="008750D4"/>
    <w:rsid w:val="0087529C"/>
    <w:rsid w:val="00875578"/>
    <w:rsid w:val="008758F9"/>
    <w:rsid w:val="00875E75"/>
    <w:rsid w:val="00875E9E"/>
    <w:rsid w:val="00875EFD"/>
    <w:rsid w:val="00876461"/>
    <w:rsid w:val="0087657D"/>
    <w:rsid w:val="00876624"/>
    <w:rsid w:val="00876A96"/>
    <w:rsid w:val="00876C6C"/>
    <w:rsid w:val="008779F9"/>
    <w:rsid w:val="00877CA2"/>
    <w:rsid w:val="00880422"/>
    <w:rsid w:val="00880550"/>
    <w:rsid w:val="00880647"/>
    <w:rsid w:val="008806DB"/>
    <w:rsid w:val="008807D5"/>
    <w:rsid w:val="00880832"/>
    <w:rsid w:val="00880DED"/>
    <w:rsid w:val="00881426"/>
    <w:rsid w:val="008815DE"/>
    <w:rsid w:val="00881799"/>
    <w:rsid w:val="008819A2"/>
    <w:rsid w:val="00881E35"/>
    <w:rsid w:val="008820C5"/>
    <w:rsid w:val="00882402"/>
    <w:rsid w:val="0088240A"/>
    <w:rsid w:val="008828B6"/>
    <w:rsid w:val="00882A7A"/>
    <w:rsid w:val="00882B8E"/>
    <w:rsid w:val="00882DCD"/>
    <w:rsid w:val="00882DD4"/>
    <w:rsid w:val="008832D0"/>
    <w:rsid w:val="00883349"/>
    <w:rsid w:val="00883587"/>
    <w:rsid w:val="0088383A"/>
    <w:rsid w:val="008839CF"/>
    <w:rsid w:val="00883A44"/>
    <w:rsid w:val="00883B0B"/>
    <w:rsid w:val="00883C87"/>
    <w:rsid w:val="00883DD0"/>
    <w:rsid w:val="0088401C"/>
    <w:rsid w:val="00884396"/>
    <w:rsid w:val="008846BC"/>
    <w:rsid w:val="008848F3"/>
    <w:rsid w:val="00884E5C"/>
    <w:rsid w:val="008856CC"/>
    <w:rsid w:val="008858EF"/>
    <w:rsid w:val="008860A5"/>
    <w:rsid w:val="008860A8"/>
    <w:rsid w:val="008860AE"/>
    <w:rsid w:val="008865C6"/>
    <w:rsid w:val="00886689"/>
    <w:rsid w:val="008867D3"/>
    <w:rsid w:val="00886886"/>
    <w:rsid w:val="00886E13"/>
    <w:rsid w:val="00886EE1"/>
    <w:rsid w:val="00886FA2"/>
    <w:rsid w:val="0088727D"/>
    <w:rsid w:val="008873DF"/>
    <w:rsid w:val="0088777E"/>
    <w:rsid w:val="00887827"/>
    <w:rsid w:val="00887A74"/>
    <w:rsid w:val="00887D10"/>
    <w:rsid w:val="00887F0A"/>
    <w:rsid w:val="008905FD"/>
    <w:rsid w:val="008906A9"/>
    <w:rsid w:val="00890719"/>
    <w:rsid w:val="00890B78"/>
    <w:rsid w:val="00890B96"/>
    <w:rsid w:val="00890CC6"/>
    <w:rsid w:val="008910F7"/>
    <w:rsid w:val="008913C4"/>
    <w:rsid w:val="00891541"/>
    <w:rsid w:val="0089156B"/>
    <w:rsid w:val="008919BA"/>
    <w:rsid w:val="00891A29"/>
    <w:rsid w:val="00891A5F"/>
    <w:rsid w:val="00891AED"/>
    <w:rsid w:val="00891D9F"/>
    <w:rsid w:val="00892005"/>
    <w:rsid w:val="008920BE"/>
    <w:rsid w:val="00892346"/>
    <w:rsid w:val="0089240E"/>
    <w:rsid w:val="008925E6"/>
    <w:rsid w:val="008925F4"/>
    <w:rsid w:val="00892600"/>
    <w:rsid w:val="00892AF0"/>
    <w:rsid w:val="00892EB5"/>
    <w:rsid w:val="008930EF"/>
    <w:rsid w:val="00893548"/>
    <w:rsid w:val="008941EF"/>
    <w:rsid w:val="00894220"/>
    <w:rsid w:val="008942B5"/>
    <w:rsid w:val="008943A1"/>
    <w:rsid w:val="008944D6"/>
    <w:rsid w:val="00894512"/>
    <w:rsid w:val="00894643"/>
    <w:rsid w:val="00894701"/>
    <w:rsid w:val="0089470C"/>
    <w:rsid w:val="008947F0"/>
    <w:rsid w:val="00894CF9"/>
    <w:rsid w:val="00894E48"/>
    <w:rsid w:val="00894F19"/>
    <w:rsid w:val="00895216"/>
    <w:rsid w:val="00895289"/>
    <w:rsid w:val="008952E9"/>
    <w:rsid w:val="00895405"/>
    <w:rsid w:val="00895419"/>
    <w:rsid w:val="00895462"/>
    <w:rsid w:val="00895550"/>
    <w:rsid w:val="00895743"/>
    <w:rsid w:val="00895C5A"/>
    <w:rsid w:val="00895E24"/>
    <w:rsid w:val="00895F57"/>
    <w:rsid w:val="008960BC"/>
    <w:rsid w:val="0089642D"/>
    <w:rsid w:val="00896440"/>
    <w:rsid w:val="0089663D"/>
    <w:rsid w:val="00896F56"/>
    <w:rsid w:val="00897341"/>
    <w:rsid w:val="00897445"/>
    <w:rsid w:val="00897C75"/>
    <w:rsid w:val="00897DBE"/>
    <w:rsid w:val="008A04A6"/>
    <w:rsid w:val="008A056F"/>
    <w:rsid w:val="008A06D0"/>
    <w:rsid w:val="008A0846"/>
    <w:rsid w:val="008A099E"/>
    <w:rsid w:val="008A0AAD"/>
    <w:rsid w:val="008A0EFA"/>
    <w:rsid w:val="008A1750"/>
    <w:rsid w:val="008A1B87"/>
    <w:rsid w:val="008A1DF8"/>
    <w:rsid w:val="008A1E2D"/>
    <w:rsid w:val="008A21B1"/>
    <w:rsid w:val="008A2324"/>
    <w:rsid w:val="008A2484"/>
    <w:rsid w:val="008A2E2D"/>
    <w:rsid w:val="008A3097"/>
    <w:rsid w:val="008A3171"/>
    <w:rsid w:val="008A379B"/>
    <w:rsid w:val="008A37E2"/>
    <w:rsid w:val="008A39B0"/>
    <w:rsid w:val="008A47EC"/>
    <w:rsid w:val="008A4B89"/>
    <w:rsid w:val="008A4D5E"/>
    <w:rsid w:val="008A4D89"/>
    <w:rsid w:val="008A530F"/>
    <w:rsid w:val="008A5966"/>
    <w:rsid w:val="008A5A70"/>
    <w:rsid w:val="008A5AC7"/>
    <w:rsid w:val="008A609F"/>
    <w:rsid w:val="008A60BB"/>
    <w:rsid w:val="008A62AE"/>
    <w:rsid w:val="008A657F"/>
    <w:rsid w:val="008A686B"/>
    <w:rsid w:val="008A6908"/>
    <w:rsid w:val="008A6CB8"/>
    <w:rsid w:val="008A6F54"/>
    <w:rsid w:val="008A71AC"/>
    <w:rsid w:val="008A7966"/>
    <w:rsid w:val="008A7A6E"/>
    <w:rsid w:val="008B002B"/>
    <w:rsid w:val="008B01C5"/>
    <w:rsid w:val="008B044C"/>
    <w:rsid w:val="008B04A9"/>
    <w:rsid w:val="008B08AD"/>
    <w:rsid w:val="008B09FF"/>
    <w:rsid w:val="008B0A09"/>
    <w:rsid w:val="008B0ED0"/>
    <w:rsid w:val="008B11E6"/>
    <w:rsid w:val="008B1335"/>
    <w:rsid w:val="008B1419"/>
    <w:rsid w:val="008B16AE"/>
    <w:rsid w:val="008B1869"/>
    <w:rsid w:val="008B1976"/>
    <w:rsid w:val="008B1C1D"/>
    <w:rsid w:val="008B1D6C"/>
    <w:rsid w:val="008B1E24"/>
    <w:rsid w:val="008B1E55"/>
    <w:rsid w:val="008B1F5A"/>
    <w:rsid w:val="008B1F7B"/>
    <w:rsid w:val="008B231F"/>
    <w:rsid w:val="008B2815"/>
    <w:rsid w:val="008B2D2C"/>
    <w:rsid w:val="008B2DD1"/>
    <w:rsid w:val="008B2FC5"/>
    <w:rsid w:val="008B3307"/>
    <w:rsid w:val="008B34B8"/>
    <w:rsid w:val="008B34EE"/>
    <w:rsid w:val="008B36C9"/>
    <w:rsid w:val="008B38E0"/>
    <w:rsid w:val="008B3CE7"/>
    <w:rsid w:val="008B416D"/>
    <w:rsid w:val="008B4247"/>
    <w:rsid w:val="008B43D8"/>
    <w:rsid w:val="008B44F2"/>
    <w:rsid w:val="008B4D6C"/>
    <w:rsid w:val="008B5746"/>
    <w:rsid w:val="008B574C"/>
    <w:rsid w:val="008B59FE"/>
    <w:rsid w:val="008B5AB2"/>
    <w:rsid w:val="008B5C74"/>
    <w:rsid w:val="008B5DDB"/>
    <w:rsid w:val="008B6286"/>
    <w:rsid w:val="008B6318"/>
    <w:rsid w:val="008B6CE9"/>
    <w:rsid w:val="008B7097"/>
    <w:rsid w:val="008B70E0"/>
    <w:rsid w:val="008B7238"/>
    <w:rsid w:val="008B76B9"/>
    <w:rsid w:val="008B78A0"/>
    <w:rsid w:val="008B7AA1"/>
    <w:rsid w:val="008B7F2B"/>
    <w:rsid w:val="008C00B8"/>
    <w:rsid w:val="008C00BA"/>
    <w:rsid w:val="008C04A3"/>
    <w:rsid w:val="008C0533"/>
    <w:rsid w:val="008C08C0"/>
    <w:rsid w:val="008C09A0"/>
    <w:rsid w:val="008C09B5"/>
    <w:rsid w:val="008C0A93"/>
    <w:rsid w:val="008C0CF3"/>
    <w:rsid w:val="008C0EF1"/>
    <w:rsid w:val="008C1130"/>
    <w:rsid w:val="008C172B"/>
    <w:rsid w:val="008C205B"/>
    <w:rsid w:val="008C2226"/>
    <w:rsid w:val="008C27C7"/>
    <w:rsid w:val="008C2834"/>
    <w:rsid w:val="008C283D"/>
    <w:rsid w:val="008C2E66"/>
    <w:rsid w:val="008C3382"/>
    <w:rsid w:val="008C3542"/>
    <w:rsid w:val="008C354A"/>
    <w:rsid w:val="008C3730"/>
    <w:rsid w:val="008C37F2"/>
    <w:rsid w:val="008C3D19"/>
    <w:rsid w:val="008C467F"/>
    <w:rsid w:val="008C49D9"/>
    <w:rsid w:val="008C5387"/>
    <w:rsid w:val="008C53DD"/>
    <w:rsid w:val="008C541B"/>
    <w:rsid w:val="008C548A"/>
    <w:rsid w:val="008C55FF"/>
    <w:rsid w:val="008C585C"/>
    <w:rsid w:val="008C586B"/>
    <w:rsid w:val="008C5A1D"/>
    <w:rsid w:val="008C5C32"/>
    <w:rsid w:val="008C5DEB"/>
    <w:rsid w:val="008C5E47"/>
    <w:rsid w:val="008C5FF3"/>
    <w:rsid w:val="008C6097"/>
    <w:rsid w:val="008C6263"/>
    <w:rsid w:val="008C6373"/>
    <w:rsid w:val="008C644B"/>
    <w:rsid w:val="008C6A7F"/>
    <w:rsid w:val="008C6B2E"/>
    <w:rsid w:val="008C6C3B"/>
    <w:rsid w:val="008C6EB1"/>
    <w:rsid w:val="008C71F0"/>
    <w:rsid w:val="008C73F8"/>
    <w:rsid w:val="008C7437"/>
    <w:rsid w:val="008C768B"/>
    <w:rsid w:val="008C7B15"/>
    <w:rsid w:val="008C7B65"/>
    <w:rsid w:val="008C7E78"/>
    <w:rsid w:val="008C7F9D"/>
    <w:rsid w:val="008C7FB3"/>
    <w:rsid w:val="008D014B"/>
    <w:rsid w:val="008D0261"/>
    <w:rsid w:val="008D04A3"/>
    <w:rsid w:val="008D0870"/>
    <w:rsid w:val="008D0CFB"/>
    <w:rsid w:val="008D10AE"/>
    <w:rsid w:val="008D10DD"/>
    <w:rsid w:val="008D11D6"/>
    <w:rsid w:val="008D132E"/>
    <w:rsid w:val="008D14DD"/>
    <w:rsid w:val="008D15F7"/>
    <w:rsid w:val="008D16D4"/>
    <w:rsid w:val="008D1721"/>
    <w:rsid w:val="008D18E6"/>
    <w:rsid w:val="008D1B73"/>
    <w:rsid w:val="008D2435"/>
    <w:rsid w:val="008D24E4"/>
    <w:rsid w:val="008D2522"/>
    <w:rsid w:val="008D2C72"/>
    <w:rsid w:val="008D2D2F"/>
    <w:rsid w:val="008D2E3E"/>
    <w:rsid w:val="008D3041"/>
    <w:rsid w:val="008D3047"/>
    <w:rsid w:val="008D33E9"/>
    <w:rsid w:val="008D34C4"/>
    <w:rsid w:val="008D3775"/>
    <w:rsid w:val="008D37EE"/>
    <w:rsid w:val="008D3B45"/>
    <w:rsid w:val="008D3C95"/>
    <w:rsid w:val="008D3F54"/>
    <w:rsid w:val="008D3FBD"/>
    <w:rsid w:val="008D417F"/>
    <w:rsid w:val="008D441C"/>
    <w:rsid w:val="008D4845"/>
    <w:rsid w:val="008D4ED6"/>
    <w:rsid w:val="008D5187"/>
    <w:rsid w:val="008D51FE"/>
    <w:rsid w:val="008D557B"/>
    <w:rsid w:val="008D567E"/>
    <w:rsid w:val="008D57AA"/>
    <w:rsid w:val="008D5894"/>
    <w:rsid w:val="008D589A"/>
    <w:rsid w:val="008D6114"/>
    <w:rsid w:val="008D6422"/>
    <w:rsid w:val="008D6741"/>
    <w:rsid w:val="008D687D"/>
    <w:rsid w:val="008D6B4F"/>
    <w:rsid w:val="008D6E58"/>
    <w:rsid w:val="008D71E9"/>
    <w:rsid w:val="008D7207"/>
    <w:rsid w:val="008D7487"/>
    <w:rsid w:val="008D7525"/>
    <w:rsid w:val="008D7A9B"/>
    <w:rsid w:val="008D7C18"/>
    <w:rsid w:val="008D7D2D"/>
    <w:rsid w:val="008D7D7C"/>
    <w:rsid w:val="008D7DE9"/>
    <w:rsid w:val="008E0060"/>
    <w:rsid w:val="008E00D8"/>
    <w:rsid w:val="008E04AF"/>
    <w:rsid w:val="008E06AD"/>
    <w:rsid w:val="008E0AA4"/>
    <w:rsid w:val="008E0E6F"/>
    <w:rsid w:val="008E0EDB"/>
    <w:rsid w:val="008E139E"/>
    <w:rsid w:val="008E1946"/>
    <w:rsid w:val="008E19C4"/>
    <w:rsid w:val="008E1DFD"/>
    <w:rsid w:val="008E2006"/>
    <w:rsid w:val="008E23CE"/>
    <w:rsid w:val="008E2662"/>
    <w:rsid w:val="008E2A3C"/>
    <w:rsid w:val="008E2AC4"/>
    <w:rsid w:val="008E2AF0"/>
    <w:rsid w:val="008E2F06"/>
    <w:rsid w:val="008E32AB"/>
    <w:rsid w:val="008E3309"/>
    <w:rsid w:val="008E37E4"/>
    <w:rsid w:val="008E38FD"/>
    <w:rsid w:val="008E3CDA"/>
    <w:rsid w:val="008E3DA8"/>
    <w:rsid w:val="008E4419"/>
    <w:rsid w:val="008E455C"/>
    <w:rsid w:val="008E45DF"/>
    <w:rsid w:val="008E4624"/>
    <w:rsid w:val="008E48D1"/>
    <w:rsid w:val="008E4AF4"/>
    <w:rsid w:val="008E510A"/>
    <w:rsid w:val="008E5197"/>
    <w:rsid w:val="008E54CF"/>
    <w:rsid w:val="008E55CD"/>
    <w:rsid w:val="008E5A00"/>
    <w:rsid w:val="008E5B78"/>
    <w:rsid w:val="008E5CE9"/>
    <w:rsid w:val="008E5E3B"/>
    <w:rsid w:val="008E5E41"/>
    <w:rsid w:val="008E5F0E"/>
    <w:rsid w:val="008E6072"/>
    <w:rsid w:val="008E6098"/>
    <w:rsid w:val="008E63DB"/>
    <w:rsid w:val="008E65D4"/>
    <w:rsid w:val="008E68D2"/>
    <w:rsid w:val="008E6A56"/>
    <w:rsid w:val="008E6CF2"/>
    <w:rsid w:val="008E70FA"/>
    <w:rsid w:val="008E71A9"/>
    <w:rsid w:val="008E72AB"/>
    <w:rsid w:val="008E75C7"/>
    <w:rsid w:val="008E76AC"/>
    <w:rsid w:val="008E779A"/>
    <w:rsid w:val="008E7BB1"/>
    <w:rsid w:val="008E7C62"/>
    <w:rsid w:val="008E7C8F"/>
    <w:rsid w:val="008E7F2A"/>
    <w:rsid w:val="008F0110"/>
    <w:rsid w:val="008F07CC"/>
    <w:rsid w:val="008F0830"/>
    <w:rsid w:val="008F10F7"/>
    <w:rsid w:val="008F13AD"/>
    <w:rsid w:val="008F1553"/>
    <w:rsid w:val="008F1556"/>
    <w:rsid w:val="008F1754"/>
    <w:rsid w:val="008F1780"/>
    <w:rsid w:val="008F19D1"/>
    <w:rsid w:val="008F1A26"/>
    <w:rsid w:val="008F1F65"/>
    <w:rsid w:val="008F1FB2"/>
    <w:rsid w:val="008F2137"/>
    <w:rsid w:val="008F21F6"/>
    <w:rsid w:val="008F2240"/>
    <w:rsid w:val="008F2720"/>
    <w:rsid w:val="008F2B6E"/>
    <w:rsid w:val="008F2FB2"/>
    <w:rsid w:val="008F3378"/>
    <w:rsid w:val="008F34E9"/>
    <w:rsid w:val="008F36BE"/>
    <w:rsid w:val="008F3D74"/>
    <w:rsid w:val="008F3F87"/>
    <w:rsid w:val="008F4391"/>
    <w:rsid w:val="008F43FA"/>
    <w:rsid w:val="008F4CDE"/>
    <w:rsid w:val="008F4E7B"/>
    <w:rsid w:val="008F4F5B"/>
    <w:rsid w:val="008F526A"/>
    <w:rsid w:val="008F575A"/>
    <w:rsid w:val="008F58FE"/>
    <w:rsid w:val="008F59D0"/>
    <w:rsid w:val="008F5B1C"/>
    <w:rsid w:val="008F5BEF"/>
    <w:rsid w:val="008F5E67"/>
    <w:rsid w:val="008F5F47"/>
    <w:rsid w:val="008F63BF"/>
    <w:rsid w:val="008F6438"/>
    <w:rsid w:val="008F6845"/>
    <w:rsid w:val="008F6AD0"/>
    <w:rsid w:val="008F6AD6"/>
    <w:rsid w:val="008F6CC2"/>
    <w:rsid w:val="008F70A7"/>
    <w:rsid w:val="008F75EB"/>
    <w:rsid w:val="008F7784"/>
    <w:rsid w:val="008F7905"/>
    <w:rsid w:val="008F7910"/>
    <w:rsid w:val="008F7B6F"/>
    <w:rsid w:val="008F7C15"/>
    <w:rsid w:val="008F7E92"/>
    <w:rsid w:val="008F7F0D"/>
    <w:rsid w:val="009002E4"/>
    <w:rsid w:val="0090033F"/>
    <w:rsid w:val="00900366"/>
    <w:rsid w:val="00900739"/>
    <w:rsid w:val="0090081B"/>
    <w:rsid w:val="00900C99"/>
    <w:rsid w:val="00900E9B"/>
    <w:rsid w:val="00901168"/>
    <w:rsid w:val="00901221"/>
    <w:rsid w:val="0090192A"/>
    <w:rsid w:val="00901931"/>
    <w:rsid w:val="0090196F"/>
    <w:rsid w:val="00901BCF"/>
    <w:rsid w:val="00902497"/>
    <w:rsid w:val="00902533"/>
    <w:rsid w:val="00902842"/>
    <w:rsid w:val="0090291E"/>
    <w:rsid w:val="00902C46"/>
    <w:rsid w:val="00902C4D"/>
    <w:rsid w:val="00902D12"/>
    <w:rsid w:val="00902DA4"/>
    <w:rsid w:val="00902EA2"/>
    <w:rsid w:val="00903480"/>
    <w:rsid w:val="00903516"/>
    <w:rsid w:val="0090351D"/>
    <w:rsid w:val="0090357D"/>
    <w:rsid w:val="0090366A"/>
    <w:rsid w:val="00903935"/>
    <w:rsid w:val="00903CE1"/>
    <w:rsid w:val="00903D14"/>
    <w:rsid w:val="00903EEB"/>
    <w:rsid w:val="00903FCD"/>
    <w:rsid w:val="00904067"/>
    <w:rsid w:val="009041DA"/>
    <w:rsid w:val="00904635"/>
    <w:rsid w:val="009046DF"/>
    <w:rsid w:val="00904DAB"/>
    <w:rsid w:val="0090535C"/>
    <w:rsid w:val="00905704"/>
    <w:rsid w:val="00905871"/>
    <w:rsid w:val="00905ED7"/>
    <w:rsid w:val="00906278"/>
    <w:rsid w:val="0090657F"/>
    <w:rsid w:val="00906718"/>
    <w:rsid w:val="00906AC3"/>
    <w:rsid w:val="00906DBA"/>
    <w:rsid w:val="00906E81"/>
    <w:rsid w:val="00906ED0"/>
    <w:rsid w:val="0090744B"/>
    <w:rsid w:val="0090763E"/>
    <w:rsid w:val="0090767C"/>
    <w:rsid w:val="00907967"/>
    <w:rsid w:val="00907B2F"/>
    <w:rsid w:val="00907B4B"/>
    <w:rsid w:val="00907EAB"/>
    <w:rsid w:val="0091012D"/>
    <w:rsid w:val="0091013C"/>
    <w:rsid w:val="009101CD"/>
    <w:rsid w:val="00910268"/>
    <w:rsid w:val="009102DB"/>
    <w:rsid w:val="00910367"/>
    <w:rsid w:val="00910865"/>
    <w:rsid w:val="00911C96"/>
    <w:rsid w:val="00911F65"/>
    <w:rsid w:val="00912077"/>
    <w:rsid w:val="009121D6"/>
    <w:rsid w:val="0091239A"/>
    <w:rsid w:val="00912488"/>
    <w:rsid w:val="009125F1"/>
    <w:rsid w:val="0091260B"/>
    <w:rsid w:val="009129A4"/>
    <w:rsid w:val="00912C53"/>
    <w:rsid w:val="00912CB7"/>
    <w:rsid w:val="009138E8"/>
    <w:rsid w:val="00913A64"/>
    <w:rsid w:val="00913D22"/>
    <w:rsid w:val="00913D5A"/>
    <w:rsid w:val="00913D96"/>
    <w:rsid w:val="009140FD"/>
    <w:rsid w:val="009142CC"/>
    <w:rsid w:val="00914751"/>
    <w:rsid w:val="00914768"/>
    <w:rsid w:val="009148A3"/>
    <w:rsid w:val="00914BC3"/>
    <w:rsid w:val="00914C5D"/>
    <w:rsid w:val="00914F5E"/>
    <w:rsid w:val="00915046"/>
    <w:rsid w:val="009150BF"/>
    <w:rsid w:val="009152A1"/>
    <w:rsid w:val="00915353"/>
    <w:rsid w:val="009153F3"/>
    <w:rsid w:val="00915529"/>
    <w:rsid w:val="009155D7"/>
    <w:rsid w:val="0091583E"/>
    <w:rsid w:val="00915978"/>
    <w:rsid w:val="00915BD6"/>
    <w:rsid w:val="00916226"/>
    <w:rsid w:val="0091622D"/>
    <w:rsid w:val="00916322"/>
    <w:rsid w:val="009163CF"/>
    <w:rsid w:val="00916457"/>
    <w:rsid w:val="00916903"/>
    <w:rsid w:val="009169BB"/>
    <w:rsid w:val="00916CD8"/>
    <w:rsid w:val="00916E11"/>
    <w:rsid w:val="00916EA9"/>
    <w:rsid w:val="00916EBC"/>
    <w:rsid w:val="00917265"/>
    <w:rsid w:val="009175B4"/>
    <w:rsid w:val="00917705"/>
    <w:rsid w:val="009178D8"/>
    <w:rsid w:val="00917C19"/>
    <w:rsid w:val="00917C88"/>
    <w:rsid w:val="00920213"/>
    <w:rsid w:val="009206EC"/>
    <w:rsid w:val="00920A9B"/>
    <w:rsid w:val="00920F65"/>
    <w:rsid w:val="00921016"/>
    <w:rsid w:val="00921147"/>
    <w:rsid w:val="009211D2"/>
    <w:rsid w:val="00921339"/>
    <w:rsid w:val="00921BAE"/>
    <w:rsid w:val="00921E5C"/>
    <w:rsid w:val="0092247D"/>
    <w:rsid w:val="00922536"/>
    <w:rsid w:val="009227DC"/>
    <w:rsid w:val="00922AD3"/>
    <w:rsid w:val="009239D7"/>
    <w:rsid w:val="00923E7A"/>
    <w:rsid w:val="00923F10"/>
    <w:rsid w:val="00924109"/>
    <w:rsid w:val="0092416A"/>
    <w:rsid w:val="009244C5"/>
    <w:rsid w:val="0092452C"/>
    <w:rsid w:val="009245D0"/>
    <w:rsid w:val="009246F4"/>
    <w:rsid w:val="00924AA6"/>
    <w:rsid w:val="00924FB5"/>
    <w:rsid w:val="009250CE"/>
    <w:rsid w:val="009254F1"/>
    <w:rsid w:val="0092553D"/>
    <w:rsid w:val="0092555C"/>
    <w:rsid w:val="00925A8D"/>
    <w:rsid w:val="00925D93"/>
    <w:rsid w:val="009260DE"/>
    <w:rsid w:val="00926103"/>
    <w:rsid w:val="0092612F"/>
    <w:rsid w:val="0092656B"/>
    <w:rsid w:val="009266E4"/>
    <w:rsid w:val="009267A7"/>
    <w:rsid w:val="00926934"/>
    <w:rsid w:val="00926AC2"/>
    <w:rsid w:val="00926BED"/>
    <w:rsid w:val="00927664"/>
    <w:rsid w:val="00927677"/>
    <w:rsid w:val="009278CC"/>
    <w:rsid w:val="00927E19"/>
    <w:rsid w:val="00927E20"/>
    <w:rsid w:val="00927EC9"/>
    <w:rsid w:val="009301BB"/>
    <w:rsid w:val="00930211"/>
    <w:rsid w:val="0093021E"/>
    <w:rsid w:val="00930335"/>
    <w:rsid w:val="0093047A"/>
    <w:rsid w:val="0093047E"/>
    <w:rsid w:val="0093049E"/>
    <w:rsid w:val="00930A94"/>
    <w:rsid w:val="00930C98"/>
    <w:rsid w:val="00930E8A"/>
    <w:rsid w:val="00930F0B"/>
    <w:rsid w:val="00930F49"/>
    <w:rsid w:val="00930F83"/>
    <w:rsid w:val="0093130B"/>
    <w:rsid w:val="0093150F"/>
    <w:rsid w:val="00931875"/>
    <w:rsid w:val="00931930"/>
    <w:rsid w:val="00931DD1"/>
    <w:rsid w:val="009322B8"/>
    <w:rsid w:val="009322ED"/>
    <w:rsid w:val="0093231E"/>
    <w:rsid w:val="009325A4"/>
    <w:rsid w:val="00932730"/>
    <w:rsid w:val="0093275F"/>
    <w:rsid w:val="00932BB4"/>
    <w:rsid w:val="00932D8F"/>
    <w:rsid w:val="00933035"/>
    <w:rsid w:val="0093336C"/>
    <w:rsid w:val="009336DF"/>
    <w:rsid w:val="0093399C"/>
    <w:rsid w:val="00933CDE"/>
    <w:rsid w:val="00933E12"/>
    <w:rsid w:val="00933F77"/>
    <w:rsid w:val="00934010"/>
    <w:rsid w:val="009341BA"/>
    <w:rsid w:val="009344C2"/>
    <w:rsid w:val="00934A3E"/>
    <w:rsid w:val="00934B2E"/>
    <w:rsid w:val="0093566B"/>
    <w:rsid w:val="00935984"/>
    <w:rsid w:val="009359A3"/>
    <w:rsid w:val="00935A6F"/>
    <w:rsid w:val="00936C9F"/>
    <w:rsid w:val="00936D70"/>
    <w:rsid w:val="00936E9C"/>
    <w:rsid w:val="00936F9A"/>
    <w:rsid w:val="009372CC"/>
    <w:rsid w:val="00937441"/>
    <w:rsid w:val="009375E2"/>
    <w:rsid w:val="009375EF"/>
    <w:rsid w:val="00937A5C"/>
    <w:rsid w:val="00937EA3"/>
    <w:rsid w:val="00937FEE"/>
    <w:rsid w:val="009404FC"/>
    <w:rsid w:val="009410AA"/>
    <w:rsid w:val="009410AD"/>
    <w:rsid w:val="00941F56"/>
    <w:rsid w:val="00941F59"/>
    <w:rsid w:val="00942016"/>
    <w:rsid w:val="00942060"/>
    <w:rsid w:val="009425BA"/>
    <w:rsid w:val="0094274C"/>
    <w:rsid w:val="0094295C"/>
    <w:rsid w:val="00942998"/>
    <w:rsid w:val="009429BD"/>
    <w:rsid w:val="00942A77"/>
    <w:rsid w:val="00943438"/>
    <w:rsid w:val="009435AF"/>
    <w:rsid w:val="00943962"/>
    <w:rsid w:val="00943D96"/>
    <w:rsid w:val="00943E2D"/>
    <w:rsid w:val="00943EE8"/>
    <w:rsid w:val="00943F38"/>
    <w:rsid w:val="00944106"/>
    <w:rsid w:val="0094416F"/>
    <w:rsid w:val="0094445E"/>
    <w:rsid w:val="00944B61"/>
    <w:rsid w:val="009450DE"/>
    <w:rsid w:val="0094591E"/>
    <w:rsid w:val="009463B4"/>
    <w:rsid w:val="009464A7"/>
    <w:rsid w:val="00946A71"/>
    <w:rsid w:val="00946E13"/>
    <w:rsid w:val="00946F99"/>
    <w:rsid w:val="00947402"/>
    <w:rsid w:val="00947CFE"/>
    <w:rsid w:val="00947D68"/>
    <w:rsid w:val="00950477"/>
    <w:rsid w:val="00950604"/>
    <w:rsid w:val="009508ED"/>
    <w:rsid w:val="00950D46"/>
    <w:rsid w:val="009512B7"/>
    <w:rsid w:val="0095152A"/>
    <w:rsid w:val="0095179D"/>
    <w:rsid w:val="009518CB"/>
    <w:rsid w:val="00951B52"/>
    <w:rsid w:val="00951E0C"/>
    <w:rsid w:val="00951F29"/>
    <w:rsid w:val="00951F79"/>
    <w:rsid w:val="00952101"/>
    <w:rsid w:val="0095249D"/>
    <w:rsid w:val="009524C8"/>
    <w:rsid w:val="00952DC9"/>
    <w:rsid w:val="00952E02"/>
    <w:rsid w:val="00952F30"/>
    <w:rsid w:val="00953292"/>
    <w:rsid w:val="0095356E"/>
    <w:rsid w:val="00953AA0"/>
    <w:rsid w:val="00953AD5"/>
    <w:rsid w:val="00953B0C"/>
    <w:rsid w:val="00953C3F"/>
    <w:rsid w:val="00953D36"/>
    <w:rsid w:val="00953E3D"/>
    <w:rsid w:val="00953EB7"/>
    <w:rsid w:val="00953EFD"/>
    <w:rsid w:val="009546DB"/>
    <w:rsid w:val="00954901"/>
    <w:rsid w:val="00954B2C"/>
    <w:rsid w:val="00954C90"/>
    <w:rsid w:val="00954DD8"/>
    <w:rsid w:val="00954E55"/>
    <w:rsid w:val="009550BF"/>
    <w:rsid w:val="00955538"/>
    <w:rsid w:val="00955623"/>
    <w:rsid w:val="00955950"/>
    <w:rsid w:val="009569EC"/>
    <w:rsid w:val="00957048"/>
    <w:rsid w:val="009570E0"/>
    <w:rsid w:val="00957355"/>
    <w:rsid w:val="0095743D"/>
    <w:rsid w:val="009575BF"/>
    <w:rsid w:val="00957749"/>
    <w:rsid w:val="0095779E"/>
    <w:rsid w:val="00957C69"/>
    <w:rsid w:val="00957D4C"/>
    <w:rsid w:val="00960309"/>
    <w:rsid w:val="00960475"/>
    <w:rsid w:val="009608E2"/>
    <w:rsid w:val="00960B13"/>
    <w:rsid w:val="00960D7F"/>
    <w:rsid w:val="00961424"/>
    <w:rsid w:val="009616F5"/>
    <w:rsid w:val="009617AA"/>
    <w:rsid w:val="009617B5"/>
    <w:rsid w:val="009617F2"/>
    <w:rsid w:val="00961AE9"/>
    <w:rsid w:val="00961AEC"/>
    <w:rsid w:val="00961B36"/>
    <w:rsid w:val="00961C3E"/>
    <w:rsid w:val="00961CDF"/>
    <w:rsid w:val="00961F8C"/>
    <w:rsid w:val="00961FE6"/>
    <w:rsid w:val="009621FF"/>
    <w:rsid w:val="009622D0"/>
    <w:rsid w:val="009622D2"/>
    <w:rsid w:val="009624BB"/>
    <w:rsid w:val="0096298D"/>
    <w:rsid w:val="00962DD6"/>
    <w:rsid w:val="0096357E"/>
    <w:rsid w:val="009635ED"/>
    <w:rsid w:val="00963681"/>
    <w:rsid w:val="00963940"/>
    <w:rsid w:val="00963C5F"/>
    <w:rsid w:val="00963DBA"/>
    <w:rsid w:val="009640D4"/>
    <w:rsid w:val="0096415F"/>
    <w:rsid w:val="009642C6"/>
    <w:rsid w:val="009642F1"/>
    <w:rsid w:val="009644F7"/>
    <w:rsid w:val="00964618"/>
    <w:rsid w:val="0096463C"/>
    <w:rsid w:val="00964A7D"/>
    <w:rsid w:val="00964B48"/>
    <w:rsid w:val="00964F81"/>
    <w:rsid w:val="0096547A"/>
    <w:rsid w:val="0096554E"/>
    <w:rsid w:val="00965689"/>
    <w:rsid w:val="009656A4"/>
    <w:rsid w:val="009657DB"/>
    <w:rsid w:val="0096588D"/>
    <w:rsid w:val="00965F83"/>
    <w:rsid w:val="0096608F"/>
    <w:rsid w:val="0096625D"/>
    <w:rsid w:val="00966287"/>
    <w:rsid w:val="009663B8"/>
    <w:rsid w:val="0096643B"/>
    <w:rsid w:val="00966962"/>
    <w:rsid w:val="00966C78"/>
    <w:rsid w:val="00966E2E"/>
    <w:rsid w:val="00966EC8"/>
    <w:rsid w:val="00966F69"/>
    <w:rsid w:val="00966F6F"/>
    <w:rsid w:val="009671C5"/>
    <w:rsid w:val="009672CA"/>
    <w:rsid w:val="00967560"/>
    <w:rsid w:val="0096756F"/>
    <w:rsid w:val="009678C4"/>
    <w:rsid w:val="0096798F"/>
    <w:rsid w:val="00967B1C"/>
    <w:rsid w:val="00967F69"/>
    <w:rsid w:val="009702C2"/>
    <w:rsid w:val="009705D1"/>
    <w:rsid w:val="009708FF"/>
    <w:rsid w:val="0097093E"/>
    <w:rsid w:val="00970D54"/>
    <w:rsid w:val="00970E48"/>
    <w:rsid w:val="0097118F"/>
    <w:rsid w:val="00971243"/>
    <w:rsid w:val="00971650"/>
    <w:rsid w:val="009717A2"/>
    <w:rsid w:val="00971EBB"/>
    <w:rsid w:val="0097205D"/>
    <w:rsid w:val="00972521"/>
    <w:rsid w:val="009725FF"/>
    <w:rsid w:val="00972F04"/>
    <w:rsid w:val="00972F8A"/>
    <w:rsid w:val="00973240"/>
    <w:rsid w:val="009734BB"/>
    <w:rsid w:val="00973631"/>
    <w:rsid w:val="009736D7"/>
    <w:rsid w:val="00973DAF"/>
    <w:rsid w:val="00974452"/>
    <w:rsid w:val="009746E8"/>
    <w:rsid w:val="009747AB"/>
    <w:rsid w:val="0097494F"/>
    <w:rsid w:val="009749B3"/>
    <w:rsid w:val="00974AB5"/>
    <w:rsid w:val="00974C1A"/>
    <w:rsid w:val="00974E9C"/>
    <w:rsid w:val="009753A4"/>
    <w:rsid w:val="0097564B"/>
    <w:rsid w:val="00975817"/>
    <w:rsid w:val="009758EC"/>
    <w:rsid w:val="00975E2C"/>
    <w:rsid w:val="00976174"/>
    <w:rsid w:val="00976316"/>
    <w:rsid w:val="00976327"/>
    <w:rsid w:val="009763BE"/>
    <w:rsid w:val="009765BF"/>
    <w:rsid w:val="00976ABF"/>
    <w:rsid w:val="00976C45"/>
    <w:rsid w:val="00976D48"/>
    <w:rsid w:val="00976F81"/>
    <w:rsid w:val="00977294"/>
    <w:rsid w:val="00977433"/>
    <w:rsid w:val="009774BD"/>
    <w:rsid w:val="00977910"/>
    <w:rsid w:val="00977E7B"/>
    <w:rsid w:val="00977EB0"/>
    <w:rsid w:val="00980634"/>
    <w:rsid w:val="009808AF"/>
    <w:rsid w:val="00980A08"/>
    <w:rsid w:val="00980A36"/>
    <w:rsid w:val="00980E91"/>
    <w:rsid w:val="00981148"/>
    <w:rsid w:val="009816B1"/>
    <w:rsid w:val="00981886"/>
    <w:rsid w:val="0098197B"/>
    <w:rsid w:val="00981A7F"/>
    <w:rsid w:val="00981DFA"/>
    <w:rsid w:val="00981E25"/>
    <w:rsid w:val="0098215D"/>
    <w:rsid w:val="009824AF"/>
    <w:rsid w:val="00982636"/>
    <w:rsid w:val="00982871"/>
    <w:rsid w:val="009828AC"/>
    <w:rsid w:val="009828B9"/>
    <w:rsid w:val="0098309F"/>
    <w:rsid w:val="00983248"/>
    <w:rsid w:val="009834F5"/>
    <w:rsid w:val="00983822"/>
    <w:rsid w:val="00983FAF"/>
    <w:rsid w:val="009840F5"/>
    <w:rsid w:val="009845B3"/>
    <w:rsid w:val="009846A6"/>
    <w:rsid w:val="00984AEE"/>
    <w:rsid w:val="00984D66"/>
    <w:rsid w:val="00984F04"/>
    <w:rsid w:val="00985189"/>
    <w:rsid w:val="009856D4"/>
    <w:rsid w:val="0098574C"/>
    <w:rsid w:val="00985D8C"/>
    <w:rsid w:val="00985E8D"/>
    <w:rsid w:val="0098612B"/>
    <w:rsid w:val="0098642F"/>
    <w:rsid w:val="00986D2F"/>
    <w:rsid w:val="00986F6C"/>
    <w:rsid w:val="00986FBC"/>
    <w:rsid w:val="0098706D"/>
    <w:rsid w:val="00987412"/>
    <w:rsid w:val="009874D5"/>
    <w:rsid w:val="00987563"/>
    <w:rsid w:val="00987636"/>
    <w:rsid w:val="0098777E"/>
    <w:rsid w:val="00987841"/>
    <w:rsid w:val="00987A33"/>
    <w:rsid w:val="00987AA2"/>
    <w:rsid w:val="00987CFC"/>
    <w:rsid w:val="00987D0E"/>
    <w:rsid w:val="00987E01"/>
    <w:rsid w:val="00987F49"/>
    <w:rsid w:val="00990595"/>
    <w:rsid w:val="009909E0"/>
    <w:rsid w:val="00990AF0"/>
    <w:rsid w:val="00990B05"/>
    <w:rsid w:val="009912B3"/>
    <w:rsid w:val="0099170B"/>
    <w:rsid w:val="00991802"/>
    <w:rsid w:val="009919E5"/>
    <w:rsid w:val="00991A3A"/>
    <w:rsid w:val="00991BEF"/>
    <w:rsid w:val="00991D4A"/>
    <w:rsid w:val="009920B6"/>
    <w:rsid w:val="009920E1"/>
    <w:rsid w:val="0099224B"/>
    <w:rsid w:val="00992422"/>
    <w:rsid w:val="009925EA"/>
    <w:rsid w:val="00992623"/>
    <w:rsid w:val="00992E73"/>
    <w:rsid w:val="00992EE5"/>
    <w:rsid w:val="00992F5E"/>
    <w:rsid w:val="00993486"/>
    <w:rsid w:val="009935FB"/>
    <w:rsid w:val="009936A2"/>
    <w:rsid w:val="00993713"/>
    <w:rsid w:val="00993951"/>
    <w:rsid w:val="00993AB0"/>
    <w:rsid w:val="00993C8C"/>
    <w:rsid w:val="00993D7D"/>
    <w:rsid w:val="00993D8F"/>
    <w:rsid w:val="00993FD2"/>
    <w:rsid w:val="009942CC"/>
    <w:rsid w:val="00994485"/>
    <w:rsid w:val="0099454E"/>
    <w:rsid w:val="0099455F"/>
    <w:rsid w:val="009945B2"/>
    <w:rsid w:val="0099481D"/>
    <w:rsid w:val="00994B72"/>
    <w:rsid w:val="00994B75"/>
    <w:rsid w:val="00994BD6"/>
    <w:rsid w:val="0099519C"/>
    <w:rsid w:val="0099585F"/>
    <w:rsid w:val="00995B7E"/>
    <w:rsid w:val="00995C46"/>
    <w:rsid w:val="0099610D"/>
    <w:rsid w:val="009961FC"/>
    <w:rsid w:val="00996305"/>
    <w:rsid w:val="009964CE"/>
    <w:rsid w:val="00996864"/>
    <w:rsid w:val="00996CD6"/>
    <w:rsid w:val="00996E59"/>
    <w:rsid w:val="009972E1"/>
    <w:rsid w:val="00997460"/>
    <w:rsid w:val="0099786F"/>
    <w:rsid w:val="0099795A"/>
    <w:rsid w:val="009979A6"/>
    <w:rsid w:val="009979D1"/>
    <w:rsid w:val="00997AF1"/>
    <w:rsid w:val="009A0244"/>
    <w:rsid w:val="009A038E"/>
    <w:rsid w:val="009A03A4"/>
    <w:rsid w:val="009A05FB"/>
    <w:rsid w:val="009A070B"/>
    <w:rsid w:val="009A0719"/>
    <w:rsid w:val="009A0850"/>
    <w:rsid w:val="009A1898"/>
    <w:rsid w:val="009A1A9F"/>
    <w:rsid w:val="009A1F45"/>
    <w:rsid w:val="009A1F50"/>
    <w:rsid w:val="009A252C"/>
    <w:rsid w:val="009A2BB4"/>
    <w:rsid w:val="009A2F9C"/>
    <w:rsid w:val="009A30E5"/>
    <w:rsid w:val="009A3101"/>
    <w:rsid w:val="009A3155"/>
    <w:rsid w:val="009A318E"/>
    <w:rsid w:val="009A3741"/>
    <w:rsid w:val="009A398A"/>
    <w:rsid w:val="009A39CF"/>
    <w:rsid w:val="009A3BCE"/>
    <w:rsid w:val="009A3BFC"/>
    <w:rsid w:val="009A3C91"/>
    <w:rsid w:val="009A3E12"/>
    <w:rsid w:val="009A4279"/>
    <w:rsid w:val="009A46F7"/>
    <w:rsid w:val="009A4F86"/>
    <w:rsid w:val="009A5423"/>
    <w:rsid w:val="009A559F"/>
    <w:rsid w:val="009A571D"/>
    <w:rsid w:val="009A58E5"/>
    <w:rsid w:val="009A5BA8"/>
    <w:rsid w:val="009A5C5B"/>
    <w:rsid w:val="009A5D08"/>
    <w:rsid w:val="009A5F85"/>
    <w:rsid w:val="009A6458"/>
    <w:rsid w:val="009A6571"/>
    <w:rsid w:val="009A65ED"/>
    <w:rsid w:val="009A66C2"/>
    <w:rsid w:val="009A6C2C"/>
    <w:rsid w:val="009A6FA7"/>
    <w:rsid w:val="009A7045"/>
    <w:rsid w:val="009A7096"/>
    <w:rsid w:val="009A714C"/>
    <w:rsid w:val="009A7485"/>
    <w:rsid w:val="009A7533"/>
    <w:rsid w:val="009B0025"/>
    <w:rsid w:val="009B01B0"/>
    <w:rsid w:val="009B0508"/>
    <w:rsid w:val="009B06F2"/>
    <w:rsid w:val="009B070B"/>
    <w:rsid w:val="009B0920"/>
    <w:rsid w:val="009B0B30"/>
    <w:rsid w:val="009B0E0A"/>
    <w:rsid w:val="009B0F79"/>
    <w:rsid w:val="009B0FBF"/>
    <w:rsid w:val="009B1143"/>
    <w:rsid w:val="009B139B"/>
    <w:rsid w:val="009B159B"/>
    <w:rsid w:val="009B15B4"/>
    <w:rsid w:val="009B1BED"/>
    <w:rsid w:val="009B1C74"/>
    <w:rsid w:val="009B1F54"/>
    <w:rsid w:val="009B1FF7"/>
    <w:rsid w:val="009B211F"/>
    <w:rsid w:val="009B22AB"/>
    <w:rsid w:val="009B2A90"/>
    <w:rsid w:val="009B2CD6"/>
    <w:rsid w:val="009B2D8A"/>
    <w:rsid w:val="009B2DC5"/>
    <w:rsid w:val="009B2F1B"/>
    <w:rsid w:val="009B322B"/>
    <w:rsid w:val="009B338C"/>
    <w:rsid w:val="009B34D8"/>
    <w:rsid w:val="009B38A7"/>
    <w:rsid w:val="009B3C79"/>
    <w:rsid w:val="009B3EE1"/>
    <w:rsid w:val="009B3FA6"/>
    <w:rsid w:val="009B3FC6"/>
    <w:rsid w:val="009B3FF7"/>
    <w:rsid w:val="009B4584"/>
    <w:rsid w:val="009B46E2"/>
    <w:rsid w:val="009B4C4E"/>
    <w:rsid w:val="009B4F62"/>
    <w:rsid w:val="009B542C"/>
    <w:rsid w:val="009B5458"/>
    <w:rsid w:val="009B55AF"/>
    <w:rsid w:val="009B5625"/>
    <w:rsid w:val="009B56AB"/>
    <w:rsid w:val="009B5A4C"/>
    <w:rsid w:val="009B5A98"/>
    <w:rsid w:val="009B5EA1"/>
    <w:rsid w:val="009B6014"/>
    <w:rsid w:val="009B632E"/>
    <w:rsid w:val="009B6634"/>
    <w:rsid w:val="009B66C6"/>
    <w:rsid w:val="009B6784"/>
    <w:rsid w:val="009B6822"/>
    <w:rsid w:val="009B6FB2"/>
    <w:rsid w:val="009B7170"/>
    <w:rsid w:val="009B72A3"/>
    <w:rsid w:val="009B78E1"/>
    <w:rsid w:val="009B7CC8"/>
    <w:rsid w:val="009B7D0E"/>
    <w:rsid w:val="009B7D53"/>
    <w:rsid w:val="009C0159"/>
    <w:rsid w:val="009C07AC"/>
    <w:rsid w:val="009C0846"/>
    <w:rsid w:val="009C086B"/>
    <w:rsid w:val="009C099B"/>
    <w:rsid w:val="009C09F2"/>
    <w:rsid w:val="009C0D9A"/>
    <w:rsid w:val="009C1195"/>
    <w:rsid w:val="009C11F0"/>
    <w:rsid w:val="009C14A9"/>
    <w:rsid w:val="009C1691"/>
    <w:rsid w:val="009C1741"/>
    <w:rsid w:val="009C1799"/>
    <w:rsid w:val="009C1CD5"/>
    <w:rsid w:val="009C1DC5"/>
    <w:rsid w:val="009C1DCB"/>
    <w:rsid w:val="009C2041"/>
    <w:rsid w:val="009C207F"/>
    <w:rsid w:val="009C2107"/>
    <w:rsid w:val="009C23EB"/>
    <w:rsid w:val="009C24AF"/>
    <w:rsid w:val="009C24DC"/>
    <w:rsid w:val="009C2618"/>
    <w:rsid w:val="009C2A2D"/>
    <w:rsid w:val="009C2BA6"/>
    <w:rsid w:val="009C2F5F"/>
    <w:rsid w:val="009C306E"/>
    <w:rsid w:val="009C3961"/>
    <w:rsid w:val="009C39A5"/>
    <w:rsid w:val="009C3A0F"/>
    <w:rsid w:val="009C3B2C"/>
    <w:rsid w:val="009C3B58"/>
    <w:rsid w:val="009C3B5E"/>
    <w:rsid w:val="009C3DAE"/>
    <w:rsid w:val="009C3EE0"/>
    <w:rsid w:val="009C3F1B"/>
    <w:rsid w:val="009C42BF"/>
    <w:rsid w:val="009C445F"/>
    <w:rsid w:val="009C4640"/>
    <w:rsid w:val="009C4679"/>
    <w:rsid w:val="009C4C01"/>
    <w:rsid w:val="009C4DB1"/>
    <w:rsid w:val="009C4F8F"/>
    <w:rsid w:val="009C4F94"/>
    <w:rsid w:val="009C5115"/>
    <w:rsid w:val="009C51A5"/>
    <w:rsid w:val="009C55BC"/>
    <w:rsid w:val="009C55E6"/>
    <w:rsid w:val="009C56C0"/>
    <w:rsid w:val="009C5EB1"/>
    <w:rsid w:val="009C61A3"/>
    <w:rsid w:val="009C6441"/>
    <w:rsid w:val="009C6616"/>
    <w:rsid w:val="009C664D"/>
    <w:rsid w:val="009C69A2"/>
    <w:rsid w:val="009C6CDE"/>
    <w:rsid w:val="009C6D1B"/>
    <w:rsid w:val="009C6E06"/>
    <w:rsid w:val="009C7405"/>
    <w:rsid w:val="009C7471"/>
    <w:rsid w:val="009C75F8"/>
    <w:rsid w:val="009C76A6"/>
    <w:rsid w:val="009D02B5"/>
    <w:rsid w:val="009D0418"/>
    <w:rsid w:val="009D0789"/>
    <w:rsid w:val="009D0AB8"/>
    <w:rsid w:val="009D0B16"/>
    <w:rsid w:val="009D0DFD"/>
    <w:rsid w:val="009D1A3E"/>
    <w:rsid w:val="009D1B39"/>
    <w:rsid w:val="009D1C2B"/>
    <w:rsid w:val="009D1DB8"/>
    <w:rsid w:val="009D23A6"/>
    <w:rsid w:val="009D2762"/>
    <w:rsid w:val="009D28CA"/>
    <w:rsid w:val="009D2B3A"/>
    <w:rsid w:val="009D3112"/>
    <w:rsid w:val="009D31AA"/>
    <w:rsid w:val="009D3354"/>
    <w:rsid w:val="009D39EA"/>
    <w:rsid w:val="009D3CA3"/>
    <w:rsid w:val="009D4077"/>
    <w:rsid w:val="009D422B"/>
    <w:rsid w:val="009D45CA"/>
    <w:rsid w:val="009D45EA"/>
    <w:rsid w:val="009D461D"/>
    <w:rsid w:val="009D4635"/>
    <w:rsid w:val="009D4EA7"/>
    <w:rsid w:val="009D5028"/>
    <w:rsid w:val="009D5AE6"/>
    <w:rsid w:val="009D5C6D"/>
    <w:rsid w:val="009D5E4E"/>
    <w:rsid w:val="009D5F5C"/>
    <w:rsid w:val="009D60E7"/>
    <w:rsid w:val="009D62C4"/>
    <w:rsid w:val="009D661E"/>
    <w:rsid w:val="009D6722"/>
    <w:rsid w:val="009D6CD0"/>
    <w:rsid w:val="009D7021"/>
    <w:rsid w:val="009D7190"/>
    <w:rsid w:val="009D71ED"/>
    <w:rsid w:val="009D723B"/>
    <w:rsid w:val="009D7385"/>
    <w:rsid w:val="009D756D"/>
    <w:rsid w:val="009D7A1D"/>
    <w:rsid w:val="009D7C35"/>
    <w:rsid w:val="009E001D"/>
    <w:rsid w:val="009E01FA"/>
    <w:rsid w:val="009E0386"/>
    <w:rsid w:val="009E03C8"/>
    <w:rsid w:val="009E0677"/>
    <w:rsid w:val="009E0EFB"/>
    <w:rsid w:val="009E0F9C"/>
    <w:rsid w:val="009E0FBE"/>
    <w:rsid w:val="009E1157"/>
    <w:rsid w:val="009E1264"/>
    <w:rsid w:val="009E1325"/>
    <w:rsid w:val="009E152A"/>
    <w:rsid w:val="009E1566"/>
    <w:rsid w:val="009E1620"/>
    <w:rsid w:val="009E20A7"/>
    <w:rsid w:val="009E21D0"/>
    <w:rsid w:val="009E24F4"/>
    <w:rsid w:val="009E2559"/>
    <w:rsid w:val="009E255B"/>
    <w:rsid w:val="009E266F"/>
    <w:rsid w:val="009E31D3"/>
    <w:rsid w:val="009E366E"/>
    <w:rsid w:val="009E3921"/>
    <w:rsid w:val="009E3CE1"/>
    <w:rsid w:val="009E4010"/>
    <w:rsid w:val="009E448A"/>
    <w:rsid w:val="009E4C41"/>
    <w:rsid w:val="009E4D94"/>
    <w:rsid w:val="009E4EBE"/>
    <w:rsid w:val="009E4F57"/>
    <w:rsid w:val="009E516F"/>
    <w:rsid w:val="009E51BF"/>
    <w:rsid w:val="009E53C6"/>
    <w:rsid w:val="009E564A"/>
    <w:rsid w:val="009E56E2"/>
    <w:rsid w:val="009E5E7C"/>
    <w:rsid w:val="009E6034"/>
    <w:rsid w:val="009E60C0"/>
    <w:rsid w:val="009E6395"/>
    <w:rsid w:val="009E6499"/>
    <w:rsid w:val="009E6B08"/>
    <w:rsid w:val="009E6B3D"/>
    <w:rsid w:val="009E6DAE"/>
    <w:rsid w:val="009E7354"/>
    <w:rsid w:val="009E757B"/>
    <w:rsid w:val="009E76BF"/>
    <w:rsid w:val="009E77A5"/>
    <w:rsid w:val="009E788D"/>
    <w:rsid w:val="009E7B00"/>
    <w:rsid w:val="009F08FD"/>
    <w:rsid w:val="009F1073"/>
    <w:rsid w:val="009F119F"/>
    <w:rsid w:val="009F1428"/>
    <w:rsid w:val="009F1578"/>
    <w:rsid w:val="009F1853"/>
    <w:rsid w:val="009F18E5"/>
    <w:rsid w:val="009F1AE8"/>
    <w:rsid w:val="009F1B37"/>
    <w:rsid w:val="009F1BAD"/>
    <w:rsid w:val="009F2096"/>
    <w:rsid w:val="009F223E"/>
    <w:rsid w:val="009F2C14"/>
    <w:rsid w:val="009F31A0"/>
    <w:rsid w:val="009F34A3"/>
    <w:rsid w:val="009F38E3"/>
    <w:rsid w:val="009F3BD2"/>
    <w:rsid w:val="009F3CB7"/>
    <w:rsid w:val="009F3E70"/>
    <w:rsid w:val="009F4159"/>
    <w:rsid w:val="009F4242"/>
    <w:rsid w:val="009F4A54"/>
    <w:rsid w:val="009F4B93"/>
    <w:rsid w:val="009F4BEC"/>
    <w:rsid w:val="009F4DE1"/>
    <w:rsid w:val="009F4E90"/>
    <w:rsid w:val="009F5179"/>
    <w:rsid w:val="009F51CE"/>
    <w:rsid w:val="009F5874"/>
    <w:rsid w:val="009F5A1C"/>
    <w:rsid w:val="009F5A24"/>
    <w:rsid w:val="009F5C6F"/>
    <w:rsid w:val="009F60F0"/>
    <w:rsid w:val="009F627A"/>
    <w:rsid w:val="009F6330"/>
    <w:rsid w:val="009F63F6"/>
    <w:rsid w:val="009F6458"/>
    <w:rsid w:val="009F6869"/>
    <w:rsid w:val="009F6A82"/>
    <w:rsid w:val="009F7189"/>
    <w:rsid w:val="009F7233"/>
    <w:rsid w:val="009F7331"/>
    <w:rsid w:val="009F74F4"/>
    <w:rsid w:val="009F750E"/>
    <w:rsid w:val="009F775F"/>
    <w:rsid w:val="009F78DC"/>
    <w:rsid w:val="00A001BA"/>
    <w:rsid w:val="00A00878"/>
    <w:rsid w:val="00A009C5"/>
    <w:rsid w:val="00A00BE5"/>
    <w:rsid w:val="00A00C3B"/>
    <w:rsid w:val="00A00CFC"/>
    <w:rsid w:val="00A00D87"/>
    <w:rsid w:val="00A01416"/>
    <w:rsid w:val="00A01525"/>
    <w:rsid w:val="00A015EA"/>
    <w:rsid w:val="00A0164E"/>
    <w:rsid w:val="00A0168F"/>
    <w:rsid w:val="00A017D8"/>
    <w:rsid w:val="00A018C2"/>
    <w:rsid w:val="00A01F34"/>
    <w:rsid w:val="00A0201E"/>
    <w:rsid w:val="00A020BD"/>
    <w:rsid w:val="00A0213E"/>
    <w:rsid w:val="00A022DB"/>
    <w:rsid w:val="00A02472"/>
    <w:rsid w:val="00A0285E"/>
    <w:rsid w:val="00A02967"/>
    <w:rsid w:val="00A02A3B"/>
    <w:rsid w:val="00A02A92"/>
    <w:rsid w:val="00A02CEA"/>
    <w:rsid w:val="00A02F8A"/>
    <w:rsid w:val="00A03387"/>
    <w:rsid w:val="00A03388"/>
    <w:rsid w:val="00A0345E"/>
    <w:rsid w:val="00A034BC"/>
    <w:rsid w:val="00A0356C"/>
    <w:rsid w:val="00A03A83"/>
    <w:rsid w:val="00A03E14"/>
    <w:rsid w:val="00A03EEB"/>
    <w:rsid w:val="00A045DB"/>
    <w:rsid w:val="00A047DE"/>
    <w:rsid w:val="00A04957"/>
    <w:rsid w:val="00A04BB5"/>
    <w:rsid w:val="00A04C6B"/>
    <w:rsid w:val="00A04E7D"/>
    <w:rsid w:val="00A0500F"/>
    <w:rsid w:val="00A050FA"/>
    <w:rsid w:val="00A05459"/>
    <w:rsid w:val="00A0559F"/>
    <w:rsid w:val="00A05E25"/>
    <w:rsid w:val="00A0634B"/>
    <w:rsid w:val="00A064C1"/>
    <w:rsid w:val="00A06526"/>
    <w:rsid w:val="00A06BF7"/>
    <w:rsid w:val="00A06F12"/>
    <w:rsid w:val="00A06F2F"/>
    <w:rsid w:val="00A07223"/>
    <w:rsid w:val="00A0727C"/>
    <w:rsid w:val="00A0742E"/>
    <w:rsid w:val="00A076B3"/>
    <w:rsid w:val="00A07A05"/>
    <w:rsid w:val="00A07E17"/>
    <w:rsid w:val="00A07EB6"/>
    <w:rsid w:val="00A101E7"/>
    <w:rsid w:val="00A101EA"/>
    <w:rsid w:val="00A10310"/>
    <w:rsid w:val="00A1049A"/>
    <w:rsid w:val="00A10650"/>
    <w:rsid w:val="00A10665"/>
    <w:rsid w:val="00A10761"/>
    <w:rsid w:val="00A1077F"/>
    <w:rsid w:val="00A10A6A"/>
    <w:rsid w:val="00A10F0F"/>
    <w:rsid w:val="00A1137A"/>
    <w:rsid w:val="00A11AB4"/>
    <w:rsid w:val="00A11C41"/>
    <w:rsid w:val="00A11E0C"/>
    <w:rsid w:val="00A11EF6"/>
    <w:rsid w:val="00A1252F"/>
    <w:rsid w:val="00A1255D"/>
    <w:rsid w:val="00A1262E"/>
    <w:rsid w:val="00A126A8"/>
    <w:rsid w:val="00A12A57"/>
    <w:rsid w:val="00A12B72"/>
    <w:rsid w:val="00A12C54"/>
    <w:rsid w:val="00A12CA6"/>
    <w:rsid w:val="00A12D3F"/>
    <w:rsid w:val="00A12EFB"/>
    <w:rsid w:val="00A12F97"/>
    <w:rsid w:val="00A1304E"/>
    <w:rsid w:val="00A1306F"/>
    <w:rsid w:val="00A13274"/>
    <w:rsid w:val="00A13356"/>
    <w:rsid w:val="00A135ED"/>
    <w:rsid w:val="00A135F4"/>
    <w:rsid w:val="00A13B2C"/>
    <w:rsid w:val="00A13E9D"/>
    <w:rsid w:val="00A140F2"/>
    <w:rsid w:val="00A143FC"/>
    <w:rsid w:val="00A14466"/>
    <w:rsid w:val="00A147E1"/>
    <w:rsid w:val="00A14A02"/>
    <w:rsid w:val="00A14AF6"/>
    <w:rsid w:val="00A14CC1"/>
    <w:rsid w:val="00A14D98"/>
    <w:rsid w:val="00A14DBB"/>
    <w:rsid w:val="00A14F5D"/>
    <w:rsid w:val="00A1544B"/>
    <w:rsid w:val="00A168EA"/>
    <w:rsid w:val="00A169A2"/>
    <w:rsid w:val="00A16AF3"/>
    <w:rsid w:val="00A16B5B"/>
    <w:rsid w:val="00A16EA9"/>
    <w:rsid w:val="00A1708A"/>
    <w:rsid w:val="00A17890"/>
    <w:rsid w:val="00A179FF"/>
    <w:rsid w:val="00A17A41"/>
    <w:rsid w:val="00A17AA2"/>
    <w:rsid w:val="00A2009B"/>
    <w:rsid w:val="00A206BF"/>
    <w:rsid w:val="00A2078C"/>
    <w:rsid w:val="00A20840"/>
    <w:rsid w:val="00A208B5"/>
    <w:rsid w:val="00A20A08"/>
    <w:rsid w:val="00A20D25"/>
    <w:rsid w:val="00A21883"/>
    <w:rsid w:val="00A218D1"/>
    <w:rsid w:val="00A219B6"/>
    <w:rsid w:val="00A21AF8"/>
    <w:rsid w:val="00A21B01"/>
    <w:rsid w:val="00A21BC8"/>
    <w:rsid w:val="00A21C7C"/>
    <w:rsid w:val="00A21F3E"/>
    <w:rsid w:val="00A22188"/>
    <w:rsid w:val="00A22277"/>
    <w:rsid w:val="00A22710"/>
    <w:rsid w:val="00A22B91"/>
    <w:rsid w:val="00A22BB2"/>
    <w:rsid w:val="00A22D95"/>
    <w:rsid w:val="00A22DE4"/>
    <w:rsid w:val="00A22FC8"/>
    <w:rsid w:val="00A22FF0"/>
    <w:rsid w:val="00A23335"/>
    <w:rsid w:val="00A2367F"/>
    <w:rsid w:val="00A238B5"/>
    <w:rsid w:val="00A23B4D"/>
    <w:rsid w:val="00A23E72"/>
    <w:rsid w:val="00A23EDC"/>
    <w:rsid w:val="00A23FE0"/>
    <w:rsid w:val="00A240CB"/>
    <w:rsid w:val="00A2426E"/>
    <w:rsid w:val="00A2453B"/>
    <w:rsid w:val="00A24635"/>
    <w:rsid w:val="00A2465F"/>
    <w:rsid w:val="00A24A35"/>
    <w:rsid w:val="00A24D51"/>
    <w:rsid w:val="00A254AF"/>
    <w:rsid w:val="00A2561E"/>
    <w:rsid w:val="00A25959"/>
    <w:rsid w:val="00A25B51"/>
    <w:rsid w:val="00A25F91"/>
    <w:rsid w:val="00A25FD7"/>
    <w:rsid w:val="00A26129"/>
    <w:rsid w:val="00A26DD0"/>
    <w:rsid w:val="00A27057"/>
    <w:rsid w:val="00A271ED"/>
    <w:rsid w:val="00A27B4D"/>
    <w:rsid w:val="00A303B0"/>
    <w:rsid w:val="00A3042F"/>
    <w:rsid w:val="00A3076F"/>
    <w:rsid w:val="00A30A79"/>
    <w:rsid w:val="00A30B59"/>
    <w:rsid w:val="00A30B7A"/>
    <w:rsid w:val="00A30F08"/>
    <w:rsid w:val="00A31074"/>
    <w:rsid w:val="00A31075"/>
    <w:rsid w:val="00A31277"/>
    <w:rsid w:val="00A3151C"/>
    <w:rsid w:val="00A316EB"/>
    <w:rsid w:val="00A3174D"/>
    <w:rsid w:val="00A31E74"/>
    <w:rsid w:val="00A32017"/>
    <w:rsid w:val="00A321E1"/>
    <w:rsid w:val="00A32460"/>
    <w:rsid w:val="00A328F8"/>
    <w:rsid w:val="00A32CB9"/>
    <w:rsid w:val="00A32CED"/>
    <w:rsid w:val="00A3329E"/>
    <w:rsid w:val="00A33423"/>
    <w:rsid w:val="00A334BC"/>
    <w:rsid w:val="00A33650"/>
    <w:rsid w:val="00A33661"/>
    <w:rsid w:val="00A33941"/>
    <w:rsid w:val="00A33B76"/>
    <w:rsid w:val="00A33CA6"/>
    <w:rsid w:val="00A34245"/>
    <w:rsid w:val="00A34406"/>
    <w:rsid w:val="00A345DF"/>
    <w:rsid w:val="00A34C6B"/>
    <w:rsid w:val="00A34D80"/>
    <w:rsid w:val="00A34FC3"/>
    <w:rsid w:val="00A35054"/>
    <w:rsid w:val="00A354C4"/>
    <w:rsid w:val="00A35528"/>
    <w:rsid w:val="00A35B98"/>
    <w:rsid w:val="00A3620F"/>
    <w:rsid w:val="00A3633F"/>
    <w:rsid w:val="00A363ED"/>
    <w:rsid w:val="00A3665F"/>
    <w:rsid w:val="00A3669D"/>
    <w:rsid w:val="00A367A2"/>
    <w:rsid w:val="00A367F1"/>
    <w:rsid w:val="00A36872"/>
    <w:rsid w:val="00A368BA"/>
    <w:rsid w:val="00A36C50"/>
    <w:rsid w:val="00A36C9F"/>
    <w:rsid w:val="00A36E35"/>
    <w:rsid w:val="00A36F52"/>
    <w:rsid w:val="00A37160"/>
    <w:rsid w:val="00A37262"/>
    <w:rsid w:val="00A377DF"/>
    <w:rsid w:val="00A37904"/>
    <w:rsid w:val="00A379C6"/>
    <w:rsid w:val="00A37A12"/>
    <w:rsid w:val="00A40156"/>
    <w:rsid w:val="00A4020E"/>
    <w:rsid w:val="00A402DC"/>
    <w:rsid w:val="00A40350"/>
    <w:rsid w:val="00A40710"/>
    <w:rsid w:val="00A40735"/>
    <w:rsid w:val="00A40CFC"/>
    <w:rsid w:val="00A40D25"/>
    <w:rsid w:val="00A40D84"/>
    <w:rsid w:val="00A411CA"/>
    <w:rsid w:val="00A415F2"/>
    <w:rsid w:val="00A419D9"/>
    <w:rsid w:val="00A41A14"/>
    <w:rsid w:val="00A41E8E"/>
    <w:rsid w:val="00A420DE"/>
    <w:rsid w:val="00A422AA"/>
    <w:rsid w:val="00A423CA"/>
    <w:rsid w:val="00A4265F"/>
    <w:rsid w:val="00A426DC"/>
    <w:rsid w:val="00A428F5"/>
    <w:rsid w:val="00A42F6D"/>
    <w:rsid w:val="00A4307F"/>
    <w:rsid w:val="00A433C6"/>
    <w:rsid w:val="00A43AFF"/>
    <w:rsid w:val="00A43B35"/>
    <w:rsid w:val="00A43B5E"/>
    <w:rsid w:val="00A43B6F"/>
    <w:rsid w:val="00A43BBE"/>
    <w:rsid w:val="00A43CEC"/>
    <w:rsid w:val="00A43F2B"/>
    <w:rsid w:val="00A4437F"/>
    <w:rsid w:val="00A443B8"/>
    <w:rsid w:val="00A443FA"/>
    <w:rsid w:val="00A444B1"/>
    <w:rsid w:val="00A4495C"/>
    <w:rsid w:val="00A449D2"/>
    <w:rsid w:val="00A44C0E"/>
    <w:rsid w:val="00A4575F"/>
    <w:rsid w:val="00A457F7"/>
    <w:rsid w:val="00A458E7"/>
    <w:rsid w:val="00A45C1F"/>
    <w:rsid w:val="00A45D82"/>
    <w:rsid w:val="00A45E1D"/>
    <w:rsid w:val="00A4619E"/>
    <w:rsid w:val="00A46661"/>
    <w:rsid w:val="00A469EB"/>
    <w:rsid w:val="00A46C4F"/>
    <w:rsid w:val="00A472E3"/>
    <w:rsid w:val="00A473EC"/>
    <w:rsid w:val="00A4749A"/>
    <w:rsid w:val="00A47681"/>
    <w:rsid w:val="00A4775F"/>
    <w:rsid w:val="00A477FE"/>
    <w:rsid w:val="00A479E2"/>
    <w:rsid w:val="00A47B94"/>
    <w:rsid w:val="00A47EE0"/>
    <w:rsid w:val="00A50214"/>
    <w:rsid w:val="00A506C1"/>
    <w:rsid w:val="00A508BA"/>
    <w:rsid w:val="00A5103B"/>
    <w:rsid w:val="00A5122E"/>
    <w:rsid w:val="00A51372"/>
    <w:rsid w:val="00A514D4"/>
    <w:rsid w:val="00A51C1F"/>
    <w:rsid w:val="00A51EB4"/>
    <w:rsid w:val="00A521F4"/>
    <w:rsid w:val="00A523EB"/>
    <w:rsid w:val="00A523F5"/>
    <w:rsid w:val="00A5250A"/>
    <w:rsid w:val="00A52817"/>
    <w:rsid w:val="00A529B3"/>
    <w:rsid w:val="00A52A64"/>
    <w:rsid w:val="00A52BDC"/>
    <w:rsid w:val="00A530B4"/>
    <w:rsid w:val="00A53629"/>
    <w:rsid w:val="00A53975"/>
    <w:rsid w:val="00A53A4E"/>
    <w:rsid w:val="00A53A5F"/>
    <w:rsid w:val="00A53D1B"/>
    <w:rsid w:val="00A53DB3"/>
    <w:rsid w:val="00A54112"/>
    <w:rsid w:val="00A54468"/>
    <w:rsid w:val="00A54487"/>
    <w:rsid w:val="00A546C8"/>
    <w:rsid w:val="00A5483F"/>
    <w:rsid w:val="00A54BB3"/>
    <w:rsid w:val="00A550C1"/>
    <w:rsid w:val="00A552C6"/>
    <w:rsid w:val="00A557D2"/>
    <w:rsid w:val="00A55960"/>
    <w:rsid w:val="00A559A9"/>
    <w:rsid w:val="00A55BFE"/>
    <w:rsid w:val="00A55C40"/>
    <w:rsid w:val="00A55CD1"/>
    <w:rsid w:val="00A56092"/>
    <w:rsid w:val="00A56845"/>
    <w:rsid w:val="00A56911"/>
    <w:rsid w:val="00A56F5A"/>
    <w:rsid w:val="00A57229"/>
    <w:rsid w:val="00A573F5"/>
    <w:rsid w:val="00A575DE"/>
    <w:rsid w:val="00A57779"/>
    <w:rsid w:val="00A577CA"/>
    <w:rsid w:val="00A57C3F"/>
    <w:rsid w:val="00A57E0A"/>
    <w:rsid w:val="00A60130"/>
    <w:rsid w:val="00A603CA"/>
    <w:rsid w:val="00A6051F"/>
    <w:rsid w:val="00A60593"/>
    <w:rsid w:val="00A609A4"/>
    <w:rsid w:val="00A60C2B"/>
    <w:rsid w:val="00A60C9A"/>
    <w:rsid w:val="00A60CE3"/>
    <w:rsid w:val="00A60D87"/>
    <w:rsid w:val="00A60FD7"/>
    <w:rsid w:val="00A61021"/>
    <w:rsid w:val="00A611CE"/>
    <w:rsid w:val="00A611DC"/>
    <w:rsid w:val="00A614D8"/>
    <w:rsid w:val="00A61512"/>
    <w:rsid w:val="00A61A76"/>
    <w:rsid w:val="00A61E00"/>
    <w:rsid w:val="00A61FDB"/>
    <w:rsid w:val="00A620D3"/>
    <w:rsid w:val="00A62220"/>
    <w:rsid w:val="00A62404"/>
    <w:rsid w:val="00A62888"/>
    <w:rsid w:val="00A62992"/>
    <w:rsid w:val="00A629BF"/>
    <w:rsid w:val="00A62B1A"/>
    <w:rsid w:val="00A62D42"/>
    <w:rsid w:val="00A63333"/>
    <w:rsid w:val="00A6355B"/>
    <w:rsid w:val="00A63D01"/>
    <w:rsid w:val="00A63DB3"/>
    <w:rsid w:val="00A63DFB"/>
    <w:rsid w:val="00A63F13"/>
    <w:rsid w:val="00A64258"/>
    <w:rsid w:val="00A642F5"/>
    <w:rsid w:val="00A64345"/>
    <w:rsid w:val="00A6441A"/>
    <w:rsid w:val="00A64444"/>
    <w:rsid w:val="00A64A63"/>
    <w:rsid w:val="00A64C50"/>
    <w:rsid w:val="00A64D07"/>
    <w:rsid w:val="00A64E5B"/>
    <w:rsid w:val="00A650AC"/>
    <w:rsid w:val="00A651DE"/>
    <w:rsid w:val="00A65974"/>
    <w:rsid w:val="00A659E4"/>
    <w:rsid w:val="00A65AD4"/>
    <w:rsid w:val="00A65B4B"/>
    <w:rsid w:val="00A65EB8"/>
    <w:rsid w:val="00A65F8B"/>
    <w:rsid w:val="00A66112"/>
    <w:rsid w:val="00A66211"/>
    <w:rsid w:val="00A66863"/>
    <w:rsid w:val="00A66C7A"/>
    <w:rsid w:val="00A66E6F"/>
    <w:rsid w:val="00A66ED6"/>
    <w:rsid w:val="00A674BA"/>
    <w:rsid w:val="00A67AE7"/>
    <w:rsid w:val="00A67C07"/>
    <w:rsid w:val="00A70000"/>
    <w:rsid w:val="00A7085C"/>
    <w:rsid w:val="00A710FF"/>
    <w:rsid w:val="00A71297"/>
    <w:rsid w:val="00A7165F"/>
    <w:rsid w:val="00A71B37"/>
    <w:rsid w:val="00A71CFA"/>
    <w:rsid w:val="00A71D01"/>
    <w:rsid w:val="00A71FED"/>
    <w:rsid w:val="00A721CF"/>
    <w:rsid w:val="00A72642"/>
    <w:rsid w:val="00A72644"/>
    <w:rsid w:val="00A728EC"/>
    <w:rsid w:val="00A72945"/>
    <w:rsid w:val="00A72BAE"/>
    <w:rsid w:val="00A7301B"/>
    <w:rsid w:val="00A7314A"/>
    <w:rsid w:val="00A731BD"/>
    <w:rsid w:val="00A732F4"/>
    <w:rsid w:val="00A73C4E"/>
    <w:rsid w:val="00A73DE1"/>
    <w:rsid w:val="00A73F1E"/>
    <w:rsid w:val="00A74349"/>
    <w:rsid w:val="00A744A2"/>
    <w:rsid w:val="00A744C8"/>
    <w:rsid w:val="00A7487F"/>
    <w:rsid w:val="00A74DCF"/>
    <w:rsid w:val="00A75080"/>
    <w:rsid w:val="00A75121"/>
    <w:rsid w:val="00A754D2"/>
    <w:rsid w:val="00A75635"/>
    <w:rsid w:val="00A7577A"/>
    <w:rsid w:val="00A75BB1"/>
    <w:rsid w:val="00A761B3"/>
    <w:rsid w:val="00A76693"/>
    <w:rsid w:val="00A76763"/>
    <w:rsid w:val="00A7697F"/>
    <w:rsid w:val="00A769A7"/>
    <w:rsid w:val="00A76A03"/>
    <w:rsid w:val="00A76A5A"/>
    <w:rsid w:val="00A76ADB"/>
    <w:rsid w:val="00A76D75"/>
    <w:rsid w:val="00A76E62"/>
    <w:rsid w:val="00A7702A"/>
    <w:rsid w:val="00A7711E"/>
    <w:rsid w:val="00A7712C"/>
    <w:rsid w:val="00A7726E"/>
    <w:rsid w:val="00A777C3"/>
    <w:rsid w:val="00A7793A"/>
    <w:rsid w:val="00A77DC1"/>
    <w:rsid w:val="00A77E78"/>
    <w:rsid w:val="00A77EB7"/>
    <w:rsid w:val="00A8030D"/>
    <w:rsid w:val="00A8041E"/>
    <w:rsid w:val="00A807C2"/>
    <w:rsid w:val="00A80A6A"/>
    <w:rsid w:val="00A80B3E"/>
    <w:rsid w:val="00A80EF0"/>
    <w:rsid w:val="00A814EB"/>
    <w:rsid w:val="00A81574"/>
    <w:rsid w:val="00A81BDE"/>
    <w:rsid w:val="00A81C39"/>
    <w:rsid w:val="00A81D54"/>
    <w:rsid w:val="00A82197"/>
    <w:rsid w:val="00A82BFE"/>
    <w:rsid w:val="00A82C40"/>
    <w:rsid w:val="00A83D01"/>
    <w:rsid w:val="00A8430C"/>
    <w:rsid w:val="00A848A7"/>
    <w:rsid w:val="00A84A9B"/>
    <w:rsid w:val="00A84C17"/>
    <w:rsid w:val="00A84FC9"/>
    <w:rsid w:val="00A852EE"/>
    <w:rsid w:val="00A85375"/>
    <w:rsid w:val="00A85377"/>
    <w:rsid w:val="00A85388"/>
    <w:rsid w:val="00A8590D"/>
    <w:rsid w:val="00A85B19"/>
    <w:rsid w:val="00A85BDC"/>
    <w:rsid w:val="00A85C1D"/>
    <w:rsid w:val="00A85E3B"/>
    <w:rsid w:val="00A865F1"/>
    <w:rsid w:val="00A86A8F"/>
    <w:rsid w:val="00A86CEC"/>
    <w:rsid w:val="00A86F4D"/>
    <w:rsid w:val="00A87321"/>
    <w:rsid w:val="00A87620"/>
    <w:rsid w:val="00A87BC0"/>
    <w:rsid w:val="00A87E02"/>
    <w:rsid w:val="00A87EC6"/>
    <w:rsid w:val="00A901BF"/>
    <w:rsid w:val="00A901C6"/>
    <w:rsid w:val="00A902CE"/>
    <w:rsid w:val="00A90615"/>
    <w:rsid w:val="00A90CF9"/>
    <w:rsid w:val="00A90F70"/>
    <w:rsid w:val="00A912D2"/>
    <w:rsid w:val="00A91538"/>
    <w:rsid w:val="00A91600"/>
    <w:rsid w:val="00A916E3"/>
    <w:rsid w:val="00A91B25"/>
    <w:rsid w:val="00A92021"/>
    <w:rsid w:val="00A921F6"/>
    <w:rsid w:val="00A92236"/>
    <w:rsid w:val="00A929FC"/>
    <w:rsid w:val="00A92C98"/>
    <w:rsid w:val="00A92F63"/>
    <w:rsid w:val="00A93049"/>
    <w:rsid w:val="00A9323E"/>
    <w:rsid w:val="00A93293"/>
    <w:rsid w:val="00A932B7"/>
    <w:rsid w:val="00A9343F"/>
    <w:rsid w:val="00A93527"/>
    <w:rsid w:val="00A93B03"/>
    <w:rsid w:val="00A942FA"/>
    <w:rsid w:val="00A94656"/>
    <w:rsid w:val="00A946C1"/>
    <w:rsid w:val="00A9478B"/>
    <w:rsid w:val="00A94867"/>
    <w:rsid w:val="00A94B1E"/>
    <w:rsid w:val="00A94E5C"/>
    <w:rsid w:val="00A94EB4"/>
    <w:rsid w:val="00A94F77"/>
    <w:rsid w:val="00A95099"/>
    <w:rsid w:val="00A95376"/>
    <w:rsid w:val="00A9555A"/>
    <w:rsid w:val="00A955ED"/>
    <w:rsid w:val="00A95A45"/>
    <w:rsid w:val="00A95C24"/>
    <w:rsid w:val="00A95D0A"/>
    <w:rsid w:val="00A95E1B"/>
    <w:rsid w:val="00A95F4F"/>
    <w:rsid w:val="00A95FFC"/>
    <w:rsid w:val="00A96081"/>
    <w:rsid w:val="00A9611B"/>
    <w:rsid w:val="00A9626E"/>
    <w:rsid w:val="00A962F9"/>
    <w:rsid w:val="00A96447"/>
    <w:rsid w:val="00A968E2"/>
    <w:rsid w:val="00A9709D"/>
    <w:rsid w:val="00A97190"/>
    <w:rsid w:val="00A971EF"/>
    <w:rsid w:val="00A97286"/>
    <w:rsid w:val="00A972A2"/>
    <w:rsid w:val="00A973EC"/>
    <w:rsid w:val="00A97AE3"/>
    <w:rsid w:val="00A97F36"/>
    <w:rsid w:val="00A97FE4"/>
    <w:rsid w:val="00A9A15C"/>
    <w:rsid w:val="00AA0121"/>
    <w:rsid w:val="00AA0189"/>
    <w:rsid w:val="00AA01E7"/>
    <w:rsid w:val="00AA043E"/>
    <w:rsid w:val="00AA0505"/>
    <w:rsid w:val="00AA072A"/>
    <w:rsid w:val="00AA07CF"/>
    <w:rsid w:val="00AA0842"/>
    <w:rsid w:val="00AA0884"/>
    <w:rsid w:val="00AA0991"/>
    <w:rsid w:val="00AA0BEB"/>
    <w:rsid w:val="00AA0F9D"/>
    <w:rsid w:val="00AA11BE"/>
    <w:rsid w:val="00AA1750"/>
    <w:rsid w:val="00AA1997"/>
    <w:rsid w:val="00AA1BA7"/>
    <w:rsid w:val="00AA240B"/>
    <w:rsid w:val="00AA250A"/>
    <w:rsid w:val="00AA2672"/>
    <w:rsid w:val="00AA2842"/>
    <w:rsid w:val="00AA2DA0"/>
    <w:rsid w:val="00AA2E52"/>
    <w:rsid w:val="00AA2E58"/>
    <w:rsid w:val="00AA31A5"/>
    <w:rsid w:val="00AA31D8"/>
    <w:rsid w:val="00AA3266"/>
    <w:rsid w:val="00AA32B8"/>
    <w:rsid w:val="00AA3421"/>
    <w:rsid w:val="00AA3539"/>
    <w:rsid w:val="00AA35BF"/>
    <w:rsid w:val="00AA37ED"/>
    <w:rsid w:val="00AA39DF"/>
    <w:rsid w:val="00AA3B90"/>
    <w:rsid w:val="00AA3D62"/>
    <w:rsid w:val="00AA3F39"/>
    <w:rsid w:val="00AA44D6"/>
    <w:rsid w:val="00AA47D7"/>
    <w:rsid w:val="00AA4C7C"/>
    <w:rsid w:val="00AA4CC7"/>
    <w:rsid w:val="00AA4CE3"/>
    <w:rsid w:val="00AA4E26"/>
    <w:rsid w:val="00AA5468"/>
    <w:rsid w:val="00AA5480"/>
    <w:rsid w:val="00AA590E"/>
    <w:rsid w:val="00AA5B3D"/>
    <w:rsid w:val="00AA5C4E"/>
    <w:rsid w:val="00AA5E8E"/>
    <w:rsid w:val="00AA5F8B"/>
    <w:rsid w:val="00AA6BFB"/>
    <w:rsid w:val="00AA6CB6"/>
    <w:rsid w:val="00AA6D3A"/>
    <w:rsid w:val="00AA71AB"/>
    <w:rsid w:val="00AA7310"/>
    <w:rsid w:val="00AA75A0"/>
    <w:rsid w:val="00AA75E9"/>
    <w:rsid w:val="00AA7B30"/>
    <w:rsid w:val="00AB00DB"/>
    <w:rsid w:val="00AB0527"/>
    <w:rsid w:val="00AB1106"/>
    <w:rsid w:val="00AB1452"/>
    <w:rsid w:val="00AB14AA"/>
    <w:rsid w:val="00AB1651"/>
    <w:rsid w:val="00AB193B"/>
    <w:rsid w:val="00AB19AA"/>
    <w:rsid w:val="00AB2018"/>
    <w:rsid w:val="00AB202D"/>
    <w:rsid w:val="00AB21F9"/>
    <w:rsid w:val="00AB2227"/>
    <w:rsid w:val="00AB22CE"/>
    <w:rsid w:val="00AB25FD"/>
    <w:rsid w:val="00AB2677"/>
    <w:rsid w:val="00AB2756"/>
    <w:rsid w:val="00AB2968"/>
    <w:rsid w:val="00AB2A0C"/>
    <w:rsid w:val="00AB2E1E"/>
    <w:rsid w:val="00AB2ED9"/>
    <w:rsid w:val="00AB2F7D"/>
    <w:rsid w:val="00AB31C7"/>
    <w:rsid w:val="00AB31DD"/>
    <w:rsid w:val="00AB3FB0"/>
    <w:rsid w:val="00AB4122"/>
    <w:rsid w:val="00AB4146"/>
    <w:rsid w:val="00AB4317"/>
    <w:rsid w:val="00AB44D7"/>
    <w:rsid w:val="00AB467C"/>
    <w:rsid w:val="00AB4706"/>
    <w:rsid w:val="00AB4918"/>
    <w:rsid w:val="00AB4DF0"/>
    <w:rsid w:val="00AB4E22"/>
    <w:rsid w:val="00AB547B"/>
    <w:rsid w:val="00AB55B6"/>
    <w:rsid w:val="00AB5638"/>
    <w:rsid w:val="00AB5679"/>
    <w:rsid w:val="00AB5E46"/>
    <w:rsid w:val="00AB5F87"/>
    <w:rsid w:val="00AB62CA"/>
    <w:rsid w:val="00AB6CA7"/>
    <w:rsid w:val="00AB6E7D"/>
    <w:rsid w:val="00AB7A0B"/>
    <w:rsid w:val="00AC0345"/>
    <w:rsid w:val="00AC062B"/>
    <w:rsid w:val="00AC09CB"/>
    <w:rsid w:val="00AC0AB1"/>
    <w:rsid w:val="00AC13E6"/>
    <w:rsid w:val="00AC1508"/>
    <w:rsid w:val="00AC1618"/>
    <w:rsid w:val="00AC1A93"/>
    <w:rsid w:val="00AC1B46"/>
    <w:rsid w:val="00AC1F71"/>
    <w:rsid w:val="00AC23D8"/>
    <w:rsid w:val="00AC2BE4"/>
    <w:rsid w:val="00AC2CDA"/>
    <w:rsid w:val="00AC2D7C"/>
    <w:rsid w:val="00AC2F51"/>
    <w:rsid w:val="00AC2F9D"/>
    <w:rsid w:val="00AC30DA"/>
    <w:rsid w:val="00AC33FB"/>
    <w:rsid w:val="00AC35D6"/>
    <w:rsid w:val="00AC3A56"/>
    <w:rsid w:val="00AC4277"/>
    <w:rsid w:val="00AC44D5"/>
    <w:rsid w:val="00AC4629"/>
    <w:rsid w:val="00AC46C9"/>
    <w:rsid w:val="00AC4729"/>
    <w:rsid w:val="00AC4911"/>
    <w:rsid w:val="00AC4A07"/>
    <w:rsid w:val="00AC4D79"/>
    <w:rsid w:val="00AC52E7"/>
    <w:rsid w:val="00AC540F"/>
    <w:rsid w:val="00AC557E"/>
    <w:rsid w:val="00AC57BD"/>
    <w:rsid w:val="00AC5A9C"/>
    <w:rsid w:val="00AC5CE8"/>
    <w:rsid w:val="00AC5FBA"/>
    <w:rsid w:val="00AC6090"/>
    <w:rsid w:val="00AC648A"/>
    <w:rsid w:val="00AC67F0"/>
    <w:rsid w:val="00AC685D"/>
    <w:rsid w:val="00AC6A2B"/>
    <w:rsid w:val="00AC6B63"/>
    <w:rsid w:val="00AC6E9E"/>
    <w:rsid w:val="00AC6EED"/>
    <w:rsid w:val="00AC6F1A"/>
    <w:rsid w:val="00AC7143"/>
    <w:rsid w:val="00AC749A"/>
    <w:rsid w:val="00AC76A9"/>
    <w:rsid w:val="00AC790A"/>
    <w:rsid w:val="00AC79E0"/>
    <w:rsid w:val="00AC7AAC"/>
    <w:rsid w:val="00AC7DCE"/>
    <w:rsid w:val="00AD01E4"/>
    <w:rsid w:val="00AD0283"/>
    <w:rsid w:val="00AD072F"/>
    <w:rsid w:val="00AD0858"/>
    <w:rsid w:val="00AD08B5"/>
    <w:rsid w:val="00AD08C5"/>
    <w:rsid w:val="00AD0B53"/>
    <w:rsid w:val="00AD0BEA"/>
    <w:rsid w:val="00AD11FB"/>
    <w:rsid w:val="00AD152A"/>
    <w:rsid w:val="00AD1620"/>
    <w:rsid w:val="00AD1832"/>
    <w:rsid w:val="00AD1D1B"/>
    <w:rsid w:val="00AD1F66"/>
    <w:rsid w:val="00AD1FA1"/>
    <w:rsid w:val="00AD2229"/>
    <w:rsid w:val="00AD2438"/>
    <w:rsid w:val="00AD25D4"/>
    <w:rsid w:val="00AD2A5D"/>
    <w:rsid w:val="00AD2EDF"/>
    <w:rsid w:val="00AD2F61"/>
    <w:rsid w:val="00AD3426"/>
    <w:rsid w:val="00AD3725"/>
    <w:rsid w:val="00AD3788"/>
    <w:rsid w:val="00AD3C56"/>
    <w:rsid w:val="00AD3F34"/>
    <w:rsid w:val="00AD4110"/>
    <w:rsid w:val="00AD413B"/>
    <w:rsid w:val="00AD455C"/>
    <w:rsid w:val="00AD4C50"/>
    <w:rsid w:val="00AD4F5C"/>
    <w:rsid w:val="00AD53C4"/>
    <w:rsid w:val="00AD53FF"/>
    <w:rsid w:val="00AD548E"/>
    <w:rsid w:val="00AD5662"/>
    <w:rsid w:val="00AD5B94"/>
    <w:rsid w:val="00AD5C88"/>
    <w:rsid w:val="00AD63AA"/>
    <w:rsid w:val="00AD65C0"/>
    <w:rsid w:val="00AD665B"/>
    <w:rsid w:val="00AD6777"/>
    <w:rsid w:val="00AD6BA3"/>
    <w:rsid w:val="00AD6E99"/>
    <w:rsid w:val="00AD7359"/>
    <w:rsid w:val="00AD777B"/>
    <w:rsid w:val="00AD7D75"/>
    <w:rsid w:val="00AE029E"/>
    <w:rsid w:val="00AE0374"/>
    <w:rsid w:val="00AE0505"/>
    <w:rsid w:val="00AE0745"/>
    <w:rsid w:val="00AE0C9D"/>
    <w:rsid w:val="00AE0D3D"/>
    <w:rsid w:val="00AE11BA"/>
    <w:rsid w:val="00AE12CF"/>
    <w:rsid w:val="00AE14C2"/>
    <w:rsid w:val="00AE15A8"/>
    <w:rsid w:val="00AE1662"/>
    <w:rsid w:val="00AE170D"/>
    <w:rsid w:val="00AE18B5"/>
    <w:rsid w:val="00AE18FB"/>
    <w:rsid w:val="00AE199A"/>
    <w:rsid w:val="00AE19A6"/>
    <w:rsid w:val="00AE19E2"/>
    <w:rsid w:val="00AE19FC"/>
    <w:rsid w:val="00AE1AAF"/>
    <w:rsid w:val="00AE2373"/>
    <w:rsid w:val="00AE27DC"/>
    <w:rsid w:val="00AE281C"/>
    <w:rsid w:val="00AE284D"/>
    <w:rsid w:val="00AE2850"/>
    <w:rsid w:val="00AE2C02"/>
    <w:rsid w:val="00AE2D83"/>
    <w:rsid w:val="00AE2EC5"/>
    <w:rsid w:val="00AE33EB"/>
    <w:rsid w:val="00AE34AF"/>
    <w:rsid w:val="00AE3AC9"/>
    <w:rsid w:val="00AE3E71"/>
    <w:rsid w:val="00AE3E84"/>
    <w:rsid w:val="00AE3F8A"/>
    <w:rsid w:val="00AE407C"/>
    <w:rsid w:val="00AE4503"/>
    <w:rsid w:val="00AE45D3"/>
    <w:rsid w:val="00AE4744"/>
    <w:rsid w:val="00AE4795"/>
    <w:rsid w:val="00AE4A7A"/>
    <w:rsid w:val="00AE4BFE"/>
    <w:rsid w:val="00AE50DE"/>
    <w:rsid w:val="00AE5341"/>
    <w:rsid w:val="00AE5624"/>
    <w:rsid w:val="00AE58BD"/>
    <w:rsid w:val="00AE5B15"/>
    <w:rsid w:val="00AE5DC6"/>
    <w:rsid w:val="00AE5EF9"/>
    <w:rsid w:val="00AE62B2"/>
    <w:rsid w:val="00AE6451"/>
    <w:rsid w:val="00AE64D7"/>
    <w:rsid w:val="00AE64F2"/>
    <w:rsid w:val="00AE70D2"/>
    <w:rsid w:val="00AE716A"/>
    <w:rsid w:val="00AE72FA"/>
    <w:rsid w:val="00AE7340"/>
    <w:rsid w:val="00AE7455"/>
    <w:rsid w:val="00AE77AA"/>
    <w:rsid w:val="00AE796B"/>
    <w:rsid w:val="00AE79AE"/>
    <w:rsid w:val="00AE7E88"/>
    <w:rsid w:val="00AE7F2F"/>
    <w:rsid w:val="00AF0174"/>
    <w:rsid w:val="00AF0369"/>
    <w:rsid w:val="00AF0508"/>
    <w:rsid w:val="00AF0C38"/>
    <w:rsid w:val="00AF0E12"/>
    <w:rsid w:val="00AF106D"/>
    <w:rsid w:val="00AF11DE"/>
    <w:rsid w:val="00AF127D"/>
    <w:rsid w:val="00AF13F3"/>
    <w:rsid w:val="00AF181B"/>
    <w:rsid w:val="00AF1859"/>
    <w:rsid w:val="00AF19C6"/>
    <w:rsid w:val="00AF1ABF"/>
    <w:rsid w:val="00AF1BBD"/>
    <w:rsid w:val="00AF2093"/>
    <w:rsid w:val="00AF23DF"/>
    <w:rsid w:val="00AF2562"/>
    <w:rsid w:val="00AF263D"/>
    <w:rsid w:val="00AF2BAF"/>
    <w:rsid w:val="00AF2C18"/>
    <w:rsid w:val="00AF30AA"/>
    <w:rsid w:val="00AF30BE"/>
    <w:rsid w:val="00AF311F"/>
    <w:rsid w:val="00AF3404"/>
    <w:rsid w:val="00AF3688"/>
    <w:rsid w:val="00AF3C6F"/>
    <w:rsid w:val="00AF3C74"/>
    <w:rsid w:val="00AF3C87"/>
    <w:rsid w:val="00AF3C9A"/>
    <w:rsid w:val="00AF3CB1"/>
    <w:rsid w:val="00AF3ED7"/>
    <w:rsid w:val="00AF4100"/>
    <w:rsid w:val="00AF439E"/>
    <w:rsid w:val="00AF4587"/>
    <w:rsid w:val="00AF45A8"/>
    <w:rsid w:val="00AF4637"/>
    <w:rsid w:val="00AF4A27"/>
    <w:rsid w:val="00AF4AD5"/>
    <w:rsid w:val="00AF4B12"/>
    <w:rsid w:val="00AF4B70"/>
    <w:rsid w:val="00AF4D3E"/>
    <w:rsid w:val="00AF4D8A"/>
    <w:rsid w:val="00AF54B5"/>
    <w:rsid w:val="00AF575F"/>
    <w:rsid w:val="00AF5788"/>
    <w:rsid w:val="00AF5F8D"/>
    <w:rsid w:val="00AF6024"/>
    <w:rsid w:val="00AF60D1"/>
    <w:rsid w:val="00AF6530"/>
    <w:rsid w:val="00AF665E"/>
    <w:rsid w:val="00AF668A"/>
    <w:rsid w:val="00AF6988"/>
    <w:rsid w:val="00AF6C9F"/>
    <w:rsid w:val="00AF71E0"/>
    <w:rsid w:val="00AF764C"/>
    <w:rsid w:val="00AF77BC"/>
    <w:rsid w:val="00AF77E0"/>
    <w:rsid w:val="00AF7A84"/>
    <w:rsid w:val="00AF7C50"/>
    <w:rsid w:val="00B000D3"/>
    <w:rsid w:val="00B00179"/>
    <w:rsid w:val="00B0037B"/>
    <w:rsid w:val="00B007F7"/>
    <w:rsid w:val="00B00905"/>
    <w:rsid w:val="00B00CB6"/>
    <w:rsid w:val="00B00DC5"/>
    <w:rsid w:val="00B00E2A"/>
    <w:rsid w:val="00B00F61"/>
    <w:rsid w:val="00B00F6A"/>
    <w:rsid w:val="00B00F7A"/>
    <w:rsid w:val="00B010A1"/>
    <w:rsid w:val="00B0164C"/>
    <w:rsid w:val="00B0166C"/>
    <w:rsid w:val="00B01F83"/>
    <w:rsid w:val="00B01FF4"/>
    <w:rsid w:val="00B021ED"/>
    <w:rsid w:val="00B0299C"/>
    <w:rsid w:val="00B02B49"/>
    <w:rsid w:val="00B02DFE"/>
    <w:rsid w:val="00B03037"/>
    <w:rsid w:val="00B03356"/>
    <w:rsid w:val="00B03904"/>
    <w:rsid w:val="00B03BA6"/>
    <w:rsid w:val="00B04473"/>
    <w:rsid w:val="00B048CB"/>
    <w:rsid w:val="00B04E42"/>
    <w:rsid w:val="00B051C1"/>
    <w:rsid w:val="00B052CD"/>
    <w:rsid w:val="00B05756"/>
    <w:rsid w:val="00B05875"/>
    <w:rsid w:val="00B05BF0"/>
    <w:rsid w:val="00B05E2B"/>
    <w:rsid w:val="00B05EC3"/>
    <w:rsid w:val="00B05EF1"/>
    <w:rsid w:val="00B0651A"/>
    <w:rsid w:val="00B06CE4"/>
    <w:rsid w:val="00B0704B"/>
    <w:rsid w:val="00B071B3"/>
    <w:rsid w:val="00B0735B"/>
    <w:rsid w:val="00B074C5"/>
    <w:rsid w:val="00B074D3"/>
    <w:rsid w:val="00B07776"/>
    <w:rsid w:val="00B077DA"/>
    <w:rsid w:val="00B07929"/>
    <w:rsid w:val="00B07C4C"/>
    <w:rsid w:val="00B07E9B"/>
    <w:rsid w:val="00B10020"/>
    <w:rsid w:val="00B10207"/>
    <w:rsid w:val="00B10251"/>
    <w:rsid w:val="00B105C1"/>
    <w:rsid w:val="00B10695"/>
    <w:rsid w:val="00B10AC1"/>
    <w:rsid w:val="00B10B5D"/>
    <w:rsid w:val="00B10DB2"/>
    <w:rsid w:val="00B10F26"/>
    <w:rsid w:val="00B11309"/>
    <w:rsid w:val="00B11671"/>
    <w:rsid w:val="00B1187B"/>
    <w:rsid w:val="00B11B0E"/>
    <w:rsid w:val="00B11D9C"/>
    <w:rsid w:val="00B12038"/>
    <w:rsid w:val="00B1229F"/>
    <w:rsid w:val="00B124BD"/>
    <w:rsid w:val="00B128DC"/>
    <w:rsid w:val="00B12A6F"/>
    <w:rsid w:val="00B13030"/>
    <w:rsid w:val="00B1311F"/>
    <w:rsid w:val="00B133A6"/>
    <w:rsid w:val="00B134C1"/>
    <w:rsid w:val="00B13717"/>
    <w:rsid w:val="00B137CC"/>
    <w:rsid w:val="00B13EA8"/>
    <w:rsid w:val="00B14119"/>
    <w:rsid w:val="00B141E7"/>
    <w:rsid w:val="00B14246"/>
    <w:rsid w:val="00B142FD"/>
    <w:rsid w:val="00B145D0"/>
    <w:rsid w:val="00B148DC"/>
    <w:rsid w:val="00B1508A"/>
    <w:rsid w:val="00B152CB"/>
    <w:rsid w:val="00B15434"/>
    <w:rsid w:val="00B1546F"/>
    <w:rsid w:val="00B15644"/>
    <w:rsid w:val="00B157A3"/>
    <w:rsid w:val="00B15B8B"/>
    <w:rsid w:val="00B15C9E"/>
    <w:rsid w:val="00B15F13"/>
    <w:rsid w:val="00B15F24"/>
    <w:rsid w:val="00B16DB3"/>
    <w:rsid w:val="00B16E46"/>
    <w:rsid w:val="00B17002"/>
    <w:rsid w:val="00B171C5"/>
    <w:rsid w:val="00B17290"/>
    <w:rsid w:val="00B1766D"/>
    <w:rsid w:val="00B17739"/>
    <w:rsid w:val="00B17BDE"/>
    <w:rsid w:val="00B17C73"/>
    <w:rsid w:val="00B20A60"/>
    <w:rsid w:val="00B20C2A"/>
    <w:rsid w:val="00B20F3F"/>
    <w:rsid w:val="00B21408"/>
    <w:rsid w:val="00B2161D"/>
    <w:rsid w:val="00B21625"/>
    <w:rsid w:val="00B216EB"/>
    <w:rsid w:val="00B21731"/>
    <w:rsid w:val="00B21787"/>
    <w:rsid w:val="00B21BF0"/>
    <w:rsid w:val="00B21D04"/>
    <w:rsid w:val="00B22610"/>
    <w:rsid w:val="00B2278F"/>
    <w:rsid w:val="00B22EE0"/>
    <w:rsid w:val="00B231BE"/>
    <w:rsid w:val="00B23252"/>
    <w:rsid w:val="00B232BF"/>
    <w:rsid w:val="00B232F4"/>
    <w:rsid w:val="00B2335F"/>
    <w:rsid w:val="00B23555"/>
    <w:rsid w:val="00B23FA0"/>
    <w:rsid w:val="00B24029"/>
    <w:rsid w:val="00B2403A"/>
    <w:rsid w:val="00B2424F"/>
    <w:rsid w:val="00B243D1"/>
    <w:rsid w:val="00B2452B"/>
    <w:rsid w:val="00B24A0D"/>
    <w:rsid w:val="00B24E0D"/>
    <w:rsid w:val="00B24E4A"/>
    <w:rsid w:val="00B25164"/>
    <w:rsid w:val="00B252DB"/>
    <w:rsid w:val="00B2581B"/>
    <w:rsid w:val="00B25840"/>
    <w:rsid w:val="00B25BA9"/>
    <w:rsid w:val="00B25BE1"/>
    <w:rsid w:val="00B25E35"/>
    <w:rsid w:val="00B265B4"/>
    <w:rsid w:val="00B26773"/>
    <w:rsid w:val="00B26950"/>
    <w:rsid w:val="00B26DD4"/>
    <w:rsid w:val="00B26EF1"/>
    <w:rsid w:val="00B2736A"/>
    <w:rsid w:val="00B27560"/>
    <w:rsid w:val="00B27655"/>
    <w:rsid w:val="00B279EE"/>
    <w:rsid w:val="00B27D2D"/>
    <w:rsid w:val="00B27E4D"/>
    <w:rsid w:val="00B30033"/>
    <w:rsid w:val="00B3011A"/>
    <w:rsid w:val="00B3027F"/>
    <w:rsid w:val="00B30351"/>
    <w:rsid w:val="00B303AF"/>
    <w:rsid w:val="00B307DB"/>
    <w:rsid w:val="00B30E79"/>
    <w:rsid w:val="00B30FB9"/>
    <w:rsid w:val="00B311D8"/>
    <w:rsid w:val="00B313E9"/>
    <w:rsid w:val="00B31786"/>
    <w:rsid w:val="00B3178F"/>
    <w:rsid w:val="00B32038"/>
    <w:rsid w:val="00B3289B"/>
    <w:rsid w:val="00B32D01"/>
    <w:rsid w:val="00B33253"/>
    <w:rsid w:val="00B3359E"/>
    <w:rsid w:val="00B335B4"/>
    <w:rsid w:val="00B335D1"/>
    <w:rsid w:val="00B337FE"/>
    <w:rsid w:val="00B33944"/>
    <w:rsid w:val="00B33D60"/>
    <w:rsid w:val="00B33E05"/>
    <w:rsid w:val="00B33EFB"/>
    <w:rsid w:val="00B34084"/>
    <w:rsid w:val="00B340B6"/>
    <w:rsid w:val="00B340DD"/>
    <w:rsid w:val="00B34303"/>
    <w:rsid w:val="00B34360"/>
    <w:rsid w:val="00B34363"/>
    <w:rsid w:val="00B344BF"/>
    <w:rsid w:val="00B345EB"/>
    <w:rsid w:val="00B34A3C"/>
    <w:rsid w:val="00B34C6D"/>
    <w:rsid w:val="00B34E59"/>
    <w:rsid w:val="00B351B4"/>
    <w:rsid w:val="00B35301"/>
    <w:rsid w:val="00B353CD"/>
    <w:rsid w:val="00B35939"/>
    <w:rsid w:val="00B35967"/>
    <w:rsid w:val="00B3608C"/>
    <w:rsid w:val="00B3619B"/>
    <w:rsid w:val="00B361C2"/>
    <w:rsid w:val="00B36315"/>
    <w:rsid w:val="00B363D3"/>
    <w:rsid w:val="00B36AF4"/>
    <w:rsid w:val="00B36B0A"/>
    <w:rsid w:val="00B3722D"/>
    <w:rsid w:val="00B3741A"/>
    <w:rsid w:val="00B37652"/>
    <w:rsid w:val="00B37DAA"/>
    <w:rsid w:val="00B37DE1"/>
    <w:rsid w:val="00B37E3C"/>
    <w:rsid w:val="00B405DE"/>
    <w:rsid w:val="00B40A5D"/>
    <w:rsid w:val="00B41214"/>
    <w:rsid w:val="00B415F1"/>
    <w:rsid w:val="00B418A9"/>
    <w:rsid w:val="00B41C8D"/>
    <w:rsid w:val="00B41E73"/>
    <w:rsid w:val="00B42033"/>
    <w:rsid w:val="00B420EA"/>
    <w:rsid w:val="00B42105"/>
    <w:rsid w:val="00B4215D"/>
    <w:rsid w:val="00B422F9"/>
    <w:rsid w:val="00B425EB"/>
    <w:rsid w:val="00B42640"/>
    <w:rsid w:val="00B42882"/>
    <w:rsid w:val="00B428A8"/>
    <w:rsid w:val="00B428EE"/>
    <w:rsid w:val="00B429B3"/>
    <w:rsid w:val="00B42B7A"/>
    <w:rsid w:val="00B42D27"/>
    <w:rsid w:val="00B42FE8"/>
    <w:rsid w:val="00B430BE"/>
    <w:rsid w:val="00B43425"/>
    <w:rsid w:val="00B4373D"/>
    <w:rsid w:val="00B4374A"/>
    <w:rsid w:val="00B43F97"/>
    <w:rsid w:val="00B44144"/>
    <w:rsid w:val="00B44190"/>
    <w:rsid w:val="00B4447A"/>
    <w:rsid w:val="00B4489A"/>
    <w:rsid w:val="00B44CD7"/>
    <w:rsid w:val="00B44EDD"/>
    <w:rsid w:val="00B44FB8"/>
    <w:rsid w:val="00B4514A"/>
    <w:rsid w:val="00B4521C"/>
    <w:rsid w:val="00B457E7"/>
    <w:rsid w:val="00B4581B"/>
    <w:rsid w:val="00B4592A"/>
    <w:rsid w:val="00B45933"/>
    <w:rsid w:val="00B45970"/>
    <w:rsid w:val="00B459BA"/>
    <w:rsid w:val="00B45F93"/>
    <w:rsid w:val="00B467E6"/>
    <w:rsid w:val="00B46887"/>
    <w:rsid w:val="00B46B96"/>
    <w:rsid w:val="00B46BCA"/>
    <w:rsid w:val="00B46BEB"/>
    <w:rsid w:val="00B46ECC"/>
    <w:rsid w:val="00B4738C"/>
    <w:rsid w:val="00B47473"/>
    <w:rsid w:val="00B476C4"/>
    <w:rsid w:val="00B478AA"/>
    <w:rsid w:val="00B47C32"/>
    <w:rsid w:val="00B47F9F"/>
    <w:rsid w:val="00B50000"/>
    <w:rsid w:val="00B50055"/>
    <w:rsid w:val="00B500B0"/>
    <w:rsid w:val="00B506B2"/>
    <w:rsid w:val="00B50B02"/>
    <w:rsid w:val="00B50C58"/>
    <w:rsid w:val="00B50CC9"/>
    <w:rsid w:val="00B50D3E"/>
    <w:rsid w:val="00B50F2F"/>
    <w:rsid w:val="00B50F69"/>
    <w:rsid w:val="00B510FF"/>
    <w:rsid w:val="00B5136C"/>
    <w:rsid w:val="00B513CB"/>
    <w:rsid w:val="00B51527"/>
    <w:rsid w:val="00B51714"/>
    <w:rsid w:val="00B51C9D"/>
    <w:rsid w:val="00B51FFE"/>
    <w:rsid w:val="00B521DC"/>
    <w:rsid w:val="00B52328"/>
    <w:rsid w:val="00B52887"/>
    <w:rsid w:val="00B52A1A"/>
    <w:rsid w:val="00B52A8D"/>
    <w:rsid w:val="00B52CF4"/>
    <w:rsid w:val="00B5300B"/>
    <w:rsid w:val="00B532BF"/>
    <w:rsid w:val="00B53486"/>
    <w:rsid w:val="00B53870"/>
    <w:rsid w:val="00B53D08"/>
    <w:rsid w:val="00B53E87"/>
    <w:rsid w:val="00B53F9E"/>
    <w:rsid w:val="00B5405A"/>
    <w:rsid w:val="00B540CC"/>
    <w:rsid w:val="00B542C9"/>
    <w:rsid w:val="00B542DB"/>
    <w:rsid w:val="00B546C6"/>
    <w:rsid w:val="00B54A77"/>
    <w:rsid w:val="00B54D02"/>
    <w:rsid w:val="00B54D3A"/>
    <w:rsid w:val="00B54D7A"/>
    <w:rsid w:val="00B54F7B"/>
    <w:rsid w:val="00B55041"/>
    <w:rsid w:val="00B55336"/>
    <w:rsid w:val="00B554C3"/>
    <w:rsid w:val="00B55746"/>
    <w:rsid w:val="00B55805"/>
    <w:rsid w:val="00B55971"/>
    <w:rsid w:val="00B55E5C"/>
    <w:rsid w:val="00B55F66"/>
    <w:rsid w:val="00B56009"/>
    <w:rsid w:val="00B56604"/>
    <w:rsid w:val="00B5667A"/>
    <w:rsid w:val="00B5679A"/>
    <w:rsid w:val="00B56980"/>
    <w:rsid w:val="00B56C5A"/>
    <w:rsid w:val="00B56F34"/>
    <w:rsid w:val="00B56F9A"/>
    <w:rsid w:val="00B571EA"/>
    <w:rsid w:val="00B5741D"/>
    <w:rsid w:val="00B5766C"/>
    <w:rsid w:val="00B57765"/>
    <w:rsid w:val="00B57AC2"/>
    <w:rsid w:val="00B601E4"/>
    <w:rsid w:val="00B603DF"/>
    <w:rsid w:val="00B603E3"/>
    <w:rsid w:val="00B60458"/>
    <w:rsid w:val="00B6052E"/>
    <w:rsid w:val="00B60575"/>
    <w:rsid w:val="00B60A07"/>
    <w:rsid w:val="00B60DAF"/>
    <w:rsid w:val="00B60E55"/>
    <w:rsid w:val="00B61276"/>
    <w:rsid w:val="00B61802"/>
    <w:rsid w:val="00B61990"/>
    <w:rsid w:val="00B61A51"/>
    <w:rsid w:val="00B61B7B"/>
    <w:rsid w:val="00B61C1B"/>
    <w:rsid w:val="00B62413"/>
    <w:rsid w:val="00B6250E"/>
    <w:rsid w:val="00B62648"/>
    <w:rsid w:val="00B62CD2"/>
    <w:rsid w:val="00B63082"/>
    <w:rsid w:val="00B634D5"/>
    <w:rsid w:val="00B63693"/>
    <w:rsid w:val="00B64049"/>
    <w:rsid w:val="00B64241"/>
    <w:rsid w:val="00B64465"/>
    <w:rsid w:val="00B6467A"/>
    <w:rsid w:val="00B6479D"/>
    <w:rsid w:val="00B64B27"/>
    <w:rsid w:val="00B64BF4"/>
    <w:rsid w:val="00B64C7F"/>
    <w:rsid w:val="00B64D9B"/>
    <w:rsid w:val="00B64DF5"/>
    <w:rsid w:val="00B64EF5"/>
    <w:rsid w:val="00B6501C"/>
    <w:rsid w:val="00B65108"/>
    <w:rsid w:val="00B652CE"/>
    <w:rsid w:val="00B6531A"/>
    <w:rsid w:val="00B6547A"/>
    <w:rsid w:val="00B65773"/>
    <w:rsid w:val="00B65937"/>
    <w:rsid w:val="00B65A7D"/>
    <w:rsid w:val="00B66032"/>
    <w:rsid w:val="00B6611C"/>
    <w:rsid w:val="00B66152"/>
    <w:rsid w:val="00B662B2"/>
    <w:rsid w:val="00B662D9"/>
    <w:rsid w:val="00B66478"/>
    <w:rsid w:val="00B666FD"/>
    <w:rsid w:val="00B66914"/>
    <w:rsid w:val="00B669A1"/>
    <w:rsid w:val="00B66A2C"/>
    <w:rsid w:val="00B6709D"/>
    <w:rsid w:val="00B67418"/>
    <w:rsid w:val="00B674C9"/>
    <w:rsid w:val="00B67538"/>
    <w:rsid w:val="00B67639"/>
    <w:rsid w:val="00B67659"/>
    <w:rsid w:val="00B6785B"/>
    <w:rsid w:val="00B67C9B"/>
    <w:rsid w:val="00B67F0A"/>
    <w:rsid w:val="00B7017D"/>
    <w:rsid w:val="00B701E4"/>
    <w:rsid w:val="00B701E5"/>
    <w:rsid w:val="00B7046F"/>
    <w:rsid w:val="00B706D7"/>
    <w:rsid w:val="00B70BA3"/>
    <w:rsid w:val="00B70C73"/>
    <w:rsid w:val="00B70FBA"/>
    <w:rsid w:val="00B715CB"/>
    <w:rsid w:val="00B71B6E"/>
    <w:rsid w:val="00B71BAA"/>
    <w:rsid w:val="00B71C28"/>
    <w:rsid w:val="00B71F01"/>
    <w:rsid w:val="00B72202"/>
    <w:rsid w:val="00B7239F"/>
    <w:rsid w:val="00B723B4"/>
    <w:rsid w:val="00B72848"/>
    <w:rsid w:val="00B73075"/>
    <w:rsid w:val="00B73132"/>
    <w:rsid w:val="00B732FF"/>
    <w:rsid w:val="00B73761"/>
    <w:rsid w:val="00B737E6"/>
    <w:rsid w:val="00B738DD"/>
    <w:rsid w:val="00B7394D"/>
    <w:rsid w:val="00B73C34"/>
    <w:rsid w:val="00B73E34"/>
    <w:rsid w:val="00B73E38"/>
    <w:rsid w:val="00B73EE9"/>
    <w:rsid w:val="00B742C0"/>
    <w:rsid w:val="00B745DC"/>
    <w:rsid w:val="00B74E90"/>
    <w:rsid w:val="00B7502F"/>
    <w:rsid w:val="00B750F9"/>
    <w:rsid w:val="00B75356"/>
    <w:rsid w:val="00B76198"/>
    <w:rsid w:val="00B7633D"/>
    <w:rsid w:val="00B768AF"/>
    <w:rsid w:val="00B7690C"/>
    <w:rsid w:val="00B769CB"/>
    <w:rsid w:val="00B76C48"/>
    <w:rsid w:val="00B76EA8"/>
    <w:rsid w:val="00B77004"/>
    <w:rsid w:val="00B77247"/>
    <w:rsid w:val="00B773E9"/>
    <w:rsid w:val="00B77602"/>
    <w:rsid w:val="00B7778F"/>
    <w:rsid w:val="00B77BC9"/>
    <w:rsid w:val="00B8038D"/>
    <w:rsid w:val="00B80423"/>
    <w:rsid w:val="00B80474"/>
    <w:rsid w:val="00B80709"/>
    <w:rsid w:val="00B8074C"/>
    <w:rsid w:val="00B8082F"/>
    <w:rsid w:val="00B80A41"/>
    <w:rsid w:val="00B80D36"/>
    <w:rsid w:val="00B80EA5"/>
    <w:rsid w:val="00B80FEC"/>
    <w:rsid w:val="00B81074"/>
    <w:rsid w:val="00B815C9"/>
    <w:rsid w:val="00B818A9"/>
    <w:rsid w:val="00B818F7"/>
    <w:rsid w:val="00B819F0"/>
    <w:rsid w:val="00B81DDA"/>
    <w:rsid w:val="00B8243A"/>
    <w:rsid w:val="00B826A2"/>
    <w:rsid w:val="00B8289B"/>
    <w:rsid w:val="00B82B06"/>
    <w:rsid w:val="00B8312D"/>
    <w:rsid w:val="00B83133"/>
    <w:rsid w:val="00B8359F"/>
    <w:rsid w:val="00B839A0"/>
    <w:rsid w:val="00B83EED"/>
    <w:rsid w:val="00B8439D"/>
    <w:rsid w:val="00B845BE"/>
    <w:rsid w:val="00B84696"/>
    <w:rsid w:val="00B848F5"/>
    <w:rsid w:val="00B84A84"/>
    <w:rsid w:val="00B84B08"/>
    <w:rsid w:val="00B8510E"/>
    <w:rsid w:val="00B85245"/>
    <w:rsid w:val="00B85463"/>
    <w:rsid w:val="00B859FD"/>
    <w:rsid w:val="00B85A9B"/>
    <w:rsid w:val="00B85DD5"/>
    <w:rsid w:val="00B85DE4"/>
    <w:rsid w:val="00B85E5C"/>
    <w:rsid w:val="00B85F6C"/>
    <w:rsid w:val="00B860FC"/>
    <w:rsid w:val="00B8624F"/>
    <w:rsid w:val="00B863B5"/>
    <w:rsid w:val="00B86726"/>
    <w:rsid w:val="00B8679E"/>
    <w:rsid w:val="00B86D1C"/>
    <w:rsid w:val="00B86E2F"/>
    <w:rsid w:val="00B8723D"/>
    <w:rsid w:val="00B8724E"/>
    <w:rsid w:val="00B87302"/>
    <w:rsid w:val="00B87806"/>
    <w:rsid w:val="00B878C3"/>
    <w:rsid w:val="00B87A38"/>
    <w:rsid w:val="00B87D02"/>
    <w:rsid w:val="00B87D44"/>
    <w:rsid w:val="00B87E35"/>
    <w:rsid w:val="00B87EC9"/>
    <w:rsid w:val="00B902E4"/>
    <w:rsid w:val="00B9045D"/>
    <w:rsid w:val="00B90480"/>
    <w:rsid w:val="00B90560"/>
    <w:rsid w:val="00B9068B"/>
    <w:rsid w:val="00B9096E"/>
    <w:rsid w:val="00B90AEC"/>
    <w:rsid w:val="00B90D79"/>
    <w:rsid w:val="00B912B0"/>
    <w:rsid w:val="00B91C94"/>
    <w:rsid w:val="00B91CED"/>
    <w:rsid w:val="00B91E1F"/>
    <w:rsid w:val="00B91F6D"/>
    <w:rsid w:val="00B92128"/>
    <w:rsid w:val="00B923ED"/>
    <w:rsid w:val="00B928A6"/>
    <w:rsid w:val="00B928D3"/>
    <w:rsid w:val="00B92E2B"/>
    <w:rsid w:val="00B92FB0"/>
    <w:rsid w:val="00B93259"/>
    <w:rsid w:val="00B9342F"/>
    <w:rsid w:val="00B93442"/>
    <w:rsid w:val="00B93529"/>
    <w:rsid w:val="00B935CF"/>
    <w:rsid w:val="00B9370F"/>
    <w:rsid w:val="00B93824"/>
    <w:rsid w:val="00B9390E"/>
    <w:rsid w:val="00B93A1E"/>
    <w:rsid w:val="00B93B5E"/>
    <w:rsid w:val="00B93BBA"/>
    <w:rsid w:val="00B93D9F"/>
    <w:rsid w:val="00B93FE0"/>
    <w:rsid w:val="00B9439E"/>
    <w:rsid w:val="00B94A31"/>
    <w:rsid w:val="00B95100"/>
    <w:rsid w:val="00B951A0"/>
    <w:rsid w:val="00B953B3"/>
    <w:rsid w:val="00B9574D"/>
    <w:rsid w:val="00B95880"/>
    <w:rsid w:val="00B95C00"/>
    <w:rsid w:val="00B95C6B"/>
    <w:rsid w:val="00B95ED3"/>
    <w:rsid w:val="00B95F4E"/>
    <w:rsid w:val="00B96223"/>
    <w:rsid w:val="00B9689A"/>
    <w:rsid w:val="00B96B10"/>
    <w:rsid w:val="00B96B83"/>
    <w:rsid w:val="00B96D27"/>
    <w:rsid w:val="00B96F7C"/>
    <w:rsid w:val="00B96FF8"/>
    <w:rsid w:val="00B970C6"/>
    <w:rsid w:val="00B970DA"/>
    <w:rsid w:val="00B97996"/>
    <w:rsid w:val="00B97B00"/>
    <w:rsid w:val="00B97E08"/>
    <w:rsid w:val="00BA028B"/>
    <w:rsid w:val="00BA02BA"/>
    <w:rsid w:val="00BA03D4"/>
    <w:rsid w:val="00BA04BF"/>
    <w:rsid w:val="00BA07D7"/>
    <w:rsid w:val="00BA093A"/>
    <w:rsid w:val="00BA09E8"/>
    <w:rsid w:val="00BA0B57"/>
    <w:rsid w:val="00BA0F7D"/>
    <w:rsid w:val="00BA1098"/>
    <w:rsid w:val="00BA10A0"/>
    <w:rsid w:val="00BA1126"/>
    <w:rsid w:val="00BA11F6"/>
    <w:rsid w:val="00BA1253"/>
    <w:rsid w:val="00BA1374"/>
    <w:rsid w:val="00BA1634"/>
    <w:rsid w:val="00BA1651"/>
    <w:rsid w:val="00BA16B9"/>
    <w:rsid w:val="00BA21A5"/>
    <w:rsid w:val="00BA2261"/>
    <w:rsid w:val="00BA2294"/>
    <w:rsid w:val="00BA2C10"/>
    <w:rsid w:val="00BA2CD2"/>
    <w:rsid w:val="00BA2E8F"/>
    <w:rsid w:val="00BA3273"/>
    <w:rsid w:val="00BA32ED"/>
    <w:rsid w:val="00BA36AA"/>
    <w:rsid w:val="00BA3895"/>
    <w:rsid w:val="00BA39C6"/>
    <w:rsid w:val="00BA3AC3"/>
    <w:rsid w:val="00BA3EF2"/>
    <w:rsid w:val="00BA4630"/>
    <w:rsid w:val="00BA48D5"/>
    <w:rsid w:val="00BA4950"/>
    <w:rsid w:val="00BA4C0A"/>
    <w:rsid w:val="00BA4E1A"/>
    <w:rsid w:val="00BA52D6"/>
    <w:rsid w:val="00BA54E9"/>
    <w:rsid w:val="00BA54EF"/>
    <w:rsid w:val="00BA5620"/>
    <w:rsid w:val="00BA5DFA"/>
    <w:rsid w:val="00BA5E90"/>
    <w:rsid w:val="00BA5F0B"/>
    <w:rsid w:val="00BA5F1C"/>
    <w:rsid w:val="00BA5FF7"/>
    <w:rsid w:val="00BA6499"/>
    <w:rsid w:val="00BA65D2"/>
    <w:rsid w:val="00BA66C9"/>
    <w:rsid w:val="00BA66E6"/>
    <w:rsid w:val="00BA72D0"/>
    <w:rsid w:val="00BA7391"/>
    <w:rsid w:val="00BA7466"/>
    <w:rsid w:val="00BA752A"/>
    <w:rsid w:val="00BA7797"/>
    <w:rsid w:val="00BA77BD"/>
    <w:rsid w:val="00BA7D3B"/>
    <w:rsid w:val="00BA7E46"/>
    <w:rsid w:val="00BA7EAC"/>
    <w:rsid w:val="00BB046D"/>
    <w:rsid w:val="00BB05A4"/>
    <w:rsid w:val="00BB0C12"/>
    <w:rsid w:val="00BB1423"/>
    <w:rsid w:val="00BB1703"/>
    <w:rsid w:val="00BB1781"/>
    <w:rsid w:val="00BB1785"/>
    <w:rsid w:val="00BB1982"/>
    <w:rsid w:val="00BB2269"/>
    <w:rsid w:val="00BB28E9"/>
    <w:rsid w:val="00BB28F6"/>
    <w:rsid w:val="00BB2CEF"/>
    <w:rsid w:val="00BB3132"/>
    <w:rsid w:val="00BB318C"/>
    <w:rsid w:val="00BB3466"/>
    <w:rsid w:val="00BB357D"/>
    <w:rsid w:val="00BB3732"/>
    <w:rsid w:val="00BB3B54"/>
    <w:rsid w:val="00BB3D1E"/>
    <w:rsid w:val="00BB3E07"/>
    <w:rsid w:val="00BB46C9"/>
    <w:rsid w:val="00BB4769"/>
    <w:rsid w:val="00BB49A4"/>
    <w:rsid w:val="00BB4CC8"/>
    <w:rsid w:val="00BB4FE1"/>
    <w:rsid w:val="00BB5001"/>
    <w:rsid w:val="00BB508B"/>
    <w:rsid w:val="00BB51FB"/>
    <w:rsid w:val="00BB5262"/>
    <w:rsid w:val="00BB530A"/>
    <w:rsid w:val="00BB56C9"/>
    <w:rsid w:val="00BB5784"/>
    <w:rsid w:val="00BB5802"/>
    <w:rsid w:val="00BB5A6B"/>
    <w:rsid w:val="00BB6263"/>
    <w:rsid w:val="00BB63B9"/>
    <w:rsid w:val="00BB648F"/>
    <w:rsid w:val="00BB65D0"/>
    <w:rsid w:val="00BB676E"/>
    <w:rsid w:val="00BB6A1E"/>
    <w:rsid w:val="00BB6EB6"/>
    <w:rsid w:val="00BB6F6C"/>
    <w:rsid w:val="00BB74B1"/>
    <w:rsid w:val="00BB7629"/>
    <w:rsid w:val="00BB77C1"/>
    <w:rsid w:val="00BB77F1"/>
    <w:rsid w:val="00BB78F7"/>
    <w:rsid w:val="00BC0169"/>
    <w:rsid w:val="00BC0403"/>
    <w:rsid w:val="00BC052E"/>
    <w:rsid w:val="00BC05D3"/>
    <w:rsid w:val="00BC06A9"/>
    <w:rsid w:val="00BC06D8"/>
    <w:rsid w:val="00BC076D"/>
    <w:rsid w:val="00BC0AA3"/>
    <w:rsid w:val="00BC0B45"/>
    <w:rsid w:val="00BC0B4E"/>
    <w:rsid w:val="00BC0EAD"/>
    <w:rsid w:val="00BC0F58"/>
    <w:rsid w:val="00BC1334"/>
    <w:rsid w:val="00BC1589"/>
    <w:rsid w:val="00BC1C9B"/>
    <w:rsid w:val="00BC1D46"/>
    <w:rsid w:val="00BC1D70"/>
    <w:rsid w:val="00BC21BE"/>
    <w:rsid w:val="00BC243B"/>
    <w:rsid w:val="00BC24D7"/>
    <w:rsid w:val="00BC260B"/>
    <w:rsid w:val="00BC272D"/>
    <w:rsid w:val="00BC27F5"/>
    <w:rsid w:val="00BC281D"/>
    <w:rsid w:val="00BC2870"/>
    <w:rsid w:val="00BC2C4E"/>
    <w:rsid w:val="00BC2D2B"/>
    <w:rsid w:val="00BC2DDA"/>
    <w:rsid w:val="00BC2FF3"/>
    <w:rsid w:val="00BC38FD"/>
    <w:rsid w:val="00BC428B"/>
    <w:rsid w:val="00BC42F5"/>
    <w:rsid w:val="00BC44E6"/>
    <w:rsid w:val="00BC46AF"/>
    <w:rsid w:val="00BC49BD"/>
    <w:rsid w:val="00BC4A2B"/>
    <w:rsid w:val="00BC4D7C"/>
    <w:rsid w:val="00BC4DA0"/>
    <w:rsid w:val="00BC5438"/>
    <w:rsid w:val="00BC5458"/>
    <w:rsid w:val="00BC559C"/>
    <w:rsid w:val="00BC5ADD"/>
    <w:rsid w:val="00BC5BA6"/>
    <w:rsid w:val="00BC5FCD"/>
    <w:rsid w:val="00BC60A8"/>
    <w:rsid w:val="00BC64D9"/>
    <w:rsid w:val="00BC6607"/>
    <w:rsid w:val="00BC6C73"/>
    <w:rsid w:val="00BC73F7"/>
    <w:rsid w:val="00BC74D8"/>
    <w:rsid w:val="00BC76B9"/>
    <w:rsid w:val="00BC7812"/>
    <w:rsid w:val="00BC7A33"/>
    <w:rsid w:val="00BC7F9C"/>
    <w:rsid w:val="00BD0059"/>
    <w:rsid w:val="00BD005B"/>
    <w:rsid w:val="00BD0381"/>
    <w:rsid w:val="00BD04D5"/>
    <w:rsid w:val="00BD0684"/>
    <w:rsid w:val="00BD0774"/>
    <w:rsid w:val="00BD0A06"/>
    <w:rsid w:val="00BD0A3A"/>
    <w:rsid w:val="00BD0B91"/>
    <w:rsid w:val="00BD0B97"/>
    <w:rsid w:val="00BD0CA7"/>
    <w:rsid w:val="00BD0CED"/>
    <w:rsid w:val="00BD0D8C"/>
    <w:rsid w:val="00BD0E5B"/>
    <w:rsid w:val="00BD11E2"/>
    <w:rsid w:val="00BD1344"/>
    <w:rsid w:val="00BD13EC"/>
    <w:rsid w:val="00BD1422"/>
    <w:rsid w:val="00BD16D2"/>
    <w:rsid w:val="00BD1731"/>
    <w:rsid w:val="00BD174E"/>
    <w:rsid w:val="00BD1905"/>
    <w:rsid w:val="00BD1939"/>
    <w:rsid w:val="00BD1B0D"/>
    <w:rsid w:val="00BD1B3F"/>
    <w:rsid w:val="00BD1C16"/>
    <w:rsid w:val="00BD1C33"/>
    <w:rsid w:val="00BD1DBA"/>
    <w:rsid w:val="00BD1F56"/>
    <w:rsid w:val="00BD1F86"/>
    <w:rsid w:val="00BD239F"/>
    <w:rsid w:val="00BD2590"/>
    <w:rsid w:val="00BD2780"/>
    <w:rsid w:val="00BD2843"/>
    <w:rsid w:val="00BD2994"/>
    <w:rsid w:val="00BD2C1B"/>
    <w:rsid w:val="00BD2D29"/>
    <w:rsid w:val="00BD2DA7"/>
    <w:rsid w:val="00BD3059"/>
    <w:rsid w:val="00BD349B"/>
    <w:rsid w:val="00BD3659"/>
    <w:rsid w:val="00BD3A7C"/>
    <w:rsid w:val="00BD3B42"/>
    <w:rsid w:val="00BD3CDE"/>
    <w:rsid w:val="00BD436C"/>
    <w:rsid w:val="00BD4CDB"/>
    <w:rsid w:val="00BD4F2C"/>
    <w:rsid w:val="00BD5377"/>
    <w:rsid w:val="00BD5434"/>
    <w:rsid w:val="00BD5780"/>
    <w:rsid w:val="00BD5996"/>
    <w:rsid w:val="00BD5BF6"/>
    <w:rsid w:val="00BD5C54"/>
    <w:rsid w:val="00BD5D34"/>
    <w:rsid w:val="00BD5FAC"/>
    <w:rsid w:val="00BD6040"/>
    <w:rsid w:val="00BD6543"/>
    <w:rsid w:val="00BD67AD"/>
    <w:rsid w:val="00BD68DE"/>
    <w:rsid w:val="00BD68E2"/>
    <w:rsid w:val="00BD68ED"/>
    <w:rsid w:val="00BD6CA5"/>
    <w:rsid w:val="00BD6E6E"/>
    <w:rsid w:val="00BD763B"/>
    <w:rsid w:val="00BD78E1"/>
    <w:rsid w:val="00BD7AB8"/>
    <w:rsid w:val="00BE00A5"/>
    <w:rsid w:val="00BE00F6"/>
    <w:rsid w:val="00BE01E6"/>
    <w:rsid w:val="00BE09E5"/>
    <w:rsid w:val="00BE0B10"/>
    <w:rsid w:val="00BE0F8B"/>
    <w:rsid w:val="00BE113F"/>
    <w:rsid w:val="00BE1485"/>
    <w:rsid w:val="00BE1514"/>
    <w:rsid w:val="00BE156E"/>
    <w:rsid w:val="00BE15F2"/>
    <w:rsid w:val="00BE18D0"/>
    <w:rsid w:val="00BE1BAC"/>
    <w:rsid w:val="00BE1E65"/>
    <w:rsid w:val="00BE1F43"/>
    <w:rsid w:val="00BE2230"/>
    <w:rsid w:val="00BE24AE"/>
    <w:rsid w:val="00BE275B"/>
    <w:rsid w:val="00BE2894"/>
    <w:rsid w:val="00BE28B7"/>
    <w:rsid w:val="00BE28C1"/>
    <w:rsid w:val="00BE2F07"/>
    <w:rsid w:val="00BE3299"/>
    <w:rsid w:val="00BE37C0"/>
    <w:rsid w:val="00BE3A3C"/>
    <w:rsid w:val="00BE3B0F"/>
    <w:rsid w:val="00BE3CEF"/>
    <w:rsid w:val="00BE4367"/>
    <w:rsid w:val="00BE4443"/>
    <w:rsid w:val="00BE4586"/>
    <w:rsid w:val="00BE458D"/>
    <w:rsid w:val="00BE47E3"/>
    <w:rsid w:val="00BE483B"/>
    <w:rsid w:val="00BE4874"/>
    <w:rsid w:val="00BE4B10"/>
    <w:rsid w:val="00BE4C77"/>
    <w:rsid w:val="00BE4D7C"/>
    <w:rsid w:val="00BE4E62"/>
    <w:rsid w:val="00BE4F25"/>
    <w:rsid w:val="00BE54C4"/>
    <w:rsid w:val="00BE5680"/>
    <w:rsid w:val="00BE5D64"/>
    <w:rsid w:val="00BE5DB0"/>
    <w:rsid w:val="00BE5E46"/>
    <w:rsid w:val="00BE5FD3"/>
    <w:rsid w:val="00BE5FD7"/>
    <w:rsid w:val="00BE5FEF"/>
    <w:rsid w:val="00BE6230"/>
    <w:rsid w:val="00BE6388"/>
    <w:rsid w:val="00BE68F1"/>
    <w:rsid w:val="00BE69D2"/>
    <w:rsid w:val="00BE6B72"/>
    <w:rsid w:val="00BE6DFF"/>
    <w:rsid w:val="00BE6F75"/>
    <w:rsid w:val="00BE70B4"/>
    <w:rsid w:val="00BE70C2"/>
    <w:rsid w:val="00BE71CB"/>
    <w:rsid w:val="00BE73F3"/>
    <w:rsid w:val="00BE74AD"/>
    <w:rsid w:val="00BE7982"/>
    <w:rsid w:val="00BE7D3C"/>
    <w:rsid w:val="00BE7E10"/>
    <w:rsid w:val="00BE7ED4"/>
    <w:rsid w:val="00BF0265"/>
    <w:rsid w:val="00BF047E"/>
    <w:rsid w:val="00BF0795"/>
    <w:rsid w:val="00BF0819"/>
    <w:rsid w:val="00BF08AA"/>
    <w:rsid w:val="00BF12CE"/>
    <w:rsid w:val="00BF147F"/>
    <w:rsid w:val="00BF189D"/>
    <w:rsid w:val="00BF1A3D"/>
    <w:rsid w:val="00BF1E70"/>
    <w:rsid w:val="00BF226F"/>
    <w:rsid w:val="00BF2478"/>
    <w:rsid w:val="00BF2606"/>
    <w:rsid w:val="00BF2841"/>
    <w:rsid w:val="00BF28DB"/>
    <w:rsid w:val="00BF2AE3"/>
    <w:rsid w:val="00BF2FD1"/>
    <w:rsid w:val="00BF2FEE"/>
    <w:rsid w:val="00BF3153"/>
    <w:rsid w:val="00BF3604"/>
    <w:rsid w:val="00BF3673"/>
    <w:rsid w:val="00BF3682"/>
    <w:rsid w:val="00BF420E"/>
    <w:rsid w:val="00BF477D"/>
    <w:rsid w:val="00BF495F"/>
    <w:rsid w:val="00BF49A4"/>
    <w:rsid w:val="00BF4A56"/>
    <w:rsid w:val="00BF5133"/>
    <w:rsid w:val="00BF52BE"/>
    <w:rsid w:val="00BF54C3"/>
    <w:rsid w:val="00BF56A1"/>
    <w:rsid w:val="00BF5809"/>
    <w:rsid w:val="00BF5968"/>
    <w:rsid w:val="00BF5E35"/>
    <w:rsid w:val="00BF63E2"/>
    <w:rsid w:val="00BF6A0F"/>
    <w:rsid w:val="00BF6D39"/>
    <w:rsid w:val="00BF7539"/>
    <w:rsid w:val="00BF7747"/>
    <w:rsid w:val="00BF7B83"/>
    <w:rsid w:val="00BF7C34"/>
    <w:rsid w:val="00BF7F0D"/>
    <w:rsid w:val="00C00642"/>
    <w:rsid w:val="00C015BB"/>
    <w:rsid w:val="00C01AEC"/>
    <w:rsid w:val="00C01D46"/>
    <w:rsid w:val="00C020DB"/>
    <w:rsid w:val="00C0216F"/>
    <w:rsid w:val="00C025C4"/>
    <w:rsid w:val="00C026FE"/>
    <w:rsid w:val="00C027BC"/>
    <w:rsid w:val="00C02C88"/>
    <w:rsid w:val="00C0304A"/>
    <w:rsid w:val="00C031E7"/>
    <w:rsid w:val="00C03276"/>
    <w:rsid w:val="00C034CB"/>
    <w:rsid w:val="00C03E2F"/>
    <w:rsid w:val="00C04136"/>
    <w:rsid w:val="00C0420D"/>
    <w:rsid w:val="00C0425E"/>
    <w:rsid w:val="00C04A28"/>
    <w:rsid w:val="00C04A99"/>
    <w:rsid w:val="00C04CF4"/>
    <w:rsid w:val="00C050D4"/>
    <w:rsid w:val="00C051A8"/>
    <w:rsid w:val="00C054BC"/>
    <w:rsid w:val="00C05674"/>
    <w:rsid w:val="00C05D7C"/>
    <w:rsid w:val="00C05E87"/>
    <w:rsid w:val="00C05F72"/>
    <w:rsid w:val="00C06262"/>
    <w:rsid w:val="00C064D6"/>
    <w:rsid w:val="00C0657B"/>
    <w:rsid w:val="00C06C19"/>
    <w:rsid w:val="00C06DBB"/>
    <w:rsid w:val="00C073DD"/>
    <w:rsid w:val="00C073E6"/>
    <w:rsid w:val="00C07412"/>
    <w:rsid w:val="00C077E6"/>
    <w:rsid w:val="00C07E94"/>
    <w:rsid w:val="00C07FA3"/>
    <w:rsid w:val="00C102C7"/>
    <w:rsid w:val="00C10591"/>
    <w:rsid w:val="00C10A3C"/>
    <w:rsid w:val="00C10AC4"/>
    <w:rsid w:val="00C10CD7"/>
    <w:rsid w:val="00C10ED3"/>
    <w:rsid w:val="00C111C6"/>
    <w:rsid w:val="00C1123D"/>
    <w:rsid w:val="00C116D1"/>
    <w:rsid w:val="00C11719"/>
    <w:rsid w:val="00C1171A"/>
    <w:rsid w:val="00C117BE"/>
    <w:rsid w:val="00C11C31"/>
    <w:rsid w:val="00C122EF"/>
    <w:rsid w:val="00C1239C"/>
    <w:rsid w:val="00C12407"/>
    <w:rsid w:val="00C12409"/>
    <w:rsid w:val="00C12A94"/>
    <w:rsid w:val="00C12F50"/>
    <w:rsid w:val="00C13117"/>
    <w:rsid w:val="00C13175"/>
    <w:rsid w:val="00C139BF"/>
    <w:rsid w:val="00C13AC6"/>
    <w:rsid w:val="00C13AE9"/>
    <w:rsid w:val="00C140F3"/>
    <w:rsid w:val="00C1411D"/>
    <w:rsid w:val="00C14329"/>
    <w:rsid w:val="00C1474C"/>
    <w:rsid w:val="00C14CC5"/>
    <w:rsid w:val="00C14D77"/>
    <w:rsid w:val="00C14DCD"/>
    <w:rsid w:val="00C14F51"/>
    <w:rsid w:val="00C15374"/>
    <w:rsid w:val="00C154EC"/>
    <w:rsid w:val="00C1550E"/>
    <w:rsid w:val="00C15670"/>
    <w:rsid w:val="00C156BF"/>
    <w:rsid w:val="00C1573B"/>
    <w:rsid w:val="00C157FC"/>
    <w:rsid w:val="00C15C30"/>
    <w:rsid w:val="00C15EB1"/>
    <w:rsid w:val="00C161DB"/>
    <w:rsid w:val="00C162D4"/>
    <w:rsid w:val="00C1652F"/>
    <w:rsid w:val="00C1684C"/>
    <w:rsid w:val="00C1699A"/>
    <w:rsid w:val="00C16CD9"/>
    <w:rsid w:val="00C17256"/>
    <w:rsid w:val="00C1759A"/>
    <w:rsid w:val="00C1777B"/>
    <w:rsid w:val="00C17897"/>
    <w:rsid w:val="00C17C0F"/>
    <w:rsid w:val="00C17EAF"/>
    <w:rsid w:val="00C200C2"/>
    <w:rsid w:val="00C201E2"/>
    <w:rsid w:val="00C202BC"/>
    <w:rsid w:val="00C20674"/>
    <w:rsid w:val="00C20A36"/>
    <w:rsid w:val="00C21AA9"/>
    <w:rsid w:val="00C21CAE"/>
    <w:rsid w:val="00C21F5E"/>
    <w:rsid w:val="00C22182"/>
    <w:rsid w:val="00C2239B"/>
    <w:rsid w:val="00C22470"/>
    <w:rsid w:val="00C22EC1"/>
    <w:rsid w:val="00C22F35"/>
    <w:rsid w:val="00C22F46"/>
    <w:rsid w:val="00C234D0"/>
    <w:rsid w:val="00C2374F"/>
    <w:rsid w:val="00C23BD0"/>
    <w:rsid w:val="00C2412D"/>
    <w:rsid w:val="00C245A6"/>
    <w:rsid w:val="00C24A6C"/>
    <w:rsid w:val="00C24B70"/>
    <w:rsid w:val="00C252BA"/>
    <w:rsid w:val="00C253C9"/>
    <w:rsid w:val="00C25540"/>
    <w:rsid w:val="00C256B8"/>
    <w:rsid w:val="00C25B27"/>
    <w:rsid w:val="00C25C08"/>
    <w:rsid w:val="00C25DEB"/>
    <w:rsid w:val="00C260E1"/>
    <w:rsid w:val="00C260E9"/>
    <w:rsid w:val="00C26206"/>
    <w:rsid w:val="00C2635A"/>
    <w:rsid w:val="00C26389"/>
    <w:rsid w:val="00C2647C"/>
    <w:rsid w:val="00C26664"/>
    <w:rsid w:val="00C26748"/>
    <w:rsid w:val="00C2683A"/>
    <w:rsid w:val="00C26C60"/>
    <w:rsid w:val="00C26CC3"/>
    <w:rsid w:val="00C27BD6"/>
    <w:rsid w:val="00C27E74"/>
    <w:rsid w:val="00C30289"/>
    <w:rsid w:val="00C30447"/>
    <w:rsid w:val="00C3048A"/>
    <w:rsid w:val="00C3050D"/>
    <w:rsid w:val="00C3092B"/>
    <w:rsid w:val="00C31324"/>
    <w:rsid w:val="00C313CA"/>
    <w:rsid w:val="00C318C9"/>
    <w:rsid w:val="00C31902"/>
    <w:rsid w:val="00C31984"/>
    <w:rsid w:val="00C31C96"/>
    <w:rsid w:val="00C31D08"/>
    <w:rsid w:val="00C31D51"/>
    <w:rsid w:val="00C31DCB"/>
    <w:rsid w:val="00C32075"/>
    <w:rsid w:val="00C3230D"/>
    <w:rsid w:val="00C32370"/>
    <w:rsid w:val="00C3296C"/>
    <w:rsid w:val="00C32C01"/>
    <w:rsid w:val="00C32E8D"/>
    <w:rsid w:val="00C33696"/>
    <w:rsid w:val="00C33A79"/>
    <w:rsid w:val="00C33BC2"/>
    <w:rsid w:val="00C33FA3"/>
    <w:rsid w:val="00C33FD5"/>
    <w:rsid w:val="00C342E7"/>
    <w:rsid w:val="00C343C8"/>
    <w:rsid w:val="00C34962"/>
    <w:rsid w:val="00C34A69"/>
    <w:rsid w:val="00C34CC9"/>
    <w:rsid w:val="00C35224"/>
    <w:rsid w:val="00C3531B"/>
    <w:rsid w:val="00C3566B"/>
    <w:rsid w:val="00C35998"/>
    <w:rsid w:val="00C35A51"/>
    <w:rsid w:val="00C35E47"/>
    <w:rsid w:val="00C3616D"/>
    <w:rsid w:val="00C36286"/>
    <w:rsid w:val="00C36371"/>
    <w:rsid w:val="00C36563"/>
    <w:rsid w:val="00C36962"/>
    <w:rsid w:val="00C36E61"/>
    <w:rsid w:val="00C36F20"/>
    <w:rsid w:val="00C371D7"/>
    <w:rsid w:val="00C3738B"/>
    <w:rsid w:val="00C3756D"/>
    <w:rsid w:val="00C37591"/>
    <w:rsid w:val="00C375D3"/>
    <w:rsid w:val="00C379F1"/>
    <w:rsid w:val="00C404DF"/>
    <w:rsid w:val="00C40534"/>
    <w:rsid w:val="00C405E9"/>
    <w:rsid w:val="00C407CA"/>
    <w:rsid w:val="00C409D5"/>
    <w:rsid w:val="00C40A6B"/>
    <w:rsid w:val="00C40B93"/>
    <w:rsid w:val="00C40D3B"/>
    <w:rsid w:val="00C40F5E"/>
    <w:rsid w:val="00C412DD"/>
    <w:rsid w:val="00C41A04"/>
    <w:rsid w:val="00C41A1F"/>
    <w:rsid w:val="00C420C3"/>
    <w:rsid w:val="00C42145"/>
    <w:rsid w:val="00C42619"/>
    <w:rsid w:val="00C42738"/>
    <w:rsid w:val="00C431D5"/>
    <w:rsid w:val="00C43312"/>
    <w:rsid w:val="00C433E8"/>
    <w:rsid w:val="00C434B9"/>
    <w:rsid w:val="00C435C3"/>
    <w:rsid w:val="00C43C38"/>
    <w:rsid w:val="00C43E17"/>
    <w:rsid w:val="00C440E7"/>
    <w:rsid w:val="00C44143"/>
    <w:rsid w:val="00C445C9"/>
    <w:rsid w:val="00C447DC"/>
    <w:rsid w:val="00C44941"/>
    <w:rsid w:val="00C44BF5"/>
    <w:rsid w:val="00C44D8F"/>
    <w:rsid w:val="00C44E64"/>
    <w:rsid w:val="00C44E84"/>
    <w:rsid w:val="00C45280"/>
    <w:rsid w:val="00C4572B"/>
    <w:rsid w:val="00C4574C"/>
    <w:rsid w:val="00C458D1"/>
    <w:rsid w:val="00C45981"/>
    <w:rsid w:val="00C460E6"/>
    <w:rsid w:val="00C4621D"/>
    <w:rsid w:val="00C46227"/>
    <w:rsid w:val="00C467B7"/>
    <w:rsid w:val="00C468F1"/>
    <w:rsid w:val="00C47252"/>
    <w:rsid w:val="00C47452"/>
    <w:rsid w:val="00C4798F"/>
    <w:rsid w:val="00C47B92"/>
    <w:rsid w:val="00C47BAD"/>
    <w:rsid w:val="00C47BBE"/>
    <w:rsid w:val="00C47F7D"/>
    <w:rsid w:val="00C50213"/>
    <w:rsid w:val="00C50888"/>
    <w:rsid w:val="00C50A5F"/>
    <w:rsid w:val="00C51692"/>
    <w:rsid w:val="00C517E9"/>
    <w:rsid w:val="00C51DB3"/>
    <w:rsid w:val="00C522FB"/>
    <w:rsid w:val="00C52345"/>
    <w:rsid w:val="00C526B6"/>
    <w:rsid w:val="00C52769"/>
    <w:rsid w:val="00C52A11"/>
    <w:rsid w:val="00C52AFD"/>
    <w:rsid w:val="00C52F3D"/>
    <w:rsid w:val="00C5321B"/>
    <w:rsid w:val="00C53260"/>
    <w:rsid w:val="00C532AD"/>
    <w:rsid w:val="00C53395"/>
    <w:rsid w:val="00C5362A"/>
    <w:rsid w:val="00C5373E"/>
    <w:rsid w:val="00C538A9"/>
    <w:rsid w:val="00C53986"/>
    <w:rsid w:val="00C539A4"/>
    <w:rsid w:val="00C53C81"/>
    <w:rsid w:val="00C53D05"/>
    <w:rsid w:val="00C54154"/>
    <w:rsid w:val="00C543D6"/>
    <w:rsid w:val="00C543F1"/>
    <w:rsid w:val="00C54715"/>
    <w:rsid w:val="00C54818"/>
    <w:rsid w:val="00C54C25"/>
    <w:rsid w:val="00C5552D"/>
    <w:rsid w:val="00C55667"/>
    <w:rsid w:val="00C55C43"/>
    <w:rsid w:val="00C55F06"/>
    <w:rsid w:val="00C56108"/>
    <w:rsid w:val="00C563FA"/>
    <w:rsid w:val="00C56607"/>
    <w:rsid w:val="00C56761"/>
    <w:rsid w:val="00C56BB3"/>
    <w:rsid w:val="00C57059"/>
    <w:rsid w:val="00C570CB"/>
    <w:rsid w:val="00C57794"/>
    <w:rsid w:val="00C57A49"/>
    <w:rsid w:val="00C57C5E"/>
    <w:rsid w:val="00C57C7F"/>
    <w:rsid w:val="00C60097"/>
    <w:rsid w:val="00C601E5"/>
    <w:rsid w:val="00C602DB"/>
    <w:rsid w:val="00C607B0"/>
    <w:rsid w:val="00C60AB6"/>
    <w:rsid w:val="00C60B29"/>
    <w:rsid w:val="00C60CF9"/>
    <w:rsid w:val="00C61167"/>
    <w:rsid w:val="00C614DE"/>
    <w:rsid w:val="00C61A2F"/>
    <w:rsid w:val="00C61A6A"/>
    <w:rsid w:val="00C61CD2"/>
    <w:rsid w:val="00C61E41"/>
    <w:rsid w:val="00C61EE3"/>
    <w:rsid w:val="00C61F03"/>
    <w:rsid w:val="00C621BC"/>
    <w:rsid w:val="00C6234B"/>
    <w:rsid w:val="00C623AC"/>
    <w:rsid w:val="00C62634"/>
    <w:rsid w:val="00C626FA"/>
    <w:rsid w:val="00C6274D"/>
    <w:rsid w:val="00C62754"/>
    <w:rsid w:val="00C62B2B"/>
    <w:rsid w:val="00C62C51"/>
    <w:rsid w:val="00C62F78"/>
    <w:rsid w:val="00C63042"/>
    <w:rsid w:val="00C63474"/>
    <w:rsid w:val="00C635D5"/>
    <w:rsid w:val="00C63637"/>
    <w:rsid w:val="00C63BDB"/>
    <w:rsid w:val="00C63E03"/>
    <w:rsid w:val="00C63E85"/>
    <w:rsid w:val="00C63EAE"/>
    <w:rsid w:val="00C63F32"/>
    <w:rsid w:val="00C6410B"/>
    <w:rsid w:val="00C642D6"/>
    <w:rsid w:val="00C64941"/>
    <w:rsid w:val="00C64D03"/>
    <w:rsid w:val="00C64DC1"/>
    <w:rsid w:val="00C64EF4"/>
    <w:rsid w:val="00C6500C"/>
    <w:rsid w:val="00C6503F"/>
    <w:rsid w:val="00C651FC"/>
    <w:rsid w:val="00C652A6"/>
    <w:rsid w:val="00C65A78"/>
    <w:rsid w:val="00C65CF4"/>
    <w:rsid w:val="00C66418"/>
    <w:rsid w:val="00C6664D"/>
    <w:rsid w:val="00C666F5"/>
    <w:rsid w:val="00C66BC4"/>
    <w:rsid w:val="00C66EA4"/>
    <w:rsid w:val="00C66F65"/>
    <w:rsid w:val="00C670A4"/>
    <w:rsid w:val="00C67527"/>
    <w:rsid w:val="00C67F65"/>
    <w:rsid w:val="00C700A0"/>
    <w:rsid w:val="00C70163"/>
    <w:rsid w:val="00C70311"/>
    <w:rsid w:val="00C703C3"/>
    <w:rsid w:val="00C704C2"/>
    <w:rsid w:val="00C7075F"/>
    <w:rsid w:val="00C70BDD"/>
    <w:rsid w:val="00C70CB1"/>
    <w:rsid w:val="00C7129E"/>
    <w:rsid w:val="00C7135E"/>
    <w:rsid w:val="00C7188D"/>
    <w:rsid w:val="00C71A5A"/>
    <w:rsid w:val="00C71C45"/>
    <w:rsid w:val="00C71CEF"/>
    <w:rsid w:val="00C71E58"/>
    <w:rsid w:val="00C72117"/>
    <w:rsid w:val="00C7215D"/>
    <w:rsid w:val="00C7222F"/>
    <w:rsid w:val="00C7245B"/>
    <w:rsid w:val="00C725D6"/>
    <w:rsid w:val="00C726B7"/>
    <w:rsid w:val="00C727CC"/>
    <w:rsid w:val="00C728D7"/>
    <w:rsid w:val="00C72A73"/>
    <w:rsid w:val="00C72B20"/>
    <w:rsid w:val="00C72B75"/>
    <w:rsid w:val="00C72FE6"/>
    <w:rsid w:val="00C73D90"/>
    <w:rsid w:val="00C73E4A"/>
    <w:rsid w:val="00C743DA"/>
    <w:rsid w:val="00C744EB"/>
    <w:rsid w:val="00C74554"/>
    <w:rsid w:val="00C74581"/>
    <w:rsid w:val="00C74A6A"/>
    <w:rsid w:val="00C74E89"/>
    <w:rsid w:val="00C75079"/>
    <w:rsid w:val="00C750FD"/>
    <w:rsid w:val="00C755B7"/>
    <w:rsid w:val="00C75748"/>
    <w:rsid w:val="00C7577A"/>
    <w:rsid w:val="00C75979"/>
    <w:rsid w:val="00C75CC1"/>
    <w:rsid w:val="00C7629F"/>
    <w:rsid w:val="00C762A9"/>
    <w:rsid w:val="00C762C9"/>
    <w:rsid w:val="00C765EB"/>
    <w:rsid w:val="00C766A3"/>
    <w:rsid w:val="00C769CF"/>
    <w:rsid w:val="00C77226"/>
    <w:rsid w:val="00C7757E"/>
    <w:rsid w:val="00C77655"/>
    <w:rsid w:val="00C77AF6"/>
    <w:rsid w:val="00C77CC2"/>
    <w:rsid w:val="00C80180"/>
    <w:rsid w:val="00C804B4"/>
    <w:rsid w:val="00C80776"/>
    <w:rsid w:val="00C80AA4"/>
    <w:rsid w:val="00C80BC2"/>
    <w:rsid w:val="00C80FBA"/>
    <w:rsid w:val="00C810F1"/>
    <w:rsid w:val="00C8113C"/>
    <w:rsid w:val="00C811DD"/>
    <w:rsid w:val="00C813F7"/>
    <w:rsid w:val="00C8159F"/>
    <w:rsid w:val="00C815FD"/>
    <w:rsid w:val="00C81617"/>
    <w:rsid w:val="00C817C3"/>
    <w:rsid w:val="00C81841"/>
    <w:rsid w:val="00C81CC2"/>
    <w:rsid w:val="00C81E99"/>
    <w:rsid w:val="00C82127"/>
    <w:rsid w:val="00C82407"/>
    <w:rsid w:val="00C8257D"/>
    <w:rsid w:val="00C82695"/>
    <w:rsid w:val="00C8271B"/>
    <w:rsid w:val="00C82C8D"/>
    <w:rsid w:val="00C82DD7"/>
    <w:rsid w:val="00C8331A"/>
    <w:rsid w:val="00C833A5"/>
    <w:rsid w:val="00C833DA"/>
    <w:rsid w:val="00C83410"/>
    <w:rsid w:val="00C83429"/>
    <w:rsid w:val="00C8369C"/>
    <w:rsid w:val="00C837E3"/>
    <w:rsid w:val="00C839B3"/>
    <w:rsid w:val="00C83E87"/>
    <w:rsid w:val="00C83F38"/>
    <w:rsid w:val="00C845ED"/>
    <w:rsid w:val="00C84AFE"/>
    <w:rsid w:val="00C84CCA"/>
    <w:rsid w:val="00C85030"/>
    <w:rsid w:val="00C850D9"/>
    <w:rsid w:val="00C8572A"/>
    <w:rsid w:val="00C85D03"/>
    <w:rsid w:val="00C85E53"/>
    <w:rsid w:val="00C862F1"/>
    <w:rsid w:val="00C863FE"/>
    <w:rsid w:val="00C86476"/>
    <w:rsid w:val="00C865F4"/>
    <w:rsid w:val="00C8661B"/>
    <w:rsid w:val="00C86B7E"/>
    <w:rsid w:val="00C86D6B"/>
    <w:rsid w:val="00C86D93"/>
    <w:rsid w:val="00C86F0A"/>
    <w:rsid w:val="00C8748E"/>
    <w:rsid w:val="00C8759C"/>
    <w:rsid w:val="00C877EE"/>
    <w:rsid w:val="00C878AE"/>
    <w:rsid w:val="00C879CD"/>
    <w:rsid w:val="00C87CCB"/>
    <w:rsid w:val="00C87F67"/>
    <w:rsid w:val="00C9029D"/>
    <w:rsid w:val="00C9031D"/>
    <w:rsid w:val="00C9033F"/>
    <w:rsid w:val="00C90763"/>
    <w:rsid w:val="00C909C2"/>
    <w:rsid w:val="00C911CB"/>
    <w:rsid w:val="00C91498"/>
    <w:rsid w:val="00C914EC"/>
    <w:rsid w:val="00C918FA"/>
    <w:rsid w:val="00C91B5C"/>
    <w:rsid w:val="00C91E22"/>
    <w:rsid w:val="00C922D3"/>
    <w:rsid w:val="00C92499"/>
    <w:rsid w:val="00C9268A"/>
    <w:rsid w:val="00C92E5C"/>
    <w:rsid w:val="00C92F60"/>
    <w:rsid w:val="00C93116"/>
    <w:rsid w:val="00C9329A"/>
    <w:rsid w:val="00C9353D"/>
    <w:rsid w:val="00C9367E"/>
    <w:rsid w:val="00C93BD4"/>
    <w:rsid w:val="00C93C54"/>
    <w:rsid w:val="00C940E1"/>
    <w:rsid w:val="00C94175"/>
    <w:rsid w:val="00C941B5"/>
    <w:rsid w:val="00C94412"/>
    <w:rsid w:val="00C9460F"/>
    <w:rsid w:val="00C9464D"/>
    <w:rsid w:val="00C9477C"/>
    <w:rsid w:val="00C949CC"/>
    <w:rsid w:val="00C950B6"/>
    <w:rsid w:val="00C95204"/>
    <w:rsid w:val="00C95652"/>
    <w:rsid w:val="00C95730"/>
    <w:rsid w:val="00C9592F"/>
    <w:rsid w:val="00C959CC"/>
    <w:rsid w:val="00C95DBA"/>
    <w:rsid w:val="00C95DDD"/>
    <w:rsid w:val="00C95FB4"/>
    <w:rsid w:val="00C9601F"/>
    <w:rsid w:val="00C96075"/>
    <w:rsid w:val="00C96106"/>
    <w:rsid w:val="00C9655D"/>
    <w:rsid w:val="00C966C4"/>
    <w:rsid w:val="00C96780"/>
    <w:rsid w:val="00C967A8"/>
    <w:rsid w:val="00C96B75"/>
    <w:rsid w:val="00C96CAC"/>
    <w:rsid w:val="00C96E92"/>
    <w:rsid w:val="00C96F11"/>
    <w:rsid w:val="00C96F16"/>
    <w:rsid w:val="00C97125"/>
    <w:rsid w:val="00C972EC"/>
    <w:rsid w:val="00C9744E"/>
    <w:rsid w:val="00C9745D"/>
    <w:rsid w:val="00C97531"/>
    <w:rsid w:val="00C97580"/>
    <w:rsid w:val="00C97804"/>
    <w:rsid w:val="00C979E3"/>
    <w:rsid w:val="00C97F6B"/>
    <w:rsid w:val="00CA02C8"/>
    <w:rsid w:val="00CA035B"/>
    <w:rsid w:val="00CA03EE"/>
    <w:rsid w:val="00CA0507"/>
    <w:rsid w:val="00CA071B"/>
    <w:rsid w:val="00CA09AD"/>
    <w:rsid w:val="00CA139A"/>
    <w:rsid w:val="00CA14E5"/>
    <w:rsid w:val="00CA1602"/>
    <w:rsid w:val="00CA18B2"/>
    <w:rsid w:val="00CA1952"/>
    <w:rsid w:val="00CA196C"/>
    <w:rsid w:val="00CA1CF0"/>
    <w:rsid w:val="00CA1D31"/>
    <w:rsid w:val="00CA2092"/>
    <w:rsid w:val="00CA271C"/>
    <w:rsid w:val="00CA2899"/>
    <w:rsid w:val="00CA2A79"/>
    <w:rsid w:val="00CA2F34"/>
    <w:rsid w:val="00CA38C9"/>
    <w:rsid w:val="00CA3A3D"/>
    <w:rsid w:val="00CA3F60"/>
    <w:rsid w:val="00CA40F7"/>
    <w:rsid w:val="00CA44A0"/>
    <w:rsid w:val="00CA45CF"/>
    <w:rsid w:val="00CA47CA"/>
    <w:rsid w:val="00CA49FC"/>
    <w:rsid w:val="00CA4F69"/>
    <w:rsid w:val="00CA50A1"/>
    <w:rsid w:val="00CA5165"/>
    <w:rsid w:val="00CA5197"/>
    <w:rsid w:val="00CA54C1"/>
    <w:rsid w:val="00CA5538"/>
    <w:rsid w:val="00CA5634"/>
    <w:rsid w:val="00CA587D"/>
    <w:rsid w:val="00CA5D59"/>
    <w:rsid w:val="00CA5D84"/>
    <w:rsid w:val="00CA607D"/>
    <w:rsid w:val="00CA6191"/>
    <w:rsid w:val="00CA619D"/>
    <w:rsid w:val="00CA6338"/>
    <w:rsid w:val="00CA6795"/>
    <w:rsid w:val="00CA6AE8"/>
    <w:rsid w:val="00CA6BB7"/>
    <w:rsid w:val="00CA6E3F"/>
    <w:rsid w:val="00CA72AC"/>
    <w:rsid w:val="00CA7756"/>
    <w:rsid w:val="00CA77FB"/>
    <w:rsid w:val="00CA7816"/>
    <w:rsid w:val="00CA7895"/>
    <w:rsid w:val="00CA7A5B"/>
    <w:rsid w:val="00CA7CFC"/>
    <w:rsid w:val="00CA7D56"/>
    <w:rsid w:val="00CA7DE8"/>
    <w:rsid w:val="00CB06F6"/>
    <w:rsid w:val="00CB0820"/>
    <w:rsid w:val="00CB0F26"/>
    <w:rsid w:val="00CB0F8C"/>
    <w:rsid w:val="00CB10B8"/>
    <w:rsid w:val="00CB17BF"/>
    <w:rsid w:val="00CB1E3D"/>
    <w:rsid w:val="00CB1F02"/>
    <w:rsid w:val="00CB20C9"/>
    <w:rsid w:val="00CB23F9"/>
    <w:rsid w:val="00CB2554"/>
    <w:rsid w:val="00CB25A9"/>
    <w:rsid w:val="00CB2682"/>
    <w:rsid w:val="00CB2BE9"/>
    <w:rsid w:val="00CB2C5F"/>
    <w:rsid w:val="00CB31C7"/>
    <w:rsid w:val="00CB32CF"/>
    <w:rsid w:val="00CB3714"/>
    <w:rsid w:val="00CB3759"/>
    <w:rsid w:val="00CB379B"/>
    <w:rsid w:val="00CB4620"/>
    <w:rsid w:val="00CB4D13"/>
    <w:rsid w:val="00CB4F97"/>
    <w:rsid w:val="00CB54A8"/>
    <w:rsid w:val="00CB55AE"/>
    <w:rsid w:val="00CB5662"/>
    <w:rsid w:val="00CB59C0"/>
    <w:rsid w:val="00CB5DD0"/>
    <w:rsid w:val="00CB619D"/>
    <w:rsid w:val="00CB6627"/>
    <w:rsid w:val="00CB6643"/>
    <w:rsid w:val="00CB6646"/>
    <w:rsid w:val="00CB6AE9"/>
    <w:rsid w:val="00CB6CA9"/>
    <w:rsid w:val="00CB6F2F"/>
    <w:rsid w:val="00CB6FA1"/>
    <w:rsid w:val="00CB7158"/>
    <w:rsid w:val="00CB71CE"/>
    <w:rsid w:val="00CB7342"/>
    <w:rsid w:val="00CB7596"/>
    <w:rsid w:val="00CB78A0"/>
    <w:rsid w:val="00CB78A4"/>
    <w:rsid w:val="00CB7B80"/>
    <w:rsid w:val="00CC003C"/>
    <w:rsid w:val="00CC02EC"/>
    <w:rsid w:val="00CC05F4"/>
    <w:rsid w:val="00CC06D8"/>
    <w:rsid w:val="00CC07BC"/>
    <w:rsid w:val="00CC0A84"/>
    <w:rsid w:val="00CC0CA6"/>
    <w:rsid w:val="00CC10DB"/>
    <w:rsid w:val="00CC11E8"/>
    <w:rsid w:val="00CC133E"/>
    <w:rsid w:val="00CC13DA"/>
    <w:rsid w:val="00CC14C1"/>
    <w:rsid w:val="00CC14C2"/>
    <w:rsid w:val="00CC14C8"/>
    <w:rsid w:val="00CC15AB"/>
    <w:rsid w:val="00CC174B"/>
    <w:rsid w:val="00CC1B43"/>
    <w:rsid w:val="00CC1DB4"/>
    <w:rsid w:val="00CC25C1"/>
    <w:rsid w:val="00CC262A"/>
    <w:rsid w:val="00CC280E"/>
    <w:rsid w:val="00CC281F"/>
    <w:rsid w:val="00CC28FF"/>
    <w:rsid w:val="00CC2962"/>
    <w:rsid w:val="00CC2BBE"/>
    <w:rsid w:val="00CC2C6B"/>
    <w:rsid w:val="00CC2CD5"/>
    <w:rsid w:val="00CC309B"/>
    <w:rsid w:val="00CC36DD"/>
    <w:rsid w:val="00CC3927"/>
    <w:rsid w:val="00CC3955"/>
    <w:rsid w:val="00CC3C6F"/>
    <w:rsid w:val="00CC3D29"/>
    <w:rsid w:val="00CC3DF5"/>
    <w:rsid w:val="00CC40DE"/>
    <w:rsid w:val="00CC41A4"/>
    <w:rsid w:val="00CC4242"/>
    <w:rsid w:val="00CC46DA"/>
    <w:rsid w:val="00CC47D7"/>
    <w:rsid w:val="00CC494A"/>
    <w:rsid w:val="00CC4A7D"/>
    <w:rsid w:val="00CC4BE1"/>
    <w:rsid w:val="00CC4CC9"/>
    <w:rsid w:val="00CC4CE7"/>
    <w:rsid w:val="00CC4D32"/>
    <w:rsid w:val="00CC509F"/>
    <w:rsid w:val="00CC51C7"/>
    <w:rsid w:val="00CC51D4"/>
    <w:rsid w:val="00CC51D6"/>
    <w:rsid w:val="00CC5513"/>
    <w:rsid w:val="00CC5B93"/>
    <w:rsid w:val="00CC636C"/>
    <w:rsid w:val="00CC65DA"/>
    <w:rsid w:val="00CC6851"/>
    <w:rsid w:val="00CC688E"/>
    <w:rsid w:val="00CC698C"/>
    <w:rsid w:val="00CC69BE"/>
    <w:rsid w:val="00CC6CD5"/>
    <w:rsid w:val="00CC6D1C"/>
    <w:rsid w:val="00CC6DA9"/>
    <w:rsid w:val="00CC6F6A"/>
    <w:rsid w:val="00CC7086"/>
    <w:rsid w:val="00CC71C1"/>
    <w:rsid w:val="00CC72AD"/>
    <w:rsid w:val="00CC7359"/>
    <w:rsid w:val="00CC7382"/>
    <w:rsid w:val="00CC7494"/>
    <w:rsid w:val="00CC7556"/>
    <w:rsid w:val="00CC75FA"/>
    <w:rsid w:val="00CC77BF"/>
    <w:rsid w:val="00CC7906"/>
    <w:rsid w:val="00CC791A"/>
    <w:rsid w:val="00CC7A7E"/>
    <w:rsid w:val="00CC7BDE"/>
    <w:rsid w:val="00CD0632"/>
    <w:rsid w:val="00CD085C"/>
    <w:rsid w:val="00CD0A35"/>
    <w:rsid w:val="00CD0E14"/>
    <w:rsid w:val="00CD0F04"/>
    <w:rsid w:val="00CD10E3"/>
    <w:rsid w:val="00CD1AB3"/>
    <w:rsid w:val="00CD1ED2"/>
    <w:rsid w:val="00CD1EFB"/>
    <w:rsid w:val="00CD2480"/>
    <w:rsid w:val="00CD27E7"/>
    <w:rsid w:val="00CD2AFB"/>
    <w:rsid w:val="00CD2C42"/>
    <w:rsid w:val="00CD3AA4"/>
    <w:rsid w:val="00CD452C"/>
    <w:rsid w:val="00CD481A"/>
    <w:rsid w:val="00CD4BBD"/>
    <w:rsid w:val="00CD4DF4"/>
    <w:rsid w:val="00CD53F8"/>
    <w:rsid w:val="00CD5597"/>
    <w:rsid w:val="00CD5ECF"/>
    <w:rsid w:val="00CD6075"/>
    <w:rsid w:val="00CD609A"/>
    <w:rsid w:val="00CD65C7"/>
    <w:rsid w:val="00CD665F"/>
    <w:rsid w:val="00CD677E"/>
    <w:rsid w:val="00CD6AA6"/>
    <w:rsid w:val="00CD6B0D"/>
    <w:rsid w:val="00CD6C8B"/>
    <w:rsid w:val="00CD6D88"/>
    <w:rsid w:val="00CD6DDF"/>
    <w:rsid w:val="00CD714A"/>
    <w:rsid w:val="00CD71E3"/>
    <w:rsid w:val="00CD7320"/>
    <w:rsid w:val="00CD7323"/>
    <w:rsid w:val="00CD7376"/>
    <w:rsid w:val="00CD7E66"/>
    <w:rsid w:val="00CD7E8C"/>
    <w:rsid w:val="00CE053E"/>
    <w:rsid w:val="00CE095B"/>
    <w:rsid w:val="00CE0965"/>
    <w:rsid w:val="00CE0984"/>
    <w:rsid w:val="00CE0A6F"/>
    <w:rsid w:val="00CE0B5C"/>
    <w:rsid w:val="00CE0B71"/>
    <w:rsid w:val="00CE0E4F"/>
    <w:rsid w:val="00CE1039"/>
    <w:rsid w:val="00CE1379"/>
    <w:rsid w:val="00CE13F3"/>
    <w:rsid w:val="00CE1504"/>
    <w:rsid w:val="00CE1AF5"/>
    <w:rsid w:val="00CE1B15"/>
    <w:rsid w:val="00CE1EC2"/>
    <w:rsid w:val="00CE226E"/>
    <w:rsid w:val="00CE246B"/>
    <w:rsid w:val="00CE2573"/>
    <w:rsid w:val="00CE2A82"/>
    <w:rsid w:val="00CE2A93"/>
    <w:rsid w:val="00CE2E42"/>
    <w:rsid w:val="00CE3203"/>
    <w:rsid w:val="00CE332F"/>
    <w:rsid w:val="00CE34ED"/>
    <w:rsid w:val="00CE36B0"/>
    <w:rsid w:val="00CE374A"/>
    <w:rsid w:val="00CE374E"/>
    <w:rsid w:val="00CE37CF"/>
    <w:rsid w:val="00CE3A98"/>
    <w:rsid w:val="00CE3AC9"/>
    <w:rsid w:val="00CE3C1E"/>
    <w:rsid w:val="00CE3FD7"/>
    <w:rsid w:val="00CE400F"/>
    <w:rsid w:val="00CE4308"/>
    <w:rsid w:val="00CE4442"/>
    <w:rsid w:val="00CE4C3F"/>
    <w:rsid w:val="00CE4EA6"/>
    <w:rsid w:val="00CE4F25"/>
    <w:rsid w:val="00CE505F"/>
    <w:rsid w:val="00CE51FF"/>
    <w:rsid w:val="00CE53BD"/>
    <w:rsid w:val="00CE56EE"/>
    <w:rsid w:val="00CE5949"/>
    <w:rsid w:val="00CE5C79"/>
    <w:rsid w:val="00CE5F8D"/>
    <w:rsid w:val="00CE6536"/>
    <w:rsid w:val="00CE6607"/>
    <w:rsid w:val="00CE688E"/>
    <w:rsid w:val="00CE698F"/>
    <w:rsid w:val="00CE7169"/>
    <w:rsid w:val="00CE717E"/>
    <w:rsid w:val="00CE7220"/>
    <w:rsid w:val="00CE748E"/>
    <w:rsid w:val="00CE754B"/>
    <w:rsid w:val="00CE79A2"/>
    <w:rsid w:val="00CE7BC5"/>
    <w:rsid w:val="00CE7EE7"/>
    <w:rsid w:val="00CF0155"/>
    <w:rsid w:val="00CF01C6"/>
    <w:rsid w:val="00CF03C3"/>
    <w:rsid w:val="00CF07AA"/>
    <w:rsid w:val="00CF0AD1"/>
    <w:rsid w:val="00CF0B66"/>
    <w:rsid w:val="00CF118B"/>
    <w:rsid w:val="00CF1193"/>
    <w:rsid w:val="00CF1C34"/>
    <w:rsid w:val="00CF1DCC"/>
    <w:rsid w:val="00CF206B"/>
    <w:rsid w:val="00CF2141"/>
    <w:rsid w:val="00CF21B9"/>
    <w:rsid w:val="00CF23EA"/>
    <w:rsid w:val="00CF25C5"/>
    <w:rsid w:val="00CF25CE"/>
    <w:rsid w:val="00CF28C7"/>
    <w:rsid w:val="00CF2D07"/>
    <w:rsid w:val="00CF2D7F"/>
    <w:rsid w:val="00CF3033"/>
    <w:rsid w:val="00CF3A00"/>
    <w:rsid w:val="00CF3A14"/>
    <w:rsid w:val="00CF3A6B"/>
    <w:rsid w:val="00CF3CBC"/>
    <w:rsid w:val="00CF3CCF"/>
    <w:rsid w:val="00CF3CD6"/>
    <w:rsid w:val="00CF4245"/>
    <w:rsid w:val="00CF42E3"/>
    <w:rsid w:val="00CF4332"/>
    <w:rsid w:val="00CF46B5"/>
    <w:rsid w:val="00CF4798"/>
    <w:rsid w:val="00CF4BBF"/>
    <w:rsid w:val="00CF4CE5"/>
    <w:rsid w:val="00CF4F43"/>
    <w:rsid w:val="00CF5122"/>
    <w:rsid w:val="00CF5895"/>
    <w:rsid w:val="00CF5BA4"/>
    <w:rsid w:val="00CF5BB4"/>
    <w:rsid w:val="00CF6032"/>
    <w:rsid w:val="00CF6057"/>
    <w:rsid w:val="00CF6388"/>
    <w:rsid w:val="00CF64EE"/>
    <w:rsid w:val="00CF65E7"/>
    <w:rsid w:val="00CF65EC"/>
    <w:rsid w:val="00CF6BF9"/>
    <w:rsid w:val="00CF72A6"/>
    <w:rsid w:val="00CF7532"/>
    <w:rsid w:val="00CF7B4A"/>
    <w:rsid w:val="00CF7CBF"/>
    <w:rsid w:val="00CF7DDA"/>
    <w:rsid w:val="00CF7ED5"/>
    <w:rsid w:val="00D0037A"/>
    <w:rsid w:val="00D005DB"/>
    <w:rsid w:val="00D008A9"/>
    <w:rsid w:val="00D009B7"/>
    <w:rsid w:val="00D00B20"/>
    <w:rsid w:val="00D00C23"/>
    <w:rsid w:val="00D00F22"/>
    <w:rsid w:val="00D00F64"/>
    <w:rsid w:val="00D0264E"/>
    <w:rsid w:val="00D02730"/>
    <w:rsid w:val="00D027A1"/>
    <w:rsid w:val="00D02825"/>
    <w:rsid w:val="00D0287D"/>
    <w:rsid w:val="00D02A0F"/>
    <w:rsid w:val="00D02AA5"/>
    <w:rsid w:val="00D02CB7"/>
    <w:rsid w:val="00D02F09"/>
    <w:rsid w:val="00D0318B"/>
    <w:rsid w:val="00D034BF"/>
    <w:rsid w:val="00D03800"/>
    <w:rsid w:val="00D03DBC"/>
    <w:rsid w:val="00D03E8F"/>
    <w:rsid w:val="00D03F2D"/>
    <w:rsid w:val="00D04120"/>
    <w:rsid w:val="00D042E4"/>
    <w:rsid w:val="00D0436E"/>
    <w:rsid w:val="00D04641"/>
    <w:rsid w:val="00D048CF"/>
    <w:rsid w:val="00D049EF"/>
    <w:rsid w:val="00D04B70"/>
    <w:rsid w:val="00D04C8C"/>
    <w:rsid w:val="00D04CAD"/>
    <w:rsid w:val="00D04EFC"/>
    <w:rsid w:val="00D059C9"/>
    <w:rsid w:val="00D05BD8"/>
    <w:rsid w:val="00D05C65"/>
    <w:rsid w:val="00D05E78"/>
    <w:rsid w:val="00D05F58"/>
    <w:rsid w:val="00D0656E"/>
    <w:rsid w:val="00D065D3"/>
    <w:rsid w:val="00D06A84"/>
    <w:rsid w:val="00D06C25"/>
    <w:rsid w:val="00D0704A"/>
    <w:rsid w:val="00D072E3"/>
    <w:rsid w:val="00D0730C"/>
    <w:rsid w:val="00D073EB"/>
    <w:rsid w:val="00D0766C"/>
    <w:rsid w:val="00D079FC"/>
    <w:rsid w:val="00D07B1A"/>
    <w:rsid w:val="00D07D2B"/>
    <w:rsid w:val="00D07D33"/>
    <w:rsid w:val="00D07E94"/>
    <w:rsid w:val="00D10085"/>
    <w:rsid w:val="00D100FC"/>
    <w:rsid w:val="00D10294"/>
    <w:rsid w:val="00D10A3C"/>
    <w:rsid w:val="00D10EC6"/>
    <w:rsid w:val="00D10FBC"/>
    <w:rsid w:val="00D10FDF"/>
    <w:rsid w:val="00D111C7"/>
    <w:rsid w:val="00D11220"/>
    <w:rsid w:val="00D11954"/>
    <w:rsid w:val="00D11B6B"/>
    <w:rsid w:val="00D11CB0"/>
    <w:rsid w:val="00D11DC0"/>
    <w:rsid w:val="00D11DC2"/>
    <w:rsid w:val="00D11F96"/>
    <w:rsid w:val="00D12507"/>
    <w:rsid w:val="00D12891"/>
    <w:rsid w:val="00D12C4F"/>
    <w:rsid w:val="00D12C56"/>
    <w:rsid w:val="00D12DB3"/>
    <w:rsid w:val="00D12E79"/>
    <w:rsid w:val="00D130B0"/>
    <w:rsid w:val="00D131E1"/>
    <w:rsid w:val="00D133D3"/>
    <w:rsid w:val="00D13477"/>
    <w:rsid w:val="00D1348C"/>
    <w:rsid w:val="00D134B4"/>
    <w:rsid w:val="00D138B7"/>
    <w:rsid w:val="00D13B34"/>
    <w:rsid w:val="00D13B95"/>
    <w:rsid w:val="00D13BD8"/>
    <w:rsid w:val="00D1437D"/>
    <w:rsid w:val="00D14A1B"/>
    <w:rsid w:val="00D14B9F"/>
    <w:rsid w:val="00D14C94"/>
    <w:rsid w:val="00D14D70"/>
    <w:rsid w:val="00D14DA5"/>
    <w:rsid w:val="00D14E9A"/>
    <w:rsid w:val="00D14F65"/>
    <w:rsid w:val="00D150D2"/>
    <w:rsid w:val="00D151DF"/>
    <w:rsid w:val="00D15247"/>
    <w:rsid w:val="00D15264"/>
    <w:rsid w:val="00D1534D"/>
    <w:rsid w:val="00D15556"/>
    <w:rsid w:val="00D1555D"/>
    <w:rsid w:val="00D159A9"/>
    <w:rsid w:val="00D15BBB"/>
    <w:rsid w:val="00D15CC8"/>
    <w:rsid w:val="00D15D31"/>
    <w:rsid w:val="00D15F90"/>
    <w:rsid w:val="00D16586"/>
    <w:rsid w:val="00D1663F"/>
    <w:rsid w:val="00D1683D"/>
    <w:rsid w:val="00D16935"/>
    <w:rsid w:val="00D16B8E"/>
    <w:rsid w:val="00D16D33"/>
    <w:rsid w:val="00D16ED9"/>
    <w:rsid w:val="00D16F0A"/>
    <w:rsid w:val="00D16F7E"/>
    <w:rsid w:val="00D17140"/>
    <w:rsid w:val="00D17168"/>
    <w:rsid w:val="00D1727E"/>
    <w:rsid w:val="00D172E7"/>
    <w:rsid w:val="00D1735E"/>
    <w:rsid w:val="00D17361"/>
    <w:rsid w:val="00D17399"/>
    <w:rsid w:val="00D17A04"/>
    <w:rsid w:val="00D17D89"/>
    <w:rsid w:val="00D20161"/>
    <w:rsid w:val="00D202B8"/>
    <w:rsid w:val="00D207FB"/>
    <w:rsid w:val="00D208AC"/>
    <w:rsid w:val="00D2094A"/>
    <w:rsid w:val="00D20F2E"/>
    <w:rsid w:val="00D211B0"/>
    <w:rsid w:val="00D212E1"/>
    <w:rsid w:val="00D2153A"/>
    <w:rsid w:val="00D21547"/>
    <w:rsid w:val="00D217C9"/>
    <w:rsid w:val="00D21E55"/>
    <w:rsid w:val="00D2246B"/>
    <w:rsid w:val="00D22814"/>
    <w:rsid w:val="00D229C9"/>
    <w:rsid w:val="00D22A53"/>
    <w:rsid w:val="00D22D21"/>
    <w:rsid w:val="00D22D4C"/>
    <w:rsid w:val="00D237E1"/>
    <w:rsid w:val="00D23C3C"/>
    <w:rsid w:val="00D23CB2"/>
    <w:rsid w:val="00D23D78"/>
    <w:rsid w:val="00D2416B"/>
    <w:rsid w:val="00D24716"/>
    <w:rsid w:val="00D248D0"/>
    <w:rsid w:val="00D24A1A"/>
    <w:rsid w:val="00D254D6"/>
    <w:rsid w:val="00D25535"/>
    <w:rsid w:val="00D25750"/>
    <w:rsid w:val="00D257D0"/>
    <w:rsid w:val="00D259A0"/>
    <w:rsid w:val="00D259BD"/>
    <w:rsid w:val="00D25C3E"/>
    <w:rsid w:val="00D25DA9"/>
    <w:rsid w:val="00D265D9"/>
    <w:rsid w:val="00D26DD8"/>
    <w:rsid w:val="00D26E84"/>
    <w:rsid w:val="00D26FA9"/>
    <w:rsid w:val="00D271E3"/>
    <w:rsid w:val="00D27333"/>
    <w:rsid w:val="00D2749E"/>
    <w:rsid w:val="00D278DF"/>
    <w:rsid w:val="00D278FD"/>
    <w:rsid w:val="00D27A7D"/>
    <w:rsid w:val="00D27C4F"/>
    <w:rsid w:val="00D3011D"/>
    <w:rsid w:val="00D30823"/>
    <w:rsid w:val="00D30C53"/>
    <w:rsid w:val="00D314A6"/>
    <w:rsid w:val="00D315B2"/>
    <w:rsid w:val="00D31608"/>
    <w:rsid w:val="00D318C6"/>
    <w:rsid w:val="00D319A4"/>
    <w:rsid w:val="00D319AA"/>
    <w:rsid w:val="00D31AC4"/>
    <w:rsid w:val="00D31AE2"/>
    <w:rsid w:val="00D31EE1"/>
    <w:rsid w:val="00D31FD1"/>
    <w:rsid w:val="00D3252B"/>
    <w:rsid w:val="00D326CD"/>
    <w:rsid w:val="00D32B47"/>
    <w:rsid w:val="00D32D13"/>
    <w:rsid w:val="00D32D56"/>
    <w:rsid w:val="00D32EB6"/>
    <w:rsid w:val="00D3307A"/>
    <w:rsid w:val="00D3317B"/>
    <w:rsid w:val="00D331AD"/>
    <w:rsid w:val="00D33200"/>
    <w:rsid w:val="00D333C8"/>
    <w:rsid w:val="00D33539"/>
    <w:rsid w:val="00D3375C"/>
    <w:rsid w:val="00D33966"/>
    <w:rsid w:val="00D339A9"/>
    <w:rsid w:val="00D3414A"/>
    <w:rsid w:val="00D341F6"/>
    <w:rsid w:val="00D342A6"/>
    <w:rsid w:val="00D3437B"/>
    <w:rsid w:val="00D343F8"/>
    <w:rsid w:val="00D34432"/>
    <w:rsid w:val="00D34651"/>
    <w:rsid w:val="00D34848"/>
    <w:rsid w:val="00D349EA"/>
    <w:rsid w:val="00D34BA4"/>
    <w:rsid w:val="00D34C57"/>
    <w:rsid w:val="00D35459"/>
    <w:rsid w:val="00D3583B"/>
    <w:rsid w:val="00D35B14"/>
    <w:rsid w:val="00D35DA7"/>
    <w:rsid w:val="00D360E0"/>
    <w:rsid w:val="00D36177"/>
    <w:rsid w:val="00D361EB"/>
    <w:rsid w:val="00D36254"/>
    <w:rsid w:val="00D363D8"/>
    <w:rsid w:val="00D36471"/>
    <w:rsid w:val="00D364B6"/>
    <w:rsid w:val="00D36753"/>
    <w:rsid w:val="00D36D37"/>
    <w:rsid w:val="00D36D98"/>
    <w:rsid w:val="00D36E31"/>
    <w:rsid w:val="00D37128"/>
    <w:rsid w:val="00D37266"/>
    <w:rsid w:val="00D3753F"/>
    <w:rsid w:val="00D37577"/>
    <w:rsid w:val="00D37E19"/>
    <w:rsid w:val="00D403C5"/>
    <w:rsid w:val="00D40574"/>
    <w:rsid w:val="00D4084B"/>
    <w:rsid w:val="00D40980"/>
    <w:rsid w:val="00D409D9"/>
    <w:rsid w:val="00D414B3"/>
    <w:rsid w:val="00D41D7F"/>
    <w:rsid w:val="00D42019"/>
    <w:rsid w:val="00D424C5"/>
    <w:rsid w:val="00D425C9"/>
    <w:rsid w:val="00D4273C"/>
    <w:rsid w:val="00D42A02"/>
    <w:rsid w:val="00D42BA7"/>
    <w:rsid w:val="00D42DC0"/>
    <w:rsid w:val="00D4305D"/>
    <w:rsid w:val="00D43440"/>
    <w:rsid w:val="00D43636"/>
    <w:rsid w:val="00D438BB"/>
    <w:rsid w:val="00D43AC8"/>
    <w:rsid w:val="00D43C68"/>
    <w:rsid w:val="00D44172"/>
    <w:rsid w:val="00D44340"/>
    <w:rsid w:val="00D44A5E"/>
    <w:rsid w:val="00D44CFE"/>
    <w:rsid w:val="00D44D65"/>
    <w:rsid w:val="00D44E42"/>
    <w:rsid w:val="00D44F11"/>
    <w:rsid w:val="00D450B2"/>
    <w:rsid w:val="00D45399"/>
    <w:rsid w:val="00D4562E"/>
    <w:rsid w:val="00D45CA6"/>
    <w:rsid w:val="00D45D95"/>
    <w:rsid w:val="00D45ECA"/>
    <w:rsid w:val="00D45FAF"/>
    <w:rsid w:val="00D4619E"/>
    <w:rsid w:val="00D4629A"/>
    <w:rsid w:val="00D4638F"/>
    <w:rsid w:val="00D463DE"/>
    <w:rsid w:val="00D464BF"/>
    <w:rsid w:val="00D46C5F"/>
    <w:rsid w:val="00D4711B"/>
    <w:rsid w:val="00D47189"/>
    <w:rsid w:val="00D47679"/>
    <w:rsid w:val="00D47888"/>
    <w:rsid w:val="00D47A32"/>
    <w:rsid w:val="00D47C38"/>
    <w:rsid w:val="00D47E71"/>
    <w:rsid w:val="00D50422"/>
    <w:rsid w:val="00D509A9"/>
    <w:rsid w:val="00D50B6E"/>
    <w:rsid w:val="00D50B86"/>
    <w:rsid w:val="00D50D2E"/>
    <w:rsid w:val="00D50D81"/>
    <w:rsid w:val="00D50E37"/>
    <w:rsid w:val="00D511C9"/>
    <w:rsid w:val="00D51301"/>
    <w:rsid w:val="00D514DA"/>
    <w:rsid w:val="00D518FF"/>
    <w:rsid w:val="00D51AC0"/>
    <w:rsid w:val="00D51AD9"/>
    <w:rsid w:val="00D51DA7"/>
    <w:rsid w:val="00D51FEA"/>
    <w:rsid w:val="00D5201A"/>
    <w:rsid w:val="00D52206"/>
    <w:rsid w:val="00D52D62"/>
    <w:rsid w:val="00D53180"/>
    <w:rsid w:val="00D53356"/>
    <w:rsid w:val="00D535C8"/>
    <w:rsid w:val="00D536CE"/>
    <w:rsid w:val="00D5377E"/>
    <w:rsid w:val="00D539BC"/>
    <w:rsid w:val="00D53C4B"/>
    <w:rsid w:val="00D53E26"/>
    <w:rsid w:val="00D54203"/>
    <w:rsid w:val="00D542A4"/>
    <w:rsid w:val="00D54788"/>
    <w:rsid w:val="00D54B92"/>
    <w:rsid w:val="00D554EC"/>
    <w:rsid w:val="00D55C58"/>
    <w:rsid w:val="00D55D23"/>
    <w:rsid w:val="00D55F31"/>
    <w:rsid w:val="00D563C5"/>
    <w:rsid w:val="00D564A8"/>
    <w:rsid w:val="00D566F8"/>
    <w:rsid w:val="00D568DE"/>
    <w:rsid w:val="00D574DF"/>
    <w:rsid w:val="00D57503"/>
    <w:rsid w:val="00D57896"/>
    <w:rsid w:val="00D57B09"/>
    <w:rsid w:val="00D600EB"/>
    <w:rsid w:val="00D60195"/>
    <w:rsid w:val="00D60225"/>
    <w:rsid w:val="00D60268"/>
    <w:rsid w:val="00D60532"/>
    <w:rsid w:val="00D60747"/>
    <w:rsid w:val="00D60878"/>
    <w:rsid w:val="00D60909"/>
    <w:rsid w:val="00D60AA6"/>
    <w:rsid w:val="00D60FC7"/>
    <w:rsid w:val="00D6107D"/>
    <w:rsid w:val="00D614D2"/>
    <w:rsid w:val="00D614DD"/>
    <w:rsid w:val="00D61DFB"/>
    <w:rsid w:val="00D62659"/>
    <w:rsid w:val="00D62673"/>
    <w:rsid w:val="00D62711"/>
    <w:rsid w:val="00D62EC3"/>
    <w:rsid w:val="00D63124"/>
    <w:rsid w:val="00D6390C"/>
    <w:rsid w:val="00D639D6"/>
    <w:rsid w:val="00D63D39"/>
    <w:rsid w:val="00D64251"/>
    <w:rsid w:val="00D6493F"/>
    <w:rsid w:val="00D649BC"/>
    <w:rsid w:val="00D649F8"/>
    <w:rsid w:val="00D64EF6"/>
    <w:rsid w:val="00D64F31"/>
    <w:rsid w:val="00D6500B"/>
    <w:rsid w:val="00D65040"/>
    <w:rsid w:val="00D651F0"/>
    <w:rsid w:val="00D652D1"/>
    <w:rsid w:val="00D6553A"/>
    <w:rsid w:val="00D6582F"/>
    <w:rsid w:val="00D65A1A"/>
    <w:rsid w:val="00D65E9F"/>
    <w:rsid w:val="00D660C5"/>
    <w:rsid w:val="00D6664B"/>
    <w:rsid w:val="00D6697F"/>
    <w:rsid w:val="00D66B43"/>
    <w:rsid w:val="00D66C31"/>
    <w:rsid w:val="00D66FC6"/>
    <w:rsid w:val="00D67268"/>
    <w:rsid w:val="00D67289"/>
    <w:rsid w:val="00D67461"/>
    <w:rsid w:val="00D674F0"/>
    <w:rsid w:val="00D678EF"/>
    <w:rsid w:val="00D67945"/>
    <w:rsid w:val="00D6795C"/>
    <w:rsid w:val="00D67A24"/>
    <w:rsid w:val="00D67A68"/>
    <w:rsid w:val="00D67B15"/>
    <w:rsid w:val="00D700EB"/>
    <w:rsid w:val="00D701B6"/>
    <w:rsid w:val="00D701D7"/>
    <w:rsid w:val="00D702C8"/>
    <w:rsid w:val="00D70348"/>
    <w:rsid w:val="00D70410"/>
    <w:rsid w:val="00D704B1"/>
    <w:rsid w:val="00D7068C"/>
    <w:rsid w:val="00D70981"/>
    <w:rsid w:val="00D70E3B"/>
    <w:rsid w:val="00D710E4"/>
    <w:rsid w:val="00D71447"/>
    <w:rsid w:val="00D71510"/>
    <w:rsid w:val="00D7168F"/>
    <w:rsid w:val="00D71796"/>
    <w:rsid w:val="00D72131"/>
    <w:rsid w:val="00D724FA"/>
    <w:rsid w:val="00D7289B"/>
    <w:rsid w:val="00D72BDE"/>
    <w:rsid w:val="00D72C38"/>
    <w:rsid w:val="00D72EFA"/>
    <w:rsid w:val="00D7351F"/>
    <w:rsid w:val="00D73579"/>
    <w:rsid w:val="00D73627"/>
    <w:rsid w:val="00D73BA5"/>
    <w:rsid w:val="00D73D5D"/>
    <w:rsid w:val="00D73E3F"/>
    <w:rsid w:val="00D742FA"/>
    <w:rsid w:val="00D74A6F"/>
    <w:rsid w:val="00D74A88"/>
    <w:rsid w:val="00D74ABC"/>
    <w:rsid w:val="00D74ACB"/>
    <w:rsid w:val="00D74E09"/>
    <w:rsid w:val="00D74F22"/>
    <w:rsid w:val="00D75091"/>
    <w:rsid w:val="00D75278"/>
    <w:rsid w:val="00D7532B"/>
    <w:rsid w:val="00D75809"/>
    <w:rsid w:val="00D76370"/>
    <w:rsid w:val="00D76489"/>
    <w:rsid w:val="00D76759"/>
    <w:rsid w:val="00D76880"/>
    <w:rsid w:val="00D76D62"/>
    <w:rsid w:val="00D770A2"/>
    <w:rsid w:val="00D770DD"/>
    <w:rsid w:val="00D7724F"/>
    <w:rsid w:val="00D772EB"/>
    <w:rsid w:val="00D77772"/>
    <w:rsid w:val="00D7783D"/>
    <w:rsid w:val="00D77A53"/>
    <w:rsid w:val="00D8019A"/>
    <w:rsid w:val="00D805F1"/>
    <w:rsid w:val="00D8077E"/>
    <w:rsid w:val="00D80998"/>
    <w:rsid w:val="00D80BD0"/>
    <w:rsid w:val="00D80BDF"/>
    <w:rsid w:val="00D813FE"/>
    <w:rsid w:val="00D815BD"/>
    <w:rsid w:val="00D81912"/>
    <w:rsid w:val="00D81EA2"/>
    <w:rsid w:val="00D81F02"/>
    <w:rsid w:val="00D81F15"/>
    <w:rsid w:val="00D82326"/>
    <w:rsid w:val="00D82366"/>
    <w:rsid w:val="00D8246E"/>
    <w:rsid w:val="00D82636"/>
    <w:rsid w:val="00D8276F"/>
    <w:rsid w:val="00D829A4"/>
    <w:rsid w:val="00D82C00"/>
    <w:rsid w:val="00D82E51"/>
    <w:rsid w:val="00D82ED0"/>
    <w:rsid w:val="00D82F35"/>
    <w:rsid w:val="00D82F85"/>
    <w:rsid w:val="00D83129"/>
    <w:rsid w:val="00D83574"/>
    <w:rsid w:val="00D836E1"/>
    <w:rsid w:val="00D8377D"/>
    <w:rsid w:val="00D83AD9"/>
    <w:rsid w:val="00D83F09"/>
    <w:rsid w:val="00D84030"/>
    <w:rsid w:val="00D8423C"/>
    <w:rsid w:val="00D84B9A"/>
    <w:rsid w:val="00D84CFB"/>
    <w:rsid w:val="00D85170"/>
    <w:rsid w:val="00D854A8"/>
    <w:rsid w:val="00D857AE"/>
    <w:rsid w:val="00D858D6"/>
    <w:rsid w:val="00D85AC2"/>
    <w:rsid w:val="00D867BE"/>
    <w:rsid w:val="00D86819"/>
    <w:rsid w:val="00D86832"/>
    <w:rsid w:val="00D86CA7"/>
    <w:rsid w:val="00D87082"/>
    <w:rsid w:val="00D873DA"/>
    <w:rsid w:val="00D8748A"/>
    <w:rsid w:val="00D8755F"/>
    <w:rsid w:val="00D8771D"/>
    <w:rsid w:val="00D8777C"/>
    <w:rsid w:val="00D879BC"/>
    <w:rsid w:val="00D87B18"/>
    <w:rsid w:val="00D87B87"/>
    <w:rsid w:val="00D87EF5"/>
    <w:rsid w:val="00D90272"/>
    <w:rsid w:val="00D9030D"/>
    <w:rsid w:val="00D90570"/>
    <w:rsid w:val="00D907C9"/>
    <w:rsid w:val="00D908FB"/>
    <w:rsid w:val="00D90E02"/>
    <w:rsid w:val="00D910AB"/>
    <w:rsid w:val="00D91187"/>
    <w:rsid w:val="00D9149D"/>
    <w:rsid w:val="00D914A0"/>
    <w:rsid w:val="00D915C6"/>
    <w:rsid w:val="00D91785"/>
    <w:rsid w:val="00D91BBC"/>
    <w:rsid w:val="00D9214A"/>
    <w:rsid w:val="00D92698"/>
    <w:rsid w:val="00D92775"/>
    <w:rsid w:val="00D92AE0"/>
    <w:rsid w:val="00D92AF0"/>
    <w:rsid w:val="00D9369A"/>
    <w:rsid w:val="00D936B6"/>
    <w:rsid w:val="00D939A2"/>
    <w:rsid w:val="00D93AD2"/>
    <w:rsid w:val="00D93B6D"/>
    <w:rsid w:val="00D93CA1"/>
    <w:rsid w:val="00D9413E"/>
    <w:rsid w:val="00D94287"/>
    <w:rsid w:val="00D9446E"/>
    <w:rsid w:val="00D9450E"/>
    <w:rsid w:val="00D94734"/>
    <w:rsid w:val="00D9487E"/>
    <w:rsid w:val="00D94A5E"/>
    <w:rsid w:val="00D94BE9"/>
    <w:rsid w:val="00D94E3F"/>
    <w:rsid w:val="00D951D3"/>
    <w:rsid w:val="00D952D9"/>
    <w:rsid w:val="00D955CB"/>
    <w:rsid w:val="00D95652"/>
    <w:rsid w:val="00D959AC"/>
    <w:rsid w:val="00D95AF0"/>
    <w:rsid w:val="00D95B06"/>
    <w:rsid w:val="00D966CE"/>
    <w:rsid w:val="00D96766"/>
    <w:rsid w:val="00D968AD"/>
    <w:rsid w:val="00D969F2"/>
    <w:rsid w:val="00D96BEF"/>
    <w:rsid w:val="00D978DD"/>
    <w:rsid w:val="00D97B10"/>
    <w:rsid w:val="00D97EF5"/>
    <w:rsid w:val="00DA0320"/>
    <w:rsid w:val="00DA03EA"/>
    <w:rsid w:val="00DA0555"/>
    <w:rsid w:val="00DA056E"/>
    <w:rsid w:val="00DA0768"/>
    <w:rsid w:val="00DA0A00"/>
    <w:rsid w:val="00DA0B72"/>
    <w:rsid w:val="00DA0CBA"/>
    <w:rsid w:val="00DA0D3A"/>
    <w:rsid w:val="00DA1636"/>
    <w:rsid w:val="00DA17AC"/>
    <w:rsid w:val="00DA198D"/>
    <w:rsid w:val="00DA1B43"/>
    <w:rsid w:val="00DA1C2B"/>
    <w:rsid w:val="00DA1C79"/>
    <w:rsid w:val="00DA2596"/>
    <w:rsid w:val="00DA2668"/>
    <w:rsid w:val="00DA26C3"/>
    <w:rsid w:val="00DA2D93"/>
    <w:rsid w:val="00DA2DB2"/>
    <w:rsid w:val="00DA2DC2"/>
    <w:rsid w:val="00DA2F0A"/>
    <w:rsid w:val="00DA2F95"/>
    <w:rsid w:val="00DA33CE"/>
    <w:rsid w:val="00DA3668"/>
    <w:rsid w:val="00DA37FD"/>
    <w:rsid w:val="00DA3901"/>
    <w:rsid w:val="00DA3A25"/>
    <w:rsid w:val="00DA3B4C"/>
    <w:rsid w:val="00DA3B79"/>
    <w:rsid w:val="00DA40A0"/>
    <w:rsid w:val="00DA42C9"/>
    <w:rsid w:val="00DA46D8"/>
    <w:rsid w:val="00DA4C95"/>
    <w:rsid w:val="00DA4CDB"/>
    <w:rsid w:val="00DA4E88"/>
    <w:rsid w:val="00DA51CC"/>
    <w:rsid w:val="00DA53BF"/>
    <w:rsid w:val="00DA56C6"/>
    <w:rsid w:val="00DA5A80"/>
    <w:rsid w:val="00DA5D69"/>
    <w:rsid w:val="00DA5DC3"/>
    <w:rsid w:val="00DA61D2"/>
    <w:rsid w:val="00DA61EF"/>
    <w:rsid w:val="00DA62B5"/>
    <w:rsid w:val="00DA661C"/>
    <w:rsid w:val="00DA69D9"/>
    <w:rsid w:val="00DA6A1E"/>
    <w:rsid w:val="00DA6AEA"/>
    <w:rsid w:val="00DA7077"/>
    <w:rsid w:val="00DA7080"/>
    <w:rsid w:val="00DA7541"/>
    <w:rsid w:val="00DA7A1D"/>
    <w:rsid w:val="00DA7CAE"/>
    <w:rsid w:val="00DA7E54"/>
    <w:rsid w:val="00DA7E82"/>
    <w:rsid w:val="00DA7E8C"/>
    <w:rsid w:val="00DA7FAF"/>
    <w:rsid w:val="00DA7FDA"/>
    <w:rsid w:val="00DB0123"/>
    <w:rsid w:val="00DB017D"/>
    <w:rsid w:val="00DB02CF"/>
    <w:rsid w:val="00DB0300"/>
    <w:rsid w:val="00DB043F"/>
    <w:rsid w:val="00DB0627"/>
    <w:rsid w:val="00DB06DD"/>
    <w:rsid w:val="00DB06EC"/>
    <w:rsid w:val="00DB0B10"/>
    <w:rsid w:val="00DB12A1"/>
    <w:rsid w:val="00DB12AB"/>
    <w:rsid w:val="00DB131F"/>
    <w:rsid w:val="00DB13FC"/>
    <w:rsid w:val="00DB1430"/>
    <w:rsid w:val="00DB1478"/>
    <w:rsid w:val="00DB1E62"/>
    <w:rsid w:val="00DB2074"/>
    <w:rsid w:val="00DB20DF"/>
    <w:rsid w:val="00DB2187"/>
    <w:rsid w:val="00DB2369"/>
    <w:rsid w:val="00DB244F"/>
    <w:rsid w:val="00DB2483"/>
    <w:rsid w:val="00DB26B5"/>
    <w:rsid w:val="00DB2791"/>
    <w:rsid w:val="00DB27DA"/>
    <w:rsid w:val="00DB2B11"/>
    <w:rsid w:val="00DB2E35"/>
    <w:rsid w:val="00DB3098"/>
    <w:rsid w:val="00DB3402"/>
    <w:rsid w:val="00DB340E"/>
    <w:rsid w:val="00DB3865"/>
    <w:rsid w:val="00DB3BD7"/>
    <w:rsid w:val="00DB4027"/>
    <w:rsid w:val="00DB40FF"/>
    <w:rsid w:val="00DB42A8"/>
    <w:rsid w:val="00DB4CB9"/>
    <w:rsid w:val="00DB4CC4"/>
    <w:rsid w:val="00DB4EBB"/>
    <w:rsid w:val="00DB506E"/>
    <w:rsid w:val="00DB5116"/>
    <w:rsid w:val="00DB5382"/>
    <w:rsid w:val="00DB54A8"/>
    <w:rsid w:val="00DB58FD"/>
    <w:rsid w:val="00DB5D68"/>
    <w:rsid w:val="00DB613B"/>
    <w:rsid w:val="00DB62D1"/>
    <w:rsid w:val="00DB664A"/>
    <w:rsid w:val="00DB6740"/>
    <w:rsid w:val="00DB6CDA"/>
    <w:rsid w:val="00DB6F2E"/>
    <w:rsid w:val="00DB7021"/>
    <w:rsid w:val="00DB7167"/>
    <w:rsid w:val="00DB73C1"/>
    <w:rsid w:val="00DB744D"/>
    <w:rsid w:val="00DB7641"/>
    <w:rsid w:val="00DB7914"/>
    <w:rsid w:val="00DB7DCC"/>
    <w:rsid w:val="00DB7FAA"/>
    <w:rsid w:val="00DC00D5"/>
    <w:rsid w:val="00DC0123"/>
    <w:rsid w:val="00DC033B"/>
    <w:rsid w:val="00DC0410"/>
    <w:rsid w:val="00DC04E2"/>
    <w:rsid w:val="00DC0595"/>
    <w:rsid w:val="00DC059E"/>
    <w:rsid w:val="00DC07E8"/>
    <w:rsid w:val="00DC0979"/>
    <w:rsid w:val="00DC0BC0"/>
    <w:rsid w:val="00DC0E4C"/>
    <w:rsid w:val="00DC11B7"/>
    <w:rsid w:val="00DC18C6"/>
    <w:rsid w:val="00DC1E9A"/>
    <w:rsid w:val="00DC1FFC"/>
    <w:rsid w:val="00DC21EB"/>
    <w:rsid w:val="00DC2380"/>
    <w:rsid w:val="00DC2397"/>
    <w:rsid w:val="00DC26CF"/>
    <w:rsid w:val="00DC2AF8"/>
    <w:rsid w:val="00DC2CD1"/>
    <w:rsid w:val="00DC30BE"/>
    <w:rsid w:val="00DC30DF"/>
    <w:rsid w:val="00DC32DB"/>
    <w:rsid w:val="00DC3522"/>
    <w:rsid w:val="00DC35D7"/>
    <w:rsid w:val="00DC38B8"/>
    <w:rsid w:val="00DC3D03"/>
    <w:rsid w:val="00DC3EB5"/>
    <w:rsid w:val="00DC40F8"/>
    <w:rsid w:val="00DC4148"/>
    <w:rsid w:val="00DC43C4"/>
    <w:rsid w:val="00DC45E9"/>
    <w:rsid w:val="00DC4740"/>
    <w:rsid w:val="00DC4744"/>
    <w:rsid w:val="00DC47F9"/>
    <w:rsid w:val="00DC48C0"/>
    <w:rsid w:val="00DC493A"/>
    <w:rsid w:val="00DC4ADE"/>
    <w:rsid w:val="00DC4BB6"/>
    <w:rsid w:val="00DC4DFC"/>
    <w:rsid w:val="00DC4E6A"/>
    <w:rsid w:val="00DC54EB"/>
    <w:rsid w:val="00DC5725"/>
    <w:rsid w:val="00DC59A0"/>
    <w:rsid w:val="00DC5B01"/>
    <w:rsid w:val="00DC5D70"/>
    <w:rsid w:val="00DC621A"/>
    <w:rsid w:val="00DC6298"/>
    <w:rsid w:val="00DC67C4"/>
    <w:rsid w:val="00DC6A30"/>
    <w:rsid w:val="00DC6AB1"/>
    <w:rsid w:val="00DC6E33"/>
    <w:rsid w:val="00DC6F1A"/>
    <w:rsid w:val="00DC7000"/>
    <w:rsid w:val="00DC72DE"/>
    <w:rsid w:val="00DC7521"/>
    <w:rsid w:val="00DC797E"/>
    <w:rsid w:val="00DD03A0"/>
    <w:rsid w:val="00DD087C"/>
    <w:rsid w:val="00DD0913"/>
    <w:rsid w:val="00DD0EDF"/>
    <w:rsid w:val="00DD111A"/>
    <w:rsid w:val="00DD1490"/>
    <w:rsid w:val="00DD1501"/>
    <w:rsid w:val="00DD15C0"/>
    <w:rsid w:val="00DD1C45"/>
    <w:rsid w:val="00DD22CA"/>
    <w:rsid w:val="00DD22DE"/>
    <w:rsid w:val="00DD2723"/>
    <w:rsid w:val="00DD27F7"/>
    <w:rsid w:val="00DD28E8"/>
    <w:rsid w:val="00DD2BEC"/>
    <w:rsid w:val="00DD2E21"/>
    <w:rsid w:val="00DD2E6F"/>
    <w:rsid w:val="00DD3135"/>
    <w:rsid w:val="00DD33F4"/>
    <w:rsid w:val="00DD3575"/>
    <w:rsid w:val="00DD3836"/>
    <w:rsid w:val="00DD38C3"/>
    <w:rsid w:val="00DD3996"/>
    <w:rsid w:val="00DD3C05"/>
    <w:rsid w:val="00DD3D24"/>
    <w:rsid w:val="00DD41BB"/>
    <w:rsid w:val="00DD4262"/>
    <w:rsid w:val="00DD427E"/>
    <w:rsid w:val="00DD4351"/>
    <w:rsid w:val="00DD43BD"/>
    <w:rsid w:val="00DD448E"/>
    <w:rsid w:val="00DD4730"/>
    <w:rsid w:val="00DD47F4"/>
    <w:rsid w:val="00DD493A"/>
    <w:rsid w:val="00DD497E"/>
    <w:rsid w:val="00DD4BAF"/>
    <w:rsid w:val="00DD4E94"/>
    <w:rsid w:val="00DD4EF9"/>
    <w:rsid w:val="00DD4F0E"/>
    <w:rsid w:val="00DD4FF1"/>
    <w:rsid w:val="00DD5332"/>
    <w:rsid w:val="00DD53C7"/>
    <w:rsid w:val="00DD53D5"/>
    <w:rsid w:val="00DD54E0"/>
    <w:rsid w:val="00DD5A93"/>
    <w:rsid w:val="00DD5CFB"/>
    <w:rsid w:val="00DD64FD"/>
    <w:rsid w:val="00DD65CF"/>
    <w:rsid w:val="00DD65E7"/>
    <w:rsid w:val="00DD6ABA"/>
    <w:rsid w:val="00DD6B39"/>
    <w:rsid w:val="00DD6C45"/>
    <w:rsid w:val="00DD6D93"/>
    <w:rsid w:val="00DD6E13"/>
    <w:rsid w:val="00DD6F0A"/>
    <w:rsid w:val="00DD7198"/>
    <w:rsid w:val="00DD75DD"/>
    <w:rsid w:val="00DD7763"/>
    <w:rsid w:val="00DD7C28"/>
    <w:rsid w:val="00DD7F13"/>
    <w:rsid w:val="00DE05FB"/>
    <w:rsid w:val="00DE0A76"/>
    <w:rsid w:val="00DE0AE7"/>
    <w:rsid w:val="00DE0B56"/>
    <w:rsid w:val="00DE0B60"/>
    <w:rsid w:val="00DE0B6B"/>
    <w:rsid w:val="00DE0B86"/>
    <w:rsid w:val="00DE0B8C"/>
    <w:rsid w:val="00DE0FBB"/>
    <w:rsid w:val="00DE10DC"/>
    <w:rsid w:val="00DE13E0"/>
    <w:rsid w:val="00DE14C8"/>
    <w:rsid w:val="00DE1C16"/>
    <w:rsid w:val="00DE20C2"/>
    <w:rsid w:val="00DE20E7"/>
    <w:rsid w:val="00DE22A7"/>
    <w:rsid w:val="00DE2AC2"/>
    <w:rsid w:val="00DE3048"/>
    <w:rsid w:val="00DE3503"/>
    <w:rsid w:val="00DE387F"/>
    <w:rsid w:val="00DE3908"/>
    <w:rsid w:val="00DE3A0D"/>
    <w:rsid w:val="00DE3BE7"/>
    <w:rsid w:val="00DE3E00"/>
    <w:rsid w:val="00DE4114"/>
    <w:rsid w:val="00DE4173"/>
    <w:rsid w:val="00DE421F"/>
    <w:rsid w:val="00DE42D2"/>
    <w:rsid w:val="00DE45FF"/>
    <w:rsid w:val="00DE46B4"/>
    <w:rsid w:val="00DE4736"/>
    <w:rsid w:val="00DE492A"/>
    <w:rsid w:val="00DE4C56"/>
    <w:rsid w:val="00DE51DE"/>
    <w:rsid w:val="00DE53E6"/>
    <w:rsid w:val="00DE55DB"/>
    <w:rsid w:val="00DE5768"/>
    <w:rsid w:val="00DE579F"/>
    <w:rsid w:val="00DE5959"/>
    <w:rsid w:val="00DE5C59"/>
    <w:rsid w:val="00DE60EF"/>
    <w:rsid w:val="00DE6145"/>
    <w:rsid w:val="00DE61C7"/>
    <w:rsid w:val="00DE6319"/>
    <w:rsid w:val="00DE654C"/>
    <w:rsid w:val="00DE66BF"/>
    <w:rsid w:val="00DE69D2"/>
    <w:rsid w:val="00DE6AA3"/>
    <w:rsid w:val="00DE6B35"/>
    <w:rsid w:val="00DE6E6F"/>
    <w:rsid w:val="00DE6E7E"/>
    <w:rsid w:val="00DE7073"/>
    <w:rsid w:val="00DE727F"/>
    <w:rsid w:val="00DE73ED"/>
    <w:rsid w:val="00DE74C6"/>
    <w:rsid w:val="00DE7E07"/>
    <w:rsid w:val="00DE7E60"/>
    <w:rsid w:val="00DE7F1C"/>
    <w:rsid w:val="00DF0364"/>
    <w:rsid w:val="00DF0515"/>
    <w:rsid w:val="00DF0587"/>
    <w:rsid w:val="00DF06CF"/>
    <w:rsid w:val="00DF0841"/>
    <w:rsid w:val="00DF084B"/>
    <w:rsid w:val="00DF0BF0"/>
    <w:rsid w:val="00DF0C66"/>
    <w:rsid w:val="00DF0F6F"/>
    <w:rsid w:val="00DF109C"/>
    <w:rsid w:val="00DF13D1"/>
    <w:rsid w:val="00DF1521"/>
    <w:rsid w:val="00DF1946"/>
    <w:rsid w:val="00DF199B"/>
    <w:rsid w:val="00DF1A43"/>
    <w:rsid w:val="00DF1A5F"/>
    <w:rsid w:val="00DF1D08"/>
    <w:rsid w:val="00DF238C"/>
    <w:rsid w:val="00DF25FD"/>
    <w:rsid w:val="00DF29CB"/>
    <w:rsid w:val="00DF2DEC"/>
    <w:rsid w:val="00DF2EC9"/>
    <w:rsid w:val="00DF2EE0"/>
    <w:rsid w:val="00DF3421"/>
    <w:rsid w:val="00DF3655"/>
    <w:rsid w:val="00DF3AC2"/>
    <w:rsid w:val="00DF3CA2"/>
    <w:rsid w:val="00DF3E13"/>
    <w:rsid w:val="00DF4515"/>
    <w:rsid w:val="00DF483E"/>
    <w:rsid w:val="00DF49FF"/>
    <w:rsid w:val="00DF4D4F"/>
    <w:rsid w:val="00DF4E56"/>
    <w:rsid w:val="00DF4F3B"/>
    <w:rsid w:val="00DF4FA5"/>
    <w:rsid w:val="00DF538C"/>
    <w:rsid w:val="00DF5B8E"/>
    <w:rsid w:val="00DF5C97"/>
    <w:rsid w:val="00DF5DEB"/>
    <w:rsid w:val="00DF6723"/>
    <w:rsid w:val="00DF6795"/>
    <w:rsid w:val="00DF6838"/>
    <w:rsid w:val="00DF6AF7"/>
    <w:rsid w:val="00DF74C4"/>
    <w:rsid w:val="00DF74C8"/>
    <w:rsid w:val="00DF75C7"/>
    <w:rsid w:val="00DF7C3C"/>
    <w:rsid w:val="00DF7C86"/>
    <w:rsid w:val="00DF7D20"/>
    <w:rsid w:val="00DF7D94"/>
    <w:rsid w:val="00DF7E2F"/>
    <w:rsid w:val="00E009CA"/>
    <w:rsid w:val="00E00CCE"/>
    <w:rsid w:val="00E00D4C"/>
    <w:rsid w:val="00E00D4D"/>
    <w:rsid w:val="00E010C2"/>
    <w:rsid w:val="00E0118C"/>
    <w:rsid w:val="00E012BD"/>
    <w:rsid w:val="00E01463"/>
    <w:rsid w:val="00E01650"/>
    <w:rsid w:val="00E01809"/>
    <w:rsid w:val="00E01873"/>
    <w:rsid w:val="00E01932"/>
    <w:rsid w:val="00E01B4B"/>
    <w:rsid w:val="00E01C38"/>
    <w:rsid w:val="00E01D3D"/>
    <w:rsid w:val="00E01DA6"/>
    <w:rsid w:val="00E0221C"/>
    <w:rsid w:val="00E02383"/>
    <w:rsid w:val="00E025BC"/>
    <w:rsid w:val="00E02A46"/>
    <w:rsid w:val="00E02B13"/>
    <w:rsid w:val="00E02BC5"/>
    <w:rsid w:val="00E02EEB"/>
    <w:rsid w:val="00E0335F"/>
    <w:rsid w:val="00E03424"/>
    <w:rsid w:val="00E03453"/>
    <w:rsid w:val="00E03644"/>
    <w:rsid w:val="00E03876"/>
    <w:rsid w:val="00E03BD2"/>
    <w:rsid w:val="00E03FE2"/>
    <w:rsid w:val="00E0418A"/>
    <w:rsid w:val="00E04604"/>
    <w:rsid w:val="00E0480B"/>
    <w:rsid w:val="00E04C82"/>
    <w:rsid w:val="00E04FDD"/>
    <w:rsid w:val="00E05010"/>
    <w:rsid w:val="00E05052"/>
    <w:rsid w:val="00E057B3"/>
    <w:rsid w:val="00E05842"/>
    <w:rsid w:val="00E05BFD"/>
    <w:rsid w:val="00E05E0A"/>
    <w:rsid w:val="00E05EB9"/>
    <w:rsid w:val="00E05EDF"/>
    <w:rsid w:val="00E060BE"/>
    <w:rsid w:val="00E064CC"/>
    <w:rsid w:val="00E065FB"/>
    <w:rsid w:val="00E069B4"/>
    <w:rsid w:val="00E07059"/>
    <w:rsid w:val="00E0722F"/>
    <w:rsid w:val="00E07300"/>
    <w:rsid w:val="00E07513"/>
    <w:rsid w:val="00E077EE"/>
    <w:rsid w:val="00E07B9A"/>
    <w:rsid w:val="00E07BA0"/>
    <w:rsid w:val="00E07DD0"/>
    <w:rsid w:val="00E07E7B"/>
    <w:rsid w:val="00E10381"/>
    <w:rsid w:val="00E106B2"/>
    <w:rsid w:val="00E108FB"/>
    <w:rsid w:val="00E112D7"/>
    <w:rsid w:val="00E113ED"/>
    <w:rsid w:val="00E115A5"/>
    <w:rsid w:val="00E116EF"/>
    <w:rsid w:val="00E117A8"/>
    <w:rsid w:val="00E119B7"/>
    <w:rsid w:val="00E12278"/>
    <w:rsid w:val="00E124F6"/>
    <w:rsid w:val="00E1284D"/>
    <w:rsid w:val="00E12B49"/>
    <w:rsid w:val="00E12C21"/>
    <w:rsid w:val="00E1304E"/>
    <w:rsid w:val="00E1313E"/>
    <w:rsid w:val="00E131AE"/>
    <w:rsid w:val="00E13418"/>
    <w:rsid w:val="00E13624"/>
    <w:rsid w:val="00E1369B"/>
    <w:rsid w:val="00E1369E"/>
    <w:rsid w:val="00E13A2B"/>
    <w:rsid w:val="00E13A85"/>
    <w:rsid w:val="00E13A87"/>
    <w:rsid w:val="00E13A93"/>
    <w:rsid w:val="00E13C9C"/>
    <w:rsid w:val="00E13D5D"/>
    <w:rsid w:val="00E14168"/>
    <w:rsid w:val="00E148FF"/>
    <w:rsid w:val="00E149B7"/>
    <w:rsid w:val="00E14A2D"/>
    <w:rsid w:val="00E14CC4"/>
    <w:rsid w:val="00E14D1E"/>
    <w:rsid w:val="00E14F1C"/>
    <w:rsid w:val="00E14FBA"/>
    <w:rsid w:val="00E151D9"/>
    <w:rsid w:val="00E15479"/>
    <w:rsid w:val="00E154B2"/>
    <w:rsid w:val="00E15838"/>
    <w:rsid w:val="00E15920"/>
    <w:rsid w:val="00E15A52"/>
    <w:rsid w:val="00E15B8A"/>
    <w:rsid w:val="00E15BA5"/>
    <w:rsid w:val="00E15E4A"/>
    <w:rsid w:val="00E16050"/>
    <w:rsid w:val="00E16BA5"/>
    <w:rsid w:val="00E16BDE"/>
    <w:rsid w:val="00E171E3"/>
    <w:rsid w:val="00E174B0"/>
    <w:rsid w:val="00E17996"/>
    <w:rsid w:val="00E20092"/>
    <w:rsid w:val="00E207D2"/>
    <w:rsid w:val="00E209D8"/>
    <w:rsid w:val="00E20B03"/>
    <w:rsid w:val="00E20B44"/>
    <w:rsid w:val="00E20CAA"/>
    <w:rsid w:val="00E20DCA"/>
    <w:rsid w:val="00E21380"/>
    <w:rsid w:val="00E214AF"/>
    <w:rsid w:val="00E2155A"/>
    <w:rsid w:val="00E219E5"/>
    <w:rsid w:val="00E21F8D"/>
    <w:rsid w:val="00E222C3"/>
    <w:rsid w:val="00E227B5"/>
    <w:rsid w:val="00E22945"/>
    <w:rsid w:val="00E22A05"/>
    <w:rsid w:val="00E22D69"/>
    <w:rsid w:val="00E23278"/>
    <w:rsid w:val="00E23336"/>
    <w:rsid w:val="00E23DD4"/>
    <w:rsid w:val="00E243AB"/>
    <w:rsid w:val="00E2481E"/>
    <w:rsid w:val="00E24877"/>
    <w:rsid w:val="00E24F2C"/>
    <w:rsid w:val="00E24F8A"/>
    <w:rsid w:val="00E25014"/>
    <w:rsid w:val="00E250F1"/>
    <w:rsid w:val="00E254ED"/>
    <w:rsid w:val="00E257E5"/>
    <w:rsid w:val="00E25898"/>
    <w:rsid w:val="00E25996"/>
    <w:rsid w:val="00E259E1"/>
    <w:rsid w:val="00E25A79"/>
    <w:rsid w:val="00E25B06"/>
    <w:rsid w:val="00E25C3C"/>
    <w:rsid w:val="00E25C86"/>
    <w:rsid w:val="00E2631A"/>
    <w:rsid w:val="00E26509"/>
    <w:rsid w:val="00E2650E"/>
    <w:rsid w:val="00E266D0"/>
    <w:rsid w:val="00E268A5"/>
    <w:rsid w:val="00E26CE9"/>
    <w:rsid w:val="00E26E35"/>
    <w:rsid w:val="00E270DA"/>
    <w:rsid w:val="00E27293"/>
    <w:rsid w:val="00E272DE"/>
    <w:rsid w:val="00E27637"/>
    <w:rsid w:val="00E27786"/>
    <w:rsid w:val="00E277C0"/>
    <w:rsid w:val="00E27DD4"/>
    <w:rsid w:val="00E27F6B"/>
    <w:rsid w:val="00E2BECD"/>
    <w:rsid w:val="00E304B6"/>
    <w:rsid w:val="00E305F0"/>
    <w:rsid w:val="00E30607"/>
    <w:rsid w:val="00E30B87"/>
    <w:rsid w:val="00E30D28"/>
    <w:rsid w:val="00E30EEA"/>
    <w:rsid w:val="00E30F5F"/>
    <w:rsid w:val="00E31195"/>
    <w:rsid w:val="00E313B3"/>
    <w:rsid w:val="00E31746"/>
    <w:rsid w:val="00E31CFC"/>
    <w:rsid w:val="00E3218A"/>
    <w:rsid w:val="00E321B4"/>
    <w:rsid w:val="00E323C6"/>
    <w:rsid w:val="00E32787"/>
    <w:rsid w:val="00E32BF2"/>
    <w:rsid w:val="00E32ED9"/>
    <w:rsid w:val="00E331A0"/>
    <w:rsid w:val="00E3345F"/>
    <w:rsid w:val="00E3355E"/>
    <w:rsid w:val="00E33562"/>
    <w:rsid w:val="00E335B3"/>
    <w:rsid w:val="00E336C6"/>
    <w:rsid w:val="00E33C4B"/>
    <w:rsid w:val="00E33ECC"/>
    <w:rsid w:val="00E34363"/>
    <w:rsid w:val="00E34C6E"/>
    <w:rsid w:val="00E34F7A"/>
    <w:rsid w:val="00E35074"/>
    <w:rsid w:val="00E35355"/>
    <w:rsid w:val="00E35675"/>
    <w:rsid w:val="00E3582A"/>
    <w:rsid w:val="00E358B3"/>
    <w:rsid w:val="00E35B69"/>
    <w:rsid w:val="00E35D47"/>
    <w:rsid w:val="00E3634D"/>
    <w:rsid w:val="00E36B78"/>
    <w:rsid w:val="00E36CB2"/>
    <w:rsid w:val="00E37296"/>
    <w:rsid w:val="00E37460"/>
    <w:rsid w:val="00E37672"/>
    <w:rsid w:val="00E3772F"/>
    <w:rsid w:val="00E37B18"/>
    <w:rsid w:val="00E37C9E"/>
    <w:rsid w:val="00E37CB6"/>
    <w:rsid w:val="00E37E19"/>
    <w:rsid w:val="00E40092"/>
    <w:rsid w:val="00E400F7"/>
    <w:rsid w:val="00E4018A"/>
    <w:rsid w:val="00E404F7"/>
    <w:rsid w:val="00E4058F"/>
    <w:rsid w:val="00E4087E"/>
    <w:rsid w:val="00E408CD"/>
    <w:rsid w:val="00E4091C"/>
    <w:rsid w:val="00E4095D"/>
    <w:rsid w:val="00E40968"/>
    <w:rsid w:val="00E40CA1"/>
    <w:rsid w:val="00E40D01"/>
    <w:rsid w:val="00E40D50"/>
    <w:rsid w:val="00E40DAC"/>
    <w:rsid w:val="00E40DD7"/>
    <w:rsid w:val="00E4136C"/>
    <w:rsid w:val="00E413EC"/>
    <w:rsid w:val="00E414B3"/>
    <w:rsid w:val="00E414BB"/>
    <w:rsid w:val="00E41B0C"/>
    <w:rsid w:val="00E41C77"/>
    <w:rsid w:val="00E41F5A"/>
    <w:rsid w:val="00E42006"/>
    <w:rsid w:val="00E421C9"/>
    <w:rsid w:val="00E423DB"/>
    <w:rsid w:val="00E425FB"/>
    <w:rsid w:val="00E42622"/>
    <w:rsid w:val="00E4289F"/>
    <w:rsid w:val="00E428C8"/>
    <w:rsid w:val="00E4290C"/>
    <w:rsid w:val="00E42A8A"/>
    <w:rsid w:val="00E42E52"/>
    <w:rsid w:val="00E43277"/>
    <w:rsid w:val="00E43413"/>
    <w:rsid w:val="00E4358F"/>
    <w:rsid w:val="00E436FF"/>
    <w:rsid w:val="00E43925"/>
    <w:rsid w:val="00E43BB4"/>
    <w:rsid w:val="00E43C7B"/>
    <w:rsid w:val="00E43E0E"/>
    <w:rsid w:val="00E43EB1"/>
    <w:rsid w:val="00E44156"/>
    <w:rsid w:val="00E44342"/>
    <w:rsid w:val="00E446A0"/>
    <w:rsid w:val="00E447E5"/>
    <w:rsid w:val="00E449EB"/>
    <w:rsid w:val="00E44D6C"/>
    <w:rsid w:val="00E44E2C"/>
    <w:rsid w:val="00E44EA8"/>
    <w:rsid w:val="00E44F0A"/>
    <w:rsid w:val="00E45008"/>
    <w:rsid w:val="00E45027"/>
    <w:rsid w:val="00E45195"/>
    <w:rsid w:val="00E4574D"/>
    <w:rsid w:val="00E45933"/>
    <w:rsid w:val="00E459FD"/>
    <w:rsid w:val="00E45C50"/>
    <w:rsid w:val="00E45D23"/>
    <w:rsid w:val="00E46092"/>
    <w:rsid w:val="00E46186"/>
    <w:rsid w:val="00E46543"/>
    <w:rsid w:val="00E467E7"/>
    <w:rsid w:val="00E46CDA"/>
    <w:rsid w:val="00E46DDD"/>
    <w:rsid w:val="00E46EAC"/>
    <w:rsid w:val="00E470C9"/>
    <w:rsid w:val="00E47444"/>
    <w:rsid w:val="00E4763A"/>
    <w:rsid w:val="00E47734"/>
    <w:rsid w:val="00E47913"/>
    <w:rsid w:val="00E47D80"/>
    <w:rsid w:val="00E47EB6"/>
    <w:rsid w:val="00E47EEE"/>
    <w:rsid w:val="00E47FEE"/>
    <w:rsid w:val="00E502C7"/>
    <w:rsid w:val="00E50741"/>
    <w:rsid w:val="00E50A0C"/>
    <w:rsid w:val="00E50BFC"/>
    <w:rsid w:val="00E50FC8"/>
    <w:rsid w:val="00E51097"/>
    <w:rsid w:val="00E51BD8"/>
    <w:rsid w:val="00E51DDB"/>
    <w:rsid w:val="00E51E50"/>
    <w:rsid w:val="00E5229D"/>
    <w:rsid w:val="00E52648"/>
    <w:rsid w:val="00E527D4"/>
    <w:rsid w:val="00E52CE4"/>
    <w:rsid w:val="00E52F6B"/>
    <w:rsid w:val="00E53299"/>
    <w:rsid w:val="00E532E9"/>
    <w:rsid w:val="00E5349E"/>
    <w:rsid w:val="00E534CF"/>
    <w:rsid w:val="00E53AC3"/>
    <w:rsid w:val="00E53D57"/>
    <w:rsid w:val="00E53FA5"/>
    <w:rsid w:val="00E54103"/>
    <w:rsid w:val="00E541F5"/>
    <w:rsid w:val="00E54411"/>
    <w:rsid w:val="00E547E1"/>
    <w:rsid w:val="00E5487C"/>
    <w:rsid w:val="00E54ABF"/>
    <w:rsid w:val="00E54C73"/>
    <w:rsid w:val="00E54FB5"/>
    <w:rsid w:val="00E552BF"/>
    <w:rsid w:val="00E55412"/>
    <w:rsid w:val="00E5555B"/>
    <w:rsid w:val="00E556A2"/>
    <w:rsid w:val="00E55B4A"/>
    <w:rsid w:val="00E55D3A"/>
    <w:rsid w:val="00E55F88"/>
    <w:rsid w:val="00E56199"/>
    <w:rsid w:val="00E561DF"/>
    <w:rsid w:val="00E5621F"/>
    <w:rsid w:val="00E5642D"/>
    <w:rsid w:val="00E56F03"/>
    <w:rsid w:val="00E577F5"/>
    <w:rsid w:val="00E57869"/>
    <w:rsid w:val="00E57AB6"/>
    <w:rsid w:val="00E57AEF"/>
    <w:rsid w:val="00E57C17"/>
    <w:rsid w:val="00E57E64"/>
    <w:rsid w:val="00E6013D"/>
    <w:rsid w:val="00E60572"/>
    <w:rsid w:val="00E60742"/>
    <w:rsid w:val="00E608F2"/>
    <w:rsid w:val="00E60A1B"/>
    <w:rsid w:val="00E60A70"/>
    <w:rsid w:val="00E60AE4"/>
    <w:rsid w:val="00E60B39"/>
    <w:rsid w:val="00E60C09"/>
    <w:rsid w:val="00E60D82"/>
    <w:rsid w:val="00E60D95"/>
    <w:rsid w:val="00E60DA9"/>
    <w:rsid w:val="00E61A9F"/>
    <w:rsid w:val="00E61D30"/>
    <w:rsid w:val="00E6216E"/>
    <w:rsid w:val="00E62222"/>
    <w:rsid w:val="00E622AB"/>
    <w:rsid w:val="00E6236F"/>
    <w:rsid w:val="00E6288A"/>
    <w:rsid w:val="00E62AE6"/>
    <w:rsid w:val="00E62BF9"/>
    <w:rsid w:val="00E62FFF"/>
    <w:rsid w:val="00E63BC7"/>
    <w:rsid w:val="00E63C28"/>
    <w:rsid w:val="00E63DCE"/>
    <w:rsid w:val="00E640AE"/>
    <w:rsid w:val="00E641CC"/>
    <w:rsid w:val="00E64203"/>
    <w:rsid w:val="00E64224"/>
    <w:rsid w:val="00E64590"/>
    <w:rsid w:val="00E645BD"/>
    <w:rsid w:val="00E65235"/>
    <w:rsid w:val="00E65647"/>
    <w:rsid w:val="00E656B1"/>
    <w:rsid w:val="00E656E5"/>
    <w:rsid w:val="00E65809"/>
    <w:rsid w:val="00E65C48"/>
    <w:rsid w:val="00E661C6"/>
    <w:rsid w:val="00E66379"/>
    <w:rsid w:val="00E66A72"/>
    <w:rsid w:val="00E66A90"/>
    <w:rsid w:val="00E66BC4"/>
    <w:rsid w:val="00E66F22"/>
    <w:rsid w:val="00E66F98"/>
    <w:rsid w:val="00E672D9"/>
    <w:rsid w:val="00E673F6"/>
    <w:rsid w:val="00E674F6"/>
    <w:rsid w:val="00E676AE"/>
    <w:rsid w:val="00E678A3"/>
    <w:rsid w:val="00E67CF0"/>
    <w:rsid w:val="00E70045"/>
    <w:rsid w:val="00E70180"/>
    <w:rsid w:val="00E704C2"/>
    <w:rsid w:val="00E70647"/>
    <w:rsid w:val="00E70663"/>
    <w:rsid w:val="00E707A3"/>
    <w:rsid w:val="00E70F62"/>
    <w:rsid w:val="00E71098"/>
    <w:rsid w:val="00E711E2"/>
    <w:rsid w:val="00E7137F"/>
    <w:rsid w:val="00E718D7"/>
    <w:rsid w:val="00E718E9"/>
    <w:rsid w:val="00E71C08"/>
    <w:rsid w:val="00E72278"/>
    <w:rsid w:val="00E72405"/>
    <w:rsid w:val="00E7277A"/>
    <w:rsid w:val="00E72B19"/>
    <w:rsid w:val="00E72C74"/>
    <w:rsid w:val="00E72DCD"/>
    <w:rsid w:val="00E72F50"/>
    <w:rsid w:val="00E72F72"/>
    <w:rsid w:val="00E731AF"/>
    <w:rsid w:val="00E7335F"/>
    <w:rsid w:val="00E73B61"/>
    <w:rsid w:val="00E73D4E"/>
    <w:rsid w:val="00E740A0"/>
    <w:rsid w:val="00E74276"/>
    <w:rsid w:val="00E74476"/>
    <w:rsid w:val="00E74644"/>
    <w:rsid w:val="00E749C8"/>
    <w:rsid w:val="00E74D40"/>
    <w:rsid w:val="00E74DBA"/>
    <w:rsid w:val="00E74DF6"/>
    <w:rsid w:val="00E74E77"/>
    <w:rsid w:val="00E74F19"/>
    <w:rsid w:val="00E753AF"/>
    <w:rsid w:val="00E753F1"/>
    <w:rsid w:val="00E75402"/>
    <w:rsid w:val="00E75653"/>
    <w:rsid w:val="00E75AC9"/>
    <w:rsid w:val="00E75ECC"/>
    <w:rsid w:val="00E7622D"/>
    <w:rsid w:val="00E76262"/>
    <w:rsid w:val="00E7651E"/>
    <w:rsid w:val="00E7657F"/>
    <w:rsid w:val="00E76624"/>
    <w:rsid w:val="00E766C2"/>
    <w:rsid w:val="00E76C9C"/>
    <w:rsid w:val="00E770DF"/>
    <w:rsid w:val="00E7724B"/>
    <w:rsid w:val="00E772B6"/>
    <w:rsid w:val="00E774A2"/>
    <w:rsid w:val="00E77543"/>
    <w:rsid w:val="00E77852"/>
    <w:rsid w:val="00E77A9A"/>
    <w:rsid w:val="00E77C31"/>
    <w:rsid w:val="00E77C87"/>
    <w:rsid w:val="00E77D7A"/>
    <w:rsid w:val="00E77E92"/>
    <w:rsid w:val="00E77F05"/>
    <w:rsid w:val="00E80285"/>
    <w:rsid w:val="00E8038F"/>
    <w:rsid w:val="00E80505"/>
    <w:rsid w:val="00E8090C"/>
    <w:rsid w:val="00E80BF7"/>
    <w:rsid w:val="00E80CD6"/>
    <w:rsid w:val="00E80DAC"/>
    <w:rsid w:val="00E81594"/>
    <w:rsid w:val="00E8177E"/>
    <w:rsid w:val="00E81870"/>
    <w:rsid w:val="00E81CB4"/>
    <w:rsid w:val="00E81E40"/>
    <w:rsid w:val="00E81EA4"/>
    <w:rsid w:val="00E81F1E"/>
    <w:rsid w:val="00E82107"/>
    <w:rsid w:val="00E82275"/>
    <w:rsid w:val="00E8240B"/>
    <w:rsid w:val="00E82453"/>
    <w:rsid w:val="00E82DB2"/>
    <w:rsid w:val="00E82E13"/>
    <w:rsid w:val="00E83091"/>
    <w:rsid w:val="00E830B3"/>
    <w:rsid w:val="00E830DB"/>
    <w:rsid w:val="00E83947"/>
    <w:rsid w:val="00E83D34"/>
    <w:rsid w:val="00E83E4B"/>
    <w:rsid w:val="00E8400E"/>
    <w:rsid w:val="00E841A1"/>
    <w:rsid w:val="00E842AE"/>
    <w:rsid w:val="00E84606"/>
    <w:rsid w:val="00E84CF5"/>
    <w:rsid w:val="00E84D06"/>
    <w:rsid w:val="00E84D11"/>
    <w:rsid w:val="00E84DFE"/>
    <w:rsid w:val="00E84F97"/>
    <w:rsid w:val="00E850CE"/>
    <w:rsid w:val="00E8511C"/>
    <w:rsid w:val="00E85607"/>
    <w:rsid w:val="00E85614"/>
    <w:rsid w:val="00E8585B"/>
    <w:rsid w:val="00E8586E"/>
    <w:rsid w:val="00E85BC1"/>
    <w:rsid w:val="00E85F7D"/>
    <w:rsid w:val="00E860E7"/>
    <w:rsid w:val="00E86129"/>
    <w:rsid w:val="00E86AD0"/>
    <w:rsid w:val="00E86AEC"/>
    <w:rsid w:val="00E86B6D"/>
    <w:rsid w:val="00E86C71"/>
    <w:rsid w:val="00E86F75"/>
    <w:rsid w:val="00E870A0"/>
    <w:rsid w:val="00E87262"/>
    <w:rsid w:val="00E875A0"/>
    <w:rsid w:val="00E87A3A"/>
    <w:rsid w:val="00E87C04"/>
    <w:rsid w:val="00E901F5"/>
    <w:rsid w:val="00E90739"/>
    <w:rsid w:val="00E90A95"/>
    <w:rsid w:val="00E90BF4"/>
    <w:rsid w:val="00E90CA7"/>
    <w:rsid w:val="00E90D87"/>
    <w:rsid w:val="00E911A0"/>
    <w:rsid w:val="00E91799"/>
    <w:rsid w:val="00E91E4E"/>
    <w:rsid w:val="00E91F1E"/>
    <w:rsid w:val="00E921AE"/>
    <w:rsid w:val="00E92258"/>
    <w:rsid w:val="00E92960"/>
    <w:rsid w:val="00E92D3D"/>
    <w:rsid w:val="00E92EA3"/>
    <w:rsid w:val="00E92EB6"/>
    <w:rsid w:val="00E92F2B"/>
    <w:rsid w:val="00E92FEE"/>
    <w:rsid w:val="00E9314C"/>
    <w:rsid w:val="00E93A07"/>
    <w:rsid w:val="00E93B19"/>
    <w:rsid w:val="00E93D77"/>
    <w:rsid w:val="00E93DC6"/>
    <w:rsid w:val="00E93E3A"/>
    <w:rsid w:val="00E94237"/>
    <w:rsid w:val="00E94283"/>
    <w:rsid w:val="00E94904"/>
    <w:rsid w:val="00E94C12"/>
    <w:rsid w:val="00E94D3F"/>
    <w:rsid w:val="00E95320"/>
    <w:rsid w:val="00E9576E"/>
    <w:rsid w:val="00E959C7"/>
    <w:rsid w:val="00E95C1E"/>
    <w:rsid w:val="00E95C95"/>
    <w:rsid w:val="00E95CCF"/>
    <w:rsid w:val="00E95DE0"/>
    <w:rsid w:val="00E962C2"/>
    <w:rsid w:val="00E964AF"/>
    <w:rsid w:val="00E96509"/>
    <w:rsid w:val="00E9653F"/>
    <w:rsid w:val="00E965ED"/>
    <w:rsid w:val="00E96689"/>
    <w:rsid w:val="00E96790"/>
    <w:rsid w:val="00E967DC"/>
    <w:rsid w:val="00E968DA"/>
    <w:rsid w:val="00E968DE"/>
    <w:rsid w:val="00E96E93"/>
    <w:rsid w:val="00E96EE1"/>
    <w:rsid w:val="00E9756B"/>
    <w:rsid w:val="00E975EA"/>
    <w:rsid w:val="00E97857"/>
    <w:rsid w:val="00E97921"/>
    <w:rsid w:val="00E97D68"/>
    <w:rsid w:val="00EA025F"/>
    <w:rsid w:val="00EA02CD"/>
    <w:rsid w:val="00EA03B0"/>
    <w:rsid w:val="00EA03E8"/>
    <w:rsid w:val="00EA0642"/>
    <w:rsid w:val="00EA06CA"/>
    <w:rsid w:val="00EA0875"/>
    <w:rsid w:val="00EA0A92"/>
    <w:rsid w:val="00EA0E2B"/>
    <w:rsid w:val="00EA1589"/>
    <w:rsid w:val="00EA18F0"/>
    <w:rsid w:val="00EA1BBC"/>
    <w:rsid w:val="00EA1E4D"/>
    <w:rsid w:val="00EA241C"/>
    <w:rsid w:val="00EA26A6"/>
    <w:rsid w:val="00EA284A"/>
    <w:rsid w:val="00EA2C1D"/>
    <w:rsid w:val="00EA2D6B"/>
    <w:rsid w:val="00EA2EFF"/>
    <w:rsid w:val="00EA3102"/>
    <w:rsid w:val="00EA3304"/>
    <w:rsid w:val="00EA3312"/>
    <w:rsid w:val="00EA3A3D"/>
    <w:rsid w:val="00EA3B86"/>
    <w:rsid w:val="00EA3D15"/>
    <w:rsid w:val="00EA3F15"/>
    <w:rsid w:val="00EA41F9"/>
    <w:rsid w:val="00EA451A"/>
    <w:rsid w:val="00EA485A"/>
    <w:rsid w:val="00EA4F8D"/>
    <w:rsid w:val="00EA50BC"/>
    <w:rsid w:val="00EA524A"/>
    <w:rsid w:val="00EA5717"/>
    <w:rsid w:val="00EA5A5D"/>
    <w:rsid w:val="00EA5A7E"/>
    <w:rsid w:val="00EA5D8B"/>
    <w:rsid w:val="00EA5E53"/>
    <w:rsid w:val="00EA6358"/>
    <w:rsid w:val="00EA6663"/>
    <w:rsid w:val="00EA6914"/>
    <w:rsid w:val="00EA69F1"/>
    <w:rsid w:val="00EA6A74"/>
    <w:rsid w:val="00EA7409"/>
    <w:rsid w:val="00EA754E"/>
    <w:rsid w:val="00EA7774"/>
    <w:rsid w:val="00EA7847"/>
    <w:rsid w:val="00EA7941"/>
    <w:rsid w:val="00EA79D8"/>
    <w:rsid w:val="00EA7D1B"/>
    <w:rsid w:val="00EA7F13"/>
    <w:rsid w:val="00EA7F73"/>
    <w:rsid w:val="00EA7FDF"/>
    <w:rsid w:val="00EB01FB"/>
    <w:rsid w:val="00EB07D1"/>
    <w:rsid w:val="00EB085B"/>
    <w:rsid w:val="00EB0A8A"/>
    <w:rsid w:val="00EB173F"/>
    <w:rsid w:val="00EB2352"/>
    <w:rsid w:val="00EB23D6"/>
    <w:rsid w:val="00EB263B"/>
    <w:rsid w:val="00EB2746"/>
    <w:rsid w:val="00EB2D03"/>
    <w:rsid w:val="00EB2E2B"/>
    <w:rsid w:val="00EB3387"/>
    <w:rsid w:val="00EB375F"/>
    <w:rsid w:val="00EB3A54"/>
    <w:rsid w:val="00EB3A7F"/>
    <w:rsid w:val="00EB3C3B"/>
    <w:rsid w:val="00EB4347"/>
    <w:rsid w:val="00EB4525"/>
    <w:rsid w:val="00EB459C"/>
    <w:rsid w:val="00EB4705"/>
    <w:rsid w:val="00EB4A99"/>
    <w:rsid w:val="00EB4C2F"/>
    <w:rsid w:val="00EB4FDD"/>
    <w:rsid w:val="00EB5029"/>
    <w:rsid w:val="00EB5087"/>
    <w:rsid w:val="00EB51A5"/>
    <w:rsid w:val="00EB52D5"/>
    <w:rsid w:val="00EB536B"/>
    <w:rsid w:val="00EB545E"/>
    <w:rsid w:val="00EB5762"/>
    <w:rsid w:val="00EB5767"/>
    <w:rsid w:val="00EB587B"/>
    <w:rsid w:val="00EB5B85"/>
    <w:rsid w:val="00EB5CB6"/>
    <w:rsid w:val="00EB5E79"/>
    <w:rsid w:val="00EB6052"/>
    <w:rsid w:val="00EB6213"/>
    <w:rsid w:val="00EB64DF"/>
    <w:rsid w:val="00EB6655"/>
    <w:rsid w:val="00EB6685"/>
    <w:rsid w:val="00EB678C"/>
    <w:rsid w:val="00EB68F4"/>
    <w:rsid w:val="00EB6AF5"/>
    <w:rsid w:val="00EB6C4F"/>
    <w:rsid w:val="00EB6DF0"/>
    <w:rsid w:val="00EB6F6A"/>
    <w:rsid w:val="00EB7140"/>
    <w:rsid w:val="00EB744B"/>
    <w:rsid w:val="00EB74D3"/>
    <w:rsid w:val="00EB7800"/>
    <w:rsid w:val="00EB7A17"/>
    <w:rsid w:val="00EB7A7A"/>
    <w:rsid w:val="00EB7DBA"/>
    <w:rsid w:val="00EB7FED"/>
    <w:rsid w:val="00EC07A7"/>
    <w:rsid w:val="00EC0AEB"/>
    <w:rsid w:val="00EC16C5"/>
    <w:rsid w:val="00EC1726"/>
    <w:rsid w:val="00EC184A"/>
    <w:rsid w:val="00EC1A23"/>
    <w:rsid w:val="00EC1DCD"/>
    <w:rsid w:val="00EC1E03"/>
    <w:rsid w:val="00EC2370"/>
    <w:rsid w:val="00EC2A43"/>
    <w:rsid w:val="00EC2A44"/>
    <w:rsid w:val="00EC300F"/>
    <w:rsid w:val="00EC3264"/>
    <w:rsid w:val="00EC326F"/>
    <w:rsid w:val="00EC33A9"/>
    <w:rsid w:val="00EC3732"/>
    <w:rsid w:val="00EC3776"/>
    <w:rsid w:val="00EC3777"/>
    <w:rsid w:val="00EC3845"/>
    <w:rsid w:val="00EC3BD3"/>
    <w:rsid w:val="00EC3CE5"/>
    <w:rsid w:val="00EC3FA2"/>
    <w:rsid w:val="00EC441F"/>
    <w:rsid w:val="00EC448C"/>
    <w:rsid w:val="00EC4609"/>
    <w:rsid w:val="00EC4646"/>
    <w:rsid w:val="00EC4C73"/>
    <w:rsid w:val="00EC4FE2"/>
    <w:rsid w:val="00EC5024"/>
    <w:rsid w:val="00EC527D"/>
    <w:rsid w:val="00EC531C"/>
    <w:rsid w:val="00EC533C"/>
    <w:rsid w:val="00EC5481"/>
    <w:rsid w:val="00EC571D"/>
    <w:rsid w:val="00EC57B0"/>
    <w:rsid w:val="00EC587B"/>
    <w:rsid w:val="00EC59A1"/>
    <w:rsid w:val="00EC5E75"/>
    <w:rsid w:val="00EC6133"/>
    <w:rsid w:val="00EC692E"/>
    <w:rsid w:val="00EC696B"/>
    <w:rsid w:val="00EC6A3C"/>
    <w:rsid w:val="00EC6BC7"/>
    <w:rsid w:val="00EC70D6"/>
    <w:rsid w:val="00EC71F9"/>
    <w:rsid w:val="00EC730F"/>
    <w:rsid w:val="00EC74B2"/>
    <w:rsid w:val="00EC7720"/>
    <w:rsid w:val="00EC7928"/>
    <w:rsid w:val="00ED0427"/>
    <w:rsid w:val="00ED046B"/>
    <w:rsid w:val="00ED0C24"/>
    <w:rsid w:val="00ED13B4"/>
    <w:rsid w:val="00ED13CA"/>
    <w:rsid w:val="00ED148C"/>
    <w:rsid w:val="00ED1C96"/>
    <w:rsid w:val="00ED1F88"/>
    <w:rsid w:val="00ED2253"/>
    <w:rsid w:val="00ED227B"/>
    <w:rsid w:val="00ED2597"/>
    <w:rsid w:val="00ED26AF"/>
    <w:rsid w:val="00ED2821"/>
    <w:rsid w:val="00ED2F44"/>
    <w:rsid w:val="00ED356B"/>
    <w:rsid w:val="00ED3E62"/>
    <w:rsid w:val="00ED428F"/>
    <w:rsid w:val="00ED4635"/>
    <w:rsid w:val="00ED466B"/>
    <w:rsid w:val="00ED471A"/>
    <w:rsid w:val="00ED479B"/>
    <w:rsid w:val="00ED47FC"/>
    <w:rsid w:val="00ED4960"/>
    <w:rsid w:val="00ED4D6C"/>
    <w:rsid w:val="00ED507C"/>
    <w:rsid w:val="00ED51FA"/>
    <w:rsid w:val="00ED5835"/>
    <w:rsid w:val="00ED590E"/>
    <w:rsid w:val="00ED5A9B"/>
    <w:rsid w:val="00ED5B9C"/>
    <w:rsid w:val="00ED6095"/>
    <w:rsid w:val="00ED66C4"/>
    <w:rsid w:val="00ED67BC"/>
    <w:rsid w:val="00ED67DF"/>
    <w:rsid w:val="00ED6B9C"/>
    <w:rsid w:val="00ED6C48"/>
    <w:rsid w:val="00ED6FD3"/>
    <w:rsid w:val="00ED7229"/>
    <w:rsid w:val="00ED756E"/>
    <w:rsid w:val="00ED7595"/>
    <w:rsid w:val="00ED7606"/>
    <w:rsid w:val="00ED773F"/>
    <w:rsid w:val="00ED77EB"/>
    <w:rsid w:val="00ED7865"/>
    <w:rsid w:val="00ED7903"/>
    <w:rsid w:val="00ED7969"/>
    <w:rsid w:val="00ED7A92"/>
    <w:rsid w:val="00ED7AF5"/>
    <w:rsid w:val="00ED7B4D"/>
    <w:rsid w:val="00ED7DA1"/>
    <w:rsid w:val="00EE06A8"/>
    <w:rsid w:val="00EE07D9"/>
    <w:rsid w:val="00EE0B74"/>
    <w:rsid w:val="00EE0D3A"/>
    <w:rsid w:val="00EE12F5"/>
    <w:rsid w:val="00EE151D"/>
    <w:rsid w:val="00EE16AF"/>
    <w:rsid w:val="00EE1D83"/>
    <w:rsid w:val="00EE1F2B"/>
    <w:rsid w:val="00EE2157"/>
    <w:rsid w:val="00EE23FE"/>
    <w:rsid w:val="00EE2702"/>
    <w:rsid w:val="00EE2A2B"/>
    <w:rsid w:val="00EE2B95"/>
    <w:rsid w:val="00EE2E6E"/>
    <w:rsid w:val="00EE30E8"/>
    <w:rsid w:val="00EE30FC"/>
    <w:rsid w:val="00EE35F3"/>
    <w:rsid w:val="00EE38B1"/>
    <w:rsid w:val="00EE3B39"/>
    <w:rsid w:val="00EE3C26"/>
    <w:rsid w:val="00EE42AF"/>
    <w:rsid w:val="00EE44E2"/>
    <w:rsid w:val="00EE467D"/>
    <w:rsid w:val="00EE4689"/>
    <w:rsid w:val="00EE4787"/>
    <w:rsid w:val="00EE4868"/>
    <w:rsid w:val="00EE4D57"/>
    <w:rsid w:val="00EE4FFC"/>
    <w:rsid w:val="00EE50A8"/>
    <w:rsid w:val="00EE5149"/>
    <w:rsid w:val="00EE591C"/>
    <w:rsid w:val="00EE5DE0"/>
    <w:rsid w:val="00EE5E8C"/>
    <w:rsid w:val="00EE60AE"/>
    <w:rsid w:val="00EE611D"/>
    <w:rsid w:val="00EE6127"/>
    <w:rsid w:val="00EE637D"/>
    <w:rsid w:val="00EE63EA"/>
    <w:rsid w:val="00EE671B"/>
    <w:rsid w:val="00EE6E74"/>
    <w:rsid w:val="00EE7064"/>
    <w:rsid w:val="00EE79C6"/>
    <w:rsid w:val="00EE7BF3"/>
    <w:rsid w:val="00EF01BC"/>
    <w:rsid w:val="00EF04B8"/>
    <w:rsid w:val="00EF057B"/>
    <w:rsid w:val="00EF05B1"/>
    <w:rsid w:val="00EF0860"/>
    <w:rsid w:val="00EF08B0"/>
    <w:rsid w:val="00EF0B01"/>
    <w:rsid w:val="00EF0EF0"/>
    <w:rsid w:val="00EF146E"/>
    <w:rsid w:val="00EF18CA"/>
    <w:rsid w:val="00EF1D1D"/>
    <w:rsid w:val="00EF21D9"/>
    <w:rsid w:val="00EF236A"/>
    <w:rsid w:val="00EF2800"/>
    <w:rsid w:val="00EF2892"/>
    <w:rsid w:val="00EF2EE2"/>
    <w:rsid w:val="00EF315A"/>
    <w:rsid w:val="00EF32EC"/>
    <w:rsid w:val="00EF33FB"/>
    <w:rsid w:val="00EF3404"/>
    <w:rsid w:val="00EF3491"/>
    <w:rsid w:val="00EF3624"/>
    <w:rsid w:val="00EF383B"/>
    <w:rsid w:val="00EF3B18"/>
    <w:rsid w:val="00EF3E6D"/>
    <w:rsid w:val="00EF3F3A"/>
    <w:rsid w:val="00EF3FA8"/>
    <w:rsid w:val="00EF4090"/>
    <w:rsid w:val="00EF427F"/>
    <w:rsid w:val="00EF4387"/>
    <w:rsid w:val="00EF43F5"/>
    <w:rsid w:val="00EF45F9"/>
    <w:rsid w:val="00EF45FA"/>
    <w:rsid w:val="00EF4621"/>
    <w:rsid w:val="00EF47F2"/>
    <w:rsid w:val="00EF4850"/>
    <w:rsid w:val="00EF4894"/>
    <w:rsid w:val="00EF4BC3"/>
    <w:rsid w:val="00EF4C5E"/>
    <w:rsid w:val="00EF50C3"/>
    <w:rsid w:val="00EF52EA"/>
    <w:rsid w:val="00EF53A4"/>
    <w:rsid w:val="00EF5552"/>
    <w:rsid w:val="00EF5928"/>
    <w:rsid w:val="00EF59E4"/>
    <w:rsid w:val="00EF5A12"/>
    <w:rsid w:val="00EF5E46"/>
    <w:rsid w:val="00EF5FAC"/>
    <w:rsid w:val="00EF5FD4"/>
    <w:rsid w:val="00EF62DA"/>
    <w:rsid w:val="00EF6A6F"/>
    <w:rsid w:val="00EF6AA6"/>
    <w:rsid w:val="00EF6D78"/>
    <w:rsid w:val="00EF6E5B"/>
    <w:rsid w:val="00EF717C"/>
    <w:rsid w:val="00EF719C"/>
    <w:rsid w:val="00EF750B"/>
    <w:rsid w:val="00EF752B"/>
    <w:rsid w:val="00EF7584"/>
    <w:rsid w:val="00EF7774"/>
    <w:rsid w:val="00EF798C"/>
    <w:rsid w:val="00EF7BE4"/>
    <w:rsid w:val="00EF7CDA"/>
    <w:rsid w:val="00F000D7"/>
    <w:rsid w:val="00F00124"/>
    <w:rsid w:val="00F001B5"/>
    <w:rsid w:val="00F002A1"/>
    <w:rsid w:val="00F002F9"/>
    <w:rsid w:val="00F00459"/>
    <w:rsid w:val="00F004AF"/>
    <w:rsid w:val="00F005BD"/>
    <w:rsid w:val="00F008EA"/>
    <w:rsid w:val="00F00AC8"/>
    <w:rsid w:val="00F01081"/>
    <w:rsid w:val="00F013F1"/>
    <w:rsid w:val="00F01A39"/>
    <w:rsid w:val="00F01B2F"/>
    <w:rsid w:val="00F01BBC"/>
    <w:rsid w:val="00F01C52"/>
    <w:rsid w:val="00F01EB9"/>
    <w:rsid w:val="00F01F45"/>
    <w:rsid w:val="00F02289"/>
    <w:rsid w:val="00F022D3"/>
    <w:rsid w:val="00F02478"/>
    <w:rsid w:val="00F0298F"/>
    <w:rsid w:val="00F02AD8"/>
    <w:rsid w:val="00F02B03"/>
    <w:rsid w:val="00F02D46"/>
    <w:rsid w:val="00F02D89"/>
    <w:rsid w:val="00F02E45"/>
    <w:rsid w:val="00F03091"/>
    <w:rsid w:val="00F03284"/>
    <w:rsid w:val="00F0365C"/>
    <w:rsid w:val="00F0374A"/>
    <w:rsid w:val="00F04239"/>
    <w:rsid w:val="00F04413"/>
    <w:rsid w:val="00F04655"/>
    <w:rsid w:val="00F04662"/>
    <w:rsid w:val="00F0488A"/>
    <w:rsid w:val="00F04A0D"/>
    <w:rsid w:val="00F04D4C"/>
    <w:rsid w:val="00F04DF2"/>
    <w:rsid w:val="00F04E57"/>
    <w:rsid w:val="00F04ED5"/>
    <w:rsid w:val="00F04F12"/>
    <w:rsid w:val="00F04F7C"/>
    <w:rsid w:val="00F051FC"/>
    <w:rsid w:val="00F055D2"/>
    <w:rsid w:val="00F05988"/>
    <w:rsid w:val="00F05BFC"/>
    <w:rsid w:val="00F05CD2"/>
    <w:rsid w:val="00F05DB2"/>
    <w:rsid w:val="00F05DBB"/>
    <w:rsid w:val="00F05E43"/>
    <w:rsid w:val="00F06022"/>
    <w:rsid w:val="00F06189"/>
    <w:rsid w:val="00F06419"/>
    <w:rsid w:val="00F06711"/>
    <w:rsid w:val="00F06745"/>
    <w:rsid w:val="00F0689D"/>
    <w:rsid w:val="00F068ED"/>
    <w:rsid w:val="00F06DF7"/>
    <w:rsid w:val="00F06F40"/>
    <w:rsid w:val="00F07165"/>
    <w:rsid w:val="00F0732F"/>
    <w:rsid w:val="00F07445"/>
    <w:rsid w:val="00F0759E"/>
    <w:rsid w:val="00F077D3"/>
    <w:rsid w:val="00F07AB7"/>
    <w:rsid w:val="00F100DD"/>
    <w:rsid w:val="00F10228"/>
    <w:rsid w:val="00F1068B"/>
    <w:rsid w:val="00F10709"/>
    <w:rsid w:val="00F108BA"/>
    <w:rsid w:val="00F10949"/>
    <w:rsid w:val="00F10CBE"/>
    <w:rsid w:val="00F10CEF"/>
    <w:rsid w:val="00F10ED0"/>
    <w:rsid w:val="00F11407"/>
    <w:rsid w:val="00F114EC"/>
    <w:rsid w:val="00F117EC"/>
    <w:rsid w:val="00F11B9B"/>
    <w:rsid w:val="00F11F62"/>
    <w:rsid w:val="00F121A9"/>
    <w:rsid w:val="00F1259F"/>
    <w:rsid w:val="00F12623"/>
    <w:rsid w:val="00F127A4"/>
    <w:rsid w:val="00F12981"/>
    <w:rsid w:val="00F129FE"/>
    <w:rsid w:val="00F12B9E"/>
    <w:rsid w:val="00F12C52"/>
    <w:rsid w:val="00F12D5B"/>
    <w:rsid w:val="00F12F35"/>
    <w:rsid w:val="00F13040"/>
    <w:rsid w:val="00F130C5"/>
    <w:rsid w:val="00F13150"/>
    <w:rsid w:val="00F131B9"/>
    <w:rsid w:val="00F13246"/>
    <w:rsid w:val="00F13470"/>
    <w:rsid w:val="00F13696"/>
    <w:rsid w:val="00F137B6"/>
    <w:rsid w:val="00F13B81"/>
    <w:rsid w:val="00F13D16"/>
    <w:rsid w:val="00F141FD"/>
    <w:rsid w:val="00F1496F"/>
    <w:rsid w:val="00F14BE3"/>
    <w:rsid w:val="00F14D25"/>
    <w:rsid w:val="00F14FFE"/>
    <w:rsid w:val="00F151A6"/>
    <w:rsid w:val="00F15686"/>
    <w:rsid w:val="00F156CD"/>
    <w:rsid w:val="00F157BB"/>
    <w:rsid w:val="00F1583A"/>
    <w:rsid w:val="00F1587C"/>
    <w:rsid w:val="00F158CF"/>
    <w:rsid w:val="00F1594E"/>
    <w:rsid w:val="00F15E03"/>
    <w:rsid w:val="00F15FC7"/>
    <w:rsid w:val="00F16364"/>
    <w:rsid w:val="00F16371"/>
    <w:rsid w:val="00F16862"/>
    <w:rsid w:val="00F168E0"/>
    <w:rsid w:val="00F169AC"/>
    <w:rsid w:val="00F169DB"/>
    <w:rsid w:val="00F16A3C"/>
    <w:rsid w:val="00F16A43"/>
    <w:rsid w:val="00F16AA5"/>
    <w:rsid w:val="00F16B57"/>
    <w:rsid w:val="00F16B97"/>
    <w:rsid w:val="00F17236"/>
    <w:rsid w:val="00F17300"/>
    <w:rsid w:val="00F175C6"/>
    <w:rsid w:val="00F17682"/>
    <w:rsid w:val="00F176D6"/>
    <w:rsid w:val="00F17709"/>
    <w:rsid w:val="00F178EE"/>
    <w:rsid w:val="00F17CE1"/>
    <w:rsid w:val="00F17D2C"/>
    <w:rsid w:val="00F17E4B"/>
    <w:rsid w:val="00F201A0"/>
    <w:rsid w:val="00F2039A"/>
    <w:rsid w:val="00F20432"/>
    <w:rsid w:val="00F205EC"/>
    <w:rsid w:val="00F207CA"/>
    <w:rsid w:val="00F20A9D"/>
    <w:rsid w:val="00F20BFF"/>
    <w:rsid w:val="00F21087"/>
    <w:rsid w:val="00F212FB"/>
    <w:rsid w:val="00F2196E"/>
    <w:rsid w:val="00F21ABE"/>
    <w:rsid w:val="00F21AD4"/>
    <w:rsid w:val="00F21BBF"/>
    <w:rsid w:val="00F21CB3"/>
    <w:rsid w:val="00F21D1E"/>
    <w:rsid w:val="00F2223D"/>
    <w:rsid w:val="00F2237F"/>
    <w:rsid w:val="00F223C7"/>
    <w:rsid w:val="00F2241F"/>
    <w:rsid w:val="00F23202"/>
    <w:rsid w:val="00F2365A"/>
    <w:rsid w:val="00F23834"/>
    <w:rsid w:val="00F23B40"/>
    <w:rsid w:val="00F23FEB"/>
    <w:rsid w:val="00F2405C"/>
    <w:rsid w:val="00F24705"/>
    <w:rsid w:val="00F247E9"/>
    <w:rsid w:val="00F24818"/>
    <w:rsid w:val="00F248F3"/>
    <w:rsid w:val="00F24AB7"/>
    <w:rsid w:val="00F24C31"/>
    <w:rsid w:val="00F24CCB"/>
    <w:rsid w:val="00F24E66"/>
    <w:rsid w:val="00F24F7E"/>
    <w:rsid w:val="00F25301"/>
    <w:rsid w:val="00F25438"/>
    <w:rsid w:val="00F25C47"/>
    <w:rsid w:val="00F25C95"/>
    <w:rsid w:val="00F260DD"/>
    <w:rsid w:val="00F260E3"/>
    <w:rsid w:val="00F262A3"/>
    <w:rsid w:val="00F26372"/>
    <w:rsid w:val="00F2641C"/>
    <w:rsid w:val="00F26C86"/>
    <w:rsid w:val="00F26DE6"/>
    <w:rsid w:val="00F26EFC"/>
    <w:rsid w:val="00F26FBE"/>
    <w:rsid w:val="00F2704A"/>
    <w:rsid w:val="00F271C4"/>
    <w:rsid w:val="00F2763C"/>
    <w:rsid w:val="00F27718"/>
    <w:rsid w:val="00F279C6"/>
    <w:rsid w:val="00F27B79"/>
    <w:rsid w:val="00F302D5"/>
    <w:rsid w:val="00F30615"/>
    <w:rsid w:val="00F30706"/>
    <w:rsid w:val="00F307A2"/>
    <w:rsid w:val="00F30B9C"/>
    <w:rsid w:val="00F3116B"/>
    <w:rsid w:val="00F31436"/>
    <w:rsid w:val="00F315A2"/>
    <w:rsid w:val="00F31705"/>
    <w:rsid w:val="00F31830"/>
    <w:rsid w:val="00F31B15"/>
    <w:rsid w:val="00F31B5C"/>
    <w:rsid w:val="00F31C5D"/>
    <w:rsid w:val="00F31CBB"/>
    <w:rsid w:val="00F3254F"/>
    <w:rsid w:val="00F326BA"/>
    <w:rsid w:val="00F327E5"/>
    <w:rsid w:val="00F32C16"/>
    <w:rsid w:val="00F32F56"/>
    <w:rsid w:val="00F33216"/>
    <w:rsid w:val="00F33434"/>
    <w:rsid w:val="00F337D9"/>
    <w:rsid w:val="00F337E7"/>
    <w:rsid w:val="00F33F1C"/>
    <w:rsid w:val="00F348B0"/>
    <w:rsid w:val="00F34BFB"/>
    <w:rsid w:val="00F35037"/>
    <w:rsid w:val="00F351B5"/>
    <w:rsid w:val="00F35316"/>
    <w:rsid w:val="00F3569F"/>
    <w:rsid w:val="00F35719"/>
    <w:rsid w:val="00F35AFB"/>
    <w:rsid w:val="00F35C97"/>
    <w:rsid w:val="00F35CCE"/>
    <w:rsid w:val="00F361EC"/>
    <w:rsid w:val="00F3644F"/>
    <w:rsid w:val="00F36DA3"/>
    <w:rsid w:val="00F36EC0"/>
    <w:rsid w:val="00F372F4"/>
    <w:rsid w:val="00F373C5"/>
    <w:rsid w:val="00F37A11"/>
    <w:rsid w:val="00F37C58"/>
    <w:rsid w:val="00F37DC5"/>
    <w:rsid w:val="00F37ECC"/>
    <w:rsid w:val="00F37F7B"/>
    <w:rsid w:val="00F400AB"/>
    <w:rsid w:val="00F4026A"/>
    <w:rsid w:val="00F40459"/>
    <w:rsid w:val="00F4076B"/>
    <w:rsid w:val="00F4099F"/>
    <w:rsid w:val="00F40C05"/>
    <w:rsid w:val="00F40C08"/>
    <w:rsid w:val="00F40F89"/>
    <w:rsid w:val="00F41150"/>
    <w:rsid w:val="00F411FA"/>
    <w:rsid w:val="00F4125C"/>
    <w:rsid w:val="00F413E9"/>
    <w:rsid w:val="00F41823"/>
    <w:rsid w:val="00F41835"/>
    <w:rsid w:val="00F418B8"/>
    <w:rsid w:val="00F4220D"/>
    <w:rsid w:val="00F422E5"/>
    <w:rsid w:val="00F425D2"/>
    <w:rsid w:val="00F42CCA"/>
    <w:rsid w:val="00F42E6A"/>
    <w:rsid w:val="00F430AC"/>
    <w:rsid w:val="00F433F6"/>
    <w:rsid w:val="00F43474"/>
    <w:rsid w:val="00F4372C"/>
    <w:rsid w:val="00F438A9"/>
    <w:rsid w:val="00F43B02"/>
    <w:rsid w:val="00F43BDD"/>
    <w:rsid w:val="00F43C05"/>
    <w:rsid w:val="00F43E69"/>
    <w:rsid w:val="00F43ED0"/>
    <w:rsid w:val="00F440F7"/>
    <w:rsid w:val="00F44263"/>
    <w:rsid w:val="00F443A8"/>
    <w:rsid w:val="00F4448E"/>
    <w:rsid w:val="00F44757"/>
    <w:rsid w:val="00F44C5E"/>
    <w:rsid w:val="00F44D2F"/>
    <w:rsid w:val="00F44E5C"/>
    <w:rsid w:val="00F4525D"/>
    <w:rsid w:val="00F4552A"/>
    <w:rsid w:val="00F459B3"/>
    <w:rsid w:val="00F45C3D"/>
    <w:rsid w:val="00F46390"/>
    <w:rsid w:val="00F46780"/>
    <w:rsid w:val="00F46AB7"/>
    <w:rsid w:val="00F46DD2"/>
    <w:rsid w:val="00F46F15"/>
    <w:rsid w:val="00F46F2B"/>
    <w:rsid w:val="00F46F7E"/>
    <w:rsid w:val="00F47281"/>
    <w:rsid w:val="00F47369"/>
    <w:rsid w:val="00F473E5"/>
    <w:rsid w:val="00F4767C"/>
    <w:rsid w:val="00F47748"/>
    <w:rsid w:val="00F47FA6"/>
    <w:rsid w:val="00F47FAA"/>
    <w:rsid w:val="00F500A0"/>
    <w:rsid w:val="00F50148"/>
    <w:rsid w:val="00F50897"/>
    <w:rsid w:val="00F50D31"/>
    <w:rsid w:val="00F50D3B"/>
    <w:rsid w:val="00F50FBD"/>
    <w:rsid w:val="00F51399"/>
    <w:rsid w:val="00F513EB"/>
    <w:rsid w:val="00F521B9"/>
    <w:rsid w:val="00F52218"/>
    <w:rsid w:val="00F52625"/>
    <w:rsid w:val="00F52734"/>
    <w:rsid w:val="00F5293E"/>
    <w:rsid w:val="00F52982"/>
    <w:rsid w:val="00F52B8A"/>
    <w:rsid w:val="00F52C94"/>
    <w:rsid w:val="00F52E4E"/>
    <w:rsid w:val="00F52ED7"/>
    <w:rsid w:val="00F53107"/>
    <w:rsid w:val="00F537A2"/>
    <w:rsid w:val="00F53893"/>
    <w:rsid w:val="00F53A7D"/>
    <w:rsid w:val="00F53D20"/>
    <w:rsid w:val="00F5405E"/>
    <w:rsid w:val="00F54178"/>
    <w:rsid w:val="00F545EA"/>
    <w:rsid w:val="00F54716"/>
    <w:rsid w:val="00F548A5"/>
    <w:rsid w:val="00F54BCF"/>
    <w:rsid w:val="00F55076"/>
    <w:rsid w:val="00F55086"/>
    <w:rsid w:val="00F5513E"/>
    <w:rsid w:val="00F5514F"/>
    <w:rsid w:val="00F551CB"/>
    <w:rsid w:val="00F55370"/>
    <w:rsid w:val="00F55388"/>
    <w:rsid w:val="00F556A8"/>
    <w:rsid w:val="00F5575D"/>
    <w:rsid w:val="00F5579E"/>
    <w:rsid w:val="00F558A6"/>
    <w:rsid w:val="00F559C3"/>
    <w:rsid w:val="00F55EEA"/>
    <w:rsid w:val="00F56013"/>
    <w:rsid w:val="00F5619E"/>
    <w:rsid w:val="00F5620B"/>
    <w:rsid w:val="00F564D5"/>
    <w:rsid w:val="00F567C5"/>
    <w:rsid w:val="00F56BC5"/>
    <w:rsid w:val="00F56DBD"/>
    <w:rsid w:val="00F56E2C"/>
    <w:rsid w:val="00F5714B"/>
    <w:rsid w:val="00F5733B"/>
    <w:rsid w:val="00F57416"/>
    <w:rsid w:val="00F574BA"/>
    <w:rsid w:val="00F575D1"/>
    <w:rsid w:val="00F576D5"/>
    <w:rsid w:val="00F579D2"/>
    <w:rsid w:val="00F57C79"/>
    <w:rsid w:val="00F60169"/>
    <w:rsid w:val="00F60319"/>
    <w:rsid w:val="00F604AA"/>
    <w:rsid w:val="00F60A13"/>
    <w:rsid w:val="00F61197"/>
    <w:rsid w:val="00F611EB"/>
    <w:rsid w:val="00F6140F"/>
    <w:rsid w:val="00F6158B"/>
    <w:rsid w:val="00F61B52"/>
    <w:rsid w:val="00F620B6"/>
    <w:rsid w:val="00F6228A"/>
    <w:rsid w:val="00F6232A"/>
    <w:rsid w:val="00F624C5"/>
    <w:rsid w:val="00F62818"/>
    <w:rsid w:val="00F62A86"/>
    <w:rsid w:val="00F63010"/>
    <w:rsid w:val="00F633CD"/>
    <w:rsid w:val="00F634EB"/>
    <w:rsid w:val="00F635CA"/>
    <w:rsid w:val="00F636E4"/>
    <w:rsid w:val="00F63904"/>
    <w:rsid w:val="00F63B6D"/>
    <w:rsid w:val="00F63B98"/>
    <w:rsid w:val="00F63FB9"/>
    <w:rsid w:val="00F64008"/>
    <w:rsid w:val="00F647AE"/>
    <w:rsid w:val="00F647B6"/>
    <w:rsid w:val="00F6498E"/>
    <w:rsid w:val="00F649FB"/>
    <w:rsid w:val="00F64D51"/>
    <w:rsid w:val="00F65442"/>
    <w:rsid w:val="00F656A9"/>
    <w:rsid w:val="00F6583B"/>
    <w:rsid w:val="00F658C8"/>
    <w:rsid w:val="00F65955"/>
    <w:rsid w:val="00F65990"/>
    <w:rsid w:val="00F65ECF"/>
    <w:rsid w:val="00F666C5"/>
    <w:rsid w:val="00F667F3"/>
    <w:rsid w:val="00F66A42"/>
    <w:rsid w:val="00F66ABB"/>
    <w:rsid w:val="00F66CD5"/>
    <w:rsid w:val="00F66D96"/>
    <w:rsid w:val="00F66FDC"/>
    <w:rsid w:val="00F670BD"/>
    <w:rsid w:val="00F670CA"/>
    <w:rsid w:val="00F674C8"/>
    <w:rsid w:val="00F6753B"/>
    <w:rsid w:val="00F676C7"/>
    <w:rsid w:val="00F67A08"/>
    <w:rsid w:val="00F67ABD"/>
    <w:rsid w:val="00F67B67"/>
    <w:rsid w:val="00F67C7B"/>
    <w:rsid w:val="00F67C83"/>
    <w:rsid w:val="00F67F08"/>
    <w:rsid w:val="00F70100"/>
    <w:rsid w:val="00F701D6"/>
    <w:rsid w:val="00F70C2F"/>
    <w:rsid w:val="00F70EEA"/>
    <w:rsid w:val="00F710F6"/>
    <w:rsid w:val="00F71754"/>
    <w:rsid w:val="00F71A0D"/>
    <w:rsid w:val="00F71C0A"/>
    <w:rsid w:val="00F71F1F"/>
    <w:rsid w:val="00F72035"/>
    <w:rsid w:val="00F72267"/>
    <w:rsid w:val="00F72298"/>
    <w:rsid w:val="00F72622"/>
    <w:rsid w:val="00F72691"/>
    <w:rsid w:val="00F7295D"/>
    <w:rsid w:val="00F72990"/>
    <w:rsid w:val="00F72A24"/>
    <w:rsid w:val="00F7332D"/>
    <w:rsid w:val="00F7355A"/>
    <w:rsid w:val="00F73940"/>
    <w:rsid w:val="00F73A9A"/>
    <w:rsid w:val="00F73AFC"/>
    <w:rsid w:val="00F73B22"/>
    <w:rsid w:val="00F73B48"/>
    <w:rsid w:val="00F73C51"/>
    <w:rsid w:val="00F7586B"/>
    <w:rsid w:val="00F75A55"/>
    <w:rsid w:val="00F75B7D"/>
    <w:rsid w:val="00F75CB6"/>
    <w:rsid w:val="00F75FBC"/>
    <w:rsid w:val="00F76098"/>
    <w:rsid w:val="00F76224"/>
    <w:rsid w:val="00F76378"/>
    <w:rsid w:val="00F765C1"/>
    <w:rsid w:val="00F76737"/>
    <w:rsid w:val="00F76B34"/>
    <w:rsid w:val="00F76BC4"/>
    <w:rsid w:val="00F76BF6"/>
    <w:rsid w:val="00F76C13"/>
    <w:rsid w:val="00F76C39"/>
    <w:rsid w:val="00F76E23"/>
    <w:rsid w:val="00F7743E"/>
    <w:rsid w:val="00F777D3"/>
    <w:rsid w:val="00F77BF3"/>
    <w:rsid w:val="00F80220"/>
    <w:rsid w:val="00F80227"/>
    <w:rsid w:val="00F8053A"/>
    <w:rsid w:val="00F807AB"/>
    <w:rsid w:val="00F80AB8"/>
    <w:rsid w:val="00F80C5B"/>
    <w:rsid w:val="00F80D78"/>
    <w:rsid w:val="00F812E9"/>
    <w:rsid w:val="00F81460"/>
    <w:rsid w:val="00F81871"/>
    <w:rsid w:val="00F81B53"/>
    <w:rsid w:val="00F81DCB"/>
    <w:rsid w:val="00F81EFC"/>
    <w:rsid w:val="00F821A3"/>
    <w:rsid w:val="00F821D6"/>
    <w:rsid w:val="00F824F4"/>
    <w:rsid w:val="00F82813"/>
    <w:rsid w:val="00F82A44"/>
    <w:rsid w:val="00F82D19"/>
    <w:rsid w:val="00F832B5"/>
    <w:rsid w:val="00F83A18"/>
    <w:rsid w:val="00F83A65"/>
    <w:rsid w:val="00F83A8F"/>
    <w:rsid w:val="00F83B22"/>
    <w:rsid w:val="00F83B68"/>
    <w:rsid w:val="00F83C6C"/>
    <w:rsid w:val="00F83F8B"/>
    <w:rsid w:val="00F84290"/>
    <w:rsid w:val="00F842D0"/>
    <w:rsid w:val="00F845C2"/>
    <w:rsid w:val="00F845E7"/>
    <w:rsid w:val="00F84894"/>
    <w:rsid w:val="00F84EC2"/>
    <w:rsid w:val="00F85179"/>
    <w:rsid w:val="00F85382"/>
    <w:rsid w:val="00F8542F"/>
    <w:rsid w:val="00F85467"/>
    <w:rsid w:val="00F854BF"/>
    <w:rsid w:val="00F85841"/>
    <w:rsid w:val="00F858F7"/>
    <w:rsid w:val="00F85D1B"/>
    <w:rsid w:val="00F85FBD"/>
    <w:rsid w:val="00F860D0"/>
    <w:rsid w:val="00F866AC"/>
    <w:rsid w:val="00F866E9"/>
    <w:rsid w:val="00F86AD7"/>
    <w:rsid w:val="00F86C23"/>
    <w:rsid w:val="00F86CA7"/>
    <w:rsid w:val="00F87086"/>
    <w:rsid w:val="00F8718B"/>
    <w:rsid w:val="00F8731D"/>
    <w:rsid w:val="00F8765B"/>
    <w:rsid w:val="00F87915"/>
    <w:rsid w:val="00F87B8D"/>
    <w:rsid w:val="00F87CC9"/>
    <w:rsid w:val="00F905FD"/>
    <w:rsid w:val="00F907A9"/>
    <w:rsid w:val="00F90815"/>
    <w:rsid w:val="00F90A7B"/>
    <w:rsid w:val="00F90D14"/>
    <w:rsid w:val="00F90EA0"/>
    <w:rsid w:val="00F91570"/>
    <w:rsid w:val="00F91AE2"/>
    <w:rsid w:val="00F91AEC"/>
    <w:rsid w:val="00F91BBF"/>
    <w:rsid w:val="00F91EE7"/>
    <w:rsid w:val="00F92362"/>
    <w:rsid w:val="00F923CD"/>
    <w:rsid w:val="00F923EF"/>
    <w:rsid w:val="00F923FD"/>
    <w:rsid w:val="00F92407"/>
    <w:rsid w:val="00F926DF"/>
    <w:rsid w:val="00F927D4"/>
    <w:rsid w:val="00F92CDF"/>
    <w:rsid w:val="00F92FA9"/>
    <w:rsid w:val="00F9314A"/>
    <w:rsid w:val="00F93235"/>
    <w:rsid w:val="00F9343B"/>
    <w:rsid w:val="00F9376F"/>
    <w:rsid w:val="00F938A7"/>
    <w:rsid w:val="00F93BC0"/>
    <w:rsid w:val="00F93E4B"/>
    <w:rsid w:val="00F940B2"/>
    <w:rsid w:val="00F9410B"/>
    <w:rsid w:val="00F94120"/>
    <w:rsid w:val="00F9445C"/>
    <w:rsid w:val="00F944C6"/>
    <w:rsid w:val="00F9459F"/>
    <w:rsid w:val="00F946E0"/>
    <w:rsid w:val="00F94848"/>
    <w:rsid w:val="00F948EB"/>
    <w:rsid w:val="00F94993"/>
    <w:rsid w:val="00F94B07"/>
    <w:rsid w:val="00F94E45"/>
    <w:rsid w:val="00F94F14"/>
    <w:rsid w:val="00F95097"/>
    <w:rsid w:val="00F951D5"/>
    <w:rsid w:val="00F9521D"/>
    <w:rsid w:val="00F95401"/>
    <w:rsid w:val="00F95959"/>
    <w:rsid w:val="00F959B8"/>
    <w:rsid w:val="00F95B0B"/>
    <w:rsid w:val="00F95E3A"/>
    <w:rsid w:val="00F95F30"/>
    <w:rsid w:val="00F9692C"/>
    <w:rsid w:val="00F96994"/>
    <w:rsid w:val="00F96BBB"/>
    <w:rsid w:val="00F97000"/>
    <w:rsid w:val="00F97057"/>
    <w:rsid w:val="00F97467"/>
    <w:rsid w:val="00F97535"/>
    <w:rsid w:val="00F9754D"/>
    <w:rsid w:val="00F9760F"/>
    <w:rsid w:val="00F97671"/>
    <w:rsid w:val="00F97E40"/>
    <w:rsid w:val="00FA0040"/>
    <w:rsid w:val="00FA02F0"/>
    <w:rsid w:val="00FA070E"/>
    <w:rsid w:val="00FA0A67"/>
    <w:rsid w:val="00FA0C6C"/>
    <w:rsid w:val="00FA0D65"/>
    <w:rsid w:val="00FA1453"/>
    <w:rsid w:val="00FA183A"/>
    <w:rsid w:val="00FA1B14"/>
    <w:rsid w:val="00FA1B5B"/>
    <w:rsid w:val="00FA1B80"/>
    <w:rsid w:val="00FA1F56"/>
    <w:rsid w:val="00FA2052"/>
    <w:rsid w:val="00FA209D"/>
    <w:rsid w:val="00FA20C4"/>
    <w:rsid w:val="00FA21AF"/>
    <w:rsid w:val="00FA2507"/>
    <w:rsid w:val="00FA2509"/>
    <w:rsid w:val="00FA269F"/>
    <w:rsid w:val="00FA2752"/>
    <w:rsid w:val="00FA288C"/>
    <w:rsid w:val="00FA2C99"/>
    <w:rsid w:val="00FA2E3A"/>
    <w:rsid w:val="00FA312B"/>
    <w:rsid w:val="00FA31A2"/>
    <w:rsid w:val="00FA31FD"/>
    <w:rsid w:val="00FA36D0"/>
    <w:rsid w:val="00FA3C08"/>
    <w:rsid w:val="00FA3EDB"/>
    <w:rsid w:val="00FA3F0A"/>
    <w:rsid w:val="00FA4284"/>
    <w:rsid w:val="00FA4371"/>
    <w:rsid w:val="00FA487E"/>
    <w:rsid w:val="00FA4A42"/>
    <w:rsid w:val="00FA4B90"/>
    <w:rsid w:val="00FA4DAB"/>
    <w:rsid w:val="00FA51D5"/>
    <w:rsid w:val="00FA5224"/>
    <w:rsid w:val="00FA5524"/>
    <w:rsid w:val="00FA55B4"/>
    <w:rsid w:val="00FA5746"/>
    <w:rsid w:val="00FA5C64"/>
    <w:rsid w:val="00FA5DB5"/>
    <w:rsid w:val="00FA5DC7"/>
    <w:rsid w:val="00FA63DB"/>
    <w:rsid w:val="00FA652B"/>
    <w:rsid w:val="00FA671F"/>
    <w:rsid w:val="00FA67B7"/>
    <w:rsid w:val="00FA67E3"/>
    <w:rsid w:val="00FA69B6"/>
    <w:rsid w:val="00FA6C85"/>
    <w:rsid w:val="00FA6E08"/>
    <w:rsid w:val="00FA725C"/>
    <w:rsid w:val="00FA77CF"/>
    <w:rsid w:val="00FA79DD"/>
    <w:rsid w:val="00FB0AAC"/>
    <w:rsid w:val="00FB0BDE"/>
    <w:rsid w:val="00FB17E8"/>
    <w:rsid w:val="00FB181E"/>
    <w:rsid w:val="00FB1955"/>
    <w:rsid w:val="00FB197D"/>
    <w:rsid w:val="00FB1F0B"/>
    <w:rsid w:val="00FB2078"/>
    <w:rsid w:val="00FB20AD"/>
    <w:rsid w:val="00FB22F3"/>
    <w:rsid w:val="00FB257C"/>
    <w:rsid w:val="00FB27CC"/>
    <w:rsid w:val="00FB29B7"/>
    <w:rsid w:val="00FB2CF9"/>
    <w:rsid w:val="00FB2FC7"/>
    <w:rsid w:val="00FB359E"/>
    <w:rsid w:val="00FB3BF3"/>
    <w:rsid w:val="00FB3D9C"/>
    <w:rsid w:val="00FB3FF6"/>
    <w:rsid w:val="00FB4585"/>
    <w:rsid w:val="00FB4843"/>
    <w:rsid w:val="00FB4FAB"/>
    <w:rsid w:val="00FB51C1"/>
    <w:rsid w:val="00FB530B"/>
    <w:rsid w:val="00FB530E"/>
    <w:rsid w:val="00FB5713"/>
    <w:rsid w:val="00FB574A"/>
    <w:rsid w:val="00FB57E2"/>
    <w:rsid w:val="00FB58F7"/>
    <w:rsid w:val="00FB5E24"/>
    <w:rsid w:val="00FB60BC"/>
    <w:rsid w:val="00FB60DB"/>
    <w:rsid w:val="00FB65D4"/>
    <w:rsid w:val="00FB6756"/>
    <w:rsid w:val="00FB6C9B"/>
    <w:rsid w:val="00FB711A"/>
    <w:rsid w:val="00FB71CA"/>
    <w:rsid w:val="00FB7407"/>
    <w:rsid w:val="00FB74B2"/>
    <w:rsid w:val="00FB78B8"/>
    <w:rsid w:val="00FB7B05"/>
    <w:rsid w:val="00FB7BE1"/>
    <w:rsid w:val="00FB7EAD"/>
    <w:rsid w:val="00FB7F78"/>
    <w:rsid w:val="00FC014A"/>
    <w:rsid w:val="00FC02EB"/>
    <w:rsid w:val="00FC02F5"/>
    <w:rsid w:val="00FC0A53"/>
    <w:rsid w:val="00FC0A73"/>
    <w:rsid w:val="00FC0E36"/>
    <w:rsid w:val="00FC0F14"/>
    <w:rsid w:val="00FC1042"/>
    <w:rsid w:val="00FC1371"/>
    <w:rsid w:val="00FC1404"/>
    <w:rsid w:val="00FC15AB"/>
    <w:rsid w:val="00FC1955"/>
    <w:rsid w:val="00FC1BAE"/>
    <w:rsid w:val="00FC1E50"/>
    <w:rsid w:val="00FC23F4"/>
    <w:rsid w:val="00FC2431"/>
    <w:rsid w:val="00FC24E6"/>
    <w:rsid w:val="00FC2677"/>
    <w:rsid w:val="00FC2A03"/>
    <w:rsid w:val="00FC2BAA"/>
    <w:rsid w:val="00FC2D4B"/>
    <w:rsid w:val="00FC2E92"/>
    <w:rsid w:val="00FC30A0"/>
    <w:rsid w:val="00FC311A"/>
    <w:rsid w:val="00FC36AE"/>
    <w:rsid w:val="00FC37F9"/>
    <w:rsid w:val="00FC3943"/>
    <w:rsid w:val="00FC3A1D"/>
    <w:rsid w:val="00FC402B"/>
    <w:rsid w:val="00FC4057"/>
    <w:rsid w:val="00FC4072"/>
    <w:rsid w:val="00FC4117"/>
    <w:rsid w:val="00FC4629"/>
    <w:rsid w:val="00FC46D5"/>
    <w:rsid w:val="00FC4AF3"/>
    <w:rsid w:val="00FC4C53"/>
    <w:rsid w:val="00FC4DE5"/>
    <w:rsid w:val="00FC5051"/>
    <w:rsid w:val="00FC53FB"/>
    <w:rsid w:val="00FC5685"/>
    <w:rsid w:val="00FC58EF"/>
    <w:rsid w:val="00FC5D74"/>
    <w:rsid w:val="00FC5E31"/>
    <w:rsid w:val="00FC6154"/>
    <w:rsid w:val="00FC627C"/>
    <w:rsid w:val="00FC636F"/>
    <w:rsid w:val="00FC64A2"/>
    <w:rsid w:val="00FC6BDA"/>
    <w:rsid w:val="00FC6C2A"/>
    <w:rsid w:val="00FC6F22"/>
    <w:rsid w:val="00FC73AC"/>
    <w:rsid w:val="00FC73DE"/>
    <w:rsid w:val="00FC78A0"/>
    <w:rsid w:val="00FC7D8C"/>
    <w:rsid w:val="00FC7E26"/>
    <w:rsid w:val="00FC7E7D"/>
    <w:rsid w:val="00FD026A"/>
    <w:rsid w:val="00FD0381"/>
    <w:rsid w:val="00FD056E"/>
    <w:rsid w:val="00FD057D"/>
    <w:rsid w:val="00FD0868"/>
    <w:rsid w:val="00FD0BD0"/>
    <w:rsid w:val="00FD0D1A"/>
    <w:rsid w:val="00FD112C"/>
    <w:rsid w:val="00FD12F8"/>
    <w:rsid w:val="00FD1683"/>
    <w:rsid w:val="00FD1BB8"/>
    <w:rsid w:val="00FD1BEF"/>
    <w:rsid w:val="00FD1D3C"/>
    <w:rsid w:val="00FD1E22"/>
    <w:rsid w:val="00FD1F3C"/>
    <w:rsid w:val="00FD22CC"/>
    <w:rsid w:val="00FD265B"/>
    <w:rsid w:val="00FD279B"/>
    <w:rsid w:val="00FD29FD"/>
    <w:rsid w:val="00FD2A10"/>
    <w:rsid w:val="00FD2EB2"/>
    <w:rsid w:val="00FD3126"/>
    <w:rsid w:val="00FD33DF"/>
    <w:rsid w:val="00FD35D1"/>
    <w:rsid w:val="00FD35E8"/>
    <w:rsid w:val="00FD3A22"/>
    <w:rsid w:val="00FD3ABA"/>
    <w:rsid w:val="00FD3AFF"/>
    <w:rsid w:val="00FD3CB7"/>
    <w:rsid w:val="00FD3DFF"/>
    <w:rsid w:val="00FD3F86"/>
    <w:rsid w:val="00FD45F6"/>
    <w:rsid w:val="00FD4633"/>
    <w:rsid w:val="00FD49EA"/>
    <w:rsid w:val="00FD4EE8"/>
    <w:rsid w:val="00FD4EEB"/>
    <w:rsid w:val="00FD50C9"/>
    <w:rsid w:val="00FD50D2"/>
    <w:rsid w:val="00FD51DC"/>
    <w:rsid w:val="00FD5347"/>
    <w:rsid w:val="00FD5743"/>
    <w:rsid w:val="00FD5844"/>
    <w:rsid w:val="00FD592B"/>
    <w:rsid w:val="00FD5AF8"/>
    <w:rsid w:val="00FD5BC8"/>
    <w:rsid w:val="00FD5CB1"/>
    <w:rsid w:val="00FD636B"/>
    <w:rsid w:val="00FD6375"/>
    <w:rsid w:val="00FD6512"/>
    <w:rsid w:val="00FD66E7"/>
    <w:rsid w:val="00FD67B8"/>
    <w:rsid w:val="00FD694C"/>
    <w:rsid w:val="00FD74EE"/>
    <w:rsid w:val="00FD79C5"/>
    <w:rsid w:val="00FD7CAD"/>
    <w:rsid w:val="00FD7D7C"/>
    <w:rsid w:val="00FD7EEF"/>
    <w:rsid w:val="00FE04CC"/>
    <w:rsid w:val="00FE0667"/>
    <w:rsid w:val="00FE09A4"/>
    <w:rsid w:val="00FE0AF5"/>
    <w:rsid w:val="00FE0E43"/>
    <w:rsid w:val="00FE0ECF"/>
    <w:rsid w:val="00FE1275"/>
    <w:rsid w:val="00FE1313"/>
    <w:rsid w:val="00FE13B3"/>
    <w:rsid w:val="00FE1508"/>
    <w:rsid w:val="00FE1B9C"/>
    <w:rsid w:val="00FE1E76"/>
    <w:rsid w:val="00FE201A"/>
    <w:rsid w:val="00FE21CA"/>
    <w:rsid w:val="00FE260F"/>
    <w:rsid w:val="00FE2A94"/>
    <w:rsid w:val="00FE2B57"/>
    <w:rsid w:val="00FE2B6C"/>
    <w:rsid w:val="00FE2C14"/>
    <w:rsid w:val="00FE2D6E"/>
    <w:rsid w:val="00FE327C"/>
    <w:rsid w:val="00FE356D"/>
    <w:rsid w:val="00FE36AA"/>
    <w:rsid w:val="00FE39D7"/>
    <w:rsid w:val="00FE3A8B"/>
    <w:rsid w:val="00FE3D08"/>
    <w:rsid w:val="00FE3D71"/>
    <w:rsid w:val="00FE3EC8"/>
    <w:rsid w:val="00FE4239"/>
    <w:rsid w:val="00FE45C4"/>
    <w:rsid w:val="00FE4726"/>
    <w:rsid w:val="00FE4969"/>
    <w:rsid w:val="00FE4AD9"/>
    <w:rsid w:val="00FE4CAD"/>
    <w:rsid w:val="00FE4EFF"/>
    <w:rsid w:val="00FE6065"/>
    <w:rsid w:val="00FE6425"/>
    <w:rsid w:val="00FE6618"/>
    <w:rsid w:val="00FE6AFD"/>
    <w:rsid w:val="00FE6BA0"/>
    <w:rsid w:val="00FE6D43"/>
    <w:rsid w:val="00FE6F00"/>
    <w:rsid w:val="00FE745B"/>
    <w:rsid w:val="00FE7F44"/>
    <w:rsid w:val="00FF0391"/>
    <w:rsid w:val="00FF075B"/>
    <w:rsid w:val="00FF0997"/>
    <w:rsid w:val="00FF0CA5"/>
    <w:rsid w:val="00FF0CF8"/>
    <w:rsid w:val="00FF0D1B"/>
    <w:rsid w:val="00FF0FF7"/>
    <w:rsid w:val="00FF11AE"/>
    <w:rsid w:val="00FF1275"/>
    <w:rsid w:val="00FF1729"/>
    <w:rsid w:val="00FF1967"/>
    <w:rsid w:val="00FF1B8E"/>
    <w:rsid w:val="00FF1BC4"/>
    <w:rsid w:val="00FF1D45"/>
    <w:rsid w:val="00FF1D4F"/>
    <w:rsid w:val="00FF1F6F"/>
    <w:rsid w:val="00FF1FE7"/>
    <w:rsid w:val="00FF21BF"/>
    <w:rsid w:val="00FF24BE"/>
    <w:rsid w:val="00FF27F4"/>
    <w:rsid w:val="00FF2B41"/>
    <w:rsid w:val="00FF2E18"/>
    <w:rsid w:val="00FF2EA0"/>
    <w:rsid w:val="00FF358B"/>
    <w:rsid w:val="00FF3686"/>
    <w:rsid w:val="00FF37E8"/>
    <w:rsid w:val="00FF37FD"/>
    <w:rsid w:val="00FF3859"/>
    <w:rsid w:val="00FF3C2F"/>
    <w:rsid w:val="00FF401E"/>
    <w:rsid w:val="00FF42D4"/>
    <w:rsid w:val="00FF442A"/>
    <w:rsid w:val="00FF45E7"/>
    <w:rsid w:val="00FF47C4"/>
    <w:rsid w:val="00FF4A2F"/>
    <w:rsid w:val="00FF4A54"/>
    <w:rsid w:val="00FF4BC4"/>
    <w:rsid w:val="00FF4D1A"/>
    <w:rsid w:val="00FF4E79"/>
    <w:rsid w:val="00FF4F4D"/>
    <w:rsid w:val="00FF5027"/>
    <w:rsid w:val="00FF5E33"/>
    <w:rsid w:val="00FF60EC"/>
    <w:rsid w:val="00FF63E4"/>
    <w:rsid w:val="00FF69A3"/>
    <w:rsid w:val="00FF6B4A"/>
    <w:rsid w:val="00FF6BC7"/>
    <w:rsid w:val="00FF6C1E"/>
    <w:rsid w:val="00FF6C37"/>
    <w:rsid w:val="00FF6F0B"/>
    <w:rsid w:val="00FF7112"/>
    <w:rsid w:val="00FF7135"/>
    <w:rsid w:val="00FF7465"/>
    <w:rsid w:val="00FF766F"/>
    <w:rsid w:val="00FF769E"/>
    <w:rsid w:val="00FF7A61"/>
    <w:rsid w:val="00FF7DBC"/>
    <w:rsid w:val="00FF7F27"/>
    <w:rsid w:val="01234344"/>
    <w:rsid w:val="01374888"/>
    <w:rsid w:val="013AB0DA"/>
    <w:rsid w:val="013F9A16"/>
    <w:rsid w:val="0175E7FC"/>
    <w:rsid w:val="01818C6F"/>
    <w:rsid w:val="019A529C"/>
    <w:rsid w:val="019E98EC"/>
    <w:rsid w:val="01A05637"/>
    <w:rsid w:val="01C26B19"/>
    <w:rsid w:val="01FE524A"/>
    <w:rsid w:val="01FFE60C"/>
    <w:rsid w:val="020D6ACC"/>
    <w:rsid w:val="022600F9"/>
    <w:rsid w:val="0235A9FB"/>
    <w:rsid w:val="023754A2"/>
    <w:rsid w:val="024786CE"/>
    <w:rsid w:val="024F6B1D"/>
    <w:rsid w:val="02741525"/>
    <w:rsid w:val="0286921A"/>
    <w:rsid w:val="0291EC8A"/>
    <w:rsid w:val="0317455F"/>
    <w:rsid w:val="032AA88F"/>
    <w:rsid w:val="033F9C5C"/>
    <w:rsid w:val="03607344"/>
    <w:rsid w:val="03941A82"/>
    <w:rsid w:val="03953E0E"/>
    <w:rsid w:val="0441ECB0"/>
    <w:rsid w:val="04824922"/>
    <w:rsid w:val="048E3489"/>
    <w:rsid w:val="04A04F65"/>
    <w:rsid w:val="04A722B7"/>
    <w:rsid w:val="04A9CCE6"/>
    <w:rsid w:val="04C70D40"/>
    <w:rsid w:val="04D93FF4"/>
    <w:rsid w:val="04E8E497"/>
    <w:rsid w:val="04F751D3"/>
    <w:rsid w:val="052FE814"/>
    <w:rsid w:val="054FC67C"/>
    <w:rsid w:val="0550F2F8"/>
    <w:rsid w:val="056278DD"/>
    <w:rsid w:val="0564A0E0"/>
    <w:rsid w:val="059320A8"/>
    <w:rsid w:val="05EB4BF8"/>
    <w:rsid w:val="05F59CCA"/>
    <w:rsid w:val="0622681A"/>
    <w:rsid w:val="0678476F"/>
    <w:rsid w:val="06BF011B"/>
    <w:rsid w:val="06D22F9E"/>
    <w:rsid w:val="06DFD550"/>
    <w:rsid w:val="06EC711F"/>
    <w:rsid w:val="07256CAB"/>
    <w:rsid w:val="07298CE7"/>
    <w:rsid w:val="075D28EC"/>
    <w:rsid w:val="07836609"/>
    <w:rsid w:val="07D00638"/>
    <w:rsid w:val="07EEA7CD"/>
    <w:rsid w:val="08205D86"/>
    <w:rsid w:val="0836AB80"/>
    <w:rsid w:val="08E83900"/>
    <w:rsid w:val="08FE52F4"/>
    <w:rsid w:val="091F90D1"/>
    <w:rsid w:val="092AC488"/>
    <w:rsid w:val="094FF047"/>
    <w:rsid w:val="0954EF3F"/>
    <w:rsid w:val="09839069"/>
    <w:rsid w:val="0999448A"/>
    <w:rsid w:val="09ABEED6"/>
    <w:rsid w:val="09AE6383"/>
    <w:rsid w:val="09C7B1DA"/>
    <w:rsid w:val="09D5D4C2"/>
    <w:rsid w:val="0A484D0F"/>
    <w:rsid w:val="0A5852FA"/>
    <w:rsid w:val="0A59BA88"/>
    <w:rsid w:val="0A659801"/>
    <w:rsid w:val="0A79F804"/>
    <w:rsid w:val="0A8C4778"/>
    <w:rsid w:val="0A916923"/>
    <w:rsid w:val="0A96D3FD"/>
    <w:rsid w:val="0AC49BC8"/>
    <w:rsid w:val="0ADE3540"/>
    <w:rsid w:val="0AEC9387"/>
    <w:rsid w:val="0B11A653"/>
    <w:rsid w:val="0B1F6330"/>
    <w:rsid w:val="0B351E96"/>
    <w:rsid w:val="0B9AD5A8"/>
    <w:rsid w:val="0BBC3C55"/>
    <w:rsid w:val="0BC7499C"/>
    <w:rsid w:val="0C060515"/>
    <w:rsid w:val="0C12A642"/>
    <w:rsid w:val="0C13E6C8"/>
    <w:rsid w:val="0CCCBFB8"/>
    <w:rsid w:val="0CF92401"/>
    <w:rsid w:val="0D03FBDF"/>
    <w:rsid w:val="0D18C9E8"/>
    <w:rsid w:val="0D3F504B"/>
    <w:rsid w:val="0D4AB442"/>
    <w:rsid w:val="0D57B3AE"/>
    <w:rsid w:val="0D5A5080"/>
    <w:rsid w:val="0D697305"/>
    <w:rsid w:val="0D6FC22F"/>
    <w:rsid w:val="0DE9BAF1"/>
    <w:rsid w:val="0DF68716"/>
    <w:rsid w:val="0E0DB8F0"/>
    <w:rsid w:val="0E163B6D"/>
    <w:rsid w:val="0E5491BC"/>
    <w:rsid w:val="0EA6798B"/>
    <w:rsid w:val="0EA92086"/>
    <w:rsid w:val="0EF33308"/>
    <w:rsid w:val="0EF3BDDD"/>
    <w:rsid w:val="0F273770"/>
    <w:rsid w:val="0FBC0C05"/>
    <w:rsid w:val="102FC63F"/>
    <w:rsid w:val="1064CCB0"/>
    <w:rsid w:val="107B3687"/>
    <w:rsid w:val="10841B1B"/>
    <w:rsid w:val="1084B785"/>
    <w:rsid w:val="10AAEA6C"/>
    <w:rsid w:val="110ACB93"/>
    <w:rsid w:val="110B27DE"/>
    <w:rsid w:val="1115AB42"/>
    <w:rsid w:val="117F787C"/>
    <w:rsid w:val="11A49429"/>
    <w:rsid w:val="11CDDCED"/>
    <w:rsid w:val="11D499D4"/>
    <w:rsid w:val="11F750CB"/>
    <w:rsid w:val="123CD62A"/>
    <w:rsid w:val="125DE345"/>
    <w:rsid w:val="1275D5E0"/>
    <w:rsid w:val="12909EB3"/>
    <w:rsid w:val="12CC098F"/>
    <w:rsid w:val="12E8F265"/>
    <w:rsid w:val="12F59CAF"/>
    <w:rsid w:val="12FAE106"/>
    <w:rsid w:val="131C1D47"/>
    <w:rsid w:val="1346F373"/>
    <w:rsid w:val="1347538B"/>
    <w:rsid w:val="13545B27"/>
    <w:rsid w:val="136B710F"/>
    <w:rsid w:val="138E7C59"/>
    <w:rsid w:val="13A0B548"/>
    <w:rsid w:val="13A444E5"/>
    <w:rsid w:val="13A63609"/>
    <w:rsid w:val="13BDB3E9"/>
    <w:rsid w:val="13D1435A"/>
    <w:rsid w:val="13DBD1E9"/>
    <w:rsid w:val="13E83B48"/>
    <w:rsid w:val="14764117"/>
    <w:rsid w:val="1482FBAE"/>
    <w:rsid w:val="14E88605"/>
    <w:rsid w:val="14F4030A"/>
    <w:rsid w:val="14F7CAD5"/>
    <w:rsid w:val="154B2241"/>
    <w:rsid w:val="15B70EE8"/>
    <w:rsid w:val="15C3D4DC"/>
    <w:rsid w:val="15E261A5"/>
    <w:rsid w:val="15F33D87"/>
    <w:rsid w:val="15FDD256"/>
    <w:rsid w:val="164204D8"/>
    <w:rsid w:val="16895C19"/>
    <w:rsid w:val="168BFE73"/>
    <w:rsid w:val="169CF3A8"/>
    <w:rsid w:val="16B20945"/>
    <w:rsid w:val="16B50F6D"/>
    <w:rsid w:val="17192DF5"/>
    <w:rsid w:val="17969270"/>
    <w:rsid w:val="17BBB224"/>
    <w:rsid w:val="17C7E4C9"/>
    <w:rsid w:val="1818A4F2"/>
    <w:rsid w:val="187C7D0E"/>
    <w:rsid w:val="1892B716"/>
    <w:rsid w:val="18936701"/>
    <w:rsid w:val="1896BDA4"/>
    <w:rsid w:val="18AA56ED"/>
    <w:rsid w:val="18B0C15D"/>
    <w:rsid w:val="18C0B0A2"/>
    <w:rsid w:val="18D5B026"/>
    <w:rsid w:val="1915980F"/>
    <w:rsid w:val="194377EE"/>
    <w:rsid w:val="1966C6B3"/>
    <w:rsid w:val="196BD2B2"/>
    <w:rsid w:val="196DC481"/>
    <w:rsid w:val="196DD04D"/>
    <w:rsid w:val="19856816"/>
    <w:rsid w:val="198EE75B"/>
    <w:rsid w:val="19DA9216"/>
    <w:rsid w:val="19DD9EDB"/>
    <w:rsid w:val="19F2CD65"/>
    <w:rsid w:val="1A012B11"/>
    <w:rsid w:val="1A3B7950"/>
    <w:rsid w:val="1A59EC7C"/>
    <w:rsid w:val="1A5DAE30"/>
    <w:rsid w:val="1A6A8DA7"/>
    <w:rsid w:val="1A91A970"/>
    <w:rsid w:val="1AC077DC"/>
    <w:rsid w:val="1ACBD775"/>
    <w:rsid w:val="1AE02D7A"/>
    <w:rsid w:val="1B0E1A38"/>
    <w:rsid w:val="1B7576C4"/>
    <w:rsid w:val="1B759A4D"/>
    <w:rsid w:val="1BAC6053"/>
    <w:rsid w:val="1BC3CE53"/>
    <w:rsid w:val="1BEFA388"/>
    <w:rsid w:val="1BFEC2E0"/>
    <w:rsid w:val="1BFFA41D"/>
    <w:rsid w:val="1C0C0EB4"/>
    <w:rsid w:val="1C40F748"/>
    <w:rsid w:val="1C6368CC"/>
    <w:rsid w:val="1CBC0108"/>
    <w:rsid w:val="1CBCE7BB"/>
    <w:rsid w:val="1CD1606A"/>
    <w:rsid w:val="1CDD204C"/>
    <w:rsid w:val="1D04E946"/>
    <w:rsid w:val="1D15375A"/>
    <w:rsid w:val="1D2F332B"/>
    <w:rsid w:val="1D47D376"/>
    <w:rsid w:val="1D8821C4"/>
    <w:rsid w:val="1DA3E242"/>
    <w:rsid w:val="1DCA710C"/>
    <w:rsid w:val="1DD3A695"/>
    <w:rsid w:val="1DE4131F"/>
    <w:rsid w:val="1E31172C"/>
    <w:rsid w:val="1E353CDE"/>
    <w:rsid w:val="1E3D51D0"/>
    <w:rsid w:val="1EB2C44B"/>
    <w:rsid w:val="1ED9E752"/>
    <w:rsid w:val="1EE351ED"/>
    <w:rsid w:val="1EF0924A"/>
    <w:rsid w:val="1EF24DAD"/>
    <w:rsid w:val="1F39B040"/>
    <w:rsid w:val="1F4CB6A4"/>
    <w:rsid w:val="1F7CC029"/>
    <w:rsid w:val="1F8D11AB"/>
    <w:rsid w:val="1FB30DDC"/>
    <w:rsid w:val="1FC57456"/>
    <w:rsid w:val="1FE30B6B"/>
    <w:rsid w:val="1FFD50D7"/>
    <w:rsid w:val="2004CE19"/>
    <w:rsid w:val="205B6827"/>
    <w:rsid w:val="208244AF"/>
    <w:rsid w:val="20BC870E"/>
    <w:rsid w:val="20BF7BC0"/>
    <w:rsid w:val="21A214EF"/>
    <w:rsid w:val="21FB613B"/>
    <w:rsid w:val="226361F1"/>
    <w:rsid w:val="2269D9C0"/>
    <w:rsid w:val="2276606F"/>
    <w:rsid w:val="228372F6"/>
    <w:rsid w:val="228A2604"/>
    <w:rsid w:val="228EE013"/>
    <w:rsid w:val="22B8D950"/>
    <w:rsid w:val="22DC5F3D"/>
    <w:rsid w:val="22E31829"/>
    <w:rsid w:val="22ECDA12"/>
    <w:rsid w:val="23628325"/>
    <w:rsid w:val="23C8DDFB"/>
    <w:rsid w:val="23CEF88A"/>
    <w:rsid w:val="23D1C036"/>
    <w:rsid w:val="23E2F281"/>
    <w:rsid w:val="245D3BF0"/>
    <w:rsid w:val="246B25D7"/>
    <w:rsid w:val="2486EA84"/>
    <w:rsid w:val="2494C8A7"/>
    <w:rsid w:val="249E8B8D"/>
    <w:rsid w:val="24DCE3B3"/>
    <w:rsid w:val="24F63A7C"/>
    <w:rsid w:val="24FD8E5A"/>
    <w:rsid w:val="2518C416"/>
    <w:rsid w:val="2518FB84"/>
    <w:rsid w:val="25A5EA16"/>
    <w:rsid w:val="25BA347E"/>
    <w:rsid w:val="25E37F69"/>
    <w:rsid w:val="25E54317"/>
    <w:rsid w:val="25E588BB"/>
    <w:rsid w:val="26064B01"/>
    <w:rsid w:val="260DCC72"/>
    <w:rsid w:val="261A0AA5"/>
    <w:rsid w:val="2628E249"/>
    <w:rsid w:val="26371423"/>
    <w:rsid w:val="264818AF"/>
    <w:rsid w:val="264D7F85"/>
    <w:rsid w:val="26518938"/>
    <w:rsid w:val="26702BDE"/>
    <w:rsid w:val="26810A61"/>
    <w:rsid w:val="2692C79A"/>
    <w:rsid w:val="269AFED0"/>
    <w:rsid w:val="26A4351F"/>
    <w:rsid w:val="26FC00CE"/>
    <w:rsid w:val="2726320A"/>
    <w:rsid w:val="273C824E"/>
    <w:rsid w:val="275BB13A"/>
    <w:rsid w:val="27A3D767"/>
    <w:rsid w:val="27EC3883"/>
    <w:rsid w:val="28228738"/>
    <w:rsid w:val="28334315"/>
    <w:rsid w:val="2875736A"/>
    <w:rsid w:val="2876E4AA"/>
    <w:rsid w:val="2879FC98"/>
    <w:rsid w:val="287CA49F"/>
    <w:rsid w:val="28898B65"/>
    <w:rsid w:val="2908DD48"/>
    <w:rsid w:val="293919A9"/>
    <w:rsid w:val="294EB91D"/>
    <w:rsid w:val="2962FF5C"/>
    <w:rsid w:val="2990EE78"/>
    <w:rsid w:val="29D01A8F"/>
    <w:rsid w:val="2A089A31"/>
    <w:rsid w:val="2A1BD2B5"/>
    <w:rsid w:val="2A36BE64"/>
    <w:rsid w:val="2A7DD478"/>
    <w:rsid w:val="2A9EC6C5"/>
    <w:rsid w:val="2ACB1920"/>
    <w:rsid w:val="2B006C48"/>
    <w:rsid w:val="2B1A83AE"/>
    <w:rsid w:val="2B1DA3E2"/>
    <w:rsid w:val="2B3E4E5E"/>
    <w:rsid w:val="2B6D0C9E"/>
    <w:rsid w:val="2BE9F9EF"/>
    <w:rsid w:val="2BFE554B"/>
    <w:rsid w:val="2C32E460"/>
    <w:rsid w:val="2C4975A1"/>
    <w:rsid w:val="2C4B34A9"/>
    <w:rsid w:val="2C6EF644"/>
    <w:rsid w:val="2C7F3B62"/>
    <w:rsid w:val="2C8418F0"/>
    <w:rsid w:val="2CAF05AB"/>
    <w:rsid w:val="2D523570"/>
    <w:rsid w:val="2D896923"/>
    <w:rsid w:val="2DB8F135"/>
    <w:rsid w:val="2DCB79D1"/>
    <w:rsid w:val="2DD4F053"/>
    <w:rsid w:val="2DDBA456"/>
    <w:rsid w:val="2DE02EB9"/>
    <w:rsid w:val="2DEB2AF8"/>
    <w:rsid w:val="2E5201E7"/>
    <w:rsid w:val="2E70E02F"/>
    <w:rsid w:val="2E8936FB"/>
    <w:rsid w:val="2E89BF39"/>
    <w:rsid w:val="2EA86DE4"/>
    <w:rsid w:val="2EA93A79"/>
    <w:rsid w:val="2EDFE81C"/>
    <w:rsid w:val="2EFBC2F6"/>
    <w:rsid w:val="2F1DD771"/>
    <w:rsid w:val="2F3E993F"/>
    <w:rsid w:val="2F58A2D7"/>
    <w:rsid w:val="2F833513"/>
    <w:rsid w:val="2FB35956"/>
    <w:rsid w:val="301185CB"/>
    <w:rsid w:val="3012FC6C"/>
    <w:rsid w:val="30295927"/>
    <w:rsid w:val="303EBA93"/>
    <w:rsid w:val="3047ED94"/>
    <w:rsid w:val="305C128B"/>
    <w:rsid w:val="305F74AF"/>
    <w:rsid w:val="306EFFE8"/>
    <w:rsid w:val="308F40E3"/>
    <w:rsid w:val="30928743"/>
    <w:rsid w:val="309EE4EA"/>
    <w:rsid w:val="30A6801B"/>
    <w:rsid w:val="30C95816"/>
    <w:rsid w:val="30E78143"/>
    <w:rsid w:val="30F9E559"/>
    <w:rsid w:val="31044DB6"/>
    <w:rsid w:val="3141FA82"/>
    <w:rsid w:val="3162DCB8"/>
    <w:rsid w:val="317661A2"/>
    <w:rsid w:val="317770AA"/>
    <w:rsid w:val="31826E94"/>
    <w:rsid w:val="318C3B30"/>
    <w:rsid w:val="31B1369B"/>
    <w:rsid w:val="31CD1A7D"/>
    <w:rsid w:val="31DACFF3"/>
    <w:rsid w:val="31E94578"/>
    <w:rsid w:val="3214CC58"/>
    <w:rsid w:val="3233FF18"/>
    <w:rsid w:val="3236A70E"/>
    <w:rsid w:val="3242CB99"/>
    <w:rsid w:val="32477F79"/>
    <w:rsid w:val="32510212"/>
    <w:rsid w:val="32AA5B06"/>
    <w:rsid w:val="32ECEB52"/>
    <w:rsid w:val="33288370"/>
    <w:rsid w:val="332AB8F9"/>
    <w:rsid w:val="335DD2BE"/>
    <w:rsid w:val="336266CB"/>
    <w:rsid w:val="336938F2"/>
    <w:rsid w:val="33894632"/>
    <w:rsid w:val="3391E47E"/>
    <w:rsid w:val="33D971B3"/>
    <w:rsid w:val="33E6BEDF"/>
    <w:rsid w:val="3434C3BF"/>
    <w:rsid w:val="3457580F"/>
    <w:rsid w:val="348DB7FE"/>
    <w:rsid w:val="34A4F04D"/>
    <w:rsid w:val="34D23150"/>
    <w:rsid w:val="350F3F68"/>
    <w:rsid w:val="35461943"/>
    <w:rsid w:val="357B1F8D"/>
    <w:rsid w:val="359A2080"/>
    <w:rsid w:val="35B83524"/>
    <w:rsid w:val="35E7F865"/>
    <w:rsid w:val="35EEEB05"/>
    <w:rsid w:val="36304DF6"/>
    <w:rsid w:val="3646DFA4"/>
    <w:rsid w:val="36DA0A1E"/>
    <w:rsid w:val="36DF93CB"/>
    <w:rsid w:val="3704084A"/>
    <w:rsid w:val="372BAF81"/>
    <w:rsid w:val="37428938"/>
    <w:rsid w:val="376F68B9"/>
    <w:rsid w:val="3776C5A8"/>
    <w:rsid w:val="378C2D0C"/>
    <w:rsid w:val="379D8393"/>
    <w:rsid w:val="37D511B5"/>
    <w:rsid w:val="37EEBF4F"/>
    <w:rsid w:val="381CA0ED"/>
    <w:rsid w:val="38522370"/>
    <w:rsid w:val="389A2E03"/>
    <w:rsid w:val="389EB0E1"/>
    <w:rsid w:val="38CB577E"/>
    <w:rsid w:val="38FC0F73"/>
    <w:rsid w:val="393F9141"/>
    <w:rsid w:val="3949FD51"/>
    <w:rsid w:val="394D74B9"/>
    <w:rsid w:val="3978FF28"/>
    <w:rsid w:val="39893885"/>
    <w:rsid w:val="3997AC7C"/>
    <w:rsid w:val="39DE6FF2"/>
    <w:rsid w:val="39E81D1A"/>
    <w:rsid w:val="39E8375D"/>
    <w:rsid w:val="39F7E48E"/>
    <w:rsid w:val="3A126AD5"/>
    <w:rsid w:val="3A192AEB"/>
    <w:rsid w:val="3AB5537D"/>
    <w:rsid w:val="3AFE5E97"/>
    <w:rsid w:val="3B07C6A5"/>
    <w:rsid w:val="3B0F232A"/>
    <w:rsid w:val="3B10A7B1"/>
    <w:rsid w:val="3B1A3907"/>
    <w:rsid w:val="3B1FCF63"/>
    <w:rsid w:val="3BB4029F"/>
    <w:rsid w:val="3BBBADF5"/>
    <w:rsid w:val="3BC1F18A"/>
    <w:rsid w:val="3C052C7F"/>
    <w:rsid w:val="3C09D0C2"/>
    <w:rsid w:val="3C50CB3A"/>
    <w:rsid w:val="3CA27AF4"/>
    <w:rsid w:val="3CCE5B74"/>
    <w:rsid w:val="3CDCDCE3"/>
    <w:rsid w:val="3D393B8F"/>
    <w:rsid w:val="3D4B3B9D"/>
    <w:rsid w:val="3D566050"/>
    <w:rsid w:val="3D8649B1"/>
    <w:rsid w:val="3DBC2C1F"/>
    <w:rsid w:val="3DD2A061"/>
    <w:rsid w:val="3DDCD69F"/>
    <w:rsid w:val="3DF087F9"/>
    <w:rsid w:val="3E02C0B0"/>
    <w:rsid w:val="3E45CD7C"/>
    <w:rsid w:val="3E646EB9"/>
    <w:rsid w:val="3E804D98"/>
    <w:rsid w:val="3E810212"/>
    <w:rsid w:val="3E833AF7"/>
    <w:rsid w:val="3EAAEAA7"/>
    <w:rsid w:val="3EB704FA"/>
    <w:rsid w:val="3EE0DAF2"/>
    <w:rsid w:val="3F04B073"/>
    <w:rsid w:val="3F1E8521"/>
    <w:rsid w:val="3F282CB9"/>
    <w:rsid w:val="3F363040"/>
    <w:rsid w:val="3F69DAE4"/>
    <w:rsid w:val="3FD36E41"/>
    <w:rsid w:val="4004B450"/>
    <w:rsid w:val="40059C39"/>
    <w:rsid w:val="400E8B26"/>
    <w:rsid w:val="401FBABF"/>
    <w:rsid w:val="40A48C1A"/>
    <w:rsid w:val="410F6808"/>
    <w:rsid w:val="41C86A01"/>
    <w:rsid w:val="41D2CDB2"/>
    <w:rsid w:val="427B5C31"/>
    <w:rsid w:val="429524DC"/>
    <w:rsid w:val="42A1A167"/>
    <w:rsid w:val="42B1F032"/>
    <w:rsid w:val="42C19161"/>
    <w:rsid w:val="42C74138"/>
    <w:rsid w:val="42E430C0"/>
    <w:rsid w:val="430465FD"/>
    <w:rsid w:val="430EF00C"/>
    <w:rsid w:val="430F7894"/>
    <w:rsid w:val="43112473"/>
    <w:rsid w:val="4315E249"/>
    <w:rsid w:val="43726E35"/>
    <w:rsid w:val="437D5FDF"/>
    <w:rsid w:val="438955CE"/>
    <w:rsid w:val="43A44881"/>
    <w:rsid w:val="43E9A86E"/>
    <w:rsid w:val="43F6F619"/>
    <w:rsid w:val="4499C68C"/>
    <w:rsid w:val="449D25E1"/>
    <w:rsid w:val="44A7DBF4"/>
    <w:rsid w:val="44DC6807"/>
    <w:rsid w:val="45C70DA7"/>
    <w:rsid w:val="45E255F0"/>
    <w:rsid w:val="460964AA"/>
    <w:rsid w:val="460D3D7F"/>
    <w:rsid w:val="462E1D30"/>
    <w:rsid w:val="467A2EAA"/>
    <w:rsid w:val="46DE6C70"/>
    <w:rsid w:val="46EA506A"/>
    <w:rsid w:val="47055B8F"/>
    <w:rsid w:val="474E58CC"/>
    <w:rsid w:val="4754A7D8"/>
    <w:rsid w:val="47A9B30A"/>
    <w:rsid w:val="47B05AB9"/>
    <w:rsid w:val="47BAE80E"/>
    <w:rsid w:val="47ED00EE"/>
    <w:rsid w:val="4801D5A0"/>
    <w:rsid w:val="484AA624"/>
    <w:rsid w:val="48537F23"/>
    <w:rsid w:val="48571295"/>
    <w:rsid w:val="488198D7"/>
    <w:rsid w:val="48B7AC6D"/>
    <w:rsid w:val="48F1870E"/>
    <w:rsid w:val="48F7F7A0"/>
    <w:rsid w:val="490223E5"/>
    <w:rsid w:val="49190B33"/>
    <w:rsid w:val="4965B3EB"/>
    <w:rsid w:val="49ECE028"/>
    <w:rsid w:val="4A2F39AD"/>
    <w:rsid w:val="4A6A8F44"/>
    <w:rsid w:val="4A6DCFF6"/>
    <w:rsid w:val="4A70FEBD"/>
    <w:rsid w:val="4AA20493"/>
    <w:rsid w:val="4ABB76A7"/>
    <w:rsid w:val="4AC4F821"/>
    <w:rsid w:val="4ADCD7D5"/>
    <w:rsid w:val="4B2C7E2F"/>
    <w:rsid w:val="4B36606D"/>
    <w:rsid w:val="4B4EDFCA"/>
    <w:rsid w:val="4B52413A"/>
    <w:rsid w:val="4B801519"/>
    <w:rsid w:val="4B9E7B82"/>
    <w:rsid w:val="4BBBDE48"/>
    <w:rsid w:val="4C001573"/>
    <w:rsid w:val="4C18FC1D"/>
    <w:rsid w:val="4C9163C0"/>
    <w:rsid w:val="4CC258D5"/>
    <w:rsid w:val="4D4A3197"/>
    <w:rsid w:val="4D4E08BF"/>
    <w:rsid w:val="4DA05E3D"/>
    <w:rsid w:val="4DAC44BD"/>
    <w:rsid w:val="4DC609D3"/>
    <w:rsid w:val="4DFFDA55"/>
    <w:rsid w:val="4E7FA064"/>
    <w:rsid w:val="4EB9B38A"/>
    <w:rsid w:val="4EDC0878"/>
    <w:rsid w:val="4EE55FDF"/>
    <w:rsid w:val="4EE6B3EE"/>
    <w:rsid w:val="4F0E5C03"/>
    <w:rsid w:val="4F208910"/>
    <w:rsid w:val="4F3BE71F"/>
    <w:rsid w:val="4F9BD038"/>
    <w:rsid w:val="4FB6FE6C"/>
    <w:rsid w:val="507EF20F"/>
    <w:rsid w:val="50A759A0"/>
    <w:rsid w:val="50AF1F9E"/>
    <w:rsid w:val="50CF837A"/>
    <w:rsid w:val="50D3DFFE"/>
    <w:rsid w:val="50FBB4DF"/>
    <w:rsid w:val="510F45F6"/>
    <w:rsid w:val="5131EE2F"/>
    <w:rsid w:val="5157A288"/>
    <w:rsid w:val="516E9F7A"/>
    <w:rsid w:val="516EDB2C"/>
    <w:rsid w:val="51790951"/>
    <w:rsid w:val="518684F8"/>
    <w:rsid w:val="5187F0D7"/>
    <w:rsid w:val="51C6C1CB"/>
    <w:rsid w:val="52274886"/>
    <w:rsid w:val="526EC17E"/>
    <w:rsid w:val="52B5BBE4"/>
    <w:rsid w:val="52CA55CF"/>
    <w:rsid w:val="52FC9284"/>
    <w:rsid w:val="53008A04"/>
    <w:rsid w:val="5318CC5E"/>
    <w:rsid w:val="5320DD9C"/>
    <w:rsid w:val="53668E0B"/>
    <w:rsid w:val="536E36A3"/>
    <w:rsid w:val="5374B37F"/>
    <w:rsid w:val="53F851B1"/>
    <w:rsid w:val="54047AEB"/>
    <w:rsid w:val="5435DE3D"/>
    <w:rsid w:val="545646BD"/>
    <w:rsid w:val="545C3486"/>
    <w:rsid w:val="546E8E93"/>
    <w:rsid w:val="54BF926C"/>
    <w:rsid w:val="54D187C2"/>
    <w:rsid w:val="54DB96D3"/>
    <w:rsid w:val="55391361"/>
    <w:rsid w:val="554134B9"/>
    <w:rsid w:val="556F8C8D"/>
    <w:rsid w:val="55843D24"/>
    <w:rsid w:val="558B008A"/>
    <w:rsid w:val="558C6341"/>
    <w:rsid w:val="55995ABE"/>
    <w:rsid w:val="559B3BD5"/>
    <w:rsid w:val="55B91E30"/>
    <w:rsid w:val="55C942E1"/>
    <w:rsid w:val="55F4B251"/>
    <w:rsid w:val="56002932"/>
    <w:rsid w:val="567556B7"/>
    <w:rsid w:val="568A3B8A"/>
    <w:rsid w:val="56A85012"/>
    <w:rsid w:val="56EDC1F9"/>
    <w:rsid w:val="56F25D2F"/>
    <w:rsid w:val="5703FEA3"/>
    <w:rsid w:val="57148EB7"/>
    <w:rsid w:val="5747013F"/>
    <w:rsid w:val="57678490"/>
    <w:rsid w:val="57BF0746"/>
    <w:rsid w:val="57D87856"/>
    <w:rsid w:val="57DC787F"/>
    <w:rsid w:val="57DEF5DC"/>
    <w:rsid w:val="58093AC9"/>
    <w:rsid w:val="5812AE7E"/>
    <w:rsid w:val="581426B6"/>
    <w:rsid w:val="5835CA1F"/>
    <w:rsid w:val="586705E7"/>
    <w:rsid w:val="587517CF"/>
    <w:rsid w:val="5886AB23"/>
    <w:rsid w:val="5890C3A3"/>
    <w:rsid w:val="58972900"/>
    <w:rsid w:val="58C1D496"/>
    <w:rsid w:val="58FC34C8"/>
    <w:rsid w:val="590EA6F6"/>
    <w:rsid w:val="59143929"/>
    <w:rsid w:val="592CA8EF"/>
    <w:rsid w:val="59362ABC"/>
    <w:rsid w:val="5938C8B5"/>
    <w:rsid w:val="596F1A29"/>
    <w:rsid w:val="59A3FA66"/>
    <w:rsid w:val="59A53780"/>
    <w:rsid w:val="59AE5E19"/>
    <w:rsid w:val="59AE7EDF"/>
    <w:rsid w:val="59CD7FDF"/>
    <w:rsid w:val="59E7F8DF"/>
    <w:rsid w:val="59FF7842"/>
    <w:rsid w:val="5A2DE5B1"/>
    <w:rsid w:val="5A37E293"/>
    <w:rsid w:val="5A3E1D6C"/>
    <w:rsid w:val="5A6A085E"/>
    <w:rsid w:val="5AA7E2C9"/>
    <w:rsid w:val="5ABCDB8D"/>
    <w:rsid w:val="5ACE537F"/>
    <w:rsid w:val="5AE469CA"/>
    <w:rsid w:val="5B2141F7"/>
    <w:rsid w:val="5B290C43"/>
    <w:rsid w:val="5B4B3BF5"/>
    <w:rsid w:val="5B6F1DCD"/>
    <w:rsid w:val="5B761B3B"/>
    <w:rsid w:val="5B775F59"/>
    <w:rsid w:val="5B8B6D87"/>
    <w:rsid w:val="5B901D16"/>
    <w:rsid w:val="5BBE107E"/>
    <w:rsid w:val="5BC110B1"/>
    <w:rsid w:val="5BE73D4D"/>
    <w:rsid w:val="5C1CEAFC"/>
    <w:rsid w:val="5C233DA5"/>
    <w:rsid w:val="5C3AA4B3"/>
    <w:rsid w:val="5C3CBF59"/>
    <w:rsid w:val="5C5873E9"/>
    <w:rsid w:val="5C790A65"/>
    <w:rsid w:val="5C89B5F0"/>
    <w:rsid w:val="5C9AA44D"/>
    <w:rsid w:val="5CAAF570"/>
    <w:rsid w:val="5CEAB894"/>
    <w:rsid w:val="5D1B9550"/>
    <w:rsid w:val="5D3C0AB1"/>
    <w:rsid w:val="5D436AA6"/>
    <w:rsid w:val="5D8C8111"/>
    <w:rsid w:val="5D9A584D"/>
    <w:rsid w:val="5DA1EA21"/>
    <w:rsid w:val="5DAD94FD"/>
    <w:rsid w:val="5DCA8C18"/>
    <w:rsid w:val="5DDC7B49"/>
    <w:rsid w:val="5E03FE54"/>
    <w:rsid w:val="5E040CC4"/>
    <w:rsid w:val="5E30C07C"/>
    <w:rsid w:val="5E3E36FE"/>
    <w:rsid w:val="5E68EB22"/>
    <w:rsid w:val="5E843906"/>
    <w:rsid w:val="5E881452"/>
    <w:rsid w:val="5E9DA8DC"/>
    <w:rsid w:val="5EE7AF0A"/>
    <w:rsid w:val="5F04B290"/>
    <w:rsid w:val="5F13CBD6"/>
    <w:rsid w:val="5F7CF699"/>
    <w:rsid w:val="5FA33A61"/>
    <w:rsid w:val="5FAE0CED"/>
    <w:rsid w:val="5FDB5285"/>
    <w:rsid w:val="5FEB2ED1"/>
    <w:rsid w:val="5FEC1DE5"/>
    <w:rsid w:val="602431CA"/>
    <w:rsid w:val="6025879E"/>
    <w:rsid w:val="603C43FD"/>
    <w:rsid w:val="6046EBB5"/>
    <w:rsid w:val="608C7941"/>
    <w:rsid w:val="6103DFCE"/>
    <w:rsid w:val="6105385D"/>
    <w:rsid w:val="611668AD"/>
    <w:rsid w:val="613D4ADE"/>
    <w:rsid w:val="617F63D9"/>
    <w:rsid w:val="6192A573"/>
    <w:rsid w:val="620B4263"/>
    <w:rsid w:val="623F65DB"/>
    <w:rsid w:val="6252BAD1"/>
    <w:rsid w:val="62596C3C"/>
    <w:rsid w:val="62C1E15D"/>
    <w:rsid w:val="62FC156D"/>
    <w:rsid w:val="63154901"/>
    <w:rsid w:val="6319A73D"/>
    <w:rsid w:val="632C388C"/>
    <w:rsid w:val="63939990"/>
    <w:rsid w:val="6397DBE8"/>
    <w:rsid w:val="63A3969A"/>
    <w:rsid w:val="63A7817D"/>
    <w:rsid w:val="63C34AFE"/>
    <w:rsid w:val="63DFC574"/>
    <w:rsid w:val="6402ED6C"/>
    <w:rsid w:val="641D8FDB"/>
    <w:rsid w:val="64247E42"/>
    <w:rsid w:val="64275B6E"/>
    <w:rsid w:val="642CDF3A"/>
    <w:rsid w:val="643E5B04"/>
    <w:rsid w:val="644A6A8F"/>
    <w:rsid w:val="64C57858"/>
    <w:rsid w:val="64D866FC"/>
    <w:rsid w:val="64F885F0"/>
    <w:rsid w:val="650D3B55"/>
    <w:rsid w:val="656CAD06"/>
    <w:rsid w:val="657F8AC3"/>
    <w:rsid w:val="65874267"/>
    <w:rsid w:val="65A1165C"/>
    <w:rsid w:val="65B2D8AB"/>
    <w:rsid w:val="65E19BFF"/>
    <w:rsid w:val="66094053"/>
    <w:rsid w:val="66ABB5B7"/>
    <w:rsid w:val="670EEB2D"/>
    <w:rsid w:val="67392984"/>
    <w:rsid w:val="67432DF9"/>
    <w:rsid w:val="6778066D"/>
    <w:rsid w:val="67899EA8"/>
    <w:rsid w:val="67C2E09F"/>
    <w:rsid w:val="685412B6"/>
    <w:rsid w:val="6886E82B"/>
    <w:rsid w:val="688E26F3"/>
    <w:rsid w:val="68DB7722"/>
    <w:rsid w:val="68EA5906"/>
    <w:rsid w:val="69841A05"/>
    <w:rsid w:val="69CFDA68"/>
    <w:rsid w:val="6A08E0D8"/>
    <w:rsid w:val="6A197289"/>
    <w:rsid w:val="6A239C25"/>
    <w:rsid w:val="6A2FD140"/>
    <w:rsid w:val="6A432316"/>
    <w:rsid w:val="6A9768FA"/>
    <w:rsid w:val="6ABE540B"/>
    <w:rsid w:val="6AF6DAB8"/>
    <w:rsid w:val="6AF7D2C1"/>
    <w:rsid w:val="6AFBD97E"/>
    <w:rsid w:val="6B12083F"/>
    <w:rsid w:val="6B36211B"/>
    <w:rsid w:val="6B83E10F"/>
    <w:rsid w:val="6B97F29C"/>
    <w:rsid w:val="6BA76961"/>
    <w:rsid w:val="6BB14626"/>
    <w:rsid w:val="6BDD741C"/>
    <w:rsid w:val="6BE4AD58"/>
    <w:rsid w:val="6C38EA04"/>
    <w:rsid w:val="6C646816"/>
    <w:rsid w:val="6C713D1E"/>
    <w:rsid w:val="6C7FF06C"/>
    <w:rsid w:val="6CA19F24"/>
    <w:rsid w:val="6CA5EF6B"/>
    <w:rsid w:val="6CF3887C"/>
    <w:rsid w:val="6CFBE6D3"/>
    <w:rsid w:val="6D357AE3"/>
    <w:rsid w:val="6D981422"/>
    <w:rsid w:val="6DB1C75B"/>
    <w:rsid w:val="6DDE6E44"/>
    <w:rsid w:val="6DE15520"/>
    <w:rsid w:val="6E7D009F"/>
    <w:rsid w:val="6EB62289"/>
    <w:rsid w:val="6EBC2A63"/>
    <w:rsid w:val="6EC127CB"/>
    <w:rsid w:val="6EC3F7E1"/>
    <w:rsid w:val="6F03765C"/>
    <w:rsid w:val="6F10D05F"/>
    <w:rsid w:val="6F32FEBE"/>
    <w:rsid w:val="6F95B9B0"/>
    <w:rsid w:val="6FF45611"/>
    <w:rsid w:val="700535E8"/>
    <w:rsid w:val="701721F9"/>
    <w:rsid w:val="70258199"/>
    <w:rsid w:val="702F84DE"/>
    <w:rsid w:val="705C8613"/>
    <w:rsid w:val="70BCFE0F"/>
    <w:rsid w:val="70FB64A7"/>
    <w:rsid w:val="7103FA32"/>
    <w:rsid w:val="71061AD4"/>
    <w:rsid w:val="7110E9F5"/>
    <w:rsid w:val="71180483"/>
    <w:rsid w:val="71486C8E"/>
    <w:rsid w:val="71721BEA"/>
    <w:rsid w:val="71823C6A"/>
    <w:rsid w:val="71AEB0EB"/>
    <w:rsid w:val="71B814AA"/>
    <w:rsid w:val="71D27A0A"/>
    <w:rsid w:val="71E23DF0"/>
    <w:rsid w:val="71E6F736"/>
    <w:rsid w:val="723A315D"/>
    <w:rsid w:val="72435873"/>
    <w:rsid w:val="7255FC39"/>
    <w:rsid w:val="725B3DD6"/>
    <w:rsid w:val="72696CB7"/>
    <w:rsid w:val="72B5219D"/>
    <w:rsid w:val="72C0E09B"/>
    <w:rsid w:val="72CB6172"/>
    <w:rsid w:val="72D4DF4B"/>
    <w:rsid w:val="72E9B971"/>
    <w:rsid w:val="72FC7AB1"/>
    <w:rsid w:val="730BA43D"/>
    <w:rsid w:val="7316E08B"/>
    <w:rsid w:val="7326B0F5"/>
    <w:rsid w:val="7328FFAF"/>
    <w:rsid w:val="733D35F5"/>
    <w:rsid w:val="734A1A38"/>
    <w:rsid w:val="734AA774"/>
    <w:rsid w:val="7386013B"/>
    <w:rsid w:val="7388A069"/>
    <w:rsid w:val="73917774"/>
    <w:rsid w:val="73A446DE"/>
    <w:rsid w:val="73B7D54D"/>
    <w:rsid w:val="73C192CC"/>
    <w:rsid w:val="73D539DD"/>
    <w:rsid w:val="7425EC4C"/>
    <w:rsid w:val="7428B7E5"/>
    <w:rsid w:val="74348D40"/>
    <w:rsid w:val="7456DA3F"/>
    <w:rsid w:val="74652445"/>
    <w:rsid w:val="7466CA9A"/>
    <w:rsid w:val="7469B30D"/>
    <w:rsid w:val="7478B126"/>
    <w:rsid w:val="747F5874"/>
    <w:rsid w:val="749213F1"/>
    <w:rsid w:val="74BDC660"/>
    <w:rsid w:val="74C1E294"/>
    <w:rsid w:val="74C89081"/>
    <w:rsid w:val="74D88099"/>
    <w:rsid w:val="74E1501B"/>
    <w:rsid w:val="74F1AFC5"/>
    <w:rsid w:val="75012F18"/>
    <w:rsid w:val="751ECF27"/>
    <w:rsid w:val="751FFBAB"/>
    <w:rsid w:val="75236B75"/>
    <w:rsid w:val="75610ED4"/>
    <w:rsid w:val="757651FA"/>
    <w:rsid w:val="758543A0"/>
    <w:rsid w:val="759AA4A1"/>
    <w:rsid w:val="762690ED"/>
    <w:rsid w:val="76672170"/>
    <w:rsid w:val="76A67701"/>
    <w:rsid w:val="76A90619"/>
    <w:rsid w:val="76E8B5A4"/>
    <w:rsid w:val="76EA1AD7"/>
    <w:rsid w:val="76FDCEA4"/>
    <w:rsid w:val="772D6142"/>
    <w:rsid w:val="7762673D"/>
    <w:rsid w:val="776860EA"/>
    <w:rsid w:val="777A6E44"/>
    <w:rsid w:val="77987204"/>
    <w:rsid w:val="77B4D1A5"/>
    <w:rsid w:val="77EA197A"/>
    <w:rsid w:val="77FD338D"/>
    <w:rsid w:val="77FD7B8D"/>
    <w:rsid w:val="781ABBED"/>
    <w:rsid w:val="7857867F"/>
    <w:rsid w:val="78667678"/>
    <w:rsid w:val="7870655C"/>
    <w:rsid w:val="7894830E"/>
    <w:rsid w:val="78954FE2"/>
    <w:rsid w:val="78A0272D"/>
    <w:rsid w:val="78B646A8"/>
    <w:rsid w:val="78BC8C2C"/>
    <w:rsid w:val="78E7E819"/>
    <w:rsid w:val="78EEE140"/>
    <w:rsid w:val="791DA7CB"/>
    <w:rsid w:val="7920E34C"/>
    <w:rsid w:val="793A059B"/>
    <w:rsid w:val="794D33F8"/>
    <w:rsid w:val="798E8458"/>
    <w:rsid w:val="79B257C4"/>
    <w:rsid w:val="79BDAE15"/>
    <w:rsid w:val="79D99934"/>
    <w:rsid w:val="7A3CE0D0"/>
    <w:rsid w:val="7A4B1D81"/>
    <w:rsid w:val="7A664453"/>
    <w:rsid w:val="7A8CE92B"/>
    <w:rsid w:val="7A94253F"/>
    <w:rsid w:val="7A97DCDE"/>
    <w:rsid w:val="7AE87739"/>
    <w:rsid w:val="7AF69532"/>
    <w:rsid w:val="7B1E18D0"/>
    <w:rsid w:val="7B47B90C"/>
    <w:rsid w:val="7B4B0B21"/>
    <w:rsid w:val="7B95E620"/>
    <w:rsid w:val="7B97B8F8"/>
    <w:rsid w:val="7BB41C1E"/>
    <w:rsid w:val="7BD06ADD"/>
    <w:rsid w:val="7BEF5230"/>
    <w:rsid w:val="7C0B73D1"/>
    <w:rsid w:val="7C20831D"/>
    <w:rsid w:val="7C36BA52"/>
    <w:rsid w:val="7C3799CB"/>
    <w:rsid w:val="7C4BE29F"/>
    <w:rsid w:val="7C5C6825"/>
    <w:rsid w:val="7C736F0D"/>
    <w:rsid w:val="7C746AA2"/>
    <w:rsid w:val="7CAE73AF"/>
    <w:rsid w:val="7CCF7DBA"/>
    <w:rsid w:val="7D08A847"/>
    <w:rsid w:val="7D1729C7"/>
    <w:rsid w:val="7D19287C"/>
    <w:rsid w:val="7D81E68B"/>
    <w:rsid w:val="7D932CF1"/>
    <w:rsid w:val="7D96488D"/>
    <w:rsid w:val="7DA290DB"/>
    <w:rsid w:val="7DB292C5"/>
    <w:rsid w:val="7DBEE742"/>
    <w:rsid w:val="7DCAA6F4"/>
    <w:rsid w:val="7DE7190E"/>
    <w:rsid w:val="7E1E69D4"/>
    <w:rsid w:val="7E552E59"/>
    <w:rsid w:val="7E68991D"/>
    <w:rsid w:val="7E770912"/>
    <w:rsid w:val="7F316FDB"/>
    <w:rsid w:val="7F4A4480"/>
    <w:rsid w:val="7F609A39"/>
    <w:rsid w:val="7F6950DB"/>
    <w:rsid w:val="7F723C75"/>
    <w:rsid w:val="7FA289B1"/>
    <w:rsid w:val="7FCB2AB1"/>
    <w:rsid w:val="7FDFB17C"/>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A2699"/>
  <w15:docId w15:val="{83145052-9D26-48F0-89E0-4052D662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2ED"/>
    <w:pPr>
      <w:spacing w:before="240" w:after="240"/>
      <w:jc w:val="both"/>
    </w:pPr>
    <w:rPr>
      <w:rFonts w:ascii="Bookman Old Style" w:hAnsi="Bookman Old Style"/>
      <w:sz w:val="24"/>
      <w:szCs w:val="24"/>
      <w:lang w:val="es-ES" w:eastAsia="es-ES"/>
    </w:rPr>
  </w:style>
  <w:style w:type="paragraph" w:styleId="Ttulo1">
    <w:name w:val="heading 1"/>
    <w:aliases w:val="Capítulo"/>
    <w:basedOn w:val="Normal"/>
    <w:next w:val="Normal"/>
    <w:link w:val="Ttulo1Car"/>
    <w:qFormat/>
    <w:rsid w:val="00E30B87"/>
    <w:pPr>
      <w:keepNext/>
      <w:numPr>
        <w:numId w:val="4"/>
      </w:numPr>
      <w:jc w:val="center"/>
      <w:outlineLvl w:val="0"/>
    </w:pPr>
    <w:rPr>
      <w:b/>
      <w:caps/>
      <w:szCs w:val="20"/>
      <w:lang w:val="es-CO"/>
    </w:rPr>
  </w:style>
  <w:style w:type="paragraph" w:styleId="Ttulo2">
    <w:name w:val="heading 2"/>
    <w:basedOn w:val="Ttulo1"/>
    <w:next w:val="Normal"/>
    <w:link w:val="Ttulo2Car"/>
    <w:autoRedefine/>
    <w:qFormat/>
    <w:rsid w:val="00125F87"/>
    <w:pPr>
      <w:numPr>
        <w:ilvl w:val="1"/>
      </w:numPr>
      <w:spacing w:after="120"/>
      <w:jc w:val="left"/>
      <w:outlineLvl w:val="1"/>
    </w:pPr>
    <w:rPr>
      <w:spacing w:val="4"/>
      <w:szCs w:val="24"/>
      <w:lang w:val="es-ES"/>
    </w:rPr>
  </w:style>
  <w:style w:type="paragraph" w:styleId="Ttulo3">
    <w:name w:val="heading 3"/>
    <w:basedOn w:val="Normal"/>
    <w:next w:val="Normal"/>
    <w:link w:val="Ttulo3Car"/>
    <w:uiPriority w:val="9"/>
    <w:qFormat/>
    <w:rsid w:val="00490639"/>
    <w:pPr>
      <w:keepNext/>
      <w:numPr>
        <w:ilvl w:val="2"/>
        <w:numId w:val="4"/>
      </w:numPr>
      <w:outlineLvl w:val="2"/>
    </w:pPr>
    <w:rPr>
      <w:b/>
      <w:snapToGrid w:val="0"/>
      <w:color w:val="000000"/>
      <w:szCs w:val="20"/>
      <w:lang w:val="es-ES_tradnl"/>
    </w:rPr>
  </w:style>
  <w:style w:type="paragraph" w:styleId="Ttulo4">
    <w:name w:val="heading 4"/>
    <w:basedOn w:val="Normal"/>
    <w:next w:val="Normal"/>
    <w:link w:val="Ttulo4Car"/>
    <w:qFormat/>
    <w:rsid w:val="00CC309B"/>
    <w:pPr>
      <w:keepNext/>
      <w:numPr>
        <w:ilvl w:val="3"/>
        <w:numId w:val="4"/>
      </w:numPr>
      <w:outlineLvl w:val="3"/>
    </w:pPr>
    <w:rPr>
      <w:rFonts w:cs="Arial"/>
      <w:b/>
      <w:snapToGrid w:val="0"/>
      <w:color w:val="000000"/>
      <w:szCs w:val="20"/>
      <w:lang w:val="es-ES_tradnl"/>
    </w:rPr>
  </w:style>
  <w:style w:type="paragraph" w:styleId="Ttulo5">
    <w:name w:val="heading 5"/>
    <w:basedOn w:val="Normal"/>
    <w:next w:val="Normal"/>
    <w:link w:val="Ttulo5Car"/>
    <w:qFormat/>
    <w:rsid w:val="00CC309B"/>
    <w:pPr>
      <w:keepNext/>
      <w:numPr>
        <w:ilvl w:val="4"/>
        <w:numId w:val="4"/>
      </w:numPr>
      <w:outlineLvl w:val="4"/>
    </w:pPr>
    <w:rPr>
      <w:rFonts w:cs="Arial"/>
      <w:b/>
      <w:snapToGrid w:val="0"/>
      <w:color w:val="000000"/>
      <w:szCs w:val="20"/>
      <w:lang w:val="es-ES_tradnl"/>
    </w:rPr>
  </w:style>
  <w:style w:type="paragraph" w:styleId="Ttulo6">
    <w:name w:val="heading 6"/>
    <w:basedOn w:val="Normal"/>
    <w:next w:val="Normal"/>
    <w:link w:val="Ttulo6Car"/>
    <w:uiPriority w:val="9"/>
    <w:unhideWhenUsed/>
    <w:qFormat/>
    <w:rsid w:val="00CC309B"/>
    <w:pPr>
      <w:numPr>
        <w:ilvl w:val="5"/>
        <w:numId w:val="4"/>
      </w:numPr>
      <w:spacing w:after="60"/>
      <w:outlineLvl w:val="5"/>
    </w:pPr>
    <w:rPr>
      <w:b/>
      <w:bCs/>
      <w:szCs w:val="22"/>
    </w:rPr>
  </w:style>
  <w:style w:type="paragraph" w:styleId="Ttulo7">
    <w:name w:val="heading 7"/>
    <w:basedOn w:val="Normal"/>
    <w:next w:val="Normal"/>
    <w:link w:val="Ttulo7Car"/>
    <w:uiPriority w:val="9"/>
    <w:unhideWhenUsed/>
    <w:qFormat/>
    <w:rsid w:val="00D879BC"/>
    <w:pPr>
      <w:numPr>
        <w:ilvl w:val="6"/>
        <w:numId w:val="4"/>
      </w:numPr>
      <w:spacing w:after="60"/>
      <w:outlineLvl w:val="6"/>
    </w:pPr>
    <w:rPr>
      <w:b/>
    </w:rPr>
  </w:style>
  <w:style w:type="paragraph" w:styleId="Ttulo8">
    <w:name w:val="heading 8"/>
    <w:basedOn w:val="Normal"/>
    <w:next w:val="Normal"/>
    <w:link w:val="Ttulo8Car"/>
    <w:uiPriority w:val="9"/>
    <w:qFormat/>
    <w:rsid w:val="000B4E51"/>
    <w:pPr>
      <w:keepNext/>
      <w:numPr>
        <w:ilvl w:val="7"/>
        <w:numId w:val="4"/>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uiPriority w:val="9"/>
    <w:qFormat/>
    <w:rsid w:val="000B4E51"/>
    <w:pPr>
      <w:keepNext/>
      <w:numPr>
        <w:ilvl w:val="8"/>
        <w:numId w:val="4"/>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ítulo Car"/>
    <w:link w:val="Ttulo1"/>
    <w:rsid w:val="00E30B87"/>
    <w:rPr>
      <w:rFonts w:ascii="Bookman Old Style" w:hAnsi="Bookman Old Style"/>
      <w:b/>
      <w:caps/>
      <w:sz w:val="24"/>
      <w:lang w:eastAsia="es-ES"/>
    </w:rPr>
  </w:style>
  <w:style w:type="character" w:customStyle="1" w:styleId="Ttulo2Car">
    <w:name w:val="Título 2 Car"/>
    <w:link w:val="Ttulo2"/>
    <w:rsid w:val="00125F87"/>
    <w:rPr>
      <w:rFonts w:ascii="Bookman Old Style" w:hAnsi="Bookman Old Style"/>
      <w:b/>
      <w:caps/>
      <w:spacing w:val="4"/>
      <w:sz w:val="24"/>
      <w:szCs w:val="24"/>
      <w:lang w:val="es-ES" w:eastAsia="es-ES"/>
    </w:rPr>
  </w:style>
  <w:style w:type="character" w:customStyle="1" w:styleId="Ttulo3Car">
    <w:name w:val="Título 3 Car"/>
    <w:link w:val="Ttulo3"/>
    <w:uiPriority w:val="9"/>
    <w:rsid w:val="00490639"/>
    <w:rPr>
      <w:rFonts w:ascii="Bookman Old Style" w:hAnsi="Bookman Old Style"/>
      <w:b/>
      <w:snapToGrid w:val="0"/>
      <w:color w:val="000000"/>
      <w:sz w:val="24"/>
      <w:lang w:val="es-ES_tradnl" w:eastAsia="es-ES"/>
    </w:rPr>
  </w:style>
  <w:style w:type="character" w:customStyle="1" w:styleId="Ttulo4Car">
    <w:name w:val="Título 4 Car"/>
    <w:link w:val="Ttulo4"/>
    <w:rsid w:val="00CC309B"/>
    <w:rPr>
      <w:rFonts w:ascii="Bookman Old Style" w:hAnsi="Bookman Old Style" w:cs="Arial"/>
      <w:b/>
      <w:snapToGrid w:val="0"/>
      <w:color w:val="000000"/>
      <w:sz w:val="24"/>
      <w:lang w:val="es-ES_tradnl" w:eastAsia="es-ES"/>
    </w:rPr>
  </w:style>
  <w:style w:type="character" w:customStyle="1" w:styleId="Ttulo5Car">
    <w:name w:val="Título 5 Car"/>
    <w:link w:val="Ttulo5"/>
    <w:rsid w:val="00CC309B"/>
    <w:rPr>
      <w:rFonts w:ascii="Bookman Old Style" w:hAnsi="Bookman Old Style" w:cs="Arial"/>
      <w:b/>
      <w:snapToGrid w:val="0"/>
      <w:color w:val="000000"/>
      <w:sz w:val="24"/>
      <w:lang w:val="es-ES_tradnl" w:eastAsia="es-ES"/>
    </w:rPr>
  </w:style>
  <w:style w:type="character" w:customStyle="1" w:styleId="Ttulo6Car">
    <w:name w:val="Título 6 Car"/>
    <w:link w:val="Ttulo6"/>
    <w:uiPriority w:val="9"/>
    <w:rsid w:val="00CC309B"/>
    <w:rPr>
      <w:rFonts w:ascii="Bookman Old Style" w:hAnsi="Bookman Old Style"/>
      <w:b/>
      <w:bCs/>
      <w:sz w:val="24"/>
      <w:szCs w:val="22"/>
      <w:lang w:val="es-ES" w:eastAsia="es-ES"/>
    </w:rPr>
  </w:style>
  <w:style w:type="character" w:customStyle="1" w:styleId="Ttulo7Car">
    <w:name w:val="Título 7 Car"/>
    <w:link w:val="Ttulo7"/>
    <w:uiPriority w:val="9"/>
    <w:rsid w:val="00D879BC"/>
    <w:rPr>
      <w:rFonts w:ascii="Bookman Old Style" w:hAnsi="Bookman Old Style"/>
      <w:b/>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uiPriority w:val="9"/>
    <w:rsid w:val="000B4E51"/>
    <w:rPr>
      <w:rFonts w:ascii="Arial" w:hAnsi="Arial"/>
      <w:sz w:val="22"/>
      <w:lang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link w:val="Piedepgina"/>
    <w:rsid w:val="000B4E51"/>
    <w:rPr>
      <w:sz w:val="24"/>
      <w:szCs w:val="24"/>
      <w:lang w:val="es-ES" w:eastAsia="es-ES"/>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B05EF1"/>
    <w:pPr>
      <w:widowControl w:val="0"/>
      <w:numPr>
        <w:numId w:val="3"/>
      </w:numPr>
      <w:adjustRightInd w:val="0"/>
      <w:spacing w:line="360" w:lineRule="atLeast"/>
      <w:textAlignment w:val="baseline"/>
    </w:pPr>
    <w:rPr>
      <w:rFonts w:cs="Arial"/>
      <w:b/>
      <w:bCs/>
      <w:caps/>
    </w:rPr>
  </w:style>
  <w:style w:type="character" w:customStyle="1" w:styleId="TtuloCar">
    <w:name w:val="Título Car"/>
    <w:link w:val="Ttulo"/>
    <w:rsid w:val="00B05EF1"/>
    <w:rPr>
      <w:rFonts w:ascii="Bookman Old Style" w:hAnsi="Bookman Old Style" w:cs="Arial"/>
      <w:b/>
      <w:bCs/>
      <w:caps/>
      <w:sz w:val="24"/>
      <w:szCs w:val="24"/>
      <w:lang w:val="es-ES" w:eastAsia="es-ES"/>
    </w:rPr>
  </w:style>
  <w:style w:type="paragraph" w:styleId="Prrafodelista">
    <w:name w:val="List Paragraph"/>
    <w:basedOn w:val="Normal"/>
    <w:link w:val="PrrafodelistaCar"/>
    <w:uiPriority w:val="34"/>
    <w:qFormat/>
    <w:rsid w:val="00490639"/>
    <w:pPr>
      <w:ind w:left="708"/>
    </w:pPr>
    <w:rPr>
      <w:szCs w:val="20"/>
      <w:lang w:val="es-CO"/>
    </w:rPr>
  </w:style>
  <w:style w:type="character" w:customStyle="1" w:styleId="PrrafodelistaCar">
    <w:name w:val="Párrafo de lista Car"/>
    <w:link w:val="Prrafodelista"/>
    <w:uiPriority w:val="34"/>
    <w:rsid w:val="00490639"/>
    <w:rPr>
      <w:rFonts w:ascii="Bookman Old Style" w:hAnsi="Bookman Old Style"/>
      <w:sz w:val="24"/>
      <w:lang w:eastAsia="es-ES"/>
    </w:rPr>
  </w:style>
  <w:style w:type="paragraph" w:styleId="TDC1">
    <w:name w:val="toc 1"/>
    <w:basedOn w:val="Normal"/>
    <w:next w:val="Normal"/>
    <w:uiPriority w:val="39"/>
    <w:qFormat/>
    <w:rsid w:val="008B04A9"/>
    <w:pPr>
      <w:tabs>
        <w:tab w:val="left" w:pos="1560"/>
        <w:tab w:val="right" w:leader="dot" w:pos="9214"/>
      </w:tabs>
      <w:spacing w:after="120"/>
      <w:jc w:val="left"/>
    </w:pPr>
    <w:rPr>
      <w:b/>
      <w:caps/>
      <w:noProof/>
    </w:rPr>
  </w:style>
  <w:style w:type="paragraph" w:styleId="Textodebloque">
    <w:name w:val="Block Text"/>
    <w:basedOn w:val="Normal"/>
    <w:rsid w:val="00D03800"/>
    <w:pPr>
      <w:suppressAutoHyphens/>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Descripcin">
    <w:name w:val="caption"/>
    <w:basedOn w:val="Normal"/>
    <w:next w:val="Normal"/>
    <w:link w:val="DescripcinCar"/>
    <w:uiPriority w:val="35"/>
    <w:qFormat/>
    <w:rsid w:val="00C4574C"/>
    <w:pPr>
      <w:keepNext/>
      <w:widowControl w:val="0"/>
      <w:adjustRightInd w:val="0"/>
      <w:spacing w:before="120" w:after="120" w:line="360" w:lineRule="atLeast"/>
      <w:jc w:val="center"/>
      <w:textAlignment w:val="baseline"/>
    </w:pPr>
    <w:rPr>
      <w:sz w:val="22"/>
      <w:szCs w:val="20"/>
    </w:rPr>
  </w:style>
  <w:style w:type="character" w:customStyle="1" w:styleId="DescripcinCar">
    <w:name w:val="Descripción Car"/>
    <w:link w:val="Descripcin"/>
    <w:rsid w:val="00C4574C"/>
    <w:rPr>
      <w:rFonts w:ascii="Bookman Old Style" w:hAnsi="Bookman Old Style"/>
      <w:sz w:val="22"/>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styleId="Sangradetextonormal">
    <w:name w:val="Body Text Indent"/>
    <w:basedOn w:val="Normal"/>
    <w:link w:val="SangradetextonormalCar"/>
    <w:unhideWhenUsed/>
    <w:rsid w:val="00E01463"/>
    <w:pPr>
      <w:numPr>
        <w:numId w:val="2"/>
      </w:numPr>
      <w:spacing w:after="120"/>
    </w:pPr>
  </w:style>
  <w:style w:type="character" w:customStyle="1" w:styleId="SangradetextonormalCar">
    <w:name w:val="Sangría de texto normal Car"/>
    <w:link w:val="Sangradetextonormal"/>
    <w:rsid w:val="00E01463"/>
    <w:rPr>
      <w:rFonts w:ascii="Bookman Old Style" w:hAnsi="Bookman Old Style"/>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after="120"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Artculo">
    <w:name w:val="Artículo"/>
    <w:basedOn w:val="Normal"/>
    <w:next w:val="articulo"/>
    <w:link w:val="ArtculoCar"/>
    <w:qFormat/>
    <w:rsid w:val="00855393"/>
    <w:pPr>
      <w:numPr>
        <w:numId w:val="5"/>
      </w:numPr>
    </w:pPr>
    <w:rPr>
      <w:rFonts w:cs="Arial"/>
      <w:b/>
    </w:rPr>
  </w:style>
  <w:style w:type="character" w:customStyle="1" w:styleId="ArtculoCar">
    <w:name w:val="Artículo Car"/>
    <w:link w:val="Artculo"/>
    <w:rsid w:val="00855393"/>
    <w:rPr>
      <w:rFonts w:ascii="Bookman Old Style" w:hAnsi="Bookman Old Style" w:cs="Arial"/>
      <w:b/>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uiPriority w:val="99"/>
    <w:rsid w:val="000B4E51"/>
    <w:rPr>
      <w:color w:val="800080"/>
      <w:u w:val="single"/>
    </w:rPr>
  </w:style>
  <w:style w:type="paragraph" w:styleId="Textonotapie">
    <w:name w:val="footnote text"/>
    <w:aliases w:val="fn,footnote text,Footnote Text Char Char Char Char Char,Footnote Text Char Char Char Char,Footnote reference,FA Fu,Footnote Text Cha,Footnote Text Char Char Char,FA Fußnotentext,FA Fuﬂnotentext,Footnote Text Char Char,texto de nota al p"/>
    <w:basedOn w:val="Normal"/>
    <w:link w:val="TextonotapieCar"/>
    <w:uiPriority w:val="99"/>
    <w:rsid w:val="000B4E51"/>
    <w:pPr>
      <w:spacing w:before="160" w:after="160"/>
    </w:pPr>
    <w:rPr>
      <w:rFonts w:ascii="Arial" w:hAnsi="Arial"/>
      <w:sz w:val="22"/>
      <w:szCs w:val="20"/>
      <w:lang w:val="es-CO"/>
    </w:rPr>
  </w:style>
  <w:style w:type="character" w:customStyle="1" w:styleId="TextonotapieCar">
    <w:name w:val="Texto nota pie Car"/>
    <w:aliases w:val="fn Car,footnote text Car,Footnote Text Char Char Char Char Char Car,Footnote Text Char Char Char Char Car,Footnote reference Car,FA Fu Car,Footnote Text Cha Car,Footnote Text Char Char Char Car,FA Fußnotentext Car,FA Fuﬂnotentext Car"/>
    <w:link w:val="Textonotapie"/>
    <w:uiPriority w:val="99"/>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pPr>
    <w:rPr>
      <w:rFonts w:ascii="CG Times" w:hAnsi="CG Times"/>
      <w:sz w:val="22"/>
      <w:szCs w:val="20"/>
      <w:lang w:val="es-CO"/>
    </w:rPr>
  </w:style>
  <w:style w:type="paragraph" w:styleId="TDC2">
    <w:name w:val="toc 2"/>
    <w:basedOn w:val="Normal"/>
    <w:next w:val="Normal"/>
    <w:uiPriority w:val="39"/>
    <w:qFormat/>
    <w:rsid w:val="0014422A"/>
    <w:pPr>
      <w:tabs>
        <w:tab w:val="left" w:pos="1843"/>
        <w:tab w:val="right" w:leader="dot" w:pos="9214"/>
      </w:tabs>
      <w:spacing w:before="120" w:after="120"/>
      <w:ind w:left="170"/>
      <w:jc w:val="left"/>
    </w:pPr>
    <w:rPr>
      <w:bCs/>
      <w:caps/>
      <w:noProof/>
      <w:sz w:val="22"/>
      <w:szCs w:val="20"/>
      <w:lang w:val="es-CO"/>
    </w:rPr>
  </w:style>
  <w:style w:type="paragraph" w:styleId="TDC3">
    <w:name w:val="toc 3"/>
    <w:basedOn w:val="Normal"/>
    <w:next w:val="Normal"/>
    <w:uiPriority w:val="39"/>
    <w:qFormat/>
    <w:rsid w:val="0014422A"/>
    <w:pPr>
      <w:tabs>
        <w:tab w:val="left" w:pos="1843"/>
        <w:tab w:val="right" w:leader="dot" w:pos="9214"/>
      </w:tabs>
      <w:spacing w:before="120" w:after="120"/>
      <w:ind w:left="1843" w:right="425" w:hanging="1503"/>
      <w:jc w:val="left"/>
    </w:pPr>
    <w:rPr>
      <w:noProof/>
      <w:sz w:val="22"/>
      <w:szCs w:val="20"/>
      <w:lang w:val="es-CO"/>
    </w:rPr>
  </w:style>
  <w:style w:type="paragraph" w:styleId="TDC4">
    <w:name w:val="toc 4"/>
    <w:basedOn w:val="Normal"/>
    <w:next w:val="Normal"/>
    <w:autoRedefine/>
    <w:uiPriority w:val="39"/>
    <w:rsid w:val="000B4E51"/>
    <w:pPr>
      <w:ind w:left="480"/>
    </w:pPr>
    <w:rPr>
      <w:rFonts w:ascii="Calibri" w:hAnsi="Calibri"/>
      <w:sz w:val="20"/>
      <w:szCs w:val="20"/>
      <w:lang w:val="es-CO"/>
    </w:rPr>
  </w:style>
  <w:style w:type="paragraph" w:styleId="TDC5">
    <w:name w:val="toc 5"/>
    <w:basedOn w:val="Normal"/>
    <w:next w:val="Normal"/>
    <w:autoRedefine/>
    <w:uiPriority w:val="39"/>
    <w:rsid w:val="000B4E51"/>
    <w:pPr>
      <w:ind w:left="720"/>
    </w:pPr>
    <w:rPr>
      <w:rFonts w:ascii="Calibri" w:hAnsi="Calibri"/>
      <w:sz w:val="20"/>
      <w:szCs w:val="20"/>
      <w:lang w:val="es-CO"/>
    </w:rPr>
  </w:style>
  <w:style w:type="paragraph" w:styleId="TDC6">
    <w:name w:val="toc 6"/>
    <w:basedOn w:val="Normal"/>
    <w:next w:val="Normal"/>
    <w:autoRedefine/>
    <w:uiPriority w:val="39"/>
    <w:rsid w:val="000B4E51"/>
    <w:pPr>
      <w:ind w:left="960"/>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0B4E51"/>
    <w:pPr>
      <w:ind w:left="1680"/>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TDC">
    <w:name w:val="TOC Heading"/>
    <w:basedOn w:val="Ttulo1"/>
    <w:next w:val="Normal"/>
    <w:uiPriority w:val="39"/>
    <w:unhideWhenUsed/>
    <w:qFormat/>
    <w:rsid w:val="000B4E51"/>
    <w:pPr>
      <w:keepLines/>
      <w:spacing w:before="480" w:after="360" w:line="276" w:lineRule="auto"/>
      <w:jc w:val="left"/>
      <w:outlineLvl w:val="9"/>
    </w:pPr>
    <w:rPr>
      <w:rFonts w:ascii="Cambria" w:hAnsi="Cambria"/>
      <w:bCs/>
      <w:caps w:val="0"/>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pPr>
    <w:rPr>
      <w:rFonts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0B4E51"/>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jc w:val="both"/>
      <w:textAlignment w:val="baseline"/>
    </w:pPr>
    <w:rPr>
      <w:b w:val="0"/>
      <w:bCs w:val="0"/>
      <w:sz w:val="22"/>
    </w:rPr>
  </w:style>
  <w:style w:type="paragraph" w:customStyle="1" w:styleId="Citas">
    <w:name w:val="Citas"/>
    <w:basedOn w:val="Normal"/>
    <w:rsid w:val="000B4E51"/>
    <w:pPr>
      <w:ind w:left="708" w:right="618"/>
    </w:pPr>
    <w:rPr>
      <w:rFonts w:cs="Arial"/>
      <w:i/>
      <w:iCs/>
      <w:szCs w:val="20"/>
    </w:rPr>
  </w:style>
  <w:style w:type="paragraph" w:customStyle="1" w:styleId="articulo">
    <w:name w:val="articulo"/>
    <w:basedOn w:val="Normal"/>
    <w:next w:val="Normal"/>
    <w:autoRedefine/>
    <w:rsid w:val="0035025E"/>
    <w:pPr>
      <w:spacing w:before="0" w:after="0"/>
      <w:jc w:val="center"/>
    </w:pPr>
    <w:rPr>
      <w:rFonts w:cs="Arial"/>
      <w:b/>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pPr>
    <w:rPr>
      <w:spacing w:val="4"/>
      <w:lang w:val="es-ES"/>
    </w:rPr>
  </w:style>
  <w:style w:type="paragraph" w:customStyle="1" w:styleId="Vietas">
    <w:name w:val="Viñetas"/>
    <w:basedOn w:val="Prrafodelista"/>
    <w:rsid w:val="000B4E51"/>
    <w:pPr>
      <w:spacing w:before="120"/>
      <w:ind w:left="720" w:hanging="360"/>
    </w:pPr>
    <w:rPr>
      <w:spacing w:val="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ind w:right="45"/>
      <w:textAlignment w:val="baseline"/>
    </w:pPr>
    <w:rPr>
      <w:sz w:val="22"/>
      <w:szCs w:val="20"/>
    </w:rPr>
  </w:style>
  <w:style w:type="paragraph" w:customStyle="1" w:styleId="Estilo2">
    <w:name w:val="Estilo2"/>
    <w:basedOn w:val="Ttulo1"/>
    <w:link w:val="Estilo2Car"/>
    <w:rsid w:val="000B4E51"/>
    <w:pPr>
      <w:adjustRightInd w:val="0"/>
      <w:spacing w:after="360"/>
      <w:textAlignment w:val="baseline"/>
    </w:pPr>
    <w:rPr>
      <w:bCs/>
      <w:caps w:val="0"/>
      <w:spacing w:val="4"/>
      <w:szCs w:val="24"/>
      <w:lang w:val="es-ES"/>
    </w:rPr>
  </w:style>
  <w:style w:type="paragraph" w:styleId="Continuarlista">
    <w:name w:val="List Continue"/>
    <w:basedOn w:val="Normal"/>
    <w:rsid w:val="000B4E51"/>
    <w:pPr>
      <w:widowControl w:val="0"/>
      <w:adjustRightInd w:val="0"/>
      <w:spacing w:after="120"/>
      <w:ind w:left="283"/>
      <w:contextualSpacing/>
      <w:textAlignment w:val="baseline"/>
    </w:p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after="120"/>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pPr>
    <w:rPr>
      <w:sz w:val="22"/>
      <w:szCs w:val="20"/>
      <w:lang w:val="es-CO" w:eastAsia="ar-SA"/>
    </w:rPr>
  </w:style>
  <w:style w:type="paragraph" w:customStyle="1" w:styleId="Index">
    <w:name w:val="Index"/>
    <w:basedOn w:val="Normal"/>
    <w:rsid w:val="000B4E51"/>
    <w:pPr>
      <w:suppressLineNumbers/>
      <w:suppressAutoHyphens/>
    </w:pPr>
    <w:rPr>
      <w:sz w:val="22"/>
      <w:szCs w:val="20"/>
      <w:lang w:val="es-CO" w:eastAsia="ar-SA"/>
    </w:rPr>
  </w:style>
  <w:style w:type="paragraph" w:styleId="Ttulodendice">
    <w:name w:val="index heading"/>
    <w:basedOn w:val="Normal"/>
    <w:next w:val="ndice1"/>
    <w:rsid w:val="000B4E51"/>
    <w:pPr>
      <w:suppressAutoHyphens/>
      <w:spacing w:before="120" w:after="120"/>
    </w:pPr>
    <w:rPr>
      <w:b/>
      <w:i/>
      <w:sz w:val="20"/>
      <w:szCs w:val="20"/>
      <w:lang w:val="es-CO" w:eastAsia="ar-SA"/>
    </w:rPr>
  </w:style>
  <w:style w:type="paragraph" w:styleId="ndice2">
    <w:name w:val="index 2"/>
    <w:basedOn w:val="Normal"/>
    <w:next w:val="Normal"/>
    <w:rsid w:val="000B4E51"/>
    <w:pPr>
      <w:suppressAutoHyphens/>
      <w:ind w:left="480" w:hanging="240"/>
    </w:pPr>
    <w:rPr>
      <w:sz w:val="20"/>
      <w:szCs w:val="20"/>
      <w:lang w:val="es-CO" w:eastAsia="ar-SA"/>
    </w:rPr>
  </w:style>
  <w:style w:type="paragraph" w:styleId="ndice3">
    <w:name w:val="index 3"/>
    <w:basedOn w:val="Normal"/>
    <w:next w:val="Normal"/>
    <w:rsid w:val="000B4E51"/>
    <w:pPr>
      <w:suppressAutoHyphens/>
      <w:ind w:left="720" w:hanging="240"/>
    </w:pPr>
    <w:rPr>
      <w:sz w:val="20"/>
      <w:szCs w:val="20"/>
      <w:lang w:val="es-CO" w:eastAsia="ar-SA"/>
    </w:rPr>
  </w:style>
  <w:style w:type="paragraph" w:customStyle="1" w:styleId="Figuras">
    <w:name w:val="Figuras"/>
    <w:basedOn w:val="Textoindependiente"/>
    <w:rsid w:val="000B4E51"/>
    <w:pPr>
      <w:suppressAutoHyphens/>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0B4E51"/>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0B4E51"/>
    <w:pPr>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jc w:val="right"/>
    </w:pPr>
    <w:rPr>
      <w:rFonts w:ascii="Arial" w:hAnsi="Arial" w:cs="Arial"/>
      <w:szCs w:val="20"/>
    </w:rPr>
  </w:style>
  <w:style w:type="paragraph" w:customStyle="1" w:styleId="TituloDocumento">
    <w:name w:val="Titulo Documento"/>
    <w:basedOn w:val="Normal"/>
    <w:rsid w:val="000B4E51"/>
    <w:pPr>
      <w:jc w:val="right"/>
    </w:pPr>
    <w:rPr>
      <w:rFonts w:ascii="Arial Black" w:hAnsi="Arial Black" w:cs="Arial"/>
      <w:sz w:val="48"/>
      <w:szCs w:val="20"/>
    </w:rPr>
  </w:style>
  <w:style w:type="paragraph" w:customStyle="1" w:styleId="SubtituloDocumento">
    <w:name w:val="Subtitulo Documento"/>
    <w:basedOn w:val="Normal"/>
    <w:rsid w:val="000B4E51"/>
    <w:pPr>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textAlignment w:val="baseline"/>
    </w:pPr>
    <w:rPr>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 w:type="paragraph" w:customStyle="1" w:styleId="Default">
    <w:name w:val="Default"/>
    <w:rsid w:val="004224BE"/>
    <w:pPr>
      <w:autoSpaceDE w:val="0"/>
      <w:autoSpaceDN w:val="0"/>
      <w:adjustRightInd w:val="0"/>
    </w:pPr>
    <w:rPr>
      <w:rFonts w:ascii="Arial" w:eastAsiaTheme="minorHAnsi" w:hAnsi="Arial" w:cs="Arial"/>
      <w:color w:val="000000"/>
      <w:sz w:val="24"/>
      <w:szCs w:val="24"/>
      <w:lang w:eastAsia="en-US"/>
    </w:rPr>
  </w:style>
  <w:style w:type="paragraph" w:customStyle="1" w:styleId="ARTICULOS">
    <w:name w:val="ARTICULOS"/>
    <w:basedOn w:val="Normal"/>
    <w:link w:val="ARTICULOSCar"/>
    <w:autoRedefine/>
    <w:qFormat/>
    <w:rsid w:val="00DB7021"/>
    <w:pPr>
      <w:numPr>
        <w:numId w:val="6"/>
      </w:numPr>
      <w:tabs>
        <w:tab w:val="left" w:pos="1560"/>
      </w:tabs>
      <w:adjustRightInd w:val="0"/>
      <w:spacing w:before="120" w:after="0"/>
      <w:textAlignment w:val="baseline"/>
    </w:pPr>
    <w:rPr>
      <w:bCs/>
    </w:rPr>
  </w:style>
  <w:style w:type="character" w:customStyle="1" w:styleId="ARTICULOSCar">
    <w:name w:val="ARTICULOS Car"/>
    <w:basedOn w:val="Fuentedeprrafopredeter"/>
    <w:link w:val="ARTICULOS"/>
    <w:rsid w:val="00DB7021"/>
    <w:rPr>
      <w:rFonts w:ascii="Bookman Old Style" w:hAnsi="Bookman Old Style"/>
      <w:bCs/>
      <w:sz w:val="24"/>
      <w:szCs w:val="24"/>
      <w:lang w:val="es-ES" w:eastAsia="es-ES"/>
    </w:rPr>
  </w:style>
  <w:style w:type="character" w:customStyle="1" w:styleId="Estilo2Car">
    <w:name w:val="Estilo2 Car"/>
    <w:link w:val="Estilo2"/>
    <w:rsid w:val="00DB7021"/>
    <w:rPr>
      <w:rFonts w:ascii="Bookman Old Style" w:hAnsi="Bookman Old Style"/>
      <w:b/>
      <w:bCs/>
      <w:spacing w:val="4"/>
      <w:sz w:val="24"/>
      <w:szCs w:val="24"/>
      <w:lang w:val="es-ES" w:eastAsia="es-ES"/>
    </w:rPr>
  </w:style>
  <w:style w:type="paragraph" w:styleId="HTMLconformatoprevio">
    <w:name w:val="HTML Preformatted"/>
    <w:basedOn w:val="Normal"/>
    <w:link w:val="HTMLconformatoprevioCar"/>
    <w:semiHidden/>
    <w:rsid w:val="00DB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semiHidden/>
    <w:rsid w:val="00DB7021"/>
    <w:rPr>
      <w:rFonts w:ascii="Arial Unicode MS" w:eastAsia="Arial Unicode MS" w:hAnsi="Arial Unicode MS" w:cs="Arial Unicode MS"/>
      <w:lang w:val="es-ES" w:eastAsia="es-ES"/>
    </w:rPr>
  </w:style>
  <w:style w:type="paragraph" w:styleId="Sangranormal">
    <w:name w:val="Normal Indent"/>
    <w:basedOn w:val="Normal"/>
    <w:semiHidden/>
    <w:rsid w:val="00DB7021"/>
    <w:pPr>
      <w:overflowPunct w:val="0"/>
      <w:autoSpaceDE w:val="0"/>
      <w:autoSpaceDN w:val="0"/>
      <w:adjustRightInd w:val="0"/>
      <w:spacing w:before="120" w:after="120"/>
      <w:ind w:left="461"/>
      <w:jc w:val="left"/>
      <w:textAlignment w:val="baseline"/>
    </w:pPr>
    <w:rPr>
      <w:rFonts w:ascii="Arial" w:hAnsi="Arial"/>
      <w:szCs w:val="20"/>
      <w:lang w:val="es-ES_tradnl"/>
    </w:rPr>
  </w:style>
  <w:style w:type="paragraph" w:customStyle="1" w:styleId="CAPTULO">
    <w:name w:val="CAPÍTULO"/>
    <w:basedOn w:val="Ttulo1"/>
    <w:next w:val="Normal"/>
    <w:qFormat/>
    <w:rsid w:val="00DB7021"/>
    <w:pPr>
      <w:numPr>
        <w:numId w:val="0"/>
      </w:numPr>
      <w:ind w:left="432" w:hanging="432"/>
    </w:pPr>
    <w:rPr>
      <w:caps w:val="0"/>
      <w:spacing w:val="4"/>
      <w:szCs w:val="22"/>
      <w:lang w:val="es-ES"/>
    </w:rPr>
  </w:style>
  <w:style w:type="paragraph" w:customStyle="1" w:styleId="xl66">
    <w:name w:val="xl66"/>
    <w:basedOn w:val="Normal"/>
    <w:rsid w:val="00A444B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A444B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A444B1"/>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A444B1"/>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A444B1"/>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A444B1"/>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A444B1"/>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A444B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A444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A444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A444B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A444B1"/>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A444B1"/>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E43413"/>
    <w:pPr>
      <w:ind w:left="566" w:hanging="283"/>
      <w:contextualSpacing/>
    </w:pPr>
  </w:style>
  <w:style w:type="paragraph" w:styleId="Lista3">
    <w:name w:val="List 3"/>
    <w:basedOn w:val="Normal"/>
    <w:uiPriority w:val="99"/>
    <w:unhideWhenUsed/>
    <w:rsid w:val="00E43413"/>
    <w:pPr>
      <w:ind w:left="849" w:hanging="283"/>
      <w:contextualSpacing/>
    </w:pPr>
  </w:style>
  <w:style w:type="paragraph" w:styleId="Continuarlista2">
    <w:name w:val="List Continue 2"/>
    <w:basedOn w:val="Normal"/>
    <w:uiPriority w:val="99"/>
    <w:unhideWhenUsed/>
    <w:rsid w:val="00E43413"/>
    <w:pPr>
      <w:spacing w:after="120"/>
      <w:ind w:left="566"/>
      <w:contextualSpacing/>
    </w:pPr>
  </w:style>
  <w:style w:type="paragraph" w:styleId="Continuarlista3">
    <w:name w:val="List Continue 3"/>
    <w:basedOn w:val="Normal"/>
    <w:uiPriority w:val="99"/>
    <w:unhideWhenUsed/>
    <w:rsid w:val="00E43413"/>
    <w:pPr>
      <w:spacing w:after="120"/>
      <w:ind w:left="849"/>
      <w:contextualSpacing/>
    </w:pPr>
  </w:style>
  <w:style w:type="paragraph" w:customStyle="1" w:styleId="Caracteresenmarcados">
    <w:name w:val="Caracteres enmarcados"/>
    <w:basedOn w:val="Normal"/>
    <w:rsid w:val="00E43413"/>
  </w:style>
  <w:style w:type="paragraph" w:styleId="Textoindependienteprimerasangra2">
    <w:name w:val="Body Text First Indent 2"/>
    <w:basedOn w:val="Sangradetextonormal"/>
    <w:link w:val="Textoindependienteprimerasangra2Car"/>
    <w:uiPriority w:val="99"/>
    <w:unhideWhenUsed/>
    <w:rsid w:val="00E43413"/>
    <w:pPr>
      <w:numPr>
        <w:numId w:val="0"/>
      </w:numPr>
      <w:spacing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43413"/>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F50D3B"/>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F50D3B"/>
    <w:rPr>
      <w:rFonts w:asciiTheme="majorHAnsi" w:eastAsiaTheme="majorEastAsia" w:hAnsiTheme="majorHAnsi" w:cstheme="majorBidi"/>
      <w:sz w:val="24"/>
      <w:szCs w:val="24"/>
      <w:shd w:val="pct20" w:color="auto" w:fill="auto"/>
      <w:lang w:val="es-ES" w:eastAsia="es-ES"/>
    </w:rPr>
  </w:style>
  <w:style w:type="table" w:styleId="Tablaconcuadrcula2-nfasis3">
    <w:name w:val="Grid Table 2 Accent 3"/>
    <w:basedOn w:val="Tablanormal"/>
    <w:uiPriority w:val="47"/>
    <w:rsid w:val="00B76C4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normal2">
    <w:name w:val="Plain Table 2"/>
    <w:basedOn w:val="Tablanormal"/>
    <w:uiPriority w:val="42"/>
    <w:rsid w:val="00B76C4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fasis">
    <w:name w:val="Emphasis"/>
    <w:basedOn w:val="Fuentedeprrafopredeter"/>
    <w:uiPriority w:val="20"/>
    <w:qFormat/>
    <w:rsid w:val="004F40BA"/>
    <w:rPr>
      <w:i/>
      <w:iCs/>
    </w:rPr>
  </w:style>
  <w:style w:type="character" w:styleId="Mencinsinresolver">
    <w:name w:val="Unresolved Mention"/>
    <w:basedOn w:val="Fuentedeprrafopredeter"/>
    <w:uiPriority w:val="99"/>
    <w:unhideWhenUsed/>
    <w:rsid w:val="00AF2C18"/>
    <w:rPr>
      <w:color w:val="605E5C"/>
      <w:shd w:val="clear" w:color="auto" w:fill="E1DFDD"/>
    </w:rPr>
  </w:style>
  <w:style w:type="character" w:styleId="Mencionar">
    <w:name w:val="Mention"/>
    <w:basedOn w:val="Fuentedeprrafopredeter"/>
    <w:uiPriority w:val="99"/>
    <w:unhideWhenUsed/>
    <w:rsid w:val="00AF2C18"/>
    <w:rPr>
      <w:color w:val="2B579A"/>
      <w:shd w:val="clear" w:color="auto" w:fill="E1DFDD"/>
    </w:rPr>
  </w:style>
  <w:style w:type="paragraph" w:customStyle="1" w:styleId="Estilo5">
    <w:name w:val="Estilo5"/>
    <w:basedOn w:val="Normal"/>
    <w:qFormat/>
    <w:rsid w:val="007E3042"/>
    <w:pPr>
      <w:keepNext/>
      <w:numPr>
        <w:numId w:val="19"/>
      </w:numPr>
      <w:spacing w:after="60"/>
      <w:outlineLvl w:val="0"/>
    </w:pPr>
    <w:rPr>
      <w:rFonts w:ascii="Arial" w:hAnsi="Arial"/>
      <w:b/>
      <w:kern w:val="28"/>
      <w:sz w:val="22"/>
      <w:szCs w:val="22"/>
      <w:lang w:val="es-ES_tradnl"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3086">
      <w:bodyDiv w:val="1"/>
      <w:marLeft w:val="0"/>
      <w:marRight w:val="0"/>
      <w:marTop w:val="0"/>
      <w:marBottom w:val="0"/>
      <w:divBdr>
        <w:top w:val="none" w:sz="0" w:space="0" w:color="auto"/>
        <w:left w:val="none" w:sz="0" w:space="0" w:color="auto"/>
        <w:bottom w:val="none" w:sz="0" w:space="0" w:color="auto"/>
        <w:right w:val="none" w:sz="0" w:space="0" w:color="auto"/>
      </w:divBdr>
    </w:div>
    <w:div w:id="39284696">
      <w:bodyDiv w:val="1"/>
      <w:marLeft w:val="0"/>
      <w:marRight w:val="0"/>
      <w:marTop w:val="0"/>
      <w:marBottom w:val="0"/>
      <w:divBdr>
        <w:top w:val="none" w:sz="0" w:space="0" w:color="auto"/>
        <w:left w:val="none" w:sz="0" w:space="0" w:color="auto"/>
        <w:bottom w:val="none" w:sz="0" w:space="0" w:color="auto"/>
        <w:right w:val="none" w:sz="0" w:space="0" w:color="auto"/>
      </w:divBdr>
    </w:div>
    <w:div w:id="62917018">
      <w:bodyDiv w:val="1"/>
      <w:marLeft w:val="0"/>
      <w:marRight w:val="0"/>
      <w:marTop w:val="0"/>
      <w:marBottom w:val="0"/>
      <w:divBdr>
        <w:top w:val="none" w:sz="0" w:space="0" w:color="auto"/>
        <w:left w:val="none" w:sz="0" w:space="0" w:color="auto"/>
        <w:bottom w:val="none" w:sz="0" w:space="0" w:color="auto"/>
        <w:right w:val="none" w:sz="0" w:space="0" w:color="auto"/>
      </w:divBdr>
    </w:div>
    <w:div w:id="64302511">
      <w:bodyDiv w:val="1"/>
      <w:marLeft w:val="0"/>
      <w:marRight w:val="0"/>
      <w:marTop w:val="0"/>
      <w:marBottom w:val="0"/>
      <w:divBdr>
        <w:top w:val="none" w:sz="0" w:space="0" w:color="auto"/>
        <w:left w:val="none" w:sz="0" w:space="0" w:color="auto"/>
        <w:bottom w:val="none" w:sz="0" w:space="0" w:color="auto"/>
        <w:right w:val="none" w:sz="0" w:space="0" w:color="auto"/>
      </w:divBdr>
    </w:div>
    <w:div w:id="86736409">
      <w:bodyDiv w:val="1"/>
      <w:marLeft w:val="0"/>
      <w:marRight w:val="0"/>
      <w:marTop w:val="0"/>
      <w:marBottom w:val="0"/>
      <w:divBdr>
        <w:top w:val="none" w:sz="0" w:space="0" w:color="auto"/>
        <w:left w:val="none" w:sz="0" w:space="0" w:color="auto"/>
        <w:bottom w:val="none" w:sz="0" w:space="0" w:color="auto"/>
        <w:right w:val="none" w:sz="0" w:space="0" w:color="auto"/>
      </w:divBdr>
    </w:div>
    <w:div w:id="99954408">
      <w:bodyDiv w:val="1"/>
      <w:marLeft w:val="0"/>
      <w:marRight w:val="0"/>
      <w:marTop w:val="0"/>
      <w:marBottom w:val="0"/>
      <w:divBdr>
        <w:top w:val="none" w:sz="0" w:space="0" w:color="auto"/>
        <w:left w:val="none" w:sz="0" w:space="0" w:color="auto"/>
        <w:bottom w:val="none" w:sz="0" w:space="0" w:color="auto"/>
        <w:right w:val="none" w:sz="0" w:space="0" w:color="auto"/>
      </w:divBdr>
    </w:div>
    <w:div w:id="131797928">
      <w:bodyDiv w:val="1"/>
      <w:marLeft w:val="0"/>
      <w:marRight w:val="0"/>
      <w:marTop w:val="0"/>
      <w:marBottom w:val="0"/>
      <w:divBdr>
        <w:top w:val="none" w:sz="0" w:space="0" w:color="auto"/>
        <w:left w:val="none" w:sz="0" w:space="0" w:color="auto"/>
        <w:bottom w:val="none" w:sz="0" w:space="0" w:color="auto"/>
        <w:right w:val="none" w:sz="0" w:space="0" w:color="auto"/>
      </w:divBdr>
    </w:div>
    <w:div w:id="156581274">
      <w:bodyDiv w:val="1"/>
      <w:marLeft w:val="0"/>
      <w:marRight w:val="0"/>
      <w:marTop w:val="0"/>
      <w:marBottom w:val="0"/>
      <w:divBdr>
        <w:top w:val="none" w:sz="0" w:space="0" w:color="auto"/>
        <w:left w:val="none" w:sz="0" w:space="0" w:color="auto"/>
        <w:bottom w:val="none" w:sz="0" w:space="0" w:color="auto"/>
        <w:right w:val="none" w:sz="0" w:space="0" w:color="auto"/>
      </w:divBdr>
    </w:div>
    <w:div w:id="165176036">
      <w:bodyDiv w:val="1"/>
      <w:marLeft w:val="0"/>
      <w:marRight w:val="0"/>
      <w:marTop w:val="0"/>
      <w:marBottom w:val="0"/>
      <w:divBdr>
        <w:top w:val="none" w:sz="0" w:space="0" w:color="auto"/>
        <w:left w:val="none" w:sz="0" w:space="0" w:color="auto"/>
        <w:bottom w:val="none" w:sz="0" w:space="0" w:color="auto"/>
        <w:right w:val="none" w:sz="0" w:space="0" w:color="auto"/>
      </w:divBdr>
    </w:div>
    <w:div w:id="185681673">
      <w:bodyDiv w:val="1"/>
      <w:marLeft w:val="0"/>
      <w:marRight w:val="0"/>
      <w:marTop w:val="0"/>
      <w:marBottom w:val="0"/>
      <w:divBdr>
        <w:top w:val="none" w:sz="0" w:space="0" w:color="auto"/>
        <w:left w:val="none" w:sz="0" w:space="0" w:color="auto"/>
        <w:bottom w:val="none" w:sz="0" w:space="0" w:color="auto"/>
        <w:right w:val="none" w:sz="0" w:space="0" w:color="auto"/>
      </w:divBdr>
    </w:div>
    <w:div w:id="247883796">
      <w:bodyDiv w:val="1"/>
      <w:marLeft w:val="0"/>
      <w:marRight w:val="0"/>
      <w:marTop w:val="0"/>
      <w:marBottom w:val="0"/>
      <w:divBdr>
        <w:top w:val="none" w:sz="0" w:space="0" w:color="auto"/>
        <w:left w:val="none" w:sz="0" w:space="0" w:color="auto"/>
        <w:bottom w:val="none" w:sz="0" w:space="0" w:color="auto"/>
        <w:right w:val="none" w:sz="0" w:space="0" w:color="auto"/>
      </w:divBdr>
    </w:div>
    <w:div w:id="255526620">
      <w:bodyDiv w:val="1"/>
      <w:marLeft w:val="0"/>
      <w:marRight w:val="0"/>
      <w:marTop w:val="0"/>
      <w:marBottom w:val="0"/>
      <w:divBdr>
        <w:top w:val="none" w:sz="0" w:space="0" w:color="auto"/>
        <w:left w:val="none" w:sz="0" w:space="0" w:color="auto"/>
        <w:bottom w:val="none" w:sz="0" w:space="0" w:color="auto"/>
        <w:right w:val="none" w:sz="0" w:space="0" w:color="auto"/>
      </w:divBdr>
    </w:div>
    <w:div w:id="257295674">
      <w:bodyDiv w:val="1"/>
      <w:marLeft w:val="0"/>
      <w:marRight w:val="0"/>
      <w:marTop w:val="0"/>
      <w:marBottom w:val="0"/>
      <w:divBdr>
        <w:top w:val="none" w:sz="0" w:space="0" w:color="auto"/>
        <w:left w:val="none" w:sz="0" w:space="0" w:color="auto"/>
        <w:bottom w:val="none" w:sz="0" w:space="0" w:color="auto"/>
        <w:right w:val="none" w:sz="0" w:space="0" w:color="auto"/>
      </w:divBdr>
    </w:div>
    <w:div w:id="318197151">
      <w:bodyDiv w:val="1"/>
      <w:marLeft w:val="0"/>
      <w:marRight w:val="0"/>
      <w:marTop w:val="0"/>
      <w:marBottom w:val="0"/>
      <w:divBdr>
        <w:top w:val="none" w:sz="0" w:space="0" w:color="auto"/>
        <w:left w:val="none" w:sz="0" w:space="0" w:color="auto"/>
        <w:bottom w:val="none" w:sz="0" w:space="0" w:color="auto"/>
        <w:right w:val="none" w:sz="0" w:space="0" w:color="auto"/>
      </w:divBdr>
    </w:div>
    <w:div w:id="322706355">
      <w:bodyDiv w:val="1"/>
      <w:marLeft w:val="0"/>
      <w:marRight w:val="0"/>
      <w:marTop w:val="0"/>
      <w:marBottom w:val="0"/>
      <w:divBdr>
        <w:top w:val="none" w:sz="0" w:space="0" w:color="auto"/>
        <w:left w:val="none" w:sz="0" w:space="0" w:color="auto"/>
        <w:bottom w:val="none" w:sz="0" w:space="0" w:color="auto"/>
        <w:right w:val="none" w:sz="0" w:space="0" w:color="auto"/>
      </w:divBdr>
    </w:div>
    <w:div w:id="365377758">
      <w:bodyDiv w:val="1"/>
      <w:marLeft w:val="0"/>
      <w:marRight w:val="0"/>
      <w:marTop w:val="0"/>
      <w:marBottom w:val="0"/>
      <w:divBdr>
        <w:top w:val="none" w:sz="0" w:space="0" w:color="auto"/>
        <w:left w:val="none" w:sz="0" w:space="0" w:color="auto"/>
        <w:bottom w:val="none" w:sz="0" w:space="0" w:color="auto"/>
        <w:right w:val="none" w:sz="0" w:space="0" w:color="auto"/>
      </w:divBdr>
    </w:div>
    <w:div w:id="395587556">
      <w:bodyDiv w:val="1"/>
      <w:marLeft w:val="0"/>
      <w:marRight w:val="0"/>
      <w:marTop w:val="0"/>
      <w:marBottom w:val="0"/>
      <w:divBdr>
        <w:top w:val="none" w:sz="0" w:space="0" w:color="auto"/>
        <w:left w:val="none" w:sz="0" w:space="0" w:color="auto"/>
        <w:bottom w:val="none" w:sz="0" w:space="0" w:color="auto"/>
        <w:right w:val="none" w:sz="0" w:space="0" w:color="auto"/>
      </w:divBdr>
    </w:div>
    <w:div w:id="415980442">
      <w:bodyDiv w:val="1"/>
      <w:marLeft w:val="0"/>
      <w:marRight w:val="0"/>
      <w:marTop w:val="0"/>
      <w:marBottom w:val="0"/>
      <w:divBdr>
        <w:top w:val="none" w:sz="0" w:space="0" w:color="auto"/>
        <w:left w:val="none" w:sz="0" w:space="0" w:color="auto"/>
        <w:bottom w:val="none" w:sz="0" w:space="0" w:color="auto"/>
        <w:right w:val="none" w:sz="0" w:space="0" w:color="auto"/>
      </w:divBdr>
    </w:div>
    <w:div w:id="417294691">
      <w:bodyDiv w:val="1"/>
      <w:marLeft w:val="0"/>
      <w:marRight w:val="0"/>
      <w:marTop w:val="0"/>
      <w:marBottom w:val="0"/>
      <w:divBdr>
        <w:top w:val="none" w:sz="0" w:space="0" w:color="auto"/>
        <w:left w:val="none" w:sz="0" w:space="0" w:color="auto"/>
        <w:bottom w:val="none" w:sz="0" w:space="0" w:color="auto"/>
        <w:right w:val="none" w:sz="0" w:space="0" w:color="auto"/>
      </w:divBdr>
    </w:div>
    <w:div w:id="436829592">
      <w:bodyDiv w:val="1"/>
      <w:marLeft w:val="0"/>
      <w:marRight w:val="0"/>
      <w:marTop w:val="0"/>
      <w:marBottom w:val="0"/>
      <w:divBdr>
        <w:top w:val="none" w:sz="0" w:space="0" w:color="auto"/>
        <w:left w:val="none" w:sz="0" w:space="0" w:color="auto"/>
        <w:bottom w:val="none" w:sz="0" w:space="0" w:color="auto"/>
        <w:right w:val="none" w:sz="0" w:space="0" w:color="auto"/>
      </w:divBdr>
    </w:div>
    <w:div w:id="445347142">
      <w:bodyDiv w:val="1"/>
      <w:marLeft w:val="0"/>
      <w:marRight w:val="0"/>
      <w:marTop w:val="0"/>
      <w:marBottom w:val="0"/>
      <w:divBdr>
        <w:top w:val="none" w:sz="0" w:space="0" w:color="auto"/>
        <w:left w:val="none" w:sz="0" w:space="0" w:color="auto"/>
        <w:bottom w:val="none" w:sz="0" w:space="0" w:color="auto"/>
        <w:right w:val="none" w:sz="0" w:space="0" w:color="auto"/>
      </w:divBdr>
    </w:div>
    <w:div w:id="454755050">
      <w:bodyDiv w:val="1"/>
      <w:marLeft w:val="0"/>
      <w:marRight w:val="0"/>
      <w:marTop w:val="0"/>
      <w:marBottom w:val="0"/>
      <w:divBdr>
        <w:top w:val="none" w:sz="0" w:space="0" w:color="auto"/>
        <w:left w:val="none" w:sz="0" w:space="0" w:color="auto"/>
        <w:bottom w:val="none" w:sz="0" w:space="0" w:color="auto"/>
        <w:right w:val="none" w:sz="0" w:space="0" w:color="auto"/>
      </w:divBdr>
    </w:div>
    <w:div w:id="499195756">
      <w:bodyDiv w:val="1"/>
      <w:marLeft w:val="0"/>
      <w:marRight w:val="0"/>
      <w:marTop w:val="0"/>
      <w:marBottom w:val="0"/>
      <w:divBdr>
        <w:top w:val="none" w:sz="0" w:space="0" w:color="auto"/>
        <w:left w:val="none" w:sz="0" w:space="0" w:color="auto"/>
        <w:bottom w:val="none" w:sz="0" w:space="0" w:color="auto"/>
        <w:right w:val="none" w:sz="0" w:space="0" w:color="auto"/>
      </w:divBdr>
    </w:div>
    <w:div w:id="514808051">
      <w:bodyDiv w:val="1"/>
      <w:marLeft w:val="0"/>
      <w:marRight w:val="0"/>
      <w:marTop w:val="0"/>
      <w:marBottom w:val="0"/>
      <w:divBdr>
        <w:top w:val="none" w:sz="0" w:space="0" w:color="auto"/>
        <w:left w:val="none" w:sz="0" w:space="0" w:color="auto"/>
        <w:bottom w:val="none" w:sz="0" w:space="0" w:color="auto"/>
        <w:right w:val="none" w:sz="0" w:space="0" w:color="auto"/>
      </w:divBdr>
    </w:div>
    <w:div w:id="534465740">
      <w:bodyDiv w:val="1"/>
      <w:marLeft w:val="0"/>
      <w:marRight w:val="0"/>
      <w:marTop w:val="0"/>
      <w:marBottom w:val="0"/>
      <w:divBdr>
        <w:top w:val="none" w:sz="0" w:space="0" w:color="auto"/>
        <w:left w:val="none" w:sz="0" w:space="0" w:color="auto"/>
        <w:bottom w:val="none" w:sz="0" w:space="0" w:color="auto"/>
        <w:right w:val="none" w:sz="0" w:space="0" w:color="auto"/>
      </w:divBdr>
    </w:div>
    <w:div w:id="543643409">
      <w:bodyDiv w:val="1"/>
      <w:marLeft w:val="0"/>
      <w:marRight w:val="0"/>
      <w:marTop w:val="0"/>
      <w:marBottom w:val="0"/>
      <w:divBdr>
        <w:top w:val="none" w:sz="0" w:space="0" w:color="auto"/>
        <w:left w:val="none" w:sz="0" w:space="0" w:color="auto"/>
        <w:bottom w:val="none" w:sz="0" w:space="0" w:color="auto"/>
        <w:right w:val="none" w:sz="0" w:space="0" w:color="auto"/>
      </w:divBdr>
    </w:div>
    <w:div w:id="577595191">
      <w:bodyDiv w:val="1"/>
      <w:marLeft w:val="0"/>
      <w:marRight w:val="0"/>
      <w:marTop w:val="0"/>
      <w:marBottom w:val="0"/>
      <w:divBdr>
        <w:top w:val="none" w:sz="0" w:space="0" w:color="auto"/>
        <w:left w:val="none" w:sz="0" w:space="0" w:color="auto"/>
        <w:bottom w:val="none" w:sz="0" w:space="0" w:color="auto"/>
        <w:right w:val="none" w:sz="0" w:space="0" w:color="auto"/>
      </w:divBdr>
    </w:div>
    <w:div w:id="577905976">
      <w:bodyDiv w:val="1"/>
      <w:marLeft w:val="0"/>
      <w:marRight w:val="0"/>
      <w:marTop w:val="0"/>
      <w:marBottom w:val="0"/>
      <w:divBdr>
        <w:top w:val="none" w:sz="0" w:space="0" w:color="auto"/>
        <w:left w:val="none" w:sz="0" w:space="0" w:color="auto"/>
        <w:bottom w:val="none" w:sz="0" w:space="0" w:color="auto"/>
        <w:right w:val="none" w:sz="0" w:space="0" w:color="auto"/>
      </w:divBdr>
    </w:div>
    <w:div w:id="598754127">
      <w:bodyDiv w:val="1"/>
      <w:marLeft w:val="0"/>
      <w:marRight w:val="0"/>
      <w:marTop w:val="0"/>
      <w:marBottom w:val="0"/>
      <w:divBdr>
        <w:top w:val="none" w:sz="0" w:space="0" w:color="auto"/>
        <w:left w:val="none" w:sz="0" w:space="0" w:color="auto"/>
        <w:bottom w:val="none" w:sz="0" w:space="0" w:color="auto"/>
        <w:right w:val="none" w:sz="0" w:space="0" w:color="auto"/>
      </w:divBdr>
    </w:div>
    <w:div w:id="606543176">
      <w:bodyDiv w:val="1"/>
      <w:marLeft w:val="0"/>
      <w:marRight w:val="0"/>
      <w:marTop w:val="0"/>
      <w:marBottom w:val="0"/>
      <w:divBdr>
        <w:top w:val="none" w:sz="0" w:space="0" w:color="auto"/>
        <w:left w:val="none" w:sz="0" w:space="0" w:color="auto"/>
        <w:bottom w:val="none" w:sz="0" w:space="0" w:color="auto"/>
        <w:right w:val="none" w:sz="0" w:space="0" w:color="auto"/>
      </w:divBdr>
    </w:div>
    <w:div w:id="618102696">
      <w:bodyDiv w:val="1"/>
      <w:marLeft w:val="0"/>
      <w:marRight w:val="0"/>
      <w:marTop w:val="0"/>
      <w:marBottom w:val="0"/>
      <w:divBdr>
        <w:top w:val="none" w:sz="0" w:space="0" w:color="auto"/>
        <w:left w:val="none" w:sz="0" w:space="0" w:color="auto"/>
        <w:bottom w:val="none" w:sz="0" w:space="0" w:color="auto"/>
        <w:right w:val="none" w:sz="0" w:space="0" w:color="auto"/>
      </w:divBdr>
    </w:div>
    <w:div w:id="618537843">
      <w:bodyDiv w:val="1"/>
      <w:marLeft w:val="0"/>
      <w:marRight w:val="0"/>
      <w:marTop w:val="0"/>
      <w:marBottom w:val="0"/>
      <w:divBdr>
        <w:top w:val="none" w:sz="0" w:space="0" w:color="auto"/>
        <w:left w:val="none" w:sz="0" w:space="0" w:color="auto"/>
        <w:bottom w:val="none" w:sz="0" w:space="0" w:color="auto"/>
        <w:right w:val="none" w:sz="0" w:space="0" w:color="auto"/>
      </w:divBdr>
    </w:div>
    <w:div w:id="619649673">
      <w:bodyDiv w:val="1"/>
      <w:marLeft w:val="0"/>
      <w:marRight w:val="0"/>
      <w:marTop w:val="0"/>
      <w:marBottom w:val="0"/>
      <w:divBdr>
        <w:top w:val="none" w:sz="0" w:space="0" w:color="auto"/>
        <w:left w:val="none" w:sz="0" w:space="0" w:color="auto"/>
        <w:bottom w:val="none" w:sz="0" w:space="0" w:color="auto"/>
        <w:right w:val="none" w:sz="0" w:space="0" w:color="auto"/>
      </w:divBdr>
    </w:div>
    <w:div w:id="619801262">
      <w:bodyDiv w:val="1"/>
      <w:marLeft w:val="0"/>
      <w:marRight w:val="0"/>
      <w:marTop w:val="0"/>
      <w:marBottom w:val="0"/>
      <w:divBdr>
        <w:top w:val="none" w:sz="0" w:space="0" w:color="auto"/>
        <w:left w:val="none" w:sz="0" w:space="0" w:color="auto"/>
        <w:bottom w:val="none" w:sz="0" w:space="0" w:color="auto"/>
        <w:right w:val="none" w:sz="0" w:space="0" w:color="auto"/>
      </w:divBdr>
    </w:div>
    <w:div w:id="635599230">
      <w:bodyDiv w:val="1"/>
      <w:marLeft w:val="0"/>
      <w:marRight w:val="0"/>
      <w:marTop w:val="0"/>
      <w:marBottom w:val="0"/>
      <w:divBdr>
        <w:top w:val="none" w:sz="0" w:space="0" w:color="auto"/>
        <w:left w:val="none" w:sz="0" w:space="0" w:color="auto"/>
        <w:bottom w:val="none" w:sz="0" w:space="0" w:color="auto"/>
        <w:right w:val="none" w:sz="0" w:space="0" w:color="auto"/>
      </w:divBdr>
    </w:div>
    <w:div w:id="683826192">
      <w:bodyDiv w:val="1"/>
      <w:marLeft w:val="0"/>
      <w:marRight w:val="0"/>
      <w:marTop w:val="0"/>
      <w:marBottom w:val="0"/>
      <w:divBdr>
        <w:top w:val="none" w:sz="0" w:space="0" w:color="auto"/>
        <w:left w:val="none" w:sz="0" w:space="0" w:color="auto"/>
        <w:bottom w:val="none" w:sz="0" w:space="0" w:color="auto"/>
        <w:right w:val="none" w:sz="0" w:space="0" w:color="auto"/>
      </w:divBdr>
    </w:div>
    <w:div w:id="734086988">
      <w:bodyDiv w:val="1"/>
      <w:marLeft w:val="0"/>
      <w:marRight w:val="0"/>
      <w:marTop w:val="0"/>
      <w:marBottom w:val="0"/>
      <w:divBdr>
        <w:top w:val="none" w:sz="0" w:space="0" w:color="auto"/>
        <w:left w:val="none" w:sz="0" w:space="0" w:color="auto"/>
        <w:bottom w:val="none" w:sz="0" w:space="0" w:color="auto"/>
        <w:right w:val="none" w:sz="0" w:space="0" w:color="auto"/>
      </w:divBdr>
    </w:div>
    <w:div w:id="740638656">
      <w:bodyDiv w:val="1"/>
      <w:marLeft w:val="0"/>
      <w:marRight w:val="0"/>
      <w:marTop w:val="0"/>
      <w:marBottom w:val="0"/>
      <w:divBdr>
        <w:top w:val="none" w:sz="0" w:space="0" w:color="auto"/>
        <w:left w:val="none" w:sz="0" w:space="0" w:color="auto"/>
        <w:bottom w:val="none" w:sz="0" w:space="0" w:color="auto"/>
        <w:right w:val="none" w:sz="0" w:space="0" w:color="auto"/>
      </w:divBdr>
    </w:div>
    <w:div w:id="765611422">
      <w:bodyDiv w:val="1"/>
      <w:marLeft w:val="0"/>
      <w:marRight w:val="0"/>
      <w:marTop w:val="0"/>
      <w:marBottom w:val="0"/>
      <w:divBdr>
        <w:top w:val="none" w:sz="0" w:space="0" w:color="auto"/>
        <w:left w:val="none" w:sz="0" w:space="0" w:color="auto"/>
        <w:bottom w:val="none" w:sz="0" w:space="0" w:color="auto"/>
        <w:right w:val="none" w:sz="0" w:space="0" w:color="auto"/>
      </w:divBdr>
    </w:div>
    <w:div w:id="769736390">
      <w:bodyDiv w:val="1"/>
      <w:marLeft w:val="0"/>
      <w:marRight w:val="0"/>
      <w:marTop w:val="0"/>
      <w:marBottom w:val="0"/>
      <w:divBdr>
        <w:top w:val="none" w:sz="0" w:space="0" w:color="auto"/>
        <w:left w:val="none" w:sz="0" w:space="0" w:color="auto"/>
        <w:bottom w:val="none" w:sz="0" w:space="0" w:color="auto"/>
        <w:right w:val="none" w:sz="0" w:space="0" w:color="auto"/>
      </w:divBdr>
    </w:div>
    <w:div w:id="779496499">
      <w:bodyDiv w:val="1"/>
      <w:marLeft w:val="0"/>
      <w:marRight w:val="0"/>
      <w:marTop w:val="0"/>
      <w:marBottom w:val="0"/>
      <w:divBdr>
        <w:top w:val="none" w:sz="0" w:space="0" w:color="auto"/>
        <w:left w:val="none" w:sz="0" w:space="0" w:color="auto"/>
        <w:bottom w:val="none" w:sz="0" w:space="0" w:color="auto"/>
        <w:right w:val="none" w:sz="0" w:space="0" w:color="auto"/>
      </w:divBdr>
    </w:div>
    <w:div w:id="803426226">
      <w:bodyDiv w:val="1"/>
      <w:marLeft w:val="0"/>
      <w:marRight w:val="0"/>
      <w:marTop w:val="0"/>
      <w:marBottom w:val="0"/>
      <w:divBdr>
        <w:top w:val="none" w:sz="0" w:space="0" w:color="auto"/>
        <w:left w:val="none" w:sz="0" w:space="0" w:color="auto"/>
        <w:bottom w:val="none" w:sz="0" w:space="0" w:color="auto"/>
        <w:right w:val="none" w:sz="0" w:space="0" w:color="auto"/>
      </w:divBdr>
    </w:div>
    <w:div w:id="804467725">
      <w:bodyDiv w:val="1"/>
      <w:marLeft w:val="0"/>
      <w:marRight w:val="0"/>
      <w:marTop w:val="0"/>
      <w:marBottom w:val="0"/>
      <w:divBdr>
        <w:top w:val="none" w:sz="0" w:space="0" w:color="auto"/>
        <w:left w:val="none" w:sz="0" w:space="0" w:color="auto"/>
        <w:bottom w:val="none" w:sz="0" w:space="0" w:color="auto"/>
        <w:right w:val="none" w:sz="0" w:space="0" w:color="auto"/>
      </w:divBdr>
    </w:div>
    <w:div w:id="825239714">
      <w:bodyDiv w:val="1"/>
      <w:marLeft w:val="0"/>
      <w:marRight w:val="0"/>
      <w:marTop w:val="0"/>
      <w:marBottom w:val="0"/>
      <w:divBdr>
        <w:top w:val="none" w:sz="0" w:space="0" w:color="auto"/>
        <w:left w:val="none" w:sz="0" w:space="0" w:color="auto"/>
        <w:bottom w:val="none" w:sz="0" w:space="0" w:color="auto"/>
        <w:right w:val="none" w:sz="0" w:space="0" w:color="auto"/>
      </w:divBdr>
    </w:div>
    <w:div w:id="859899547">
      <w:bodyDiv w:val="1"/>
      <w:marLeft w:val="0"/>
      <w:marRight w:val="0"/>
      <w:marTop w:val="0"/>
      <w:marBottom w:val="0"/>
      <w:divBdr>
        <w:top w:val="none" w:sz="0" w:space="0" w:color="auto"/>
        <w:left w:val="none" w:sz="0" w:space="0" w:color="auto"/>
        <w:bottom w:val="none" w:sz="0" w:space="0" w:color="auto"/>
        <w:right w:val="none" w:sz="0" w:space="0" w:color="auto"/>
      </w:divBdr>
    </w:div>
    <w:div w:id="870461073">
      <w:bodyDiv w:val="1"/>
      <w:marLeft w:val="0"/>
      <w:marRight w:val="0"/>
      <w:marTop w:val="0"/>
      <w:marBottom w:val="0"/>
      <w:divBdr>
        <w:top w:val="none" w:sz="0" w:space="0" w:color="auto"/>
        <w:left w:val="none" w:sz="0" w:space="0" w:color="auto"/>
        <w:bottom w:val="none" w:sz="0" w:space="0" w:color="auto"/>
        <w:right w:val="none" w:sz="0" w:space="0" w:color="auto"/>
      </w:divBdr>
    </w:div>
    <w:div w:id="895238213">
      <w:bodyDiv w:val="1"/>
      <w:marLeft w:val="0"/>
      <w:marRight w:val="0"/>
      <w:marTop w:val="0"/>
      <w:marBottom w:val="0"/>
      <w:divBdr>
        <w:top w:val="none" w:sz="0" w:space="0" w:color="auto"/>
        <w:left w:val="none" w:sz="0" w:space="0" w:color="auto"/>
        <w:bottom w:val="none" w:sz="0" w:space="0" w:color="auto"/>
        <w:right w:val="none" w:sz="0" w:space="0" w:color="auto"/>
      </w:divBdr>
    </w:div>
    <w:div w:id="917255446">
      <w:bodyDiv w:val="1"/>
      <w:marLeft w:val="0"/>
      <w:marRight w:val="0"/>
      <w:marTop w:val="0"/>
      <w:marBottom w:val="0"/>
      <w:divBdr>
        <w:top w:val="none" w:sz="0" w:space="0" w:color="auto"/>
        <w:left w:val="none" w:sz="0" w:space="0" w:color="auto"/>
        <w:bottom w:val="none" w:sz="0" w:space="0" w:color="auto"/>
        <w:right w:val="none" w:sz="0" w:space="0" w:color="auto"/>
      </w:divBdr>
    </w:div>
    <w:div w:id="925112847">
      <w:bodyDiv w:val="1"/>
      <w:marLeft w:val="0"/>
      <w:marRight w:val="0"/>
      <w:marTop w:val="0"/>
      <w:marBottom w:val="0"/>
      <w:divBdr>
        <w:top w:val="none" w:sz="0" w:space="0" w:color="auto"/>
        <w:left w:val="none" w:sz="0" w:space="0" w:color="auto"/>
        <w:bottom w:val="none" w:sz="0" w:space="0" w:color="auto"/>
        <w:right w:val="none" w:sz="0" w:space="0" w:color="auto"/>
      </w:divBdr>
    </w:div>
    <w:div w:id="967735730">
      <w:bodyDiv w:val="1"/>
      <w:marLeft w:val="0"/>
      <w:marRight w:val="0"/>
      <w:marTop w:val="0"/>
      <w:marBottom w:val="0"/>
      <w:divBdr>
        <w:top w:val="none" w:sz="0" w:space="0" w:color="auto"/>
        <w:left w:val="none" w:sz="0" w:space="0" w:color="auto"/>
        <w:bottom w:val="none" w:sz="0" w:space="0" w:color="auto"/>
        <w:right w:val="none" w:sz="0" w:space="0" w:color="auto"/>
      </w:divBdr>
    </w:div>
    <w:div w:id="1050033292">
      <w:bodyDiv w:val="1"/>
      <w:marLeft w:val="0"/>
      <w:marRight w:val="0"/>
      <w:marTop w:val="0"/>
      <w:marBottom w:val="0"/>
      <w:divBdr>
        <w:top w:val="none" w:sz="0" w:space="0" w:color="auto"/>
        <w:left w:val="none" w:sz="0" w:space="0" w:color="auto"/>
        <w:bottom w:val="none" w:sz="0" w:space="0" w:color="auto"/>
        <w:right w:val="none" w:sz="0" w:space="0" w:color="auto"/>
      </w:divBdr>
    </w:div>
    <w:div w:id="1063985935">
      <w:bodyDiv w:val="1"/>
      <w:marLeft w:val="0"/>
      <w:marRight w:val="0"/>
      <w:marTop w:val="0"/>
      <w:marBottom w:val="0"/>
      <w:divBdr>
        <w:top w:val="none" w:sz="0" w:space="0" w:color="auto"/>
        <w:left w:val="none" w:sz="0" w:space="0" w:color="auto"/>
        <w:bottom w:val="none" w:sz="0" w:space="0" w:color="auto"/>
        <w:right w:val="none" w:sz="0" w:space="0" w:color="auto"/>
      </w:divBdr>
    </w:div>
    <w:div w:id="1064991299">
      <w:bodyDiv w:val="1"/>
      <w:marLeft w:val="0"/>
      <w:marRight w:val="0"/>
      <w:marTop w:val="0"/>
      <w:marBottom w:val="0"/>
      <w:divBdr>
        <w:top w:val="none" w:sz="0" w:space="0" w:color="auto"/>
        <w:left w:val="none" w:sz="0" w:space="0" w:color="auto"/>
        <w:bottom w:val="none" w:sz="0" w:space="0" w:color="auto"/>
        <w:right w:val="none" w:sz="0" w:space="0" w:color="auto"/>
      </w:divBdr>
    </w:div>
    <w:div w:id="1066533204">
      <w:bodyDiv w:val="1"/>
      <w:marLeft w:val="0"/>
      <w:marRight w:val="0"/>
      <w:marTop w:val="0"/>
      <w:marBottom w:val="0"/>
      <w:divBdr>
        <w:top w:val="none" w:sz="0" w:space="0" w:color="auto"/>
        <w:left w:val="none" w:sz="0" w:space="0" w:color="auto"/>
        <w:bottom w:val="none" w:sz="0" w:space="0" w:color="auto"/>
        <w:right w:val="none" w:sz="0" w:space="0" w:color="auto"/>
      </w:divBdr>
    </w:div>
    <w:div w:id="1073625114">
      <w:bodyDiv w:val="1"/>
      <w:marLeft w:val="0"/>
      <w:marRight w:val="0"/>
      <w:marTop w:val="0"/>
      <w:marBottom w:val="0"/>
      <w:divBdr>
        <w:top w:val="none" w:sz="0" w:space="0" w:color="auto"/>
        <w:left w:val="none" w:sz="0" w:space="0" w:color="auto"/>
        <w:bottom w:val="none" w:sz="0" w:space="0" w:color="auto"/>
        <w:right w:val="none" w:sz="0" w:space="0" w:color="auto"/>
      </w:divBdr>
    </w:div>
    <w:div w:id="1079059070">
      <w:bodyDiv w:val="1"/>
      <w:marLeft w:val="0"/>
      <w:marRight w:val="0"/>
      <w:marTop w:val="0"/>
      <w:marBottom w:val="0"/>
      <w:divBdr>
        <w:top w:val="none" w:sz="0" w:space="0" w:color="auto"/>
        <w:left w:val="none" w:sz="0" w:space="0" w:color="auto"/>
        <w:bottom w:val="none" w:sz="0" w:space="0" w:color="auto"/>
        <w:right w:val="none" w:sz="0" w:space="0" w:color="auto"/>
      </w:divBdr>
    </w:div>
    <w:div w:id="1086607839">
      <w:bodyDiv w:val="1"/>
      <w:marLeft w:val="0"/>
      <w:marRight w:val="0"/>
      <w:marTop w:val="0"/>
      <w:marBottom w:val="0"/>
      <w:divBdr>
        <w:top w:val="none" w:sz="0" w:space="0" w:color="auto"/>
        <w:left w:val="none" w:sz="0" w:space="0" w:color="auto"/>
        <w:bottom w:val="none" w:sz="0" w:space="0" w:color="auto"/>
        <w:right w:val="none" w:sz="0" w:space="0" w:color="auto"/>
      </w:divBdr>
    </w:div>
    <w:div w:id="1090585310">
      <w:bodyDiv w:val="1"/>
      <w:marLeft w:val="0"/>
      <w:marRight w:val="0"/>
      <w:marTop w:val="0"/>
      <w:marBottom w:val="0"/>
      <w:divBdr>
        <w:top w:val="none" w:sz="0" w:space="0" w:color="auto"/>
        <w:left w:val="none" w:sz="0" w:space="0" w:color="auto"/>
        <w:bottom w:val="none" w:sz="0" w:space="0" w:color="auto"/>
        <w:right w:val="none" w:sz="0" w:space="0" w:color="auto"/>
      </w:divBdr>
    </w:div>
    <w:div w:id="1101608820">
      <w:bodyDiv w:val="1"/>
      <w:marLeft w:val="0"/>
      <w:marRight w:val="0"/>
      <w:marTop w:val="0"/>
      <w:marBottom w:val="0"/>
      <w:divBdr>
        <w:top w:val="none" w:sz="0" w:space="0" w:color="auto"/>
        <w:left w:val="none" w:sz="0" w:space="0" w:color="auto"/>
        <w:bottom w:val="none" w:sz="0" w:space="0" w:color="auto"/>
        <w:right w:val="none" w:sz="0" w:space="0" w:color="auto"/>
      </w:divBdr>
    </w:div>
    <w:div w:id="1116099839">
      <w:bodyDiv w:val="1"/>
      <w:marLeft w:val="0"/>
      <w:marRight w:val="0"/>
      <w:marTop w:val="0"/>
      <w:marBottom w:val="0"/>
      <w:divBdr>
        <w:top w:val="none" w:sz="0" w:space="0" w:color="auto"/>
        <w:left w:val="none" w:sz="0" w:space="0" w:color="auto"/>
        <w:bottom w:val="none" w:sz="0" w:space="0" w:color="auto"/>
        <w:right w:val="none" w:sz="0" w:space="0" w:color="auto"/>
      </w:divBdr>
    </w:div>
    <w:div w:id="1123233750">
      <w:bodyDiv w:val="1"/>
      <w:marLeft w:val="0"/>
      <w:marRight w:val="0"/>
      <w:marTop w:val="0"/>
      <w:marBottom w:val="0"/>
      <w:divBdr>
        <w:top w:val="none" w:sz="0" w:space="0" w:color="auto"/>
        <w:left w:val="none" w:sz="0" w:space="0" w:color="auto"/>
        <w:bottom w:val="none" w:sz="0" w:space="0" w:color="auto"/>
        <w:right w:val="none" w:sz="0" w:space="0" w:color="auto"/>
      </w:divBdr>
    </w:div>
    <w:div w:id="1127427315">
      <w:bodyDiv w:val="1"/>
      <w:marLeft w:val="0"/>
      <w:marRight w:val="0"/>
      <w:marTop w:val="0"/>
      <w:marBottom w:val="0"/>
      <w:divBdr>
        <w:top w:val="none" w:sz="0" w:space="0" w:color="auto"/>
        <w:left w:val="none" w:sz="0" w:space="0" w:color="auto"/>
        <w:bottom w:val="none" w:sz="0" w:space="0" w:color="auto"/>
        <w:right w:val="none" w:sz="0" w:space="0" w:color="auto"/>
      </w:divBdr>
    </w:div>
    <w:div w:id="1141536219">
      <w:bodyDiv w:val="1"/>
      <w:marLeft w:val="0"/>
      <w:marRight w:val="0"/>
      <w:marTop w:val="0"/>
      <w:marBottom w:val="0"/>
      <w:divBdr>
        <w:top w:val="none" w:sz="0" w:space="0" w:color="auto"/>
        <w:left w:val="none" w:sz="0" w:space="0" w:color="auto"/>
        <w:bottom w:val="none" w:sz="0" w:space="0" w:color="auto"/>
        <w:right w:val="none" w:sz="0" w:space="0" w:color="auto"/>
      </w:divBdr>
    </w:div>
    <w:div w:id="1187983730">
      <w:bodyDiv w:val="1"/>
      <w:marLeft w:val="0"/>
      <w:marRight w:val="0"/>
      <w:marTop w:val="0"/>
      <w:marBottom w:val="0"/>
      <w:divBdr>
        <w:top w:val="none" w:sz="0" w:space="0" w:color="auto"/>
        <w:left w:val="none" w:sz="0" w:space="0" w:color="auto"/>
        <w:bottom w:val="none" w:sz="0" w:space="0" w:color="auto"/>
        <w:right w:val="none" w:sz="0" w:space="0" w:color="auto"/>
      </w:divBdr>
    </w:div>
    <w:div w:id="1222516793">
      <w:bodyDiv w:val="1"/>
      <w:marLeft w:val="0"/>
      <w:marRight w:val="0"/>
      <w:marTop w:val="0"/>
      <w:marBottom w:val="0"/>
      <w:divBdr>
        <w:top w:val="none" w:sz="0" w:space="0" w:color="auto"/>
        <w:left w:val="none" w:sz="0" w:space="0" w:color="auto"/>
        <w:bottom w:val="none" w:sz="0" w:space="0" w:color="auto"/>
        <w:right w:val="none" w:sz="0" w:space="0" w:color="auto"/>
      </w:divBdr>
    </w:div>
    <w:div w:id="1231693080">
      <w:bodyDiv w:val="1"/>
      <w:marLeft w:val="0"/>
      <w:marRight w:val="0"/>
      <w:marTop w:val="0"/>
      <w:marBottom w:val="0"/>
      <w:divBdr>
        <w:top w:val="none" w:sz="0" w:space="0" w:color="auto"/>
        <w:left w:val="none" w:sz="0" w:space="0" w:color="auto"/>
        <w:bottom w:val="none" w:sz="0" w:space="0" w:color="auto"/>
        <w:right w:val="none" w:sz="0" w:space="0" w:color="auto"/>
      </w:divBdr>
    </w:div>
    <w:div w:id="1235165204">
      <w:bodyDiv w:val="1"/>
      <w:marLeft w:val="0"/>
      <w:marRight w:val="0"/>
      <w:marTop w:val="0"/>
      <w:marBottom w:val="0"/>
      <w:divBdr>
        <w:top w:val="none" w:sz="0" w:space="0" w:color="auto"/>
        <w:left w:val="none" w:sz="0" w:space="0" w:color="auto"/>
        <w:bottom w:val="none" w:sz="0" w:space="0" w:color="auto"/>
        <w:right w:val="none" w:sz="0" w:space="0" w:color="auto"/>
      </w:divBdr>
    </w:div>
    <w:div w:id="1236550639">
      <w:bodyDiv w:val="1"/>
      <w:marLeft w:val="0"/>
      <w:marRight w:val="0"/>
      <w:marTop w:val="0"/>
      <w:marBottom w:val="0"/>
      <w:divBdr>
        <w:top w:val="none" w:sz="0" w:space="0" w:color="auto"/>
        <w:left w:val="none" w:sz="0" w:space="0" w:color="auto"/>
        <w:bottom w:val="none" w:sz="0" w:space="0" w:color="auto"/>
        <w:right w:val="none" w:sz="0" w:space="0" w:color="auto"/>
      </w:divBdr>
    </w:div>
    <w:div w:id="1243447167">
      <w:bodyDiv w:val="1"/>
      <w:marLeft w:val="0"/>
      <w:marRight w:val="0"/>
      <w:marTop w:val="0"/>
      <w:marBottom w:val="0"/>
      <w:divBdr>
        <w:top w:val="none" w:sz="0" w:space="0" w:color="auto"/>
        <w:left w:val="none" w:sz="0" w:space="0" w:color="auto"/>
        <w:bottom w:val="none" w:sz="0" w:space="0" w:color="auto"/>
        <w:right w:val="none" w:sz="0" w:space="0" w:color="auto"/>
      </w:divBdr>
    </w:div>
    <w:div w:id="1246645957">
      <w:bodyDiv w:val="1"/>
      <w:marLeft w:val="0"/>
      <w:marRight w:val="0"/>
      <w:marTop w:val="0"/>
      <w:marBottom w:val="0"/>
      <w:divBdr>
        <w:top w:val="none" w:sz="0" w:space="0" w:color="auto"/>
        <w:left w:val="none" w:sz="0" w:space="0" w:color="auto"/>
        <w:bottom w:val="none" w:sz="0" w:space="0" w:color="auto"/>
        <w:right w:val="none" w:sz="0" w:space="0" w:color="auto"/>
      </w:divBdr>
    </w:div>
    <w:div w:id="1247962128">
      <w:bodyDiv w:val="1"/>
      <w:marLeft w:val="0"/>
      <w:marRight w:val="0"/>
      <w:marTop w:val="0"/>
      <w:marBottom w:val="0"/>
      <w:divBdr>
        <w:top w:val="none" w:sz="0" w:space="0" w:color="auto"/>
        <w:left w:val="none" w:sz="0" w:space="0" w:color="auto"/>
        <w:bottom w:val="none" w:sz="0" w:space="0" w:color="auto"/>
        <w:right w:val="none" w:sz="0" w:space="0" w:color="auto"/>
      </w:divBdr>
    </w:div>
    <w:div w:id="1267153318">
      <w:bodyDiv w:val="1"/>
      <w:marLeft w:val="0"/>
      <w:marRight w:val="0"/>
      <w:marTop w:val="0"/>
      <w:marBottom w:val="0"/>
      <w:divBdr>
        <w:top w:val="none" w:sz="0" w:space="0" w:color="auto"/>
        <w:left w:val="none" w:sz="0" w:space="0" w:color="auto"/>
        <w:bottom w:val="none" w:sz="0" w:space="0" w:color="auto"/>
        <w:right w:val="none" w:sz="0" w:space="0" w:color="auto"/>
      </w:divBdr>
    </w:div>
    <w:div w:id="1287156532">
      <w:bodyDiv w:val="1"/>
      <w:marLeft w:val="0"/>
      <w:marRight w:val="0"/>
      <w:marTop w:val="0"/>
      <w:marBottom w:val="0"/>
      <w:divBdr>
        <w:top w:val="none" w:sz="0" w:space="0" w:color="auto"/>
        <w:left w:val="none" w:sz="0" w:space="0" w:color="auto"/>
        <w:bottom w:val="none" w:sz="0" w:space="0" w:color="auto"/>
        <w:right w:val="none" w:sz="0" w:space="0" w:color="auto"/>
      </w:divBdr>
    </w:div>
    <w:div w:id="1295405369">
      <w:bodyDiv w:val="1"/>
      <w:marLeft w:val="0"/>
      <w:marRight w:val="0"/>
      <w:marTop w:val="0"/>
      <w:marBottom w:val="0"/>
      <w:divBdr>
        <w:top w:val="none" w:sz="0" w:space="0" w:color="auto"/>
        <w:left w:val="none" w:sz="0" w:space="0" w:color="auto"/>
        <w:bottom w:val="none" w:sz="0" w:space="0" w:color="auto"/>
        <w:right w:val="none" w:sz="0" w:space="0" w:color="auto"/>
      </w:divBdr>
    </w:div>
    <w:div w:id="1306156437">
      <w:bodyDiv w:val="1"/>
      <w:marLeft w:val="0"/>
      <w:marRight w:val="0"/>
      <w:marTop w:val="0"/>
      <w:marBottom w:val="0"/>
      <w:divBdr>
        <w:top w:val="none" w:sz="0" w:space="0" w:color="auto"/>
        <w:left w:val="none" w:sz="0" w:space="0" w:color="auto"/>
        <w:bottom w:val="none" w:sz="0" w:space="0" w:color="auto"/>
        <w:right w:val="none" w:sz="0" w:space="0" w:color="auto"/>
      </w:divBdr>
    </w:div>
    <w:div w:id="1401054214">
      <w:bodyDiv w:val="1"/>
      <w:marLeft w:val="0"/>
      <w:marRight w:val="0"/>
      <w:marTop w:val="0"/>
      <w:marBottom w:val="0"/>
      <w:divBdr>
        <w:top w:val="none" w:sz="0" w:space="0" w:color="auto"/>
        <w:left w:val="none" w:sz="0" w:space="0" w:color="auto"/>
        <w:bottom w:val="none" w:sz="0" w:space="0" w:color="auto"/>
        <w:right w:val="none" w:sz="0" w:space="0" w:color="auto"/>
      </w:divBdr>
    </w:div>
    <w:div w:id="1402217970">
      <w:bodyDiv w:val="1"/>
      <w:marLeft w:val="0"/>
      <w:marRight w:val="0"/>
      <w:marTop w:val="0"/>
      <w:marBottom w:val="0"/>
      <w:divBdr>
        <w:top w:val="none" w:sz="0" w:space="0" w:color="auto"/>
        <w:left w:val="none" w:sz="0" w:space="0" w:color="auto"/>
        <w:bottom w:val="none" w:sz="0" w:space="0" w:color="auto"/>
        <w:right w:val="none" w:sz="0" w:space="0" w:color="auto"/>
      </w:divBdr>
    </w:div>
    <w:div w:id="1403522688">
      <w:bodyDiv w:val="1"/>
      <w:marLeft w:val="0"/>
      <w:marRight w:val="0"/>
      <w:marTop w:val="0"/>
      <w:marBottom w:val="0"/>
      <w:divBdr>
        <w:top w:val="none" w:sz="0" w:space="0" w:color="auto"/>
        <w:left w:val="none" w:sz="0" w:space="0" w:color="auto"/>
        <w:bottom w:val="none" w:sz="0" w:space="0" w:color="auto"/>
        <w:right w:val="none" w:sz="0" w:space="0" w:color="auto"/>
      </w:divBdr>
    </w:div>
    <w:div w:id="1411854714">
      <w:bodyDiv w:val="1"/>
      <w:marLeft w:val="0"/>
      <w:marRight w:val="0"/>
      <w:marTop w:val="0"/>
      <w:marBottom w:val="0"/>
      <w:divBdr>
        <w:top w:val="none" w:sz="0" w:space="0" w:color="auto"/>
        <w:left w:val="none" w:sz="0" w:space="0" w:color="auto"/>
        <w:bottom w:val="none" w:sz="0" w:space="0" w:color="auto"/>
        <w:right w:val="none" w:sz="0" w:space="0" w:color="auto"/>
      </w:divBdr>
    </w:div>
    <w:div w:id="1413426713">
      <w:bodyDiv w:val="1"/>
      <w:marLeft w:val="0"/>
      <w:marRight w:val="0"/>
      <w:marTop w:val="0"/>
      <w:marBottom w:val="0"/>
      <w:divBdr>
        <w:top w:val="none" w:sz="0" w:space="0" w:color="auto"/>
        <w:left w:val="none" w:sz="0" w:space="0" w:color="auto"/>
        <w:bottom w:val="none" w:sz="0" w:space="0" w:color="auto"/>
        <w:right w:val="none" w:sz="0" w:space="0" w:color="auto"/>
      </w:divBdr>
    </w:div>
    <w:div w:id="1448350097">
      <w:bodyDiv w:val="1"/>
      <w:marLeft w:val="0"/>
      <w:marRight w:val="0"/>
      <w:marTop w:val="0"/>
      <w:marBottom w:val="0"/>
      <w:divBdr>
        <w:top w:val="none" w:sz="0" w:space="0" w:color="auto"/>
        <w:left w:val="none" w:sz="0" w:space="0" w:color="auto"/>
        <w:bottom w:val="none" w:sz="0" w:space="0" w:color="auto"/>
        <w:right w:val="none" w:sz="0" w:space="0" w:color="auto"/>
      </w:divBdr>
    </w:div>
    <w:div w:id="1498156438">
      <w:bodyDiv w:val="1"/>
      <w:marLeft w:val="0"/>
      <w:marRight w:val="0"/>
      <w:marTop w:val="0"/>
      <w:marBottom w:val="0"/>
      <w:divBdr>
        <w:top w:val="none" w:sz="0" w:space="0" w:color="auto"/>
        <w:left w:val="none" w:sz="0" w:space="0" w:color="auto"/>
        <w:bottom w:val="none" w:sz="0" w:space="0" w:color="auto"/>
        <w:right w:val="none" w:sz="0" w:space="0" w:color="auto"/>
      </w:divBdr>
    </w:div>
    <w:div w:id="1515614154">
      <w:bodyDiv w:val="1"/>
      <w:marLeft w:val="0"/>
      <w:marRight w:val="0"/>
      <w:marTop w:val="0"/>
      <w:marBottom w:val="0"/>
      <w:divBdr>
        <w:top w:val="none" w:sz="0" w:space="0" w:color="auto"/>
        <w:left w:val="none" w:sz="0" w:space="0" w:color="auto"/>
        <w:bottom w:val="none" w:sz="0" w:space="0" w:color="auto"/>
        <w:right w:val="none" w:sz="0" w:space="0" w:color="auto"/>
      </w:divBdr>
    </w:div>
    <w:div w:id="1528982782">
      <w:bodyDiv w:val="1"/>
      <w:marLeft w:val="0"/>
      <w:marRight w:val="0"/>
      <w:marTop w:val="0"/>
      <w:marBottom w:val="0"/>
      <w:divBdr>
        <w:top w:val="none" w:sz="0" w:space="0" w:color="auto"/>
        <w:left w:val="none" w:sz="0" w:space="0" w:color="auto"/>
        <w:bottom w:val="none" w:sz="0" w:space="0" w:color="auto"/>
        <w:right w:val="none" w:sz="0" w:space="0" w:color="auto"/>
      </w:divBdr>
    </w:div>
    <w:div w:id="1535579166">
      <w:bodyDiv w:val="1"/>
      <w:marLeft w:val="0"/>
      <w:marRight w:val="0"/>
      <w:marTop w:val="0"/>
      <w:marBottom w:val="0"/>
      <w:divBdr>
        <w:top w:val="none" w:sz="0" w:space="0" w:color="auto"/>
        <w:left w:val="none" w:sz="0" w:space="0" w:color="auto"/>
        <w:bottom w:val="none" w:sz="0" w:space="0" w:color="auto"/>
        <w:right w:val="none" w:sz="0" w:space="0" w:color="auto"/>
      </w:divBdr>
    </w:div>
    <w:div w:id="1535650344">
      <w:bodyDiv w:val="1"/>
      <w:marLeft w:val="0"/>
      <w:marRight w:val="0"/>
      <w:marTop w:val="0"/>
      <w:marBottom w:val="0"/>
      <w:divBdr>
        <w:top w:val="none" w:sz="0" w:space="0" w:color="auto"/>
        <w:left w:val="none" w:sz="0" w:space="0" w:color="auto"/>
        <w:bottom w:val="none" w:sz="0" w:space="0" w:color="auto"/>
        <w:right w:val="none" w:sz="0" w:space="0" w:color="auto"/>
      </w:divBdr>
    </w:div>
    <w:div w:id="1543442316">
      <w:bodyDiv w:val="1"/>
      <w:marLeft w:val="0"/>
      <w:marRight w:val="0"/>
      <w:marTop w:val="0"/>
      <w:marBottom w:val="0"/>
      <w:divBdr>
        <w:top w:val="none" w:sz="0" w:space="0" w:color="auto"/>
        <w:left w:val="none" w:sz="0" w:space="0" w:color="auto"/>
        <w:bottom w:val="none" w:sz="0" w:space="0" w:color="auto"/>
        <w:right w:val="none" w:sz="0" w:space="0" w:color="auto"/>
      </w:divBdr>
    </w:div>
    <w:div w:id="1589732327">
      <w:bodyDiv w:val="1"/>
      <w:marLeft w:val="0"/>
      <w:marRight w:val="0"/>
      <w:marTop w:val="0"/>
      <w:marBottom w:val="0"/>
      <w:divBdr>
        <w:top w:val="none" w:sz="0" w:space="0" w:color="auto"/>
        <w:left w:val="none" w:sz="0" w:space="0" w:color="auto"/>
        <w:bottom w:val="none" w:sz="0" w:space="0" w:color="auto"/>
        <w:right w:val="none" w:sz="0" w:space="0" w:color="auto"/>
      </w:divBdr>
    </w:div>
    <w:div w:id="1634824749">
      <w:bodyDiv w:val="1"/>
      <w:marLeft w:val="0"/>
      <w:marRight w:val="0"/>
      <w:marTop w:val="0"/>
      <w:marBottom w:val="0"/>
      <w:divBdr>
        <w:top w:val="none" w:sz="0" w:space="0" w:color="auto"/>
        <w:left w:val="none" w:sz="0" w:space="0" w:color="auto"/>
        <w:bottom w:val="none" w:sz="0" w:space="0" w:color="auto"/>
        <w:right w:val="none" w:sz="0" w:space="0" w:color="auto"/>
      </w:divBdr>
    </w:div>
    <w:div w:id="1649289387">
      <w:bodyDiv w:val="1"/>
      <w:marLeft w:val="0"/>
      <w:marRight w:val="0"/>
      <w:marTop w:val="0"/>
      <w:marBottom w:val="0"/>
      <w:divBdr>
        <w:top w:val="none" w:sz="0" w:space="0" w:color="auto"/>
        <w:left w:val="none" w:sz="0" w:space="0" w:color="auto"/>
        <w:bottom w:val="none" w:sz="0" w:space="0" w:color="auto"/>
        <w:right w:val="none" w:sz="0" w:space="0" w:color="auto"/>
      </w:divBdr>
    </w:div>
    <w:div w:id="1652369409">
      <w:bodyDiv w:val="1"/>
      <w:marLeft w:val="0"/>
      <w:marRight w:val="0"/>
      <w:marTop w:val="0"/>
      <w:marBottom w:val="0"/>
      <w:divBdr>
        <w:top w:val="none" w:sz="0" w:space="0" w:color="auto"/>
        <w:left w:val="none" w:sz="0" w:space="0" w:color="auto"/>
        <w:bottom w:val="none" w:sz="0" w:space="0" w:color="auto"/>
        <w:right w:val="none" w:sz="0" w:space="0" w:color="auto"/>
      </w:divBdr>
    </w:div>
    <w:div w:id="1653488745">
      <w:bodyDiv w:val="1"/>
      <w:marLeft w:val="0"/>
      <w:marRight w:val="0"/>
      <w:marTop w:val="0"/>
      <w:marBottom w:val="0"/>
      <w:divBdr>
        <w:top w:val="none" w:sz="0" w:space="0" w:color="auto"/>
        <w:left w:val="none" w:sz="0" w:space="0" w:color="auto"/>
        <w:bottom w:val="none" w:sz="0" w:space="0" w:color="auto"/>
        <w:right w:val="none" w:sz="0" w:space="0" w:color="auto"/>
      </w:divBdr>
    </w:div>
    <w:div w:id="1674726452">
      <w:bodyDiv w:val="1"/>
      <w:marLeft w:val="0"/>
      <w:marRight w:val="0"/>
      <w:marTop w:val="0"/>
      <w:marBottom w:val="0"/>
      <w:divBdr>
        <w:top w:val="none" w:sz="0" w:space="0" w:color="auto"/>
        <w:left w:val="none" w:sz="0" w:space="0" w:color="auto"/>
        <w:bottom w:val="none" w:sz="0" w:space="0" w:color="auto"/>
        <w:right w:val="none" w:sz="0" w:space="0" w:color="auto"/>
      </w:divBdr>
    </w:div>
    <w:div w:id="1696274381">
      <w:bodyDiv w:val="1"/>
      <w:marLeft w:val="0"/>
      <w:marRight w:val="0"/>
      <w:marTop w:val="0"/>
      <w:marBottom w:val="0"/>
      <w:divBdr>
        <w:top w:val="none" w:sz="0" w:space="0" w:color="auto"/>
        <w:left w:val="none" w:sz="0" w:space="0" w:color="auto"/>
        <w:bottom w:val="none" w:sz="0" w:space="0" w:color="auto"/>
        <w:right w:val="none" w:sz="0" w:space="0" w:color="auto"/>
      </w:divBdr>
    </w:div>
    <w:div w:id="1708097299">
      <w:bodyDiv w:val="1"/>
      <w:marLeft w:val="0"/>
      <w:marRight w:val="0"/>
      <w:marTop w:val="0"/>
      <w:marBottom w:val="0"/>
      <w:divBdr>
        <w:top w:val="none" w:sz="0" w:space="0" w:color="auto"/>
        <w:left w:val="none" w:sz="0" w:space="0" w:color="auto"/>
        <w:bottom w:val="none" w:sz="0" w:space="0" w:color="auto"/>
        <w:right w:val="none" w:sz="0" w:space="0" w:color="auto"/>
      </w:divBdr>
    </w:div>
    <w:div w:id="1714647482">
      <w:bodyDiv w:val="1"/>
      <w:marLeft w:val="0"/>
      <w:marRight w:val="0"/>
      <w:marTop w:val="0"/>
      <w:marBottom w:val="0"/>
      <w:divBdr>
        <w:top w:val="none" w:sz="0" w:space="0" w:color="auto"/>
        <w:left w:val="none" w:sz="0" w:space="0" w:color="auto"/>
        <w:bottom w:val="none" w:sz="0" w:space="0" w:color="auto"/>
        <w:right w:val="none" w:sz="0" w:space="0" w:color="auto"/>
      </w:divBdr>
    </w:div>
    <w:div w:id="1774131022">
      <w:bodyDiv w:val="1"/>
      <w:marLeft w:val="0"/>
      <w:marRight w:val="0"/>
      <w:marTop w:val="0"/>
      <w:marBottom w:val="0"/>
      <w:divBdr>
        <w:top w:val="none" w:sz="0" w:space="0" w:color="auto"/>
        <w:left w:val="none" w:sz="0" w:space="0" w:color="auto"/>
        <w:bottom w:val="none" w:sz="0" w:space="0" w:color="auto"/>
        <w:right w:val="none" w:sz="0" w:space="0" w:color="auto"/>
      </w:divBdr>
    </w:div>
    <w:div w:id="1801462069">
      <w:bodyDiv w:val="1"/>
      <w:marLeft w:val="0"/>
      <w:marRight w:val="0"/>
      <w:marTop w:val="0"/>
      <w:marBottom w:val="0"/>
      <w:divBdr>
        <w:top w:val="none" w:sz="0" w:space="0" w:color="auto"/>
        <w:left w:val="none" w:sz="0" w:space="0" w:color="auto"/>
        <w:bottom w:val="none" w:sz="0" w:space="0" w:color="auto"/>
        <w:right w:val="none" w:sz="0" w:space="0" w:color="auto"/>
      </w:divBdr>
    </w:div>
    <w:div w:id="1802305680">
      <w:bodyDiv w:val="1"/>
      <w:marLeft w:val="0"/>
      <w:marRight w:val="0"/>
      <w:marTop w:val="0"/>
      <w:marBottom w:val="0"/>
      <w:divBdr>
        <w:top w:val="none" w:sz="0" w:space="0" w:color="auto"/>
        <w:left w:val="none" w:sz="0" w:space="0" w:color="auto"/>
        <w:bottom w:val="none" w:sz="0" w:space="0" w:color="auto"/>
        <w:right w:val="none" w:sz="0" w:space="0" w:color="auto"/>
      </w:divBdr>
    </w:div>
    <w:div w:id="1802722170">
      <w:bodyDiv w:val="1"/>
      <w:marLeft w:val="0"/>
      <w:marRight w:val="0"/>
      <w:marTop w:val="0"/>
      <w:marBottom w:val="0"/>
      <w:divBdr>
        <w:top w:val="none" w:sz="0" w:space="0" w:color="auto"/>
        <w:left w:val="none" w:sz="0" w:space="0" w:color="auto"/>
        <w:bottom w:val="none" w:sz="0" w:space="0" w:color="auto"/>
        <w:right w:val="none" w:sz="0" w:space="0" w:color="auto"/>
      </w:divBdr>
    </w:div>
    <w:div w:id="1846280957">
      <w:bodyDiv w:val="1"/>
      <w:marLeft w:val="0"/>
      <w:marRight w:val="0"/>
      <w:marTop w:val="0"/>
      <w:marBottom w:val="0"/>
      <w:divBdr>
        <w:top w:val="none" w:sz="0" w:space="0" w:color="auto"/>
        <w:left w:val="none" w:sz="0" w:space="0" w:color="auto"/>
        <w:bottom w:val="none" w:sz="0" w:space="0" w:color="auto"/>
        <w:right w:val="none" w:sz="0" w:space="0" w:color="auto"/>
      </w:divBdr>
    </w:div>
    <w:div w:id="1849908953">
      <w:bodyDiv w:val="1"/>
      <w:marLeft w:val="0"/>
      <w:marRight w:val="0"/>
      <w:marTop w:val="0"/>
      <w:marBottom w:val="0"/>
      <w:divBdr>
        <w:top w:val="none" w:sz="0" w:space="0" w:color="auto"/>
        <w:left w:val="none" w:sz="0" w:space="0" w:color="auto"/>
        <w:bottom w:val="none" w:sz="0" w:space="0" w:color="auto"/>
        <w:right w:val="none" w:sz="0" w:space="0" w:color="auto"/>
      </w:divBdr>
    </w:div>
    <w:div w:id="1868564104">
      <w:bodyDiv w:val="1"/>
      <w:marLeft w:val="0"/>
      <w:marRight w:val="0"/>
      <w:marTop w:val="0"/>
      <w:marBottom w:val="0"/>
      <w:divBdr>
        <w:top w:val="none" w:sz="0" w:space="0" w:color="auto"/>
        <w:left w:val="none" w:sz="0" w:space="0" w:color="auto"/>
        <w:bottom w:val="none" w:sz="0" w:space="0" w:color="auto"/>
        <w:right w:val="none" w:sz="0" w:space="0" w:color="auto"/>
      </w:divBdr>
    </w:div>
    <w:div w:id="1872955759">
      <w:bodyDiv w:val="1"/>
      <w:marLeft w:val="0"/>
      <w:marRight w:val="0"/>
      <w:marTop w:val="0"/>
      <w:marBottom w:val="0"/>
      <w:divBdr>
        <w:top w:val="none" w:sz="0" w:space="0" w:color="auto"/>
        <w:left w:val="none" w:sz="0" w:space="0" w:color="auto"/>
        <w:bottom w:val="none" w:sz="0" w:space="0" w:color="auto"/>
        <w:right w:val="none" w:sz="0" w:space="0" w:color="auto"/>
      </w:divBdr>
    </w:div>
    <w:div w:id="1974407386">
      <w:bodyDiv w:val="1"/>
      <w:marLeft w:val="0"/>
      <w:marRight w:val="0"/>
      <w:marTop w:val="0"/>
      <w:marBottom w:val="0"/>
      <w:divBdr>
        <w:top w:val="none" w:sz="0" w:space="0" w:color="auto"/>
        <w:left w:val="none" w:sz="0" w:space="0" w:color="auto"/>
        <w:bottom w:val="none" w:sz="0" w:space="0" w:color="auto"/>
        <w:right w:val="none" w:sz="0" w:space="0" w:color="auto"/>
      </w:divBdr>
    </w:div>
    <w:div w:id="2002542419">
      <w:bodyDiv w:val="1"/>
      <w:marLeft w:val="0"/>
      <w:marRight w:val="0"/>
      <w:marTop w:val="0"/>
      <w:marBottom w:val="0"/>
      <w:divBdr>
        <w:top w:val="none" w:sz="0" w:space="0" w:color="auto"/>
        <w:left w:val="none" w:sz="0" w:space="0" w:color="auto"/>
        <w:bottom w:val="none" w:sz="0" w:space="0" w:color="auto"/>
        <w:right w:val="none" w:sz="0" w:space="0" w:color="auto"/>
      </w:divBdr>
    </w:div>
    <w:div w:id="2014454707">
      <w:bodyDiv w:val="1"/>
      <w:marLeft w:val="0"/>
      <w:marRight w:val="0"/>
      <w:marTop w:val="0"/>
      <w:marBottom w:val="0"/>
      <w:divBdr>
        <w:top w:val="none" w:sz="0" w:space="0" w:color="auto"/>
        <w:left w:val="none" w:sz="0" w:space="0" w:color="auto"/>
        <w:bottom w:val="none" w:sz="0" w:space="0" w:color="auto"/>
        <w:right w:val="none" w:sz="0" w:space="0" w:color="auto"/>
      </w:divBdr>
    </w:div>
    <w:div w:id="2020236575">
      <w:bodyDiv w:val="1"/>
      <w:marLeft w:val="0"/>
      <w:marRight w:val="0"/>
      <w:marTop w:val="0"/>
      <w:marBottom w:val="0"/>
      <w:divBdr>
        <w:top w:val="none" w:sz="0" w:space="0" w:color="auto"/>
        <w:left w:val="none" w:sz="0" w:space="0" w:color="auto"/>
        <w:bottom w:val="none" w:sz="0" w:space="0" w:color="auto"/>
        <w:right w:val="none" w:sz="0" w:space="0" w:color="auto"/>
      </w:divBdr>
    </w:div>
    <w:div w:id="2038776758">
      <w:bodyDiv w:val="1"/>
      <w:marLeft w:val="0"/>
      <w:marRight w:val="0"/>
      <w:marTop w:val="0"/>
      <w:marBottom w:val="0"/>
      <w:divBdr>
        <w:top w:val="none" w:sz="0" w:space="0" w:color="auto"/>
        <w:left w:val="none" w:sz="0" w:space="0" w:color="auto"/>
        <w:bottom w:val="none" w:sz="0" w:space="0" w:color="auto"/>
        <w:right w:val="none" w:sz="0" w:space="0" w:color="auto"/>
      </w:divBdr>
    </w:div>
    <w:div w:id="2049258312">
      <w:bodyDiv w:val="1"/>
      <w:marLeft w:val="0"/>
      <w:marRight w:val="0"/>
      <w:marTop w:val="0"/>
      <w:marBottom w:val="0"/>
      <w:divBdr>
        <w:top w:val="none" w:sz="0" w:space="0" w:color="auto"/>
        <w:left w:val="none" w:sz="0" w:space="0" w:color="auto"/>
        <w:bottom w:val="none" w:sz="0" w:space="0" w:color="auto"/>
        <w:right w:val="none" w:sz="0" w:space="0" w:color="auto"/>
      </w:divBdr>
    </w:div>
    <w:div w:id="2054033705">
      <w:bodyDiv w:val="1"/>
      <w:marLeft w:val="0"/>
      <w:marRight w:val="0"/>
      <w:marTop w:val="0"/>
      <w:marBottom w:val="0"/>
      <w:divBdr>
        <w:top w:val="none" w:sz="0" w:space="0" w:color="auto"/>
        <w:left w:val="none" w:sz="0" w:space="0" w:color="auto"/>
        <w:bottom w:val="none" w:sz="0" w:space="0" w:color="auto"/>
        <w:right w:val="none" w:sz="0" w:space="0" w:color="auto"/>
      </w:divBdr>
    </w:div>
    <w:div w:id="2071032834">
      <w:bodyDiv w:val="1"/>
      <w:marLeft w:val="0"/>
      <w:marRight w:val="0"/>
      <w:marTop w:val="0"/>
      <w:marBottom w:val="0"/>
      <w:divBdr>
        <w:top w:val="none" w:sz="0" w:space="0" w:color="auto"/>
        <w:left w:val="none" w:sz="0" w:space="0" w:color="auto"/>
        <w:bottom w:val="none" w:sz="0" w:space="0" w:color="auto"/>
        <w:right w:val="none" w:sz="0" w:space="0" w:color="auto"/>
      </w:divBdr>
    </w:div>
    <w:div w:id="2071534195">
      <w:bodyDiv w:val="1"/>
      <w:marLeft w:val="0"/>
      <w:marRight w:val="0"/>
      <w:marTop w:val="0"/>
      <w:marBottom w:val="0"/>
      <w:divBdr>
        <w:top w:val="none" w:sz="0" w:space="0" w:color="auto"/>
        <w:left w:val="none" w:sz="0" w:space="0" w:color="auto"/>
        <w:bottom w:val="none" w:sz="0" w:space="0" w:color="auto"/>
        <w:right w:val="none" w:sz="0" w:space="0" w:color="auto"/>
      </w:divBdr>
    </w:div>
    <w:div w:id="2087846674">
      <w:bodyDiv w:val="1"/>
      <w:marLeft w:val="0"/>
      <w:marRight w:val="0"/>
      <w:marTop w:val="0"/>
      <w:marBottom w:val="0"/>
      <w:divBdr>
        <w:top w:val="none" w:sz="0" w:space="0" w:color="auto"/>
        <w:left w:val="none" w:sz="0" w:space="0" w:color="auto"/>
        <w:bottom w:val="none" w:sz="0" w:space="0" w:color="auto"/>
        <w:right w:val="none" w:sz="0" w:space="0" w:color="auto"/>
      </w:divBdr>
    </w:div>
    <w:div w:id="2121991354">
      <w:bodyDiv w:val="1"/>
      <w:marLeft w:val="0"/>
      <w:marRight w:val="0"/>
      <w:marTop w:val="0"/>
      <w:marBottom w:val="0"/>
      <w:divBdr>
        <w:top w:val="none" w:sz="0" w:space="0" w:color="auto"/>
        <w:left w:val="none" w:sz="0" w:space="0" w:color="auto"/>
        <w:bottom w:val="none" w:sz="0" w:space="0" w:color="auto"/>
        <w:right w:val="none" w:sz="0" w:space="0" w:color="auto"/>
      </w:divBdr>
    </w:div>
    <w:div w:id="214592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DDBF8EA4AC10409E5DD136B884FF26" ma:contentTypeVersion="11" ma:contentTypeDescription="Crear nuevo documento." ma:contentTypeScope="" ma:versionID="8abb819c02b1fcf58d9106ff1e0d5803">
  <xsd:schema xmlns:xsd="http://www.w3.org/2001/XMLSchema" xmlns:xs="http://www.w3.org/2001/XMLSchema" xmlns:p="http://schemas.microsoft.com/office/2006/metadata/properties" xmlns:ns2="dc013113-1dca-4df1-85dc-f9b02cbd6c8a" xmlns:ns3="59649a11-d5e3-4d79-a1ca-9592dfa242c6" targetNamespace="http://schemas.microsoft.com/office/2006/metadata/properties" ma:root="true" ma:fieldsID="3b9fa4963427682d7c8109db382083d7" ns2:_="" ns3:_="">
    <xsd:import namespace="dc013113-1dca-4df1-85dc-f9b02cbd6c8a"/>
    <xsd:import namespace="59649a11-d5e3-4d79-a1ca-9592dfa242c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3113-1dca-4df1-85dc-f9b02cbd6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649a11-d5e3-4d79-a1ca-9592dfa242c6"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17" nillable="true" ma:displayName="Taxonomy Catch All Column" ma:hidden="true" ma:list="{0083b729-77ee-4b02-ac0b-cf44bfe93552}" ma:internalName="TaxCatchAll" ma:showField="CatchAllData" ma:web="59649a11-d5e3-4d79-a1ca-9592dfa24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9649a11-d5e3-4d79-a1ca-9592dfa242c6" xsi:nil="true"/>
    <lcf76f155ced4ddcb4097134ff3c332f xmlns="dc013113-1dca-4df1-85dc-f9b02cbd6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C824D4-C9C4-4CDD-A6FB-B11C209FD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3113-1dca-4df1-85dc-f9b02cbd6c8a"/>
    <ds:schemaRef ds:uri="59649a11-d5e3-4d79-a1ca-9592dfa24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CA19A-37FE-49D9-9769-7B31F71F3062}">
  <ds:schemaRefs>
    <ds:schemaRef ds:uri="http://schemas.microsoft.com/sharepoint/v3/contenttype/forms"/>
  </ds:schemaRefs>
</ds:datastoreItem>
</file>

<file path=customXml/itemProps3.xml><?xml version="1.0" encoding="utf-8"?>
<ds:datastoreItem xmlns:ds="http://schemas.openxmlformats.org/officeDocument/2006/customXml" ds:itemID="{9E3E9890-F5F7-4AE5-8A97-73338ED2869C}">
  <ds:schemaRefs>
    <ds:schemaRef ds:uri="http://schemas.openxmlformats.org/officeDocument/2006/bibliography"/>
  </ds:schemaRefs>
</ds:datastoreItem>
</file>

<file path=customXml/itemProps4.xml><?xml version="1.0" encoding="utf-8"?>
<ds:datastoreItem xmlns:ds="http://schemas.openxmlformats.org/officeDocument/2006/customXml" ds:itemID="{35086089-728B-40AF-9CD3-2A231528A642}">
  <ds:schemaRefs>
    <ds:schemaRef ds:uri="http://schemas.microsoft.com/office/2006/metadata/properties"/>
    <ds:schemaRef ds:uri="http://schemas.microsoft.com/office/infopath/2007/PartnerControls"/>
    <ds:schemaRef ds:uri="59649a11-d5e3-4d79-a1ca-9592dfa242c6"/>
    <ds:schemaRef ds:uri="dc013113-1dca-4df1-85dc-f9b02cbd6c8a"/>
  </ds:schemaRefs>
</ds:datastoreItem>
</file>

<file path=docProps/app.xml><?xml version="1.0" encoding="utf-8"?>
<Properties xmlns="http://schemas.openxmlformats.org/officeDocument/2006/extended-properties" xmlns:vt="http://schemas.openxmlformats.org/officeDocument/2006/docPropsVTypes">
  <Template>PLANTILLA1</Template>
  <TotalTime>12</TotalTime>
  <Pages>47</Pages>
  <Words>22505</Words>
  <Characters>123241</Characters>
  <Application>Microsoft Office Word</Application>
  <DocSecurity>0</DocSecurity>
  <Lines>1027</Lines>
  <Paragraphs>290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145456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5</cp:revision>
  <cp:lastPrinted>2022-07-25T22:31:00Z</cp:lastPrinted>
  <dcterms:created xsi:type="dcterms:W3CDTF">2022-07-25T22:20:00Z</dcterms:created>
  <dcterms:modified xsi:type="dcterms:W3CDTF">2022-07-25T22:32:00Z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0x010100F9DDBF8EA4AC10409E5DD136B884FF26</vt:lpwstr>
  </property>
  <property fmtid="{D5CDD505-2E9C-101B-9397-08002B2CF9AE}" pid="3" name="MediaServiceImageTags">
    <vt:lpwstr/>
  </property>
</Properties>
</file>