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A1BF" w14:textId="77777777" w:rsidR="00625DC6" w:rsidRPr="00B33523" w:rsidRDefault="00611415" w:rsidP="00012259">
      <w:pPr>
        <w:pStyle w:val="Encabezado"/>
        <w:tabs>
          <w:tab w:val="clear" w:pos="8504"/>
          <w:tab w:val="left" w:pos="0"/>
          <w:tab w:val="right" w:pos="9356"/>
        </w:tabs>
        <w:ind w:left="0"/>
        <w:jc w:val="both"/>
        <w:rPr>
          <w:rFonts w:ascii="Bookman Old Style" w:hAnsi="Bookman Old Style" w:cs="Arial"/>
          <w:szCs w:val="24"/>
        </w:rPr>
      </w:pPr>
      <w:r>
        <w:rPr>
          <w:rFonts w:ascii="Bookman Old Style" w:hAnsi="Bookman Old Style" w:cs="Arial"/>
          <w:noProof/>
          <w:szCs w:val="24"/>
        </w:rPr>
        <w:object w:dxaOrig="1440" w:dyaOrig="1440" w14:anchorId="51E2E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pt;margin-top:-54.05pt;width:46.05pt;height:47.35pt;z-index:251657728" fillcolor="#0c9">
            <v:imagedata r:id="rId7" o:title=""/>
          </v:shape>
          <o:OLEObject Type="Embed" ProgID="PBrush" ShapeID="_x0000_s2050" DrawAspect="Content" ObjectID="_1745067213" r:id="rId8"/>
        </w:object>
      </w:r>
    </w:p>
    <w:p w14:paraId="5CD8FDD3" w14:textId="77777777" w:rsidR="00CA77FB" w:rsidRPr="00B33523" w:rsidRDefault="00CA77FB" w:rsidP="006238C6">
      <w:pPr>
        <w:pStyle w:val="Ttulo4"/>
        <w:tabs>
          <w:tab w:val="left" w:pos="0"/>
          <w:tab w:val="right" w:pos="9356"/>
        </w:tabs>
        <w:ind w:left="0"/>
        <w:rPr>
          <w:rFonts w:ascii="Bookman Old Style" w:hAnsi="Bookman Old Style"/>
          <w:b w:val="0"/>
          <w:bCs/>
          <w:noProof/>
          <w:sz w:val="24"/>
          <w:szCs w:val="24"/>
          <w:lang w:val="es-ES"/>
        </w:rPr>
      </w:pPr>
      <w:r w:rsidRPr="00B33523">
        <w:rPr>
          <w:rFonts w:ascii="Bookman Old Style" w:hAnsi="Bookman Old Style"/>
          <w:b w:val="0"/>
          <w:bCs/>
          <w:sz w:val="24"/>
          <w:szCs w:val="24"/>
        </w:rPr>
        <w:t>Ministerio de Minas y Energía</w:t>
      </w:r>
    </w:p>
    <w:p w14:paraId="0B8E60E5" w14:textId="77777777" w:rsidR="00CA77FB" w:rsidRPr="00B33523" w:rsidRDefault="00CA77FB" w:rsidP="006238C6">
      <w:pPr>
        <w:pStyle w:val="Ttulo4"/>
        <w:tabs>
          <w:tab w:val="left" w:pos="0"/>
          <w:tab w:val="right" w:pos="9356"/>
        </w:tabs>
        <w:ind w:left="0"/>
        <w:rPr>
          <w:rFonts w:ascii="Bookman Old Style" w:hAnsi="Bookman Old Style"/>
          <w:b w:val="0"/>
          <w:bCs/>
          <w:sz w:val="24"/>
          <w:szCs w:val="24"/>
        </w:rPr>
      </w:pPr>
    </w:p>
    <w:p w14:paraId="7027F17A" w14:textId="77777777" w:rsidR="00CA77FB" w:rsidRPr="00B33523" w:rsidRDefault="00CA77FB" w:rsidP="006238C6">
      <w:pPr>
        <w:pStyle w:val="Ttulo3"/>
        <w:tabs>
          <w:tab w:val="left" w:pos="0"/>
          <w:tab w:val="right" w:pos="9356"/>
        </w:tabs>
        <w:ind w:left="0"/>
        <w:rPr>
          <w:rFonts w:ascii="Bookman Old Style" w:hAnsi="Bookman Old Style" w:cs="Arial"/>
          <w:spacing w:val="20"/>
          <w:szCs w:val="24"/>
        </w:rPr>
      </w:pPr>
      <w:r w:rsidRPr="00B33523">
        <w:rPr>
          <w:rFonts w:ascii="Bookman Old Style" w:hAnsi="Bookman Old Style" w:cs="Arial"/>
          <w:spacing w:val="20"/>
          <w:szCs w:val="24"/>
        </w:rPr>
        <w:t>COMISIÓN DE REGULACIÓN DE ENERGÍA Y GAS</w:t>
      </w:r>
    </w:p>
    <w:p w14:paraId="4767CFAE" w14:textId="77777777" w:rsidR="00CA77FB" w:rsidRPr="00B33523" w:rsidRDefault="00CA77FB" w:rsidP="006238C6">
      <w:pPr>
        <w:pStyle w:val="Ttulo5"/>
        <w:tabs>
          <w:tab w:val="left" w:pos="0"/>
          <w:tab w:val="right" w:pos="9356"/>
        </w:tabs>
        <w:ind w:left="0"/>
        <w:rPr>
          <w:rFonts w:ascii="Bookman Old Style" w:hAnsi="Bookman Old Style"/>
          <w:sz w:val="24"/>
          <w:szCs w:val="24"/>
        </w:rPr>
      </w:pPr>
    </w:p>
    <w:p w14:paraId="74971183" w14:textId="77777777" w:rsidR="00CA77FB" w:rsidRPr="00B33523" w:rsidRDefault="00CA77FB" w:rsidP="006238C6">
      <w:pPr>
        <w:pStyle w:val="Ttulo5"/>
        <w:tabs>
          <w:tab w:val="left" w:pos="0"/>
          <w:tab w:val="right" w:pos="9356"/>
        </w:tabs>
        <w:ind w:left="0"/>
        <w:rPr>
          <w:rFonts w:ascii="Bookman Old Style" w:hAnsi="Bookman Old Style"/>
          <w:sz w:val="24"/>
          <w:szCs w:val="24"/>
        </w:rPr>
      </w:pPr>
    </w:p>
    <w:p w14:paraId="6287BD7B" w14:textId="1A8EA1DF" w:rsidR="00CA77FB" w:rsidRPr="00B33523" w:rsidRDefault="00CA77FB" w:rsidP="006238C6">
      <w:pPr>
        <w:pStyle w:val="Ttulo5"/>
        <w:tabs>
          <w:tab w:val="left" w:pos="0"/>
          <w:tab w:val="right" w:pos="9356"/>
        </w:tabs>
        <w:ind w:left="0"/>
        <w:rPr>
          <w:rFonts w:ascii="Bookman Old Style" w:hAnsi="Bookman Old Style"/>
          <w:sz w:val="24"/>
          <w:szCs w:val="24"/>
        </w:rPr>
      </w:pPr>
      <w:r w:rsidRPr="00B33523">
        <w:rPr>
          <w:rFonts w:ascii="Bookman Old Style" w:hAnsi="Bookman Old Style"/>
          <w:sz w:val="24"/>
          <w:szCs w:val="24"/>
        </w:rPr>
        <w:t xml:space="preserve">RESOLUCIÓN No. </w:t>
      </w:r>
      <w:r w:rsidR="00B33523" w:rsidRPr="00781565">
        <w:rPr>
          <w:rFonts w:ascii="Bookman Old Style" w:hAnsi="Bookman Old Style"/>
          <w:sz w:val="32"/>
          <w:szCs w:val="32"/>
        </w:rPr>
        <w:t>501 0</w:t>
      </w:r>
      <w:r w:rsidR="00781565" w:rsidRPr="00781565">
        <w:rPr>
          <w:rFonts w:ascii="Bookman Old Style" w:hAnsi="Bookman Old Style"/>
          <w:sz w:val="32"/>
          <w:szCs w:val="32"/>
        </w:rPr>
        <w:t>0</w:t>
      </w:r>
      <w:r w:rsidR="00781565">
        <w:rPr>
          <w:rFonts w:ascii="Bookman Old Style" w:hAnsi="Bookman Old Style"/>
          <w:sz w:val="32"/>
          <w:szCs w:val="32"/>
        </w:rPr>
        <w:t>5</w:t>
      </w:r>
      <w:r w:rsidR="00795BFB" w:rsidRPr="00781565">
        <w:rPr>
          <w:rFonts w:ascii="Bookman Old Style" w:hAnsi="Bookman Old Style"/>
          <w:sz w:val="32"/>
          <w:szCs w:val="32"/>
        </w:rPr>
        <w:t xml:space="preserve"> </w:t>
      </w:r>
    </w:p>
    <w:p w14:paraId="0C7D114C" w14:textId="77777777" w:rsidR="00CA77FB" w:rsidRPr="00B33523" w:rsidRDefault="00CA77FB" w:rsidP="006238C6">
      <w:pPr>
        <w:tabs>
          <w:tab w:val="left" w:pos="0"/>
          <w:tab w:val="right" w:pos="9356"/>
        </w:tabs>
        <w:ind w:left="0"/>
        <w:jc w:val="center"/>
        <w:rPr>
          <w:rFonts w:ascii="Bookman Old Style" w:hAnsi="Bookman Old Style" w:cs="Arial"/>
          <w:b/>
          <w:snapToGrid w:val="0"/>
          <w:color w:val="000000"/>
          <w:lang w:val="es-ES_tradnl"/>
        </w:rPr>
      </w:pPr>
    </w:p>
    <w:p w14:paraId="350D3C85" w14:textId="687DB8A9" w:rsidR="00CA77FB" w:rsidRPr="00B33523" w:rsidRDefault="00CA77FB" w:rsidP="00781565">
      <w:pPr>
        <w:pStyle w:val="Ttulo3"/>
        <w:tabs>
          <w:tab w:val="left" w:pos="0"/>
          <w:tab w:val="right" w:pos="9356"/>
        </w:tabs>
        <w:ind w:left="0"/>
        <w:rPr>
          <w:rFonts w:ascii="Bookman Old Style" w:hAnsi="Bookman Old Style" w:cs="Arial"/>
          <w:b w:val="0"/>
          <w:szCs w:val="24"/>
        </w:rPr>
      </w:pPr>
      <w:r w:rsidRPr="00B33523">
        <w:rPr>
          <w:rFonts w:ascii="Bookman Old Style" w:hAnsi="Bookman Old Style" w:cs="Arial"/>
          <w:b w:val="0"/>
          <w:szCs w:val="24"/>
        </w:rPr>
        <w:t>(</w:t>
      </w:r>
      <w:r w:rsidR="007650E9" w:rsidRPr="00781565">
        <w:rPr>
          <w:rFonts w:ascii="Bookman Old Style" w:hAnsi="Bookman Old Style" w:cs="Arial"/>
          <w:bCs/>
          <w:sz w:val="28"/>
          <w:szCs w:val="28"/>
        </w:rPr>
        <w:t xml:space="preserve">17 FEB. </w:t>
      </w:r>
      <w:r w:rsidR="00B33523" w:rsidRPr="00781565">
        <w:rPr>
          <w:rFonts w:ascii="Bookman Old Style" w:hAnsi="Bookman Old Style" w:cs="Arial"/>
          <w:bCs/>
          <w:sz w:val="28"/>
          <w:szCs w:val="28"/>
        </w:rPr>
        <w:t>202</w:t>
      </w:r>
      <w:r w:rsidR="009F646F" w:rsidRPr="00781565">
        <w:rPr>
          <w:rFonts w:ascii="Bookman Old Style" w:hAnsi="Bookman Old Style" w:cs="Arial"/>
          <w:bCs/>
          <w:sz w:val="28"/>
          <w:szCs w:val="28"/>
        </w:rPr>
        <w:t>3</w:t>
      </w:r>
      <w:r w:rsidRPr="00B33523">
        <w:rPr>
          <w:rFonts w:ascii="Bookman Old Style" w:hAnsi="Bookman Old Style" w:cs="Arial"/>
          <w:b w:val="0"/>
          <w:szCs w:val="24"/>
        </w:rPr>
        <w:t>)</w:t>
      </w:r>
    </w:p>
    <w:p w14:paraId="15A71B8E" w14:textId="77777777" w:rsidR="00B351B4" w:rsidRPr="00B33523" w:rsidRDefault="00B351B4" w:rsidP="006238C6">
      <w:pPr>
        <w:tabs>
          <w:tab w:val="left" w:pos="0"/>
          <w:tab w:val="right" w:pos="9356"/>
        </w:tabs>
        <w:ind w:left="0"/>
        <w:rPr>
          <w:rFonts w:ascii="Bookman Old Style" w:hAnsi="Bookman Old Style" w:cs="Arial"/>
          <w:bCs/>
          <w:lang w:val="es-CO"/>
        </w:rPr>
      </w:pPr>
    </w:p>
    <w:p w14:paraId="46D8C664" w14:textId="66765015" w:rsidR="00045D3D" w:rsidRPr="00B33523" w:rsidRDefault="00045D3D" w:rsidP="00045D3D">
      <w:pPr>
        <w:ind w:left="0"/>
        <w:jc w:val="center"/>
        <w:rPr>
          <w:rFonts w:ascii="Bookman Old Style" w:hAnsi="Bookman Old Style" w:cs="Arial"/>
        </w:rPr>
      </w:pPr>
      <w:r w:rsidRPr="00B33523">
        <w:rPr>
          <w:rFonts w:ascii="Bookman Old Style" w:hAnsi="Bookman Old Style" w:cs="Arial"/>
        </w:rPr>
        <w:t>Por</w:t>
      </w:r>
      <w:r w:rsidR="00D00036" w:rsidRPr="00B33523">
        <w:rPr>
          <w:rFonts w:ascii="Bookman Old Style" w:hAnsi="Bookman Old Style" w:cs="Arial"/>
        </w:rPr>
        <w:t xml:space="preserve"> la cual se a</w:t>
      </w:r>
      <w:r w:rsidR="00514506">
        <w:rPr>
          <w:rFonts w:ascii="Bookman Old Style" w:hAnsi="Bookman Old Style" w:cs="Arial"/>
        </w:rPr>
        <w:t>ctualiza el agente encargado de la</w:t>
      </w:r>
      <w:r w:rsidR="00D00036" w:rsidRPr="00B33523">
        <w:rPr>
          <w:rFonts w:ascii="Bookman Old Style" w:hAnsi="Bookman Old Style" w:cs="Arial"/>
        </w:rPr>
        <w:t xml:space="preserve"> representación de </w:t>
      </w:r>
      <w:r w:rsidR="00A80376" w:rsidRPr="00B33523">
        <w:rPr>
          <w:rFonts w:ascii="Bookman Old Style" w:hAnsi="Bookman Old Style" w:cs="Arial"/>
        </w:rPr>
        <w:t xml:space="preserve">la </w:t>
      </w:r>
      <w:r w:rsidR="009F646F">
        <w:rPr>
          <w:rFonts w:ascii="Bookman Old Style" w:hAnsi="Bookman Old Style" w:cs="Arial"/>
        </w:rPr>
        <w:t xml:space="preserve">subestación </w:t>
      </w:r>
      <w:r w:rsidR="00E10ED4">
        <w:rPr>
          <w:rFonts w:ascii="Bookman Old Style" w:hAnsi="Bookman Old Style" w:cs="Arial"/>
        </w:rPr>
        <w:t>El Río</w:t>
      </w:r>
      <w:r w:rsidR="00584A19" w:rsidRPr="00B33523">
        <w:rPr>
          <w:rFonts w:ascii="Bookman Old Style" w:hAnsi="Bookman Old Style" w:cs="Arial"/>
        </w:rPr>
        <w:t>,</w:t>
      </w:r>
      <w:r w:rsidR="00A80376" w:rsidRPr="00B33523">
        <w:rPr>
          <w:rFonts w:ascii="Bookman Old Style" w:hAnsi="Bookman Old Style" w:cs="Arial"/>
        </w:rPr>
        <w:t xml:space="preserve"> </w:t>
      </w:r>
      <w:r w:rsidR="00E10ED4">
        <w:rPr>
          <w:rFonts w:ascii="Bookman Old Style" w:hAnsi="Bookman Old Style" w:cs="Arial"/>
        </w:rPr>
        <w:t>220</w:t>
      </w:r>
      <w:r w:rsidR="00A80376" w:rsidRPr="00B33523">
        <w:rPr>
          <w:rFonts w:ascii="Bookman Old Style" w:hAnsi="Bookman Old Style" w:cs="Arial"/>
        </w:rPr>
        <w:t xml:space="preserve"> kV</w:t>
      </w:r>
      <w:r w:rsidR="00584A19" w:rsidRPr="00B33523">
        <w:rPr>
          <w:rFonts w:ascii="Bookman Old Style" w:hAnsi="Bookman Old Style" w:cs="Arial"/>
        </w:rPr>
        <w:t>,</w:t>
      </w:r>
      <w:r w:rsidR="00A80376" w:rsidRPr="00B33523">
        <w:rPr>
          <w:rFonts w:ascii="Bookman Old Style" w:hAnsi="Bookman Old Style" w:cs="Arial"/>
        </w:rPr>
        <w:t xml:space="preserve"> </w:t>
      </w:r>
      <w:r w:rsidR="00D00036" w:rsidRPr="00B33523">
        <w:rPr>
          <w:rFonts w:ascii="Bookman Old Style" w:hAnsi="Bookman Old Style" w:cs="Arial"/>
        </w:rPr>
        <w:t>del Sistema de Transmisión Nacional</w:t>
      </w:r>
      <w:r w:rsidRPr="00B33523">
        <w:rPr>
          <w:rFonts w:ascii="Bookman Old Style" w:hAnsi="Bookman Old Style" w:cs="Arial"/>
        </w:rPr>
        <w:t xml:space="preserve"> </w:t>
      </w:r>
    </w:p>
    <w:p w14:paraId="053FCB54" w14:textId="4595CEAA" w:rsidR="00045D3D" w:rsidRPr="00B33523" w:rsidRDefault="00045D3D" w:rsidP="006238C6">
      <w:pPr>
        <w:tabs>
          <w:tab w:val="left" w:pos="0"/>
          <w:tab w:val="right" w:pos="9356"/>
        </w:tabs>
        <w:ind w:left="0"/>
        <w:rPr>
          <w:rFonts w:ascii="Bookman Old Style" w:hAnsi="Bookman Old Style" w:cs="Arial"/>
          <w:bCs/>
          <w:lang w:val="es-CO"/>
        </w:rPr>
      </w:pPr>
    </w:p>
    <w:p w14:paraId="1F2626FA" w14:textId="77777777" w:rsidR="006238C6" w:rsidRPr="00B33523" w:rsidRDefault="006238C6" w:rsidP="006238C6">
      <w:pPr>
        <w:tabs>
          <w:tab w:val="left" w:pos="0"/>
          <w:tab w:val="right" w:pos="9356"/>
        </w:tabs>
        <w:ind w:left="0"/>
        <w:rPr>
          <w:rFonts w:ascii="Bookman Old Style" w:hAnsi="Bookman Old Style" w:cs="Arial"/>
          <w:bCs/>
          <w:lang w:val="es-CO"/>
        </w:rPr>
      </w:pPr>
    </w:p>
    <w:p w14:paraId="7B67FAFA" w14:textId="77777777" w:rsidR="00045D3D" w:rsidRPr="00B33523" w:rsidRDefault="00045D3D" w:rsidP="00496551">
      <w:pPr>
        <w:ind w:left="0" w:right="51"/>
        <w:jc w:val="center"/>
        <w:rPr>
          <w:rFonts w:ascii="Bookman Old Style" w:hAnsi="Bookman Old Style" w:cs="Arial"/>
          <w:b/>
        </w:rPr>
      </w:pPr>
      <w:r w:rsidRPr="00B33523">
        <w:rPr>
          <w:rFonts w:ascii="Bookman Old Style" w:hAnsi="Bookman Old Style" w:cs="Arial"/>
          <w:b/>
        </w:rPr>
        <w:t xml:space="preserve">LA COMISIÓN DE REGULACIÓN </w:t>
      </w:r>
      <w:r w:rsidR="007B5A60" w:rsidRPr="00B33523">
        <w:rPr>
          <w:rFonts w:ascii="Bookman Old Style" w:hAnsi="Bookman Old Style" w:cs="Arial"/>
          <w:b/>
        </w:rPr>
        <w:t>DE ENERGÍA</w:t>
      </w:r>
      <w:r w:rsidRPr="00B33523">
        <w:rPr>
          <w:rFonts w:ascii="Bookman Old Style" w:hAnsi="Bookman Old Style" w:cs="Arial"/>
          <w:b/>
        </w:rPr>
        <w:t xml:space="preserve"> Y GAS</w:t>
      </w:r>
    </w:p>
    <w:p w14:paraId="2739C8D4" w14:textId="77777777" w:rsidR="00045D3D" w:rsidRPr="00B33523" w:rsidRDefault="00045D3D" w:rsidP="00045D3D">
      <w:pPr>
        <w:ind w:left="0" w:right="51"/>
        <w:rPr>
          <w:rFonts w:ascii="Bookman Old Style" w:hAnsi="Bookman Old Style" w:cs="Arial"/>
        </w:rPr>
      </w:pPr>
    </w:p>
    <w:p w14:paraId="6EDA2283" w14:textId="7BAF359A" w:rsidR="00045D3D" w:rsidRPr="00B33523" w:rsidRDefault="00045D3D" w:rsidP="006238C6">
      <w:pPr>
        <w:pStyle w:val="Textoindependiente3"/>
        <w:spacing w:before="120"/>
        <w:ind w:left="284" w:right="142"/>
        <w:rPr>
          <w:rFonts w:ascii="Bookman Old Style" w:hAnsi="Bookman Old Style"/>
          <w:b w:val="0"/>
        </w:rPr>
      </w:pPr>
      <w:r w:rsidRPr="00B33523">
        <w:rPr>
          <w:rFonts w:ascii="Bookman Old Style" w:hAnsi="Bookman Old Style"/>
          <w:b w:val="0"/>
        </w:rPr>
        <w:t xml:space="preserve">En ejercicio de sus atribuciones constitucionales y legales, en </w:t>
      </w:r>
      <w:r w:rsidR="006238C6" w:rsidRPr="00B33523">
        <w:rPr>
          <w:rFonts w:ascii="Bookman Old Style" w:hAnsi="Bookman Old Style"/>
          <w:b w:val="0"/>
        </w:rPr>
        <w:br/>
      </w:r>
      <w:r w:rsidRPr="00B33523">
        <w:rPr>
          <w:rFonts w:ascii="Bookman Old Style" w:hAnsi="Bookman Old Style"/>
          <w:b w:val="0"/>
        </w:rPr>
        <w:t xml:space="preserve">especial las conferidas por las </w:t>
      </w:r>
      <w:r w:rsidR="002352B9" w:rsidRPr="00B33523">
        <w:rPr>
          <w:rFonts w:ascii="Bookman Old Style" w:hAnsi="Bookman Old Style"/>
          <w:b w:val="0"/>
        </w:rPr>
        <w:t>l</w:t>
      </w:r>
      <w:r w:rsidRPr="00B33523">
        <w:rPr>
          <w:rFonts w:ascii="Bookman Old Style" w:hAnsi="Bookman Old Style"/>
          <w:b w:val="0"/>
        </w:rPr>
        <w:t xml:space="preserve">eyes 142 y 143 de 1994, y en </w:t>
      </w:r>
      <w:r w:rsidR="006238C6" w:rsidRPr="00B33523">
        <w:rPr>
          <w:rFonts w:ascii="Bookman Old Style" w:hAnsi="Bookman Old Style"/>
          <w:b w:val="0"/>
        </w:rPr>
        <w:br/>
      </w:r>
      <w:r w:rsidRPr="00B33523">
        <w:rPr>
          <w:rFonts w:ascii="Bookman Old Style" w:hAnsi="Bookman Old Style"/>
          <w:b w:val="0"/>
        </w:rPr>
        <w:t xml:space="preserve">desarrollo de los </w:t>
      </w:r>
      <w:r w:rsidR="002352B9" w:rsidRPr="00B33523">
        <w:rPr>
          <w:rFonts w:ascii="Bookman Old Style" w:hAnsi="Bookman Old Style"/>
          <w:b w:val="0"/>
        </w:rPr>
        <w:t>d</w:t>
      </w:r>
      <w:r w:rsidRPr="00B33523">
        <w:rPr>
          <w:rFonts w:ascii="Bookman Old Style" w:hAnsi="Bookman Old Style"/>
          <w:b w:val="0"/>
        </w:rPr>
        <w:t>ecretos 1524 y 2253 de 1994</w:t>
      </w:r>
      <w:r w:rsidR="00286A16" w:rsidRPr="00B33523">
        <w:rPr>
          <w:rFonts w:ascii="Bookman Old Style" w:hAnsi="Bookman Old Style"/>
          <w:b w:val="0"/>
        </w:rPr>
        <w:t>,</w:t>
      </w:r>
      <w:r w:rsidR="00D00036" w:rsidRPr="00B33523">
        <w:rPr>
          <w:rFonts w:ascii="Bookman Old Style" w:hAnsi="Bookman Old Style"/>
          <w:b w:val="0"/>
        </w:rPr>
        <w:t xml:space="preserve"> y 1260 de 2013</w:t>
      </w:r>
      <w:r w:rsidRPr="00B33523">
        <w:rPr>
          <w:rFonts w:ascii="Bookman Old Style" w:hAnsi="Bookman Old Style"/>
          <w:b w:val="0"/>
        </w:rPr>
        <w:t>.</w:t>
      </w:r>
    </w:p>
    <w:p w14:paraId="416AEFF4" w14:textId="77777777" w:rsidR="00045D3D" w:rsidRPr="00B33523" w:rsidRDefault="00045D3D" w:rsidP="006238C6">
      <w:pPr>
        <w:tabs>
          <w:tab w:val="left" w:pos="0"/>
          <w:tab w:val="right" w:pos="9356"/>
        </w:tabs>
        <w:ind w:left="0"/>
        <w:rPr>
          <w:rFonts w:ascii="Bookman Old Style" w:hAnsi="Bookman Old Style" w:cs="Arial"/>
          <w:bCs/>
          <w:lang w:val="es-CO"/>
        </w:rPr>
      </w:pPr>
    </w:p>
    <w:p w14:paraId="3E8440ED" w14:textId="77777777" w:rsidR="00045D3D" w:rsidRPr="00B33523" w:rsidRDefault="00045D3D" w:rsidP="006238C6">
      <w:pPr>
        <w:tabs>
          <w:tab w:val="left" w:pos="0"/>
          <w:tab w:val="right" w:pos="9356"/>
        </w:tabs>
        <w:ind w:left="0"/>
        <w:rPr>
          <w:rFonts w:ascii="Bookman Old Style" w:hAnsi="Bookman Old Style" w:cs="Arial"/>
          <w:bCs/>
          <w:lang w:val="es-CO"/>
        </w:rPr>
      </w:pPr>
    </w:p>
    <w:p w14:paraId="72BBA367" w14:textId="77AB34A5" w:rsidR="00045D3D" w:rsidRPr="00B33523" w:rsidRDefault="00045D3D" w:rsidP="00C62FED">
      <w:pPr>
        <w:ind w:left="0" w:right="51"/>
        <w:jc w:val="center"/>
        <w:rPr>
          <w:rFonts w:ascii="Bookman Old Style" w:hAnsi="Bookman Old Style" w:cs="Arial"/>
          <w:b/>
          <w:spacing w:val="70"/>
        </w:rPr>
      </w:pPr>
      <w:r w:rsidRPr="00B33523">
        <w:rPr>
          <w:rFonts w:ascii="Bookman Old Style" w:hAnsi="Bookman Old Style" w:cs="Arial"/>
          <w:b/>
          <w:spacing w:val="70"/>
        </w:rPr>
        <w:t>CONSIDERAND</w:t>
      </w:r>
      <w:r w:rsidR="007B5A60" w:rsidRPr="00B33523">
        <w:rPr>
          <w:rFonts w:ascii="Bookman Old Style" w:hAnsi="Bookman Old Style" w:cs="Arial"/>
          <w:b/>
          <w:spacing w:val="70"/>
        </w:rPr>
        <w:t>O Q</w:t>
      </w:r>
      <w:r w:rsidRPr="00B33523">
        <w:rPr>
          <w:rFonts w:ascii="Bookman Old Style" w:hAnsi="Bookman Old Style" w:cs="Arial"/>
          <w:b/>
          <w:spacing w:val="70"/>
        </w:rPr>
        <w:t>UE:</w:t>
      </w:r>
    </w:p>
    <w:p w14:paraId="402FDE03" w14:textId="77777777" w:rsidR="00255037" w:rsidRPr="00FE1580" w:rsidRDefault="00255037" w:rsidP="00255037">
      <w:pPr>
        <w:spacing w:before="240"/>
        <w:ind w:left="0"/>
        <w:jc w:val="both"/>
        <w:rPr>
          <w:rFonts w:ascii="Bookman Old Style" w:hAnsi="Bookman Old Style" w:cs="Arial"/>
        </w:rPr>
      </w:pPr>
      <w:bookmarkStart w:id="0" w:name="_Hlk118278984"/>
      <w:r w:rsidRPr="00FE1580">
        <w:rPr>
          <w:rFonts w:ascii="Bookman Old Style" w:hAnsi="Bookman Old Style" w:cs="Arial"/>
        </w:rPr>
        <w:t>De conformidad con la Ley 143 de 1994, artículo 20,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14:paraId="0764F3D5" w14:textId="77777777" w:rsidR="00255037" w:rsidRPr="00FE1580" w:rsidRDefault="00255037" w:rsidP="00255037">
      <w:pPr>
        <w:spacing w:before="240"/>
        <w:ind w:left="0"/>
        <w:jc w:val="both"/>
        <w:rPr>
          <w:rFonts w:ascii="Bookman Old Style" w:hAnsi="Bookman Old Style" w:cs="Arial"/>
        </w:rPr>
      </w:pPr>
      <w:r w:rsidRPr="00FE1580">
        <w:rPr>
          <w:rFonts w:ascii="Bookman Old Style" w:hAnsi="Bookman Old Style" w:cs="Arial"/>
        </w:rPr>
        <w:t xml:space="preserve">Para el logro del mencionado objetivo legal, la citada Ley le asignó a la Comisión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 </w:t>
      </w:r>
    </w:p>
    <w:bookmarkEnd w:id="0"/>
    <w:p w14:paraId="7D0EDC51" w14:textId="0BA85E98" w:rsidR="00C61D2C" w:rsidRPr="00B33523" w:rsidRDefault="00C61D2C" w:rsidP="00F0555B">
      <w:pPr>
        <w:spacing w:before="240"/>
        <w:ind w:left="0"/>
        <w:jc w:val="both"/>
        <w:rPr>
          <w:rFonts w:ascii="Bookman Old Style" w:hAnsi="Bookman Old Style" w:cs="Arial"/>
        </w:rPr>
      </w:pPr>
      <w:r w:rsidRPr="00B33523">
        <w:rPr>
          <w:rFonts w:ascii="Bookman Old Style" w:hAnsi="Bookman Old Style" w:cs="Arial"/>
        </w:rPr>
        <w:t>De acuerdo con lo previsto en los literales c) y d) del artículo 23</w:t>
      </w:r>
      <w:r w:rsidR="00286A16" w:rsidRPr="00B33523">
        <w:rPr>
          <w:rFonts w:ascii="Bookman Old Style" w:hAnsi="Bookman Old Style" w:cs="Arial"/>
        </w:rPr>
        <w:t>,</w:t>
      </w:r>
      <w:r w:rsidRPr="00B33523">
        <w:rPr>
          <w:rFonts w:ascii="Bookman Old Style" w:hAnsi="Bookman Old Style" w:cs="Arial"/>
        </w:rPr>
        <w:t xml:space="preserve"> y en el artículo 41 de la Ley 143 de 1994, es función de la Comisión de Regulación de Energía y Gas, CREG, definir la metodología de cálculo y fijar las tarifas por el acceso y uso de las redes eléctricas.</w:t>
      </w:r>
    </w:p>
    <w:p w14:paraId="7B10D482" w14:textId="77777777" w:rsidR="008928BE" w:rsidRDefault="008928BE" w:rsidP="008928BE">
      <w:pPr>
        <w:spacing w:before="240"/>
        <w:ind w:left="0"/>
        <w:jc w:val="both"/>
        <w:rPr>
          <w:rFonts w:ascii="Bookman Old Style" w:hAnsi="Bookman Old Style" w:cs="Arial"/>
        </w:rPr>
      </w:pPr>
      <w:r w:rsidRPr="00C10206">
        <w:rPr>
          <w:rFonts w:ascii="Bookman Old Style" w:hAnsi="Bookman Old Style" w:cs="Arial"/>
        </w:rPr>
        <w:t xml:space="preserve">Mediante Decreto 227 del 16 de febrero de 2023, el Presidente de la República de Colombia, de conformidad con lo dispuesto en el artículo 68 de la Ley 142 de 1994, reasumió las funciones de carácter general delegadas a la Comisión de Regulación de Energía y Gas mediante los Decretos 1524 y 2253 de 1994 y demás normas concordantes, señalando en el inciso segundo del artículo primero que, en consecuencia, </w:t>
      </w:r>
      <w:r>
        <w:rPr>
          <w:rFonts w:ascii="Bookman Old Style" w:hAnsi="Bookman Old Style" w:cs="Arial"/>
        </w:rPr>
        <w:t>“</w:t>
      </w:r>
      <w:r w:rsidRPr="007E2A35">
        <w:rPr>
          <w:rFonts w:ascii="Bookman Old Style" w:hAnsi="Bookman Old Style" w:cs="Arial"/>
        </w:rPr>
        <w:t>las Comisiones de Regulación continuarán expidiendo los actos administrativos de carácter particular que ejercen a la fecha de la expedición del presente Decreto</w:t>
      </w:r>
      <w:r>
        <w:rPr>
          <w:rFonts w:ascii="Bookman Old Style" w:hAnsi="Bookman Old Style" w:cs="Arial"/>
        </w:rPr>
        <w:t>”.</w:t>
      </w:r>
    </w:p>
    <w:p w14:paraId="3E270703" w14:textId="3FE61B8F" w:rsidR="00C61D2C" w:rsidRPr="00B33523" w:rsidRDefault="00C61D2C" w:rsidP="00B33523">
      <w:pPr>
        <w:spacing w:before="240"/>
        <w:ind w:left="0"/>
        <w:jc w:val="both"/>
        <w:rPr>
          <w:rFonts w:ascii="Bookman Old Style" w:hAnsi="Bookman Old Style" w:cs="Arial"/>
        </w:rPr>
      </w:pPr>
      <w:r w:rsidRPr="00B33523">
        <w:rPr>
          <w:rFonts w:ascii="Bookman Old Style" w:hAnsi="Bookman Old Style" w:cs="Arial"/>
        </w:rPr>
        <w:t xml:space="preserve">Con la Resolución CREG 022 de 2001 se definieron, entre otros, los mecanismos para desarrollar procesos de selección con el fin de escoger al transmisor </w:t>
      </w:r>
      <w:r w:rsidRPr="00B33523">
        <w:rPr>
          <w:rFonts w:ascii="Bookman Old Style" w:hAnsi="Bookman Old Style" w:cs="Arial"/>
        </w:rPr>
        <w:lastRenderedPageBreak/>
        <w:t>nacional que se encargue de la construcción de los proyectos de expansión en el Sistema de Transmisión Nacional, STN.</w:t>
      </w:r>
      <w:r w:rsidR="00255037">
        <w:rPr>
          <w:rFonts w:ascii="Bookman Old Style" w:hAnsi="Bookman Old Style" w:cs="Arial"/>
        </w:rPr>
        <w:t xml:space="preserve"> </w:t>
      </w:r>
      <w:bookmarkStart w:id="1" w:name="_Hlk118279014"/>
      <w:bookmarkStart w:id="2" w:name="_Hlk118280115"/>
      <w:r w:rsidR="00255037" w:rsidRPr="00FE1580">
        <w:rPr>
          <w:rFonts w:ascii="Bookman Old Style" w:hAnsi="Bookman Old Style" w:cs="Arial"/>
        </w:rPr>
        <w:t xml:space="preserve">En esta resolución se establece que, para efectos de aplicar las normas relacionadas con la calidad del servicio, </w:t>
      </w:r>
      <w:r w:rsidR="00255037" w:rsidRPr="002B7630">
        <w:rPr>
          <w:rFonts w:ascii="Bookman Old Style" w:hAnsi="Bookman Old Style" w:cs="Arial"/>
          <w:i/>
          <w:iCs/>
        </w:rPr>
        <w:t>“los propietarios de los proyectos seleccionados mediante convocatorias públicas, deberán reportar al LAC cada una de las Unidades Constructivas que componen el proyecto, con anterioridad a la puesta en Operación Comercial de dichas Unidades Constructivas.”</w:t>
      </w:r>
      <w:bookmarkEnd w:id="1"/>
      <w:bookmarkEnd w:id="2"/>
    </w:p>
    <w:p w14:paraId="3C40397A" w14:textId="4E0201D3" w:rsidR="00255037" w:rsidRPr="00FE1580" w:rsidRDefault="00C61D2C" w:rsidP="00255037">
      <w:pPr>
        <w:spacing w:before="240"/>
        <w:ind w:left="0"/>
        <w:jc w:val="both"/>
        <w:rPr>
          <w:rFonts w:ascii="Bookman Old Style" w:hAnsi="Bookman Old Style" w:cs="Arial"/>
        </w:rPr>
      </w:pPr>
      <w:r w:rsidRPr="00B33523">
        <w:rPr>
          <w:rFonts w:ascii="Bookman Old Style" w:hAnsi="Bookman Old Style" w:cs="Arial"/>
        </w:rPr>
        <w:t>Mediante la Resolución CREG 011 de 2009 se estableció la metodología y fórmulas tarifarias para la remuneración de la actividad de transmisión de energía eléctrica en el STN</w:t>
      </w:r>
      <w:bookmarkStart w:id="3" w:name="_Hlk118279027"/>
      <w:r w:rsidR="00255037" w:rsidRPr="00FE1580">
        <w:rPr>
          <w:rFonts w:ascii="Bookman Old Style" w:hAnsi="Bookman Old Style" w:cs="Arial"/>
        </w:rPr>
        <w:t>, incluyendo dentro de esta remuneración los ingresos correspondientes a los activos ejecutados como resultado de los procesos de selección que trata la Resolución CREG 022 de 2001</w:t>
      </w:r>
      <w:bookmarkEnd w:id="3"/>
      <w:r w:rsidRPr="00B33523">
        <w:rPr>
          <w:rFonts w:ascii="Bookman Old Style" w:hAnsi="Bookman Old Style" w:cs="Arial"/>
        </w:rPr>
        <w:t>.</w:t>
      </w:r>
      <w:r w:rsidR="009F646F" w:rsidRPr="009F646F">
        <w:rPr>
          <w:rFonts w:ascii="Bookman Old Style" w:hAnsi="Bookman Old Style" w:cs="Arial"/>
        </w:rPr>
        <w:t xml:space="preserve"> </w:t>
      </w:r>
      <w:r w:rsidR="009F646F">
        <w:rPr>
          <w:rFonts w:ascii="Bookman Old Style" w:hAnsi="Bookman Old Style" w:cs="Arial"/>
        </w:rPr>
        <w:t xml:space="preserve">Todos los activos remunerados en la actividad de transmisión son denominados activos de uso y son pagados por el </w:t>
      </w:r>
      <w:r w:rsidR="008928BE">
        <w:rPr>
          <w:rFonts w:ascii="Bookman Old Style" w:hAnsi="Bookman Old Style" w:cs="Arial"/>
        </w:rPr>
        <w:t xml:space="preserve">Liquidador y Administrador de Cuentas, </w:t>
      </w:r>
      <w:r w:rsidR="009F646F">
        <w:rPr>
          <w:rFonts w:ascii="Bookman Old Style" w:hAnsi="Bookman Old Style" w:cs="Arial"/>
        </w:rPr>
        <w:t>LAC</w:t>
      </w:r>
      <w:r w:rsidR="008928BE">
        <w:rPr>
          <w:rFonts w:ascii="Bookman Old Style" w:hAnsi="Bookman Old Style" w:cs="Arial"/>
        </w:rPr>
        <w:t>,</w:t>
      </w:r>
      <w:r w:rsidR="009F646F">
        <w:rPr>
          <w:rFonts w:ascii="Bookman Old Style" w:hAnsi="Bookman Old Style" w:cs="Arial"/>
        </w:rPr>
        <w:t xml:space="preserve"> a los Transmisores Nacionales que los representan,</w:t>
      </w:r>
      <w:r w:rsidR="009F646F" w:rsidRPr="001F0489">
        <w:rPr>
          <w:rFonts w:ascii="Bookman Old Style" w:hAnsi="Bookman Old Style" w:cs="Arial"/>
        </w:rPr>
        <w:t xml:space="preserve"> </w:t>
      </w:r>
      <w:r w:rsidR="009F646F">
        <w:rPr>
          <w:rFonts w:ascii="Bookman Old Style" w:hAnsi="Bookman Old Style" w:cs="Arial"/>
        </w:rPr>
        <w:t xml:space="preserve">mediante los cargos por uso que se recaudan de los comercializadores que atienden usuarios en el SIN. De acuerdo con el artículo 8 de la </w:t>
      </w:r>
      <w:r w:rsidR="009F646F" w:rsidRPr="00602D4B">
        <w:rPr>
          <w:rFonts w:ascii="Bookman Old Style" w:hAnsi="Bookman Old Style" w:cs="Arial"/>
        </w:rPr>
        <w:t>Resolución CREG 011 de 2009</w:t>
      </w:r>
      <w:r w:rsidR="009F646F">
        <w:rPr>
          <w:rFonts w:ascii="Bookman Old Style" w:hAnsi="Bookman Old Style" w:cs="Arial"/>
        </w:rPr>
        <w:t>, los activos de uso deben estar representados ante el LAC por un Transmisor Nacional.</w:t>
      </w:r>
    </w:p>
    <w:p w14:paraId="06E9CD6C" w14:textId="77777777" w:rsidR="00255037" w:rsidRPr="00FE1580" w:rsidRDefault="00255037" w:rsidP="00255037">
      <w:pPr>
        <w:spacing w:before="240"/>
        <w:ind w:left="0"/>
        <w:jc w:val="both"/>
        <w:rPr>
          <w:rFonts w:ascii="Bookman Old Style" w:hAnsi="Bookman Old Style" w:cs="Arial"/>
        </w:rPr>
      </w:pPr>
      <w:r w:rsidRPr="00FE1580">
        <w:rPr>
          <w:rFonts w:ascii="Bookman Old Style" w:hAnsi="Bookman Old Style" w:cs="Arial"/>
        </w:rPr>
        <w:t xml:space="preserve">De acuerdo con la Resolución CREG 093 de 2012, las normas relacionadas con la calidad del servicio le son aplicables a los activos de uso construidos como resultado de procesos de libre concurrencia y el agente que los represente ante el LAC será responsable por el cumplimiento de todos los indicadores de calidad establecidos en el capítulo 4 del anexo general de la Resolución CREG 011 de 2009. </w:t>
      </w:r>
    </w:p>
    <w:p w14:paraId="3D871DDC" w14:textId="58521652" w:rsidR="00C61D2C" w:rsidRPr="00B33523" w:rsidRDefault="008928BE" w:rsidP="00B33523">
      <w:pPr>
        <w:spacing w:before="240"/>
        <w:ind w:left="0"/>
        <w:jc w:val="both"/>
        <w:rPr>
          <w:rFonts w:ascii="Bookman Old Style" w:hAnsi="Bookman Old Style" w:cs="Arial"/>
        </w:rPr>
      </w:pPr>
      <w:r w:rsidRPr="00361553">
        <w:rPr>
          <w:rFonts w:ascii="Bookman Old Style" w:hAnsi="Bookman Old Style" w:cs="Arial"/>
        </w:rPr>
        <w:t>En cumplimiento del literal b) del artículo 4 de la CREG 022 de 2001</w:t>
      </w:r>
      <w:r>
        <w:rPr>
          <w:rFonts w:ascii="Bookman Old Style" w:hAnsi="Bookman Old Style" w:cs="Arial"/>
        </w:rPr>
        <w:t>, l</w:t>
      </w:r>
      <w:r w:rsidR="00C61D2C" w:rsidRPr="00B33523">
        <w:rPr>
          <w:rFonts w:ascii="Bookman Old Style" w:hAnsi="Bookman Old Style" w:cs="Arial"/>
        </w:rPr>
        <w:t>os ingresos esperados por la ejecución de</w:t>
      </w:r>
      <w:r w:rsidR="00A80376" w:rsidRPr="00B33523">
        <w:rPr>
          <w:rFonts w:ascii="Bookman Old Style" w:hAnsi="Bookman Old Style" w:cs="Arial"/>
        </w:rPr>
        <w:t xml:space="preserve"> </w:t>
      </w:r>
      <w:r w:rsidR="00C61D2C" w:rsidRPr="00B33523">
        <w:rPr>
          <w:rFonts w:ascii="Bookman Old Style" w:hAnsi="Bookman Old Style" w:cs="Arial"/>
        </w:rPr>
        <w:t>l</w:t>
      </w:r>
      <w:r w:rsidR="00A80376" w:rsidRPr="00B33523">
        <w:rPr>
          <w:rFonts w:ascii="Bookman Old Style" w:hAnsi="Bookman Old Style" w:cs="Arial"/>
        </w:rPr>
        <w:t>a</w:t>
      </w:r>
      <w:r w:rsidR="00C61D2C" w:rsidRPr="00B33523">
        <w:rPr>
          <w:rFonts w:ascii="Bookman Old Style" w:hAnsi="Bookman Old Style" w:cs="Arial"/>
        </w:rPr>
        <w:t xml:space="preserve"> </w:t>
      </w:r>
      <w:r w:rsidR="00E10ED4">
        <w:rPr>
          <w:rFonts w:ascii="Bookman Old Style" w:hAnsi="Bookman Old Style" w:cs="Arial"/>
        </w:rPr>
        <w:t>subestación El Río, 220 kV</w:t>
      </w:r>
      <w:r w:rsidR="00C61D2C" w:rsidRPr="00B33523">
        <w:rPr>
          <w:rFonts w:ascii="Bookman Old Style" w:hAnsi="Bookman Old Style" w:cs="Arial"/>
        </w:rPr>
        <w:t xml:space="preserve">, objeto de la convocatoria </w:t>
      </w:r>
      <w:r w:rsidR="00E10ED4">
        <w:rPr>
          <w:rFonts w:ascii="Bookman Old Style" w:hAnsi="Bookman Old Style" w:cs="Arial"/>
        </w:rPr>
        <w:t>UPME 06-2018</w:t>
      </w:r>
      <w:r w:rsidR="00286A16" w:rsidRPr="00B33523">
        <w:rPr>
          <w:rFonts w:ascii="Bookman Old Style" w:hAnsi="Bookman Old Style" w:cs="Arial"/>
        </w:rPr>
        <w:t>,</w:t>
      </w:r>
      <w:r w:rsidR="00C61D2C" w:rsidRPr="00B33523">
        <w:rPr>
          <w:rFonts w:ascii="Bookman Old Style" w:hAnsi="Bookman Old Style" w:cs="Arial"/>
        </w:rPr>
        <w:t xml:space="preserve"> fueron oficializados mediante la Resolución CREG </w:t>
      </w:r>
      <w:r w:rsidR="008C6C76">
        <w:rPr>
          <w:rFonts w:ascii="Bookman Old Style" w:hAnsi="Bookman Old Style" w:cs="Arial"/>
        </w:rPr>
        <w:t>031 de 2019</w:t>
      </w:r>
      <w:r w:rsidR="00C61D2C" w:rsidRPr="00B33523">
        <w:rPr>
          <w:rFonts w:ascii="Bookman Old Style" w:hAnsi="Bookman Old Style" w:cs="Arial"/>
        </w:rPr>
        <w:t xml:space="preserve"> a la empresa </w:t>
      </w:r>
      <w:r w:rsidR="00CF5BCF" w:rsidRPr="00B33523">
        <w:rPr>
          <w:rFonts w:ascii="Bookman Old Style" w:hAnsi="Bookman Old Style" w:cs="Arial"/>
        </w:rPr>
        <w:t>Interconexión Eléctrica S.A. E.S.P.</w:t>
      </w:r>
      <w:r w:rsidR="00255037" w:rsidRPr="00FE1580">
        <w:rPr>
          <w:rFonts w:ascii="Bookman Old Style" w:hAnsi="Bookman Old Style" w:cs="Arial"/>
        </w:rPr>
        <w:t xml:space="preserve">, por tanto, esta empresa es actualmente la beneficiaria de los mencionados ingresos y la responsable </w:t>
      </w:r>
      <w:r w:rsidR="00BD5755">
        <w:rPr>
          <w:rFonts w:ascii="Bookman Old Style" w:hAnsi="Bookman Old Style" w:cs="Arial"/>
        </w:rPr>
        <w:t xml:space="preserve">de la operación y </w:t>
      </w:r>
      <w:r w:rsidR="00255037" w:rsidRPr="00FE1580">
        <w:rPr>
          <w:rFonts w:ascii="Bookman Old Style" w:hAnsi="Bookman Old Style" w:cs="Arial"/>
        </w:rPr>
        <w:t>del cumplimiento de las exigencias de calidad correspondientes a los activos objeto de esta convocatoria.</w:t>
      </w:r>
      <w:r w:rsidR="00CF5BCF" w:rsidRPr="00B33523">
        <w:rPr>
          <w:rFonts w:ascii="Bookman Old Style" w:hAnsi="Bookman Old Style" w:cs="Arial"/>
        </w:rPr>
        <w:t xml:space="preserve"> </w:t>
      </w:r>
    </w:p>
    <w:p w14:paraId="6FB3B118" w14:textId="2E051FA6" w:rsidR="00CF5BCF" w:rsidRPr="00B33523" w:rsidRDefault="00CF5BCF" w:rsidP="00B33523">
      <w:pPr>
        <w:spacing w:before="240"/>
        <w:ind w:left="0"/>
        <w:jc w:val="both"/>
        <w:rPr>
          <w:rFonts w:ascii="Bookman Old Style" w:hAnsi="Bookman Old Style" w:cs="Arial"/>
        </w:rPr>
      </w:pPr>
      <w:r w:rsidRPr="00B33523">
        <w:rPr>
          <w:rFonts w:ascii="Bookman Old Style" w:hAnsi="Bookman Old Style" w:cs="Arial"/>
        </w:rPr>
        <w:t>Interconexión Eléctrica S.A. E.S.P., mediante comunicación radicada en la CREG con el número E20220</w:t>
      </w:r>
      <w:r w:rsidR="00C8439F">
        <w:rPr>
          <w:rFonts w:ascii="Bookman Old Style" w:hAnsi="Bookman Old Style" w:cs="Arial"/>
        </w:rPr>
        <w:t>14205</w:t>
      </w:r>
      <w:r w:rsidR="00700EF7">
        <w:rPr>
          <w:rFonts w:ascii="Bookman Old Style" w:hAnsi="Bookman Old Style" w:cs="Arial"/>
        </w:rPr>
        <w:t xml:space="preserve"> del 22 de noviembre de 2022</w:t>
      </w:r>
      <w:r w:rsidRPr="00B33523">
        <w:rPr>
          <w:rFonts w:ascii="Bookman Old Style" w:hAnsi="Bookman Old Style" w:cs="Arial"/>
        </w:rPr>
        <w:t xml:space="preserve">, informó a la CREG que autoriza a la empresa Intercolombia S.A. E.S.P. para que represente ante el LAC los activos que fueron objeto de la convocatoria </w:t>
      </w:r>
      <w:r w:rsidR="00E10ED4">
        <w:rPr>
          <w:rFonts w:ascii="Bookman Old Style" w:hAnsi="Bookman Old Style" w:cs="Arial"/>
        </w:rPr>
        <w:t>UPME 06-2018</w:t>
      </w:r>
      <w:r w:rsidRPr="00B33523">
        <w:rPr>
          <w:rFonts w:ascii="Bookman Old Style" w:hAnsi="Bookman Old Style" w:cs="Arial"/>
        </w:rPr>
        <w:t>.</w:t>
      </w:r>
    </w:p>
    <w:p w14:paraId="48E40CD1" w14:textId="45FE2112" w:rsidR="00CF5BCF" w:rsidRPr="00B33523" w:rsidRDefault="00CF5BCF" w:rsidP="00B33523">
      <w:pPr>
        <w:spacing w:before="240"/>
        <w:ind w:left="0"/>
        <w:jc w:val="both"/>
        <w:rPr>
          <w:rFonts w:ascii="Bookman Old Style" w:hAnsi="Bookman Old Style" w:cs="Arial"/>
        </w:rPr>
      </w:pPr>
      <w:r w:rsidRPr="00B33523">
        <w:rPr>
          <w:rFonts w:ascii="Bookman Old Style" w:hAnsi="Bookman Old Style" w:cs="Arial"/>
        </w:rPr>
        <w:t>En el mismo sentido, mediante comunicación con radicado CREG E20220</w:t>
      </w:r>
      <w:r w:rsidR="005B3BF2">
        <w:rPr>
          <w:rFonts w:ascii="Bookman Old Style" w:hAnsi="Bookman Old Style" w:cs="Arial"/>
        </w:rPr>
        <w:t>14301</w:t>
      </w:r>
      <w:r w:rsidR="00700EF7">
        <w:rPr>
          <w:rFonts w:ascii="Bookman Old Style" w:hAnsi="Bookman Old Style" w:cs="Arial"/>
        </w:rPr>
        <w:t xml:space="preserve"> del 24 de noviembre de 2022</w:t>
      </w:r>
      <w:r w:rsidRPr="00B33523">
        <w:rPr>
          <w:rFonts w:ascii="Bookman Old Style" w:hAnsi="Bookman Old Style" w:cs="Arial"/>
        </w:rPr>
        <w:t>, la empresa Intercolombia S.A. E.S.P. solicita a la CREG autorización para representar los activos mencionados</w:t>
      </w:r>
      <w:r w:rsidR="00BD5755" w:rsidRPr="00BD5755">
        <w:t xml:space="preserve"> </w:t>
      </w:r>
      <w:r w:rsidR="00BD5755" w:rsidRPr="00BD5755">
        <w:rPr>
          <w:rFonts w:ascii="Bookman Old Style" w:hAnsi="Bookman Old Style" w:cs="Arial"/>
        </w:rPr>
        <w:t>y que</w:t>
      </w:r>
      <w:r w:rsidR="00BD5755">
        <w:rPr>
          <w:rFonts w:ascii="Bookman Old Style" w:hAnsi="Bookman Old Style" w:cs="Arial"/>
        </w:rPr>
        <w:t xml:space="preserve"> </w:t>
      </w:r>
      <w:r w:rsidR="00BD5755" w:rsidRPr="00BD5755">
        <w:rPr>
          <w:rFonts w:ascii="Bookman Old Style" w:hAnsi="Bookman Old Style" w:cs="Arial"/>
        </w:rPr>
        <w:t>los respectivos ingresos sean liquidados y entregados por el LAC a Intercolombia S.A. E.S.P</w:t>
      </w:r>
      <w:r w:rsidRPr="00B33523">
        <w:rPr>
          <w:rFonts w:ascii="Bookman Old Style" w:hAnsi="Bookman Old Style" w:cs="Arial"/>
        </w:rPr>
        <w:t>.</w:t>
      </w:r>
    </w:p>
    <w:p w14:paraId="100BB989" w14:textId="602F1DF4" w:rsidR="009F646F" w:rsidRPr="00FE1580" w:rsidRDefault="009F646F" w:rsidP="009F646F">
      <w:pPr>
        <w:spacing w:before="240"/>
        <w:ind w:left="0"/>
        <w:jc w:val="both"/>
        <w:rPr>
          <w:rFonts w:ascii="Bookman Old Style" w:hAnsi="Bookman Old Style" w:cs="Arial"/>
        </w:rPr>
      </w:pPr>
      <w:r w:rsidRPr="00FE1580">
        <w:rPr>
          <w:rFonts w:ascii="Bookman Old Style" w:hAnsi="Bookman Old Style" w:cs="Arial"/>
        </w:rPr>
        <w:t>Tanto para la asignación de los ingresos, como para el cumplimiento de las exigencias de calidad es necesario mantener actualizado el nombre del agente que representa ante el LAC los activos de uso en el STN</w:t>
      </w:r>
      <w:r w:rsidR="00BB3532">
        <w:rPr>
          <w:rFonts w:ascii="Bookman Old Style" w:hAnsi="Bookman Old Style" w:cs="Arial"/>
        </w:rPr>
        <w:t>,</w:t>
      </w:r>
      <w:r w:rsidRPr="009F646F">
        <w:rPr>
          <w:rFonts w:ascii="Bookman Old Style" w:hAnsi="Bookman Old Style" w:cs="Arial"/>
        </w:rPr>
        <w:t xml:space="preserve"> </w:t>
      </w:r>
      <w:r>
        <w:rPr>
          <w:rFonts w:ascii="Bookman Old Style" w:hAnsi="Bookman Old Style" w:cs="Arial"/>
        </w:rPr>
        <w:t xml:space="preserve">por tanto, dado que con la </w:t>
      </w:r>
      <w:r w:rsidRPr="003C424A">
        <w:rPr>
          <w:rFonts w:ascii="Bookman Old Style" w:hAnsi="Bookman Old Style" w:cs="Arial"/>
        </w:rPr>
        <w:t>Resolución CREG 0</w:t>
      </w:r>
      <w:r w:rsidR="00FC4D76">
        <w:rPr>
          <w:rFonts w:ascii="Bookman Old Style" w:hAnsi="Bookman Old Style" w:cs="Arial"/>
        </w:rPr>
        <w:t>3</w:t>
      </w:r>
      <w:r w:rsidRPr="003C424A">
        <w:rPr>
          <w:rFonts w:ascii="Bookman Old Style" w:hAnsi="Bookman Old Style" w:cs="Arial"/>
        </w:rPr>
        <w:t>1 de 2019</w:t>
      </w:r>
      <w:r>
        <w:rPr>
          <w:rFonts w:ascii="Bookman Old Style" w:hAnsi="Bookman Old Style" w:cs="Arial"/>
        </w:rPr>
        <w:t xml:space="preserve"> </w:t>
      </w:r>
      <w:r w:rsidR="006C0475" w:rsidRPr="00B33523">
        <w:rPr>
          <w:rFonts w:ascii="Bookman Old Style" w:hAnsi="Bookman Old Style" w:cs="Arial"/>
        </w:rPr>
        <w:t xml:space="preserve">Interconexión Eléctrica S.A. </w:t>
      </w:r>
      <w:r w:rsidRPr="00602D4B">
        <w:rPr>
          <w:rFonts w:ascii="Bookman Old Style" w:hAnsi="Bookman Old Style" w:cs="Arial"/>
        </w:rPr>
        <w:t>E.S.P.</w:t>
      </w:r>
      <w:r>
        <w:rPr>
          <w:rFonts w:ascii="Bookman Old Style" w:hAnsi="Bookman Old Style" w:cs="Arial"/>
        </w:rPr>
        <w:t xml:space="preserve"> figura como representante de los activos relacionados con la </w:t>
      </w:r>
      <w:r w:rsidRPr="00602D4B">
        <w:rPr>
          <w:rFonts w:ascii="Bookman Old Style" w:hAnsi="Bookman Old Style" w:cs="Arial"/>
        </w:rPr>
        <w:t xml:space="preserve">convocatoria </w:t>
      </w:r>
      <w:r w:rsidR="00E10ED4">
        <w:rPr>
          <w:rFonts w:ascii="Bookman Old Style" w:hAnsi="Bookman Old Style" w:cs="Arial"/>
        </w:rPr>
        <w:t>UPME 06-2018</w:t>
      </w:r>
      <w:r>
        <w:rPr>
          <w:rFonts w:ascii="Bookman Old Style" w:hAnsi="Bookman Old Style" w:cs="Arial"/>
        </w:rPr>
        <w:t xml:space="preserve">, es necesario expedir un acto administrativo para que, a partir de su entrada en </w:t>
      </w:r>
      <w:r>
        <w:rPr>
          <w:rFonts w:ascii="Bookman Old Style" w:hAnsi="Bookman Old Style" w:cs="Arial"/>
        </w:rPr>
        <w:lastRenderedPageBreak/>
        <w:t xml:space="preserve">vigencia, </w:t>
      </w:r>
      <w:r w:rsidR="006C0475" w:rsidRPr="00B33523">
        <w:rPr>
          <w:rFonts w:ascii="Bookman Old Style" w:hAnsi="Bookman Old Style" w:cs="Arial"/>
        </w:rPr>
        <w:t xml:space="preserve">Intercolombia S.A. </w:t>
      </w:r>
      <w:r w:rsidRPr="00602D4B">
        <w:rPr>
          <w:rFonts w:ascii="Bookman Old Style" w:hAnsi="Bookman Old Style" w:cs="Arial"/>
        </w:rPr>
        <w:t>E.S.P.</w:t>
      </w:r>
      <w:r>
        <w:rPr>
          <w:rFonts w:ascii="Bookman Old Style" w:hAnsi="Bookman Old Style" w:cs="Arial"/>
        </w:rPr>
        <w:t xml:space="preserve"> </w:t>
      </w:r>
      <w:r w:rsidR="008928BE">
        <w:rPr>
          <w:rFonts w:ascii="Bookman Old Style" w:hAnsi="Bookman Old Style" w:cs="Arial"/>
        </w:rPr>
        <w:t>sea</w:t>
      </w:r>
      <w:r>
        <w:rPr>
          <w:rFonts w:ascii="Bookman Old Style" w:hAnsi="Bookman Old Style" w:cs="Arial"/>
        </w:rPr>
        <w:t xml:space="preserve"> el nuevo representante </w:t>
      </w:r>
      <w:r w:rsidR="008928BE">
        <w:rPr>
          <w:rFonts w:ascii="Bookman Old Style" w:hAnsi="Bookman Old Style" w:cs="Arial"/>
        </w:rPr>
        <w:t xml:space="preserve">ante el LAC </w:t>
      </w:r>
      <w:r>
        <w:rPr>
          <w:rFonts w:ascii="Bookman Old Style" w:hAnsi="Bookman Old Style" w:cs="Arial"/>
        </w:rPr>
        <w:t>de estos activos</w:t>
      </w:r>
      <w:r w:rsidRPr="00FE1580">
        <w:rPr>
          <w:rFonts w:ascii="Bookman Old Style" w:hAnsi="Bookman Old Style" w:cs="Arial"/>
        </w:rPr>
        <w:t>.</w:t>
      </w:r>
    </w:p>
    <w:p w14:paraId="77E6D871" w14:textId="7D643D88" w:rsidR="00C61D2C" w:rsidRPr="00B33523" w:rsidRDefault="00C61D2C" w:rsidP="00B33523">
      <w:pPr>
        <w:spacing w:before="240"/>
        <w:ind w:left="0"/>
        <w:jc w:val="both"/>
        <w:rPr>
          <w:rFonts w:ascii="Bookman Old Style" w:hAnsi="Bookman Old Style" w:cs="Arial"/>
        </w:rPr>
      </w:pPr>
      <w:r w:rsidRPr="00B33523">
        <w:rPr>
          <w:rFonts w:ascii="Bookman Old Style" w:hAnsi="Bookman Old Style" w:cs="Arial"/>
        </w:rPr>
        <w:t xml:space="preserve">Teniendo en cuenta que los activos objeto de </w:t>
      </w:r>
      <w:r w:rsidR="003B4FAC" w:rsidRPr="00B33523">
        <w:rPr>
          <w:rFonts w:ascii="Bookman Old Style" w:hAnsi="Bookman Old Style" w:cs="Arial"/>
        </w:rPr>
        <w:t>un</w:t>
      </w:r>
      <w:r w:rsidRPr="00B33523">
        <w:rPr>
          <w:rFonts w:ascii="Bookman Old Style" w:hAnsi="Bookman Old Style" w:cs="Arial"/>
        </w:rPr>
        <w:t>a convocatoria tienen esquema de remuneración propio, no es necesario que los mismos sean incluidos en la base de activos de</w:t>
      </w:r>
      <w:r w:rsidR="003B4FAC" w:rsidRPr="00B33523">
        <w:rPr>
          <w:rFonts w:ascii="Bookman Old Style" w:hAnsi="Bookman Old Style" w:cs="Arial"/>
        </w:rPr>
        <w:t xml:space="preserve"> Intercolombia</w:t>
      </w:r>
      <w:r w:rsidRPr="00B33523">
        <w:rPr>
          <w:rFonts w:ascii="Bookman Old Style" w:hAnsi="Bookman Old Style" w:cs="Arial"/>
        </w:rPr>
        <w:t xml:space="preserve"> S.A. E.S.P. para recibir su respectiva remuneración. </w:t>
      </w:r>
    </w:p>
    <w:p w14:paraId="04D08FF7" w14:textId="0A9D1580" w:rsidR="00045D3D" w:rsidRPr="00B33523" w:rsidRDefault="00C61D2C" w:rsidP="00B33523">
      <w:pPr>
        <w:spacing w:before="240"/>
        <w:ind w:left="0"/>
        <w:jc w:val="both"/>
        <w:rPr>
          <w:rFonts w:ascii="Bookman Old Style" w:hAnsi="Bookman Old Style" w:cs="Arial"/>
        </w:rPr>
      </w:pPr>
      <w:r w:rsidRPr="00B33523">
        <w:rPr>
          <w:rFonts w:ascii="Bookman Old Style" w:hAnsi="Bookman Old Style" w:cs="Arial"/>
        </w:rPr>
        <w:t>De acuerdo con lo anterior y la</w:t>
      </w:r>
      <w:r w:rsidR="00255037">
        <w:rPr>
          <w:rFonts w:ascii="Bookman Old Style" w:hAnsi="Bookman Old Style" w:cs="Arial"/>
        </w:rPr>
        <w:t>s</w:t>
      </w:r>
      <w:r w:rsidRPr="00B33523">
        <w:rPr>
          <w:rFonts w:ascii="Bookman Old Style" w:hAnsi="Bookman Old Style" w:cs="Arial"/>
        </w:rPr>
        <w:t xml:space="preserve"> solicitud</w:t>
      </w:r>
      <w:r w:rsidR="00255037">
        <w:rPr>
          <w:rFonts w:ascii="Bookman Old Style" w:hAnsi="Bookman Old Style" w:cs="Arial"/>
        </w:rPr>
        <w:t>es</w:t>
      </w:r>
      <w:r w:rsidRPr="00B33523">
        <w:rPr>
          <w:rFonts w:ascii="Bookman Old Style" w:hAnsi="Bookman Old Style" w:cs="Arial"/>
        </w:rPr>
        <w:t xml:space="preserve"> presentada</w:t>
      </w:r>
      <w:r w:rsidR="00255037">
        <w:rPr>
          <w:rFonts w:ascii="Bookman Old Style" w:hAnsi="Bookman Old Style" w:cs="Arial"/>
        </w:rPr>
        <w:t>s</w:t>
      </w:r>
      <w:r w:rsidRPr="00B33523">
        <w:rPr>
          <w:rFonts w:ascii="Bookman Old Style" w:hAnsi="Bookman Old Style" w:cs="Arial"/>
        </w:rPr>
        <w:t xml:space="preserve"> por las dos empresas, se considera que: i) no existe impedimento para </w:t>
      </w:r>
      <w:r w:rsidR="008928BE">
        <w:rPr>
          <w:rFonts w:ascii="Bookman Old Style" w:hAnsi="Bookman Old Style" w:cs="Arial"/>
        </w:rPr>
        <w:t>actualizar</w:t>
      </w:r>
      <w:r w:rsidR="008928BE" w:rsidRPr="00B33523">
        <w:rPr>
          <w:rFonts w:ascii="Bookman Old Style" w:hAnsi="Bookman Old Style" w:cs="Arial"/>
        </w:rPr>
        <w:t xml:space="preserve"> </w:t>
      </w:r>
      <w:r w:rsidRPr="00B33523">
        <w:rPr>
          <w:rFonts w:ascii="Bookman Old Style" w:hAnsi="Bookman Old Style" w:cs="Arial"/>
        </w:rPr>
        <w:t xml:space="preserve">la representación de los activos objeto de la convocatoria </w:t>
      </w:r>
      <w:r w:rsidR="00E10ED4">
        <w:rPr>
          <w:rFonts w:ascii="Bookman Old Style" w:hAnsi="Bookman Old Style" w:cs="Arial"/>
        </w:rPr>
        <w:t>UPME 06-2018</w:t>
      </w:r>
      <w:r w:rsidRPr="00B33523">
        <w:rPr>
          <w:rFonts w:ascii="Bookman Old Style" w:hAnsi="Bookman Old Style" w:cs="Arial"/>
        </w:rPr>
        <w:t xml:space="preserve"> por parte de</w:t>
      </w:r>
      <w:r w:rsidR="003B4FAC" w:rsidRPr="00B33523">
        <w:rPr>
          <w:rFonts w:ascii="Bookman Old Style" w:hAnsi="Bookman Old Style" w:cs="Arial"/>
        </w:rPr>
        <w:t xml:space="preserve"> Intercolombia</w:t>
      </w:r>
      <w:r w:rsidRPr="00B33523">
        <w:rPr>
          <w:rFonts w:ascii="Bookman Old Style" w:hAnsi="Bookman Old Style" w:cs="Arial"/>
        </w:rPr>
        <w:t xml:space="preserve"> S.A. E.S.P. y, </w:t>
      </w:r>
      <w:proofErr w:type="spellStart"/>
      <w:r w:rsidRPr="00B33523">
        <w:rPr>
          <w:rFonts w:ascii="Bookman Old Style" w:hAnsi="Bookman Old Style" w:cs="Arial"/>
        </w:rPr>
        <w:t>ii</w:t>
      </w:r>
      <w:proofErr w:type="spellEnd"/>
      <w:r w:rsidRPr="00B33523">
        <w:rPr>
          <w:rFonts w:ascii="Bookman Old Style" w:hAnsi="Bookman Old Style" w:cs="Arial"/>
        </w:rPr>
        <w:t>)</w:t>
      </w:r>
      <w:r w:rsidR="006238C6" w:rsidRPr="00B33523">
        <w:rPr>
          <w:rFonts w:ascii="Bookman Old Style" w:hAnsi="Bookman Old Style" w:cs="Arial"/>
        </w:rPr>
        <w:t xml:space="preserve"> </w:t>
      </w:r>
      <w:r w:rsidRPr="00B33523">
        <w:rPr>
          <w:rFonts w:ascii="Bookman Old Style" w:hAnsi="Bookman Old Style" w:cs="Arial"/>
        </w:rPr>
        <w:t xml:space="preserve">no es necesario modificar la base de activos, el ingreso anual ni las demás variables </w:t>
      </w:r>
      <w:r w:rsidR="00743341" w:rsidRPr="00B33523">
        <w:rPr>
          <w:rFonts w:ascii="Bookman Old Style" w:hAnsi="Bookman Old Style" w:cs="Arial"/>
        </w:rPr>
        <w:t>aprobadas a Intercolombia S.A. E.S.P. en la Resolución CREG 177 de 2013</w:t>
      </w:r>
      <w:r w:rsidRPr="00B33523">
        <w:rPr>
          <w:rFonts w:ascii="Bookman Old Style" w:hAnsi="Bookman Old Style" w:cs="Arial"/>
        </w:rPr>
        <w:t>.</w:t>
      </w:r>
    </w:p>
    <w:p w14:paraId="502FA376" w14:textId="3362B2EA" w:rsidR="00045D3D" w:rsidRPr="00B33523" w:rsidRDefault="00045D3D" w:rsidP="00B33523">
      <w:pPr>
        <w:spacing w:before="240"/>
        <w:ind w:left="0"/>
        <w:jc w:val="both"/>
        <w:rPr>
          <w:rFonts w:ascii="Bookman Old Style" w:hAnsi="Bookman Old Style" w:cs="Arial"/>
        </w:rPr>
      </w:pPr>
      <w:r w:rsidRPr="00B33523">
        <w:rPr>
          <w:rFonts w:ascii="Bookman Old Style" w:hAnsi="Bookman Old Style" w:cs="Arial"/>
        </w:rPr>
        <w:t xml:space="preserve">La Comisión de Regulación de Energía y Gas, </w:t>
      </w:r>
      <w:r w:rsidRPr="008928BE">
        <w:rPr>
          <w:rFonts w:ascii="Bookman Old Style" w:hAnsi="Bookman Old Style" w:cs="Arial"/>
        </w:rPr>
        <w:t xml:space="preserve">en su Sesión </w:t>
      </w:r>
      <w:r w:rsidR="00976398" w:rsidRPr="008928BE">
        <w:rPr>
          <w:rFonts w:ascii="Bookman Old Style" w:hAnsi="Bookman Old Style"/>
        </w:rPr>
        <w:t>1243</w:t>
      </w:r>
      <w:r w:rsidR="00DF3CA2" w:rsidRPr="008928BE">
        <w:rPr>
          <w:rFonts w:ascii="Bookman Old Style" w:hAnsi="Bookman Old Style" w:cs="Arial"/>
        </w:rPr>
        <w:t xml:space="preserve"> del </w:t>
      </w:r>
      <w:r w:rsidR="007650E9" w:rsidRPr="008928BE">
        <w:rPr>
          <w:rFonts w:ascii="Bookman Old Style" w:hAnsi="Bookman Old Style" w:cs="Arial"/>
        </w:rPr>
        <w:t xml:space="preserve">17 </w:t>
      </w:r>
      <w:r w:rsidRPr="008928BE">
        <w:rPr>
          <w:rFonts w:ascii="Bookman Old Style" w:hAnsi="Bookman Old Style" w:cs="Arial"/>
        </w:rPr>
        <w:t xml:space="preserve">de </w:t>
      </w:r>
      <w:r w:rsidR="007650E9" w:rsidRPr="008928BE">
        <w:rPr>
          <w:rFonts w:ascii="Bookman Old Style" w:hAnsi="Bookman Old Style" w:cs="Arial"/>
        </w:rPr>
        <w:t xml:space="preserve">febrero </w:t>
      </w:r>
      <w:r w:rsidRPr="008928BE">
        <w:rPr>
          <w:rFonts w:ascii="Bookman Old Style" w:hAnsi="Bookman Old Style" w:cs="Arial"/>
        </w:rPr>
        <w:t>de 20</w:t>
      </w:r>
      <w:r w:rsidR="00BB58A2" w:rsidRPr="008928BE">
        <w:rPr>
          <w:rFonts w:ascii="Bookman Old Style" w:hAnsi="Bookman Old Style" w:cs="Arial"/>
        </w:rPr>
        <w:t>2</w:t>
      </w:r>
      <w:r w:rsidR="006C0475" w:rsidRPr="008928BE">
        <w:rPr>
          <w:rFonts w:ascii="Bookman Old Style" w:hAnsi="Bookman Old Style" w:cs="Arial"/>
        </w:rPr>
        <w:t>3</w:t>
      </w:r>
      <w:r w:rsidRPr="008928BE">
        <w:rPr>
          <w:rFonts w:ascii="Bookman Old Style" w:hAnsi="Bookman Old Style" w:cs="Arial"/>
        </w:rPr>
        <w:t>, acordó expedir esta resolución</w:t>
      </w:r>
      <w:r w:rsidRPr="00B33523">
        <w:rPr>
          <w:rFonts w:ascii="Bookman Old Style" w:hAnsi="Bookman Old Style" w:cs="Arial"/>
        </w:rPr>
        <w:t>.</w:t>
      </w:r>
    </w:p>
    <w:p w14:paraId="3DB41754" w14:textId="27B3FD5C" w:rsidR="00045D3D" w:rsidRDefault="00045D3D" w:rsidP="006238C6">
      <w:pPr>
        <w:ind w:left="0"/>
        <w:rPr>
          <w:rFonts w:ascii="Bookman Old Style" w:hAnsi="Bookman Old Style" w:cs="Arial"/>
        </w:rPr>
      </w:pPr>
    </w:p>
    <w:p w14:paraId="40EFC463" w14:textId="77777777" w:rsidR="00045D3D" w:rsidRPr="00B33523" w:rsidRDefault="00045D3D" w:rsidP="00E66710">
      <w:pPr>
        <w:suppressAutoHyphens/>
        <w:spacing w:before="120" w:after="360"/>
        <w:ind w:left="0"/>
        <w:jc w:val="center"/>
        <w:rPr>
          <w:rFonts w:ascii="Bookman Old Style" w:hAnsi="Bookman Old Style" w:cs="Arial"/>
        </w:rPr>
      </w:pPr>
      <w:r w:rsidRPr="00B33523">
        <w:rPr>
          <w:rFonts w:ascii="Bookman Old Style" w:hAnsi="Bookman Old Style" w:cs="Arial"/>
          <w:b/>
        </w:rPr>
        <w:t>R E S U E L V E:</w:t>
      </w:r>
    </w:p>
    <w:p w14:paraId="7C10251A" w14:textId="38C4B444" w:rsidR="00492992" w:rsidRPr="00B33523" w:rsidRDefault="00BC093D" w:rsidP="0015565C">
      <w:pPr>
        <w:pStyle w:val="Artculo"/>
      </w:pPr>
      <w:r>
        <w:rPr>
          <w:b/>
        </w:rPr>
        <w:t>Actualización en la</w:t>
      </w:r>
      <w:r w:rsidR="00492992" w:rsidRPr="00B33523">
        <w:rPr>
          <w:b/>
        </w:rPr>
        <w:t xml:space="preserve"> representación</w:t>
      </w:r>
      <w:r>
        <w:rPr>
          <w:b/>
        </w:rPr>
        <w:t xml:space="preserve"> de activos</w:t>
      </w:r>
      <w:r w:rsidR="00492992" w:rsidRPr="00B33523">
        <w:rPr>
          <w:b/>
        </w:rPr>
        <w:t>.</w:t>
      </w:r>
      <w:r w:rsidR="00492992" w:rsidRPr="00B33523">
        <w:t xml:space="preserve"> </w:t>
      </w:r>
      <w:r w:rsidR="007650E9">
        <w:t>A</w:t>
      </w:r>
      <w:r w:rsidR="00492992" w:rsidRPr="00B33523">
        <w:t xml:space="preserve"> partir de la entrada en vigencia de la presente resolución, </w:t>
      </w:r>
      <w:r w:rsidR="00743341" w:rsidRPr="00B33523">
        <w:t xml:space="preserve">Intercolombia </w:t>
      </w:r>
      <w:r w:rsidR="00492992" w:rsidRPr="00B33523">
        <w:rPr>
          <w:szCs w:val="22"/>
        </w:rPr>
        <w:t>S.A. E.S.P.</w:t>
      </w:r>
      <w:r w:rsidR="00492992" w:rsidRPr="00B33523">
        <w:t xml:space="preserve"> </w:t>
      </w:r>
      <w:r w:rsidR="007650E9" w:rsidRPr="00B33523">
        <w:t>act</w:t>
      </w:r>
      <w:r w:rsidR="007650E9">
        <w:t xml:space="preserve">uará </w:t>
      </w:r>
      <w:r w:rsidR="00492992" w:rsidRPr="00B33523">
        <w:t xml:space="preserve">como representante ante el LAC, en reemplazo de </w:t>
      </w:r>
      <w:r w:rsidR="00CF5BCF" w:rsidRPr="00B33523">
        <w:rPr>
          <w:spacing w:val="0"/>
        </w:rPr>
        <w:t>Interconexión Eléctrica S.A. E.S.P.</w:t>
      </w:r>
      <w:r w:rsidR="00492992" w:rsidRPr="00B33523">
        <w:t xml:space="preserve">, de los activos que hacen parte del proyecto objeto de </w:t>
      </w:r>
      <w:r w:rsidR="00492992" w:rsidRPr="00B33523">
        <w:rPr>
          <w:spacing w:val="-3"/>
        </w:rPr>
        <w:t xml:space="preserve">la convocatoria </w:t>
      </w:r>
      <w:r w:rsidR="00E10ED4">
        <w:rPr>
          <w:spacing w:val="-3"/>
        </w:rPr>
        <w:t>UPME 06-2018</w:t>
      </w:r>
      <w:r w:rsidR="00492992" w:rsidRPr="00B33523">
        <w:t xml:space="preserve">, </w:t>
      </w:r>
      <w:r w:rsidR="006F4568" w:rsidRPr="00B33523">
        <w:t xml:space="preserve">los cuales </w:t>
      </w:r>
      <w:r w:rsidR="00492992" w:rsidRPr="00B33523">
        <w:t xml:space="preserve">corresponden a activos de uso </w:t>
      </w:r>
      <w:r w:rsidR="006238C6" w:rsidRPr="00B33523">
        <w:t>que están en operación</w:t>
      </w:r>
      <w:r w:rsidR="00286A16" w:rsidRPr="00B33523">
        <w:t>,</w:t>
      </w:r>
      <w:r w:rsidR="006238C6" w:rsidRPr="00B33523">
        <w:t xml:space="preserve"> </w:t>
      </w:r>
      <w:r w:rsidR="00492992" w:rsidRPr="00B33523">
        <w:t xml:space="preserve">y </w:t>
      </w:r>
      <w:r w:rsidR="00DD78B6" w:rsidRPr="00B33523">
        <w:t>cuya</w:t>
      </w:r>
      <w:r w:rsidR="00492992" w:rsidRPr="00B33523">
        <w:t xml:space="preserve"> remuneración corresponde a la aprobada mediante la Resolución CREG </w:t>
      </w:r>
      <w:r w:rsidR="008C6C76">
        <w:t>031 de 2019</w:t>
      </w:r>
      <w:r w:rsidR="00492992" w:rsidRPr="00B33523">
        <w:t>.</w:t>
      </w:r>
    </w:p>
    <w:p w14:paraId="0963141A" w14:textId="668B84A3" w:rsidR="00492992" w:rsidRPr="00B33523" w:rsidRDefault="006238C6" w:rsidP="0080685C">
      <w:pPr>
        <w:spacing w:before="240"/>
        <w:ind w:left="0"/>
        <w:jc w:val="both"/>
        <w:rPr>
          <w:rFonts w:ascii="Bookman Old Style" w:hAnsi="Bookman Old Style" w:cs="Arial"/>
        </w:rPr>
      </w:pPr>
      <w:r w:rsidRPr="00B33523">
        <w:rPr>
          <w:rFonts w:ascii="Bookman Old Style" w:hAnsi="Bookman Old Style" w:cs="Arial"/>
        </w:rPr>
        <w:t>Igualmente</w:t>
      </w:r>
      <w:r w:rsidR="00492992" w:rsidRPr="00B33523">
        <w:rPr>
          <w:rFonts w:ascii="Bookman Old Style" w:hAnsi="Bookman Old Style" w:cs="Arial"/>
        </w:rPr>
        <w:t xml:space="preserve">, con respecto a los citados activos, </w:t>
      </w:r>
      <w:r w:rsidR="00743341" w:rsidRPr="00B33523">
        <w:rPr>
          <w:rFonts w:ascii="Bookman Old Style" w:hAnsi="Bookman Old Style" w:cs="Arial"/>
        </w:rPr>
        <w:t xml:space="preserve">Intercolombia </w:t>
      </w:r>
      <w:r w:rsidR="00492992" w:rsidRPr="00B33523">
        <w:rPr>
          <w:rFonts w:ascii="Bookman Old Style" w:hAnsi="Bookman Old Style" w:cs="Arial"/>
          <w:szCs w:val="22"/>
        </w:rPr>
        <w:t xml:space="preserve">S.A. E.S.P. </w:t>
      </w:r>
      <w:r w:rsidR="00492992" w:rsidRPr="00B33523">
        <w:rPr>
          <w:rFonts w:ascii="Bookman Old Style" w:hAnsi="Bookman Old Style" w:cs="Arial"/>
        </w:rPr>
        <w:t>asum</w:t>
      </w:r>
      <w:r w:rsidR="0015565C">
        <w:rPr>
          <w:rFonts w:ascii="Bookman Old Style" w:hAnsi="Bookman Old Style" w:cs="Arial"/>
        </w:rPr>
        <w:t>irá</w:t>
      </w:r>
      <w:r w:rsidR="00492992" w:rsidRPr="00B33523">
        <w:rPr>
          <w:rFonts w:ascii="Bookman Old Style" w:hAnsi="Bookman Old Style" w:cs="Arial"/>
        </w:rPr>
        <w:t xml:space="preserve"> los derechos adquiridos por </w:t>
      </w:r>
      <w:r w:rsidR="00CF5BCF" w:rsidRPr="00B33523">
        <w:rPr>
          <w:rFonts w:ascii="Bookman Old Style" w:hAnsi="Bookman Old Style" w:cs="Arial"/>
        </w:rPr>
        <w:t xml:space="preserve">Interconexión Eléctrica S.A. E.S.P. </w:t>
      </w:r>
      <w:r w:rsidR="00492992" w:rsidRPr="00B33523">
        <w:rPr>
          <w:rFonts w:ascii="Bookman Old Style" w:hAnsi="Bookman Old Style" w:cs="Arial"/>
        </w:rPr>
        <w:t>en virtud de la resolución enunciada</w:t>
      </w:r>
      <w:r w:rsidR="00286A16" w:rsidRPr="00B33523">
        <w:rPr>
          <w:rFonts w:ascii="Bookman Old Style" w:hAnsi="Bookman Old Style" w:cs="Arial"/>
        </w:rPr>
        <w:t>,</w:t>
      </w:r>
      <w:r w:rsidR="00492992" w:rsidRPr="00B33523">
        <w:rPr>
          <w:rFonts w:ascii="Bookman Old Style" w:hAnsi="Bookman Old Style" w:cs="Arial"/>
        </w:rPr>
        <w:t xml:space="preserve"> y las obligaciones que le imponga la normativa vigente. </w:t>
      </w:r>
    </w:p>
    <w:p w14:paraId="0CDC8D91" w14:textId="120BEEC3" w:rsidR="002B7630" w:rsidRPr="00781565" w:rsidRDefault="00492992" w:rsidP="0015565C">
      <w:pPr>
        <w:pStyle w:val="Artculo"/>
      </w:pPr>
      <w:r w:rsidRPr="00B33523">
        <w:rPr>
          <w:b/>
          <w:bCs/>
        </w:rPr>
        <w:t>Recursos</w:t>
      </w:r>
      <w:r w:rsidRPr="00B33523">
        <w:rPr>
          <w:bCs/>
        </w:rPr>
        <w:t xml:space="preserve">. </w:t>
      </w:r>
      <w:r w:rsidRPr="00B33523">
        <w:t>La presente resolución deberá notificarse a</w:t>
      </w:r>
      <w:r w:rsidR="006F4568" w:rsidRPr="00B33523">
        <w:t xml:space="preserve"> los representantes legales de</w:t>
      </w:r>
      <w:r w:rsidRPr="00B33523">
        <w:t xml:space="preserve"> </w:t>
      </w:r>
      <w:r w:rsidR="00743341" w:rsidRPr="00B33523">
        <w:t xml:space="preserve">Intercolombia </w:t>
      </w:r>
      <w:r w:rsidRPr="00B33523">
        <w:rPr>
          <w:szCs w:val="22"/>
        </w:rPr>
        <w:t xml:space="preserve">S.A. E.S.P. </w:t>
      </w:r>
      <w:r w:rsidR="006F4568" w:rsidRPr="00B33523">
        <w:rPr>
          <w:spacing w:val="-3"/>
        </w:rPr>
        <w:t>e</w:t>
      </w:r>
      <w:r w:rsidRPr="00B33523">
        <w:rPr>
          <w:spacing w:val="-3"/>
        </w:rPr>
        <w:t xml:space="preserve"> </w:t>
      </w:r>
      <w:r w:rsidR="00CF5BCF" w:rsidRPr="00B33523">
        <w:rPr>
          <w:spacing w:val="0"/>
        </w:rPr>
        <w:t xml:space="preserve">Interconexión Eléctrica S.A. E.S.P. </w:t>
      </w:r>
      <w:r w:rsidRPr="00B33523">
        <w:t>Contra lo dispuesto en este acto procede el recurso de reposición, el cual se podrá interponer ante la Dirección Ejecutiva de la CREG dentro de los cinco (5) días hábiles siguientes a la fecha de su notificación.</w:t>
      </w:r>
    </w:p>
    <w:p w14:paraId="5949906F" w14:textId="77777777" w:rsidR="00781565" w:rsidRDefault="00781565" w:rsidP="002B7630">
      <w:pPr>
        <w:spacing w:before="120"/>
        <w:ind w:left="0"/>
        <w:jc w:val="center"/>
        <w:rPr>
          <w:rFonts w:ascii="Bookman Old Style" w:hAnsi="Bookman Old Style" w:cs="Arial"/>
          <w:b/>
        </w:rPr>
      </w:pPr>
    </w:p>
    <w:p w14:paraId="292B1F06" w14:textId="2F688F2D" w:rsidR="00045D3D" w:rsidRPr="00B33523" w:rsidRDefault="002903C0" w:rsidP="00E66710">
      <w:pPr>
        <w:spacing w:before="240"/>
        <w:ind w:left="0"/>
        <w:jc w:val="center"/>
        <w:rPr>
          <w:rFonts w:ascii="Bookman Old Style" w:hAnsi="Bookman Old Style" w:cs="Arial"/>
          <w:b/>
        </w:rPr>
      </w:pPr>
      <w:r w:rsidRPr="00B33523">
        <w:rPr>
          <w:rFonts w:ascii="Bookman Old Style" w:hAnsi="Bookman Old Style" w:cs="Arial"/>
          <w:b/>
        </w:rPr>
        <w:t xml:space="preserve">NOTIFÍQUESE, </w:t>
      </w:r>
      <w:r w:rsidR="00045D3D" w:rsidRPr="00B33523">
        <w:rPr>
          <w:rFonts w:ascii="Bookman Old Style" w:hAnsi="Bookman Old Style" w:cs="Arial"/>
          <w:b/>
        </w:rPr>
        <w:t>PU</w:t>
      </w:r>
      <w:r w:rsidR="00CA03C8" w:rsidRPr="00B33523">
        <w:rPr>
          <w:rFonts w:ascii="Bookman Old Style" w:hAnsi="Bookman Old Style" w:cs="Arial"/>
          <w:b/>
        </w:rPr>
        <w:t>B</w:t>
      </w:r>
      <w:r w:rsidR="00045D3D" w:rsidRPr="00B33523">
        <w:rPr>
          <w:rFonts w:ascii="Bookman Old Style" w:hAnsi="Bookman Old Style" w:cs="Arial"/>
          <w:b/>
        </w:rPr>
        <w:t>LÍQUESE Y CÚMPLASE</w:t>
      </w:r>
    </w:p>
    <w:p w14:paraId="7651F574" w14:textId="042FABBA" w:rsidR="00045D3D" w:rsidRDefault="00045D3D" w:rsidP="002B7630">
      <w:pPr>
        <w:spacing w:after="120"/>
        <w:rPr>
          <w:rFonts w:ascii="Bookman Old Style" w:hAnsi="Bookman Old Style" w:cs="Arial"/>
        </w:rPr>
      </w:pPr>
    </w:p>
    <w:p w14:paraId="41425FE5" w14:textId="69D51042" w:rsidR="00045D3D" w:rsidRPr="008248D7" w:rsidRDefault="00045D3D" w:rsidP="00045D3D">
      <w:pPr>
        <w:ind w:left="0"/>
        <w:rPr>
          <w:rFonts w:ascii="Bookman Old Style" w:hAnsi="Bookman Old Style" w:cs="Arial"/>
          <w:b/>
          <w:bCs/>
        </w:rPr>
      </w:pPr>
      <w:r w:rsidRPr="00B33523">
        <w:rPr>
          <w:rFonts w:ascii="Bookman Old Style" w:hAnsi="Bookman Old Style" w:cs="Arial"/>
        </w:rPr>
        <w:t>Dada en Bogotá, D.C.</w:t>
      </w:r>
      <w:r w:rsidR="00CA3AA6" w:rsidRPr="00B33523">
        <w:rPr>
          <w:rFonts w:ascii="Bookman Old Style" w:hAnsi="Bookman Old Style" w:cs="Arial"/>
        </w:rPr>
        <w:t xml:space="preserve"> </w:t>
      </w:r>
      <w:r w:rsidR="00781565">
        <w:rPr>
          <w:rFonts w:ascii="Bookman Old Style" w:hAnsi="Bookman Old Style" w:cs="Arial"/>
        </w:rPr>
        <w:t xml:space="preserve">el </w:t>
      </w:r>
      <w:r w:rsidR="007650E9" w:rsidRPr="00781565">
        <w:rPr>
          <w:rFonts w:ascii="Bookman Old Style" w:hAnsi="Bookman Old Style" w:cs="Arial"/>
        </w:rPr>
        <w:t xml:space="preserve">17 </w:t>
      </w:r>
      <w:r w:rsidR="00781565" w:rsidRPr="00781565">
        <w:rPr>
          <w:rFonts w:ascii="Bookman Old Style" w:hAnsi="Bookman Old Style" w:cs="Arial"/>
        </w:rPr>
        <w:t>de febrero de</w:t>
      </w:r>
      <w:r w:rsidR="007650E9" w:rsidRPr="00781565">
        <w:rPr>
          <w:rFonts w:ascii="Bookman Old Style" w:hAnsi="Bookman Old Style" w:cs="Arial"/>
        </w:rPr>
        <w:t xml:space="preserve"> </w:t>
      </w:r>
      <w:r w:rsidR="008248D7" w:rsidRPr="00781565">
        <w:rPr>
          <w:rFonts w:ascii="Bookman Old Style" w:hAnsi="Bookman Old Style" w:cs="Arial"/>
        </w:rPr>
        <w:t>202</w:t>
      </w:r>
      <w:r w:rsidR="004F7359" w:rsidRPr="00781565">
        <w:rPr>
          <w:rFonts w:ascii="Bookman Old Style" w:hAnsi="Bookman Old Style" w:cs="Arial"/>
        </w:rPr>
        <w:t>3</w:t>
      </w:r>
      <w:r w:rsidR="00781565">
        <w:rPr>
          <w:rFonts w:ascii="Bookman Old Style" w:hAnsi="Bookman Old Style" w:cs="Arial"/>
        </w:rPr>
        <w:t>.</w:t>
      </w:r>
    </w:p>
    <w:p w14:paraId="21AA921C" w14:textId="69FD9F01" w:rsidR="002B7630" w:rsidRDefault="002B7630" w:rsidP="00045D3D">
      <w:pPr>
        <w:ind w:left="0"/>
        <w:rPr>
          <w:rFonts w:ascii="Bookman Old Style" w:hAnsi="Bookman Old Style" w:cs="Arial"/>
        </w:rPr>
      </w:pPr>
    </w:p>
    <w:p w14:paraId="41C9CD9E" w14:textId="77777777" w:rsidR="0015565C" w:rsidRDefault="0015565C" w:rsidP="00045D3D">
      <w:pPr>
        <w:ind w:left="0"/>
        <w:rPr>
          <w:rFonts w:ascii="Bookman Old Style" w:hAnsi="Bookman Old Style" w:cs="Arial"/>
        </w:rPr>
      </w:pPr>
    </w:p>
    <w:p w14:paraId="00394068" w14:textId="77777777" w:rsidR="00781565" w:rsidRDefault="00781565" w:rsidP="00045D3D">
      <w:pPr>
        <w:ind w:left="0"/>
        <w:rPr>
          <w:rFonts w:ascii="Bookman Old Style" w:hAnsi="Bookman Old Style" w:cs="Arial"/>
        </w:rPr>
      </w:pPr>
    </w:p>
    <w:tbl>
      <w:tblPr>
        <w:tblW w:w="0" w:type="auto"/>
        <w:jc w:val="center"/>
        <w:tblLayout w:type="fixed"/>
        <w:tblCellMar>
          <w:left w:w="70" w:type="dxa"/>
          <w:right w:w="70" w:type="dxa"/>
        </w:tblCellMar>
        <w:tblLook w:val="0000" w:firstRow="0" w:lastRow="0" w:firstColumn="0" w:lastColumn="0" w:noHBand="0" w:noVBand="0"/>
      </w:tblPr>
      <w:tblGrid>
        <w:gridCol w:w="4536"/>
        <w:gridCol w:w="4678"/>
      </w:tblGrid>
      <w:tr w:rsidR="00F77D2D" w:rsidRPr="00B33523" w14:paraId="1893E0FE" w14:textId="77777777" w:rsidTr="008248D7">
        <w:trPr>
          <w:jc w:val="center"/>
        </w:trPr>
        <w:tc>
          <w:tcPr>
            <w:tcW w:w="4536" w:type="dxa"/>
          </w:tcPr>
          <w:p w14:paraId="522DECE2" w14:textId="77C93D27" w:rsidR="00F77D2D" w:rsidRPr="007650E9" w:rsidRDefault="007650E9" w:rsidP="00C44E5F">
            <w:pPr>
              <w:tabs>
                <w:tab w:val="left" w:pos="-720"/>
              </w:tabs>
              <w:suppressAutoHyphens/>
              <w:ind w:left="0"/>
              <w:jc w:val="center"/>
              <w:rPr>
                <w:rFonts w:ascii="Bookman Old Style" w:hAnsi="Bookman Old Style" w:cs="Arial"/>
                <w:b/>
              </w:rPr>
            </w:pPr>
            <w:r w:rsidRPr="007650E9">
              <w:rPr>
                <w:b/>
              </w:rPr>
              <w:t>C</w:t>
            </w:r>
            <w:r w:rsidRPr="007650E9">
              <w:rPr>
                <w:rFonts w:ascii="Bookman Old Style" w:hAnsi="Bookman Old Style" w:cs="Arial"/>
                <w:b/>
              </w:rPr>
              <w:t>RISTIAN ANDRÉS DIAZ DURÁN</w:t>
            </w:r>
          </w:p>
          <w:p w14:paraId="2F735F3C" w14:textId="494C6FF1" w:rsidR="00286A16" w:rsidRPr="00B33523" w:rsidRDefault="00BC093D" w:rsidP="00C44E5F">
            <w:pPr>
              <w:tabs>
                <w:tab w:val="left" w:pos="-720"/>
              </w:tabs>
              <w:suppressAutoHyphens/>
              <w:ind w:left="0"/>
              <w:jc w:val="center"/>
              <w:rPr>
                <w:rFonts w:ascii="Bookman Old Style" w:hAnsi="Bookman Old Style" w:cs="Arial"/>
              </w:rPr>
            </w:pPr>
            <w:r>
              <w:rPr>
                <w:rFonts w:ascii="Bookman Old Style" w:hAnsi="Bookman Old Style" w:cs="Arial"/>
              </w:rPr>
              <w:t>Vicem</w:t>
            </w:r>
            <w:r w:rsidRPr="00B33523">
              <w:rPr>
                <w:rFonts w:ascii="Bookman Old Style" w:hAnsi="Bookman Old Style" w:cs="Arial"/>
              </w:rPr>
              <w:t>inistr</w:t>
            </w:r>
            <w:r>
              <w:rPr>
                <w:rFonts w:ascii="Bookman Old Style" w:hAnsi="Bookman Old Style" w:cs="Arial"/>
              </w:rPr>
              <w:t>o</w:t>
            </w:r>
            <w:r w:rsidRPr="00B33523">
              <w:rPr>
                <w:rFonts w:ascii="Bookman Old Style" w:hAnsi="Bookman Old Style" w:cs="Arial"/>
              </w:rPr>
              <w:t xml:space="preserve"> </w:t>
            </w:r>
            <w:r w:rsidR="00F77D2D" w:rsidRPr="00B33523">
              <w:rPr>
                <w:rFonts w:ascii="Bookman Old Style" w:hAnsi="Bookman Old Style" w:cs="Arial"/>
              </w:rPr>
              <w:t>de Energía</w:t>
            </w:r>
            <w:r>
              <w:rPr>
                <w:rFonts w:ascii="Bookman Old Style" w:hAnsi="Bookman Old Style" w:cs="Arial"/>
              </w:rPr>
              <w:t xml:space="preserve"> (E</w:t>
            </w:r>
            <w:r w:rsidR="00FF2647">
              <w:rPr>
                <w:rFonts w:ascii="Bookman Old Style" w:hAnsi="Bookman Old Style" w:cs="Arial"/>
              </w:rPr>
              <w:t xml:space="preserve">), </w:t>
            </w:r>
            <w:r w:rsidR="00FF2647" w:rsidRPr="00710742">
              <w:rPr>
                <w:rFonts w:ascii="Bookman Old Style" w:hAnsi="Bookman Old Style" w:cs="Arial"/>
              </w:rPr>
              <w:t>delegad</w:t>
            </w:r>
            <w:r w:rsidR="00FF2647">
              <w:rPr>
                <w:rFonts w:ascii="Bookman Old Style" w:hAnsi="Bookman Old Style" w:cs="Arial"/>
              </w:rPr>
              <w:t>o</w:t>
            </w:r>
            <w:r w:rsidR="00FF2647" w:rsidRPr="00710742">
              <w:rPr>
                <w:rFonts w:ascii="Bookman Old Style" w:hAnsi="Bookman Old Style" w:cs="Arial"/>
              </w:rPr>
              <w:t xml:space="preserve"> de la </w:t>
            </w:r>
            <w:proofErr w:type="gramStart"/>
            <w:r w:rsidR="00FF2647" w:rsidRPr="00710742">
              <w:rPr>
                <w:rFonts w:ascii="Bookman Old Style" w:hAnsi="Bookman Old Style" w:cs="Arial"/>
              </w:rPr>
              <w:t>Ministra</w:t>
            </w:r>
            <w:proofErr w:type="gramEnd"/>
            <w:r w:rsidR="00FF2647" w:rsidRPr="00710742">
              <w:rPr>
                <w:rFonts w:ascii="Bookman Old Style" w:hAnsi="Bookman Old Style" w:cs="Arial"/>
              </w:rPr>
              <w:t xml:space="preserve"> de Minas y Energía</w:t>
            </w:r>
          </w:p>
          <w:p w14:paraId="6AD75F25" w14:textId="4BD11730" w:rsidR="00F77D2D" w:rsidRPr="00B33523" w:rsidRDefault="00F77D2D" w:rsidP="00C44E5F">
            <w:pPr>
              <w:tabs>
                <w:tab w:val="left" w:pos="-720"/>
              </w:tabs>
              <w:suppressAutoHyphens/>
              <w:ind w:left="0"/>
              <w:jc w:val="center"/>
              <w:rPr>
                <w:rFonts w:ascii="Bookman Old Style" w:hAnsi="Bookman Old Style" w:cs="Arial"/>
                <w:b/>
                <w:strike/>
              </w:rPr>
            </w:pPr>
            <w:r w:rsidRPr="00B33523">
              <w:rPr>
                <w:rFonts w:ascii="Bookman Old Style" w:hAnsi="Bookman Old Style" w:cs="Arial"/>
              </w:rPr>
              <w:t>Presidente</w:t>
            </w:r>
          </w:p>
        </w:tc>
        <w:tc>
          <w:tcPr>
            <w:tcW w:w="4678" w:type="dxa"/>
          </w:tcPr>
          <w:p w14:paraId="6369F7A4" w14:textId="3197CB41" w:rsidR="00F77D2D" w:rsidRPr="00B33523" w:rsidRDefault="000E3B7A" w:rsidP="00C44E5F">
            <w:pPr>
              <w:tabs>
                <w:tab w:val="left" w:pos="-720"/>
              </w:tabs>
              <w:suppressAutoHyphens/>
              <w:ind w:left="0"/>
              <w:jc w:val="center"/>
              <w:rPr>
                <w:rFonts w:ascii="Bookman Old Style" w:hAnsi="Bookman Old Style" w:cs="Arial"/>
                <w:b/>
              </w:rPr>
            </w:pPr>
            <w:r w:rsidRPr="00B33523">
              <w:rPr>
                <w:rFonts w:ascii="Bookman Old Style" w:hAnsi="Bookman Old Style" w:cs="Arial"/>
                <w:b/>
              </w:rPr>
              <w:t>JO</w:t>
            </w:r>
            <w:r w:rsidR="004F7359">
              <w:rPr>
                <w:rFonts w:ascii="Bookman Old Style" w:hAnsi="Bookman Old Style" w:cs="Arial"/>
                <w:b/>
              </w:rPr>
              <w:t>SÉ</w:t>
            </w:r>
            <w:r w:rsidRPr="00B33523">
              <w:rPr>
                <w:rFonts w:ascii="Bookman Old Style" w:hAnsi="Bookman Old Style" w:cs="Arial"/>
                <w:b/>
              </w:rPr>
              <w:t xml:space="preserve"> </w:t>
            </w:r>
            <w:r w:rsidR="004F7359">
              <w:rPr>
                <w:rFonts w:ascii="Bookman Old Style" w:hAnsi="Bookman Old Style" w:cs="Arial"/>
                <w:b/>
              </w:rPr>
              <w:t>F</w:t>
            </w:r>
            <w:r w:rsidRPr="00B33523">
              <w:rPr>
                <w:rFonts w:ascii="Bookman Old Style" w:hAnsi="Bookman Old Style" w:cs="Arial"/>
                <w:b/>
              </w:rPr>
              <w:t>ER</w:t>
            </w:r>
            <w:r w:rsidR="004F7359">
              <w:rPr>
                <w:rFonts w:ascii="Bookman Old Style" w:hAnsi="Bookman Old Style" w:cs="Arial"/>
                <w:b/>
              </w:rPr>
              <w:t>NAN</w:t>
            </w:r>
            <w:r w:rsidR="00903E07">
              <w:rPr>
                <w:rFonts w:ascii="Bookman Old Style" w:hAnsi="Bookman Old Style" w:cs="Arial"/>
                <w:b/>
              </w:rPr>
              <w:t>D</w:t>
            </w:r>
            <w:r w:rsidRPr="00B33523">
              <w:rPr>
                <w:rFonts w:ascii="Bookman Old Style" w:hAnsi="Bookman Old Style" w:cs="Arial"/>
                <w:b/>
              </w:rPr>
              <w:t xml:space="preserve">O </w:t>
            </w:r>
            <w:r w:rsidR="00903E07">
              <w:rPr>
                <w:rFonts w:ascii="Bookman Old Style" w:hAnsi="Bookman Old Style" w:cs="Arial"/>
                <w:b/>
              </w:rPr>
              <w:t>PR</w:t>
            </w:r>
            <w:r w:rsidRPr="00B33523">
              <w:rPr>
                <w:rFonts w:ascii="Bookman Old Style" w:hAnsi="Bookman Old Style" w:cs="Arial"/>
                <w:b/>
              </w:rPr>
              <w:t>A</w:t>
            </w:r>
            <w:r w:rsidR="00903E07">
              <w:rPr>
                <w:rFonts w:ascii="Bookman Old Style" w:hAnsi="Bookman Old Style" w:cs="Arial"/>
                <w:b/>
              </w:rPr>
              <w:t>D</w:t>
            </w:r>
            <w:r w:rsidRPr="00B33523">
              <w:rPr>
                <w:rFonts w:ascii="Bookman Old Style" w:hAnsi="Bookman Old Style" w:cs="Arial"/>
                <w:b/>
              </w:rPr>
              <w:t>A RÍ</w:t>
            </w:r>
            <w:r w:rsidR="00903E07">
              <w:rPr>
                <w:rFonts w:ascii="Bookman Old Style" w:hAnsi="Bookman Old Style" w:cs="Arial"/>
                <w:b/>
              </w:rPr>
              <w:t>OS</w:t>
            </w:r>
          </w:p>
          <w:p w14:paraId="734E2950" w14:textId="77777777" w:rsidR="00F77D2D" w:rsidRPr="00B33523" w:rsidRDefault="00F77D2D" w:rsidP="00C44E5F">
            <w:pPr>
              <w:tabs>
                <w:tab w:val="left" w:pos="-720"/>
              </w:tabs>
              <w:suppressAutoHyphens/>
              <w:ind w:left="0"/>
              <w:jc w:val="center"/>
              <w:rPr>
                <w:rFonts w:ascii="Bookman Old Style" w:hAnsi="Bookman Old Style" w:cs="Arial"/>
                <w:b/>
              </w:rPr>
            </w:pPr>
            <w:r w:rsidRPr="00B33523">
              <w:rPr>
                <w:rFonts w:ascii="Bookman Old Style" w:hAnsi="Bookman Old Style" w:cs="Arial"/>
              </w:rPr>
              <w:t>Director Ejecutivo</w:t>
            </w:r>
          </w:p>
        </w:tc>
      </w:tr>
    </w:tbl>
    <w:p w14:paraId="7C2B3EB8" w14:textId="0F50BFE4" w:rsidR="00045D3D" w:rsidRDefault="00045D3D" w:rsidP="00045D3D">
      <w:pPr>
        <w:ind w:left="0"/>
        <w:rPr>
          <w:rFonts w:ascii="Bookman Old Style" w:hAnsi="Bookman Old Style" w:cs="Arial"/>
          <w:sz w:val="4"/>
          <w:szCs w:val="4"/>
        </w:rPr>
      </w:pPr>
    </w:p>
    <w:p w14:paraId="27DE5935" w14:textId="181115C1" w:rsidR="00B422AC" w:rsidRDefault="00B422AC" w:rsidP="00045D3D">
      <w:pPr>
        <w:ind w:left="0"/>
        <w:rPr>
          <w:rFonts w:ascii="Bookman Old Style" w:hAnsi="Bookman Old Style" w:cs="Arial"/>
          <w:sz w:val="4"/>
          <w:szCs w:val="4"/>
        </w:rPr>
      </w:pPr>
    </w:p>
    <w:p w14:paraId="627C5C3C" w14:textId="57EB62CE" w:rsidR="00B422AC" w:rsidRDefault="00B422AC" w:rsidP="00045D3D">
      <w:pPr>
        <w:ind w:left="0"/>
        <w:rPr>
          <w:rFonts w:ascii="Bookman Old Style" w:hAnsi="Bookman Old Style" w:cs="Arial"/>
          <w:sz w:val="4"/>
          <w:szCs w:val="4"/>
        </w:rPr>
      </w:pPr>
    </w:p>
    <w:p w14:paraId="7C3A6015" w14:textId="77777777" w:rsidR="00B422AC" w:rsidRPr="0080685C" w:rsidRDefault="00B422AC" w:rsidP="00045D3D">
      <w:pPr>
        <w:ind w:left="0"/>
        <w:rPr>
          <w:rFonts w:ascii="Bookman Old Style" w:hAnsi="Bookman Old Style" w:cs="Arial"/>
          <w:sz w:val="4"/>
          <w:szCs w:val="4"/>
        </w:rPr>
      </w:pPr>
    </w:p>
    <w:sectPr w:rsidR="00B422AC" w:rsidRPr="0080685C" w:rsidSect="005A59EF">
      <w:headerReference w:type="default" r:id="rId9"/>
      <w:headerReference w:type="first" r:id="rId10"/>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4850" w14:textId="77777777" w:rsidR="00731420" w:rsidRDefault="00731420">
      <w:r>
        <w:separator/>
      </w:r>
    </w:p>
  </w:endnote>
  <w:endnote w:type="continuationSeparator" w:id="0">
    <w:p w14:paraId="3C50E646" w14:textId="77777777" w:rsidR="00731420" w:rsidRDefault="00731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2D0EE" w14:textId="77777777" w:rsidR="00731420" w:rsidRDefault="00731420">
      <w:r>
        <w:separator/>
      </w:r>
    </w:p>
  </w:footnote>
  <w:footnote w:type="continuationSeparator" w:id="0">
    <w:p w14:paraId="0E3D35F3" w14:textId="77777777" w:rsidR="00731420" w:rsidRDefault="00731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87ED" w14:textId="77777777" w:rsidR="00CC51D4" w:rsidRDefault="00CC51D4" w:rsidP="00951F79">
    <w:pPr>
      <w:pStyle w:val="Ttulo1"/>
      <w:ind w:right="6"/>
      <w:jc w:val="left"/>
      <w:rPr>
        <w:rFonts w:ascii="Bookman Old Style" w:hAnsi="Bookman Old Style" w:cs="Arial"/>
        <w:b w:val="0"/>
        <w:sz w:val="22"/>
        <w:szCs w:val="22"/>
      </w:rPr>
    </w:pPr>
  </w:p>
  <w:p w14:paraId="267D8AF5" w14:textId="778BF39F"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sidRPr="00B33523">
      <w:rPr>
        <w:rFonts w:ascii="Bookman Old Style" w:hAnsi="Bookman Old Style" w:cs="Arial"/>
        <w:bCs/>
        <w:szCs w:val="24"/>
        <w:u w:val="single"/>
      </w:rPr>
      <w:t xml:space="preserve"> </w:t>
    </w:r>
    <w:r w:rsidR="00B33523" w:rsidRPr="00781565">
      <w:rPr>
        <w:rFonts w:ascii="Bookman Old Style" w:hAnsi="Bookman Old Style" w:cs="Arial"/>
        <w:bCs/>
        <w:szCs w:val="24"/>
        <w:u w:val="single"/>
      </w:rPr>
      <w:t xml:space="preserve">501 </w:t>
    </w:r>
    <w:r w:rsidR="00781565" w:rsidRPr="00781565">
      <w:rPr>
        <w:rFonts w:ascii="Bookman Old Style" w:hAnsi="Bookman Old Style" w:cs="Arial"/>
        <w:bCs/>
        <w:szCs w:val="24"/>
        <w:u w:val="single"/>
      </w:rPr>
      <w:t>005</w:t>
    </w:r>
    <w:r w:rsidR="00781565">
      <w:rPr>
        <w:rFonts w:ascii="Bookman Old Style" w:hAnsi="Bookman Old Style" w:cs="Arial"/>
        <w:b w:val="0"/>
        <w:sz w:val="22"/>
        <w:szCs w:val="22"/>
      </w:rPr>
      <w:t xml:space="preserve"> DE</w:t>
    </w:r>
    <w:r w:rsidR="000D26F8">
      <w:rPr>
        <w:rFonts w:ascii="Bookman Old Style" w:hAnsi="Bookman Old Style" w:cs="Arial"/>
        <w:b w:val="0"/>
        <w:sz w:val="22"/>
        <w:szCs w:val="22"/>
      </w:rPr>
      <w:t xml:space="preserve"> </w:t>
    </w:r>
    <w:r w:rsidR="00781565">
      <w:rPr>
        <w:rFonts w:ascii="Bookman Old Style" w:hAnsi="Bookman Old Style" w:cs="Arial"/>
        <w:b w:val="0"/>
        <w:sz w:val="22"/>
        <w:szCs w:val="22"/>
      </w:rPr>
      <w:t xml:space="preserve"> </w:t>
    </w:r>
    <w:r w:rsidR="007650E9">
      <w:rPr>
        <w:rFonts w:ascii="Bookman Old Style" w:hAnsi="Bookman Old Style" w:cs="Arial"/>
        <w:bCs/>
        <w:szCs w:val="24"/>
        <w:u w:val="single"/>
      </w:rPr>
      <w:t>17</w:t>
    </w:r>
    <w:r w:rsidR="007650E9" w:rsidRPr="00B33523">
      <w:rPr>
        <w:rFonts w:ascii="Bookman Old Style" w:hAnsi="Bookman Old Style" w:cs="Arial"/>
        <w:bCs/>
        <w:szCs w:val="24"/>
        <w:u w:val="single"/>
      </w:rPr>
      <w:t xml:space="preserve"> </w:t>
    </w:r>
    <w:r w:rsidR="007650E9">
      <w:rPr>
        <w:rFonts w:ascii="Bookman Old Style" w:hAnsi="Bookman Old Style" w:cs="Arial"/>
        <w:bCs/>
        <w:szCs w:val="24"/>
        <w:u w:val="single"/>
      </w:rPr>
      <w:t>FEB</w:t>
    </w:r>
    <w:r w:rsidR="007650E9" w:rsidRPr="00B33523">
      <w:rPr>
        <w:rFonts w:ascii="Bookman Old Style" w:hAnsi="Bookman Old Style" w:cs="Arial"/>
        <w:bCs/>
        <w:szCs w:val="24"/>
        <w:u w:val="single"/>
      </w:rPr>
      <w:t xml:space="preserve">. </w:t>
    </w:r>
    <w:r w:rsidR="00B33523" w:rsidRPr="00B33523">
      <w:rPr>
        <w:rFonts w:ascii="Bookman Old Style" w:hAnsi="Bookman Old Style" w:cs="Arial"/>
        <w:bCs/>
        <w:szCs w:val="24"/>
        <w:u w:val="single"/>
      </w:rPr>
      <w:t>202</w:t>
    </w:r>
    <w:r w:rsidR="00A6504B">
      <w:rPr>
        <w:rFonts w:ascii="Bookman Old Style" w:hAnsi="Bookman Old Style" w:cs="Arial"/>
        <w:bCs/>
        <w:szCs w:val="24"/>
        <w:u w:val="single"/>
      </w:rPr>
      <w:t>3</w:t>
    </w:r>
    <w:r w:rsidR="003D076C">
      <w:rPr>
        <w:rFonts w:ascii="Bookman Old Style" w:hAnsi="Bookman Old Style" w:cs="Arial"/>
        <w:b w:val="0"/>
        <w:sz w:val="22"/>
        <w:szCs w:val="22"/>
      </w:rPr>
      <w:tab/>
    </w:r>
    <w:r w:rsidR="002B7630">
      <w:rPr>
        <w:rFonts w:ascii="Bookman Old Style" w:hAnsi="Bookman Old Style" w:cs="Arial"/>
        <w:b w:val="0"/>
        <w:sz w:val="22"/>
        <w:szCs w:val="22"/>
      </w:rPr>
      <w:tab/>
    </w:r>
    <w:r w:rsidR="002B7630">
      <w:rPr>
        <w:rFonts w:ascii="Bookman Old Style" w:hAnsi="Bookman Old Style" w:cs="Arial"/>
        <w:b w:val="0"/>
        <w:sz w:val="22"/>
        <w:szCs w:val="22"/>
      </w:rPr>
      <w:tab/>
    </w:r>
    <w:r w:rsidR="002B7630">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F77D2D">
      <w:rPr>
        <w:rFonts w:ascii="Bookman Old Style" w:hAnsi="Bookman Old Style" w:cs="Arial"/>
        <w:b w:val="0"/>
        <w:noProof/>
        <w:sz w:val="22"/>
        <w:szCs w:val="22"/>
      </w:rPr>
      <w:t>2</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77D2D" w:rsidRPr="00F77D2D">
        <w:rPr>
          <w:rFonts w:ascii="Bookman Old Style" w:hAnsi="Bookman Old Style" w:cs="Arial"/>
          <w:b w:val="0"/>
          <w:noProof/>
          <w:sz w:val="22"/>
          <w:szCs w:val="22"/>
        </w:rPr>
        <w:t>2</w:t>
      </w:r>
    </w:fldSimple>
  </w:p>
  <w:p w14:paraId="39489639" w14:textId="4A2B8A3C" w:rsidR="006F6D95" w:rsidRDefault="00DF16F5"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381ACA9D" wp14:editId="1EC6C2CA">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A702F"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65D1D48" w14:textId="161A7133" w:rsidR="003049D2" w:rsidRPr="00B33523" w:rsidRDefault="008E591F" w:rsidP="006238C6">
    <w:pPr>
      <w:pBdr>
        <w:bottom w:val="single" w:sz="6" w:space="6" w:color="auto"/>
      </w:pBdr>
      <w:spacing w:before="60" w:after="120"/>
      <w:ind w:left="0"/>
      <w:jc w:val="both"/>
      <w:rPr>
        <w:rFonts w:ascii="Bookman Old Style" w:hAnsi="Bookman Old Style" w:cs="Arial"/>
        <w:sz w:val="22"/>
        <w:szCs w:val="22"/>
      </w:rPr>
    </w:pPr>
    <w:r w:rsidRPr="008E591F">
      <w:rPr>
        <w:rFonts w:ascii="Bookman Old Style" w:hAnsi="Bookman Old Style" w:cs="Arial"/>
        <w:sz w:val="22"/>
        <w:szCs w:val="22"/>
      </w:rPr>
      <w:t xml:space="preserve">Por la cual se </w:t>
    </w:r>
    <w:r w:rsidR="00BC093D" w:rsidRPr="00BC093D">
      <w:rPr>
        <w:rFonts w:ascii="Bookman Old Style" w:hAnsi="Bookman Old Style" w:cs="Arial"/>
        <w:sz w:val="22"/>
        <w:szCs w:val="22"/>
      </w:rPr>
      <w:t xml:space="preserve">actualiza el agente encargado de </w:t>
    </w:r>
    <w:r w:rsidRPr="008E591F">
      <w:rPr>
        <w:rFonts w:ascii="Bookman Old Style" w:hAnsi="Bookman Old Style" w:cs="Arial"/>
        <w:sz w:val="22"/>
        <w:szCs w:val="22"/>
      </w:rPr>
      <w:t>la representación de la subestación El Río, 220 kV, del Sistema de Transmisión Nacional</w:t>
    </w:r>
    <w:r w:rsidR="0074308A" w:rsidRPr="00B33523">
      <w:rPr>
        <w:rFonts w:ascii="Bookman Old Style" w:hAnsi="Bookman Old Style" w:cs="Arial"/>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1DA16" w14:textId="77777777" w:rsidR="00725FA4" w:rsidRPr="00B33523" w:rsidRDefault="00025383" w:rsidP="00025383">
    <w:pPr>
      <w:pStyle w:val="Encabezado"/>
      <w:jc w:val="both"/>
      <w:rPr>
        <w:rFonts w:ascii="Arial" w:hAnsi="Arial" w:cs="Arial"/>
        <w:spacing w:val="20"/>
        <w:szCs w:val="24"/>
      </w:rPr>
    </w:pPr>
    <w:r w:rsidRPr="00B33523">
      <w:rPr>
        <w:rFonts w:ascii="Arial" w:hAnsi="Arial" w:cs="Arial"/>
        <w:spacing w:val="20"/>
        <w:szCs w:val="24"/>
      </w:rPr>
      <w:t xml:space="preserve">                                   </w:t>
    </w:r>
    <w:r w:rsidR="00725FA4" w:rsidRPr="00B33523">
      <w:rPr>
        <w:rFonts w:ascii="Arial" w:hAnsi="Arial" w:cs="Arial"/>
        <w:spacing w:val="20"/>
        <w:szCs w:val="24"/>
      </w:rPr>
      <w:t>República de Colombia</w:t>
    </w:r>
  </w:p>
  <w:p w14:paraId="273850B7" w14:textId="77777777" w:rsidR="00725FA4" w:rsidRDefault="00725FA4">
    <w:pPr>
      <w:pStyle w:val="Encabezado"/>
      <w:jc w:val="center"/>
      <w:rPr>
        <w:rFonts w:ascii="Arial" w:hAnsi="Arial" w:cs="Arial"/>
        <w:spacing w:val="20"/>
        <w:sz w:val="20"/>
      </w:rPr>
    </w:pPr>
  </w:p>
  <w:p w14:paraId="367D4456" w14:textId="76DA3229" w:rsidR="00725FA4" w:rsidRDefault="00DF16F5"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76DBBCF4" wp14:editId="53AB8A0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2D031"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4"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9"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94396A"/>
    <w:multiLevelType w:val="hybridMultilevel"/>
    <w:tmpl w:val="D6867D2C"/>
    <w:lvl w:ilvl="0" w:tplc="77C645AA">
      <w:start w:val="1"/>
      <w:numFmt w:val="decimal"/>
      <w:pStyle w:val="Artculo"/>
      <w:lvlText w:val="Artículo %1."/>
      <w:lvlJc w:val="left"/>
      <w:pPr>
        <w:ind w:left="6031" w:hanging="360"/>
      </w:pPr>
      <w:rPr>
        <w:rFonts w:hint="default"/>
        <w:b/>
      </w:rPr>
    </w:lvl>
    <w:lvl w:ilvl="1" w:tplc="0C0A0003" w:tentative="1">
      <w:start w:val="1"/>
      <w:numFmt w:val="lowerLetter"/>
      <w:lvlText w:val="%2."/>
      <w:lvlJc w:val="left"/>
      <w:pPr>
        <w:ind w:left="6692" w:hanging="360"/>
      </w:pPr>
    </w:lvl>
    <w:lvl w:ilvl="2" w:tplc="0C0A0005" w:tentative="1">
      <w:start w:val="1"/>
      <w:numFmt w:val="lowerRoman"/>
      <w:lvlText w:val="%3."/>
      <w:lvlJc w:val="right"/>
      <w:pPr>
        <w:ind w:left="7412" w:hanging="180"/>
      </w:pPr>
    </w:lvl>
    <w:lvl w:ilvl="3" w:tplc="0C0A0001" w:tentative="1">
      <w:start w:val="1"/>
      <w:numFmt w:val="decimal"/>
      <w:lvlText w:val="%4."/>
      <w:lvlJc w:val="left"/>
      <w:pPr>
        <w:ind w:left="8132" w:hanging="360"/>
      </w:pPr>
    </w:lvl>
    <w:lvl w:ilvl="4" w:tplc="0C0A0003" w:tentative="1">
      <w:start w:val="1"/>
      <w:numFmt w:val="lowerLetter"/>
      <w:lvlText w:val="%5."/>
      <w:lvlJc w:val="left"/>
      <w:pPr>
        <w:ind w:left="8852" w:hanging="360"/>
      </w:pPr>
    </w:lvl>
    <w:lvl w:ilvl="5" w:tplc="0C0A0005" w:tentative="1">
      <w:start w:val="1"/>
      <w:numFmt w:val="lowerRoman"/>
      <w:lvlText w:val="%6."/>
      <w:lvlJc w:val="right"/>
      <w:pPr>
        <w:ind w:left="9572" w:hanging="180"/>
      </w:pPr>
    </w:lvl>
    <w:lvl w:ilvl="6" w:tplc="0C0A0001" w:tentative="1">
      <w:start w:val="1"/>
      <w:numFmt w:val="decimal"/>
      <w:lvlText w:val="%7."/>
      <w:lvlJc w:val="left"/>
      <w:pPr>
        <w:ind w:left="10292" w:hanging="360"/>
      </w:pPr>
    </w:lvl>
    <w:lvl w:ilvl="7" w:tplc="0C0A0003" w:tentative="1">
      <w:start w:val="1"/>
      <w:numFmt w:val="lowerLetter"/>
      <w:lvlText w:val="%8."/>
      <w:lvlJc w:val="left"/>
      <w:pPr>
        <w:ind w:left="11012" w:hanging="360"/>
      </w:pPr>
    </w:lvl>
    <w:lvl w:ilvl="8" w:tplc="0C0A0005" w:tentative="1">
      <w:start w:val="1"/>
      <w:numFmt w:val="lowerRoman"/>
      <w:lvlText w:val="%9."/>
      <w:lvlJc w:val="right"/>
      <w:pPr>
        <w:ind w:left="11732" w:hanging="180"/>
      </w:pPr>
    </w:lvl>
  </w:abstractNum>
  <w:num w:numId="1" w16cid:durableId="1460953670">
    <w:abstractNumId w:val="11"/>
  </w:num>
  <w:num w:numId="2" w16cid:durableId="1497382030">
    <w:abstractNumId w:val="5"/>
  </w:num>
  <w:num w:numId="3" w16cid:durableId="1643658739">
    <w:abstractNumId w:val="20"/>
  </w:num>
  <w:num w:numId="4" w16cid:durableId="1416053916">
    <w:abstractNumId w:val="6"/>
  </w:num>
  <w:num w:numId="5" w16cid:durableId="1460681335">
    <w:abstractNumId w:val="15"/>
  </w:num>
  <w:num w:numId="6" w16cid:durableId="432214895">
    <w:abstractNumId w:val="4"/>
  </w:num>
  <w:num w:numId="7" w16cid:durableId="845751384">
    <w:abstractNumId w:val="3"/>
  </w:num>
  <w:num w:numId="8" w16cid:durableId="29301030">
    <w:abstractNumId w:val="17"/>
  </w:num>
  <w:num w:numId="9" w16cid:durableId="2003662021">
    <w:abstractNumId w:val="16"/>
  </w:num>
  <w:num w:numId="10" w16cid:durableId="2014674860">
    <w:abstractNumId w:val="12"/>
  </w:num>
  <w:num w:numId="11" w16cid:durableId="958032325">
    <w:abstractNumId w:val="21"/>
  </w:num>
  <w:num w:numId="12" w16cid:durableId="1838691975">
    <w:abstractNumId w:val="19"/>
  </w:num>
  <w:num w:numId="13" w16cid:durableId="273679532">
    <w:abstractNumId w:val="10"/>
  </w:num>
  <w:num w:numId="14" w16cid:durableId="2070683866">
    <w:abstractNumId w:val="2"/>
  </w:num>
  <w:num w:numId="15" w16cid:durableId="1975476040">
    <w:abstractNumId w:val="13"/>
  </w:num>
  <w:num w:numId="16" w16cid:durableId="83963299">
    <w:abstractNumId w:val="1"/>
  </w:num>
  <w:num w:numId="17" w16cid:durableId="353533871">
    <w:abstractNumId w:val="9"/>
  </w:num>
  <w:num w:numId="18" w16cid:durableId="788664195">
    <w:abstractNumId w:val="0"/>
  </w:num>
  <w:num w:numId="19" w16cid:durableId="1454788596">
    <w:abstractNumId w:val="18"/>
  </w:num>
  <w:num w:numId="20" w16cid:durableId="1999069271">
    <w:abstractNumId w:val="14"/>
  </w:num>
  <w:num w:numId="21" w16cid:durableId="1075667280">
    <w:abstractNumId w:val="7"/>
  </w:num>
  <w:num w:numId="22" w16cid:durableId="40371620">
    <w:abstractNumId w:val="8"/>
  </w:num>
  <w:num w:numId="23" w16cid:durableId="7178987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41F3"/>
    <w:rsid w:val="00006AE2"/>
    <w:rsid w:val="000076A1"/>
    <w:rsid w:val="00012259"/>
    <w:rsid w:val="00025383"/>
    <w:rsid w:val="00045D3D"/>
    <w:rsid w:val="00063657"/>
    <w:rsid w:val="00076680"/>
    <w:rsid w:val="00076A1D"/>
    <w:rsid w:val="00077ED2"/>
    <w:rsid w:val="0008073E"/>
    <w:rsid w:val="00091CDB"/>
    <w:rsid w:val="000942CA"/>
    <w:rsid w:val="00095440"/>
    <w:rsid w:val="000A19AC"/>
    <w:rsid w:val="000B2EC9"/>
    <w:rsid w:val="000D26F8"/>
    <w:rsid w:val="000E3B7A"/>
    <w:rsid w:val="00106654"/>
    <w:rsid w:val="0013526C"/>
    <w:rsid w:val="001405C6"/>
    <w:rsid w:val="00141013"/>
    <w:rsid w:val="0015565C"/>
    <w:rsid w:val="00173D9D"/>
    <w:rsid w:val="00183C3C"/>
    <w:rsid w:val="00192CBF"/>
    <w:rsid w:val="00192FF1"/>
    <w:rsid w:val="001A5F1B"/>
    <w:rsid w:val="001B1C22"/>
    <w:rsid w:val="001B34C6"/>
    <w:rsid w:val="001D7832"/>
    <w:rsid w:val="00210DC1"/>
    <w:rsid w:val="00211D34"/>
    <w:rsid w:val="00214F04"/>
    <w:rsid w:val="0023513F"/>
    <w:rsid w:val="002352B9"/>
    <w:rsid w:val="00255037"/>
    <w:rsid w:val="00266CD6"/>
    <w:rsid w:val="002673AC"/>
    <w:rsid w:val="00273324"/>
    <w:rsid w:val="002747B2"/>
    <w:rsid w:val="00275DAB"/>
    <w:rsid w:val="00286A16"/>
    <w:rsid w:val="002903C0"/>
    <w:rsid w:val="002A782A"/>
    <w:rsid w:val="002B11E2"/>
    <w:rsid w:val="002B24B8"/>
    <w:rsid w:val="002B7630"/>
    <w:rsid w:val="002D3AE9"/>
    <w:rsid w:val="002D4510"/>
    <w:rsid w:val="002F0734"/>
    <w:rsid w:val="002F175F"/>
    <w:rsid w:val="002F46E7"/>
    <w:rsid w:val="003049D2"/>
    <w:rsid w:val="003101DA"/>
    <w:rsid w:val="003111C3"/>
    <w:rsid w:val="00314757"/>
    <w:rsid w:val="003163BC"/>
    <w:rsid w:val="003211CE"/>
    <w:rsid w:val="0035403A"/>
    <w:rsid w:val="0036394B"/>
    <w:rsid w:val="00366DB6"/>
    <w:rsid w:val="003709B5"/>
    <w:rsid w:val="003759C2"/>
    <w:rsid w:val="00381C95"/>
    <w:rsid w:val="00397365"/>
    <w:rsid w:val="003A31F6"/>
    <w:rsid w:val="003B4FAC"/>
    <w:rsid w:val="003C3447"/>
    <w:rsid w:val="003D076C"/>
    <w:rsid w:val="003E78B5"/>
    <w:rsid w:val="00415BAB"/>
    <w:rsid w:val="00415ED2"/>
    <w:rsid w:val="0042068C"/>
    <w:rsid w:val="00434468"/>
    <w:rsid w:val="0044318E"/>
    <w:rsid w:val="00443B35"/>
    <w:rsid w:val="00451BCA"/>
    <w:rsid w:val="0045488D"/>
    <w:rsid w:val="0047122B"/>
    <w:rsid w:val="00473B7A"/>
    <w:rsid w:val="00492992"/>
    <w:rsid w:val="004960E9"/>
    <w:rsid w:val="00496551"/>
    <w:rsid w:val="00496586"/>
    <w:rsid w:val="004A2E88"/>
    <w:rsid w:val="004A5305"/>
    <w:rsid w:val="004D2A1E"/>
    <w:rsid w:val="004D7634"/>
    <w:rsid w:val="004E611A"/>
    <w:rsid w:val="004F6460"/>
    <w:rsid w:val="004F7359"/>
    <w:rsid w:val="00514506"/>
    <w:rsid w:val="005300D3"/>
    <w:rsid w:val="00542A10"/>
    <w:rsid w:val="00544F82"/>
    <w:rsid w:val="005509D2"/>
    <w:rsid w:val="00553321"/>
    <w:rsid w:val="00567003"/>
    <w:rsid w:val="00584A19"/>
    <w:rsid w:val="00585123"/>
    <w:rsid w:val="00593C4F"/>
    <w:rsid w:val="005946A8"/>
    <w:rsid w:val="005A4407"/>
    <w:rsid w:val="005A59EF"/>
    <w:rsid w:val="005B1C7E"/>
    <w:rsid w:val="005B3BF2"/>
    <w:rsid w:val="005C031C"/>
    <w:rsid w:val="005C6976"/>
    <w:rsid w:val="005F6F41"/>
    <w:rsid w:val="00611415"/>
    <w:rsid w:val="006238C6"/>
    <w:rsid w:val="00624546"/>
    <w:rsid w:val="00625DC6"/>
    <w:rsid w:val="0064391D"/>
    <w:rsid w:val="00651821"/>
    <w:rsid w:val="00654384"/>
    <w:rsid w:val="006675CD"/>
    <w:rsid w:val="00674303"/>
    <w:rsid w:val="00684D9B"/>
    <w:rsid w:val="0068510A"/>
    <w:rsid w:val="00697556"/>
    <w:rsid w:val="006B4647"/>
    <w:rsid w:val="006B4C2B"/>
    <w:rsid w:val="006B6194"/>
    <w:rsid w:val="006B6D47"/>
    <w:rsid w:val="006C0475"/>
    <w:rsid w:val="006C5AFE"/>
    <w:rsid w:val="006F29E5"/>
    <w:rsid w:val="006F2EC8"/>
    <w:rsid w:val="006F4568"/>
    <w:rsid w:val="006F6D95"/>
    <w:rsid w:val="00700EF7"/>
    <w:rsid w:val="00706F13"/>
    <w:rsid w:val="007072E8"/>
    <w:rsid w:val="0071618D"/>
    <w:rsid w:val="00725FA4"/>
    <w:rsid w:val="00731420"/>
    <w:rsid w:val="00740446"/>
    <w:rsid w:val="0074308A"/>
    <w:rsid w:val="00743341"/>
    <w:rsid w:val="007438A9"/>
    <w:rsid w:val="0074491E"/>
    <w:rsid w:val="0076247A"/>
    <w:rsid w:val="007650E9"/>
    <w:rsid w:val="00775964"/>
    <w:rsid w:val="007765FE"/>
    <w:rsid w:val="00781565"/>
    <w:rsid w:val="00794E2E"/>
    <w:rsid w:val="00795BFB"/>
    <w:rsid w:val="007A6181"/>
    <w:rsid w:val="007B2760"/>
    <w:rsid w:val="007B5A60"/>
    <w:rsid w:val="0080685C"/>
    <w:rsid w:val="00806C01"/>
    <w:rsid w:val="008148CC"/>
    <w:rsid w:val="008211A4"/>
    <w:rsid w:val="008248D7"/>
    <w:rsid w:val="0084693A"/>
    <w:rsid w:val="00873150"/>
    <w:rsid w:val="0087657D"/>
    <w:rsid w:val="008807D5"/>
    <w:rsid w:val="00880832"/>
    <w:rsid w:val="00886EE1"/>
    <w:rsid w:val="0088727D"/>
    <w:rsid w:val="008928BE"/>
    <w:rsid w:val="00897C75"/>
    <w:rsid w:val="008A566C"/>
    <w:rsid w:val="008C1130"/>
    <w:rsid w:val="008C6C76"/>
    <w:rsid w:val="008D18E6"/>
    <w:rsid w:val="008D7A9B"/>
    <w:rsid w:val="008E0060"/>
    <w:rsid w:val="008E591F"/>
    <w:rsid w:val="008E7091"/>
    <w:rsid w:val="008E76AC"/>
    <w:rsid w:val="008F21F6"/>
    <w:rsid w:val="00903E07"/>
    <w:rsid w:val="00917C5F"/>
    <w:rsid w:val="009326DB"/>
    <w:rsid w:val="0095007B"/>
    <w:rsid w:val="00951F79"/>
    <w:rsid w:val="00974AB5"/>
    <w:rsid w:val="00976398"/>
    <w:rsid w:val="0098706D"/>
    <w:rsid w:val="009935FB"/>
    <w:rsid w:val="009F4A54"/>
    <w:rsid w:val="009F4BEC"/>
    <w:rsid w:val="009F5874"/>
    <w:rsid w:val="009F646F"/>
    <w:rsid w:val="00A25FD7"/>
    <w:rsid w:val="00A43AFF"/>
    <w:rsid w:val="00A6504B"/>
    <w:rsid w:val="00A7793A"/>
    <w:rsid w:val="00A80376"/>
    <w:rsid w:val="00AA4CC7"/>
    <w:rsid w:val="00AA5E8E"/>
    <w:rsid w:val="00AB2BAD"/>
    <w:rsid w:val="00AB6CA7"/>
    <w:rsid w:val="00AC0722"/>
    <w:rsid w:val="00AD01E4"/>
    <w:rsid w:val="00AD0858"/>
    <w:rsid w:val="00AE02E3"/>
    <w:rsid w:val="00AE38BB"/>
    <w:rsid w:val="00AE7340"/>
    <w:rsid w:val="00AF1BBD"/>
    <w:rsid w:val="00AF3180"/>
    <w:rsid w:val="00B10207"/>
    <w:rsid w:val="00B141E7"/>
    <w:rsid w:val="00B33523"/>
    <w:rsid w:val="00B351B4"/>
    <w:rsid w:val="00B422AC"/>
    <w:rsid w:val="00B46BCA"/>
    <w:rsid w:val="00B478AA"/>
    <w:rsid w:val="00B87806"/>
    <w:rsid w:val="00B87EC9"/>
    <w:rsid w:val="00BB3532"/>
    <w:rsid w:val="00BB58A2"/>
    <w:rsid w:val="00BC093D"/>
    <w:rsid w:val="00BC38FD"/>
    <w:rsid w:val="00BD5755"/>
    <w:rsid w:val="00C034CB"/>
    <w:rsid w:val="00C051A8"/>
    <w:rsid w:val="00C054BC"/>
    <w:rsid w:val="00C1714D"/>
    <w:rsid w:val="00C17897"/>
    <w:rsid w:val="00C409D5"/>
    <w:rsid w:val="00C435C3"/>
    <w:rsid w:val="00C44E5F"/>
    <w:rsid w:val="00C51B7C"/>
    <w:rsid w:val="00C61D2C"/>
    <w:rsid w:val="00C6234B"/>
    <w:rsid w:val="00C62FED"/>
    <w:rsid w:val="00C63EAE"/>
    <w:rsid w:val="00C73260"/>
    <w:rsid w:val="00C7629F"/>
    <w:rsid w:val="00C8439F"/>
    <w:rsid w:val="00C8661B"/>
    <w:rsid w:val="00CA03C8"/>
    <w:rsid w:val="00CA139A"/>
    <w:rsid w:val="00CA2899"/>
    <w:rsid w:val="00CA2CD9"/>
    <w:rsid w:val="00CA3A3D"/>
    <w:rsid w:val="00CA3AA6"/>
    <w:rsid w:val="00CA77FB"/>
    <w:rsid w:val="00CB379B"/>
    <w:rsid w:val="00CB5DD0"/>
    <w:rsid w:val="00CC4746"/>
    <w:rsid w:val="00CC51D4"/>
    <w:rsid w:val="00CC65DA"/>
    <w:rsid w:val="00CF21B9"/>
    <w:rsid w:val="00CF5BCF"/>
    <w:rsid w:val="00CF6BF9"/>
    <w:rsid w:val="00D00036"/>
    <w:rsid w:val="00D03800"/>
    <w:rsid w:val="00D065D3"/>
    <w:rsid w:val="00D14C94"/>
    <w:rsid w:val="00D342A6"/>
    <w:rsid w:val="00D45CA6"/>
    <w:rsid w:val="00D464BF"/>
    <w:rsid w:val="00D47A3B"/>
    <w:rsid w:val="00D53E26"/>
    <w:rsid w:val="00D571E9"/>
    <w:rsid w:val="00D57F2B"/>
    <w:rsid w:val="00DB182C"/>
    <w:rsid w:val="00DD4F0E"/>
    <w:rsid w:val="00DD78B6"/>
    <w:rsid w:val="00DF0BF0"/>
    <w:rsid w:val="00DF16F5"/>
    <w:rsid w:val="00DF3CA2"/>
    <w:rsid w:val="00DF753F"/>
    <w:rsid w:val="00E01463"/>
    <w:rsid w:val="00E05E0A"/>
    <w:rsid w:val="00E060BE"/>
    <w:rsid w:val="00E10ED4"/>
    <w:rsid w:val="00E501DA"/>
    <w:rsid w:val="00E534CF"/>
    <w:rsid w:val="00E617D9"/>
    <w:rsid w:val="00E63920"/>
    <w:rsid w:val="00E66710"/>
    <w:rsid w:val="00E66CE8"/>
    <w:rsid w:val="00E81CB4"/>
    <w:rsid w:val="00E8585B"/>
    <w:rsid w:val="00E87F41"/>
    <w:rsid w:val="00EA22D7"/>
    <w:rsid w:val="00EA3F15"/>
    <w:rsid w:val="00EA7847"/>
    <w:rsid w:val="00EB4C2F"/>
    <w:rsid w:val="00EE2E6E"/>
    <w:rsid w:val="00F0555B"/>
    <w:rsid w:val="00F0759E"/>
    <w:rsid w:val="00F16A43"/>
    <w:rsid w:val="00F46780"/>
    <w:rsid w:val="00F55DB1"/>
    <w:rsid w:val="00F739FA"/>
    <w:rsid w:val="00F77D2D"/>
    <w:rsid w:val="00F821A3"/>
    <w:rsid w:val="00F9314A"/>
    <w:rsid w:val="00F940B2"/>
    <w:rsid w:val="00FC4D76"/>
    <w:rsid w:val="00FC58EF"/>
    <w:rsid w:val="00FD33DF"/>
    <w:rsid w:val="00FE39D7"/>
    <w:rsid w:val="00FF264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E9890C"/>
  <w15:chartTrackingRefBased/>
  <w15:docId w15:val="{9A204BFE-BF51-470B-9C8D-5FFD1F03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culo">
    <w:name w:val="Artículo"/>
    <w:basedOn w:val="Normal"/>
    <w:link w:val="ArtculoCar"/>
    <w:autoRedefine/>
    <w:qFormat/>
    <w:rsid w:val="0015565C"/>
    <w:pPr>
      <w:numPr>
        <w:numId w:val="23"/>
      </w:numPr>
      <w:tabs>
        <w:tab w:val="left" w:pos="1276"/>
      </w:tabs>
      <w:suppressAutoHyphens/>
      <w:spacing w:before="240"/>
      <w:ind w:left="0" w:firstLine="0"/>
      <w:jc w:val="both"/>
      <w:outlineLvl w:val="5"/>
    </w:pPr>
    <w:rPr>
      <w:rFonts w:ascii="Bookman Old Style" w:hAnsi="Bookman Old Style" w:cs="Arial"/>
      <w:spacing w:val="-4"/>
      <w:lang w:eastAsia="ar-SA"/>
    </w:rPr>
  </w:style>
  <w:style w:type="character" w:customStyle="1" w:styleId="ArtculoCar">
    <w:name w:val="Artículo Car"/>
    <w:link w:val="Artculo"/>
    <w:rsid w:val="0015565C"/>
    <w:rPr>
      <w:rFonts w:ascii="Bookman Old Style" w:hAnsi="Bookman Old Style" w:cs="Arial"/>
      <w:spacing w:val="-4"/>
      <w:sz w:val="24"/>
      <w:szCs w:val="24"/>
      <w:lang w:val="es-ES" w:eastAsia="ar-SA"/>
    </w:rPr>
  </w:style>
  <w:style w:type="paragraph" w:styleId="Revisin">
    <w:name w:val="Revision"/>
    <w:hidden/>
    <w:uiPriority w:val="99"/>
    <w:semiHidden/>
    <w:rsid w:val="006F4568"/>
    <w:rPr>
      <w:sz w:val="24"/>
      <w:szCs w:val="24"/>
      <w:lang w:val="es-ES" w:eastAsia="es-ES"/>
    </w:rPr>
  </w:style>
  <w:style w:type="character" w:styleId="Refdecomentario">
    <w:name w:val="annotation reference"/>
    <w:basedOn w:val="Fuentedeprrafopredeter"/>
    <w:uiPriority w:val="99"/>
    <w:semiHidden/>
    <w:unhideWhenUsed/>
    <w:rsid w:val="00E66CE8"/>
    <w:rPr>
      <w:sz w:val="16"/>
      <w:szCs w:val="16"/>
    </w:rPr>
  </w:style>
  <w:style w:type="paragraph" w:styleId="Textocomentario">
    <w:name w:val="annotation text"/>
    <w:basedOn w:val="Normal"/>
    <w:link w:val="TextocomentarioCar"/>
    <w:uiPriority w:val="99"/>
    <w:unhideWhenUsed/>
    <w:rsid w:val="00E66CE8"/>
    <w:rPr>
      <w:sz w:val="20"/>
      <w:szCs w:val="20"/>
    </w:rPr>
  </w:style>
  <w:style w:type="character" w:customStyle="1" w:styleId="TextocomentarioCar">
    <w:name w:val="Texto comentario Car"/>
    <w:basedOn w:val="Fuentedeprrafopredeter"/>
    <w:link w:val="Textocomentario"/>
    <w:uiPriority w:val="99"/>
    <w:rsid w:val="00E66CE8"/>
    <w:rPr>
      <w:lang w:val="es-ES" w:eastAsia="es-ES"/>
    </w:rPr>
  </w:style>
  <w:style w:type="paragraph" w:styleId="Asuntodelcomentario">
    <w:name w:val="annotation subject"/>
    <w:basedOn w:val="Textocomentario"/>
    <w:next w:val="Textocomentario"/>
    <w:link w:val="AsuntodelcomentarioCar"/>
    <w:uiPriority w:val="99"/>
    <w:semiHidden/>
    <w:unhideWhenUsed/>
    <w:rsid w:val="00E66CE8"/>
    <w:rPr>
      <w:b/>
      <w:bCs/>
    </w:rPr>
  </w:style>
  <w:style w:type="character" w:customStyle="1" w:styleId="AsuntodelcomentarioCar">
    <w:name w:val="Asunto del comentario Car"/>
    <w:basedOn w:val="TextocomentarioCar"/>
    <w:link w:val="Asuntodelcomentario"/>
    <w:uiPriority w:val="99"/>
    <w:semiHidden/>
    <w:rsid w:val="00E66CE8"/>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PLANTILLA1</Template>
  <TotalTime>6</TotalTime>
  <Pages>3</Pages>
  <Words>1248</Words>
  <Characters>6498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Eliana Rodriguez Fonseca</cp:lastModifiedBy>
  <cp:revision>2</cp:revision>
  <cp:lastPrinted>2023-02-23T21:00:00Z</cp:lastPrinted>
  <dcterms:created xsi:type="dcterms:W3CDTF">2023-05-08T21:07:00Z</dcterms:created>
  <dcterms:modified xsi:type="dcterms:W3CDTF">2023-05-08T21:07:00Z</dcterms:modified>
</cp:coreProperties>
</file>