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C59" w:rsidRDefault="00017386"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4.85pt;width:52.5pt;height:48.75pt;z-index:251657728" fillcolor="#0c9">
            <v:imagedata r:id="rId9" o:title=""/>
          </v:shape>
          <o:OLEObject Type="Embed" ProgID="PBrush" ShapeID="_x0000_s1026" DrawAspect="Content" ObjectID="_1511180912" r:id="rId10"/>
        </w:pict>
      </w:r>
    </w:p>
    <w:p w:rsidR="00625DC6" w:rsidRPr="0041407C" w:rsidRDefault="00625DC6" w:rsidP="009627D4">
      <w:pPr>
        <w:pStyle w:val="Encabezado"/>
        <w:tabs>
          <w:tab w:val="clear" w:pos="8504"/>
          <w:tab w:val="right" w:pos="9356"/>
        </w:tabs>
        <w:ind w:left="0"/>
        <w:jc w:val="both"/>
        <w:rPr>
          <w:rFonts w:ascii="Bookman Old Style" w:hAnsi="Bookman Old Style"/>
          <w:sz w:val="23"/>
          <w:szCs w:val="23"/>
        </w:rPr>
      </w:pP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6A5016">
        <w:rPr>
          <w:rFonts w:ascii="Bookman Old Style" w:hAnsi="Bookman Old Style"/>
          <w:sz w:val="24"/>
          <w:szCs w:val="24"/>
        </w:rPr>
        <w:t>5</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Default="000019D2" w:rsidP="009627D4">
      <w:pPr>
        <w:ind w:left="0"/>
        <w:jc w:val="center"/>
        <w:rPr>
          <w:rFonts w:ascii="Bookman Old Style" w:hAnsi="Bookman Old Style"/>
          <w:bCs/>
          <w:lang w:val="es-CO"/>
        </w:rPr>
      </w:pPr>
    </w:p>
    <w:p w:rsidR="009627D4" w:rsidRPr="0041407C" w:rsidRDefault="009627D4" w:rsidP="0032341D">
      <w:pPr>
        <w:pStyle w:val="Textodebloque"/>
        <w:spacing w:after="0"/>
        <w:ind w:left="0" w:right="0"/>
        <w:jc w:val="center"/>
        <w:rPr>
          <w:rFonts w:ascii="Bookman Old Style" w:hAnsi="Bookman Old Style" w:cs="Arial"/>
          <w:szCs w:val="24"/>
        </w:rPr>
      </w:pPr>
      <w:r w:rsidRPr="0041407C">
        <w:rPr>
          <w:rFonts w:ascii="Bookman Old Style" w:hAnsi="Bookman Old Style" w:cs="Arial"/>
          <w:szCs w:val="24"/>
        </w:rPr>
        <w:t xml:space="preserve">Por la cual se oficializa </w:t>
      </w:r>
      <w:r w:rsidR="0014591A">
        <w:rPr>
          <w:rFonts w:ascii="Bookman Old Style" w:hAnsi="Bookman Old Style" w:cs="Arial"/>
          <w:szCs w:val="24"/>
        </w:rPr>
        <w:t>e</w:t>
      </w:r>
      <w:r w:rsidRPr="0041407C">
        <w:rPr>
          <w:rFonts w:ascii="Bookman Old Style" w:hAnsi="Bookman Old Style" w:cs="Arial"/>
          <w:szCs w:val="24"/>
        </w:rPr>
        <w:t xml:space="preserve">l ingreso anual esperado para </w:t>
      </w:r>
      <w:r w:rsidR="0032341D">
        <w:rPr>
          <w:rFonts w:ascii="Bookman Old Style" w:hAnsi="Bookman Old Style" w:cs="Arial"/>
          <w:szCs w:val="24"/>
        </w:rPr>
        <w:t xml:space="preserve">el Consorcio </w:t>
      </w:r>
      <w:r w:rsidR="00EA6965">
        <w:rPr>
          <w:rFonts w:ascii="Bookman Old Style" w:hAnsi="Bookman Old Style" w:cs="Arial"/>
          <w:szCs w:val="24"/>
        </w:rPr>
        <w:t>Eléctrico del Caribe S.A.S. 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571AAB">
        <w:rPr>
          <w:rFonts w:ascii="Bookman Old Style" w:hAnsi="Bookman Old Style" w:cs="Arial"/>
          <w:szCs w:val="24"/>
          <w:lang w:val="es-ES"/>
        </w:rPr>
        <w:t>diseño, suministro, construcción,</w:t>
      </w:r>
      <w:r w:rsidR="00A32091" w:rsidRPr="0041407C">
        <w:rPr>
          <w:rFonts w:ascii="Bookman Old Style" w:hAnsi="Bookman Old Style" w:cs="Arial"/>
          <w:szCs w:val="24"/>
          <w:lang w:val="es-ES"/>
        </w:rPr>
        <w:t xml:space="preserve"> operación y </w:t>
      </w:r>
      <w:r w:rsidR="0032341D">
        <w:rPr>
          <w:rFonts w:ascii="Bookman Old Style" w:hAnsi="Bookman Old Style" w:cs="Arial"/>
          <w:szCs w:val="24"/>
          <w:lang w:val="es-ES"/>
        </w:rPr>
        <w:t xml:space="preserve">mantenimiento de equipos de compensación </w:t>
      </w:r>
      <w:r w:rsidR="00BC1B3F">
        <w:rPr>
          <w:rFonts w:ascii="Bookman Old Style" w:hAnsi="Bookman Old Style" w:cs="Arial"/>
          <w:szCs w:val="24"/>
          <w:lang w:val="es-ES"/>
        </w:rPr>
        <w:t xml:space="preserve">en las subestaciones </w:t>
      </w:r>
      <w:r w:rsidR="00EA6965">
        <w:rPr>
          <w:rFonts w:ascii="Bookman Old Style" w:hAnsi="Bookman Old Style" w:cs="Arial"/>
          <w:szCs w:val="24"/>
          <w:lang w:val="es-ES"/>
        </w:rPr>
        <w:t>El Carmen 66</w:t>
      </w:r>
      <w:r w:rsidR="0032341D">
        <w:rPr>
          <w:rFonts w:ascii="Bookman Old Style" w:hAnsi="Bookman Old Style" w:cs="Arial"/>
          <w:szCs w:val="24"/>
          <w:lang w:val="es-ES"/>
        </w:rPr>
        <w:t> </w:t>
      </w:r>
      <w:r w:rsidR="00EA6965">
        <w:rPr>
          <w:rFonts w:ascii="Bookman Old Style" w:hAnsi="Bookman Old Style" w:cs="Arial"/>
          <w:szCs w:val="24"/>
          <w:lang w:val="es-ES"/>
        </w:rPr>
        <w:t>kV, El Banco 110 kV y Montería 110 kV</w:t>
      </w:r>
      <w:r w:rsidR="006D279A" w:rsidRPr="0041407C">
        <w:rPr>
          <w:rFonts w:ascii="Bookman Old Style" w:hAnsi="Bookman Old Style" w:cs="Arial"/>
          <w:szCs w:val="24"/>
          <w:lang w:val="es-ES"/>
        </w:rPr>
        <w:t xml:space="preserve">, de acuerdo con la convocatoria </w:t>
      </w:r>
      <w:r w:rsidR="00EA6965">
        <w:rPr>
          <w:rFonts w:ascii="Bookman Old Style" w:hAnsi="Bookman Old Style" w:cs="Arial"/>
          <w:szCs w:val="24"/>
          <w:lang w:val="es-ES"/>
        </w:rPr>
        <w:t>UPME STR 04-2015</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w:t>
      </w:r>
      <w:r w:rsidR="00F84ADD">
        <w:rPr>
          <w:rFonts w:ascii="Bookman Old Style" w:hAnsi="Bookman Old Style" w:cs="Arial"/>
        </w:rPr>
        <w:t>l</w:t>
      </w:r>
      <w:r w:rsidR="00F84ADD" w:rsidRPr="0041407C">
        <w:rPr>
          <w:rFonts w:ascii="Bookman Old Style" w:hAnsi="Bookman Old Style" w:cs="Arial"/>
        </w:rPr>
        <w:t xml:space="preserve">eyes </w:t>
      </w:r>
      <w:r w:rsidRPr="0041407C">
        <w:rPr>
          <w:rFonts w:ascii="Bookman Old Style" w:hAnsi="Bookman Old Style" w:cs="Arial"/>
        </w:rPr>
        <w:t xml:space="preserve">142 y 143 de 1994, y en desarrollo de los </w:t>
      </w:r>
      <w:r w:rsidR="00F84ADD">
        <w:rPr>
          <w:rFonts w:ascii="Bookman Old Style" w:hAnsi="Bookman Old Style" w:cs="Arial"/>
        </w:rPr>
        <w:t>d</w:t>
      </w:r>
      <w:r w:rsidR="00F84ADD" w:rsidRPr="0041407C">
        <w:rPr>
          <w:rFonts w:ascii="Bookman Old Style" w:hAnsi="Bookman Old Style" w:cs="Arial"/>
        </w:rPr>
        <w:t xml:space="preserve">ecretos </w:t>
      </w:r>
      <w:r w:rsidRPr="0041407C">
        <w:rPr>
          <w:rFonts w:ascii="Bookman Old Style" w:hAnsi="Bookman Old Style" w:cs="Arial"/>
        </w:rPr>
        <w:t>1524 y 2253 de 1994, y</w:t>
      </w:r>
      <w:r w:rsidR="00F84ADD">
        <w:rPr>
          <w:rFonts w:ascii="Bookman Old Style" w:hAnsi="Bookman Old Style" w:cs="Arial"/>
        </w:rPr>
        <w:t xml:space="preserve"> </w:t>
      </w:r>
      <w:r w:rsidR="00D70780">
        <w:rPr>
          <w:rFonts w:ascii="Bookman Old Style" w:hAnsi="Bookman Old Style" w:cs="Arial"/>
        </w:rPr>
        <w:t>1260</w:t>
      </w:r>
      <w:r w:rsidR="00F84ADD">
        <w:rPr>
          <w:rFonts w:ascii="Bookman Old Style" w:hAnsi="Bookman Old Style" w:cs="Arial"/>
        </w:rPr>
        <w:t xml:space="preserve"> de 2013,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Default="009627D4"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w:t>
      </w:r>
      <w:r w:rsidR="00E21A72">
        <w:rPr>
          <w:rFonts w:ascii="Bookman Old Style" w:hAnsi="Bookman Old Style" w:cs="Arial"/>
          <w:spacing w:val="-4"/>
          <w:lang w:val="es-CO"/>
        </w:rPr>
        <w:t xml:space="preserve">el artículo 20 de </w:t>
      </w:r>
      <w:r w:rsidRPr="0041407C">
        <w:rPr>
          <w:rFonts w:ascii="Bookman Old Style" w:hAnsi="Bookman Old Style" w:cs="Arial"/>
          <w:spacing w:val="-4"/>
          <w:lang w:val="es-CO"/>
        </w:rPr>
        <w:t xml:space="preserve">la Ley 143 de 1994,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w:t>
      </w:r>
      <w:r w:rsidR="00E21A72">
        <w:rPr>
          <w:rFonts w:ascii="Bookman Old Style" w:hAnsi="Bookman Old Style" w:cs="Arial"/>
        </w:rPr>
        <w:t xml:space="preserve">por </w:t>
      </w:r>
      <w:r w:rsidRPr="0041407C">
        <w:rPr>
          <w:rFonts w:ascii="Bookman Old Style" w:hAnsi="Bookman Old Style" w:cs="Arial"/>
        </w:rPr>
        <w:t xml:space="preserve">el artículo 7 de la Ley 143 de 1994, en las actividades del sector, incluida la </w:t>
      </w:r>
      <w:r w:rsidR="00F84ADD">
        <w:rPr>
          <w:rFonts w:ascii="Bookman Old Style" w:hAnsi="Bookman Old Style" w:cs="Arial"/>
        </w:rPr>
        <w:t>distribuc</w:t>
      </w:r>
      <w:r w:rsidR="00F84ADD" w:rsidRPr="0041407C">
        <w:rPr>
          <w:rFonts w:ascii="Bookman Old Style" w:hAnsi="Bookman Old Style" w:cs="Arial"/>
        </w:rPr>
        <w:t xml:space="preserve">ión </w:t>
      </w:r>
      <w:r w:rsidRPr="0041407C">
        <w:rPr>
          <w:rFonts w:ascii="Bookman Old Style" w:hAnsi="Bookman Old Style" w:cs="Arial"/>
        </w:rPr>
        <w:t xml:space="preserve">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rPr>
      </w:pPr>
      <w:r w:rsidRPr="0041407C">
        <w:rPr>
          <w:rFonts w:ascii="Bookman Old Style" w:hAnsi="Bookman Old Style" w:cs="Arial"/>
        </w:rPr>
        <w:t xml:space="preserve">Según lo establecido </w:t>
      </w:r>
      <w:r w:rsidR="00E21A72">
        <w:rPr>
          <w:rFonts w:ascii="Bookman Old Style" w:hAnsi="Bookman Old Style" w:cs="Arial"/>
        </w:rPr>
        <w:t xml:space="preserve">por </w:t>
      </w:r>
      <w:r w:rsidRPr="0041407C">
        <w:rPr>
          <w:rFonts w:ascii="Bookman Old Style" w:hAnsi="Bookman Old Style" w:cs="Arial"/>
        </w:rPr>
        <w:t xml:space="preserve">el artículo 85 de la Ley 143 de 1994, </w:t>
      </w:r>
      <w:r w:rsidRPr="0041407C">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41407C">
        <w:rPr>
          <w:rFonts w:ascii="Bookman Old Style" w:hAnsi="Bookman Old Style" w:cs="Arial"/>
          <w:i/>
          <w:iCs/>
        </w:rPr>
        <w:lastRenderedPageBreak/>
        <w:t>asumen en su integridad los riesgos inherentes a la ejecución y explotación de los proyectos”</w:t>
      </w:r>
      <w:r w:rsidRPr="0041407C">
        <w:rPr>
          <w:rFonts w:ascii="Bookman Old Style" w:hAnsi="Bookman Old Style" w:cs="Arial"/>
        </w:rPr>
        <w:t>.</w:t>
      </w:r>
    </w:p>
    <w:p w:rsidR="00BC1B3F" w:rsidRDefault="00BC1B3F"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el artículo 23, literales c) y d), y </w:t>
      </w:r>
      <w:r w:rsidR="00716CD2" w:rsidRPr="0041407C">
        <w:rPr>
          <w:rFonts w:ascii="Bookman Old Style" w:hAnsi="Bookman Old Style" w:cs="Arial"/>
        </w:rPr>
        <w:t xml:space="preserve">en el artículo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CC6C59" w:rsidRDefault="009627D4" w:rsidP="009627D4">
      <w:pPr>
        <w:ind w:left="0" w:right="51"/>
        <w:jc w:val="both"/>
        <w:rPr>
          <w:rFonts w:ascii="Bookman Old Style" w:hAnsi="Bookman Old Style" w:cs="Arial"/>
          <w:sz w:val="22"/>
        </w:rPr>
      </w:pPr>
    </w:p>
    <w:p w:rsidR="00B55C41" w:rsidRDefault="00395315" w:rsidP="009627D4">
      <w:pPr>
        <w:ind w:left="0" w:right="51"/>
        <w:jc w:val="both"/>
        <w:rPr>
          <w:rFonts w:ascii="Bookman Old Style" w:hAnsi="Bookman Old Style" w:cs="Arial"/>
        </w:rPr>
      </w:pPr>
      <w:r w:rsidRPr="00395315">
        <w:rPr>
          <w:rFonts w:ascii="Bookman Old Style" w:hAnsi="Bookman Old Style" w:cs="Arial"/>
        </w:rPr>
        <w:t>En el numeral 3 del anexo general de la Resolución CREG 070 de 1998, se establece que el Operador de Red, OR, es responsable de elaborar el plan de expansión del sistema que opera, así como res</w:t>
      </w:r>
      <w:r>
        <w:rPr>
          <w:rFonts w:ascii="Bookman Old Style" w:hAnsi="Bookman Old Style" w:cs="Arial"/>
        </w:rPr>
        <w:t>ponsable por su ejecución.</w:t>
      </w:r>
    </w:p>
    <w:p w:rsidR="00B55C41" w:rsidRPr="00CC6C59" w:rsidRDefault="00B55C41" w:rsidP="009627D4">
      <w:pPr>
        <w:ind w:left="0" w:right="51"/>
        <w:jc w:val="both"/>
        <w:rPr>
          <w:rFonts w:ascii="Bookman Old Style" w:hAnsi="Bookman Old Style" w:cs="Arial"/>
          <w:sz w:val="22"/>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La Resolución CREG 097 de 2008 definió los principios generales y la metodología para el establecimiento de los cargos por uso de los Sistemas de Transmisión Regional y Distribución Local.</w:t>
      </w:r>
      <w:r>
        <w:rPr>
          <w:rFonts w:ascii="Bookman Old Style" w:hAnsi="Bookman Old Style" w:cs="Arial"/>
        </w:rPr>
        <w:t xml:space="preserve"> En el numeral 3.1.3 de esta resolución se prevé que los ingresos esperados para las convocatorias en el STR hagan parte del cálculo del cargo del nivel de tensión 4.</w:t>
      </w:r>
    </w:p>
    <w:p w:rsidR="00395315" w:rsidRPr="00CC6C59" w:rsidRDefault="00395315" w:rsidP="00E64ADF">
      <w:pPr>
        <w:ind w:left="0" w:right="51"/>
        <w:jc w:val="both"/>
        <w:rPr>
          <w:rFonts w:ascii="Bookman Old Style" w:hAnsi="Bookman Old Style" w:cs="Arial"/>
          <w:sz w:val="22"/>
        </w:rPr>
      </w:pPr>
    </w:p>
    <w:p w:rsidR="00395315" w:rsidRPr="00E64ADF" w:rsidRDefault="00395315" w:rsidP="00395315">
      <w:pPr>
        <w:ind w:left="0" w:right="51"/>
        <w:jc w:val="both"/>
        <w:rPr>
          <w:rFonts w:ascii="Bookman Old Style" w:hAnsi="Bookman Old Style" w:cs="Arial"/>
        </w:rPr>
      </w:pPr>
      <w:r w:rsidRPr="00E64ADF">
        <w:rPr>
          <w:rFonts w:ascii="Bookman Old Style" w:hAnsi="Bookman Old Style" w:cs="Arial"/>
        </w:rPr>
        <w:t xml:space="preserve">El numeral 4.2 del </w:t>
      </w:r>
      <w:r>
        <w:rPr>
          <w:rFonts w:ascii="Bookman Old Style" w:hAnsi="Bookman Old Style" w:cs="Arial"/>
        </w:rPr>
        <w:t>c</w:t>
      </w:r>
      <w:r w:rsidRPr="00E64ADF">
        <w:rPr>
          <w:rFonts w:ascii="Bookman Old Style" w:hAnsi="Bookman Old Style" w:cs="Arial"/>
        </w:rPr>
        <w:t>apítulo 4 del anexo general de la Resolución CREG 097 de 2008 consideró la posibilidad de ejecutar proyectos de expansión en el STR mediante convocatorias públicas en los casos allí previstos</w:t>
      </w:r>
      <w:r w:rsidR="009B0298">
        <w:rPr>
          <w:rFonts w:ascii="Bookman Old Style" w:hAnsi="Bookman Old Style" w:cs="Arial"/>
        </w:rPr>
        <w:t>.</w:t>
      </w:r>
    </w:p>
    <w:p w:rsidR="00395315" w:rsidRPr="00CC6C59" w:rsidRDefault="00395315" w:rsidP="00395315">
      <w:pPr>
        <w:ind w:left="0" w:right="51"/>
        <w:jc w:val="both"/>
        <w:rPr>
          <w:rFonts w:ascii="Bookman Old Style" w:hAnsi="Bookman Old Style" w:cs="Arial"/>
          <w:sz w:val="22"/>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 xml:space="preserve">El Ministerio de Minas y Energía, mediante </w:t>
      </w:r>
      <w:r w:rsidR="00D70780">
        <w:rPr>
          <w:rFonts w:ascii="Bookman Old Style" w:hAnsi="Bookman Old Style" w:cs="Arial"/>
        </w:rPr>
        <w:t>R</w:t>
      </w:r>
      <w:r w:rsidRPr="00E64ADF">
        <w:rPr>
          <w:rFonts w:ascii="Bookman Old Style" w:hAnsi="Bookman Old Style" w:cs="Arial"/>
        </w:rPr>
        <w:t>esolución MME 18 0924 de 2003, estableció y desarrolló los mecanismos de convocatorias públicas para la ejecución de los proyectos definidos en el Plan de Expansión del Sistema Interconectado Nacional.</w:t>
      </w:r>
    </w:p>
    <w:p w:rsidR="00395315" w:rsidRPr="00CC6C59" w:rsidRDefault="00395315" w:rsidP="00395315">
      <w:pPr>
        <w:ind w:left="0" w:right="51"/>
        <w:jc w:val="both"/>
        <w:rPr>
          <w:rFonts w:ascii="Bookman Old Style" w:hAnsi="Bookman Old Style" w:cs="Arial"/>
          <w:sz w:val="22"/>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00395315" w:rsidRPr="0041407C">
        <w:rPr>
          <w:rFonts w:ascii="Bookman Old Style" w:hAnsi="Bookman Old Style" w:cs="Arial"/>
        </w:rPr>
        <w:t>02</w:t>
      </w:r>
      <w:r w:rsidR="00395315">
        <w:rPr>
          <w:rFonts w:ascii="Bookman Old Style" w:hAnsi="Bookman Old Style" w:cs="Arial"/>
        </w:rPr>
        <w:t>4</w:t>
      </w:r>
      <w:r w:rsidR="00395315" w:rsidRPr="0041407C">
        <w:rPr>
          <w:rFonts w:ascii="Bookman Old Style" w:hAnsi="Bookman Old Style" w:cs="Arial"/>
        </w:rPr>
        <w:t xml:space="preserve"> </w:t>
      </w:r>
      <w:r w:rsidRPr="0041407C">
        <w:rPr>
          <w:rFonts w:ascii="Bookman Old Style" w:hAnsi="Bookman Old Style" w:cs="Arial"/>
        </w:rPr>
        <w:t xml:space="preserve">de </w:t>
      </w:r>
      <w:r w:rsidR="00395315" w:rsidRPr="0041407C">
        <w:rPr>
          <w:rFonts w:ascii="Bookman Old Style" w:hAnsi="Bookman Old Style" w:cs="Arial"/>
        </w:rPr>
        <w:t>20</w:t>
      </w:r>
      <w:r w:rsidR="00395315">
        <w:rPr>
          <w:rFonts w:ascii="Bookman Old Style" w:hAnsi="Bookman Old Style" w:cs="Arial"/>
        </w:rPr>
        <w:t>13</w:t>
      </w:r>
      <w:r w:rsidRPr="0041407C">
        <w:rPr>
          <w:rFonts w:ascii="Bookman Old Style" w:hAnsi="Bookman Old Style" w:cs="Arial"/>
        </w:rPr>
        <w:t xml:space="preserve"> </w:t>
      </w:r>
      <w:r w:rsidR="00395315" w:rsidRPr="00395315">
        <w:rPr>
          <w:rFonts w:ascii="Bookman Old Style" w:hAnsi="Bookman Old Style" w:cs="Arial"/>
        </w:rPr>
        <w:t>se establec</w:t>
      </w:r>
      <w:r w:rsidR="0035329D">
        <w:rPr>
          <w:rFonts w:ascii="Bookman Old Style" w:hAnsi="Bookman Old Style" w:cs="Arial"/>
        </w:rPr>
        <w:t>i</w:t>
      </w:r>
      <w:r w:rsidR="00395315" w:rsidRPr="00395315">
        <w:rPr>
          <w:rFonts w:ascii="Bookman Old Style" w:hAnsi="Bookman Old Style" w:cs="Arial"/>
        </w:rPr>
        <w:t>e</w:t>
      </w:r>
      <w:r w:rsidR="0035329D">
        <w:rPr>
          <w:rFonts w:ascii="Bookman Old Style" w:hAnsi="Bookman Old Style" w:cs="Arial"/>
        </w:rPr>
        <w:t>ro</w:t>
      </w:r>
      <w:r w:rsidR="00395315" w:rsidRPr="00395315">
        <w:rPr>
          <w:rFonts w:ascii="Bookman Old Style" w:hAnsi="Bookman Old Style" w:cs="Arial"/>
        </w:rPr>
        <w:t>n los procedimientos que se deben seguir para la expansión de los Sistemas de Transmisión Regional mediante Procesos de Selección</w:t>
      </w:r>
      <w:r w:rsidRPr="0041407C">
        <w:rPr>
          <w:rFonts w:ascii="Bookman Old Style" w:hAnsi="Bookman Old Style" w:cs="Arial"/>
        </w:rPr>
        <w:t>.</w:t>
      </w:r>
      <w:r w:rsidR="004B2A23">
        <w:rPr>
          <w:rFonts w:ascii="Bookman Old Style" w:hAnsi="Bookman Old Style" w:cs="Arial"/>
        </w:rPr>
        <w:t xml:space="preserve"> </w:t>
      </w:r>
      <w:r w:rsidRPr="0041407C">
        <w:rPr>
          <w:rFonts w:ascii="Bookman Old Style" w:hAnsi="Bookman Old Style" w:cs="Arial"/>
        </w:rPr>
        <w:t>E</w:t>
      </w:r>
      <w:r w:rsidR="004B2A23">
        <w:rPr>
          <w:rFonts w:ascii="Bookman Old Style" w:hAnsi="Bookman Old Style" w:cs="Arial"/>
        </w:rPr>
        <w:t>n e</w:t>
      </w:r>
      <w:r w:rsidRPr="0041407C">
        <w:rPr>
          <w:rFonts w:ascii="Bookman Old Style" w:hAnsi="Bookman Old Style" w:cs="Arial"/>
        </w:rPr>
        <w:t>l</w:t>
      </w:r>
      <w:r w:rsidR="00F056BA">
        <w:rPr>
          <w:rFonts w:ascii="Bookman Old Style" w:hAnsi="Bookman Old Style" w:cs="Arial"/>
        </w:rPr>
        <w:t xml:space="preserve"> </w:t>
      </w:r>
      <w:r w:rsidRPr="0041407C">
        <w:rPr>
          <w:rFonts w:ascii="Bookman Old Style" w:hAnsi="Bookman Old Style" w:cs="Arial"/>
        </w:rPr>
        <w:t xml:space="preserve">artículo </w:t>
      </w:r>
      <w:r w:rsidR="00F056BA">
        <w:rPr>
          <w:rFonts w:ascii="Bookman Old Style" w:hAnsi="Bookman Old Style" w:cs="Arial"/>
        </w:rPr>
        <w:t>17</w:t>
      </w:r>
      <w:r w:rsidR="004B2A23">
        <w:rPr>
          <w:rFonts w:ascii="Bookman Old Style" w:hAnsi="Bookman Old Style" w:cs="Arial"/>
        </w:rPr>
        <w:t xml:space="preserve"> se</w:t>
      </w:r>
      <w:r w:rsidRPr="0041407C">
        <w:rPr>
          <w:rFonts w:ascii="Bookman Old Style" w:hAnsi="Bookman Old Style" w:cs="Arial"/>
        </w:rPr>
        <w:t xml:space="preserve"> establec</w:t>
      </w:r>
      <w:r w:rsidR="00C15B75" w:rsidRPr="0041407C">
        <w:rPr>
          <w:rFonts w:ascii="Bookman Old Style" w:hAnsi="Bookman Old Style" w:cs="Arial"/>
        </w:rPr>
        <w:t>e</w:t>
      </w:r>
      <w:r w:rsidRPr="0041407C">
        <w:rPr>
          <w:rFonts w:ascii="Bookman Old Style" w:hAnsi="Bookman Old Style" w:cs="Arial"/>
        </w:rPr>
        <w:t xml:space="preserve"> que </w:t>
      </w:r>
      <w:r w:rsidRPr="0041407C">
        <w:rPr>
          <w:rFonts w:ascii="Bookman Old Style" w:hAnsi="Bookman Old Style" w:cs="Arial"/>
          <w:spacing w:val="-2"/>
          <w:lang w:val="es-CO"/>
        </w:rPr>
        <w:t>la</w:t>
      </w:r>
      <w:r w:rsidR="00F056BA">
        <w:rPr>
          <w:rFonts w:ascii="Bookman Old Style" w:hAnsi="Bookman Old Style" w:cs="Arial"/>
          <w:spacing w:val="-2"/>
          <w:lang w:val="es-CO"/>
        </w:rPr>
        <w:t xml:space="preserve"> </w:t>
      </w:r>
      <w:r w:rsidRPr="0041407C">
        <w:rPr>
          <w:rFonts w:ascii="Bookman Old Style" w:hAnsi="Bookman Old Style" w:cs="Arial"/>
          <w:spacing w:val="-2"/>
          <w:lang w:val="es-CO"/>
        </w:rPr>
        <w:t>s</w:t>
      </w:r>
      <w:r w:rsidR="00F056BA">
        <w:rPr>
          <w:rFonts w:ascii="Bookman Old Style" w:hAnsi="Bookman Old Style" w:cs="Arial"/>
          <w:spacing w:val="-2"/>
          <w:lang w:val="es-CO"/>
        </w:rPr>
        <w:t>elección del adjudicatario se hará considerando el menor valor presente del IAE de las ofertas</w:t>
      </w:r>
      <w:r w:rsidRPr="0041407C">
        <w:rPr>
          <w:rFonts w:ascii="Bookman Old Style" w:hAnsi="Bookman Old Style" w:cs="Arial"/>
          <w:spacing w:val="-2"/>
          <w:lang w:val="es-CO"/>
        </w:rPr>
        <w:t>.</w:t>
      </w:r>
    </w:p>
    <w:p w:rsidR="009627D4" w:rsidRPr="00CC6C59" w:rsidRDefault="009627D4" w:rsidP="009627D4">
      <w:pPr>
        <w:ind w:left="0" w:right="51"/>
        <w:jc w:val="both"/>
        <w:rPr>
          <w:rFonts w:ascii="Bookman Old Style" w:hAnsi="Bookman Old Style" w:cs="Arial"/>
          <w:spacing w:val="-2"/>
          <w:sz w:val="22"/>
          <w:lang w:val="es-CO"/>
        </w:rPr>
      </w:pPr>
    </w:p>
    <w:p w:rsidR="009627D4"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FC418B" w:rsidRPr="00CC6C59" w:rsidRDefault="00FC418B" w:rsidP="009627D4">
      <w:pPr>
        <w:ind w:left="0" w:right="51"/>
        <w:jc w:val="both"/>
        <w:rPr>
          <w:rFonts w:ascii="Bookman Old Style" w:hAnsi="Bookman Old Style" w:cs="Arial"/>
          <w:sz w:val="22"/>
        </w:rPr>
      </w:pPr>
    </w:p>
    <w:p w:rsidR="0014591A" w:rsidRDefault="0014591A" w:rsidP="0014591A">
      <w:pPr>
        <w:ind w:left="0" w:right="51"/>
        <w:jc w:val="both"/>
        <w:rPr>
          <w:rFonts w:ascii="Bookman Old Style" w:hAnsi="Bookman Old Style" w:cs="Arial"/>
        </w:rPr>
      </w:pPr>
      <w:r>
        <w:rPr>
          <w:rFonts w:ascii="Bookman Old Style" w:hAnsi="Bookman Old Style" w:cs="Arial"/>
        </w:rPr>
        <w:t>Con base en lo establecido en la Resolución 9 0604 de 2014 del MME y en la Resolución CREG 093 de 2014, la UPME expidió la Resolución 2</w:t>
      </w:r>
      <w:r w:rsidR="00DD1C12">
        <w:rPr>
          <w:rFonts w:ascii="Bookman Old Style" w:hAnsi="Bookman Old Style" w:cs="Arial"/>
        </w:rPr>
        <w:t>91</w:t>
      </w:r>
      <w:r>
        <w:rPr>
          <w:rFonts w:ascii="Bookman Old Style" w:hAnsi="Bookman Old Style" w:cs="Arial"/>
        </w:rPr>
        <w:t xml:space="preserve"> de 2015 por medio de la cual se identificó como proyecto urgente, la obra del STR asociada a las ampliaciones en las subestaciones </w:t>
      </w:r>
      <w:r w:rsidR="00EA6965">
        <w:rPr>
          <w:rFonts w:ascii="Bookman Old Style" w:hAnsi="Bookman Old Style" w:cs="Arial"/>
        </w:rPr>
        <w:t>El Carmen 66 kV, El Banco 110 kV y Montería 110 kV</w:t>
      </w:r>
      <w:r>
        <w:rPr>
          <w:rFonts w:ascii="Bookman Old Style" w:hAnsi="Bookman Old Style" w:cs="Arial"/>
        </w:rPr>
        <w:t>.</w:t>
      </w:r>
    </w:p>
    <w:p w:rsidR="0014591A" w:rsidRDefault="0014591A" w:rsidP="0014591A">
      <w:pPr>
        <w:ind w:left="0" w:right="51"/>
        <w:jc w:val="both"/>
        <w:rPr>
          <w:rFonts w:ascii="Bookman Old Style" w:hAnsi="Bookman Old Style" w:cs="Arial"/>
        </w:rPr>
      </w:pPr>
    </w:p>
    <w:p w:rsidR="009627D4" w:rsidRPr="0041407C" w:rsidRDefault="00A14C63" w:rsidP="00EA6857">
      <w:pPr>
        <w:ind w:left="0" w:right="51"/>
        <w:jc w:val="both"/>
        <w:rPr>
          <w:rFonts w:ascii="Bookman Old Style" w:hAnsi="Bookman Old Style" w:cs="Arial"/>
          <w:lang w:val="es-ES_tradnl"/>
        </w:rPr>
      </w:pPr>
      <w:r>
        <w:rPr>
          <w:rFonts w:ascii="Bookman Old Style" w:hAnsi="Bookman Old Style" w:cs="Arial"/>
        </w:rPr>
        <w:t>L</w:t>
      </w:r>
      <w:r w:rsidR="00EA6857">
        <w:rPr>
          <w:rFonts w:ascii="Bookman Old Style" w:hAnsi="Bookman Old Style" w:cs="Arial"/>
        </w:rPr>
        <w:t xml:space="preserve">a </w:t>
      </w:r>
      <w:r w:rsidR="009627D4" w:rsidRPr="0041407C">
        <w:rPr>
          <w:rFonts w:ascii="Bookman Old Style" w:hAnsi="Bookman Old Style" w:cs="Arial"/>
        </w:rPr>
        <w:t xml:space="preserve">UPME abrió la Convocatoria Pública </w:t>
      </w:r>
      <w:r w:rsidR="00EA6965">
        <w:rPr>
          <w:rFonts w:ascii="Bookman Old Style" w:hAnsi="Bookman Old Style" w:cs="Arial"/>
        </w:rPr>
        <w:t>UPME STR 04-2015</w:t>
      </w:r>
      <w:r w:rsidR="009627D4"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w:t>
      </w:r>
      <w:r w:rsidR="0032341D">
        <w:rPr>
          <w:rFonts w:ascii="Bookman Old Style" w:hAnsi="Bookman Old Style" w:cs="Arial"/>
          <w:lang w:val="es-ES_tradnl"/>
        </w:rPr>
        <w:t xml:space="preserve">mantenimiento de equipos de compensación </w:t>
      </w:r>
      <w:r w:rsidR="00BC1B3F">
        <w:rPr>
          <w:rFonts w:ascii="Bookman Old Style" w:hAnsi="Bookman Old Style" w:cs="Arial"/>
        </w:rPr>
        <w:t xml:space="preserve">en las subestaciones </w:t>
      </w:r>
      <w:r w:rsidR="00EA6965">
        <w:rPr>
          <w:rFonts w:ascii="Bookman Old Style" w:hAnsi="Bookman Old Style" w:cs="Arial"/>
        </w:rPr>
        <w:t>El Carmen 66 kV, El Banco 110 kV y Montería 110 kV</w:t>
      </w:r>
      <w:r w:rsidR="009627D4" w:rsidRPr="0041407C">
        <w:rPr>
          <w:rFonts w:ascii="Bookman Old Style" w:hAnsi="Bookman Old Style" w:cs="Arial"/>
        </w:rPr>
        <w:t>.</w:t>
      </w:r>
    </w:p>
    <w:p w:rsidR="00983AF8" w:rsidRDefault="00983AF8" w:rsidP="009627D4">
      <w:pPr>
        <w:tabs>
          <w:tab w:val="left" w:pos="-720"/>
        </w:tabs>
        <w:suppressAutoHyphens/>
        <w:ind w:left="0"/>
        <w:jc w:val="both"/>
        <w:rPr>
          <w:rFonts w:ascii="Bookman Old Style" w:hAnsi="Bookman Old Style" w:cs="Arial"/>
        </w:rPr>
      </w:pPr>
      <w:r w:rsidRPr="00DD1C12">
        <w:rPr>
          <w:rFonts w:ascii="Bookman Old Style" w:hAnsi="Bookman Old Style" w:cs="Arial"/>
        </w:rPr>
        <w:lastRenderedPageBreak/>
        <w:t xml:space="preserve">En los Documentos de Selección </w:t>
      </w:r>
      <w:r w:rsidR="004766AB" w:rsidRPr="00DD1C12">
        <w:rPr>
          <w:rFonts w:ascii="Bookman Old Style" w:hAnsi="Bookman Old Style" w:cs="Arial"/>
        </w:rPr>
        <w:t xml:space="preserve">se </w:t>
      </w:r>
      <w:r w:rsidRPr="00DD1C12">
        <w:rPr>
          <w:rFonts w:ascii="Bookman Old Style" w:hAnsi="Bookman Old Style" w:cs="Arial"/>
        </w:rPr>
        <w:t>estableci</w:t>
      </w:r>
      <w:r w:rsidR="004766AB" w:rsidRPr="00DD1C12">
        <w:rPr>
          <w:rFonts w:ascii="Bookman Old Style" w:hAnsi="Bookman Old Style" w:cs="Arial"/>
        </w:rPr>
        <w:t>ó</w:t>
      </w:r>
      <w:r w:rsidRPr="00DD1C12">
        <w:rPr>
          <w:rFonts w:ascii="Bookman Old Style" w:hAnsi="Bookman Old Style" w:cs="Arial"/>
        </w:rPr>
        <w:t xml:space="preserve"> el </w:t>
      </w:r>
      <w:r w:rsidR="00532517" w:rsidRPr="00DD1C12">
        <w:rPr>
          <w:rFonts w:ascii="Bookman Old Style" w:hAnsi="Bookman Old Style" w:cs="Arial"/>
        </w:rPr>
        <w:t xml:space="preserve">30 </w:t>
      </w:r>
      <w:r w:rsidRPr="00DD1C12">
        <w:rPr>
          <w:rFonts w:ascii="Bookman Old Style" w:hAnsi="Bookman Old Style" w:cs="Arial"/>
        </w:rPr>
        <w:t xml:space="preserve">de </w:t>
      </w:r>
      <w:r w:rsidR="00532517" w:rsidRPr="00DD1C12">
        <w:rPr>
          <w:rFonts w:ascii="Bookman Old Style" w:hAnsi="Bookman Old Style" w:cs="Arial"/>
        </w:rPr>
        <w:t xml:space="preserve">noviembre </w:t>
      </w:r>
      <w:r w:rsidRPr="00DD1C12">
        <w:rPr>
          <w:rFonts w:ascii="Bookman Old Style" w:hAnsi="Bookman Old Style" w:cs="Arial"/>
        </w:rPr>
        <w:t xml:space="preserve">de </w:t>
      </w:r>
      <w:r w:rsidR="00413642" w:rsidRPr="00DD1C12">
        <w:rPr>
          <w:rFonts w:ascii="Bookman Old Style" w:hAnsi="Bookman Old Style" w:cs="Arial"/>
        </w:rPr>
        <w:t>2016</w:t>
      </w:r>
      <w:r w:rsidR="00413642" w:rsidRPr="0041407C">
        <w:rPr>
          <w:rFonts w:ascii="Bookman Old Style" w:hAnsi="Bookman Old Style" w:cs="Arial"/>
        </w:rPr>
        <w:t xml:space="preserve"> </w:t>
      </w:r>
      <w:r w:rsidRPr="0041407C">
        <w:rPr>
          <w:rFonts w:ascii="Bookman Old Style" w:hAnsi="Bookman Old Style" w:cs="Arial"/>
        </w:rPr>
        <w:t>como fecha de puesta en operación del proyecto</w:t>
      </w:r>
      <w:r w:rsidR="00F00159">
        <w:rPr>
          <w:rFonts w:ascii="Bookman Old Style" w:hAnsi="Bookman Old Style" w:cs="Arial"/>
        </w:rPr>
        <w:t xml:space="preserve"> y, dado que en estos documentos no se estableció una duración diferente, el periodo de pagos  tendrá una duración de 25 años, de acuerdo con el artículo 16 de la Resolución CREG 024 de 2013.</w:t>
      </w:r>
    </w:p>
    <w:p w:rsidR="0051403F" w:rsidRPr="00CC6C59" w:rsidRDefault="0051403F"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DD1C12">
        <w:rPr>
          <w:rFonts w:ascii="Bookman Old Style" w:hAnsi="Bookman Old Style" w:cs="Arial"/>
        </w:rPr>
        <w:t xml:space="preserve">Mediante </w:t>
      </w:r>
      <w:r w:rsidR="009627D4" w:rsidRPr="00DD1C12">
        <w:rPr>
          <w:rFonts w:ascii="Bookman Old Style" w:hAnsi="Bookman Old Style" w:cs="Arial"/>
        </w:rPr>
        <w:t xml:space="preserve">la comunicación radicada en la CREG con el número </w:t>
      </w:r>
      <w:r w:rsidR="004D39D4" w:rsidRPr="00DD1C12">
        <w:rPr>
          <w:rFonts w:ascii="Bookman Old Style" w:hAnsi="Bookman Old Style" w:cs="Arial"/>
        </w:rPr>
        <w:t>E</w:t>
      </w:r>
      <w:r w:rsidR="004D39D4" w:rsidRPr="00DD1C12">
        <w:rPr>
          <w:rFonts w:ascii="Bookman Old Style" w:hAnsi="Bookman Old Style" w:cs="Arial"/>
        </w:rPr>
        <w:noBreakHyphen/>
      </w:r>
      <w:r w:rsidR="006A5016" w:rsidRPr="00DD1C12">
        <w:rPr>
          <w:rFonts w:ascii="Bookman Old Style" w:hAnsi="Bookman Old Style" w:cs="Arial"/>
        </w:rPr>
        <w:t>2015</w:t>
      </w:r>
      <w:r w:rsidR="004D39D4" w:rsidRPr="00DD1C12">
        <w:rPr>
          <w:rFonts w:ascii="Bookman Old Style" w:hAnsi="Bookman Old Style" w:cs="Arial"/>
        </w:rPr>
        <w:noBreakHyphen/>
      </w:r>
      <w:r w:rsidR="00E64ADF" w:rsidRPr="00DD1C12">
        <w:rPr>
          <w:rFonts w:ascii="Bookman Old Style" w:hAnsi="Bookman Old Style" w:cs="Arial"/>
        </w:rPr>
        <w:t>00</w:t>
      </w:r>
      <w:r w:rsidR="00DD1C12" w:rsidRPr="00DD1C12">
        <w:rPr>
          <w:rFonts w:ascii="Bookman Old Style" w:hAnsi="Bookman Old Style" w:cs="Arial"/>
        </w:rPr>
        <w:t>8039</w:t>
      </w:r>
      <w:r w:rsidR="00E64ADF" w:rsidRPr="0041407C">
        <w:rPr>
          <w:rFonts w:ascii="Bookman Old Style" w:hAnsi="Bookman Old Style" w:cs="Arial"/>
        </w:rPr>
        <w:t xml:space="preserve"> </w:t>
      </w:r>
      <w:r w:rsidR="004D39D4" w:rsidRPr="0041407C">
        <w:rPr>
          <w:rFonts w:ascii="Bookman Old Style" w:hAnsi="Bookman Old Style" w:cs="Arial"/>
        </w:rPr>
        <w:t xml:space="preserve">del </w:t>
      </w:r>
      <w:r w:rsidR="00DD1C12">
        <w:rPr>
          <w:rFonts w:ascii="Bookman Old Style" w:hAnsi="Bookman Old Style" w:cs="Arial"/>
        </w:rPr>
        <w:t>10</w:t>
      </w:r>
      <w:r w:rsidR="00532517">
        <w:rPr>
          <w:rFonts w:ascii="Bookman Old Style" w:hAnsi="Bookman Old Style" w:cs="Arial"/>
        </w:rPr>
        <w:t xml:space="preserve"> </w:t>
      </w:r>
      <w:r w:rsidR="006A5016">
        <w:rPr>
          <w:rFonts w:ascii="Bookman Old Style" w:hAnsi="Bookman Old Style" w:cs="Arial"/>
        </w:rPr>
        <w:t xml:space="preserve">de </w:t>
      </w:r>
      <w:r w:rsidR="00DD1C12">
        <w:rPr>
          <w:rFonts w:ascii="Bookman Old Style" w:hAnsi="Bookman Old Style" w:cs="Arial"/>
        </w:rPr>
        <w:t>agosto</w:t>
      </w:r>
      <w:r w:rsidR="00532517">
        <w:rPr>
          <w:rFonts w:ascii="Bookman Old Style" w:hAnsi="Bookman Old Style" w:cs="Arial"/>
        </w:rPr>
        <w:t xml:space="preserve"> </w:t>
      </w:r>
      <w:r w:rsidR="006A5016">
        <w:rPr>
          <w:rFonts w:ascii="Bookman Old Style" w:hAnsi="Bookman Old Style" w:cs="Arial"/>
        </w:rPr>
        <w:t>de 2015</w:t>
      </w:r>
      <w:r w:rsidR="009627D4" w:rsidRPr="0041407C">
        <w:rPr>
          <w:rFonts w:ascii="Bookman Old Style" w:hAnsi="Bookman Old Style" w:cs="Arial"/>
        </w:rPr>
        <w:t xml:space="preserve">, la UPME informa que </w:t>
      </w:r>
      <w:r w:rsidR="0032341D">
        <w:rPr>
          <w:rFonts w:ascii="Bookman Old Style" w:hAnsi="Bookman Old Style" w:cs="Arial"/>
        </w:rPr>
        <w:t xml:space="preserve">el Consorcio </w:t>
      </w:r>
      <w:r w:rsidR="00EA6965">
        <w:rPr>
          <w:rFonts w:ascii="Bookman Old Style" w:hAnsi="Bookman Old Style" w:cs="Arial"/>
        </w:rPr>
        <w:t>Eléctrico del Caribe S.A.S. E.S.P.</w:t>
      </w:r>
      <w:r w:rsidR="004D39D4"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EA6965">
        <w:rPr>
          <w:rFonts w:ascii="Bookman Old Style" w:hAnsi="Bookman Old Style" w:cs="Arial"/>
        </w:rPr>
        <w:t>UPME STR 04-2015</w:t>
      </w:r>
      <w:r w:rsidR="00293C55" w:rsidRPr="0041407C">
        <w:rPr>
          <w:rFonts w:ascii="Bookman Old Style" w:hAnsi="Bookman Old Style" w:cs="Arial"/>
        </w:rPr>
        <w:t>.</w:t>
      </w:r>
    </w:p>
    <w:p w:rsidR="00293C55" w:rsidRPr="00CC6C59"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Pr="0041407C">
        <w:rPr>
          <w:rFonts w:ascii="Bookman Old Style" w:hAnsi="Bookman Old Style" w:cs="Arial"/>
        </w:rPr>
        <w:noBreakHyphen/>
      </w:r>
      <w:r w:rsidR="00E64ADF" w:rsidRPr="0041407C">
        <w:rPr>
          <w:rFonts w:ascii="Bookman Old Style" w:hAnsi="Bookman Old Style" w:cs="Arial"/>
        </w:rPr>
        <w:t>00</w:t>
      </w:r>
      <w:r w:rsidR="00DD1C12">
        <w:rPr>
          <w:rFonts w:ascii="Bookman Old Style" w:hAnsi="Bookman Old Style" w:cs="Arial"/>
        </w:rPr>
        <w:t>8862</w:t>
      </w:r>
      <w:r w:rsidR="00532517">
        <w:rPr>
          <w:rFonts w:ascii="Bookman Old Style" w:hAnsi="Bookman Old Style" w:cs="Arial"/>
        </w:rPr>
        <w:t xml:space="preserve"> </w:t>
      </w:r>
      <w:r w:rsidRPr="0041407C">
        <w:rPr>
          <w:rFonts w:ascii="Bookman Old Style" w:hAnsi="Bookman Old Style" w:cs="Arial"/>
        </w:rPr>
        <w:t xml:space="preserve">del </w:t>
      </w:r>
      <w:r w:rsidR="00DD1C12">
        <w:rPr>
          <w:rFonts w:ascii="Bookman Old Style" w:hAnsi="Bookman Old Style" w:cs="Arial"/>
        </w:rPr>
        <w:t>1</w:t>
      </w:r>
      <w:r w:rsidR="00532517">
        <w:rPr>
          <w:rFonts w:ascii="Bookman Old Style" w:hAnsi="Bookman Old Style" w:cs="Arial"/>
        </w:rPr>
        <w:t xml:space="preserve"> </w:t>
      </w:r>
      <w:r w:rsidR="006A5016">
        <w:rPr>
          <w:rFonts w:ascii="Bookman Old Style" w:hAnsi="Bookman Old Style" w:cs="Arial"/>
        </w:rPr>
        <w:t xml:space="preserve">de </w:t>
      </w:r>
      <w:r w:rsidR="00DD1C12">
        <w:rPr>
          <w:rFonts w:ascii="Bookman Old Style" w:hAnsi="Bookman Old Style" w:cs="Arial"/>
        </w:rPr>
        <w:t>septiembre</w:t>
      </w:r>
      <w:r w:rsidR="00532517">
        <w:rPr>
          <w:rFonts w:ascii="Bookman Old Style" w:hAnsi="Bookman Old Style" w:cs="Arial"/>
        </w:rPr>
        <w:t xml:space="preserve"> </w:t>
      </w:r>
      <w:r w:rsidR="006A5016">
        <w:rPr>
          <w:rFonts w:ascii="Bookman Old Style" w:hAnsi="Bookman Old Style" w:cs="Arial"/>
        </w:rPr>
        <w:t>de 2015</w:t>
      </w:r>
      <w:r w:rsidR="000954CA" w:rsidRPr="0041407C">
        <w:rPr>
          <w:rFonts w:ascii="Bookman Old Style" w:hAnsi="Bookman Old Style" w:cs="Arial"/>
        </w:rPr>
        <w:t xml:space="preserve">, </w:t>
      </w:r>
      <w:r w:rsidRPr="0041407C">
        <w:rPr>
          <w:rFonts w:ascii="Bookman Old Style" w:hAnsi="Bookman Old Style" w:cs="Arial"/>
        </w:rPr>
        <w:t xml:space="preserve">conceptúa sobre el cumplimiento, por parte del inversionista seleccionado, de lo establecido en los Documentos de Selección y en la Resolución CREG </w:t>
      </w:r>
      <w:r w:rsidR="00E64ADF" w:rsidRPr="0041407C">
        <w:rPr>
          <w:rFonts w:ascii="Bookman Old Style" w:hAnsi="Bookman Old Style" w:cs="Arial"/>
        </w:rPr>
        <w:t>02</w:t>
      </w:r>
      <w:r w:rsidR="00E64ADF">
        <w:rPr>
          <w:rFonts w:ascii="Bookman Old Style" w:hAnsi="Bookman Old Style" w:cs="Arial"/>
        </w:rPr>
        <w:t>4</w:t>
      </w:r>
      <w:r w:rsidR="00E64ADF" w:rsidRPr="0041407C">
        <w:rPr>
          <w:rFonts w:ascii="Bookman Old Style" w:hAnsi="Bookman Old Style" w:cs="Arial"/>
        </w:rPr>
        <w:t xml:space="preserve"> </w:t>
      </w:r>
      <w:r w:rsidRPr="0041407C">
        <w:rPr>
          <w:rFonts w:ascii="Bookman Old Style" w:hAnsi="Bookman Old Style" w:cs="Arial"/>
        </w:rPr>
        <w:t>de 20</w:t>
      </w:r>
      <w:r w:rsidR="00E64ADF">
        <w:rPr>
          <w:rFonts w:ascii="Bookman Old Style" w:hAnsi="Bookman Old Style" w:cs="Arial"/>
        </w:rPr>
        <w:t>13</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CC6C59" w:rsidRDefault="00190BA7" w:rsidP="000465EA">
      <w:pPr>
        <w:tabs>
          <w:tab w:val="left" w:pos="-720"/>
        </w:tabs>
        <w:suppressAutoHyphens/>
        <w:ind w:left="0"/>
        <w:jc w:val="both"/>
        <w:rPr>
          <w:rFonts w:ascii="Bookman Old Style" w:hAnsi="Bookman Old Style" w:cs="Arial"/>
        </w:rPr>
      </w:pPr>
    </w:p>
    <w:p w:rsidR="00A5260E" w:rsidRDefault="00A5260E" w:rsidP="00EE3499">
      <w:pPr>
        <w:tabs>
          <w:tab w:val="left" w:pos="-720"/>
        </w:tabs>
        <w:suppressAutoHyphens/>
        <w:ind w:left="0"/>
        <w:jc w:val="both"/>
        <w:rPr>
          <w:rFonts w:ascii="Bookman Old Style" w:hAnsi="Bookman Old Style" w:cs="Arial"/>
        </w:rPr>
      </w:pPr>
      <w:r w:rsidRPr="00B03543">
        <w:rPr>
          <w:rFonts w:ascii="Bookman Old Style" w:hAnsi="Bookman Old Style" w:cs="Arial"/>
        </w:rPr>
        <w:t>Mediante la comunicaci</w:t>
      </w:r>
      <w:r>
        <w:rPr>
          <w:rFonts w:ascii="Bookman Old Style" w:hAnsi="Bookman Old Style" w:cs="Arial"/>
        </w:rPr>
        <w:t>ón</w:t>
      </w:r>
      <w:r w:rsidRPr="00B03543">
        <w:rPr>
          <w:rFonts w:ascii="Bookman Old Style" w:hAnsi="Bookman Old Style" w:cs="Arial"/>
        </w:rPr>
        <w:t xml:space="preserve"> con radicado CREG </w:t>
      </w:r>
      <w:r>
        <w:rPr>
          <w:rFonts w:ascii="Bookman Old Style" w:hAnsi="Bookman Old Style" w:cs="Arial"/>
        </w:rPr>
        <w:t>S</w:t>
      </w:r>
      <w:r w:rsidRPr="00B03543">
        <w:rPr>
          <w:rFonts w:ascii="Bookman Old Style" w:hAnsi="Bookman Old Style" w:cs="Arial"/>
        </w:rPr>
        <w:t>-2015-00</w:t>
      </w:r>
      <w:r>
        <w:rPr>
          <w:rFonts w:ascii="Bookman Old Style" w:hAnsi="Bookman Old Style" w:cs="Arial"/>
        </w:rPr>
        <w:t>4011 del 15 de septiembre de 2015,</w:t>
      </w:r>
      <w:r w:rsidRPr="00B03543">
        <w:rPr>
          <w:rFonts w:ascii="Bookman Old Style" w:hAnsi="Bookman Old Style" w:cs="Arial"/>
        </w:rPr>
        <w:t xml:space="preserve"> </w:t>
      </w:r>
      <w:r>
        <w:rPr>
          <w:rFonts w:ascii="Bookman Old Style" w:hAnsi="Bookman Old Style" w:cs="Arial"/>
        </w:rPr>
        <w:t xml:space="preserve">se solicitó a </w:t>
      </w:r>
      <w:r w:rsidRPr="00B03543">
        <w:rPr>
          <w:rFonts w:ascii="Bookman Old Style" w:hAnsi="Bookman Old Style" w:cs="Arial"/>
        </w:rPr>
        <w:t>la Superintendencia de Servicios Públicos Domiciliarios</w:t>
      </w:r>
      <w:r w:rsidR="00EE3499">
        <w:rPr>
          <w:rFonts w:ascii="Bookman Old Style" w:hAnsi="Bookman Old Style" w:cs="Arial"/>
        </w:rPr>
        <w:t>, SSPD,</w:t>
      </w:r>
      <w:r w:rsidRPr="00B03543">
        <w:rPr>
          <w:rFonts w:ascii="Bookman Old Style" w:hAnsi="Bookman Old Style" w:cs="Arial"/>
        </w:rPr>
        <w:t xml:space="preserve"> </w:t>
      </w:r>
      <w:r>
        <w:rPr>
          <w:rFonts w:ascii="Bookman Old Style" w:hAnsi="Bookman Old Style" w:cs="Arial"/>
        </w:rPr>
        <w:t xml:space="preserve">informar si tenía conocimiento de la existencia de alguna relación de vínculo económico entre las firmas i) </w:t>
      </w:r>
      <w:r w:rsidRPr="00A5260E">
        <w:rPr>
          <w:rFonts w:ascii="Bookman Old Style" w:hAnsi="Bookman Old Style" w:cs="Arial"/>
        </w:rPr>
        <w:t xml:space="preserve">Eléctricas de Medellín Comercial S.A., </w:t>
      </w:r>
      <w:proofErr w:type="spellStart"/>
      <w:r w:rsidRPr="00A5260E">
        <w:rPr>
          <w:rFonts w:ascii="Bookman Old Style" w:hAnsi="Bookman Old Style" w:cs="Arial"/>
        </w:rPr>
        <w:t>Edemco</w:t>
      </w:r>
      <w:proofErr w:type="spellEnd"/>
      <w:r>
        <w:rPr>
          <w:rFonts w:ascii="Bookman Old Style" w:hAnsi="Bookman Old Style" w:cs="Arial"/>
        </w:rPr>
        <w:t>,</w:t>
      </w:r>
      <w:r w:rsidRPr="00A5260E">
        <w:rPr>
          <w:rFonts w:ascii="Bookman Old Style" w:hAnsi="Bookman Old Style" w:cs="Arial"/>
        </w:rPr>
        <w:t xml:space="preserve"> </w:t>
      </w:r>
      <w:r>
        <w:rPr>
          <w:rFonts w:ascii="Bookman Old Style" w:hAnsi="Bookman Old Style" w:cs="Arial"/>
        </w:rPr>
        <w:t xml:space="preserve">integrante del </w:t>
      </w:r>
      <w:r w:rsidRPr="00A5260E">
        <w:rPr>
          <w:rFonts w:ascii="Bookman Old Style" w:hAnsi="Bookman Old Style" w:cs="Arial"/>
        </w:rPr>
        <w:t xml:space="preserve">Consorcio Eléctrico </w:t>
      </w:r>
      <w:r>
        <w:rPr>
          <w:rFonts w:ascii="Bookman Old Style" w:hAnsi="Bookman Old Style" w:cs="Arial"/>
        </w:rPr>
        <w:t>del Caribe S.A.S. E.S.P., adjudicatario de la convocatoria UPME STR 04-2015, y ii)</w:t>
      </w:r>
      <w:r w:rsidRPr="00A5260E">
        <w:rPr>
          <w:rFonts w:ascii="Bookman Old Style" w:hAnsi="Bookman Old Style" w:cs="Arial"/>
        </w:rPr>
        <w:t xml:space="preserve"> Eléctricas de Medellín Ingeniería y Servicios</w:t>
      </w:r>
      <w:r>
        <w:rPr>
          <w:rFonts w:ascii="Bookman Old Style" w:hAnsi="Bookman Old Style" w:cs="Arial"/>
        </w:rPr>
        <w:t xml:space="preserve"> S.A.</w:t>
      </w:r>
      <w:r w:rsidRPr="00A5260E">
        <w:rPr>
          <w:rFonts w:ascii="Bookman Old Style" w:hAnsi="Bookman Old Style" w:cs="Arial"/>
        </w:rPr>
        <w:t xml:space="preserve">, </w:t>
      </w:r>
      <w:proofErr w:type="spellStart"/>
      <w:r w:rsidRPr="00A5260E">
        <w:rPr>
          <w:rFonts w:ascii="Bookman Old Style" w:hAnsi="Bookman Old Style" w:cs="Arial"/>
        </w:rPr>
        <w:t>Edemsa</w:t>
      </w:r>
      <w:proofErr w:type="spellEnd"/>
      <w:r w:rsidRPr="00A5260E">
        <w:rPr>
          <w:rFonts w:ascii="Bookman Old Style" w:hAnsi="Bookman Old Style" w:cs="Arial"/>
        </w:rPr>
        <w:t>,</w:t>
      </w:r>
      <w:r>
        <w:rPr>
          <w:rFonts w:ascii="Bookman Old Style" w:hAnsi="Bookman Old Style" w:cs="Arial"/>
        </w:rPr>
        <w:t xml:space="preserve"> socio mayoritario de la firma Desarrollo Eléctrico del </w:t>
      </w:r>
      <w:proofErr w:type="spellStart"/>
      <w:r>
        <w:rPr>
          <w:rFonts w:ascii="Bookman Old Style" w:hAnsi="Bookman Old Style" w:cs="Arial"/>
        </w:rPr>
        <w:t>Suria</w:t>
      </w:r>
      <w:proofErr w:type="spellEnd"/>
      <w:r>
        <w:rPr>
          <w:rFonts w:ascii="Bookman Old Style" w:hAnsi="Bookman Old Style" w:cs="Arial"/>
        </w:rPr>
        <w:t>, adjudicatario de una convocatoria en el STN.</w:t>
      </w:r>
    </w:p>
    <w:p w:rsidR="00EE3499" w:rsidRDefault="00EE3499" w:rsidP="00EE3499">
      <w:pPr>
        <w:tabs>
          <w:tab w:val="left" w:pos="-720"/>
        </w:tabs>
        <w:suppressAutoHyphens/>
        <w:ind w:left="0"/>
        <w:jc w:val="both"/>
        <w:rPr>
          <w:rFonts w:ascii="Bookman Old Style" w:hAnsi="Bookman Old Style" w:cs="Arial"/>
        </w:rPr>
      </w:pPr>
    </w:p>
    <w:p w:rsidR="00C2716F" w:rsidRDefault="00C2716F" w:rsidP="00EE3499">
      <w:pPr>
        <w:tabs>
          <w:tab w:val="left" w:pos="-720"/>
        </w:tabs>
        <w:suppressAutoHyphens/>
        <w:ind w:left="0"/>
        <w:jc w:val="both"/>
        <w:rPr>
          <w:rFonts w:ascii="Bookman Old Style" w:hAnsi="Bookman Old Style" w:cs="Arial"/>
        </w:rPr>
      </w:pPr>
      <w:r>
        <w:rPr>
          <w:rFonts w:ascii="Bookman Old Style" w:hAnsi="Bookman Old Style" w:cs="Arial"/>
        </w:rPr>
        <w:t>La S</w:t>
      </w:r>
      <w:r w:rsidR="00EE3499">
        <w:rPr>
          <w:rFonts w:ascii="Bookman Old Style" w:hAnsi="Bookman Old Style" w:cs="Arial"/>
        </w:rPr>
        <w:t>SPD</w:t>
      </w:r>
      <w:r>
        <w:rPr>
          <w:rFonts w:ascii="Bookman Old Style" w:hAnsi="Bookman Old Style" w:cs="Arial"/>
        </w:rPr>
        <w:t xml:space="preserve">, mediante la comunicación </w:t>
      </w:r>
      <w:r w:rsidRPr="00B03543">
        <w:rPr>
          <w:rFonts w:ascii="Bookman Old Style" w:hAnsi="Bookman Old Style" w:cs="Arial"/>
        </w:rPr>
        <w:t xml:space="preserve">con radicado CREG </w:t>
      </w:r>
      <w:r>
        <w:rPr>
          <w:rFonts w:ascii="Bookman Old Style" w:hAnsi="Bookman Old Style" w:cs="Arial"/>
        </w:rPr>
        <w:t>E</w:t>
      </w:r>
      <w:r w:rsidRPr="00B03543">
        <w:rPr>
          <w:rFonts w:ascii="Bookman Old Style" w:hAnsi="Bookman Old Style" w:cs="Arial"/>
        </w:rPr>
        <w:t>-2015-0</w:t>
      </w:r>
      <w:r>
        <w:rPr>
          <w:rFonts w:ascii="Bookman Old Style" w:hAnsi="Bookman Old Style" w:cs="Arial"/>
        </w:rPr>
        <w:t>11539 del 5 de noviembre de 2015,</w:t>
      </w:r>
      <w:r w:rsidRPr="00B03543">
        <w:rPr>
          <w:rFonts w:ascii="Bookman Old Style" w:hAnsi="Bookman Old Style" w:cs="Arial"/>
        </w:rPr>
        <w:t xml:space="preserve"> </w:t>
      </w:r>
      <w:r>
        <w:rPr>
          <w:rFonts w:ascii="Bookman Old Style" w:hAnsi="Bookman Old Style" w:cs="Arial"/>
        </w:rPr>
        <w:t xml:space="preserve">entregó a la CREG copia del concepto 2015-01-438320 de la Superintendencia de Sociedades, fechado el 4 de noviembre de 2015, donde se </w:t>
      </w:r>
      <w:r w:rsidR="00EE3499">
        <w:rPr>
          <w:rFonts w:ascii="Bookman Old Style" w:hAnsi="Bookman Old Style" w:cs="Arial"/>
        </w:rPr>
        <w:t>afirma:</w:t>
      </w:r>
      <w:r>
        <w:rPr>
          <w:rFonts w:ascii="Bookman Old Style" w:hAnsi="Bookman Old Style" w:cs="Arial"/>
        </w:rPr>
        <w:t xml:space="preserve"> </w:t>
      </w:r>
    </w:p>
    <w:p w:rsidR="00EE3499" w:rsidRDefault="00EE3499" w:rsidP="00EE3499">
      <w:pPr>
        <w:tabs>
          <w:tab w:val="left" w:pos="-720"/>
        </w:tabs>
        <w:suppressAutoHyphens/>
        <w:spacing w:before="120"/>
        <w:ind w:left="284" w:right="284"/>
        <w:jc w:val="both"/>
        <w:rPr>
          <w:rFonts w:ascii="Bookman Old Style" w:hAnsi="Bookman Old Style" w:cs="Arial"/>
          <w:i/>
          <w:lang w:val="es-CO"/>
        </w:rPr>
      </w:pPr>
      <w:r>
        <w:rPr>
          <w:rFonts w:ascii="Bookman Old Style" w:hAnsi="Bookman Old Style" w:cs="Arial"/>
          <w:i/>
          <w:lang w:val="es-CO"/>
        </w:rPr>
        <w:t>(…) l</w:t>
      </w:r>
      <w:r w:rsidR="00C2716F" w:rsidRPr="00EE3499">
        <w:rPr>
          <w:rFonts w:ascii="Bookman Old Style" w:hAnsi="Bookman Old Style" w:cs="Arial"/>
          <w:i/>
          <w:lang w:val="es-CO"/>
        </w:rPr>
        <w:t>a Superintendencia de Sociedades no puede afirmar o negar con certeza que exista una relación de “vinculo económico”</w:t>
      </w:r>
      <w:r w:rsidR="004741C5">
        <w:rPr>
          <w:rStyle w:val="Refdenotaalpie"/>
          <w:rFonts w:ascii="Bookman Old Style" w:hAnsi="Bookman Old Style" w:cs="Arial"/>
          <w:i/>
          <w:lang w:val="es-CO"/>
        </w:rPr>
        <w:footnoteReference w:id="1"/>
      </w:r>
      <w:r w:rsidR="00C2716F" w:rsidRPr="00EE3499">
        <w:rPr>
          <w:rFonts w:ascii="Bookman Old Style" w:hAnsi="Bookman Old Style" w:cs="Arial"/>
          <w:i/>
          <w:lang w:val="es-CO"/>
        </w:rPr>
        <w:t xml:space="preserve"> entre las compañías Eléctricas de Medellín S.A. – EDEMSA y Eléctricas de Medellín Comercial S.A. – EDEMCO, por cuanto la información que reposa en esta Superinten</w:t>
      </w:r>
      <w:r>
        <w:rPr>
          <w:rFonts w:ascii="Bookman Old Style" w:hAnsi="Bookman Old Style" w:cs="Arial"/>
          <w:i/>
          <w:lang w:val="es-CO"/>
        </w:rPr>
        <w:softHyphen/>
      </w:r>
      <w:r w:rsidR="00C2716F" w:rsidRPr="00EE3499">
        <w:rPr>
          <w:rFonts w:ascii="Bookman Old Style" w:hAnsi="Bookman Old Style" w:cs="Arial"/>
          <w:i/>
          <w:lang w:val="es-CO"/>
        </w:rPr>
        <w:t>dencia se limita al reporte que sobre determinados aspectos remiten las sociedades</w:t>
      </w:r>
      <w:r w:rsidRPr="00EE3499">
        <w:rPr>
          <w:rFonts w:ascii="Bookman Old Style" w:hAnsi="Bookman Old Style" w:cs="Arial"/>
          <w:i/>
          <w:lang w:val="es-CO"/>
        </w:rPr>
        <w:t>,</w:t>
      </w:r>
      <w:r w:rsidR="00C2716F" w:rsidRPr="00EE3499">
        <w:rPr>
          <w:rFonts w:ascii="Bookman Old Style" w:hAnsi="Bookman Old Style" w:cs="Arial"/>
          <w:i/>
          <w:lang w:val="es-CO"/>
        </w:rPr>
        <w:t xml:space="preserve"> mediante el diligenciamiento de los siguientes formularios predeterminados,</w:t>
      </w:r>
    </w:p>
    <w:p w:rsidR="00C2716F" w:rsidRPr="00EE3499" w:rsidRDefault="00EE3499" w:rsidP="00EE3499">
      <w:pPr>
        <w:tabs>
          <w:tab w:val="left" w:pos="-720"/>
        </w:tabs>
        <w:suppressAutoHyphens/>
        <w:spacing w:before="120"/>
        <w:ind w:left="284" w:right="284"/>
        <w:jc w:val="both"/>
        <w:rPr>
          <w:rFonts w:ascii="Bookman Old Style" w:hAnsi="Bookman Old Style" w:cs="Arial"/>
          <w:i/>
          <w:lang w:val="es-CO"/>
        </w:rPr>
      </w:pPr>
      <w:r>
        <w:rPr>
          <w:rFonts w:ascii="Bookman Old Style" w:hAnsi="Bookman Old Style" w:cs="Arial"/>
          <w:i/>
          <w:lang w:val="es-CO"/>
        </w:rPr>
        <w:t>(…)</w:t>
      </w:r>
    </w:p>
    <w:p w:rsidR="00C2716F" w:rsidRPr="00EE3499" w:rsidRDefault="00C2716F" w:rsidP="00EE3499">
      <w:pPr>
        <w:tabs>
          <w:tab w:val="left" w:pos="-720"/>
        </w:tabs>
        <w:suppressAutoHyphens/>
        <w:spacing w:before="120"/>
        <w:ind w:left="284" w:right="284"/>
        <w:jc w:val="both"/>
        <w:rPr>
          <w:rFonts w:ascii="Bookman Old Style" w:hAnsi="Bookman Old Style" w:cs="Arial"/>
          <w:i/>
          <w:lang w:val="es-CO"/>
        </w:rPr>
      </w:pPr>
      <w:r w:rsidRPr="00EE3499">
        <w:rPr>
          <w:rFonts w:ascii="Bookman Old Style" w:hAnsi="Bookman Old Style" w:cs="Arial"/>
          <w:i/>
          <w:lang w:val="es-CO"/>
        </w:rPr>
        <w:t>En consecuencia con lo antes expuesto, nos permitimos informar que según la información reportada en el primer semestre de 2015 por parte de las sociedades aludidas, en los formularios “Inversiones en sociedades” y “Accionistas o socios”, correspondiente al corte 31 de diciembre de 2014, se encuentra que:</w:t>
      </w:r>
    </w:p>
    <w:p w:rsidR="00C2716F" w:rsidRPr="00EE3499" w:rsidRDefault="00C2716F" w:rsidP="00EE3499">
      <w:pPr>
        <w:tabs>
          <w:tab w:val="left" w:pos="-720"/>
        </w:tabs>
        <w:suppressAutoHyphens/>
        <w:spacing w:before="120"/>
        <w:ind w:left="284" w:right="284"/>
        <w:jc w:val="both"/>
        <w:rPr>
          <w:rFonts w:ascii="Bookman Old Style" w:hAnsi="Bookman Old Style" w:cs="Arial"/>
          <w:i/>
          <w:lang w:val="es-CO"/>
        </w:rPr>
      </w:pPr>
      <w:r w:rsidRPr="00EE3499">
        <w:rPr>
          <w:rFonts w:ascii="Bookman Old Style" w:hAnsi="Bookman Old Style" w:cs="Arial"/>
          <w:i/>
          <w:lang w:val="es-CO"/>
        </w:rPr>
        <w:t>1. Las sociedades no tenían accionistas comunes.</w:t>
      </w:r>
    </w:p>
    <w:p w:rsidR="00C2716F" w:rsidRPr="00EE3499" w:rsidRDefault="00C2716F" w:rsidP="00EE3499">
      <w:pPr>
        <w:tabs>
          <w:tab w:val="left" w:pos="-720"/>
        </w:tabs>
        <w:suppressAutoHyphens/>
        <w:spacing w:before="120"/>
        <w:ind w:left="284" w:right="284"/>
        <w:jc w:val="both"/>
        <w:rPr>
          <w:rFonts w:ascii="Bookman Old Style" w:hAnsi="Bookman Old Style" w:cs="Arial"/>
          <w:i/>
          <w:lang w:val="es-CO"/>
        </w:rPr>
      </w:pPr>
      <w:r w:rsidRPr="00EE3499">
        <w:rPr>
          <w:rFonts w:ascii="Bookman Old Style" w:hAnsi="Bookman Old Style" w:cs="Arial"/>
          <w:i/>
          <w:lang w:val="es-CO"/>
        </w:rPr>
        <w:t>2. Las sociedades no eran accionistas entre ellas.</w:t>
      </w:r>
    </w:p>
    <w:p w:rsidR="00C2716F" w:rsidRPr="00EE3499" w:rsidRDefault="00C2716F" w:rsidP="00EE3499">
      <w:pPr>
        <w:tabs>
          <w:tab w:val="left" w:pos="-720"/>
        </w:tabs>
        <w:suppressAutoHyphens/>
        <w:spacing w:before="120"/>
        <w:ind w:left="284" w:right="284"/>
        <w:jc w:val="both"/>
        <w:rPr>
          <w:rFonts w:ascii="Bookman Old Style" w:hAnsi="Bookman Old Style" w:cs="Arial"/>
          <w:i/>
          <w:lang w:val="es-CO"/>
        </w:rPr>
      </w:pPr>
      <w:r w:rsidRPr="00EE3499">
        <w:rPr>
          <w:rFonts w:ascii="Bookman Old Style" w:hAnsi="Bookman Old Style" w:cs="Arial"/>
          <w:i/>
          <w:lang w:val="es-CO"/>
        </w:rPr>
        <w:lastRenderedPageBreak/>
        <w:t>3. Las sociedades reportaron coincidir como accionistas en las siguientes sociedades</w:t>
      </w:r>
      <w:r w:rsidR="00EE3499">
        <w:rPr>
          <w:rFonts w:ascii="Bookman Old Style" w:hAnsi="Bookman Old Style" w:cs="Arial"/>
          <w:i/>
          <w:lang w:val="es-CO"/>
        </w:rPr>
        <w:t>:</w:t>
      </w:r>
    </w:p>
    <w:p w:rsidR="00C2716F" w:rsidRPr="00EE3499" w:rsidRDefault="00EE3499" w:rsidP="00EE3499">
      <w:pPr>
        <w:tabs>
          <w:tab w:val="left" w:pos="-720"/>
        </w:tabs>
        <w:suppressAutoHyphens/>
        <w:spacing w:before="120"/>
        <w:ind w:left="284" w:right="284"/>
        <w:jc w:val="both"/>
        <w:rPr>
          <w:rFonts w:ascii="Bookman Old Style" w:hAnsi="Bookman Old Style" w:cs="Arial"/>
          <w:i/>
          <w:lang w:val="es-CO"/>
        </w:rPr>
      </w:pPr>
      <w:r>
        <w:rPr>
          <w:rFonts w:ascii="Bookman Old Style" w:hAnsi="Bookman Old Style" w:cs="Arial"/>
          <w:i/>
          <w:lang w:val="es-CO"/>
        </w:rPr>
        <w:t>(</w:t>
      </w:r>
      <w:r w:rsidR="00C2716F" w:rsidRPr="00EE3499">
        <w:rPr>
          <w:rFonts w:ascii="Bookman Old Style" w:hAnsi="Bookman Old Style" w:cs="Arial"/>
          <w:i/>
          <w:lang w:val="es-CO"/>
        </w:rPr>
        <w:t>…</w:t>
      </w:r>
      <w:r>
        <w:rPr>
          <w:rFonts w:ascii="Bookman Old Style" w:hAnsi="Bookman Old Style" w:cs="Arial"/>
          <w:i/>
          <w:lang w:val="es-CO"/>
        </w:rPr>
        <w:t>)</w:t>
      </w:r>
    </w:p>
    <w:p w:rsidR="00C2716F" w:rsidRPr="00EE3499" w:rsidRDefault="00C2716F" w:rsidP="00EE3499">
      <w:pPr>
        <w:tabs>
          <w:tab w:val="left" w:pos="-720"/>
        </w:tabs>
        <w:suppressAutoHyphens/>
        <w:spacing w:before="120"/>
        <w:ind w:left="284" w:right="284"/>
        <w:jc w:val="both"/>
        <w:rPr>
          <w:rFonts w:ascii="Bookman Old Style" w:hAnsi="Bookman Old Style" w:cs="Arial"/>
          <w:i/>
          <w:lang w:val="es-CO"/>
        </w:rPr>
      </w:pPr>
      <w:r w:rsidRPr="00EE3499">
        <w:rPr>
          <w:rFonts w:ascii="Bookman Old Style" w:hAnsi="Bookman Old Style" w:cs="Arial"/>
          <w:i/>
          <w:lang w:val="es-CO"/>
        </w:rPr>
        <w:t>Igualmente, una vez consultado el Certificado de Existencia y Representación Legal de las compañías en cuestión, se evidencia que ninguna de las dos ha declarado ser actualmente matriz de la otra.</w:t>
      </w:r>
    </w:p>
    <w:p w:rsidR="00EE3499" w:rsidRDefault="00EE3499" w:rsidP="00A5260E">
      <w:pPr>
        <w:tabs>
          <w:tab w:val="left" w:pos="-720"/>
        </w:tabs>
        <w:autoSpaceDE w:val="0"/>
        <w:autoSpaceDN w:val="0"/>
        <w:adjustRightInd w:val="0"/>
        <w:ind w:left="0"/>
        <w:jc w:val="both"/>
        <w:rPr>
          <w:rFonts w:ascii="Bookman Old Style" w:eastAsia="Calibri" w:hAnsi="Bookman Old Style" w:cs="Bookman Old Style"/>
          <w:color w:val="000000"/>
          <w:lang w:val="es-CO" w:eastAsia="en-US"/>
        </w:rPr>
      </w:pPr>
    </w:p>
    <w:p w:rsidR="00A5260E" w:rsidRDefault="00A5260E" w:rsidP="00A5260E">
      <w:pPr>
        <w:tabs>
          <w:tab w:val="left" w:pos="-720"/>
        </w:tabs>
        <w:autoSpaceDE w:val="0"/>
        <w:autoSpaceDN w:val="0"/>
        <w:adjustRightInd w:val="0"/>
        <w:ind w:left="0"/>
        <w:jc w:val="both"/>
        <w:rPr>
          <w:rFonts w:ascii="Bookman Old Style" w:eastAsia="Calibri" w:hAnsi="Bookman Old Style" w:cs="Bookman Old Style"/>
          <w:color w:val="000000"/>
          <w:lang w:val="es-CO" w:eastAsia="en-US"/>
        </w:rPr>
      </w:pPr>
      <w:r w:rsidRPr="00B03543">
        <w:rPr>
          <w:rFonts w:ascii="Bookman Old Style" w:eastAsia="Calibri" w:hAnsi="Bookman Old Style" w:cs="Bookman Old Style"/>
          <w:color w:val="000000"/>
          <w:lang w:val="es-CO" w:eastAsia="en-US"/>
        </w:rPr>
        <w:t>Las comunicaciones completas hacen parte del expediente 2014-0</w:t>
      </w:r>
      <w:r w:rsidR="00EE3499">
        <w:rPr>
          <w:rFonts w:ascii="Bookman Old Style" w:eastAsia="Calibri" w:hAnsi="Bookman Old Style" w:cs="Bookman Old Style"/>
          <w:color w:val="000000"/>
          <w:lang w:val="es-CO" w:eastAsia="en-US"/>
        </w:rPr>
        <w:t>119</w:t>
      </w:r>
      <w:r w:rsidRPr="00B03543">
        <w:rPr>
          <w:rFonts w:ascii="Bookman Old Style" w:eastAsia="Calibri" w:hAnsi="Bookman Old Style" w:cs="Bookman Old Style"/>
          <w:color w:val="000000"/>
          <w:lang w:val="es-CO" w:eastAsia="en-US"/>
        </w:rPr>
        <w:t xml:space="preserve">. </w:t>
      </w:r>
    </w:p>
    <w:p w:rsidR="00A5260E" w:rsidRPr="00B03543" w:rsidRDefault="00A5260E" w:rsidP="00A5260E">
      <w:pPr>
        <w:tabs>
          <w:tab w:val="left" w:pos="-720"/>
        </w:tabs>
        <w:autoSpaceDE w:val="0"/>
        <w:autoSpaceDN w:val="0"/>
        <w:adjustRightInd w:val="0"/>
        <w:ind w:left="0"/>
        <w:jc w:val="both"/>
        <w:rPr>
          <w:rFonts w:ascii="Bookman Old Style" w:eastAsia="Calibri" w:hAnsi="Bookman Old Style" w:cs="Bookman Old Style"/>
          <w:color w:val="000000"/>
          <w:lang w:val="es-CO" w:eastAsia="en-US"/>
        </w:rPr>
      </w:pPr>
    </w:p>
    <w:p w:rsidR="00A5260E" w:rsidRDefault="00A5260E" w:rsidP="00A5260E">
      <w:pPr>
        <w:tabs>
          <w:tab w:val="left" w:pos="-720"/>
        </w:tabs>
        <w:suppressAutoHyphens/>
        <w:ind w:left="0"/>
        <w:jc w:val="both"/>
        <w:rPr>
          <w:rFonts w:ascii="Bookman Old Style" w:hAnsi="Bookman Old Style" w:cs="Arial"/>
        </w:rPr>
      </w:pPr>
      <w:r>
        <w:rPr>
          <w:rFonts w:ascii="Bookman Old Style" w:hAnsi="Bookman Old Style" w:cs="Arial"/>
        </w:rPr>
        <w:t xml:space="preserve">Con base en </w:t>
      </w:r>
      <w:r w:rsidR="00EE3499">
        <w:rPr>
          <w:rFonts w:ascii="Bookman Old Style" w:hAnsi="Bookman Old Style" w:cs="Arial"/>
        </w:rPr>
        <w:t>el</w:t>
      </w:r>
      <w:r>
        <w:rPr>
          <w:rFonts w:ascii="Bookman Old Style" w:hAnsi="Bookman Old Style" w:cs="Arial"/>
        </w:rPr>
        <w:t xml:space="preserve"> concept</w:t>
      </w:r>
      <w:r w:rsidR="00EE3499">
        <w:rPr>
          <w:rFonts w:ascii="Bookman Old Style" w:hAnsi="Bookman Old Style" w:cs="Arial"/>
        </w:rPr>
        <w:t>o remitid</w:t>
      </w:r>
      <w:r>
        <w:rPr>
          <w:rFonts w:ascii="Bookman Old Style" w:hAnsi="Bookman Old Style" w:cs="Arial"/>
        </w:rPr>
        <w:t xml:space="preserve">o por la SSPD, se considera que se </w:t>
      </w:r>
      <w:r w:rsidR="00EE3499">
        <w:rPr>
          <w:rFonts w:ascii="Bookman Old Style" w:hAnsi="Bookman Old Style" w:cs="Arial"/>
        </w:rPr>
        <w:t>pued</w:t>
      </w:r>
      <w:r>
        <w:rPr>
          <w:rFonts w:ascii="Bookman Old Style" w:hAnsi="Bookman Old Style" w:cs="Arial"/>
        </w:rPr>
        <w:t xml:space="preserve">e continuar con el proceso de oficialización de los ingresos de la convocatoria UPME </w:t>
      </w:r>
      <w:r w:rsidR="00EE3499">
        <w:rPr>
          <w:rFonts w:ascii="Bookman Old Style" w:hAnsi="Bookman Old Style" w:cs="Arial"/>
        </w:rPr>
        <w:t>STR 04-2015</w:t>
      </w:r>
      <w:r>
        <w:rPr>
          <w:rFonts w:ascii="Bookman Old Style" w:hAnsi="Bookman Old Style" w:cs="Arial"/>
        </w:rPr>
        <w:t>.</w:t>
      </w:r>
    </w:p>
    <w:p w:rsidR="00A5260E" w:rsidRDefault="00A5260E" w:rsidP="00A5260E">
      <w:pPr>
        <w:tabs>
          <w:tab w:val="left" w:pos="-720"/>
        </w:tabs>
        <w:suppressAutoHyphens/>
        <w:ind w:left="0"/>
        <w:jc w:val="both"/>
        <w:rPr>
          <w:rFonts w:ascii="Bookman Old Style" w:hAnsi="Bookman Old Style" w:cs="Arial"/>
        </w:rPr>
      </w:pPr>
    </w:p>
    <w:p w:rsidR="00C2175A"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C6C59" w:rsidRPr="00CC6C59" w:rsidRDefault="00CC6C59" w:rsidP="00C2175A">
      <w:pPr>
        <w:tabs>
          <w:tab w:val="left" w:pos="-720"/>
        </w:tabs>
        <w:suppressAutoHyphens/>
        <w:ind w:left="0"/>
        <w:jc w:val="both"/>
        <w:rPr>
          <w:rFonts w:ascii="Bookman Old Style" w:hAnsi="Bookman Old Style" w:cs="Arial"/>
          <w:sz w:val="22"/>
        </w:rPr>
      </w:pPr>
    </w:p>
    <w:p w:rsidR="00C2175A" w:rsidRPr="00AB51D9" w:rsidRDefault="00C2175A" w:rsidP="00CC6C59">
      <w:pPr>
        <w:tabs>
          <w:tab w:val="left" w:pos="-720"/>
        </w:tabs>
        <w:suppressAutoHyphens/>
        <w:ind w:left="568" w:hanging="284"/>
        <w:jc w:val="both"/>
        <w:rPr>
          <w:rFonts w:ascii="Bookman Old Style" w:hAnsi="Bookman Old Style" w:cs="Arial"/>
        </w:rPr>
      </w:pPr>
      <w:r w:rsidRPr="00F56B0E">
        <w:rPr>
          <w:rFonts w:ascii="Bookman Old Style" w:hAnsi="Bookman Old Style" w:cs="Arial"/>
        </w:rPr>
        <w:t>-</w:t>
      </w:r>
      <w:r w:rsidRPr="00F56B0E">
        <w:rPr>
          <w:rFonts w:ascii="Bookman Old Style" w:hAnsi="Bookman Old Style" w:cs="Arial"/>
        </w:rPr>
        <w:tab/>
        <w:t>certificado de existencia y representación legal del ad</w:t>
      </w:r>
      <w:r w:rsidR="00B24F17" w:rsidRPr="001146F9">
        <w:rPr>
          <w:rFonts w:ascii="Bookman Old Style" w:hAnsi="Bookman Old Style" w:cs="Arial"/>
        </w:rPr>
        <w:t>judicatario,</w:t>
      </w:r>
    </w:p>
    <w:p w:rsidR="002D2EB9" w:rsidRPr="005F38FD" w:rsidRDefault="002D2EB9" w:rsidP="00C2175A">
      <w:pPr>
        <w:tabs>
          <w:tab w:val="left" w:pos="-720"/>
        </w:tabs>
        <w:suppressAutoHyphens/>
        <w:spacing w:before="120"/>
        <w:ind w:left="568" w:hanging="284"/>
        <w:jc w:val="both"/>
        <w:rPr>
          <w:rFonts w:ascii="Bookman Old Style" w:hAnsi="Bookman Old Style" w:cs="Arial"/>
        </w:rPr>
      </w:pPr>
      <w:r w:rsidRPr="00765A0E">
        <w:rPr>
          <w:rFonts w:ascii="Bookman Old Style" w:hAnsi="Bookman Old Style" w:cs="Arial"/>
        </w:rPr>
        <w:t>-</w:t>
      </w:r>
      <w:r w:rsidRPr="00765A0E">
        <w:rPr>
          <w:rFonts w:ascii="Bookman Old Style" w:hAnsi="Bookman Old Style" w:cs="Arial"/>
        </w:rPr>
        <w:tab/>
        <w:t>propuesta económica,</w:t>
      </w:r>
    </w:p>
    <w:p w:rsidR="00C2175A" w:rsidRPr="005F38FD"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 xml:space="preserve">garantía </w:t>
      </w:r>
      <w:r w:rsidR="00765A0E">
        <w:rPr>
          <w:rFonts w:ascii="Bookman Old Style" w:hAnsi="Bookman Old Style" w:cs="Arial"/>
        </w:rPr>
        <w:t>258835078</w:t>
      </w:r>
      <w:r w:rsidR="00413642" w:rsidRPr="005F38FD">
        <w:rPr>
          <w:rFonts w:ascii="Bookman Old Style" w:hAnsi="Bookman Old Style" w:cs="Arial"/>
        </w:rPr>
        <w:t xml:space="preserve"> </w:t>
      </w:r>
      <w:r w:rsidRPr="005F38FD">
        <w:rPr>
          <w:rFonts w:ascii="Bookman Old Style" w:hAnsi="Bookman Old Style" w:cs="Arial"/>
        </w:rPr>
        <w:t xml:space="preserve">expedida por </w:t>
      </w:r>
      <w:r w:rsidR="00765A0E">
        <w:rPr>
          <w:rFonts w:ascii="Bookman Old Style" w:hAnsi="Bookman Old Style" w:cs="Arial"/>
        </w:rPr>
        <w:t xml:space="preserve">el </w:t>
      </w:r>
      <w:r w:rsidR="00950C71" w:rsidRPr="005F38FD">
        <w:rPr>
          <w:rFonts w:ascii="Bookman Old Style" w:hAnsi="Bookman Old Style" w:cs="Arial"/>
        </w:rPr>
        <w:t>Banco</w:t>
      </w:r>
      <w:r w:rsidR="00765A0E">
        <w:rPr>
          <w:rFonts w:ascii="Bookman Old Style" w:hAnsi="Bookman Old Style" w:cs="Arial"/>
        </w:rPr>
        <w:t xml:space="preserve"> de Bogotá</w:t>
      </w:r>
      <w:r w:rsidRPr="005F38FD">
        <w:rPr>
          <w:rFonts w:ascii="Bookman Old Style" w:hAnsi="Bookman Old Style" w:cs="Arial"/>
        </w:rPr>
        <w:t xml:space="preserve">, que ampara el cumplimiento de la Convocatoria Pública </w:t>
      </w:r>
      <w:r w:rsidR="00EA6965">
        <w:rPr>
          <w:rFonts w:ascii="Bookman Old Style" w:hAnsi="Bookman Old Style" w:cs="Arial"/>
        </w:rPr>
        <w:t>UPME STR 04-2015</w:t>
      </w:r>
      <w:r w:rsidRPr="005F38FD">
        <w:rPr>
          <w:rFonts w:ascii="Bookman Old Style" w:hAnsi="Bookman Old Style" w:cs="Arial"/>
        </w:rPr>
        <w:t>,</w:t>
      </w:r>
    </w:p>
    <w:p w:rsidR="00C2175A" w:rsidRPr="00AB51D9" w:rsidRDefault="00C2175A" w:rsidP="00C80F48">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r>
      <w:r w:rsidR="006A5016" w:rsidRPr="005F38FD">
        <w:rPr>
          <w:rFonts w:ascii="Bookman Old Style" w:hAnsi="Bookman Old Style" w:cs="Arial"/>
        </w:rPr>
        <w:t xml:space="preserve">copia de la </w:t>
      </w:r>
      <w:r w:rsidR="00B24F17" w:rsidRPr="005F38FD">
        <w:rPr>
          <w:rFonts w:ascii="Bookman Old Style" w:hAnsi="Bookman Old Style" w:cs="Arial"/>
        </w:rPr>
        <w:t xml:space="preserve">comunicación </w:t>
      </w:r>
      <w:r w:rsidR="00F66160">
        <w:rPr>
          <w:rFonts w:ascii="Bookman Old Style" w:hAnsi="Bookman Old Style" w:cs="Arial"/>
        </w:rPr>
        <w:t xml:space="preserve">012924-1 </w:t>
      </w:r>
      <w:r w:rsidR="00345E03">
        <w:rPr>
          <w:rFonts w:ascii="Bookman Old Style" w:hAnsi="Bookman Old Style" w:cs="Arial"/>
        </w:rPr>
        <w:t>del</w:t>
      </w:r>
      <w:r w:rsidR="00950C71" w:rsidRPr="005F38FD">
        <w:rPr>
          <w:rFonts w:ascii="Bookman Old Style" w:hAnsi="Bookman Old Style" w:cs="Arial"/>
        </w:rPr>
        <w:t xml:space="preserve"> </w:t>
      </w:r>
      <w:r w:rsidR="00765A0E">
        <w:rPr>
          <w:rFonts w:ascii="Bookman Old Style" w:hAnsi="Bookman Old Style" w:cs="Arial"/>
        </w:rPr>
        <w:t>25</w:t>
      </w:r>
      <w:r w:rsidR="00950C71" w:rsidRPr="005F38FD">
        <w:rPr>
          <w:rFonts w:ascii="Bookman Old Style" w:hAnsi="Bookman Old Style" w:cs="Arial"/>
        </w:rPr>
        <w:t xml:space="preserve"> </w:t>
      </w:r>
      <w:r w:rsidR="00413642" w:rsidRPr="005F38FD">
        <w:rPr>
          <w:rFonts w:ascii="Bookman Old Style" w:hAnsi="Bookman Old Style" w:cs="Arial"/>
        </w:rPr>
        <w:t xml:space="preserve">de </w:t>
      </w:r>
      <w:r w:rsidR="00765A0E">
        <w:rPr>
          <w:rFonts w:ascii="Bookman Old Style" w:hAnsi="Bookman Old Style" w:cs="Arial"/>
        </w:rPr>
        <w:t>agost</w:t>
      </w:r>
      <w:r w:rsidR="00345E03">
        <w:rPr>
          <w:rFonts w:ascii="Bookman Old Style" w:hAnsi="Bookman Old Style" w:cs="Arial"/>
        </w:rPr>
        <w:t>o</w:t>
      </w:r>
      <w:r w:rsidR="006A5016" w:rsidRPr="005F38FD">
        <w:rPr>
          <w:rFonts w:ascii="Bookman Old Style" w:hAnsi="Bookman Old Style" w:cs="Arial"/>
        </w:rPr>
        <w:t xml:space="preserve"> de 2015</w:t>
      </w:r>
      <w:r w:rsidR="00B24F17" w:rsidRPr="005F38FD">
        <w:rPr>
          <w:rFonts w:ascii="Bookman Old Style" w:hAnsi="Bookman Old Style" w:cs="Arial"/>
        </w:rPr>
        <w:t xml:space="preserve"> de </w:t>
      </w:r>
      <w:r w:rsidRPr="005F38FD">
        <w:rPr>
          <w:rFonts w:ascii="Bookman Old Style" w:hAnsi="Bookman Old Style" w:cs="Arial"/>
        </w:rPr>
        <w:t xml:space="preserve">XM Compañía de Expertos en Mercados S.A., en su calidad de ASIC, </w:t>
      </w:r>
      <w:r w:rsidR="00B24F17" w:rsidRPr="005F38FD">
        <w:rPr>
          <w:rFonts w:ascii="Bookman Old Style" w:hAnsi="Bookman Old Style" w:cs="Arial"/>
        </w:rPr>
        <w:t xml:space="preserve">donde informa de la aprobación </w:t>
      </w:r>
      <w:r w:rsidRPr="005F38FD">
        <w:rPr>
          <w:rFonts w:ascii="Bookman Old Style" w:hAnsi="Bookman Old Style" w:cs="Arial"/>
        </w:rPr>
        <w:t xml:space="preserve">de la garantía suscrita por </w:t>
      </w:r>
      <w:r w:rsidR="0032341D">
        <w:rPr>
          <w:rFonts w:ascii="Bookman Old Style" w:hAnsi="Bookman Old Style" w:cs="Arial"/>
        </w:rPr>
        <w:t xml:space="preserve">el Consorcio </w:t>
      </w:r>
      <w:r w:rsidR="00EA6965">
        <w:rPr>
          <w:rFonts w:ascii="Bookman Old Style" w:hAnsi="Bookman Old Style" w:cs="Arial"/>
        </w:rPr>
        <w:t>Eléctrico del Caribe S.A.S. E.S.P.</w:t>
      </w:r>
      <w:r w:rsidRPr="005F38FD">
        <w:rPr>
          <w:rFonts w:ascii="Bookman Old Style" w:hAnsi="Bookman Old Style" w:cs="Arial"/>
        </w:rPr>
        <w:t xml:space="preserve"> para respaldar las obligaciones derivadas del cumplimiento de la convocatoria </w:t>
      </w:r>
      <w:r w:rsidR="00EA6965">
        <w:rPr>
          <w:rFonts w:ascii="Bookman Old Style" w:hAnsi="Bookman Old Style" w:cs="Arial"/>
        </w:rPr>
        <w:t>UPME STR 04-2015</w:t>
      </w:r>
      <w:r w:rsidRPr="005F38FD">
        <w:rPr>
          <w:rFonts w:ascii="Bookman Old Style" w:hAnsi="Bookman Old Style" w:cs="Arial"/>
        </w:rPr>
        <w:t xml:space="preserve">, de conformidad con lo establecido en el numeral </w:t>
      </w:r>
      <w:r w:rsidR="00950C71" w:rsidRPr="005F38FD">
        <w:rPr>
          <w:rFonts w:ascii="Bookman Old Style" w:hAnsi="Bookman Old Style" w:cs="Arial"/>
        </w:rPr>
        <w:t xml:space="preserve">3.1 </w:t>
      </w:r>
      <w:r w:rsidRPr="005F38FD">
        <w:rPr>
          <w:rFonts w:ascii="Bookman Old Style" w:hAnsi="Bookman Old Style" w:cs="Arial"/>
        </w:rPr>
        <w:t xml:space="preserve">del </w:t>
      </w:r>
      <w:r w:rsidRPr="005F38FD">
        <w:rPr>
          <w:rFonts w:ascii="Bookman Old Style" w:hAnsi="Bookman Old Style" w:cs="Arial"/>
          <w:spacing w:val="-3"/>
        </w:rPr>
        <w:t>anexo general</w:t>
      </w:r>
      <w:r w:rsidRPr="005F38FD">
        <w:rPr>
          <w:rFonts w:ascii="Bookman Old Style" w:hAnsi="Bookman Old Style" w:cs="Arial"/>
        </w:rPr>
        <w:t xml:space="preserve"> de la Resolución CREG </w:t>
      </w:r>
      <w:r w:rsidR="009956FB" w:rsidRPr="005F38FD">
        <w:rPr>
          <w:rFonts w:ascii="Bookman Old Style" w:hAnsi="Bookman Old Style" w:cs="Arial"/>
        </w:rPr>
        <w:t xml:space="preserve">024 </w:t>
      </w:r>
      <w:r w:rsidRPr="005F38FD">
        <w:rPr>
          <w:rFonts w:ascii="Bookman Old Style" w:hAnsi="Bookman Old Style" w:cs="Arial"/>
        </w:rPr>
        <w:t>de 20</w:t>
      </w:r>
      <w:r w:rsidR="009956FB" w:rsidRPr="005F38FD">
        <w:rPr>
          <w:rFonts w:ascii="Bookman Old Style" w:hAnsi="Bookman Old Style" w:cs="Arial"/>
        </w:rPr>
        <w:t>13</w:t>
      </w:r>
      <w:r w:rsidRPr="005F38FD">
        <w:rPr>
          <w:rFonts w:ascii="Bookman Old Style" w:hAnsi="Bookman Old Style" w:cs="Arial"/>
        </w:rPr>
        <w:t xml:space="preserve">, </w:t>
      </w:r>
      <w:r w:rsidRPr="001146F9">
        <w:rPr>
          <w:rFonts w:ascii="Bookman Old Style" w:hAnsi="Bookman Old Style" w:cs="Arial"/>
        </w:rPr>
        <w:t>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De acuerdo con la información suministrada por la UPME, se encuentra que la tasa de descuento y el perfil de pagos usados en la oferta, cumplen con los requisitos establecidos en la Resolución CREG </w:t>
      </w:r>
      <w:r w:rsidR="009956FB" w:rsidRPr="0041407C">
        <w:rPr>
          <w:rFonts w:ascii="Bookman Old Style" w:hAnsi="Bookman Old Style" w:cs="Arial"/>
        </w:rPr>
        <w:t>0</w:t>
      </w:r>
      <w:r w:rsidR="009956FB">
        <w:rPr>
          <w:rFonts w:ascii="Bookman Old Style" w:hAnsi="Bookman Old Style" w:cs="Arial"/>
        </w:rPr>
        <w:t>24</w:t>
      </w:r>
      <w:r w:rsidR="009956FB" w:rsidRPr="0041407C">
        <w:rPr>
          <w:rFonts w:ascii="Bookman Old Style" w:hAnsi="Bookman Old Style" w:cs="Arial"/>
        </w:rPr>
        <w:t xml:space="preserve"> </w:t>
      </w:r>
      <w:r w:rsidRPr="0041407C">
        <w:rPr>
          <w:rFonts w:ascii="Bookman Old Style" w:hAnsi="Bookman Old Style" w:cs="Arial"/>
        </w:rPr>
        <w:t xml:space="preserve">de </w:t>
      </w:r>
      <w:r w:rsidR="009956FB" w:rsidRPr="0041407C">
        <w:rPr>
          <w:rFonts w:ascii="Bookman Old Style" w:hAnsi="Bookman Old Style" w:cs="Arial"/>
        </w:rPr>
        <w:t>201</w:t>
      </w:r>
      <w:r w:rsidR="009956FB">
        <w:rPr>
          <w:rFonts w:ascii="Bookman Old Style" w:hAnsi="Bookman Old Style" w:cs="Arial"/>
        </w:rPr>
        <w:t>3</w:t>
      </w:r>
      <w:r w:rsidRPr="0041407C">
        <w:rPr>
          <w:rFonts w:ascii="Bookman Old Style" w:hAnsi="Bookman Old Style" w:cs="Arial"/>
        </w:rPr>
        <w:t>.</w:t>
      </w:r>
    </w:p>
    <w:p w:rsidR="00345E03" w:rsidRDefault="00345E03" w:rsidP="00644260">
      <w:pPr>
        <w:tabs>
          <w:tab w:val="left" w:pos="-720"/>
        </w:tabs>
        <w:suppressAutoHyphens/>
        <w:ind w:left="0"/>
        <w:jc w:val="both"/>
        <w:rPr>
          <w:rFonts w:ascii="Bookman Old Style" w:hAnsi="Bookman Old Style" w:cs="Arial"/>
          <w:szCs w:val="22"/>
        </w:rPr>
      </w:pPr>
    </w:p>
    <w:p w:rsidR="00644260" w:rsidRDefault="00644260" w:rsidP="00644260">
      <w:pPr>
        <w:tabs>
          <w:tab w:val="left" w:pos="-720"/>
        </w:tabs>
        <w:suppressAutoHyphens/>
        <w:ind w:left="0"/>
        <w:jc w:val="both"/>
        <w:rPr>
          <w:rFonts w:ascii="Bookman Old Style" w:hAnsi="Bookman Old Style" w:cs="Arial"/>
          <w:szCs w:val="22"/>
        </w:rPr>
      </w:pPr>
      <w:r w:rsidRPr="002A6EFC">
        <w:rPr>
          <w:rFonts w:ascii="Bookman Old Style" w:hAnsi="Bookman Old Style" w:cs="Arial"/>
          <w:szCs w:val="22"/>
        </w:rPr>
        <w:t xml:space="preserve">Según consta en el Acta de Adjudicación de la Convocatoria Pública </w:t>
      </w:r>
      <w:r w:rsidR="00EA6965">
        <w:rPr>
          <w:rFonts w:ascii="Bookman Old Style" w:hAnsi="Bookman Old Style" w:cs="Arial"/>
          <w:szCs w:val="22"/>
        </w:rPr>
        <w:t>UPME STR 04-2015</w:t>
      </w:r>
      <w:r w:rsidRPr="002A6EFC">
        <w:rPr>
          <w:rFonts w:ascii="Bookman Old Style" w:hAnsi="Bookman Old Style" w:cs="Arial"/>
          <w:szCs w:val="22"/>
        </w:rPr>
        <w:t xml:space="preserve">, del </w:t>
      </w:r>
      <w:r w:rsidR="00345E03" w:rsidRPr="002A6EFC">
        <w:rPr>
          <w:rFonts w:ascii="Bookman Old Style" w:hAnsi="Bookman Old Style" w:cs="Arial"/>
          <w:szCs w:val="22"/>
        </w:rPr>
        <w:t>5</w:t>
      </w:r>
      <w:r w:rsidR="00C80F48" w:rsidRPr="002A6EFC">
        <w:rPr>
          <w:rFonts w:ascii="Bookman Old Style" w:hAnsi="Bookman Old Style" w:cs="Arial"/>
          <w:szCs w:val="22"/>
        </w:rPr>
        <w:t xml:space="preserve"> </w:t>
      </w:r>
      <w:r w:rsidR="006A5016" w:rsidRPr="002A6EFC">
        <w:rPr>
          <w:rFonts w:ascii="Bookman Old Style" w:hAnsi="Bookman Old Style" w:cs="Arial"/>
          <w:szCs w:val="22"/>
        </w:rPr>
        <w:t xml:space="preserve">de </w:t>
      </w:r>
      <w:r w:rsidR="00765A0E">
        <w:rPr>
          <w:rFonts w:ascii="Bookman Old Style" w:hAnsi="Bookman Old Style" w:cs="Arial"/>
          <w:szCs w:val="22"/>
        </w:rPr>
        <w:t>agost</w:t>
      </w:r>
      <w:r w:rsidR="00345E03" w:rsidRPr="002A6EFC">
        <w:rPr>
          <w:rFonts w:ascii="Bookman Old Style" w:hAnsi="Bookman Old Style" w:cs="Arial"/>
          <w:szCs w:val="22"/>
        </w:rPr>
        <w:t>o</w:t>
      </w:r>
      <w:r w:rsidR="00C80F48" w:rsidRPr="002A6EFC">
        <w:rPr>
          <w:rFonts w:ascii="Bookman Old Style" w:hAnsi="Bookman Old Style" w:cs="Arial"/>
          <w:szCs w:val="22"/>
        </w:rPr>
        <w:t xml:space="preserve"> </w:t>
      </w:r>
      <w:r w:rsidR="006A5016" w:rsidRPr="002A6EFC">
        <w:rPr>
          <w:rFonts w:ascii="Bookman Old Style" w:hAnsi="Bookman Old Style" w:cs="Arial"/>
          <w:szCs w:val="22"/>
        </w:rPr>
        <w:t>de 2015</w:t>
      </w:r>
      <w:r w:rsidRPr="002A6EFC">
        <w:rPr>
          <w:rFonts w:ascii="Bookman Old Style" w:hAnsi="Bookman Old Style" w:cs="Arial"/>
          <w:szCs w:val="22"/>
        </w:rPr>
        <w:t>, a la convocatoria se present</w:t>
      </w:r>
      <w:r w:rsidR="00990B58">
        <w:rPr>
          <w:rFonts w:ascii="Bookman Old Style" w:hAnsi="Bookman Old Style" w:cs="Arial"/>
          <w:szCs w:val="22"/>
        </w:rPr>
        <w:t>ó un único proponente</w:t>
      </w:r>
      <w:r w:rsidRPr="002A6EFC">
        <w:rPr>
          <w:rFonts w:ascii="Bookman Old Style" w:hAnsi="Bookman Old Style" w:cs="Arial"/>
          <w:szCs w:val="22"/>
        </w:rPr>
        <w:t>.</w:t>
      </w:r>
      <w:r w:rsidR="00990B58">
        <w:rPr>
          <w:rFonts w:ascii="Bookman Old Style" w:hAnsi="Bookman Old Style" w:cs="Arial"/>
          <w:szCs w:val="22"/>
        </w:rPr>
        <w:t xml:space="preserve"> </w:t>
      </w:r>
      <w:r w:rsidRPr="0041407C">
        <w:rPr>
          <w:rFonts w:ascii="Bookman Old Style" w:hAnsi="Bookman Old Style" w:cs="Arial"/>
          <w:szCs w:val="22"/>
        </w:rPr>
        <w:t xml:space="preserve">De conformidad con </w:t>
      </w:r>
      <w:r w:rsidR="00990B58">
        <w:rPr>
          <w:rFonts w:ascii="Bookman Old Style" w:hAnsi="Bookman Old Style" w:cs="Arial"/>
          <w:szCs w:val="22"/>
        </w:rPr>
        <w:t>esta acta</w:t>
      </w:r>
      <w:r w:rsidRPr="0041407C">
        <w:rPr>
          <w:rFonts w:ascii="Bookman Old Style" w:hAnsi="Bookman Old Style" w:cs="Arial"/>
          <w:szCs w:val="22"/>
        </w:rPr>
        <w:t xml:space="preserve">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hacer oficial el Ingreso Anual Esperado de</w:t>
      </w:r>
      <w:r w:rsidR="0032341D">
        <w:rPr>
          <w:rFonts w:ascii="Bookman Old Style" w:hAnsi="Bookman Old Style" w:cs="Arial"/>
          <w:szCs w:val="22"/>
        </w:rPr>
        <w:t xml:space="preserve">l Consorcio </w:t>
      </w:r>
      <w:r w:rsidR="00EA6965">
        <w:rPr>
          <w:rFonts w:ascii="Bookman Old Style" w:hAnsi="Bookman Old Style" w:cs="Arial"/>
          <w:szCs w:val="22"/>
        </w:rPr>
        <w:t>Eléctrico del Caribe S.A.S. E.S.P.</w:t>
      </w:r>
      <w:r w:rsidR="002478FA" w:rsidRPr="0041407C">
        <w:rPr>
          <w:rFonts w:ascii="Bookman Old Style" w:hAnsi="Bookman Old Style" w:cs="Arial"/>
          <w:szCs w:val="22"/>
        </w:rPr>
        <w:t xml:space="preserve"> </w:t>
      </w:r>
      <w:r w:rsidRPr="0041407C">
        <w:rPr>
          <w:rFonts w:ascii="Bookman Old Style" w:hAnsi="Bookman Old Style" w:cs="Arial"/>
          <w:szCs w:val="22"/>
        </w:rPr>
        <w:t xml:space="preserve">como adjudicatario de la convocatoria </w:t>
      </w:r>
      <w:r w:rsidR="00EA6965">
        <w:rPr>
          <w:rFonts w:ascii="Bookman Old Style" w:hAnsi="Bookman Old Style" w:cs="Arial"/>
          <w:szCs w:val="22"/>
        </w:rPr>
        <w:t>UPME STR 04</w:t>
      </w:r>
      <w:r w:rsidR="00990B58">
        <w:rPr>
          <w:rFonts w:ascii="Bookman Old Style" w:hAnsi="Bookman Old Style" w:cs="Arial"/>
          <w:szCs w:val="22"/>
        </w:rPr>
        <w:noBreakHyphen/>
      </w:r>
      <w:r w:rsidR="00EA6965">
        <w:rPr>
          <w:rFonts w:ascii="Bookman Old Style" w:hAnsi="Bookman Old Style" w:cs="Arial"/>
          <w:szCs w:val="22"/>
        </w:rPr>
        <w:t>2015</w:t>
      </w:r>
      <w:r w:rsidRPr="0041407C">
        <w:rPr>
          <w:rFonts w:ascii="Bookman Old Style" w:hAnsi="Bookman Old Style" w:cs="Arial"/>
          <w:szCs w:val="22"/>
        </w:rPr>
        <w:t>.</w:t>
      </w:r>
    </w:p>
    <w:p w:rsidR="00E21A72" w:rsidRPr="00CC6C59" w:rsidRDefault="00E21A72" w:rsidP="00644260">
      <w:pPr>
        <w:tabs>
          <w:tab w:val="left" w:pos="-720"/>
        </w:tabs>
        <w:suppressAutoHyphens/>
        <w:ind w:left="0"/>
        <w:jc w:val="both"/>
        <w:rPr>
          <w:rFonts w:ascii="Bookman Old Style" w:hAnsi="Bookman Old Style" w:cs="Arial"/>
          <w:szCs w:val="22"/>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41407C">
        <w:rPr>
          <w:rFonts w:ascii="Bookman Old Style" w:hAnsi="Bookman Old Style" w:cs="Arial"/>
        </w:rPr>
        <w:t xml:space="preserve">Sesión </w:t>
      </w:r>
      <w:r w:rsidR="00847897">
        <w:rPr>
          <w:rFonts w:ascii="Bookman Old Style" w:hAnsi="Bookman Old Style" w:cs="Arial"/>
        </w:rPr>
        <w:t>692</w:t>
      </w:r>
      <w:r w:rsidR="00CC6C59">
        <w:rPr>
          <w:rFonts w:ascii="Bookman Old Style" w:hAnsi="Bookman Old Style" w:cs="Arial"/>
        </w:rPr>
        <w:t xml:space="preserve"> del </w:t>
      </w:r>
      <w:r w:rsidR="00847897">
        <w:rPr>
          <w:rFonts w:ascii="Bookman Old Style" w:hAnsi="Bookman Old Style" w:cs="Arial"/>
        </w:rPr>
        <w:t>4</w:t>
      </w:r>
      <w:r w:rsidR="00345E03">
        <w:rPr>
          <w:rFonts w:ascii="Bookman Old Style" w:hAnsi="Bookman Old Style" w:cs="Arial"/>
        </w:rPr>
        <w:t xml:space="preserve"> de </w:t>
      </w:r>
      <w:r w:rsidR="00847897">
        <w:rPr>
          <w:rFonts w:ascii="Bookman Old Style" w:hAnsi="Bookman Old Style" w:cs="Arial"/>
        </w:rPr>
        <w:t xml:space="preserve">diciembre de </w:t>
      </w:r>
      <w:r w:rsidR="006A5016" w:rsidRPr="0041407C">
        <w:rPr>
          <w:rFonts w:ascii="Bookman Old Style" w:hAnsi="Bookman Old Style" w:cs="Arial"/>
        </w:rPr>
        <w:t>201</w:t>
      </w:r>
      <w:r w:rsidR="006A5016">
        <w:rPr>
          <w:rFonts w:ascii="Bookman Old Style" w:hAnsi="Bookman Old Style" w:cs="Arial"/>
        </w:rPr>
        <w:t>5</w:t>
      </w:r>
      <w:r w:rsidR="006A5016"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2220A3" w:rsidRDefault="002220A3" w:rsidP="009627D4">
      <w:pPr>
        <w:tabs>
          <w:tab w:val="left" w:pos="-720"/>
        </w:tabs>
        <w:suppressAutoHyphens/>
        <w:ind w:left="0"/>
        <w:jc w:val="both"/>
        <w:rPr>
          <w:rFonts w:ascii="Bookman Old Style" w:hAnsi="Bookman Old Style" w:cs="Arial"/>
        </w:rPr>
      </w:pPr>
    </w:p>
    <w:p w:rsidR="00CC6C59" w:rsidRPr="00CC6C59" w:rsidRDefault="00CC6C59" w:rsidP="009627D4">
      <w:pPr>
        <w:tabs>
          <w:tab w:val="left" w:pos="-720"/>
        </w:tabs>
        <w:suppressAutoHyphens/>
        <w:ind w:left="0"/>
        <w:jc w:val="both"/>
        <w:rPr>
          <w:rFonts w:ascii="Bookman Old Style" w:hAnsi="Bookman Old Style" w:cs="Arial"/>
          <w:sz w:val="12"/>
        </w:rPr>
      </w:pPr>
    </w:p>
    <w:p w:rsidR="009627D4" w:rsidRDefault="009627D4" w:rsidP="00912226">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CC6C59" w:rsidRPr="00CC6C59" w:rsidRDefault="00CC6C59" w:rsidP="00912226">
      <w:pPr>
        <w:keepNext/>
        <w:ind w:left="0"/>
        <w:jc w:val="center"/>
        <w:rPr>
          <w:rFonts w:ascii="Bookman Old Style" w:hAnsi="Bookman Old Style" w:cs="Arial"/>
          <w:sz w:val="10"/>
        </w:rPr>
      </w:pPr>
    </w:p>
    <w:p w:rsidR="009627D4"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32341D">
        <w:rPr>
          <w:b w:val="0"/>
        </w:rPr>
        <w:t xml:space="preserve">el Consorcio </w:t>
      </w:r>
      <w:r w:rsidR="00EA6965">
        <w:rPr>
          <w:b w:val="0"/>
        </w:rPr>
        <w:t>Eléctrico del Caribe S.A.S. E.S.P.</w:t>
      </w:r>
      <w:r w:rsidR="002A2E95" w:rsidRPr="0041407C">
        <w:rPr>
          <w:b w:val="0"/>
        </w:rPr>
        <w:t xml:space="preserve">, </w:t>
      </w:r>
      <w:r w:rsidRPr="0041407C">
        <w:rPr>
          <w:b w:val="0"/>
        </w:rPr>
        <w:t xml:space="preserve">por </w:t>
      </w:r>
      <w:r w:rsidR="006D279A" w:rsidRPr="0041407C">
        <w:rPr>
          <w:b w:val="0"/>
        </w:rPr>
        <w:t xml:space="preserve">el </w:t>
      </w:r>
      <w:r w:rsidR="00571AAB">
        <w:rPr>
          <w:b w:val="0"/>
        </w:rPr>
        <w:t xml:space="preserve">diseño, </w:t>
      </w:r>
      <w:r w:rsidR="009956FB">
        <w:rPr>
          <w:b w:val="0"/>
        </w:rPr>
        <w:t xml:space="preserve">adquisición de </w:t>
      </w:r>
      <w:r w:rsidR="00571AAB">
        <w:rPr>
          <w:b w:val="0"/>
        </w:rPr>
        <w:lastRenderedPageBreak/>
        <w:t>suministro</w:t>
      </w:r>
      <w:r w:rsidR="009956FB">
        <w:rPr>
          <w:b w:val="0"/>
        </w:rPr>
        <w:t>s</w:t>
      </w:r>
      <w:r w:rsidR="00571AAB">
        <w:rPr>
          <w:b w:val="0"/>
        </w:rPr>
        <w:t>, construcción,</w:t>
      </w:r>
      <w:r w:rsidR="006D279A" w:rsidRPr="0041407C">
        <w:rPr>
          <w:b w:val="0"/>
        </w:rPr>
        <w:t xml:space="preserve"> operación y </w:t>
      </w:r>
      <w:r w:rsidR="0032341D">
        <w:rPr>
          <w:b w:val="0"/>
        </w:rPr>
        <w:t xml:space="preserve">mantenimiento de equipos de compensación </w:t>
      </w:r>
      <w:r w:rsidR="00BC1B3F">
        <w:rPr>
          <w:b w:val="0"/>
        </w:rPr>
        <w:t xml:space="preserve">en las subestaciones </w:t>
      </w:r>
      <w:r w:rsidR="00EA6965">
        <w:rPr>
          <w:b w:val="0"/>
        </w:rPr>
        <w:t>El Carmen 66 kV, El Banco 110 kV y Montería 110 kV</w:t>
      </w:r>
      <w:r w:rsidR="00C80F48">
        <w:rPr>
          <w:b w:val="0"/>
        </w:rPr>
        <w:t xml:space="preserve"> y demás obras asociadas</w:t>
      </w:r>
      <w:r w:rsidR="006D279A" w:rsidRPr="0041407C">
        <w:rPr>
          <w:b w:val="0"/>
        </w:rPr>
        <w:t xml:space="preserve">, de acuerdo con la convocatoria </w:t>
      </w:r>
      <w:r w:rsidR="00EA6965">
        <w:rPr>
          <w:b w:val="0"/>
        </w:rPr>
        <w:t>UPME STR 04-2015</w:t>
      </w:r>
      <w:r w:rsidRPr="0041407C">
        <w:rPr>
          <w:b w:val="0"/>
        </w:rPr>
        <w:t xml:space="preserve">, expresado en </w:t>
      </w:r>
      <w:r w:rsidR="002F5821">
        <w:rPr>
          <w:b w:val="0"/>
        </w:rPr>
        <w:t>pesos constantes</w:t>
      </w:r>
      <w:r w:rsidRPr="0041407C">
        <w:rPr>
          <w:b w:val="0"/>
        </w:rPr>
        <w:t xml:space="preserve"> del 31 de diciembre de </w:t>
      </w:r>
      <w:r w:rsidR="006A5016" w:rsidRPr="0041407C">
        <w:rPr>
          <w:b w:val="0"/>
        </w:rPr>
        <w:t>201</w:t>
      </w:r>
      <w:r w:rsidR="006A5016">
        <w:rPr>
          <w:b w:val="0"/>
        </w:rPr>
        <w:t>4</w:t>
      </w:r>
      <w:r w:rsidRPr="0041407C">
        <w:rPr>
          <w:b w:val="0"/>
        </w:rPr>
        <w:t>, para los primeros 25 años contados a partir del primer</w:t>
      </w:r>
      <w:r w:rsidR="00B5606E">
        <w:rPr>
          <w:b w:val="0"/>
        </w:rPr>
        <w:t xml:space="preserve"> día del mes siguiente a la fecha de puesta efectiva en operación comercial del proyecto</w:t>
      </w:r>
      <w:r w:rsidRPr="0041407C">
        <w:rPr>
          <w:b w:val="0"/>
        </w:rPr>
        <w:t>, es el siguiente:</w:t>
      </w:r>
    </w:p>
    <w:p w:rsidR="00847897" w:rsidRPr="00847897" w:rsidRDefault="00847897" w:rsidP="00847897">
      <w:pPr>
        <w:pStyle w:val="ARTICULOS"/>
        <w:numPr>
          <w:ilvl w:val="0"/>
          <w:numId w:val="0"/>
        </w:numPr>
        <w:rPr>
          <w:b w:val="0"/>
          <w:sz w:val="10"/>
        </w:rPr>
      </w:pPr>
    </w:p>
    <w:bookmarkEnd w:id="1"/>
    <w:p w:rsidR="009627D4" w:rsidRPr="00CC6C59" w:rsidRDefault="009627D4" w:rsidP="009627D4">
      <w:pPr>
        <w:rPr>
          <w:rFonts w:ascii="Bookman Old Style" w:hAnsi="Bookman Old Style" w:cs="Arial"/>
          <w:sz w:val="18"/>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718"/>
        <w:gridCol w:w="6447"/>
      </w:tblGrid>
      <w:tr w:rsidR="00827AA0" w:rsidRPr="00BA215B" w:rsidTr="00515E06">
        <w:trPr>
          <w:cantSplit/>
          <w:trHeight w:val="386"/>
          <w:tblHeader/>
          <w:jc w:val="center"/>
        </w:trPr>
        <w:tc>
          <w:tcPr>
            <w:tcW w:w="676" w:type="dxa"/>
            <w:vMerge w:val="restart"/>
            <w:vAlign w:val="center"/>
          </w:tcPr>
          <w:p w:rsidR="00827AA0" w:rsidRPr="00BA215B" w:rsidRDefault="00827AA0" w:rsidP="00FB6E6E">
            <w:pPr>
              <w:keepNext/>
              <w:ind w:left="-114" w:right="-70"/>
              <w:jc w:val="center"/>
              <w:rPr>
                <w:rFonts w:ascii="Bookman Old Style" w:hAnsi="Bookman Old Style" w:cs="Arial"/>
                <w:b/>
                <w:sz w:val="20"/>
                <w:szCs w:val="20"/>
              </w:rPr>
            </w:pPr>
            <w:r w:rsidRPr="00BA215B">
              <w:rPr>
                <w:rFonts w:ascii="Bookman Old Style" w:hAnsi="Bookman Old Style" w:cs="Arial"/>
                <w:b/>
                <w:sz w:val="20"/>
                <w:szCs w:val="20"/>
              </w:rPr>
              <w:t>Año</w:t>
            </w:r>
          </w:p>
        </w:tc>
        <w:tc>
          <w:tcPr>
            <w:tcW w:w="8165" w:type="dxa"/>
            <w:gridSpan w:val="2"/>
            <w:vAlign w:val="center"/>
          </w:tcPr>
          <w:p w:rsidR="00827AA0" w:rsidRPr="00BA215B" w:rsidRDefault="00827AA0"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INGRESO ANUAL ESPERADO</w:t>
            </w:r>
          </w:p>
          <w:p w:rsidR="00827AA0" w:rsidRPr="00BA215B" w:rsidRDefault="00827AA0" w:rsidP="002F5821">
            <w:pPr>
              <w:keepNext/>
              <w:ind w:left="0"/>
              <w:jc w:val="center"/>
              <w:rPr>
                <w:rFonts w:ascii="Bookman Old Style" w:hAnsi="Bookman Old Style" w:cs="Arial"/>
                <w:bCs/>
                <w:sz w:val="20"/>
                <w:szCs w:val="20"/>
              </w:rPr>
            </w:pPr>
            <w:r w:rsidRPr="00BA215B">
              <w:rPr>
                <w:rFonts w:ascii="Bookman Old Style" w:hAnsi="Bookman Old Style" w:cs="Arial"/>
                <w:bCs/>
                <w:sz w:val="20"/>
                <w:szCs w:val="20"/>
              </w:rPr>
              <w:t>(</w:t>
            </w:r>
            <w:r>
              <w:rPr>
                <w:rFonts w:ascii="Bookman Old Style" w:hAnsi="Bookman Old Style" w:cs="Arial"/>
                <w:bCs/>
                <w:sz w:val="20"/>
                <w:szCs w:val="20"/>
              </w:rPr>
              <w:t>Pesos constantes</w:t>
            </w:r>
            <w:r w:rsidRPr="00BA215B">
              <w:rPr>
                <w:rFonts w:ascii="Bookman Old Style" w:hAnsi="Bookman Old Style" w:cs="Arial"/>
                <w:bCs/>
                <w:sz w:val="20"/>
                <w:szCs w:val="20"/>
              </w:rPr>
              <w:t xml:space="preserve"> del 31 de diciembre de 201</w:t>
            </w:r>
            <w:r>
              <w:rPr>
                <w:rFonts w:ascii="Bookman Old Style" w:hAnsi="Bookman Old Style" w:cs="Arial"/>
                <w:bCs/>
                <w:sz w:val="20"/>
                <w:szCs w:val="20"/>
              </w:rPr>
              <w:t>4</w:t>
            </w:r>
            <w:r w:rsidRPr="00BA215B">
              <w:rPr>
                <w:rFonts w:ascii="Bookman Old Style" w:hAnsi="Bookman Old Style" w:cs="Arial"/>
                <w:bCs/>
                <w:sz w:val="20"/>
                <w:szCs w:val="20"/>
              </w:rPr>
              <w:t>)</w:t>
            </w:r>
          </w:p>
        </w:tc>
      </w:tr>
      <w:tr w:rsidR="00827AA0" w:rsidRPr="00BA215B" w:rsidTr="00515E06">
        <w:trPr>
          <w:cantSplit/>
          <w:trHeight w:val="296"/>
          <w:tblHeader/>
          <w:jc w:val="center"/>
        </w:trPr>
        <w:tc>
          <w:tcPr>
            <w:tcW w:w="676" w:type="dxa"/>
            <w:vMerge/>
            <w:vAlign w:val="center"/>
          </w:tcPr>
          <w:p w:rsidR="00827AA0" w:rsidRPr="00BA215B" w:rsidRDefault="00827AA0" w:rsidP="00983AF8">
            <w:pPr>
              <w:keepNext/>
              <w:ind w:left="0"/>
              <w:jc w:val="center"/>
              <w:rPr>
                <w:rFonts w:ascii="Bookman Old Style" w:hAnsi="Bookman Old Style" w:cs="Arial"/>
                <w:b/>
                <w:sz w:val="20"/>
                <w:szCs w:val="20"/>
              </w:rPr>
            </w:pPr>
          </w:p>
        </w:tc>
        <w:tc>
          <w:tcPr>
            <w:tcW w:w="1718" w:type="dxa"/>
            <w:vAlign w:val="center"/>
          </w:tcPr>
          <w:p w:rsidR="00827AA0" w:rsidRPr="00BA215B" w:rsidRDefault="00827AA0"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Números</w:t>
            </w:r>
          </w:p>
        </w:tc>
        <w:tc>
          <w:tcPr>
            <w:tcW w:w="6447" w:type="dxa"/>
            <w:vAlign w:val="center"/>
          </w:tcPr>
          <w:p w:rsidR="00827AA0" w:rsidRPr="00BA215B" w:rsidRDefault="00827AA0"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Letras</w:t>
            </w:r>
          </w:p>
        </w:tc>
      </w:tr>
      <w:tr w:rsidR="00676BD5" w:rsidRPr="00BA215B" w:rsidTr="00515E06">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w:t>
            </w:r>
          </w:p>
        </w:tc>
        <w:tc>
          <w:tcPr>
            <w:tcW w:w="1718" w:type="dxa"/>
            <w:vAlign w:val="center"/>
          </w:tcPr>
          <w:p w:rsidR="00676BD5" w:rsidRPr="00767062" w:rsidRDefault="00551029" w:rsidP="00E339B5">
            <w:pPr>
              <w:ind w:left="0"/>
              <w:jc w:val="center"/>
              <w:rPr>
                <w:rFonts w:ascii="Bookman Old Style" w:hAnsi="Bookman Old Style"/>
                <w:sz w:val="20"/>
                <w:szCs w:val="20"/>
              </w:rPr>
            </w:pPr>
            <w:r w:rsidRPr="00551029">
              <w:rPr>
                <w:rFonts w:ascii="Bookman Old Style" w:hAnsi="Bookman Old Style" w:cs="Arial"/>
                <w:sz w:val="20"/>
                <w:szCs w:val="20"/>
              </w:rPr>
              <w:t>2.531.800.000</w:t>
            </w:r>
          </w:p>
        </w:tc>
        <w:tc>
          <w:tcPr>
            <w:tcW w:w="6447" w:type="dxa"/>
            <w:vAlign w:val="bottom"/>
          </w:tcPr>
          <w:p w:rsidR="00676BD5" w:rsidRPr="00767062" w:rsidRDefault="00551029" w:rsidP="00BA215B">
            <w:pPr>
              <w:ind w:left="0"/>
              <w:rPr>
                <w:rFonts w:ascii="Bookman Old Style" w:hAnsi="Bookman Old Style"/>
                <w:sz w:val="20"/>
                <w:szCs w:val="20"/>
              </w:rPr>
            </w:pPr>
            <w:r w:rsidRPr="00551029">
              <w:rPr>
                <w:rFonts w:ascii="Bookman Old Style" w:hAnsi="Bookman Old Style" w:cs="Arial"/>
                <w:sz w:val="20"/>
                <w:szCs w:val="20"/>
              </w:rPr>
              <w:t>dos mil quinientos treinta y un millones ochocientos mil pesos</w:t>
            </w:r>
          </w:p>
        </w:tc>
      </w:tr>
      <w:tr w:rsidR="00551029" w:rsidRPr="00BA215B" w:rsidTr="00515E06">
        <w:trPr>
          <w:cantSplit/>
          <w:jc w:val="center"/>
        </w:trPr>
        <w:tc>
          <w:tcPr>
            <w:tcW w:w="676" w:type="dxa"/>
            <w:vAlign w:val="center"/>
          </w:tcPr>
          <w:p w:rsidR="00551029" w:rsidRPr="00BA215B" w:rsidRDefault="0055102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w:t>
            </w:r>
          </w:p>
        </w:tc>
        <w:tc>
          <w:tcPr>
            <w:tcW w:w="1718" w:type="dxa"/>
            <w:vAlign w:val="center"/>
          </w:tcPr>
          <w:p w:rsidR="00551029" w:rsidRPr="00767062" w:rsidRDefault="00551029" w:rsidP="00A20FB0">
            <w:pPr>
              <w:ind w:left="0"/>
              <w:jc w:val="center"/>
              <w:rPr>
                <w:rFonts w:ascii="Bookman Old Style" w:hAnsi="Bookman Old Style"/>
                <w:sz w:val="20"/>
                <w:szCs w:val="20"/>
              </w:rPr>
            </w:pPr>
            <w:r w:rsidRPr="00551029">
              <w:rPr>
                <w:rFonts w:ascii="Bookman Old Style" w:hAnsi="Bookman Old Style" w:cs="Arial"/>
                <w:sz w:val="20"/>
                <w:szCs w:val="20"/>
              </w:rPr>
              <w:t>2.531.800.000</w:t>
            </w:r>
          </w:p>
        </w:tc>
        <w:tc>
          <w:tcPr>
            <w:tcW w:w="6447" w:type="dxa"/>
            <w:vAlign w:val="bottom"/>
          </w:tcPr>
          <w:p w:rsidR="00551029" w:rsidRPr="00767062" w:rsidRDefault="00551029" w:rsidP="00A20FB0">
            <w:pPr>
              <w:ind w:left="0"/>
              <w:rPr>
                <w:rFonts w:ascii="Bookman Old Style" w:hAnsi="Bookman Old Style"/>
                <w:sz w:val="20"/>
                <w:szCs w:val="20"/>
              </w:rPr>
            </w:pPr>
            <w:r w:rsidRPr="00551029">
              <w:rPr>
                <w:rFonts w:ascii="Bookman Old Style" w:hAnsi="Bookman Old Style" w:cs="Arial"/>
                <w:sz w:val="20"/>
                <w:szCs w:val="20"/>
              </w:rPr>
              <w:t>dos mil quinientos treinta y un millones ochocientos mil pesos</w:t>
            </w:r>
          </w:p>
        </w:tc>
      </w:tr>
      <w:tr w:rsidR="00551029" w:rsidRPr="00BA215B" w:rsidTr="00515E06">
        <w:trPr>
          <w:cantSplit/>
          <w:jc w:val="center"/>
        </w:trPr>
        <w:tc>
          <w:tcPr>
            <w:tcW w:w="676" w:type="dxa"/>
            <w:vAlign w:val="center"/>
          </w:tcPr>
          <w:p w:rsidR="00551029" w:rsidRPr="00BA215B" w:rsidRDefault="0055102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3</w:t>
            </w:r>
          </w:p>
        </w:tc>
        <w:tc>
          <w:tcPr>
            <w:tcW w:w="1718" w:type="dxa"/>
            <w:vAlign w:val="center"/>
          </w:tcPr>
          <w:p w:rsidR="00551029" w:rsidRPr="00767062" w:rsidRDefault="00551029" w:rsidP="00A20FB0">
            <w:pPr>
              <w:ind w:left="0"/>
              <w:jc w:val="center"/>
              <w:rPr>
                <w:rFonts w:ascii="Bookman Old Style" w:hAnsi="Bookman Old Style"/>
                <w:sz w:val="20"/>
                <w:szCs w:val="20"/>
              </w:rPr>
            </w:pPr>
            <w:r w:rsidRPr="00551029">
              <w:rPr>
                <w:rFonts w:ascii="Bookman Old Style" w:hAnsi="Bookman Old Style" w:cs="Arial"/>
                <w:sz w:val="20"/>
                <w:szCs w:val="20"/>
              </w:rPr>
              <w:t>2.531.800.000</w:t>
            </w:r>
          </w:p>
        </w:tc>
        <w:tc>
          <w:tcPr>
            <w:tcW w:w="6447" w:type="dxa"/>
            <w:vAlign w:val="bottom"/>
          </w:tcPr>
          <w:p w:rsidR="00551029" w:rsidRPr="00767062" w:rsidRDefault="00551029" w:rsidP="00A20FB0">
            <w:pPr>
              <w:ind w:left="0"/>
              <w:rPr>
                <w:rFonts w:ascii="Bookman Old Style" w:hAnsi="Bookman Old Style"/>
                <w:sz w:val="20"/>
                <w:szCs w:val="20"/>
              </w:rPr>
            </w:pPr>
            <w:r w:rsidRPr="00551029">
              <w:rPr>
                <w:rFonts w:ascii="Bookman Old Style" w:hAnsi="Bookman Old Style" w:cs="Arial"/>
                <w:sz w:val="20"/>
                <w:szCs w:val="20"/>
              </w:rPr>
              <w:t>dos mil quinientos treinta y un millones ochocientos mil pesos</w:t>
            </w:r>
          </w:p>
        </w:tc>
      </w:tr>
      <w:tr w:rsidR="00551029" w:rsidRPr="00BA215B" w:rsidTr="00515E06">
        <w:trPr>
          <w:cantSplit/>
          <w:jc w:val="center"/>
        </w:trPr>
        <w:tc>
          <w:tcPr>
            <w:tcW w:w="676" w:type="dxa"/>
            <w:vAlign w:val="center"/>
          </w:tcPr>
          <w:p w:rsidR="00551029" w:rsidRPr="00BA215B" w:rsidRDefault="0055102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4</w:t>
            </w:r>
          </w:p>
        </w:tc>
        <w:tc>
          <w:tcPr>
            <w:tcW w:w="1718" w:type="dxa"/>
            <w:vAlign w:val="center"/>
          </w:tcPr>
          <w:p w:rsidR="00551029" w:rsidRPr="00767062" w:rsidRDefault="00551029" w:rsidP="00A20FB0">
            <w:pPr>
              <w:ind w:left="0"/>
              <w:jc w:val="center"/>
              <w:rPr>
                <w:rFonts w:ascii="Bookman Old Style" w:hAnsi="Bookman Old Style"/>
                <w:sz w:val="20"/>
                <w:szCs w:val="20"/>
              </w:rPr>
            </w:pPr>
            <w:r w:rsidRPr="00551029">
              <w:rPr>
                <w:rFonts w:ascii="Bookman Old Style" w:hAnsi="Bookman Old Style" w:cs="Arial"/>
                <w:sz w:val="20"/>
                <w:szCs w:val="20"/>
              </w:rPr>
              <w:t>2.531.800.000</w:t>
            </w:r>
          </w:p>
        </w:tc>
        <w:tc>
          <w:tcPr>
            <w:tcW w:w="6447" w:type="dxa"/>
            <w:vAlign w:val="bottom"/>
          </w:tcPr>
          <w:p w:rsidR="00551029" w:rsidRPr="00767062" w:rsidRDefault="00551029" w:rsidP="00A20FB0">
            <w:pPr>
              <w:ind w:left="0"/>
              <w:rPr>
                <w:rFonts w:ascii="Bookman Old Style" w:hAnsi="Bookman Old Style"/>
                <w:sz w:val="20"/>
                <w:szCs w:val="20"/>
              </w:rPr>
            </w:pPr>
            <w:r w:rsidRPr="00551029">
              <w:rPr>
                <w:rFonts w:ascii="Bookman Old Style" w:hAnsi="Bookman Old Style" w:cs="Arial"/>
                <w:sz w:val="20"/>
                <w:szCs w:val="20"/>
              </w:rPr>
              <w:t>dos mil quinientos treinta y un millones ochocientos mil pesos</w:t>
            </w:r>
          </w:p>
        </w:tc>
      </w:tr>
      <w:tr w:rsidR="00551029" w:rsidRPr="00BA215B" w:rsidTr="00515E06">
        <w:trPr>
          <w:cantSplit/>
          <w:jc w:val="center"/>
        </w:trPr>
        <w:tc>
          <w:tcPr>
            <w:tcW w:w="676" w:type="dxa"/>
            <w:vAlign w:val="center"/>
          </w:tcPr>
          <w:p w:rsidR="00551029" w:rsidRPr="00BA215B" w:rsidRDefault="0055102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5</w:t>
            </w:r>
          </w:p>
        </w:tc>
        <w:tc>
          <w:tcPr>
            <w:tcW w:w="1718" w:type="dxa"/>
            <w:vAlign w:val="center"/>
          </w:tcPr>
          <w:p w:rsidR="00551029" w:rsidRPr="00767062" w:rsidRDefault="00551029" w:rsidP="00A20FB0">
            <w:pPr>
              <w:ind w:left="0"/>
              <w:jc w:val="center"/>
              <w:rPr>
                <w:rFonts w:ascii="Bookman Old Style" w:hAnsi="Bookman Old Style"/>
                <w:sz w:val="20"/>
                <w:szCs w:val="20"/>
              </w:rPr>
            </w:pPr>
            <w:r w:rsidRPr="00551029">
              <w:rPr>
                <w:rFonts w:ascii="Bookman Old Style" w:hAnsi="Bookman Old Style" w:cs="Arial"/>
                <w:sz w:val="20"/>
                <w:szCs w:val="20"/>
              </w:rPr>
              <w:t>2.531.800.000</w:t>
            </w:r>
          </w:p>
        </w:tc>
        <w:tc>
          <w:tcPr>
            <w:tcW w:w="6447" w:type="dxa"/>
            <w:vAlign w:val="bottom"/>
          </w:tcPr>
          <w:p w:rsidR="00551029" w:rsidRPr="00767062" w:rsidRDefault="00551029" w:rsidP="00A20FB0">
            <w:pPr>
              <w:ind w:left="0"/>
              <w:rPr>
                <w:rFonts w:ascii="Bookman Old Style" w:hAnsi="Bookman Old Style"/>
                <w:sz w:val="20"/>
                <w:szCs w:val="20"/>
              </w:rPr>
            </w:pPr>
            <w:r w:rsidRPr="00551029">
              <w:rPr>
                <w:rFonts w:ascii="Bookman Old Style" w:hAnsi="Bookman Old Style" w:cs="Arial"/>
                <w:sz w:val="20"/>
                <w:szCs w:val="20"/>
              </w:rPr>
              <w:t>dos mil quinientos treinta y un millones ochocientos mil pesos</w:t>
            </w:r>
          </w:p>
        </w:tc>
      </w:tr>
      <w:tr w:rsidR="00551029" w:rsidRPr="00BA215B" w:rsidTr="00515E06">
        <w:trPr>
          <w:cantSplit/>
          <w:jc w:val="center"/>
        </w:trPr>
        <w:tc>
          <w:tcPr>
            <w:tcW w:w="676" w:type="dxa"/>
            <w:vAlign w:val="center"/>
          </w:tcPr>
          <w:p w:rsidR="00551029" w:rsidRPr="00BA215B" w:rsidRDefault="0055102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6</w:t>
            </w:r>
          </w:p>
        </w:tc>
        <w:tc>
          <w:tcPr>
            <w:tcW w:w="1718" w:type="dxa"/>
            <w:vAlign w:val="center"/>
          </w:tcPr>
          <w:p w:rsidR="00551029" w:rsidRPr="00767062" w:rsidRDefault="00551029" w:rsidP="00A20FB0">
            <w:pPr>
              <w:ind w:left="0"/>
              <w:jc w:val="center"/>
              <w:rPr>
                <w:rFonts w:ascii="Bookman Old Style" w:hAnsi="Bookman Old Style"/>
                <w:sz w:val="20"/>
                <w:szCs w:val="20"/>
              </w:rPr>
            </w:pPr>
            <w:r w:rsidRPr="00551029">
              <w:rPr>
                <w:rFonts w:ascii="Bookman Old Style" w:hAnsi="Bookman Old Style" w:cs="Arial"/>
                <w:sz w:val="20"/>
                <w:szCs w:val="20"/>
              </w:rPr>
              <w:t>2.531.800.000</w:t>
            </w:r>
          </w:p>
        </w:tc>
        <w:tc>
          <w:tcPr>
            <w:tcW w:w="6447" w:type="dxa"/>
            <w:vAlign w:val="bottom"/>
          </w:tcPr>
          <w:p w:rsidR="00551029" w:rsidRPr="00767062" w:rsidRDefault="00551029" w:rsidP="00A20FB0">
            <w:pPr>
              <w:ind w:left="0"/>
              <w:rPr>
                <w:rFonts w:ascii="Bookman Old Style" w:hAnsi="Bookman Old Style"/>
                <w:sz w:val="20"/>
                <w:szCs w:val="20"/>
              </w:rPr>
            </w:pPr>
            <w:r w:rsidRPr="00551029">
              <w:rPr>
                <w:rFonts w:ascii="Bookman Old Style" w:hAnsi="Bookman Old Style" w:cs="Arial"/>
                <w:sz w:val="20"/>
                <w:szCs w:val="20"/>
              </w:rPr>
              <w:t>dos mil quinientos treinta y un millones ochocientos mil pesos</w:t>
            </w:r>
          </w:p>
        </w:tc>
      </w:tr>
      <w:tr w:rsidR="00551029" w:rsidRPr="00BA215B" w:rsidTr="00515E06">
        <w:trPr>
          <w:cantSplit/>
          <w:jc w:val="center"/>
        </w:trPr>
        <w:tc>
          <w:tcPr>
            <w:tcW w:w="676" w:type="dxa"/>
            <w:vAlign w:val="center"/>
          </w:tcPr>
          <w:p w:rsidR="00551029" w:rsidRPr="00BA215B" w:rsidRDefault="0055102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7</w:t>
            </w:r>
          </w:p>
        </w:tc>
        <w:tc>
          <w:tcPr>
            <w:tcW w:w="1718" w:type="dxa"/>
            <w:vAlign w:val="center"/>
          </w:tcPr>
          <w:p w:rsidR="00551029" w:rsidRPr="00767062" w:rsidRDefault="00551029" w:rsidP="00A20FB0">
            <w:pPr>
              <w:ind w:left="0"/>
              <w:jc w:val="center"/>
              <w:rPr>
                <w:rFonts w:ascii="Bookman Old Style" w:hAnsi="Bookman Old Style"/>
                <w:sz w:val="20"/>
                <w:szCs w:val="20"/>
              </w:rPr>
            </w:pPr>
            <w:r w:rsidRPr="00551029">
              <w:rPr>
                <w:rFonts w:ascii="Bookman Old Style" w:hAnsi="Bookman Old Style" w:cs="Arial"/>
                <w:sz w:val="20"/>
                <w:szCs w:val="20"/>
              </w:rPr>
              <w:t>2.531.800.000</w:t>
            </w:r>
          </w:p>
        </w:tc>
        <w:tc>
          <w:tcPr>
            <w:tcW w:w="6447" w:type="dxa"/>
            <w:vAlign w:val="bottom"/>
          </w:tcPr>
          <w:p w:rsidR="00551029" w:rsidRPr="00767062" w:rsidRDefault="00551029" w:rsidP="00A20FB0">
            <w:pPr>
              <w:ind w:left="0"/>
              <w:rPr>
                <w:rFonts w:ascii="Bookman Old Style" w:hAnsi="Bookman Old Style"/>
                <w:sz w:val="20"/>
                <w:szCs w:val="20"/>
              </w:rPr>
            </w:pPr>
            <w:r w:rsidRPr="00551029">
              <w:rPr>
                <w:rFonts w:ascii="Bookman Old Style" w:hAnsi="Bookman Old Style" w:cs="Arial"/>
                <w:sz w:val="20"/>
                <w:szCs w:val="20"/>
              </w:rPr>
              <w:t>dos mil quinientos treinta y un millones ochocientos mil pesos</w:t>
            </w:r>
          </w:p>
        </w:tc>
      </w:tr>
      <w:tr w:rsidR="00E339B5" w:rsidRPr="00BA215B" w:rsidTr="00515E06">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8</w:t>
            </w:r>
          </w:p>
        </w:tc>
        <w:tc>
          <w:tcPr>
            <w:tcW w:w="1718" w:type="dxa"/>
            <w:vAlign w:val="center"/>
          </w:tcPr>
          <w:p w:rsidR="00E339B5" w:rsidRPr="00767062" w:rsidRDefault="00551029" w:rsidP="0049684A">
            <w:pPr>
              <w:ind w:left="0"/>
              <w:jc w:val="center"/>
              <w:rPr>
                <w:rFonts w:ascii="Bookman Old Style" w:hAnsi="Bookman Old Style"/>
                <w:sz w:val="20"/>
                <w:szCs w:val="20"/>
              </w:rPr>
            </w:pPr>
            <w:r w:rsidRPr="00551029">
              <w:rPr>
                <w:rFonts w:ascii="Bookman Old Style" w:hAnsi="Bookman Old Style" w:cs="Arial"/>
                <w:sz w:val="20"/>
                <w:szCs w:val="20"/>
              </w:rPr>
              <w:t>2.116.000.000</w:t>
            </w:r>
          </w:p>
        </w:tc>
        <w:tc>
          <w:tcPr>
            <w:tcW w:w="6447" w:type="dxa"/>
            <w:vAlign w:val="bottom"/>
          </w:tcPr>
          <w:p w:rsidR="00E339B5" w:rsidRPr="00767062" w:rsidRDefault="00551029" w:rsidP="0049684A">
            <w:pPr>
              <w:ind w:left="0"/>
              <w:rPr>
                <w:rFonts w:ascii="Bookman Old Style" w:hAnsi="Bookman Old Style"/>
                <w:sz w:val="20"/>
                <w:szCs w:val="20"/>
              </w:rPr>
            </w:pPr>
            <w:r w:rsidRPr="00551029">
              <w:rPr>
                <w:rFonts w:ascii="Bookman Old Style" w:hAnsi="Bookman Old Style" w:cs="Arial"/>
                <w:sz w:val="20"/>
                <w:szCs w:val="20"/>
              </w:rPr>
              <w:t>dos mil ciento dieciséis millones de pesos</w:t>
            </w:r>
          </w:p>
        </w:tc>
      </w:tr>
      <w:tr w:rsidR="00E339B5" w:rsidRPr="00BA215B" w:rsidTr="00515E06">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9</w:t>
            </w:r>
          </w:p>
        </w:tc>
        <w:tc>
          <w:tcPr>
            <w:tcW w:w="1718" w:type="dxa"/>
            <w:vAlign w:val="center"/>
          </w:tcPr>
          <w:p w:rsidR="00E339B5" w:rsidRPr="00767062" w:rsidRDefault="00551029" w:rsidP="0049684A">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E339B5" w:rsidRPr="00767062" w:rsidRDefault="00551029" w:rsidP="0049684A">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r w:rsidR="00515E06" w:rsidRPr="00BA215B" w:rsidTr="00515E06">
        <w:trPr>
          <w:cantSplit/>
          <w:jc w:val="center"/>
        </w:trPr>
        <w:tc>
          <w:tcPr>
            <w:tcW w:w="676" w:type="dxa"/>
            <w:vAlign w:val="center"/>
          </w:tcPr>
          <w:p w:rsidR="00515E06" w:rsidRPr="00BA215B" w:rsidRDefault="00515E0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10</w:t>
            </w:r>
          </w:p>
        </w:tc>
        <w:tc>
          <w:tcPr>
            <w:tcW w:w="1718" w:type="dxa"/>
            <w:vAlign w:val="center"/>
          </w:tcPr>
          <w:p w:rsidR="00515E06" w:rsidRPr="00767062" w:rsidRDefault="00515E06" w:rsidP="00A20FB0">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515E06" w:rsidRPr="00767062" w:rsidRDefault="00515E06" w:rsidP="00A20FB0">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r w:rsidR="00515E06" w:rsidRPr="00BA215B" w:rsidTr="00515E06">
        <w:trPr>
          <w:cantSplit/>
          <w:jc w:val="center"/>
        </w:trPr>
        <w:tc>
          <w:tcPr>
            <w:tcW w:w="676" w:type="dxa"/>
            <w:vAlign w:val="center"/>
          </w:tcPr>
          <w:p w:rsidR="00515E06" w:rsidRPr="00BA215B" w:rsidRDefault="00515E0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11</w:t>
            </w:r>
          </w:p>
        </w:tc>
        <w:tc>
          <w:tcPr>
            <w:tcW w:w="1718" w:type="dxa"/>
            <w:vAlign w:val="center"/>
          </w:tcPr>
          <w:p w:rsidR="00515E06" w:rsidRPr="00767062" w:rsidRDefault="00515E06" w:rsidP="00A20FB0">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515E06" w:rsidRPr="00767062" w:rsidRDefault="00515E06" w:rsidP="00A20FB0">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r w:rsidR="00515E06" w:rsidRPr="00BA215B" w:rsidTr="00515E06">
        <w:trPr>
          <w:cantSplit/>
          <w:jc w:val="center"/>
        </w:trPr>
        <w:tc>
          <w:tcPr>
            <w:tcW w:w="676" w:type="dxa"/>
            <w:vAlign w:val="center"/>
          </w:tcPr>
          <w:p w:rsidR="00515E06" w:rsidRPr="00BA215B" w:rsidRDefault="00515E0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12</w:t>
            </w:r>
          </w:p>
        </w:tc>
        <w:tc>
          <w:tcPr>
            <w:tcW w:w="1718" w:type="dxa"/>
            <w:vAlign w:val="center"/>
          </w:tcPr>
          <w:p w:rsidR="00515E06" w:rsidRPr="00767062" w:rsidRDefault="00515E06" w:rsidP="00A20FB0">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515E06" w:rsidRPr="00767062" w:rsidRDefault="00515E06" w:rsidP="00A20FB0">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r w:rsidR="00515E06" w:rsidRPr="00BA215B" w:rsidTr="00515E06">
        <w:trPr>
          <w:cantSplit/>
          <w:jc w:val="center"/>
        </w:trPr>
        <w:tc>
          <w:tcPr>
            <w:tcW w:w="676" w:type="dxa"/>
            <w:vAlign w:val="center"/>
          </w:tcPr>
          <w:p w:rsidR="00515E06" w:rsidRPr="00BA215B" w:rsidRDefault="00515E0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13</w:t>
            </w:r>
          </w:p>
        </w:tc>
        <w:tc>
          <w:tcPr>
            <w:tcW w:w="1718" w:type="dxa"/>
            <w:vAlign w:val="center"/>
          </w:tcPr>
          <w:p w:rsidR="00515E06" w:rsidRPr="00767062" w:rsidRDefault="00515E06" w:rsidP="00A20FB0">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515E06" w:rsidRPr="00767062" w:rsidRDefault="00515E06" w:rsidP="00A20FB0">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r w:rsidR="00515E06" w:rsidRPr="00BA215B" w:rsidTr="00515E06">
        <w:trPr>
          <w:cantSplit/>
          <w:jc w:val="center"/>
        </w:trPr>
        <w:tc>
          <w:tcPr>
            <w:tcW w:w="676" w:type="dxa"/>
            <w:vAlign w:val="center"/>
          </w:tcPr>
          <w:p w:rsidR="00515E06" w:rsidRPr="00BA215B" w:rsidRDefault="00515E0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14</w:t>
            </w:r>
          </w:p>
        </w:tc>
        <w:tc>
          <w:tcPr>
            <w:tcW w:w="1718" w:type="dxa"/>
            <w:vAlign w:val="center"/>
          </w:tcPr>
          <w:p w:rsidR="00515E06" w:rsidRPr="00767062" w:rsidRDefault="00515E06" w:rsidP="00A20FB0">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515E06" w:rsidRPr="00767062" w:rsidRDefault="00515E06" w:rsidP="00A20FB0">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r w:rsidR="00515E06" w:rsidRPr="00BA215B" w:rsidTr="00515E06">
        <w:trPr>
          <w:cantSplit/>
          <w:jc w:val="center"/>
        </w:trPr>
        <w:tc>
          <w:tcPr>
            <w:tcW w:w="676" w:type="dxa"/>
            <w:vAlign w:val="center"/>
          </w:tcPr>
          <w:p w:rsidR="00515E06" w:rsidRPr="00BA215B" w:rsidRDefault="00515E0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15</w:t>
            </w:r>
          </w:p>
        </w:tc>
        <w:tc>
          <w:tcPr>
            <w:tcW w:w="1718" w:type="dxa"/>
            <w:vAlign w:val="center"/>
          </w:tcPr>
          <w:p w:rsidR="00515E06" w:rsidRPr="00767062" w:rsidRDefault="00515E06" w:rsidP="00A20FB0">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515E06" w:rsidRPr="00767062" w:rsidRDefault="00515E06" w:rsidP="00A20FB0">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r w:rsidR="00515E06" w:rsidRPr="00BA215B" w:rsidTr="00515E06">
        <w:trPr>
          <w:cantSplit/>
          <w:jc w:val="center"/>
        </w:trPr>
        <w:tc>
          <w:tcPr>
            <w:tcW w:w="676" w:type="dxa"/>
            <w:vAlign w:val="center"/>
          </w:tcPr>
          <w:p w:rsidR="00515E06" w:rsidRPr="00BA215B" w:rsidRDefault="00515E0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16</w:t>
            </w:r>
          </w:p>
        </w:tc>
        <w:tc>
          <w:tcPr>
            <w:tcW w:w="1718" w:type="dxa"/>
            <w:vAlign w:val="center"/>
          </w:tcPr>
          <w:p w:rsidR="00515E06" w:rsidRPr="00767062" w:rsidRDefault="00515E06" w:rsidP="00A20FB0">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515E06" w:rsidRPr="00767062" w:rsidRDefault="00515E06" w:rsidP="00A20FB0">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r w:rsidR="00515E06" w:rsidRPr="00BA215B" w:rsidTr="00515E06">
        <w:trPr>
          <w:cantSplit/>
          <w:jc w:val="center"/>
        </w:trPr>
        <w:tc>
          <w:tcPr>
            <w:tcW w:w="676" w:type="dxa"/>
            <w:vAlign w:val="center"/>
          </w:tcPr>
          <w:p w:rsidR="00515E06" w:rsidRPr="00BA215B" w:rsidRDefault="00515E0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17</w:t>
            </w:r>
          </w:p>
        </w:tc>
        <w:tc>
          <w:tcPr>
            <w:tcW w:w="1718" w:type="dxa"/>
            <w:vAlign w:val="center"/>
          </w:tcPr>
          <w:p w:rsidR="00515E06" w:rsidRPr="00767062" w:rsidRDefault="00515E06" w:rsidP="00A20FB0">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515E06" w:rsidRPr="00767062" w:rsidRDefault="00515E06" w:rsidP="00A20FB0">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r w:rsidR="00515E06" w:rsidRPr="00BA215B" w:rsidTr="00515E06">
        <w:trPr>
          <w:cantSplit/>
          <w:jc w:val="center"/>
        </w:trPr>
        <w:tc>
          <w:tcPr>
            <w:tcW w:w="676" w:type="dxa"/>
            <w:vAlign w:val="center"/>
          </w:tcPr>
          <w:p w:rsidR="00515E06" w:rsidRPr="00BA215B" w:rsidRDefault="00515E0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18</w:t>
            </w:r>
          </w:p>
        </w:tc>
        <w:tc>
          <w:tcPr>
            <w:tcW w:w="1718" w:type="dxa"/>
            <w:vAlign w:val="center"/>
          </w:tcPr>
          <w:p w:rsidR="00515E06" w:rsidRPr="00767062" w:rsidRDefault="00515E06" w:rsidP="00A20FB0">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515E06" w:rsidRPr="00767062" w:rsidRDefault="00515E06" w:rsidP="00A20FB0">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r w:rsidR="00515E06" w:rsidRPr="00BA215B" w:rsidTr="00515E06">
        <w:trPr>
          <w:cantSplit/>
          <w:jc w:val="center"/>
        </w:trPr>
        <w:tc>
          <w:tcPr>
            <w:tcW w:w="676" w:type="dxa"/>
            <w:vAlign w:val="center"/>
          </w:tcPr>
          <w:p w:rsidR="00515E06" w:rsidRPr="00BA215B" w:rsidRDefault="00515E0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19</w:t>
            </w:r>
          </w:p>
        </w:tc>
        <w:tc>
          <w:tcPr>
            <w:tcW w:w="1718" w:type="dxa"/>
            <w:vAlign w:val="center"/>
          </w:tcPr>
          <w:p w:rsidR="00515E06" w:rsidRPr="00767062" w:rsidRDefault="00515E06" w:rsidP="00A20FB0">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515E06" w:rsidRPr="00767062" w:rsidRDefault="00515E06" w:rsidP="00A20FB0">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r w:rsidR="00515E06" w:rsidRPr="00BA215B" w:rsidTr="00515E06">
        <w:trPr>
          <w:cantSplit/>
          <w:jc w:val="center"/>
        </w:trPr>
        <w:tc>
          <w:tcPr>
            <w:tcW w:w="676" w:type="dxa"/>
            <w:vAlign w:val="center"/>
          </w:tcPr>
          <w:p w:rsidR="00515E06" w:rsidRPr="00BA215B" w:rsidRDefault="00515E0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20</w:t>
            </w:r>
          </w:p>
        </w:tc>
        <w:tc>
          <w:tcPr>
            <w:tcW w:w="1718" w:type="dxa"/>
            <w:vAlign w:val="center"/>
          </w:tcPr>
          <w:p w:rsidR="00515E06" w:rsidRPr="00767062" w:rsidRDefault="00515E06" w:rsidP="00A20FB0">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515E06" w:rsidRPr="00767062" w:rsidRDefault="00515E06" w:rsidP="00A20FB0">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r w:rsidR="00515E06" w:rsidRPr="00BA215B" w:rsidTr="00515E06">
        <w:trPr>
          <w:cantSplit/>
          <w:jc w:val="center"/>
        </w:trPr>
        <w:tc>
          <w:tcPr>
            <w:tcW w:w="676" w:type="dxa"/>
            <w:vAlign w:val="center"/>
          </w:tcPr>
          <w:p w:rsidR="00515E06" w:rsidRPr="00BA215B" w:rsidRDefault="00515E0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21</w:t>
            </w:r>
          </w:p>
        </w:tc>
        <w:tc>
          <w:tcPr>
            <w:tcW w:w="1718" w:type="dxa"/>
            <w:vAlign w:val="center"/>
          </w:tcPr>
          <w:p w:rsidR="00515E06" w:rsidRPr="00767062" w:rsidRDefault="00515E06" w:rsidP="00A20FB0">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515E06" w:rsidRPr="00767062" w:rsidRDefault="00515E06" w:rsidP="00A20FB0">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r w:rsidR="00515E06" w:rsidRPr="00BA215B" w:rsidTr="00515E06">
        <w:trPr>
          <w:cantSplit/>
          <w:jc w:val="center"/>
        </w:trPr>
        <w:tc>
          <w:tcPr>
            <w:tcW w:w="676" w:type="dxa"/>
            <w:vAlign w:val="center"/>
          </w:tcPr>
          <w:p w:rsidR="00515E06" w:rsidRPr="00BA215B" w:rsidRDefault="00515E0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22</w:t>
            </w:r>
          </w:p>
        </w:tc>
        <w:tc>
          <w:tcPr>
            <w:tcW w:w="1718" w:type="dxa"/>
            <w:vAlign w:val="center"/>
          </w:tcPr>
          <w:p w:rsidR="00515E06" w:rsidRPr="00767062" w:rsidRDefault="00515E06" w:rsidP="00A20FB0">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515E06" w:rsidRPr="00767062" w:rsidRDefault="00515E06" w:rsidP="00A20FB0">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r w:rsidR="00515E06" w:rsidRPr="00BA215B" w:rsidTr="00515E06">
        <w:trPr>
          <w:cantSplit/>
          <w:jc w:val="center"/>
        </w:trPr>
        <w:tc>
          <w:tcPr>
            <w:tcW w:w="676" w:type="dxa"/>
            <w:vAlign w:val="center"/>
          </w:tcPr>
          <w:p w:rsidR="00515E06" w:rsidRPr="00BA215B" w:rsidRDefault="00515E0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23</w:t>
            </w:r>
          </w:p>
        </w:tc>
        <w:tc>
          <w:tcPr>
            <w:tcW w:w="1718" w:type="dxa"/>
            <w:vAlign w:val="center"/>
          </w:tcPr>
          <w:p w:rsidR="00515E06" w:rsidRPr="00767062" w:rsidRDefault="00515E06" w:rsidP="00A20FB0">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515E06" w:rsidRPr="00767062" w:rsidRDefault="00515E06" w:rsidP="00A20FB0">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r w:rsidR="00515E06" w:rsidRPr="00BA215B" w:rsidTr="00515E06">
        <w:trPr>
          <w:cantSplit/>
          <w:jc w:val="center"/>
        </w:trPr>
        <w:tc>
          <w:tcPr>
            <w:tcW w:w="676" w:type="dxa"/>
            <w:vAlign w:val="center"/>
          </w:tcPr>
          <w:p w:rsidR="00515E06" w:rsidRPr="00BA215B" w:rsidRDefault="00515E0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24</w:t>
            </w:r>
          </w:p>
        </w:tc>
        <w:tc>
          <w:tcPr>
            <w:tcW w:w="1718" w:type="dxa"/>
            <w:vAlign w:val="center"/>
          </w:tcPr>
          <w:p w:rsidR="00515E06" w:rsidRPr="00767062" w:rsidRDefault="00515E06" w:rsidP="00A20FB0">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515E06" w:rsidRPr="00767062" w:rsidRDefault="00515E06" w:rsidP="00A20FB0">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r w:rsidR="00515E06" w:rsidRPr="00BA215B" w:rsidTr="00515E06">
        <w:trPr>
          <w:cantSplit/>
          <w:jc w:val="center"/>
        </w:trPr>
        <w:tc>
          <w:tcPr>
            <w:tcW w:w="676" w:type="dxa"/>
            <w:vAlign w:val="center"/>
          </w:tcPr>
          <w:p w:rsidR="00515E06" w:rsidRPr="00BA215B" w:rsidRDefault="00515E0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25</w:t>
            </w:r>
          </w:p>
        </w:tc>
        <w:tc>
          <w:tcPr>
            <w:tcW w:w="1718" w:type="dxa"/>
            <w:vAlign w:val="center"/>
          </w:tcPr>
          <w:p w:rsidR="00515E06" w:rsidRPr="00767062" w:rsidRDefault="00515E06" w:rsidP="00A20FB0">
            <w:pPr>
              <w:ind w:left="0"/>
              <w:jc w:val="center"/>
              <w:rPr>
                <w:rFonts w:ascii="Bookman Old Style" w:hAnsi="Bookman Old Style"/>
                <w:sz w:val="20"/>
                <w:szCs w:val="20"/>
              </w:rPr>
            </w:pPr>
            <w:r w:rsidRPr="00551029">
              <w:rPr>
                <w:rFonts w:ascii="Bookman Old Style" w:hAnsi="Bookman Old Style" w:cs="Arial"/>
                <w:sz w:val="20"/>
                <w:szCs w:val="20"/>
              </w:rPr>
              <w:t>1.715.140.000</w:t>
            </w:r>
          </w:p>
        </w:tc>
        <w:tc>
          <w:tcPr>
            <w:tcW w:w="6447" w:type="dxa"/>
            <w:vAlign w:val="bottom"/>
          </w:tcPr>
          <w:p w:rsidR="00515E06" w:rsidRPr="00767062" w:rsidRDefault="00515E06" w:rsidP="00A20FB0">
            <w:pPr>
              <w:ind w:left="0"/>
              <w:rPr>
                <w:rFonts w:ascii="Bookman Old Style" w:hAnsi="Bookman Old Style"/>
                <w:sz w:val="20"/>
                <w:szCs w:val="20"/>
              </w:rPr>
            </w:pPr>
            <w:r w:rsidRPr="00551029">
              <w:rPr>
                <w:rFonts w:ascii="Bookman Old Style" w:hAnsi="Bookman Old Style" w:cs="Arial"/>
                <w:sz w:val="20"/>
                <w:szCs w:val="20"/>
              </w:rPr>
              <w:t>mil setecientos quince millones ciento cuarenta mil pesos</w:t>
            </w:r>
          </w:p>
        </w:tc>
      </w:tr>
    </w:tbl>
    <w:p w:rsidR="00847897" w:rsidRPr="00847897" w:rsidRDefault="00847897" w:rsidP="00847897">
      <w:pPr>
        <w:pStyle w:val="ARTICULOS"/>
        <w:numPr>
          <w:ilvl w:val="0"/>
          <w:numId w:val="0"/>
        </w:numPr>
        <w:rPr>
          <w:b w:val="0"/>
        </w:rPr>
      </w:pPr>
    </w:p>
    <w:p w:rsidR="009627D4" w:rsidRPr="0041407C" w:rsidRDefault="009627D4" w:rsidP="00B24F17">
      <w:pPr>
        <w:pStyle w:val="ARTICULOS"/>
        <w:rPr>
          <w:b w:val="0"/>
        </w:rPr>
      </w:pPr>
      <w:r w:rsidRPr="0041407C">
        <w:t xml:space="preserve">Forma de pago. </w:t>
      </w:r>
      <w:r w:rsidRPr="0041407C">
        <w:rPr>
          <w:b w:val="0"/>
        </w:rPr>
        <w:t xml:space="preserve">De acuerdo con lo establecido en el artículo </w:t>
      </w:r>
      <w:r w:rsidR="00437877">
        <w:rPr>
          <w:b w:val="0"/>
        </w:rPr>
        <w:t>21</w:t>
      </w:r>
      <w:r w:rsidR="00437877" w:rsidRPr="0041407C">
        <w:rPr>
          <w:b w:val="0"/>
        </w:rPr>
        <w:t xml:space="preserve"> </w:t>
      </w:r>
      <w:r w:rsidRPr="0041407C">
        <w:rPr>
          <w:b w:val="0"/>
        </w:rPr>
        <w:t xml:space="preserve">de la Resolución CREG </w:t>
      </w:r>
      <w:r w:rsidR="00437877" w:rsidRPr="0041407C">
        <w:rPr>
          <w:b w:val="0"/>
        </w:rPr>
        <w:t>02</w:t>
      </w:r>
      <w:r w:rsidR="00437877">
        <w:rPr>
          <w:b w:val="0"/>
        </w:rPr>
        <w:t>4</w:t>
      </w:r>
      <w:r w:rsidR="00437877" w:rsidRPr="0041407C">
        <w:rPr>
          <w:b w:val="0"/>
        </w:rPr>
        <w:t xml:space="preserve"> </w:t>
      </w:r>
      <w:r w:rsidRPr="0041407C">
        <w:rPr>
          <w:b w:val="0"/>
        </w:rPr>
        <w:t xml:space="preserve">de </w:t>
      </w:r>
      <w:r w:rsidR="00437877" w:rsidRPr="0041407C">
        <w:rPr>
          <w:b w:val="0"/>
        </w:rPr>
        <w:t>20</w:t>
      </w:r>
      <w:r w:rsidR="00437877">
        <w:rPr>
          <w:b w:val="0"/>
        </w:rPr>
        <w:t>13</w:t>
      </w:r>
      <w:r w:rsidRPr="0041407C">
        <w:rPr>
          <w:b w:val="0"/>
        </w:rPr>
        <w:t xml:space="preserve">, </w:t>
      </w:r>
      <w:r w:rsidR="00437877">
        <w:rPr>
          <w:b w:val="0"/>
        </w:rPr>
        <w:t>el respons</w:t>
      </w:r>
      <w:r w:rsidR="00437877" w:rsidRPr="00437877">
        <w:rPr>
          <w:b w:val="0"/>
        </w:rPr>
        <w:t>able de liquidar y actualizar el valor de los pagos al agente seleccionado</w:t>
      </w:r>
      <w:r w:rsidRPr="0041407C">
        <w:rPr>
          <w:b w:val="0"/>
        </w:rPr>
        <w:t xml:space="preserve"> </w:t>
      </w:r>
      <w:r w:rsidR="00437877">
        <w:rPr>
          <w:b w:val="0"/>
        </w:rPr>
        <w:t xml:space="preserve">será </w:t>
      </w:r>
      <w:r w:rsidR="00437877" w:rsidRPr="0041407C">
        <w:rPr>
          <w:b w:val="0"/>
        </w:rPr>
        <w:t>el Liquidador y Administrador de Cuentas</w:t>
      </w:r>
      <w:r w:rsidR="00437877">
        <w:rPr>
          <w:b w:val="0"/>
        </w:rPr>
        <w:t>, LAC.</w:t>
      </w:r>
      <w:r w:rsidR="00437877" w:rsidRPr="0041407C">
        <w:rPr>
          <w:b w:val="0"/>
        </w:rPr>
        <w:t xml:space="preserve"> </w:t>
      </w:r>
      <w:r w:rsidR="00437877">
        <w:rPr>
          <w:b w:val="0"/>
        </w:rPr>
        <w:t>Para la facturación se tendrá en cuenta lo previsto en el artículo 22 de la citada resolución</w:t>
      </w:r>
      <w:r w:rsidRPr="0041407C">
        <w:rPr>
          <w:b w:val="0"/>
        </w:rPr>
        <w:t>.</w:t>
      </w:r>
    </w:p>
    <w:p w:rsidR="00CC6C59" w:rsidRPr="0041407C" w:rsidRDefault="00CC6C59" w:rsidP="009627D4">
      <w:pPr>
        <w:rPr>
          <w:rFonts w:ascii="Bookman Old Style" w:hAnsi="Bookman Old Style" w:cs="Arial"/>
        </w:rPr>
      </w:pPr>
    </w:p>
    <w:p w:rsidR="009627D4" w:rsidRDefault="009627D4" w:rsidP="000828C9">
      <w:pPr>
        <w:ind w:left="0"/>
        <w:jc w:val="both"/>
        <w:rPr>
          <w:rFonts w:ascii="Bookman Old Style" w:hAnsi="Bookman Old Style" w:cs="Arial"/>
        </w:rPr>
      </w:pPr>
      <w:r w:rsidRPr="0041407C">
        <w:rPr>
          <w:rFonts w:ascii="Bookman Old Style" w:hAnsi="Bookman Old Style" w:cs="Arial"/>
          <w:b/>
          <w:bCs/>
        </w:rPr>
        <w:t>Parágrafo.</w:t>
      </w:r>
      <w:r w:rsidRPr="0041407C">
        <w:rPr>
          <w:rFonts w:ascii="Bookman Old Style" w:hAnsi="Bookman Old Style" w:cs="Arial"/>
        </w:rPr>
        <w:t xml:space="preserve"> </w:t>
      </w:r>
      <w:r w:rsidR="000828C9">
        <w:rPr>
          <w:rFonts w:ascii="Bookman Old Style" w:hAnsi="Bookman Old Style" w:cs="Arial"/>
        </w:rPr>
        <w:t>C</w:t>
      </w:r>
      <w:r w:rsidRPr="0041407C">
        <w:rPr>
          <w:rFonts w:ascii="Bookman Old Style" w:hAnsi="Bookman Old Style" w:cs="Arial"/>
        </w:rPr>
        <w:t xml:space="preserve">uando se </w:t>
      </w:r>
      <w:r w:rsidR="00FA033F" w:rsidRPr="0041407C">
        <w:rPr>
          <w:rFonts w:ascii="Bookman Old Style" w:hAnsi="Bookman Old Style" w:cs="Arial"/>
        </w:rPr>
        <w:t>presente</w:t>
      </w:r>
      <w:r w:rsidRPr="0041407C">
        <w:rPr>
          <w:rFonts w:ascii="Bookman Old Style" w:hAnsi="Bookman Old Style" w:cs="Arial"/>
        </w:rPr>
        <w:t xml:space="preserve"> </w:t>
      </w:r>
      <w:r w:rsidR="00EE6914">
        <w:rPr>
          <w:rFonts w:ascii="Bookman Old Style" w:hAnsi="Bookman Old Style" w:cs="Arial"/>
        </w:rPr>
        <w:t>alguno de los eventos de</w:t>
      </w:r>
      <w:r w:rsidR="00EE6914" w:rsidRPr="0041407C">
        <w:rPr>
          <w:rFonts w:ascii="Bookman Old Style" w:hAnsi="Bookman Old Style" w:cs="Arial"/>
        </w:rPr>
        <w:t xml:space="preserve"> </w:t>
      </w:r>
      <w:r w:rsidRPr="0041407C">
        <w:rPr>
          <w:rFonts w:ascii="Bookman Old Style" w:hAnsi="Bookman Old Style" w:cs="Arial"/>
        </w:rPr>
        <w:t xml:space="preserve">incumplimiento </w:t>
      </w:r>
      <w:r w:rsidR="00EE6914">
        <w:rPr>
          <w:rFonts w:ascii="Bookman Old Style" w:hAnsi="Bookman Old Style" w:cs="Arial"/>
        </w:rPr>
        <w:t>establecidos en la Resolución CREG 024 de 2013</w:t>
      </w:r>
      <w:r w:rsidRPr="0041407C">
        <w:rPr>
          <w:rFonts w:ascii="Bookman Old Style" w:hAnsi="Bookman Old Style" w:cs="Arial"/>
        </w:rPr>
        <w:t xml:space="preserve">, </w:t>
      </w:r>
      <w:r w:rsidR="0032341D">
        <w:rPr>
          <w:rFonts w:ascii="Bookman Old Style" w:hAnsi="Bookman Old Style" w:cs="Arial"/>
        </w:rPr>
        <w:t xml:space="preserve">el Consorcio </w:t>
      </w:r>
      <w:r w:rsidR="00EA6965">
        <w:rPr>
          <w:rFonts w:ascii="Bookman Old Style" w:hAnsi="Bookman Old Style" w:cs="Arial"/>
        </w:rPr>
        <w:t>Eléctrico del Caribe S.A.S. 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bookmarkEnd w:id="2"/>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de</w:t>
      </w:r>
      <w:r w:rsidR="0032341D">
        <w:rPr>
          <w:b w:val="0"/>
        </w:rPr>
        <w:t xml:space="preserve">l Consorcio </w:t>
      </w:r>
      <w:r w:rsidR="00EA6965">
        <w:rPr>
          <w:b w:val="0"/>
        </w:rPr>
        <w:t>Eléctrico del Caribe S.A.S. E.S.P.</w:t>
      </w:r>
      <w:r w:rsidRPr="0041407C">
        <w:rPr>
          <w:b w:val="0"/>
        </w:rPr>
        <w:t xml:space="preserve">, y publicarse en el </w:t>
      </w:r>
      <w:r w:rsidRPr="0041407C">
        <w:rPr>
          <w:b w:val="0"/>
          <w:i/>
        </w:rPr>
        <w:lastRenderedPageBreak/>
        <w:t>Diario Oficial.</w:t>
      </w:r>
      <w:r w:rsidRPr="0041407C">
        <w:rPr>
          <w:b w:val="0"/>
        </w:rPr>
        <w:t xml:space="preserve"> Contra este acto procede el recurso de reposición, el cual podrá interponerse ante la Dirección Ejecutiva de la CREG, dentro de los cinco (5) días siguientes a su notificación. </w:t>
      </w:r>
    </w:p>
    <w:p w:rsidR="0051403F" w:rsidRDefault="0051403F" w:rsidP="00D22D7D">
      <w:pPr>
        <w:ind w:left="0"/>
        <w:rPr>
          <w:rFonts w:ascii="Bookman Old Style" w:hAnsi="Bookman Old Style" w:cs="Arial"/>
        </w:rPr>
      </w:pPr>
    </w:p>
    <w:p w:rsidR="00847897" w:rsidRPr="0041407C" w:rsidRDefault="00847897"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 xml:space="preserve">Dada en Bogotá, a </w:t>
      </w:r>
    </w:p>
    <w:p w:rsidR="000019D2" w:rsidRPr="0041407C" w:rsidRDefault="000019D2" w:rsidP="000019D2">
      <w:pPr>
        <w:rPr>
          <w:rFonts w:ascii="Bookman Old Style" w:hAnsi="Bookman Old Style" w:cs="Arial"/>
        </w:rPr>
      </w:pPr>
    </w:p>
    <w:p w:rsidR="000019D2" w:rsidRDefault="000019D2" w:rsidP="000019D2">
      <w:pPr>
        <w:rPr>
          <w:rFonts w:ascii="Bookman Old Style" w:hAnsi="Bookman Old Style" w:cs="Arial"/>
        </w:rPr>
      </w:pPr>
    </w:p>
    <w:p w:rsidR="00767062" w:rsidRPr="0041407C" w:rsidRDefault="00767062"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498" w:type="dxa"/>
        <w:jc w:val="center"/>
        <w:tblCellSpacing w:w="0" w:type="dxa"/>
        <w:tblInd w:w="-284" w:type="dxa"/>
        <w:tblCellMar>
          <w:left w:w="0" w:type="dxa"/>
          <w:right w:w="0" w:type="dxa"/>
        </w:tblCellMar>
        <w:tblLook w:val="0000" w:firstRow="0" w:lastRow="0" w:firstColumn="0" w:lastColumn="0" w:noHBand="0" w:noVBand="0"/>
      </w:tblPr>
      <w:tblGrid>
        <w:gridCol w:w="5529"/>
        <w:gridCol w:w="3969"/>
      </w:tblGrid>
      <w:tr w:rsidR="008A182F" w:rsidRPr="0041407C" w:rsidTr="00B52B26">
        <w:trPr>
          <w:tblCellSpacing w:w="0" w:type="dxa"/>
          <w:jc w:val="center"/>
        </w:trPr>
        <w:tc>
          <w:tcPr>
            <w:tcW w:w="5529" w:type="dxa"/>
          </w:tcPr>
          <w:p w:rsidR="008A182F" w:rsidRPr="0041407C" w:rsidRDefault="00B52B26" w:rsidP="00B52B26">
            <w:pPr>
              <w:ind w:left="66"/>
              <w:jc w:val="center"/>
              <w:rPr>
                <w:rFonts w:ascii="Bookman Old Style" w:hAnsi="Bookman Old Style" w:cs="Arial"/>
                <w:spacing w:val="-3"/>
              </w:rPr>
            </w:pPr>
            <w:r>
              <w:rPr>
                <w:rFonts w:ascii="Bookman Old Style" w:hAnsi="Bookman Old Style"/>
                <w:b/>
                <w:bCs/>
              </w:rPr>
              <w:t>CARLOS FERNANDO ERASO CALERO</w:t>
            </w:r>
          </w:p>
        </w:tc>
        <w:tc>
          <w:tcPr>
            <w:tcW w:w="3969" w:type="dxa"/>
          </w:tcPr>
          <w:p w:rsidR="008A182F" w:rsidRPr="00B52B26" w:rsidRDefault="00847897" w:rsidP="00B52B26">
            <w:pPr>
              <w:ind w:left="89"/>
              <w:jc w:val="center"/>
              <w:rPr>
                <w:rFonts w:ascii="Bookman Old Style" w:hAnsi="Bookman Old Style" w:cs="Arial"/>
                <w:b/>
                <w:spacing w:val="-3"/>
              </w:rPr>
            </w:pPr>
            <w:r>
              <w:rPr>
                <w:rFonts w:ascii="Bookman Old Style" w:hAnsi="Bookman Old Style" w:cs="Arial"/>
                <w:b/>
                <w:spacing w:val="-3"/>
              </w:rPr>
              <w:t>GERMÁN CASTRO FERREIRA</w:t>
            </w:r>
          </w:p>
        </w:tc>
      </w:tr>
      <w:tr w:rsidR="00B52B26" w:rsidRPr="00EE5AC7" w:rsidTr="00B52B26">
        <w:trPr>
          <w:tblCellSpacing w:w="0" w:type="dxa"/>
          <w:jc w:val="center"/>
        </w:trPr>
        <w:tc>
          <w:tcPr>
            <w:tcW w:w="5529" w:type="dxa"/>
          </w:tcPr>
          <w:p w:rsidR="00B52B26" w:rsidRDefault="00B52B26" w:rsidP="00B52B26">
            <w:pPr>
              <w:keepNext/>
              <w:suppressAutoHyphens/>
              <w:ind w:left="0"/>
              <w:jc w:val="center"/>
              <w:rPr>
                <w:rFonts w:ascii="Bookman Old Style" w:hAnsi="Bookman Old Style" w:cs="Arial"/>
                <w:spacing w:val="-3"/>
              </w:rPr>
            </w:pPr>
            <w:r>
              <w:rPr>
                <w:rFonts w:ascii="Bookman Old Style" w:hAnsi="Bookman Old Style" w:cs="Arial"/>
                <w:spacing w:val="-3"/>
              </w:rPr>
              <w:t>Viceministro de Energía</w:t>
            </w:r>
          </w:p>
          <w:p w:rsidR="00B52B26" w:rsidRPr="00EE5AC7" w:rsidRDefault="00B52B26" w:rsidP="00B52B26">
            <w:pPr>
              <w:ind w:left="66"/>
              <w:jc w:val="center"/>
              <w:rPr>
                <w:rFonts w:ascii="Bookman Old Style" w:eastAsia="Arial Unicode MS" w:hAnsi="Bookman Old Style" w:cs="Arial"/>
                <w:color w:val="000000"/>
              </w:rPr>
            </w:pPr>
            <w:r>
              <w:rPr>
                <w:rFonts w:ascii="Bookman Old Style" w:hAnsi="Bookman Old Style" w:cs="Arial"/>
                <w:spacing w:val="-3"/>
              </w:rPr>
              <w:t>Delegado del M</w:t>
            </w:r>
            <w:r w:rsidRPr="00172EAE">
              <w:rPr>
                <w:rFonts w:ascii="Bookman Old Style" w:hAnsi="Bookman Old Style" w:cs="Arial"/>
                <w:spacing w:val="-3"/>
              </w:rPr>
              <w:t xml:space="preserve">inistro de </w:t>
            </w:r>
            <w:r>
              <w:rPr>
                <w:rFonts w:ascii="Bookman Old Style" w:hAnsi="Bookman Old Style" w:cs="Arial"/>
                <w:spacing w:val="-3"/>
              </w:rPr>
              <w:t xml:space="preserve">Minas y </w:t>
            </w:r>
            <w:r w:rsidRPr="00172EAE">
              <w:rPr>
                <w:rFonts w:ascii="Bookman Old Style" w:hAnsi="Bookman Old Style" w:cs="Arial"/>
                <w:spacing w:val="-3"/>
              </w:rPr>
              <w:t>Energía</w:t>
            </w:r>
          </w:p>
        </w:tc>
        <w:tc>
          <w:tcPr>
            <w:tcW w:w="3969" w:type="dxa"/>
          </w:tcPr>
          <w:p w:rsidR="00B52B26" w:rsidRPr="00EE5AC7" w:rsidRDefault="00B52B26" w:rsidP="0049684A">
            <w:pPr>
              <w:jc w:val="center"/>
              <w:rPr>
                <w:rFonts w:ascii="Bookman Old Style" w:eastAsia="Arial Unicode MS" w:hAnsi="Bookman Old Style" w:cs="Arial"/>
                <w:color w:val="000000"/>
              </w:rPr>
            </w:pPr>
            <w:r w:rsidRPr="0041407C">
              <w:rPr>
                <w:rFonts w:ascii="Bookman Old Style" w:hAnsi="Bookman Old Style" w:cs="Arial"/>
                <w:spacing w:val="-3"/>
              </w:rPr>
              <w:t>Director Ejecutivo</w:t>
            </w:r>
            <w:r w:rsidR="00847897">
              <w:rPr>
                <w:rFonts w:ascii="Bookman Old Style" w:hAnsi="Bookman Old Style" w:cs="Arial"/>
                <w:spacing w:val="-3"/>
              </w:rPr>
              <w:t xml:space="preserve"> (E)</w:t>
            </w:r>
          </w:p>
        </w:tc>
      </w:tr>
      <w:tr w:rsidR="008A182F" w:rsidRPr="00EE5AC7" w:rsidTr="00B52B26">
        <w:trPr>
          <w:tblCellSpacing w:w="0" w:type="dxa"/>
          <w:jc w:val="center"/>
        </w:trPr>
        <w:tc>
          <w:tcPr>
            <w:tcW w:w="5529"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3969" w:type="dxa"/>
          </w:tcPr>
          <w:p w:rsidR="008A182F" w:rsidRPr="00EE5AC7" w:rsidRDefault="008A182F" w:rsidP="00D979C4">
            <w:pPr>
              <w:jc w:val="center"/>
              <w:rPr>
                <w:rFonts w:ascii="Bookman Old Style" w:eastAsia="Arial Unicode MS" w:hAnsi="Bookman Old Style" w:cs="Arial"/>
                <w:color w:val="000000"/>
              </w:rPr>
            </w:pPr>
          </w:p>
        </w:tc>
      </w:tr>
    </w:tbl>
    <w:p w:rsidR="00C034CB" w:rsidRPr="00EE5AC7" w:rsidRDefault="00C034CB" w:rsidP="00767062">
      <w:pPr>
        <w:tabs>
          <w:tab w:val="left" w:pos="-720"/>
        </w:tabs>
        <w:suppressAutoHyphens/>
        <w:ind w:left="0"/>
        <w:rPr>
          <w:rFonts w:ascii="Bookman Old Style" w:hAnsi="Bookman Old Style" w:cs="Arial"/>
          <w:b/>
        </w:rPr>
      </w:pPr>
    </w:p>
    <w:sectPr w:rsidR="00C034CB" w:rsidRPr="00EE5AC7" w:rsidSect="00CC6C59">
      <w:headerReference w:type="default" r:id="rId11"/>
      <w:headerReference w:type="first" r:id="rId12"/>
      <w:type w:val="continuous"/>
      <w:pgSz w:w="12242" w:h="18722" w:code="123"/>
      <w:pgMar w:top="2341" w:right="1185"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DBD" w:rsidRPr="000E4B55" w:rsidRDefault="00C81DBD">
      <w:pPr>
        <w:rPr>
          <w:sz w:val="23"/>
          <w:szCs w:val="23"/>
        </w:rPr>
      </w:pPr>
      <w:r w:rsidRPr="000E4B55">
        <w:rPr>
          <w:sz w:val="23"/>
          <w:szCs w:val="23"/>
        </w:rPr>
        <w:separator/>
      </w:r>
    </w:p>
  </w:endnote>
  <w:endnote w:type="continuationSeparator" w:id="0">
    <w:p w:rsidR="00C81DBD" w:rsidRPr="000E4B55" w:rsidRDefault="00C81DBD">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DBD" w:rsidRPr="000E4B55" w:rsidRDefault="00C81DBD">
      <w:pPr>
        <w:rPr>
          <w:sz w:val="23"/>
          <w:szCs w:val="23"/>
        </w:rPr>
      </w:pPr>
      <w:r w:rsidRPr="000E4B55">
        <w:rPr>
          <w:sz w:val="23"/>
          <w:szCs w:val="23"/>
        </w:rPr>
        <w:separator/>
      </w:r>
    </w:p>
  </w:footnote>
  <w:footnote w:type="continuationSeparator" w:id="0">
    <w:p w:rsidR="00C81DBD" w:rsidRPr="000E4B55" w:rsidRDefault="00C81DBD">
      <w:pPr>
        <w:rPr>
          <w:sz w:val="23"/>
          <w:szCs w:val="23"/>
        </w:rPr>
      </w:pPr>
      <w:r w:rsidRPr="000E4B55">
        <w:rPr>
          <w:sz w:val="23"/>
          <w:szCs w:val="23"/>
        </w:rPr>
        <w:continuationSeparator/>
      </w:r>
    </w:p>
  </w:footnote>
  <w:footnote w:id="1">
    <w:p w:rsidR="004741C5" w:rsidRPr="004741C5" w:rsidRDefault="004741C5" w:rsidP="004741C5">
      <w:pPr>
        <w:pStyle w:val="Textonotapie"/>
        <w:spacing w:line="240" w:lineRule="auto"/>
        <w:ind w:left="284" w:right="284"/>
        <w:rPr>
          <w:i/>
          <w:lang w:val="es-CO"/>
        </w:rPr>
      </w:pPr>
      <w:r w:rsidRPr="004741C5">
        <w:rPr>
          <w:rStyle w:val="Refdenotaalpie"/>
          <w:i/>
        </w:rPr>
        <w:footnoteRef/>
      </w:r>
      <w:r w:rsidRPr="004741C5">
        <w:rPr>
          <w:i/>
        </w:rPr>
        <w:t xml:space="preserve"> En el oficio de la Comisión de Regulación de Energía y Gas (CREG) No. 2015-529-053036-2 no se establece a qué se hace referencia con la expresión vínculo económico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C59" w:rsidRPr="000E4B55" w:rsidRDefault="00CC6C59" w:rsidP="00951F79">
    <w:pPr>
      <w:pStyle w:val="Ttulo1"/>
      <w:ind w:right="6"/>
      <w:jc w:val="left"/>
      <w:rPr>
        <w:rFonts w:ascii="Bookman Old Style" w:hAnsi="Bookman Old Style" w:cs="Arial"/>
        <w:b w:val="0"/>
        <w:sz w:val="21"/>
        <w:szCs w:val="21"/>
      </w:rPr>
    </w:pPr>
  </w:p>
  <w:p w:rsidR="00CC6C59" w:rsidRPr="000E4B55" w:rsidRDefault="00CC6C59"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017386">
      <w:rPr>
        <w:rFonts w:ascii="Bookman Old Style" w:hAnsi="Bookman Old Style" w:cs="Arial"/>
        <w:b w:val="0"/>
        <w:noProof/>
        <w:sz w:val="21"/>
        <w:szCs w:val="21"/>
      </w:rPr>
      <w:t>6</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017386" w:rsidRPr="00017386">
      <w:rPr>
        <w:rFonts w:ascii="Bookman Old Style" w:hAnsi="Bookman Old Style" w:cs="Arial"/>
        <w:b w:val="0"/>
        <w:noProof/>
        <w:sz w:val="21"/>
        <w:szCs w:val="22"/>
      </w:rPr>
      <w:t>6</w:t>
    </w:r>
    <w:r w:rsidRPr="000E4B55">
      <w:rPr>
        <w:rFonts w:ascii="Bookman Old Style" w:hAnsi="Bookman Old Style" w:cs="Arial"/>
        <w:b w:val="0"/>
        <w:noProof/>
        <w:sz w:val="21"/>
        <w:szCs w:val="21"/>
      </w:rPr>
      <w:fldChar w:fldCharType="end"/>
    </w:r>
  </w:p>
  <w:p w:rsidR="00CC6C59" w:rsidRPr="000E4B55" w:rsidRDefault="00CC6C59"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71E73B88" wp14:editId="4EE3C777">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CC6C59" w:rsidRPr="00FE2745" w:rsidRDefault="0032341D" w:rsidP="009F6B61">
    <w:pPr>
      <w:pStyle w:val="Textodebloque"/>
      <w:pBdr>
        <w:bottom w:val="single" w:sz="4" w:space="1" w:color="auto"/>
      </w:pBdr>
      <w:spacing w:after="0"/>
      <w:ind w:left="0" w:right="0"/>
      <w:rPr>
        <w:rFonts w:ascii="Bookman Old Style" w:hAnsi="Bookman Old Style" w:cs="Arial"/>
        <w:sz w:val="20"/>
        <w:szCs w:val="22"/>
      </w:rPr>
    </w:pPr>
    <w:r w:rsidRPr="0032341D">
      <w:rPr>
        <w:rFonts w:ascii="Bookman Old Style" w:hAnsi="Bookman Old Style" w:cs="Arial"/>
        <w:sz w:val="20"/>
        <w:szCs w:val="22"/>
      </w:rPr>
      <w:t>Por la cual se oficializa el ingreso anual esperado para el Consorcio Eléctrico del Caribe S.A.S. E.S.P. por el diseño, suministro, construcción, operación y mantenimiento de equipos de compensación en las subestaciones El Carmen 66 kV, El Banco 110 kV y Montería 110 kV, de acuerdo con la convocatoria UPME STR 04-2015</w:t>
    </w:r>
  </w:p>
  <w:p w:rsidR="00CC6C59" w:rsidRPr="000E4B55" w:rsidRDefault="00CC6C59"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C59" w:rsidRPr="000E4B55" w:rsidRDefault="00CC6C59"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CC6C59" w:rsidRPr="000E4B55" w:rsidRDefault="00CC6C59">
    <w:pPr>
      <w:pStyle w:val="Encabezado"/>
      <w:jc w:val="center"/>
      <w:rPr>
        <w:rFonts w:ascii="Arial" w:hAnsi="Arial" w:cs="Arial"/>
        <w:spacing w:val="20"/>
        <w:sz w:val="19"/>
        <w:szCs w:val="19"/>
      </w:rPr>
    </w:pPr>
  </w:p>
  <w:p w:rsidR="00CC6C59" w:rsidRPr="000E4B55" w:rsidRDefault="00CC6C59"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67843612" wp14:editId="561B3DA2">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17386"/>
    <w:rsid w:val="000230A7"/>
    <w:rsid w:val="00025383"/>
    <w:rsid w:val="000465EA"/>
    <w:rsid w:val="00053754"/>
    <w:rsid w:val="00063657"/>
    <w:rsid w:val="000731C6"/>
    <w:rsid w:val="00073B6C"/>
    <w:rsid w:val="00076680"/>
    <w:rsid w:val="0008073E"/>
    <w:rsid w:val="000828C9"/>
    <w:rsid w:val="00091CDB"/>
    <w:rsid w:val="0009326E"/>
    <w:rsid w:val="000954CA"/>
    <w:rsid w:val="000A19AC"/>
    <w:rsid w:val="000B1FCD"/>
    <w:rsid w:val="000D0D6E"/>
    <w:rsid w:val="000D26F8"/>
    <w:rsid w:val="000D3F11"/>
    <w:rsid w:val="000D5740"/>
    <w:rsid w:val="000D7A27"/>
    <w:rsid w:val="000E0FC4"/>
    <w:rsid w:val="000E4B55"/>
    <w:rsid w:val="000F2918"/>
    <w:rsid w:val="00103215"/>
    <w:rsid w:val="00106ADE"/>
    <w:rsid w:val="00112EEE"/>
    <w:rsid w:val="001146F9"/>
    <w:rsid w:val="00127A25"/>
    <w:rsid w:val="00131279"/>
    <w:rsid w:val="0013134B"/>
    <w:rsid w:val="001367C1"/>
    <w:rsid w:val="001405C6"/>
    <w:rsid w:val="00141013"/>
    <w:rsid w:val="0014591A"/>
    <w:rsid w:val="00190BA7"/>
    <w:rsid w:val="00192CBF"/>
    <w:rsid w:val="00192FF1"/>
    <w:rsid w:val="0019387C"/>
    <w:rsid w:val="001A5F1B"/>
    <w:rsid w:val="001A7227"/>
    <w:rsid w:val="001B1C22"/>
    <w:rsid w:val="001B34C6"/>
    <w:rsid w:val="001C65CE"/>
    <w:rsid w:val="001D340A"/>
    <w:rsid w:val="001D6633"/>
    <w:rsid w:val="001D7832"/>
    <w:rsid w:val="001E219B"/>
    <w:rsid w:val="001F3BD3"/>
    <w:rsid w:val="002049CF"/>
    <w:rsid w:val="00211D34"/>
    <w:rsid w:val="00214F04"/>
    <w:rsid w:val="00216A94"/>
    <w:rsid w:val="00217D69"/>
    <w:rsid w:val="002220A3"/>
    <w:rsid w:val="00223F13"/>
    <w:rsid w:val="00224BCD"/>
    <w:rsid w:val="002367B8"/>
    <w:rsid w:val="002478FA"/>
    <w:rsid w:val="00266CD6"/>
    <w:rsid w:val="00277FEE"/>
    <w:rsid w:val="00284E4C"/>
    <w:rsid w:val="0028608C"/>
    <w:rsid w:val="00292356"/>
    <w:rsid w:val="00293C55"/>
    <w:rsid w:val="002A2E95"/>
    <w:rsid w:val="002A6EFC"/>
    <w:rsid w:val="002B11E2"/>
    <w:rsid w:val="002B24B8"/>
    <w:rsid w:val="002B7651"/>
    <w:rsid w:val="002C70F3"/>
    <w:rsid w:val="002D2EB9"/>
    <w:rsid w:val="002D3AE9"/>
    <w:rsid w:val="002F0734"/>
    <w:rsid w:val="002F0F42"/>
    <w:rsid w:val="002F46E7"/>
    <w:rsid w:val="002F5821"/>
    <w:rsid w:val="003006CA"/>
    <w:rsid w:val="0030344E"/>
    <w:rsid w:val="003101DA"/>
    <w:rsid w:val="00314757"/>
    <w:rsid w:val="003211CE"/>
    <w:rsid w:val="0032341D"/>
    <w:rsid w:val="00323EAD"/>
    <w:rsid w:val="00327D1C"/>
    <w:rsid w:val="003357C7"/>
    <w:rsid w:val="00345E03"/>
    <w:rsid w:val="0035329D"/>
    <w:rsid w:val="0036394B"/>
    <w:rsid w:val="00363D4F"/>
    <w:rsid w:val="00364570"/>
    <w:rsid w:val="003709B5"/>
    <w:rsid w:val="003722BC"/>
    <w:rsid w:val="003759C2"/>
    <w:rsid w:val="00381F8A"/>
    <w:rsid w:val="00385020"/>
    <w:rsid w:val="003945E8"/>
    <w:rsid w:val="00395315"/>
    <w:rsid w:val="00397365"/>
    <w:rsid w:val="003A31F6"/>
    <w:rsid w:val="003A75C1"/>
    <w:rsid w:val="003C3447"/>
    <w:rsid w:val="003D076C"/>
    <w:rsid w:val="003D42DE"/>
    <w:rsid w:val="003D4E6B"/>
    <w:rsid w:val="003F793E"/>
    <w:rsid w:val="0040096F"/>
    <w:rsid w:val="004058B1"/>
    <w:rsid w:val="00413642"/>
    <w:rsid w:val="0041407C"/>
    <w:rsid w:val="00415BAB"/>
    <w:rsid w:val="00415ED2"/>
    <w:rsid w:val="0042068C"/>
    <w:rsid w:val="00432A75"/>
    <w:rsid w:val="00437877"/>
    <w:rsid w:val="0045054F"/>
    <w:rsid w:val="00450E1D"/>
    <w:rsid w:val="00457B8C"/>
    <w:rsid w:val="0047122B"/>
    <w:rsid w:val="00473B7A"/>
    <w:rsid w:val="004741C5"/>
    <w:rsid w:val="0047623D"/>
    <w:rsid w:val="004766AB"/>
    <w:rsid w:val="004960E9"/>
    <w:rsid w:val="004A2E88"/>
    <w:rsid w:val="004A5305"/>
    <w:rsid w:val="004A7B26"/>
    <w:rsid w:val="004B2297"/>
    <w:rsid w:val="004B2A23"/>
    <w:rsid w:val="004B6AEE"/>
    <w:rsid w:val="004D39D4"/>
    <w:rsid w:val="004D7634"/>
    <w:rsid w:val="004E0AE2"/>
    <w:rsid w:val="004E7327"/>
    <w:rsid w:val="005017C9"/>
    <w:rsid w:val="005070F9"/>
    <w:rsid w:val="0051403F"/>
    <w:rsid w:val="00514F93"/>
    <w:rsid w:val="00515E06"/>
    <w:rsid w:val="005300D3"/>
    <w:rsid w:val="00531349"/>
    <w:rsid w:val="00532517"/>
    <w:rsid w:val="00544F82"/>
    <w:rsid w:val="00551029"/>
    <w:rsid w:val="00571195"/>
    <w:rsid w:val="00571AAB"/>
    <w:rsid w:val="00577827"/>
    <w:rsid w:val="00581C6E"/>
    <w:rsid w:val="00593184"/>
    <w:rsid w:val="00593C4F"/>
    <w:rsid w:val="005946A8"/>
    <w:rsid w:val="005A248A"/>
    <w:rsid w:val="005A4407"/>
    <w:rsid w:val="005A59EF"/>
    <w:rsid w:val="005F38FD"/>
    <w:rsid w:val="00604ED3"/>
    <w:rsid w:val="00615D63"/>
    <w:rsid w:val="00622144"/>
    <w:rsid w:val="00625DC6"/>
    <w:rsid w:val="006341A9"/>
    <w:rsid w:val="006438E6"/>
    <w:rsid w:val="00644260"/>
    <w:rsid w:val="0064774B"/>
    <w:rsid w:val="00647A0D"/>
    <w:rsid w:val="006502B8"/>
    <w:rsid w:val="00651821"/>
    <w:rsid w:val="00654384"/>
    <w:rsid w:val="006675CD"/>
    <w:rsid w:val="00671194"/>
    <w:rsid w:val="00676BD5"/>
    <w:rsid w:val="00681CD8"/>
    <w:rsid w:val="00684D9B"/>
    <w:rsid w:val="00685B83"/>
    <w:rsid w:val="00697556"/>
    <w:rsid w:val="006A1075"/>
    <w:rsid w:val="006A5016"/>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32B9"/>
    <w:rsid w:val="00706F13"/>
    <w:rsid w:val="007072E8"/>
    <w:rsid w:val="0071137A"/>
    <w:rsid w:val="0071618D"/>
    <w:rsid w:val="00716CD2"/>
    <w:rsid w:val="00722435"/>
    <w:rsid w:val="007258CD"/>
    <w:rsid w:val="00725FA4"/>
    <w:rsid w:val="00740446"/>
    <w:rsid w:val="007438A9"/>
    <w:rsid w:val="0074491E"/>
    <w:rsid w:val="007501F8"/>
    <w:rsid w:val="00754C05"/>
    <w:rsid w:val="00765A0E"/>
    <w:rsid w:val="00767062"/>
    <w:rsid w:val="00772476"/>
    <w:rsid w:val="00775964"/>
    <w:rsid w:val="00795BFB"/>
    <w:rsid w:val="007B2760"/>
    <w:rsid w:val="007B3029"/>
    <w:rsid w:val="007E653B"/>
    <w:rsid w:val="00806C01"/>
    <w:rsid w:val="008148CC"/>
    <w:rsid w:val="0081540B"/>
    <w:rsid w:val="008211A4"/>
    <w:rsid w:val="00827AA0"/>
    <w:rsid w:val="008475D6"/>
    <w:rsid w:val="00847897"/>
    <w:rsid w:val="00847BD0"/>
    <w:rsid w:val="00853C27"/>
    <w:rsid w:val="0085500E"/>
    <w:rsid w:val="0086401C"/>
    <w:rsid w:val="00873150"/>
    <w:rsid w:val="0087657D"/>
    <w:rsid w:val="0087745D"/>
    <w:rsid w:val="008807D5"/>
    <w:rsid w:val="00880832"/>
    <w:rsid w:val="0088499F"/>
    <w:rsid w:val="00886EE1"/>
    <w:rsid w:val="0088727D"/>
    <w:rsid w:val="00897C75"/>
    <w:rsid w:val="008A182F"/>
    <w:rsid w:val="008A4F7A"/>
    <w:rsid w:val="008C1130"/>
    <w:rsid w:val="008C2E57"/>
    <w:rsid w:val="008D18E6"/>
    <w:rsid w:val="008D64E1"/>
    <w:rsid w:val="008D671C"/>
    <w:rsid w:val="008D7A9B"/>
    <w:rsid w:val="008E12E0"/>
    <w:rsid w:val="008E380E"/>
    <w:rsid w:val="008E56A6"/>
    <w:rsid w:val="008F21F6"/>
    <w:rsid w:val="008F657F"/>
    <w:rsid w:val="0091040D"/>
    <w:rsid w:val="00912226"/>
    <w:rsid w:val="00913068"/>
    <w:rsid w:val="00914855"/>
    <w:rsid w:val="009421C9"/>
    <w:rsid w:val="00950C71"/>
    <w:rsid w:val="00951F79"/>
    <w:rsid w:val="0095467A"/>
    <w:rsid w:val="009627D4"/>
    <w:rsid w:val="00974AB5"/>
    <w:rsid w:val="00983AF8"/>
    <w:rsid w:val="0098706D"/>
    <w:rsid w:val="00990B58"/>
    <w:rsid w:val="00993534"/>
    <w:rsid w:val="009935FB"/>
    <w:rsid w:val="009956FB"/>
    <w:rsid w:val="00996FC9"/>
    <w:rsid w:val="009B0298"/>
    <w:rsid w:val="009B38DB"/>
    <w:rsid w:val="009D6F14"/>
    <w:rsid w:val="009E491E"/>
    <w:rsid w:val="009F1065"/>
    <w:rsid w:val="009F4A54"/>
    <w:rsid w:val="009F4BEC"/>
    <w:rsid w:val="009F6B61"/>
    <w:rsid w:val="00A03BF8"/>
    <w:rsid w:val="00A0697B"/>
    <w:rsid w:val="00A14C63"/>
    <w:rsid w:val="00A25FD7"/>
    <w:rsid w:val="00A32091"/>
    <w:rsid w:val="00A33B71"/>
    <w:rsid w:val="00A34981"/>
    <w:rsid w:val="00A35D3E"/>
    <w:rsid w:val="00A43AFF"/>
    <w:rsid w:val="00A5260E"/>
    <w:rsid w:val="00A534E6"/>
    <w:rsid w:val="00A537F8"/>
    <w:rsid w:val="00A643A3"/>
    <w:rsid w:val="00A7793A"/>
    <w:rsid w:val="00AA5F12"/>
    <w:rsid w:val="00AB10DA"/>
    <w:rsid w:val="00AB51D9"/>
    <w:rsid w:val="00AB6CA7"/>
    <w:rsid w:val="00AD01E4"/>
    <w:rsid w:val="00AD0858"/>
    <w:rsid w:val="00AE7340"/>
    <w:rsid w:val="00AE74BE"/>
    <w:rsid w:val="00AF1BBD"/>
    <w:rsid w:val="00AF219D"/>
    <w:rsid w:val="00B10207"/>
    <w:rsid w:val="00B141E7"/>
    <w:rsid w:val="00B24F17"/>
    <w:rsid w:val="00B46BCA"/>
    <w:rsid w:val="00B47BE4"/>
    <w:rsid w:val="00B52B26"/>
    <w:rsid w:val="00B53E37"/>
    <w:rsid w:val="00B55C41"/>
    <w:rsid w:val="00B5606E"/>
    <w:rsid w:val="00B87806"/>
    <w:rsid w:val="00B87EC9"/>
    <w:rsid w:val="00BA215B"/>
    <w:rsid w:val="00BC1B3F"/>
    <w:rsid w:val="00BC38FD"/>
    <w:rsid w:val="00BC3AC0"/>
    <w:rsid w:val="00BC5DB4"/>
    <w:rsid w:val="00BD7F78"/>
    <w:rsid w:val="00BE4E2A"/>
    <w:rsid w:val="00C034CB"/>
    <w:rsid w:val="00C047D3"/>
    <w:rsid w:val="00C051A8"/>
    <w:rsid w:val="00C054BC"/>
    <w:rsid w:val="00C06FB3"/>
    <w:rsid w:val="00C15B75"/>
    <w:rsid w:val="00C17897"/>
    <w:rsid w:val="00C2175A"/>
    <w:rsid w:val="00C2716F"/>
    <w:rsid w:val="00C35E8B"/>
    <w:rsid w:val="00C409D5"/>
    <w:rsid w:val="00C45D4F"/>
    <w:rsid w:val="00C51BBA"/>
    <w:rsid w:val="00C523EB"/>
    <w:rsid w:val="00C6234B"/>
    <w:rsid w:val="00C63EAE"/>
    <w:rsid w:val="00C658D9"/>
    <w:rsid w:val="00C7629F"/>
    <w:rsid w:val="00C80F48"/>
    <w:rsid w:val="00C81DBD"/>
    <w:rsid w:val="00C8661B"/>
    <w:rsid w:val="00CA139A"/>
    <w:rsid w:val="00CA2899"/>
    <w:rsid w:val="00CA4732"/>
    <w:rsid w:val="00CA77FB"/>
    <w:rsid w:val="00CB379B"/>
    <w:rsid w:val="00CB5DD0"/>
    <w:rsid w:val="00CC1BEB"/>
    <w:rsid w:val="00CC51D4"/>
    <w:rsid w:val="00CC65DA"/>
    <w:rsid w:val="00CC6C59"/>
    <w:rsid w:val="00CD1F0B"/>
    <w:rsid w:val="00CD6010"/>
    <w:rsid w:val="00CE5603"/>
    <w:rsid w:val="00CF21B9"/>
    <w:rsid w:val="00CF2FDD"/>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6276"/>
    <w:rsid w:val="00D70780"/>
    <w:rsid w:val="00D8167B"/>
    <w:rsid w:val="00D960C2"/>
    <w:rsid w:val="00D979C4"/>
    <w:rsid w:val="00DB370A"/>
    <w:rsid w:val="00DC12BD"/>
    <w:rsid w:val="00DD1C12"/>
    <w:rsid w:val="00DD4F0E"/>
    <w:rsid w:val="00DD6802"/>
    <w:rsid w:val="00DF0001"/>
    <w:rsid w:val="00E05E0A"/>
    <w:rsid w:val="00E172A5"/>
    <w:rsid w:val="00E21A72"/>
    <w:rsid w:val="00E339B5"/>
    <w:rsid w:val="00E40A2D"/>
    <w:rsid w:val="00E534CF"/>
    <w:rsid w:val="00E56F40"/>
    <w:rsid w:val="00E64ADF"/>
    <w:rsid w:val="00E71F71"/>
    <w:rsid w:val="00E81CB4"/>
    <w:rsid w:val="00E8585B"/>
    <w:rsid w:val="00E901DA"/>
    <w:rsid w:val="00EA3F15"/>
    <w:rsid w:val="00EA42DE"/>
    <w:rsid w:val="00EA6857"/>
    <w:rsid w:val="00EA6965"/>
    <w:rsid w:val="00EA7847"/>
    <w:rsid w:val="00EB4CE1"/>
    <w:rsid w:val="00EB63CE"/>
    <w:rsid w:val="00EC4D7D"/>
    <w:rsid w:val="00EE2E6E"/>
    <w:rsid w:val="00EE3499"/>
    <w:rsid w:val="00EE5AC7"/>
    <w:rsid w:val="00EE6914"/>
    <w:rsid w:val="00EF31C6"/>
    <w:rsid w:val="00F00159"/>
    <w:rsid w:val="00F00D67"/>
    <w:rsid w:val="00F056BA"/>
    <w:rsid w:val="00F0759E"/>
    <w:rsid w:val="00F11188"/>
    <w:rsid w:val="00F47DAC"/>
    <w:rsid w:val="00F56B0E"/>
    <w:rsid w:val="00F66160"/>
    <w:rsid w:val="00F67881"/>
    <w:rsid w:val="00F67F4F"/>
    <w:rsid w:val="00F80BDE"/>
    <w:rsid w:val="00F811BA"/>
    <w:rsid w:val="00F821A3"/>
    <w:rsid w:val="00F84ADD"/>
    <w:rsid w:val="00F9314A"/>
    <w:rsid w:val="00FA033F"/>
    <w:rsid w:val="00FB6E6E"/>
    <w:rsid w:val="00FC267E"/>
    <w:rsid w:val="00FC418B"/>
    <w:rsid w:val="00FC58EF"/>
    <w:rsid w:val="00FC5D20"/>
    <w:rsid w:val="00FC5E6B"/>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 w:type="character" w:styleId="Refdenotaalpie">
    <w:name w:val="footnote reference"/>
    <w:basedOn w:val="Fuentedeprrafopredeter"/>
    <w:uiPriority w:val="99"/>
    <w:semiHidden/>
    <w:unhideWhenUsed/>
    <w:rsid w:val="004741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 w:type="character" w:styleId="Refdenotaalpie">
    <w:name w:val="footnote reference"/>
    <w:basedOn w:val="Fuentedeprrafopredeter"/>
    <w:uiPriority w:val="99"/>
    <w:semiHidden/>
    <w:unhideWhenUsed/>
    <w:rsid w:val="004741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77958">
      <w:bodyDiv w:val="1"/>
      <w:marLeft w:val="0"/>
      <w:marRight w:val="0"/>
      <w:marTop w:val="0"/>
      <w:marBottom w:val="0"/>
      <w:divBdr>
        <w:top w:val="none" w:sz="0" w:space="0" w:color="auto"/>
        <w:left w:val="none" w:sz="0" w:space="0" w:color="auto"/>
        <w:bottom w:val="none" w:sz="0" w:space="0" w:color="auto"/>
        <w:right w:val="none" w:sz="0" w:space="0" w:color="auto"/>
      </w:divBdr>
    </w:div>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230507262">
      <w:bodyDiv w:val="1"/>
      <w:marLeft w:val="0"/>
      <w:marRight w:val="0"/>
      <w:marTop w:val="0"/>
      <w:marBottom w:val="0"/>
      <w:divBdr>
        <w:top w:val="none" w:sz="0" w:space="0" w:color="auto"/>
        <w:left w:val="none" w:sz="0" w:space="0" w:color="auto"/>
        <w:bottom w:val="none" w:sz="0" w:space="0" w:color="auto"/>
        <w:right w:val="none" w:sz="0" w:space="0" w:color="auto"/>
      </w:divBdr>
    </w:div>
    <w:div w:id="1067385425">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 w:id="20946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B7A53-560F-4A35-9FF8-284C3EC0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6</Pages>
  <Words>2129</Words>
  <Characters>11456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2015-12-04T14:16:00Z</cp:lastPrinted>
  <dcterms:created xsi:type="dcterms:W3CDTF">2015-12-09T20:42:00Z</dcterms:created>
  <dcterms:modified xsi:type="dcterms:W3CDTF">2015-12-09T20:42:00Z</dcterms:modified>
</cp:coreProperties>
</file>