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75D9D6" w14:textId="1FC8B246" w:rsidR="005C1BCA" w:rsidRPr="005C1BCA" w:rsidRDefault="00F31FBA" w:rsidP="005C1BCA">
      <w:pPr>
        <w:keepNext/>
        <w:tabs>
          <w:tab w:val="left" w:pos="0"/>
          <w:tab w:val="right" w:pos="9356"/>
        </w:tabs>
        <w:spacing w:after="0" w:line="240" w:lineRule="auto"/>
        <w:contextualSpacing/>
        <w:jc w:val="center"/>
        <w:outlineLvl w:val="3"/>
        <w:rPr>
          <w:rFonts w:ascii="Bookman Old Style" w:eastAsia="Times New Roman" w:hAnsi="Bookman Old Style" w:cs="Arial"/>
          <w:bCs/>
          <w:noProof/>
          <w:snapToGrid w:val="0"/>
          <w:color w:val="000000"/>
          <w:spacing w:val="20"/>
          <w:sz w:val="24"/>
          <w:szCs w:val="24"/>
          <w:lang w:val="es-ES" w:eastAsia="es-ES"/>
        </w:rPr>
      </w:pPr>
      <w:bookmarkStart w:id="0" w:name="_GoBack"/>
      <w:bookmarkEnd w:id="0"/>
      <w:r>
        <w:rPr>
          <w:rFonts w:ascii="Bookman Old Style" w:eastAsia="Times New Roman" w:hAnsi="Bookman Old Style" w:cs="Arial"/>
          <w:bCs/>
          <w:noProof/>
          <w:color w:val="000000"/>
          <w:spacing w:val="20"/>
          <w:sz w:val="24"/>
          <w:szCs w:val="24"/>
          <w:lang w:eastAsia="es-CO"/>
        </w:rPr>
        <w:object w:dxaOrig="1440" w:dyaOrig="1440" w14:anchorId="3C9D62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9264" fillcolor="#0c9">
            <v:imagedata r:id="rId8" o:title=""/>
          </v:shape>
          <o:OLEObject Type="Embed" ProgID="PBrush" ShapeID="_x0000_s1026" DrawAspect="Content" ObjectID="_1566029082" r:id="rId9"/>
        </w:object>
      </w:r>
      <w:r w:rsidR="00CC5F76">
        <w:rPr>
          <w:rFonts w:ascii="Bookman Old Style" w:eastAsia="Times New Roman" w:hAnsi="Bookman Old Style" w:cs="Arial"/>
          <w:bCs/>
          <w:snapToGrid w:val="0"/>
          <w:color w:val="000000"/>
          <w:spacing w:val="20"/>
          <w:sz w:val="24"/>
          <w:szCs w:val="24"/>
          <w:lang w:eastAsia="es-ES"/>
        </w:rPr>
        <w:t xml:space="preserve">  </w:t>
      </w:r>
      <w:r w:rsidR="005C1BCA" w:rsidRPr="005C1BCA">
        <w:rPr>
          <w:rFonts w:ascii="Bookman Old Style" w:eastAsia="Times New Roman" w:hAnsi="Bookman Old Style" w:cs="Arial"/>
          <w:bCs/>
          <w:snapToGrid w:val="0"/>
          <w:color w:val="000000"/>
          <w:spacing w:val="20"/>
          <w:sz w:val="24"/>
          <w:szCs w:val="24"/>
          <w:lang w:val="es-ES_tradnl" w:eastAsia="es-ES"/>
        </w:rPr>
        <w:t>Ministerio de Minas y Energía</w:t>
      </w:r>
    </w:p>
    <w:p w14:paraId="6E32B75D" w14:textId="77777777" w:rsidR="005C1BCA" w:rsidRPr="005C1BCA" w:rsidRDefault="005C1BCA" w:rsidP="00C139AB">
      <w:pPr>
        <w:keepNext/>
        <w:tabs>
          <w:tab w:val="left" w:pos="0"/>
          <w:tab w:val="right" w:pos="9356"/>
        </w:tabs>
        <w:spacing w:after="0" w:line="240" w:lineRule="auto"/>
        <w:contextualSpacing/>
        <w:outlineLvl w:val="2"/>
        <w:rPr>
          <w:rFonts w:ascii="Bookman Old Style" w:eastAsia="Times New Roman" w:hAnsi="Bookman Old Style" w:cs="Arial"/>
          <w:b/>
          <w:snapToGrid w:val="0"/>
          <w:color w:val="000000"/>
          <w:spacing w:val="20"/>
          <w:sz w:val="24"/>
          <w:szCs w:val="24"/>
          <w:lang w:val="es-ES_tradnl" w:eastAsia="es-ES"/>
        </w:rPr>
      </w:pPr>
    </w:p>
    <w:p w14:paraId="2AB155B6" w14:textId="77777777"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Arial"/>
          <w:b/>
          <w:snapToGrid w:val="0"/>
          <w:color w:val="000000"/>
          <w:spacing w:val="20"/>
          <w:sz w:val="24"/>
          <w:szCs w:val="24"/>
          <w:lang w:val="es-ES_tradnl" w:eastAsia="es-ES"/>
        </w:rPr>
      </w:pPr>
    </w:p>
    <w:p w14:paraId="7031E262" w14:textId="7C55F126" w:rsidR="005C1BCA" w:rsidRPr="005C1BCA" w:rsidRDefault="00507259" w:rsidP="00507259">
      <w:pPr>
        <w:keepNext/>
        <w:tabs>
          <w:tab w:val="left" w:pos="0"/>
          <w:tab w:val="center" w:pos="4678"/>
          <w:tab w:val="right" w:pos="9356"/>
        </w:tabs>
        <w:spacing w:after="0" w:line="240" w:lineRule="auto"/>
        <w:contextualSpacing/>
        <w:outlineLvl w:val="2"/>
        <w:rPr>
          <w:rFonts w:ascii="Bookman Old Style" w:eastAsia="Times New Roman" w:hAnsi="Bookman Old Style" w:cs="Arial"/>
          <w:b/>
          <w:snapToGrid w:val="0"/>
          <w:color w:val="000000"/>
          <w:spacing w:val="20"/>
          <w:sz w:val="24"/>
          <w:szCs w:val="24"/>
          <w:lang w:val="es-ES_tradnl" w:eastAsia="es-ES"/>
        </w:rPr>
      </w:pPr>
      <w:r>
        <w:rPr>
          <w:rFonts w:ascii="Bookman Old Style" w:eastAsia="Times New Roman" w:hAnsi="Bookman Old Style" w:cs="Arial"/>
          <w:b/>
          <w:snapToGrid w:val="0"/>
          <w:color w:val="000000"/>
          <w:spacing w:val="20"/>
          <w:sz w:val="24"/>
          <w:szCs w:val="24"/>
          <w:lang w:val="es-ES_tradnl" w:eastAsia="es-ES"/>
        </w:rPr>
        <w:tab/>
      </w:r>
      <w:r w:rsidR="005C1BCA" w:rsidRPr="005C1BCA">
        <w:rPr>
          <w:rFonts w:ascii="Bookman Old Style" w:eastAsia="Times New Roman" w:hAnsi="Bookman Old Style" w:cs="Arial"/>
          <w:b/>
          <w:snapToGrid w:val="0"/>
          <w:color w:val="000000"/>
          <w:spacing w:val="20"/>
          <w:sz w:val="24"/>
          <w:szCs w:val="24"/>
          <w:lang w:val="es-ES_tradnl" w:eastAsia="es-ES"/>
        </w:rPr>
        <w:t>COMISIÓN DE REGULACIÓN DE ENERGÍA Y GAS</w:t>
      </w:r>
    </w:p>
    <w:p w14:paraId="44C6BD71" w14:textId="77777777"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p>
    <w:p w14:paraId="175E6B00" w14:textId="77777777"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p>
    <w:p w14:paraId="1C3B9567" w14:textId="77777777"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r w:rsidRPr="005C1BCA">
        <w:rPr>
          <w:rFonts w:ascii="Bookman Old Style" w:eastAsia="Times New Roman" w:hAnsi="Bookman Old Style" w:cs="Arial"/>
          <w:b/>
          <w:snapToGrid w:val="0"/>
          <w:color w:val="000000"/>
          <w:spacing w:val="20"/>
          <w:sz w:val="24"/>
          <w:szCs w:val="24"/>
          <w:lang w:val="es-ES_tradnl" w:eastAsia="es-ES"/>
        </w:rPr>
        <w:t>RESOLUCI</w:t>
      </w:r>
      <w:r w:rsidR="00E368AA">
        <w:rPr>
          <w:rFonts w:ascii="Bookman Old Style" w:eastAsia="Times New Roman" w:hAnsi="Bookman Old Style" w:cs="Arial"/>
          <w:b/>
          <w:snapToGrid w:val="0"/>
          <w:color w:val="000000"/>
          <w:spacing w:val="20"/>
          <w:sz w:val="24"/>
          <w:szCs w:val="24"/>
          <w:lang w:val="es-ES_tradnl" w:eastAsia="es-ES"/>
        </w:rPr>
        <w:t>ÓN No.                   DE 2017</w:t>
      </w:r>
    </w:p>
    <w:p w14:paraId="34DF3EF3" w14:textId="77777777" w:rsidR="005C1BCA" w:rsidRDefault="005C1BCA" w:rsidP="005C1BCA">
      <w:pPr>
        <w:tabs>
          <w:tab w:val="left" w:pos="0"/>
          <w:tab w:val="right" w:pos="9356"/>
        </w:tabs>
        <w:spacing w:after="0" w:line="240" w:lineRule="auto"/>
        <w:contextualSpacing/>
        <w:jc w:val="center"/>
        <w:rPr>
          <w:rFonts w:ascii="Bookman Old Style" w:eastAsia="Times New Roman" w:hAnsi="Bookman Old Style" w:cs="Arial"/>
          <w:b/>
          <w:snapToGrid w:val="0"/>
          <w:color w:val="000000"/>
          <w:sz w:val="24"/>
          <w:szCs w:val="24"/>
          <w:lang w:val="es-ES_tradnl" w:eastAsia="es-ES"/>
        </w:rPr>
      </w:pPr>
    </w:p>
    <w:p w14:paraId="737EC265" w14:textId="77777777" w:rsidR="00FE2147" w:rsidRPr="005C1BCA" w:rsidRDefault="00FE2147" w:rsidP="005C1BCA">
      <w:pPr>
        <w:tabs>
          <w:tab w:val="left" w:pos="0"/>
          <w:tab w:val="right" w:pos="9356"/>
        </w:tabs>
        <w:spacing w:after="0" w:line="240" w:lineRule="auto"/>
        <w:contextualSpacing/>
        <w:jc w:val="center"/>
        <w:rPr>
          <w:rFonts w:ascii="Bookman Old Style" w:eastAsia="Times New Roman" w:hAnsi="Bookman Old Style" w:cs="Arial"/>
          <w:b/>
          <w:snapToGrid w:val="0"/>
          <w:color w:val="000000"/>
          <w:sz w:val="24"/>
          <w:szCs w:val="24"/>
          <w:lang w:val="es-ES_tradnl" w:eastAsia="es-ES"/>
        </w:rPr>
      </w:pPr>
    </w:p>
    <w:p w14:paraId="60F49FE4" w14:textId="77777777"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Times New Roman"/>
          <w:snapToGrid w:val="0"/>
          <w:color w:val="000000"/>
          <w:sz w:val="24"/>
          <w:szCs w:val="24"/>
          <w:lang w:val="es-ES_tradnl" w:eastAsia="es-ES"/>
        </w:rPr>
      </w:pPr>
      <w:r w:rsidRPr="005C1BCA">
        <w:rPr>
          <w:rFonts w:ascii="Bookman Old Style" w:eastAsia="Times New Roman" w:hAnsi="Bookman Old Style" w:cs="Times New Roman"/>
          <w:snapToGrid w:val="0"/>
          <w:color w:val="000000"/>
          <w:sz w:val="24"/>
          <w:szCs w:val="24"/>
          <w:lang w:val="es-ES_tradnl" w:eastAsia="es-ES"/>
        </w:rPr>
        <w:t>(                                  )</w:t>
      </w:r>
    </w:p>
    <w:p w14:paraId="23A6C9C4" w14:textId="77777777" w:rsidR="005C1BCA" w:rsidRPr="005C1BCA" w:rsidRDefault="005C1BCA" w:rsidP="005C1BCA">
      <w:pPr>
        <w:spacing w:after="0" w:line="240" w:lineRule="auto"/>
        <w:contextualSpacing/>
        <w:rPr>
          <w:rFonts w:ascii="Bookman Old Style" w:eastAsia="Times New Roman" w:hAnsi="Bookman Old Style" w:cs="Times New Roman"/>
          <w:bCs/>
          <w:sz w:val="24"/>
          <w:szCs w:val="24"/>
          <w:lang w:eastAsia="es-ES"/>
        </w:rPr>
      </w:pPr>
    </w:p>
    <w:p w14:paraId="4DEF8FAE" w14:textId="77777777" w:rsidR="005700D8" w:rsidRDefault="005700D8" w:rsidP="00E368AA">
      <w:pPr>
        <w:spacing w:after="0" w:line="240" w:lineRule="auto"/>
        <w:jc w:val="center"/>
        <w:rPr>
          <w:rFonts w:ascii="Bookman Old Style" w:eastAsia="Times New Roman" w:hAnsi="Bookman Old Style" w:cs="Times New Roman"/>
          <w:sz w:val="24"/>
          <w:szCs w:val="24"/>
          <w:lang w:val="es-ES" w:eastAsia="es-ES"/>
        </w:rPr>
      </w:pPr>
    </w:p>
    <w:p w14:paraId="5097392C" w14:textId="3EF97A6D" w:rsidR="00E368AA" w:rsidRPr="00E368AA" w:rsidRDefault="00E368AA" w:rsidP="00E368AA">
      <w:pPr>
        <w:spacing w:after="0" w:line="240" w:lineRule="auto"/>
        <w:jc w:val="center"/>
        <w:rPr>
          <w:rFonts w:ascii="Bookman Old Style" w:eastAsia="Times New Roman" w:hAnsi="Bookman Old Style" w:cs="Times New Roman"/>
          <w:sz w:val="24"/>
          <w:szCs w:val="24"/>
          <w:lang w:val="es-ES" w:eastAsia="es-ES"/>
        </w:rPr>
      </w:pPr>
      <w:r w:rsidRPr="00E368AA">
        <w:rPr>
          <w:rFonts w:ascii="Bookman Old Style" w:eastAsia="Times New Roman" w:hAnsi="Bookman Old Style" w:cs="Times New Roman"/>
          <w:sz w:val="24"/>
          <w:szCs w:val="24"/>
          <w:lang w:val="es-ES" w:eastAsia="es-ES"/>
        </w:rPr>
        <w:t>Por la cual se ordena hacer público un proyecto de resolución de carácter general, “</w:t>
      </w:r>
      <w:r>
        <w:rPr>
          <w:rFonts w:ascii="Bookman Old Style" w:eastAsia="Times New Roman" w:hAnsi="Bookman Old Style" w:cs="Times New Roman"/>
          <w:sz w:val="24"/>
          <w:szCs w:val="24"/>
          <w:lang w:val="es-ES" w:eastAsia="es-ES"/>
        </w:rPr>
        <w:t xml:space="preserve">Por la cual se modifica </w:t>
      </w:r>
      <w:r w:rsidR="00F15D17">
        <w:rPr>
          <w:rFonts w:ascii="Bookman Old Style" w:eastAsia="Times New Roman" w:hAnsi="Bookman Old Style" w:cs="Times New Roman"/>
          <w:sz w:val="24"/>
          <w:szCs w:val="24"/>
          <w:lang w:val="es-ES" w:eastAsia="es-ES"/>
        </w:rPr>
        <w:t>el artículo 14 de la Resolución CREG 126 de 2010</w:t>
      </w:r>
      <w:r w:rsidRPr="00E368AA">
        <w:rPr>
          <w:rFonts w:ascii="Bookman Old Style" w:eastAsia="Times New Roman" w:hAnsi="Bookman Old Style" w:cs="Times New Roman"/>
          <w:sz w:val="24"/>
          <w:szCs w:val="24"/>
          <w:lang w:val="es-ES" w:eastAsia="es-ES"/>
        </w:rPr>
        <w:t>”</w:t>
      </w:r>
    </w:p>
    <w:p w14:paraId="54792613" w14:textId="77777777" w:rsidR="00E368AA" w:rsidRPr="00E368AA" w:rsidRDefault="00E368AA" w:rsidP="00E368AA">
      <w:pPr>
        <w:spacing w:after="0" w:line="240" w:lineRule="auto"/>
        <w:ind w:left="567" w:right="51"/>
        <w:rPr>
          <w:rFonts w:ascii="Bookman Old Style" w:eastAsia="Times New Roman" w:hAnsi="Bookman Old Style" w:cs="Times New Roman"/>
          <w:sz w:val="24"/>
          <w:szCs w:val="24"/>
          <w:lang w:val="es-ES" w:eastAsia="es-ES"/>
        </w:rPr>
      </w:pPr>
    </w:p>
    <w:p w14:paraId="46B67F9E" w14:textId="77777777" w:rsidR="00E368AA" w:rsidRPr="00E368AA" w:rsidRDefault="00E368AA" w:rsidP="00E368AA">
      <w:pPr>
        <w:spacing w:after="0" w:line="240" w:lineRule="auto"/>
        <w:ind w:left="567" w:right="51"/>
        <w:jc w:val="center"/>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t>LA COMISIÓN DE REGULACIÓN DE</w:t>
      </w:r>
      <w:r w:rsidRPr="00E368AA">
        <w:rPr>
          <w:rFonts w:ascii="Bookman Old Style" w:eastAsia="Times New Roman" w:hAnsi="Bookman Old Style" w:cs="Times New Roman"/>
          <w:b/>
          <w:sz w:val="24"/>
          <w:szCs w:val="24"/>
          <w:lang w:val="es-ES" w:eastAsia="es-ES"/>
        </w:rPr>
        <w:t xml:space="preserve"> ENERGÍA Y GAS</w:t>
      </w:r>
    </w:p>
    <w:p w14:paraId="624AACA2" w14:textId="77777777" w:rsidR="00E368AA" w:rsidRPr="00E368AA" w:rsidRDefault="00E368AA" w:rsidP="00E368AA">
      <w:pPr>
        <w:spacing w:after="0" w:line="240" w:lineRule="auto"/>
        <w:ind w:right="51"/>
        <w:rPr>
          <w:rFonts w:ascii="Bookman Old Style" w:eastAsia="Times New Roman" w:hAnsi="Bookman Old Style" w:cs="Times New Roman"/>
          <w:sz w:val="24"/>
          <w:szCs w:val="24"/>
          <w:lang w:val="es-ES" w:eastAsia="es-ES"/>
        </w:rPr>
      </w:pPr>
    </w:p>
    <w:p w14:paraId="65CDB3B1" w14:textId="77777777" w:rsidR="00E368AA" w:rsidRPr="00E368AA" w:rsidRDefault="00E368AA" w:rsidP="00E368AA">
      <w:pPr>
        <w:spacing w:after="0" w:line="240" w:lineRule="auto"/>
        <w:ind w:right="51"/>
        <w:rPr>
          <w:rFonts w:ascii="Bookman Old Style" w:eastAsia="Times New Roman" w:hAnsi="Bookman Old Style" w:cs="Times New Roman"/>
          <w:sz w:val="24"/>
          <w:szCs w:val="24"/>
          <w:lang w:val="es-ES" w:eastAsia="es-ES"/>
        </w:rPr>
      </w:pPr>
    </w:p>
    <w:p w14:paraId="1F737C46" w14:textId="5714AD12" w:rsidR="00E368AA" w:rsidRDefault="00E368AA" w:rsidP="00E368AA">
      <w:pPr>
        <w:spacing w:after="0" w:line="240" w:lineRule="auto"/>
        <w:jc w:val="center"/>
        <w:rPr>
          <w:rFonts w:ascii="Bookman Old Style" w:eastAsia="Times New Roman" w:hAnsi="Bookman Old Style" w:cs="Times New Roman"/>
          <w:sz w:val="24"/>
          <w:szCs w:val="24"/>
          <w:lang w:val="es-ES" w:eastAsia="es-ES"/>
        </w:rPr>
      </w:pPr>
      <w:r w:rsidRPr="00E368AA">
        <w:rPr>
          <w:rFonts w:ascii="Bookman Old Style" w:eastAsia="Times New Roman" w:hAnsi="Bookman Old Style" w:cs="Times New Roman"/>
          <w:sz w:val="24"/>
          <w:szCs w:val="24"/>
          <w:lang w:val="es-ES" w:eastAsia="es-ES"/>
        </w:rPr>
        <w:t>En ejercicio de las atribuciones constitucionales y legales, en especial las conferidas por las leyes 142 de 1994 y en desarrollo de lo</w:t>
      </w:r>
      <w:r w:rsidR="00F15D17">
        <w:rPr>
          <w:rFonts w:ascii="Bookman Old Style" w:eastAsia="Times New Roman" w:hAnsi="Bookman Old Style" w:cs="Times New Roman"/>
          <w:sz w:val="24"/>
          <w:szCs w:val="24"/>
          <w:lang w:val="es-ES" w:eastAsia="es-ES"/>
        </w:rPr>
        <w:t>s Decretos 1523 y 2253 de 1994,</w:t>
      </w:r>
      <w:r w:rsidRPr="00E368AA">
        <w:rPr>
          <w:rFonts w:ascii="Bookman Old Style" w:eastAsia="Times New Roman" w:hAnsi="Bookman Old Style" w:cs="Times New Roman"/>
          <w:sz w:val="24"/>
          <w:szCs w:val="24"/>
          <w:lang w:val="es-ES" w:eastAsia="es-ES"/>
        </w:rPr>
        <w:t xml:space="preserve"> 1260 de 2013</w:t>
      </w:r>
      <w:r w:rsidR="00F15D17">
        <w:rPr>
          <w:rFonts w:ascii="Bookman Old Style" w:eastAsia="Times New Roman" w:hAnsi="Bookman Old Style" w:cs="Times New Roman"/>
          <w:sz w:val="24"/>
          <w:szCs w:val="24"/>
          <w:lang w:val="es-ES" w:eastAsia="es-ES"/>
        </w:rPr>
        <w:t>, 270 de 2017</w:t>
      </w:r>
      <w:r w:rsidRPr="00E368AA">
        <w:rPr>
          <w:rFonts w:ascii="Bookman Old Style" w:eastAsia="Times New Roman" w:hAnsi="Bookman Old Style" w:cs="Times New Roman"/>
          <w:sz w:val="24"/>
          <w:szCs w:val="24"/>
          <w:lang w:val="es-ES" w:eastAsia="es-ES"/>
        </w:rPr>
        <w:t xml:space="preserve"> y</w:t>
      </w:r>
    </w:p>
    <w:p w14:paraId="2C733D48" w14:textId="77777777" w:rsidR="00E368AA" w:rsidRPr="00E368AA" w:rsidRDefault="00E368AA" w:rsidP="00E368AA">
      <w:pPr>
        <w:spacing w:after="0" w:line="240" w:lineRule="auto"/>
        <w:jc w:val="center"/>
        <w:rPr>
          <w:rFonts w:ascii="Bookman Old Style" w:eastAsia="Times New Roman" w:hAnsi="Bookman Old Style" w:cs="Times New Roman"/>
          <w:sz w:val="24"/>
          <w:szCs w:val="24"/>
          <w:lang w:val="es-ES" w:eastAsia="es-ES"/>
        </w:rPr>
      </w:pPr>
    </w:p>
    <w:p w14:paraId="5C02C14E" w14:textId="77777777" w:rsidR="00E368AA" w:rsidRPr="00E368AA" w:rsidRDefault="00E368AA" w:rsidP="00E368AA">
      <w:pPr>
        <w:spacing w:after="0" w:line="240" w:lineRule="auto"/>
        <w:ind w:left="567" w:right="51"/>
        <w:rPr>
          <w:rFonts w:ascii="Bookman Old Style" w:eastAsia="Times New Roman" w:hAnsi="Bookman Old Style" w:cs="Times New Roman"/>
          <w:sz w:val="24"/>
          <w:szCs w:val="24"/>
          <w:lang w:val="es-ES" w:eastAsia="es-ES"/>
        </w:rPr>
      </w:pPr>
    </w:p>
    <w:p w14:paraId="70BEB87B" w14:textId="77777777" w:rsidR="00E368AA" w:rsidRPr="00E368AA" w:rsidRDefault="00E368AA" w:rsidP="00E368AA">
      <w:pPr>
        <w:spacing w:after="0" w:line="240" w:lineRule="auto"/>
        <w:ind w:left="567" w:right="51"/>
        <w:jc w:val="center"/>
        <w:rPr>
          <w:rFonts w:ascii="Bookman Old Style" w:eastAsia="Times New Roman" w:hAnsi="Bookman Old Style" w:cs="Times New Roman"/>
          <w:b/>
          <w:sz w:val="24"/>
          <w:szCs w:val="24"/>
          <w:lang w:val="es-ES" w:eastAsia="es-ES"/>
        </w:rPr>
      </w:pPr>
      <w:r w:rsidRPr="00E368AA">
        <w:rPr>
          <w:rFonts w:ascii="Bookman Old Style" w:eastAsia="Times New Roman" w:hAnsi="Bookman Old Style" w:cs="Times New Roman"/>
          <w:b/>
          <w:sz w:val="24"/>
          <w:szCs w:val="24"/>
          <w:lang w:val="es-ES" w:eastAsia="es-ES"/>
        </w:rPr>
        <w:t xml:space="preserve">C O N S I D E R A N D O </w:t>
      </w:r>
      <w:r>
        <w:rPr>
          <w:rFonts w:ascii="Bookman Old Style" w:eastAsia="Times New Roman" w:hAnsi="Bookman Old Style" w:cs="Times New Roman"/>
          <w:b/>
          <w:sz w:val="24"/>
          <w:szCs w:val="24"/>
          <w:lang w:val="es-ES" w:eastAsia="es-ES"/>
        </w:rPr>
        <w:t xml:space="preserve"> </w:t>
      </w:r>
      <w:r w:rsidRPr="00E368AA">
        <w:rPr>
          <w:rFonts w:ascii="Bookman Old Style" w:eastAsia="Times New Roman" w:hAnsi="Bookman Old Style" w:cs="Times New Roman"/>
          <w:b/>
          <w:sz w:val="24"/>
          <w:szCs w:val="24"/>
          <w:lang w:val="es-ES" w:eastAsia="es-ES"/>
        </w:rPr>
        <w:t xml:space="preserve"> Q U E:</w:t>
      </w:r>
    </w:p>
    <w:p w14:paraId="5FB83D25" w14:textId="77777777" w:rsidR="00E368AA" w:rsidRPr="00E368AA" w:rsidRDefault="00E368AA" w:rsidP="00E368AA">
      <w:pPr>
        <w:spacing w:after="0" w:line="240" w:lineRule="auto"/>
        <w:ind w:left="567" w:right="51"/>
        <w:jc w:val="center"/>
        <w:rPr>
          <w:rFonts w:ascii="Bookman Old Style" w:eastAsia="Times New Roman" w:hAnsi="Bookman Old Style" w:cs="Times New Roman"/>
          <w:b/>
          <w:sz w:val="24"/>
          <w:szCs w:val="24"/>
          <w:lang w:val="es-ES" w:eastAsia="es-ES"/>
        </w:rPr>
      </w:pPr>
    </w:p>
    <w:p w14:paraId="3A0E9506" w14:textId="77777777" w:rsidR="00E368AA" w:rsidRPr="0007645D" w:rsidRDefault="00E368AA" w:rsidP="0007645D">
      <w:pPr>
        <w:spacing w:after="0" w:line="240" w:lineRule="auto"/>
        <w:ind w:left="-142" w:right="-142"/>
        <w:jc w:val="both"/>
        <w:rPr>
          <w:rFonts w:ascii="Bookman Old Style" w:eastAsia="Times New Roman" w:hAnsi="Bookman Old Style" w:cs="Times New Roman"/>
          <w:sz w:val="24"/>
          <w:szCs w:val="24"/>
          <w:lang w:val="es-ES" w:eastAsia="es-ES"/>
        </w:rPr>
      </w:pPr>
    </w:p>
    <w:p w14:paraId="1A040AD0" w14:textId="3D478E71" w:rsidR="00A83B17" w:rsidRPr="0007645D" w:rsidRDefault="00E368AA" w:rsidP="00A83B17">
      <w:pPr>
        <w:spacing w:after="0" w:line="240" w:lineRule="auto"/>
        <w:ind w:left="-142" w:right="-142"/>
        <w:jc w:val="both"/>
        <w:rPr>
          <w:rFonts w:ascii="Bookman Old Style" w:eastAsia="Times New Roman" w:hAnsi="Bookman Old Style" w:cs="Times New Roman"/>
          <w:sz w:val="24"/>
          <w:szCs w:val="24"/>
          <w:lang w:val="es-ES" w:eastAsia="es-ES"/>
        </w:rPr>
      </w:pPr>
      <w:r w:rsidRPr="0007645D">
        <w:rPr>
          <w:rFonts w:ascii="Bookman Old Style" w:eastAsia="Times New Roman" w:hAnsi="Bookman Old Style" w:cs="Times New Roman"/>
          <w:sz w:val="24"/>
          <w:szCs w:val="24"/>
          <w:lang w:val="es-ES" w:eastAsia="es-ES"/>
        </w:rPr>
        <w:t xml:space="preserve">Conforme a los dispuesto en el artículo 8 del Código de Procedimiento Administrativo y de lo Contencioso Administrativo, </w:t>
      </w:r>
      <w:r w:rsidR="00A83B17">
        <w:rPr>
          <w:rFonts w:ascii="Bookman Old Style" w:eastAsia="Times New Roman" w:hAnsi="Bookman Old Style" w:cs="Times New Roman"/>
          <w:sz w:val="24"/>
          <w:szCs w:val="24"/>
          <w:lang w:val="es-ES" w:eastAsia="es-ES"/>
        </w:rPr>
        <w:t>el artículo 5 del Decreto 270 de 2017</w:t>
      </w:r>
      <w:r w:rsidR="00A83B17">
        <w:rPr>
          <w:rStyle w:val="Refdenotaalpie"/>
          <w:rFonts w:ascii="Bookman Old Style" w:eastAsia="Times New Roman" w:hAnsi="Bookman Old Style" w:cs="Times New Roman"/>
          <w:sz w:val="24"/>
          <w:szCs w:val="24"/>
          <w:lang w:val="es-ES" w:eastAsia="es-ES"/>
        </w:rPr>
        <w:footnoteReference w:id="1"/>
      </w:r>
      <w:r w:rsidR="00A83B17">
        <w:rPr>
          <w:rFonts w:ascii="Bookman Old Style" w:eastAsia="Times New Roman" w:hAnsi="Bookman Old Style" w:cs="Times New Roman"/>
          <w:sz w:val="24"/>
          <w:szCs w:val="24"/>
          <w:lang w:val="es-ES" w:eastAsia="es-ES"/>
        </w:rPr>
        <w:t xml:space="preserve"> y la Resolución CREG 035 de 2017, </w:t>
      </w:r>
      <w:r w:rsidR="00A83B17" w:rsidRPr="0007645D">
        <w:rPr>
          <w:rFonts w:ascii="Bookman Old Style" w:eastAsia="Times New Roman" w:hAnsi="Bookman Old Style" w:cs="Times New Roman"/>
          <w:sz w:val="24"/>
          <w:szCs w:val="24"/>
          <w:lang w:val="es-ES" w:eastAsia="es-ES"/>
        </w:rPr>
        <w:t>la Comisión debe hacer público en su página web todos los proyectos de resolución que pretenda adoptar.</w:t>
      </w:r>
    </w:p>
    <w:p w14:paraId="7EC6A590" w14:textId="77777777" w:rsidR="00E368AA" w:rsidRPr="00E368AA" w:rsidRDefault="00E368AA" w:rsidP="00A83B17">
      <w:pPr>
        <w:spacing w:after="0" w:line="240" w:lineRule="auto"/>
        <w:ind w:right="-142"/>
        <w:jc w:val="both"/>
        <w:rPr>
          <w:rFonts w:ascii="Bookman Old Style" w:eastAsia="Times New Roman" w:hAnsi="Bookman Old Style" w:cs="Times New Roman"/>
          <w:sz w:val="24"/>
          <w:szCs w:val="24"/>
          <w:lang w:val="es-ES" w:eastAsia="es-ES"/>
        </w:rPr>
      </w:pPr>
    </w:p>
    <w:p w14:paraId="25CA7542" w14:textId="0C917BE4" w:rsidR="00E368AA" w:rsidRPr="00E368AA" w:rsidRDefault="00E368AA" w:rsidP="0007645D">
      <w:pPr>
        <w:spacing w:after="0" w:line="240" w:lineRule="auto"/>
        <w:ind w:left="-142" w:right="-142"/>
        <w:jc w:val="both"/>
        <w:rPr>
          <w:rFonts w:ascii="Bookman Old Style" w:eastAsia="Times New Roman" w:hAnsi="Bookman Old Style" w:cs="Times New Roman"/>
          <w:sz w:val="24"/>
          <w:szCs w:val="24"/>
          <w:lang w:val="es-ES" w:eastAsia="es-ES"/>
        </w:rPr>
      </w:pPr>
      <w:r w:rsidRPr="00E368AA">
        <w:rPr>
          <w:rFonts w:ascii="Bookman Old Style" w:eastAsia="Times New Roman" w:hAnsi="Bookman Old Style" w:cs="Times New Roman"/>
          <w:sz w:val="24"/>
          <w:szCs w:val="24"/>
          <w:lang w:val="es-ES" w:eastAsia="es-ES"/>
        </w:rPr>
        <w:t>La Comisión de Regulación</w:t>
      </w:r>
      <w:r w:rsidR="005608AD">
        <w:rPr>
          <w:rFonts w:ascii="Bookman Old Style" w:eastAsia="Times New Roman" w:hAnsi="Bookman Old Style" w:cs="Times New Roman"/>
          <w:sz w:val="24"/>
          <w:szCs w:val="24"/>
          <w:lang w:val="es-ES" w:eastAsia="es-ES"/>
        </w:rPr>
        <w:t xml:space="preserve"> de Energía y Gas, en su Sesión 793 del 8</w:t>
      </w:r>
      <w:r w:rsidRPr="00E368AA">
        <w:rPr>
          <w:rFonts w:ascii="Bookman Old Style" w:eastAsia="Times New Roman" w:hAnsi="Bookman Old Style" w:cs="Times New Roman"/>
          <w:sz w:val="24"/>
          <w:szCs w:val="24"/>
          <w:lang w:val="es-ES" w:eastAsia="es-ES"/>
        </w:rPr>
        <w:t xml:space="preserve"> de </w:t>
      </w:r>
      <w:r w:rsidR="00A83B17">
        <w:rPr>
          <w:rFonts w:ascii="Bookman Old Style" w:eastAsia="Times New Roman" w:hAnsi="Bookman Old Style" w:cs="Times New Roman"/>
          <w:sz w:val="24"/>
          <w:szCs w:val="24"/>
          <w:lang w:val="es-ES" w:eastAsia="es-ES"/>
        </w:rPr>
        <w:t>agosto</w:t>
      </w:r>
      <w:r w:rsidRPr="00E368AA">
        <w:rPr>
          <w:rFonts w:ascii="Bookman Old Style" w:eastAsia="Times New Roman" w:hAnsi="Bookman Old Style" w:cs="Times New Roman"/>
          <w:sz w:val="24"/>
          <w:szCs w:val="24"/>
          <w:lang w:val="es-ES" w:eastAsia="es-ES"/>
        </w:rPr>
        <w:t xml:space="preserve"> de </w:t>
      </w:r>
      <w:r>
        <w:rPr>
          <w:rFonts w:ascii="Bookman Old Style" w:eastAsia="Times New Roman" w:hAnsi="Bookman Old Style" w:cs="Times New Roman"/>
          <w:sz w:val="24"/>
          <w:szCs w:val="24"/>
          <w:lang w:val="es-ES" w:eastAsia="es-ES"/>
        </w:rPr>
        <w:t>2017</w:t>
      </w:r>
      <w:r w:rsidRPr="00E368AA">
        <w:rPr>
          <w:rFonts w:ascii="Bookman Old Style" w:eastAsia="Times New Roman" w:hAnsi="Bookman Old Style" w:cs="Times New Roman"/>
          <w:sz w:val="24"/>
          <w:szCs w:val="24"/>
          <w:lang w:val="es-ES" w:eastAsia="es-ES"/>
        </w:rPr>
        <w:t xml:space="preserve"> acordó expedir esta resolución.</w:t>
      </w:r>
    </w:p>
    <w:p w14:paraId="630126D6" w14:textId="77777777" w:rsidR="00E368AA" w:rsidRPr="00E368AA" w:rsidRDefault="00E368AA" w:rsidP="00E368AA">
      <w:pPr>
        <w:spacing w:after="0" w:line="240" w:lineRule="auto"/>
        <w:rPr>
          <w:rFonts w:ascii="Bookman Old Style" w:eastAsia="Times New Roman" w:hAnsi="Bookman Old Style" w:cs="Times New Roman"/>
          <w:sz w:val="24"/>
          <w:szCs w:val="24"/>
          <w:lang w:val="es-ES" w:eastAsia="es-ES"/>
        </w:rPr>
      </w:pPr>
    </w:p>
    <w:p w14:paraId="3E3BD2FB" w14:textId="77777777" w:rsidR="00E368AA" w:rsidRPr="00E368AA" w:rsidRDefault="00E368AA" w:rsidP="00E368AA">
      <w:pPr>
        <w:suppressAutoHyphens/>
        <w:spacing w:after="0" w:line="240" w:lineRule="auto"/>
        <w:ind w:left="567"/>
        <w:jc w:val="center"/>
        <w:rPr>
          <w:rFonts w:ascii="Bookman Old Style" w:eastAsia="Times New Roman" w:hAnsi="Bookman Old Style" w:cs="Times New Roman"/>
          <w:b/>
          <w:spacing w:val="-3"/>
          <w:sz w:val="24"/>
          <w:szCs w:val="24"/>
          <w:lang w:val="es-ES" w:eastAsia="es-ES"/>
        </w:rPr>
      </w:pPr>
    </w:p>
    <w:p w14:paraId="1819CEF6" w14:textId="77777777" w:rsidR="00E368AA" w:rsidRPr="00E368AA" w:rsidRDefault="00E368AA" w:rsidP="00E368AA">
      <w:pPr>
        <w:suppressAutoHyphens/>
        <w:spacing w:after="0" w:line="240" w:lineRule="auto"/>
        <w:ind w:left="567"/>
        <w:jc w:val="center"/>
        <w:rPr>
          <w:rFonts w:ascii="Bookman Old Style" w:eastAsia="Times New Roman" w:hAnsi="Bookman Old Style" w:cs="Times New Roman"/>
          <w:spacing w:val="-3"/>
          <w:sz w:val="24"/>
          <w:szCs w:val="24"/>
          <w:lang w:val="es-ES" w:eastAsia="es-ES"/>
        </w:rPr>
      </w:pPr>
      <w:r w:rsidRPr="00E368AA">
        <w:rPr>
          <w:rFonts w:ascii="Bookman Old Style" w:eastAsia="Times New Roman" w:hAnsi="Bookman Old Style" w:cs="Times New Roman"/>
          <w:b/>
          <w:spacing w:val="-3"/>
          <w:sz w:val="24"/>
          <w:szCs w:val="24"/>
          <w:lang w:val="es-ES" w:eastAsia="es-ES"/>
        </w:rPr>
        <w:t>R E S U E L V E:</w:t>
      </w:r>
    </w:p>
    <w:p w14:paraId="31257CCC" w14:textId="77777777" w:rsidR="00E368AA" w:rsidRDefault="00E368AA" w:rsidP="00E368AA">
      <w:pPr>
        <w:spacing w:after="0" w:line="240" w:lineRule="auto"/>
        <w:ind w:left="567"/>
        <w:jc w:val="center"/>
        <w:rPr>
          <w:rFonts w:ascii="Bookman Old Style" w:eastAsia="Times New Roman" w:hAnsi="Bookman Old Style" w:cs="Times New Roman"/>
          <w:sz w:val="24"/>
          <w:szCs w:val="24"/>
          <w:lang w:val="es-ES" w:eastAsia="es-ES"/>
        </w:rPr>
      </w:pPr>
    </w:p>
    <w:p w14:paraId="7A67E046" w14:textId="77777777" w:rsidR="005700D8" w:rsidRPr="00E368AA" w:rsidRDefault="005700D8" w:rsidP="00E368AA">
      <w:pPr>
        <w:spacing w:after="0" w:line="240" w:lineRule="auto"/>
        <w:ind w:left="567"/>
        <w:jc w:val="center"/>
        <w:rPr>
          <w:rFonts w:ascii="Bookman Old Style" w:eastAsia="Times New Roman" w:hAnsi="Bookman Old Style" w:cs="Times New Roman"/>
          <w:sz w:val="24"/>
          <w:szCs w:val="24"/>
          <w:lang w:val="es-ES" w:eastAsia="es-ES"/>
        </w:rPr>
      </w:pPr>
    </w:p>
    <w:p w14:paraId="06317841" w14:textId="5B90DC76" w:rsidR="00E368AA" w:rsidRPr="00E368AA" w:rsidRDefault="00E368AA" w:rsidP="0007645D">
      <w:pPr>
        <w:spacing w:after="0" w:line="240" w:lineRule="auto"/>
        <w:ind w:left="-142" w:right="-142"/>
        <w:jc w:val="both"/>
        <w:rPr>
          <w:rFonts w:ascii="Bookman Old Style" w:eastAsia="Times New Roman" w:hAnsi="Bookman Old Style" w:cs="Times New Roman"/>
          <w:bCs/>
          <w:sz w:val="24"/>
          <w:szCs w:val="18"/>
          <w:lang w:eastAsia="es-ES"/>
        </w:rPr>
      </w:pPr>
      <w:r w:rsidRPr="00E368AA">
        <w:rPr>
          <w:rFonts w:ascii="Bookman Old Style" w:eastAsia="Times New Roman" w:hAnsi="Bookman Old Style" w:cs="Times New Roman"/>
          <w:b/>
          <w:sz w:val="24"/>
          <w:szCs w:val="24"/>
          <w:lang w:val="es-ES" w:eastAsia="es-ES"/>
        </w:rPr>
        <w:t>ARTÍCULO 1.</w:t>
      </w:r>
      <w:r w:rsidRPr="00E368AA">
        <w:rPr>
          <w:rFonts w:ascii="Bookman Old Style" w:eastAsia="Times New Roman" w:hAnsi="Bookman Old Style" w:cs="Times New Roman"/>
          <w:sz w:val="24"/>
          <w:szCs w:val="24"/>
          <w:lang w:val="es-ES" w:eastAsia="es-ES"/>
        </w:rPr>
        <w:t xml:space="preserve"> Hágase públ</w:t>
      </w:r>
      <w:r w:rsidR="00620E2D">
        <w:rPr>
          <w:rFonts w:ascii="Bookman Old Style" w:eastAsia="Times New Roman" w:hAnsi="Bookman Old Style" w:cs="Times New Roman"/>
          <w:sz w:val="24"/>
          <w:szCs w:val="24"/>
          <w:lang w:val="es-ES" w:eastAsia="es-ES"/>
        </w:rPr>
        <w:t>ico el proyecto de resolución “</w:t>
      </w:r>
      <w:r w:rsidR="00F15D17" w:rsidRPr="00F15D17">
        <w:rPr>
          <w:rFonts w:ascii="Bookman Old Style" w:eastAsia="Times New Roman" w:hAnsi="Bookman Old Style" w:cs="Times New Roman"/>
          <w:sz w:val="24"/>
          <w:szCs w:val="24"/>
          <w:lang w:val="es-ES" w:eastAsia="es-ES"/>
        </w:rPr>
        <w:t>Por la cual se modifica el artículo 14 de la Resolución CREG 126 de 2010</w:t>
      </w:r>
      <w:r w:rsidRPr="00E368AA">
        <w:rPr>
          <w:rFonts w:ascii="Bookman Old Style" w:eastAsia="Times New Roman" w:hAnsi="Bookman Old Style" w:cs="Times New Roman"/>
          <w:sz w:val="24"/>
          <w:szCs w:val="24"/>
          <w:lang w:val="es-ES" w:eastAsia="es-ES"/>
        </w:rPr>
        <w:t>”.</w:t>
      </w:r>
      <w:r w:rsidRPr="00E368AA">
        <w:rPr>
          <w:rFonts w:ascii="Bookman Old Style" w:eastAsia="Times New Roman" w:hAnsi="Bookman Old Style" w:cs="Times New Roman"/>
          <w:bCs/>
          <w:sz w:val="24"/>
          <w:szCs w:val="18"/>
          <w:lang w:eastAsia="es-ES"/>
        </w:rPr>
        <w:t xml:space="preserve"> </w:t>
      </w:r>
    </w:p>
    <w:p w14:paraId="32DEF66F" w14:textId="77777777" w:rsidR="00E368AA" w:rsidRPr="00E368AA" w:rsidRDefault="00E368AA" w:rsidP="00E368AA">
      <w:pPr>
        <w:spacing w:after="0" w:line="240" w:lineRule="auto"/>
        <w:ind w:left="567"/>
        <w:rPr>
          <w:rFonts w:ascii="Bookman Old Style" w:eastAsia="Times New Roman" w:hAnsi="Bookman Old Style" w:cs="Times New Roman"/>
          <w:sz w:val="24"/>
          <w:szCs w:val="24"/>
          <w:lang w:val="es-ES" w:eastAsia="es-ES"/>
        </w:rPr>
      </w:pPr>
    </w:p>
    <w:p w14:paraId="2EA0C93B" w14:textId="77777777" w:rsidR="00E368AA" w:rsidRPr="00E368AA" w:rsidRDefault="00E368AA" w:rsidP="0007645D">
      <w:pPr>
        <w:spacing w:after="0" w:line="240" w:lineRule="auto"/>
        <w:ind w:left="-142" w:right="-142"/>
        <w:jc w:val="both"/>
        <w:rPr>
          <w:rFonts w:ascii="Bookman Old Style" w:eastAsia="Times New Roman" w:hAnsi="Bookman Old Style" w:cs="Times New Roman"/>
          <w:i/>
          <w:szCs w:val="24"/>
          <w:lang w:val="es-ES" w:eastAsia="es-ES"/>
        </w:rPr>
      </w:pPr>
      <w:r w:rsidRPr="00E368AA">
        <w:rPr>
          <w:rFonts w:ascii="Bookman Old Style" w:eastAsia="Times New Roman" w:hAnsi="Bookman Old Style" w:cs="Times New Roman"/>
          <w:b/>
          <w:sz w:val="24"/>
          <w:szCs w:val="24"/>
          <w:lang w:val="es-ES" w:eastAsia="es-ES"/>
        </w:rPr>
        <w:t>ARTÍCULO 2.</w:t>
      </w:r>
      <w:r w:rsidRPr="00E368AA">
        <w:rPr>
          <w:rFonts w:ascii="Bookman Old Style" w:eastAsia="Times New Roman" w:hAnsi="Bookman Old Style" w:cs="Times New Roman"/>
          <w:i/>
          <w:szCs w:val="24"/>
          <w:lang w:val="es-ES" w:eastAsia="es-ES"/>
        </w:rPr>
        <w:t xml:space="preserve">  </w:t>
      </w:r>
      <w:r w:rsidRPr="00E368AA">
        <w:rPr>
          <w:rFonts w:ascii="Bookman Old Style" w:eastAsia="Times New Roman" w:hAnsi="Bookman Old Style" w:cs="Arial"/>
          <w:color w:val="000000"/>
          <w:sz w:val="24"/>
          <w:szCs w:val="27"/>
          <w:lang w:val="es-ES" w:eastAsia="es-ES"/>
        </w:rPr>
        <w:t xml:space="preserve">Se invita a los agentes, a los usuarios, </w:t>
      </w:r>
      <w:r w:rsidRPr="00E368AA">
        <w:rPr>
          <w:rFonts w:ascii="Bookman Old Style" w:eastAsia="Times New Roman" w:hAnsi="Bookman Old Style" w:cs="Arial"/>
          <w:sz w:val="24"/>
          <w:szCs w:val="24"/>
          <w:lang w:val="es-ES" w:eastAsia="es-ES"/>
        </w:rPr>
        <w:t xml:space="preserve">a las Autoridades Locales Municipales y </w:t>
      </w:r>
      <w:r w:rsidRPr="0007645D">
        <w:rPr>
          <w:rFonts w:ascii="Bookman Old Style" w:eastAsia="Times New Roman" w:hAnsi="Bookman Old Style" w:cs="Times New Roman"/>
          <w:sz w:val="24"/>
          <w:szCs w:val="27"/>
          <w:lang w:val="es-ES" w:eastAsia="es-ES"/>
        </w:rPr>
        <w:t>Departamentales</w:t>
      </w:r>
      <w:r w:rsidRPr="00E368AA">
        <w:rPr>
          <w:rFonts w:ascii="Bookman Old Style" w:eastAsia="Times New Roman" w:hAnsi="Bookman Old Style" w:cs="Arial"/>
          <w:sz w:val="24"/>
          <w:szCs w:val="24"/>
          <w:lang w:val="es-ES" w:eastAsia="es-ES"/>
        </w:rPr>
        <w:t xml:space="preserve"> competentes</w:t>
      </w:r>
      <w:r w:rsidRPr="00E368AA">
        <w:rPr>
          <w:rFonts w:ascii="Bookman Old Style" w:eastAsia="Times New Roman" w:hAnsi="Bookman Old Style" w:cs="Arial"/>
          <w:color w:val="000000"/>
          <w:sz w:val="24"/>
          <w:szCs w:val="27"/>
          <w:lang w:val="es-ES" w:eastAsia="es-ES"/>
        </w:rPr>
        <w:t xml:space="preserve"> y a la Superintendencia de Servicios Públicos Domiciliarios, para que remitan sus observaciones o sugerencias sobre la propuesta, dentro de los </w:t>
      </w:r>
      <w:r>
        <w:rPr>
          <w:rFonts w:ascii="Bookman Old Style" w:eastAsia="Times New Roman" w:hAnsi="Bookman Old Style" w:cs="Arial"/>
          <w:color w:val="000000"/>
          <w:sz w:val="24"/>
          <w:szCs w:val="27"/>
          <w:lang w:val="es-ES" w:eastAsia="es-ES"/>
        </w:rPr>
        <w:t>diez (1</w:t>
      </w:r>
      <w:r w:rsidRPr="00E368AA">
        <w:rPr>
          <w:rFonts w:ascii="Bookman Old Style" w:eastAsia="Times New Roman" w:hAnsi="Bookman Old Style" w:cs="Arial"/>
          <w:color w:val="000000"/>
          <w:sz w:val="24"/>
          <w:szCs w:val="27"/>
          <w:lang w:val="es-ES" w:eastAsia="es-ES"/>
        </w:rPr>
        <w:t>0) días hábiles siguientes a la publicación de la presente resolución en la página Web de la Comisión de Regulación de Energía y Gas.</w:t>
      </w:r>
      <w:r w:rsidRPr="00E368AA">
        <w:rPr>
          <w:rFonts w:ascii="Bookman Old Style" w:eastAsia="Times New Roman" w:hAnsi="Bookman Old Style" w:cs="Times New Roman"/>
          <w:i/>
          <w:szCs w:val="24"/>
          <w:lang w:val="es-ES" w:eastAsia="es-ES"/>
        </w:rPr>
        <w:t xml:space="preserve">    </w:t>
      </w:r>
    </w:p>
    <w:p w14:paraId="6954AC28" w14:textId="77777777" w:rsidR="00E368AA" w:rsidRPr="00E368AA" w:rsidRDefault="00E368AA" w:rsidP="00E368AA">
      <w:pPr>
        <w:spacing w:after="0" w:line="240" w:lineRule="auto"/>
        <w:ind w:left="567"/>
        <w:jc w:val="both"/>
        <w:rPr>
          <w:rFonts w:ascii="Bookman Old Style" w:eastAsia="Times New Roman" w:hAnsi="Bookman Old Style" w:cs="Times New Roman"/>
          <w:i/>
          <w:szCs w:val="24"/>
          <w:lang w:val="es-ES" w:eastAsia="es-ES"/>
        </w:rPr>
      </w:pPr>
    </w:p>
    <w:p w14:paraId="7E13C401" w14:textId="77777777" w:rsidR="005700D8" w:rsidRDefault="005700D8" w:rsidP="0007645D">
      <w:pPr>
        <w:spacing w:after="0" w:line="240" w:lineRule="auto"/>
        <w:ind w:left="-142" w:right="-142"/>
        <w:jc w:val="both"/>
        <w:rPr>
          <w:rFonts w:ascii="Bookman Old Style" w:eastAsia="Times New Roman" w:hAnsi="Bookman Old Style" w:cs="Arial"/>
          <w:b/>
          <w:bCs/>
          <w:color w:val="000000"/>
          <w:sz w:val="24"/>
          <w:szCs w:val="27"/>
          <w:lang w:val="es-ES" w:eastAsia="es-ES"/>
        </w:rPr>
      </w:pPr>
    </w:p>
    <w:p w14:paraId="705D5E8F" w14:textId="77777777" w:rsidR="00E368AA" w:rsidRPr="00E368AA" w:rsidRDefault="00E368AA" w:rsidP="0007645D">
      <w:pPr>
        <w:spacing w:after="0" w:line="240" w:lineRule="auto"/>
        <w:ind w:left="-142" w:right="-142"/>
        <w:jc w:val="both"/>
        <w:rPr>
          <w:rFonts w:ascii="Bookman Old Style" w:eastAsia="Times New Roman" w:hAnsi="Bookman Old Style" w:cs="Times New Roman"/>
          <w:sz w:val="24"/>
          <w:szCs w:val="24"/>
          <w:lang w:val="es-ES" w:eastAsia="es-ES"/>
        </w:rPr>
      </w:pPr>
      <w:r w:rsidRPr="00E368AA">
        <w:rPr>
          <w:rFonts w:ascii="Bookman Old Style" w:eastAsia="Times New Roman" w:hAnsi="Bookman Old Style" w:cs="Arial"/>
          <w:b/>
          <w:bCs/>
          <w:color w:val="000000"/>
          <w:sz w:val="24"/>
          <w:szCs w:val="27"/>
          <w:lang w:val="es-ES" w:eastAsia="es-ES"/>
        </w:rPr>
        <w:t>ARTÍCULO 3</w:t>
      </w:r>
      <w:r w:rsidRPr="00E368AA">
        <w:rPr>
          <w:rFonts w:ascii="Bookman Old Style" w:eastAsia="Times New Roman" w:hAnsi="Bookman Old Style" w:cs="Arial"/>
          <w:color w:val="000000"/>
          <w:sz w:val="24"/>
          <w:szCs w:val="27"/>
          <w:lang w:val="es-ES" w:eastAsia="es-ES"/>
        </w:rPr>
        <w:t xml:space="preserve">. </w:t>
      </w:r>
      <w:r w:rsidRPr="00E368AA">
        <w:rPr>
          <w:rFonts w:ascii="Bookman Old Style" w:eastAsia="Times New Roman" w:hAnsi="Bookman Old Style" w:cs="Times New Roman"/>
          <w:sz w:val="24"/>
          <w:szCs w:val="24"/>
          <w:lang w:val="es-ES" w:eastAsia="es-ES"/>
        </w:rPr>
        <w:t xml:space="preserve">Las observaciones y sugerencias sobre el proyecto deberán dirigirse al Director Ejecutivo de la Comisión, a la </w:t>
      </w:r>
      <w:r w:rsidRPr="0007645D">
        <w:rPr>
          <w:rFonts w:ascii="Bookman Old Style" w:eastAsia="Times New Roman" w:hAnsi="Bookman Old Style" w:cs="Arial"/>
          <w:color w:val="000000"/>
          <w:sz w:val="24"/>
          <w:szCs w:val="27"/>
          <w:lang w:val="es-ES" w:eastAsia="es-ES"/>
        </w:rPr>
        <w:t>siguiente</w:t>
      </w:r>
      <w:r w:rsidRPr="00E368AA">
        <w:rPr>
          <w:rFonts w:ascii="Bookman Old Style" w:eastAsia="Times New Roman" w:hAnsi="Bookman Old Style" w:cs="Times New Roman"/>
          <w:sz w:val="24"/>
          <w:szCs w:val="24"/>
          <w:lang w:val="es-ES" w:eastAsia="es-ES"/>
        </w:rPr>
        <w:t xml:space="preserve"> dirección: avenida calle 116 No. 7-15, Edificio Torre </w:t>
      </w:r>
      <w:proofErr w:type="spellStart"/>
      <w:r w:rsidRPr="00E368AA">
        <w:rPr>
          <w:rFonts w:ascii="Bookman Old Style" w:eastAsia="Times New Roman" w:hAnsi="Bookman Old Style" w:cs="Times New Roman"/>
          <w:sz w:val="24"/>
          <w:szCs w:val="24"/>
          <w:lang w:val="es-ES" w:eastAsia="es-ES"/>
        </w:rPr>
        <w:t>Cusezar</w:t>
      </w:r>
      <w:proofErr w:type="spellEnd"/>
      <w:r w:rsidRPr="00E368AA">
        <w:rPr>
          <w:rFonts w:ascii="Bookman Old Style" w:eastAsia="Times New Roman" w:hAnsi="Bookman Old Style" w:cs="Times New Roman"/>
          <w:sz w:val="24"/>
          <w:szCs w:val="24"/>
          <w:lang w:val="es-ES" w:eastAsia="es-ES"/>
        </w:rPr>
        <w:t xml:space="preserve">, Interior 2, oficina 901 o al correo electrónico </w:t>
      </w:r>
      <w:hyperlink r:id="rId10" w:history="1">
        <w:r w:rsidRPr="00E368AA">
          <w:rPr>
            <w:rFonts w:ascii="Bookman Old Style" w:eastAsia="Times New Roman" w:hAnsi="Bookman Old Style" w:cs="Times New Roman"/>
            <w:color w:val="0000FF"/>
            <w:sz w:val="24"/>
            <w:szCs w:val="24"/>
            <w:u w:val="single"/>
            <w:lang w:val="es-ES" w:eastAsia="es-ES"/>
          </w:rPr>
          <w:t>creg@creg.gov.co</w:t>
        </w:r>
      </w:hyperlink>
      <w:r w:rsidR="007B33D4">
        <w:rPr>
          <w:rFonts w:ascii="Bookman Old Style" w:eastAsia="Times New Roman" w:hAnsi="Bookman Old Style" w:cs="Times New Roman"/>
          <w:color w:val="0000FF"/>
          <w:sz w:val="24"/>
          <w:szCs w:val="24"/>
          <w:u w:val="single"/>
          <w:lang w:val="es-ES" w:eastAsia="es-ES"/>
        </w:rPr>
        <w:t>.</w:t>
      </w:r>
      <w:r w:rsidRPr="00E368AA">
        <w:rPr>
          <w:rFonts w:ascii="Bookman Old Style" w:eastAsia="Times New Roman" w:hAnsi="Bookman Old Style" w:cs="Times New Roman"/>
          <w:sz w:val="24"/>
          <w:szCs w:val="24"/>
          <w:lang w:val="es-ES" w:eastAsia="es-ES"/>
        </w:rPr>
        <w:t xml:space="preserve"> </w:t>
      </w:r>
    </w:p>
    <w:p w14:paraId="49018098" w14:textId="77777777" w:rsidR="00E368AA" w:rsidRPr="005700D8" w:rsidRDefault="00E368AA" w:rsidP="00E368AA">
      <w:pPr>
        <w:spacing w:after="0" w:line="240" w:lineRule="auto"/>
        <w:contextualSpacing/>
        <w:jc w:val="both"/>
        <w:rPr>
          <w:rFonts w:ascii="Bookman Old Style" w:eastAsia="Times New Roman" w:hAnsi="Bookman Old Style" w:cs="Arial"/>
          <w:color w:val="000000"/>
          <w:sz w:val="32"/>
          <w:szCs w:val="27"/>
          <w:lang w:val="es-ES" w:eastAsia="es-ES"/>
        </w:rPr>
      </w:pPr>
    </w:p>
    <w:p w14:paraId="59AF2FBE" w14:textId="77777777" w:rsidR="00E368AA" w:rsidRPr="00E368AA" w:rsidRDefault="00E368AA" w:rsidP="0007645D">
      <w:pPr>
        <w:spacing w:after="0" w:line="240" w:lineRule="auto"/>
        <w:ind w:left="-142" w:right="-142"/>
        <w:jc w:val="both"/>
        <w:rPr>
          <w:rFonts w:ascii="Bookman Old Style" w:eastAsia="Times New Roman" w:hAnsi="Bookman Old Style" w:cs="Arial"/>
          <w:color w:val="000000"/>
          <w:sz w:val="24"/>
          <w:szCs w:val="27"/>
          <w:lang w:val="es-ES" w:eastAsia="es-ES"/>
        </w:rPr>
      </w:pPr>
      <w:r w:rsidRPr="00E368AA">
        <w:rPr>
          <w:rFonts w:ascii="Bookman Old Style" w:eastAsia="Times New Roman" w:hAnsi="Bookman Old Style" w:cs="Arial"/>
          <w:b/>
          <w:bCs/>
          <w:color w:val="000000"/>
          <w:sz w:val="24"/>
          <w:szCs w:val="27"/>
          <w:lang w:val="es-ES" w:eastAsia="es-ES"/>
        </w:rPr>
        <w:t>ARTÍCULO 4</w:t>
      </w:r>
      <w:r w:rsidRPr="00E368AA">
        <w:rPr>
          <w:rFonts w:ascii="Bookman Old Style" w:eastAsia="Times New Roman" w:hAnsi="Bookman Old Style" w:cs="Arial"/>
          <w:color w:val="000000"/>
          <w:sz w:val="24"/>
          <w:szCs w:val="27"/>
          <w:lang w:val="es-ES" w:eastAsia="es-ES"/>
        </w:rPr>
        <w:t>. La presente resolución no deroga ni modifica disposiciones vigentes por tratarse de un acto de trámite.</w:t>
      </w:r>
    </w:p>
    <w:p w14:paraId="30C774C6" w14:textId="77777777" w:rsidR="00E368AA" w:rsidRPr="00E368AA" w:rsidRDefault="00E368AA" w:rsidP="00E368AA">
      <w:pPr>
        <w:spacing w:after="0" w:line="240" w:lineRule="auto"/>
        <w:rPr>
          <w:rFonts w:ascii="Bookman Old Style" w:eastAsia="Times New Roman" w:hAnsi="Bookman Old Style" w:cs="Times New Roman"/>
          <w:sz w:val="24"/>
          <w:szCs w:val="24"/>
          <w:lang w:val="es-ES" w:eastAsia="es-ES"/>
        </w:rPr>
      </w:pPr>
    </w:p>
    <w:p w14:paraId="6ED7A738" w14:textId="77777777" w:rsidR="00E368AA" w:rsidRPr="00E368AA" w:rsidRDefault="00E368AA" w:rsidP="00E368AA">
      <w:pPr>
        <w:spacing w:after="0" w:line="240" w:lineRule="auto"/>
        <w:rPr>
          <w:rFonts w:ascii="Bookman Old Style" w:eastAsia="Times New Roman" w:hAnsi="Bookman Old Style" w:cs="Times New Roman"/>
          <w:sz w:val="24"/>
          <w:szCs w:val="24"/>
          <w:lang w:val="es-ES" w:eastAsia="es-ES"/>
        </w:rPr>
      </w:pPr>
    </w:p>
    <w:p w14:paraId="623700A2" w14:textId="77777777" w:rsidR="00E368AA" w:rsidRPr="00E368AA" w:rsidRDefault="00E368AA" w:rsidP="00E368AA">
      <w:pPr>
        <w:spacing w:after="0" w:line="240" w:lineRule="auto"/>
        <w:ind w:left="567"/>
        <w:jc w:val="center"/>
        <w:rPr>
          <w:rFonts w:ascii="Bookman Old Style" w:eastAsia="Times New Roman" w:hAnsi="Bookman Old Style" w:cs="Times New Roman"/>
          <w:b/>
          <w:sz w:val="24"/>
          <w:szCs w:val="24"/>
          <w:lang w:val="es-ES" w:eastAsia="es-ES"/>
        </w:rPr>
      </w:pPr>
      <w:r w:rsidRPr="00E368AA">
        <w:rPr>
          <w:rFonts w:ascii="Bookman Old Style" w:eastAsia="Times New Roman" w:hAnsi="Bookman Old Style" w:cs="Times New Roman"/>
          <w:b/>
          <w:sz w:val="24"/>
          <w:szCs w:val="24"/>
          <w:lang w:val="es-ES" w:eastAsia="es-ES"/>
        </w:rPr>
        <w:t>PUBLÍQUESE Y CÚMPLASE</w:t>
      </w:r>
    </w:p>
    <w:p w14:paraId="73203944" w14:textId="77777777" w:rsidR="00E368AA" w:rsidRPr="00E368AA" w:rsidRDefault="00E368AA" w:rsidP="00E368AA">
      <w:pPr>
        <w:spacing w:after="0" w:line="240" w:lineRule="auto"/>
        <w:rPr>
          <w:rFonts w:ascii="Bookman Old Style" w:eastAsia="Times New Roman" w:hAnsi="Bookman Old Style" w:cs="Times New Roman"/>
          <w:sz w:val="24"/>
          <w:szCs w:val="24"/>
          <w:lang w:val="es-ES" w:eastAsia="es-ES"/>
        </w:rPr>
      </w:pPr>
    </w:p>
    <w:p w14:paraId="3641CD8E" w14:textId="77777777" w:rsidR="00E368AA" w:rsidRPr="00E368AA" w:rsidRDefault="00E368AA" w:rsidP="00E368AA">
      <w:pPr>
        <w:spacing w:after="0" w:line="240" w:lineRule="auto"/>
        <w:rPr>
          <w:rFonts w:ascii="Bookman Old Style" w:eastAsia="Times New Roman" w:hAnsi="Bookman Old Style" w:cs="Times New Roman"/>
          <w:sz w:val="24"/>
          <w:szCs w:val="24"/>
          <w:lang w:val="es-ES" w:eastAsia="es-ES"/>
        </w:rPr>
      </w:pPr>
      <w:r w:rsidRPr="00E368AA">
        <w:rPr>
          <w:rFonts w:ascii="Bookman Old Style" w:eastAsia="Times New Roman" w:hAnsi="Bookman Old Style" w:cs="Times New Roman"/>
          <w:sz w:val="24"/>
          <w:szCs w:val="24"/>
          <w:lang w:val="es-ES" w:eastAsia="es-ES"/>
        </w:rPr>
        <w:t>Dada en Bogotá, D.C. a</w:t>
      </w:r>
    </w:p>
    <w:p w14:paraId="15779123" w14:textId="77777777" w:rsidR="00E368AA" w:rsidRPr="00E368AA" w:rsidRDefault="00E368AA" w:rsidP="00E368AA">
      <w:pPr>
        <w:spacing w:after="0" w:line="240" w:lineRule="auto"/>
        <w:rPr>
          <w:rFonts w:ascii="Bookman Old Style" w:eastAsia="Times New Roman" w:hAnsi="Bookman Old Style" w:cs="Times New Roman"/>
          <w:sz w:val="24"/>
          <w:szCs w:val="24"/>
          <w:lang w:val="es-ES" w:eastAsia="es-ES"/>
        </w:rPr>
      </w:pPr>
    </w:p>
    <w:p w14:paraId="2707A94F" w14:textId="77777777" w:rsidR="00E368AA" w:rsidRPr="00E368AA" w:rsidRDefault="00E368AA" w:rsidP="00E368AA">
      <w:pPr>
        <w:spacing w:after="0" w:line="240" w:lineRule="auto"/>
        <w:rPr>
          <w:rFonts w:ascii="Bookman Old Style" w:eastAsia="Times New Roman" w:hAnsi="Bookman Old Style" w:cs="Times New Roman"/>
          <w:sz w:val="24"/>
          <w:szCs w:val="24"/>
          <w:lang w:val="es-ES" w:eastAsia="es-ES"/>
        </w:rPr>
      </w:pPr>
    </w:p>
    <w:p w14:paraId="6BF6FB03" w14:textId="77777777" w:rsidR="00E368AA" w:rsidRPr="00E368AA" w:rsidRDefault="00E368AA" w:rsidP="00E368AA">
      <w:pPr>
        <w:spacing w:after="0" w:line="240" w:lineRule="auto"/>
        <w:rPr>
          <w:rFonts w:ascii="Bookman Old Style" w:eastAsia="Times New Roman" w:hAnsi="Bookman Old Style" w:cs="Times New Roman"/>
          <w:sz w:val="24"/>
          <w:szCs w:val="24"/>
          <w:lang w:val="es-ES" w:eastAsia="es-ES"/>
        </w:rPr>
      </w:pPr>
    </w:p>
    <w:p w14:paraId="7D088E95" w14:textId="77777777" w:rsidR="00E368AA" w:rsidRPr="00E368AA" w:rsidRDefault="00E368AA" w:rsidP="00E368AA">
      <w:pPr>
        <w:spacing w:after="0" w:line="240" w:lineRule="auto"/>
        <w:rPr>
          <w:rFonts w:ascii="Bookman Old Style" w:eastAsia="Times New Roman" w:hAnsi="Bookman Old Style" w:cs="Times New Roman"/>
          <w:sz w:val="24"/>
          <w:szCs w:val="24"/>
          <w:lang w:val="es-ES" w:eastAsia="es-ES"/>
        </w:rPr>
      </w:pPr>
    </w:p>
    <w:p w14:paraId="4C52EAEE" w14:textId="77777777" w:rsidR="00E368AA" w:rsidRPr="00E368AA" w:rsidRDefault="00E368AA" w:rsidP="00E368AA">
      <w:pPr>
        <w:spacing w:after="0" w:line="240" w:lineRule="auto"/>
        <w:rPr>
          <w:rFonts w:ascii="Bookman Old Style" w:eastAsia="Times New Roman" w:hAnsi="Bookman Old Style" w:cs="Times New Roman"/>
          <w:sz w:val="24"/>
          <w:szCs w:val="24"/>
          <w:lang w:val="es-ES" w:eastAsia="es-ES"/>
        </w:rPr>
      </w:pPr>
    </w:p>
    <w:tbl>
      <w:tblPr>
        <w:tblW w:w="0" w:type="auto"/>
        <w:jc w:val="center"/>
        <w:tblLayout w:type="fixed"/>
        <w:tblCellMar>
          <w:left w:w="70" w:type="dxa"/>
          <w:right w:w="70" w:type="dxa"/>
        </w:tblCellMar>
        <w:tblLook w:val="0000" w:firstRow="0" w:lastRow="0" w:firstColumn="0" w:lastColumn="0" w:noHBand="0" w:noVBand="0"/>
      </w:tblPr>
      <w:tblGrid>
        <w:gridCol w:w="5067"/>
        <w:gridCol w:w="4429"/>
      </w:tblGrid>
      <w:tr w:rsidR="00E368AA" w:rsidRPr="00E368AA" w14:paraId="19863EC4" w14:textId="77777777" w:rsidTr="00BC5226">
        <w:trPr>
          <w:jc w:val="center"/>
        </w:trPr>
        <w:tc>
          <w:tcPr>
            <w:tcW w:w="5067" w:type="dxa"/>
          </w:tcPr>
          <w:p w14:paraId="240B8F98" w14:textId="77777777" w:rsidR="00E368AA" w:rsidRPr="00E368AA" w:rsidRDefault="00E368AA" w:rsidP="00E368AA">
            <w:pPr>
              <w:tabs>
                <w:tab w:val="left" w:pos="-720"/>
              </w:tabs>
              <w:suppressAutoHyphens/>
              <w:spacing w:after="0" w:line="240" w:lineRule="auto"/>
              <w:jc w:val="center"/>
              <w:rPr>
                <w:rFonts w:ascii="Bookman Old Style" w:eastAsia="Times New Roman" w:hAnsi="Bookman Old Style" w:cs="Arial"/>
                <w:b/>
                <w:spacing w:val="-3"/>
                <w:sz w:val="24"/>
                <w:szCs w:val="24"/>
                <w:lang w:val="es-ES" w:eastAsia="es-ES"/>
              </w:rPr>
            </w:pPr>
            <w:r w:rsidRPr="00E368AA">
              <w:rPr>
                <w:rFonts w:ascii="Bookman Old Style" w:eastAsia="Times New Roman" w:hAnsi="Bookman Old Style" w:cs="Arial"/>
                <w:b/>
                <w:spacing w:val="-3"/>
                <w:sz w:val="24"/>
                <w:szCs w:val="24"/>
                <w:lang w:val="es-ES" w:eastAsia="es-ES"/>
              </w:rPr>
              <w:t>RUTTY PAOLA ORTIZ JARA</w:t>
            </w:r>
          </w:p>
          <w:p w14:paraId="6A90799B" w14:textId="77777777" w:rsidR="00E368AA" w:rsidRPr="00E368AA" w:rsidRDefault="00E368AA" w:rsidP="00E368AA">
            <w:pPr>
              <w:tabs>
                <w:tab w:val="left" w:pos="-720"/>
              </w:tabs>
              <w:suppressAutoHyphens/>
              <w:spacing w:after="0" w:line="240" w:lineRule="auto"/>
              <w:jc w:val="center"/>
              <w:rPr>
                <w:rFonts w:ascii="Bookman Old Style" w:eastAsia="Times New Roman" w:hAnsi="Bookman Old Style" w:cs="Arial"/>
                <w:spacing w:val="-3"/>
                <w:sz w:val="24"/>
                <w:szCs w:val="24"/>
                <w:lang w:val="es-ES" w:eastAsia="es-ES"/>
              </w:rPr>
            </w:pPr>
            <w:r w:rsidRPr="00E368AA">
              <w:rPr>
                <w:rFonts w:ascii="Bookman Old Style" w:eastAsia="Times New Roman" w:hAnsi="Bookman Old Style" w:cs="Arial"/>
                <w:spacing w:val="-3"/>
                <w:sz w:val="24"/>
                <w:szCs w:val="24"/>
                <w:lang w:val="es-ES" w:eastAsia="es-ES"/>
              </w:rPr>
              <w:t>Viceministra de Energía</w:t>
            </w:r>
          </w:p>
          <w:p w14:paraId="439622C6" w14:textId="77777777" w:rsidR="00E368AA" w:rsidRPr="00E368AA" w:rsidRDefault="00E368AA" w:rsidP="00E368AA">
            <w:pPr>
              <w:tabs>
                <w:tab w:val="left" w:pos="-720"/>
              </w:tabs>
              <w:suppressAutoHyphens/>
              <w:spacing w:after="0" w:line="240" w:lineRule="auto"/>
              <w:jc w:val="center"/>
              <w:rPr>
                <w:rFonts w:ascii="Bookman Old Style" w:eastAsia="Times New Roman" w:hAnsi="Bookman Old Style" w:cs="Arial"/>
                <w:b/>
                <w:strike/>
                <w:spacing w:val="-3"/>
                <w:sz w:val="24"/>
                <w:szCs w:val="24"/>
                <w:lang w:val="es-ES" w:eastAsia="es-ES"/>
              </w:rPr>
            </w:pPr>
            <w:r w:rsidRPr="00E368AA">
              <w:rPr>
                <w:rFonts w:ascii="Bookman Old Style" w:eastAsia="Times New Roman" w:hAnsi="Bookman Old Style" w:cs="Arial"/>
                <w:spacing w:val="-3"/>
                <w:sz w:val="24"/>
                <w:szCs w:val="24"/>
                <w:lang w:val="es-ES" w:eastAsia="es-ES"/>
              </w:rPr>
              <w:t>Delegada del</w:t>
            </w:r>
            <w:r w:rsidRPr="00E368AA">
              <w:rPr>
                <w:rFonts w:ascii="Bookman Old Style" w:eastAsia="Times New Roman" w:hAnsi="Bookman Old Style" w:cs="Arial"/>
                <w:b/>
                <w:spacing w:val="-3"/>
                <w:sz w:val="24"/>
                <w:szCs w:val="24"/>
                <w:lang w:val="es-ES" w:eastAsia="es-ES"/>
              </w:rPr>
              <w:t xml:space="preserve"> </w:t>
            </w:r>
            <w:r w:rsidRPr="00E368AA">
              <w:rPr>
                <w:rFonts w:ascii="Bookman Old Style" w:eastAsia="Times New Roman" w:hAnsi="Bookman Old Style" w:cs="Times New Roman"/>
                <w:sz w:val="24"/>
                <w:szCs w:val="24"/>
                <w:lang w:val="es-ES" w:eastAsia="es-ES"/>
              </w:rPr>
              <w:t>Ministro de Minas y Energía</w:t>
            </w:r>
            <w:r w:rsidRPr="00E368AA">
              <w:rPr>
                <w:rFonts w:ascii="Times New Roman" w:eastAsia="Times New Roman" w:hAnsi="Times New Roman" w:cs="Times New Roman"/>
                <w:sz w:val="24"/>
                <w:szCs w:val="24"/>
                <w:lang w:val="es-ES" w:eastAsia="es-ES"/>
              </w:rPr>
              <w:t xml:space="preserve"> </w:t>
            </w:r>
            <w:r w:rsidRPr="00E368AA">
              <w:rPr>
                <w:rFonts w:ascii="Bookman Old Style" w:eastAsia="Times New Roman" w:hAnsi="Bookman Old Style" w:cs="Times New Roman"/>
                <w:sz w:val="24"/>
                <w:szCs w:val="24"/>
                <w:lang w:val="es-ES" w:eastAsia="es-ES"/>
              </w:rPr>
              <w:t>Presidente</w:t>
            </w:r>
          </w:p>
        </w:tc>
        <w:tc>
          <w:tcPr>
            <w:tcW w:w="4429" w:type="dxa"/>
          </w:tcPr>
          <w:p w14:paraId="71C0DC3F" w14:textId="77777777" w:rsidR="00E368AA" w:rsidRPr="00E368AA" w:rsidRDefault="00E368AA" w:rsidP="00E368AA">
            <w:pPr>
              <w:tabs>
                <w:tab w:val="left" w:pos="-720"/>
              </w:tabs>
              <w:suppressAutoHyphens/>
              <w:spacing w:after="0" w:line="240" w:lineRule="auto"/>
              <w:jc w:val="center"/>
              <w:rPr>
                <w:rFonts w:ascii="Bookman Old Style" w:eastAsia="Times New Roman" w:hAnsi="Bookman Old Style" w:cs="Arial"/>
                <w:b/>
                <w:sz w:val="24"/>
                <w:szCs w:val="24"/>
                <w:lang w:val="es-ES" w:eastAsia="es-ES"/>
              </w:rPr>
            </w:pPr>
            <w:r w:rsidRPr="00E368AA">
              <w:rPr>
                <w:rFonts w:ascii="Bookman Old Style" w:eastAsia="Times New Roman" w:hAnsi="Bookman Old Style" w:cs="Arial"/>
                <w:b/>
                <w:sz w:val="24"/>
                <w:szCs w:val="24"/>
                <w:lang w:val="es-ES" w:eastAsia="es-ES"/>
              </w:rPr>
              <w:t>GERMÁN CASTRO FERREIRA</w:t>
            </w:r>
          </w:p>
          <w:p w14:paraId="0ECE4052" w14:textId="77777777" w:rsidR="00E368AA" w:rsidRPr="00E368AA" w:rsidRDefault="00E368AA" w:rsidP="00E368AA">
            <w:pPr>
              <w:tabs>
                <w:tab w:val="left" w:pos="-720"/>
              </w:tabs>
              <w:suppressAutoHyphens/>
              <w:spacing w:after="0" w:line="240" w:lineRule="auto"/>
              <w:jc w:val="center"/>
              <w:rPr>
                <w:rFonts w:ascii="Bookman Old Style" w:eastAsia="Times New Roman" w:hAnsi="Bookman Old Style" w:cs="Arial"/>
                <w:b/>
                <w:spacing w:val="-3"/>
                <w:sz w:val="24"/>
                <w:szCs w:val="24"/>
                <w:lang w:val="es-ES" w:eastAsia="es-ES"/>
              </w:rPr>
            </w:pPr>
            <w:r w:rsidRPr="00E368AA">
              <w:rPr>
                <w:rFonts w:ascii="Bookman Old Style" w:eastAsia="Times New Roman" w:hAnsi="Bookman Old Style" w:cs="Arial"/>
                <w:spacing w:val="-3"/>
                <w:sz w:val="24"/>
                <w:szCs w:val="24"/>
                <w:lang w:val="es-ES" w:eastAsia="es-ES"/>
              </w:rPr>
              <w:t>Director Ejecutivo</w:t>
            </w:r>
          </w:p>
        </w:tc>
      </w:tr>
    </w:tbl>
    <w:p w14:paraId="4E22A8CA" w14:textId="77777777" w:rsidR="00E368AA" w:rsidRPr="00E368AA" w:rsidRDefault="00E368AA" w:rsidP="00E368AA">
      <w:pPr>
        <w:spacing w:after="0" w:line="240" w:lineRule="auto"/>
        <w:rPr>
          <w:rFonts w:ascii="Bookman Old Style" w:eastAsia="Times New Roman" w:hAnsi="Bookman Old Style" w:cs="Times New Roman"/>
          <w:sz w:val="24"/>
          <w:szCs w:val="24"/>
          <w:lang w:val="es-ES" w:eastAsia="es-ES"/>
        </w:rPr>
      </w:pPr>
    </w:p>
    <w:tbl>
      <w:tblPr>
        <w:tblW w:w="10129" w:type="dxa"/>
        <w:jc w:val="right"/>
        <w:tblLayout w:type="fixed"/>
        <w:tblCellMar>
          <w:left w:w="70" w:type="dxa"/>
          <w:right w:w="70" w:type="dxa"/>
        </w:tblCellMar>
        <w:tblLook w:val="0000" w:firstRow="0" w:lastRow="0" w:firstColumn="0" w:lastColumn="0" w:noHBand="0" w:noVBand="0"/>
      </w:tblPr>
      <w:tblGrid>
        <w:gridCol w:w="4871"/>
        <w:gridCol w:w="5258"/>
      </w:tblGrid>
      <w:tr w:rsidR="00E368AA" w:rsidRPr="00E368AA" w14:paraId="28A38298" w14:textId="77777777" w:rsidTr="00BC5226">
        <w:trPr>
          <w:jc w:val="right"/>
        </w:trPr>
        <w:tc>
          <w:tcPr>
            <w:tcW w:w="4871" w:type="dxa"/>
          </w:tcPr>
          <w:p w14:paraId="22B22114" w14:textId="77777777" w:rsidR="00E368AA" w:rsidRPr="00E368AA" w:rsidRDefault="00E368AA" w:rsidP="00E368AA">
            <w:pPr>
              <w:spacing w:after="0" w:line="240" w:lineRule="auto"/>
              <w:rPr>
                <w:rFonts w:ascii="Bookman Old Style" w:eastAsia="Times New Roman" w:hAnsi="Bookman Old Style" w:cs="Arial"/>
                <w:spacing w:val="-3"/>
                <w:sz w:val="24"/>
                <w:szCs w:val="24"/>
                <w:lang w:val="es-ES_tradnl" w:eastAsia="es-ES"/>
              </w:rPr>
            </w:pPr>
          </w:p>
        </w:tc>
        <w:tc>
          <w:tcPr>
            <w:tcW w:w="5258" w:type="dxa"/>
          </w:tcPr>
          <w:p w14:paraId="26ABD1FC" w14:textId="77777777" w:rsidR="00E368AA" w:rsidRPr="00E368AA" w:rsidRDefault="00E368AA" w:rsidP="00E368AA">
            <w:pPr>
              <w:spacing w:after="0" w:line="240" w:lineRule="auto"/>
              <w:ind w:left="567"/>
              <w:rPr>
                <w:rFonts w:ascii="Bookman Old Style" w:eastAsia="Times New Roman" w:hAnsi="Bookman Old Style" w:cs="Arial"/>
                <w:spacing w:val="-3"/>
                <w:sz w:val="24"/>
                <w:szCs w:val="24"/>
                <w:lang w:val="es-ES_tradnl" w:eastAsia="es-ES"/>
              </w:rPr>
            </w:pPr>
          </w:p>
        </w:tc>
      </w:tr>
      <w:tr w:rsidR="00E368AA" w:rsidRPr="00E368AA" w14:paraId="4214B272" w14:textId="77777777" w:rsidTr="00BC5226">
        <w:trPr>
          <w:jc w:val="right"/>
        </w:trPr>
        <w:tc>
          <w:tcPr>
            <w:tcW w:w="4871" w:type="dxa"/>
          </w:tcPr>
          <w:p w14:paraId="23D5D717" w14:textId="77777777" w:rsidR="00E368AA" w:rsidRPr="00E368AA" w:rsidRDefault="00E368AA" w:rsidP="00E368AA">
            <w:pPr>
              <w:spacing w:after="0" w:line="240" w:lineRule="auto"/>
              <w:ind w:left="567"/>
              <w:rPr>
                <w:rFonts w:ascii="Bookman Old Style" w:eastAsia="Times New Roman" w:hAnsi="Bookman Old Style" w:cs="Arial"/>
                <w:spacing w:val="-3"/>
                <w:sz w:val="24"/>
                <w:szCs w:val="24"/>
                <w:lang w:val="es-ES" w:eastAsia="es-ES"/>
              </w:rPr>
            </w:pPr>
          </w:p>
        </w:tc>
        <w:tc>
          <w:tcPr>
            <w:tcW w:w="5258" w:type="dxa"/>
          </w:tcPr>
          <w:p w14:paraId="5DA946F9" w14:textId="77777777" w:rsidR="00E368AA" w:rsidRPr="00E368AA" w:rsidRDefault="00E368AA" w:rsidP="00E368AA">
            <w:pPr>
              <w:spacing w:after="0" w:line="240" w:lineRule="auto"/>
              <w:ind w:left="567"/>
              <w:rPr>
                <w:rFonts w:ascii="Bookman Old Style" w:eastAsia="Times New Roman" w:hAnsi="Bookman Old Style" w:cs="Arial"/>
                <w:spacing w:val="-3"/>
                <w:sz w:val="24"/>
                <w:szCs w:val="24"/>
                <w:lang w:val="es-ES" w:eastAsia="es-ES"/>
              </w:rPr>
            </w:pPr>
          </w:p>
        </w:tc>
      </w:tr>
    </w:tbl>
    <w:p w14:paraId="2F0EA026" w14:textId="77777777" w:rsidR="00E368AA" w:rsidRPr="00E368AA" w:rsidRDefault="00E368AA" w:rsidP="00E368AA">
      <w:pPr>
        <w:spacing w:after="0" w:line="240" w:lineRule="auto"/>
        <w:rPr>
          <w:rFonts w:ascii="Bookman Old Style" w:eastAsia="Times New Roman" w:hAnsi="Bookman Old Style" w:cs="Times New Roman"/>
          <w:bCs/>
          <w:sz w:val="18"/>
          <w:szCs w:val="18"/>
          <w:lang w:eastAsia="es-ES"/>
        </w:rPr>
      </w:pPr>
    </w:p>
    <w:p w14:paraId="5F229863" w14:textId="77777777" w:rsidR="00E368AA" w:rsidRPr="00E368AA" w:rsidRDefault="00E368AA" w:rsidP="00E368AA">
      <w:pPr>
        <w:spacing w:after="0" w:line="240" w:lineRule="auto"/>
        <w:rPr>
          <w:rFonts w:ascii="Bookman Old Style" w:eastAsia="Times New Roman" w:hAnsi="Bookman Old Style" w:cs="Times New Roman"/>
          <w:bCs/>
          <w:sz w:val="18"/>
          <w:szCs w:val="18"/>
          <w:lang w:eastAsia="es-ES"/>
        </w:rPr>
      </w:pPr>
    </w:p>
    <w:p w14:paraId="4D3CEBD9" w14:textId="77777777" w:rsidR="00E368AA" w:rsidRPr="00E368AA" w:rsidRDefault="00E368AA" w:rsidP="00E368AA">
      <w:pPr>
        <w:spacing w:after="0" w:line="240" w:lineRule="auto"/>
        <w:rPr>
          <w:rFonts w:ascii="Bookman Old Style" w:eastAsia="Times New Roman" w:hAnsi="Bookman Old Style" w:cs="Times New Roman"/>
          <w:bCs/>
          <w:sz w:val="18"/>
          <w:szCs w:val="18"/>
          <w:lang w:eastAsia="es-ES"/>
        </w:rPr>
      </w:pPr>
    </w:p>
    <w:p w14:paraId="3530D486" w14:textId="77777777" w:rsidR="00E368AA" w:rsidRPr="00E368AA" w:rsidRDefault="00E368AA" w:rsidP="00E368AA">
      <w:pPr>
        <w:spacing w:after="0" w:line="240" w:lineRule="auto"/>
        <w:rPr>
          <w:rFonts w:ascii="Bookman Old Style" w:eastAsia="Times New Roman" w:hAnsi="Bookman Old Style" w:cs="Times New Roman"/>
          <w:bCs/>
          <w:sz w:val="18"/>
          <w:szCs w:val="18"/>
          <w:lang w:eastAsia="es-ES"/>
        </w:rPr>
      </w:pPr>
    </w:p>
    <w:p w14:paraId="2D55F9B7" w14:textId="77777777" w:rsidR="007F66B9" w:rsidRDefault="007F66B9" w:rsidP="005C1BCA">
      <w:pPr>
        <w:spacing w:after="0" w:line="240" w:lineRule="auto"/>
        <w:contextualSpacing/>
        <w:jc w:val="center"/>
        <w:rPr>
          <w:rFonts w:ascii="Bookman Old Style" w:eastAsia="Times New Roman" w:hAnsi="Bookman Old Style" w:cs="Times New Roman"/>
          <w:sz w:val="24"/>
          <w:szCs w:val="24"/>
          <w:lang w:eastAsia="es-ES"/>
        </w:rPr>
      </w:pPr>
    </w:p>
    <w:p w14:paraId="56599D92" w14:textId="77777777" w:rsidR="00E368AA" w:rsidRDefault="00E368AA" w:rsidP="005C1BCA">
      <w:pPr>
        <w:spacing w:after="0" w:line="240" w:lineRule="auto"/>
        <w:contextualSpacing/>
        <w:jc w:val="center"/>
        <w:rPr>
          <w:rFonts w:ascii="Bookman Old Style" w:eastAsia="Times New Roman" w:hAnsi="Bookman Old Style" w:cs="Times New Roman"/>
          <w:sz w:val="24"/>
          <w:szCs w:val="24"/>
          <w:lang w:eastAsia="es-ES"/>
        </w:rPr>
      </w:pPr>
    </w:p>
    <w:p w14:paraId="46FEDDCE" w14:textId="77777777" w:rsidR="00E368AA" w:rsidRDefault="00E368AA" w:rsidP="005C1BCA">
      <w:pPr>
        <w:spacing w:after="0" w:line="240" w:lineRule="auto"/>
        <w:contextualSpacing/>
        <w:jc w:val="center"/>
        <w:rPr>
          <w:rFonts w:ascii="Bookman Old Style" w:eastAsia="Times New Roman" w:hAnsi="Bookman Old Style" w:cs="Times New Roman"/>
          <w:sz w:val="24"/>
          <w:szCs w:val="24"/>
          <w:lang w:eastAsia="es-ES"/>
        </w:rPr>
      </w:pPr>
    </w:p>
    <w:p w14:paraId="3A8FF3AA" w14:textId="77777777" w:rsidR="00E368AA" w:rsidRDefault="00E368AA" w:rsidP="005C1BCA">
      <w:pPr>
        <w:spacing w:after="0" w:line="240" w:lineRule="auto"/>
        <w:contextualSpacing/>
        <w:jc w:val="center"/>
        <w:rPr>
          <w:rFonts w:ascii="Bookman Old Style" w:eastAsia="Times New Roman" w:hAnsi="Bookman Old Style" w:cs="Times New Roman"/>
          <w:sz w:val="24"/>
          <w:szCs w:val="24"/>
          <w:lang w:eastAsia="es-ES"/>
        </w:rPr>
      </w:pPr>
    </w:p>
    <w:p w14:paraId="3F8393B4" w14:textId="77777777" w:rsidR="00E368AA" w:rsidRDefault="00E368AA" w:rsidP="005C1BCA">
      <w:pPr>
        <w:spacing w:after="0" w:line="240" w:lineRule="auto"/>
        <w:contextualSpacing/>
        <w:jc w:val="center"/>
        <w:rPr>
          <w:rFonts w:ascii="Bookman Old Style" w:eastAsia="Times New Roman" w:hAnsi="Bookman Old Style" w:cs="Times New Roman"/>
          <w:sz w:val="24"/>
          <w:szCs w:val="24"/>
          <w:lang w:eastAsia="es-ES"/>
        </w:rPr>
      </w:pPr>
    </w:p>
    <w:p w14:paraId="35C63D27" w14:textId="77777777" w:rsidR="00E368AA" w:rsidRDefault="00E368AA" w:rsidP="005C1BCA">
      <w:pPr>
        <w:spacing w:after="0" w:line="240" w:lineRule="auto"/>
        <w:contextualSpacing/>
        <w:jc w:val="center"/>
        <w:rPr>
          <w:rFonts w:ascii="Bookman Old Style" w:eastAsia="Times New Roman" w:hAnsi="Bookman Old Style" w:cs="Times New Roman"/>
          <w:sz w:val="24"/>
          <w:szCs w:val="24"/>
          <w:lang w:eastAsia="es-ES"/>
        </w:rPr>
      </w:pPr>
    </w:p>
    <w:p w14:paraId="1124D611" w14:textId="77777777" w:rsidR="00E368AA" w:rsidRDefault="00E368AA" w:rsidP="005C1BCA">
      <w:pPr>
        <w:spacing w:after="0" w:line="240" w:lineRule="auto"/>
        <w:contextualSpacing/>
        <w:jc w:val="center"/>
        <w:rPr>
          <w:rFonts w:ascii="Bookman Old Style" w:eastAsia="Times New Roman" w:hAnsi="Bookman Old Style" w:cs="Times New Roman"/>
          <w:sz w:val="24"/>
          <w:szCs w:val="24"/>
          <w:lang w:eastAsia="es-ES"/>
        </w:rPr>
      </w:pPr>
    </w:p>
    <w:p w14:paraId="4D34F5EF" w14:textId="77777777" w:rsidR="00E368AA" w:rsidRDefault="00E368AA" w:rsidP="005C1BCA">
      <w:pPr>
        <w:spacing w:after="0" w:line="240" w:lineRule="auto"/>
        <w:contextualSpacing/>
        <w:jc w:val="center"/>
        <w:rPr>
          <w:rFonts w:ascii="Bookman Old Style" w:eastAsia="Times New Roman" w:hAnsi="Bookman Old Style" w:cs="Times New Roman"/>
          <w:sz w:val="24"/>
          <w:szCs w:val="24"/>
          <w:lang w:eastAsia="es-ES"/>
        </w:rPr>
      </w:pPr>
    </w:p>
    <w:p w14:paraId="03CBAEAA" w14:textId="77777777" w:rsidR="00E368AA" w:rsidRDefault="00E368AA" w:rsidP="005C1BCA">
      <w:pPr>
        <w:spacing w:after="0" w:line="240" w:lineRule="auto"/>
        <w:contextualSpacing/>
        <w:jc w:val="center"/>
        <w:rPr>
          <w:rFonts w:ascii="Bookman Old Style" w:eastAsia="Times New Roman" w:hAnsi="Bookman Old Style" w:cs="Times New Roman"/>
          <w:sz w:val="24"/>
          <w:szCs w:val="24"/>
          <w:lang w:eastAsia="es-ES"/>
        </w:rPr>
      </w:pPr>
    </w:p>
    <w:p w14:paraId="37F86542" w14:textId="77777777" w:rsidR="00E368AA" w:rsidRDefault="00E368AA" w:rsidP="005C1BCA">
      <w:pPr>
        <w:spacing w:after="0" w:line="240" w:lineRule="auto"/>
        <w:contextualSpacing/>
        <w:jc w:val="center"/>
        <w:rPr>
          <w:rFonts w:ascii="Bookman Old Style" w:eastAsia="Times New Roman" w:hAnsi="Bookman Old Style" w:cs="Times New Roman"/>
          <w:sz w:val="24"/>
          <w:szCs w:val="24"/>
          <w:lang w:eastAsia="es-ES"/>
        </w:rPr>
      </w:pPr>
    </w:p>
    <w:p w14:paraId="4F5162FA" w14:textId="77777777" w:rsidR="00E368AA" w:rsidRDefault="00E368AA" w:rsidP="005C1BCA">
      <w:pPr>
        <w:spacing w:after="0" w:line="240" w:lineRule="auto"/>
        <w:contextualSpacing/>
        <w:jc w:val="center"/>
        <w:rPr>
          <w:rFonts w:ascii="Bookman Old Style" w:eastAsia="Times New Roman" w:hAnsi="Bookman Old Style" w:cs="Times New Roman"/>
          <w:sz w:val="24"/>
          <w:szCs w:val="24"/>
          <w:lang w:eastAsia="es-ES"/>
        </w:rPr>
      </w:pPr>
    </w:p>
    <w:p w14:paraId="004EEE09" w14:textId="77777777" w:rsidR="00E368AA" w:rsidRDefault="00E368AA" w:rsidP="005C1BCA">
      <w:pPr>
        <w:spacing w:after="0" w:line="240" w:lineRule="auto"/>
        <w:contextualSpacing/>
        <w:jc w:val="center"/>
        <w:rPr>
          <w:rFonts w:ascii="Bookman Old Style" w:eastAsia="Times New Roman" w:hAnsi="Bookman Old Style" w:cs="Times New Roman"/>
          <w:sz w:val="24"/>
          <w:szCs w:val="24"/>
          <w:lang w:eastAsia="es-ES"/>
        </w:rPr>
      </w:pPr>
    </w:p>
    <w:p w14:paraId="6F0E813F" w14:textId="77777777" w:rsidR="00E368AA" w:rsidRDefault="00E368AA" w:rsidP="005C1BCA">
      <w:pPr>
        <w:spacing w:after="0" w:line="240" w:lineRule="auto"/>
        <w:contextualSpacing/>
        <w:jc w:val="center"/>
        <w:rPr>
          <w:rFonts w:ascii="Bookman Old Style" w:eastAsia="Times New Roman" w:hAnsi="Bookman Old Style" w:cs="Times New Roman"/>
          <w:sz w:val="24"/>
          <w:szCs w:val="24"/>
          <w:lang w:eastAsia="es-ES"/>
        </w:rPr>
      </w:pPr>
    </w:p>
    <w:p w14:paraId="1A812DA6" w14:textId="77777777" w:rsidR="00E368AA" w:rsidRDefault="00E368AA" w:rsidP="005C1BCA">
      <w:pPr>
        <w:spacing w:after="0" w:line="240" w:lineRule="auto"/>
        <w:contextualSpacing/>
        <w:jc w:val="center"/>
        <w:rPr>
          <w:rFonts w:ascii="Bookman Old Style" w:eastAsia="Times New Roman" w:hAnsi="Bookman Old Style" w:cs="Times New Roman"/>
          <w:sz w:val="24"/>
          <w:szCs w:val="24"/>
          <w:lang w:eastAsia="es-ES"/>
        </w:rPr>
      </w:pPr>
    </w:p>
    <w:p w14:paraId="68C10069" w14:textId="77777777" w:rsidR="00E368AA" w:rsidRDefault="00E368AA" w:rsidP="005C1BCA">
      <w:pPr>
        <w:spacing w:after="0" w:line="240" w:lineRule="auto"/>
        <w:contextualSpacing/>
        <w:jc w:val="center"/>
        <w:rPr>
          <w:rFonts w:ascii="Bookman Old Style" w:eastAsia="Times New Roman" w:hAnsi="Bookman Old Style" w:cs="Times New Roman"/>
          <w:sz w:val="24"/>
          <w:szCs w:val="24"/>
          <w:lang w:eastAsia="es-ES"/>
        </w:rPr>
      </w:pPr>
    </w:p>
    <w:p w14:paraId="4F39A472" w14:textId="77777777" w:rsidR="00E368AA" w:rsidRDefault="00E368AA" w:rsidP="005C1BCA">
      <w:pPr>
        <w:spacing w:after="0" w:line="240" w:lineRule="auto"/>
        <w:contextualSpacing/>
        <w:jc w:val="center"/>
        <w:rPr>
          <w:rFonts w:ascii="Bookman Old Style" w:eastAsia="Times New Roman" w:hAnsi="Bookman Old Style" w:cs="Times New Roman"/>
          <w:sz w:val="24"/>
          <w:szCs w:val="24"/>
          <w:lang w:eastAsia="es-ES"/>
        </w:rPr>
      </w:pPr>
    </w:p>
    <w:p w14:paraId="71667D42" w14:textId="77777777" w:rsidR="00E368AA" w:rsidRDefault="00E368AA" w:rsidP="005C1BCA">
      <w:pPr>
        <w:spacing w:after="0" w:line="240" w:lineRule="auto"/>
        <w:contextualSpacing/>
        <w:jc w:val="center"/>
        <w:rPr>
          <w:rFonts w:ascii="Bookman Old Style" w:eastAsia="Times New Roman" w:hAnsi="Bookman Old Style" w:cs="Times New Roman"/>
          <w:sz w:val="24"/>
          <w:szCs w:val="24"/>
          <w:lang w:eastAsia="es-ES"/>
        </w:rPr>
      </w:pPr>
    </w:p>
    <w:p w14:paraId="03E030A3" w14:textId="77777777" w:rsidR="00E368AA" w:rsidRDefault="00E368AA" w:rsidP="005C1BCA">
      <w:pPr>
        <w:spacing w:after="0" w:line="240" w:lineRule="auto"/>
        <w:contextualSpacing/>
        <w:jc w:val="center"/>
        <w:rPr>
          <w:rFonts w:ascii="Bookman Old Style" w:eastAsia="Times New Roman" w:hAnsi="Bookman Old Style" w:cs="Times New Roman"/>
          <w:sz w:val="24"/>
          <w:szCs w:val="24"/>
          <w:lang w:eastAsia="es-ES"/>
        </w:rPr>
      </w:pPr>
    </w:p>
    <w:p w14:paraId="4AB680CE" w14:textId="77777777" w:rsidR="00E368AA" w:rsidRDefault="00E368AA" w:rsidP="005C1BCA">
      <w:pPr>
        <w:spacing w:after="0" w:line="240" w:lineRule="auto"/>
        <w:contextualSpacing/>
        <w:jc w:val="center"/>
        <w:rPr>
          <w:rFonts w:ascii="Bookman Old Style" w:eastAsia="Times New Roman" w:hAnsi="Bookman Old Style" w:cs="Times New Roman"/>
          <w:sz w:val="24"/>
          <w:szCs w:val="24"/>
          <w:lang w:eastAsia="es-ES"/>
        </w:rPr>
      </w:pPr>
    </w:p>
    <w:p w14:paraId="56784363" w14:textId="77777777" w:rsidR="00E368AA" w:rsidRDefault="00E368AA" w:rsidP="005C1BCA">
      <w:pPr>
        <w:spacing w:after="0" w:line="240" w:lineRule="auto"/>
        <w:contextualSpacing/>
        <w:jc w:val="center"/>
        <w:rPr>
          <w:rFonts w:ascii="Bookman Old Style" w:eastAsia="Times New Roman" w:hAnsi="Bookman Old Style" w:cs="Times New Roman"/>
          <w:sz w:val="24"/>
          <w:szCs w:val="24"/>
          <w:lang w:eastAsia="es-ES"/>
        </w:rPr>
      </w:pPr>
    </w:p>
    <w:p w14:paraId="5EBE2406" w14:textId="77777777" w:rsidR="00E368AA" w:rsidRDefault="00E368AA" w:rsidP="005C1BCA">
      <w:pPr>
        <w:spacing w:after="0" w:line="240" w:lineRule="auto"/>
        <w:contextualSpacing/>
        <w:jc w:val="center"/>
        <w:rPr>
          <w:rFonts w:ascii="Bookman Old Style" w:eastAsia="Times New Roman" w:hAnsi="Bookman Old Style" w:cs="Times New Roman"/>
          <w:sz w:val="24"/>
          <w:szCs w:val="24"/>
          <w:lang w:eastAsia="es-ES"/>
        </w:rPr>
      </w:pPr>
    </w:p>
    <w:p w14:paraId="3F78EC12" w14:textId="77777777" w:rsidR="00E368AA" w:rsidRDefault="00E368AA" w:rsidP="005C1BCA">
      <w:pPr>
        <w:spacing w:after="0" w:line="240" w:lineRule="auto"/>
        <w:contextualSpacing/>
        <w:jc w:val="center"/>
        <w:rPr>
          <w:rFonts w:ascii="Bookman Old Style" w:eastAsia="Times New Roman" w:hAnsi="Bookman Old Style" w:cs="Times New Roman"/>
          <w:sz w:val="24"/>
          <w:szCs w:val="24"/>
          <w:lang w:eastAsia="es-ES"/>
        </w:rPr>
      </w:pPr>
    </w:p>
    <w:p w14:paraId="1D054BFA" w14:textId="77777777" w:rsidR="00E368AA" w:rsidRDefault="00E368AA" w:rsidP="005C1BCA">
      <w:pPr>
        <w:spacing w:after="0" w:line="240" w:lineRule="auto"/>
        <w:contextualSpacing/>
        <w:jc w:val="center"/>
        <w:rPr>
          <w:rFonts w:ascii="Bookman Old Style" w:eastAsia="Times New Roman" w:hAnsi="Bookman Old Style" w:cs="Times New Roman"/>
          <w:sz w:val="24"/>
          <w:szCs w:val="24"/>
          <w:lang w:eastAsia="es-ES"/>
        </w:rPr>
      </w:pPr>
    </w:p>
    <w:p w14:paraId="6F407CB3" w14:textId="0C318CB2" w:rsidR="00E368AA" w:rsidRPr="005700D8" w:rsidRDefault="005700D8" w:rsidP="005700D8">
      <w:pPr>
        <w:spacing w:after="0" w:line="240" w:lineRule="auto"/>
        <w:contextualSpacing/>
        <w:jc w:val="center"/>
        <w:rPr>
          <w:rFonts w:ascii="Bookman Old Style" w:eastAsia="Times New Roman" w:hAnsi="Bookman Old Style" w:cs="Times New Roman"/>
          <w:b/>
          <w:sz w:val="24"/>
          <w:szCs w:val="24"/>
          <w:lang w:val="es-ES" w:eastAsia="es-ES"/>
        </w:rPr>
      </w:pPr>
      <w:r w:rsidRPr="005700D8">
        <w:rPr>
          <w:rFonts w:ascii="Bookman Old Style" w:eastAsia="Times New Roman" w:hAnsi="Bookman Old Style" w:cs="Times New Roman"/>
          <w:b/>
          <w:sz w:val="24"/>
          <w:szCs w:val="24"/>
          <w:lang w:val="es-ES" w:eastAsia="es-ES"/>
        </w:rPr>
        <w:t>PROYECTO DE RESOLUCIÓN</w:t>
      </w:r>
    </w:p>
    <w:p w14:paraId="5F668770" w14:textId="77777777" w:rsidR="00A432B6" w:rsidRDefault="00A432B6" w:rsidP="00CC5416">
      <w:pPr>
        <w:spacing w:after="0" w:line="240" w:lineRule="auto"/>
        <w:contextualSpacing/>
        <w:rPr>
          <w:rFonts w:ascii="Bookman Old Style" w:eastAsia="Times New Roman" w:hAnsi="Bookman Old Style" w:cs="Times New Roman"/>
          <w:sz w:val="24"/>
          <w:szCs w:val="24"/>
          <w:lang w:val="es-ES" w:eastAsia="es-ES"/>
        </w:rPr>
      </w:pPr>
    </w:p>
    <w:p w14:paraId="17FCD8CA" w14:textId="77777777" w:rsidR="00620E2D" w:rsidRDefault="00620E2D" w:rsidP="006A7B7C">
      <w:pPr>
        <w:spacing w:after="0" w:line="240" w:lineRule="auto"/>
        <w:contextualSpacing/>
        <w:rPr>
          <w:rFonts w:ascii="Bookman Old Style" w:eastAsia="Times New Roman" w:hAnsi="Bookman Old Style" w:cs="Times New Roman"/>
          <w:sz w:val="24"/>
          <w:szCs w:val="24"/>
          <w:lang w:val="es-ES" w:eastAsia="es-ES"/>
        </w:rPr>
      </w:pPr>
    </w:p>
    <w:p w14:paraId="048EAE7A" w14:textId="2C85407A" w:rsidR="00E368AA" w:rsidRDefault="00F15D17" w:rsidP="005C1BCA">
      <w:pPr>
        <w:spacing w:after="0" w:line="240" w:lineRule="auto"/>
        <w:contextualSpacing/>
        <w:jc w:val="center"/>
        <w:rPr>
          <w:rFonts w:ascii="Bookman Old Style" w:eastAsia="Times New Roman" w:hAnsi="Bookman Old Style" w:cs="Times New Roman"/>
          <w:sz w:val="24"/>
          <w:szCs w:val="24"/>
          <w:lang w:val="es-ES" w:eastAsia="es-ES"/>
        </w:rPr>
      </w:pPr>
      <w:r w:rsidRPr="00F15D17">
        <w:rPr>
          <w:rFonts w:ascii="Bookman Old Style" w:eastAsia="Times New Roman" w:hAnsi="Bookman Old Style" w:cs="Times New Roman"/>
          <w:sz w:val="24"/>
          <w:szCs w:val="24"/>
          <w:lang w:val="es-ES" w:eastAsia="es-ES"/>
        </w:rPr>
        <w:t>Por la cual se modifica el artículo 14 de la Resolución CREG 126 de 2010</w:t>
      </w:r>
    </w:p>
    <w:p w14:paraId="70C82834" w14:textId="77777777" w:rsidR="00CD74B5" w:rsidRDefault="00CD74B5" w:rsidP="005C1BCA">
      <w:pPr>
        <w:spacing w:after="0" w:line="240" w:lineRule="auto"/>
        <w:contextualSpacing/>
        <w:jc w:val="center"/>
        <w:rPr>
          <w:rFonts w:ascii="Bookman Old Style" w:eastAsia="Times New Roman" w:hAnsi="Bookman Old Style" w:cs="Times New Roman"/>
          <w:sz w:val="24"/>
          <w:szCs w:val="24"/>
          <w:lang w:val="es-ES" w:eastAsia="es-ES"/>
        </w:rPr>
      </w:pPr>
    </w:p>
    <w:p w14:paraId="24564A99" w14:textId="77777777" w:rsidR="00F15D17" w:rsidRPr="005C1BCA" w:rsidRDefault="00F15D17" w:rsidP="005C1BCA">
      <w:pPr>
        <w:spacing w:after="0" w:line="240" w:lineRule="auto"/>
        <w:contextualSpacing/>
        <w:jc w:val="center"/>
        <w:rPr>
          <w:rFonts w:ascii="Bookman Old Style" w:eastAsia="Times New Roman" w:hAnsi="Bookman Old Style" w:cs="Times New Roman"/>
          <w:sz w:val="24"/>
          <w:szCs w:val="24"/>
          <w:lang w:val="es-ES" w:eastAsia="es-ES"/>
        </w:rPr>
      </w:pPr>
    </w:p>
    <w:p w14:paraId="49BB4156" w14:textId="77777777" w:rsidR="005C1BCA" w:rsidRPr="005C1BCA" w:rsidRDefault="00191AE9" w:rsidP="005C1BCA">
      <w:pPr>
        <w:spacing w:after="0" w:line="240" w:lineRule="auto"/>
        <w:ind w:left="567" w:right="51"/>
        <w:contextualSpacing/>
        <w:jc w:val="center"/>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t xml:space="preserve">LA COMISIÓN DE REGULACIÓN DE </w:t>
      </w:r>
      <w:r w:rsidR="005C1BCA" w:rsidRPr="005C1BCA">
        <w:rPr>
          <w:rFonts w:ascii="Bookman Old Style" w:eastAsia="Times New Roman" w:hAnsi="Bookman Old Style" w:cs="Times New Roman"/>
          <w:b/>
          <w:sz w:val="24"/>
          <w:szCs w:val="24"/>
          <w:lang w:val="es-ES" w:eastAsia="es-ES"/>
        </w:rPr>
        <w:t>ENERGÍA Y GAS</w:t>
      </w:r>
    </w:p>
    <w:p w14:paraId="65FF3A5F" w14:textId="77777777" w:rsidR="005C1BCA" w:rsidRDefault="005C1BCA" w:rsidP="005C1BCA">
      <w:pPr>
        <w:spacing w:after="0" w:line="240" w:lineRule="auto"/>
        <w:ind w:right="51"/>
        <w:contextualSpacing/>
        <w:rPr>
          <w:rFonts w:ascii="Bookman Old Style" w:eastAsia="Times New Roman" w:hAnsi="Bookman Old Style" w:cs="Times New Roman"/>
          <w:sz w:val="24"/>
          <w:szCs w:val="24"/>
          <w:lang w:val="es-ES" w:eastAsia="es-ES"/>
        </w:rPr>
      </w:pPr>
    </w:p>
    <w:p w14:paraId="1D789E8F" w14:textId="77777777" w:rsidR="00F15D17" w:rsidRPr="005C1BCA" w:rsidRDefault="00F15D17" w:rsidP="005C1BCA">
      <w:pPr>
        <w:spacing w:after="0" w:line="240" w:lineRule="auto"/>
        <w:ind w:right="51"/>
        <w:contextualSpacing/>
        <w:rPr>
          <w:rFonts w:ascii="Bookman Old Style" w:eastAsia="Times New Roman" w:hAnsi="Bookman Old Style" w:cs="Times New Roman"/>
          <w:sz w:val="24"/>
          <w:szCs w:val="24"/>
          <w:lang w:val="es-ES" w:eastAsia="es-ES"/>
        </w:rPr>
      </w:pPr>
    </w:p>
    <w:p w14:paraId="0B6F2ECC" w14:textId="24103DE7" w:rsidR="005C1BCA" w:rsidRPr="005C1BCA" w:rsidRDefault="005C1BCA" w:rsidP="005C1BCA">
      <w:pPr>
        <w:spacing w:after="0" w:line="240" w:lineRule="auto"/>
        <w:contextualSpacing/>
        <w:jc w:val="center"/>
        <w:rPr>
          <w:rFonts w:ascii="Bookman Old Style" w:eastAsia="Times New Roman" w:hAnsi="Bookman Old Style" w:cs="Arial"/>
          <w:color w:val="000000"/>
          <w:sz w:val="24"/>
          <w:szCs w:val="24"/>
          <w:lang w:val="es-ES" w:eastAsia="es-ES"/>
        </w:rPr>
      </w:pPr>
      <w:r w:rsidRPr="005C1BCA">
        <w:rPr>
          <w:rFonts w:ascii="Bookman Old Style" w:eastAsia="Times New Roman" w:hAnsi="Bookman Old Style" w:cs="Arial"/>
          <w:color w:val="000000"/>
          <w:sz w:val="24"/>
          <w:szCs w:val="24"/>
          <w:lang w:val="es-ES" w:eastAsia="es-ES"/>
        </w:rPr>
        <w:t>En ejercicio de las atribuciones constitucionales y legales, en especial las conferidas por las leyes 142 de 1994 y en desarrollo de los</w:t>
      </w:r>
      <w:r w:rsidR="00F15D17">
        <w:rPr>
          <w:rFonts w:ascii="Bookman Old Style" w:eastAsia="Times New Roman" w:hAnsi="Bookman Old Style" w:cs="Arial"/>
          <w:color w:val="000000"/>
          <w:sz w:val="24"/>
          <w:szCs w:val="24"/>
          <w:lang w:val="es-ES" w:eastAsia="es-ES"/>
        </w:rPr>
        <w:t xml:space="preserve"> Decretos 1523 y 2253 de 1994,</w:t>
      </w:r>
      <w:r w:rsidRPr="005C1BCA">
        <w:rPr>
          <w:rFonts w:ascii="Bookman Old Style" w:eastAsia="Times New Roman" w:hAnsi="Bookman Old Style" w:cs="Arial"/>
          <w:color w:val="000000"/>
          <w:sz w:val="24"/>
          <w:szCs w:val="24"/>
          <w:lang w:val="es-ES" w:eastAsia="es-ES"/>
        </w:rPr>
        <w:t>1260 de 2013</w:t>
      </w:r>
      <w:r w:rsidR="00F15D17">
        <w:rPr>
          <w:rFonts w:ascii="Bookman Old Style" w:eastAsia="Times New Roman" w:hAnsi="Bookman Old Style" w:cs="Arial"/>
          <w:color w:val="000000"/>
          <w:sz w:val="24"/>
          <w:szCs w:val="24"/>
          <w:lang w:val="es-ES" w:eastAsia="es-ES"/>
        </w:rPr>
        <w:t>, 270 de 2017</w:t>
      </w:r>
      <w:r w:rsidRPr="005C1BCA">
        <w:rPr>
          <w:rFonts w:ascii="Bookman Old Style" w:eastAsia="Times New Roman" w:hAnsi="Bookman Old Style" w:cs="Arial"/>
          <w:color w:val="000000"/>
          <w:sz w:val="24"/>
          <w:szCs w:val="24"/>
          <w:lang w:val="es-ES" w:eastAsia="es-ES"/>
        </w:rPr>
        <w:t xml:space="preserve"> y,</w:t>
      </w:r>
    </w:p>
    <w:p w14:paraId="43630B3F" w14:textId="77777777" w:rsidR="005C1BCA" w:rsidRDefault="005C1BCA" w:rsidP="005C1BCA">
      <w:pPr>
        <w:spacing w:after="0" w:line="240" w:lineRule="auto"/>
        <w:ind w:right="51"/>
        <w:contextualSpacing/>
        <w:jc w:val="center"/>
        <w:rPr>
          <w:rFonts w:ascii="Bookman Old Style" w:eastAsia="Times New Roman" w:hAnsi="Bookman Old Style" w:cs="Arial"/>
          <w:bCs/>
          <w:spacing w:val="-3"/>
          <w:sz w:val="24"/>
          <w:szCs w:val="24"/>
          <w:lang w:val="es-ES" w:eastAsia="es-ES"/>
        </w:rPr>
      </w:pPr>
    </w:p>
    <w:p w14:paraId="49B34022" w14:textId="77777777" w:rsidR="005C1BCA" w:rsidRPr="005C1BCA" w:rsidRDefault="005C1BCA" w:rsidP="005C1BCA">
      <w:pPr>
        <w:spacing w:after="0" w:line="240" w:lineRule="auto"/>
        <w:contextualSpacing/>
        <w:rPr>
          <w:rFonts w:ascii="Bookman Old Style" w:eastAsia="Times New Roman" w:hAnsi="Bookman Old Style" w:cs="Arial"/>
          <w:color w:val="000000"/>
          <w:sz w:val="24"/>
          <w:szCs w:val="24"/>
          <w:lang w:val="es-ES" w:eastAsia="es-ES"/>
        </w:rPr>
      </w:pPr>
    </w:p>
    <w:p w14:paraId="7CB046CB" w14:textId="77777777" w:rsidR="005C1BCA" w:rsidRPr="005C1BCA" w:rsidRDefault="005C1BCA" w:rsidP="005C1BCA">
      <w:pPr>
        <w:spacing w:after="0" w:line="240" w:lineRule="auto"/>
        <w:contextualSpacing/>
        <w:jc w:val="center"/>
        <w:rPr>
          <w:rFonts w:ascii="Bookman Old Style" w:eastAsia="Times New Roman" w:hAnsi="Bookman Old Style" w:cs="Arial"/>
          <w:b/>
          <w:color w:val="000000"/>
          <w:sz w:val="24"/>
          <w:szCs w:val="24"/>
          <w:lang w:val="es-ES" w:eastAsia="es-ES"/>
        </w:rPr>
      </w:pPr>
      <w:r w:rsidRPr="005C1BCA">
        <w:rPr>
          <w:rFonts w:ascii="Bookman Old Style" w:eastAsia="Times New Roman" w:hAnsi="Bookman Old Style" w:cs="Arial"/>
          <w:b/>
          <w:color w:val="000000"/>
          <w:sz w:val="24"/>
          <w:szCs w:val="24"/>
          <w:lang w:val="es-ES" w:eastAsia="es-ES"/>
        </w:rPr>
        <w:t>C O N S I D E R A N D O</w:t>
      </w:r>
      <w:r w:rsidR="00CC5416">
        <w:rPr>
          <w:rFonts w:ascii="Bookman Old Style" w:eastAsia="Times New Roman" w:hAnsi="Bookman Old Style" w:cs="Arial"/>
          <w:b/>
          <w:color w:val="000000"/>
          <w:sz w:val="24"/>
          <w:szCs w:val="24"/>
          <w:lang w:val="es-ES" w:eastAsia="es-ES"/>
        </w:rPr>
        <w:t xml:space="preserve"> </w:t>
      </w:r>
      <w:r w:rsidRPr="005C1BCA">
        <w:rPr>
          <w:rFonts w:ascii="Bookman Old Style" w:eastAsia="Times New Roman" w:hAnsi="Bookman Old Style" w:cs="Arial"/>
          <w:b/>
          <w:color w:val="000000"/>
          <w:sz w:val="24"/>
          <w:szCs w:val="24"/>
          <w:lang w:val="es-ES" w:eastAsia="es-ES"/>
        </w:rPr>
        <w:t xml:space="preserve">  Q U E:</w:t>
      </w:r>
    </w:p>
    <w:p w14:paraId="1198CFE9" w14:textId="77777777" w:rsidR="005C1BCA" w:rsidRDefault="005C1BCA" w:rsidP="005C1BCA">
      <w:pPr>
        <w:spacing w:after="0" w:line="240" w:lineRule="auto"/>
        <w:contextualSpacing/>
        <w:jc w:val="both"/>
        <w:rPr>
          <w:rFonts w:ascii="Bookman Old Style" w:eastAsia="Times New Roman" w:hAnsi="Bookman Old Style" w:cs="Times New Roman"/>
          <w:sz w:val="24"/>
          <w:szCs w:val="24"/>
          <w:lang w:val="es-ES" w:eastAsia="es-ES"/>
        </w:rPr>
      </w:pPr>
    </w:p>
    <w:p w14:paraId="63EF3ED6" w14:textId="77777777" w:rsidR="005700D8" w:rsidRPr="005C1BCA" w:rsidRDefault="005700D8" w:rsidP="005C1BCA">
      <w:pPr>
        <w:spacing w:after="0" w:line="240" w:lineRule="auto"/>
        <w:contextualSpacing/>
        <w:jc w:val="both"/>
        <w:rPr>
          <w:rFonts w:ascii="Bookman Old Style" w:eastAsia="Times New Roman" w:hAnsi="Bookman Old Style" w:cs="Times New Roman"/>
          <w:sz w:val="24"/>
          <w:szCs w:val="24"/>
          <w:lang w:val="es-ES" w:eastAsia="es-ES"/>
        </w:rPr>
      </w:pPr>
    </w:p>
    <w:p w14:paraId="5092E9E6" w14:textId="77777777" w:rsidR="00F15D17" w:rsidRPr="00F15D17" w:rsidRDefault="00F15D17" w:rsidP="00F15D17">
      <w:pPr>
        <w:spacing w:after="0" w:line="240" w:lineRule="auto"/>
        <w:ind w:left="-142" w:right="-142"/>
        <w:jc w:val="both"/>
        <w:rPr>
          <w:rFonts w:ascii="Bookman Old Style" w:eastAsia="Times New Roman" w:hAnsi="Bookman Old Style" w:cs="Times New Roman"/>
          <w:sz w:val="24"/>
          <w:szCs w:val="27"/>
          <w:lang w:val="es-ES" w:eastAsia="es-ES"/>
        </w:rPr>
      </w:pPr>
      <w:r w:rsidRPr="00F15D17">
        <w:rPr>
          <w:rFonts w:ascii="Bookman Old Style" w:eastAsia="Times New Roman" w:hAnsi="Bookman Old Style" w:cs="Times New Roman"/>
          <w:color w:val="000000" w:themeColor="text1"/>
          <w:sz w:val="24"/>
          <w:szCs w:val="24"/>
          <w:lang w:eastAsia="es-ES"/>
        </w:rPr>
        <w:t xml:space="preserve">De conformidad con lo establecido en el numeral 14.28 del artículo 14 de la Ley 142 de 1994 el servicio público domiciliario de gas combustible </w:t>
      </w:r>
      <w:r w:rsidRPr="00F15D17">
        <w:rPr>
          <w:rFonts w:ascii="Bookman Old Style" w:eastAsia="Times New Roman" w:hAnsi="Bookman Old Style" w:cs="Times New Roman"/>
          <w:i/>
          <w:color w:val="000000" w:themeColor="text1"/>
          <w:sz w:val="24"/>
          <w:szCs w:val="24"/>
          <w:lang w:eastAsia="es-ES"/>
        </w:rPr>
        <w:t>“</w:t>
      </w:r>
      <w:r w:rsidRPr="00F15D17">
        <w:rPr>
          <w:rFonts w:ascii="Bookman Old Style" w:eastAsia="Times New Roman" w:hAnsi="Bookman Old Style" w:cs="Times New Roman"/>
          <w:i/>
          <w:iCs/>
          <w:color w:val="000000" w:themeColor="text1"/>
          <w:sz w:val="24"/>
          <w:szCs w:val="24"/>
          <w:lang w:eastAsia="es-ES"/>
        </w:rPr>
        <w:t xml:space="preserve">es el conjunto de actividades ordenadas a la distribución de gas combustible, por tubería u otro medio, desde un sitio de acopio de grandes volúmenes o desde un gasoducto central hasta la instalación de un consumidor final, incluyendo su conexión y medición. También se aplicará esta ley a las actividades complementarias de comercialización desde la producción y transporte de gas por un gasoducto principal, o </w:t>
      </w:r>
      <w:r w:rsidRPr="00F15D17">
        <w:rPr>
          <w:rFonts w:ascii="Bookman Old Style" w:eastAsia="Times New Roman" w:hAnsi="Bookman Old Style" w:cs="Times New Roman"/>
          <w:iCs/>
          <w:color w:val="000000" w:themeColor="text1"/>
          <w:sz w:val="24"/>
          <w:szCs w:val="24"/>
          <w:lang w:eastAsia="es-ES"/>
        </w:rPr>
        <w:t xml:space="preserve">por otros </w:t>
      </w:r>
      <w:r w:rsidRPr="00F15D17">
        <w:rPr>
          <w:rFonts w:ascii="Bookman Old Style" w:eastAsia="Times New Roman" w:hAnsi="Bookman Old Style" w:cs="Times New Roman"/>
          <w:sz w:val="24"/>
          <w:szCs w:val="27"/>
          <w:lang w:val="es-ES" w:eastAsia="es-ES"/>
        </w:rPr>
        <w:t>medios, desde el sitio de generación hasta aquel en donde se conecte a una red secundaria”.</w:t>
      </w:r>
    </w:p>
    <w:p w14:paraId="2F23EF34" w14:textId="77777777" w:rsidR="00F15D17" w:rsidRPr="00F15D17" w:rsidRDefault="00F15D17" w:rsidP="00F15D17">
      <w:pPr>
        <w:spacing w:after="0" w:line="240" w:lineRule="auto"/>
        <w:ind w:left="-142" w:right="-142"/>
        <w:jc w:val="both"/>
        <w:rPr>
          <w:rFonts w:ascii="Bookman Old Style" w:eastAsia="Times New Roman" w:hAnsi="Bookman Old Style" w:cs="Times New Roman"/>
          <w:sz w:val="24"/>
          <w:szCs w:val="27"/>
          <w:lang w:val="es-ES" w:eastAsia="es-ES"/>
        </w:rPr>
      </w:pPr>
    </w:p>
    <w:p w14:paraId="109C5EC8" w14:textId="77777777" w:rsidR="00F15D17" w:rsidRPr="00F15D17" w:rsidRDefault="00F15D17" w:rsidP="00F15D17">
      <w:pPr>
        <w:spacing w:after="0" w:line="240" w:lineRule="auto"/>
        <w:ind w:left="-142" w:right="-142"/>
        <w:jc w:val="both"/>
        <w:rPr>
          <w:rFonts w:ascii="Bookman Old Style" w:eastAsia="Times New Roman" w:hAnsi="Bookman Old Style" w:cs="Times New Roman"/>
          <w:color w:val="000000" w:themeColor="text1"/>
          <w:sz w:val="24"/>
          <w:szCs w:val="24"/>
          <w:lang w:eastAsia="es-ES"/>
        </w:rPr>
      </w:pPr>
      <w:r w:rsidRPr="00F15D17">
        <w:rPr>
          <w:rFonts w:ascii="Bookman Old Style" w:eastAsia="Times New Roman" w:hAnsi="Bookman Old Style" w:cs="Times New Roman"/>
          <w:sz w:val="24"/>
          <w:szCs w:val="27"/>
          <w:lang w:val="es-ES" w:eastAsia="es-ES"/>
        </w:rPr>
        <w:t>Según lo dispuesto por el artículo 28 de la Ley 142 de 1994, la construcción y operación de redes para el transporte de gas, así como el señalamiento de las tarifas por su uso, se regirán</w:t>
      </w:r>
      <w:r w:rsidRPr="00F15D17">
        <w:rPr>
          <w:rFonts w:ascii="Bookman Old Style" w:eastAsia="Times New Roman" w:hAnsi="Bookman Old Style" w:cs="Times New Roman"/>
          <w:color w:val="000000" w:themeColor="text1"/>
          <w:sz w:val="24"/>
          <w:szCs w:val="24"/>
          <w:lang w:eastAsia="es-ES"/>
        </w:rPr>
        <w:t xml:space="preserve"> exclusivamente por dicha ley.</w:t>
      </w:r>
    </w:p>
    <w:p w14:paraId="59ECDDAB" w14:textId="77777777" w:rsidR="00F15D17" w:rsidRPr="00F15D17" w:rsidRDefault="00F15D17" w:rsidP="00F15D17">
      <w:pPr>
        <w:widowControl w:val="0"/>
        <w:spacing w:after="0" w:line="240" w:lineRule="auto"/>
        <w:jc w:val="both"/>
        <w:rPr>
          <w:rFonts w:ascii="Bookman Old Style" w:eastAsia="Times New Roman" w:hAnsi="Bookman Old Style" w:cs="Times New Roman"/>
          <w:color w:val="000000" w:themeColor="text1"/>
          <w:sz w:val="24"/>
          <w:szCs w:val="24"/>
          <w:lang w:eastAsia="es-ES"/>
        </w:rPr>
      </w:pPr>
    </w:p>
    <w:p w14:paraId="6F00E01B" w14:textId="77777777" w:rsidR="00F15D17" w:rsidRPr="00F15D17" w:rsidRDefault="00F15D17" w:rsidP="00F15D17">
      <w:pPr>
        <w:spacing w:after="0" w:line="240" w:lineRule="auto"/>
        <w:ind w:left="-142" w:right="-142"/>
        <w:jc w:val="both"/>
        <w:rPr>
          <w:rFonts w:ascii="Bookman Old Style" w:eastAsia="Times New Roman" w:hAnsi="Bookman Old Style" w:cs="Times New Roman"/>
          <w:color w:val="000000" w:themeColor="text1"/>
          <w:sz w:val="24"/>
          <w:szCs w:val="24"/>
          <w:lang w:eastAsia="es-ES"/>
        </w:rPr>
      </w:pPr>
      <w:r w:rsidRPr="00F15D17">
        <w:rPr>
          <w:rFonts w:ascii="Bookman Old Style" w:eastAsia="Times New Roman" w:hAnsi="Bookman Old Style" w:cs="Times New Roman"/>
          <w:color w:val="000000" w:themeColor="text1"/>
          <w:sz w:val="24"/>
          <w:szCs w:val="24"/>
          <w:lang w:eastAsia="es-ES"/>
        </w:rPr>
        <w:t xml:space="preserve">El numeral 73.11 del artículo 73 de la Ley 142 de 1994 atribuyó a la Comisión de Regulación de </w:t>
      </w:r>
      <w:r w:rsidRPr="00F15D17">
        <w:rPr>
          <w:rFonts w:ascii="Bookman Old Style" w:eastAsia="Times New Roman" w:hAnsi="Bookman Old Style" w:cs="Times New Roman"/>
          <w:sz w:val="24"/>
          <w:szCs w:val="27"/>
          <w:lang w:val="es-ES" w:eastAsia="es-ES"/>
        </w:rPr>
        <w:t>Energía</w:t>
      </w:r>
      <w:r w:rsidRPr="00F15D17">
        <w:rPr>
          <w:rFonts w:ascii="Bookman Old Style" w:eastAsia="Times New Roman" w:hAnsi="Bookman Old Style" w:cs="Times New Roman"/>
          <w:color w:val="000000" w:themeColor="text1"/>
          <w:sz w:val="24"/>
          <w:szCs w:val="24"/>
          <w:lang w:eastAsia="es-ES"/>
        </w:rPr>
        <w:t xml:space="preserve"> y Gas, CREG, la competencia para establecer las fórmulas para la fijación de las tarifas del servicio público domiciliario de gas combustible.</w:t>
      </w:r>
    </w:p>
    <w:p w14:paraId="0FA256BC" w14:textId="77777777" w:rsidR="00F15D17" w:rsidRPr="00F15D17" w:rsidRDefault="00F15D17" w:rsidP="00F15D17">
      <w:pPr>
        <w:widowControl w:val="0"/>
        <w:spacing w:after="0" w:line="240" w:lineRule="auto"/>
        <w:jc w:val="both"/>
        <w:rPr>
          <w:rFonts w:ascii="Bookman Old Style" w:eastAsia="Times New Roman" w:hAnsi="Bookman Old Style" w:cs="Times New Roman"/>
          <w:color w:val="000000" w:themeColor="text1"/>
          <w:sz w:val="24"/>
          <w:szCs w:val="24"/>
          <w:lang w:eastAsia="es-ES"/>
        </w:rPr>
      </w:pPr>
    </w:p>
    <w:p w14:paraId="61E62590" w14:textId="77777777" w:rsidR="00F15D17" w:rsidRPr="00F15D17" w:rsidRDefault="00F15D17" w:rsidP="00F15D17">
      <w:pPr>
        <w:spacing w:after="0" w:line="240" w:lineRule="auto"/>
        <w:ind w:left="-142" w:right="-142"/>
        <w:jc w:val="both"/>
        <w:rPr>
          <w:rFonts w:ascii="Bookman Old Style" w:eastAsia="Times New Roman" w:hAnsi="Bookman Old Style" w:cs="Times New Roman"/>
          <w:color w:val="000000" w:themeColor="text1"/>
          <w:sz w:val="24"/>
          <w:szCs w:val="24"/>
          <w:lang w:eastAsia="es-ES"/>
        </w:rPr>
      </w:pPr>
      <w:r w:rsidRPr="00F15D17">
        <w:rPr>
          <w:rFonts w:ascii="Bookman Old Style" w:eastAsia="Times New Roman" w:hAnsi="Bookman Old Style" w:cs="Times New Roman"/>
          <w:color w:val="000000" w:themeColor="text1"/>
          <w:sz w:val="24"/>
          <w:szCs w:val="24"/>
          <w:lang w:eastAsia="es-ES"/>
        </w:rPr>
        <w:t xml:space="preserve">Mediante la Resolución 126 de 2010 la CREG estableció los criterios generales para la remuneración del servicio de transporte de gas natural y el esquema de cargos del sistema </w:t>
      </w:r>
      <w:r w:rsidRPr="00F15D17">
        <w:rPr>
          <w:rFonts w:ascii="Bookman Old Style" w:eastAsia="Times New Roman" w:hAnsi="Bookman Old Style" w:cs="Times New Roman"/>
          <w:sz w:val="24"/>
          <w:szCs w:val="27"/>
          <w:lang w:val="es-ES" w:eastAsia="es-ES"/>
        </w:rPr>
        <w:t>nacional</w:t>
      </w:r>
      <w:r w:rsidRPr="00F15D17">
        <w:rPr>
          <w:rFonts w:ascii="Bookman Old Style" w:eastAsia="Times New Roman" w:hAnsi="Bookman Old Style" w:cs="Times New Roman"/>
          <w:color w:val="000000" w:themeColor="text1"/>
          <w:sz w:val="24"/>
          <w:szCs w:val="24"/>
          <w:lang w:eastAsia="es-ES"/>
        </w:rPr>
        <w:t xml:space="preserve"> de transporte, y dictó otras disposiciones en materia de transporte de gas natural.</w:t>
      </w:r>
    </w:p>
    <w:p w14:paraId="553BF927" w14:textId="77777777" w:rsidR="00F15D17" w:rsidRPr="00F15D17" w:rsidRDefault="00F15D17" w:rsidP="00F15D17">
      <w:pPr>
        <w:widowControl w:val="0"/>
        <w:spacing w:after="0" w:line="240" w:lineRule="auto"/>
        <w:jc w:val="both"/>
        <w:rPr>
          <w:rFonts w:ascii="Bookman Old Style" w:eastAsia="Times New Roman" w:hAnsi="Bookman Old Style" w:cs="Times New Roman"/>
          <w:color w:val="000000" w:themeColor="text1"/>
          <w:sz w:val="24"/>
          <w:szCs w:val="24"/>
          <w:lang w:eastAsia="es-ES"/>
        </w:rPr>
      </w:pPr>
    </w:p>
    <w:p w14:paraId="78D21FF6" w14:textId="77777777" w:rsidR="00F15D17" w:rsidRPr="00F15D17" w:rsidRDefault="00F15D17" w:rsidP="00F15D17">
      <w:pPr>
        <w:spacing w:after="0" w:line="240" w:lineRule="auto"/>
        <w:ind w:left="-142" w:right="-142"/>
        <w:jc w:val="both"/>
        <w:rPr>
          <w:rFonts w:ascii="Bookman Old Style" w:eastAsia="Times New Roman" w:hAnsi="Bookman Old Style" w:cs="Times New Roman"/>
          <w:color w:val="000000" w:themeColor="text1"/>
          <w:sz w:val="24"/>
          <w:szCs w:val="24"/>
          <w:lang w:eastAsia="es-ES"/>
        </w:rPr>
      </w:pPr>
      <w:r w:rsidRPr="00F15D17">
        <w:rPr>
          <w:rFonts w:ascii="Bookman Old Style" w:eastAsia="Times New Roman" w:hAnsi="Bookman Old Style" w:cs="Times New Roman"/>
          <w:color w:val="000000" w:themeColor="text1"/>
          <w:sz w:val="24"/>
          <w:szCs w:val="24"/>
          <w:lang w:eastAsia="es-ES"/>
        </w:rPr>
        <w:t>El artículo 14 de la Resolución CREG 126 de 2010, modificado por el artículo 2 de la Resolución CREG 066 de 2013, prevé lo siguiente:</w:t>
      </w:r>
    </w:p>
    <w:p w14:paraId="3021158E" w14:textId="77777777" w:rsidR="00F15D17" w:rsidRPr="00F15D17" w:rsidRDefault="00F15D17" w:rsidP="00F15D17">
      <w:pPr>
        <w:widowControl w:val="0"/>
        <w:spacing w:after="0" w:line="240" w:lineRule="auto"/>
        <w:jc w:val="both"/>
        <w:rPr>
          <w:rFonts w:ascii="Bookman Old Style" w:eastAsia="Times New Roman" w:hAnsi="Bookman Old Style" w:cs="Times New Roman"/>
          <w:color w:val="000000" w:themeColor="text1"/>
          <w:sz w:val="20"/>
          <w:szCs w:val="24"/>
          <w:lang w:eastAsia="es-ES"/>
        </w:rPr>
      </w:pPr>
    </w:p>
    <w:p w14:paraId="0044C5BA" w14:textId="03AF7D50" w:rsidR="00F15D17" w:rsidRPr="005700D8" w:rsidRDefault="00F15D17" w:rsidP="00F15D17">
      <w:pPr>
        <w:spacing w:after="0" w:line="240" w:lineRule="auto"/>
        <w:ind w:left="567"/>
        <w:jc w:val="both"/>
        <w:rPr>
          <w:rFonts w:ascii="Bookman Old Style" w:eastAsia="Times New Roman" w:hAnsi="Bookman Old Style" w:cs="Arial"/>
          <w:i/>
          <w:lang w:val="es-ES" w:eastAsia="es-ES"/>
        </w:rPr>
      </w:pPr>
      <w:bookmarkStart w:id="1" w:name="_Ref254259303"/>
      <w:r w:rsidRPr="005700D8">
        <w:rPr>
          <w:rFonts w:ascii="Bookman Old Style" w:eastAsia="Times New Roman" w:hAnsi="Bookman Old Style" w:cs="Arial"/>
          <w:b/>
          <w:i/>
          <w:lang w:val="es-ES" w:eastAsia="es-ES"/>
        </w:rPr>
        <w:t>“Artículo 14. Inversión a reconocer en activos que hayan cumplido la Vida Útil Normativa.</w:t>
      </w:r>
      <w:r w:rsidRPr="005700D8">
        <w:rPr>
          <w:rFonts w:ascii="Bookman Old Style" w:eastAsia="Times New Roman" w:hAnsi="Bookman Old Style" w:cs="Arial"/>
          <w:i/>
          <w:lang w:val="es-ES" w:eastAsia="es-ES"/>
        </w:rPr>
        <w:t xml:space="preserve"> Para aquellos activos en servicio, exceptuando terrenos y edificaciones, cuya Vida Útil Normativa se cumpla en el presente período tarifario, se aplicará el siguiente procedimiento:</w:t>
      </w:r>
      <w:bookmarkEnd w:id="1"/>
    </w:p>
    <w:p w14:paraId="69621B94" w14:textId="77777777" w:rsidR="00F15D17" w:rsidRPr="005700D8" w:rsidRDefault="00F15D17" w:rsidP="00F15D17">
      <w:pPr>
        <w:spacing w:after="0" w:line="240" w:lineRule="auto"/>
        <w:ind w:left="567"/>
        <w:jc w:val="both"/>
        <w:rPr>
          <w:rFonts w:ascii="Bookman Old Style" w:eastAsia="Times New Roman" w:hAnsi="Bookman Old Style" w:cs="Arial"/>
          <w:i/>
          <w:lang w:val="es-ES" w:eastAsia="es-ES"/>
        </w:rPr>
      </w:pPr>
    </w:p>
    <w:p w14:paraId="73C8E0A5" w14:textId="77777777" w:rsidR="00F15D17" w:rsidRPr="005700D8" w:rsidRDefault="00F15D17" w:rsidP="00E83333">
      <w:pPr>
        <w:numPr>
          <w:ilvl w:val="0"/>
          <w:numId w:val="3"/>
        </w:numPr>
        <w:suppressAutoHyphens/>
        <w:spacing w:after="0" w:line="240" w:lineRule="auto"/>
        <w:ind w:left="993" w:hanging="426"/>
        <w:jc w:val="both"/>
        <w:rPr>
          <w:rFonts w:ascii="Bookman Old Style" w:eastAsia="Times New Roman" w:hAnsi="Bookman Old Style" w:cs="Arial"/>
          <w:i/>
          <w:lang w:val="es-ES" w:eastAsia="es-ES"/>
        </w:rPr>
      </w:pPr>
      <w:r w:rsidRPr="005700D8">
        <w:rPr>
          <w:rFonts w:ascii="Bookman Old Style" w:eastAsia="Times New Roman" w:hAnsi="Bookman Old Style" w:cs="Arial"/>
          <w:i/>
          <w:lang w:val="es-ES" w:eastAsia="es-ES"/>
        </w:rPr>
        <w:t>Un año antes del cumplimiento de la Vida Útil Normativa del activo, el transportador, mediante comunicación escrita, deberá solicitar a la CREG el inicio de una actuación administrativa en los términos definidos en el presente artículo.</w:t>
      </w:r>
    </w:p>
    <w:p w14:paraId="7C5F0709" w14:textId="77777777" w:rsidR="00F15D17" w:rsidRPr="005700D8" w:rsidRDefault="00F15D17" w:rsidP="00F15D17">
      <w:pPr>
        <w:spacing w:after="0" w:line="240" w:lineRule="auto"/>
        <w:ind w:left="567"/>
        <w:jc w:val="both"/>
        <w:rPr>
          <w:rFonts w:ascii="Bookman Old Style" w:eastAsia="Times New Roman" w:hAnsi="Bookman Old Style" w:cs="Arial"/>
          <w:i/>
          <w:lang w:val="es-ES" w:eastAsia="es-ES"/>
        </w:rPr>
      </w:pPr>
    </w:p>
    <w:p w14:paraId="649DD017" w14:textId="77777777" w:rsidR="00F15D17" w:rsidRPr="005700D8" w:rsidRDefault="00F15D17" w:rsidP="00E83333">
      <w:pPr>
        <w:numPr>
          <w:ilvl w:val="0"/>
          <w:numId w:val="3"/>
        </w:numPr>
        <w:suppressAutoHyphens/>
        <w:spacing w:after="0" w:line="240" w:lineRule="auto"/>
        <w:ind w:left="993" w:hanging="426"/>
        <w:jc w:val="both"/>
        <w:rPr>
          <w:rFonts w:ascii="Bookman Old Style" w:eastAsia="Times New Roman" w:hAnsi="Bookman Old Style" w:cs="Arial"/>
          <w:i/>
          <w:lang w:val="es-ES" w:eastAsia="es-ES"/>
        </w:rPr>
      </w:pPr>
      <w:r w:rsidRPr="005700D8">
        <w:rPr>
          <w:rFonts w:ascii="Bookman Old Style" w:eastAsia="Times New Roman" w:hAnsi="Bookman Old Style" w:cs="Arial"/>
          <w:i/>
          <w:lang w:val="es-ES" w:eastAsia="es-ES"/>
        </w:rPr>
        <w:t>La Comisión dará inició a la actuación administrativa que contendrá las siguientes etapas:</w:t>
      </w:r>
    </w:p>
    <w:p w14:paraId="1544EAE2" w14:textId="77777777" w:rsidR="00F15D17" w:rsidRPr="005700D8" w:rsidRDefault="00F15D17" w:rsidP="00F15D17">
      <w:pPr>
        <w:spacing w:after="0" w:line="240" w:lineRule="auto"/>
        <w:ind w:left="567"/>
        <w:jc w:val="both"/>
        <w:rPr>
          <w:rFonts w:ascii="Bookman Old Style" w:eastAsia="Times New Roman" w:hAnsi="Bookman Old Style" w:cs="Arial"/>
          <w:i/>
          <w:lang w:val="es-ES" w:eastAsia="es-ES"/>
        </w:rPr>
      </w:pPr>
    </w:p>
    <w:p w14:paraId="0FF3A27E" w14:textId="77777777" w:rsidR="00F15D17" w:rsidRPr="005700D8" w:rsidRDefault="00F15D17" w:rsidP="00E83333">
      <w:pPr>
        <w:numPr>
          <w:ilvl w:val="0"/>
          <w:numId w:val="4"/>
        </w:numPr>
        <w:suppressAutoHyphens/>
        <w:spacing w:after="0" w:line="240" w:lineRule="auto"/>
        <w:ind w:left="1418" w:hanging="433"/>
        <w:jc w:val="both"/>
        <w:rPr>
          <w:rFonts w:ascii="Bookman Old Style" w:eastAsia="Times New Roman" w:hAnsi="Bookman Old Style" w:cs="Arial"/>
          <w:i/>
          <w:lang w:val="es-ES" w:eastAsia="es-ES"/>
        </w:rPr>
      </w:pPr>
      <w:r w:rsidRPr="005700D8">
        <w:rPr>
          <w:rFonts w:ascii="Bookman Old Style" w:eastAsia="Times New Roman" w:hAnsi="Bookman Old Style" w:cs="Arial"/>
          <w:i/>
          <w:lang w:val="es-ES" w:eastAsia="es-ES"/>
        </w:rPr>
        <w:t>La Comisión designará un perito para la estimación del costo de reposición a nuevo del activo.</w:t>
      </w:r>
    </w:p>
    <w:p w14:paraId="10AD6CB4" w14:textId="77777777" w:rsidR="00F15D17" w:rsidRPr="005700D8" w:rsidRDefault="00F15D17" w:rsidP="00F15D17">
      <w:pPr>
        <w:spacing w:after="0" w:line="240" w:lineRule="auto"/>
        <w:ind w:left="1418"/>
        <w:jc w:val="both"/>
        <w:rPr>
          <w:rFonts w:ascii="Bookman Old Style" w:eastAsia="Times New Roman" w:hAnsi="Bookman Old Style" w:cs="Arial"/>
          <w:i/>
          <w:lang w:val="es-ES" w:eastAsia="es-ES"/>
        </w:rPr>
      </w:pPr>
    </w:p>
    <w:p w14:paraId="68300051" w14:textId="77777777" w:rsidR="00F15D17" w:rsidRPr="005700D8" w:rsidRDefault="00F15D17" w:rsidP="00F15D17">
      <w:pPr>
        <w:spacing w:after="0" w:line="240" w:lineRule="auto"/>
        <w:ind w:left="1418"/>
        <w:jc w:val="both"/>
        <w:rPr>
          <w:rFonts w:ascii="Bookman Old Style" w:eastAsia="Times New Roman" w:hAnsi="Bookman Old Style" w:cs="Arial"/>
          <w:i/>
          <w:lang w:val="es-ES" w:eastAsia="es-ES"/>
        </w:rPr>
      </w:pPr>
      <w:r w:rsidRPr="005700D8">
        <w:rPr>
          <w:rFonts w:ascii="Bookman Old Style" w:eastAsia="Times New Roman" w:hAnsi="Bookman Old Style" w:cs="Arial"/>
          <w:i/>
          <w:lang w:val="es-ES" w:eastAsia="es-ES"/>
        </w:rPr>
        <w:t>Para la contratación del perito, la Comisión seleccionará a uno de una lista conformada previamente por la misma entidad, la cual será de público conocimiento, atendiendo a un criterio de menor costo, de acuerdo con las propuestas económicas que se presenten. Los peritos que conformarán la lista deberán ser personas naturales y/o jurídicas con más de diez (10) años de experiencia total en el diseño y estructuración y/o en la ejecución y/o en la auditoría técnica de proyectos de transporte de gas natural. Esta experiencia deberá corresponder a proyectos de transporte de gas natural desarrollados en al menos tres (3) países.</w:t>
      </w:r>
    </w:p>
    <w:p w14:paraId="148915D8" w14:textId="77777777" w:rsidR="00F15D17" w:rsidRPr="005700D8" w:rsidRDefault="00F15D17" w:rsidP="00F15D17">
      <w:pPr>
        <w:spacing w:after="0" w:line="240" w:lineRule="auto"/>
        <w:ind w:left="1418"/>
        <w:jc w:val="both"/>
        <w:rPr>
          <w:rFonts w:ascii="Bookman Old Style" w:eastAsia="Times New Roman" w:hAnsi="Bookman Old Style" w:cs="Arial"/>
          <w:i/>
          <w:lang w:val="es-ES" w:eastAsia="es-ES"/>
        </w:rPr>
      </w:pPr>
    </w:p>
    <w:p w14:paraId="6A17C0F4" w14:textId="77777777" w:rsidR="00F15D17" w:rsidRPr="005700D8" w:rsidRDefault="00F15D17" w:rsidP="00F15D17">
      <w:pPr>
        <w:spacing w:after="0" w:line="240" w:lineRule="auto"/>
        <w:ind w:left="1418"/>
        <w:jc w:val="both"/>
        <w:rPr>
          <w:rFonts w:ascii="Bookman Old Style" w:eastAsia="Times New Roman" w:hAnsi="Bookman Old Style" w:cs="Arial"/>
          <w:i/>
          <w:lang w:val="es-ES" w:eastAsia="es-ES"/>
        </w:rPr>
      </w:pPr>
      <w:r w:rsidRPr="005700D8">
        <w:rPr>
          <w:rFonts w:ascii="Bookman Old Style" w:eastAsia="Times New Roman" w:hAnsi="Bookman Old Style" w:cs="Arial"/>
          <w:i/>
          <w:lang w:val="es-ES" w:eastAsia="es-ES"/>
        </w:rPr>
        <w:t>El perito realizará todas las actividades determinadas en el acto administrativo que expida la CREG</w:t>
      </w:r>
    </w:p>
    <w:p w14:paraId="2C524767" w14:textId="77777777" w:rsidR="00F15D17" w:rsidRPr="005700D8" w:rsidRDefault="00F15D17" w:rsidP="00F15D17">
      <w:pPr>
        <w:spacing w:after="0" w:line="240" w:lineRule="auto"/>
        <w:ind w:left="567"/>
        <w:jc w:val="both"/>
        <w:rPr>
          <w:rFonts w:ascii="Bookman Old Style" w:eastAsia="Times New Roman" w:hAnsi="Bookman Old Style" w:cs="Arial"/>
          <w:i/>
          <w:lang w:val="es-ES" w:eastAsia="es-ES"/>
        </w:rPr>
      </w:pPr>
    </w:p>
    <w:p w14:paraId="6B8A106F" w14:textId="77777777" w:rsidR="00F15D17" w:rsidRPr="005700D8" w:rsidRDefault="00F15D17" w:rsidP="00E83333">
      <w:pPr>
        <w:numPr>
          <w:ilvl w:val="0"/>
          <w:numId w:val="4"/>
        </w:numPr>
        <w:suppressAutoHyphens/>
        <w:spacing w:after="0" w:line="240" w:lineRule="auto"/>
        <w:ind w:left="1418" w:hanging="433"/>
        <w:jc w:val="both"/>
        <w:rPr>
          <w:rFonts w:ascii="Bookman Old Style" w:eastAsia="Times New Roman" w:hAnsi="Bookman Old Style" w:cs="Arial"/>
          <w:i/>
          <w:lang w:val="es-ES" w:eastAsia="es-ES"/>
        </w:rPr>
      </w:pPr>
      <w:r w:rsidRPr="005700D8">
        <w:rPr>
          <w:rFonts w:ascii="Bookman Old Style" w:eastAsia="Times New Roman" w:hAnsi="Bookman Old Style" w:cs="Arial"/>
          <w:i/>
          <w:lang w:val="es-ES" w:eastAsia="es-ES"/>
        </w:rPr>
        <w:t xml:space="preserve">A partir del ejercicio de valoración realizado por el perito la Comisión contará con un (1) Mes para realizar análisis propios con el fin de determinar el costo de reposición a nuevo del activo - </w:t>
      </w:r>
      <m:oMath>
        <m:r>
          <w:rPr>
            <w:rFonts w:ascii="Cambria Math" w:eastAsia="Times New Roman" w:hAnsi="Cambria Math" w:cs="Arial"/>
            <w:lang w:val="es-ES" w:eastAsia="es-ES"/>
          </w:rPr>
          <m:t>VRAN</m:t>
        </m:r>
      </m:oMath>
      <w:r w:rsidRPr="005700D8">
        <w:rPr>
          <w:rFonts w:ascii="Bookman Old Style" w:eastAsia="Times New Roman" w:hAnsi="Bookman Old Style" w:cs="Arial"/>
          <w:i/>
          <w:lang w:val="es-ES" w:eastAsia="es-ES"/>
        </w:rPr>
        <w:t xml:space="preserve">. </w:t>
      </w:r>
    </w:p>
    <w:p w14:paraId="2AA5603F" w14:textId="77777777" w:rsidR="00F15D17" w:rsidRPr="005700D8" w:rsidRDefault="00F15D17" w:rsidP="00F15D17">
      <w:pPr>
        <w:spacing w:after="0" w:line="240" w:lineRule="auto"/>
        <w:ind w:left="567"/>
        <w:jc w:val="both"/>
        <w:rPr>
          <w:rFonts w:ascii="Bookman Old Style" w:eastAsia="Times New Roman" w:hAnsi="Bookman Old Style" w:cs="Arial"/>
          <w:i/>
          <w:lang w:val="es-ES" w:eastAsia="es-ES"/>
        </w:rPr>
      </w:pPr>
    </w:p>
    <w:p w14:paraId="256A1659" w14:textId="77777777" w:rsidR="00F15D17" w:rsidRPr="005700D8" w:rsidRDefault="00F15D17" w:rsidP="00E83333">
      <w:pPr>
        <w:numPr>
          <w:ilvl w:val="0"/>
          <w:numId w:val="4"/>
        </w:numPr>
        <w:suppressAutoHyphens/>
        <w:spacing w:after="0" w:line="240" w:lineRule="auto"/>
        <w:ind w:left="1418" w:hanging="433"/>
        <w:jc w:val="both"/>
        <w:rPr>
          <w:rFonts w:ascii="Bookman Old Style" w:eastAsia="Times New Roman" w:hAnsi="Bookman Old Style" w:cs="Arial"/>
          <w:i/>
          <w:lang w:val="es-ES" w:eastAsia="es-ES"/>
        </w:rPr>
      </w:pPr>
      <w:r w:rsidRPr="005700D8">
        <w:rPr>
          <w:rFonts w:ascii="Bookman Old Style" w:eastAsia="Times New Roman" w:hAnsi="Bookman Old Style" w:cs="Arial"/>
          <w:i/>
          <w:lang w:val="es-ES" w:eastAsia="es-ES"/>
        </w:rPr>
        <w:t>La Comisión, una vez transcurrido el período correspondiente notificará a la empresa transportadora lo siguiente:</w:t>
      </w:r>
    </w:p>
    <w:p w14:paraId="71E8166B" w14:textId="77777777" w:rsidR="00F15D17" w:rsidRPr="005700D8" w:rsidRDefault="00F15D17" w:rsidP="00F15D17">
      <w:pPr>
        <w:spacing w:after="0" w:line="240" w:lineRule="auto"/>
        <w:ind w:left="567"/>
        <w:jc w:val="both"/>
        <w:rPr>
          <w:rFonts w:ascii="Bookman Old Style" w:eastAsia="Times New Roman" w:hAnsi="Bookman Old Style" w:cs="Arial"/>
          <w:i/>
          <w:lang w:val="es-ES" w:eastAsia="es-ES"/>
        </w:rPr>
      </w:pPr>
    </w:p>
    <w:p w14:paraId="6FB0E8A6" w14:textId="77777777" w:rsidR="00F15D17" w:rsidRPr="005700D8" w:rsidRDefault="00F15D17" w:rsidP="00E83333">
      <w:pPr>
        <w:numPr>
          <w:ilvl w:val="0"/>
          <w:numId w:val="5"/>
        </w:numPr>
        <w:suppressAutoHyphens/>
        <w:spacing w:after="0" w:line="240" w:lineRule="auto"/>
        <w:ind w:left="1843" w:hanging="425"/>
        <w:jc w:val="both"/>
        <w:rPr>
          <w:rFonts w:ascii="Bookman Old Style" w:eastAsia="Times New Roman" w:hAnsi="Bookman Old Style" w:cs="Arial"/>
          <w:i/>
          <w:lang w:val="es-ES" w:eastAsia="es-ES"/>
        </w:rPr>
      </w:pPr>
      <w:r w:rsidRPr="005700D8">
        <w:rPr>
          <w:rFonts w:ascii="Bookman Old Style" w:eastAsia="Times New Roman" w:hAnsi="Bookman Old Style" w:cs="Arial"/>
          <w:i/>
          <w:lang w:val="es-ES" w:eastAsia="es-ES"/>
        </w:rPr>
        <w:t>El valor a reconocer por el activo si continúa en operación. Este valor remunerará todas las inversiones en reparaciones que se requieran y será determinado como sigue:</w:t>
      </w:r>
    </w:p>
    <w:p w14:paraId="70DA2A27" w14:textId="77777777" w:rsidR="00F15D17" w:rsidRPr="005700D8" w:rsidRDefault="00F15D17" w:rsidP="00F15D17">
      <w:pPr>
        <w:spacing w:after="0" w:line="240" w:lineRule="auto"/>
        <w:ind w:left="1843"/>
        <w:jc w:val="both"/>
        <w:rPr>
          <w:rFonts w:ascii="Bookman Old Style" w:eastAsia="Times New Roman" w:hAnsi="Bookman Old Style" w:cs="Arial"/>
          <w:i/>
          <w:lang w:val="es-ES" w:eastAsia="es-ES"/>
        </w:rPr>
      </w:pPr>
    </w:p>
    <w:p w14:paraId="7C901220" w14:textId="77777777" w:rsidR="00F15D17" w:rsidRPr="005700D8" w:rsidRDefault="00F31FBA" w:rsidP="00F15D17">
      <w:pPr>
        <w:spacing w:after="0" w:line="240" w:lineRule="auto"/>
        <w:ind w:left="1843"/>
        <w:jc w:val="both"/>
        <w:rPr>
          <w:rFonts w:ascii="Bookman Old Style" w:eastAsia="Times New Roman" w:hAnsi="Bookman Old Style" w:cs="Arial"/>
          <w:i/>
          <w:lang w:val="es-ES" w:eastAsia="es-ES"/>
        </w:rPr>
      </w:pPr>
      <m:oMathPara>
        <m:oMath>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VAO</m:t>
              </m:r>
            </m:e>
            <m:sub>
              <m:r>
                <w:rPr>
                  <w:rFonts w:ascii="Cambria Math" w:eastAsia="Times New Roman" w:hAnsi="Cambria Math" w:cs="Arial"/>
                  <w:lang w:val="es-ES" w:eastAsia="es-ES"/>
                </w:rPr>
                <m:t>t</m:t>
              </m:r>
            </m:sub>
          </m:sSub>
          <m:r>
            <w:rPr>
              <w:rFonts w:ascii="Cambria Math" w:eastAsia="Times New Roman" w:hAnsi="Cambria Math" w:cs="Arial"/>
              <w:lang w:val="es-ES" w:eastAsia="es-ES"/>
            </w:rPr>
            <m:t>=VRAN×</m:t>
          </m:r>
          <m:f>
            <m:fPr>
              <m:ctrlPr>
                <w:rPr>
                  <w:rFonts w:ascii="Cambria Math" w:eastAsia="Times New Roman" w:hAnsi="Cambria Math" w:cs="Arial"/>
                  <w:i/>
                  <w:lang w:val="es-ES" w:eastAsia="es-ES"/>
                </w:rPr>
              </m:ctrlPr>
            </m:fPr>
            <m:num>
              <m:r>
                <w:rPr>
                  <w:rFonts w:ascii="Cambria Math" w:eastAsia="Times New Roman" w:hAnsi="Cambria Math" w:cs="Arial"/>
                  <w:lang w:val="es-ES" w:eastAsia="es-ES"/>
                </w:rPr>
                <m:t>VUR</m:t>
              </m:r>
            </m:num>
            <m:den>
              <m:r>
                <w:rPr>
                  <w:rFonts w:ascii="Cambria Math" w:eastAsia="Times New Roman" w:hAnsi="Cambria Math" w:cs="Arial"/>
                  <w:lang w:val="es-ES" w:eastAsia="es-ES"/>
                </w:rPr>
                <m:t>VU</m:t>
              </m:r>
            </m:den>
          </m:f>
        </m:oMath>
      </m:oMathPara>
    </w:p>
    <w:p w14:paraId="3E144E7C" w14:textId="77777777" w:rsidR="00F15D17" w:rsidRPr="005700D8" w:rsidRDefault="00F15D17" w:rsidP="00F15D17">
      <w:pPr>
        <w:spacing w:after="0" w:line="240" w:lineRule="auto"/>
        <w:ind w:left="2268" w:hanging="425"/>
        <w:jc w:val="both"/>
        <w:rPr>
          <w:rFonts w:ascii="Bookman Old Style" w:eastAsia="Times New Roman" w:hAnsi="Bookman Old Style" w:cs="Arial"/>
          <w:i/>
          <w:lang w:val="es-ES" w:eastAsia="es-ES"/>
        </w:rPr>
      </w:pPr>
    </w:p>
    <w:p w14:paraId="2C13C470" w14:textId="77777777" w:rsidR="00F15D17" w:rsidRPr="005700D8" w:rsidRDefault="00F15D17" w:rsidP="00F15D17">
      <w:pPr>
        <w:spacing w:after="0" w:line="240" w:lineRule="auto"/>
        <w:ind w:left="2268" w:hanging="425"/>
        <w:jc w:val="both"/>
        <w:rPr>
          <w:rFonts w:ascii="Bookman Old Style" w:eastAsia="Times New Roman" w:hAnsi="Bookman Old Style" w:cs="Arial"/>
          <w:i/>
          <w:lang w:val="es-ES" w:eastAsia="es-ES"/>
        </w:rPr>
      </w:pPr>
      <w:r w:rsidRPr="005700D8">
        <w:rPr>
          <w:rFonts w:ascii="Bookman Old Style" w:eastAsia="Times New Roman" w:hAnsi="Bookman Old Style" w:cs="Arial"/>
          <w:i/>
          <w:lang w:val="es-ES" w:eastAsia="es-ES"/>
        </w:rPr>
        <w:t>Donde,</w:t>
      </w:r>
    </w:p>
    <w:p w14:paraId="0D63CAEB" w14:textId="77777777" w:rsidR="00F15D17" w:rsidRPr="005700D8" w:rsidRDefault="00F15D17" w:rsidP="00F15D17">
      <w:pPr>
        <w:spacing w:after="0" w:line="240" w:lineRule="auto"/>
        <w:ind w:left="2268" w:hanging="425"/>
        <w:jc w:val="both"/>
        <w:rPr>
          <w:rFonts w:ascii="Bookman Old Style" w:eastAsia="Times New Roman" w:hAnsi="Bookman Old Style" w:cs="Arial"/>
          <w:i/>
          <w:lang w:val="es-ES" w:eastAsia="es-ES"/>
        </w:rPr>
      </w:pPr>
    </w:p>
    <w:p w14:paraId="486C3EC3" w14:textId="77777777" w:rsidR="00F15D17" w:rsidRPr="005700D8" w:rsidRDefault="00F31FBA" w:rsidP="00F15D17">
      <w:pPr>
        <w:spacing w:after="0" w:line="240" w:lineRule="auto"/>
        <w:ind w:left="2835" w:hanging="992"/>
        <w:jc w:val="both"/>
        <w:rPr>
          <w:rFonts w:ascii="Bookman Old Style" w:eastAsia="Times New Roman" w:hAnsi="Bookman Old Style" w:cs="Arial"/>
          <w:i/>
          <w:lang w:val="es-ES" w:eastAsia="es-ES"/>
        </w:rPr>
      </w:pPr>
      <m:oMath>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VAO</m:t>
            </m:r>
          </m:e>
          <m:sub>
            <m:r>
              <w:rPr>
                <w:rFonts w:ascii="Cambria Math" w:eastAsia="Times New Roman" w:hAnsi="Cambria Math" w:cs="Arial"/>
                <w:lang w:val="es-ES" w:eastAsia="es-ES"/>
              </w:rPr>
              <m:t>t</m:t>
            </m:r>
          </m:sub>
        </m:sSub>
        <m:r>
          <w:rPr>
            <w:rFonts w:ascii="Cambria Math" w:eastAsia="Times New Roman" w:hAnsi="Cambria Math" w:cs="Arial"/>
            <w:lang w:val="es-ES" w:eastAsia="es-ES"/>
          </w:rPr>
          <m:t>:</m:t>
        </m:r>
      </m:oMath>
      <w:r w:rsidR="00F15D17" w:rsidRPr="005700D8">
        <w:rPr>
          <w:rFonts w:ascii="Bookman Old Style" w:eastAsia="Times New Roman" w:hAnsi="Bookman Old Style" w:cs="Arial"/>
          <w:i/>
          <w:lang w:val="es-ES" w:eastAsia="es-ES"/>
        </w:rPr>
        <w:t xml:space="preserve"> </w:t>
      </w:r>
      <w:r w:rsidR="00F15D17" w:rsidRPr="005700D8">
        <w:rPr>
          <w:rFonts w:ascii="Bookman Old Style" w:eastAsia="Times New Roman" w:hAnsi="Bookman Old Style" w:cs="Arial"/>
          <w:i/>
          <w:lang w:val="es-ES" w:eastAsia="es-ES"/>
        </w:rPr>
        <w:tab/>
        <w:t>Valor del activo si se mantiene en operación, expresado en dólares de la Fecha Base.</w:t>
      </w:r>
    </w:p>
    <w:p w14:paraId="7BB08AD0" w14:textId="77777777" w:rsidR="00F15D17" w:rsidRPr="005700D8" w:rsidRDefault="00F15D17" w:rsidP="00F15D17">
      <w:pPr>
        <w:spacing w:after="0" w:line="240" w:lineRule="auto"/>
        <w:ind w:left="2835" w:hanging="992"/>
        <w:jc w:val="both"/>
        <w:rPr>
          <w:rFonts w:ascii="Bookman Old Style" w:eastAsia="Times New Roman" w:hAnsi="Bookman Old Style" w:cs="Arial"/>
          <w:i/>
          <w:lang w:val="es-ES" w:eastAsia="es-ES"/>
        </w:rPr>
      </w:pPr>
    </w:p>
    <w:p w14:paraId="3ECA54CF" w14:textId="77777777" w:rsidR="00F15D17" w:rsidRPr="005700D8" w:rsidRDefault="00F15D17" w:rsidP="00F15D17">
      <w:pPr>
        <w:spacing w:after="0" w:line="240" w:lineRule="auto"/>
        <w:ind w:left="2835" w:hanging="992"/>
        <w:jc w:val="both"/>
        <w:rPr>
          <w:rFonts w:ascii="Bookman Old Style" w:eastAsia="Times New Roman" w:hAnsi="Bookman Old Style" w:cs="Arial"/>
          <w:i/>
          <w:lang w:val="es-ES" w:eastAsia="es-ES"/>
        </w:rPr>
      </w:pPr>
      <m:oMath>
        <m:r>
          <w:rPr>
            <w:rFonts w:ascii="Cambria Math" w:eastAsia="Times New Roman" w:hAnsi="Cambria Math" w:cs="Arial"/>
            <w:lang w:val="es-ES" w:eastAsia="es-ES"/>
          </w:rPr>
          <m:t>VRAN:</m:t>
        </m:r>
      </m:oMath>
      <w:r w:rsidRPr="005700D8">
        <w:rPr>
          <w:rFonts w:ascii="Bookman Old Style" w:eastAsia="Times New Roman" w:hAnsi="Bookman Old Style" w:cs="Arial"/>
          <w:i/>
          <w:lang w:val="es-ES" w:eastAsia="es-ES"/>
        </w:rPr>
        <w:tab/>
        <w:t>Costo de reposición a nuevo del activo, expresado en dólares de la Fecha Base.</w:t>
      </w:r>
    </w:p>
    <w:p w14:paraId="73245DCA" w14:textId="77777777" w:rsidR="00F15D17" w:rsidRPr="005700D8" w:rsidRDefault="00F15D17" w:rsidP="00F15D17">
      <w:pPr>
        <w:spacing w:after="0" w:line="240" w:lineRule="auto"/>
        <w:ind w:left="2835" w:hanging="992"/>
        <w:jc w:val="both"/>
        <w:rPr>
          <w:rFonts w:ascii="Bookman Old Style" w:eastAsia="Times New Roman" w:hAnsi="Bookman Old Style" w:cs="Arial"/>
          <w:i/>
          <w:lang w:val="es-ES" w:eastAsia="es-ES"/>
        </w:rPr>
      </w:pPr>
    </w:p>
    <w:p w14:paraId="552F115B" w14:textId="77777777" w:rsidR="00F15D17" w:rsidRPr="005700D8" w:rsidRDefault="00F15D17" w:rsidP="00F15D17">
      <w:pPr>
        <w:spacing w:after="0" w:line="240" w:lineRule="auto"/>
        <w:ind w:left="2835" w:hanging="992"/>
        <w:jc w:val="both"/>
        <w:rPr>
          <w:rFonts w:ascii="Bookman Old Style" w:eastAsia="Times New Roman" w:hAnsi="Bookman Old Style" w:cs="Arial"/>
          <w:i/>
          <w:lang w:val="es-ES" w:eastAsia="es-ES"/>
        </w:rPr>
      </w:pPr>
      <m:oMath>
        <m:r>
          <w:rPr>
            <w:rFonts w:ascii="Cambria Math" w:eastAsia="Times New Roman" w:hAnsi="Cambria Math" w:cs="Arial"/>
            <w:lang w:val="es-ES" w:eastAsia="es-ES"/>
          </w:rPr>
          <m:t>VUR:</m:t>
        </m:r>
      </m:oMath>
      <w:r w:rsidRPr="005700D8">
        <w:rPr>
          <w:rFonts w:ascii="Bookman Old Style" w:eastAsia="Times New Roman" w:hAnsi="Bookman Old Style" w:cs="Arial"/>
          <w:i/>
          <w:lang w:val="es-ES" w:eastAsia="es-ES"/>
        </w:rPr>
        <w:t xml:space="preserve"> </w:t>
      </w:r>
      <w:r w:rsidRPr="005700D8">
        <w:rPr>
          <w:rFonts w:ascii="Bookman Old Style" w:eastAsia="Times New Roman" w:hAnsi="Bookman Old Style" w:cs="Arial"/>
          <w:i/>
          <w:lang w:val="es-ES" w:eastAsia="es-ES"/>
        </w:rPr>
        <w:tab/>
        <w:t>Vida útil remanente, calculada como la diferencia entre la Vida Útil y la Vida Útil Normativa.</w:t>
      </w:r>
    </w:p>
    <w:p w14:paraId="09B9BD62" w14:textId="77777777" w:rsidR="00F15D17" w:rsidRPr="005700D8" w:rsidRDefault="00F15D17" w:rsidP="00F15D17">
      <w:pPr>
        <w:spacing w:after="0" w:line="240" w:lineRule="auto"/>
        <w:ind w:left="2835" w:hanging="992"/>
        <w:jc w:val="both"/>
        <w:rPr>
          <w:rFonts w:ascii="Bookman Old Style" w:eastAsia="Times New Roman" w:hAnsi="Bookman Old Style" w:cs="Arial"/>
          <w:i/>
          <w:lang w:val="es-ES" w:eastAsia="es-ES"/>
        </w:rPr>
      </w:pPr>
    </w:p>
    <w:p w14:paraId="35A30C9A" w14:textId="77777777" w:rsidR="00F15D17" w:rsidRPr="005700D8" w:rsidRDefault="00F15D17" w:rsidP="00F15D17">
      <w:pPr>
        <w:spacing w:after="0" w:line="240" w:lineRule="auto"/>
        <w:ind w:left="2835" w:hanging="992"/>
        <w:jc w:val="both"/>
        <w:rPr>
          <w:rFonts w:ascii="Bookman Old Style" w:eastAsia="Times New Roman" w:hAnsi="Bookman Old Style" w:cs="Arial"/>
          <w:i/>
          <w:lang w:val="es-ES" w:eastAsia="es-ES"/>
        </w:rPr>
      </w:pPr>
      <m:oMath>
        <m:r>
          <w:rPr>
            <w:rFonts w:ascii="Cambria Math" w:eastAsia="Times New Roman" w:hAnsi="Cambria Math" w:cs="Arial"/>
            <w:lang w:val="es-ES" w:eastAsia="es-ES"/>
          </w:rPr>
          <m:t>VU:</m:t>
        </m:r>
      </m:oMath>
      <w:r w:rsidRPr="005700D8">
        <w:rPr>
          <w:rFonts w:ascii="Bookman Old Style" w:eastAsia="Times New Roman" w:hAnsi="Bookman Old Style" w:cs="Arial"/>
          <w:i/>
          <w:lang w:val="es-ES" w:eastAsia="es-ES"/>
        </w:rPr>
        <w:t xml:space="preserve"> </w:t>
      </w:r>
      <w:r w:rsidRPr="005700D8">
        <w:rPr>
          <w:rFonts w:ascii="Bookman Old Style" w:eastAsia="Times New Roman" w:hAnsi="Bookman Old Style" w:cs="Arial"/>
          <w:i/>
          <w:lang w:val="es-ES" w:eastAsia="es-ES"/>
        </w:rPr>
        <w:tab/>
        <w:t>Vida Útil.</w:t>
      </w:r>
    </w:p>
    <w:p w14:paraId="4B274C08" w14:textId="77777777" w:rsidR="00F15D17" w:rsidRPr="005700D8" w:rsidRDefault="00F15D17" w:rsidP="00F15D17">
      <w:pPr>
        <w:spacing w:after="0" w:line="240" w:lineRule="auto"/>
        <w:ind w:left="2268" w:hanging="425"/>
        <w:jc w:val="both"/>
        <w:rPr>
          <w:rFonts w:ascii="Bookman Old Style" w:eastAsia="Times New Roman" w:hAnsi="Bookman Old Style" w:cs="Arial"/>
          <w:i/>
          <w:lang w:val="es-ES" w:eastAsia="es-ES"/>
        </w:rPr>
      </w:pPr>
    </w:p>
    <w:p w14:paraId="3D9CB1D0" w14:textId="77777777" w:rsidR="00F15D17" w:rsidRPr="005700D8" w:rsidRDefault="00F15D17" w:rsidP="00E83333">
      <w:pPr>
        <w:numPr>
          <w:ilvl w:val="0"/>
          <w:numId w:val="5"/>
        </w:numPr>
        <w:suppressAutoHyphens/>
        <w:spacing w:after="0" w:line="240" w:lineRule="auto"/>
        <w:ind w:left="1843" w:hanging="425"/>
        <w:jc w:val="both"/>
        <w:rPr>
          <w:rFonts w:ascii="Bookman Old Style" w:eastAsia="Times New Roman" w:hAnsi="Bookman Old Style" w:cs="Arial"/>
          <w:i/>
          <w:lang w:val="es-ES" w:eastAsia="es-ES"/>
        </w:rPr>
      </w:pPr>
      <w:r w:rsidRPr="005700D8">
        <w:rPr>
          <w:rFonts w:ascii="Bookman Old Style" w:eastAsia="Times New Roman" w:hAnsi="Bookman Old Style" w:cs="Arial"/>
          <w:i/>
          <w:lang w:val="es-ES" w:eastAsia="es-ES"/>
        </w:rPr>
        <w:t xml:space="preserve">El valor a reconocer si decide reponerlo. Este valor es el costo de oportunidad del activo - </w:t>
      </w:r>
      <m:oMath>
        <m:r>
          <w:rPr>
            <w:rFonts w:ascii="Cambria Math" w:eastAsia="Times New Roman" w:hAnsi="Cambria Math" w:cs="Arial"/>
            <w:lang w:val="es-ES" w:eastAsia="es-ES"/>
          </w:rPr>
          <m:t>VRAN</m:t>
        </m:r>
      </m:oMath>
      <w:r w:rsidRPr="005700D8">
        <w:rPr>
          <w:rFonts w:ascii="Bookman Old Style" w:eastAsia="Times New Roman" w:hAnsi="Bookman Old Style" w:cs="Arial"/>
          <w:i/>
          <w:lang w:val="es-ES" w:eastAsia="es-ES"/>
        </w:rPr>
        <w:t>, expresado en dólares de la Fecha Base.</w:t>
      </w:r>
    </w:p>
    <w:p w14:paraId="3F5E4969" w14:textId="77777777" w:rsidR="00F15D17" w:rsidRPr="005700D8" w:rsidRDefault="00F15D17" w:rsidP="00F15D17">
      <w:pPr>
        <w:suppressAutoHyphens/>
        <w:spacing w:after="0" w:line="240" w:lineRule="auto"/>
        <w:ind w:left="1843"/>
        <w:jc w:val="both"/>
        <w:rPr>
          <w:rFonts w:ascii="Bookman Old Style" w:eastAsia="Times New Roman" w:hAnsi="Bookman Old Style" w:cs="Arial"/>
          <w:i/>
          <w:lang w:val="es-ES" w:eastAsia="es-ES"/>
        </w:rPr>
      </w:pPr>
    </w:p>
    <w:p w14:paraId="1F331A9C" w14:textId="77777777" w:rsidR="00F15D17" w:rsidRPr="005700D8" w:rsidRDefault="00F15D17" w:rsidP="00F15D17">
      <w:pPr>
        <w:spacing w:after="0" w:line="240" w:lineRule="auto"/>
        <w:ind w:left="1418"/>
        <w:jc w:val="both"/>
        <w:rPr>
          <w:rFonts w:ascii="Bookman Old Style" w:eastAsia="Times New Roman" w:hAnsi="Bookman Old Style" w:cs="Arial"/>
          <w:i/>
          <w:lang w:val="es-ES" w:eastAsia="es-ES"/>
        </w:rPr>
      </w:pPr>
      <w:r w:rsidRPr="005700D8">
        <w:rPr>
          <w:rFonts w:ascii="Bookman Old Style" w:eastAsia="Times New Roman" w:hAnsi="Bookman Old Style" w:cs="Arial"/>
          <w:i/>
          <w:lang w:val="es-ES" w:eastAsia="es-ES"/>
        </w:rPr>
        <w:t>Estos valores se reconocerán al transportador por un período de veinte (20) años.</w:t>
      </w:r>
    </w:p>
    <w:p w14:paraId="0690A7DF" w14:textId="77777777" w:rsidR="00F15D17" w:rsidRDefault="00F15D17" w:rsidP="00F15D17">
      <w:pPr>
        <w:spacing w:after="0" w:line="240" w:lineRule="auto"/>
        <w:ind w:left="1418"/>
        <w:jc w:val="both"/>
        <w:rPr>
          <w:rFonts w:ascii="Bookman Old Style" w:eastAsia="Times New Roman" w:hAnsi="Bookman Old Style" w:cs="Arial"/>
          <w:i/>
          <w:lang w:val="es-ES" w:eastAsia="es-ES"/>
        </w:rPr>
      </w:pPr>
    </w:p>
    <w:p w14:paraId="3320F052" w14:textId="77777777" w:rsidR="005700D8" w:rsidRDefault="005700D8" w:rsidP="00F15D17">
      <w:pPr>
        <w:spacing w:after="0" w:line="240" w:lineRule="auto"/>
        <w:ind w:left="1418"/>
        <w:jc w:val="both"/>
        <w:rPr>
          <w:rFonts w:ascii="Bookman Old Style" w:eastAsia="Times New Roman" w:hAnsi="Bookman Old Style" w:cs="Arial"/>
          <w:i/>
          <w:lang w:val="es-ES" w:eastAsia="es-ES"/>
        </w:rPr>
      </w:pPr>
    </w:p>
    <w:p w14:paraId="11B049BE" w14:textId="77777777" w:rsidR="005700D8" w:rsidRDefault="005700D8" w:rsidP="00F15D17">
      <w:pPr>
        <w:spacing w:after="0" w:line="240" w:lineRule="auto"/>
        <w:ind w:left="1418"/>
        <w:jc w:val="both"/>
        <w:rPr>
          <w:rFonts w:ascii="Bookman Old Style" w:eastAsia="Times New Roman" w:hAnsi="Bookman Old Style" w:cs="Arial"/>
          <w:i/>
          <w:lang w:val="es-ES" w:eastAsia="es-ES"/>
        </w:rPr>
      </w:pPr>
    </w:p>
    <w:p w14:paraId="3309AA3B" w14:textId="77777777" w:rsidR="005700D8" w:rsidRPr="005700D8" w:rsidRDefault="005700D8" w:rsidP="00F15D17">
      <w:pPr>
        <w:spacing w:after="0" w:line="240" w:lineRule="auto"/>
        <w:ind w:left="1418"/>
        <w:jc w:val="both"/>
        <w:rPr>
          <w:rFonts w:ascii="Bookman Old Style" w:eastAsia="Times New Roman" w:hAnsi="Bookman Old Style" w:cs="Arial"/>
          <w:i/>
          <w:lang w:val="es-ES" w:eastAsia="es-ES"/>
        </w:rPr>
      </w:pPr>
    </w:p>
    <w:p w14:paraId="7684B747" w14:textId="77777777" w:rsidR="00F15D17" w:rsidRPr="005700D8" w:rsidRDefault="00F15D17" w:rsidP="00E83333">
      <w:pPr>
        <w:numPr>
          <w:ilvl w:val="0"/>
          <w:numId w:val="3"/>
        </w:numPr>
        <w:suppressAutoHyphens/>
        <w:spacing w:after="0" w:line="240" w:lineRule="auto"/>
        <w:ind w:left="993" w:hanging="426"/>
        <w:jc w:val="both"/>
        <w:rPr>
          <w:rFonts w:ascii="Bookman Old Style" w:eastAsia="Times New Roman" w:hAnsi="Bookman Old Style" w:cs="Arial"/>
          <w:i/>
          <w:lang w:val="es-ES" w:eastAsia="es-ES"/>
        </w:rPr>
      </w:pPr>
      <w:r w:rsidRPr="005700D8">
        <w:rPr>
          <w:rFonts w:ascii="Bookman Old Style" w:eastAsia="Times New Roman" w:hAnsi="Bookman Old Style" w:cs="Arial"/>
          <w:i/>
          <w:lang w:val="es-ES" w:eastAsia="es-ES"/>
        </w:rPr>
        <w:t>La empresa transportadora deberá informar a la Comisión acerca de la decisión tomada dentro del Mes siguiente a la fecha de notificación. El transportador reportará alguna de las siguientes decisiones:</w:t>
      </w:r>
    </w:p>
    <w:p w14:paraId="5C781182" w14:textId="77777777" w:rsidR="00F15D17" w:rsidRPr="005700D8" w:rsidRDefault="00F15D17" w:rsidP="00F15D17">
      <w:pPr>
        <w:spacing w:after="0" w:line="240" w:lineRule="auto"/>
        <w:ind w:left="284"/>
        <w:jc w:val="both"/>
        <w:rPr>
          <w:rFonts w:ascii="Bookman Old Style" w:eastAsia="Times New Roman" w:hAnsi="Bookman Old Style" w:cs="Arial"/>
          <w:i/>
          <w:lang w:val="es-ES" w:eastAsia="es-ES"/>
        </w:rPr>
      </w:pPr>
    </w:p>
    <w:p w14:paraId="054485AB" w14:textId="77777777" w:rsidR="00F15D17" w:rsidRPr="005700D8" w:rsidRDefault="00F15D17" w:rsidP="00E83333">
      <w:pPr>
        <w:numPr>
          <w:ilvl w:val="0"/>
          <w:numId w:val="6"/>
        </w:numPr>
        <w:suppressAutoHyphens/>
        <w:spacing w:after="0" w:line="240" w:lineRule="auto"/>
        <w:ind w:left="1418" w:hanging="433"/>
        <w:jc w:val="both"/>
        <w:rPr>
          <w:rFonts w:ascii="Bookman Old Style" w:eastAsia="Times New Roman" w:hAnsi="Bookman Old Style" w:cs="Arial"/>
          <w:i/>
          <w:lang w:val="es-ES" w:eastAsia="es-ES"/>
        </w:rPr>
      </w:pPr>
      <w:r w:rsidRPr="005700D8">
        <w:rPr>
          <w:rFonts w:ascii="Bookman Old Style" w:eastAsia="Times New Roman" w:hAnsi="Bookman Old Style" w:cs="Arial"/>
          <w:i/>
          <w:lang w:val="es-ES" w:eastAsia="es-ES"/>
        </w:rPr>
        <w:t xml:space="preserve">Continuar operando el activo existente: En tal caso deberá solicitar a la Comisión un ajuste de los cargos regulados a que haya lugar. Este ajuste se determinará de conformidad con el valor </w:t>
      </w:r>
      <m:oMath>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VAO</m:t>
            </m:r>
          </m:e>
          <m:sub>
            <m:r>
              <w:rPr>
                <w:rFonts w:ascii="Cambria Math" w:eastAsia="Times New Roman" w:hAnsi="Cambria Math" w:cs="Arial"/>
                <w:lang w:val="es-ES" w:eastAsia="es-ES"/>
              </w:rPr>
              <m:t>t</m:t>
            </m:r>
          </m:sub>
        </m:sSub>
      </m:oMath>
      <w:r w:rsidRPr="005700D8">
        <w:rPr>
          <w:rFonts w:ascii="Bookman Old Style" w:eastAsia="Times New Roman" w:hAnsi="Bookman Old Style" w:cs="Arial"/>
          <w:i/>
          <w:lang w:val="es-ES" w:eastAsia="es-ES"/>
        </w:rPr>
        <w:t xml:space="preserve">. </w:t>
      </w:r>
    </w:p>
    <w:p w14:paraId="30C891A4" w14:textId="77777777" w:rsidR="00F15D17" w:rsidRPr="005700D8" w:rsidRDefault="00F15D17" w:rsidP="00F15D17">
      <w:pPr>
        <w:spacing w:after="0" w:line="240" w:lineRule="auto"/>
        <w:ind w:left="284"/>
        <w:jc w:val="both"/>
        <w:rPr>
          <w:rFonts w:ascii="Bookman Old Style" w:eastAsia="Times New Roman" w:hAnsi="Bookman Old Style" w:cs="Arial"/>
          <w:i/>
          <w:lang w:val="es-ES" w:eastAsia="es-ES"/>
        </w:rPr>
      </w:pPr>
    </w:p>
    <w:p w14:paraId="198813FA" w14:textId="77777777" w:rsidR="00F15D17" w:rsidRPr="005700D8" w:rsidRDefault="00F15D17" w:rsidP="00E83333">
      <w:pPr>
        <w:numPr>
          <w:ilvl w:val="0"/>
          <w:numId w:val="6"/>
        </w:numPr>
        <w:suppressAutoHyphens/>
        <w:spacing w:after="0" w:line="240" w:lineRule="auto"/>
        <w:ind w:left="1418" w:hanging="433"/>
        <w:jc w:val="both"/>
        <w:rPr>
          <w:rFonts w:ascii="Bookman Old Style" w:eastAsia="Times New Roman" w:hAnsi="Bookman Old Style" w:cs="Arial"/>
          <w:i/>
          <w:lang w:val="es-ES" w:eastAsia="es-ES"/>
        </w:rPr>
      </w:pPr>
      <w:r w:rsidRPr="005700D8">
        <w:rPr>
          <w:rFonts w:ascii="Bookman Old Style" w:eastAsia="Times New Roman" w:hAnsi="Bookman Old Style" w:cs="Arial"/>
          <w:i/>
          <w:lang w:val="es-ES" w:eastAsia="es-ES"/>
        </w:rPr>
        <w:t xml:space="preserve">Reposición del activo: En tal caso, la empresa transportadora deberá solicitar un ajuste de los cargos regulados una vez el nuevo activo entre en operación. Durante el período comprendido entre la fecha en que el activo existente cumpla la Vida Útil Normativa y la fecha de entrada en operación del nuevo activo se reconocerá el valor de </w:t>
      </w:r>
      <m:oMath>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VAO</m:t>
            </m:r>
          </m:e>
          <m:sub>
            <m:r>
              <w:rPr>
                <w:rFonts w:ascii="Cambria Math" w:eastAsia="Times New Roman" w:hAnsi="Cambria Math" w:cs="Arial"/>
                <w:lang w:val="es-ES" w:eastAsia="es-ES"/>
              </w:rPr>
              <m:t>t</m:t>
            </m:r>
          </m:sub>
        </m:sSub>
      </m:oMath>
      <w:r w:rsidRPr="005700D8">
        <w:rPr>
          <w:rFonts w:ascii="Bookman Old Style" w:eastAsia="Times New Roman" w:hAnsi="Bookman Old Style" w:cs="Arial"/>
          <w:i/>
          <w:lang w:val="es-ES" w:eastAsia="es-ES"/>
        </w:rPr>
        <w:t>, siempre y cuando el activo a reponer se haya mantenido en operación.</w:t>
      </w:r>
    </w:p>
    <w:p w14:paraId="147317AB" w14:textId="77777777" w:rsidR="00F15D17" w:rsidRPr="005700D8" w:rsidRDefault="00F15D17" w:rsidP="00F15D17">
      <w:pPr>
        <w:spacing w:after="0" w:line="240" w:lineRule="auto"/>
        <w:ind w:left="1418"/>
        <w:jc w:val="both"/>
        <w:rPr>
          <w:rFonts w:ascii="Bookman Old Style" w:eastAsia="Times New Roman" w:hAnsi="Bookman Old Style" w:cs="Arial"/>
          <w:i/>
          <w:lang w:val="es-ES" w:eastAsia="es-ES"/>
        </w:rPr>
      </w:pPr>
    </w:p>
    <w:p w14:paraId="1E5FB74A" w14:textId="77777777" w:rsidR="00F15D17" w:rsidRPr="005700D8" w:rsidRDefault="00F15D17" w:rsidP="00F15D17">
      <w:pPr>
        <w:spacing w:after="0" w:line="240" w:lineRule="auto"/>
        <w:ind w:left="1418"/>
        <w:jc w:val="both"/>
        <w:rPr>
          <w:rFonts w:ascii="Bookman Old Style" w:eastAsia="Times New Roman" w:hAnsi="Bookman Old Style" w:cs="Arial"/>
          <w:i/>
          <w:lang w:val="es-ES" w:eastAsia="es-ES"/>
        </w:rPr>
      </w:pPr>
      <w:r w:rsidRPr="005700D8">
        <w:rPr>
          <w:rFonts w:ascii="Bookman Old Style" w:eastAsia="Times New Roman" w:hAnsi="Bookman Old Style" w:cs="Arial"/>
          <w:i/>
          <w:lang w:val="es-ES" w:eastAsia="es-ES"/>
        </w:rPr>
        <w:t xml:space="preserve">Para efecto del cálculo tarifario la CREG calculará el Factor de Utilización y de ser necesario ajustará las demandas hasta alcanzar el Factor de Utilización Normativo. Las demás variables del cálculo tarifario no serán sujetas de modificación. </w:t>
      </w:r>
    </w:p>
    <w:p w14:paraId="59076640" w14:textId="77777777" w:rsidR="00F15D17" w:rsidRPr="005700D8" w:rsidRDefault="00F15D17" w:rsidP="00F15D17">
      <w:pPr>
        <w:spacing w:after="0" w:line="240" w:lineRule="auto"/>
        <w:ind w:left="1418"/>
        <w:jc w:val="both"/>
        <w:rPr>
          <w:rFonts w:ascii="Bookman Old Style" w:eastAsia="Times New Roman" w:hAnsi="Bookman Old Style" w:cs="Arial"/>
          <w:i/>
          <w:lang w:val="es-ES" w:eastAsia="es-ES"/>
        </w:rPr>
      </w:pPr>
    </w:p>
    <w:p w14:paraId="0BEA9353" w14:textId="77777777" w:rsidR="00F15D17" w:rsidRPr="005700D8" w:rsidRDefault="00F15D17" w:rsidP="00F15D17">
      <w:pPr>
        <w:spacing w:after="0" w:line="240" w:lineRule="auto"/>
        <w:ind w:left="567"/>
        <w:jc w:val="both"/>
        <w:rPr>
          <w:rFonts w:ascii="Bookman Old Style" w:eastAsia="Times New Roman" w:hAnsi="Bookman Old Style" w:cs="Arial"/>
          <w:i/>
          <w:lang w:val="es-ES" w:eastAsia="es-ES"/>
        </w:rPr>
      </w:pPr>
      <w:r w:rsidRPr="005700D8">
        <w:rPr>
          <w:rFonts w:ascii="Bookman Old Style" w:eastAsia="Times New Roman" w:hAnsi="Bookman Old Style" w:cs="Arial"/>
          <w:b/>
          <w:i/>
          <w:lang w:val="es-ES" w:eastAsia="es-ES"/>
        </w:rPr>
        <w:t>Parágrafo 1.</w:t>
      </w:r>
      <w:r w:rsidRPr="005700D8">
        <w:rPr>
          <w:rFonts w:ascii="Bookman Old Style" w:eastAsia="Times New Roman" w:hAnsi="Bookman Old Style" w:cs="Arial"/>
          <w:i/>
          <w:lang w:val="es-ES" w:eastAsia="es-ES"/>
        </w:rPr>
        <w:t xml:space="preserve"> En ningún caso se efectuarán modificaciones al monto de las inversiones existentes, ocasionadas por reemplazos de activos propios de la operación antes de concluir su Vida Útil Normativa.</w:t>
      </w:r>
    </w:p>
    <w:p w14:paraId="4122841C" w14:textId="77777777" w:rsidR="00F15D17" w:rsidRPr="005700D8" w:rsidRDefault="00F15D17" w:rsidP="00F15D17">
      <w:pPr>
        <w:spacing w:after="0" w:line="240" w:lineRule="auto"/>
        <w:ind w:left="567"/>
        <w:jc w:val="both"/>
        <w:rPr>
          <w:rFonts w:ascii="Bookman Old Style" w:eastAsia="Times New Roman" w:hAnsi="Bookman Old Style" w:cs="Arial"/>
          <w:i/>
          <w:lang w:val="es-ES" w:eastAsia="es-ES"/>
        </w:rPr>
      </w:pPr>
    </w:p>
    <w:p w14:paraId="6432FF69" w14:textId="77777777" w:rsidR="00F15D17" w:rsidRPr="005700D8" w:rsidRDefault="00F15D17" w:rsidP="00F15D17">
      <w:pPr>
        <w:spacing w:after="0" w:line="240" w:lineRule="auto"/>
        <w:ind w:left="567"/>
        <w:jc w:val="both"/>
        <w:rPr>
          <w:rFonts w:ascii="Bookman Old Style" w:eastAsia="Times New Roman" w:hAnsi="Bookman Old Style" w:cs="Arial"/>
          <w:i/>
          <w:lang w:val="es-ES" w:eastAsia="es-ES"/>
        </w:rPr>
      </w:pPr>
      <w:r w:rsidRPr="005700D8">
        <w:rPr>
          <w:rFonts w:ascii="Bookman Old Style" w:eastAsia="Times New Roman" w:hAnsi="Bookman Old Style" w:cs="Arial"/>
          <w:b/>
          <w:i/>
          <w:lang w:val="es-ES" w:eastAsia="es-ES"/>
        </w:rPr>
        <w:t>Parágrafo 2.</w:t>
      </w:r>
      <w:r w:rsidRPr="005700D8">
        <w:rPr>
          <w:rFonts w:ascii="Bookman Old Style" w:eastAsia="Times New Roman" w:hAnsi="Bookman Old Style" w:cs="Arial"/>
          <w:i/>
          <w:lang w:val="es-ES" w:eastAsia="es-ES"/>
        </w:rPr>
        <w:t xml:space="preserve"> Si un transportador no solicita oportunamente el inicio de la actuación administrativa de que trata el literal a) del presente artículo, la inversión asociada a dicho activo será igual a cero para efectos regulatorios a partir de la fecha en que cumpla la Vida Útil Normativa y la CREG procederá, de oficio, a ajustar los cargos regulados vigentes considerando el activo con este último valor.</w:t>
      </w:r>
    </w:p>
    <w:p w14:paraId="1A6780C8" w14:textId="77777777" w:rsidR="00F15D17" w:rsidRPr="005700D8" w:rsidRDefault="00F15D17" w:rsidP="0007645D">
      <w:pPr>
        <w:spacing w:after="0" w:line="240" w:lineRule="auto"/>
        <w:ind w:left="-142" w:right="-142"/>
        <w:jc w:val="both"/>
        <w:rPr>
          <w:rFonts w:ascii="Bookman Old Style" w:eastAsia="Times New Roman" w:hAnsi="Bookman Old Style" w:cs="Times New Roman"/>
          <w:sz w:val="32"/>
          <w:szCs w:val="27"/>
          <w:lang w:val="es-ES" w:eastAsia="es-ES"/>
        </w:rPr>
      </w:pPr>
    </w:p>
    <w:p w14:paraId="740E23F3" w14:textId="0B310529" w:rsidR="00F15D17" w:rsidRPr="00F15D17" w:rsidRDefault="00F15D17" w:rsidP="00F15D17">
      <w:pPr>
        <w:spacing w:after="0" w:line="240" w:lineRule="auto"/>
        <w:ind w:left="-142" w:right="-142"/>
        <w:jc w:val="both"/>
        <w:rPr>
          <w:rFonts w:ascii="Bookman Old Style" w:eastAsia="Times New Roman" w:hAnsi="Bookman Old Style" w:cs="Times New Roman"/>
          <w:sz w:val="24"/>
          <w:szCs w:val="27"/>
          <w:lang w:val="es-ES" w:eastAsia="es-ES"/>
        </w:rPr>
      </w:pPr>
      <w:r>
        <w:rPr>
          <w:rFonts w:ascii="Bookman Old Style" w:eastAsia="Times New Roman" w:hAnsi="Bookman Old Style" w:cs="Arial"/>
          <w:color w:val="000000" w:themeColor="text1"/>
          <w:spacing w:val="-3"/>
          <w:sz w:val="24"/>
          <w:szCs w:val="24"/>
          <w:lang w:val="es-ES" w:eastAsia="es-ES"/>
        </w:rPr>
        <w:t>D</w:t>
      </w:r>
      <w:r w:rsidRPr="00F15D17">
        <w:rPr>
          <w:rFonts w:ascii="Bookman Old Style" w:eastAsia="Times New Roman" w:hAnsi="Bookman Old Style" w:cs="Times New Roman"/>
          <w:sz w:val="24"/>
          <w:szCs w:val="27"/>
          <w:lang w:val="es-ES" w:eastAsia="es-ES"/>
        </w:rPr>
        <w:t xml:space="preserve">e acuerdo con lo anterior, en el artículo 14 de la Resolución CREG 126 de 2010, modificado por el artículo 2 de la Resolución CREG 066 de 2013, se estableció el procedimiento que se debe adelantar a fin de que la Comisión establezca el valor de la inversión a reconocer en aquellos activos que hayan cumplido la vida útil normativa. De acuerdo con lo previsto en el numeral 1 del literal b) del artículo 14 de la Resolución CREG 126 de </w:t>
      </w:r>
      <w:r w:rsidRPr="00F15D17">
        <w:rPr>
          <w:rFonts w:ascii="Bookman Old Style" w:eastAsia="Times New Roman" w:hAnsi="Bookman Old Style" w:cs="Times New Roman"/>
          <w:color w:val="000000" w:themeColor="text1"/>
          <w:sz w:val="24"/>
          <w:szCs w:val="24"/>
          <w:lang w:eastAsia="es-ES"/>
        </w:rPr>
        <w:t>2010</w:t>
      </w:r>
      <w:r w:rsidRPr="00F15D17">
        <w:rPr>
          <w:rFonts w:ascii="Bookman Old Style" w:eastAsia="Times New Roman" w:hAnsi="Bookman Old Style" w:cs="Times New Roman"/>
          <w:sz w:val="24"/>
          <w:szCs w:val="27"/>
          <w:lang w:val="es-ES" w:eastAsia="es-ES"/>
        </w:rPr>
        <w:t>, la valoración que realice el perito se ha de realizar con base en las actividades determinadas en el acto administrativo que expida la Comisión.</w:t>
      </w:r>
    </w:p>
    <w:p w14:paraId="729FA3E6" w14:textId="77777777" w:rsidR="00F15D17" w:rsidRPr="00F15D17" w:rsidRDefault="00F15D17" w:rsidP="00F15D17">
      <w:pPr>
        <w:spacing w:after="0" w:line="240" w:lineRule="auto"/>
        <w:ind w:left="-142" w:right="-142"/>
        <w:jc w:val="both"/>
        <w:rPr>
          <w:rFonts w:ascii="Bookman Old Style" w:eastAsia="Times New Roman" w:hAnsi="Bookman Old Style" w:cs="Times New Roman"/>
          <w:sz w:val="24"/>
          <w:szCs w:val="27"/>
          <w:lang w:val="es-ES" w:eastAsia="es-ES"/>
        </w:rPr>
      </w:pPr>
    </w:p>
    <w:p w14:paraId="0CFEC673" w14:textId="77777777" w:rsidR="00F15D17" w:rsidRPr="00F15D17" w:rsidRDefault="00F15D17" w:rsidP="00F15D17">
      <w:pPr>
        <w:spacing w:after="0" w:line="240" w:lineRule="auto"/>
        <w:ind w:left="-142" w:right="-142"/>
        <w:jc w:val="both"/>
        <w:rPr>
          <w:rFonts w:ascii="Bookman Old Style" w:eastAsia="Times New Roman" w:hAnsi="Bookman Old Style" w:cs="Times New Roman"/>
          <w:sz w:val="24"/>
          <w:szCs w:val="27"/>
          <w:lang w:val="es-ES" w:eastAsia="es-ES"/>
        </w:rPr>
      </w:pPr>
      <w:r w:rsidRPr="00F15D17">
        <w:rPr>
          <w:rFonts w:ascii="Bookman Old Style" w:eastAsia="Times New Roman" w:hAnsi="Bookman Old Style" w:cs="Times New Roman"/>
          <w:sz w:val="24"/>
          <w:szCs w:val="27"/>
          <w:lang w:val="es-ES" w:eastAsia="es-ES"/>
        </w:rPr>
        <w:t xml:space="preserve">El artículo 109 de la Ley 142 de 1994, en relación con las facultades con las que cuenta la Comisión dentro del ejercicio de las actuaciones administrativas que se adelanten en materia regulatoria, ha previsto </w:t>
      </w:r>
      <w:bookmarkStart w:id="2" w:name="109"/>
      <w:bookmarkEnd w:id="2"/>
      <w:r w:rsidRPr="00F15D17">
        <w:rPr>
          <w:rFonts w:ascii="Bookman Old Style" w:eastAsia="Times New Roman" w:hAnsi="Bookman Old Style" w:cs="Times New Roman"/>
          <w:sz w:val="24"/>
          <w:szCs w:val="27"/>
          <w:lang w:val="es-ES" w:eastAsia="es-ES"/>
        </w:rPr>
        <w:t>que al practicar pruebas las funciones que corresponderían al juez en un proceso civil las cumplirá la autoridad, o la persona que acuerden la autoridad y el interesado.</w:t>
      </w:r>
    </w:p>
    <w:p w14:paraId="6F53F981" w14:textId="77777777" w:rsidR="00F15D17" w:rsidRPr="00F15D17" w:rsidRDefault="00F15D17" w:rsidP="00F15D17">
      <w:pPr>
        <w:spacing w:after="0" w:line="240" w:lineRule="auto"/>
        <w:ind w:left="-142" w:right="-142"/>
        <w:jc w:val="both"/>
        <w:rPr>
          <w:rFonts w:ascii="Bookman Old Style" w:eastAsia="Times New Roman" w:hAnsi="Bookman Old Style" w:cs="Times New Roman"/>
          <w:sz w:val="24"/>
          <w:szCs w:val="27"/>
          <w:lang w:val="es-ES" w:eastAsia="es-ES"/>
        </w:rPr>
      </w:pPr>
    </w:p>
    <w:p w14:paraId="7C087984" w14:textId="458C0BD3" w:rsidR="00F15D17" w:rsidRPr="00F15D17" w:rsidRDefault="00F15D17" w:rsidP="00F15D17">
      <w:pPr>
        <w:spacing w:after="0" w:line="240" w:lineRule="auto"/>
        <w:ind w:left="-142" w:right="-142"/>
        <w:jc w:val="both"/>
        <w:rPr>
          <w:rFonts w:ascii="Bookman Old Style" w:eastAsia="Times New Roman" w:hAnsi="Bookman Old Style" w:cs="Times New Roman"/>
          <w:sz w:val="24"/>
          <w:szCs w:val="27"/>
          <w:lang w:val="es-ES" w:eastAsia="es-ES"/>
        </w:rPr>
      </w:pPr>
      <w:r w:rsidRPr="00F15D17">
        <w:rPr>
          <w:rFonts w:ascii="Bookman Old Style" w:eastAsia="Times New Roman" w:hAnsi="Bookman Old Style" w:cs="Times New Roman"/>
          <w:sz w:val="24"/>
          <w:szCs w:val="27"/>
          <w:lang w:val="es-ES" w:eastAsia="es-ES"/>
        </w:rPr>
        <w:t>En concordancia con lo anterior, el numeral 1 del artículo 124 de la Ley 142 de 1994 establece que cuando corresponda a la Comisión de Regulación de Energía y Gas como autoridad nombrar peritos, el nombramiento corresponderá a la Comisión misma.</w:t>
      </w:r>
    </w:p>
    <w:p w14:paraId="28AE6895" w14:textId="77777777" w:rsidR="00F15D17" w:rsidRPr="00F15D17" w:rsidRDefault="00F15D17" w:rsidP="00F15D17">
      <w:pPr>
        <w:spacing w:after="0" w:line="240" w:lineRule="auto"/>
        <w:ind w:left="-142" w:right="-142"/>
        <w:jc w:val="both"/>
        <w:rPr>
          <w:rFonts w:ascii="Bookman Old Style" w:eastAsia="Times New Roman" w:hAnsi="Bookman Old Style" w:cs="Times New Roman"/>
          <w:sz w:val="24"/>
          <w:szCs w:val="27"/>
          <w:lang w:val="es-ES" w:eastAsia="es-ES"/>
        </w:rPr>
      </w:pPr>
    </w:p>
    <w:p w14:paraId="14D479B8" w14:textId="77777777" w:rsidR="005700D8" w:rsidRDefault="005700D8" w:rsidP="00F15D17">
      <w:pPr>
        <w:spacing w:after="0" w:line="240" w:lineRule="auto"/>
        <w:ind w:left="-142" w:right="-142"/>
        <w:jc w:val="both"/>
        <w:rPr>
          <w:rFonts w:ascii="Bookman Old Style" w:eastAsia="Times New Roman" w:hAnsi="Bookman Old Style" w:cs="Times New Roman"/>
          <w:sz w:val="24"/>
          <w:szCs w:val="27"/>
          <w:lang w:val="es-ES" w:eastAsia="es-ES"/>
        </w:rPr>
      </w:pPr>
    </w:p>
    <w:p w14:paraId="364E4AFB" w14:textId="77777777" w:rsidR="005700D8" w:rsidRDefault="005700D8" w:rsidP="00F15D17">
      <w:pPr>
        <w:spacing w:after="0" w:line="240" w:lineRule="auto"/>
        <w:ind w:left="-142" w:right="-142"/>
        <w:jc w:val="both"/>
        <w:rPr>
          <w:rFonts w:ascii="Bookman Old Style" w:eastAsia="Times New Roman" w:hAnsi="Bookman Old Style" w:cs="Times New Roman"/>
          <w:sz w:val="24"/>
          <w:szCs w:val="27"/>
          <w:lang w:val="es-ES" w:eastAsia="es-ES"/>
        </w:rPr>
      </w:pPr>
    </w:p>
    <w:p w14:paraId="749F4F6E" w14:textId="77777777" w:rsidR="005700D8" w:rsidRDefault="005700D8" w:rsidP="00F15D17">
      <w:pPr>
        <w:spacing w:after="0" w:line="240" w:lineRule="auto"/>
        <w:ind w:left="-142" w:right="-142"/>
        <w:jc w:val="both"/>
        <w:rPr>
          <w:rFonts w:ascii="Bookman Old Style" w:eastAsia="Times New Roman" w:hAnsi="Bookman Old Style" w:cs="Times New Roman"/>
          <w:sz w:val="24"/>
          <w:szCs w:val="27"/>
          <w:lang w:val="es-ES" w:eastAsia="es-ES"/>
        </w:rPr>
      </w:pPr>
    </w:p>
    <w:p w14:paraId="3F9EAE28" w14:textId="77777777" w:rsidR="00F15D17" w:rsidRDefault="00F15D17" w:rsidP="00F15D17">
      <w:pPr>
        <w:spacing w:after="0" w:line="240" w:lineRule="auto"/>
        <w:ind w:left="-142" w:right="-142"/>
        <w:jc w:val="both"/>
        <w:rPr>
          <w:rFonts w:ascii="Bookman Old Style" w:eastAsia="Times New Roman" w:hAnsi="Bookman Old Style" w:cs="Times New Roman"/>
          <w:sz w:val="24"/>
          <w:szCs w:val="27"/>
          <w:lang w:val="es-ES" w:eastAsia="es-ES"/>
        </w:rPr>
      </w:pPr>
      <w:r w:rsidRPr="00F15D17">
        <w:rPr>
          <w:rFonts w:ascii="Bookman Old Style" w:eastAsia="Times New Roman" w:hAnsi="Bookman Old Style" w:cs="Times New Roman"/>
          <w:sz w:val="24"/>
          <w:szCs w:val="27"/>
          <w:lang w:val="es-ES" w:eastAsia="es-ES"/>
        </w:rPr>
        <w:t>Mediante la Resolución CREG 080 de 2013, modificada por la Resolución CREG 110 de 2015, la Comisión conformó la lista de peritos de que trata el artículo 14 de la Resolución CREG 126 de 2010.</w:t>
      </w:r>
    </w:p>
    <w:p w14:paraId="53F8388E" w14:textId="77777777" w:rsidR="00F15D17" w:rsidRDefault="00F15D17" w:rsidP="00F15D17">
      <w:pPr>
        <w:spacing w:after="0" w:line="240" w:lineRule="auto"/>
        <w:ind w:left="-142" w:right="-142"/>
        <w:jc w:val="both"/>
        <w:rPr>
          <w:rFonts w:ascii="Bookman Old Style" w:eastAsia="Times New Roman" w:hAnsi="Bookman Old Style" w:cs="Times New Roman"/>
          <w:sz w:val="24"/>
          <w:szCs w:val="27"/>
          <w:lang w:val="es-ES" w:eastAsia="es-ES"/>
        </w:rPr>
      </w:pPr>
    </w:p>
    <w:p w14:paraId="7F405548" w14:textId="4A3EA99F" w:rsidR="00F15D17" w:rsidRDefault="00F15D17" w:rsidP="00F15D17">
      <w:pPr>
        <w:spacing w:after="0" w:line="240" w:lineRule="auto"/>
        <w:ind w:left="-142" w:right="-142"/>
        <w:jc w:val="both"/>
        <w:rPr>
          <w:rFonts w:ascii="Bookman Old Style" w:eastAsia="Times New Roman" w:hAnsi="Bookman Old Style" w:cs="Times New Roman"/>
          <w:sz w:val="24"/>
          <w:szCs w:val="27"/>
          <w:lang w:val="es-ES" w:eastAsia="es-ES"/>
        </w:rPr>
      </w:pPr>
      <w:r>
        <w:rPr>
          <w:rFonts w:ascii="Bookman Old Style" w:eastAsia="Times New Roman" w:hAnsi="Bookman Old Style" w:cs="Times New Roman"/>
          <w:sz w:val="24"/>
          <w:szCs w:val="27"/>
          <w:lang w:val="es-ES" w:eastAsia="es-ES"/>
        </w:rPr>
        <w:t>Mediante las r</w:t>
      </w:r>
      <w:r w:rsidRPr="00F15D17">
        <w:rPr>
          <w:rFonts w:ascii="Bookman Old Style" w:eastAsia="Times New Roman" w:hAnsi="Bookman Old Style" w:cs="Times New Roman"/>
          <w:sz w:val="24"/>
          <w:szCs w:val="27"/>
          <w:lang w:val="es-ES" w:eastAsia="es-ES"/>
        </w:rPr>
        <w:t>esoluciones CREG 018 de 2014, 082 de 2014, 163 de 2015, 220 de 2015, 085 de 2016, 086 de 2016</w:t>
      </w:r>
      <w:r>
        <w:rPr>
          <w:rFonts w:ascii="Bookman Old Style" w:eastAsia="Times New Roman" w:hAnsi="Bookman Old Style" w:cs="Times New Roman"/>
          <w:sz w:val="24"/>
          <w:szCs w:val="27"/>
          <w:lang w:val="es-ES" w:eastAsia="es-ES"/>
        </w:rPr>
        <w:t xml:space="preserve"> y 241 de 2016, la Comisión ha venido dando aplicación a lo dispuesto en el artículo 14 de la Resolución CREG 126 de 2010 a efectos de resolver las solicitudes de los transportadores en aquellos activos que han cumplido su vida útil normativa.</w:t>
      </w:r>
      <w:r w:rsidRPr="00F15D17">
        <w:rPr>
          <w:rFonts w:ascii="Bookman Old Style" w:eastAsia="Times New Roman" w:hAnsi="Bookman Old Style" w:cs="Times New Roman"/>
          <w:sz w:val="24"/>
          <w:szCs w:val="27"/>
          <w:lang w:val="es-ES" w:eastAsia="es-ES"/>
        </w:rPr>
        <w:t xml:space="preserve"> </w:t>
      </w:r>
    </w:p>
    <w:p w14:paraId="60FE11B3" w14:textId="77777777" w:rsidR="00F15D17" w:rsidRDefault="00F15D17" w:rsidP="00F15D17">
      <w:pPr>
        <w:spacing w:after="0" w:line="240" w:lineRule="auto"/>
        <w:ind w:left="-142" w:right="-142"/>
        <w:jc w:val="both"/>
        <w:rPr>
          <w:rFonts w:ascii="Bookman Old Style" w:eastAsia="Times New Roman" w:hAnsi="Bookman Old Style" w:cs="Times New Roman"/>
          <w:sz w:val="24"/>
          <w:szCs w:val="27"/>
          <w:lang w:val="es-ES" w:eastAsia="es-ES"/>
        </w:rPr>
      </w:pPr>
    </w:p>
    <w:p w14:paraId="7571CE3F" w14:textId="673AA5CB" w:rsidR="00F15D17" w:rsidRPr="00F15D17" w:rsidRDefault="00F15D17" w:rsidP="00F15D17">
      <w:pPr>
        <w:spacing w:after="0" w:line="240" w:lineRule="auto"/>
        <w:ind w:left="-142" w:right="-142"/>
        <w:jc w:val="both"/>
        <w:rPr>
          <w:rFonts w:ascii="Bookman Old Style" w:eastAsia="Times New Roman" w:hAnsi="Bookman Old Style" w:cs="Arial"/>
          <w:sz w:val="24"/>
          <w:szCs w:val="24"/>
          <w:lang w:val="es-ES_tradnl" w:eastAsia="es-ES"/>
        </w:rPr>
      </w:pPr>
      <w:r w:rsidRPr="00F15D17">
        <w:rPr>
          <w:rFonts w:ascii="Bookman Old Style" w:eastAsia="Times New Roman" w:hAnsi="Bookman Old Style" w:cs="Arial"/>
          <w:sz w:val="24"/>
          <w:szCs w:val="24"/>
          <w:lang w:eastAsia="es-ES"/>
        </w:rPr>
        <w:t xml:space="preserve">Ahora bien, </w:t>
      </w:r>
      <w:r>
        <w:rPr>
          <w:rFonts w:ascii="Bookman Old Style" w:eastAsia="Times New Roman" w:hAnsi="Bookman Old Style" w:cs="Arial"/>
          <w:sz w:val="24"/>
          <w:szCs w:val="24"/>
          <w:lang w:eastAsia="es-ES"/>
        </w:rPr>
        <w:t xml:space="preserve">esta Comisión ha precisado que </w:t>
      </w:r>
      <w:r w:rsidRPr="00F15D17">
        <w:rPr>
          <w:rFonts w:ascii="Bookman Old Style" w:eastAsia="Times New Roman" w:hAnsi="Bookman Old Style" w:cs="Arial"/>
          <w:sz w:val="24"/>
          <w:szCs w:val="24"/>
          <w:lang w:eastAsia="es-ES"/>
        </w:rPr>
        <w:t xml:space="preserve">el dictamen decretado a través de la Resolución CREG 171 de 2016 corresponde a un </w:t>
      </w:r>
      <w:r w:rsidRPr="00F15D17">
        <w:rPr>
          <w:rFonts w:ascii="Bookman Old Style" w:eastAsia="Times New Roman" w:hAnsi="Bookman Old Style" w:cs="Times New Roman"/>
          <w:sz w:val="24"/>
          <w:szCs w:val="27"/>
          <w:lang w:val="es-ES" w:eastAsia="es-ES"/>
        </w:rPr>
        <w:t>dictamen</w:t>
      </w:r>
      <w:r w:rsidRPr="00F15D17">
        <w:rPr>
          <w:rFonts w:ascii="Bookman Old Style" w:eastAsia="Times New Roman" w:hAnsi="Bookman Old Style" w:cs="Arial"/>
          <w:sz w:val="24"/>
          <w:szCs w:val="24"/>
          <w:lang w:eastAsia="es-ES"/>
        </w:rPr>
        <w:t xml:space="preserve"> pericial de oficio desde el punto de vista procesal y sustancial. En relación con el primero, debido a que: i) su práctica obedece desde un punto de vista procesal a una decisión adoptada por la CREG sin que medie solicitud de alguna de las partes que hacen parte de la actuación administrativa,</w:t>
      </w:r>
      <w:r w:rsidRPr="00F15D17">
        <w:rPr>
          <w:rFonts w:ascii="Bookman Old Style" w:eastAsia="Times New Roman" w:hAnsi="Bookman Old Style" w:cs="Arial"/>
          <w:sz w:val="24"/>
          <w:szCs w:val="24"/>
          <w:lang w:val="es-ES_tradnl" w:eastAsia="es-ES"/>
        </w:rPr>
        <w:t xml:space="preserve"> atendiendo las facultades asignadas en materia probatoria (Ley 142 de 1994 artículo 109) en calidad de juez civil,</w:t>
      </w:r>
      <w:r w:rsidRPr="00F15D17">
        <w:rPr>
          <w:rFonts w:ascii="Bookman Old Style" w:eastAsia="Times New Roman" w:hAnsi="Bookman Old Style" w:cs="Arial"/>
          <w:sz w:val="24"/>
          <w:szCs w:val="24"/>
          <w:lang w:eastAsia="es-ES"/>
        </w:rPr>
        <w:t xml:space="preserve">; ii) a través de la metodología de la Resolución CREG 126 de 2010 se consideró que el medio idóneo </w:t>
      </w:r>
      <w:r w:rsidR="00A83B17">
        <w:rPr>
          <w:rFonts w:ascii="Bookman Old Style" w:eastAsia="Times New Roman" w:hAnsi="Bookman Old Style" w:cs="Arial"/>
          <w:sz w:val="24"/>
          <w:szCs w:val="24"/>
          <w:lang w:eastAsia="es-ES"/>
        </w:rPr>
        <w:t xml:space="preserve">para ilustrar a la Comisión </w:t>
      </w:r>
      <w:r w:rsidRPr="00F15D17">
        <w:rPr>
          <w:rFonts w:ascii="Bookman Old Style" w:eastAsia="Times New Roman" w:hAnsi="Bookman Old Style" w:cs="Arial"/>
          <w:sz w:val="24"/>
          <w:szCs w:val="24"/>
          <w:lang w:eastAsia="es-ES"/>
        </w:rPr>
        <w:t>correspondía a dicha prueba a efectos de llevar a cabo la valoración de aquellos gasoductos que han cumplido su vida útil normativa. Así mismo y desde el punto de vista sustancial, esto está directamente relacionado con el alcance de las funciones regulatorias asignadas a esta Comisión, incluidas aquellas en materia tarifaria</w:t>
      </w:r>
      <w:r w:rsidRPr="00F15D17">
        <w:rPr>
          <w:rFonts w:ascii="Bookman Old Style" w:eastAsia="Times New Roman" w:hAnsi="Bookman Old Style" w:cs="Arial"/>
          <w:sz w:val="24"/>
          <w:szCs w:val="24"/>
          <w:lang w:val="es-ES_tradnl" w:eastAsia="es-ES"/>
        </w:rPr>
        <w:t>.</w:t>
      </w:r>
      <w:r w:rsidRPr="00F15D17">
        <w:rPr>
          <w:rFonts w:ascii="Bookman Old Style" w:eastAsia="Times New Roman" w:hAnsi="Bookman Old Style" w:cs="Arial"/>
          <w:sz w:val="24"/>
          <w:szCs w:val="24"/>
          <w:vertAlign w:val="superscript"/>
          <w:lang w:val="es-ES_tradnl" w:eastAsia="es-ES"/>
        </w:rPr>
        <w:footnoteReference w:id="2"/>
      </w:r>
      <w:r w:rsidRPr="00F15D17">
        <w:rPr>
          <w:rFonts w:ascii="Bookman Old Style" w:eastAsia="Times New Roman" w:hAnsi="Bookman Old Style" w:cs="Arial"/>
          <w:sz w:val="24"/>
          <w:szCs w:val="24"/>
          <w:lang w:val="es-ES_tradnl" w:eastAsia="es-ES"/>
        </w:rPr>
        <w:t xml:space="preserve"> </w:t>
      </w:r>
    </w:p>
    <w:p w14:paraId="2A0231D0" w14:textId="77777777" w:rsidR="00F15D17" w:rsidRPr="00F15D17" w:rsidRDefault="00F15D17" w:rsidP="00F15D17">
      <w:pPr>
        <w:widowControl w:val="0"/>
        <w:spacing w:after="0" w:line="240" w:lineRule="auto"/>
        <w:jc w:val="both"/>
        <w:rPr>
          <w:rFonts w:ascii="Bookman Old Style" w:eastAsia="Times New Roman" w:hAnsi="Bookman Old Style" w:cs="Arial"/>
          <w:sz w:val="24"/>
          <w:szCs w:val="24"/>
          <w:lang w:val="es-ES_tradnl" w:eastAsia="es-ES"/>
        </w:rPr>
      </w:pPr>
    </w:p>
    <w:p w14:paraId="313DB3D5" w14:textId="77777777" w:rsidR="00F15D17" w:rsidRPr="00F15D17" w:rsidRDefault="00F15D17" w:rsidP="00F15D17">
      <w:pPr>
        <w:spacing w:after="0" w:line="240" w:lineRule="auto"/>
        <w:ind w:left="-142" w:right="-142"/>
        <w:jc w:val="both"/>
        <w:rPr>
          <w:rFonts w:ascii="Bookman Old Style" w:eastAsia="Times New Roman" w:hAnsi="Bookman Old Style" w:cs="Arial"/>
          <w:sz w:val="24"/>
          <w:szCs w:val="24"/>
          <w:lang w:val="es-ES_tradnl" w:eastAsia="es-ES"/>
        </w:rPr>
      </w:pPr>
      <w:r w:rsidRPr="00F15D17">
        <w:rPr>
          <w:rFonts w:ascii="Bookman Old Style" w:eastAsia="Times New Roman" w:hAnsi="Bookman Old Style" w:cs="Arial"/>
          <w:sz w:val="24"/>
          <w:szCs w:val="24"/>
          <w:lang w:val="es-ES_tradnl" w:eastAsia="es-ES"/>
        </w:rPr>
        <w:t xml:space="preserve">En este sentido, las pruebas que se decreten por parte de la Comisión deben estar ligadas y dirigidas a dar cumplimiento a los fines que persigue el ejercicio de su función regulatoria, razón </w:t>
      </w:r>
      <w:r w:rsidRPr="00F15D17">
        <w:rPr>
          <w:rFonts w:ascii="Bookman Old Style" w:eastAsia="Times New Roman" w:hAnsi="Bookman Old Style" w:cs="Times New Roman"/>
          <w:sz w:val="24"/>
          <w:szCs w:val="27"/>
          <w:lang w:val="es-ES" w:eastAsia="es-ES"/>
        </w:rPr>
        <w:t>por</w:t>
      </w:r>
      <w:r w:rsidRPr="00F15D17">
        <w:rPr>
          <w:rFonts w:ascii="Bookman Old Style" w:eastAsia="Times New Roman" w:hAnsi="Bookman Old Style" w:cs="Arial"/>
          <w:sz w:val="24"/>
          <w:szCs w:val="24"/>
          <w:lang w:val="es-ES_tradnl" w:eastAsia="es-ES"/>
        </w:rPr>
        <w:t xml:space="preserve"> la cual, cualquier prueba que no esté dirigida en este sentido ha de considerarse como impertinente, improcedente, inútil y superflua.  Esto ha de ser igualmente compatible con la posibilidad de que tienen las partes en el marco del derecho de defensa y contradicción que hacen parte del espectro general del debido proceso, de contar con las garantías de controvertir las pruebas decretadas por la Comisión.</w:t>
      </w:r>
    </w:p>
    <w:p w14:paraId="0DF9F12C" w14:textId="76B20164" w:rsidR="00F15D17" w:rsidRPr="00F15D17" w:rsidRDefault="00F15D17" w:rsidP="00F15D17">
      <w:pPr>
        <w:spacing w:after="0" w:line="240" w:lineRule="auto"/>
        <w:ind w:left="-142" w:right="-142"/>
        <w:jc w:val="both"/>
        <w:rPr>
          <w:rFonts w:ascii="Bookman Old Style" w:eastAsia="Times New Roman" w:hAnsi="Bookman Old Style" w:cs="Times New Roman"/>
          <w:sz w:val="24"/>
          <w:szCs w:val="27"/>
          <w:lang w:val="es-ES_tradnl" w:eastAsia="es-ES"/>
        </w:rPr>
      </w:pPr>
    </w:p>
    <w:p w14:paraId="20DC810F" w14:textId="399D8E69" w:rsidR="009E3E43" w:rsidRDefault="00F15D17" w:rsidP="00EA0A53">
      <w:pPr>
        <w:spacing w:after="0" w:line="240" w:lineRule="auto"/>
        <w:ind w:left="-142" w:right="-142"/>
        <w:jc w:val="both"/>
        <w:rPr>
          <w:rFonts w:ascii="Bookman Old Style" w:eastAsia="Times New Roman" w:hAnsi="Bookman Old Style" w:cs="Times New Roman"/>
          <w:sz w:val="24"/>
          <w:szCs w:val="27"/>
          <w:lang w:val="es-ES" w:eastAsia="es-ES"/>
        </w:rPr>
      </w:pPr>
      <w:r>
        <w:rPr>
          <w:rFonts w:ascii="Bookman Old Style" w:eastAsia="Times New Roman" w:hAnsi="Bookman Old Style" w:cs="Times New Roman"/>
          <w:sz w:val="24"/>
          <w:szCs w:val="27"/>
          <w:lang w:val="es-ES" w:eastAsia="es-ES"/>
        </w:rPr>
        <w:t>Teniendo en cuenta el alcance de la prueba pericial decretada por parte de la Comisión</w:t>
      </w:r>
      <w:r w:rsidR="00743CA9">
        <w:rPr>
          <w:rFonts w:ascii="Bookman Old Style" w:eastAsia="Times New Roman" w:hAnsi="Bookman Old Style" w:cs="Times New Roman"/>
          <w:sz w:val="24"/>
          <w:szCs w:val="27"/>
          <w:lang w:val="es-ES" w:eastAsia="es-ES"/>
        </w:rPr>
        <w:t xml:space="preserve"> atendiendo lo previsto en el artículo 14 de Resolución CREG 126 de 2010</w:t>
      </w:r>
      <w:r>
        <w:rPr>
          <w:rFonts w:ascii="Bookman Old Style" w:eastAsia="Times New Roman" w:hAnsi="Bookman Old Style" w:cs="Times New Roman"/>
          <w:sz w:val="24"/>
          <w:szCs w:val="27"/>
          <w:lang w:val="es-ES" w:eastAsia="es-ES"/>
        </w:rPr>
        <w:t xml:space="preserve">, </w:t>
      </w:r>
      <w:r w:rsidR="00DC6CD0">
        <w:rPr>
          <w:rFonts w:ascii="Bookman Old Style" w:eastAsia="Times New Roman" w:hAnsi="Bookman Old Style" w:cs="Times New Roman"/>
          <w:sz w:val="24"/>
          <w:szCs w:val="27"/>
          <w:lang w:val="es-ES" w:eastAsia="es-ES"/>
        </w:rPr>
        <w:t>así como las facultades con las que esta cuenta en materia probatoria</w:t>
      </w:r>
      <w:r w:rsidR="00A85051">
        <w:rPr>
          <w:rFonts w:ascii="Bookman Old Style" w:eastAsia="Times New Roman" w:hAnsi="Bookman Old Style" w:cs="Times New Roman"/>
          <w:sz w:val="24"/>
          <w:szCs w:val="27"/>
          <w:lang w:val="es-ES" w:eastAsia="es-ES"/>
        </w:rPr>
        <w:t xml:space="preserve"> y la relación que esto </w:t>
      </w:r>
      <w:r w:rsidR="00743CA9">
        <w:rPr>
          <w:rFonts w:ascii="Bookman Old Style" w:eastAsia="Times New Roman" w:hAnsi="Bookman Old Style" w:cs="Times New Roman"/>
          <w:sz w:val="24"/>
          <w:szCs w:val="27"/>
          <w:lang w:val="es-ES" w:eastAsia="es-ES"/>
        </w:rPr>
        <w:t xml:space="preserve">último </w:t>
      </w:r>
      <w:r w:rsidR="00A85051">
        <w:rPr>
          <w:rFonts w:ascii="Bookman Old Style" w:eastAsia="Times New Roman" w:hAnsi="Bookman Old Style" w:cs="Times New Roman"/>
          <w:sz w:val="24"/>
          <w:szCs w:val="27"/>
          <w:lang w:val="es-ES" w:eastAsia="es-ES"/>
        </w:rPr>
        <w:t>tiene con el ejercicio</w:t>
      </w:r>
      <w:r w:rsidR="00743CA9">
        <w:rPr>
          <w:rFonts w:ascii="Bookman Old Style" w:eastAsia="Times New Roman" w:hAnsi="Bookman Old Style" w:cs="Times New Roman"/>
          <w:sz w:val="24"/>
          <w:szCs w:val="27"/>
          <w:lang w:val="es-ES" w:eastAsia="es-ES"/>
        </w:rPr>
        <w:t xml:space="preserve"> de la función regulatoria</w:t>
      </w:r>
      <w:r w:rsidR="00DC6CD0">
        <w:rPr>
          <w:rFonts w:ascii="Bookman Old Style" w:eastAsia="Times New Roman" w:hAnsi="Bookman Old Style" w:cs="Times New Roman"/>
          <w:sz w:val="24"/>
          <w:szCs w:val="27"/>
          <w:lang w:val="es-ES" w:eastAsia="es-ES"/>
        </w:rPr>
        <w:t xml:space="preserve">, </w:t>
      </w:r>
      <w:r w:rsidR="00A85051">
        <w:rPr>
          <w:rFonts w:ascii="Bookman Old Style" w:eastAsia="Times New Roman" w:hAnsi="Bookman Old Style" w:cs="Times New Roman"/>
          <w:sz w:val="24"/>
          <w:szCs w:val="27"/>
          <w:lang w:val="es-ES" w:eastAsia="es-ES"/>
        </w:rPr>
        <w:t xml:space="preserve">esta Comisión considera procedente </w:t>
      </w:r>
      <w:r w:rsidR="00BB045C">
        <w:rPr>
          <w:rFonts w:ascii="Bookman Old Style" w:eastAsia="Times New Roman" w:hAnsi="Bookman Old Style" w:cs="Times New Roman"/>
          <w:sz w:val="24"/>
          <w:szCs w:val="27"/>
          <w:lang w:val="es-ES" w:eastAsia="es-ES"/>
        </w:rPr>
        <w:t>y razonable</w:t>
      </w:r>
      <w:r w:rsidR="00EA0A53">
        <w:rPr>
          <w:rFonts w:ascii="Bookman Old Style" w:eastAsia="Times New Roman" w:hAnsi="Bookman Old Style" w:cs="Times New Roman"/>
          <w:sz w:val="24"/>
          <w:szCs w:val="27"/>
          <w:lang w:val="es-ES" w:eastAsia="es-ES"/>
        </w:rPr>
        <w:t>: i)</w:t>
      </w:r>
      <w:r w:rsidR="00BB045C">
        <w:rPr>
          <w:rFonts w:ascii="Bookman Old Style" w:eastAsia="Times New Roman" w:hAnsi="Bookman Old Style" w:cs="Times New Roman"/>
          <w:sz w:val="24"/>
          <w:szCs w:val="27"/>
          <w:lang w:val="es-ES" w:eastAsia="es-ES"/>
        </w:rPr>
        <w:t xml:space="preserve"> ajustar </w:t>
      </w:r>
      <w:r w:rsidR="00A432B6">
        <w:rPr>
          <w:rFonts w:ascii="Bookman Old Style" w:eastAsia="Times New Roman" w:hAnsi="Bookman Old Style" w:cs="Times New Roman"/>
          <w:sz w:val="24"/>
          <w:szCs w:val="27"/>
          <w:lang w:val="es-ES" w:eastAsia="es-ES"/>
        </w:rPr>
        <w:t>el criterio de selección del perito</w:t>
      </w:r>
      <w:r w:rsidR="009E3E43">
        <w:rPr>
          <w:rFonts w:ascii="Bookman Old Style" w:eastAsia="Times New Roman" w:hAnsi="Bookman Old Style" w:cs="Times New Roman"/>
          <w:sz w:val="24"/>
          <w:szCs w:val="27"/>
          <w:lang w:val="es-ES" w:eastAsia="es-ES"/>
        </w:rPr>
        <w:t xml:space="preserve"> </w:t>
      </w:r>
      <w:r w:rsidR="00BB045C">
        <w:rPr>
          <w:rFonts w:ascii="Bookman Old Style" w:eastAsia="Times New Roman" w:hAnsi="Bookman Old Style" w:cs="Times New Roman"/>
          <w:sz w:val="24"/>
          <w:szCs w:val="27"/>
          <w:lang w:val="es-ES" w:eastAsia="es-ES"/>
        </w:rPr>
        <w:t xml:space="preserve">contenido </w:t>
      </w:r>
      <w:r w:rsidR="009E3E43">
        <w:rPr>
          <w:rFonts w:ascii="Bookman Old Style" w:eastAsia="Times New Roman" w:hAnsi="Bookman Old Style" w:cs="Times New Roman"/>
          <w:sz w:val="24"/>
          <w:szCs w:val="27"/>
          <w:lang w:val="es-ES" w:eastAsia="es-ES"/>
        </w:rPr>
        <w:t>en</w:t>
      </w:r>
      <w:r w:rsidR="005F1989">
        <w:rPr>
          <w:rFonts w:ascii="Bookman Old Style" w:eastAsia="Times New Roman" w:hAnsi="Bookman Old Style" w:cs="Times New Roman"/>
          <w:sz w:val="24"/>
          <w:szCs w:val="27"/>
          <w:lang w:val="es-ES" w:eastAsia="es-ES"/>
        </w:rPr>
        <w:t xml:space="preserve"> </w:t>
      </w:r>
      <w:r w:rsidR="009E3E43">
        <w:rPr>
          <w:rFonts w:ascii="Bookman Old Style" w:eastAsia="Times New Roman" w:hAnsi="Bookman Old Style" w:cs="Times New Roman"/>
          <w:sz w:val="24"/>
          <w:szCs w:val="27"/>
          <w:lang w:val="es-ES" w:eastAsia="es-ES"/>
        </w:rPr>
        <w:t>el</w:t>
      </w:r>
      <w:r w:rsidR="00BB045C">
        <w:rPr>
          <w:rFonts w:ascii="Bookman Old Style" w:eastAsia="Times New Roman" w:hAnsi="Bookman Old Style" w:cs="Times New Roman"/>
          <w:sz w:val="24"/>
          <w:szCs w:val="27"/>
          <w:lang w:val="es-ES" w:eastAsia="es-ES"/>
        </w:rPr>
        <w:t xml:space="preserve"> numeral 1</w:t>
      </w:r>
      <w:r w:rsidR="009E3E43">
        <w:rPr>
          <w:rFonts w:ascii="Bookman Old Style" w:eastAsia="Times New Roman" w:hAnsi="Bookman Old Style" w:cs="Times New Roman"/>
          <w:sz w:val="24"/>
          <w:szCs w:val="27"/>
          <w:lang w:val="es-ES" w:eastAsia="es-ES"/>
        </w:rPr>
        <w:t xml:space="preserve">o </w:t>
      </w:r>
      <w:r w:rsidR="00BB045C">
        <w:rPr>
          <w:rFonts w:ascii="Bookman Old Style" w:eastAsia="Times New Roman" w:hAnsi="Bookman Old Style" w:cs="Times New Roman"/>
          <w:sz w:val="24"/>
          <w:szCs w:val="27"/>
          <w:lang w:val="es-ES" w:eastAsia="es-ES"/>
        </w:rPr>
        <w:t>de dicha norma</w:t>
      </w:r>
      <w:r w:rsidR="00EA0A53">
        <w:rPr>
          <w:rFonts w:ascii="Bookman Old Style" w:eastAsia="Times New Roman" w:hAnsi="Bookman Old Style" w:cs="Times New Roman"/>
          <w:sz w:val="24"/>
          <w:szCs w:val="27"/>
          <w:lang w:val="es-ES" w:eastAsia="es-ES"/>
        </w:rPr>
        <w:t xml:space="preserve"> permitiendo la inclusión de otros criterios diferentes y adicionales al del menor valor de la propuesta económica, los cuales se ajusten </w:t>
      </w:r>
      <w:r w:rsidR="00A83B17">
        <w:rPr>
          <w:rFonts w:ascii="Bookman Old Style" w:eastAsia="Times New Roman" w:hAnsi="Bookman Old Style" w:cs="Times New Roman"/>
          <w:sz w:val="24"/>
          <w:szCs w:val="27"/>
          <w:lang w:val="es-ES" w:eastAsia="es-ES"/>
        </w:rPr>
        <w:t>a un mecanismo</w:t>
      </w:r>
      <w:r w:rsidR="00EA0A53">
        <w:rPr>
          <w:rFonts w:ascii="Bookman Old Style" w:eastAsia="Times New Roman" w:hAnsi="Bookman Old Style" w:cs="Times New Roman"/>
          <w:sz w:val="24"/>
          <w:szCs w:val="27"/>
          <w:lang w:val="es-ES" w:eastAsia="es-ES"/>
        </w:rPr>
        <w:t xml:space="preserve"> de “selección objetiva” ateniendo el entendimiento que del mismo ha hecho la jurisprudencia, el cual lo ha definido como</w:t>
      </w:r>
      <w:r w:rsidR="00EA0A53" w:rsidRPr="00EA0A53">
        <w:rPr>
          <w:rFonts w:ascii="Bookman Old Style" w:eastAsia="Times New Roman" w:hAnsi="Bookman Old Style" w:cs="Times New Roman"/>
          <w:sz w:val="24"/>
          <w:szCs w:val="27"/>
          <w:lang w:val="es-ES" w:eastAsia="es-ES"/>
        </w:rPr>
        <w:t xml:space="preserve"> “la escogencia se hace al ofrecimiento más favorable a la entidad y a los fines que ella busca, sin tener en consideración factores de afecto o de interés y, en general, cualquier</w:t>
      </w:r>
      <w:r w:rsidR="00EA0A53">
        <w:rPr>
          <w:rFonts w:ascii="Bookman Old Style" w:eastAsia="Times New Roman" w:hAnsi="Bookman Old Style" w:cs="Times New Roman"/>
          <w:sz w:val="24"/>
          <w:szCs w:val="27"/>
          <w:lang w:val="es-ES" w:eastAsia="es-ES"/>
        </w:rPr>
        <w:t xml:space="preserve"> clase de motivación subjetiva”; ii) ajustar el nivel de experiencia solicitada a efectos de hacer parte de la lista de peritos a la que allí se hace referencia, garantizando que dicha experiencia sea nacional a internacional en las materias a las que allí se hace referencia.  </w:t>
      </w:r>
      <w:r w:rsidR="00BB045C">
        <w:rPr>
          <w:rFonts w:ascii="Bookman Old Style" w:eastAsia="Times New Roman" w:hAnsi="Bookman Old Style" w:cs="Times New Roman"/>
          <w:sz w:val="24"/>
          <w:szCs w:val="27"/>
          <w:lang w:val="es-ES" w:eastAsia="es-ES"/>
        </w:rPr>
        <w:t xml:space="preserve"> </w:t>
      </w:r>
    </w:p>
    <w:p w14:paraId="775BDDCD" w14:textId="77777777" w:rsidR="00F15D17" w:rsidRDefault="00F15D17" w:rsidP="00BB045C">
      <w:pPr>
        <w:spacing w:after="0" w:line="240" w:lineRule="auto"/>
        <w:ind w:right="-142"/>
        <w:jc w:val="both"/>
        <w:rPr>
          <w:rFonts w:ascii="Bookman Old Style" w:eastAsia="Times New Roman" w:hAnsi="Bookman Old Style" w:cs="Times New Roman"/>
          <w:sz w:val="24"/>
          <w:szCs w:val="27"/>
          <w:lang w:val="es-ES" w:eastAsia="es-ES"/>
        </w:rPr>
      </w:pPr>
    </w:p>
    <w:p w14:paraId="678B6483" w14:textId="3DB8E35C" w:rsidR="00222C24" w:rsidRDefault="00EA0A53" w:rsidP="0007645D">
      <w:pPr>
        <w:spacing w:after="0" w:line="240" w:lineRule="auto"/>
        <w:ind w:left="-142" w:right="-142"/>
        <w:jc w:val="both"/>
        <w:rPr>
          <w:rFonts w:ascii="Bookman Old Style" w:eastAsia="Times New Roman" w:hAnsi="Bookman Old Style" w:cs="Times New Roman"/>
          <w:sz w:val="24"/>
          <w:szCs w:val="27"/>
          <w:lang w:val="es-ES" w:eastAsia="es-ES"/>
        </w:rPr>
      </w:pPr>
      <w:r>
        <w:rPr>
          <w:rFonts w:ascii="Bookman Old Style" w:eastAsia="Times New Roman" w:hAnsi="Bookman Old Style" w:cs="Times New Roman"/>
          <w:sz w:val="24"/>
          <w:szCs w:val="27"/>
          <w:lang w:val="es-ES" w:eastAsia="es-ES"/>
        </w:rPr>
        <w:t xml:space="preserve">Finalmente, </w:t>
      </w:r>
      <w:r w:rsidR="00743CA9">
        <w:rPr>
          <w:rFonts w:ascii="Bookman Old Style" w:eastAsia="Times New Roman" w:hAnsi="Bookman Old Style" w:cs="Times New Roman"/>
          <w:sz w:val="24"/>
          <w:szCs w:val="27"/>
          <w:lang w:val="es-ES" w:eastAsia="es-ES"/>
        </w:rPr>
        <w:t xml:space="preserve">en el caso particular de las estaciones de compresión, </w:t>
      </w:r>
      <w:r w:rsidR="00222C24">
        <w:rPr>
          <w:rFonts w:ascii="Bookman Old Style" w:eastAsia="Times New Roman" w:hAnsi="Bookman Old Style" w:cs="Times New Roman"/>
          <w:sz w:val="24"/>
          <w:szCs w:val="27"/>
          <w:lang w:val="es-ES" w:eastAsia="es-ES"/>
        </w:rPr>
        <w:t>esta Comisión considera que cuenta con</w:t>
      </w:r>
      <w:r w:rsidR="00743CA9">
        <w:rPr>
          <w:rFonts w:ascii="Bookman Old Style" w:eastAsia="Times New Roman" w:hAnsi="Bookman Old Style" w:cs="Times New Roman"/>
          <w:sz w:val="24"/>
          <w:szCs w:val="27"/>
          <w:lang w:val="es-ES" w:eastAsia="es-ES"/>
        </w:rPr>
        <w:t xml:space="preserve"> </w:t>
      </w:r>
      <w:r w:rsidR="00222C24">
        <w:rPr>
          <w:rFonts w:ascii="Bookman Old Style" w:eastAsia="Times New Roman" w:hAnsi="Bookman Old Style" w:cs="Times New Roman"/>
          <w:sz w:val="24"/>
          <w:szCs w:val="27"/>
          <w:lang w:val="es-ES" w:eastAsia="es-ES"/>
        </w:rPr>
        <w:t xml:space="preserve">un </w:t>
      </w:r>
      <w:r w:rsidR="00743CA9">
        <w:rPr>
          <w:rFonts w:ascii="Bookman Old Style" w:eastAsia="Times New Roman" w:hAnsi="Bookman Old Style" w:cs="Times New Roman"/>
          <w:sz w:val="24"/>
          <w:szCs w:val="27"/>
          <w:lang w:val="es-ES" w:eastAsia="es-ES"/>
        </w:rPr>
        <w:t xml:space="preserve">nivel </w:t>
      </w:r>
      <w:r w:rsidR="00222C24">
        <w:rPr>
          <w:rFonts w:ascii="Bookman Old Style" w:eastAsia="Times New Roman" w:hAnsi="Bookman Old Style" w:cs="Times New Roman"/>
          <w:sz w:val="24"/>
          <w:szCs w:val="27"/>
          <w:lang w:val="es-ES" w:eastAsia="es-ES"/>
        </w:rPr>
        <w:t xml:space="preserve">importante </w:t>
      </w:r>
      <w:r w:rsidR="00743CA9">
        <w:rPr>
          <w:rFonts w:ascii="Bookman Old Style" w:eastAsia="Times New Roman" w:hAnsi="Bookman Old Style" w:cs="Times New Roman"/>
          <w:sz w:val="24"/>
          <w:szCs w:val="27"/>
          <w:lang w:val="es-ES" w:eastAsia="es-ES"/>
        </w:rPr>
        <w:t xml:space="preserve">de información </w:t>
      </w:r>
      <w:r w:rsidR="00222C24">
        <w:rPr>
          <w:rFonts w:ascii="Bookman Old Style" w:eastAsia="Times New Roman" w:hAnsi="Bookman Old Style" w:cs="Times New Roman"/>
          <w:sz w:val="24"/>
          <w:szCs w:val="27"/>
          <w:lang w:val="es-ES" w:eastAsia="es-ES"/>
        </w:rPr>
        <w:t>en relación con estos activos,</w:t>
      </w:r>
      <w:r w:rsidR="00743CA9">
        <w:rPr>
          <w:rFonts w:ascii="Bookman Old Style" w:eastAsia="Times New Roman" w:hAnsi="Bookman Old Style" w:cs="Times New Roman"/>
          <w:sz w:val="24"/>
          <w:szCs w:val="27"/>
          <w:lang w:val="es-ES" w:eastAsia="es-ES"/>
        </w:rPr>
        <w:t xml:space="preserve"> en desarrollo de las actuaciones administrativas adelantadas por esta Comisión en aplicación de lo establecido en el artículo 14 de la Resolución CREG 126 de 2010, los estudios y consultorías realizadas durante la vigencia de la Resolución CREG 126 de 2010 para este tipo de activos, así como la informac</w:t>
      </w:r>
      <w:r w:rsidR="00901408">
        <w:rPr>
          <w:rFonts w:ascii="Bookman Old Style" w:eastAsia="Times New Roman" w:hAnsi="Bookman Old Style" w:cs="Times New Roman"/>
          <w:sz w:val="24"/>
          <w:szCs w:val="27"/>
          <w:lang w:val="es-ES" w:eastAsia="es-ES"/>
        </w:rPr>
        <w:t>ión recaudada, incluida la remitida y analizada a efectos de resolver los recursos de reposición contra las resoluciones CRE</w:t>
      </w:r>
      <w:r w:rsidR="00222C24">
        <w:rPr>
          <w:rFonts w:ascii="Bookman Old Style" w:eastAsia="Times New Roman" w:hAnsi="Bookman Old Style" w:cs="Times New Roman"/>
          <w:sz w:val="24"/>
          <w:szCs w:val="27"/>
          <w:lang w:val="es-ES" w:eastAsia="es-ES"/>
        </w:rPr>
        <w:t>G 110, 115 y 117 de 2011.</w:t>
      </w:r>
    </w:p>
    <w:p w14:paraId="1B882895" w14:textId="77777777" w:rsidR="00222C24" w:rsidRDefault="00222C24" w:rsidP="0007645D">
      <w:pPr>
        <w:spacing w:after="0" w:line="240" w:lineRule="auto"/>
        <w:ind w:left="-142" w:right="-142"/>
        <w:jc w:val="both"/>
        <w:rPr>
          <w:rFonts w:ascii="Bookman Old Style" w:eastAsia="Times New Roman" w:hAnsi="Bookman Old Style" w:cs="Times New Roman"/>
          <w:sz w:val="24"/>
          <w:szCs w:val="27"/>
          <w:lang w:val="es-ES" w:eastAsia="es-ES"/>
        </w:rPr>
      </w:pPr>
    </w:p>
    <w:p w14:paraId="625EF094" w14:textId="14C40693" w:rsidR="007A504F" w:rsidRDefault="00222C24" w:rsidP="00222C24">
      <w:pPr>
        <w:spacing w:after="0" w:line="240" w:lineRule="auto"/>
        <w:ind w:left="-142" w:right="-142"/>
        <w:jc w:val="both"/>
        <w:rPr>
          <w:rFonts w:ascii="Bookman Old Style" w:eastAsia="Times New Roman" w:hAnsi="Bookman Old Style" w:cs="Times New Roman"/>
          <w:sz w:val="24"/>
          <w:szCs w:val="27"/>
          <w:lang w:val="es-ES" w:eastAsia="es-ES"/>
        </w:rPr>
      </w:pPr>
      <w:r>
        <w:rPr>
          <w:rFonts w:ascii="Bookman Old Style" w:eastAsia="Times New Roman" w:hAnsi="Bookman Old Style" w:cs="Times New Roman"/>
          <w:sz w:val="24"/>
          <w:szCs w:val="27"/>
          <w:lang w:val="es-ES" w:eastAsia="es-ES"/>
        </w:rPr>
        <w:t>De acuerdo con lo anterior,</w:t>
      </w:r>
      <w:r w:rsidR="00901408">
        <w:rPr>
          <w:rFonts w:ascii="Bookman Old Style" w:eastAsia="Times New Roman" w:hAnsi="Bookman Old Style" w:cs="Times New Roman"/>
          <w:sz w:val="24"/>
          <w:szCs w:val="27"/>
          <w:lang w:val="es-ES" w:eastAsia="es-ES"/>
        </w:rPr>
        <w:t xml:space="preserve"> esta Comisión </w:t>
      </w:r>
      <w:r>
        <w:rPr>
          <w:rFonts w:ascii="Bookman Old Style" w:eastAsia="Times New Roman" w:hAnsi="Bookman Old Style" w:cs="Times New Roman"/>
          <w:sz w:val="24"/>
          <w:szCs w:val="27"/>
          <w:lang w:val="es-ES" w:eastAsia="es-ES"/>
        </w:rPr>
        <w:t>considera</w:t>
      </w:r>
      <w:r w:rsidR="00901408">
        <w:rPr>
          <w:rFonts w:ascii="Bookman Old Style" w:eastAsia="Times New Roman" w:hAnsi="Bookman Old Style" w:cs="Times New Roman"/>
          <w:sz w:val="24"/>
          <w:szCs w:val="27"/>
          <w:lang w:val="es-ES" w:eastAsia="es-ES"/>
        </w:rPr>
        <w:t xml:space="preserve"> que el procedimiento más eficiente, entre otros, atendiendo el criterio de simplicidad previsto en el artículo 87 de la Ley 142 de 1994, así como el más adecuado y razonable técnica</w:t>
      </w:r>
      <w:r>
        <w:rPr>
          <w:rFonts w:ascii="Bookman Old Style" w:eastAsia="Times New Roman" w:hAnsi="Bookman Old Style" w:cs="Times New Roman"/>
          <w:sz w:val="24"/>
          <w:szCs w:val="27"/>
          <w:lang w:val="es-ES" w:eastAsia="es-ES"/>
        </w:rPr>
        <w:t xml:space="preserve"> y económica</w:t>
      </w:r>
      <w:r w:rsidR="00901408">
        <w:rPr>
          <w:rFonts w:ascii="Bookman Old Style" w:eastAsia="Times New Roman" w:hAnsi="Bookman Old Style" w:cs="Times New Roman"/>
          <w:sz w:val="24"/>
          <w:szCs w:val="27"/>
          <w:lang w:val="es-ES" w:eastAsia="es-ES"/>
        </w:rPr>
        <w:t>mente para efectos de llevar a cabo la valoración de estos activos y ser incorporados en un tiempo razonable en la tarifa,</w:t>
      </w:r>
      <w:r>
        <w:rPr>
          <w:rFonts w:ascii="Bookman Old Style" w:eastAsia="Times New Roman" w:hAnsi="Bookman Old Style" w:cs="Times New Roman"/>
          <w:sz w:val="24"/>
          <w:szCs w:val="27"/>
          <w:lang w:val="es-ES" w:eastAsia="es-ES"/>
        </w:rPr>
        <w:t xml:space="preserve"> como parte de la actualización y/o ajuste en los</w:t>
      </w:r>
      <w:r w:rsidR="00901408">
        <w:rPr>
          <w:rFonts w:ascii="Bookman Old Style" w:eastAsia="Times New Roman" w:hAnsi="Bookman Old Style" w:cs="Times New Roman"/>
          <w:sz w:val="24"/>
          <w:szCs w:val="27"/>
          <w:lang w:val="es-ES" w:eastAsia="es-ES"/>
        </w:rPr>
        <w:t xml:space="preserve"> cargos </w:t>
      </w:r>
      <w:r>
        <w:rPr>
          <w:rFonts w:ascii="Bookman Old Style" w:eastAsia="Times New Roman" w:hAnsi="Bookman Old Style" w:cs="Times New Roman"/>
          <w:sz w:val="24"/>
          <w:szCs w:val="27"/>
          <w:lang w:val="es-ES" w:eastAsia="es-ES"/>
        </w:rPr>
        <w:t xml:space="preserve">de transporte </w:t>
      </w:r>
      <w:r w:rsidR="00901408">
        <w:rPr>
          <w:rFonts w:ascii="Bookman Old Style" w:eastAsia="Times New Roman" w:hAnsi="Bookman Old Style" w:cs="Times New Roman"/>
          <w:sz w:val="24"/>
          <w:szCs w:val="27"/>
          <w:lang w:val="es-ES" w:eastAsia="es-ES"/>
        </w:rPr>
        <w:t>que se debe hacer ateniendo lo previsto en el artículo 14 de la metodología, es el de aplicar una</w:t>
      </w:r>
      <w:r w:rsidR="00BB045C">
        <w:rPr>
          <w:rFonts w:ascii="Bookman Old Style" w:eastAsia="Times New Roman" w:hAnsi="Bookman Old Style" w:cs="Times New Roman"/>
          <w:sz w:val="24"/>
          <w:szCs w:val="27"/>
          <w:lang w:val="es-ES" w:eastAsia="es-ES"/>
        </w:rPr>
        <w:t xml:space="preserve"> valoración </w:t>
      </w:r>
      <w:r>
        <w:rPr>
          <w:rFonts w:ascii="Bookman Old Style" w:eastAsia="Times New Roman" w:hAnsi="Bookman Old Style" w:cs="Times New Roman"/>
          <w:sz w:val="24"/>
          <w:szCs w:val="27"/>
          <w:lang w:val="es-ES" w:eastAsia="es-ES"/>
        </w:rPr>
        <w:t>de dichos activos atendiendo los criterios establecidos en la metodología y su Anexo 1, entre otros, bajo un mecanismo de comparación</w:t>
      </w:r>
      <w:r w:rsidR="0095401F">
        <w:rPr>
          <w:rFonts w:ascii="Bookman Old Style" w:eastAsia="Times New Roman" w:hAnsi="Bookman Old Style" w:cs="Times New Roman"/>
          <w:sz w:val="24"/>
          <w:szCs w:val="27"/>
          <w:lang w:val="es-ES" w:eastAsia="es-ES"/>
        </w:rPr>
        <w:t>, así como con base en la información que esta Comisión estime pertinente, la cual ha de ser de conocimiento de los agentes y demás interesados dentro del trámite de las actuaciones administrativas que se adelanten</w:t>
      </w:r>
      <w:r>
        <w:rPr>
          <w:rFonts w:ascii="Bookman Old Style" w:eastAsia="Times New Roman" w:hAnsi="Bookman Old Style" w:cs="Times New Roman"/>
          <w:sz w:val="24"/>
          <w:szCs w:val="27"/>
          <w:lang w:val="es-ES" w:eastAsia="es-ES"/>
        </w:rPr>
        <w:t xml:space="preserve">. </w:t>
      </w:r>
    </w:p>
    <w:p w14:paraId="0EA79B37" w14:textId="77777777" w:rsidR="006D1C2F" w:rsidRPr="006D1C2F" w:rsidRDefault="006D1C2F" w:rsidP="006D1C2F">
      <w:pPr>
        <w:spacing w:after="0" w:line="240" w:lineRule="auto"/>
        <w:contextualSpacing/>
        <w:jc w:val="both"/>
        <w:rPr>
          <w:rFonts w:ascii="Bookman Old Style" w:eastAsia="Times New Roman" w:hAnsi="Bookman Old Style" w:cs="Times New Roman"/>
          <w:sz w:val="24"/>
          <w:szCs w:val="24"/>
          <w:lang w:val="es-ES_tradnl" w:eastAsia="es-ES"/>
        </w:rPr>
      </w:pPr>
    </w:p>
    <w:p w14:paraId="4EFA48B3" w14:textId="77777777" w:rsidR="007F66B9" w:rsidRDefault="007F66B9" w:rsidP="0097340A">
      <w:pPr>
        <w:spacing w:after="0" w:line="240" w:lineRule="auto"/>
        <w:contextualSpacing/>
        <w:rPr>
          <w:rFonts w:ascii="Bookman Old Style" w:eastAsia="Times New Roman" w:hAnsi="Bookman Old Style" w:cs="Times New Roman"/>
          <w:b/>
          <w:sz w:val="24"/>
          <w:szCs w:val="24"/>
          <w:lang w:val="es-ES" w:eastAsia="es-ES"/>
        </w:rPr>
      </w:pPr>
    </w:p>
    <w:p w14:paraId="72C3CBF2" w14:textId="77777777" w:rsidR="00CD74B5" w:rsidRDefault="00AC44B0" w:rsidP="00AC44B0">
      <w:pPr>
        <w:spacing w:after="0" w:line="240" w:lineRule="auto"/>
        <w:contextualSpacing/>
        <w:jc w:val="center"/>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t>R E S U E L V E:</w:t>
      </w:r>
    </w:p>
    <w:p w14:paraId="7116C82F" w14:textId="77777777" w:rsidR="00222C24" w:rsidRDefault="00222C24" w:rsidP="001A37DF">
      <w:pPr>
        <w:spacing w:after="0" w:line="240" w:lineRule="auto"/>
        <w:jc w:val="both"/>
        <w:rPr>
          <w:rFonts w:ascii="Bookman Old Style" w:eastAsia="Times New Roman" w:hAnsi="Bookman Old Style" w:cs="Arial"/>
          <w:sz w:val="24"/>
          <w:szCs w:val="20"/>
          <w:lang w:val="es-ES" w:eastAsia="es-ES"/>
        </w:rPr>
      </w:pPr>
    </w:p>
    <w:p w14:paraId="1591833E" w14:textId="1EC1B148" w:rsidR="00222C24" w:rsidRPr="00222C24" w:rsidRDefault="00222C24" w:rsidP="00222C24">
      <w:pPr>
        <w:spacing w:after="0" w:line="240" w:lineRule="auto"/>
        <w:ind w:left="-142" w:right="-142"/>
        <w:jc w:val="both"/>
        <w:rPr>
          <w:rFonts w:ascii="Bookman Old Style" w:eastAsia="Times New Roman" w:hAnsi="Bookman Old Style" w:cs="Arial"/>
          <w:sz w:val="24"/>
          <w:szCs w:val="24"/>
          <w:lang w:val="es-ES" w:eastAsia="es-ES"/>
        </w:rPr>
      </w:pPr>
      <w:r>
        <w:rPr>
          <w:rFonts w:ascii="Bookman Old Style" w:eastAsia="Times New Roman" w:hAnsi="Bookman Old Style" w:cs="Arial"/>
          <w:b/>
          <w:sz w:val="24"/>
          <w:szCs w:val="24"/>
          <w:lang w:val="es-ES" w:eastAsia="es-ES"/>
        </w:rPr>
        <w:t>Artículo 1</w:t>
      </w:r>
      <w:r w:rsidRPr="00222C24">
        <w:rPr>
          <w:rFonts w:ascii="Bookman Old Style" w:eastAsia="Times New Roman" w:hAnsi="Bookman Old Style" w:cs="Arial"/>
          <w:b/>
          <w:sz w:val="24"/>
          <w:szCs w:val="24"/>
          <w:lang w:val="es-ES" w:eastAsia="es-ES"/>
        </w:rPr>
        <w:t xml:space="preserve">. </w:t>
      </w:r>
      <w:r w:rsidRPr="003938BC">
        <w:rPr>
          <w:rFonts w:ascii="Bookman Old Style" w:eastAsia="Times New Roman" w:hAnsi="Bookman Old Style" w:cs="Arial"/>
          <w:sz w:val="24"/>
          <w:szCs w:val="24"/>
          <w:lang w:val="es-ES" w:eastAsia="es-ES"/>
        </w:rPr>
        <w:t xml:space="preserve">Modificar </w:t>
      </w:r>
      <w:r w:rsidR="0095401F">
        <w:rPr>
          <w:rFonts w:ascii="Bookman Old Style" w:eastAsia="Times New Roman" w:hAnsi="Bookman Old Style" w:cs="Arial"/>
          <w:sz w:val="24"/>
          <w:szCs w:val="24"/>
          <w:lang w:val="es-ES" w:eastAsia="es-ES"/>
        </w:rPr>
        <w:t>el</w:t>
      </w:r>
      <w:r w:rsidRPr="00222C24">
        <w:rPr>
          <w:rFonts w:ascii="Bookman Old Style" w:eastAsia="Times New Roman" w:hAnsi="Bookman Old Style" w:cs="Arial"/>
          <w:sz w:val="24"/>
          <w:szCs w:val="24"/>
          <w:lang w:val="es-ES" w:eastAsia="es-ES"/>
        </w:rPr>
        <w:t xml:space="preserve"> numeral</w:t>
      </w:r>
      <w:r w:rsidR="00660B46">
        <w:rPr>
          <w:rFonts w:ascii="Bookman Old Style" w:eastAsia="Times New Roman" w:hAnsi="Bookman Old Style" w:cs="Arial"/>
          <w:sz w:val="24"/>
          <w:szCs w:val="24"/>
          <w:lang w:val="es-ES" w:eastAsia="es-ES"/>
        </w:rPr>
        <w:t>es 1 y 2</w:t>
      </w:r>
      <w:r w:rsidRPr="00222C24">
        <w:rPr>
          <w:rFonts w:ascii="Bookman Old Style" w:eastAsia="Times New Roman" w:hAnsi="Bookman Old Style" w:cs="Arial"/>
          <w:sz w:val="24"/>
          <w:szCs w:val="24"/>
          <w:lang w:val="es-ES" w:eastAsia="es-ES"/>
        </w:rPr>
        <w:t xml:space="preserve"> del literal b) del artículo 14 de la </w:t>
      </w:r>
      <w:r w:rsidRPr="00222C24">
        <w:rPr>
          <w:rFonts w:ascii="Bookman Old Style" w:eastAsia="Times New Roman" w:hAnsi="Bookman Old Style" w:cs="Times New Roman"/>
          <w:sz w:val="24"/>
          <w:szCs w:val="24"/>
          <w:lang w:val="es-ES" w:eastAsia="es-ES"/>
        </w:rPr>
        <w:t>Resolución</w:t>
      </w:r>
      <w:r w:rsidRPr="00222C24">
        <w:rPr>
          <w:rFonts w:ascii="Bookman Old Style" w:eastAsia="Times New Roman" w:hAnsi="Bookman Old Style" w:cs="Arial"/>
          <w:sz w:val="24"/>
          <w:szCs w:val="24"/>
          <w:lang w:val="es-ES" w:eastAsia="es-ES"/>
        </w:rPr>
        <w:t xml:space="preserve"> CREG 126 de 2010</w:t>
      </w:r>
      <w:r w:rsidRPr="003938BC">
        <w:rPr>
          <w:rFonts w:ascii="Bookman Old Style" w:eastAsia="Times New Roman" w:hAnsi="Bookman Old Style" w:cs="Arial"/>
          <w:sz w:val="24"/>
          <w:szCs w:val="24"/>
          <w:lang w:val="es-ES" w:eastAsia="es-ES"/>
        </w:rPr>
        <w:t xml:space="preserve">, modificado por el </w:t>
      </w:r>
      <w:r w:rsidR="003938BC" w:rsidRPr="003938BC">
        <w:rPr>
          <w:rFonts w:ascii="Bookman Old Style" w:eastAsia="Times New Roman" w:hAnsi="Bookman Old Style" w:cs="Arial"/>
          <w:sz w:val="24"/>
          <w:szCs w:val="24"/>
          <w:lang w:val="es-ES" w:eastAsia="es-ES"/>
        </w:rPr>
        <w:t xml:space="preserve">artículo 1 de </w:t>
      </w:r>
      <w:r w:rsidRPr="003938BC">
        <w:rPr>
          <w:rFonts w:ascii="Bookman Old Style" w:eastAsia="Times New Roman" w:hAnsi="Bookman Old Style" w:cs="Arial"/>
          <w:sz w:val="24"/>
          <w:szCs w:val="24"/>
          <w:lang w:val="es-ES" w:eastAsia="es-ES"/>
        </w:rPr>
        <w:t xml:space="preserve">la Resolución CREG </w:t>
      </w:r>
      <w:r w:rsidR="003938BC" w:rsidRPr="003938BC">
        <w:rPr>
          <w:rFonts w:ascii="Bookman Old Style" w:eastAsia="Times New Roman" w:hAnsi="Bookman Old Style" w:cs="Arial"/>
          <w:sz w:val="24"/>
          <w:szCs w:val="24"/>
          <w:lang w:val="es-ES" w:eastAsia="es-ES"/>
        </w:rPr>
        <w:t>066 de 2013</w:t>
      </w:r>
      <w:r w:rsidR="009D1F81">
        <w:rPr>
          <w:rFonts w:ascii="Bookman Old Style" w:eastAsia="Times New Roman" w:hAnsi="Bookman Old Style" w:cs="Arial"/>
          <w:sz w:val="24"/>
          <w:szCs w:val="24"/>
          <w:lang w:val="es-ES" w:eastAsia="es-ES"/>
        </w:rPr>
        <w:t>,</w:t>
      </w:r>
      <w:r w:rsidR="003938BC" w:rsidRPr="003938BC">
        <w:rPr>
          <w:rFonts w:ascii="Bookman Old Style" w:eastAsia="Times New Roman" w:hAnsi="Bookman Old Style" w:cs="Arial"/>
          <w:sz w:val="24"/>
          <w:szCs w:val="24"/>
          <w:lang w:val="es-ES" w:eastAsia="es-ES"/>
        </w:rPr>
        <w:t xml:space="preserve"> </w:t>
      </w:r>
      <w:r w:rsidR="000C0867">
        <w:rPr>
          <w:rFonts w:ascii="Bookman Old Style" w:eastAsia="Times New Roman" w:hAnsi="Bookman Old Style" w:cs="Arial"/>
          <w:sz w:val="24"/>
          <w:szCs w:val="24"/>
          <w:lang w:val="es-ES" w:eastAsia="es-ES"/>
        </w:rPr>
        <w:t>los</w:t>
      </w:r>
      <w:r w:rsidR="003938BC" w:rsidRPr="003938BC">
        <w:rPr>
          <w:rFonts w:ascii="Bookman Old Style" w:eastAsia="Times New Roman" w:hAnsi="Bookman Old Style" w:cs="Arial"/>
          <w:sz w:val="24"/>
          <w:szCs w:val="24"/>
          <w:lang w:val="es-ES" w:eastAsia="es-ES"/>
        </w:rPr>
        <w:t xml:space="preserve"> cual</w:t>
      </w:r>
      <w:r w:rsidR="000C0867">
        <w:rPr>
          <w:rFonts w:ascii="Bookman Old Style" w:eastAsia="Times New Roman" w:hAnsi="Bookman Old Style" w:cs="Arial"/>
          <w:sz w:val="24"/>
          <w:szCs w:val="24"/>
          <w:lang w:val="es-ES" w:eastAsia="es-ES"/>
        </w:rPr>
        <w:t>es</w:t>
      </w:r>
      <w:r w:rsidR="003938BC" w:rsidRPr="003938BC">
        <w:rPr>
          <w:rFonts w:ascii="Bookman Old Style" w:eastAsia="Times New Roman" w:hAnsi="Bookman Old Style" w:cs="Arial"/>
          <w:sz w:val="24"/>
          <w:szCs w:val="24"/>
          <w:lang w:val="es-ES" w:eastAsia="es-ES"/>
        </w:rPr>
        <w:t xml:space="preserve"> </w:t>
      </w:r>
      <w:r w:rsidRPr="00222C24">
        <w:rPr>
          <w:rFonts w:ascii="Bookman Old Style" w:eastAsia="Times New Roman" w:hAnsi="Bookman Old Style" w:cs="Arial"/>
          <w:sz w:val="24"/>
          <w:szCs w:val="24"/>
          <w:lang w:val="es-ES" w:eastAsia="es-ES"/>
        </w:rPr>
        <w:t>quedará</w:t>
      </w:r>
      <w:r w:rsidR="000C0867">
        <w:rPr>
          <w:rFonts w:ascii="Bookman Old Style" w:eastAsia="Times New Roman" w:hAnsi="Bookman Old Style" w:cs="Arial"/>
          <w:sz w:val="24"/>
          <w:szCs w:val="24"/>
          <w:lang w:val="es-ES" w:eastAsia="es-ES"/>
        </w:rPr>
        <w:t>n</w:t>
      </w:r>
      <w:r w:rsidRPr="00222C24">
        <w:rPr>
          <w:rFonts w:ascii="Bookman Old Style" w:eastAsia="Times New Roman" w:hAnsi="Bookman Old Style" w:cs="Arial"/>
          <w:sz w:val="24"/>
          <w:szCs w:val="24"/>
          <w:lang w:val="es-ES" w:eastAsia="es-ES"/>
        </w:rPr>
        <w:t xml:space="preserve"> así:</w:t>
      </w:r>
    </w:p>
    <w:p w14:paraId="0A648DA9" w14:textId="77777777" w:rsidR="00222C24" w:rsidRPr="00222C24" w:rsidRDefault="00222C24" w:rsidP="00222C24">
      <w:pPr>
        <w:spacing w:after="0" w:line="240" w:lineRule="auto"/>
        <w:jc w:val="both"/>
        <w:rPr>
          <w:rFonts w:ascii="Bookman Old Style" w:eastAsia="Times New Roman" w:hAnsi="Bookman Old Style" w:cs="Arial"/>
          <w:sz w:val="20"/>
          <w:szCs w:val="20"/>
          <w:lang w:val="es-ES" w:eastAsia="es-ES"/>
        </w:rPr>
      </w:pPr>
    </w:p>
    <w:p w14:paraId="017C987D" w14:textId="5A0B244D" w:rsidR="00B41741" w:rsidRPr="005700D8" w:rsidRDefault="00222C24" w:rsidP="008128DA">
      <w:pPr>
        <w:spacing w:after="0" w:line="240" w:lineRule="auto"/>
        <w:ind w:left="284" w:right="284"/>
        <w:jc w:val="both"/>
        <w:rPr>
          <w:rFonts w:ascii="Bookman Old Style" w:eastAsia="Times New Roman" w:hAnsi="Bookman Old Style" w:cs="Arial"/>
          <w:i/>
          <w:lang w:val="es-ES" w:eastAsia="es-ES"/>
        </w:rPr>
      </w:pPr>
      <w:r w:rsidRPr="005700D8">
        <w:rPr>
          <w:rFonts w:ascii="Bookman Old Style" w:eastAsia="Times New Roman" w:hAnsi="Bookman Old Style" w:cs="Arial"/>
          <w:i/>
          <w:lang w:val="es-ES" w:eastAsia="es-ES"/>
        </w:rPr>
        <w:t xml:space="preserve">“1. </w:t>
      </w:r>
      <w:r w:rsidR="00B41741" w:rsidRPr="005700D8">
        <w:rPr>
          <w:rFonts w:ascii="Bookman Old Style" w:eastAsia="Times New Roman" w:hAnsi="Bookman Old Style" w:cs="Arial"/>
          <w:i/>
          <w:lang w:val="es-ES" w:eastAsia="es-ES"/>
        </w:rPr>
        <w:t>La Comisión designará un perito para la estimación del costo de reposición a nuevo del activo.</w:t>
      </w:r>
      <w:r w:rsidR="00A83B17" w:rsidRPr="005700D8">
        <w:rPr>
          <w:rFonts w:ascii="Bookman Old Style" w:eastAsia="Times New Roman" w:hAnsi="Bookman Old Style" w:cs="Arial"/>
          <w:i/>
          <w:lang w:val="es-ES" w:eastAsia="es-ES"/>
        </w:rPr>
        <w:t xml:space="preserve"> </w:t>
      </w:r>
      <w:r w:rsidR="00B41741" w:rsidRPr="005700D8">
        <w:rPr>
          <w:rFonts w:ascii="Bookman Old Style" w:eastAsia="Times New Roman" w:hAnsi="Bookman Old Style" w:cs="Arial"/>
          <w:i/>
          <w:lang w:val="es-ES" w:eastAsia="es-ES"/>
        </w:rPr>
        <w:t xml:space="preserve">Para la contratación del perito, la Comisión seleccionará a uno de una lista conformada previamente por la misma entidad, la cual será de público conocimiento, atendiendo </w:t>
      </w:r>
      <w:r w:rsidR="00A83B17" w:rsidRPr="005700D8">
        <w:rPr>
          <w:rFonts w:ascii="Bookman Old Style" w:eastAsia="Times New Roman" w:hAnsi="Bookman Old Style" w:cs="Arial"/>
          <w:i/>
          <w:lang w:val="es-ES" w:eastAsia="es-ES"/>
        </w:rPr>
        <w:t xml:space="preserve">mecanismos </w:t>
      </w:r>
      <w:r w:rsidR="00B41741" w:rsidRPr="005700D8">
        <w:rPr>
          <w:rFonts w:ascii="Bookman Old Style" w:eastAsia="Times New Roman" w:hAnsi="Bookman Old Style" w:cs="Arial"/>
          <w:i/>
          <w:lang w:val="es-ES" w:eastAsia="es-ES"/>
        </w:rPr>
        <w:t xml:space="preserve">de selección objetiva, </w:t>
      </w:r>
      <w:r w:rsidR="008128DA" w:rsidRPr="005700D8">
        <w:rPr>
          <w:rFonts w:ascii="Bookman Old Style" w:eastAsia="Times New Roman" w:hAnsi="Bookman Old Style" w:cs="Arial"/>
          <w:i/>
          <w:lang w:val="es-ES" w:eastAsia="es-ES"/>
        </w:rPr>
        <w:t>con base en criterios asociados con el valor de las propuestas que se presenten, experiencias específicas</w:t>
      </w:r>
      <w:r w:rsidR="003965CF" w:rsidRPr="005700D8">
        <w:rPr>
          <w:rFonts w:ascii="Bookman Old Style" w:eastAsia="Times New Roman" w:hAnsi="Bookman Old Style" w:cs="Arial"/>
          <w:i/>
          <w:lang w:val="es-ES" w:eastAsia="es-ES"/>
        </w:rPr>
        <w:t xml:space="preserve"> y demás que la Comisión estime pertinentes</w:t>
      </w:r>
      <w:r w:rsidR="00B41741" w:rsidRPr="005700D8">
        <w:rPr>
          <w:rFonts w:ascii="Bookman Old Style" w:eastAsia="Times New Roman" w:hAnsi="Bookman Old Style" w:cs="Arial"/>
          <w:i/>
          <w:lang w:val="es-ES" w:eastAsia="es-ES"/>
        </w:rPr>
        <w:t>. Los peritos que conformarán la lista deberán ser personas naturales y/o jurídicas con más de diez (10) años de experiencia total en el diseño y estructuración y/o en la ejecución y/o en la auditoría técnica de proyectos de transporte de gas natural. Esta experiencia deberá corresponder a proyectos de transporte de gas natural desarrollados en al menos dos (2) países.</w:t>
      </w:r>
    </w:p>
    <w:p w14:paraId="23F29834" w14:textId="77777777" w:rsidR="00B41741" w:rsidRPr="005700D8" w:rsidRDefault="00B41741" w:rsidP="00B41741">
      <w:pPr>
        <w:spacing w:after="0" w:line="240" w:lineRule="auto"/>
        <w:ind w:left="284" w:right="284"/>
        <w:jc w:val="both"/>
        <w:rPr>
          <w:rFonts w:ascii="Bookman Old Style" w:eastAsia="Times New Roman" w:hAnsi="Bookman Old Style" w:cs="Arial"/>
          <w:i/>
          <w:lang w:val="es-ES" w:eastAsia="es-ES"/>
        </w:rPr>
      </w:pPr>
    </w:p>
    <w:p w14:paraId="2EE3CBD9" w14:textId="2CC5BD7D" w:rsidR="000C0867" w:rsidRPr="005700D8" w:rsidRDefault="00B41741" w:rsidP="00B41741">
      <w:pPr>
        <w:spacing w:after="0" w:line="240" w:lineRule="auto"/>
        <w:ind w:left="284" w:right="284"/>
        <w:jc w:val="both"/>
        <w:rPr>
          <w:rFonts w:ascii="Bookman Old Style" w:eastAsia="Times New Roman" w:hAnsi="Bookman Old Style" w:cs="Arial"/>
          <w:i/>
          <w:lang w:val="es-ES" w:eastAsia="es-ES"/>
        </w:rPr>
      </w:pPr>
      <w:r w:rsidRPr="005700D8">
        <w:rPr>
          <w:rFonts w:ascii="Bookman Old Style" w:eastAsia="Times New Roman" w:hAnsi="Bookman Old Style" w:cs="Arial"/>
          <w:i/>
          <w:lang w:val="es-ES" w:eastAsia="es-ES"/>
        </w:rPr>
        <w:t>El perito realizará todas las actividades determinadas en el acto administrativo que expida la CREG.</w:t>
      </w:r>
    </w:p>
    <w:p w14:paraId="39032509" w14:textId="77777777" w:rsidR="00B41741" w:rsidRPr="005700D8" w:rsidRDefault="00B41741" w:rsidP="00B41741">
      <w:pPr>
        <w:spacing w:after="0" w:line="240" w:lineRule="auto"/>
        <w:ind w:left="284" w:right="284"/>
        <w:jc w:val="both"/>
        <w:rPr>
          <w:rFonts w:ascii="Bookman Old Style" w:eastAsia="Times New Roman" w:hAnsi="Bookman Old Style" w:cs="Arial"/>
          <w:i/>
          <w:lang w:val="es-ES" w:eastAsia="es-ES"/>
        </w:rPr>
      </w:pPr>
    </w:p>
    <w:p w14:paraId="120AAD49" w14:textId="2CC94C2E" w:rsidR="00222C24" w:rsidRPr="005700D8" w:rsidRDefault="000C0867" w:rsidP="008F7650">
      <w:pPr>
        <w:spacing w:after="0" w:line="240" w:lineRule="auto"/>
        <w:ind w:left="284" w:right="284"/>
        <w:jc w:val="both"/>
        <w:rPr>
          <w:rFonts w:ascii="Bookman Old Style" w:eastAsia="Times New Roman" w:hAnsi="Bookman Old Style" w:cs="Arial"/>
          <w:i/>
          <w:lang w:val="es-ES" w:eastAsia="es-ES"/>
        </w:rPr>
      </w:pPr>
      <w:r w:rsidRPr="005700D8">
        <w:rPr>
          <w:rFonts w:ascii="Bookman Old Style" w:eastAsia="Times New Roman" w:hAnsi="Bookman Old Style" w:cs="Arial"/>
          <w:i/>
          <w:lang w:val="es-ES" w:eastAsia="es-ES"/>
        </w:rPr>
        <w:t xml:space="preserve">2. A partir del ejercicio de valoración realizado a través de la prueba pericial la Comisión contará con un (1) Mes para realizar análisis propios con el fin de determinar el costo de reposición a nuevo del activo - VRAN. Para el caso de las estaciones de compresión que hayan cumplido su VUN la Comisión </w:t>
      </w:r>
      <w:r w:rsidR="008F7650" w:rsidRPr="005700D8">
        <w:rPr>
          <w:rFonts w:ascii="Bookman Old Style" w:eastAsia="Times New Roman" w:hAnsi="Bookman Old Style" w:cs="Arial"/>
          <w:i/>
          <w:lang w:val="es-ES" w:eastAsia="es-ES"/>
        </w:rPr>
        <w:t>realizará su valoración atendiendo los criterios establecidos en la metodología y su Anexo 1, entre otros, bajo un mecanismo de comparación.</w:t>
      </w:r>
      <w:r w:rsidR="00222C24" w:rsidRPr="005700D8">
        <w:rPr>
          <w:rFonts w:ascii="Bookman Old Style" w:eastAsia="Times New Roman" w:hAnsi="Bookman Old Style" w:cs="Arial"/>
          <w:i/>
          <w:lang w:val="es-ES" w:eastAsia="es-ES"/>
        </w:rPr>
        <w:t>”.</w:t>
      </w:r>
    </w:p>
    <w:p w14:paraId="3EA686E3" w14:textId="77777777" w:rsidR="00222C24" w:rsidRDefault="00222C24" w:rsidP="001A37DF">
      <w:pPr>
        <w:spacing w:after="0" w:line="240" w:lineRule="auto"/>
        <w:jc w:val="both"/>
        <w:rPr>
          <w:rFonts w:ascii="Bookman Old Style" w:eastAsia="Times New Roman" w:hAnsi="Bookman Old Style" w:cs="Times New Roman"/>
          <w:b/>
          <w:sz w:val="24"/>
          <w:szCs w:val="24"/>
          <w:lang w:val="es-ES" w:eastAsia="es-ES"/>
        </w:rPr>
      </w:pPr>
    </w:p>
    <w:p w14:paraId="1CA64E82" w14:textId="77777777" w:rsidR="005700D8" w:rsidRDefault="005700D8" w:rsidP="001A37DF">
      <w:pPr>
        <w:spacing w:after="0" w:line="240" w:lineRule="auto"/>
        <w:jc w:val="both"/>
        <w:rPr>
          <w:rFonts w:ascii="Bookman Old Style" w:eastAsia="Times New Roman" w:hAnsi="Bookman Old Style" w:cs="Times New Roman"/>
          <w:b/>
          <w:sz w:val="24"/>
          <w:szCs w:val="24"/>
          <w:lang w:val="es-ES" w:eastAsia="es-ES"/>
        </w:rPr>
      </w:pPr>
    </w:p>
    <w:p w14:paraId="331E8B4C" w14:textId="77777777" w:rsidR="005700D8" w:rsidRDefault="005700D8" w:rsidP="001A37DF">
      <w:pPr>
        <w:spacing w:after="0" w:line="240" w:lineRule="auto"/>
        <w:jc w:val="both"/>
        <w:rPr>
          <w:rFonts w:ascii="Bookman Old Style" w:eastAsia="Times New Roman" w:hAnsi="Bookman Old Style" w:cs="Times New Roman"/>
          <w:b/>
          <w:sz w:val="24"/>
          <w:szCs w:val="24"/>
          <w:lang w:val="es-ES" w:eastAsia="es-ES"/>
        </w:rPr>
      </w:pPr>
    </w:p>
    <w:p w14:paraId="008C6EA6" w14:textId="77777777" w:rsidR="001A37DF" w:rsidRPr="001A37DF" w:rsidRDefault="001A37DF" w:rsidP="007A504F">
      <w:pPr>
        <w:spacing w:after="0" w:line="240" w:lineRule="auto"/>
        <w:ind w:left="-142" w:right="-142"/>
        <w:jc w:val="both"/>
        <w:rPr>
          <w:rFonts w:ascii="Bookman Old Style" w:eastAsia="Times New Roman" w:hAnsi="Bookman Old Style" w:cs="Times New Roman"/>
          <w:i/>
          <w:sz w:val="24"/>
          <w:szCs w:val="24"/>
          <w:lang w:val="es-ES" w:eastAsia="es-ES"/>
        </w:rPr>
      </w:pPr>
      <w:r>
        <w:rPr>
          <w:rFonts w:ascii="Bookman Old Style" w:eastAsia="Times New Roman" w:hAnsi="Bookman Old Style" w:cs="Times New Roman"/>
          <w:b/>
          <w:sz w:val="24"/>
          <w:szCs w:val="24"/>
          <w:lang w:val="es-ES" w:eastAsia="es-ES"/>
        </w:rPr>
        <w:t>Artículo 2</w:t>
      </w:r>
      <w:r w:rsidRPr="001A37DF">
        <w:rPr>
          <w:rFonts w:ascii="Bookman Old Style" w:eastAsia="Times New Roman" w:hAnsi="Bookman Old Style" w:cs="Times New Roman"/>
          <w:b/>
          <w:sz w:val="24"/>
          <w:szCs w:val="24"/>
          <w:lang w:val="es-ES" w:eastAsia="es-ES"/>
        </w:rPr>
        <w:t xml:space="preserve">. Vigencia. </w:t>
      </w:r>
      <w:r w:rsidRPr="001A37DF">
        <w:rPr>
          <w:rFonts w:ascii="Bookman Old Style" w:eastAsia="Times New Roman" w:hAnsi="Bookman Old Style" w:cs="Times New Roman"/>
          <w:sz w:val="24"/>
          <w:szCs w:val="24"/>
          <w:lang w:val="es-ES" w:eastAsia="es-ES"/>
        </w:rPr>
        <w:t xml:space="preserve">Esta resolución rige a partir de su publicación en el </w:t>
      </w:r>
      <w:r w:rsidRPr="001A37DF">
        <w:rPr>
          <w:rFonts w:ascii="Bookman Old Style" w:eastAsia="Times New Roman" w:hAnsi="Bookman Old Style" w:cs="Times New Roman"/>
          <w:i/>
          <w:sz w:val="24"/>
          <w:szCs w:val="24"/>
          <w:lang w:val="es-ES" w:eastAsia="es-ES"/>
        </w:rPr>
        <w:t>Diario Oficial</w:t>
      </w:r>
      <w:r w:rsidRPr="001A37DF">
        <w:rPr>
          <w:rFonts w:ascii="Bookman Old Style" w:eastAsia="Times New Roman" w:hAnsi="Bookman Old Style" w:cs="Times New Roman"/>
          <w:sz w:val="24"/>
          <w:szCs w:val="24"/>
          <w:lang w:val="es-ES" w:eastAsia="es-ES"/>
        </w:rPr>
        <w:t xml:space="preserve"> y deroga las normas que le sean contrarias.</w:t>
      </w:r>
    </w:p>
    <w:p w14:paraId="1A944AC5" w14:textId="77777777" w:rsidR="00F43DB0" w:rsidRDefault="00F43DB0" w:rsidP="00F43DB0">
      <w:pPr>
        <w:spacing w:after="0" w:line="240" w:lineRule="auto"/>
        <w:contextualSpacing/>
        <w:rPr>
          <w:rFonts w:ascii="Bookman Old Style" w:eastAsia="Times New Roman" w:hAnsi="Bookman Old Style" w:cs="Times New Roman"/>
          <w:sz w:val="24"/>
          <w:szCs w:val="24"/>
          <w:lang w:val="es-ES" w:eastAsia="es-ES"/>
        </w:rPr>
      </w:pPr>
    </w:p>
    <w:p w14:paraId="07793575" w14:textId="77777777" w:rsidR="00F43DB0" w:rsidRPr="00F43DB0" w:rsidRDefault="00F43DB0" w:rsidP="00F43DB0">
      <w:pPr>
        <w:spacing w:after="0" w:line="240" w:lineRule="auto"/>
        <w:contextualSpacing/>
        <w:rPr>
          <w:rFonts w:ascii="Bookman Old Style" w:eastAsia="Times New Roman" w:hAnsi="Bookman Old Style" w:cs="Times New Roman"/>
          <w:sz w:val="24"/>
          <w:szCs w:val="24"/>
          <w:lang w:val="es-ES" w:eastAsia="es-ES"/>
        </w:rPr>
      </w:pPr>
    </w:p>
    <w:p w14:paraId="46051D37" w14:textId="77777777" w:rsidR="00F43DB0" w:rsidRPr="00F43DB0" w:rsidRDefault="00F43DB0" w:rsidP="00F43DB0">
      <w:pPr>
        <w:spacing w:after="0" w:line="240" w:lineRule="auto"/>
        <w:ind w:left="567"/>
        <w:contextualSpacing/>
        <w:jc w:val="center"/>
        <w:rPr>
          <w:rFonts w:ascii="Bookman Old Style" w:eastAsia="Times New Roman" w:hAnsi="Bookman Old Style" w:cs="Times New Roman"/>
          <w:b/>
          <w:sz w:val="24"/>
          <w:szCs w:val="24"/>
          <w:lang w:val="es-ES" w:eastAsia="es-ES"/>
        </w:rPr>
      </w:pPr>
      <w:r w:rsidRPr="00F43DB0">
        <w:rPr>
          <w:rFonts w:ascii="Bookman Old Style" w:eastAsia="Times New Roman" w:hAnsi="Bookman Old Style" w:cs="Times New Roman"/>
          <w:b/>
          <w:sz w:val="24"/>
          <w:szCs w:val="24"/>
          <w:lang w:val="es-ES" w:eastAsia="es-ES"/>
        </w:rPr>
        <w:t>PUBLÍQUESE Y CÚMPLASE</w:t>
      </w:r>
    </w:p>
    <w:p w14:paraId="4D3EA2EB" w14:textId="77777777" w:rsidR="00F43DB0" w:rsidRPr="00F43DB0" w:rsidRDefault="00F43DB0" w:rsidP="00F43DB0">
      <w:pPr>
        <w:spacing w:after="0" w:line="240" w:lineRule="auto"/>
        <w:contextualSpacing/>
        <w:rPr>
          <w:rFonts w:ascii="Bookman Old Style" w:eastAsia="Times New Roman" w:hAnsi="Bookman Old Style" w:cs="Times New Roman"/>
          <w:sz w:val="24"/>
          <w:szCs w:val="24"/>
          <w:lang w:val="es-ES" w:eastAsia="es-ES"/>
        </w:rPr>
      </w:pPr>
    </w:p>
    <w:p w14:paraId="76FCE656" w14:textId="77777777" w:rsidR="00F43DB0" w:rsidRPr="00F43DB0" w:rsidRDefault="00F43DB0" w:rsidP="00F43DB0">
      <w:pPr>
        <w:spacing w:after="0" w:line="240" w:lineRule="auto"/>
        <w:contextualSpacing/>
        <w:rPr>
          <w:rFonts w:ascii="Bookman Old Style" w:eastAsia="Times New Roman" w:hAnsi="Bookman Old Style" w:cs="Times New Roman"/>
          <w:sz w:val="24"/>
          <w:szCs w:val="24"/>
          <w:lang w:val="es-ES" w:eastAsia="es-ES"/>
        </w:rPr>
      </w:pPr>
    </w:p>
    <w:p w14:paraId="5F1D70B2" w14:textId="77777777" w:rsidR="00F43DB0" w:rsidRPr="00F43DB0" w:rsidRDefault="00F43DB0" w:rsidP="00F43DB0">
      <w:pPr>
        <w:spacing w:after="0" w:line="240" w:lineRule="auto"/>
        <w:contextualSpacing/>
        <w:rPr>
          <w:rFonts w:ascii="Bookman Old Style" w:eastAsia="Times New Roman" w:hAnsi="Bookman Old Style" w:cs="Times New Roman"/>
          <w:sz w:val="24"/>
          <w:szCs w:val="24"/>
          <w:lang w:val="es-ES" w:eastAsia="es-ES"/>
        </w:rPr>
      </w:pPr>
      <w:r w:rsidRPr="00F43DB0">
        <w:rPr>
          <w:rFonts w:ascii="Bookman Old Style" w:eastAsia="Times New Roman" w:hAnsi="Bookman Old Style" w:cs="Times New Roman"/>
          <w:sz w:val="24"/>
          <w:szCs w:val="24"/>
          <w:lang w:val="es-ES" w:eastAsia="es-ES"/>
        </w:rPr>
        <w:t>Firma del Proyecto,</w:t>
      </w:r>
    </w:p>
    <w:tbl>
      <w:tblPr>
        <w:tblW w:w="9498" w:type="dxa"/>
        <w:jc w:val="center"/>
        <w:tblCellSpacing w:w="0" w:type="dxa"/>
        <w:tblCellMar>
          <w:left w:w="0" w:type="dxa"/>
          <w:right w:w="0" w:type="dxa"/>
        </w:tblCellMar>
        <w:tblLook w:val="04A0" w:firstRow="1" w:lastRow="0" w:firstColumn="1" w:lastColumn="0" w:noHBand="0" w:noVBand="1"/>
      </w:tblPr>
      <w:tblGrid>
        <w:gridCol w:w="5529"/>
        <w:gridCol w:w="3969"/>
      </w:tblGrid>
      <w:tr w:rsidR="00F84E2E" w:rsidRPr="00F84E2E" w14:paraId="765C8DE8" w14:textId="77777777" w:rsidTr="00BC5226">
        <w:trPr>
          <w:tblCellSpacing w:w="0" w:type="dxa"/>
          <w:jc w:val="center"/>
        </w:trPr>
        <w:tc>
          <w:tcPr>
            <w:tcW w:w="5529" w:type="dxa"/>
            <w:hideMark/>
          </w:tcPr>
          <w:p w14:paraId="73E4FCF8" w14:textId="77777777" w:rsidR="00F84E2E" w:rsidRPr="00F84E2E" w:rsidRDefault="00F84E2E" w:rsidP="00F84E2E">
            <w:pPr>
              <w:spacing w:after="0" w:line="240" w:lineRule="auto"/>
              <w:ind w:left="66"/>
              <w:jc w:val="center"/>
              <w:rPr>
                <w:rFonts w:ascii="Bookman Old Style" w:eastAsia="Times New Roman" w:hAnsi="Bookman Old Style" w:cs="Arial"/>
                <w:b/>
                <w:spacing w:val="-3"/>
                <w:sz w:val="24"/>
                <w:szCs w:val="24"/>
                <w:lang w:val="es-ES" w:eastAsia="es-ES"/>
              </w:rPr>
            </w:pPr>
          </w:p>
          <w:p w14:paraId="32C9A2F7" w14:textId="77777777" w:rsidR="00F84E2E" w:rsidRPr="00F84E2E" w:rsidRDefault="00F84E2E" w:rsidP="00F84E2E">
            <w:pPr>
              <w:spacing w:after="0" w:line="240" w:lineRule="auto"/>
              <w:ind w:left="66"/>
              <w:jc w:val="center"/>
              <w:rPr>
                <w:rFonts w:ascii="Bookman Old Style" w:eastAsia="Times New Roman" w:hAnsi="Bookman Old Style" w:cs="Arial"/>
                <w:b/>
                <w:spacing w:val="-3"/>
                <w:sz w:val="24"/>
                <w:szCs w:val="24"/>
                <w:lang w:val="es-ES" w:eastAsia="es-ES"/>
              </w:rPr>
            </w:pPr>
          </w:p>
          <w:p w14:paraId="7C7DB4B8" w14:textId="77777777" w:rsidR="00F84E2E" w:rsidRPr="00F84E2E" w:rsidRDefault="00F84E2E" w:rsidP="00F84E2E">
            <w:pPr>
              <w:spacing w:after="0" w:line="240" w:lineRule="auto"/>
              <w:ind w:left="66"/>
              <w:jc w:val="center"/>
              <w:rPr>
                <w:rFonts w:ascii="Bookman Old Style" w:eastAsia="Times New Roman" w:hAnsi="Bookman Old Style" w:cs="Arial"/>
                <w:b/>
                <w:spacing w:val="-3"/>
                <w:sz w:val="24"/>
                <w:szCs w:val="24"/>
                <w:lang w:val="es-ES" w:eastAsia="es-ES"/>
              </w:rPr>
            </w:pPr>
          </w:p>
          <w:p w14:paraId="7D8AF29F" w14:textId="77777777" w:rsidR="00F84E2E" w:rsidRPr="00F84E2E" w:rsidRDefault="00F84E2E" w:rsidP="00F84E2E">
            <w:pPr>
              <w:spacing w:after="0" w:line="240" w:lineRule="auto"/>
              <w:ind w:left="66"/>
              <w:jc w:val="center"/>
              <w:rPr>
                <w:rFonts w:ascii="Bookman Old Style" w:eastAsia="Times New Roman" w:hAnsi="Bookman Old Style" w:cs="Arial"/>
                <w:b/>
                <w:spacing w:val="-3"/>
                <w:sz w:val="24"/>
                <w:szCs w:val="24"/>
                <w:lang w:val="es-ES" w:eastAsia="es-ES"/>
              </w:rPr>
            </w:pPr>
          </w:p>
          <w:p w14:paraId="568AC0A9" w14:textId="77777777" w:rsidR="00F84E2E" w:rsidRPr="00F84E2E" w:rsidRDefault="00F84E2E" w:rsidP="00F84E2E">
            <w:pPr>
              <w:spacing w:after="0" w:line="240" w:lineRule="auto"/>
              <w:ind w:left="66"/>
              <w:jc w:val="center"/>
              <w:rPr>
                <w:rFonts w:ascii="Bookman Old Style" w:eastAsia="Times New Roman" w:hAnsi="Bookman Old Style" w:cs="Arial"/>
                <w:b/>
                <w:spacing w:val="-3"/>
                <w:sz w:val="24"/>
                <w:szCs w:val="24"/>
                <w:lang w:val="es-ES" w:eastAsia="es-ES"/>
              </w:rPr>
            </w:pPr>
            <w:r w:rsidRPr="00F84E2E">
              <w:rPr>
                <w:rFonts w:ascii="Bookman Old Style" w:eastAsia="Times New Roman" w:hAnsi="Bookman Old Style" w:cs="Arial"/>
                <w:b/>
                <w:spacing w:val="-3"/>
                <w:sz w:val="24"/>
                <w:szCs w:val="24"/>
                <w:lang w:val="es-ES" w:eastAsia="es-ES"/>
              </w:rPr>
              <w:t>RUTTY PAOLA ORTIZ JARA</w:t>
            </w:r>
          </w:p>
        </w:tc>
        <w:tc>
          <w:tcPr>
            <w:tcW w:w="3969" w:type="dxa"/>
            <w:hideMark/>
          </w:tcPr>
          <w:p w14:paraId="240DF9D3" w14:textId="77777777" w:rsidR="00F84E2E" w:rsidRPr="00F84E2E" w:rsidRDefault="00F84E2E" w:rsidP="00F84E2E">
            <w:pPr>
              <w:spacing w:after="0" w:line="240" w:lineRule="auto"/>
              <w:ind w:left="89"/>
              <w:jc w:val="center"/>
              <w:rPr>
                <w:rFonts w:ascii="Bookman Old Style" w:eastAsia="Times New Roman" w:hAnsi="Bookman Old Style" w:cs="Arial"/>
                <w:b/>
                <w:spacing w:val="-3"/>
                <w:sz w:val="24"/>
                <w:szCs w:val="24"/>
                <w:lang w:val="es-ES" w:eastAsia="es-ES"/>
              </w:rPr>
            </w:pPr>
          </w:p>
          <w:p w14:paraId="4735D2BE" w14:textId="77777777" w:rsidR="00F84E2E" w:rsidRPr="00F84E2E" w:rsidRDefault="00F84E2E" w:rsidP="00F84E2E">
            <w:pPr>
              <w:spacing w:after="0" w:line="240" w:lineRule="auto"/>
              <w:ind w:left="89"/>
              <w:jc w:val="center"/>
              <w:rPr>
                <w:rFonts w:ascii="Bookman Old Style" w:eastAsia="Times New Roman" w:hAnsi="Bookman Old Style" w:cs="Arial"/>
                <w:b/>
                <w:spacing w:val="-3"/>
                <w:sz w:val="24"/>
                <w:szCs w:val="24"/>
                <w:lang w:val="es-ES" w:eastAsia="es-ES"/>
              </w:rPr>
            </w:pPr>
          </w:p>
          <w:p w14:paraId="76E29A9D" w14:textId="77777777" w:rsidR="00F84E2E" w:rsidRPr="00F84E2E" w:rsidRDefault="00F84E2E" w:rsidP="00F84E2E">
            <w:pPr>
              <w:spacing w:after="0" w:line="240" w:lineRule="auto"/>
              <w:ind w:left="89"/>
              <w:jc w:val="center"/>
              <w:rPr>
                <w:rFonts w:ascii="Bookman Old Style" w:eastAsia="Times New Roman" w:hAnsi="Bookman Old Style" w:cs="Arial"/>
                <w:b/>
                <w:spacing w:val="-3"/>
                <w:sz w:val="24"/>
                <w:szCs w:val="24"/>
                <w:lang w:val="es-ES" w:eastAsia="es-ES"/>
              </w:rPr>
            </w:pPr>
          </w:p>
          <w:p w14:paraId="6E525FD6" w14:textId="77777777" w:rsidR="00F84E2E" w:rsidRPr="00F84E2E" w:rsidRDefault="00F84E2E" w:rsidP="00F84E2E">
            <w:pPr>
              <w:spacing w:after="0" w:line="240" w:lineRule="auto"/>
              <w:ind w:left="89"/>
              <w:jc w:val="center"/>
              <w:rPr>
                <w:rFonts w:ascii="Bookman Old Style" w:eastAsia="Times New Roman" w:hAnsi="Bookman Old Style" w:cs="Arial"/>
                <w:b/>
                <w:spacing w:val="-3"/>
                <w:sz w:val="24"/>
                <w:szCs w:val="24"/>
                <w:lang w:val="es-ES" w:eastAsia="es-ES"/>
              </w:rPr>
            </w:pPr>
          </w:p>
          <w:p w14:paraId="693376AC" w14:textId="77777777" w:rsidR="00F84E2E" w:rsidRPr="00F84E2E" w:rsidRDefault="00F84E2E" w:rsidP="00F84E2E">
            <w:pPr>
              <w:spacing w:after="0" w:line="240" w:lineRule="auto"/>
              <w:ind w:left="89"/>
              <w:jc w:val="center"/>
              <w:rPr>
                <w:rFonts w:ascii="Bookman Old Style" w:eastAsia="Times New Roman" w:hAnsi="Bookman Old Style" w:cs="Arial"/>
                <w:b/>
                <w:spacing w:val="-3"/>
                <w:sz w:val="24"/>
                <w:szCs w:val="24"/>
                <w:lang w:val="es-ES" w:eastAsia="es-ES"/>
              </w:rPr>
            </w:pPr>
            <w:r w:rsidRPr="00F84E2E">
              <w:rPr>
                <w:rFonts w:ascii="Bookman Old Style" w:eastAsia="Times New Roman" w:hAnsi="Bookman Old Style" w:cs="Arial"/>
                <w:b/>
                <w:spacing w:val="-3"/>
                <w:sz w:val="24"/>
                <w:szCs w:val="24"/>
                <w:lang w:val="es-ES" w:eastAsia="es-ES"/>
              </w:rPr>
              <w:t>GERMÁN CASTRO FERREIRA</w:t>
            </w:r>
          </w:p>
        </w:tc>
      </w:tr>
      <w:tr w:rsidR="00F84E2E" w:rsidRPr="00F84E2E" w14:paraId="73C6A5FD" w14:textId="77777777" w:rsidTr="00BC5226">
        <w:trPr>
          <w:tblCellSpacing w:w="0" w:type="dxa"/>
          <w:jc w:val="center"/>
        </w:trPr>
        <w:tc>
          <w:tcPr>
            <w:tcW w:w="5529" w:type="dxa"/>
            <w:hideMark/>
          </w:tcPr>
          <w:p w14:paraId="57BCECEC" w14:textId="77777777" w:rsidR="00837C9E" w:rsidRDefault="00837C9E" w:rsidP="00D705A0">
            <w:pPr>
              <w:spacing w:after="0" w:line="240" w:lineRule="auto"/>
              <w:ind w:left="66"/>
              <w:jc w:val="center"/>
              <w:rPr>
                <w:rFonts w:ascii="Bookman Old Style" w:eastAsia="Times New Roman" w:hAnsi="Bookman Old Style" w:cs="Arial"/>
                <w:spacing w:val="-3"/>
                <w:sz w:val="24"/>
                <w:szCs w:val="24"/>
                <w:lang w:val="es-ES" w:eastAsia="es-ES"/>
              </w:rPr>
            </w:pPr>
            <w:r w:rsidRPr="00F84E2E">
              <w:rPr>
                <w:rFonts w:ascii="Bookman Old Style" w:eastAsia="Times New Roman" w:hAnsi="Bookman Old Style" w:cs="Arial"/>
                <w:spacing w:val="-3"/>
                <w:sz w:val="24"/>
                <w:szCs w:val="24"/>
                <w:lang w:val="es-ES" w:eastAsia="es-ES"/>
              </w:rPr>
              <w:t>Viceministra de Energía</w:t>
            </w:r>
          </w:p>
          <w:p w14:paraId="05DA0C74" w14:textId="77777777" w:rsidR="00F84E2E" w:rsidRPr="00F84E2E" w:rsidRDefault="00F84E2E" w:rsidP="00D705A0">
            <w:pPr>
              <w:spacing w:after="0" w:line="240" w:lineRule="auto"/>
              <w:ind w:left="66"/>
              <w:jc w:val="center"/>
              <w:rPr>
                <w:rFonts w:ascii="Bookman Old Style" w:eastAsia="Arial Unicode MS" w:hAnsi="Bookman Old Style" w:cs="Arial"/>
                <w:color w:val="000000"/>
                <w:sz w:val="24"/>
                <w:szCs w:val="24"/>
                <w:lang w:val="es-ES" w:eastAsia="es-ES"/>
              </w:rPr>
            </w:pPr>
            <w:r w:rsidRPr="00F84E2E">
              <w:rPr>
                <w:rFonts w:ascii="Bookman Old Style" w:eastAsia="Times New Roman" w:hAnsi="Bookman Old Style" w:cs="Arial"/>
                <w:spacing w:val="-3"/>
                <w:sz w:val="24"/>
                <w:szCs w:val="24"/>
                <w:lang w:val="es-ES" w:eastAsia="es-ES"/>
              </w:rPr>
              <w:t xml:space="preserve">Delegada del Ministro de Minas y Energía </w:t>
            </w:r>
          </w:p>
        </w:tc>
        <w:tc>
          <w:tcPr>
            <w:tcW w:w="3969" w:type="dxa"/>
            <w:hideMark/>
          </w:tcPr>
          <w:p w14:paraId="191C7524" w14:textId="77777777" w:rsidR="00F84E2E" w:rsidRPr="00F84E2E" w:rsidRDefault="00F84E2E" w:rsidP="00F84E2E">
            <w:pPr>
              <w:spacing w:after="0" w:line="240" w:lineRule="auto"/>
              <w:jc w:val="center"/>
              <w:rPr>
                <w:rFonts w:ascii="Bookman Old Style" w:eastAsia="Arial Unicode MS" w:hAnsi="Bookman Old Style" w:cs="Arial"/>
                <w:color w:val="000000"/>
                <w:sz w:val="24"/>
                <w:szCs w:val="24"/>
                <w:lang w:val="es-ES" w:eastAsia="es-ES"/>
              </w:rPr>
            </w:pPr>
            <w:r w:rsidRPr="00F84E2E">
              <w:rPr>
                <w:rFonts w:ascii="Bookman Old Style" w:eastAsia="Times New Roman" w:hAnsi="Bookman Old Style" w:cs="Arial"/>
                <w:spacing w:val="-3"/>
                <w:sz w:val="24"/>
                <w:szCs w:val="24"/>
                <w:lang w:val="es-ES" w:eastAsia="es-ES"/>
              </w:rPr>
              <w:t>Director Ejecutivo</w:t>
            </w:r>
          </w:p>
        </w:tc>
      </w:tr>
      <w:tr w:rsidR="00F84E2E" w:rsidRPr="00F84E2E" w14:paraId="1C8B2D09" w14:textId="77777777" w:rsidTr="00BC5226">
        <w:trPr>
          <w:tblCellSpacing w:w="0" w:type="dxa"/>
          <w:jc w:val="center"/>
        </w:trPr>
        <w:tc>
          <w:tcPr>
            <w:tcW w:w="5529" w:type="dxa"/>
            <w:hideMark/>
          </w:tcPr>
          <w:p w14:paraId="26DAD8CB" w14:textId="77777777" w:rsidR="00F84E2E" w:rsidRPr="00F84E2E" w:rsidRDefault="00F84E2E" w:rsidP="00F84E2E">
            <w:pPr>
              <w:spacing w:after="0" w:line="240" w:lineRule="auto"/>
              <w:ind w:left="66"/>
              <w:jc w:val="center"/>
              <w:rPr>
                <w:rFonts w:ascii="Bookman Old Style" w:eastAsia="Arial Unicode MS" w:hAnsi="Bookman Old Style" w:cs="Arial"/>
                <w:color w:val="000000"/>
                <w:sz w:val="24"/>
                <w:szCs w:val="24"/>
                <w:lang w:val="es-ES" w:eastAsia="es-ES"/>
              </w:rPr>
            </w:pPr>
            <w:r w:rsidRPr="00F84E2E">
              <w:rPr>
                <w:rFonts w:ascii="Bookman Old Style" w:eastAsia="Times New Roman" w:hAnsi="Bookman Old Style" w:cs="Arial"/>
                <w:spacing w:val="-3"/>
                <w:sz w:val="24"/>
                <w:szCs w:val="24"/>
                <w:lang w:val="es-ES" w:eastAsia="es-ES"/>
              </w:rPr>
              <w:t>Presidente</w:t>
            </w:r>
          </w:p>
        </w:tc>
        <w:tc>
          <w:tcPr>
            <w:tcW w:w="3969" w:type="dxa"/>
          </w:tcPr>
          <w:p w14:paraId="34BB9D38" w14:textId="77777777" w:rsidR="00F84E2E" w:rsidRPr="00F84E2E" w:rsidRDefault="00F84E2E" w:rsidP="00F84E2E">
            <w:pPr>
              <w:spacing w:after="0" w:line="240" w:lineRule="auto"/>
              <w:jc w:val="center"/>
              <w:rPr>
                <w:rFonts w:ascii="Bookman Old Style" w:eastAsia="Arial Unicode MS" w:hAnsi="Bookman Old Style" w:cs="Arial"/>
                <w:color w:val="000000"/>
                <w:sz w:val="24"/>
                <w:szCs w:val="24"/>
                <w:lang w:val="es-ES" w:eastAsia="es-ES"/>
              </w:rPr>
            </w:pPr>
          </w:p>
        </w:tc>
      </w:tr>
    </w:tbl>
    <w:p w14:paraId="224B74E2" w14:textId="77777777" w:rsidR="00F84E2E" w:rsidRPr="001A37DF" w:rsidRDefault="00F84E2E" w:rsidP="001A37DF">
      <w:pPr>
        <w:spacing w:after="0" w:line="240" w:lineRule="auto"/>
        <w:rPr>
          <w:rFonts w:ascii="Bookman Old Style" w:eastAsia="Times New Roman" w:hAnsi="Bookman Old Style" w:cs="Times New Roman"/>
          <w:sz w:val="24"/>
          <w:szCs w:val="24"/>
          <w:lang w:val="es-ES" w:eastAsia="es-ES"/>
        </w:rPr>
      </w:pPr>
    </w:p>
    <w:p w14:paraId="43CFC7EF" w14:textId="77777777" w:rsidR="001A37DF" w:rsidRPr="001A37DF" w:rsidRDefault="001A37DF" w:rsidP="001A37DF">
      <w:pPr>
        <w:spacing w:after="0" w:line="240" w:lineRule="auto"/>
        <w:rPr>
          <w:rFonts w:ascii="Bookman Old Style" w:eastAsia="Times New Roman" w:hAnsi="Bookman Old Style" w:cs="Times New Roman"/>
          <w:sz w:val="24"/>
          <w:szCs w:val="24"/>
          <w:lang w:val="es-ES" w:eastAsia="es-ES"/>
        </w:rPr>
      </w:pPr>
    </w:p>
    <w:p w14:paraId="153600C1" w14:textId="77777777" w:rsidR="001A37DF" w:rsidRPr="001A37DF" w:rsidRDefault="001A37DF" w:rsidP="001A37DF">
      <w:pPr>
        <w:spacing w:after="0" w:line="240" w:lineRule="auto"/>
        <w:rPr>
          <w:rFonts w:ascii="Bookman Old Style" w:eastAsia="Times New Roman" w:hAnsi="Bookman Old Style" w:cs="Arial"/>
          <w:sz w:val="24"/>
          <w:szCs w:val="24"/>
          <w:lang w:val="es-ES" w:eastAsia="es-ES"/>
        </w:rPr>
      </w:pPr>
    </w:p>
    <w:p w14:paraId="53C7B94A" w14:textId="77777777" w:rsidR="001A37DF" w:rsidRPr="001A37DF" w:rsidRDefault="001A37DF" w:rsidP="001A37DF">
      <w:pPr>
        <w:spacing w:after="0" w:line="240" w:lineRule="auto"/>
        <w:rPr>
          <w:rFonts w:ascii="Bookman Old Style" w:eastAsia="Times New Roman" w:hAnsi="Bookman Old Style" w:cs="Arial"/>
          <w:sz w:val="24"/>
          <w:szCs w:val="24"/>
          <w:lang w:val="es-ES" w:eastAsia="es-ES"/>
        </w:rPr>
      </w:pPr>
    </w:p>
    <w:p w14:paraId="301C292B" w14:textId="77777777" w:rsidR="001A37DF" w:rsidRPr="001A37DF" w:rsidRDefault="001A37DF" w:rsidP="001A37DF">
      <w:pPr>
        <w:spacing w:after="0" w:line="240" w:lineRule="auto"/>
        <w:rPr>
          <w:rFonts w:ascii="Bookman Old Style" w:eastAsia="Times New Roman" w:hAnsi="Bookman Old Style" w:cs="Arial"/>
          <w:sz w:val="24"/>
          <w:szCs w:val="24"/>
          <w:lang w:val="es-ES" w:eastAsia="es-ES"/>
        </w:rPr>
      </w:pPr>
    </w:p>
    <w:p w14:paraId="436435EE" w14:textId="77777777" w:rsidR="001A37DF" w:rsidRPr="001A37DF" w:rsidRDefault="001A37DF" w:rsidP="001A37DF">
      <w:pPr>
        <w:widowControl w:val="0"/>
        <w:spacing w:after="0" w:line="240" w:lineRule="auto"/>
        <w:rPr>
          <w:rFonts w:ascii="Bookman Old Style" w:eastAsia="Times New Roman" w:hAnsi="Bookman Old Style" w:cs="Times New Roman"/>
          <w:sz w:val="24"/>
          <w:szCs w:val="24"/>
          <w:lang w:val="es-ES" w:eastAsia="es-ES"/>
        </w:rPr>
      </w:pPr>
    </w:p>
    <w:p w14:paraId="7675C718" w14:textId="77777777" w:rsidR="001A37DF" w:rsidRPr="001A37DF" w:rsidRDefault="001A37DF" w:rsidP="001A37DF">
      <w:pPr>
        <w:spacing w:after="0" w:line="240" w:lineRule="auto"/>
        <w:rPr>
          <w:rFonts w:ascii="Bookman Old Style" w:eastAsia="Times New Roman" w:hAnsi="Bookman Old Style" w:cs="Arial"/>
          <w:sz w:val="24"/>
          <w:szCs w:val="24"/>
          <w:lang w:val="es-ES" w:eastAsia="es-ES"/>
        </w:rPr>
      </w:pPr>
    </w:p>
    <w:p w14:paraId="1F63E98B" w14:textId="77777777" w:rsidR="001A37DF" w:rsidRPr="001A37DF" w:rsidRDefault="001A37DF" w:rsidP="001A37DF">
      <w:pPr>
        <w:spacing w:after="0" w:line="240" w:lineRule="auto"/>
        <w:ind w:left="567"/>
        <w:rPr>
          <w:rFonts w:ascii="Times New Roman" w:eastAsia="Times New Roman" w:hAnsi="Times New Roman" w:cs="Times New Roman"/>
          <w:sz w:val="24"/>
          <w:szCs w:val="24"/>
          <w:lang w:val="es-ES" w:eastAsia="es-ES"/>
        </w:rPr>
      </w:pPr>
    </w:p>
    <w:p w14:paraId="57033CDB" w14:textId="77777777" w:rsidR="001A37DF" w:rsidRPr="001A37DF" w:rsidRDefault="001A37DF" w:rsidP="001A37DF">
      <w:pPr>
        <w:spacing w:after="0" w:line="240" w:lineRule="auto"/>
        <w:contextualSpacing/>
        <w:jc w:val="both"/>
        <w:rPr>
          <w:rFonts w:ascii="Bookman Old Style" w:eastAsia="Times New Roman" w:hAnsi="Bookman Old Style" w:cs="Times New Roman"/>
          <w:b/>
          <w:sz w:val="24"/>
          <w:szCs w:val="24"/>
          <w:lang w:val="es-ES" w:eastAsia="es-ES"/>
        </w:rPr>
      </w:pPr>
    </w:p>
    <w:p w14:paraId="324282B7" w14:textId="77777777" w:rsidR="00A35B73" w:rsidRPr="00F914EB" w:rsidRDefault="00A35B73" w:rsidP="00451FF9">
      <w:pPr>
        <w:pStyle w:val="Prrafodelista"/>
        <w:spacing w:after="0"/>
        <w:ind w:left="0"/>
        <w:jc w:val="both"/>
        <w:rPr>
          <w:rFonts w:ascii="Bookman Old Style" w:hAnsi="Bookman Old Style"/>
          <w:sz w:val="24"/>
          <w:szCs w:val="24"/>
        </w:rPr>
      </w:pPr>
    </w:p>
    <w:sectPr w:rsidR="00A35B73" w:rsidRPr="00F914EB" w:rsidSect="005C1BCA">
      <w:headerReference w:type="default" r:id="rId11"/>
      <w:headerReference w:type="first" r:id="rId12"/>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A7B2E" w14:textId="77777777" w:rsidR="008F2645" w:rsidRDefault="008F2645" w:rsidP="005C1BCA">
      <w:pPr>
        <w:spacing w:after="0" w:line="240" w:lineRule="auto"/>
      </w:pPr>
      <w:r>
        <w:separator/>
      </w:r>
    </w:p>
  </w:endnote>
  <w:endnote w:type="continuationSeparator" w:id="0">
    <w:p w14:paraId="2AF9A088" w14:textId="77777777" w:rsidR="008F2645" w:rsidRDefault="008F2645" w:rsidP="005C1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80D67" w14:textId="77777777" w:rsidR="008F2645" w:rsidRDefault="008F2645" w:rsidP="005C1BCA">
      <w:pPr>
        <w:spacing w:after="0" w:line="240" w:lineRule="auto"/>
      </w:pPr>
      <w:r>
        <w:separator/>
      </w:r>
    </w:p>
  </w:footnote>
  <w:footnote w:type="continuationSeparator" w:id="0">
    <w:p w14:paraId="651A4A7A" w14:textId="77777777" w:rsidR="008F2645" w:rsidRDefault="008F2645" w:rsidP="005C1BCA">
      <w:pPr>
        <w:spacing w:after="0" w:line="240" w:lineRule="auto"/>
      </w:pPr>
      <w:r>
        <w:continuationSeparator/>
      </w:r>
    </w:p>
  </w:footnote>
  <w:footnote w:id="1">
    <w:p w14:paraId="281F98F1" w14:textId="77777777" w:rsidR="00A83B17" w:rsidRPr="00FE2147" w:rsidRDefault="00A83B17" w:rsidP="00A83B17">
      <w:pPr>
        <w:pStyle w:val="Textonotapie"/>
        <w:ind w:left="0"/>
        <w:jc w:val="both"/>
      </w:pPr>
      <w:r w:rsidRPr="00FE2147">
        <w:rPr>
          <w:rFonts w:ascii="Bookman Old Style" w:hAnsi="Bookman Old Style" w:cs="Arial"/>
          <w:sz w:val="16"/>
          <w:szCs w:val="16"/>
        </w:rPr>
        <w:footnoteRef/>
      </w:r>
      <w:r w:rsidRPr="00FE2147">
        <w:rPr>
          <w:rFonts w:ascii="Bookman Old Style" w:hAnsi="Bookman Old Style" w:cs="Arial"/>
          <w:sz w:val="16"/>
          <w:szCs w:val="16"/>
        </w:rPr>
        <w:t xml:space="preserve"> Por el cual se modifica y se adiciona el Decreto 1081 de 2015, Decreto Único Reglamentario de la Presidencia de la República, en relación con la participación de los ciudadanos o grupos de interesados en la elaboración de proyectos específicos de regulación</w:t>
      </w:r>
      <w:r>
        <w:rPr>
          <w:rFonts w:ascii="Bookman Old Style" w:hAnsi="Bookman Old Style" w:cs="Arial"/>
          <w:sz w:val="16"/>
          <w:szCs w:val="16"/>
        </w:rPr>
        <w:t>.</w:t>
      </w:r>
    </w:p>
  </w:footnote>
  <w:footnote w:id="2">
    <w:p w14:paraId="2728BFDB" w14:textId="77777777" w:rsidR="00553500" w:rsidRPr="00A10F9F" w:rsidRDefault="00553500" w:rsidP="00F15D17">
      <w:pPr>
        <w:pStyle w:val="Textonotapie"/>
        <w:ind w:left="0"/>
        <w:rPr>
          <w:rFonts w:ascii="Bookman Old Style" w:hAnsi="Bookman Old Style" w:cs="Arial"/>
          <w:sz w:val="16"/>
          <w:szCs w:val="16"/>
        </w:rPr>
      </w:pPr>
      <w:r w:rsidRPr="00A10F9F">
        <w:rPr>
          <w:rFonts w:ascii="Bookman Old Style" w:hAnsi="Bookman Old Style" w:cs="Arial"/>
          <w:sz w:val="16"/>
          <w:szCs w:val="16"/>
          <w:vertAlign w:val="superscript"/>
        </w:rPr>
        <w:footnoteRef/>
      </w:r>
      <w:r w:rsidRPr="00A10F9F">
        <w:rPr>
          <w:rFonts w:ascii="Bookman Old Style" w:hAnsi="Bookman Old Style" w:cs="Arial"/>
          <w:sz w:val="16"/>
          <w:szCs w:val="16"/>
          <w:vertAlign w:val="superscript"/>
        </w:rPr>
        <w:t xml:space="preserve"> </w:t>
      </w:r>
      <w:r w:rsidRPr="00A10F9F">
        <w:rPr>
          <w:rFonts w:ascii="Bookman Old Style" w:hAnsi="Bookman Old Style" w:cs="Arial"/>
          <w:sz w:val="16"/>
          <w:szCs w:val="16"/>
        </w:rPr>
        <w:t>Ver entre otras las sentencias de la H. Corte Constitucional C-150 de 2003, C-1162 de 2000, C-186 de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1E55E" w14:textId="77777777" w:rsidR="00553500" w:rsidRDefault="00553500" w:rsidP="001F2B83">
    <w:pPr>
      <w:pStyle w:val="Ttulo1"/>
      <w:ind w:right="6"/>
      <w:jc w:val="left"/>
      <w:rPr>
        <w:rFonts w:ascii="Bookman Old Style" w:hAnsi="Bookman Old Style" w:cs="Arial"/>
        <w:b w:val="0"/>
        <w:sz w:val="22"/>
        <w:szCs w:val="22"/>
      </w:rPr>
    </w:pPr>
  </w:p>
  <w:p w14:paraId="6F3914B2" w14:textId="77777777" w:rsidR="00553500" w:rsidRPr="00951F79" w:rsidRDefault="00553500" w:rsidP="001F2B83">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F31FBA">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F31FBA" w:rsidRPr="00F31FBA">
        <w:rPr>
          <w:rFonts w:ascii="Bookman Old Style" w:hAnsi="Bookman Old Style" w:cs="Arial"/>
          <w:b w:val="0"/>
          <w:noProof/>
          <w:sz w:val="22"/>
          <w:szCs w:val="22"/>
        </w:rPr>
        <w:t>8</w:t>
      </w:r>
    </w:fldSimple>
  </w:p>
  <w:p w14:paraId="7BDBF0CA" w14:textId="77777777" w:rsidR="00553500" w:rsidRDefault="00553500" w:rsidP="001F2B83">
    <w:pPr>
      <w:ind w:left="142" w:right="148"/>
      <w:rPr>
        <w:rFonts w:ascii="Bookman Old Style" w:hAnsi="Bookman Old Style" w:cs="Arial"/>
      </w:rPr>
    </w:pPr>
    <w:r>
      <w:rPr>
        <w:noProof/>
        <w:lang w:eastAsia="es-CO"/>
      </w:rPr>
      <mc:AlternateContent>
        <mc:Choice Requires="wps">
          <w:drawing>
            <wp:anchor distT="0" distB="0" distL="114300" distR="114300" simplePos="0" relativeHeight="251659264" behindDoc="0" locked="0" layoutInCell="1" allowOverlap="1" wp14:anchorId="7E9DC43E" wp14:editId="057E6D1F">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26961"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75BF3A68" w14:textId="77777777" w:rsidR="005700D8" w:rsidRPr="005700D8" w:rsidRDefault="005700D8" w:rsidP="005700D8">
    <w:pPr>
      <w:spacing w:after="0" w:line="240" w:lineRule="auto"/>
      <w:jc w:val="both"/>
      <w:rPr>
        <w:rFonts w:ascii="Bookman Old Style" w:eastAsia="Times New Roman" w:hAnsi="Bookman Old Style" w:cs="Times New Roman"/>
        <w:lang w:val="es-ES" w:eastAsia="es-ES"/>
      </w:rPr>
    </w:pPr>
    <w:r w:rsidRPr="005700D8">
      <w:rPr>
        <w:rFonts w:ascii="Bookman Old Style" w:eastAsia="Times New Roman" w:hAnsi="Bookman Old Style" w:cs="Times New Roman"/>
        <w:lang w:val="es-ES" w:eastAsia="es-ES"/>
      </w:rPr>
      <w:t>Por la cual se ordena hacer público un proyecto de resolución de carácter general, “Por la cual se modifica el artículo 14 de la Resolución CREG 126 de 2010”</w:t>
    </w:r>
  </w:p>
  <w:p w14:paraId="3FB1669A" w14:textId="53797661" w:rsidR="00553500" w:rsidRPr="007F66B9" w:rsidRDefault="00553500" w:rsidP="005700D8">
    <w:pPr>
      <w:pBdr>
        <w:bottom w:val="single" w:sz="4" w:space="1" w:color="auto"/>
      </w:pBdr>
      <w:spacing w:after="0" w:line="240" w:lineRule="auto"/>
      <w:ind w:right="147"/>
      <w:jc w:val="both"/>
      <w:rPr>
        <w:b/>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3C362" w14:textId="77777777" w:rsidR="00553500" w:rsidRDefault="00553500" w:rsidP="001F2B83">
    <w:pPr>
      <w:pStyle w:val="Encabezado"/>
      <w:jc w:val="both"/>
      <w:rPr>
        <w:rFonts w:ascii="Arial" w:hAnsi="Arial" w:cs="Arial"/>
        <w:spacing w:val="20"/>
        <w:sz w:val="20"/>
      </w:rPr>
    </w:pPr>
    <w:r>
      <w:rPr>
        <w:rFonts w:ascii="Arial" w:hAnsi="Arial" w:cs="Arial"/>
        <w:spacing w:val="20"/>
        <w:sz w:val="20"/>
      </w:rPr>
      <w:t xml:space="preserve">                                   República de Colombia</w:t>
    </w:r>
  </w:p>
  <w:p w14:paraId="05CB78DF" w14:textId="77777777" w:rsidR="00553500" w:rsidRDefault="00553500">
    <w:pPr>
      <w:pStyle w:val="Encabezado"/>
      <w:jc w:val="center"/>
      <w:rPr>
        <w:rFonts w:ascii="Arial" w:hAnsi="Arial" w:cs="Arial"/>
        <w:spacing w:val="20"/>
        <w:sz w:val="20"/>
      </w:rPr>
    </w:pPr>
  </w:p>
  <w:p w14:paraId="69E8B68F" w14:textId="77777777" w:rsidR="00553500" w:rsidRDefault="00553500" w:rsidP="001F2B83">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5E2CF5A2" wp14:editId="7DD82A9B">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FE9DC"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0572AE4"/>
    <w:multiLevelType w:val="hybridMultilevel"/>
    <w:tmpl w:val="3C76F17E"/>
    <w:lvl w:ilvl="0" w:tplc="240A000F">
      <w:start w:val="1"/>
      <w:numFmt w:val="decimal"/>
      <w:lvlText w:val="%1."/>
      <w:lvlJc w:val="left"/>
      <w:pPr>
        <w:ind w:left="1345" w:hanging="360"/>
      </w:pPr>
    </w:lvl>
    <w:lvl w:ilvl="1" w:tplc="240A0019" w:tentative="1">
      <w:start w:val="1"/>
      <w:numFmt w:val="lowerLetter"/>
      <w:lvlText w:val="%2."/>
      <w:lvlJc w:val="left"/>
      <w:pPr>
        <w:ind w:left="2065" w:hanging="360"/>
      </w:pPr>
    </w:lvl>
    <w:lvl w:ilvl="2" w:tplc="240A001B" w:tentative="1">
      <w:start w:val="1"/>
      <w:numFmt w:val="lowerRoman"/>
      <w:lvlText w:val="%3."/>
      <w:lvlJc w:val="right"/>
      <w:pPr>
        <w:ind w:left="2785" w:hanging="180"/>
      </w:pPr>
    </w:lvl>
    <w:lvl w:ilvl="3" w:tplc="240A000F" w:tentative="1">
      <w:start w:val="1"/>
      <w:numFmt w:val="decimal"/>
      <w:lvlText w:val="%4."/>
      <w:lvlJc w:val="left"/>
      <w:pPr>
        <w:ind w:left="3505" w:hanging="360"/>
      </w:pPr>
    </w:lvl>
    <w:lvl w:ilvl="4" w:tplc="240A0019" w:tentative="1">
      <w:start w:val="1"/>
      <w:numFmt w:val="lowerLetter"/>
      <w:lvlText w:val="%5."/>
      <w:lvlJc w:val="left"/>
      <w:pPr>
        <w:ind w:left="4225" w:hanging="360"/>
      </w:pPr>
    </w:lvl>
    <w:lvl w:ilvl="5" w:tplc="240A001B" w:tentative="1">
      <w:start w:val="1"/>
      <w:numFmt w:val="lowerRoman"/>
      <w:lvlText w:val="%6."/>
      <w:lvlJc w:val="right"/>
      <w:pPr>
        <w:ind w:left="4945" w:hanging="180"/>
      </w:pPr>
    </w:lvl>
    <w:lvl w:ilvl="6" w:tplc="240A000F" w:tentative="1">
      <w:start w:val="1"/>
      <w:numFmt w:val="decimal"/>
      <w:lvlText w:val="%7."/>
      <w:lvlJc w:val="left"/>
      <w:pPr>
        <w:ind w:left="5665" w:hanging="360"/>
      </w:pPr>
    </w:lvl>
    <w:lvl w:ilvl="7" w:tplc="240A0019" w:tentative="1">
      <w:start w:val="1"/>
      <w:numFmt w:val="lowerLetter"/>
      <w:lvlText w:val="%8."/>
      <w:lvlJc w:val="left"/>
      <w:pPr>
        <w:ind w:left="6385" w:hanging="360"/>
      </w:pPr>
    </w:lvl>
    <w:lvl w:ilvl="8" w:tplc="240A001B" w:tentative="1">
      <w:start w:val="1"/>
      <w:numFmt w:val="lowerRoman"/>
      <w:lvlText w:val="%9."/>
      <w:lvlJc w:val="right"/>
      <w:pPr>
        <w:ind w:left="7105" w:hanging="180"/>
      </w:pPr>
    </w:lvl>
  </w:abstractNum>
  <w:abstractNum w:abstractNumId="3" w15:restartNumberingAfterBreak="0">
    <w:nsid w:val="20F51A53"/>
    <w:multiLevelType w:val="hybridMultilevel"/>
    <w:tmpl w:val="3C76F17E"/>
    <w:lvl w:ilvl="0" w:tplc="240A000F">
      <w:start w:val="1"/>
      <w:numFmt w:val="decimal"/>
      <w:lvlText w:val="%1."/>
      <w:lvlJc w:val="left"/>
      <w:pPr>
        <w:ind w:left="1345" w:hanging="360"/>
      </w:pPr>
    </w:lvl>
    <w:lvl w:ilvl="1" w:tplc="240A0019" w:tentative="1">
      <w:start w:val="1"/>
      <w:numFmt w:val="lowerLetter"/>
      <w:lvlText w:val="%2."/>
      <w:lvlJc w:val="left"/>
      <w:pPr>
        <w:ind w:left="2065" w:hanging="360"/>
      </w:pPr>
    </w:lvl>
    <w:lvl w:ilvl="2" w:tplc="240A001B" w:tentative="1">
      <w:start w:val="1"/>
      <w:numFmt w:val="lowerRoman"/>
      <w:lvlText w:val="%3."/>
      <w:lvlJc w:val="right"/>
      <w:pPr>
        <w:ind w:left="2785" w:hanging="180"/>
      </w:pPr>
    </w:lvl>
    <w:lvl w:ilvl="3" w:tplc="240A000F" w:tentative="1">
      <w:start w:val="1"/>
      <w:numFmt w:val="decimal"/>
      <w:lvlText w:val="%4."/>
      <w:lvlJc w:val="left"/>
      <w:pPr>
        <w:ind w:left="3505" w:hanging="360"/>
      </w:pPr>
    </w:lvl>
    <w:lvl w:ilvl="4" w:tplc="240A0019">
      <w:start w:val="1"/>
      <w:numFmt w:val="lowerLetter"/>
      <w:lvlText w:val="%5."/>
      <w:lvlJc w:val="left"/>
      <w:pPr>
        <w:ind w:left="4225" w:hanging="360"/>
      </w:pPr>
    </w:lvl>
    <w:lvl w:ilvl="5" w:tplc="240A001B" w:tentative="1">
      <w:start w:val="1"/>
      <w:numFmt w:val="lowerRoman"/>
      <w:lvlText w:val="%6."/>
      <w:lvlJc w:val="right"/>
      <w:pPr>
        <w:ind w:left="4945" w:hanging="180"/>
      </w:pPr>
    </w:lvl>
    <w:lvl w:ilvl="6" w:tplc="240A000F" w:tentative="1">
      <w:start w:val="1"/>
      <w:numFmt w:val="decimal"/>
      <w:lvlText w:val="%7."/>
      <w:lvlJc w:val="left"/>
      <w:pPr>
        <w:ind w:left="5665" w:hanging="360"/>
      </w:pPr>
    </w:lvl>
    <w:lvl w:ilvl="7" w:tplc="240A0019" w:tentative="1">
      <w:start w:val="1"/>
      <w:numFmt w:val="lowerLetter"/>
      <w:lvlText w:val="%8."/>
      <w:lvlJc w:val="left"/>
      <w:pPr>
        <w:ind w:left="6385" w:hanging="360"/>
      </w:pPr>
    </w:lvl>
    <w:lvl w:ilvl="8" w:tplc="240A001B" w:tentative="1">
      <w:start w:val="1"/>
      <w:numFmt w:val="lowerRoman"/>
      <w:lvlText w:val="%9."/>
      <w:lvlJc w:val="right"/>
      <w:pPr>
        <w:ind w:left="7105" w:hanging="180"/>
      </w:pPr>
    </w:lvl>
  </w:abstractNum>
  <w:abstractNum w:abstractNumId="4" w15:restartNumberingAfterBreak="0">
    <w:nsid w:val="5DA0072C"/>
    <w:multiLevelType w:val="hybridMultilevel"/>
    <w:tmpl w:val="7CE245F2"/>
    <w:lvl w:ilvl="0" w:tplc="9EB063EA">
      <w:start w:val="1"/>
      <w:numFmt w:val="lowerRoman"/>
      <w:lvlText w:val="%1."/>
      <w:lvlJc w:val="left"/>
      <w:pPr>
        <w:ind w:left="1287"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5" w15:restartNumberingAfterBreak="0">
    <w:nsid w:val="631B5131"/>
    <w:multiLevelType w:val="hybridMultilevel"/>
    <w:tmpl w:val="2258D084"/>
    <w:lvl w:ilvl="0" w:tplc="240A0017">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6" w15:restartNumberingAfterBreak="0">
    <w:nsid w:val="73432BD8"/>
    <w:multiLevelType w:val="hybridMultilevel"/>
    <w:tmpl w:val="1F3E190C"/>
    <w:lvl w:ilvl="0" w:tplc="68D4F308">
      <w:start w:val="1"/>
      <w:numFmt w:val="decimal"/>
      <w:pStyle w:val="ARTICULOS"/>
      <w:lvlText w:val="Artículo %1."/>
      <w:lvlJc w:val="left"/>
      <w:pPr>
        <w:ind w:left="4046"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num w:numId="1">
    <w:abstractNumId w:val="1"/>
  </w:num>
  <w:num w:numId="2">
    <w:abstractNumId w:val="6"/>
  </w:num>
  <w:num w:numId="3">
    <w:abstractNumId w:val="5"/>
  </w:num>
  <w:num w:numId="4">
    <w:abstractNumId w:val="3"/>
  </w:num>
  <w:num w:numId="5">
    <w:abstractNumId w:val="4"/>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BCA"/>
    <w:rsid w:val="000065E9"/>
    <w:rsid w:val="000068F0"/>
    <w:rsid w:val="0001493D"/>
    <w:rsid w:val="00020A6C"/>
    <w:rsid w:val="00027C95"/>
    <w:rsid w:val="0003079D"/>
    <w:rsid w:val="00034DF4"/>
    <w:rsid w:val="00037534"/>
    <w:rsid w:val="0004585E"/>
    <w:rsid w:val="00051E42"/>
    <w:rsid w:val="00063E9D"/>
    <w:rsid w:val="00074962"/>
    <w:rsid w:val="0007645D"/>
    <w:rsid w:val="000768E2"/>
    <w:rsid w:val="0008222F"/>
    <w:rsid w:val="00096487"/>
    <w:rsid w:val="000A5D06"/>
    <w:rsid w:val="000C0867"/>
    <w:rsid w:val="000D4D20"/>
    <w:rsid w:val="000E43B1"/>
    <w:rsid w:val="000F5960"/>
    <w:rsid w:val="001079AA"/>
    <w:rsid w:val="001164AC"/>
    <w:rsid w:val="00140F9E"/>
    <w:rsid w:val="001544B0"/>
    <w:rsid w:val="00161159"/>
    <w:rsid w:val="00167E49"/>
    <w:rsid w:val="00177BFE"/>
    <w:rsid w:val="00191AE9"/>
    <w:rsid w:val="001A1203"/>
    <w:rsid w:val="001A37DF"/>
    <w:rsid w:val="001A4A22"/>
    <w:rsid w:val="001B0BF6"/>
    <w:rsid w:val="001B534B"/>
    <w:rsid w:val="001C513B"/>
    <w:rsid w:val="001D5B0D"/>
    <w:rsid w:val="001E19DA"/>
    <w:rsid w:val="001E5EF3"/>
    <w:rsid w:val="001F1945"/>
    <w:rsid w:val="001F2B83"/>
    <w:rsid w:val="0020666C"/>
    <w:rsid w:val="002071F1"/>
    <w:rsid w:val="00222C24"/>
    <w:rsid w:val="002360EA"/>
    <w:rsid w:val="002371B7"/>
    <w:rsid w:val="00246BDD"/>
    <w:rsid w:val="00250C34"/>
    <w:rsid w:val="0025381F"/>
    <w:rsid w:val="002C1D84"/>
    <w:rsid w:val="002C2F59"/>
    <w:rsid w:val="002C38BA"/>
    <w:rsid w:val="002E47EE"/>
    <w:rsid w:val="0031795E"/>
    <w:rsid w:val="00322645"/>
    <w:rsid w:val="00330B53"/>
    <w:rsid w:val="00331103"/>
    <w:rsid w:val="00331F35"/>
    <w:rsid w:val="003347B1"/>
    <w:rsid w:val="0034389C"/>
    <w:rsid w:val="00351A5E"/>
    <w:rsid w:val="003613EA"/>
    <w:rsid w:val="003655CF"/>
    <w:rsid w:val="0039378C"/>
    <w:rsid w:val="003938BC"/>
    <w:rsid w:val="003965CF"/>
    <w:rsid w:val="003B50DF"/>
    <w:rsid w:val="003B7D5A"/>
    <w:rsid w:val="003C1360"/>
    <w:rsid w:val="00403E9A"/>
    <w:rsid w:val="00445CF1"/>
    <w:rsid w:val="00451FF9"/>
    <w:rsid w:val="004570FE"/>
    <w:rsid w:val="00467145"/>
    <w:rsid w:val="00486620"/>
    <w:rsid w:val="004966B0"/>
    <w:rsid w:val="004A7835"/>
    <w:rsid w:val="004B1817"/>
    <w:rsid w:val="004B65F7"/>
    <w:rsid w:val="004C299E"/>
    <w:rsid w:val="004F0CD7"/>
    <w:rsid w:val="004F21D4"/>
    <w:rsid w:val="00507259"/>
    <w:rsid w:val="00516A8F"/>
    <w:rsid w:val="00547070"/>
    <w:rsid w:val="00553500"/>
    <w:rsid w:val="00560437"/>
    <w:rsid w:val="005608AD"/>
    <w:rsid w:val="0056639C"/>
    <w:rsid w:val="005700D8"/>
    <w:rsid w:val="00590C88"/>
    <w:rsid w:val="0059208B"/>
    <w:rsid w:val="005A318F"/>
    <w:rsid w:val="005B7051"/>
    <w:rsid w:val="005C1BCA"/>
    <w:rsid w:val="005D15C1"/>
    <w:rsid w:val="005E6508"/>
    <w:rsid w:val="005F1989"/>
    <w:rsid w:val="00607BBA"/>
    <w:rsid w:val="00620E2D"/>
    <w:rsid w:val="006441EA"/>
    <w:rsid w:val="0065201F"/>
    <w:rsid w:val="00660B46"/>
    <w:rsid w:val="00663DED"/>
    <w:rsid w:val="006673C7"/>
    <w:rsid w:val="00677ABF"/>
    <w:rsid w:val="006948D9"/>
    <w:rsid w:val="006A23B5"/>
    <w:rsid w:val="006A7B7C"/>
    <w:rsid w:val="006B429D"/>
    <w:rsid w:val="006B68C9"/>
    <w:rsid w:val="006D1C2F"/>
    <w:rsid w:val="006E4CFF"/>
    <w:rsid w:val="00701265"/>
    <w:rsid w:val="00735D6F"/>
    <w:rsid w:val="00743CA9"/>
    <w:rsid w:val="00761133"/>
    <w:rsid w:val="00766151"/>
    <w:rsid w:val="007662A6"/>
    <w:rsid w:val="0078006D"/>
    <w:rsid w:val="007860F7"/>
    <w:rsid w:val="007917F3"/>
    <w:rsid w:val="007A14A7"/>
    <w:rsid w:val="007A504F"/>
    <w:rsid w:val="007B33D4"/>
    <w:rsid w:val="007B4C7A"/>
    <w:rsid w:val="007B6F8C"/>
    <w:rsid w:val="007D4A88"/>
    <w:rsid w:val="007F66B9"/>
    <w:rsid w:val="00812471"/>
    <w:rsid w:val="008128DA"/>
    <w:rsid w:val="008347D1"/>
    <w:rsid w:val="00837C9E"/>
    <w:rsid w:val="00844EAB"/>
    <w:rsid w:val="00846CC8"/>
    <w:rsid w:val="0087723A"/>
    <w:rsid w:val="008932C5"/>
    <w:rsid w:val="0089470C"/>
    <w:rsid w:val="0089512B"/>
    <w:rsid w:val="008F2645"/>
    <w:rsid w:val="008F7650"/>
    <w:rsid w:val="00901408"/>
    <w:rsid w:val="0092233F"/>
    <w:rsid w:val="00935E73"/>
    <w:rsid w:val="00940283"/>
    <w:rsid w:val="0095071D"/>
    <w:rsid w:val="009514A4"/>
    <w:rsid w:val="009532D8"/>
    <w:rsid w:val="0095401F"/>
    <w:rsid w:val="00961901"/>
    <w:rsid w:val="009625E3"/>
    <w:rsid w:val="00962A90"/>
    <w:rsid w:val="0097340A"/>
    <w:rsid w:val="009802B3"/>
    <w:rsid w:val="00984696"/>
    <w:rsid w:val="009871E2"/>
    <w:rsid w:val="009A682D"/>
    <w:rsid w:val="009B05E8"/>
    <w:rsid w:val="009D134C"/>
    <w:rsid w:val="009D1F81"/>
    <w:rsid w:val="009D4C4F"/>
    <w:rsid w:val="009E2BA7"/>
    <w:rsid w:val="009E3E43"/>
    <w:rsid w:val="00A173A0"/>
    <w:rsid w:val="00A35B73"/>
    <w:rsid w:val="00A371B3"/>
    <w:rsid w:val="00A432B6"/>
    <w:rsid w:val="00A446AE"/>
    <w:rsid w:val="00A44FAD"/>
    <w:rsid w:val="00A55137"/>
    <w:rsid w:val="00A6381B"/>
    <w:rsid w:val="00A81178"/>
    <w:rsid w:val="00A83B17"/>
    <w:rsid w:val="00A85051"/>
    <w:rsid w:val="00AC44B0"/>
    <w:rsid w:val="00AC468A"/>
    <w:rsid w:val="00AC558F"/>
    <w:rsid w:val="00AC7523"/>
    <w:rsid w:val="00AD168D"/>
    <w:rsid w:val="00AE5D16"/>
    <w:rsid w:val="00AF279C"/>
    <w:rsid w:val="00B044D6"/>
    <w:rsid w:val="00B05FD2"/>
    <w:rsid w:val="00B07259"/>
    <w:rsid w:val="00B17697"/>
    <w:rsid w:val="00B41741"/>
    <w:rsid w:val="00B5071D"/>
    <w:rsid w:val="00B87342"/>
    <w:rsid w:val="00B90AB3"/>
    <w:rsid w:val="00B942E9"/>
    <w:rsid w:val="00B951C4"/>
    <w:rsid w:val="00BB045C"/>
    <w:rsid w:val="00BB0B01"/>
    <w:rsid w:val="00BC5226"/>
    <w:rsid w:val="00BC74BC"/>
    <w:rsid w:val="00BE74D4"/>
    <w:rsid w:val="00C139AB"/>
    <w:rsid w:val="00C149F3"/>
    <w:rsid w:val="00C31FCA"/>
    <w:rsid w:val="00C345DC"/>
    <w:rsid w:val="00C54EB1"/>
    <w:rsid w:val="00C62A15"/>
    <w:rsid w:val="00C96BB0"/>
    <w:rsid w:val="00CA4C24"/>
    <w:rsid w:val="00CC5416"/>
    <w:rsid w:val="00CC5F76"/>
    <w:rsid w:val="00CC60A6"/>
    <w:rsid w:val="00CD60B6"/>
    <w:rsid w:val="00CD6EF8"/>
    <w:rsid w:val="00CD74B5"/>
    <w:rsid w:val="00CF4873"/>
    <w:rsid w:val="00CF5BA8"/>
    <w:rsid w:val="00D21660"/>
    <w:rsid w:val="00D705A0"/>
    <w:rsid w:val="00D7068D"/>
    <w:rsid w:val="00D93FE3"/>
    <w:rsid w:val="00DA08F9"/>
    <w:rsid w:val="00DB573A"/>
    <w:rsid w:val="00DC6CD0"/>
    <w:rsid w:val="00DC7728"/>
    <w:rsid w:val="00DE5DBA"/>
    <w:rsid w:val="00DE6614"/>
    <w:rsid w:val="00E12213"/>
    <w:rsid w:val="00E132CB"/>
    <w:rsid w:val="00E16F57"/>
    <w:rsid w:val="00E368AA"/>
    <w:rsid w:val="00E411EE"/>
    <w:rsid w:val="00E56721"/>
    <w:rsid w:val="00E774ED"/>
    <w:rsid w:val="00E83333"/>
    <w:rsid w:val="00EA0A53"/>
    <w:rsid w:val="00EB023A"/>
    <w:rsid w:val="00EB1577"/>
    <w:rsid w:val="00EB559D"/>
    <w:rsid w:val="00EB7261"/>
    <w:rsid w:val="00EC705E"/>
    <w:rsid w:val="00F064F7"/>
    <w:rsid w:val="00F15D17"/>
    <w:rsid w:val="00F31FBA"/>
    <w:rsid w:val="00F35701"/>
    <w:rsid w:val="00F43DB0"/>
    <w:rsid w:val="00F4478E"/>
    <w:rsid w:val="00F62FAE"/>
    <w:rsid w:val="00F654EA"/>
    <w:rsid w:val="00F662D1"/>
    <w:rsid w:val="00F74DD6"/>
    <w:rsid w:val="00F770EE"/>
    <w:rsid w:val="00F84E2E"/>
    <w:rsid w:val="00F914EB"/>
    <w:rsid w:val="00FA71BF"/>
    <w:rsid w:val="00FB2452"/>
    <w:rsid w:val="00FB2E5A"/>
    <w:rsid w:val="00FB4BC2"/>
    <w:rsid w:val="00FE2147"/>
    <w:rsid w:val="00FE517B"/>
    <w:rsid w:val="00FF41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3AC63A"/>
  <w15:docId w15:val="{17FB2662-129A-4139-BF34-40D04B345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C1BCA"/>
    <w:pPr>
      <w:keepNext/>
      <w:spacing w:after="0" w:line="240" w:lineRule="auto"/>
      <w:ind w:left="567"/>
      <w:jc w:val="center"/>
      <w:outlineLvl w:val="0"/>
    </w:pPr>
    <w:rPr>
      <w:rFonts w:ascii="CG Times" w:eastAsia="Times New Roman" w:hAnsi="CG Times" w:cs="Times New Roman"/>
      <w:b/>
      <w:sz w:val="24"/>
      <w:szCs w:val="20"/>
      <w:lang w:eastAsia="es-ES"/>
    </w:rPr>
  </w:style>
  <w:style w:type="paragraph" w:styleId="Ttulo2">
    <w:name w:val="heading 2"/>
    <w:basedOn w:val="Normal"/>
    <w:next w:val="Normal"/>
    <w:link w:val="Ttulo2Car"/>
    <w:uiPriority w:val="9"/>
    <w:semiHidden/>
    <w:unhideWhenUsed/>
    <w:qFormat/>
    <w:rsid w:val="007917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C1BCA"/>
    <w:pPr>
      <w:keepNext/>
      <w:spacing w:after="0" w:line="240" w:lineRule="auto"/>
      <w:ind w:left="567"/>
      <w:jc w:val="center"/>
      <w:outlineLvl w:val="2"/>
    </w:pPr>
    <w:rPr>
      <w:rFonts w:ascii="CG Times" w:eastAsia="Times New Roman" w:hAnsi="CG Times" w:cs="Times New Roman"/>
      <w:b/>
      <w:snapToGrid w:val="0"/>
      <w:color w:val="000000"/>
      <w:sz w:val="24"/>
      <w:szCs w:val="20"/>
      <w:lang w:val="es-ES_tradnl" w:eastAsia="es-ES"/>
    </w:rPr>
  </w:style>
  <w:style w:type="paragraph" w:styleId="Ttulo4">
    <w:name w:val="heading 4"/>
    <w:basedOn w:val="Normal"/>
    <w:next w:val="Normal"/>
    <w:link w:val="Ttulo4Car"/>
    <w:qFormat/>
    <w:rsid w:val="005C1BCA"/>
    <w:pPr>
      <w:keepNext/>
      <w:spacing w:after="0" w:line="240" w:lineRule="auto"/>
      <w:ind w:left="567"/>
      <w:jc w:val="center"/>
      <w:outlineLvl w:val="3"/>
    </w:pPr>
    <w:rPr>
      <w:rFonts w:ascii="Arial" w:eastAsia="Times New Roman"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5C1BCA"/>
    <w:pPr>
      <w:keepNext/>
      <w:spacing w:after="0" w:line="240" w:lineRule="auto"/>
      <w:ind w:left="567"/>
      <w:jc w:val="center"/>
      <w:outlineLvl w:val="4"/>
    </w:pPr>
    <w:rPr>
      <w:rFonts w:ascii="Arial" w:eastAsia="Times New Roman"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5C1BCA"/>
    <w:pPr>
      <w:spacing w:before="240" w:after="60" w:line="240" w:lineRule="auto"/>
      <w:ind w:left="567"/>
      <w:outlineLvl w:val="5"/>
    </w:pPr>
    <w:rPr>
      <w:rFonts w:ascii="Calibri" w:eastAsia="Times New Roman" w:hAnsi="Calibri" w:cs="Times New Roman"/>
      <w:b/>
      <w:bCs/>
      <w:lang w:val="es-ES" w:eastAsia="es-ES"/>
    </w:rPr>
  </w:style>
  <w:style w:type="paragraph" w:styleId="Ttulo7">
    <w:name w:val="heading 7"/>
    <w:basedOn w:val="Normal"/>
    <w:next w:val="Normal"/>
    <w:link w:val="Ttulo7Car"/>
    <w:uiPriority w:val="9"/>
    <w:semiHidden/>
    <w:unhideWhenUsed/>
    <w:qFormat/>
    <w:rsid w:val="005C1BCA"/>
    <w:pPr>
      <w:spacing w:before="240" w:after="60" w:line="240" w:lineRule="auto"/>
      <w:ind w:left="567"/>
      <w:outlineLvl w:val="6"/>
    </w:pPr>
    <w:rPr>
      <w:rFonts w:ascii="Calibri" w:eastAsia="Times New Roman" w:hAnsi="Calibri"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5C1BCA"/>
    <w:pPr>
      <w:ind w:left="720"/>
      <w:contextualSpacing/>
    </w:pPr>
  </w:style>
  <w:style w:type="character" w:customStyle="1" w:styleId="Ttulo1Car">
    <w:name w:val="Título 1 Car"/>
    <w:basedOn w:val="Fuentedeprrafopredeter"/>
    <w:link w:val="Ttulo1"/>
    <w:rsid w:val="005C1BCA"/>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5C1BCA"/>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5C1BCA"/>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5C1BCA"/>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5C1BCA"/>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semiHidden/>
    <w:rsid w:val="005C1BCA"/>
    <w:rPr>
      <w:rFonts w:ascii="Calibri" w:eastAsia="Times New Roman" w:hAnsi="Calibri" w:cs="Times New Roman"/>
      <w:sz w:val="24"/>
      <w:szCs w:val="24"/>
      <w:lang w:val="es-ES" w:eastAsia="es-ES"/>
    </w:rPr>
  </w:style>
  <w:style w:type="numbering" w:customStyle="1" w:styleId="Sinlista1">
    <w:name w:val="Sin lista1"/>
    <w:next w:val="Sinlista"/>
    <w:uiPriority w:val="99"/>
    <w:semiHidden/>
    <w:unhideWhenUsed/>
    <w:rsid w:val="005C1BCA"/>
  </w:style>
  <w:style w:type="paragraph" w:styleId="Encabezado">
    <w:name w:val="header"/>
    <w:basedOn w:val="Normal"/>
    <w:link w:val="EncabezadoCar"/>
    <w:rsid w:val="005C1BCA"/>
    <w:pPr>
      <w:tabs>
        <w:tab w:val="center" w:pos="4252"/>
        <w:tab w:val="right" w:pos="8504"/>
      </w:tabs>
      <w:spacing w:after="0" w:line="240" w:lineRule="auto"/>
      <w:ind w:left="567"/>
    </w:pPr>
    <w:rPr>
      <w:rFonts w:ascii="CG Times" w:eastAsia="Times New Roman" w:hAnsi="CG Times" w:cs="Times New Roman"/>
      <w:sz w:val="24"/>
      <w:szCs w:val="20"/>
      <w:lang w:eastAsia="es-ES"/>
    </w:rPr>
  </w:style>
  <w:style w:type="character" w:customStyle="1" w:styleId="EncabezadoCar">
    <w:name w:val="Encabezado Car"/>
    <w:basedOn w:val="Fuentedeprrafopredeter"/>
    <w:link w:val="Encabezado"/>
    <w:rsid w:val="005C1BCA"/>
    <w:rPr>
      <w:rFonts w:ascii="CG Times" w:eastAsia="Times New Roman" w:hAnsi="CG Times" w:cs="Times New Roman"/>
      <w:sz w:val="24"/>
      <w:szCs w:val="20"/>
      <w:lang w:eastAsia="es-ES"/>
    </w:rPr>
  </w:style>
  <w:style w:type="paragraph" w:styleId="Piedepgina">
    <w:name w:val="footer"/>
    <w:basedOn w:val="Normal"/>
    <w:link w:val="PiedepginaCar"/>
    <w:semiHidden/>
    <w:rsid w:val="005C1BCA"/>
    <w:pPr>
      <w:tabs>
        <w:tab w:val="center" w:pos="4252"/>
        <w:tab w:val="right" w:pos="8504"/>
      </w:tabs>
      <w:spacing w:after="0" w:line="240" w:lineRule="auto"/>
      <w:ind w:left="567"/>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semiHidden/>
    <w:rsid w:val="005C1BCA"/>
    <w:rPr>
      <w:rFonts w:ascii="Times New Roman" w:eastAsia="Times New Roman" w:hAnsi="Times New Roman" w:cs="Times New Roman"/>
      <w:sz w:val="24"/>
      <w:szCs w:val="24"/>
      <w:lang w:val="es-ES" w:eastAsia="es-ES"/>
    </w:rPr>
  </w:style>
  <w:style w:type="paragraph" w:customStyle="1" w:styleId="Estilo1">
    <w:name w:val="Estilo1"/>
    <w:basedOn w:val="Normal"/>
    <w:rsid w:val="005C1BCA"/>
    <w:pPr>
      <w:shd w:val="clear" w:color="auto" w:fill="C0C0C0"/>
      <w:spacing w:after="0" w:line="240" w:lineRule="auto"/>
      <w:ind w:left="567"/>
      <w:jc w:val="center"/>
    </w:pPr>
    <w:rPr>
      <w:rFonts w:ascii="Comic Sans MS" w:eastAsia="Times New Roman" w:hAnsi="Comic Sans MS" w:cs="Times New Roman"/>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5C1BCA"/>
  </w:style>
  <w:style w:type="paragraph" w:styleId="Textoindependiente">
    <w:name w:val="Body Text"/>
    <w:basedOn w:val="Normal"/>
    <w:link w:val="TextoindependienteCar"/>
    <w:semiHidden/>
    <w:rsid w:val="005C1BCA"/>
    <w:pPr>
      <w:spacing w:after="0" w:line="240" w:lineRule="auto"/>
      <w:ind w:left="567"/>
      <w:jc w:val="center"/>
    </w:pPr>
    <w:rPr>
      <w:rFonts w:ascii="Arial" w:eastAsia="Times New Roman" w:hAnsi="Arial" w:cs="Arial"/>
      <w:b/>
      <w:bCs/>
      <w:sz w:val="24"/>
      <w:szCs w:val="24"/>
      <w:lang w:val="es-ES" w:eastAsia="es-ES"/>
    </w:rPr>
  </w:style>
  <w:style w:type="character" w:customStyle="1" w:styleId="TextoindependienteCar">
    <w:name w:val="Texto independiente Car"/>
    <w:basedOn w:val="Fuentedeprrafopredeter"/>
    <w:link w:val="Textoindependiente"/>
    <w:semiHidden/>
    <w:rsid w:val="005C1BCA"/>
    <w:rPr>
      <w:rFonts w:ascii="Arial" w:eastAsia="Times New Roman" w:hAnsi="Arial" w:cs="Arial"/>
      <w:b/>
      <w:bCs/>
      <w:sz w:val="24"/>
      <w:szCs w:val="24"/>
      <w:lang w:val="es-ES" w:eastAsia="es-ES"/>
    </w:rPr>
  </w:style>
  <w:style w:type="paragraph" w:styleId="Textoindependiente3">
    <w:name w:val="Body Text 3"/>
    <w:basedOn w:val="Normal"/>
    <w:link w:val="Textoindependiente3Car"/>
    <w:semiHidden/>
    <w:rsid w:val="005C1BCA"/>
    <w:pPr>
      <w:spacing w:after="0" w:line="240" w:lineRule="auto"/>
      <w:ind w:left="567"/>
      <w:jc w:val="center"/>
      <w:outlineLvl w:val="0"/>
    </w:pPr>
    <w:rPr>
      <w:rFonts w:ascii="Arial" w:eastAsia="Times New Roman" w:hAnsi="Arial" w:cs="Arial"/>
      <w:b/>
      <w:bCs/>
      <w:spacing w:val="-3"/>
      <w:sz w:val="24"/>
      <w:szCs w:val="24"/>
      <w:lang w:val="es-ES" w:eastAsia="es-ES"/>
    </w:rPr>
  </w:style>
  <w:style w:type="character" w:customStyle="1" w:styleId="Textoindependiente3Car">
    <w:name w:val="Texto independiente 3 Car"/>
    <w:basedOn w:val="Fuentedeprrafopredeter"/>
    <w:link w:val="Textoindependiente3"/>
    <w:semiHidden/>
    <w:rsid w:val="005C1BCA"/>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semiHidden/>
    <w:unhideWhenUsed/>
    <w:rsid w:val="005C1BCA"/>
    <w:pPr>
      <w:spacing w:after="0" w:line="240" w:lineRule="auto"/>
      <w:ind w:left="567"/>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5C1BCA"/>
    <w:rPr>
      <w:rFonts w:ascii="Tahoma" w:eastAsia="Times New Roman" w:hAnsi="Tahoma" w:cs="Tahoma"/>
      <w:sz w:val="16"/>
      <w:szCs w:val="16"/>
      <w:lang w:val="es-ES" w:eastAsia="es-ES"/>
    </w:rPr>
  </w:style>
  <w:style w:type="table" w:styleId="Tablaconcuadrcula">
    <w:name w:val="Table Grid"/>
    <w:basedOn w:val="Tablanormal"/>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esto">
    <w:name w:val="Title"/>
    <w:basedOn w:val="Normal"/>
    <w:link w:val="PuestoCar"/>
    <w:qFormat/>
    <w:rsid w:val="005C1BCA"/>
    <w:pPr>
      <w:widowControl w:val="0"/>
      <w:adjustRightInd w:val="0"/>
      <w:spacing w:after="0" w:line="360" w:lineRule="atLeast"/>
      <w:ind w:left="567"/>
      <w:jc w:val="center"/>
      <w:textAlignment w:val="baseline"/>
    </w:pPr>
    <w:rPr>
      <w:rFonts w:ascii="Arial" w:eastAsia="Times New Roman" w:hAnsi="Arial" w:cs="Arial"/>
      <w:b/>
      <w:bCs/>
      <w:sz w:val="24"/>
      <w:szCs w:val="24"/>
      <w:lang w:val="es-ES" w:eastAsia="es-ES"/>
    </w:rPr>
  </w:style>
  <w:style w:type="character" w:customStyle="1" w:styleId="PuestoCar">
    <w:name w:val="Puesto Car"/>
    <w:basedOn w:val="Fuentedeprrafopredeter"/>
    <w:link w:val="Puesto"/>
    <w:rsid w:val="005C1BCA"/>
    <w:rPr>
      <w:rFonts w:ascii="Arial" w:eastAsia="Times New Roman" w:hAnsi="Arial" w:cs="Arial"/>
      <w:b/>
      <w:bCs/>
      <w:sz w:val="24"/>
      <w:szCs w:val="24"/>
      <w:lang w:val="es-ES" w:eastAsia="es-ES"/>
    </w:rPr>
  </w:style>
  <w:style w:type="character" w:customStyle="1" w:styleId="PrrafodelistaCar">
    <w:name w:val="Párrafo de lista Car"/>
    <w:link w:val="Prrafodelista"/>
    <w:uiPriority w:val="34"/>
    <w:rsid w:val="005C1BCA"/>
  </w:style>
  <w:style w:type="paragraph" w:styleId="TDC1">
    <w:name w:val="toc 1"/>
    <w:basedOn w:val="Normal"/>
    <w:next w:val="Normal"/>
    <w:autoRedefine/>
    <w:semiHidden/>
    <w:rsid w:val="005C1BCA"/>
    <w:pPr>
      <w:tabs>
        <w:tab w:val="left" w:pos="480"/>
        <w:tab w:val="right" w:leader="dot" w:pos="8828"/>
      </w:tabs>
      <w:spacing w:before="120" w:after="0" w:line="240" w:lineRule="auto"/>
      <w:ind w:left="567"/>
      <w:jc w:val="both"/>
    </w:pPr>
    <w:rPr>
      <w:rFonts w:ascii="Arial" w:eastAsia="Times New Roman" w:hAnsi="Arial" w:cs="Times New Roman"/>
      <w:noProof/>
      <w:sz w:val="24"/>
      <w:szCs w:val="24"/>
      <w:lang w:val="es-ES" w:eastAsia="es-ES"/>
    </w:rPr>
  </w:style>
  <w:style w:type="paragraph" w:styleId="Textodebloque">
    <w:name w:val="Block Text"/>
    <w:basedOn w:val="Normal"/>
    <w:rsid w:val="005C1BCA"/>
    <w:pPr>
      <w:suppressAutoHyphens/>
      <w:spacing w:after="240" w:line="240" w:lineRule="auto"/>
      <w:ind w:left="567" w:right="788"/>
      <w:jc w:val="both"/>
    </w:pPr>
    <w:rPr>
      <w:rFonts w:ascii="Arial" w:eastAsia="Times New Roman" w:hAnsi="Arial" w:cs="Times New Roman"/>
      <w:spacing w:val="-3"/>
      <w:sz w:val="24"/>
      <w:szCs w:val="20"/>
      <w:lang w:val="es-ES_tradnl" w:eastAsia="es-ES"/>
    </w:rPr>
  </w:style>
  <w:style w:type="paragraph" w:styleId="Textoindependiente2">
    <w:name w:val="Body Text 2"/>
    <w:basedOn w:val="Normal"/>
    <w:link w:val="Textoindependiente2Car"/>
    <w:uiPriority w:val="99"/>
    <w:semiHidden/>
    <w:unhideWhenUsed/>
    <w:rsid w:val="005C1BCA"/>
    <w:pPr>
      <w:spacing w:after="120" w:line="480" w:lineRule="auto"/>
      <w:ind w:left="567"/>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semiHidden/>
    <w:rsid w:val="005C1BCA"/>
    <w:rPr>
      <w:rFonts w:ascii="Times New Roman" w:eastAsia="Times New Roman" w:hAnsi="Times New Roman" w:cs="Times New Roman"/>
      <w:sz w:val="24"/>
      <w:szCs w:val="24"/>
      <w:lang w:val="es-ES" w:eastAsia="es-ES"/>
    </w:rPr>
  </w:style>
  <w:style w:type="paragraph" w:styleId="Descripcin">
    <w:name w:val="caption"/>
    <w:basedOn w:val="Normal"/>
    <w:next w:val="Normal"/>
    <w:uiPriority w:val="35"/>
    <w:qFormat/>
    <w:rsid w:val="005C1BCA"/>
    <w:pPr>
      <w:widowControl w:val="0"/>
      <w:adjustRightInd w:val="0"/>
      <w:spacing w:before="120" w:after="120" w:line="360" w:lineRule="atLeast"/>
      <w:jc w:val="center"/>
      <w:textAlignment w:val="baseline"/>
    </w:pPr>
    <w:rPr>
      <w:rFonts w:ascii="Arial" w:eastAsia="Times New Roman" w:hAnsi="Arial" w:cs="Times New Roman"/>
      <w:sz w:val="20"/>
      <w:szCs w:val="20"/>
      <w:lang w:val="es-ES" w:eastAsia="es-ES"/>
    </w:rPr>
  </w:style>
  <w:style w:type="paragraph" w:styleId="Sinespaciado">
    <w:name w:val="No Spacing"/>
    <w:uiPriority w:val="1"/>
    <w:qFormat/>
    <w:rsid w:val="005C1BCA"/>
    <w:pPr>
      <w:spacing w:after="0" w:line="240" w:lineRule="auto"/>
    </w:pPr>
    <w:rPr>
      <w:rFonts w:ascii="Calibri" w:eastAsia="Times New Roman" w:hAnsi="Calibri" w:cs="Calibri"/>
      <w:lang w:val="es-ES"/>
    </w:rPr>
  </w:style>
  <w:style w:type="character" w:customStyle="1" w:styleId="apple-style-span">
    <w:name w:val="apple-style-span"/>
    <w:rsid w:val="005C1BCA"/>
    <w:rPr>
      <w:rFonts w:ascii="Times New Roman" w:hAnsi="Times New Roman" w:cs="Times New Roman"/>
    </w:rPr>
  </w:style>
  <w:style w:type="paragraph" w:styleId="Subttulo">
    <w:name w:val="Subtitle"/>
    <w:basedOn w:val="Normal"/>
    <w:link w:val="SubttuloCar"/>
    <w:qFormat/>
    <w:rsid w:val="005C1BCA"/>
    <w:pPr>
      <w:spacing w:after="0" w:line="240" w:lineRule="auto"/>
    </w:pPr>
    <w:rPr>
      <w:rFonts w:ascii="Century Gothic" w:eastAsia="Times New Roman" w:hAnsi="Century Gothic" w:cs="Times New Roman"/>
      <w:b/>
      <w:bCs/>
      <w:sz w:val="24"/>
      <w:szCs w:val="24"/>
      <w:lang w:val="es-ES" w:eastAsia="es-ES"/>
    </w:rPr>
  </w:style>
  <w:style w:type="character" w:customStyle="1" w:styleId="SubttuloCar">
    <w:name w:val="Subtítulo Car"/>
    <w:basedOn w:val="Fuentedeprrafopredeter"/>
    <w:link w:val="Subttulo"/>
    <w:rsid w:val="005C1BCA"/>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5C1BCA"/>
  </w:style>
  <w:style w:type="paragraph" w:customStyle="1" w:styleId="BodyText21">
    <w:name w:val="Body Text 21"/>
    <w:basedOn w:val="Normal"/>
    <w:uiPriority w:val="99"/>
    <w:rsid w:val="005C1BC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semiHidden/>
    <w:unhideWhenUsed/>
    <w:rsid w:val="005C1BCA"/>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5C1BCA"/>
    <w:rPr>
      <w:rFonts w:ascii="Times New Roman" w:eastAsia="Times New Roman" w:hAnsi="Times New Roman" w:cs="Times New Roman"/>
      <w:sz w:val="24"/>
      <w:szCs w:val="24"/>
      <w:lang w:val="es-ES" w:eastAsia="es-ES"/>
    </w:rPr>
  </w:style>
  <w:style w:type="paragraph" w:customStyle="1" w:styleId="Vietaletra">
    <w:name w:val="Viñeta letra"/>
    <w:basedOn w:val="Normal"/>
    <w:next w:val="Normal"/>
    <w:rsid w:val="005C1BCA"/>
    <w:pPr>
      <w:numPr>
        <w:numId w:val="1"/>
      </w:numPr>
      <w:suppressAutoHyphens/>
      <w:overflowPunct w:val="0"/>
      <w:autoSpaceDE w:val="0"/>
      <w:spacing w:after="0" w:line="240" w:lineRule="auto"/>
      <w:jc w:val="both"/>
      <w:textAlignment w:val="baseline"/>
    </w:pPr>
    <w:rPr>
      <w:rFonts w:ascii="Arial" w:eastAsia="Times New Roman" w:hAnsi="Arial" w:cs="Times New Roman"/>
      <w:sz w:val="24"/>
      <w:szCs w:val="20"/>
      <w:lang w:val="es-ES_tradnl" w:eastAsia="ar-SA"/>
    </w:rPr>
  </w:style>
  <w:style w:type="paragraph" w:customStyle="1" w:styleId="TableHeading">
    <w:name w:val="Table Heading"/>
    <w:basedOn w:val="Normal"/>
    <w:rsid w:val="005C1BCA"/>
    <w:pPr>
      <w:suppressLineNumbers/>
      <w:suppressAutoHyphens/>
      <w:spacing w:after="0" w:line="240" w:lineRule="auto"/>
      <w:jc w:val="center"/>
    </w:pPr>
    <w:rPr>
      <w:rFonts w:ascii="Arial" w:eastAsia="Times New Roman" w:hAnsi="Arial" w:cs="Times New Roman"/>
      <w:b/>
      <w:bCs/>
      <w:szCs w:val="24"/>
      <w:lang w:val="es-ES" w:eastAsia="ar-SA"/>
    </w:rPr>
  </w:style>
  <w:style w:type="paragraph" w:styleId="Sangra2detindependiente">
    <w:name w:val="Body Text Indent 2"/>
    <w:basedOn w:val="Normal"/>
    <w:link w:val="Sangra2detindependienteCar"/>
    <w:uiPriority w:val="99"/>
    <w:semiHidden/>
    <w:unhideWhenUsed/>
    <w:rsid w:val="005C1BCA"/>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5C1BCA"/>
    <w:rPr>
      <w:rFonts w:ascii="Times New Roman" w:eastAsia="Times New Roman" w:hAnsi="Times New Roman" w:cs="Times New Roman"/>
      <w:sz w:val="24"/>
      <w:szCs w:val="24"/>
      <w:lang w:val="es-ES" w:eastAsia="es-ES"/>
    </w:rPr>
  </w:style>
  <w:style w:type="paragraph" w:customStyle="1" w:styleId="ARTICULOS">
    <w:name w:val="ARTICULOS"/>
    <w:basedOn w:val="Normal"/>
    <w:link w:val="ARTICULOSCar"/>
    <w:qFormat/>
    <w:rsid w:val="005C1BCA"/>
    <w:pPr>
      <w:widowControl w:val="0"/>
      <w:numPr>
        <w:numId w:val="2"/>
      </w:numPr>
      <w:adjustRightInd w:val="0"/>
      <w:spacing w:after="0" w:line="240" w:lineRule="auto"/>
      <w:ind w:left="0" w:firstLine="1"/>
      <w:jc w:val="both"/>
      <w:textAlignment w:val="baseline"/>
    </w:pPr>
    <w:rPr>
      <w:rFonts w:ascii="Bookman Old Style" w:eastAsia="Times New Roman" w:hAnsi="Bookman Old Style" w:cs="Times New Roman"/>
      <w:bCs/>
      <w:sz w:val="24"/>
      <w:szCs w:val="24"/>
      <w:lang w:val="x-none" w:eastAsia="x-none"/>
    </w:rPr>
  </w:style>
  <w:style w:type="character" w:customStyle="1" w:styleId="ARTICULOSCar">
    <w:name w:val="ARTICULOS Car"/>
    <w:link w:val="ARTICULOS"/>
    <w:rsid w:val="005C1BCA"/>
    <w:rPr>
      <w:rFonts w:ascii="Bookman Old Style" w:eastAsia="Times New Roman" w:hAnsi="Bookman Old Style" w:cs="Times New Roman"/>
      <w:bCs/>
      <w:sz w:val="24"/>
      <w:szCs w:val="24"/>
      <w:lang w:val="x-none" w:eastAsia="x-none"/>
    </w:rPr>
  </w:style>
  <w:style w:type="character" w:styleId="Textodelmarcadordeposicin">
    <w:name w:val="Placeholder Text"/>
    <w:basedOn w:val="Fuentedeprrafopredeter"/>
    <w:uiPriority w:val="99"/>
    <w:semiHidden/>
    <w:rsid w:val="005C1BCA"/>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5C1BCA"/>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5C1BCA"/>
    <w:rPr>
      <w:vertAlign w:val="superscript"/>
    </w:rPr>
  </w:style>
  <w:style w:type="character" w:styleId="Refdecomentario">
    <w:name w:val="annotation reference"/>
    <w:basedOn w:val="Fuentedeprrafopredeter"/>
    <w:semiHidden/>
    <w:unhideWhenUsed/>
    <w:rsid w:val="005C1BCA"/>
    <w:rPr>
      <w:sz w:val="16"/>
      <w:szCs w:val="16"/>
    </w:rPr>
  </w:style>
  <w:style w:type="paragraph" w:styleId="Textocomentario">
    <w:name w:val="annotation text"/>
    <w:basedOn w:val="Normal"/>
    <w:link w:val="TextocomentarioCar"/>
    <w:uiPriority w:val="99"/>
    <w:semiHidden/>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5C1BC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C1BCA"/>
    <w:rPr>
      <w:b/>
      <w:bCs/>
    </w:rPr>
  </w:style>
  <w:style w:type="character" w:customStyle="1" w:styleId="AsuntodelcomentarioCar">
    <w:name w:val="Asunto del comentario Car"/>
    <w:basedOn w:val="TextocomentarioCar"/>
    <w:link w:val="Asuntodelcomentario"/>
    <w:uiPriority w:val="99"/>
    <w:semiHidden/>
    <w:rsid w:val="005C1BCA"/>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5C1BCA"/>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701265"/>
    <w:pPr>
      <w:spacing w:before="100" w:beforeAutospacing="1" w:after="100" w:afterAutospacing="1" w:line="240" w:lineRule="auto"/>
    </w:pPr>
    <w:rPr>
      <w:rFonts w:ascii="Times New Roman" w:eastAsiaTheme="minorEastAsia" w:hAnsi="Times New Roman" w:cs="Times New Roman"/>
      <w:sz w:val="24"/>
      <w:szCs w:val="24"/>
      <w:lang w:eastAsia="es-CO"/>
    </w:rPr>
  </w:style>
  <w:style w:type="table" w:customStyle="1" w:styleId="Tablaconcuadrcula11">
    <w:name w:val="Tabla con cuadrícula11"/>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ar">
    <w:name w:val="Título 2 Car"/>
    <w:basedOn w:val="Fuentedeprrafopredeter"/>
    <w:link w:val="Ttulo2"/>
    <w:uiPriority w:val="9"/>
    <w:semiHidden/>
    <w:rsid w:val="007917F3"/>
    <w:rPr>
      <w:rFonts w:asciiTheme="majorHAnsi" w:eastAsiaTheme="majorEastAsia" w:hAnsiTheme="majorHAnsi" w:cstheme="majorBidi"/>
      <w:b/>
      <w:bCs/>
      <w:color w:val="4F81BD" w:themeColor="accent1"/>
      <w:sz w:val="26"/>
      <w:szCs w:val="26"/>
    </w:rPr>
  </w:style>
  <w:style w:type="paragraph" w:styleId="Sangra3detindependiente">
    <w:name w:val="Body Text Indent 3"/>
    <w:basedOn w:val="Normal"/>
    <w:link w:val="Sangra3detindependienteCar"/>
    <w:uiPriority w:val="99"/>
    <w:semiHidden/>
    <w:unhideWhenUsed/>
    <w:rsid w:val="007917F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917F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12606">
      <w:bodyDiv w:val="1"/>
      <w:marLeft w:val="0"/>
      <w:marRight w:val="0"/>
      <w:marTop w:val="0"/>
      <w:marBottom w:val="0"/>
      <w:divBdr>
        <w:top w:val="none" w:sz="0" w:space="0" w:color="auto"/>
        <w:left w:val="none" w:sz="0" w:space="0" w:color="auto"/>
        <w:bottom w:val="none" w:sz="0" w:space="0" w:color="auto"/>
        <w:right w:val="none" w:sz="0" w:space="0" w:color="auto"/>
      </w:divBdr>
    </w:div>
    <w:div w:id="151455879">
      <w:bodyDiv w:val="1"/>
      <w:marLeft w:val="0"/>
      <w:marRight w:val="0"/>
      <w:marTop w:val="0"/>
      <w:marBottom w:val="0"/>
      <w:divBdr>
        <w:top w:val="none" w:sz="0" w:space="0" w:color="auto"/>
        <w:left w:val="none" w:sz="0" w:space="0" w:color="auto"/>
        <w:bottom w:val="none" w:sz="0" w:space="0" w:color="auto"/>
        <w:right w:val="none" w:sz="0" w:space="0" w:color="auto"/>
      </w:divBdr>
    </w:div>
    <w:div w:id="193157903">
      <w:bodyDiv w:val="1"/>
      <w:marLeft w:val="0"/>
      <w:marRight w:val="0"/>
      <w:marTop w:val="0"/>
      <w:marBottom w:val="0"/>
      <w:divBdr>
        <w:top w:val="none" w:sz="0" w:space="0" w:color="auto"/>
        <w:left w:val="none" w:sz="0" w:space="0" w:color="auto"/>
        <w:bottom w:val="none" w:sz="0" w:space="0" w:color="auto"/>
        <w:right w:val="none" w:sz="0" w:space="0" w:color="auto"/>
      </w:divBdr>
    </w:div>
    <w:div w:id="258489558">
      <w:bodyDiv w:val="1"/>
      <w:marLeft w:val="0"/>
      <w:marRight w:val="0"/>
      <w:marTop w:val="0"/>
      <w:marBottom w:val="0"/>
      <w:divBdr>
        <w:top w:val="none" w:sz="0" w:space="0" w:color="auto"/>
        <w:left w:val="none" w:sz="0" w:space="0" w:color="auto"/>
        <w:bottom w:val="none" w:sz="0" w:space="0" w:color="auto"/>
        <w:right w:val="none" w:sz="0" w:space="0" w:color="auto"/>
      </w:divBdr>
    </w:div>
    <w:div w:id="286546125">
      <w:bodyDiv w:val="1"/>
      <w:marLeft w:val="0"/>
      <w:marRight w:val="0"/>
      <w:marTop w:val="0"/>
      <w:marBottom w:val="0"/>
      <w:divBdr>
        <w:top w:val="none" w:sz="0" w:space="0" w:color="auto"/>
        <w:left w:val="none" w:sz="0" w:space="0" w:color="auto"/>
        <w:bottom w:val="none" w:sz="0" w:space="0" w:color="auto"/>
        <w:right w:val="none" w:sz="0" w:space="0" w:color="auto"/>
      </w:divBdr>
    </w:div>
    <w:div w:id="332417518">
      <w:bodyDiv w:val="1"/>
      <w:marLeft w:val="0"/>
      <w:marRight w:val="0"/>
      <w:marTop w:val="0"/>
      <w:marBottom w:val="0"/>
      <w:divBdr>
        <w:top w:val="none" w:sz="0" w:space="0" w:color="auto"/>
        <w:left w:val="none" w:sz="0" w:space="0" w:color="auto"/>
        <w:bottom w:val="none" w:sz="0" w:space="0" w:color="auto"/>
        <w:right w:val="none" w:sz="0" w:space="0" w:color="auto"/>
      </w:divBdr>
    </w:div>
    <w:div w:id="447623819">
      <w:bodyDiv w:val="1"/>
      <w:marLeft w:val="0"/>
      <w:marRight w:val="0"/>
      <w:marTop w:val="0"/>
      <w:marBottom w:val="0"/>
      <w:divBdr>
        <w:top w:val="none" w:sz="0" w:space="0" w:color="auto"/>
        <w:left w:val="none" w:sz="0" w:space="0" w:color="auto"/>
        <w:bottom w:val="none" w:sz="0" w:space="0" w:color="auto"/>
        <w:right w:val="none" w:sz="0" w:space="0" w:color="auto"/>
      </w:divBdr>
    </w:div>
    <w:div w:id="643854832">
      <w:bodyDiv w:val="1"/>
      <w:marLeft w:val="0"/>
      <w:marRight w:val="0"/>
      <w:marTop w:val="0"/>
      <w:marBottom w:val="0"/>
      <w:divBdr>
        <w:top w:val="none" w:sz="0" w:space="0" w:color="auto"/>
        <w:left w:val="none" w:sz="0" w:space="0" w:color="auto"/>
        <w:bottom w:val="none" w:sz="0" w:space="0" w:color="auto"/>
        <w:right w:val="none" w:sz="0" w:space="0" w:color="auto"/>
      </w:divBdr>
    </w:div>
    <w:div w:id="715351796">
      <w:bodyDiv w:val="1"/>
      <w:marLeft w:val="0"/>
      <w:marRight w:val="0"/>
      <w:marTop w:val="0"/>
      <w:marBottom w:val="0"/>
      <w:divBdr>
        <w:top w:val="none" w:sz="0" w:space="0" w:color="auto"/>
        <w:left w:val="none" w:sz="0" w:space="0" w:color="auto"/>
        <w:bottom w:val="none" w:sz="0" w:space="0" w:color="auto"/>
        <w:right w:val="none" w:sz="0" w:space="0" w:color="auto"/>
      </w:divBdr>
    </w:div>
    <w:div w:id="741374628">
      <w:bodyDiv w:val="1"/>
      <w:marLeft w:val="0"/>
      <w:marRight w:val="0"/>
      <w:marTop w:val="0"/>
      <w:marBottom w:val="0"/>
      <w:divBdr>
        <w:top w:val="none" w:sz="0" w:space="0" w:color="auto"/>
        <w:left w:val="none" w:sz="0" w:space="0" w:color="auto"/>
        <w:bottom w:val="none" w:sz="0" w:space="0" w:color="auto"/>
        <w:right w:val="none" w:sz="0" w:space="0" w:color="auto"/>
      </w:divBdr>
    </w:div>
    <w:div w:id="943810008">
      <w:bodyDiv w:val="1"/>
      <w:marLeft w:val="0"/>
      <w:marRight w:val="0"/>
      <w:marTop w:val="0"/>
      <w:marBottom w:val="0"/>
      <w:divBdr>
        <w:top w:val="none" w:sz="0" w:space="0" w:color="auto"/>
        <w:left w:val="none" w:sz="0" w:space="0" w:color="auto"/>
        <w:bottom w:val="none" w:sz="0" w:space="0" w:color="auto"/>
        <w:right w:val="none" w:sz="0" w:space="0" w:color="auto"/>
      </w:divBdr>
    </w:div>
    <w:div w:id="1226919216">
      <w:bodyDiv w:val="1"/>
      <w:marLeft w:val="0"/>
      <w:marRight w:val="0"/>
      <w:marTop w:val="0"/>
      <w:marBottom w:val="0"/>
      <w:divBdr>
        <w:top w:val="none" w:sz="0" w:space="0" w:color="auto"/>
        <w:left w:val="none" w:sz="0" w:space="0" w:color="auto"/>
        <w:bottom w:val="none" w:sz="0" w:space="0" w:color="auto"/>
        <w:right w:val="none" w:sz="0" w:space="0" w:color="auto"/>
      </w:divBdr>
    </w:div>
    <w:div w:id="1377973063">
      <w:bodyDiv w:val="1"/>
      <w:marLeft w:val="0"/>
      <w:marRight w:val="0"/>
      <w:marTop w:val="0"/>
      <w:marBottom w:val="0"/>
      <w:divBdr>
        <w:top w:val="none" w:sz="0" w:space="0" w:color="auto"/>
        <w:left w:val="none" w:sz="0" w:space="0" w:color="auto"/>
        <w:bottom w:val="none" w:sz="0" w:space="0" w:color="auto"/>
        <w:right w:val="none" w:sz="0" w:space="0" w:color="auto"/>
      </w:divBdr>
    </w:div>
    <w:div w:id="1486777759">
      <w:bodyDiv w:val="1"/>
      <w:marLeft w:val="0"/>
      <w:marRight w:val="0"/>
      <w:marTop w:val="0"/>
      <w:marBottom w:val="0"/>
      <w:divBdr>
        <w:top w:val="none" w:sz="0" w:space="0" w:color="auto"/>
        <w:left w:val="none" w:sz="0" w:space="0" w:color="auto"/>
        <w:bottom w:val="none" w:sz="0" w:space="0" w:color="auto"/>
        <w:right w:val="none" w:sz="0" w:space="0" w:color="auto"/>
      </w:divBdr>
    </w:div>
    <w:div w:id="1541555519">
      <w:bodyDiv w:val="1"/>
      <w:marLeft w:val="0"/>
      <w:marRight w:val="0"/>
      <w:marTop w:val="0"/>
      <w:marBottom w:val="0"/>
      <w:divBdr>
        <w:top w:val="none" w:sz="0" w:space="0" w:color="auto"/>
        <w:left w:val="none" w:sz="0" w:space="0" w:color="auto"/>
        <w:bottom w:val="none" w:sz="0" w:space="0" w:color="auto"/>
        <w:right w:val="none" w:sz="0" w:space="0" w:color="auto"/>
      </w:divBdr>
    </w:div>
    <w:div w:id="1762213784">
      <w:bodyDiv w:val="1"/>
      <w:marLeft w:val="0"/>
      <w:marRight w:val="0"/>
      <w:marTop w:val="0"/>
      <w:marBottom w:val="0"/>
      <w:divBdr>
        <w:top w:val="none" w:sz="0" w:space="0" w:color="auto"/>
        <w:left w:val="none" w:sz="0" w:space="0" w:color="auto"/>
        <w:bottom w:val="none" w:sz="0" w:space="0" w:color="auto"/>
        <w:right w:val="none" w:sz="0" w:space="0" w:color="auto"/>
      </w:divBdr>
    </w:div>
    <w:div w:id="1780484666">
      <w:bodyDiv w:val="1"/>
      <w:marLeft w:val="0"/>
      <w:marRight w:val="0"/>
      <w:marTop w:val="0"/>
      <w:marBottom w:val="0"/>
      <w:divBdr>
        <w:top w:val="none" w:sz="0" w:space="0" w:color="auto"/>
        <w:left w:val="none" w:sz="0" w:space="0" w:color="auto"/>
        <w:bottom w:val="none" w:sz="0" w:space="0" w:color="auto"/>
        <w:right w:val="none" w:sz="0" w:space="0" w:color="auto"/>
      </w:divBdr>
    </w:div>
    <w:div w:id="1827043297">
      <w:bodyDiv w:val="1"/>
      <w:marLeft w:val="0"/>
      <w:marRight w:val="0"/>
      <w:marTop w:val="0"/>
      <w:marBottom w:val="0"/>
      <w:divBdr>
        <w:top w:val="none" w:sz="0" w:space="0" w:color="auto"/>
        <w:left w:val="none" w:sz="0" w:space="0" w:color="auto"/>
        <w:bottom w:val="none" w:sz="0" w:space="0" w:color="auto"/>
        <w:right w:val="none" w:sz="0" w:space="0" w:color="auto"/>
      </w:divBdr>
    </w:div>
    <w:div w:id="1919099651">
      <w:bodyDiv w:val="1"/>
      <w:marLeft w:val="0"/>
      <w:marRight w:val="0"/>
      <w:marTop w:val="0"/>
      <w:marBottom w:val="0"/>
      <w:divBdr>
        <w:top w:val="none" w:sz="0" w:space="0" w:color="auto"/>
        <w:left w:val="none" w:sz="0" w:space="0" w:color="auto"/>
        <w:bottom w:val="none" w:sz="0" w:space="0" w:color="auto"/>
        <w:right w:val="none" w:sz="0" w:space="0" w:color="auto"/>
      </w:divBdr>
    </w:div>
    <w:div w:id="2014646365">
      <w:bodyDiv w:val="1"/>
      <w:marLeft w:val="0"/>
      <w:marRight w:val="0"/>
      <w:marTop w:val="0"/>
      <w:marBottom w:val="0"/>
      <w:divBdr>
        <w:top w:val="none" w:sz="0" w:space="0" w:color="auto"/>
        <w:left w:val="none" w:sz="0" w:space="0" w:color="auto"/>
        <w:bottom w:val="none" w:sz="0" w:space="0" w:color="auto"/>
        <w:right w:val="none" w:sz="0" w:space="0" w:color="auto"/>
      </w:divBdr>
    </w:div>
    <w:div w:id="2041971626">
      <w:bodyDiv w:val="1"/>
      <w:marLeft w:val="0"/>
      <w:marRight w:val="0"/>
      <w:marTop w:val="0"/>
      <w:marBottom w:val="0"/>
      <w:divBdr>
        <w:top w:val="none" w:sz="0" w:space="0" w:color="auto"/>
        <w:left w:val="none" w:sz="0" w:space="0" w:color="auto"/>
        <w:bottom w:val="none" w:sz="0" w:space="0" w:color="auto"/>
        <w:right w:val="none" w:sz="0" w:space="0" w:color="auto"/>
      </w:divBdr>
    </w:div>
    <w:div w:id="210364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reg@creg.gov.c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0DD6E-2978-4EA3-9627-704977499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2515</Words>
  <Characters>13837</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León Granados</dc:creator>
  <cp:keywords/>
  <dc:description/>
  <cp:lastModifiedBy>Luz Stella Rojas Macias</cp:lastModifiedBy>
  <cp:revision>2</cp:revision>
  <cp:lastPrinted>2016-06-03T14:30:00Z</cp:lastPrinted>
  <dcterms:created xsi:type="dcterms:W3CDTF">2017-09-04T16:18:00Z</dcterms:created>
  <dcterms:modified xsi:type="dcterms:W3CDTF">2017-09-04T16:18:00Z</dcterms:modified>
</cp:coreProperties>
</file>