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A5EFA" w14:textId="77777777" w:rsidR="00386051" w:rsidRPr="00E060BE" w:rsidRDefault="00F62504"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748C8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48270279" r:id="rId12"/>
        </w:object>
      </w:r>
      <w:r w:rsidR="00386051" w:rsidRPr="00E060BE">
        <w:rPr>
          <w:rFonts w:ascii="Bookman Old Style" w:hAnsi="Bookman Old Style"/>
          <w:b w:val="0"/>
          <w:bCs/>
          <w:sz w:val="24"/>
          <w:szCs w:val="24"/>
        </w:rPr>
        <w:t>Ministerio de Minas y Energía</w:t>
      </w:r>
    </w:p>
    <w:p w14:paraId="223A6248"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34D9263E"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099CFA4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663B5DB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0E88594F" w14:textId="179D07CF"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E6080F">
        <w:rPr>
          <w:rFonts w:ascii="Bookman Old Style" w:hAnsi="Bookman Old Style"/>
          <w:sz w:val="32"/>
          <w:szCs w:val="32"/>
        </w:rPr>
        <w:t>051</w:t>
      </w:r>
      <w:r w:rsidR="00EE5A40" w:rsidRPr="00E060BE">
        <w:rPr>
          <w:rFonts w:ascii="Bookman Old Style" w:hAnsi="Bookman Old Style"/>
          <w:sz w:val="24"/>
          <w:szCs w:val="24"/>
        </w:rPr>
        <w:t xml:space="preserve">     </w:t>
      </w:r>
      <w:r w:rsidRPr="00E060BE">
        <w:rPr>
          <w:rFonts w:ascii="Bookman Old Style" w:hAnsi="Bookman Old Style"/>
          <w:sz w:val="24"/>
          <w:szCs w:val="24"/>
        </w:rPr>
        <w:t>DE 20</w:t>
      </w:r>
      <w:r>
        <w:rPr>
          <w:rFonts w:ascii="Bookman Old Style" w:hAnsi="Bookman Old Style"/>
          <w:sz w:val="24"/>
          <w:szCs w:val="24"/>
        </w:rPr>
        <w:t>20</w:t>
      </w:r>
    </w:p>
    <w:p w14:paraId="1FD6D4E9"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FB2C4BE" w14:textId="4C7FCEFF"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666653">
        <w:rPr>
          <w:rFonts w:ascii="Bookman Old Style" w:hAnsi="Bookman Old Style"/>
          <w:bCs/>
          <w:sz w:val="32"/>
          <w:szCs w:val="32"/>
        </w:rPr>
        <w:t>08</w:t>
      </w:r>
      <w:r w:rsidR="00EE5A40" w:rsidRPr="00066A1A">
        <w:rPr>
          <w:rFonts w:ascii="Bookman Old Style" w:hAnsi="Bookman Old Style"/>
          <w:bCs/>
          <w:sz w:val="32"/>
          <w:szCs w:val="32"/>
        </w:rPr>
        <w:t xml:space="preserve"> </w:t>
      </w:r>
      <w:r w:rsidR="00DF1F7B">
        <w:rPr>
          <w:rFonts w:ascii="Bookman Old Style" w:hAnsi="Bookman Old Style"/>
          <w:bCs/>
          <w:sz w:val="32"/>
          <w:szCs w:val="32"/>
        </w:rPr>
        <w:t>ABR</w:t>
      </w:r>
      <w:r w:rsidR="00066A1A" w:rsidRPr="00066A1A">
        <w:rPr>
          <w:rFonts w:ascii="Bookman Old Style" w:hAnsi="Bookman Old Style"/>
          <w:bCs/>
          <w:sz w:val="32"/>
          <w:szCs w:val="32"/>
        </w:rPr>
        <w:t>. 2020</w:t>
      </w:r>
      <w:r w:rsidRPr="00E060BE">
        <w:rPr>
          <w:rFonts w:ascii="Bookman Old Style" w:hAnsi="Bookman Old Style"/>
          <w:b w:val="0"/>
          <w:szCs w:val="24"/>
        </w:rPr>
        <w:t xml:space="preserve">   )</w:t>
      </w:r>
    </w:p>
    <w:p w14:paraId="5832552F" w14:textId="77777777" w:rsidR="00920787" w:rsidRPr="00D84372" w:rsidRDefault="00920787" w:rsidP="00567D5D">
      <w:pPr>
        <w:ind w:left="0"/>
        <w:jc w:val="center"/>
        <w:rPr>
          <w:rFonts w:ascii="Bookman Old Style" w:hAnsi="Bookman Old Style"/>
          <w:b/>
          <w:lang w:val="es-CO"/>
        </w:rPr>
      </w:pPr>
    </w:p>
    <w:p w14:paraId="1DFAD3B4" w14:textId="77777777" w:rsidR="00386051" w:rsidRDefault="00386051" w:rsidP="00012259">
      <w:pPr>
        <w:ind w:left="0"/>
        <w:rPr>
          <w:rFonts w:ascii="Bookman Old Style" w:hAnsi="Bookman Old Style"/>
          <w:bCs/>
          <w:lang w:val="es-CO"/>
        </w:rPr>
      </w:pPr>
    </w:p>
    <w:p w14:paraId="3A985BE2" w14:textId="6AA36823" w:rsidR="001123AE" w:rsidRDefault="00870C68" w:rsidP="001123AE">
      <w:pPr>
        <w:ind w:left="0"/>
        <w:jc w:val="center"/>
        <w:rPr>
          <w:rFonts w:ascii="Bookman Old Style" w:hAnsi="Bookman Old Style"/>
        </w:rPr>
      </w:pPr>
      <w:bookmarkStart w:id="1" w:name="_Hlk36489919"/>
      <w:r w:rsidRPr="00870C68">
        <w:rPr>
          <w:rFonts w:ascii="Bookman Old Style" w:hAnsi="Bookman Old Style"/>
          <w:i/>
        </w:rPr>
        <w:t xml:space="preserve">Por la cual se adoptan reglas transitorias sobre </w:t>
      </w:r>
      <w:r w:rsidR="009C6F43">
        <w:rPr>
          <w:rFonts w:ascii="Bookman Old Style" w:hAnsi="Bookman Old Style"/>
          <w:i/>
        </w:rPr>
        <w:t>las</w:t>
      </w:r>
      <w:r w:rsidR="007C78FC">
        <w:rPr>
          <w:rFonts w:ascii="Bookman Old Style" w:hAnsi="Bookman Old Style"/>
          <w:i/>
        </w:rPr>
        <w:t xml:space="preserve"> visitas y</w:t>
      </w:r>
      <w:r w:rsidR="009C6F43">
        <w:rPr>
          <w:rFonts w:ascii="Bookman Old Style" w:hAnsi="Bookman Old Style"/>
          <w:i/>
        </w:rPr>
        <w:t xml:space="preserve"> verificaciones de los sistemas de medida de que trata</w:t>
      </w:r>
      <w:r w:rsidR="003D3435">
        <w:rPr>
          <w:rFonts w:ascii="Bookman Old Style" w:hAnsi="Bookman Old Style"/>
          <w:i/>
        </w:rPr>
        <w:t>n</w:t>
      </w:r>
      <w:r w:rsidR="009C6F43">
        <w:rPr>
          <w:rFonts w:ascii="Bookman Old Style" w:hAnsi="Bookman Old Style"/>
          <w:i/>
        </w:rPr>
        <w:t xml:space="preserve"> </w:t>
      </w:r>
      <w:r w:rsidRPr="00870C68">
        <w:rPr>
          <w:rFonts w:ascii="Bookman Old Style" w:hAnsi="Bookman Old Style"/>
          <w:i/>
        </w:rPr>
        <w:t>la</w:t>
      </w:r>
      <w:r w:rsidR="009C6F43">
        <w:rPr>
          <w:rFonts w:ascii="Bookman Old Style" w:hAnsi="Bookman Old Style"/>
          <w:i/>
        </w:rPr>
        <w:t>s</w:t>
      </w:r>
      <w:r w:rsidRPr="00870C68">
        <w:rPr>
          <w:rFonts w:ascii="Bookman Old Style" w:hAnsi="Bookman Old Style"/>
          <w:i/>
        </w:rPr>
        <w:t xml:space="preserve"> </w:t>
      </w:r>
      <w:r w:rsidR="009C6F43">
        <w:rPr>
          <w:rFonts w:ascii="Bookman Old Style" w:hAnsi="Bookman Old Style"/>
          <w:i/>
        </w:rPr>
        <w:t>r</w:t>
      </w:r>
      <w:r w:rsidRPr="00870C68">
        <w:rPr>
          <w:rFonts w:ascii="Bookman Old Style" w:hAnsi="Bookman Old Style"/>
          <w:i/>
        </w:rPr>
        <w:t>esoluci</w:t>
      </w:r>
      <w:r w:rsidR="009C6F43">
        <w:rPr>
          <w:rFonts w:ascii="Bookman Old Style" w:hAnsi="Bookman Old Style"/>
          <w:i/>
        </w:rPr>
        <w:t>ones</w:t>
      </w:r>
      <w:r w:rsidRPr="00870C68">
        <w:rPr>
          <w:rFonts w:ascii="Bookman Old Style" w:hAnsi="Bookman Old Style"/>
          <w:i/>
        </w:rPr>
        <w:t xml:space="preserve"> CREG </w:t>
      </w:r>
      <w:r w:rsidR="007C78FC">
        <w:rPr>
          <w:rFonts w:ascii="Bookman Old Style" w:hAnsi="Bookman Old Style"/>
          <w:i/>
        </w:rPr>
        <w:t xml:space="preserve">156 y </w:t>
      </w:r>
      <w:r w:rsidR="009C6F43">
        <w:rPr>
          <w:rFonts w:ascii="Bookman Old Style" w:hAnsi="Bookman Old Style"/>
          <w:i/>
        </w:rPr>
        <w:t>157 de 2011 y 038 de 2014</w:t>
      </w:r>
      <w:bookmarkEnd w:id="1"/>
    </w:p>
    <w:p w14:paraId="0209CF7D" w14:textId="77777777" w:rsidR="001123AE" w:rsidRDefault="001123AE" w:rsidP="001123AE">
      <w:pPr>
        <w:ind w:right="51"/>
        <w:rPr>
          <w:rFonts w:ascii="Bookman Old Style" w:hAnsi="Bookman Old Style"/>
        </w:rPr>
      </w:pPr>
    </w:p>
    <w:p w14:paraId="4D698E7B" w14:textId="77777777" w:rsidR="001123AE" w:rsidRDefault="001123AE" w:rsidP="001123AE">
      <w:pPr>
        <w:ind w:right="51"/>
        <w:rPr>
          <w:rFonts w:ascii="Bookman Old Style" w:hAnsi="Bookman Old Style"/>
        </w:rPr>
      </w:pPr>
    </w:p>
    <w:p w14:paraId="658BD4A2" w14:textId="77777777" w:rsidR="001123AE" w:rsidRDefault="001123AE" w:rsidP="001123AE">
      <w:pPr>
        <w:ind w:right="51"/>
        <w:jc w:val="center"/>
        <w:rPr>
          <w:rFonts w:ascii="Bookman Old Style" w:hAnsi="Bookman Old Style"/>
          <w:b/>
        </w:rPr>
      </w:pPr>
      <w:r>
        <w:rPr>
          <w:rFonts w:ascii="Bookman Old Style" w:hAnsi="Bookman Old Style"/>
          <w:b/>
        </w:rPr>
        <w:t>LA COMISIÓN DE REGULACIÓN DE ENERGÍA Y GAS</w:t>
      </w:r>
    </w:p>
    <w:p w14:paraId="4069346D" w14:textId="77777777" w:rsidR="001123AE" w:rsidRDefault="001123AE" w:rsidP="001123AE">
      <w:pPr>
        <w:ind w:left="0" w:right="51"/>
        <w:rPr>
          <w:rFonts w:ascii="Bookman Old Style" w:hAnsi="Bookman Old Style"/>
        </w:rPr>
      </w:pPr>
    </w:p>
    <w:p w14:paraId="1F0D10D1" w14:textId="77777777" w:rsidR="001123AE" w:rsidRDefault="001123AE" w:rsidP="001123AE">
      <w:pPr>
        <w:ind w:left="0" w:right="51"/>
        <w:rPr>
          <w:rFonts w:ascii="Bookman Old Style" w:hAnsi="Bookman Old Style"/>
        </w:rPr>
      </w:pPr>
    </w:p>
    <w:p w14:paraId="534AE5E3" w14:textId="77777777" w:rsidR="001123AE" w:rsidRDefault="001123AE" w:rsidP="001123AE">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1260 de 2013.</w:t>
      </w:r>
    </w:p>
    <w:p w14:paraId="7B6205A3" w14:textId="77777777" w:rsidR="001123AE" w:rsidRDefault="001123AE" w:rsidP="001123AE">
      <w:pPr>
        <w:ind w:right="51"/>
        <w:rPr>
          <w:rFonts w:ascii="Bookman Old Style" w:hAnsi="Bookman Old Style"/>
        </w:rPr>
      </w:pPr>
    </w:p>
    <w:p w14:paraId="7A7F25B0" w14:textId="77777777" w:rsidR="001123AE" w:rsidRDefault="001123AE" w:rsidP="001123AE">
      <w:pPr>
        <w:ind w:right="51"/>
        <w:rPr>
          <w:rFonts w:ascii="Bookman Old Style" w:hAnsi="Bookman Old Style"/>
        </w:rPr>
      </w:pPr>
    </w:p>
    <w:p w14:paraId="3E244BAA" w14:textId="77777777" w:rsidR="00DB4309" w:rsidRDefault="00DB4309" w:rsidP="001123AE">
      <w:pPr>
        <w:ind w:right="51"/>
        <w:rPr>
          <w:rFonts w:ascii="Bookman Old Style" w:hAnsi="Bookman Old Style"/>
        </w:rPr>
      </w:pPr>
    </w:p>
    <w:p w14:paraId="76E4EDE9" w14:textId="0E981FFE" w:rsidR="001123AE" w:rsidRDefault="007511E1" w:rsidP="001123AE">
      <w:pPr>
        <w:ind w:right="51"/>
        <w:jc w:val="center"/>
        <w:rPr>
          <w:rFonts w:ascii="Bookman Old Style" w:hAnsi="Bookman Old Style"/>
          <w:b/>
          <w:spacing w:val="80"/>
        </w:rPr>
      </w:pPr>
      <w:r>
        <w:rPr>
          <w:rFonts w:ascii="Bookman Old Style" w:hAnsi="Bookman Old Style"/>
          <w:b/>
          <w:spacing w:val="80"/>
        </w:rPr>
        <w:t>CONSIDERANDO QUE:</w:t>
      </w:r>
    </w:p>
    <w:p w14:paraId="7D100FBD" w14:textId="77777777" w:rsidR="007511E1" w:rsidRDefault="007511E1" w:rsidP="001123AE">
      <w:pPr>
        <w:ind w:right="51"/>
        <w:jc w:val="center"/>
        <w:rPr>
          <w:rFonts w:ascii="Bookman Old Style" w:hAnsi="Bookman Old Style"/>
          <w:b/>
          <w:spacing w:val="80"/>
        </w:rPr>
      </w:pPr>
    </w:p>
    <w:p w14:paraId="41FBFDB9" w14:textId="77777777" w:rsidR="007554BB" w:rsidRPr="007554BB" w:rsidRDefault="007554BB" w:rsidP="00EB599C">
      <w:pPr>
        <w:spacing w:before="280" w:after="280"/>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1AC20437" w14:textId="77777777" w:rsidR="007554BB" w:rsidRPr="007554BB" w:rsidRDefault="007554BB" w:rsidP="00EB599C">
      <w:pPr>
        <w:spacing w:before="280" w:after="280"/>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49AF00D4" w14:textId="77777777" w:rsidR="007554BB" w:rsidRPr="009B17FA" w:rsidRDefault="007554BB" w:rsidP="00EB599C">
      <w:pPr>
        <w:spacing w:before="280" w:after="280"/>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17BEB6D7" w14:textId="333F650E" w:rsidR="007554BB" w:rsidRDefault="007554BB" w:rsidP="00EB599C">
      <w:pPr>
        <w:spacing w:before="280" w:after="280"/>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60F5A4DA" w14:textId="77777777" w:rsidR="007554BB" w:rsidRPr="009B17FA" w:rsidRDefault="007554BB" w:rsidP="00EB599C">
      <w:pPr>
        <w:spacing w:before="280" w:after="280"/>
        <w:ind w:left="0"/>
        <w:jc w:val="both"/>
        <w:rPr>
          <w:rFonts w:ascii="Bookman Old Style" w:hAnsi="Bookman Old Style"/>
        </w:rPr>
      </w:pPr>
      <w:r w:rsidRPr="009B17FA">
        <w:rPr>
          <w:rFonts w:ascii="Bookman Old Style" w:hAnsi="Bookman Old Style"/>
        </w:rPr>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4D1945A4" w14:textId="77777777" w:rsidR="00DE7E37" w:rsidRDefault="00DE7E37" w:rsidP="00EB599C">
      <w:pPr>
        <w:spacing w:before="280" w:after="280"/>
        <w:ind w:left="0"/>
        <w:jc w:val="both"/>
        <w:rPr>
          <w:rFonts w:ascii="Bookman Old Style" w:hAnsi="Bookman Old Style"/>
        </w:rPr>
      </w:pPr>
      <w:r>
        <w:rPr>
          <w:rFonts w:ascii="Bookman Old Style" w:hAnsi="Bookman Old Style"/>
        </w:rPr>
        <w:lastRenderedPageBreak/>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34240418" w14:textId="02F2894A" w:rsidR="00DE7E37" w:rsidRDefault="00DE7E37" w:rsidP="00EB599C">
      <w:pPr>
        <w:spacing w:before="280" w:after="280"/>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xml:space="preserve">, la Ley 143 de 1994, artículo 23, le atribuyó a la Comisión de Regulación de Energía y Gas, entre otras, </w:t>
      </w:r>
      <w:r w:rsidR="007808FB">
        <w:rPr>
          <w:rFonts w:ascii="Bookman Old Style" w:hAnsi="Bookman Old Style"/>
        </w:rPr>
        <w:t>la función de definir el Reglamento de Operación</w:t>
      </w:r>
      <w:r w:rsidR="000139F5">
        <w:rPr>
          <w:rFonts w:ascii="Bookman Old Style" w:hAnsi="Bookman Old Style"/>
        </w:rPr>
        <w:t>,</w:t>
      </w:r>
      <w:r w:rsidR="000139F5" w:rsidRPr="000139F5">
        <w:rPr>
          <w:rFonts w:ascii="Bookman Old Style" w:hAnsi="Bookman Old Style"/>
        </w:rPr>
        <w:t xml:space="preserve"> </w:t>
      </w:r>
      <w:r w:rsidR="000139F5" w:rsidRPr="008628AE">
        <w:rPr>
          <w:rFonts w:ascii="Bookman Old Style" w:hAnsi="Bookman Old Style"/>
        </w:rPr>
        <w:t>para realizar el planeamiento y la coordinación de la operación del Sistema Interconectado Nacional</w:t>
      </w:r>
      <w:r w:rsidR="008628AE">
        <w:rPr>
          <w:rFonts w:ascii="Bookman Old Style" w:hAnsi="Bookman Old Style"/>
        </w:rPr>
        <w:t>.</w:t>
      </w:r>
    </w:p>
    <w:p w14:paraId="7997B7F4" w14:textId="5D2A3680" w:rsidR="008628AE" w:rsidRPr="008628AE" w:rsidRDefault="008628AE" w:rsidP="00EB599C">
      <w:pPr>
        <w:spacing w:before="280" w:after="280"/>
        <w:ind w:left="0"/>
        <w:jc w:val="both"/>
        <w:rPr>
          <w:rFonts w:ascii="Bookman Old Style" w:hAnsi="Bookman Old Style"/>
        </w:rPr>
      </w:pPr>
      <w:r w:rsidRPr="008628AE">
        <w:rPr>
          <w:rFonts w:ascii="Bookman Old Style" w:hAnsi="Bookman Old Style"/>
        </w:rPr>
        <w:t>El artículo 11 de la Ley 143 de 1994</w:t>
      </w:r>
      <w:r w:rsidR="000139F5">
        <w:rPr>
          <w:rFonts w:ascii="Bookman Old Style" w:hAnsi="Bookman Old Style"/>
        </w:rPr>
        <w:t>,</w:t>
      </w:r>
      <w:r w:rsidRPr="008628AE">
        <w:rPr>
          <w:rFonts w:ascii="Bookman Old Style" w:hAnsi="Bookman Old Style"/>
        </w:rPr>
        <w:t xml:space="preserve"> establece que el Reglamento de </w:t>
      </w:r>
      <w:r w:rsidR="00C97CB2">
        <w:rPr>
          <w:rFonts w:ascii="Bookman Old Style" w:hAnsi="Bookman Old Style"/>
        </w:rPr>
        <w:t>O</w:t>
      </w:r>
      <w:r w:rsidRPr="008628AE">
        <w:rPr>
          <w:rFonts w:ascii="Bookman Old Style" w:hAnsi="Bookman Old Style"/>
        </w:rPr>
        <w:t>peración es el “conjunto de principios, criterios y procedimientos establecidos para realizar el planeamiento, la coordinación y la ejecución de la operación del sistema interconectado nacional y para regular el funcionamiento del mercado mayorista de energía eléctrica. El reglamento de operación comprende varios documentos que se organizarán conforme a los temas propios del funcionamiento del sistema interconectado nacional”.</w:t>
      </w:r>
    </w:p>
    <w:p w14:paraId="3E9D151A" w14:textId="4477C6A8" w:rsidR="008628AE" w:rsidRPr="008628AE" w:rsidRDefault="008628AE" w:rsidP="00EB599C">
      <w:pPr>
        <w:spacing w:before="280" w:after="280"/>
        <w:ind w:left="0"/>
        <w:jc w:val="both"/>
        <w:rPr>
          <w:rFonts w:ascii="Bookman Old Style" w:hAnsi="Bookman Old Style"/>
        </w:rPr>
      </w:pPr>
      <w:r w:rsidRPr="008628AE">
        <w:rPr>
          <w:rFonts w:ascii="Bookman Old Style" w:hAnsi="Bookman Old Style"/>
        </w:rPr>
        <w:t>La Ley 142 de 1994</w:t>
      </w:r>
      <w:r w:rsidR="000139F5">
        <w:rPr>
          <w:rFonts w:ascii="Bookman Old Style" w:hAnsi="Bookman Old Style"/>
        </w:rPr>
        <w:t>,</w:t>
      </w:r>
      <w:r w:rsidRPr="008628AE">
        <w:rPr>
          <w:rFonts w:ascii="Bookman Old Style" w:hAnsi="Bookman Old Style"/>
        </w:rPr>
        <w:t xml:space="preserve"> al definir el servicio de energía eléctrica</w:t>
      </w:r>
      <w:r w:rsidR="000139F5">
        <w:rPr>
          <w:rFonts w:ascii="Bookman Old Style" w:hAnsi="Bookman Old Style"/>
        </w:rPr>
        <w:t>,</w:t>
      </w:r>
      <w:r w:rsidRPr="008628AE">
        <w:rPr>
          <w:rFonts w:ascii="Bookman Old Style" w:hAnsi="Bookman Old Style"/>
        </w:rPr>
        <w:t xml:space="preserve"> hace referencia a la medición como uno de los elementos que hacen parte de la prestación de este servicio público domiciliario. En virtud de lo anterior, los artículos 144, 145 y 146 de la Ley 142 de 1994</w:t>
      </w:r>
      <w:r w:rsidR="00512E3E">
        <w:rPr>
          <w:rFonts w:ascii="Bookman Old Style" w:hAnsi="Bookman Old Style"/>
        </w:rPr>
        <w:t>,</w:t>
      </w:r>
      <w:r w:rsidRPr="008628AE">
        <w:rPr>
          <w:rFonts w:ascii="Bookman Old Style" w:hAnsi="Bookman Old Style"/>
        </w:rPr>
        <w:t xml:space="preserve"> establecen criterios sobre los instrumentos de medición del consumo y la determinación del consumo facturable, como parte de los derechos de los usuarios de que trata el artículo 9 de esta misma norma.</w:t>
      </w:r>
      <w:r w:rsidR="00D17D3F">
        <w:rPr>
          <w:rFonts w:ascii="Bookman Old Style" w:hAnsi="Bookman Old Style"/>
        </w:rPr>
        <w:t xml:space="preserve"> </w:t>
      </w:r>
      <w:r w:rsidRPr="008628AE">
        <w:rPr>
          <w:rFonts w:ascii="Bookman Old Style" w:hAnsi="Bookman Old Style"/>
        </w:rPr>
        <w:t>Mediante la Resolución 025 de 1995</w:t>
      </w:r>
      <w:r w:rsidR="00512E3E">
        <w:rPr>
          <w:rFonts w:ascii="Bookman Old Style" w:hAnsi="Bookman Old Style"/>
        </w:rPr>
        <w:t>,</w:t>
      </w:r>
      <w:r w:rsidRPr="008628AE">
        <w:rPr>
          <w:rFonts w:ascii="Bookman Old Style" w:hAnsi="Bookman Old Style"/>
        </w:rPr>
        <w:t xml:space="preserve"> la CREG adoptó</w:t>
      </w:r>
      <w:r w:rsidR="00512E3E">
        <w:rPr>
          <w:rFonts w:ascii="Bookman Old Style" w:hAnsi="Bookman Old Style"/>
        </w:rPr>
        <w:t>,</w:t>
      </w:r>
      <w:r w:rsidRPr="008628AE">
        <w:rPr>
          <w:rFonts w:ascii="Bookman Old Style" w:hAnsi="Bookman Old Style"/>
        </w:rPr>
        <w:t xml:space="preserve"> en el Anexo General</w:t>
      </w:r>
      <w:r w:rsidR="00512E3E">
        <w:rPr>
          <w:rFonts w:ascii="Bookman Old Style" w:hAnsi="Bookman Old Style"/>
        </w:rPr>
        <w:t>,</w:t>
      </w:r>
      <w:r w:rsidRPr="008628AE">
        <w:rPr>
          <w:rFonts w:ascii="Bookman Old Style" w:hAnsi="Bookman Old Style"/>
        </w:rPr>
        <w:t xml:space="preserve"> el Código de Redes</w:t>
      </w:r>
      <w:r w:rsidR="00512E3E">
        <w:rPr>
          <w:rFonts w:ascii="Bookman Old Style" w:hAnsi="Bookman Old Style"/>
        </w:rPr>
        <w:t>,</w:t>
      </w:r>
      <w:r w:rsidRPr="008628AE">
        <w:rPr>
          <w:rFonts w:ascii="Bookman Old Style" w:hAnsi="Bookman Old Style"/>
        </w:rPr>
        <w:t xml:space="preserve"> como parte del Reglamento de Operación del SIN, el cual incluyó el Código de Medida.</w:t>
      </w:r>
    </w:p>
    <w:p w14:paraId="3CEEE201" w14:textId="77777777" w:rsidR="00C545AF" w:rsidRPr="008628AE" w:rsidRDefault="00C545AF" w:rsidP="00EB599C">
      <w:pPr>
        <w:spacing w:before="280" w:after="280"/>
        <w:ind w:left="0"/>
        <w:jc w:val="both"/>
        <w:rPr>
          <w:rFonts w:ascii="Bookman Old Style" w:hAnsi="Bookman Old Style"/>
        </w:rPr>
      </w:pPr>
      <w:r>
        <w:rPr>
          <w:rFonts w:ascii="Bookman Old Style" w:hAnsi="Bookman Old Style"/>
        </w:rPr>
        <w:t xml:space="preserve">Mediante la Resolución CREG 156 de 2011 </w:t>
      </w:r>
      <w:r w:rsidRPr="006A7786">
        <w:rPr>
          <w:rFonts w:ascii="Bookman Old Style" w:hAnsi="Bookman Old Style"/>
        </w:rPr>
        <w:t>se establece el Reglamento de Comercialización del servicio público de energía eléctrica, como parte del Reglamento de Operación.</w:t>
      </w:r>
    </w:p>
    <w:p w14:paraId="19837A65" w14:textId="7319024B" w:rsidR="00C545AF" w:rsidRDefault="00C545AF" w:rsidP="00EB599C">
      <w:pPr>
        <w:spacing w:before="280" w:after="280"/>
        <w:ind w:left="0"/>
        <w:jc w:val="both"/>
        <w:rPr>
          <w:rFonts w:ascii="Bookman Old Style" w:hAnsi="Bookman Old Style"/>
        </w:rPr>
      </w:pPr>
      <w:r>
        <w:rPr>
          <w:rFonts w:ascii="Bookman Old Style" w:hAnsi="Bookman Old Style"/>
        </w:rPr>
        <w:t xml:space="preserve">En la Resolución CREG 157 de 2011 se </w:t>
      </w:r>
      <w:r w:rsidRPr="008628AE">
        <w:rPr>
          <w:rFonts w:ascii="Bookman Old Style" w:hAnsi="Bookman Old Style"/>
        </w:rPr>
        <w:t>modifican las normas sobre el registro de fronteras comerciales y contratos de energía de largo plazo</w:t>
      </w:r>
      <w:r w:rsidR="00BE2CF5">
        <w:rPr>
          <w:rFonts w:ascii="Bookman Old Style" w:hAnsi="Bookman Old Style"/>
        </w:rPr>
        <w:t>,</w:t>
      </w:r>
      <w:r w:rsidRPr="008628AE">
        <w:rPr>
          <w:rFonts w:ascii="Bookman Old Style" w:hAnsi="Bookman Old Style"/>
        </w:rPr>
        <w:t xml:space="preserve"> y se adoptan otras disposiciones</w:t>
      </w:r>
      <w:r>
        <w:rPr>
          <w:rFonts w:ascii="Bookman Old Style" w:hAnsi="Bookman Old Style"/>
        </w:rPr>
        <w:t xml:space="preserve">, en donde se establece la realización de verificaciones de los sistemas de medición durante el proceso de objeciones al registro de fronteras comerciales. Parte de estas verificaciones se realiza </w:t>
      </w:r>
      <w:r w:rsidRPr="0013523C">
        <w:rPr>
          <w:rFonts w:ascii="Bookman Old Style" w:hAnsi="Bookman Old Style"/>
          <w:i/>
          <w:iCs/>
        </w:rPr>
        <w:t>in situ</w:t>
      </w:r>
      <w:r>
        <w:rPr>
          <w:rFonts w:ascii="Bookman Old Style" w:hAnsi="Bookman Old Style"/>
        </w:rPr>
        <w:t>.</w:t>
      </w:r>
    </w:p>
    <w:p w14:paraId="1B88EA38" w14:textId="57672586" w:rsidR="00EA375B" w:rsidRDefault="008628AE" w:rsidP="00EB599C">
      <w:pPr>
        <w:spacing w:before="280" w:after="280"/>
        <w:ind w:left="0"/>
        <w:jc w:val="both"/>
        <w:rPr>
          <w:rFonts w:ascii="Bookman Old Style" w:hAnsi="Bookman Old Style"/>
        </w:rPr>
      </w:pPr>
      <w:r w:rsidRPr="008628AE">
        <w:rPr>
          <w:rFonts w:ascii="Bookman Old Style" w:hAnsi="Bookman Old Style"/>
        </w:rPr>
        <w:t>Mediante la Resolución CREG 038 de 2014 se modificó el Código de Medida</w:t>
      </w:r>
      <w:r w:rsidR="00512E3E">
        <w:rPr>
          <w:rFonts w:ascii="Bookman Old Style" w:hAnsi="Bookman Old Style"/>
        </w:rPr>
        <w:t>,</w:t>
      </w:r>
      <w:r w:rsidRPr="008628AE">
        <w:rPr>
          <w:rFonts w:ascii="Bookman Old Style" w:hAnsi="Bookman Old Style"/>
        </w:rPr>
        <w:t xml:space="preserve"> con el objetivo de garantizar que las mediciones empleadas con propósitos operativos, comerciales, regulatorios y de vigilancia y control, sean exactas y confiables</w:t>
      </w:r>
      <w:r w:rsidR="00512E3E">
        <w:rPr>
          <w:rFonts w:ascii="Bookman Old Style" w:hAnsi="Bookman Old Style"/>
        </w:rPr>
        <w:t>,</w:t>
      </w:r>
      <w:r w:rsidRPr="008628AE">
        <w:rPr>
          <w:rFonts w:ascii="Bookman Old Style" w:hAnsi="Bookman Old Style"/>
        </w:rPr>
        <w:t xml:space="preserve"> y se desarrollen de acuerdo con las capacidades tecnológicas actuales.</w:t>
      </w:r>
      <w:r w:rsidR="00EA375B">
        <w:rPr>
          <w:rFonts w:ascii="Bookman Old Style" w:hAnsi="Bookman Old Style"/>
        </w:rPr>
        <w:t xml:space="preserve"> </w:t>
      </w:r>
    </w:p>
    <w:p w14:paraId="21F90AA2" w14:textId="5AF4F81D" w:rsidR="008628AE" w:rsidRDefault="00EA375B" w:rsidP="00EB599C">
      <w:pPr>
        <w:spacing w:before="280" w:after="280"/>
        <w:ind w:left="0"/>
        <w:jc w:val="both"/>
        <w:rPr>
          <w:rFonts w:ascii="Bookman Old Style" w:hAnsi="Bookman Old Style"/>
        </w:rPr>
      </w:pPr>
      <w:r>
        <w:rPr>
          <w:rFonts w:ascii="Bookman Old Style" w:hAnsi="Bookman Old Style"/>
        </w:rPr>
        <w:t>Dentro de las obligaciones señaladas en el Código de Medida se encuentra la realización de verificaciones de los sistemas de medición</w:t>
      </w:r>
      <w:r w:rsidR="00512E3E">
        <w:rPr>
          <w:rFonts w:ascii="Bookman Old Style" w:hAnsi="Bookman Old Style"/>
        </w:rPr>
        <w:t>,</w:t>
      </w:r>
      <w:r>
        <w:rPr>
          <w:rFonts w:ascii="Bookman Old Style" w:hAnsi="Bookman Old Style"/>
        </w:rPr>
        <w:t xml:space="preserve"> para garantizar su adecuado funcionamiento y </w:t>
      </w:r>
      <w:r w:rsidR="00512E3E">
        <w:rPr>
          <w:rFonts w:ascii="Bookman Old Style" w:hAnsi="Bookman Old Style"/>
        </w:rPr>
        <w:t xml:space="preserve">el </w:t>
      </w:r>
      <w:r>
        <w:rPr>
          <w:rFonts w:ascii="Bookman Old Style" w:hAnsi="Bookman Old Style"/>
        </w:rPr>
        <w:t>cumplimiento de los requisitos dispuestos en la norma</w:t>
      </w:r>
      <w:r w:rsidR="00512E3E">
        <w:rPr>
          <w:rFonts w:ascii="Bookman Old Style" w:hAnsi="Bookman Old Style"/>
        </w:rPr>
        <w:t>,</w:t>
      </w:r>
      <w:r w:rsidR="0013523C">
        <w:rPr>
          <w:rFonts w:ascii="Bookman Old Style" w:hAnsi="Bookman Old Style"/>
        </w:rPr>
        <w:t xml:space="preserve"> lo que conlleva a </w:t>
      </w:r>
      <w:r>
        <w:rPr>
          <w:rFonts w:ascii="Bookman Old Style" w:hAnsi="Bookman Old Style"/>
        </w:rPr>
        <w:t>que</w:t>
      </w:r>
      <w:r w:rsidR="00BE2CF5">
        <w:rPr>
          <w:rFonts w:ascii="Bookman Old Style" w:hAnsi="Bookman Old Style"/>
        </w:rPr>
        <w:t>,</w:t>
      </w:r>
      <w:r>
        <w:rPr>
          <w:rFonts w:ascii="Bookman Old Style" w:hAnsi="Bookman Old Style"/>
        </w:rPr>
        <w:t xml:space="preserve"> parte de </w:t>
      </w:r>
      <w:r w:rsidR="0013523C">
        <w:rPr>
          <w:rFonts w:ascii="Bookman Old Style" w:hAnsi="Bookman Old Style"/>
        </w:rPr>
        <w:t xml:space="preserve">estas </w:t>
      </w:r>
      <w:r>
        <w:rPr>
          <w:rFonts w:ascii="Bookman Old Style" w:hAnsi="Bookman Old Style"/>
        </w:rPr>
        <w:t>verificaciones</w:t>
      </w:r>
      <w:r w:rsidR="00BE2CF5">
        <w:rPr>
          <w:rFonts w:ascii="Bookman Old Style" w:hAnsi="Bookman Old Style"/>
        </w:rPr>
        <w:t>,</w:t>
      </w:r>
      <w:r>
        <w:rPr>
          <w:rFonts w:ascii="Bookman Old Style" w:hAnsi="Bookman Old Style"/>
        </w:rPr>
        <w:t xml:space="preserve"> se realicen </w:t>
      </w:r>
      <w:r w:rsidR="0013523C" w:rsidRPr="0013523C">
        <w:rPr>
          <w:rFonts w:ascii="Bookman Old Style" w:hAnsi="Bookman Old Style"/>
          <w:i/>
          <w:iCs/>
        </w:rPr>
        <w:t>in situ</w:t>
      </w:r>
      <w:r>
        <w:rPr>
          <w:rFonts w:ascii="Bookman Old Style" w:hAnsi="Bookman Old Style"/>
        </w:rPr>
        <w:t>.</w:t>
      </w:r>
    </w:p>
    <w:p w14:paraId="34D25AB6" w14:textId="2BE02526" w:rsidR="007C78FC" w:rsidRDefault="00C545AF" w:rsidP="00EB599C">
      <w:pPr>
        <w:spacing w:before="280" w:after="280"/>
        <w:ind w:left="0"/>
        <w:jc w:val="both"/>
        <w:rPr>
          <w:rFonts w:ascii="Bookman Old Style" w:hAnsi="Bookman Old Style"/>
        </w:rPr>
      </w:pPr>
      <w:r>
        <w:rPr>
          <w:rFonts w:ascii="Bookman Old Style" w:hAnsi="Bookman Old Style"/>
        </w:rPr>
        <w:t>Adicionalmente, en e</w:t>
      </w:r>
      <w:r w:rsidR="0014751A">
        <w:rPr>
          <w:rFonts w:ascii="Bookman Old Style" w:hAnsi="Bookman Old Style"/>
        </w:rPr>
        <w:t xml:space="preserve">l </w:t>
      </w:r>
      <w:r>
        <w:rPr>
          <w:rFonts w:ascii="Bookman Old Style" w:hAnsi="Bookman Old Style"/>
        </w:rPr>
        <w:t>C</w:t>
      </w:r>
      <w:r w:rsidR="0014751A">
        <w:rPr>
          <w:rFonts w:ascii="Bookman Old Style" w:hAnsi="Bookman Old Style"/>
        </w:rPr>
        <w:t xml:space="preserve">ódigo de </w:t>
      </w:r>
      <w:r>
        <w:rPr>
          <w:rFonts w:ascii="Bookman Old Style" w:hAnsi="Bookman Old Style"/>
        </w:rPr>
        <w:t>M</w:t>
      </w:r>
      <w:r w:rsidR="0014751A">
        <w:rPr>
          <w:rFonts w:ascii="Bookman Old Style" w:hAnsi="Bookman Old Style"/>
        </w:rPr>
        <w:t xml:space="preserve">edida </w:t>
      </w:r>
      <w:r>
        <w:rPr>
          <w:rFonts w:ascii="Bookman Old Style" w:hAnsi="Bookman Old Style"/>
        </w:rPr>
        <w:t>se</w:t>
      </w:r>
      <w:r w:rsidR="0014751A">
        <w:rPr>
          <w:rFonts w:ascii="Bookman Old Style" w:hAnsi="Bookman Old Style"/>
        </w:rPr>
        <w:t xml:space="preserve"> establece</w:t>
      </w:r>
      <w:r>
        <w:rPr>
          <w:rFonts w:ascii="Bookman Old Style" w:hAnsi="Bookman Old Style"/>
        </w:rPr>
        <w:t>n</w:t>
      </w:r>
      <w:r w:rsidR="0014751A">
        <w:rPr>
          <w:rFonts w:ascii="Bookman Old Style" w:hAnsi="Bookman Old Style"/>
        </w:rPr>
        <w:t xml:space="preserve"> los plazos máximos para la normalización de las fronteras comerciales ante la falla o hurto de los elementos del sistema de medición.</w:t>
      </w:r>
    </w:p>
    <w:p w14:paraId="3D2B72AD" w14:textId="43C93F45" w:rsidR="00AE77D8" w:rsidRDefault="00AE77D8" w:rsidP="00EB599C">
      <w:pPr>
        <w:spacing w:before="280" w:after="280"/>
        <w:ind w:left="0"/>
        <w:jc w:val="both"/>
        <w:rPr>
          <w:rFonts w:ascii="Bookman Old Style" w:hAnsi="Bookman Old Style"/>
        </w:rPr>
      </w:pPr>
      <w:r>
        <w:rPr>
          <w:rFonts w:ascii="Bookman Old Style" w:hAnsi="Bookman Old Style"/>
        </w:rPr>
        <w:t xml:space="preserve">Mediante el Decreto 417 del 17 de marzo de 2020, el </w:t>
      </w:r>
      <w:r w:rsidR="00BE2CF5">
        <w:rPr>
          <w:rFonts w:ascii="Bookman Old Style" w:hAnsi="Bookman Old Style"/>
        </w:rPr>
        <w:t>G</w:t>
      </w:r>
      <w:r>
        <w:rPr>
          <w:rFonts w:ascii="Bookman Old Style" w:hAnsi="Bookman Old Style"/>
        </w:rPr>
        <w:t xml:space="preserve">obierno </w:t>
      </w:r>
      <w:r w:rsidR="00BE2CF5">
        <w:rPr>
          <w:rFonts w:ascii="Bookman Old Style" w:hAnsi="Bookman Old Style"/>
        </w:rPr>
        <w:t>N</w:t>
      </w:r>
      <w:r>
        <w:rPr>
          <w:rFonts w:ascii="Bookman Old Style" w:hAnsi="Bookman Old Style"/>
        </w:rPr>
        <w:t xml:space="preserve">acional declaró el </w:t>
      </w:r>
      <w:r w:rsidR="00C545AF">
        <w:rPr>
          <w:rFonts w:ascii="Bookman Old Style" w:hAnsi="Bookman Old Style"/>
        </w:rPr>
        <w:t>E</w:t>
      </w:r>
      <w:r>
        <w:rPr>
          <w:rFonts w:ascii="Bookman Old Style" w:hAnsi="Bookman Old Style"/>
        </w:rPr>
        <w:t xml:space="preserve">stado de </w:t>
      </w:r>
      <w:r w:rsidR="00C545AF">
        <w:rPr>
          <w:rFonts w:ascii="Bookman Old Style" w:hAnsi="Bookman Old Style"/>
        </w:rPr>
        <w:t>E</w:t>
      </w:r>
      <w:r>
        <w:rPr>
          <w:rFonts w:ascii="Bookman Old Style" w:hAnsi="Bookman Old Style"/>
        </w:rPr>
        <w:t xml:space="preserve">mergencia </w:t>
      </w:r>
      <w:r w:rsidR="00C545AF">
        <w:rPr>
          <w:rFonts w:ascii="Bookman Old Style" w:hAnsi="Bookman Old Style"/>
        </w:rPr>
        <w:t>E</w:t>
      </w:r>
      <w:r>
        <w:rPr>
          <w:rFonts w:ascii="Bookman Old Style" w:hAnsi="Bookman Old Style"/>
        </w:rPr>
        <w:t xml:space="preserve">conómica, </w:t>
      </w:r>
      <w:r w:rsidR="00C545AF">
        <w:rPr>
          <w:rFonts w:ascii="Bookman Old Style" w:hAnsi="Bookman Old Style"/>
        </w:rPr>
        <w:t>S</w:t>
      </w:r>
      <w:r>
        <w:rPr>
          <w:rFonts w:ascii="Bookman Old Style" w:hAnsi="Bookman Old Style"/>
        </w:rPr>
        <w:t xml:space="preserve">ocial y </w:t>
      </w:r>
      <w:r w:rsidR="00C545AF">
        <w:rPr>
          <w:rFonts w:ascii="Bookman Old Style" w:hAnsi="Bookman Old Style"/>
        </w:rPr>
        <w:t>E</w:t>
      </w:r>
      <w:r>
        <w:rPr>
          <w:rFonts w:ascii="Bookman Old Style" w:hAnsi="Bookman Old Style"/>
        </w:rPr>
        <w:t>cológica en todo el territorio nacional por el término de treinta (30) días, con el fin tomar medidas para conjurar la situación</w:t>
      </w:r>
      <w:r w:rsidR="00622CB6">
        <w:rPr>
          <w:rFonts w:ascii="Bookman Old Style" w:hAnsi="Bookman Old Style"/>
        </w:rPr>
        <w:t>.</w:t>
      </w:r>
    </w:p>
    <w:p w14:paraId="613E093D" w14:textId="4AAB4D5D" w:rsidR="000D52EF" w:rsidRDefault="00E73EB6" w:rsidP="00EB599C">
      <w:pPr>
        <w:spacing w:before="280" w:after="280"/>
        <w:ind w:left="0"/>
        <w:jc w:val="both"/>
        <w:rPr>
          <w:rFonts w:ascii="Bookman Old Style" w:hAnsi="Bookman Old Style"/>
        </w:rPr>
      </w:pPr>
      <w:r>
        <w:rPr>
          <w:rFonts w:ascii="Bookman Old Style" w:hAnsi="Bookman Old Style"/>
        </w:rPr>
        <w:t>En ejercicio de las funciones otorgadas</w:t>
      </w:r>
      <w:r w:rsidR="00417042">
        <w:rPr>
          <w:rFonts w:ascii="Bookman Old Style" w:hAnsi="Bookman Old Style"/>
        </w:rPr>
        <w:t>,</w:t>
      </w:r>
      <w:r>
        <w:rPr>
          <w:rFonts w:ascii="Bookman Old Style" w:hAnsi="Bookman Old Style"/>
        </w:rPr>
        <w:t xml:space="preserve"> </w:t>
      </w:r>
      <w:r w:rsidR="000D52EF">
        <w:rPr>
          <w:rFonts w:ascii="Bookman Old Style" w:hAnsi="Bookman Old Style"/>
        </w:rPr>
        <w:t xml:space="preserve">el </w:t>
      </w:r>
      <w:r w:rsidR="00BE2CF5">
        <w:rPr>
          <w:rFonts w:ascii="Bookman Old Style" w:hAnsi="Bookman Old Style"/>
        </w:rPr>
        <w:t>G</w:t>
      </w:r>
      <w:r w:rsidR="000D52EF">
        <w:rPr>
          <w:rFonts w:ascii="Bookman Old Style" w:hAnsi="Bookman Old Style"/>
        </w:rPr>
        <w:t xml:space="preserve">obierno </w:t>
      </w:r>
      <w:r w:rsidR="00BE2CF5">
        <w:rPr>
          <w:rFonts w:ascii="Bookman Old Style" w:hAnsi="Bookman Old Style"/>
        </w:rPr>
        <w:t>N</w:t>
      </w:r>
      <w:r w:rsidR="000D52EF">
        <w:rPr>
          <w:rFonts w:ascii="Bookman Old Style" w:hAnsi="Bookman Old Style"/>
        </w:rPr>
        <w:t>acional</w:t>
      </w:r>
      <w:r w:rsidR="00417042">
        <w:rPr>
          <w:rFonts w:ascii="Bookman Old Style" w:hAnsi="Bookman Old Style"/>
        </w:rPr>
        <w:t>,</w:t>
      </w:r>
      <w:r w:rsidR="000D52EF">
        <w:rPr>
          <w:rFonts w:ascii="Bookman Old Style" w:hAnsi="Bookman Old Style"/>
        </w:rPr>
        <w:t xml:space="preserve"> mediante el Decreto </w:t>
      </w:r>
      <w:r w:rsidR="00AE35FF">
        <w:rPr>
          <w:rFonts w:ascii="Bookman Old Style" w:hAnsi="Bookman Old Style"/>
        </w:rPr>
        <w:t>457</w:t>
      </w:r>
      <w:r w:rsidR="000D52EF">
        <w:rPr>
          <w:rFonts w:ascii="Bookman Old Style" w:hAnsi="Bookman Old Style"/>
        </w:rPr>
        <w:t xml:space="preserve"> del </w:t>
      </w:r>
      <w:r w:rsidR="00AE35FF">
        <w:rPr>
          <w:rFonts w:ascii="Bookman Old Style" w:hAnsi="Bookman Old Style"/>
        </w:rPr>
        <w:t>22</w:t>
      </w:r>
      <w:r w:rsidR="000D52EF">
        <w:rPr>
          <w:rFonts w:ascii="Bookman Old Style" w:hAnsi="Bookman Old Style"/>
        </w:rPr>
        <w:t xml:space="preserve"> de marzo de 2020, </w:t>
      </w:r>
      <w:r w:rsidR="008E1E51">
        <w:rPr>
          <w:rFonts w:ascii="Bookman Old Style" w:hAnsi="Bookman Old Style"/>
        </w:rPr>
        <w:t xml:space="preserve">ordenó </w:t>
      </w:r>
      <w:r w:rsidR="00622CB6">
        <w:rPr>
          <w:rFonts w:ascii="Bookman Old Style" w:hAnsi="Bookman Old Style"/>
        </w:rPr>
        <w:t>el</w:t>
      </w:r>
      <w:r w:rsidR="008E1E51">
        <w:rPr>
          <w:rFonts w:ascii="Bookman Old Style" w:hAnsi="Bookman Old Style"/>
        </w:rPr>
        <w:t xml:space="preserve"> </w:t>
      </w:r>
      <w:r w:rsidR="008E1E51" w:rsidRPr="00AA33B0">
        <w:rPr>
          <w:rFonts w:ascii="Bookman Old Style" w:hAnsi="Bookman Old Style" w:cs="Arial"/>
          <w:lang w:eastAsia="es-CO"/>
        </w:rPr>
        <w:t>aislamiento preventivo obligatorio</w:t>
      </w:r>
      <w:r w:rsidR="008E1E51">
        <w:rPr>
          <w:rFonts w:ascii="Bookman Old Style" w:hAnsi="Bookman Old Style"/>
        </w:rPr>
        <w:t xml:space="preserve"> </w:t>
      </w:r>
      <w:r w:rsidR="00622CB6">
        <w:rPr>
          <w:rFonts w:ascii="Bookman Old Style" w:hAnsi="Bookman Old Style"/>
        </w:rPr>
        <w:t xml:space="preserve">de todos los habitantes del territorio </w:t>
      </w:r>
      <w:r w:rsidR="005824E2">
        <w:rPr>
          <w:rFonts w:ascii="Bookman Old Style" w:hAnsi="Bookman Old Style"/>
        </w:rPr>
        <w:t>por diecinueve (19) días</w:t>
      </w:r>
      <w:r w:rsidR="002331D5">
        <w:rPr>
          <w:rFonts w:ascii="Bookman Old Style" w:hAnsi="Bookman Old Style"/>
        </w:rPr>
        <w:t>, lo</w:t>
      </w:r>
      <w:r w:rsidR="002C05C1">
        <w:rPr>
          <w:rFonts w:ascii="Bookman Old Style" w:hAnsi="Bookman Old Style"/>
        </w:rPr>
        <w:t xml:space="preserve"> que conlleva restricciones a la movilidad</w:t>
      </w:r>
      <w:r w:rsidR="00417042">
        <w:rPr>
          <w:rFonts w:ascii="Bookman Old Style" w:hAnsi="Bookman Old Style"/>
        </w:rPr>
        <w:t>,</w:t>
      </w:r>
      <w:r w:rsidR="002C05C1">
        <w:rPr>
          <w:rFonts w:ascii="Bookman Old Style" w:hAnsi="Bookman Old Style"/>
        </w:rPr>
        <w:t xml:space="preserve"> </w:t>
      </w:r>
      <w:r w:rsidR="008E1E51">
        <w:rPr>
          <w:rFonts w:ascii="Bookman Old Style" w:hAnsi="Bookman Old Style"/>
        </w:rPr>
        <w:t xml:space="preserve">con el objetivo de </w:t>
      </w:r>
      <w:r w:rsidR="000D52EF">
        <w:rPr>
          <w:rFonts w:ascii="Bookman Old Style" w:hAnsi="Bookman Old Style"/>
        </w:rPr>
        <w:t>lograr el aislamiento</w:t>
      </w:r>
      <w:r w:rsidR="005824E2">
        <w:rPr>
          <w:rFonts w:ascii="Bookman Old Style" w:hAnsi="Bookman Old Style"/>
        </w:rPr>
        <w:t xml:space="preserve"> de la población.</w:t>
      </w:r>
      <w:r w:rsidR="00F350F2">
        <w:rPr>
          <w:rFonts w:ascii="Bookman Old Style" w:hAnsi="Bookman Old Style"/>
        </w:rPr>
        <w:t xml:space="preserve"> </w:t>
      </w:r>
    </w:p>
    <w:p w14:paraId="63E91B80" w14:textId="28C3B73D" w:rsidR="0014751A" w:rsidRDefault="0014751A" w:rsidP="00EB599C">
      <w:pPr>
        <w:spacing w:before="280" w:after="280"/>
        <w:ind w:left="0"/>
        <w:jc w:val="both"/>
        <w:rPr>
          <w:rFonts w:ascii="Bookman Old Style" w:hAnsi="Bookman Old Style"/>
        </w:rPr>
      </w:pPr>
      <w:r>
        <w:rPr>
          <w:rFonts w:ascii="Bookman Old Style" w:hAnsi="Bookman Old Style"/>
        </w:rPr>
        <w:t>La normalización de las fronte</w:t>
      </w:r>
      <w:r w:rsidR="00C97CB2">
        <w:rPr>
          <w:rFonts w:ascii="Bookman Old Style" w:hAnsi="Bookman Old Style"/>
        </w:rPr>
        <w:t>r</w:t>
      </w:r>
      <w:r>
        <w:rPr>
          <w:rFonts w:ascii="Bookman Old Style" w:hAnsi="Bookman Old Style"/>
        </w:rPr>
        <w:t>as comerciales implica el desplazamiento de personal de las empresas de servicios públicos</w:t>
      </w:r>
      <w:r w:rsidR="009D55B5">
        <w:rPr>
          <w:rFonts w:ascii="Bookman Old Style" w:hAnsi="Bookman Old Style"/>
        </w:rPr>
        <w:t>, de proveedores</w:t>
      </w:r>
      <w:r>
        <w:rPr>
          <w:rFonts w:ascii="Bookman Old Style" w:hAnsi="Bookman Old Style"/>
        </w:rPr>
        <w:t xml:space="preserve"> y equipos</w:t>
      </w:r>
      <w:r w:rsidR="00BE2CF5">
        <w:rPr>
          <w:rFonts w:ascii="Bookman Old Style" w:hAnsi="Bookman Old Style"/>
        </w:rPr>
        <w:t>,</w:t>
      </w:r>
      <w:r>
        <w:rPr>
          <w:rFonts w:ascii="Bookman Old Style" w:hAnsi="Bookman Old Style"/>
        </w:rPr>
        <w:t xml:space="preserve"> a la ubicación de los sistemas de medición</w:t>
      </w:r>
      <w:r w:rsidR="009D55B5">
        <w:rPr>
          <w:rFonts w:ascii="Bookman Old Style" w:hAnsi="Bookman Old Style"/>
        </w:rPr>
        <w:t xml:space="preserve"> y</w:t>
      </w:r>
      <w:r w:rsidR="00512E3E">
        <w:rPr>
          <w:rFonts w:ascii="Bookman Old Style" w:hAnsi="Bookman Old Style"/>
        </w:rPr>
        <w:t>,</w:t>
      </w:r>
      <w:r>
        <w:rPr>
          <w:rFonts w:ascii="Bookman Old Style" w:hAnsi="Bookman Old Style"/>
        </w:rPr>
        <w:t xml:space="preserve"> en algunos casos</w:t>
      </w:r>
      <w:r w:rsidR="00512E3E">
        <w:rPr>
          <w:rFonts w:ascii="Bookman Old Style" w:hAnsi="Bookman Old Style"/>
        </w:rPr>
        <w:t>,</w:t>
      </w:r>
      <w:r>
        <w:rPr>
          <w:rFonts w:ascii="Bookman Old Style" w:hAnsi="Bookman Old Style"/>
        </w:rPr>
        <w:t xml:space="preserve"> corresponde al usuario</w:t>
      </w:r>
      <w:r w:rsidR="00512E3E">
        <w:rPr>
          <w:rFonts w:ascii="Bookman Old Style" w:hAnsi="Bookman Old Style"/>
        </w:rPr>
        <w:t>,</w:t>
      </w:r>
      <w:r>
        <w:rPr>
          <w:rFonts w:ascii="Bookman Old Style" w:hAnsi="Bookman Old Style"/>
        </w:rPr>
        <w:t xml:space="preserve"> y no a la empresa</w:t>
      </w:r>
      <w:r w:rsidR="00512E3E">
        <w:rPr>
          <w:rFonts w:ascii="Bookman Old Style" w:hAnsi="Bookman Old Style"/>
        </w:rPr>
        <w:t>,</w:t>
      </w:r>
      <w:r>
        <w:rPr>
          <w:rFonts w:ascii="Bookman Old Style" w:hAnsi="Bookman Old Style"/>
        </w:rPr>
        <w:t xml:space="preserve"> el suministro de los equipos de remplazo</w:t>
      </w:r>
      <w:r w:rsidR="004D2158">
        <w:rPr>
          <w:rFonts w:ascii="Bookman Old Style" w:hAnsi="Bookman Old Style"/>
        </w:rPr>
        <w:t>.</w:t>
      </w:r>
      <w:r>
        <w:rPr>
          <w:rFonts w:ascii="Bookman Old Style" w:hAnsi="Bookman Old Style"/>
        </w:rPr>
        <w:t xml:space="preserve">  </w:t>
      </w:r>
    </w:p>
    <w:p w14:paraId="138E8C19" w14:textId="62D94AEA" w:rsidR="009D55B5" w:rsidRDefault="009D55B5" w:rsidP="00EB599C">
      <w:pPr>
        <w:spacing w:before="280" w:after="280"/>
        <w:ind w:left="0"/>
        <w:jc w:val="both"/>
        <w:rPr>
          <w:rFonts w:ascii="Bookman Old Style" w:hAnsi="Bookman Old Style"/>
        </w:rPr>
      </w:pPr>
      <w:r>
        <w:rPr>
          <w:rFonts w:ascii="Bookman Old Style" w:hAnsi="Bookman Old Style"/>
        </w:rPr>
        <w:t>En el caso de las verificaciones y visitas a los sistemas de medición, estas implican el desplazamiento de personal de las empresas de servicios públicos, de las firmas de verificación contratadas por el Administrado</w:t>
      </w:r>
      <w:r w:rsidR="00512E3E">
        <w:rPr>
          <w:rFonts w:ascii="Bookman Old Style" w:hAnsi="Bookman Old Style"/>
        </w:rPr>
        <w:t>r</w:t>
      </w:r>
      <w:r>
        <w:rPr>
          <w:rFonts w:ascii="Bookman Old Style" w:hAnsi="Bookman Old Style"/>
        </w:rPr>
        <w:t xml:space="preserve"> del Sistema de Intercambios Comerciales y de los usuarios</w:t>
      </w:r>
      <w:r w:rsidR="00512E3E">
        <w:rPr>
          <w:rFonts w:ascii="Bookman Old Style" w:hAnsi="Bookman Old Style"/>
        </w:rPr>
        <w:t>,</w:t>
      </w:r>
      <w:r>
        <w:rPr>
          <w:rFonts w:ascii="Bookman Old Style" w:hAnsi="Bookman Old Style"/>
        </w:rPr>
        <w:t xml:space="preserve"> a </w:t>
      </w:r>
      <w:r w:rsidR="004D2158">
        <w:rPr>
          <w:rFonts w:ascii="Bookman Old Style" w:hAnsi="Bookman Old Style"/>
        </w:rPr>
        <w:t>las instalaciones de los sistemas de medición</w:t>
      </w:r>
      <w:r w:rsidR="00512E3E">
        <w:rPr>
          <w:rFonts w:ascii="Bookman Old Style" w:hAnsi="Bookman Old Style"/>
        </w:rPr>
        <w:t>,</w:t>
      </w:r>
      <w:r w:rsidR="004D2158">
        <w:rPr>
          <w:rFonts w:ascii="Bookman Old Style" w:hAnsi="Bookman Old Style"/>
        </w:rPr>
        <w:t xml:space="preserve"> los cuales </w:t>
      </w:r>
      <w:r w:rsidR="00512E3E">
        <w:rPr>
          <w:rFonts w:ascii="Bookman Old Style" w:hAnsi="Bookman Old Style"/>
        </w:rPr>
        <w:t xml:space="preserve">se </w:t>
      </w:r>
      <w:r w:rsidR="004D2158">
        <w:rPr>
          <w:rFonts w:ascii="Bookman Old Style" w:hAnsi="Bookman Old Style"/>
        </w:rPr>
        <w:t>encuentran distribuidos en todo el país.</w:t>
      </w:r>
      <w:r>
        <w:rPr>
          <w:rFonts w:ascii="Bookman Old Style" w:hAnsi="Bookman Old Style"/>
        </w:rPr>
        <w:t xml:space="preserve"> </w:t>
      </w:r>
    </w:p>
    <w:p w14:paraId="6B5A8158" w14:textId="783278BB" w:rsidR="004D2158" w:rsidRDefault="00242D70" w:rsidP="00EB599C">
      <w:pPr>
        <w:spacing w:before="280" w:after="280"/>
        <w:ind w:left="0"/>
        <w:jc w:val="both"/>
        <w:rPr>
          <w:rFonts w:ascii="Bookman Old Style" w:hAnsi="Bookman Old Style"/>
        </w:rPr>
      </w:pPr>
      <w:r w:rsidRPr="00D56F6B">
        <w:rPr>
          <w:rFonts w:ascii="Bookman Old Style" w:hAnsi="Bookman Old Style"/>
        </w:rPr>
        <w:t>Por estas razones</w:t>
      </w:r>
      <w:r w:rsidR="00417042">
        <w:rPr>
          <w:rFonts w:ascii="Bookman Old Style" w:hAnsi="Bookman Old Style"/>
        </w:rPr>
        <w:t>,</w:t>
      </w:r>
      <w:r w:rsidRPr="00D56F6B">
        <w:rPr>
          <w:rFonts w:ascii="Bookman Old Style" w:hAnsi="Bookman Old Style"/>
        </w:rPr>
        <w:t xml:space="preserve"> la Comisión considera necesario suspender la</w:t>
      </w:r>
      <w:r w:rsidR="004D2158">
        <w:rPr>
          <w:rFonts w:ascii="Bookman Old Style" w:hAnsi="Bookman Old Style"/>
        </w:rPr>
        <w:t xml:space="preserve">s visitas y verificaciones de los sistemas de medición en aplicación de las resoluciones CREG </w:t>
      </w:r>
      <w:r w:rsidR="001C3AD3">
        <w:rPr>
          <w:rFonts w:ascii="Bookman Old Style" w:hAnsi="Bookman Old Style"/>
        </w:rPr>
        <w:t xml:space="preserve">156 y </w:t>
      </w:r>
      <w:r w:rsidR="004D2158">
        <w:rPr>
          <w:rFonts w:ascii="Bookman Old Style" w:hAnsi="Bookman Old Style"/>
        </w:rPr>
        <w:t>157 de 2011</w:t>
      </w:r>
      <w:r w:rsidR="00512E3E">
        <w:rPr>
          <w:rFonts w:ascii="Bookman Old Style" w:hAnsi="Bookman Old Style"/>
        </w:rPr>
        <w:t>,</w:t>
      </w:r>
      <w:r w:rsidR="004D2158">
        <w:rPr>
          <w:rFonts w:ascii="Bookman Old Style" w:hAnsi="Bookman Old Style"/>
        </w:rPr>
        <w:t xml:space="preserve"> y CREG 038 de 2014</w:t>
      </w:r>
      <w:r w:rsidR="00622CB6">
        <w:rPr>
          <w:rFonts w:ascii="Bookman Old Style" w:hAnsi="Bookman Old Style"/>
        </w:rPr>
        <w:t>,</w:t>
      </w:r>
      <w:r w:rsidRPr="00D56F6B">
        <w:rPr>
          <w:rFonts w:ascii="Bookman Old Style" w:hAnsi="Bookman Old Style"/>
        </w:rPr>
        <w:t xml:space="preserve"> de tal forma</w:t>
      </w:r>
      <w:r>
        <w:rPr>
          <w:rFonts w:ascii="Bookman Old Style" w:hAnsi="Bookman Old Style"/>
        </w:rPr>
        <w:t xml:space="preserve"> que </w:t>
      </w:r>
      <w:r w:rsidR="004D2158">
        <w:rPr>
          <w:rFonts w:ascii="Bookman Old Style" w:hAnsi="Bookman Old Style"/>
        </w:rPr>
        <w:t>se mitiguen los riesgos de contagio del COVID 19</w:t>
      </w:r>
      <w:r w:rsidR="00512E3E">
        <w:rPr>
          <w:rFonts w:ascii="Bookman Old Style" w:hAnsi="Bookman Old Style"/>
        </w:rPr>
        <w:t>,</w:t>
      </w:r>
      <w:r w:rsidR="004D2158">
        <w:rPr>
          <w:rFonts w:ascii="Bookman Old Style" w:hAnsi="Bookman Old Style"/>
        </w:rPr>
        <w:t xml:space="preserve"> en cumplimiento del aislamiento preventivo obligatorio dispuesto en el Decreto 457 del 22 de marzo de 2020</w:t>
      </w:r>
      <w:r w:rsidR="00512E3E">
        <w:rPr>
          <w:rFonts w:ascii="Bookman Old Style" w:hAnsi="Bookman Old Style"/>
        </w:rPr>
        <w:t>,</w:t>
      </w:r>
      <w:r w:rsidR="001C3AD3">
        <w:rPr>
          <w:rFonts w:ascii="Bookman Old Style" w:hAnsi="Bookman Old Style"/>
        </w:rPr>
        <w:t xml:space="preserve"> </w:t>
      </w:r>
      <w:r w:rsidR="001C3AD3">
        <w:rPr>
          <w:rFonts w:ascii="Bookman Old Style" w:hAnsi="Bookman Old Style"/>
          <w:bCs/>
        </w:rPr>
        <w:t>o aquel que lo modifique, adicione o sustituya</w:t>
      </w:r>
      <w:r w:rsidR="004D2158">
        <w:rPr>
          <w:rFonts w:ascii="Bookman Old Style" w:hAnsi="Bookman Old Style"/>
        </w:rPr>
        <w:t>.</w:t>
      </w:r>
    </w:p>
    <w:p w14:paraId="0B21498C" w14:textId="39C99D1E" w:rsidR="00EE5A40" w:rsidRDefault="00EE5A40" w:rsidP="00EB599C">
      <w:pPr>
        <w:spacing w:before="280" w:after="280"/>
        <w:ind w:left="0"/>
        <w:jc w:val="both"/>
        <w:rPr>
          <w:rFonts w:ascii="Bookman Old Style" w:hAnsi="Bookman Old Style" w:cs="Arial"/>
        </w:rPr>
      </w:pPr>
      <w:r w:rsidRPr="3D16F7CD">
        <w:rPr>
          <w:rFonts w:ascii="Bookman Old Style" w:hAnsi="Bookman Old Style" w:cs="Arial"/>
        </w:rPr>
        <w:t>Mediante la Resolución CREG 0</w:t>
      </w:r>
      <w:r>
        <w:rPr>
          <w:rFonts w:ascii="Bookman Old Style" w:hAnsi="Bookman Old Style" w:cs="Arial"/>
        </w:rPr>
        <w:t xml:space="preserve">40 </w:t>
      </w:r>
      <w:r w:rsidRPr="3D16F7CD">
        <w:rPr>
          <w:rFonts w:ascii="Bookman Old Style" w:hAnsi="Bookman Old Style" w:cs="Arial"/>
        </w:rPr>
        <w:t>de</w:t>
      </w:r>
      <w:r>
        <w:rPr>
          <w:rFonts w:ascii="Bookman Old Style" w:hAnsi="Bookman Old Style" w:cs="Arial"/>
        </w:rPr>
        <w:t>l</w:t>
      </w:r>
      <w:r w:rsidRPr="3D16F7CD">
        <w:rPr>
          <w:rFonts w:ascii="Bookman Old Style" w:hAnsi="Bookman Old Style" w:cs="Arial"/>
        </w:rPr>
        <w:t xml:space="preserve"> </w:t>
      </w:r>
      <w:r>
        <w:rPr>
          <w:rFonts w:ascii="Bookman Old Style" w:hAnsi="Bookman Old Style" w:cs="Arial"/>
        </w:rPr>
        <w:t>31</w:t>
      </w:r>
      <w:r w:rsidRPr="3D16F7CD">
        <w:rPr>
          <w:rFonts w:ascii="Bookman Old Style" w:hAnsi="Bookman Old Style" w:cs="Arial"/>
        </w:rPr>
        <w:t xml:space="preserve"> de </w:t>
      </w:r>
      <w:r>
        <w:rPr>
          <w:rFonts w:ascii="Bookman Old Style" w:hAnsi="Bookman Old Style" w:cs="Arial"/>
        </w:rPr>
        <w:t>m</w:t>
      </w:r>
      <w:r w:rsidRPr="3D16F7CD">
        <w:rPr>
          <w:rFonts w:ascii="Bookman Old Style" w:hAnsi="Bookman Old Style" w:cs="Arial"/>
        </w:rPr>
        <w:t>arzo de 2020</w:t>
      </w:r>
      <w:r w:rsidR="00BE2CF5">
        <w:rPr>
          <w:rFonts w:ascii="Bookman Old Style" w:hAnsi="Bookman Old Style" w:cs="Arial"/>
        </w:rPr>
        <w:t>,</w:t>
      </w:r>
      <w:r w:rsidRPr="3D16F7CD">
        <w:rPr>
          <w:rFonts w:ascii="Bookman Old Style" w:hAnsi="Bookman Old Style" w:cs="Arial"/>
        </w:rPr>
        <w:t xml:space="preserve"> la Comisión expidió el proyecto regulatorio “</w:t>
      </w:r>
      <w:r w:rsidRPr="3D16F7CD">
        <w:rPr>
          <w:rFonts w:ascii="Bookman Old Style" w:eastAsia="Bookman Old Style" w:hAnsi="Bookman Old Style" w:cs="Bookman Old Style"/>
        </w:rPr>
        <w:t>Por la cual se ordena hacer público un proyecto de resolución ´</w:t>
      </w:r>
      <w:r w:rsidRPr="00EE5A40">
        <w:rPr>
          <w:rFonts w:ascii="Bookman Old Style" w:eastAsia="Bookman Old Style" w:hAnsi="Bookman Old Style" w:cs="Bookman Old Style"/>
        </w:rPr>
        <w:t>Por la cual se adoptan reglas transitorias sobre las visitas y verificaciones de los sistemas de medida de que tratan las resoluciones CREG 156 y 157 de 2011 y 038 de 2014</w:t>
      </w:r>
      <w:r w:rsidR="00BE2CF5">
        <w:rPr>
          <w:rFonts w:ascii="Bookman Old Style" w:eastAsia="Bookman Old Style" w:hAnsi="Bookman Old Style" w:cs="Bookman Old Style"/>
        </w:rPr>
        <w:t>´</w:t>
      </w:r>
      <w:r w:rsidRPr="3D16F7CD">
        <w:rPr>
          <w:rFonts w:ascii="Bookman Old Style" w:hAnsi="Bookman Old Style" w:cs="Arial"/>
        </w:rPr>
        <w:t xml:space="preserve">”. </w:t>
      </w:r>
    </w:p>
    <w:p w14:paraId="170F2999" w14:textId="069D69FC" w:rsidR="00EE5A40" w:rsidRDefault="00EE5A40" w:rsidP="00EB599C">
      <w:pPr>
        <w:spacing w:before="280" w:after="280"/>
        <w:ind w:left="0"/>
        <w:jc w:val="both"/>
        <w:rPr>
          <w:rFonts w:ascii="Bookman Old Style" w:hAnsi="Bookman Old Style" w:cs="Arial"/>
        </w:rPr>
      </w:pPr>
      <w:r w:rsidRPr="3B699E14">
        <w:rPr>
          <w:rFonts w:ascii="Bookman Old Style" w:hAnsi="Bookman Old Style" w:cs="Arial"/>
        </w:rPr>
        <w:t>Durante el período de consulta se recibieron comentarios por parte de los agentes que se listan a continuación</w:t>
      </w:r>
      <w:r w:rsidR="00BE2CF5">
        <w:rPr>
          <w:rFonts w:ascii="Bookman Old Style" w:hAnsi="Bookman Old Style" w:cs="Arial"/>
        </w:rPr>
        <w:t>,</w:t>
      </w:r>
      <w:r w:rsidRPr="3B699E14">
        <w:rPr>
          <w:rFonts w:ascii="Bookman Old Style" w:hAnsi="Bookman Old Style" w:cs="Arial"/>
        </w:rPr>
        <w:t xml:space="preserve"> a través de los </w:t>
      </w:r>
      <w:r w:rsidR="7B03675F" w:rsidRPr="6B1FC9A3">
        <w:rPr>
          <w:rFonts w:ascii="Bookman Old Style" w:hAnsi="Bookman Old Style" w:cs="Arial"/>
        </w:rPr>
        <w:t>siguientes</w:t>
      </w:r>
      <w:r w:rsidRPr="6B1FC9A3">
        <w:rPr>
          <w:rFonts w:ascii="Bookman Old Style" w:hAnsi="Bookman Old Style" w:cs="Arial"/>
        </w:rPr>
        <w:t xml:space="preserve"> </w:t>
      </w:r>
      <w:r w:rsidRPr="3B699E14">
        <w:rPr>
          <w:rFonts w:ascii="Bookman Old Style" w:hAnsi="Bookman Old Style" w:cs="Arial"/>
        </w:rPr>
        <w:t>radicados:</w:t>
      </w: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984"/>
        <w:gridCol w:w="284"/>
        <w:gridCol w:w="2693"/>
        <w:gridCol w:w="1843"/>
      </w:tblGrid>
      <w:tr w:rsidR="000747C8" w:rsidRPr="000747C8" w14:paraId="652D5485" w14:textId="18A06CB5" w:rsidTr="00DB3920">
        <w:trPr>
          <w:trHeight w:val="455"/>
          <w:tblHeader/>
        </w:trPr>
        <w:tc>
          <w:tcPr>
            <w:tcW w:w="2547" w:type="dxa"/>
            <w:tcBorders>
              <w:top w:val="single" w:sz="4" w:space="0" w:color="auto"/>
              <w:left w:val="single" w:sz="4" w:space="0" w:color="auto"/>
              <w:bottom w:val="single" w:sz="4" w:space="0" w:color="auto"/>
              <w:right w:val="single" w:sz="4" w:space="0" w:color="auto"/>
            </w:tcBorders>
            <w:vAlign w:val="center"/>
          </w:tcPr>
          <w:p w14:paraId="60380D8E" w14:textId="72318626" w:rsidR="000B00E4" w:rsidRPr="000747C8" w:rsidRDefault="000B00E4" w:rsidP="005F62DD">
            <w:pPr>
              <w:ind w:left="38"/>
              <w:jc w:val="center"/>
              <w:rPr>
                <w:rFonts w:ascii="Bookman Old Style" w:eastAsia="Arial" w:hAnsi="Bookman Old Style" w:cs="Arial"/>
                <w:b/>
                <w:bCs/>
                <w:sz w:val="20"/>
                <w:szCs w:val="20"/>
              </w:rPr>
            </w:pPr>
            <w:r w:rsidRPr="000747C8">
              <w:rPr>
                <w:rFonts w:ascii="Bookman Old Style" w:eastAsia="Arial" w:hAnsi="Bookman Old Style" w:cs="Arial"/>
                <w:b/>
                <w:bCs/>
                <w:sz w:val="20"/>
                <w:szCs w:val="20"/>
                <w:lang w:val="es-MX"/>
              </w:rPr>
              <w:t>EMPRESA</w:t>
            </w:r>
          </w:p>
        </w:tc>
        <w:tc>
          <w:tcPr>
            <w:tcW w:w="1984" w:type="dxa"/>
            <w:tcBorders>
              <w:top w:val="single" w:sz="4" w:space="0" w:color="auto"/>
              <w:left w:val="single" w:sz="4" w:space="0" w:color="auto"/>
              <w:bottom w:val="single" w:sz="4" w:space="0" w:color="auto"/>
              <w:right w:val="single" w:sz="4" w:space="0" w:color="auto"/>
            </w:tcBorders>
            <w:vAlign w:val="center"/>
          </w:tcPr>
          <w:p w14:paraId="7004AEC3" w14:textId="01FA94C2" w:rsidR="000B00E4" w:rsidRPr="000747C8" w:rsidRDefault="000B00E4" w:rsidP="005F62DD">
            <w:pPr>
              <w:ind w:left="34"/>
              <w:jc w:val="center"/>
              <w:rPr>
                <w:rFonts w:ascii="Bookman Old Style" w:eastAsia="Arial" w:hAnsi="Bookman Old Style" w:cs="Arial"/>
                <w:b/>
                <w:bCs/>
                <w:sz w:val="20"/>
                <w:szCs w:val="20"/>
              </w:rPr>
            </w:pPr>
            <w:r w:rsidRPr="000747C8">
              <w:rPr>
                <w:rFonts w:ascii="Bookman Old Style" w:eastAsia="Arial" w:hAnsi="Bookman Old Style" w:cs="Arial"/>
                <w:b/>
                <w:bCs/>
                <w:sz w:val="20"/>
                <w:szCs w:val="20"/>
                <w:lang w:val="es-MX"/>
              </w:rPr>
              <w:t>RADICADO CREG</w:t>
            </w:r>
          </w:p>
        </w:tc>
        <w:tc>
          <w:tcPr>
            <w:tcW w:w="284" w:type="dxa"/>
            <w:tcBorders>
              <w:left w:val="single" w:sz="4" w:space="0" w:color="auto"/>
              <w:right w:val="single" w:sz="4" w:space="0" w:color="auto"/>
            </w:tcBorders>
          </w:tcPr>
          <w:p w14:paraId="32CF8E07" w14:textId="77777777" w:rsidR="000B00E4" w:rsidRPr="000747C8" w:rsidRDefault="000B00E4" w:rsidP="005F62DD">
            <w:pPr>
              <w:ind w:left="34"/>
              <w:jc w:val="center"/>
              <w:rPr>
                <w:rFonts w:ascii="Bookman Old Style" w:eastAsia="Arial" w:hAnsi="Bookman Old Style" w:cs="Arial"/>
                <w:b/>
                <w:bCs/>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14ABBA75" w14:textId="79524A49" w:rsidR="000B00E4" w:rsidRPr="000747C8" w:rsidRDefault="000B00E4" w:rsidP="005F62DD">
            <w:pPr>
              <w:ind w:left="34"/>
              <w:jc w:val="center"/>
              <w:rPr>
                <w:rFonts w:ascii="Bookman Old Style" w:eastAsia="Arial" w:hAnsi="Bookman Old Style" w:cs="Arial"/>
                <w:b/>
                <w:bCs/>
                <w:sz w:val="20"/>
                <w:szCs w:val="20"/>
                <w:lang w:val="es-MX"/>
              </w:rPr>
            </w:pPr>
            <w:r w:rsidRPr="000747C8">
              <w:rPr>
                <w:rFonts w:ascii="Bookman Old Style" w:eastAsia="Arial" w:hAnsi="Bookman Old Style" w:cs="Arial"/>
                <w:b/>
                <w:bCs/>
                <w:sz w:val="20"/>
                <w:szCs w:val="20"/>
                <w:lang w:val="es-MX"/>
              </w:rPr>
              <w:t>EMPRESA</w:t>
            </w:r>
          </w:p>
        </w:tc>
        <w:tc>
          <w:tcPr>
            <w:tcW w:w="1843" w:type="dxa"/>
            <w:tcBorders>
              <w:top w:val="single" w:sz="4" w:space="0" w:color="auto"/>
              <w:left w:val="single" w:sz="4" w:space="0" w:color="auto"/>
              <w:bottom w:val="single" w:sz="4" w:space="0" w:color="auto"/>
              <w:right w:val="single" w:sz="4" w:space="0" w:color="auto"/>
            </w:tcBorders>
            <w:vAlign w:val="center"/>
          </w:tcPr>
          <w:p w14:paraId="5D771838" w14:textId="64F8B9EB" w:rsidR="000B00E4" w:rsidRPr="000747C8" w:rsidRDefault="000B00E4" w:rsidP="005F62DD">
            <w:pPr>
              <w:ind w:left="34"/>
              <w:jc w:val="center"/>
              <w:rPr>
                <w:rFonts w:ascii="Bookman Old Style" w:eastAsia="Arial" w:hAnsi="Bookman Old Style" w:cs="Arial"/>
                <w:b/>
                <w:bCs/>
                <w:sz w:val="20"/>
                <w:szCs w:val="20"/>
                <w:lang w:val="es-MX"/>
              </w:rPr>
            </w:pPr>
            <w:r w:rsidRPr="000747C8">
              <w:rPr>
                <w:rFonts w:ascii="Bookman Old Style" w:eastAsia="Arial" w:hAnsi="Bookman Old Style" w:cs="Arial"/>
                <w:b/>
                <w:bCs/>
                <w:sz w:val="20"/>
                <w:szCs w:val="20"/>
                <w:lang w:val="es-MX"/>
              </w:rPr>
              <w:t>RADICADO CREG</w:t>
            </w:r>
          </w:p>
        </w:tc>
      </w:tr>
      <w:tr w:rsidR="000747C8" w:rsidRPr="000747C8" w14:paraId="3C276168" w14:textId="0ACD3817"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28BE90B3" w14:textId="04223D69" w:rsidR="000B00E4" w:rsidRPr="000747C8" w:rsidRDefault="000B00E4" w:rsidP="000B00E4">
            <w:pPr>
              <w:ind w:left="38"/>
              <w:rPr>
                <w:rFonts w:ascii="Bookman Old Style" w:eastAsia="Arial" w:hAnsi="Bookman Old Style" w:cs="Arial"/>
                <w:sz w:val="20"/>
                <w:szCs w:val="20"/>
              </w:rPr>
            </w:pPr>
            <w:r w:rsidRPr="000747C8">
              <w:rPr>
                <w:rFonts w:ascii="Bookman Old Style" w:eastAsia="Arial" w:hAnsi="Bookman Old Style" w:cs="Arial"/>
                <w:sz w:val="20"/>
                <w:szCs w:val="20"/>
                <w:lang w:val="es-MX"/>
              </w:rPr>
              <w:t>Termovalle S.A. E.S.P.</w:t>
            </w:r>
          </w:p>
        </w:tc>
        <w:tc>
          <w:tcPr>
            <w:tcW w:w="1984" w:type="dxa"/>
            <w:tcBorders>
              <w:top w:val="single" w:sz="4" w:space="0" w:color="auto"/>
              <w:left w:val="single" w:sz="4" w:space="0" w:color="auto"/>
              <w:bottom w:val="single" w:sz="4" w:space="0" w:color="auto"/>
              <w:right w:val="single" w:sz="4" w:space="0" w:color="auto"/>
            </w:tcBorders>
            <w:vAlign w:val="center"/>
          </w:tcPr>
          <w:p w14:paraId="476D18A4" w14:textId="1B46F754" w:rsidR="000B00E4" w:rsidRPr="000747C8" w:rsidRDefault="000B00E4" w:rsidP="000B00E4">
            <w:pPr>
              <w:ind w:left="36"/>
              <w:rPr>
                <w:rFonts w:ascii="Bookman Old Style" w:eastAsia="Arial" w:hAnsi="Bookman Old Style" w:cs="Arial"/>
                <w:sz w:val="20"/>
                <w:szCs w:val="20"/>
              </w:rPr>
            </w:pPr>
            <w:r w:rsidRPr="000747C8">
              <w:rPr>
                <w:rFonts w:ascii="Bookman Old Style" w:eastAsia="Arial" w:hAnsi="Bookman Old Style" w:cs="Arial"/>
                <w:sz w:val="20"/>
                <w:szCs w:val="20"/>
                <w:lang w:val="es-MX"/>
              </w:rPr>
              <w:t>E-2020-002842</w:t>
            </w:r>
          </w:p>
        </w:tc>
        <w:tc>
          <w:tcPr>
            <w:tcW w:w="284" w:type="dxa"/>
            <w:tcBorders>
              <w:left w:val="single" w:sz="4" w:space="0" w:color="auto"/>
              <w:right w:val="single" w:sz="4" w:space="0" w:color="auto"/>
            </w:tcBorders>
            <w:vAlign w:val="center"/>
          </w:tcPr>
          <w:p w14:paraId="34B726CE"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50D3F02D" w14:textId="3A4A657D"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Comité Asesor de Comercialización</w:t>
            </w:r>
          </w:p>
        </w:tc>
        <w:tc>
          <w:tcPr>
            <w:tcW w:w="1843" w:type="dxa"/>
            <w:tcBorders>
              <w:top w:val="single" w:sz="4" w:space="0" w:color="auto"/>
              <w:left w:val="single" w:sz="4" w:space="0" w:color="auto"/>
              <w:bottom w:val="single" w:sz="4" w:space="0" w:color="auto"/>
              <w:right w:val="single" w:sz="4" w:space="0" w:color="auto"/>
            </w:tcBorders>
            <w:vAlign w:val="center"/>
          </w:tcPr>
          <w:p w14:paraId="7DED6F24" w14:textId="21F7C401"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E-2020-002884</w:t>
            </w:r>
          </w:p>
        </w:tc>
      </w:tr>
      <w:tr w:rsidR="000747C8" w:rsidRPr="000747C8" w14:paraId="389189C3" w14:textId="024670C3"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373CBD45" w14:textId="6EB17E58" w:rsidR="7F9ED491" w:rsidRPr="7F9ED491" w:rsidRDefault="7F9ED491" w:rsidP="7F9ED491">
            <w:pPr>
              <w:ind w:left="0"/>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Negawatt S.A.S.</w:t>
            </w:r>
          </w:p>
        </w:tc>
        <w:tc>
          <w:tcPr>
            <w:tcW w:w="1984" w:type="dxa"/>
            <w:tcBorders>
              <w:top w:val="single" w:sz="4" w:space="0" w:color="auto"/>
              <w:left w:val="single" w:sz="4" w:space="0" w:color="auto"/>
              <w:bottom w:val="single" w:sz="4" w:space="0" w:color="auto"/>
              <w:right w:val="single" w:sz="4" w:space="0" w:color="auto"/>
            </w:tcBorders>
            <w:vAlign w:val="center"/>
          </w:tcPr>
          <w:p w14:paraId="74B889ED" w14:textId="4916B496" w:rsidR="7F9ED491" w:rsidRPr="7F9ED491" w:rsidRDefault="7F9ED491" w:rsidP="7F9ED491">
            <w:pPr>
              <w:ind w:left="0"/>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E-2020-002845</w:t>
            </w:r>
          </w:p>
        </w:tc>
        <w:tc>
          <w:tcPr>
            <w:tcW w:w="284" w:type="dxa"/>
            <w:tcBorders>
              <w:left w:val="single" w:sz="4" w:space="0" w:color="auto"/>
              <w:right w:val="single" w:sz="4" w:space="0" w:color="auto"/>
            </w:tcBorders>
            <w:vAlign w:val="center"/>
          </w:tcPr>
          <w:p w14:paraId="3A6243B1"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2A8C7589" w14:textId="392728E4"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Luis Hernández</w:t>
            </w:r>
          </w:p>
        </w:tc>
        <w:tc>
          <w:tcPr>
            <w:tcW w:w="1843" w:type="dxa"/>
            <w:tcBorders>
              <w:top w:val="single" w:sz="4" w:space="0" w:color="auto"/>
              <w:left w:val="single" w:sz="4" w:space="0" w:color="auto"/>
              <w:bottom w:val="single" w:sz="4" w:space="0" w:color="auto"/>
              <w:right w:val="single" w:sz="4" w:space="0" w:color="auto"/>
            </w:tcBorders>
            <w:vAlign w:val="center"/>
          </w:tcPr>
          <w:p w14:paraId="6360AC0C" w14:textId="2E587418"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E-2020-002886</w:t>
            </w:r>
          </w:p>
        </w:tc>
      </w:tr>
      <w:tr w:rsidR="000747C8" w:rsidRPr="000747C8" w14:paraId="2E1B0755" w14:textId="1BFED410"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D32CF8C" w14:textId="48E2CE4D"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QI Energy</w:t>
            </w:r>
          </w:p>
        </w:tc>
        <w:tc>
          <w:tcPr>
            <w:tcW w:w="1984" w:type="dxa"/>
            <w:tcBorders>
              <w:top w:val="single" w:sz="4" w:space="0" w:color="auto"/>
              <w:left w:val="single" w:sz="4" w:space="0" w:color="auto"/>
              <w:bottom w:val="single" w:sz="4" w:space="0" w:color="auto"/>
              <w:right w:val="single" w:sz="4" w:space="0" w:color="auto"/>
            </w:tcBorders>
            <w:vAlign w:val="center"/>
          </w:tcPr>
          <w:p w14:paraId="48EEE242" w14:textId="3A3D34F2"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E-2020-002847</w:t>
            </w:r>
          </w:p>
        </w:tc>
        <w:tc>
          <w:tcPr>
            <w:tcW w:w="284" w:type="dxa"/>
            <w:tcBorders>
              <w:left w:val="single" w:sz="4" w:space="0" w:color="auto"/>
              <w:right w:val="single" w:sz="4" w:space="0" w:color="auto"/>
            </w:tcBorders>
            <w:vAlign w:val="center"/>
          </w:tcPr>
          <w:p w14:paraId="69619C9C"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4BC46D09" w14:textId="126A7837"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Andesco</w:t>
            </w:r>
          </w:p>
        </w:tc>
        <w:tc>
          <w:tcPr>
            <w:tcW w:w="1843" w:type="dxa"/>
            <w:tcBorders>
              <w:top w:val="single" w:sz="4" w:space="0" w:color="auto"/>
              <w:left w:val="single" w:sz="4" w:space="0" w:color="auto"/>
              <w:bottom w:val="single" w:sz="4" w:space="0" w:color="auto"/>
              <w:right w:val="single" w:sz="4" w:space="0" w:color="auto"/>
            </w:tcBorders>
            <w:vAlign w:val="center"/>
          </w:tcPr>
          <w:p w14:paraId="1A1A2BC1" w14:textId="19929200"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E-2020-002889</w:t>
            </w:r>
          </w:p>
        </w:tc>
      </w:tr>
      <w:tr w:rsidR="000747C8" w:rsidRPr="000747C8" w14:paraId="1DFE6E17" w14:textId="58181554"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4B6C8D67" w14:textId="3C1869AE"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Dicel S.A. E.S.P.</w:t>
            </w:r>
          </w:p>
        </w:tc>
        <w:tc>
          <w:tcPr>
            <w:tcW w:w="1984" w:type="dxa"/>
            <w:tcBorders>
              <w:top w:val="single" w:sz="4" w:space="0" w:color="auto"/>
              <w:left w:val="single" w:sz="4" w:space="0" w:color="auto"/>
              <w:bottom w:val="single" w:sz="4" w:space="0" w:color="auto"/>
              <w:right w:val="single" w:sz="4" w:space="0" w:color="auto"/>
            </w:tcBorders>
            <w:vAlign w:val="center"/>
          </w:tcPr>
          <w:p w14:paraId="096FA5FB" w14:textId="2BF59475"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E-2020-002860</w:t>
            </w:r>
          </w:p>
        </w:tc>
        <w:tc>
          <w:tcPr>
            <w:tcW w:w="284" w:type="dxa"/>
            <w:tcBorders>
              <w:left w:val="single" w:sz="4" w:space="0" w:color="auto"/>
              <w:right w:val="single" w:sz="4" w:space="0" w:color="auto"/>
            </w:tcBorders>
            <w:vAlign w:val="center"/>
          </w:tcPr>
          <w:p w14:paraId="2EDB7096"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274A4D3F" w14:textId="26F7D06F"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ASC Ingeniería S.A.S.</w:t>
            </w:r>
          </w:p>
        </w:tc>
        <w:tc>
          <w:tcPr>
            <w:tcW w:w="1843" w:type="dxa"/>
            <w:tcBorders>
              <w:top w:val="single" w:sz="4" w:space="0" w:color="auto"/>
              <w:left w:val="single" w:sz="4" w:space="0" w:color="auto"/>
              <w:bottom w:val="single" w:sz="4" w:space="0" w:color="auto"/>
              <w:right w:val="single" w:sz="4" w:space="0" w:color="auto"/>
            </w:tcBorders>
            <w:vAlign w:val="center"/>
          </w:tcPr>
          <w:p w14:paraId="2EF71C12" w14:textId="0C040247"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E-2020-002892</w:t>
            </w:r>
          </w:p>
        </w:tc>
      </w:tr>
      <w:tr w:rsidR="000747C8" w:rsidRPr="000747C8" w14:paraId="75B8B68C" w14:textId="30317760"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3C66A79E" w14:textId="4FCDCDF3"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ACCE</w:t>
            </w:r>
          </w:p>
        </w:tc>
        <w:tc>
          <w:tcPr>
            <w:tcW w:w="1984" w:type="dxa"/>
            <w:tcBorders>
              <w:top w:val="single" w:sz="4" w:space="0" w:color="auto"/>
              <w:left w:val="single" w:sz="4" w:space="0" w:color="auto"/>
              <w:bottom w:val="single" w:sz="4" w:space="0" w:color="auto"/>
              <w:right w:val="single" w:sz="4" w:space="0" w:color="auto"/>
            </w:tcBorders>
            <w:vAlign w:val="center"/>
          </w:tcPr>
          <w:p w14:paraId="1663DD01" w14:textId="24CB1669"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E-2020-002867</w:t>
            </w:r>
          </w:p>
        </w:tc>
        <w:tc>
          <w:tcPr>
            <w:tcW w:w="284" w:type="dxa"/>
            <w:tcBorders>
              <w:left w:val="single" w:sz="4" w:space="0" w:color="auto"/>
              <w:right w:val="single" w:sz="4" w:space="0" w:color="auto"/>
            </w:tcBorders>
            <w:vAlign w:val="center"/>
          </w:tcPr>
          <w:p w14:paraId="3CB9CE3D"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00AE443F" w14:textId="10D80A01"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Electricaribe S.A. E.S.P.</w:t>
            </w:r>
          </w:p>
        </w:tc>
        <w:tc>
          <w:tcPr>
            <w:tcW w:w="1843" w:type="dxa"/>
            <w:tcBorders>
              <w:top w:val="single" w:sz="4" w:space="0" w:color="auto"/>
              <w:left w:val="single" w:sz="4" w:space="0" w:color="auto"/>
              <w:bottom w:val="single" w:sz="4" w:space="0" w:color="auto"/>
              <w:right w:val="single" w:sz="4" w:space="0" w:color="auto"/>
            </w:tcBorders>
            <w:vAlign w:val="center"/>
          </w:tcPr>
          <w:p w14:paraId="4B048248" w14:textId="77777777" w:rsidR="000B00E4" w:rsidRPr="000747C8" w:rsidRDefault="000B00E4" w:rsidP="000B00E4">
            <w:pPr>
              <w:ind w:left="36"/>
              <w:rPr>
                <w:rFonts w:ascii="Bookman Old Style" w:eastAsia="Arial" w:hAnsi="Bookman Old Style" w:cs="Arial"/>
                <w:sz w:val="20"/>
                <w:szCs w:val="20"/>
              </w:rPr>
            </w:pPr>
            <w:r w:rsidRPr="000747C8">
              <w:rPr>
                <w:rFonts w:ascii="Bookman Old Style" w:eastAsia="Arial" w:hAnsi="Bookman Old Style" w:cs="Arial"/>
                <w:sz w:val="20"/>
                <w:szCs w:val="20"/>
                <w:lang w:val="es-MX"/>
              </w:rPr>
              <w:t>E-2020-002893</w:t>
            </w:r>
          </w:p>
          <w:p w14:paraId="0706EDA9" w14:textId="77777777" w:rsidR="000B00E4" w:rsidRPr="000747C8" w:rsidRDefault="000B00E4" w:rsidP="000B00E4">
            <w:pPr>
              <w:ind w:left="36"/>
              <w:rPr>
                <w:rFonts w:ascii="Bookman Old Style" w:eastAsia="Arial" w:hAnsi="Bookman Old Style" w:cs="Arial"/>
                <w:sz w:val="20"/>
                <w:szCs w:val="20"/>
              </w:rPr>
            </w:pPr>
            <w:r w:rsidRPr="000747C8">
              <w:rPr>
                <w:rFonts w:ascii="Bookman Old Style" w:eastAsia="Arial" w:hAnsi="Bookman Old Style" w:cs="Arial"/>
                <w:sz w:val="20"/>
                <w:szCs w:val="20"/>
                <w:lang w:val="es-MX"/>
              </w:rPr>
              <w:t>E-2020-002930</w:t>
            </w:r>
          </w:p>
          <w:p w14:paraId="74BD64D4" w14:textId="2FD81648"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E-2020-002931</w:t>
            </w:r>
          </w:p>
        </w:tc>
      </w:tr>
      <w:tr w:rsidR="000747C8" w:rsidRPr="000747C8" w14:paraId="21AB7E94" w14:textId="4BEE64C0"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BB1C0B2" w14:textId="1B107411"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Celsia S.A. E.S.P.</w:t>
            </w:r>
          </w:p>
        </w:tc>
        <w:tc>
          <w:tcPr>
            <w:tcW w:w="1984" w:type="dxa"/>
            <w:tcBorders>
              <w:top w:val="single" w:sz="4" w:space="0" w:color="auto"/>
              <w:left w:val="single" w:sz="4" w:space="0" w:color="auto"/>
              <w:bottom w:val="single" w:sz="4" w:space="0" w:color="auto"/>
              <w:right w:val="single" w:sz="4" w:space="0" w:color="auto"/>
            </w:tcBorders>
            <w:vAlign w:val="center"/>
          </w:tcPr>
          <w:p w14:paraId="178BBF35" w14:textId="530D5310"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E-2020-002869</w:t>
            </w:r>
          </w:p>
        </w:tc>
        <w:tc>
          <w:tcPr>
            <w:tcW w:w="284" w:type="dxa"/>
            <w:tcBorders>
              <w:left w:val="single" w:sz="4" w:space="0" w:color="auto"/>
              <w:right w:val="single" w:sz="4" w:space="0" w:color="auto"/>
            </w:tcBorders>
            <w:vAlign w:val="center"/>
          </w:tcPr>
          <w:p w14:paraId="5435D5D4"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6CBABDDE" w14:textId="0FDB903E" w:rsidR="000B00E4" w:rsidRPr="00E6080F" w:rsidRDefault="000B00E4" w:rsidP="000B00E4">
            <w:pPr>
              <w:ind w:left="36"/>
              <w:rPr>
                <w:rFonts w:ascii="Bookman Old Style" w:eastAsia="Arial" w:hAnsi="Bookman Old Style" w:cs="Arial"/>
                <w:sz w:val="20"/>
                <w:szCs w:val="20"/>
                <w:lang w:val="en-US"/>
              </w:rPr>
            </w:pPr>
            <w:r w:rsidRPr="00E6080F">
              <w:rPr>
                <w:rFonts w:ascii="Bookman Old Style" w:eastAsia="Arial" w:hAnsi="Bookman Old Style" w:cs="Arial"/>
                <w:sz w:val="20"/>
                <w:szCs w:val="20"/>
                <w:lang w:val="en-US"/>
              </w:rPr>
              <w:t>Isagen S.A. E.S.P.</w:t>
            </w:r>
          </w:p>
        </w:tc>
        <w:tc>
          <w:tcPr>
            <w:tcW w:w="1843" w:type="dxa"/>
            <w:tcBorders>
              <w:top w:val="single" w:sz="4" w:space="0" w:color="auto"/>
              <w:left w:val="single" w:sz="4" w:space="0" w:color="auto"/>
              <w:bottom w:val="single" w:sz="4" w:space="0" w:color="auto"/>
              <w:right w:val="single" w:sz="4" w:space="0" w:color="auto"/>
            </w:tcBorders>
            <w:vAlign w:val="center"/>
          </w:tcPr>
          <w:p w14:paraId="139BEAAD" w14:textId="753943F5"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E-2020-002894</w:t>
            </w:r>
          </w:p>
        </w:tc>
      </w:tr>
      <w:tr w:rsidR="000747C8" w:rsidRPr="000747C8" w14:paraId="6B935E7F" w14:textId="5F82AD6B"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A11F09E" w14:textId="07472864"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Vatia S.A. E.S.P.</w:t>
            </w:r>
          </w:p>
        </w:tc>
        <w:tc>
          <w:tcPr>
            <w:tcW w:w="1984" w:type="dxa"/>
            <w:tcBorders>
              <w:top w:val="single" w:sz="4" w:space="0" w:color="auto"/>
              <w:left w:val="single" w:sz="4" w:space="0" w:color="auto"/>
              <w:bottom w:val="single" w:sz="4" w:space="0" w:color="auto"/>
              <w:right w:val="single" w:sz="4" w:space="0" w:color="auto"/>
            </w:tcBorders>
            <w:vAlign w:val="center"/>
          </w:tcPr>
          <w:p w14:paraId="1C689184" w14:textId="4F9A5D4E"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E-2020-002870</w:t>
            </w:r>
          </w:p>
        </w:tc>
        <w:tc>
          <w:tcPr>
            <w:tcW w:w="284" w:type="dxa"/>
            <w:tcBorders>
              <w:left w:val="single" w:sz="4" w:space="0" w:color="auto"/>
              <w:right w:val="single" w:sz="4" w:space="0" w:color="auto"/>
            </w:tcBorders>
            <w:vAlign w:val="center"/>
          </w:tcPr>
          <w:p w14:paraId="0A2D6B40"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369042F6" w14:textId="30F0F901"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Aes Chivor S.A. E.S.P.</w:t>
            </w:r>
          </w:p>
        </w:tc>
        <w:tc>
          <w:tcPr>
            <w:tcW w:w="1843" w:type="dxa"/>
            <w:tcBorders>
              <w:top w:val="single" w:sz="4" w:space="0" w:color="auto"/>
              <w:left w:val="single" w:sz="4" w:space="0" w:color="auto"/>
              <w:bottom w:val="single" w:sz="4" w:space="0" w:color="auto"/>
              <w:right w:val="single" w:sz="4" w:space="0" w:color="auto"/>
            </w:tcBorders>
            <w:vAlign w:val="center"/>
          </w:tcPr>
          <w:p w14:paraId="3343D111" w14:textId="278D5D87"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E-2020-002896</w:t>
            </w:r>
          </w:p>
        </w:tc>
      </w:tr>
      <w:tr w:rsidR="000747C8" w:rsidRPr="000747C8" w14:paraId="346C7AFD" w14:textId="2C1D5FF2"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36AABDFD" w14:textId="6A79CECE"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Enertotal S.A. E.S.P.</w:t>
            </w:r>
          </w:p>
        </w:tc>
        <w:tc>
          <w:tcPr>
            <w:tcW w:w="1984" w:type="dxa"/>
            <w:tcBorders>
              <w:top w:val="single" w:sz="4" w:space="0" w:color="auto"/>
              <w:left w:val="single" w:sz="4" w:space="0" w:color="auto"/>
              <w:bottom w:val="single" w:sz="4" w:space="0" w:color="auto"/>
              <w:right w:val="single" w:sz="4" w:space="0" w:color="auto"/>
            </w:tcBorders>
            <w:vAlign w:val="center"/>
          </w:tcPr>
          <w:p w14:paraId="104CD15A" w14:textId="3A937216"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E-2020-002871</w:t>
            </w:r>
          </w:p>
        </w:tc>
        <w:tc>
          <w:tcPr>
            <w:tcW w:w="284" w:type="dxa"/>
            <w:tcBorders>
              <w:left w:val="single" w:sz="4" w:space="0" w:color="auto"/>
              <w:right w:val="single" w:sz="4" w:space="0" w:color="auto"/>
            </w:tcBorders>
            <w:vAlign w:val="center"/>
          </w:tcPr>
          <w:p w14:paraId="52502866"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790CF895" w14:textId="7549C66D"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Ecopetrol Energía S.A.S. E.S.P.</w:t>
            </w:r>
          </w:p>
        </w:tc>
        <w:tc>
          <w:tcPr>
            <w:tcW w:w="1843" w:type="dxa"/>
            <w:tcBorders>
              <w:top w:val="single" w:sz="4" w:space="0" w:color="auto"/>
              <w:left w:val="single" w:sz="4" w:space="0" w:color="auto"/>
              <w:bottom w:val="single" w:sz="4" w:space="0" w:color="auto"/>
              <w:right w:val="single" w:sz="4" w:space="0" w:color="auto"/>
            </w:tcBorders>
            <w:vAlign w:val="center"/>
          </w:tcPr>
          <w:p w14:paraId="7DF68C85" w14:textId="2A4E4141"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E-2020-002902</w:t>
            </w:r>
          </w:p>
        </w:tc>
      </w:tr>
      <w:tr w:rsidR="000747C8" w:rsidRPr="000747C8" w14:paraId="55FD5B14" w14:textId="0A2B90B4"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0A47F5A2" w14:textId="60DEEA58"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Epm E.S.P.</w:t>
            </w:r>
          </w:p>
        </w:tc>
        <w:tc>
          <w:tcPr>
            <w:tcW w:w="1984" w:type="dxa"/>
            <w:tcBorders>
              <w:top w:val="single" w:sz="4" w:space="0" w:color="auto"/>
              <w:left w:val="single" w:sz="4" w:space="0" w:color="auto"/>
              <w:bottom w:val="single" w:sz="4" w:space="0" w:color="auto"/>
              <w:right w:val="single" w:sz="4" w:space="0" w:color="auto"/>
            </w:tcBorders>
            <w:vAlign w:val="center"/>
          </w:tcPr>
          <w:p w14:paraId="45A8AE5D" w14:textId="24CBC4E5"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E-2020-002873</w:t>
            </w:r>
          </w:p>
        </w:tc>
        <w:tc>
          <w:tcPr>
            <w:tcW w:w="284" w:type="dxa"/>
            <w:tcBorders>
              <w:left w:val="single" w:sz="4" w:space="0" w:color="auto"/>
              <w:right w:val="single" w:sz="4" w:space="0" w:color="auto"/>
            </w:tcBorders>
            <w:vAlign w:val="center"/>
          </w:tcPr>
          <w:p w14:paraId="1E58870D"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4FBDEF1F" w14:textId="172A259F"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Transelca S.A. E.S.P.</w:t>
            </w:r>
          </w:p>
        </w:tc>
        <w:tc>
          <w:tcPr>
            <w:tcW w:w="1843" w:type="dxa"/>
            <w:tcBorders>
              <w:top w:val="single" w:sz="4" w:space="0" w:color="auto"/>
              <w:left w:val="single" w:sz="4" w:space="0" w:color="auto"/>
              <w:bottom w:val="single" w:sz="4" w:space="0" w:color="auto"/>
              <w:right w:val="single" w:sz="4" w:space="0" w:color="auto"/>
            </w:tcBorders>
            <w:vAlign w:val="center"/>
          </w:tcPr>
          <w:p w14:paraId="445AED82" w14:textId="46F1F16B"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E-2020-002903</w:t>
            </w:r>
          </w:p>
        </w:tc>
      </w:tr>
      <w:tr w:rsidR="000747C8" w:rsidRPr="000747C8" w14:paraId="58DD5872" w14:textId="705F625E"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66317BDC" w14:textId="1596BFA9"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Asocodis</w:t>
            </w:r>
          </w:p>
        </w:tc>
        <w:tc>
          <w:tcPr>
            <w:tcW w:w="1984" w:type="dxa"/>
            <w:tcBorders>
              <w:top w:val="single" w:sz="4" w:space="0" w:color="auto"/>
              <w:left w:val="single" w:sz="4" w:space="0" w:color="auto"/>
              <w:bottom w:val="single" w:sz="4" w:space="0" w:color="auto"/>
              <w:right w:val="single" w:sz="4" w:space="0" w:color="auto"/>
            </w:tcBorders>
            <w:vAlign w:val="center"/>
          </w:tcPr>
          <w:p w14:paraId="69968D4D" w14:textId="1D325B5E"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E-2020-002875</w:t>
            </w:r>
          </w:p>
        </w:tc>
        <w:tc>
          <w:tcPr>
            <w:tcW w:w="284" w:type="dxa"/>
            <w:tcBorders>
              <w:left w:val="single" w:sz="4" w:space="0" w:color="auto"/>
              <w:right w:val="single" w:sz="4" w:space="0" w:color="auto"/>
            </w:tcBorders>
            <w:vAlign w:val="center"/>
          </w:tcPr>
          <w:p w14:paraId="73981844"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3F4D8288" w14:textId="4AC7799A"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Termobarranquilla S.A. E.S.P.</w:t>
            </w:r>
          </w:p>
        </w:tc>
        <w:tc>
          <w:tcPr>
            <w:tcW w:w="1843" w:type="dxa"/>
            <w:tcBorders>
              <w:top w:val="single" w:sz="4" w:space="0" w:color="auto"/>
              <w:left w:val="single" w:sz="4" w:space="0" w:color="auto"/>
              <w:bottom w:val="single" w:sz="4" w:space="0" w:color="auto"/>
              <w:right w:val="single" w:sz="4" w:space="0" w:color="auto"/>
            </w:tcBorders>
            <w:vAlign w:val="center"/>
          </w:tcPr>
          <w:p w14:paraId="164D9B4C" w14:textId="6190D9B7"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E-2020-002908</w:t>
            </w:r>
          </w:p>
        </w:tc>
      </w:tr>
      <w:tr w:rsidR="000747C8" w:rsidRPr="000747C8" w14:paraId="7E178FE6" w14:textId="476EC829"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51491ACF" w14:textId="7D896700"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Emcali E.I.C.E. E.S.P.</w:t>
            </w:r>
          </w:p>
        </w:tc>
        <w:tc>
          <w:tcPr>
            <w:tcW w:w="1984" w:type="dxa"/>
            <w:tcBorders>
              <w:top w:val="single" w:sz="4" w:space="0" w:color="auto"/>
              <w:left w:val="single" w:sz="4" w:space="0" w:color="auto"/>
              <w:bottom w:val="single" w:sz="4" w:space="0" w:color="auto"/>
              <w:right w:val="single" w:sz="4" w:space="0" w:color="auto"/>
            </w:tcBorders>
            <w:vAlign w:val="center"/>
          </w:tcPr>
          <w:p w14:paraId="0496F24A" w14:textId="54B90991"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E-2020-002877</w:t>
            </w:r>
          </w:p>
        </w:tc>
        <w:tc>
          <w:tcPr>
            <w:tcW w:w="284" w:type="dxa"/>
            <w:tcBorders>
              <w:left w:val="single" w:sz="4" w:space="0" w:color="auto"/>
              <w:right w:val="single" w:sz="4" w:space="0" w:color="auto"/>
            </w:tcBorders>
            <w:vAlign w:val="center"/>
          </w:tcPr>
          <w:p w14:paraId="448AF3A5"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0EF33AA0" w14:textId="0CFD3A58"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Gecelca S.A. E.S.P.</w:t>
            </w:r>
          </w:p>
        </w:tc>
        <w:tc>
          <w:tcPr>
            <w:tcW w:w="1843" w:type="dxa"/>
            <w:tcBorders>
              <w:top w:val="single" w:sz="4" w:space="0" w:color="auto"/>
              <w:left w:val="single" w:sz="4" w:space="0" w:color="auto"/>
              <w:bottom w:val="single" w:sz="4" w:space="0" w:color="auto"/>
              <w:right w:val="single" w:sz="4" w:space="0" w:color="auto"/>
            </w:tcBorders>
            <w:vAlign w:val="center"/>
          </w:tcPr>
          <w:p w14:paraId="0001B7F9" w14:textId="69B3F4EB"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E-2020-002919</w:t>
            </w:r>
          </w:p>
        </w:tc>
      </w:tr>
      <w:tr w:rsidR="000747C8" w:rsidRPr="000747C8" w14:paraId="4D24ADD8" w14:textId="53FC79C5"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772EE820" w14:textId="3B16CBDB" w:rsidR="7F9ED491" w:rsidRPr="7F9ED491" w:rsidRDefault="7F9ED491" w:rsidP="7F9ED491">
            <w:pPr>
              <w:ind w:left="38"/>
              <w:rPr>
                <w:rFonts w:ascii="Bookman Old Style" w:eastAsia="Calibri" w:hAnsi="Bookman Old Style" w:cs="Arial"/>
                <w:sz w:val="20"/>
                <w:szCs w:val="20"/>
                <w:lang w:val="es-MX"/>
              </w:rPr>
            </w:pPr>
            <w:r w:rsidRPr="7F9ED491">
              <w:rPr>
                <w:rFonts w:ascii="Bookman Old Style" w:eastAsia="Calibri" w:hAnsi="Bookman Old Style" w:cs="Arial"/>
                <w:sz w:val="20"/>
                <w:szCs w:val="20"/>
                <w:lang w:val="es-MX"/>
              </w:rPr>
              <w:t>Óptima Consultores</w:t>
            </w:r>
          </w:p>
        </w:tc>
        <w:tc>
          <w:tcPr>
            <w:tcW w:w="1984" w:type="dxa"/>
            <w:tcBorders>
              <w:top w:val="single" w:sz="4" w:space="0" w:color="auto"/>
              <w:left w:val="single" w:sz="4" w:space="0" w:color="auto"/>
              <w:bottom w:val="single" w:sz="4" w:space="0" w:color="auto"/>
              <w:right w:val="single" w:sz="4" w:space="0" w:color="auto"/>
            </w:tcBorders>
            <w:vAlign w:val="center"/>
          </w:tcPr>
          <w:p w14:paraId="7489BD27" w14:textId="74764173"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E-2020-002878</w:t>
            </w:r>
          </w:p>
        </w:tc>
        <w:tc>
          <w:tcPr>
            <w:tcW w:w="284" w:type="dxa"/>
            <w:tcBorders>
              <w:left w:val="single" w:sz="4" w:space="0" w:color="auto"/>
              <w:right w:val="single" w:sz="4" w:space="0" w:color="auto"/>
            </w:tcBorders>
            <w:vAlign w:val="center"/>
          </w:tcPr>
          <w:p w14:paraId="096807FB"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159327A9" w14:textId="37C7C8FE"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Dispac S.A. E.S.P.</w:t>
            </w:r>
          </w:p>
        </w:tc>
        <w:tc>
          <w:tcPr>
            <w:tcW w:w="1843" w:type="dxa"/>
            <w:tcBorders>
              <w:top w:val="single" w:sz="4" w:space="0" w:color="auto"/>
              <w:left w:val="single" w:sz="4" w:space="0" w:color="auto"/>
              <w:bottom w:val="single" w:sz="4" w:space="0" w:color="auto"/>
              <w:right w:val="single" w:sz="4" w:space="0" w:color="auto"/>
            </w:tcBorders>
            <w:vAlign w:val="center"/>
          </w:tcPr>
          <w:p w14:paraId="17D85921" w14:textId="06768827"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E-2020-002923</w:t>
            </w:r>
          </w:p>
        </w:tc>
      </w:tr>
      <w:tr w:rsidR="000747C8" w:rsidRPr="000747C8" w14:paraId="409E43E7" w14:textId="10D7DE69"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1837B610" w14:textId="5768A06C" w:rsidR="7F9ED491" w:rsidRPr="7F9ED491" w:rsidRDefault="7F9ED491" w:rsidP="7F9ED491">
            <w:pPr>
              <w:ind w:left="38"/>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Codensa S.A. E.S.P.</w:t>
            </w:r>
          </w:p>
        </w:tc>
        <w:tc>
          <w:tcPr>
            <w:tcW w:w="1984" w:type="dxa"/>
            <w:tcBorders>
              <w:top w:val="single" w:sz="4" w:space="0" w:color="auto"/>
              <w:left w:val="single" w:sz="4" w:space="0" w:color="auto"/>
              <w:bottom w:val="single" w:sz="4" w:space="0" w:color="auto"/>
              <w:right w:val="single" w:sz="4" w:space="0" w:color="auto"/>
            </w:tcBorders>
            <w:vAlign w:val="center"/>
          </w:tcPr>
          <w:p w14:paraId="363887F3" w14:textId="353AA4B8" w:rsidR="7F9ED491" w:rsidRPr="7F9ED491" w:rsidRDefault="7F9ED491" w:rsidP="7F9ED491">
            <w:pPr>
              <w:ind w:left="36"/>
              <w:rPr>
                <w:rFonts w:ascii="Bookman Old Style" w:eastAsia="Arial" w:hAnsi="Bookman Old Style" w:cs="Arial"/>
                <w:sz w:val="20"/>
                <w:szCs w:val="20"/>
                <w:lang w:val="es-MX"/>
              </w:rPr>
            </w:pPr>
            <w:r w:rsidRPr="7F9ED491">
              <w:rPr>
                <w:rFonts w:ascii="Bookman Old Style" w:eastAsia="Arial" w:hAnsi="Bookman Old Style" w:cs="Arial"/>
                <w:sz w:val="20"/>
                <w:szCs w:val="20"/>
                <w:lang w:val="es-MX"/>
              </w:rPr>
              <w:t>E-2020-002879</w:t>
            </w:r>
          </w:p>
        </w:tc>
        <w:tc>
          <w:tcPr>
            <w:tcW w:w="284" w:type="dxa"/>
            <w:tcBorders>
              <w:left w:val="single" w:sz="4" w:space="0" w:color="auto"/>
              <w:right w:val="single" w:sz="4" w:space="0" w:color="auto"/>
            </w:tcBorders>
            <w:vAlign w:val="center"/>
          </w:tcPr>
          <w:p w14:paraId="277668A1" w14:textId="77777777" w:rsidR="000B00E4" w:rsidRPr="000747C8" w:rsidRDefault="000B00E4" w:rsidP="000B00E4">
            <w:pPr>
              <w:ind w:left="36"/>
              <w:rPr>
                <w:rFonts w:ascii="Bookman Old Style" w:eastAsia="Arial" w:hAnsi="Bookman Old Style" w:cs="Arial"/>
                <w:sz w:val="20"/>
                <w:szCs w:val="20"/>
                <w:lang w:val="es-MX"/>
              </w:rPr>
            </w:pPr>
          </w:p>
        </w:tc>
        <w:tc>
          <w:tcPr>
            <w:tcW w:w="2693" w:type="dxa"/>
            <w:tcBorders>
              <w:top w:val="single" w:sz="4" w:space="0" w:color="auto"/>
              <w:left w:val="single" w:sz="4" w:space="0" w:color="auto"/>
              <w:bottom w:val="single" w:sz="4" w:space="0" w:color="auto"/>
              <w:right w:val="single" w:sz="4" w:space="0" w:color="auto"/>
            </w:tcBorders>
            <w:vAlign w:val="center"/>
          </w:tcPr>
          <w:p w14:paraId="1969C4B3" w14:textId="53243B62"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Superintendencia de Servicios Públicos Domiciliarios, SSPD</w:t>
            </w:r>
          </w:p>
        </w:tc>
        <w:tc>
          <w:tcPr>
            <w:tcW w:w="1843" w:type="dxa"/>
            <w:tcBorders>
              <w:top w:val="single" w:sz="4" w:space="0" w:color="auto"/>
              <w:left w:val="single" w:sz="4" w:space="0" w:color="auto"/>
              <w:bottom w:val="single" w:sz="4" w:space="0" w:color="auto"/>
              <w:right w:val="single" w:sz="4" w:space="0" w:color="auto"/>
            </w:tcBorders>
            <w:vAlign w:val="center"/>
          </w:tcPr>
          <w:p w14:paraId="447C0FDA" w14:textId="3CDAAB30" w:rsidR="000B00E4" w:rsidRPr="000747C8" w:rsidRDefault="000B00E4" w:rsidP="000B00E4">
            <w:pPr>
              <w:ind w:left="36"/>
              <w:rPr>
                <w:rFonts w:ascii="Bookman Old Style" w:eastAsia="Arial" w:hAnsi="Bookman Old Style" w:cs="Arial"/>
                <w:sz w:val="20"/>
                <w:szCs w:val="20"/>
                <w:lang w:val="es-MX"/>
              </w:rPr>
            </w:pPr>
            <w:r w:rsidRPr="000747C8">
              <w:rPr>
                <w:rFonts w:ascii="Bookman Old Style" w:eastAsia="Arial" w:hAnsi="Bookman Old Style" w:cs="Arial"/>
                <w:sz w:val="20"/>
                <w:szCs w:val="20"/>
                <w:lang w:val="es-MX"/>
              </w:rPr>
              <w:t>E-2020-002941</w:t>
            </w:r>
          </w:p>
        </w:tc>
      </w:tr>
      <w:tr w:rsidR="7F9ED491" w14:paraId="58B9C729" w14:textId="77777777" w:rsidTr="006147AE">
        <w:trPr>
          <w:trHeight w:val="340"/>
        </w:trPr>
        <w:tc>
          <w:tcPr>
            <w:tcW w:w="2547" w:type="dxa"/>
            <w:tcBorders>
              <w:top w:val="single" w:sz="4" w:space="0" w:color="auto"/>
              <w:left w:val="single" w:sz="4" w:space="0" w:color="auto"/>
              <w:bottom w:val="single" w:sz="4" w:space="0" w:color="auto"/>
              <w:right w:val="single" w:sz="4" w:space="0" w:color="auto"/>
            </w:tcBorders>
            <w:vAlign w:val="center"/>
          </w:tcPr>
          <w:p w14:paraId="22F8B5BE" w14:textId="0B28F39C" w:rsidR="7F9ED491" w:rsidRDefault="7F9ED491" w:rsidP="7F9ED491">
            <w:pPr>
              <w:ind w:left="38"/>
              <w:rPr>
                <w:rFonts w:ascii="Bookman Old Style" w:eastAsia="Arial" w:hAnsi="Bookman Old Style" w:cs="Arial"/>
                <w:sz w:val="20"/>
                <w:szCs w:val="20"/>
              </w:rPr>
            </w:pPr>
            <w:r w:rsidRPr="7F9ED491">
              <w:rPr>
                <w:rFonts w:ascii="Bookman Old Style" w:eastAsia="Arial" w:hAnsi="Bookman Old Style" w:cs="Arial"/>
                <w:sz w:val="20"/>
                <w:szCs w:val="20"/>
                <w:lang w:val="es-MX"/>
              </w:rPr>
              <w:t>Emgesa S.A. E.S.P.</w:t>
            </w:r>
          </w:p>
        </w:tc>
        <w:tc>
          <w:tcPr>
            <w:tcW w:w="1984" w:type="dxa"/>
            <w:tcBorders>
              <w:top w:val="single" w:sz="4" w:space="0" w:color="auto"/>
              <w:left w:val="single" w:sz="4" w:space="0" w:color="auto"/>
              <w:bottom w:val="single" w:sz="4" w:space="0" w:color="auto"/>
              <w:right w:val="single" w:sz="4" w:space="0" w:color="auto"/>
            </w:tcBorders>
            <w:vAlign w:val="center"/>
          </w:tcPr>
          <w:p w14:paraId="0B9456A1" w14:textId="33932443" w:rsidR="7F9ED491" w:rsidRDefault="7F9ED491" w:rsidP="7F9ED491">
            <w:pPr>
              <w:ind w:left="36"/>
              <w:rPr>
                <w:rFonts w:ascii="Bookman Old Style" w:eastAsia="Arial" w:hAnsi="Bookman Old Style" w:cs="Arial"/>
                <w:sz w:val="20"/>
                <w:szCs w:val="20"/>
              </w:rPr>
            </w:pPr>
            <w:r w:rsidRPr="7F9ED491">
              <w:rPr>
                <w:rFonts w:ascii="Bookman Old Style" w:eastAsia="Arial" w:hAnsi="Bookman Old Style" w:cs="Arial"/>
                <w:sz w:val="20"/>
                <w:szCs w:val="20"/>
                <w:lang w:val="es-MX"/>
              </w:rPr>
              <w:t>E-2020-002881</w:t>
            </w:r>
          </w:p>
        </w:tc>
        <w:tc>
          <w:tcPr>
            <w:tcW w:w="284" w:type="dxa"/>
            <w:tcBorders>
              <w:left w:val="single" w:sz="4" w:space="0" w:color="auto"/>
            </w:tcBorders>
            <w:vAlign w:val="center"/>
          </w:tcPr>
          <w:p w14:paraId="0BC1403A" w14:textId="081455E5" w:rsidR="7F9ED491" w:rsidRDefault="7F9ED491" w:rsidP="7F9ED491">
            <w:pPr>
              <w:rPr>
                <w:rFonts w:ascii="Bookman Old Style" w:eastAsia="Arial" w:hAnsi="Bookman Old Style" w:cs="Arial"/>
                <w:sz w:val="20"/>
                <w:szCs w:val="20"/>
                <w:lang w:val="es-MX"/>
              </w:rPr>
            </w:pPr>
          </w:p>
        </w:tc>
        <w:tc>
          <w:tcPr>
            <w:tcW w:w="2693" w:type="dxa"/>
            <w:tcBorders>
              <w:top w:val="single" w:sz="4" w:space="0" w:color="auto"/>
            </w:tcBorders>
            <w:vAlign w:val="center"/>
          </w:tcPr>
          <w:p w14:paraId="63BBAE99" w14:textId="2E18ECC8" w:rsidR="7F9ED491" w:rsidRDefault="7F9ED491" w:rsidP="7F9ED491">
            <w:pPr>
              <w:ind w:left="0"/>
              <w:rPr>
                <w:rFonts w:ascii="Bookman Old Style" w:eastAsia="Arial" w:hAnsi="Bookman Old Style" w:cs="Arial"/>
                <w:sz w:val="20"/>
                <w:szCs w:val="20"/>
                <w:lang w:val="es-MX"/>
              </w:rPr>
            </w:pPr>
          </w:p>
        </w:tc>
        <w:tc>
          <w:tcPr>
            <w:tcW w:w="1843" w:type="dxa"/>
            <w:tcBorders>
              <w:top w:val="single" w:sz="4" w:space="0" w:color="auto"/>
            </w:tcBorders>
            <w:vAlign w:val="center"/>
          </w:tcPr>
          <w:p w14:paraId="41C8AD21" w14:textId="0D4079D2" w:rsidR="7F9ED491" w:rsidRDefault="7F9ED491" w:rsidP="7F9ED491">
            <w:pPr>
              <w:ind w:left="0"/>
              <w:rPr>
                <w:rFonts w:ascii="Bookman Old Style" w:eastAsia="Arial" w:hAnsi="Bookman Old Style" w:cs="Arial"/>
                <w:sz w:val="20"/>
                <w:szCs w:val="20"/>
                <w:lang w:val="es-MX"/>
              </w:rPr>
            </w:pPr>
          </w:p>
        </w:tc>
      </w:tr>
    </w:tbl>
    <w:p w14:paraId="06FA7BCB" w14:textId="450F877B" w:rsidR="00EE5A40" w:rsidRDefault="00EE5A40" w:rsidP="00EB599C">
      <w:pPr>
        <w:spacing w:before="280" w:after="280"/>
        <w:ind w:left="0"/>
        <w:jc w:val="both"/>
        <w:rPr>
          <w:rFonts w:ascii="Bookman Old Style" w:hAnsi="Bookman Old Style"/>
          <w:lang w:val="es-CO"/>
        </w:rPr>
      </w:pPr>
      <w:r w:rsidRPr="006F3DAD">
        <w:rPr>
          <w:rFonts w:ascii="Bookman Old Style" w:hAnsi="Bookman Old Style"/>
          <w:lang w:val="es-CO"/>
        </w:rPr>
        <w:t>Con base en lo establecido en el artículo 4 del Decreto 2897 de 2010</w:t>
      </w:r>
      <w:r w:rsidRPr="006F3DAD">
        <w:rPr>
          <w:rFonts w:ascii="Bookman Old Style" w:hAnsi="Bookman Old Style"/>
          <w:vertAlign w:val="superscript"/>
          <w:lang w:val="es-CO"/>
        </w:rPr>
        <w:footnoteReference w:id="2"/>
      </w:r>
      <w:r w:rsidRPr="006F3DAD">
        <w:rPr>
          <w:rFonts w:ascii="Bookman Old Style" w:hAnsi="Bookman Old Style"/>
          <w:lang w:val="es-CO"/>
        </w:rPr>
        <w:t>, reglamentario de la Ley 1340 de 2009, se respondió el cuestionario establecido por la Superintendencia de Industria y Comercio para efectos de evaluar la incidencia sobre la libre competencia de los mercados, donde</w:t>
      </w:r>
      <w:r>
        <w:rPr>
          <w:rFonts w:ascii="Bookman Old Style" w:hAnsi="Bookman Old Style"/>
          <w:lang w:val="es-CO"/>
        </w:rPr>
        <w:t>,</w:t>
      </w:r>
      <w:r w:rsidRPr="006F3DAD">
        <w:rPr>
          <w:rFonts w:ascii="Bookman Old Style" w:hAnsi="Bookman Old Style"/>
          <w:lang w:val="es-CO"/>
        </w:rPr>
        <w:t xml:space="preserve"> aplicando las reglas allí previstas, la respuesta al conjunto de preguntas fue negativa, en la medida en que no plantea ninguna restricción indebida a la libre competencia.</w:t>
      </w:r>
    </w:p>
    <w:p w14:paraId="0D6B8B87" w14:textId="623D702C" w:rsidR="00EE5A40" w:rsidRDefault="00EE5A40" w:rsidP="00EB599C">
      <w:pPr>
        <w:spacing w:before="280" w:after="280"/>
        <w:ind w:left="0"/>
        <w:jc w:val="both"/>
        <w:rPr>
          <w:rFonts w:ascii="Bookman Old Style" w:eastAsia="Bookman Old Style" w:hAnsi="Bookman Old Style" w:cs="Bookman Old Style"/>
        </w:rPr>
      </w:pPr>
      <w:r w:rsidRPr="3D16F7CD">
        <w:rPr>
          <w:rFonts w:ascii="Bookman Old Style" w:eastAsia="Bookman Old Style" w:hAnsi="Bookman Old Style" w:cs="Bookman Old Style"/>
        </w:rPr>
        <w:t xml:space="preserve">En el </w:t>
      </w:r>
      <w:r>
        <w:rPr>
          <w:rFonts w:ascii="Bookman Old Style" w:eastAsia="Bookman Old Style" w:hAnsi="Bookman Old Style" w:cs="Bookman Old Style"/>
        </w:rPr>
        <w:t>documento que acompaña esta resolución,</w:t>
      </w:r>
      <w:r w:rsidRPr="3D16F7CD" w:rsidDel="00325B53">
        <w:rPr>
          <w:rFonts w:ascii="Bookman Old Style" w:eastAsia="Bookman Old Style" w:hAnsi="Bookman Old Style" w:cs="Bookman Old Style"/>
        </w:rPr>
        <w:t xml:space="preserve"> </w:t>
      </w:r>
      <w:r w:rsidRPr="3D16F7CD">
        <w:rPr>
          <w:rFonts w:ascii="Bookman Old Style" w:eastAsia="Bookman Old Style" w:hAnsi="Bookman Old Style" w:cs="Bookman Old Style"/>
        </w:rPr>
        <w:t>se da respuesta a</w:t>
      </w:r>
      <w:r>
        <w:rPr>
          <w:rFonts w:ascii="Bookman Old Style" w:eastAsia="Bookman Old Style" w:hAnsi="Bookman Old Style" w:cs="Bookman Old Style"/>
        </w:rPr>
        <w:t>l cuestionario de la SIC y a</w:t>
      </w:r>
      <w:r w:rsidRPr="3D16F7CD">
        <w:rPr>
          <w:rFonts w:ascii="Bookman Old Style" w:eastAsia="Bookman Old Style" w:hAnsi="Bookman Old Style" w:cs="Bookman Old Style"/>
        </w:rPr>
        <w:t xml:space="preserve"> los comentarios recibidos a la propuesta regulatoria, así como se precisan los ajustes realizados a la versión propuesta en la Resolución CREG 0</w:t>
      </w:r>
      <w:r>
        <w:rPr>
          <w:rFonts w:ascii="Bookman Old Style" w:eastAsia="Bookman Old Style" w:hAnsi="Bookman Old Style" w:cs="Bookman Old Style"/>
        </w:rPr>
        <w:t xml:space="preserve">40 </w:t>
      </w:r>
      <w:r w:rsidRPr="3D16F7CD">
        <w:rPr>
          <w:rFonts w:ascii="Bookman Old Style" w:eastAsia="Bookman Old Style" w:hAnsi="Bookman Old Style" w:cs="Bookman Old Style"/>
        </w:rPr>
        <w:t>de 2020.</w:t>
      </w:r>
    </w:p>
    <w:p w14:paraId="71D478D5" w14:textId="7901B92F" w:rsidR="00EE5A40" w:rsidRDefault="00EE5A40" w:rsidP="00EB599C">
      <w:pPr>
        <w:spacing w:before="280" w:after="280"/>
        <w:ind w:left="0"/>
        <w:jc w:val="both"/>
        <w:rPr>
          <w:rFonts w:ascii="Bookman Old Style" w:hAnsi="Bookman Old Style"/>
          <w:lang w:val="es-CO" w:eastAsia="en-US"/>
        </w:rPr>
      </w:pPr>
      <w:r>
        <w:rPr>
          <w:rFonts w:ascii="Bookman Old Style" w:hAnsi="Bookman Old Style"/>
        </w:rPr>
        <w:t>La Comisión de Regulación de Energía y Gas, en su sesión No.</w:t>
      </w:r>
      <w:r w:rsidR="00ED39F9">
        <w:rPr>
          <w:rFonts w:ascii="Bookman Old Style" w:hAnsi="Bookman Old Style"/>
        </w:rPr>
        <w:t>994</w:t>
      </w:r>
      <w:r>
        <w:rPr>
          <w:rFonts w:ascii="Bookman Old Style" w:hAnsi="Bookman Old Style"/>
        </w:rPr>
        <w:t xml:space="preserve"> del </w:t>
      </w:r>
      <w:r w:rsidR="00ED39F9">
        <w:rPr>
          <w:rFonts w:ascii="Bookman Old Style" w:hAnsi="Bookman Old Style"/>
        </w:rPr>
        <w:t>8</w:t>
      </w:r>
      <w:r>
        <w:rPr>
          <w:rFonts w:ascii="Bookman Old Style" w:hAnsi="Bookman Old Style"/>
        </w:rPr>
        <w:t xml:space="preserve"> de abril de 2020, acordó expedir la presente Resolución.</w:t>
      </w:r>
    </w:p>
    <w:p w14:paraId="2DD494AB" w14:textId="508BA77F" w:rsidR="00EE5A40" w:rsidRDefault="00EE5A40" w:rsidP="00EB599C">
      <w:pPr>
        <w:spacing w:before="280" w:after="280"/>
        <w:ind w:left="0"/>
        <w:jc w:val="both"/>
        <w:rPr>
          <w:rFonts w:ascii="Bookman Old Style" w:hAnsi="Bookman Old Style"/>
          <w:b/>
          <w:spacing w:val="80"/>
        </w:rPr>
      </w:pPr>
      <w:r w:rsidRPr="000B65DE">
        <w:rPr>
          <w:rFonts w:ascii="Bookman Old Style" w:hAnsi="Bookman Old Style"/>
        </w:rPr>
        <w:t xml:space="preserve">En consecuencia, </w:t>
      </w:r>
    </w:p>
    <w:p w14:paraId="0EBFED0B" w14:textId="10A3A84F" w:rsidR="004235AF" w:rsidRPr="007511E1" w:rsidRDefault="004235AF" w:rsidP="004235AF">
      <w:pPr>
        <w:suppressAutoHyphens/>
        <w:jc w:val="center"/>
        <w:rPr>
          <w:rFonts w:ascii="Bookman Old Style" w:hAnsi="Bookman Old Style"/>
          <w:b/>
          <w:spacing w:val="80"/>
        </w:rPr>
      </w:pPr>
      <w:r w:rsidRPr="007511E1">
        <w:rPr>
          <w:rFonts w:ascii="Bookman Old Style" w:hAnsi="Bookman Old Style"/>
          <w:b/>
          <w:spacing w:val="80"/>
        </w:rPr>
        <w:t>RESUELVE:</w:t>
      </w:r>
    </w:p>
    <w:p w14:paraId="73F57A90" w14:textId="77777777" w:rsidR="00075212" w:rsidRDefault="00075212" w:rsidP="00953BD0">
      <w:pPr>
        <w:ind w:left="0"/>
        <w:jc w:val="both"/>
        <w:rPr>
          <w:rFonts w:ascii="Bookman Old Style" w:hAnsi="Bookman Old Style"/>
          <w:bCs/>
        </w:rPr>
      </w:pPr>
    </w:p>
    <w:p w14:paraId="663CF2D5" w14:textId="511512B9" w:rsidR="00BC1EF0" w:rsidRDefault="00F5031C" w:rsidP="00A339BC">
      <w:pPr>
        <w:spacing w:before="240" w:after="240"/>
        <w:ind w:left="0"/>
        <w:jc w:val="both"/>
        <w:rPr>
          <w:rFonts w:ascii="Bookman Old Style" w:hAnsi="Bookman Old Style"/>
          <w:bCs/>
        </w:rPr>
      </w:pPr>
      <w:r w:rsidRPr="004A16FA">
        <w:rPr>
          <w:rFonts w:ascii="Bookman Old Style" w:hAnsi="Bookman Old Style"/>
          <w:b/>
        </w:rPr>
        <w:t>Artículo 1.</w:t>
      </w:r>
      <w:r>
        <w:rPr>
          <w:rFonts w:ascii="Bookman Old Style" w:hAnsi="Bookman Old Style"/>
          <w:b/>
        </w:rPr>
        <w:t xml:space="preserve"> </w:t>
      </w:r>
      <w:r w:rsidR="004D2158">
        <w:rPr>
          <w:rFonts w:ascii="Bookman Old Style" w:hAnsi="Bookman Old Style"/>
          <w:b/>
        </w:rPr>
        <w:t>Modificación del plazo para la</w:t>
      </w:r>
      <w:r w:rsidR="004D2158" w:rsidRPr="004D2158">
        <w:rPr>
          <w:rFonts w:ascii="Bookman Old Style" w:hAnsi="Bookman Old Style"/>
          <w:b/>
        </w:rPr>
        <w:t xml:space="preserve"> reparación o reposición </w:t>
      </w:r>
      <w:r w:rsidR="004D2158">
        <w:rPr>
          <w:rFonts w:ascii="Bookman Old Style" w:hAnsi="Bookman Old Style"/>
          <w:b/>
        </w:rPr>
        <w:t xml:space="preserve">de elementos en los sistemas de medición. </w:t>
      </w:r>
      <w:r w:rsidR="003C2B7E" w:rsidRPr="00973FE9">
        <w:rPr>
          <w:rFonts w:ascii="Bookman Old Style" w:hAnsi="Bookman Old Style"/>
          <w:bCs/>
        </w:rPr>
        <w:t>A partir de la entrada en vigencia de la presente resolución</w:t>
      </w:r>
      <w:r w:rsidR="00A63ED5">
        <w:rPr>
          <w:rFonts w:ascii="Bookman Old Style" w:hAnsi="Bookman Old Style"/>
          <w:bCs/>
        </w:rPr>
        <w:t xml:space="preserve">, </w:t>
      </w:r>
      <w:r w:rsidR="003C2B7E">
        <w:rPr>
          <w:rFonts w:ascii="Bookman Old Style" w:hAnsi="Bookman Old Style"/>
          <w:bCs/>
        </w:rPr>
        <w:t>l</w:t>
      </w:r>
      <w:r w:rsidR="00BC1EF0">
        <w:rPr>
          <w:rFonts w:ascii="Bookman Old Style" w:hAnsi="Bookman Old Style"/>
          <w:bCs/>
        </w:rPr>
        <w:t>os</w:t>
      </w:r>
      <w:r w:rsidR="00BC1EF0" w:rsidRPr="00BC1EF0">
        <w:rPr>
          <w:rFonts w:ascii="Bookman Old Style" w:hAnsi="Bookman Old Style"/>
          <w:bCs/>
        </w:rPr>
        <w:t xml:space="preserve"> plazo</w:t>
      </w:r>
      <w:r w:rsidR="00BC1EF0">
        <w:rPr>
          <w:rFonts w:ascii="Bookman Old Style" w:hAnsi="Bookman Old Style"/>
          <w:bCs/>
        </w:rPr>
        <w:t>s</w:t>
      </w:r>
      <w:r w:rsidR="00BC1EF0" w:rsidRPr="00BC1EF0">
        <w:rPr>
          <w:rFonts w:ascii="Bookman Old Style" w:hAnsi="Bookman Old Style"/>
          <w:bCs/>
        </w:rPr>
        <w:t xml:space="preserve"> de reparación o </w:t>
      </w:r>
      <w:r w:rsidR="00BC1EF0">
        <w:rPr>
          <w:rFonts w:ascii="Bookman Old Style" w:hAnsi="Bookman Old Style"/>
          <w:bCs/>
        </w:rPr>
        <w:t>reposición dispuestos en el literal a) del anexo 7 de la Resolución CREG 038 de 2014</w:t>
      </w:r>
      <w:r w:rsidR="00A63ED5">
        <w:rPr>
          <w:rFonts w:ascii="Bookman Old Style" w:hAnsi="Bookman Old Style"/>
          <w:bCs/>
        </w:rPr>
        <w:t xml:space="preserve"> para las situaciones que se presenten </w:t>
      </w:r>
      <w:r w:rsidR="00825F71">
        <w:rPr>
          <w:rFonts w:ascii="Bookman Old Style" w:hAnsi="Bookman Old Style"/>
          <w:bCs/>
        </w:rPr>
        <w:t xml:space="preserve">hasta la fecha de finalización </w:t>
      </w:r>
      <w:r w:rsidR="00A63ED5">
        <w:rPr>
          <w:rFonts w:ascii="Bookman Old Style" w:hAnsi="Bookman Old Style"/>
          <w:bCs/>
        </w:rPr>
        <w:t>del aislamiento preventivo obligatorio establecido en el Decreto 457 del 22 de marzo de 2020, o aquel que lo modifique, adicione o sustituya</w:t>
      </w:r>
      <w:r w:rsidR="00512E3E">
        <w:rPr>
          <w:rFonts w:ascii="Bookman Old Style" w:hAnsi="Bookman Old Style"/>
          <w:bCs/>
        </w:rPr>
        <w:t>,</w:t>
      </w:r>
      <w:r w:rsidR="00BC1EF0">
        <w:rPr>
          <w:rFonts w:ascii="Bookman Old Style" w:hAnsi="Bookman Old Style"/>
          <w:bCs/>
        </w:rPr>
        <w:t xml:space="preserve"> deberán contarse a partir de</w:t>
      </w:r>
      <w:r w:rsidR="00FB1E1B">
        <w:rPr>
          <w:rFonts w:ascii="Bookman Old Style" w:hAnsi="Bookman Old Style"/>
          <w:bCs/>
        </w:rPr>
        <w:t xml:space="preserve">l </w:t>
      </w:r>
      <w:r w:rsidR="000E411A">
        <w:rPr>
          <w:rFonts w:ascii="Bookman Old Style" w:hAnsi="Bookman Old Style"/>
          <w:bCs/>
        </w:rPr>
        <w:t xml:space="preserve">décimo </w:t>
      </w:r>
      <w:r w:rsidR="00FB1E1B">
        <w:rPr>
          <w:rFonts w:ascii="Bookman Old Style" w:hAnsi="Bookman Old Style"/>
          <w:bCs/>
        </w:rPr>
        <w:t xml:space="preserve">día </w:t>
      </w:r>
      <w:r w:rsidR="404CCC75" w:rsidRPr="0FE84E65">
        <w:rPr>
          <w:rFonts w:ascii="Bookman Old Style" w:hAnsi="Bookman Old Style"/>
        </w:rPr>
        <w:t>hábil</w:t>
      </w:r>
      <w:r w:rsidR="00FB1E1B" w:rsidRPr="0FE84E65">
        <w:rPr>
          <w:rFonts w:ascii="Bookman Old Style" w:hAnsi="Bookman Old Style"/>
        </w:rPr>
        <w:t xml:space="preserve"> </w:t>
      </w:r>
      <w:r w:rsidR="00FB1E1B">
        <w:rPr>
          <w:rFonts w:ascii="Bookman Old Style" w:hAnsi="Bookman Old Style"/>
          <w:bCs/>
        </w:rPr>
        <w:t>siguiente a</w:t>
      </w:r>
      <w:r w:rsidR="00BC1EF0">
        <w:rPr>
          <w:rFonts w:ascii="Bookman Old Style" w:hAnsi="Bookman Old Style"/>
          <w:bCs/>
        </w:rPr>
        <w:t xml:space="preserve"> la fecha de finalización del aislamiento preventivo obligatorio.</w:t>
      </w:r>
    </w:p>
    <w:p w14:paraId="1DD3391E" w14:textId="2BE3ED54" w:rsidR="00216978" w:rsidRDefault="00216978" w:rsidP="00A339BC">
      <w:pPr>
        <w:spacing w:before="240" w:after="240"/>
        <w:ind w:left="0"/>
        <w:jc w:val="both"/>
        <w:rPr>
          <w:rFonts w:ascii="Bookman Old Style" w:hAnsi="Bookman Old Style"/>
          <w:bCs/>
        </w:rPr>
      </w:pPr>
      <w:r w:rsidRPr="007511E1">
        <w:rPr>
          <w:rFonts w:ascii="Bookman Old Style" w:hAnsi="Bookman Old Style"/>
          <w:b/>
        </w:rPr>
        <w:t>Parágrafo</w:t>
      </w:r>
      <w:r w:rsidR="001C2669">
        <w:rPr>
          <w:rFonts w:ascii="Bookman Old Style" w:hAnsi="Bookman Old Style"/>
          <w:b/>
        </w:rPr>
        <w:t xml:space="preserve"> 1</w:t>
      </w:r>
      <w:r w:rsidRPr="007511E1">
        <w:rPr>
          <w:rFonts w:ascii="Bookman Old Style" w:hAnsi="Bookman Old Style"/>
          <w:b/>
        </w:rPr>
        <w:t>.</w:t>
      </w:r>
      <w:r w:rsidRPr="007511E1">
        <w:rPr>
          <w:rFonts w:ascii="Bookman Old Style" w:hAnsi="Bookman Old Style"/>
          <w:bCs/>
        </w:rPr>
        <w:t xml:space="preserve"> En caso de producirse eventos que dejen fuera de servicio el sistema de medida, se debe aplicar lo estipulado en </w:t>
      </w:r>
      <w:r w:rsidR="00906037">
        <w:rPr>
          <w:rFonts w:ascii="Bookman Old Style" w:hAnsi="Bookman Old Style"/>
          <w:bCs/>
        </w:rPr>
        <w:t xml:space="preserve">el artículo 38 y en </w:t>
      </w:r>
      <w:r w:rsidRPr="007511E1">
        <w:rPr>
          <w:rFonts w:ascii="Bookman Old Style" w:hAnsi="Bookman Old Style"/>
          <w:bCs/>
        </w:rPr>
        <w:t xml:space="preserve">el </w:t>
      </w:r>
      <w:r w:rsidR="00906037">
        <w:rPr>
          <w:rFonts w:ascii="Bookman Old Style" w:hAnsi="Bookman Old Style"/>
          <w:bCs/>
        </w:rPr>
        <w:t xml:space="preserve">literal e) del </w:t>
      </w:r>
      <w:r w:rsidR="007511E1">
        <w:rPr>
          <w:rFonts w:ascii="Bookman Old Style" w:hAnsi="Bookman Old Style"/>
          <w:bCs/>
        </w:rPr>
        <w:t>Ane</w:t>
      </w:r>
      <w:r w:rsidR="00906037">
        <w:rPr>
          <w:rFonts w:ascii="Bookman Old Style" w:hAnsi="Bookman Old Style"/>
          <w:bCs/>
        </w:rPr>
        <w:t>xo 7</w:t>
      </w:r>
      <w:r w:rsidRPr="007511E1">
        <w:rPr>
          <w:rFonts w:ascii="Bookman Old Style" w:hAnsi="Bookman Old Style"/>
          <w:bCs/>
        </w:rPr>
        <w:t xml:space="preserve"> de la Resolución CREG</w:t>
      </w:r>
      <w:r w:rsidR="00906037">
        <w:rPr>
          <w:rFonts w:ascii="Bookman Old Style" w:hAnsi="Bookman Old Style"/>
          <w:bCs/>
        </w:rPr>
        <w:t xml:space="preserve"> 0</w:t>
      </w:r>
      <w:r w:rsidRPr="007511E1">
        <w:rPr>
          <w:rFonts w:ascii="Bookman Old Style" w:hAnsi="Bookman Old Style"/>
          <w:bCs/>
        </w:rPr>
        <w:t>38 de 2014</w:t>
      </w:r>
      <w:r w:rsidR="00512E3E">
        <w:rPr>
          <w:rFonts w:ascii="Bookman Old Style" w:hAnsi="Bookman Old Style"/>
          <w:bCs/>
        </w:rPr>
        <w:t>,</w:t>
      </w:r>
      <w:r w:rsidRPr="007511E1">
        <w:rPr>
          <w:rFonts w:ascii="Bookman Old Style" w:hAnsi="Bookman Old Style"/>
          <w:bCs/>
        </w:rPr>
        <w:t xml:space="preserve"> para estimar </w:t>
      </w:r>
      <w:r w:rsidR="00906037">
        <w:rPr>
          <w:rFonts w:ascii="Bookman Old Style" w:hAnsi="Bookman Old Style"/>
          <w:bCs/>
        </w:rPr>
        <w:t>las lecturas correspondientes</w:t>
      </w:r>
      <w:r w:rsidRPr="007511E1">
        <w:rPr>
          <w:rFonts w:ascii="Bookman Old Style" w:hAnsi="Bookman Old Style"/>
          <w:bCs/>
        </w:rPr>
        <w:t>.</w:t>
      </w:r>
    </w:p>
    <w:p w14:paraId="45E6BC43" w14:textId="35A9DF72" w:rsidR="001C2669" w:rsidRDefault="001C2669" w:rsidP="00A339BC">
      <w:pPr>
        <w:spacing w:before="240" w:after="240"/>
        <w:ind w:left="0"/>
        <w:jc w:val="both"/>
        <w:rPr>
          <w:rFonts w:ascii="Bookman Old Style" w:hAnsi="Bookman Old Style"/>
          <w:bCs/>
        </w:rPr>
      </w:pPr>
      <w:r w:rsidRPr="00D4563D">
        <w:rPr>
          <w:rFonts w:ascii="Bookman Old Style" w:hAnsi="Bookman Old Style"/>
          <w:b/>
        </w:rPr>
        <w:t>Parágrafo 2.</w:t>
      </w:r>
      <w:r>
        <w:rPr>
          <w:rFonts w:ascii="Bookman Old Style" w:hAnsi="Bookman Old Style"/>
          <w:bCs/>
        </w:rPr>
        <w:t xml:space="preserve"> El Consejo Nacional de Operación </w:t>
      </w:r>
      <w:r w:rsidR="007678E4">
        <w:rPr>
          <w:rFonts w:ascii="Bookman Old Style" w:hAnsi="Bookman Old Style"/>
          <w:bCs/>
        </w:rPr>
        <w:t>deberá</w:t>
      </w:r>
      <w:r w:rsidR="00A40005">
        <w:rPr>
          <w:rFonts w:ascii="Bookman Old Style" w:hAnsi="Bookman Old Style"/>
          <w:bCs/>
        </w:rPr>
        <w:t xml:space="preserve"> actualizar</w:t>
      </w:r>
      <w:r w:rsidR="008454D9" w:rsidRPr="008454D9">
        <w:rPr>
          <w:rFonts w:ascii="Bookman Old Style" w:hAnsi="Bookman Old Style"/>
          <w:bCs/>
        </w:rPr>
        <w:t xml:space="preserve"> </w:t>
      </w:r>
      <w:r w:rsidR="008454D9">
        <w:rPr>
          <w:rFonts w:ascii="Bookman Old Style" w:hAnsi="Bookman Old Style"/>
          <w:bCs/>
        </w:rPr>
        <w:t xml:space="preserve">en un plazo de </w:t>
      </w:r>
      <w:r w:rsidR="78CDFE4F" w:rsidRPr="7F9ED491">
        <w:rPr>
          <w:rFonts w:ascii="Bookman Old Style" w:hAnsi="Bookman Old Style"/>
        </w:rPr>
        <w:t>cinco (</w:t>
      </w:r>
      <w:r w:rsidR="008454D9" w:rsidRPr="7F9ED491">
        <w:rPr>
          <w:rFonts w:ascii="Bookman Old Style" w:hAnsi="Bookman Old Style"/>
        </w:rPr>
        <w:t>5</w:t>
      </w:r>
      <w:r w:rsidR="029C8947" w:rsidRPr="7F9ED491">
        <w:rPr>
          <w:rFonts w:ascii="Bookman Old Style" w:hAnsi="Bookman Old Style"/>
        </w:rPr>
        <w:t>)</w:t>
      </w:r>
      <w:r w:rsidR="008454D9">
        <w:rPr>
          <w:rFonts w:ascii="Bookman Old Style" w:hAnsi="Bookman Old Style"/>
          <w:bCs/>
        </w:rPr>
        <w:t xml:space="preserve"> días hábiles</w:t>
      </w:r>
      <w:r w:rsidR="150A8989" w:rsidRPr="7F9ED491">
        <w:rPr>
          <w:rFonts w:ascii="Bookman Old Style" w:hAnsi="Bookman Old Style"/>
        </w:rPr>
        <w:t xml:space="preserve"> siguientes a la entrada en vigencia de la presente resoluci</w:t>
      </w:r>
      <w:r w:rsidR="317184F1" w:rsidRPr="7F9ED491">
        <w:rPr>
          <w:rFonts w:ascii="Bookman Old Style" w:hAnsi="Bookman Old Style"/>
        </w:rPr>
        <w:t>ón</w:t>
      </w:r>
      <w:r w:rsidR="007678E4">
        <w:rPr>
          <w:rFonts w:ascii="Bookman Old Style" w:hAnsi="Bookman Old Style"/>
          <w:bCs/>
        </w:rPr>
        <w:t xml:space="preserve">, </w:t>
      </w:r>
      <w:r>
        <w:rPr>
          <w:rFonts w:ascii="Bookman Old Style" w:hAnsi="Bookman Old Style"/>
          <w:bCs/>
        </w:rPr>
        <w:t xml:space="preserve">en caso </w:t>
      </w:r>
      <w:r w:rsidR="00A40005">
        <w:rPr>
          <w:rFonts w:ascii="Bookman Old Style" w:hAnsi="Bookman Old Style"/>
          <w:bCs/>
        </w:rPr>
        <w:t xml:space="preserve">de </w:t>
      </w:r>
      <w:r>
        <w:rPr>
          <w:rFonts w:ascii="Bookman Old Style" w:hAnsi="Bookman Old Style"/>
          <w:bCs/>
        </w:rPr>
        <w:t>que lo considere procedente</w:t>
      </w:r>
      <w:r w:rsidR="007678E4">
        <w:rPr>
          <w:rFonts w:ascii="Bookman Old Style" w:hAnsi="Bookman Old Style"/>
          <w:bCs/>
        </w:rPr>
        <w:t xml:space="preserve">, el Acuerdo </w:t>
      </w:r>
      <w:r w:rsidR="00A40005">
        <w:rPr>
          <w:rFonts w:ascii="Bookman Old Style" w:hAnsi="Bookman Old Style"/>
          <w:bCs/>
        </w:rPr>
        <w:t xml:space="preserve">700 del 16 </w:t>
      </w:r>
      <w:r w:rsidR="00A40005" w:rsidRPr="00A40005">
        <w:rPr>
          <w:rFonts w:ascii="Bookman Old Style" w:hAnsi="Bookman Old Style"/>
          <w:bCs/>
        </w:rPr>
        <w:t>de septiembre de 2014</w:t>
      </w:r>
      <w:r w:rsidR="00A40005">
        <w:rPr>
          <w:rFonts w:ascii="Bookman Old Style" w:hAnsi="Bookman Old Style"/>
          <w:bCs/>
        </w:rPr>
        <w:t xml:space="preserve"> para la estimación de curvas </w:t>
      </w:r>
      <w:r w:rsidR="00216182">
        <w:rPr>
          <w:rFonts w:ascii="Bookman Old Style" w:hAnsi="Bookman Old Style"/>
          <w:bCs/>
        </w:rPr>
        <w:t xml:space="preserve">típicas de </w:t>
      </w:r>
      <w:r w:rsidR="00A40005">
        <w:rPr>
          <w:rFonts w:ascii="Bookman Old Style" w:hAnsi="Bookman Old Style"/>
          <w:bCs/>
        </w:rPr>
        <w:t>ca</w:t>
      </w:r>
      <w:r w:rsidR="00216182">
        <w:rPr>
          <w:rFonts w:ascii="Bookman Old Style" w:hAnsi="Bookman Old Style"/>
          <w:bCs/>
        </w:rPr>
        <w:t>r</w:t>
      </w:r>
      <w:r w:rsidR="00A40005">
        <w:rPr>
          <w:rFonts w:ascii="Bookman Old Style" w:hAnsi="Bookman Old Style"/>
          <w:bCs/>
        </w:rPr>
        <w:t>ga</w:t>
      </w:r>
      <w:r w:rsidR="00774144">
        <w:rPr>
          <w:rFonts w:ascii="Bookman Old Style" w:hAnsi="Bookman Old Style"/>
          <w:bCs/>
        </w:rPr>
        <w:t>.</w:t>
      </w:r>
      <w:r w:rsidR="00A40005">
        <w:rPr>
          <w:rFonts w:ascii="Bookman Old Style" w:hAnsi="Bookman Old Style"/>
          <w:bCs/>
        </w:rPr>
        <w:t xml:space="preserve"> </w:t>
      </w:r>
    </w:p>
    <w:p w14:paraId="2DC9E32F" w14:textId="4159CFF6" w:rsidR="00F1063F" w:rsidRPr="000472F0" w:rsidRDefault="002B7193" w:rsidP="00A339BC">
      <w:pPr>
        <w:spacing w:before="240" w:after="240"/>
        <w:ind w:left="0"/>
        <w:jc w:val="both"/>
        <w:rPr>
          <w:rFonts w:ascii="Bookman Old Style" w:hAnsi="Bookman Old Style"/>
          <w:bCs/>
        </w:rPr>
      </w:pPr>
      <w:r w:rsidRPr="004A16FA">
        <w:rPr>
          <w:rFonts w:ascii="Bookman Old Style" w:hAnsi="Bookman Old Style"/>
          <w:b/>
        </w:rPr>
        <w:t xml:space="preserve">Artículo </w:t>
      </w:r>
      <w:r>
        <w:rPr>
          <w:rFonts w:ascii="Bookman Old Style" w:hAnsi="Bookman Old Style"/>
          <w:b/>
        </w:rPr>
        <w:t>2</w:t>
      </w:r>
      <w:r w:rsidRPr="004A16FA">
        <w:rPr>
          <w:rFonts w:ascii="Bookman Old Style" w:hAnsi="Bookman Old Style"/>
          <w:b/>
        </w:rPr>
        <w:t>.</w:t>
      </w:r>
      <w:r>
        <w:rPr>
          <w:rFonts w:ascii="Bookman Old Style" w:hAnsi="Bookman Old Style"/>
          <w:b/>
        </w:rPr>
        <w:t xml:space="preserve"> </w:t>
      </w:r>
      <w:r w:rsidR="006B3271">
        <w:rPr>
          <w:rFonts w:ascii="Bookman Old Style" w:hAnsi="Bookman Old Style"/>
          <w:b/>
        </w:rPr>
        <w:t xml:space="preserve">Determinación del límite de fallas de los sistemas de medición. </w:t>
      </w:r>
      <w:r w:rsidR="006B3271" w:rsidRPr="000472F0">
        <w:rPr>
          <w:rFonts w:ascii="Bookman Old Style" w:hAnsi="Bookman Old Style"/>
          <w:bCs/>
        </w:rPr>
        <w:t xml:space="preserve">Para efectos de </w:t>
      </w:r>
      <w:r w:rsidR="39455411" w:rsidRPr="07980B1C">
        <w:rPr>
          <w:rFonts w:ascii="Bookman Old Style" w:hAnsi="Bookman Old Style"/>
        </w:rPr>
        <w:t>contabilizar el número</w:t>
      </w:r>
      <w:r w:rsidR="006B3271" w:rsidRPr="000472F0">
        <w:rPr>
          <w:rFonts w:ascii="Bookman Old Style" w:hAnsi="Bookman Old Style"/>
          <w:bCs/>
        </w:rPr>
        <w:t xml:space="preserve"> de fallas de los sistema</w:t>
      </w:r>
      <w:r w:rsidR="006B3271">
        <w:rPr>
          <w:rFonts w:ascii="Bookman Old Style" w:hAnsi="Bookman Old Style"/>
          <w:bCs/>
        </w:rPr>
        <w:t>s</w:t>
      </w:r>
      <w:r w:rsidR="006B3271" w:rsidRPr="000472F0">
        <w:rPr>
          <w:rFonts w:ascii="Bookman Old Style" w:hAnsi="Bookman Old Style"/>
          <w:bCs/>
        </w:rPr>
        <w:t xml:space="preserve"> de medición de que trata el art</w:t>
      </w:r>
      <w:r w:rsidR="006B3271">
        <w:rPr>
          <w:rFonts w:ascii="Bookman Old Style" w:hAnsi="Bookman Old Style"/>
          <w:bCs/>
        </w:rPr>
        <w:t>í</w:t>
      </w:r>
      <w:r w:rsidR="006B3271" w:rsidRPr="000472F0">
        <w:rPr>
          <w:rFonts w:ascii="Bookman Old Style" w:hAnsi="Bookman Old Style"/>
          <w:bCs/>
        </w:rPr>
        <w:t>culo 36 de la Resolución CREG 038 de 2014</w:t>
      </w:r>
      <w:r w:rsidR="43F057C5" w:rsidRPr="7F9ED491">
        <w:rPr>
          <w:rFonts w:ascii="Bookman Old Style" w:hAnsi="Bookman Old Style"/>
        </w:rPr>
        <w:t>,</w:t>
      </w:r>
      <w:r w:rsidR="006B3271" w:rsidRPr="000472F0">
        <w:rPr>
          <w:rFonts w:ascii="Bookman Old Style" w:hAnsi="Bookman Old Style"/>
          <w:bCs/>
        </w:rPr>
        <w:t xml:space="preserve"> </w:t>
      </w:r>
      <w:r w:rsidR="007C19D9">
        <w:rPr>
          <w:rFonts w:ascii="Bookman Old Style" w:hAnsi="Bookman Old Style"/>
          <w:bCs/>
        </w:rPr>
        <w:t xml:space="preserve">no serán </w:t>
      </w:r>
      <w:r w:rsidR="7B0A1BB4" w:rsidRPr="07980B1C">
        <w:rPr>
          <w:rFonts w:ascii="Bookman Old Style" w:hAnsi="Bookman Old Style"/>
        </w:rPr>
        <w:t>consideradas</w:t>
      </w:r>
      <w:r w:rsidR="007C19D9">
        <w:rPr>
          <w:rFonts w:ascii="Bookman Old Style" w:hAnsi="Bookman Old Style"/>
          <w:bCs/>
        </w:rPr>
        <w:t xml:space="preserve"> </w:t>
      </w:r>
      <w:r w:rsidR="00E367C8">
        <w:rPr>
          <w:rFonts w:ascii="Bookman Old Style" w:hAnsi="Bookman Old Style"/>
          <w:bCs/>
        </w:rPr>
        <w:t xml:space="preserve">las fallas en </w:t>
      </w:r>
      <w:r w:rsidR="00060148" w:rsidRPr="00060148">
        <w:rPr>
          <w:rFonts w:ascii="Bookman Old Style" w:hAnsi="Bookman Old Style"/>
          <w:bCs/>
        </w:rPr>
        <w:t>los dispositivos de interfaz de comunicación</w:t>
      </w:r>
      <w:r w:rsidR="00060148">
        <w:rPr>
          <w:rFonts w:ascii="Bookman Old Style" w:hAnsi="Bookman Old Style"/>
          <w:bCs/>
        </w:rPr>
        <w:t xml:space="preserve"> reportadas </w:t>
      </w:r>
      <w:r w:rsidR="006C433D">
        <w:rPr>
          <w:rFonts w:ascii="Bookman Old Style" w:hAnsi="Bookman Old Style"/>
          <w:bCs/>
        </w:rPr>
        <w:t>a</w:t>
      </w:r>
      <w:r w:rsidR="00E5556D" w:rsidRPr="00E5556D">
        <w:rPr>
          <w:rFonts w:ascii="Bookman Old Style" w:hAnsi="Bookman Old Style"/>
          <w:bCs/>
        </w:rPr>
        <w:t xml:space="preserve"> partir de la entrada en vigencia de la presente resolución </w:t>
      </w:r>
      <w:r w:rsidR="00A63ED5">
        <w:rPr>
          <w:rFonts w:ascii="Bookman Old Style" w:hAnsi="Bookman Old Style"/>
          <w:bCs/>
        </w:rPr>
        <w:t xml:space="preserve">y </w:t>
      </w:r>
      <w:r w:rsidR="007C19D9">
        <w:rPr>
          <w:rFonts w:ascii="Bookman Old Style" w:hAnsi="Bookman Old Style"/>
          <w:bCs/>
        </w:rPr>
        <w:t xml:space="preserve">hasta </w:t>
      </w:r>
      <w:r w:rsidR="007C19D9" w:rsidRPr="007C19D9">
        <w:rPr>
          <w:rFonts w:ascii="Bookman Old Style" w:hAnsi="Bookman Old Style"/>
          <w:bCs/>
        </w:rPr>
        <w:t>la fecha de finalización del aislamiento preventivo obligatorio establecido en el Decreto 457 del 22 de marzo de 2020, o aquel que lo modifique, adicione o sustituya</w:t>
      </w:r>
      <w:r w:rsidR="000472F0">
        <w:rPr>
          <w:rFonts w:ascii="Bookman Old Style" w:hAnsi="Bookman Old Style"/>
          <w:bCs/>
        </w:rPr>
        <w:t>.</w:t>
      </w:r>
    </w:p>
    <w:p w14:paraId="553B5B21" w14:textId="4701FDBA" w:rsidR="00973FE9" w:rsidRDefault="00F1063F" w:rsidP="00A339BC">
      <w:pPr>
        <w:spacing w:before="240" w:after="240"/>
        <w:ind w:left="0"/>
        <w:jc w:val="both"/>
        <w:rPr>
          <w:rFonts w:ascii="Bookman Old Style" w:hAnsi="Bookman Old Style"/>
          <w:bCs/>
        </w:rPr>
      </w:pPr>
      <w:r>
        <w:rPr>
          <w:rFonts w:ascii="Bookman Old Style" w:hAnsi="Bookman Old Style"/>
          <w:b/>
        </w:rPr>
        <w:t xml:space="preserve">Artículo 3. </w:t>
      </w:r>
      <w:r w:rsidR="00BC1EF0">
        <w:rPr>
          <w:rFonts w:ascii="Bookman Old Style" w:hAnsi="Bookman Old Style"/>
          <w:b/>
        </w:rPr>
        <w:t xml:space="preserve">Suspensión de las visitas y verificaciones a los sistemas de medición. </w:t>
      </w:r>
      <w:r w:rsidR="00973FE9" w:rsidRPr="00973FE9">
        <w:rPr>
          <w:rFonts w:ascii="Bookman Old Style" w:hAnsi="Bookman Old Style"/>
          <w:bCs/>
        </w:rPr>
        <w:t>A partir de la entrada en vigencia de la presente resolución</w:t>
      </w:r>
      <w:r w:rsidR="00512E3E">
        <w:rPr>
          <w:rFonts w:ascii="Bookman Old Style" w:hAnsi="Bookman Old Style"/>
          <w:bCs/>
        </w:rPr>
        <w:t>,</w:t>
      </w:r>
      <w:r w:rsidR="00973FE9">
        <w:rPr>
          <w:rFonts w:ascii="Bookman Old Style" w:hAnsi="Bookman Old Style"/>
          <w:bCs/>
        </w:rPr>
        <w:t xml:space="preserve"> las visitas de que trata</w:t>
      </w:r>
      <w:r>
        <w:rPr>
          <w:rFonts w:ascii="Bookman Old Style" w:hAnsi="Bookman Old Style"/>
          <w:bCs/>
        </w:rPr>
        <w:t>n</w:t>
      </w:r>
      <w:r w:rsidR="00973FE9">
        <w:rPr>
          <w:rFonts w:ascii="Bookman Old Style" w:hAnsi="Bookman Old Style"/>
          <w:bCs/>
        </w:rPr>
        <w:t xml:space="preserve"> l</w:t>
      </w:r>
      <w:r>
        <w:rPr>
          <w:rFonts w:ascii="Bookman Old Style" w:hAnsi="Bookman Old Style"/>
          <w:bCs/>
        </w:rPr>
        <w:t>os</w:t>
      </w:r>
      <w:r w:rsidR="00973FE9">
        <w:rPr>
          <w:rFonts w:ascii="Bookman Old Style" w:hAnsi="Bookman Old Style"/>
          <w:bCs/>
        </w:rPr>
        <w:t xml:space="preserve"> artículo</w:t>
      </w:r>
      <w:r>
        <w:rPr>
          <w:rFonts w:ascii="Bookman Old Style" w:hAnsi="Bookman Old Style"/>
          <w:bCs/>
        </w:rPr>
        <w:t>s</w:t>
      </w:r>
      <w:r w:rsidR="00973FE9">
        <w:rPr>
          <w:rFonts w:ascii="Bookman Old Style" w:hAnsi="Bookman Old Style"/>
          <w:bCs/>
        </w:rPr>
        <w:t xml:space="preserve"> 46</w:t>
      </w:r>
      <w:r>
        <w:rPr>
          <w:rFonts w:ascii="Bookman Old Style" w:hAnsi="Bookman Old Style"/>
          <w:bCs/>
        </w:rPr>
        <w:t xml:space="preserve"> y 47</w:t>
      </w:r>
      <w:r w:rsidR="00973FE9">
        <w:rPr>
          <w:rFonts w:ascii="Bookman Old Style" w:hAnsi="Bookman Old Style"/>
          <w:bCs/>
        </w:rPr>
        <w:t xml:space="preserve"> de la Resolución CREG 156 de 2011</w:t>
      </w:r>
      <w:r w:rsidR="00825F71">
        <w:rPr>
          <w:rFonts w:ascii="Bookman Old Style" w:hAnsi="Bookman Old Style"/>
          <w:bCs/>
        </w:rPr>
        <w:t>,</w:t>
      </w:r>
      <w:r w:rsidR="00964AE7">
        <w:rPr>
          <w:rFonts w:ascii="Bookman Old Style" w:hAnsi="Bookman Old Style"/>
          <w:bCs/>
        </w:rPr>
        <w:t xml:space="preserve"> y las verificaciones de </w:t>
      </w:r>
      <w:r w:rsidR="00973FE9">
        <w:rPr>
          <w:rFonts w:ascii="Bookman Old Style" w:hAnsi="Bookman Old Style"/>
          <w:bCs/>
        </w:rPr>
        <w:t>los artículos 7 y 11 de la Resolución CREG 157 de 2011</w:t>
      </w:r>
      <w:r w:rsidR="00512E3E">
        <w:rPr>
          <w:rFonts w:ascii="Bookman Old Style" w:hAnsi="Bookman Old Style"/>
          <w:bCs/>
        </w:rPr>
        <w:t>,</w:t>
      </w:r>
      <w:r w:rsidR="00973FE9">
        <w:rPr>
          <w:rFonts w:ascii="Bookman Old Style" w:hAnsi="Bookman Old Style"/>
          <w:bCs/>
        </w:rPr>
        <w:t xml:space="preserve"> y </w:t>
      </w:r>
      <w:r w:rsidR="00512E3E">
        <w:rPr>
          <w:rFonts w:ascii="Bookman Old Style" w:hAnsi="Bookman Old Style"/>
          <w:bCs/>
        </w:rPr>
        <w:t xml:space="preserve">artículos </w:t>
      </w:r>
      <w:r w:rsidR="00973FE9">
        <w:rPr>
          <w:rFonts w:ascii="Bookman Old Style" w:hAnsi="Bookman Old Style"/>
          <w:bCs/>
        </w:rPr>
        <w:t>26,</w:t>
      </w:r>
      <w:r w:rsidR="00836DD5">
        <w:rPr>
          <w:rFonts w:ascii="Bookman Old Style" w:hAnsi="Bookman Old Style"/>
          <w:bCs/>
        </w:rPr>
        <w:t xml:space="preserve"> </w:t>
      </w:r>
      <w:r w:rsidR="00973FE9">
        <w:rPr>
          <w:rFonts w:ascii="Bookman Old Style" w:hAnsi="Bookman Old Style"/>
          <w:bCs/>
        </w:rPr>
        <w:t>31 y 39 de la Resolución CREG 038 de 2014</w:t>
      </w:r>
      <w:r w:rsidR="00512E3E">
        <w:rPr>
          <w:rFonts w:ascii="Bookman Old Style" w:hAnsi="Bookman Old Style"/>
          <w:bCs/>
        </w:rPr>
        <w:t>,</w:t>
      </w:r>
      <w:r w:rsidR="00973FE9">
        <w:rPr>
          <w:rFonts w:ascii="Bookman Old Style" w:hAnsi="Bookman Old Style"/>
          <w:bCs/>
        </w:rPr>
        <w:t xml:space="preserve"> deberán programarse</w:t>
      </w:r>
      <w:r w:rsidR="00964AE7">
        <w:rPr>
          <w:rFonts w:ascii="Bookman Old Style" w:hAnsi="Bookman Old Style"/>
          <w:bCs/>
        </w:rPr>
        <w:t>,</w:t>
      </w:r>
      <w:r w:rsidR="00964AE7" w:rsidRPr="00964AE7">
        <w:rPr>
          <w:rFonts w:ascii="Bookman Old Style" w:hAnsi="Bookman Old Style"/>
          <w:bCs/>
        </w:rPr>
        <w:t xml:space="preserve"> </w:t>
      </w:r>
      <w:r w:rsidR="00964AE7">
        <w:rPr>
          <w:rFonts w:ascii="Bookman Old Style" w:hAnsi="Bookman Old Style"/>
          <w:bCs/>
        </w:rPr>
        <w:t>de acuerdo con los plazos máximos establecidos para dada una de estas,</w:t>
      </w:r>
      <w:r w:rsidR="00973FE9">
        <w:rPr>
          <w:rFonts w:ascii="Bookman Old Style" w:hAnsi="Bookman Old Style"/>
          <w:bCs/>
        </w:rPr>
        <w:t xml:space="preserve"> </w:t>
      </w:r>
      <w:r w:rsidR="00FB1E1B">
        <w:rPr>
          <w:rFonts w:ascii="Bookman Old Style" w:hAnsi="Bookman Old Style"/>
          <w:bCs/>
        </w:rPr>
        <w:t xml:space="preserve">desde el </w:t>
      </w:r>
      <w:r w:rsidR="2D23D35F" w:rsidRPr="564CE571">
        <w:rPr>
          <w:rFonts w:ascii="Bookman Old Style" w:hAnsi="Bookman Old Style"/>
        </w:rPr>
        <w:t xml:space="preserve">décimo </w:t>
      </w:r>
      <w:r w:rsidR="00FB1E1B" w:rsidRPr="564CE571">
        <w:rPr>
          <w:rFonts w:ascii="Bookman Old Style" w:hAnsi="Bookman Old Style"/>
        </w:rPr>
        <w:t>día</w:t>
      </w:r>
      <w:r w:rsidR="0C51863D" w:rsidRPr="564CE571">
        <w:rPr>
          <w:rFonts w:ascii="Bookman Old Style" w:hAnsi="Bookman Old Style"/>
        </w:rPr>
        <w:t xml:space="preserve"> hábil</w:t>
      </w:r>
      <w:r w:rsidR="00FB1E1B">
        <w:rPr>
          <w:rFonts w:ascii="Bookman Old Style" w:hAnsi="Bookman Old Style"/>
          <w:bCs/>
        </w:rPr>
        <w:t xml:space="preserve"> siguiente </w:t>
      </w:r>
      <w:r w:rsidR="00906037">
        <w:rPr>
          <w:rFonts w:ascii="Bookman Old Style" w:hAnsi="Bookman Old Style"/>
          <w:bCs/>
        </w:rPr>
        <w:t>a</w:t>
      </w:r>
      <w:r w:rsidR="00D07A6F">
        <w:rPr>
          <w:rFonts w:ascii="Bookman Old Style" w:hAnsi="Bookman Old Style"/>
          <w:bCs/>
        </w:rPr>
        <w:t xml:space="preserve"> </w:t>
      </w:r>
      <w:bookmarkStart w:id="2" w:name="_Hlk37082196"/>
      <w:r w:rsidR="00906037">
        <w:rPr>
          <w:rFonts w:ascii="Bookman Old Style" w:hAnsi="Bookman Old Style"/>
          <w:bCs/>
        </w:rPr>
        <w:t>l</w:t>
      </w:r>
      <w:r w:rsidR="00D07A6F">
        <w:rPr>
          <w:rFonts w:ascii="Bookman Old Style" w:hAnsi="Bookman Old Style"/>
          <w:bCs/>
        </w:rPr>
        <w:t>a fecha de finalización</w:t>
      </w:r>
      <w:r w:rsidR="00973FE9">
        <w:rPr>
          <w:rFonts w:ascii="Bookman Old Style" w:hAnsi="Bookman Old Style"/>
          <w:bCs/>
        </w:rPr>
        <w:t xml:space="preserve"> </w:t>
      </w:r>
      <w:r w:rsidR="00D07A6F">
        <w:rPr>
          <w:rFonts w:ascii="Bookman Old Style" w:hAnsi="Bookman Old Style"/>
          <w:bCs/>
        </w:rPr>
        <w:t>d</w:t>
      </w:r>
      <w:r w:rsidR="00973FE9">
        <w:rPr>
          <w:rFonts w:ascii="Bookman Old Style" w:hAnsi="Bookman Old Style"/>
          <w:bCs/>
        </w:rPr>
        <w:t>el aislamiento preventivo obligatorio establecido en el Decreto 457 del 22 de marzo de 2020</w:t>
      </w:r>
      <w:r w:rsidR="00512E3E">
        <w:rPr>
          <w:rFonts w:ascii="Bookman Old Style" w:hAnsi="Bookman Old Style"/>
          <w:bCs/>
        </w:rPr>
        <w:t>,</w:t>
      </w:r>
      <w:r w:rsidR="00CA2711">
        <w:rPr>
          <w:rFonts w:ascii="Bookman Old Style" w:hAnsi="Bookman Old Style"/>
          <w:bCs/>
        </w:rPr>
        <w:t xml:space="preserve"> o aquel que lo modifique, adicione o sustituya</w:t>
      </w:r>
      <w:bookmarkEnd w:id="2"/>
      <w:r w:rsidR="00CA2711">
        <w:rPr>
          <w:rFonts w:ascii="Bookman Old Style" w:hAnsi="Bookman Old Style"/>
          <w:bCs/>
        </w:rPr>
        <w:t>.</w:t>
      </w:r>
    </w:p>
    <w:p w14:paraId="1E9F8E42" w14:textId="7130FE15" w:rsidR="00964AE7" w:rsidRDefault="00964AE7" w:rsidP="00A339BC">
      <w:pPr>
        <w:spacing w:before="240" w:after="240"/>
        <w:ind w:left="0"/>
        <w:jc w:val="both"/>
        <w:rPr>
          <w:rFonts w:ascii="Bookman Old Style" w:hAnsi="Bookman Old Style"/>
          <w:bCs/>
        </w:rPr>
      </w:pPr>
      <w:r>
        <w:rPr>
          <w:rFonts w:ascii="Bookman Old Style" w:hAnsi="Bookman Old Style"/>
          <w:bCs/>
        </w:rPr>
        <w:t>E</w:t>
      </w:r>
      <w:r w:rsidR="00F5690D">
        <w:rPr>
          <w:rFonts w:ascii="Bookman Old Style" w:hAnsi="Bookman Old Style"/>
          <w:bCs/>
        </w:rPr>
        <w:t>l</w:t>
      </w:r>
      <w:r w:rsidR="00973FE9">
        <w:rPr>
          <w:rFonts w:ascii="Bookman Old Style" w:hAnsi="Bookman Old Style"/>
          <w:bCs/>
        </w:rPr>
        <w:t xml:space="preserve"> </w:t>
      </w:r>
      <w:r>
        <w:rPr>
          <w:rFonts w:ascii="Bookman Old Style" w:hAnsi="Bookman Old Style"/>
          <w:bCs/>
        </w:rPr>
        <w:t xml:space="preserve">proceso de registro de fronteras comerciales de que trata el </w:t>
      </w:r>
      <w:r w:rsidRPr="6B1FC9A3">
        <w:rPr>
          <w:rFonts w:ascii="Bookman Old Style" w:hAnsi="Bookman Old Style"/>
        </w:rPr>
        <w:t>artículo</w:t>
      </w:r>
      <w:r>
        <w:rPr>
          <w:rFonts w:ascii="Bookman Old Style" w:hAnsi="Bookman Old Style"/>
          <w:bCs/>
        </w:rPr>
        <w:t xml:space="preserve"> 4 de la Resolución CREG 157 de 2011</w:t>
      </w:r>
      <w:r w:rsidR="00512E3E">
        <w:rPr>
          <w:rFonts w:ascii="Bookman Old Style" w:hAnsi="Bookman Old Style"/>
          <w:bCs/>
        </w:rPr>
        <w:t>,</w:t>
      </w:r>
      <w:r>
        <w:rPr>
          <w:rFonts w:ascii="Bookman Old Style" w:hAnsi="Bookman Old Style"/>
          <w:bCs/>
        </w:rPr>
        <w:t xml:space="preserve"> deberá continuarse sin las verificaciones</w:t>
      </w:r>
      <w:r w:rsidR="0058243C">
        <w:rPr>
          <w:rFonts w:ascii="Bookman Old Style" w:hAnsi="Bookman Old Style"/>
          <w:bCs/>
        </w:rPr>
        <w:t xml:space="preserve"> de terceros</w:t>
      </w:r>
      <w:r>
        <w:rPr>
          <w:rFonts w:ascii="Bookman Old Style" w:hAnsi="Bookman Old Style"/>
          <w:bCs/>
        </w:rPr>
        <w:t xml:space="preserve"> requeridas y</w:t>
      </w:r>
      <w:r w:rsidR="00512E3E">
        <w:rPr>
          <w:rFonts w:ascii="Bookman Old Style" w:hAnsi="Bookman Old Style"/>
          <w:bCs/>
        </w:rPr>
        <w:t>,</w:t>
      </w:r>
      <w:r>
        <w:rPr>
          <w:rFonts w:ascii="Bookman Old Style" w:hAnsi="Bookman Old Style"/>
          <w:bCs/>
        </w:rPr>
        <w:t xml:space="preserve"> una vez estas sean ejecutadas</w:t>
      </w:r>
      <w:r w:rsidR="00512E3E">
        <w:rPr>
          <w:rFonts w:ascii="Bookman Old Style" w:hAnsi="Bookman Old Style"/>
          <w:bCs/>
        </w:rPr>
        <w:t>,</w:t>
      </w:r>
      <w:r>
        <w:rPr>
          <w:rFonts w:ascii="Bookman Old Style" w:hAnsi="Bookman Old Style"/>
          <w:bCs/>
        </w:rPr>
        <w:t xml:space="preserve"> se mantendrá el registro de la frontera comercial si</w:t>
      </w:r>
      <w:r w:rsidR="00512E3E">
        <w:rPr>
          <w:rFonts w:ascii="Bookman Old Style" w:hAnsi="Bookman Old Style"/>
          <w:bCs/>
        </w:rPr>
        <w:t>,</w:t>
      </w:r>
      <w:r>
        <w:rPr>
          <w:rFonts w:ascii="Bookman Old Style" w:hAnsi="Bookman Old Style"/>
          <w:bCs/>
        </w:rPr>
        <w:t xml:space="preserve"> del resultado</w:t>
      </w:r>
      <w:r w:rsidR="00512E3E">
        <w:rPr>
          <w:rFonts w:ascii="Bookman Old Style" w:hAnsi="Bookman Old Style"/>
          <w:bCs/>
        </w:rPr>
        <w:t>,</w:t>
      </w:r>
      <w:r>
        <w:rPr>
          <w:rFonts w:ascii="Bookman Old Style" w:hAnsi="Bookman Old Style"/>
          <w:bCs/>
        </w:rPr>
        <w:t xml:space="preserve"> se confirma el cumplimiento de los requisitos del Código de Medida. En caso contrario</w:t>
      </w:r>
      <w:r w:rsidR="00512E3E">
        <w:rPr>
          <w:rFonts w:ascii="Bookman Old Style" w:hAnsi="Bookman Old Style"/>
          <w:bCs/>
        </w:rPr>
        <w:t>,</w:t>
      </w:r>
      <w:r>
        <w:rPr>
          <w:rFonts w:ascii="Bookman Old Style" w:hAnsi="Bookman Old Style"/>
          <w:bCs/>
        </w:rPr>
        <w:t xml:space="preserve"> se dará aplicación a lo dispuesto en el </w:t>
      </w:r>
      <w:r w:rsidR="00906037">
        <w:rPr>
          <w:rFonts w:ascii="Bookman Old Style" w:hAnsi="Bookman Old Style"/>
          <w:bCs/>
        </w:rPr>
        <w:t>artículo</w:t>
      </w:r>
      <w:r>
        <w:rPr>
          <w:rFonts w:ascii="Bookman Old Style" w:hAnsi="Bookman Old Style"/>
          <w:bCs/>
        </w:rPr>
        <w:t xml:space="preserve"> 11 de la Resolución CREG 157 de 2011.</w:t>
      </w:r>
    </w:p>
    <w:p w14:paraId="58F2E9D6" w14:textId="5C16BF38" w:rsidR="00121915" w:rsidRDefault="00A70632" w:rsidP="00A339BC">
      <w:pPr>
        <w:spacing w:before="240" w:after="240"/>
        <w:ind w:left="0"/>
        <w:jc w:val="both"/>
        <w:rPr>
          <w:rFonts w:ascii="Bookman Old Style" w:hAnsi="Bookman Old Style"/>
          <w:bCs/>
        </w:rPr>
      </w:pPr>
      <w:r w:rsidRPr="002A782A">
        <w:rPr>
          <w:rFonts w:ascii="Bookman Old Style" w:hAnsi="Bookman Old Style"/>
          <w:b/>
        </w:rPr>
        <w:t xml:space="preserve">Artículo </w:t>
      </w:r>
      <w:r w:rsidR="00117477">
        <w:rPr>
          <w:rFonts w:ascii="Bookman Old Style" w:hAnsi="Bookman Old Style"/>
          <w:b/>
        </w:rPr>
        <w:t>4</w:t>
      </w:r>
      <w:r w:rsidRPr="002A782A">
        <w:rPr>
          <w:rFonts w:ascii="Bookman Old Style" w:hAnsi="Bookman Old Style"/>
          <w:b/>
        </w:rPr>
        <w:t xml:space="preserve">. </w:t>
      </w:r>
      <w:r w:rsidR="00D849C4">
        <w:rPr>
          <w:rFonts w:ascii="Bookman Old Style" w:hAnsi="Bookman Old Style"/>
          <w:b/>
        </w:rPr>
        <w:t>Suspensión de los m</w:t>
      </w:r>
      <w:r w:rsidR="00121915">
        <w:rPr>
          <w:rFonts w:ascii="Bookman Old Style" w:hAnsi="Bookman Old Style"/>
          <w:b/>
        </w:rPr>
        <w:t xml:space="preserve">antenimientos programados </w:t>
      </w:r>
      <w:r w:rsidR="0032329E">
        <w:rPr>
          <w:rFonts w:ascii="Bookman Old Style" w:hAnsi="Bookman Old Style"/>
          <w:b/>
        </w:rPr>
        <w:t xml:space="preserve">a los sistemas de medición. </w:t>
      </w:r>
      <w:r w:rsidR="007A7053" w:rsidRPr="001A6D0C">
        <w:rPr>
          <w:rFonts w:ascii="Bookman Old Style" w:hAnsi="Bookman Old Style"/>
          <w:bCs/>
        </w:rPr>
        <w:t>L</w:t>
      </w:r>
      <w:r w:rsidR="00D849C4">
        <w:rPr>
          <w:rFonts w:ascii="Bookman Old Style" w:hAnsi="Bookman Old Style"/>
          <w:bCs/>
        </w:rPr>
        <w:t xml:space="preserve">os mantenimientos a </w:t>
      </w:r>
      <w:r w:rsidR="70F1BB6C" w:rsidRPr="07980B1C">
        <w:rPr>
          <w:rFonts w:ascii="Bookman Old Style" w:hAnsi="Bookman Old Style"/>
        </w:rPr>
        <w:t>ser ejecutados</w:t>
      </w:r>
      <w:r w:rsidR="15FEB967" w:rsidRPr="07980B1C">
        <w:rPr>
          <w:rFonts w:ascii="Bookman Old Style" w:hAnsi="Bookman Old Style"/>
        </w:rPr>
        <w:t xml:space="preserve"> </w:t>
      </w:r>
      <w:r w:rsidR="00D849C4" w:rsidRPr="07980B1C">
        <w:rPr>
          <w:rFonts w:ascii="Bookman Old Style" w:hAnsi="Bookman Old Style"/>
        </w:rPr>
        <w:t xml:space="preserve">a </w:t>
      </w:r>
      <w:r w:rsidR="00D849C4">
        <w:rPr>
          <w:rFonts w:ascii="Bookman Old Style" w:hAnsi="Bookman Old Style"/>
          <w:bCs/>
        </w:rPr>
        <w:t>los sistemas de medición</w:t>
      </w:r>
      <w:r w:rsidR="3C107CF1" w:rsidRPr="07980B1C">
        <w:rPr>
          <w:rFonts w:ascii="Bookman Old Style" w:hAnsi="Bookman Old Style"/>
        </w:rPr>
        <w:t>,</w:t>
      </w:r>
      <w:r w:rsidR="00D849C4">
        <w:rPr>
          <w:rFonts w:ascii="Bookman Old Style" w:hAnsi="Bookman Old Style"/>
          <w:bCs/>
        </w:rPr>
        <w:t xml:space="preserve"> </w:t>
      </w:r>
      <w:r w:rsidR="00AB0BA1">
        <w:rPr>
          <w:rFonts w:ascii="Bookman Old Style" w:hAnsi="Bookman Old Style"/>
          <w:bCs/>
        </w:rPr>
        <w:t xml:space="preserve">de que trata el </w:t>
      </w:r>
      <w:r w:rsidR="005268F5">
        <w:rPr>
          <w:rFonts w:ascii="Bookman Old Style" w:hAnsi="Bookman Old Style"/>
          <w:bCs/>
        </w:rPr>
        <w:t>artículo</w:t>
      </w:r>
      <w:r w:rsidR="00AB0BA1">
        <w:rPr>
          <w:rFonts w:ascii="Bookman Old Style" w:hAnsi="Bookman Old Style"/>
          <w:bCs/>
        </w:rPr>
        <w:t xml:space="preserve"> 28 de la Resolución </w:t>
      </w:r>
      <w:r w:rsidR="005268F5">
        <w:rPr>
          <w:rFonts w:ascii="Bookman Old Style" w:hAnsi="Bookman Old Style"/>
          <w:bCs/>
        </w:rPr>
        <w:t>CREG 038 de 2014</w:t>
      </w:r>
      <w:r w:rsidR="6BC5F852" w:rsidRPr="07980B1C">
        <w:rPr>
          <w:rFonts w:ascii="Bookman Old Style" w:hAnsi="Bookman Old Style"/>
        </w:rPr>
        <w:t>,</w:t>
      </w:r>
      <w:r w:rsidR="00114943">
        <w:rPr>
          <w:rFonts w:ascii="Bookman Old Style" w:hAnsi="Bookman Old Style"/>
          <w:bCs/>
        </w:rPr>
        <w:t xml:space="preserve"> programados</w:t>
      </w:r>
      <w:r w:rsidR="000132E9" w:rsidRPr="001A6D0C">
        <w:rPr>
          <w:rFonts w:ascii="Bookman Old Style" w:hAnsi="Bookman Old Style"/>
          <w:bCs/>
        </w:rPr>
        <w:t xml:space="preserve"> </w:t>
      </w:r>
      <w:r w:rsidR="785DFC38" w:rsidRPr="07980B1C">
        <w:rPr>
          <w:rFonts w:ascii="Bookman Old Style" w:hAnsi="Bookman Old Style"/>
        </w:rPr>
        <w:t>a partir de la</w:t>
      </w:r>
      <w:r w:rsidR="396C9636" w:rsidRPr="07980B1C">
        <w:rPr>
          <w:rFonts w:ascii="Bookman Old Style" w:hAnsi="Bookman Old Style"/>
        </w:rPr>
        <w:t xml:space="preserve"> fecha de</w:t>
      </w:r>
      <w:r w:rsidR="785DFC38" w:rsidRPr="07980B1C">
        <w:rPr>
          <w:rFonts w:ascii="Bookman Old Style" w:hAnsi="Bookman Old Style"/>
        </w:rPr>
        <w:t xml:space="preserve"> entrada en</w:t>
      </w:r>
      <w:r w:rsidR="007A7053" w:rsidRPr="0027538F">
        <w:rPr>
          <w:rFonts w:ascii="Bookman Old Style" w:hAnsi="Bookman Old Style"/>
          <w:bCs/>
        </w:rPr>
        <w:t xml:space="preserve"> vigencia de la presente resolución</w:t>
      </w:r>
      <w:r w:rsidR="00114943">
        <w:rPr>
          <w:rFonts w:ascii="Bookman Old Style" w:hAnsi="Bookman Old Style"/>
          <w:bCs/>
        </w:rPr>
        <w:t xml:space="preserve"> y </w:t>
      </w:r>
      <w:r w:rsidR="798DBC88" w:rsidRPr="07980B1C">
        <w:rPr>
          <w:rFonts w:ascii="Bookman Old Style" w:hAnsi="Bookman Old Style"/>
        </w:rPr>
        <w:t>hasta</w:t>
      </w:r>
      <w:r w:rsidR="00114943" w:rsidRPr="07980B1C">
        <w:rPr>
          <w:rFonts w:ascii="Bookman Old Style" w:hAnsi="Bookman Old Style"/>
        </w:rPr>
        <w:t xml:space="preserve"> </w:t>
      </w:r>
      <w:r w:rsidR="00855456">
        <w:rPr>
          <w:rFonts w:ascii="Bookman Old Style" w:hAnsi="Bookman Old Style"/>
          <w:bCs/>
        </w:rPr>
        <w:t>la</w:t>
      </w:r>
      <w:r w:rsidR="00114943">
        <w:rPr>
          <w:rFonts w:ascii="Bookman Old Style" w:hAnsi="Bookman Old Style"/>
          <w:bCs/>
        </w:rPr>
        <w:t xml:space="preserve"> </w:t>
      </w:r>
      <w:bookmarkStart w:id="3" w:name="_Hlk37227663"/>
      <w:r w:rsidR="00114943">
        <w:rPr>
          <w:rFonts w:ascii="Bookman Old Style" w:hAnsi="Bookman Old Style"/>
          <w:bCs/>
        </w:rPr>
        <w:t>fecha</w:t>
      </w:r>
      <w:r w:rsidR="000132E9" w:rsidRPr="001A6D0C">
        <w:rPr>
          <w:rFonts w:ascii="Bookman Old Style" w:hAnsi="Bookman Old Style"/>
          <w:bCs/>
        </w:rPr>
        <w:t xml:space="preserve"> de finalización del aislamiento preventivo obligatorio establecido en el Decreto 457 del 22 de marzo de 2020, o aquel que lo modifique, adicione o sustituya</w:t>
      </w:r>
      <w:bookmarkEnd w:id="3"/>
      <w:r w:rsidR="00173586">
        <w:rPr>
          <w:rFonts w:ascii="Bookman Old Style" w:hAnsi="Bookman Old Style"/>
          <w:bCs/>
        </w:rPr>
        <w:t>, deberán rep</w:t>
      </w:r>
      <w:r w:rsidR="006A01A2">
        <w:rPr>
          <w:rFonts w:ascii="Bookman Old Style" w:hAnsi="Bookman Old Style"/>
          <w:bCs/>
        </w:rPr>
        <w:t xml:space="preserve">rogramarse </w:t>
      </w:r>
      <w:r w:rsidR="4F6DF126" w:rsidRPr="07980B1C">
        <w:rPr>
          <w:rFonts w:ascii="Bookman Old Style" w:hAnsi="Bookman Old Style"/>
        </w:rPr>
        <w:t xml:space="preserve">a partir </w:t>
      </w:r>
      <w:r w:rsidR="650CA045" w:rsidRPr="07980B1C">
        <w:rPr>
          <w:rFonts w:ascii="Bookman Old Style" w:hAnsi="Bookman Old Style"/>
        </w:rPr>
        <w:t>d</w:t>
      </w:r>
      <w:r w:rsidR="0066525E" w:rsidRPr="07980B1C">
        <w:rPr>
          <w:rFonts w:ascii="Bookman Old Style" w:hAnsi="Bookman Old Style"/>
        </w:rPr>
        <w:t>el</w:t>
      </w:r>
      <w:r w:rsidR="0066525E">
        <w:rPr>
          <w:rFonts w:ascii="Bookman Old Style" w:hAnsi="Bookman Old Style"/>
          <w:bCs/>
        </w:rPr>
        <w:t xml:space="preserve"> </w:t>
      </w:r>
      <w:r w:rsidR="0066525E" w:rsidRPr="564CE571">
        <w:rPr>
          <w:rFonts w:ascii="Bookman Old Style" w:hAnsi="Bookman Old Style"/>
        </w:rPr>
        <w:t>décimo día hábil</w:t>
      </w:r>
      <w:r w:rsidR="0066525E">
        <w:rPr>
          <w:rFonts w:ascii="Bookman Old Style" w:hAnsi="Bookman Old Style"/>
          <w:bCs/>
        </w:rPr>
        <w:t xml:space="preserve"> siguiente a la fecha de finalización del aislamiento preventivo obligatorio</w:t>
      </w:r>
      <w:r w:rsidR="00AD33EC">
        <w:rPr>
          <w:rFonts w:ascii="Bookman Old Style" w:hAnsi="Bookman Old Style"/>
          <w:bCs/>
        </w:rPr>
        <w:t xml:space="preserve"> mencionado</w:t>
      </w:r>
      <w:r w:rsidR="0066525E">
        <w:rPr>
          <w:rFonts w:ascii="Bookman Old Style" w:hAnsi="Bookman Old Style"/>
          <w:bCs/>
        </w:rPr>
        <w:t>.</w:t>
      </w:r>
      <w:r w:rsidR="006A01A2">
        <w:rPr>
          <w:rFonts w:ascii="Bookman Old Style" w:hAnsi="Bookman Old Style"/>
          <w:bCs/>
        </w:rPr>
        <w:t xml:space="preserve"> </w:t>
      </w:r>
    </w:p>
    <w:p w14:paraId="71769BA7" w14:textId="326FA93B" w:rsidR="0050109B" w:rsidRDefault="00121915" w:rsidP="00A339BC">
      <w:pPr>
        <w:spacing w:before="240" w:after="240"/>
        <w:ind w:left="0"/>
        <w:jc w:val="both"/>
        <w:rPr>
          <w:rFonts w:ascii="Bookman Old Style" w:hAnsi="Bookman Old Style"/>
          <w:bCs/>
        </w:rPr>
      </w:pPr>
      <w:r w:rsidRPr="002A782A">
        <w:rPr>
          <w:rFonts w:ascii="Bookman Old Style" w:hAnsi="Bookman Old Style"/>
          <w:b/>
        </w:rPr>
        <w:t xml:space="preserve">Artículo </w:t>
      </w:r>
      <w:r w:rsidR="4E709775" w:rsidRPr="07980B1C">
        <w:rPr>
          <w:rFonts w:ascii="Bookman Old Style" w:hAnsi="Bookman Old Style"/>
          <w:b/>
          <w:bCs/>
        </w:rPr>
        <w:t>5</w:t>
      </w:r>
      <w:r w:rsidRPr="002A782A">
        <w:rPr>
          <w:rFonts w:ascii="Bookman Old Style" w:hAnsi="Bookman Old Style"/>
          <w:b/>
        </w:rPr>
        <w:t>.</w:t>
      </w:r>
      <w:r>
        <w:rPr>
          <w:rFonts w:ascii="Bookman Old Style" w:hAnsi="Bookman Old Style"/>
          <w:b/>
        </w:rPr>
        <w:t xml:space="preserve"> </w:t>
      </w:r>
      <w:r w:rsidR="00A33D82">
        <w:rPr>
          <w:rFonts w:ascii="Bookman Old Style" w:hAnsi="Bookman Old Style"/>
          <w:b/>
        </w:rPr>
        <w:t>Reporte de aplicación de la</w:t>
      </w:r>
      <w:r w:rsidR="00B50648">
        <w:rPr>
          <w:rFonts w:ascii="Bookman Old Style" w:hAnsi="Bookman Old Style"/>
          <w:b/>
        </w:rPr>
        <w:t>s reglas transitorias.</w:t>
      </w:r>
      <w:r w:rsidR="00A33D82">
        <w:rPr>
          <w:rFonts w:ascii="Bookman Old Style" w:hAnsi="Bookman Old Style"/>
          <w:b/>
        </w:rPr>
        <w:t xml:space="preserve"> </w:t>
      </w:r>
      <w:r w:rsidR="0084589C">
        <w:rPr>
          <w:rFonts w:ascii="Bookman Old Style" w:hAnsi="Bookman Old Style"/>
          <w:bCs/>
        </w:rPr>
        <w:t xml:space="preserve">El </w:t>
      </w:r>
      <w:r w:rsidR="0094009F">
        <w:rPr>
          <w:rFonts w:ascii="Bookman Old Style" w:hAnsi="Bookman Old Style"/>
          <w:bCs/>
        </w:rPr>
        <w:t>A</w:t>
      </w:r>
      <w:r w:rsidR="0084589C">
        <w:rPr>
          <w:rFonts w:ascii="Bookman Old Style" w:hAnsi="Bookman Old Style"/>
          <w:bCs/>
        </w:rPr>
        <w:t>dministrador del Sistema de Intercambios Comerciales</w:t>
      </w:r>
      <w:r w:rsidR="00504E48">
        <w:rPr>
          <w:rFonts w:ascii="Bookman Old Style" w:hAnsi="Bookman Old Style"/>
          <w:bCs/>
        </w:rPr>
        <w:t>, ASIC,</w:t>
      </w:r>
      <w:r w:rsidR="0084589C">
        <w:rPr>
          <w:rFonts w:ascii="Bookman Old Style" w:hAnsi="Bookman Old Style"/>
          <w:bCs/>
        </w:rPr>
        <w:t xml:space="preserve"> deberá</w:t>
      </w:r>
      <w:r w:rsidR="00504E48">
        <w:rPr>
          <w:rFonts w:ascii="Bookman Old Style" w:hAnsi="Bookman Old Style"/>
          <w:bCs/>
        </w:rPr>
        <w:t xml:space="preserve"> elaborar y publicar un informe sobre la aplicación de las reglas transitorias</w:t>
      </w:r>
      <w:r w:rsidR="00C52714">
        <w:rPr>
          <w:rFonts w:ascii="Bookman Old Style" w:hAnsi="Bookman Old Style"/>
          <w:bCs/>
        </w:rPr>
        <w:t xml:space="preserve"> de las </w:t>
      </w:r>
      <w:r w:rsidR="00301995">
        <w:rPr>
          <w:rFonts w:ascii="Bookman Old Style" w:hAnsi="Bookman Old Style"/>
          <w:bCs/>
        </w:rPr>
        <w:t>fronteras comerciales</w:t>
      </w:r>
      <w:r w:rsidR="002739BA">
        <w:rPr>
          <w:rFonts w:ascii="Bookman Old Style" w:hAnsi="Bookman Old Style"/>
          <w:bCs/>
        </w:rPr>
        <w:t xml:space="preserve"> </w:t>
      </w:r>
      <w:r w:rsidR="002739BA" w:rsidRPr="002739BA">
        <w:rPr>
          <w:rFonts w:ascii="Bookman Old Style" w:hAnsi="Bookman Old Style"/>
          <w:bCs/>
        </w:rPr>
        <w:t>descritas en los artículos 1, 2 y 3 de la presente resolución</w:t>
      </w:r>
      <w:r w:rsidR="00825F71">
        <w:rPr>
          <w:rFonts w:ascii="Bookman Old Style" w:hAnsi="Bookman Old Style"/>
          <w:bCs/>
        </w:rPr>
        <w:t>,</w:t>
      </w:r>
      <w:r w:rsidR="00844EFF">
        <w:rPr>
          <w:rFonts w:ascii="Bookman Old Style" w:hAnsi="Bookman Old Style"/>
          <w:bCs/>
        </w:rPr>
        <w:t xml:space="preserve"> </w:t>
      </w:r>
      <w:r w:rsidR="00D91D08">
        <w:rPr>
          <w:rFonts w:ascii="Bookman Old Style" w:hAnsi="Bookman Old Style"/>
          <w:bCs/>
        </w:rPr>
        <w:t>dentro de</w:t>
      </w:r>
      <w:r w:rsidR="004A78AF">
        <w:rPr>
          <w:rFonts w:ascii="Bookman Old Style" w:hAnsi="Bookman Old Style"/>
          <w:bCs/>
        </w:rPr>
        <w:t xml:space="preserve">l mes </w:t>
      </w:r>
      <w:r w:rsidR="00882675">
        <w:rPr>
          <w:rFonts w:ascii="Bookman Old Style" w:hAnsi="Bookman Old Style"/>
          <w:bCs/>
        </w:rPr>
        <w:t>siguiente</w:t>
      </w:r>
      <w:r w:rsidR="00301995">
        <w:rPr>
          <w:rFonts w:ascii="Bookman Old Style" w:hAnsi="Bookman Old Style"/>
          <w:bCs/>
        </w:rPr>
        <w:t xml:space="preserve"> </w:t>
      </w:r>
      <w:r w:rsidR="0050109B">
        <w:rPr>
          <w:rFonts w:ascii="Bookman Old Style" w:hAnsi="Bookman Old Style"/>
          <w:bCs/>
        </w:rPr>
        <w:t xml:space="preserve">a la </w:t>
      </w:r>
      <w:r w:rsidR="00844EFF" w:rsidRPr="00844EFF">
        <w:rPr>
          <w:rFonts w:ascii="Bookman Old Style" w:hAnsi="Bookman Old Style"/>
          <w:bCs/>
        </w:rPr>
        <w:t>fecha de finalización del aislamiento preventivo obligatorio establecido en el Decreto 457 del 22 de marzo de 2020, o aquel que lo modifique, adicione o sustituya</w:t>
      </w:r>
      <w:r w:rsidR="00D90F53">
        <w:rPr>
          <w:rFonts w:ascii="Bookman Old Style" w:hAnsi="Bookman Old Style"/>
          <w:bCs/>
        </w:rPr>
        <w:t>.</w:t>
      </w:r>
    </w:p>
    <w:p w14:paraId="5D53647F" w14:textId="2ECA909F" w:rsidR="00805D42" w:rsidRPr="0084589C" w:rsidRDefault="0050109B" w:rsidP="00A339BC">
      <w:pPr>
        <w:spacing w:before="240" w:after="240"/>
        <w:ind w:left="0"/>
        <w:jc w:val="both"/>
        <w:rPr>
          <w:rFonts w:ascii="Bookman Old Style" w:hAnsi="Bookman Old Style"/>
          <w:bCs/>
        </w:rPr>
      </w:pPr>
      <w:r>
        <w:rPr>
          <w:rFonts w:ascii="Bookman Old Style" w:hAnsi="Bookman Old Style"/>
          <w:bCs/>
        </w:rPr>
        <w:t xml:space="preserve">El informe deberá ser enviado a la Superintendencia de Servicios </w:t>
      </w:r>
      <w:r w:rsidR="007F7564">
        <w:rPr>
          <w:rFonts w:ascii="Bookman Old Style" w:hAnsi="Bookman Old Style"/>
          <w:bCs/>
        </w:rPr>
        <w:t>Públicos Domiciliarios y a la Comisión de Regulación de Energía y Gas</w:t>
      </w:r>
      <w:r w:rsidR="00017E42">
        <w:rPr>
          <w:rFonts w:ascii="Bookman Old Style" w:hAnsi="Bookman Old Style"/>
          <w:bCs/>
        </w:rPr>
        <w:t xml:space="preserve"> en el mismo plazo</w:t>
      </w:r>
      <w:r w:rsidR="00B041B5">
        <w:rPr>
          <w:rFonts w:ascii="Bookman Old Style" w:hAnsi="Bookman Old Style"/>
          <w:bCs/>
        </w:rPr>
        <w:t xml:space="preserve"> señalado en el inciso anterior</w:t>
      </w:r>
      <w:r w:rsidR="00017E42">
        <w:rPr>
          <w:rFonts w:ascii="Bookman Old Style" w:hAnsi="Bookman Old Style"/>
          <w:bCs/>
        </w:rPr>
        <w:t>.</w:t>
      </w:r>
      <w:r w:rsidR="00D91D08">
        <w:rPr>
          <w:rFonts w:ascii="Bookman Old Style" w:hAnsi="Bookman Old Style"/>
          <w:bCs/>
        </w:rPr>
        <w:t xml:space="preserve"> </w:t>
      </w:r>
    </w:p>
    <w:p w14:paraId="53E51AF2" w14:textId="1839DE21" w:rsidR="005E0A23" w:rsidRDefault="00805D42" w:rsidP="00A339BC">
      <w:pPr>
        <w:spacing w:before="240" w:after="240"/>
        <w:ind w:left="0"/>
        <w:jc w:val="both"/>
        <w:rPr>
          <w:rFonts w:ascii="Bookman Old Style" w:hAnsi="Bookman Old Style"/>
        </w:rPr>
      </w:pPr>
      <w:r w:rsidRPr="002A782A">
        <w:rPr>
          <w:rFonts w:ascii="Bookman Old Style" w:hAnsi="Bookman Old Style"/>
          <w:b/>
        </w:rPr>
        <w:t xml:space="preserve">Artículo </w:t>
      </w:r>
      <w:r w:rsidR="00A33D82">
        <w:rPr>
          <w:rFonts w:ascii="Bookman Old Style" w:hAnsi="Bookman Old Style"/>
          <w:b/>
          <w:bCs/>
        </w:rPr>
        <w:t>6</w:t>
      </w:r>
      <w:r w:rsidRPr="002A782A">
        <w:rPr>
          <w:rFonts w:ascii="Bookman Old Style" w:hAnsi="Bookman Old Style"/>
          <w:b/>
        </w:rPr>
        <w:t>.</w:t>
      </w:r>
      <w:r>
        <w:rPr>
          <w:rFonts w:ascii="Bookman Old Style" w:hAnsi="Bookman Old Style"/>
          <w:b/>
        </w:rPr>
        <w:t xml:space="preserve"> </w:t>
      </w:r>
      <w:r w:rsidR="00222FA7">
        <w:rPr>
          <w:rFonts w:ascii="Bookman Old Style" w:hAnsi="Bookman Old Style"/>
          <w:b/>
        </w:rPr>
        <w:t xml:space="preserve">Vigencia. </w:t>
      </w:r>
      <w:r w:rsidR="00222FA7">
        <w:rPr>
          <w:rFonts w:ascii="Bookman Old Style" w:hAnsi="Bookman Old Style"/>
        </w:rPr>
        <w:t xml:space="preserve">Esta resolución rige a partir de su publicación en el </w:t>
      </w:r>
      <w:r w:rsidR="00222FA7"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2F8DCED9" w14:textId="77777777" w:rsidR="00DC2D65" w:rsidRDefault="00DC2D65" w:rsidP="00D35A92">
      <w:pPr>
        <w:ind w:left="0"/>
        <w:rPr>
          <w:rFonts w:ascii="Bookman Old Style" w:hAnsi="Bookman Old Style"/>
        </w:rPr>
      </w:pPr>
    </w:p>
    <w:p w14:paraId="6E451CC4" w14:textId="2C1B0206" w:rsidR="00567D5D" w:rsidRDefault="00D35A92" w:rsidP="002B7193">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14:paraId="232966FD" w14:textId="77777777" w:rsidR="00B041B5" w:rsidRPr="002B7193" w:rsidRDefault="00B041B5" w:rsidP="002B7193">
      <w:pPr>
        <w:jc w:val="center"/>
        <w:rPr>
          <w:rFonts w:ascii="Bookman Old Style" w:hAnsi="Bookman Old Style"/>
          <w:b/>
        </w:rPr>
      </w:pPr>
    </w:p>
    <w:p w14:paraId="6C6D8569" w14:textId="77777777" w:rsidR="00B83B7B" w:rsidRDefault="00B83B7B" w:rsidP="00D35A92">
      <w:pPr>
        <w:ind w:left="0"/>
        <w:rPr>
          <w:rFonts w:ascii="Bookman Old Style" w:hAnsi="Bookman Old Style"/>
        </w:rPr>
      </w:pPr>
    </w:p>
    <w:p w14:paraId="4A736612" w14:textId="1105A187" w:rsidR="001A6D0C" w:rsidRPr="001A6D0C" w:rsidRDefault="001A6D0C" w:rsidP="001A6D0C">
      <w:pPr>
        <w:ind w:left="0"/>
        <w:rPr>
          <w:rFonts w:ascii="Bookman Old Style" w:hAnsi="Bookman Old Style"/>
        </w:rPr>
      </w:pPr>
      <w:r w:rsidRPr="001A6D0C">
        <w:rPr>
          <w:rFonts w:ascii="Bookman Old Style" w:hAnsi="Bookman Old Style"/>
        </w:rPr>
        <w:t xml:space="preserve">Dada en Bogotá, D.C. a </w:t>
      </w:r>
      <w:r w:rsidR="00ED39F9">
        <w:rPr>
          <w:rFonts w:ascii="Bookman Old Style" w:hAnsi="Bookman Old Style"/>
          <w:b/>
          <w:bCs/>
        </w:rPr>
        <w:t>08 A</w:t>
      </w:r>
      <w:r w:rsidRPr="00B041B5">
        <w:rPr>
          <w:rFonts w:ascii="Bookman Old Style" w:hAnsi="Bookman Old Style"/>
          <w:b/>
          <w:bCs/>
        </w:rPr>
        <w:t>BR. 2020</w:t>
      </w:r>
      <w:r w:rsidRPr="001A6D0C">
        <w:rPr>
          <w:rFonts w:ascii="Bookman Old Style" w:hAnsi="Bookman Old Style"/>
        </w:rPr>
        <w:t xml:space="preserve"> </w:t>
      </w:r>
    </w:p>
    <w:p w14:paraId="481FA4F1" w14:textId="77777777" w:rsidR="001A6D0C" w:rsidRPr="001A6D0C" w:rsidRDefault="001A6D0C" w:rsidP="001A6D0C">
      <w:pPr>
        <w:ind w:left="0"/>
        <w:rPr>
          <w:rFonts w:ascii="Bookman Old Style" w:hAnsi="Bookman Old Style"/>
        </w:rPr>
      </w:pPr>
    </w:p>
    <w:p w14:paraId="36626E2C" w14:textId="50946B73" w:rsidR="00C62653" w:rsidRDefault="001A6D0C" w:rsidP="00D35A92">
      <w:pPr>
        <w:ind w:left="0"/>
        <w:rPr>
          <w:rFonts w:ascii="Bookman Old Style" w:hAnsi="Bookman Old Style"/>
        </w:rPr>
      </w:pPr>
      <w:r w:rsidRPr="001A6D0C">
        <w:rPr>
          <w:rFonts w:ascii="Bookman Old Style" w:hAnsi="Bookman Old Style"/>
        </w:rPr>
        <w:t xml:space="preserve"> </w:t>
      </w:r>
    </w:p>
    <w:p w14:paraId="43D46315" w14:textId="7C449AF3" w:rsidR="008A3E40" w:rsidRDefault="008A3E40" w:rsidP="00D35A92">
      <w:pPr>
        <w:ind w:left="0"/>
        <w:rPr>
          <w:rFonts w:ascii="Bookman Old Style" w:hAnsi="Bookman Old Style"/>
        </w:rPr>
      </w:pPr>
    </w:p>
    <w:p w14:paraId="6EF961F2" w14:textId="702F82E9" w:rsidR="00ED39F9" w:rsidRDefault="00ED39F9" w:rsidP="00D35A92">
      <w:pPr>
        <w:ind w:left="0"/>
        <w:rPr>
          <w:rFonts w:ascii="Bookman Old Style" w:hAnsi="Bookman Old Style"/>
        </w:rPr>
      </w:pPr>
    </w:p>
    <w:p w14:paraId="69BE2A8A" w14:textId="77777777" w:rsidR="00ED39F9" w:rsidRDefault="00ED39F9" w:rsidP="00D35A92">
      <w:pPr>
        <w:ind w:left="0"/>
        <w:rPr>
          <w:rFonts w:ascii="Bookman Old Style" w:hAnsi="Bookman Old Style"/>
        </w:rPr>
      </w:pPr>
    </w:p>
    <w:p w14:paraId="3E250E4C" w14:textId="77777777" w:rsidR="002B7193" w:rsidRDefault="002B7193" w:rsidP="00D35A92">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8A3E40" w14:paraId="6E3D4152" w14:textId="77777777" w:rsidTr="00D17514">
        <w:trPr>
          <w:trHeight w:val="302"/>
          <w:jc w:val="center"/>
        </w:trPr>
        <w:tc>
          <w:tcPr>
            <w:tcW w:w="2569" w:type="pct"/>
            <w:hideMark/>
          </w:tcPr>
          <w:p w14:paraId="2EA2509A" w14:textId="77777777" w:rsidR="008A3E40" w:rsidRPr="00ED39F9" w:rsidRDefault="008A3E40" w:rsidP="00D17514">
            <w:pPr>
              <w:tabs>
                <w:tab w:val="left" w:pos="702"/>
              </w:tabs>
              <w:ind w:left="0"/>
              <w:jc w:val="center"/>
              <w:rPr>
                <w:rFonts w:ascii="Bookman Old Style" w:hAnsi="Bookman Old Style" w:cs="Arial"/>
                <w:b/>
                <w:spacing w:val="-3"/>
                <w:lang w:val="es-ES_tradnl"/>
              </w:rPr>
            </w:pPr>
            <w:r w:rsidRPr="00ED39F9">
              <w:rPr>
                <w:rFonts w:ascii="Bookman Old Style" w:hAnsi="Bookman Old Style" w:cs="Arial"/>
                <w:b/>
                <w:spacing w:val="-3"/>
              </w:rPr>
              <w:t>DIEGO MESA PUYO</w:t>
            </w:r>
          </w:p>
        </w:tc>
        <w:tc>
          <w:tcPr>
            <w:tcW w:w="2431" w:type="pct"/>
            <w:hideMark/>
          </w:tcPr>
          <w:p w14:paraId="23FAF95E" w14:textId="77777777" w:rsidR="008A3E40" w:rsidRDefault="008A3E40" w:rsidP="00D17514">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8A3E40" w14:paraId="33B1EC8A" w14:textId="77777777" w:rsidTr="00D17514">
        <w:trPr>
          <w:trHeight w:val="572"/>
          <w:jc w:val="center"/>
        </w:trPr>
        <w:tc>
          <w:tcPr>
            <w:tcW w:w="2569" w:type="pct"/>
            <w:hideMark/>
          </w:tcPr>
          <w:p w14:paraId="3EFFCD24" w14:textId="77777777" w:rsidR="008A3E40" w:rsidRPr="00ED39F9" w:rsidRDefault="008A3E40" w:rsidP="00D17514">
            <w:pPr>
              <w:ind w:left="0"/>
              <w:jc w:val="center"/>
              <w:rPr>
                <w:rFonts w:ascii="Bookman Old Style" w:hAnsi="Bookman Old Style" w:cs="Arial"/>
                <w:spacing w:val="-3"/>
              </w:rPr>
            </w:pPr>
            <w:r w:rsidRPr="00ED39F9">
              <w:rPr>
                <w:rFonts w:ascii="Bookman Old Style" w:hAnsi="Bookman Old Style" w:cs="Arial"/>
                <w:spacing w:val="-3"/>
              </w:rPr>
              <w:t>Viceministro de Energía, Delegado de la Ministra de Minas y Energía</w:t>
            </w:r>
          </w:p>
          <w:p w14:paraId="766DBCB6" w14:textId="77777777" w:rsidR="008A3E40" w:rsidRPr="00ED39F9" w:rsidRDefault="008A3E40" w:rsidP="00D17514">
            <w:pPr>
              <w:ind w:left="0"/>
              <w:jc w:val="center"/>
              <w:rPr>
                <w:rFonts w:ascii="Bookman Old Style" w:hAnsi="Bookman Old Style" w:cs="Arial"/>
                <w:spacing w:val="-3"/>
              </w:rPr>
            </w:pPr>
            <w:r w:rsidRPr="00ED39F9">
              <w:rPr>
                <w:rFonts w:ascii="Bookman Old Style" w:hAnsi="Bookman Old Style" w:cs="Arial"/>
                <w:spacing w:val="-3"/>
              </w:rPr>
              <w:t>Presidente</w:t>
            </w:r>
          </w:p>
        </w:tc>
        <w:tc>
          <w:tcPr>
            <w:tcW w:w="2431" w:type="pct"/>
            <w:hideMark/>
          </w:tcPr>
          <w:p w14:paraId="6AED7BC4" w14:textId="77777777" w:rsidR="008A3E40" w:rsidRDefault="008A3E40" w:rsidP="00391ABD">
            <w:pPr>
              <w:ind w:left="0"/>
              <w:jc w:val="center"/>
              <w:rPr>
                <w:rFonts w:ascii="Bookman Old Style" w:hAnsi="Bookman Old Style" w:cs="Arial"/>
                <w:spacing w:val="-3"/>
              </w:rPr>
            </w:pPr>
            <w:r w:rsidRPr="07980B1C">
              <w:rPr>
                <w:rFonts w:ascii="Bookman Old Style" w:hAnsi="Bookman Old Style" w:cs="Arial"/>
                <w:spacing w:val="-3"/>
              </w:rPr>
              <w:t>Director Ejecutivo</w:t>
            </w:r>
          </w:p>
        </w:tc>
      </w:tr>
    </w:tbl>
    <w:p w14:paraId="4BCC37FC" w14:textId="77777777" w:rsidR="00DC2D65" w:rsidRDefault="00DC2D65" w:rsidP="009868DB">
      <w:pPr>
        <w:ind w:left="0"/>
        <w:rPr>
          <w:rFonts w:ascii="Bookman Old Style" w:hAnsi="Bookman Old Style"/>
          <w:b/>
        </w:rPr>
      </w:pPr>
    </w:p>
    <w:sectPr w:rsidR="00DC2D65" w:rsidSect="008A254E">
      <w:headerReference w:type="even" r:id="rId13"/>
      <w:headerReference w:type="default" r:id="rId14"/>
      <w:footerReference w:type="even" r:id="rId15"/>
      <w:footerReference w:type="default" r:id="rId16"/>
      <w:headerReference w:type="first" r:id="rId17"/>
      <w:footerReference w:type="first" r:id="rId18"/>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CB49E" w14:textId="77777777" w:rsidR="00A10215" w:rsidRDefault="00A10215">
      <w:r>
        <w:separator/>
      </w:r>
    </w:p>
  </w:endnote>
  <w:endnote w:type="continuationSeparator" w:id="0">
    <w:p w14:paraId="54AE613F" w14:textId="77777777" w:rsidR="00A10215" w:rsidRDefault="00A10215">
      <w:r>
        <w:continuationSeparator/>
      </w:r>
    </w:p>
  </w:endnote>
  <w:endnote w:type="continuationNotice" w:id="1">
    <w:p w14:paraId="5C852811" w14:textId="77777777" w:rsidR="00A10215" w:rsidRDefault="00A10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8D06" w14:textId="77777777" w:rsidR="00E6080F" w:rsidRDefault="00E60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B487" w14:textId="77777777" w:rsidR="00E6080F" w:rsidRDefault="00E608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3842" w14:textId="77777777" w:rsidR="00E6080F" w:rsidRDefault="00E60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8D33D" w14:textId="77777777" w:rsidR="00A10215" w:rsidRDefault="00A10215">
      <w:r>
        <w:separator/>
      </w:r>
    </w:p>
  </w:footnote>
  <w:footnote w:type="continuationSeparator" w:id="0">
    <w:p w14:paraId="2E77ED47" w14:textId="77777777" w:rsidR="00A10215" w:rsidRDefault="00A10215">
      <w:r>
        <w:continuationSeparator/>
      </w:r>
    </w:p>
  </w:footnote>
  <w:footnote w:type="continuationNotice" w:id="1">
    <w:p w14:paraId="46247021" w14:textId="77777777" w:rsidR="00A10215" w:rsidRDefault="00A10215"/>
  </w:footnote>
  <w:footnote w:id="2">
    <w:p w14:paraId="653D30DD" w14:textId="77777777" w:rsidR="00EE5A40" w:rsidRPr="009E6423" w:rsidRDefault="00EE5A40" w:rsidP="00EE5A40">
      <w:pPr>
        <w:pStyle w:val="Textonotapie"/>
        <w:rPr>
          <w:rFonts w:cs="Arial"/>
          <w:sz w:val="16"/>
          <w:szCs w:val="16"/>
          <w:lang w:val="es-CO"/>
        </w:rPr>
      </w:pPr>
      <w:r w:rsidRPr="00790FFE">
        <w:rPr>
          <w:rFonts w:ascii="Bookman Old Style" w:hAnsi="Bookman Old Style" w:cs="Arial"/>
          <w:sz w:val="16"/>
          <w:szCs w:val="16"/>
        </w:rPr>
        <w:footnoteRef/>
      </w:r>
      <w:r w:rsidRPr="00790FFE">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0821" w14:textId="77777777" w:rsidR="00E6080F" w:rsidRDefault="00E608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92E7" w14:textId="77777777" w:rsidR="00CC51D4" w:rsidRDefault="00CC51D4" w:rsidP="00951F79">
    <w:pPr>
      <w:pStyle w:val="Ttulo1"/>
      <w:ind w:right="6"/>
      <w:jc w:val="left"/>
      <w:rPr>
        <w:rFonts w:ascii="Bookman Old Style" w:hAnsi="Bookman Old Style" w:cs="Arial"/>
        <w:b w:val="0"/>
        <w:sz w:val="22"/>
        <w:szCs w:val="22"/>
      </w:rPr>
    </w:pPr>
  </w:p>
  <w:p w14:paraId="5FD0A45F" w14:textId="67F16413"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804AB9">
      <w:rPr>
        <w:rFonts w:ascii="Bookman Old Style" w:hAnsi="Bookman Old Style" w:cs="Arial"/>
        <w:b w:val="0"/>
        <w:szCs w:val="24"/>
        <w:u w:val="single"/>
      </w:rPr>
      <w:t>.</w:t>
    </w:r>
    <w:r w:rsidR="00951F79" w:rsidRPr="00804AB9">
      <w:rPr>
        <w:rFonts w:ascii="Bookman Old Style" w:hAnsi="Bookman Old Style" w:cs="Arial"/>
        <w:b w:val="0"/>
        <w:szCs w:val="24"/>
        <w:u w:val="single"/>
      </w:rPr>
      <w:t xml:space="preserve"> </w:t>
    </w:r>
    <w:r w:rsidR="00804AB9">
      <w:rPr>
        <w:rFonts w:ascii="Bookman Old Style" w:hAnsi="Bookman Old Style" w:cs="Arial"/>
        <w:b w:val="0"/>
        <w:szCs w:val="24"/>
        <w:u w:val="single"/>
      </w:rPr>
      <w:t xml:space="preserve">     </w:t>
    </w:r>
    <w:r w:rsidR="00951F79" w:rsidRPr="00804AB9">
      <w:rPr>
        <w:rFonts w:ascii="Bookman Old Style" w:hAnsi="Bookman Old Style" w:cs="Arial"/>
        <w:bCs/>
        <w:szCs w:val="24"/>
        <w:u w:val="single"/>
      </w:rPr>
      <w:t xml:space="preserve"> </w:t>
    </w:r>
    <w:r w:rsidR="00E6080F">
      <w:rPr>
        <w:rFonts w:ascii="Bookman Old Style" w:hAnsi="Bookman Old Style" w:cs="Arial"/>
        <w:bCs/>
        <w:szCs w:val="24"/>
        <w:u w:val="single"/>
      </w:rPr>
      <w:t>051</w:t>
    </w:r>
    <w:r w:rsidR="00EE5A40">
      <w:rPr>
        <w:rFonts w:ascii="Bookman Old Style" w:hAnsi="Bookman Old Style" w:cs="Arial"/>
        <w:bCs/>
        <w:szCs w:val="24"/>
        <w:u w:val="single"/>
      </w:rPr>
      <w:t xml:space="preserve">    </w:t>
    </w:r>
    <w:r w:rsidRPr="00804AB9">
      <w:rPr>
        <w:rFonts w:ascii="Bookman Old Style" w:hAnsi="Bookman Old Style" w:cs="Arial"/>
        <w:bCs/>
        <w:szCs w:val="24"/>
        <w:u w:val="single"/>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04AB9">
      <w:rPr>
        <w:rFonts w:ascii="Bookman Old Style" w:hAnsi="Bookman Old Style" w:cs="Arial"/>
        <w:b w:val="0"/>
        <w:sz w:val="22"/>
        <w:szCs w:val="22"/>
      </w:rPr>
      <w:t xml:space="preserve">  </w:t>
    </w:r>
    <w:r w:rsidR="00E6080F">
      <w:rPr>
        <w:rFonts w:ascii="Bookman Old Style" w:hAnsi="Bookman Old Style" w:cs="Arial"/>
        <w:bCs/>
        <w:sz w:val="22"/>
        <w:szCs w:val="22"/>
        <w:u w:val="single"/>
      </w:rPr>
      <w:t>08</w:t>
    </w:r>
    <w:r w:rsidR="00EE5A40" w:rsidRPr="00804AB9">
      <w:rPr>
        <w:rFonts w:ascii="Bookman Old Style" w:hAnsi="Bookman Old Style" w:cs="Arial"/>
        <w:bCs/>
        <w:sz w:val="22"/>
        <w:szCs w:val="22"/>
        <w:u w:val="single"/>
      </w:rPr>
      <w:t xml:space="preserve"> </w:t>
    </w:r>
    <w:r w:rsidR="00EE5A40">
      <w:rPr>
        <w:rFonts w:ascii="Bookman Old Style" w:hAnsi="Bookman Old Style" w:cs="Arial"/>
        <w:bCs/>
        <w:sz w:val="22"/>
        <w:szCs w:val="22"/>
        <w:u w:val="single"/>
      </w:rPr>
      <w:t>ABR</w:t>
    </w:r>
    <w:r w:rsidR="00804AB9" w:rsidRPr="00804AB9">
      <w:rPr>
        <w:rFonts w:ascii="Bookman Old Style" w:hAnsi="Bookman Old Style" w:cs="Arial"/>
        <w:bCs/>
        <w:sz w:val="22"/>
        <w:szCs w:val="22"/>
        <w:u w:val="single"/>
      </w:rPr>
      <w:t>. 2020</w:t>
    </w:r>
    <w:r w:rsidR="00804AB9">
      <w:rPr>
        <w:rFonts w:ascii="Bookman Old Style" w:hAnsi="Bookman Old Style" w:cs="Arial"/>
        <w:b w:val="0"/>
        <w:sz w:val="22"/>
        <w:szCs w:val="22"/>
      </w:rPr>
      <w:t xml:space="preserve"> </w:t>
    </w:r>
    <w:r w:rsidR="00804AB9" w:rsidRPr="00804AB9">
      <w:rPr>
        <w:rFonts w:ascii="Bookman Old Style" w:hAnsi="Bookman Old Style" w:cs="Arial"/>
        <w:b w:val="0"/>
        <w:sz w:val="22"/>
        <w:szCs w:val="22"/>
      </w:rPr>
      <w:t xml:space="preserve"> </w:t>
    </w:r>
    <w:r w:rsidR="003D076C" w:rsidRPr="00804AB9">
      <w:rPr>
        <w:rFonts w:ascii="Bookman Old Style" w:hAnsi="Bookman Old Style" w:cs="Arial"/>
        <w:b w:val="0"/>
        <w:sz w:val="22"/>
        <w:szCs w:val="22"/>
        <w:u w:val="single"/>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216978">
      <w:rPr>
        <w:rFonts w:ascii="Bookman Old Style" w:hAnsi="Bookman Old Style" w:cs="Arial"/>
        <w:b w:val="0"/>
        <w:noProof/>
        <w:sz w:val="22"/>
        <w:szCs w:val="22"/>
      </w:rPr>
      <w:t>6</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62504">
      <w:fldChar w:fldCharType="begin"/>
    </w:r>
    <w:r w:rsidR="00F62504">
      <w:instrText xml:space="preserve"> NUMPAGES  \* MERGEFORMAT </w:instrText>
    </w:r>
    <w:r w:rsidR="00F62504">
      <w:fldChar w:fldCharType="separate"/>
    </w:r>
    <w:r w:rsidR="00216978" w:rsidRPr="00216978">
      <w:rPr>
        <w:rFonts w:ascii="Bookman Old Style" w:hAnsi="Bookman Old Style" w:cs="Arial"/>
        <w:b w:val="0"/>
        <w:noProof/>
        <w:sz w:val="22"/>
        <w:szCs w:val="22"/>
      </w:rPr>
      <w:t>6</w:t>
    </w:r>
    <w:r w:rsidR="00F62504">
      <w:rPr>
        <w:rFonts w:ascii="Bookman Old Style" w:hAnsi="Bookman Old Style" w:cs="Arial"/>
        <w:b w:val="0"/>
        <w:noProof/>
        <w:sz w:val="22"/>
        <w:szCs w:val="22"/>
      </w:rPr>
      <w:fldChar w:fldCharType="end"/>
    </w:r>
  </w:p>
  <w:p w14:paraId="623EC579"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11EC1330" wp14:editId="28A8E5B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E75B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D2AA18E" w14:textId="7F579886" w:rsidR="0044318E" w:rsidRPr="0071773A" w:rsidRDefault="007C78FC" w:rsidP="0071773A">
    <w:pPr>
      <w:pBdr>
        <w:bottom w:val="single" w:sz="4" w:space="1" w:color="auto"/>
      </w:pBdr>
      <w:spacing w:before="120" w:after="120"/>
      <w:ind w:left="0" w:right="147"/>
      <w:jc w:val="both"/>
      <w:rPr>
        <w:rFonts w:ascii="Bookman Old Style" w:hAnsi="Bookman Old Style"/>
        <w:b/>
        <w:sz w:val="20"/>
        <w:szCs w:val="20"/>
      </w:rPr>
    </w:pPr>
    <w:r w:rsidRPr="007C78FC">
      <w:rPr>
        <w:rFonts w:ascii="Bookman Old Style" w:hAnsi="Bookman Old Style"/>
        <w:i/>
        <w:sz w:val="22"/>
        <w:szCs w:val="22"/>
      </w:rPr>
      <w:t>Por la cual se adoptan reglas transitorias sobre las visitas y verificaciones de los sistemas de medida de que trata</w:t>
    </w:r>
    <w:r w:rsidR="003D3435">
      <w:rPr>
        <w:rFonts w:ascii="Bookman Old Style" w:hAnsi="Bookman Old Style"/>
        <w:i/>
        <w:sz w:val="22"/>
        <w:szCs w:val="22"/>
      </w:rPr>
      <w:t>n</w:t>
    </w:r>
    <w:r w:rsidRPr="007C78FC">
      <w:rPr>
        <w:rFonts w:ascii="Bookman Old Style" w:hAnsi="Bookman Old Style"/>
        <w:i/>
        <w:sz w:val="22"/>
        <w:szCs w:val="22"/>
      </w:rPr>
      <w:t xml:space="preserve"> las resoluciones CREG 156 y 157 de 2011 y 038 de 2014</w:t>
    </w:r>
    <w:r w:rsidR="00870C68" w:rsidRPr="00870C68">
      <w:rPr>
        <w:rFonts w:ascii="Bookman Old Style" w:hAnsi="Bookman Old Style"/>
        <w:i/>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48C3"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3B823C0" w14:textId="77777777" w:rsidR="00725FA4" w:rsidRDefault="00725FA4">
    <w:pPr>
      <w:pStyle w:val="Encabezado"/>
      <w:jc w:val="center"/>
      <w:rPr>
        <w:rFonts w:ascii="Arial" w:hAnsi="Arial" w:cs="Arial"/>
        <w:spacing w:val="20"/>
        <w:sz w:val="20"/>
      </w:rPr>
    </w:pPr>
  </w:p>
  <w:p w14:paraId="5A405E75"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2807530" wp14:editId="451CB3FD">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B523"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C58E0"/>
    <w:multiLevelType w:val="singleLevel"/>
    <w:tmpl w:val="0C0A0017"/>
    <w:lvl w:ilvl="0">
      <w:start w:val="1"/>
      <w:numFmt w:val="lowerLetter"/>
      <w:lvlText w:val="%1)"/>
      <w:lvlJc w:val="left"/>
      <w:pPr>
        <w:tabs>
          <w:tab w:val="num" w:pos="360"/>
        </w:tabs>
        <w:ind w:left="360" w:hanging="36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4"/>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32E9"/>
    <w:rsid w:val="000139F5"/>
    <w:rsid w:val="0001431B"/>
    <w:rsid w:val="00016A41"/>
    <w:rsid w:val="00017E42"/>
    <w:rsid w:val="00022439"/>
    <w:rsid w:val="0002448D"/>
    <w:rsid w:val="00025383"/>
    <w:rsid w:val="000319C0"/>
    <w:rsid w:val="00034EF2"/>
    <w:rsid w:val="00035C10"/>
    <w:rsid w:val="0004274D"/>
    <w:rsid w:val="00045633"/>
    <w:rsid w:val="00045D3D"/>
    <w:rsid w:val="000472F0"/>
    <w:rsid w:val="0005274A"/>
    <w:rsid w:val="00055E67"/>
    <w:rsid w:val="0005675C"/>
    <w:rsid w:val="00060148"/>
    <w:rsid w:val="00060BD0"/>
    <w:rsid w:val="00063657"/>
    <w:rsid w:val="00066747"/>
    <w:rsid w:val="00066A1A"/>
    <w:rsid w:val="00066F40"/>
    <w:rsid w:val="000671D4"/>
    <w:rsid w:val="000674A0"/>
    <w:rsid w:val="0006770B"/>
    <w:rsid w:val="00067F34"/>
    <w:rsid w:val="00072D79"/>
    <w:rsid w:val="000747C8"/>
    <w:rsid w:val="00075212"/>
    <w:rsid w:val="00076680"/>
    <w:rsid w:val="00076A1D"/>
    <w:rsid w:val="00077A35"/>
    <w:rsid w:val="0008073E"/>
    <w:rsid w:val="00087362"/>
    <w:rsid w:val="00091CDB"/>
    <w:rsid w:val="00093247"/>
    <w:rsid w:val="000934D2"/>
    <w:rsid w:val="000953E3"/>
    <w:rsid w:val="000A156F"/>
    <w:rsid w:val="000A19AC"/>
    <w:rsid w:val="000B00E4"/>
    <w:rsid w:val="000B1B7A"/>
    <w:rsid w:val="000B2EC9"/>
    <w:rsid w:val="000B5C3A"/>
    <w:rsid w:val="000B77D0"/>
    <w:rsid w:val="000B7A3C"/>
    <w:rsid w:val="000C1911"/>
    <w:rsid w:val="000C2333"/>
    <w:rsid w:val="000C28FB"/>
    <w:rsid w:val="000C687E"/>
    <w:rsid w:val="000D0F0F"/>
    <w:rsid w:val="000D26F8"/>
    <w:rsid w:val="000D2912"/>
    <w:rsid w:val="000D3E20"/>
    <w:rsid w:val="000D40FD"/>
    <w:rsid w:val="000D5294"/>
    <w:rsid w:val="000D52EF"/>
    <w:rsid w:val="000D6838"/>
    <w:rsid w:val="000D7EAE"/>
    <w:rsid w:val="000E0030"/>
    <w:rsid w:val="000E24BB"/>
    <w:rsid w:val="000E2D07"/>
    <w:rsid w:val="000E411A"/>
    <w:rsid w:val="000E4B55"/>
    <w:rsid w:val="000E7111"/>
    <w:rsid w:val="000F020D"/>
    <w:rsid w:val="0010614A"/>
    <w:rsid w:val="00106654"/>
    <w:rsid w:val="0011048E"/>
    <w:rsid w:val="00111333"/>
    <w:rsid w:val="001123AE"/>
    <w:rsid w:val="001144A0"/>
    <w:rsid w:val="00114943"/>
    <w:rsid w:val="00117477"/>
    <w:rsid w:val="00121915"/>
    <w:rsid w:val="00123AD6"/>
    <w:rsid w:val="00124336"/>
    <w:rsid w:val="00125978"/>
    <w:rsid w:val="0012717F"/>
    <w:rsid w:val="001273A6"/>
    <w:rsid w:val="00132F8E"/>
    <w:rsid w:val="00133BDF"/>
    <w:rsid w:val="0013523C"/>
    <w:rsid w:val="0013526C"/>
    <w:rsid w:val="00136B9E"/>
    <w:rsid w:val="001405C6"/>
    <w:rsid w:val="00141013"/>
    <w:rsid w:val="00143F78"/>
    <w:rsid w:val="00144D4B"/>
    <w:rsid w:val="0014751A"/>
    <w:rsid w:val="00147F08"/>
    <w:rsid w:val="00153D37"/>
    <w:rsid w:val="001547CF"/>
    <w:rsid w:val="001678F4"/>
    <w:rsid w:val="00172325"/>
    <w:rsid w:val="00173586"/>
    <w:rsid w:val="00176803"/>
    <w:rsid w:val="00177CF6"/>
    <w:rsid w:val="001865B1"/>
    <w:rsid w:val="0019062A"/>
    <w:rsid w:val="00192CBF"/>
    <w:rsid w:val="00192FF1"/>
    <w:rsid w:val="00194492"/>
    <w:rsid w:val="001A5F1B"/>
    <w:rsid w:val="001A6D0C"/>
    <w:rsid w:val="001B0B64"/>
    <w:rsid w:val="001B11E4"/>
    <w:rsid w:val="001B1C22"/>
    <w:rsid w:val="001B34C6"/>
    <w:rsid w:val="001B3E43"/>
    <w:rsid w:val="001B40D1"/>
    <w:rsid w:val="001B480F"/>
    <w:rsid w:val="001C2669"/>
    <w:rsid w:val="001C3AD3"/>
    <w:rsid w:val="001D14B6"/>
    <w:rsid w:val="001D57D4"/>
    <w:rsid w:val="001D5EE9"/>
    <w:rsid w:val="001D5EF1"/>
    <w:rsid w:val="001D6F9E"/>
    <w:rsid w:val="001D7275"/>
    <w:rsid w:val="001D7832"/>
    <w:rsid w:val="001E144B"/>
    <w:rsid w:val="001E39E7"/>
    <w:rsid w:val="001E739B"/>
    <w:rsid w:val="001F4D7B"/>
    <w:rsid w:val="001F6E04"/>
    <w:rsid w:val="001F793B"/>
    <w:rsid w:val="002000C0"/>
    <w:rsid w:val="002024C0"/>
    <w:rsid w:val="00204A7D"/>
    <w:rsid w:val="00210DC1"/>
    <w:rsid w:val="00211D34"/>
    <w:rsid w:val="00214F04"/>
    <w:rsid w:val="00216182"/>
    <w:rsid w:val="00216978"/>
    <w:rsid w:val="00222FA7"/>
    <w:rsid w:val="0022650F"/>
    <w:rsid w:val="00226BDB"/>
    <w:rsid w:val="00226F00"/>
    <w:rsid w:val="002331D5"/>
    <w:rsid w:val="00233299"/>
    <w:rsid w:val="00233657"/>
    <w:rsid w:val="002352B9"/>
    <w:rsid w:val="00237DF1"/>
    <w:rsid w:val="00242D70"/>
    <w:rsid w:val="00244689"/>
    <w:rsid w:val="00244C93"/>
    <w:rsid w:val="002475BA"/>
    <w:rsid w:val="00251F98"/>
    <w:rsid w:val="0025596A"/>
    <w:rsid w:val="00256229"/>
    <w:rsid w:val="00257699"/>
    <w:rsid w:val="002615D4"/>
    <w:rsid w:val="00262216"/>
    <w:rsid w:val="0026363F"/>
    <w:rsid w:val="00263FE7"/>
    <w:rsid w:val="00266CD6"/>
    <w:rsid w:val="002673AC"/>
    <w:rsid w:val="00267FB0"/>
    <w:rsid w:val="002722F3"/>
    <w:rsid w:val="002739BA"/>
    <w:rsid w:val="00275DAB"/>
    <w:rsid w:val="0028035B"/>
    <w:rsid w:val="00283E29"/>
    <w:rsid w:val="002845D2"/>
    <w:rsid w:val="0028757D"/>
    <w:rsid w:val="002903C0"/>
    <w:rsid w:val="002975C5"/>
    <w:rsid w:val="002A3539"/>
    <w:rsid w:val="002A782A"/>
    <w:rsid w:val="002B11E2"/>
    <w:rsid w:val="002B24B8"/>
    <w:rsid w:val="002B3197"/>
    <w:rsid w:val="002B3FB1"/>
    <w:rsid w:val="002B556F"/>
    <w:rsid w:val="002B6148"/>
    <w:rsid w:val="002B7193"/>
    <w:rsid w:val="002C05C1"/>
    <w:rsid w:val="002C2293"/>
    <w:rsid w:val="002C36F4"/>
    <w:rsid w:val="002D1C38"/>
    <w:rsid w:val="002D3937"/>
    <w:rsid w:val="002D3AE9"/>
    <w:rsid w:val="002D4510"/>
    <w:rsid w:val="002D7EBB"/>
    <w:rsid w:val="002E24A5"/>
    <w:rsid w:val="002E2D9E"/>
    <w:rsid w:val="002E3A4C"/>
    <w:rsid w:val="002E6509"/>
    <w:rsid w:val="002E70FB"/>
    <w:rsid w:val="002F0734"/>
    <w:rsid w:val="002F1E48"/>
    <w:rsid w:val="002F4127"/>
    <w:rsid w:val="002F46E7"/>
    <w:rsid w:val="002F56A8"/>
    <w:rsid w:val="002F66D6"/>
    <w:rsid w:val="002F7DF6"/>
    <w:rsid w:val="003011BC"/>
    <w:rsid w:val="00301995"/>
    <w:rsid w:val="00305310"/>
    <w:rsid w:val="003067F4"/>
    <w:rsid w:val="003101DA"/>
    <w:rsid w:val="003111C3"/>
    <w:rsid w:val="00314638"/>
    <w:rsid w:val="00314757"/>
    <w:rsid w:val="003163BC"/>
    <w:rsid w:val="00320422"/>
    <w:rsid w:val="003211CE"/>
    <w:rsid w:val="0032329E"/>
    <w:rsid w:val="003239C6"/>
    <w:rsid w:val="00340D16"/>
    <w:rsid w:val="0034122F"/>
    <w:rsid w:val="00350029"/>
    <w:rsid w:val="00351490"/>
    <w:rsid w:val="0035403A"/>
    <w:rsid w:val="0035568E"/>
    <w:rsid w:val="00356469"/>
    <w:rsid w:val="00361FD9"/>
    <w:rsid w:val="00362ED9"/>
    <w:rsid w:val="0036394B"/>
    <w:rsid w:val="00364278"/>
    <w:rsid w:val="00366DB6"/>
    <w:rsid w:val="00367599"/>
    <w:rsid w:val="003709B5"/>
    <w:rsid w:val="00371592"/>
    <w:rsid w:val="003759C2"/>
    <w:rsid w:val="003769A7"/>
    <w:rsid w:val="0037788D"/>
    <w:rsid w:val="003809AB"/>
    <w:rsid w:val="00381302"/>
    <w:rsid w:val="00386051"/>
    <w:rsid w:val="00386E3F"/>
    <w:rsid w:val="00391ABD"/>
    <w:rsid w:val="00393C9C"/>
    <w:rsid w:val="00397365"/>
    <w:rsid w:val="003A286E"/>
    <w:rsid w:val="003A31F6"/>
    <w:rsid w:val="003A62FA"/>
    <w:rsid w:val="003B3557"/>
    <w:rsid w:val="003B4968"/>
    <w:rsid w:val="003B69B5"/>
    <w:rsid w:val="003B6EEC"/>
    <w:rsid w:val="003C19CA"/>
    <w:rsid w:val="003C2B7E"/>
    <w:rsid w:val="003C3282"/>
    <w:rsid w:val="003C3447"/>
    <w:rsid w:val="003D076C"/>
    <w:rsid w:val="003D1212"/>
    <w:rsid w:val="003D16A4"/>
    <w:rsid w:val="003D3435"/>
    <w:rsid w:val="003D3580"/>
    <w:rsid w:val="003D4A88"/>
    <w:rsid w:val="003D630F"/>
    <w:rsid w:val="003D6665"/>
    <w:rsid w:val="003E1663"/>
    <w:rsid w:val="003E2034"/>
    <w:rsid w:val="003E4017"/>
    <w:rsid w:val="003E4D0F"/>
    <w:rsid w:val="003E56A1"/>
    <w:rsid w:val="003E722E"/>
    <w:rsid w:val="003E78B5"/>
    <w:rsid w:val="003F2BD5"/>
    <w:rsid w:val="003F373E"/>
    <w:rsid w:val="00404982"/>
    <w:rsid w:val="00415BAB"/>
    <w:rsid w:val="00415ED2"/>
    <w:rsid w:val="00417042"/>
    <w:rsid w:val="0042068C"/>
    <w:rsid w:val="0042202C"/>
    <w:rsid w:val="004235AF"/>
    <w:rsid w:val="004237FD"/>
    <w:rsid w:val="00424758"/>
    <w:rsid w:val="00424CFA"/>
    <w:rsid w:val="00434056"/>
    <w:rsid w:val="00436B32"/>
    <w:rsid w:val="0043744F"/>
    <w:rsid w:val="00441D45"/>
    <w:rsid w:val="0044318E"/>
    <w:rsid w:val="004437B0"/>
    <w:rsid w:val="00443B35"/>
    <w:rsid w:val="004440F7"/>
    <w:rsid w:val="004478DE"/>
    <w:rsid w:val="00450548"/>
    <w:rsid w:val="004522CC"/>
    <w:rsid w:val="00461757"/>
    <w:rsid w:val="00462DA8"/>
    <w:rsid w:val="00464630"/>
    <w:rsid w:val="00464D1F"/>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97F6A"/>
    <w:rsid w:val="004A1517"/>
    <w:rsid w:val="004A16FA"/>
    <w:rsid w:val="004A2E88"/>
    <w:rsid w:val="004A4CFC"/>
    <w:rsid w:val="004A5305"/>
    <w:rsid w:val="004A78AF"/>
    <w:rsid w:val="004B724B"/>
    <w:rsid w:val="004C1280"/>
    <w:rsid w:val="004C42DB"/>
    <w:rsid w:val="004C770B"/>
    <w:rsid w:val="004C7E5C"/>
    <w:rsid w:val="004D0880"/>
    <w:rsid w:val="004D2158"/>
    <w:rsid w:val="004D7634"/>
    <w:rsid w:val="004E0731"/>
    <w:rsid w:val="004E18E1"/>
    <w:rsid w:val="004E4FF4"/>
    <w:rsid w:val="004E511B"/>
    <w:rsid w:val="004E58D5"/>
    <w:rsid w:val="004E611A"/>
    <w:rsid w:val="004E6295"/>
    <w:rsid w:val="004F018B"/>
    <w:rsid w:val="004F1374"/>
    <w:rsid w:val="004F1A06"/>
    <w:rsid w:val="004F32E5"/>
    <w:rsid w:val="004F6460"/>
    <w:rsid w:val="004F64E6"/>
    <w:rsid w:val="0050109B"/>
    <w:rsid w:val="0050199B"/>
    <w:rsid w:val="00501F50"/>
    <w:rsid w:val="00503A68"/>
    <w:rsid w:val="00504627"/>
    <w:rsid w:val="00504E48"/>
    <w:rsid w:val="005054C8"/>
    <w:rsid w:val="00506775"/>
    <w:rsid w:val="00506ED8"/>
    <w:rsid w:val="00510A5A"/>
    <w:rsid w:val="00511813"/>
    <w:rsid w:val="00512E3E"/>
    <w:rsid w:val="005204AC"/>
    <w:rsid w:val="0052183B"/>
    <w:rsid w:val="00524363"/>
    <w:rsid w:val="005268F5"/>
    <w:rsid w:val="005300D3"/>
    <w:rsid w:val="00532897"/>
    <w:rsid w:val="00532BE8"/>
    <w:rsid w:val="00533034"/>
    <w:rsid w:val="0054144C"/>
    <w:rsid w:val="00542A10"/>
    <w:rsid w:val="00543861"/>
    <w:rsid w:val="00544F82"/>
    <w:rsid w:val="005509D2"/>
    <w:rsid w:val="00551597"/>
    <w:rsid w:val="00557412"/>
    <w:rsid w:val="00565190"/>
    <w:rsid w:val="00567D5D"/>
    <w:rsid w:val="00574A05"/>
    <w:rsid w:val="0058205F"/>
    <w:rsid w:val="0058243C"/>
    <w:rsid w:val="005824E2"/>
    <w:rsid w:val="00584945"/>
    <w:rsid w:val="00584AE2"/>
    <w:rsid w:val="005932B2"/>
    <w:rsid w:val="00593C4F"/>
    <w:rsid w:val="005940E6"/>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2DD"/>
    <w:rsid w:val="005F6F41"/>
    <w:rsid w:val="00602147"/>
    <w:rsid w:val="00611D0E"/>
    <w:rsid w:val="006147AE"/>
    <w:rsid w:val="0061545E"/>
    <w:rsid w:val="006214B9"/>
    <w:rsid w:val="00622CB6"/>
    <w:rsid w:val="00625D1A"/>
    <w:rsid w:val="00625DC6"/>
    <w:rsid w:val="006320CE"/>
    <w:rsid w:val="006353B5"/>
    <w:rsid w:val="006368B3"/>
    <w:rsid w:val="00636BD7"/>
    <w:rsid w:val="00640689"/>
    <w:rsid w:val="00640BBC"/>
    <w:rsid w:val="00641863"/>
    <w:rsid w:val="0064194E"/>
    <w:rsid w:val="00641CF1"/>
    <w:rsid w:val="00641E46"/>
    <w:rsid w:val="00642ECC"/>
    <w:rsid w:val="0064391D"/>
    <w:rsid w:val="0064405A"/>
    <w:rsid w:val="0065142A"/>
    <w:rsid w:val="00651821"/>
    <w:rsid w:val="00652CCC"/>
    <w:rsid w:val="00654384"/>
    <w:rsid w:val="006565FC"/>
    <w:rsid w:val="00657A23"/>
    <w:rsid w:val="006619B5"/>
    <w:rsid w:val="0066525E"/>
    <w:rsid w:val="00666653"/>
    <w:rsid w:val="006675CD"/>
    <w:rsid w:val="00673220"/>
    <w:rsid w:val="00676752"/>
    <w:rsid w:val="00681C5A"/>
    <w:rsid w:val="00682862"/>
    <w:rsid w:val="00684D9B"/>
    <w:rsid w:val="0068510A"/>
    <w:rsid w:val="006864B4"/>
    <w:rsid w:val="0068770E"/>
    <w:rsid w:val="00687C78"/>
    <w:rsid w:val="00691658"/>
    <w:rsid w:val="00697556"/>
    <w:rsid w:val="006A01A2"/>
    <w:rsid w:val="006A0859"/>
    <w:rsid w:val="006A7786"/>
    <w:rsid w:val="006A7D96"/>
    <w:rsid w:val="006B3271"/>
    <w:rsid w:val="006B4457"/>
    <w:rsid w:val="006B45BA"/>
    <w:rsid w:val="006B4647"/>
    <w:rsid w:val="006B4C2B"/>
    <w:rsid w:val="006B5B0A"/>
    <w:rsid w:val="006B6194"/>
    <w:rsid w:val="006B6D47"/>
    <w:rsid w:val="006C3FDE"/>
    <w:rsid w:val="006C433D"/>
    <w:rsid w:val="006C5AFE"/>
    <w:rsid w:val="006D1195"/>
    <w:rsid w:val="006D1304"/>
    <w:rsid w:val="006D16F6"/>
    <w:rsid w:val="006D2259"/>
    <w:rsid w:val="006D689C"/>
    <w:rsid w:val="006E0457"/>
    <w:rsid w:val="006E20C1"/>
    <w:rsid w:val="006F0F67"/>
    <w:rsid w:val="006F2EC8"/>
    <w:rsid w:val="006F31B1"/>
    <w:rsid w:val="006F396C"/>
    <w:rsid w:val="006F68C2"/>
    <w:rsid w:val="006F6D95"/>
    <w:rsid w:val="00701237"/>
    <w:rsid w:val="0070197A"/>
    <w:rsid w:val="007023D1"/>
    <w:rsid w:val="00706EA3"/>
    <w:rsid w:val="00706F13"/>
    <w:rsid w:val="0070721D"/>
    <w:rsid w:val="007072E8"/>
    <w:rsid w:val="00711886"/>
    <w:rsid w:val="0071618D"/>
    <w:rsid w:val="0071773A"/>
    <w:rsid w:val="00725FA4"/>
    <w:rsid w:val="00726540"/>
    <w:rsid w:val="00726C7B"/>
    <w:rsid w:val="00732CA1"/>
    <w:rsid w:val="00733DEF"/>
    <w:rsid w:val="00735F98"/>
    <w:rsid w:val="00736C9D"/>
    <w:rsid w:val="00740446"/>
    <w:rsid w:val="007438A9"/>
    <w:rsid w:val="00744505"/>
    <w:rsid w:val="0074491E"/>
    <w:rsid w:val="00747E23"/>
    <w:rsid w:val="00750328"/>
    <w:rsid w:val="0075068F"/>
    <w:rsid w:val="007511E1"/>
    <w:rsid w:val="0075162D"/>
    <w:rsid w:val="007535E5"/>
    <w:rsid w:val="00753F7F"/>
    <w:rsid w:val="00754A3A"/>
    <w:rsid w:val="007554BB"/>
    <w:rsid w:val="007577BA"/>
    <w:rsid w:val="00760595"/>
    <w:rsid w:val="0076247A"/>
    <w:rsid w:val="00762B4E"/>
    <w:rsid w:val="00763970"/>
    <w:rsid w:val="007649B6"/>
    <w:rsid w:val="00765A05"/>
    <w:rsid w:val="00766F3C"/>
    <w:rsid w:val="007678E4"/>
    <w:rsid w:val="007701D7"/>
    <w:rsid w:val="007701F6"/>
    <w:rsid w:val="00771A6B"/>
    <w:rsid w:val="00771C02"/>
    <w:rsid w:val="00771DB0"/>
    <w:rsid w:val="007728E7"/>
    <w:rsid w:val="00774144"/>
    <w:rsid w:val="00775964"/>
    <w:rsid w:val="007765FE"/>
    <w:rsid w:val="00776EA6"/>
    <w:rsid w:val="007771CA"/>
    <w:rsid w:val="0078081D"/>
    <w:rsid w:val="007808FB"/>
    <w:rsid w:val="0078307F"/>
    <w:rsid w:val="0078457B"/>
    <w:rsid w:val="007853C9"/>
    <w:rsid w:val="00787EDB"/>
    <w:rsid w:val="007942FD"/>
    <w:rsid w:val="00794E2E"/>
    <w:rsid w:val="00795BFB"/>
    <w:rsid w:val="007963EE"/>
    <w:rsid w:val="007A1231"/>
    <w:rsid w:val="007A360E"/>
    <w:rsid w:val="007A440E"/>
    <w:rsid w:val="007A4F22"/>
    <w:rsid w:val="007A7053"/>
    <w:rsid w:val="007B13E8"/>
    <w:rsid w:val="007B2760"/>
    <w:rsid w:val="007C1069"/>
    <w:rsid w:val="007C19D9"/>
    <w:rsid w:val="007C6291"/>
    <w:rsid w:val="007C7759"/>
    <w:rsid w:val="007C78FC"/>
    <w:rsid w:val="007D267E"/>
    <w:rsid w:val="007D3F94"/>
    <w:rsid w:val="007E60FF"/>
    <w:rsid w:val="007E6428"/>
    <w:rsid w:val="007E7E38"/>
    <w:rsid w:val="007E7EFC"/>
    <w:rsid w:val="007F1427"/>
    <w:rsid w:val="007F14A0"/>
    <w:rsid w:val="007F2952"/>
    <w:rsid w:val="007F6A5A"/>
    <w:rsid w:val="007F74ED"/>
    <w:rsid w:val="007F7564"/>
    <w:rsid w:val="00803411"/>
    <w:rsid w:val="00804A68"/>
    <w:rsid w:val="00804AB9"/>
    <w:rsid w:val="00804D08"/>
    <w:rsid w:val="008056E6"/>
    <w:rsid w:val="00805D42"/>
    <w:rsid w:val="00806C01"/>
    <w:rsid w:val="00806D26"/>
    <w:rsid w:val="00806D59"/>
    <w:rsid w:val="008074D3"/>
    <w:rsid w:val="00811769"/>
    <w:rsid w:val="008148CC"/>
    <w:rsid w:val="00815CF5"/>
    <w:rsid w:val="00816B75"/>
    <w:rsid w:val="008211A4"/>
    <w:rsid w:val="00825F71"/>
    <w:rsid w:val="0082634F"/>
    <w:rsid w:val="00834E01"/>
    <w:rsid w:val="00836DD5"/>
    <w:rsid w:val="0083787A"/>
    <w:rsid w:val="00840F76"/>
    <w:rsid w:val="0084176B"/>
    <w:rsid w:val="00842ABB"/>
    <w:rsid w:val="00843BE2"/>
    <w:rsid w:val="00844EFF"/>
    <w:rsid w:val="00845404"/>
    <w:rsid w:val="008454D9"/>
    <w:rsid w:val="0084589C"/>
    <w:rsid w:val="00846498"/>
    <w:rsid w:val="0084693A"/>
    <w:rsid w:val="008477F7"/>
    <w:rsid w:val="008502C2"/>
    <w:rsid w:val="00855456"/>
    <w:rsid w:val="00860AC7"/>
    <w:rsid w:val="008628AE"/>
    <w:rsid w:val="008653EC"/>
    <w:rsid w:val="008661CF"/>
    <w:rsid w:val="00870C68"/>
    <w:rsid w:val="00873150"/>
    <w:rsid w:val="00875166"/>
    <w:rsid w:val="0087657D"/>
    <w:rsid w:val="008807D5"/>
    <w:rsid w:val="00880832"/>
    <w:rsid w:val="0088101D"/>
    <w:rsid w:val="00881B58"/>
    <w:rsid w:val="00882273"/>
    <w:rsid w:val="00882675"/>
    <w:rsid w:val="008828AF"/>
    <w:rsid w:val="00886EE1"/>
    <w:rsid w:val="0088727D"/>
    <w:rsid w:val="00892629"/>
    <w:rsid w:val="00892C50"/>
    <w:rsid w:val="00897C75"/>
    <w:rsid w:val="008A08EB"/>
    <w:rsid w:val="008A1251"/>
    <w:rsid w:val="008A21E1"/>
    <w:rsid w:val="008A254E"/>
    <w:rsid w:val="008A3E40"/>
    <w:rsid w:val="008A448B"/>
    <w:rsid w:val="008A4EFB"/>
    <w:rsid w:val="008A6670"/>
    <w:rsid w:val="008A667F"/>
    <w:rsid w:val="008B42C6"/>
    <w:rsid w:val="008B7613"/>
    <w:rsid w:val="008C1130"/>
    <w:rsid w:val="008C7C5C"/>
    <w:rsid w:val="008D079D"/>
    <w:rsid w:val="008D18E6"/>
    <w:rsid w:val="008D1DA7"/>
    <w:rsid w:val="008D2774"/>
    <w:rsid w:val="008D2A19"/>
    <w:rsid w:val="008D30D1"/>
    <w:rsid w:val="008D3690"/>
    <w:rsid w:val="008D4BA7"/>
    <w:rsid w:val="008D54C3"/>
    <w:rsid w:val="008D6D5A"/>
    <w:rsid w:val="008D7A9B"/>
    <w:rsid w:val="008E0060"/>
    <w:rsid w:val="008E1E51"/>
    <w:rsid w:val="008E2CCC"/>
    <w:rsid w:val="008E3DCE"/>
    <w:rsid w:val="008E61E5"/>
    <w:rsid w:val="008E7091"/>
    <w:rsid w:val="008E76AC"/>
    <w:rsid w:val="008F083F"/>
    <w:rsid w:val="008F0CD4"/>
    <w:rsid w:val="008F21F6"/>
    <w:rsid w:val="008F2E10"/>
    <w:rsid w:val="008F45AC"/>
    <w:rsid w:val="00902467"/>
    <w:rsid w:val="00906037"/>
    <w:rsid w:val="009153DC"/>
    <w:rsid w:val="0091549D"/>
    <w:rsid w:val="00920787"/>
    <w:rsid w:val="0093028B"/>
    <w:rsid w:val="0093366E"/>
    <w:rsid w:val="0093587A"/>
    <w:rsid w:val="00937097"/>
    <w:rsid w:val="0094009F"/>
    <w:rsid w:val="00942CC9"/>
    <w:rsid w:val="009461D4"/>
    <w:rsid w:val="00947500"/>
    <w:rsid w:val="00950994"/>
    <w:rsid w:val="00951F79"/>
    <w:rsid w:val="00953BD0"/>
    <w:rsid w:val="0095620A"/>
    <w:rsid w:val="00956C7A"/>
    <w:rsid w:val="009574A3"/>
    <w:rsid w:val="009575E8"/>
    <w:rsid w:val="00957E53"/>
    <w:rsid w:val="00960027"/>
    <w:rsid w:val="00964AE7"/>
    <w:rsid w:val="0097112D"/>
    <w:rsid w:val="00971750"/>
    <w:rsid w:val="00973FE9"/>
    <w:rsid w:val="00974AB5"/>
    <w:rsid w:val="009868DB"/>
    <w:rsid w:val="0098706D"/>
    <w:rsid w:val="00987DFC"/>
    <w:rsid w:val="00990A80"/>
    <w:rsid w:val="009935FB"/>
    <w:rsid w:val="00995A30"/>
    <w:rsid w:val="00996CD7"/>
    <w:rsid w:val="00997B26"/>
    <w:rsid w:val="00997BD5"/>
    <w:rsid w:val="009A0AB3"/>
    <w:rsid w:val="009A25E2"/>
    <w:rsid w:val="009A5E1E"/>
    <w:rsid w:val="009A7B77"/>
    <w:rsid w:val="009A7F74"/>
    <w:rsid w:val="009B24C0"/>
    <w:rsid w:val="009B26AA"/>
    <w:rsid w:val="009B3AC5"/>
    <w:rsid w:val="009B649C"/>
    <w:rsid w:val="009B688A"/>
    <w:rsid w:val="009C42B5"/>
    <w:rsid w:val="009C5353"/>
    <w:rsid w:val="009C5924"/>
    <w:rsid w:val="009C6475"/>
    <w:rsid w:val="009C6F43"/>
    <w:rsid w:val="009C7678"/>
    <w:rsid w:val="009D13AA"/>
    <w:rsid w:val="009D294D"/>
    <w:rsid w:val="009D55B5"/>
    <w:rsid w:val="009D7236"/>
    <w:rsid w:val="009E0FAC"/>
    <w:rsid w:val="009E3844"/>
    <w:rsid w:val="009E4124"/>
    <w:rsid w:val="009E42C7"/>
    <w:rsid w:val="009E4900"/>
    <w:rsid w:val="009F4A54"/>
    <w:rsid w:val="009F4BEC"/>
    <w:rsid w:val="009F5874"/>
    <w:rsid w:val="009F768E"/>
    <w:rsid w:val="00A021EC"/>
    <w:rsid w:val="00A03496"/>
    <w:rsid w:val="00A05682"/>
    <w:rsid w:val="00A06108"/>
    <w:rsid w:val="00A100AD"/>
    <w:rsid w:val="00A10215"/>
    <w:rsid w:val="00A213E3"/>
    <w:rsid w:val="00A21C34"/>
    <w:rsid w:val="00A25FD7"/>
    <w:rsid w:val="00A27437"/>
    <w:rsid w:val="00A339BC"/>
    <w:rsid w:val="00A33D82"/>
    <w:rsid w:val="00A34C39"/>
    <w:rsid w:val="00A369BB"/>
    <w:rsid w:val="00A40005"/>
    <w:rsid w:val="00A43AFF"/>
    <w:rsid w:val="00A43C62"/>
    <w:rsid w:val="00A46D06"/>
    <w:rsid w:val="00A52CF9"/>
    <w:rsid w:val="00A54F82"/>
    <w:rsid w:val="00A5574E"/>
    <w:rsid w:val="00A573C7"/>
    <w:rsid w:val="00A5778C"/>
    <w:rsid w:val="00A60B09"/>
    <w:rsid w:val="00A60E87"/>
    <w:rsid w:val="00A634A8"/>
    <w:rsid w:val="00A63ED5"/>
    <w:rsid w:val="00A70632"/>
    <w:rsid w:val="00A721EB"/>
    <w:rsid w:val="00A76152"/>
    <w:rsid w:val="00A7793A"/>
    <w:rsid w:val="00A97099"/>
    <w:rsid w:val="00AA33B0"/>
    <w:rsid w:val="00AA443A"/>
    <w:rsid w:val="00AA4CC7"/>
    <w:rsid w:val="00AA5E8E"/>
    <w:rsid w:val="00AA647B"/>
    <w:rsid w:val="00AB0BA1"/>
    <w:rsid w:val="00AB255B"/>
    <w:rsid w:val="00AB2BAD"/>
    <w:rsid w:val="00AB3304"/>
    <w:rsid w:val="00AB6BCB"/>
    <w:rsid w:val="00AB6CA7"/>
    <w:rsid w:val="00AC40B8"/>
    <w:rsid w:val="00AD01E4"/>
    <w:rsid w:val="00AD0858"/>
    <w:rsid w:val="00AD33EC"/>
    <w:rsid w:val="00AD482A"/>
    <w:rsid w:val="00AD4CA0"/>
    <w:rsid w:val="00AD65F4"/>
    <w:rsid w:val="00AE02E3"/>
    <w:rsid w:val="00AE0497"/>
    <w:rsid w:val="00AE04DB"/>
    <w:rsid w:val="00AE35FF"/>
    <w:rsid w:val="00AE68F2"/>
    <w:rsid w:val="00AE7340"/>
    <w:rsid w:val="00AE77D8"/>
    <w:rsid w:val="00AF1BBD"/>
    <w:rsid w:val="00AF7C21"/>
    <w:rsid w:val="00B00410"/>
    <w:rsid w:val="00B041B5"/>
    <w:rsid w:val="00B05C07"/>
    <w:rsid w:val="00B05DE0"/>
    <w:rsid w:val="00B07E86"/>
    <w:rsid w:val="00B10207"/>
    <w:rsid w:val="00B11EEE"/>
    <w:rsid w:val="00B12600"/>
    <w:rsid w:val="00B141E7"/>
    <w:rsid w:val="00B150F3"/>
    <w:rsid w:val="00B21B75"/>
    <w:rsid w:val="00B27F3F"/>
    <w:rsid w:val="00B31275"/>
    <w:rsid w:val="00B3352A"/>
    <w:rsid w:val="00B351B4"/>
    <w:rsid w:val="00B35D62"/>
    <w:rsid w:val="00B379AE"/>
    <w:rsid w:val="00B40C47"/>
    <w:rsid w:val="00B42004"/>
    <w:rsid w:val="00B44C9F"/>
    <w:rsid w:val="00B4551F"/>
    <w:rsid w:val="00B46BCA"/>
    <w:rsid w:val="00B478AA"/>
    <w:rsid w:val="00B47BF8"/>
    <w:rsid w:val="00B50648"/>
    <w:rsid w:val="00B52915"/>
    <w:rsid w:val="00B5798E"/>
    <w:rsid w:val="00B637F9"/>
    <w:rsid w:val="00B72FD2"/>
    <w:rsid w:val="00B73F74"/>
    <w:rsid w:val="00B7717E"/>
    <w:rsid w:val="00B77E41"/>
    <w:rsid w:val="00B82A85"/>
    <w:rsid w:val="00B83B7B"/>
    <w:rsid w:val="00B844ED"/>
    <w:rsid w:val="00B87806"/>
    <w:rsid w:val="00B87EC9"/>
    <w:rsid w:val="00BA2637"/>
    <w:rsid w:val="00BA31B8"/>
    <w:rsid w:val="00BB258C"/>
    <w:rsid w:val="00BB4D83"/>
    <w:rsid w:val="00BB6FD1"/>
    <w:rsid w:val="00BB7DEE"/>
    <w:rsid w:val="00BC1EF0"/>
    <w:rsid w:val="00BC38FD"/>
    <w:rsid w:val="00BC3CBF"/>
    <w:rsid w:val="00BC4387"/>
    <w:rsid w:val="00BC6313"/>
    <w:rsid w:val="00BC6C44"/>
    <w:rsid w:val="00BC6F62"/>
    <w:rsid w:val="00BC7ADF"/>
    <w:rsid w:val="00BD5DA2"/>
    <w:rsid w:val="00BE24DF"/>
    <w:rsid w:val="00BE2558"/>
    <w:rsid w:val="00BE2CF5"/>
    <w:rsid w:val="00BE34DF"/>
    <w:rsid w:val="00BF32E3"/>
    <w:rsid w:val="00BF4A20"/>
    <w:rsid w:val="00BF7036"/>
    <w:rsid w:val="00C02CB9"/>
    <w:rsid w:val="00C02D52"/>
    <w:rsid w:val="00C034CB"/>
    <w:rsid w:val="00C04FB7"/>
    <w:rsid w:val="00C051A8"/>
    <w:rsid w:val="00C054BC"/>
    <w:rsid w:val="00C0650B"/>
    <w:rsid w:val="00C161E4"/>
    <w:rsid w:val="00C16B6B"/>
    <w:rsid w:val="00C17897"/>
    <w:rsid w:val="00C17990"/>
    <w:rsid w:val="00C20D63"/>
    <w:rsid w:val="00C21ACA"/>
    <w:rsid w:val="00C240CA"/>
    <w:rsid w:val="00C26B05"/>
    <w:rsid w:val="00C31C0A"/>
    <w:rsid w:val="00C32245"/>
    <w:rsid w:val="00C3302D"/>
    <w:rsid w:val="00C3362F"/>
    <w:rsid w:val="00C34C00"/>
    <w:rsid w:val="00C36F45"/>
    <w:rsid w:val="00C3740C"/>
    <w:rsid w:val="00C409D5"/>
    <w:rsid w:val="00C430D4"/>
    <w:rsid w:val="00C435C3"/>
    <w:rsid w:val="00C4493F"/>
    <w:rsid w:val="00C44E5F"/>
    <w:rsid w:val="00C471D7"/>
    <w:rsid w:val="00C51B7C"/>
    <w:rsid w:val="00C52714"/>
    <w:rsid w:val="00C5271E"/>
    <w:rsid w:val="00C5431C"/>
    <w:rsid w:val="00C545AF"/>
    <w:rsid w:val="00C567E4"/>
    <w:rsid w:val="00C569A8"/>
    <w:rsid w:val="00C60FF0"/>
    <w:rsid w:val="00C6159A"/>
    <w:rsid w:val="00C6234B"/>
    <w:rsid w:val="00C62653"/>
    <w:rsid w:val="00C639F9"/>
    <w:rsid w:val="00C63EAE"/>
    <w:rsid w:val="00C73260"/>
    <w:rsid w:val="00C75AFF"/>
    <w:rsid w:val="00C7629F"/>
    <w:rsid w:val="00C80926"/>
    <w:rsid w:val="00C85717"/>
    <w:rsid w:val="00C8661B"/>
    <w:rsid w:val="00C942DE"/>
    <w:rsid w:val="00C9618D"/>
    <w:rsid w:val="00C96428"/>
    <w:rsid w:val="00C97CB2"/>
    <w:rsid w:val="00CA03C8"/>
    <w:rsid w:val="00CA0B1D"/>
    <w:rsid w:val="00CA139A"/>
    <w:rsid w:val="00CA2711"/>
    <w:rsid w:val="00CA2899"/>
    <w:rsid w:val="00CA3A3D"/>
    <w:rsid w:val="00CA3AA6"/>
    <w:rsid w:val="00CA5344"/>
    <w:rsid w:val="00CA77FB"/>
    <w:rsid w:val="00CB379B"/>
    <w:rsid w:val="00CB5DD0"/>
    <w:rsid w:val="00CC51D4"/>
    <w:rsid w:val="00CC5761"/>
    <w:rsid w:val="00CC6220"/>
    <w:rsid w:val="00CC65DA"/>
    <w:rsid w:val="00CD004A"/>
    <w:rsid w:val="00CD0626"/>
    <w:rsid w:val="00CD1B6D"/>
    <w:rsid w:val="00CD3CA0"/>
    <w:rsid w:val="00CD4D0A"/>
    <w:rsid w:val="00CD737B"/>
    <w:rsid w:val="00CD74F7"/>
    <w:rsid w:val="00CE5F83"/>
    <w:rsid w:val="00CF0C6E"/>
    <w:rsid w:val="00CF1346"/>
    <w:rsid w:val="00CF1925"/>
    <w:rsid w:val="00CF21B9"/>
    <w:rsid w:val="00CF34B7"/>
    <w:rsid w:val="00CF3D66"/>
    <w:rsid w:val="00CF4664"/>
    <w:rsid w:val="00CF6BF9"/>
    <w:rsid w:val="00CF770A"/>
    <w:rsid w:val="00CF7735"/>
    <w:rsid w:val="00D03800"/>
    <w:rsid w:val="00D065D3"/>
    <w:rsid w:val="00D06B3B"/>
    <w:rsid w:val="00D06C02"/>
    <w:rsid w:val="00D07A6F"/>
    <w:rsid w:val="00D14C94"/>
    <w:rsid w:val="00D167AF"/>
    <w:rsid w:val="00D17514"/>
    <w:rsid w:val="00D178D4"/>
    <w:rsid w:val="00D17D3F"/>
    <w:rsid w:val="00D202B3"/>
    <w:rsid w:val="00D23C40"/>
    <w:rsid w:val="00D25CC4"/>
    <w:rsid w:val="00D342A6"/>
    <w:rsid w:val="00D3596D"/>
    <w:rsid w:val="00D35A92"/>
    <w:rsid w:val="00D35ED4"/>
    <w:rsid w:val="00D36443"/>
    <w:rsid w:val="00D37D6C"/>
    <w:rsid w:val="00D37DEC"/>
    <w:rsid w:val="00D41AD8"/>
    <w:rsid w:val="00D4563D"/>
    <w:rsid w:val="00D45CA6"/>
    <w:rsid w:val="00D464BF"/>
    <w:rsid w:val="00D46A14"/>
    <w:rsid w:val="00D52369"/>
    <w:rsid w:val="00D539A1"/>
    <w:rsid w:val="00D53E26"/>
    <w:rsid w:val="00D56F6B"/>
    <w:rsid w:val="00D57237"/>
    <w:rsid w:val="00D616DF"/>
    <w:rsid w:val="00D70A48"/>
    <w:rsid w:val="00D74DCF"/>
    <w:rsid w:val="00D80E57"/>
    <w:rsid w:val="00D80F4B"/>
    <w:rsid w:val="00D84372"/>
    <w:rsid w:val="00D849C4"/>
    <w:rsid w:val="00D867DB"/>
    <w:rsid w:val="00D876E2"/>
    <w:rsid w:val="00D90F53"/>
    <w:rsid w:val="00D91D08"/>
    <w:rsid w:val="00D95D73"/>
    <w:rsid w:val="00DA145C"/>
    <w:rsid w:val="00DA1B97"/>
    <w:rsid w:val="00DB03E3"/>
    <w:rsid w:val="00DB177D"/>
    <w:rsid w:val="00DB182C"/>
    <w:rsid w:val="00DB3920"/>
    <w:rsid w:val="00DB4309"/>
    <w:rsid w:val="00DB4DF2"/>
    <w:rsid w:val="00DC1ADD"/>
    <w:rsid w:val="00DC2D65"/>
    <w:rsid w:val="00DC5899"/>
    <w:rsid w:val="00DC7155"/>
    <w:rsid w:val="00DC76CB"/>
    <w:rsid w:val="00DD2504"/>
    <w:rsid w:val="00DD2E80"/>
    <w:rsid w:val="00DD4F0E"/>
    <w:rsid w:val="00DE59CC"/>
    <w:rsid w:val="00DE6730"/>
    <w:rsid w:val="00DE7E37"/>
    <w:rsid w:val="00DF0BF0"/>
    <w:rsid w:val="00DF1F7B"/>
    <w:rsid w:val="00DF3762"/>
    <w:rsid w:val="00DF3CA2"/>
    <w:rsid w:val="00E01463"/>
    <w:rsid w:val="00E01799"/>
    <w:rsid w:val="00E05E0A"/>
    <w:rsid w:val="00E060BE"/>
    <w:rsid w:val="00E06196"/>
    <w:rsid w:val="00E33D65"/>
    <w:rsid w:val="00E367C8"/>
    <w:rsid w:val="00E3748D"/>
    <w:rsid w:val="00E42188"/>
    <w:rsid w:val="00E46974"/>
    <w:rsid w:val="00E50B3D"/>
    <w:rsid w:val="00E518D6"/>
    <w:rsid w:val="00E534CF"/>
    <w:rsid w:val="00E5556D"/>
    <w:rsid w:val="00E6080F"/>
    <w:rsid w:val="00E6083C"/>
    <w:rsid w:val="00E610F6"/>
    <w:rsid w:val="00E615CA"/>
    <w:rsid w:val="00E62D87"/>
    <w:rsid w:val="00E652D6"/>
    <w:rsid w:val="00E66410"/>
    <w:rsid w:val="00E6731F"/>
    <w:rsid w:val="00E706C1"/>
    <w:rsid w:val="00E727DE"/>
    <w:rsid w:val="00E73EB6"/>
    <w:rsid w:val="00E7433B"/>
    <w:rsid w:val="00E75F40"/>
    <w:rsid w:val="00E77A2A"/>
    <w:rsid w:val="00E81CB4"/>
    <w:rsid w:val="00E83FFE"/>
    <w:rsid w:val="00E85503"/>
    <w:rsid w:val="00E8585B"/>
    <w:rsid w:val="00E85F7E"/>
    <w:rsid w:val="00E87F41"/>
    <w:rsid w:val="00E92DF5"/>
    <w:rsid w:val="00E93CC4"/>
    <w:rsid w:val="00E971FF"/>
    <w:rsid w:val="00EA375B"/>
    <w:rsid w:val="00EA37F9"/>
    <w:rsid w:val="00EA3F15"/>
    <w:rsid w:val="00EA45CE"/>
    <w:rsid w:val="00EA6BF8"/>
    <w:rsid w:val="00EA7847"/>
    <w:rsid w:val="00EB4B0F"/>
    <w:rsid w:val="00EB4C2F"/>
    <w:rsid w:val="00EB599C"/>
    <w:rsid w:val="00EC5A83"/>
    <w:rsid w:val="00EC6015"/>
    <w:rsid w:val="00ED1568"/>
    <w:rsid w:val="00ED39F9"/>
    <w:rsid w:val="00EE2E6E"/>
    <w:rsid w:val="00EE315E"/>
    <w:rsid w:val="00EE343E"/>
    <w:rsid w:val="00EE3E67"/>
    <w:rsid w:val="00EE5A40"/>
    <w:rsid w:val="00EF25A4"/>
    <w:rsid w:val="00F0759E"/>
    <w:rsid w:val="00F10412"/>
    <w:rsid w:val="00F1063F"/>
    <w:rsid w:val="00F14FB2"/>
    <w:rsid w:val="00F16A43"/>
    <w:rsid w:val="00F17793"/>
    <w:rsid w:val="00F23026"/>
    <w:rsid w:val="00F25787"/>
    <w:rsid w:val="00F30B9C"/>
    <w:rsid w:val="00F3119B"/>
    <w:rsid w:val="00F350F2"/>
    <w:rsid w:val="00F4104B"/>
    <w:rsid w:val="00F41122"/>
    <w:rsid w:val="00F44458"/>
    <w:rsid w:val="00F44ED7"/>
    <w:rsid w:val="00F46780"/>
    <w:rsid w:val="00F4782A"/>
    <w:rsid w:val="00F5031C"/>
    <w:rsid w:val="00F519FD"/>
    <w:rsid w:val="00F52897"/>
    <w:rsid w:val="00F54CEB"/>
    <w:rsid w:val="00F5690D"/>
    <w:rsid w:val="00F5763A"/>
    <w:rsid w:val="00F62504"/>
    <w:rsid w:val="00F63228"/>
    <w:rsid w:val="00F64407"/>
    <w:rsid w:val="00F651F7"/>
    <w:rsid w:val="00F678F0"/>
    <w:rsid w:val="00F701F0"/>
    <w:rsid w:val="00F706FA"/>
    <w:rsid w:val="00F762DB"/>
    <w:rsid w:val="00F77D2D"/>
    <w:rsid w:val="00F77D4E"/>
    <w:rsid w:val="00F80689"/>
    <w:rsid w:val="00F821A3"/>
    <w:rsid w:val="00F82DD5"/>
    <w:rsid w:val="00F8384B"/>
    <w:rsid w:val="00F91ED6"/>
    <w:rsid w:val="00F9314A"/>
    <w:rsid w:val="00F940B2"/>
    <w:rsid w:val="00F948C1"/>
    <w:rsid w:val="00F9687C"/>
    <w:rsid w:val="00FA1A37"/>
    <w:rsid w:val="00FB1E1B"/>
    <w:rsid w:val="00FB2444"/>
    <w:rsid w:val="00FC0EBF"/>
    <w:rsid w:val="00FC10B0"/>
    <w:rsid w:val="00FC339E"/>
    <w:rsid w:val="00FC3864"/>
    <w:rsid w:val="00FC3C88"/>
    <w:rsid w:val="00FC58EF"/>
    <w:rsid w:val="00FD252B"/>
    <w:rsid w:val="00FD2BFE"/>
    <w:rsid w:val="00FD33DF"/>
    <w:rsid w:val="00FD3765"/>
    <w:rsid w:val="00FD666D"/>
    <w:rsid w:val="00FE2AD8"/>
    <w:rsid w:val="00FE39D7"/>
    <w:rsid w:val="00FE3DD5"/>
    <w:rsid w:val="00FE5555"/>
    <w:rsid w:val="00FE6273"/>
    <w:rsid w:val="00FF26CD"/>
    <w:rsid w:val="00FF784B"/>
    <w:rsid w:val="012A4857"/>
    <w:rsid w:val="0290FF63"/>
    <w:rsid w:val="029C8947"/>
    <w:rsid w:val="045E81E9"/>
    <w:rsid w:val="04806AA6"/>
    <w:rsid w:val="0664E254"/>
    <w:rsid w:val="07980B1C"/>
    <w:rsid w:val="0817AE12"/>
    <w:rsid w:val="0C48D386"/>
    <w:rsid w:val="0C51863D"/>
    <w:rsid w:val="0F461A9E"/>
    <w:rsid w:val="0FE84E65"/>
    <w:rsid w:val="150A8989"/>
    <w:rsid w:val="15FEB967"/>
    <w:rsid w:val="16BD5D35"/>
    <w:rsid w:val="1956443E"/>
    <w:rsid w:val="19CAE7C5"/>
    <w:rsid w:val="1B3FBADB"/>
    <w:rsid w:val="1CE04CF6"/>
    <w:rsid w:val="2013259F"/>
    <w:rsid w:val="202B1B23"/>
    <w:rsid w:val="218157EC"/>
    <w:rsid w:val="21F2CCA7"/>
    <w:rsid w:val="228CE66D"/>
    <w:rsid w:val="2454CAED"/>
    <w:rsid w:val="24936F4F"/>
    <w:rsid w:val="257834AA"/>
    <w:rsid w:val="258C3AA9"/>
    <w:rsid w:val="25F60CBB"/>
    <w:rsid w:val="2689599B"/>
    <w:rsid w:val="276E6778"/>
    <w:rsid w:val="2868B832"/>
    <w:rsid w:val="29477AC6"/>
    <w:rsid w:val="2AAF3C3E"/>
    <w:rsid w:val="2D217D54"/>
    <w:rsid w:val="2D23D35F"/>
    <w:rsid w:val="2D72CEB4"/>
    <w:rsid w:val="2E282E12"/>
    <w:rsid w:val="2EE0295C"/>
    <w:rsid w:val="317184F1"/>
    <w:rsid w:val="34B4BED8"/>
    <w:rsid w:val="35AAE4B8"/>
    <w:rsid w:val="35ADC038"/>
    <w:rsid w:val="35DC1444"/>
    <w:rsid w:val="35E39F0F"/>
    <w:rsid w:val="37D2ECA8"/>
    <w:rsid w:val="38DCD004"/>
    <w:rsid w:val="39455411"/>
    <w:rsid w:val="396C9636"/>
    <w:rsid w:val="3A611E5A"/>
    <w:rsid w:val="3B699E14"/>
    <w:rsid w:val="3C107CF1"/>
    <w:rsid w:val="3DFAC478"/>
    <w:rsid w:val="3DFF6E55"/>
    <w:rsid w:val="3EB9A583"/>
    <w:rsid w:val="3EEEA819"/>
    <w:rsid w:val="404CCC75"/>
    <w:rsid w:val="40929875"/>
    <w:rsid w:val="4155F6E3"/>
    <w:rsid w:val="43F057C5"/>
    <w:rsid w:val="44554B51"/>
    <w:rsid w:val="448FE961"/>
    <w:rsid w:val="4686A859"/>
    <w:rsid w:val="46B15981"/>
    <w:rsid w:val="49028696"/>
    <w:rsid w:val="4BECAFD9"/>
    <w:rsid w:val="4C4DD797"/>
    <w:rsid w:val="4C825892"/>
    <w:rsid w:val="4CD7F3B2"/>
    <w:rsid w:val="4E709775"/>
    <w:rsid w:val="4F6DF126"/>
    <w:rsid w:val="501F8C61"/>
    <w:rsid w:val="564CE571"/>
    <w:rsid w:val="56D9AED1"/>
    <w:rsid w:val="598803C0"/>
    <w:rsid w:val="5B1DA9B7"/>
    <w:rsid w:val="5E85C687"/>
    <w:rsid w:val="618A4717"/>
    <w:rsid w:val="6254BCFF"/>
    <w:rsid w:val="63FBD19A"/>
    <w:rsid w:val="650CA045"/>
    <w:rsid w:val="6573D786"/>
    <w:rsid w:val="65D8A505"/>
    <w:rsid w:val="6611AC82"/>
    <w:rsid w:val="6B1FC9A3"/>
    <w:rsid w:val="6B803961"/>
    <w:rsid w:val="6BC5F852"/>
    <w:rsid w:val="6CE0F291"/>
    <w:rsid w:val="6DB83E17"/>
    <w:rsid w:val="6E7750E3"/>
    <w:rsid w:val="70F1BB6C"/>
    <w:rsid w:val="71FBECF5"/>
    <w:rsid w:val="7292ED0F"/>
    <w:rsid w:val="747C4878"/>
    <w:rsid w:val="74C0EF40"/>
    <w:rsid w:val="7576C5F2"/>
    <w:rsid w:val="785DFC38"/>
    <w:rsid w:val="78CDFE4F"/>
    <w:rsid w:val="79238BE7"/>
    <w:rsid w:val="798DBC88"/>
    <w:rsid w:val="7A9E1C5C"/>
    <w:rsid w:val="7B03675F"/>
    <w:rsid w:val="7B0A1BB4"/>
    <w:rsid w:val="7B3000DA"/>
    <w:rsid w:val="7BE84E2E"/>
    <w:rsid w:val="7E7E82A9"/>
    <w:rsid w:val="7F9ED49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57FF3"/>
  <w15:docId w15:val="{426B7C93-BE09-4C79-BEC6-311F5C80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EE5A40"/>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EE5A40"/>
    <w:rPr>
      <w:rFonts w:ascii="Arial" w:hAnsi="Arial"/>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2A1B6AC9A02C4E962A4D99D84D6F4E" ma:contentTypeVersion="2" ma:contentTypeDescription="Crear nuevo documento." ma:contentTypeScope="" ma:versionID="eef0518800bc84bc79f8b64ee3b589f6">
  <xsd:schema xmlns:xsd="http://www.w3.org/2001/XMLSchema" xmlns:xs="http://www.w3.org/2001/XMLSchema" xmlns:p="http://schemas.microsoft.com/office/2006/metadata/properties" xmlns:ns2="0c58281c-7b0d-4482-b834-fffdedcd7321" targetNamespace="http://schemas.microsoft.com/office/2006/metadata/properties" ma:root="true" ma:fieldsID="720a1ccdc34e815aa4332c4d4f1dace2" ns2:_="">
    <xsd:import namespace="0c58281c-7b0d-4482-b834-fffdedcd73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8281c-7b0d-4482-b834-fffdedcd7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0EA5-DF97-49D0-A790-979D3E26A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6B747F-A176-4D43-AC3E-02FA53D6DC46}">
  <ds:schemaRefs>
    <ds:schemaRef ds:uri="http://schemas.microsoft.com/sharepoint/v3/contenttype/forms"/>
  </ds:schemaRefs>
</ds:datastoreItem>
</file>

<file path=customXml/itemProps3.xml><?xml version="1.0" encoding="utf-8"?>
<ds:datastoreItem xmlns:ds="http://schemas.openxmlformats.org/officeDocument/2006/customXml" ds:itemID="{D3F5B4BB-2A9E-4374-9A0F-93DAEFD5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8281c-7b0d-4482-b834-fffdedcd7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3EE6C-704A-4100-BE41-5756541E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2178</Words>
  <Characters>11504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2020-04-12T23:18:00Z</cp:lastPrinted>
  <dcterms:created xsi:type="dcterms:W3CDTF">2020-04-13T13:05:00Z</dcterms:created>
  <dcterms:modified xsi:type="dcterms:W3CDTF">2020-04-13T13:05:00Z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0x010100A42A1B6AC9A02C4E962A4D99D84D6F4E</vt:lpwstr>
  </property>
</Properties>
</file>