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DDF" w:rsidRDefault="0033500E" w:rsidP="00DB2F5E">
      <w:pPr>
        <w:spacing w:before="0" w:after="0"/>
        <w:jc w:val="center"/>
      </w:pPr>
      <w:bookmarkStart w:id="0" w:name="_GoBack"/>
      <w:bookmarkEnd w:id="0"/>
      <w:r>
        <w:rPr>
          <w:noProof/>
          <w:lang w:val="es-CO" w:eastAsia="es-CO"/>
        </w:rPr>
        <w:object w:dxaOrig="1440" w:dyaOrig="1440" w14:anchorId="42389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13.65pt;margin-top:-42.35pt;width:45.75pt;height:48.75pt;z-index:251660288" fillcolor="#0c9">
            <v:imagedata r:id="rId8" o:title="" cropright="8426f"/>
          </v:shape>
          <o:OLEObject Type="Embed" ProgID="PBrush" ShapeID="_x0000_s1028" DrawAspect="Content" ObjectID="_1629967963" r:id="rId9"/>
        </w:object>
      </w:r>
    </w:p>
    <w:p w:rsidR="00DB2F5E" w:rsidRPr="008B23E3" w:rsidRDefault="00DB2F5E" w:rsidP="00DB2F5E">
      <w:pPr>
        <w:spacing w:before="0" w:after="0"/>
        <w:jc w:val="center"/>
      </w:pPr>
      <w:r w:rsidRPr="008B23E3">
        <w:t>Ministerio de Minas y Energía</w:t>
      </w:r>
    </w:p>
    <w:p w:rsidR="00DB2F5E" w:rsidRPr="008B23E3" w:rsidRDefault="00DB2F5E" w:rsidP="00DB2F5E">
      <w:pPr>
        <w:spacing w:before="0" w:after="0"/>
        <w:jc w:val="center"/>
      </w:pPr>
    </w:p>
    <w:p w:rsidR="00DB2F5E" w:rsidRPr="008B23E3" w:rsidRDefault="00DB2F5E" w:rsidP="00DB2F5E">
      <w:pPr>
        <w:spacing w:before="0" w:after="0"/>
        <w:jc w:val="center"/>
        <w:rPr>
          <w:b/>
        </w:rPr>
      </w:pPr>
      <w:r w:rsidRPr="008B23E3">
        <w:rPr>
          <w:b/>
        </w:rPr>
        <w:t>COMISIÓN DE REGULACIÓN DE ENERGÍA Y GAS</w:t>
      </w:r>
    </w:p>
    <w:p w:rsidR="00DB2F5E" w:rsidRPr="008B23E3" w:rsidRDefault="00DB2F5E" w:rsidP="00DB2F5E">
      <w:pPr>
        <w:spacing w:before="0" w:after="0"/>
        <w:jc w:val="center"/>
        <w:rPr>
          <w:b/>
          <w:lang w:val="es-ES_tradnl"/>
        </w:rPr>
      </w:pPr>
    </w:p>
    <w:p w:rsidR="00DB2F5E" w:rsidRPr="008B23E3" w:rsidRDefault="00DB2F5E" w:rsidP="00DB2F5E">
      <w:pPr>
        <w:spacing w:before="0" w:after="0"/>
        <w:jc w:val="center"/>
        <w:rPr>
          <w:b/>
          <w:lang w:val="es-ES_tradnl"/>
        </w:rPr>
      </w:pPr>
    </w:p>
    <w:p w:rsidR="00DB2F5E" w:rsidRPr="008B23E3" w:rsidRDefault="00DB2F5E" w:rsidP="00DB2F5E">
      <w:pPr>
        <w:spacing w:before="0" w:after="0"/>
        <w:jc w:val="center"/>
        <w:rPr>
          <w:b/>
        </w:rPr>
      </w:pPr>
      <w:r w:rsidRPr="008B23E3">
        <w:rPr>
          <w:b/>
        </w:rPr>
        <w:t>RESOLUCIÓN No.                    DE 2019</w:t>
      </w:r>
    </w:p>
    <w:p w:rsidR="00DB2F5E" w:rsidRPr="008B23E3" w:rsidRDefault="00DB2F5E" w:rsidP="00DB2F5E">
      <w:pPr>
        <w:tabs>
          <w:tab w:val="right" w:leader="dot" w:pos="9356"/>
        </w:tabs>
        <w:jc w:val="center"/>
      </w:pPr>
      <w:r w:rsidRPr="008B23E3">
        <w:t>(                               )</w:t>
      </w:r>
    </w:p>
    <w:p w:rsidR="00DB2F5E" w:rsidRDefault="00DB2F5E" w:rsidP="00DB2F5E">
      <w:pPr>
        <w:spacing w:before="0" w:after="0"/>
        <w:jc w:val="center"/>
      </w:pPr>
    </w:p>
    <w:p w:rsidR="00621564" w:rsidRPr="008B23E3" w:rsidRDefault="00621564" w:rsidP="00DB2F5E">
      <w:pPr>
        <w:spacing w:before="0" w:after="0"/>
        <w:jc w:val="center"/>
      </w:pPr>
    </w:p>
    <w:p w:rsidR="00DB2F5E" w:rsidRPr="00BF69C9" w:rsidRDefault="00DB2F5E" w:rsidP="00DB2F5E">
      <w:pPr>
        <w:spacing w:before="0" w:after="360"/>
        <w:jc w:val="center"/>
      </w:pPr>
      <w:r w:rsidRPr="008B23E3">
        <w:t xml:space="preserve">Por la cual se ordena hacer público el proyecto de resolución </w:t>
      </w:r>
      <w:r>
        <w:t>“</w:t>
      </w:r>
      <w:r w:rsidRPr="00BF69C9">
        <w:t xml:space="preserve">Por la cual se </w:t>
      </w:r>
      <w:r w:rsidRPr="001F5ECC">
        <w:t xml:space="preserve">establece el régimen transitorio especial en materia tarifaria </w:t>
      </w:r>
      <w:r>
        <w:t>para</w:t>
      </w:r>
      <w:r w:rsidRPr="001F5ECC">
        <w:t xml:space="preserve"> la región Caribe, de que trata el artículo 318 de la Ley 1955 de 2019</w:t>
      </w:r>
      <w:r>
        <w:t xml:space="preserve"> y el Decreto 1645 de 2019”</w:t>
      </w:r>
    </w:p>
    <w:p w:rsidR="00DB2F5E" w:rsidRPr="008B23E3" w:rsidRDefault="00DB2F5E" w:rsidP="00DB2F5E">
      <w:pPr>
        <w:jc w:val="center"/>
        <w:rPr>
          <w:b/>
        </w:rPr>
      </w:pPr>
    </w:p>
    <w:p w:rsidR="00DB2F5E" w:rsidRDefault="00DB2F5E" w:rsidP="00DB2F5E">
      <w:pPr>
        <w:jc w:val="center"/>
        <w:rPr>
          <w:b/>
        </w:rPr>
      </w:pPr>
      <w:r w:rsidRPr="008B23E3">
        <w:rPr>
          <w:b/>
        </w:rPr>
        <w:t>LA COMISIÓN DE REGULACIÓN DE ENERGÍA Y GAS</w:t>
      </w:r>
    </w:p>
    <w:p w:rsidR="00DB2F5E" w:rsidRPr="008B23E3" w:rsidRDefault="00DB2F5E" w:rsidP="00DB2F5E">
      <w:pPr>
        <w:jc w:val="center"/>
        <w:rPr>
          <w:b/>
        </w:rPr>
      </w:pPr>
    </w:p>
    <w:p w:rsidR="00DB2F5E" w:rsidRPr="008B23E3" w:rsidRDefault="00DB2F5E" w:rsidP="00DB2F5E">
      <w:r w:rsidRPr="008B23E3">
        <w:t xml:space="preserve">En ejercicio de sus atribuciones constitucionales y legales, en especial las conferidas por las Leyes 142 y 143 de 1994, y en desarrollo de los Decretos 1524, 2253 de 1994 </w:t>
      </w:r>
      <w:r w:rsidRPr="008B23E3">
        <w:rPr>
          <w:rFonts w:cs="Arial"/>
        </w:rPr>
        <w:t>y 1260 de 2013</w:t>
      </w:r>
    </w:p>
    <w:p w:rsidR="00DB2F5E" w:rsidRPr="005A084A" w:rsidRDefault="00DB2F5E" w:rsidP="00DB2F5E">
      <w:pPr>
        <w:spacing w:before="360" w:after="360"/>
        <w:jc w:val="center"/>
        <w:rPr>
          <w:rFonts w:cs="Arial"/>
          <w:b/>
        </w:rPr>
      </w:pPr>
      <w:r w:rsidRPr="008B23E3">
        <w:rPr>
          <w:rFonts w:cs="Arial"/>
          <w:b/>
        </w:rPr>
        <w:t>CONSIDERA</w:t>
      </w:r>
      <w:r w:rsidRPr="005A084A">
        <w:rPr>
          <w:rFonts w:cs="Arial"/>
          <w:b/>
        </w:rPr>
        <w:t>NDO QUE:</w:t>
      </w:r>
    </w:p>
    <w:p w:rsidR="00DB2F5E" w:rsidRPr="005A084A" w:rsidRDefault="00DB2F5E" w:rsidP="00DB2F5E">
      <w:pPr>
        <w:widowControl w:val="0"/>
        <w:tabs>
          <w:tab w:val="left" w:pos="0"/>
        </w:tabs>
        <w:rPr>
          <w:rFonts w:cs="Arial"/>
        </w:rPr>
      </w:pPr>
      <w:r w:rsidRPr="005A084A">
        <w:rPr>
          <w:rFonts w:cs="Arial"/>
        </w:rPr>
        <w:t>Conforme a lo dispuesto por el artículo 8 del Código de Procedimiento Administrativo y de lo Contencioso Administrativo, el artículo 32 de la Resolución CREG 039 de 2017 y el artículo 2.2.3.2.2.1.5 del Decreto 1645 de 2019 contenido en el Decreto Único Reglamentario del Sector Administrativo de Minas y Energía, 1073 de 2015, la Comisión debe hacer público en su página web todos los proyectos de resolución de carácter general que pretenda adoptar.</w:t>
      </w:r>
    </w:p>
    <w:p w:rsidR="00DB2F5E" w:rsidRPr="005A084A" w:rsidRDefault="00DB2F5E" w:rsidP="00DB2F5E">
      <w:r w:rsidRPr="005A084A">
        <w:t xml:space="preserve">La Comisión de Regulación de Energía y Gas, en su sesión </w:t>
      </w:r>
      <w:r w:rsidRPr="005A084A">
        <w:rPr>
          <w:sz w:val="25"/>
          <w:szCs w:val="25"/>
        </w:rPr>
        <w:t>94</w:t>
      </w:r>
      <w:r w:rsidR="00F13DDF">
        <w:rPr>
          <w:sz w:val="25"/>
          <w:szCs w:val="25"/>
        </w:rPr>
        <w:t>4</w:t>
      </w:r>
      <w:r w:rsidRPr="005A084A">
        <w:rPr>
          <w:sz w:val="25"/>
          <w:szCs w:val="25"/>
        </w:rPr>
        <w:t xml:space="preserve"> del 1</w:t>
      </w:r>
      <w:r w:rsidR="00F13DDF">
        <w:rPr>
          <w:sz w:val="25"/>
          <w:szCs w:val="25"/>
        </w:rPr>
        <w:t>3</w:t>
      </w:r>
      <w:r w:rsidRPr="005A084A">
        <w:rPr>
          <w:sz w:val="25"/>
          <w:szCs w:val="25"/>
        </w:rPr>
        <w:t xml:space="preserve"> de septiembre de 2019</w:t>
      </w:r>
      <w:r w:rsidRPr="005A084A">
        <w:t>, acordó hacer público el proyecto de resolución “Por la cual se establece el régimen transitorio especial en materia tarifaria para la región Caribe, de que trata el artículo 318 de la Ley 1955 de 2019 y el Decreto 1645 de 2019”.</w:t>
      </w:r>
    </w:p>
    <w:p w:rsidR="00DB2F5E" w:rsidRPr="005A084A" w:rsidRDefault="00DB2F5E" w:rsidP="00DB2F5E">
      <w:pPr>
        <w:keepNext/>
        <w:spacing w:before="360" w:after="360"/>
        <w:jc w:val="center"/>
        <w:rPr>
          <w:b/>
        </w:rPr>
      </w:pPr>
      <w:r w:rsidRPr="005A084A">
        <w:rPr>
          <w:b/>
        </w:rPr>
        <w:t>R E S U E L V E:</w:t>
      </w:r>
    </w:p>
    <w:p w:rsidR="00DB2F5E" w:rsidRDefault="00DB2F5E" w:rsidP="00F13DDF">
      <w:pPr>
        <w:spacing w:before="0" w:after="0"/>
      </w:pPr>
      <w:bookmarkStart w:id="1" w:name="_Toc259626851"/>
      <w:r w:rsidRPr="005A084A">
        <w:rPr>
          <w:b/>
        </w:rPr>
        <w:t>Artículo 1. Objeto.</w:t>
      </w:r>
      <w:r w:rsidRPr="005A084A">
        <w:t xml:space="preserve">  Hacer público el proyecto de resolución “Por la cual se establece el régimen transitorio especial en materia tarifaria para la región Caribe, de que trata el artículo 318 de la Ley 1955 de 2019 y el Decreto 1645 de 2019”.</w:t>
      </w:r>
    </w:p>
    <w:p w:rsidR="00F13DDF" w:rsidRPr="005A084A" w:rsidRDefault="00F13DDF" w:rsidP="00F13DDF">
      <w:pPr>
        <w:spacing w:before="0" w:after="0"/>
      </w:pPr>
    </w:p>
    <w:p w:rsidR="00DB2F5E" w:rsidRPr="005A084A" w:rsidRDefault="00DB2F5E" w:rsidP="00DB2F5E">
      <w:r w:rsidRPr="005A084A">
        <w:rPr>
          <w:b/>
        </w:rPr>
        <w:t>Artículo 2. Presentación de comentarios, observaciones y sugerencias.</w:t>
      </w:r>
      <w:r w:rsidRPr="005A084A">
        <w:t xml:space="preserve"> Se invita a los usuarios, a los agentes, a las autoridades locales, municipales y departamentales, a las entidades y a los demás interesados para que, considerando lo establecido en </w:t>
      </w:r>
      <w:r w:rsidRPr="005A084A">
        <w:rPr>
          <w:rFonts w:cs="Arial"/>
        </w:rPr>
        <w:t xml:space="preserve">el artículo 2.2.3.2.2.1.5 del Decreto 1645 de 2019 </w:t>
      </w:r>
      <w:r w:rsidRPr="005A084A">
        <w:rPr>
          <w:rFonts w:cs="Arial"/>
        </w:rPr>
        <w:lastRenderedPageBreak/>
        <w:t xml:space="preserve">contenido en el Decreto Único Reglamentario del Sector Administrativo de Minas y Energía, 1073 de 2015, </w:t>
      </w:r>
      <w:r w:rsidRPr="005A084A">
        <w:t>dentro de los quince (15) días calendario siguientes a la publicación de la presente resolución, remitan sus observaciones, reparos o sugerencias sobre las propuestas contenidas en el proyecto de resolución adjunto.</w:t>
      </w:r>
    </w:p>
    <w:p w:rsidR="00DB2F5E" w:rsidRDefault="00DB2F5E" w:rsidP="00396DFC">
      <w:pPr>
        <w:spacing w:before="0" w:after="0"/>
      </w:pPr>
      <w:r w:rsidRPr="005A084A">
        <w:t>Las observaciones y sugerencias sobre e</w:t>
      </w:r>
      <w:r w:rsidRPr="008B23E3">
        <w:t xml:space="preserve">l proyecto deberán dirigirse al director ejecutivo de la Comisión, a la dirección: calle 116 No. 7-15, interior 2 oficina 901 en Bogotá D.C. o al correo electrónico </w:t>
      </w:r>
      <w:hyperlink r:id="rId10" w:history="1">
        <w:r w:rsidRPr="00F334AA">
          <w:rPr>
            <w:rStyle w:val="Hipervnculo"/>
          </w:rPr>
          <w:t>creg@creg.gov.co</w:t>
        </w:r>
      </w:hyperlink>
      <w:r w:rsidRPr="008B23E3">
        <w:t>.</w:t>
      </w:r>
    </w:p>
    <w:p w:rsidR="00396DFC" w:rsidRPr="00823873" w:rsidRDefault="00396DFC" w:rsidP="00396DFC">
      <w:pPr>
        <w:spacing w:before="0" w:after="0"/>
      </w:pPr>
    </w:p>
    <w:p w:rsidR="00DB2F5E" w:rsidRDefault="00DB2F5E" w:rsidP="00DB2F5E">
      <w:r w:rsidRPr="008B23E3">
        <w:rPr>
          <w:b/>
        </w:rPr>
        <w:t>Artículo 3. Vigencia.</w:t>
      </w:r>
      <w:r w:rsidRPr="008B23E3">
        <w:t xml:space="preserve">  La presente resolución rige a partir de su publicación en el </w:t>
      </w:r>
      <w:r w:rsidRPr="008B23E3">
        <w:rPr>
          <w:i/>
        </w:rPr>
        <w:t>Diario Oficial</w:t>
      </w:r>
      <w:r w:rsidRPr="008B23E3">
        <w:t xml:space="preserve"> y no deroga ni modifica disposiciones vigentes por tratarse de un acto de trámite.</w:t>
      </w:r>
    </w:p>
    <w:p w:rsidR="00DB2F5E" w:rsidRPr="008B23E3" w:rsidRDefault="00DB2F5E" w:rsidP="00DB2F5E">
      <w:pPr>
        <w:spacing w:before="0"/>
      </w:pPr>
    </w:p>
    <w:bookmarkEnd w:id="1"/>
    <w:p w:rsidR="00DB2F5E" w:rsidRPr="008B23E3" w:rsidRDefault="00DB2F5E" w:rsidP="00DB2F5E">
      <w:pPr>
        <w:spacing w:before="0" w:after="0"/>
        <w:jc w:val="center"/>
        <w:rPr>
          <w:b/>
        </w:rPr>
      </w:pPr>
      <w:r w:rsidRPr="008B23E3">
        <w:rPr>
          <w:b/>
        </w:rPr>
        <w:t>PUBLÍQUESE Y CÚMPLASE</w:t>
      </w:r>
    </w:p>
    <w:p w:rsidR="00DB2F5E" w:rsidRDefault="00DB2F5E" w:rsidP="00DB2F5E">
      <w:r w:rsidRPr="008B23E3">
        <w:t>Dado en Bogotá, D. C.</w:t>
      </w:r>
    </w:p>
    <w:p w:rsidR="00DB2F5E" w:rsidRDefault="00DB2F5E" w:rsidP="00DB2F5E"/>
    <w:p w:rsidR="009B1CC5" w:rsidRDefault="009B1CC5" w:rsidP="00DB2F5E"/>
    <w:p w:rsidR="009B1CC5" w:rsidRDefault="009B1CC5" w:rsidP="00DB2F5E"/>
    <w:tbl>
      <w:tblPr>
        <w:tblW w:w="9635" w:type="dxa"/>
        <w:jc w:val="center"/>
        <w:tblCellSpacing w:w="0" w:type="dxa"/>
        <w:tblCellMar>
          <w:left w:w="0" w:type="dxa"/>
          <w:right w:w="0" w:type="dxa"/>
        </w:tblCellMar>
        <w:tblLook w:val="04A0" w:firstRow="1" w:lastRow="0" w:firstColumn="1" w:lastColumn="0" w:noHBand="0" w:noVBand="1"/>
      </w:tblPr>
      <w:tblGrid>
        <w:gridCol w:w="4963"/>
        <w:gridCol w:w="4672"/>
      </w:tblGrid>
      <w:tr w:rsidR="009B1CC5" w:rsidRPr="001F1B7A" w:rsidTr="00781994">
        <w:trPr>
          <w:trHeight w:val="279"/>
          <w:tblCellSpacing w:w="0" w:type="dxa"/>
          <w:jc w:val="center"/>
        </w:trPr>
        <w:tc>
          <w:tcPr>
            <w:tcW w:w="4963" w:type="dxa"/>
          </w:tcPr>
          <w:p w:rsidR="009B1CC5" w:rsidRPr="001F1B7A" w:rsidRDefault="009B1CC5" w:rsidP="009B1CC5">
            <w:pPr>
              <w:spacing w:before="0" w:after="0"/>
              <w:jc w:val="center"/>
              <w:rPr>
                <w:b/>
              </w:rPr>
            </w:pPr>
            <w:r w:rsidRPr="001F1B7A">
              <w:rPr>
                <w:b/>
              </w:rPr>
              <w:t>MARÍA FERNANDA SUÁREZ L</w:t>
            </w:r>
            <w:r>
              <w:rPr>
                <w:b/>
              </w:rPr>
              <w:t>ONDOÑO</w:t>
            </w:r>
          </w:p>
        </w:tc>
        <w:tc>
          <w:tcPr>
            <w:tcW w:w="4672" w:type="dxa"/>
          </w:tcPr>
          <w:p w:rsidR="009B1CC5" w:rsidRPr="001F1B7A" w:rsidRDefault="009B1CC5" w:rsidP="009B1CC5">
            <w:pPr>
              <w:spacing w:before="0" w:after="0"/>
              <w:jc w:val="center"/>
              <w:rPr>
                <w:b/>
              </w:rPr>
            </w:pPr>
            <w:r w:rsidRPr="001F1B7A">
              <w:rPr>
                <w:b/>
              </w:rPr>
              <w:t>CHRISTIAN JARAMILLO HERRERA</w:t>
            </w:r>
          </w:p>
        </w:tc>
      </w:tr>
      <w:tr w:rsidR="009B1CC5" w:rsidRPr="001F1B7A" w:rsidTr="00781994">
        <w:trPr>
          <w:trHeight w:val="279"/>
          <w:tblCellSpacing w:w="0" w:type="dxa"/>
          <w:jc w:val="center"/>
        </w:trPr>
        <w:tc>
          <w:tcPr>
            <w:tcW w:w="4963" w:type="dxa"/>
            <w:hideMark/>
          </w:tcPr>
          <w:p w:rsidR="009B1CC5" w:rsidRPr="001F1B7A" w:rsidRDefault="009B1CC5" w:rsidP="009B1CC5">
            <w:pPr>
              <w:spacing w:before="0" w:after="0"/>
              <w:jc w:val="center"/>
            </w:pPr>
            <w:r w:rsidRPr="001F1B7A">
              <w:t>Ministra de Minas y Energía</w:t>
            </w:r>
          </w:p>
        </w:tc>
        <w:tc>
          <w:tcPr>
            <w:tcW w:w="4672" w:type="dxa"/>
            <w:hideMark/>
          </w:tcPr>
          <w:p w:rsidR="009B1CC5" w:rsidRPr="001F1B7A" w:rsidRDefault="009B1CC5" w:rsidP="009B1CC5">
            <w:pPr>
              <w:spacing w:before="0" w:after="0"/>
              <w:jc w:val="center"/>
            </w:pPr>
            <w:r w:rsidRPr="001F1B7A">
              <w:t>Director Ejecutivo</w:t>
            </w:r>
          </w:p>
        </w:tc>
      </w:tr>
      <w:tr w:rsidR="009B1CC5" w:rsidRPr="001F1B7A" w:rsidTr="00781994">
        <w:trPr>
          <w:trHeight w:val="290"/>
          <w:tblCellSpacing w:w="0" w:type="dxa"/>
          <w:jc w:val="center"/>
        </w:trPr>
        <w:tc>
          <w:tcPr>
            <w:tcW w:w="4963" w:type="dxa"/>
            <w:hideMark/>
          </w:tcPr>
          <w:p w:rsidR="009B1CC5" w:rsidRPr="001F1B7A" w:rsidRDefault="009B1CC5" w:rsidP="009B1CC5">
            <w:pPr>
              <w:spacing w:before="0" w:after="0"/>
              <w:jc w:val="center"/>
            </w:pPr>
            <w:r w:rsidRPr="001F1B7A">
              <w:t>Presidente</w:t>
            </w:r>
          </w:p>
        </w:tc>
        <w:tc>
          <w:tcPr>
            <w:tcW w:w="4672" w:type="dxa"/>
          </w:tcPr>
          <w:p w:rsidR="009B1CC5" w:rsidRPr="001F1B7A" w:rsidRDefault="009B1CC5" w:rsidP="009B1CC5">
            <w:pPr>
              <w:spacing w:before="0" w:after="0"/>
              <w:jc w:val="center"/>
            </w:pPr>
          </w:p>
        </w:tc>
      </w:tr>
    </w:tbl>
    <w:p w:rsidR="00471D24" w:rsidRDefault="00471D24" w:rsidP="00DB2F5E"/>
    <w:p w:rsidR="00DB2F5E" w:rsidRDefault="00DB2F5E" w:rsidP="00DB2F5E">
      <w:pPr>
        <w:pStyle w:val="Encabezado"/>
        <w:tabs>
          <w:tab w:val="clear" w:pos="8504"/>
          <w:tab w:val="left" w:pos="0"/>
          <w:tab w:val="right" w:pos="9356"/>
        </w:tabs>
        <w:spacing w:before="600"/>
        <w:jc w:val="center"/>
        <w:rPr>
          <w:rFonts w:ascii="Bookman Old Style" w:hAnsi="Bookman Old Style"/>
          <w:bCs/>
          <w:szCs w:val="24"/>
        </w:rPr>
      </w:pPr>
    </w:p>
    <w:p w:rsidR="00DB2F5E" w:rsidRDefault="00DB2F5E" w:rsidP="00DB2F5E">
      <w:pPr>
        <w:pStyle w:val="Encabezado"/>
        <w:tabs>
          <w:tab w:val="clear" w:pos="8504"/>
          <w:tab w:val="left" w:pos="0"/>
          <w:tab w:val="right" w:pos="9356"/>
        </w:tabs>
        <w:spacing w:before="600"/>
        <w:jc w:val="center"/>
        <w:rPr>
          <w:rFonts w:ascii="Bookman Old Style" w:hAnsi="Bookman Old Style"/>
          <w:bCs/>
          <w:szCs w:val="24"/>
        </w:rPr>
      </w:pPr>
    </w:p>
    <w:p w:rsidR="00DB2F5E" w:rsidRDefault="00DB2F5E" w:rsidP="00DB2F5E">
      <w:pPr>
        <w:pStyle w:val="Encabezado"/>
        <w:tabs>
          <w:tab w:val="clear" w:pos="8504"/>
          <w:tab w:val="left" w:pos="0"/>
          <w:tab w:val="right" w:pos="9356"/>
        </w:tabs>
        <w:spacing w:before="600"/>
        <w:jc w:val="center"/>
        <w:rPr>
          <w:rFonts w:ascii="Bookman Old Style" w:hAnsi="Bookman Old Style"/>
          <w:bCs/>
          <w:szCs w:val="24"/>
        </w:rPr>
      </w:pPr>
    </w:p>
    <w:p w:rsidR="00DB2F5E" w:rsidRDefault="00DB2F5E" w:rsidP="00DB2F5E">
      <w:pPr>
        <w:pStyle w:val="Encabezado"/>
        <w:tabs>
          <w:tab w:val="clear" w:pos="8504"/>
          <w:tab w:val="left" w:pos="0"/>
          <w:tab w:val="right" w:pos="9356"/>
        </w:tabs>
        <w:spacing w:before="600"/>
        <w:jc w:val="center"/>
        <w:rPr>
          <w:rFonts w:ascii="Bookman Old Style" w:hAnsi="Bookman Old Style"/>
          <w:bCs/>
          <w:szCs w:val="24"/>
        </w:rPr>
      </w:pPr>
    </w:p>
    <w:p w:rsidR="00DB2F5E" w:rsidRDefault="00DB2F5E" w:rsidP="00DB2F5E">
      <w:pPr>
        <w:pStyle w:val="Encabezado"/>
        <w:tabs>
          <w:tab w:val="clear" w:pos="8504"/>
          <w:tab w:val="left" w:pos="0"/>
          <w:tab w:val="right" w:pos="9356"/>
        </w:tabs>
        <w:spacing w:before="600"/>
        <w:jc w:val="center"/>
        <w:rPr>
          <w:rFonts w:ascii="Bookman Old Style" w:hAnsi="Bookman Old Style"/>
          <w:bCs/>
          <w:szCs w:val="24"/>
        </w:rPr>
      </w:pPr>
    </w:p>
    <w:p w:rsidR="00DB2F5E" w:rsidRDefault="00DB2F5E" w:rsidP="00DB2F5E">
      <w:pPr>
        <w:pStyle w:val="Encabezado"/>
        <w:tabs>
          <w:tab w:val="clear" w:pos="8504"/>
          <w:tab w:val="left" w:pos="0"/>
          <w:tab w:val="right" w:pos="9356"/>
        </w:tabs>
        <w:spacing w:before="600"/>
        <w:jc w:val="center"/>
        <w:rPr>
          <w:rFonts w:ascii="Bookman Old Style" w:hAnsi="Bookman Old Style"/>
          <w:bCs/>
          <w:szCs w:val="24"/>
        </w:rPr>
      </w:pPr>
    </w:p>
    <w:p w:rsidR="00DB2F5E" w:rsidRDefault="00DB2F5E" w:rsidP="00DB2F5E">
      <w:pPr>
        <w:pStyle w:val="Encabezado"/>
        <w:tabs>
          <w:tab w:val="clear" w:pos="8504"/>
          <w:tab w:val="left" w:pos="0"/>
          <w:tab w:val="right" w:pos="9356"/>
        </w:tabs>
        <w:spacing w:before="600"/>
        <w:jc w:val="center"/>
        <w:rPr>
          <w:rFonts w:ascii="Bookman Old Style" w:hAnsi="Bookman Old Style"/>
          <w:bCs/>
          <w:szCs w:val="24"/>
        </w:rPr>
      </w:pPr>
    </w:p>
    <w:p w:rsidR="00AD4FCB" w:rsidRDefault="00AD4FCB" w:rsidP="00AD4FCB">
      <w:pPr>
        <w:spacing w:before="0" w:after="0"/>
        <w:jc w:val="center"/>
        <w:rPr>
          <w:b/>
        </w:rPr>
      </w:pPr>
    </w:p>
    <w:p w:rsidR="00211618" w:rsidRDefault="00211618" w:rsidP="00AD4FCB">
      <w:pPr>
        <w:spacing w:before="0" w:after="0"/>
        <w:jc w:val="center"/>
        <w:rPr>
          <w:b/>
        </w:rPr>
      </w:pPr>
    </w:p>
    <w:p w:rsidR="00DB2F5E" w:rsidRDefault="00332AD1" w:rsidP="00AD4FCB">
      <w:pPr>
        <w:spacing w:before="0" w:after="0"/>
        <w:jc w:val="center"/>
        <w:rPr>
          <w:b/>
        </w:rPr>
      </w:pPr>
      <w:r w:rsidRPr="00332AD1">
        <w:rPr>
          <w:b/>
        </w:rPr>
        <w:t>PROYECTO DE RESOLUCIÓN</w:t>
      </w:r>
    </w:p>
    <w:p w:rsidR="00AD4FCB" w:rsidRPr="00332AD1" w:rsidRDefault="00AD4FCB" w:rsidP="00AD4FCB">
      <w:pPr>
        <w:spacing w:before="0" w:after="0"/>
        <w:jc w:val="center"/>
        <w:rPr>
          <w:b/>
        </w:rPr>
      </w:pPr>
    </w:p>
    <w:p w:rsidR="00DB2F5E" w:rsidRDefault="00DB2F5E" w:rsidP="00AD4FCB">
      <w:pPr>
        <w:spacing w:before="0" w:after="0"/>
        <w:jc w:val="center"/>
      </w:pPr>
    </w:p>
    <w:p w:rsidR="00DB2F5E" w:rsidRPr="00BF69C9" w:rsidRDefault="00DB2F5E" w:rsidP="00AD4FCB">
      <w:pPr>
        <w:spacing w:before="0" w:after="0"/>
        <w:jc w:val="center"/>
      </w:pPr>
      <w:r w:rsidRPr="00BF69C9">
        <w:t xml:space="preserve">Por la cual se </w:t>
      </w:r>
      <w:r w:rsidRPr="001F5ECC">
        <w:t>establece el régimen transitorio especial en materia tarifaria en la región Caribe, de que trata el artículo 318 de la Ley 1955 de 2019</w:t>
      </w:r>
    </w:p>
    <w:p w:rsidR="00DB2F5E" w:rsidRPr="00BF69C9" w:rsidRDefault="00DB2F5E" w:rsidP="00DB2F5E">
      <w:pPr>
        <w:spacing w:before="360" w:after="360"/>
        <w:ind w:right="51"/>
        <w:jc w:val="center"/>
        <w:rPr>
          <w:b/>
        </w:rPr>
      </w:pPr>
      <w:r w:rsidRPr="00BF69C9">
        <w:rPr>
          <w:b/>
        </w:rPr>
        <w:t>LA COMISIÓN DE REGULACIÓN DE ENERGÍA Y GAS</w:t>
      </w:r>
    </w:p>
    <w:p w:rsidR="00DB2F5E" w:rsidRPr="00BF69C9" w:rsidRDefault="00DB2F5E" w:rsidP="00DB2F5E">
      <w:pPr>
        <w:spacing w:before="0" w:after="0"/>
        <w:jc w:val="center"/>
      </w:pPr>
      <w:r w:rsidRPr="00BF69C9">
        <w:t>En ejercicio de sus atribuciones constitucionales y legales, en especial las conferidas por las Leyes 142 y 143 de 1994, y en desarrollo de los Decretos 1524, 2253 de 1994, 2696 de 2004</w:t>
      </w:r>
      <w:r>
        <w:t>,</w:t>
      </w:r>
      <w:r w:rsidRPr="00BF69C9">
        <w:t xml:space="preserve"> 1260 de 2013</w:t>
      </w:r>
      <w:r>
        <w:t xml:space="preserve"> y 1645 de 2019</w:t>
      </w:r>
      <w:r w:rsidRPr="00BF69C9">
        <w:t>.</w:t>
      </w:r>
    </w:p>
    <w:p w:rsidR="00DB2F5E" w:rsidRPr="00BF69C9" w:rsidRDefault="00DB2F5E" w:rsidP="00DB2F5E">
      <w:pPr>
        <w:suppressAutoHyphens/>
        <w:spacing w:before="480" w:after="480"/>
        <w:jc w:val="center"/>
        <w:rPr>
          <w:b/>
        </w:rPr>
      </w:pPr>
      <w:r w:rsidRPr="00BF69C9">
        <w:rPr>
          <w:b/>
        </w:rPr>
        <w:t>CONSIDERANDO QUE:</w:t>
      </w:r>
    </w:p>
    <w:p w:rsidR="00DB2F5E" w:rsidRDefault="00DB2F5E" w:rsidP="00DB2F5E">
      <w:r>
        <w:t>En cumplimiento de las funciones asignadas por las leyes 142 y 143 de 1994 y atendiendo los principios y criterios tarifarios allí definidos, expidió</w:t>
      </w:r>
      <w:r w:rsidRPr="00BF69C9">
        <w:t xml:space="preserve"> la Resolución CREG 015 de 2018, publicada en el </w:t>
      </w:r>
      <w:r w:rsidRPr="00BF69C9">
        <w:rPr>
          <w:i/>
        </w:rPr>
        <w:t>Diario Oficial</w:t>
      </w:r>
      <w:r w:rsidRPr="00BF69C9">
        <w:t xml:space="preserve"> del 3 de febrero de 2018, </w:t>
      </w:r>
      <w:r>
        <w:t xml:space="preserve">mediante la cual se estableció </w:t>
      </w:r>
      <w:r w:rsidRPr="00BF69C9">
        <w:t>la metodología para la remuneración de la actividad de distribución de energía eléctrica en el Sistema Interconectado Nacional</w:t>
      </w:r>
      <w:r>
        <w:t>, SIN, la cual fue aclarada y modificada por las resoluciones CREG 085 de 2018 y 036 de 2019.</w:t>
      </w:r>
    </w:p>
    <w:p w:rsidR="00DB2F5E" w:rsidRDefault="00DB2F5E" w:rsidP="00DB2F5E">
      <w:pPr>
        <w:rPr>
          <w:spacing w:val="-3"/>
        </w:rPr>
      </w:pPr>
      <w:r>
        <w:rPr>
          <w:spacing w:val="-3"/>
        </w:rPr>
        <w:t>El Plan Nacional de Desarrollo, Ley 1955 de 2019, en su artículo 318 autorizó al Gobierno Nacional para que estableciera un régimen transitorio especial en materia tarifaria para las actividades de distribución y comercialización de energía eléctrica en el mercado que actualmente atiende la Electrificadora del Caribe S.A. E.S.P.</w:t>
      </w:r>
    </w:p>
    <w:p w:rsidR="00DB2F5E" w:rsidRDefault="00DB2F5E" w:rsidP="00DB2F5E">
      <w:pPr>
        <w:rPr>
          <w:spacing w:val="-3"/>
        </w:rPr>
      </w:pPr>
      <w:r>
        <w:rPr>
          <w:spacing w:val="-3"/>
        </w:rPr>
        <w:t xml:space="preserve">Mediante Decreto 1645 de 2019, expedido por el Gobierno Nacional, se reglamentó el mencionado artículo 318 de la Ley 1955 de 2019 y se delegó en la Comisión de Regulación de Energía y Gas la función de establecer el régimen </w:t>
      </w:r>
      <w:r w:rsidRPr="0089391F">
        <w:rPr>
          <w:spacing w:val="-3"/>
        </w:rPr>
        <w:t>transitorio especial en materia tarifaria para asegurar la sostenibilidad de la prestación eficiente del servicio público domiciliario de energía eléctrica en la región Caribe, de que trata el artículo 318 de la Ley 1955 de 2019</w:t>
      </w:r>
      <w:r>
        <w:rPr>
          <w:spacing w:val="-3"/>
        </w:rPr>
        <w:t xml:space="preserve">, conforme a los </w:t>
      </w:r>
      <w:r w:rsidRPr="0089391F">
        <w:rPr>
          <w:spacing w:val="-3"/>
        </w:rPr>
        <w:t xml:space="preserve">lineamientos </w:t>
      </w:r>
      <w:r>
        <w:rPr>
          <w:spacing w:val="-3"/>
        </w:rPr>
        <w:t xml:space="preserve">allí </w:t>
      </w:r>
      <w:r w:rsidRPr="0089391F">
        <w:rPr>
          <w:spacing w:val="-3"/>
        </w:rPr>
        <w:t>dispuestos</w:t>
      </w:r>
      <w:r>
        <w:rPr>
          <w:spacing w:val="-3"/>
        </w:rPr>
        <w:t>.</w:t>
      </w:r>
    </w:p>
    <w:p w:rsidR="00DB2F5E" w:rsidRDefault="00DB2F5E" w:rsidP="00DB2F5E">
      <w:pPr>
        <w:rPr>
          <w:spacing w:val="-3"/>
        </w:rPr>
      </w:pPr>
      <w:r>
        <w:rPr>
          <w:spacing w:val="-3"/>
        </w:rPr>
        <w:t>En el mismo decreto se estableció un procedimiento especial para la adopción del régimen transitorio especial, estableciendo términos de consulta y expedición de la resolución definitiva.</w:t>
      </w:r>
    </w:p>
    <w:p w:rsidR="00DB2F5E" w:rsidRDefault="00DB2F5E" w:rsidP="00DB2F5E">
      <w:pPr>
        <w:rPr>
          <w:spacing w:val="-3"/>
        </w:rPr>
      </w:pPr>
      <w:r>
        <w:rPr>
          <w:spacing w:val="-3"/>
        </w:rPr>
        <w:t>Que la Resolución CREG 080 de 2019 establece reglas generales de comportamiento de mercado para los agentes que desarrollen las actividades de servicios públicos domiciliarios de energía eléctrica y gas combustible.</w:t>
      </w:r>
    </w:p>
    <w:p w:rsidR="00DB2F5E" w:rsidRDefault="00DB2F5E" w:rsidP="00332AD1">
      <w:pPr>
        <w:spacing w:before="0" w:after="0"/>
        <w:rPr>
          <w:spacing w:val="-3"/>
        </w:rPr>
      </w:pPr>
      <w:r w:rsidRPr="00BF69C9">
        <w:rPr>
          <w:spacing w:val="-3"/>
        </w:rPr>
        <w:t xml:space="preserve">Con base en lo anterior, la Comisión de Regulación de Energía y Gas, en su sesión </w:t>
      </w:r>
      <w:r>
        <w:rPr>
          <w:spacing w:val="-3"/>
        </w:rPr>
        <w:t>943 del 12</w:t>
      </w:r>
      <w:r w:rsidRPr="00BF69C9">
        <w:rPr>
          <w:spacing w:val="-3"/>
        </w:rPr>
        <w:t xml:space="preserve"> de </w:t>
      </w:r>
      <w:r>
        <w:rPr>
          <w:spacing w:val="-3"/>
        </w:rPr>
        <w:t xml:space="preserve">septiembre </w:t>
      </w:r>
      <w:r w:rsidRPr="00BF69C9">
        <w:rPr>
          <w:spacing w:val="-3"/>
        </w:rPr>
        <w:t xml:space="preserve">de 2019, acordó expedir esta resolución. </w:t>
      </w:r>
    </w:p>
    <w:p w:rsidR="00621564" w:rsidRDefault="00621564" w:rsidP="00DB2F5E">
      <w:pPr>
        <w:spacing w:before="0" w:after="0"/>
        <w:ind w:right="51"/>
        <w:jc w:val="center"/>
        <w:rPr>
          <w:b/>
        </w:rPr>
      </w:pPr>
    </w:p>
    <w:p w:rsidR="00DB2F5E" w:rsidRDefault="00DB2F5E" w:rsidP="00DB2F5E">
      <w:pPr>
        <w:spacing w:before="0" w:after="0"/>
        <w:ind w:right="51"/>
        <w:jc w:val="center"/>
        <w:rPr>
          <w:b/>
        </w:rPr>
      </w:pPr>
      <w:r w:rsidRPr="00BF69C9">
        <w:rPr>
          <w:b/>
        </w:rPr>
        <w:t>RESUELVE:</w:t>
      </w:r>
    </w:p>
    <w:p w:rsidR="00DB2F5E" w:rsidRPr="00983FB3" w:rsidRDefault="00DB2F5E" w:rsidP="00DB2F5E">
      <w:pPr>
        <w:spacing w:before="0" w:after="0"/>
        <w:ind w:right="51"/>
        <w:jc w:val="center"/>
        <w:rPr>
          <w:b/>
        </w:rPr>
      </w:pPr>
    </w:p>
    <w:p w:rsidR="00DB2F5E" w:rsidRPr="000A2FBC" w:rsidRDefault="00DB2F5E" w:rsidP="00332AD1">
      <w:pPr>
        <w:pStyle w:val="Artculo"/>
        <w:spacing w:before="0" w:after="200"/>
        <w:ind w:left="0"/>
        <w:outlineLvl w:val="2"/>
        <w:rPr>
          <w:b w:val="0"/>
        </w:rPr>
      </w:pPr>
      <w:r w:rsidRPr="000A2FBC">
        <w:t>Objeto.</w:t>
      </w:r>
      <w:r>
        <w:rPr>
          <w:b w:val="0"/>
        </w:rPr>
        <w:t xml:space="preserve"> La presente resolución tiene como fin dar cumplimiento a los artículos 2.2.3.2.2.1.2 y 2.2.3.2.2.1.3 del Decreto 1645 de 2019 expedido por </w:t>
      </w:r>
      <w:r>
        <w:rPr>
          <w:b w:val="0"/>
        </w:rPr>
        <w:lastRenderedPageBreak/>
        <w:t xml:space="preserve">el Gobierno Nacional con el fin de </w:t>
      </w:r>
      <w:r w:rsidRPr="000A2FBC">
        <w:rPr>
          <w:b w:val="0"/>
        </w:rPr>
        <w:t>establecer el régimen transitorio especial en materia tarifaria para asegurar la sostenibilidad de la prestación eficiente del servicio público domiciliario de energía eléctrica en la región Caribe, de que trata el artículo 318 de la Ley 1955 de 2019.</w:t>
      </w:r>
    </w:p>
    <w:p w:rsidR="00DB2F5E" w:rsidRDefault="00DB2F5E" w:rsidP="00DB2F5E">
      <w:pPr>
        <w:pStyle w:val="Artculo"/>
        <w:spacing w:before="200" w:after="200"/>
        <w:ind w:left="0"/>
        <w:outlineLvl w:val="2"/>
      </w:pPr>
      <w:r w:rsidRPr="007E14BE">
        <w:t>Definiciones</w:t>
      </w:r>
      <w:r>
        <w:t xml:space="preserve">. </w:t>
      </w:r>
      <w:r w:rsidRPr="00960EE4">
        <w:rPr>
          <w:b w:val="0"/>
        </w:rPr>
        <w:t>Para efectos de la aplicación de las disposiciones contenidas en esta resolución, se utilizarán las siguientes definiciones:</w:t>
      </w:r>
    </w:p>
    <w:p w:rsidR="00DB2F5E" w:rsidRPr="004E6CFC" w:rsidRDefault="00DB2F5E" w:rsidP="00DB2F5E">
      <w:r>
        <w:rPr>
          <w:b/>
        </w:rPr>
        <w:t xml:space="preserve">Mercado caribe: </w:t>
      </w:r>
      <w:r w:rsidRPr="004E6CFC">
        <w:t>conjunto de usuarios regulados y no regulados conectados a</w:t>
      </w:r>
      <w:r>
        <w:t xml:space="preserve">l </w:t>
      </w:r>
      <w:r w:rsidRPr="004E6CFC">
        <w:t xml:space="preserve">STR y SDL servido por </w:t>
      </w:r>
      <w:r>
        <w:t xml:space="preserve">la Electrificadora del Caribe S.A. E.S.P. a la fecha de expedición de la Ley 1955 de 2019. </w:t>
      </w:r>
      <w:r w:rsidRPr="004E6CFC">
        <w:t>También hacen parte de</w:t>
      </w:r>
      <w:r>
        <w:t xml:space="preserve"> este</w:t>
      </w:r>
      <w:r w:rsidRPr="004E6CFC">
        <w:t xml:space="preserve"> mercado de comercialización los usuarios conectados directamente al STN del área de influencia de</w:t>
      </w:r>
      <w:r>
        <w:t xml:space="preserve"> este</w:t>
      </w:r>
      <w:r w:rsidRPr="004E6CFC">
        <w:t xml:space="preserve"> OR, así como los usuarios conectados a activos de un TR dentro de esta misma área.</w:t>
      </w:r>
    </w:p>
    <w:p w:rsidR="00DB2F5E" w:rsidRDefault="00DB2F5E" w:rsidP="00DB2F5E">
      <w:pPr>
        <w:pStyle w:val="Artculo"/>
        <w:numPr>
          <w:ilvl w:val="0"/>
          <w:numId w:val="0"/>
        </w:numPr>
        <w:spacing w:before="200" w:after="200"/>
        <w:outlineLvl w:val="2"/>
        <w:rPr>
          <w:b w:val="0"/>
        </w:rPr>
      </w:pPr>
      <w:r w:rsidRPr="00FA4FEE">
        <w:t xml:space="preserve">Mercados </w:t>
      </w:r>
      <w:r>
        <w:t>r</w:t>
      </w:r>
      <w:r w:rsidRPr="00FA4FEE">
        <w:t>esultantes:</w:t>
      </w:r>
      <w:r>
        <w:rPr>
          <w:b w:val="0"/>
        </w:rPr>
        <w:t xml:space="preserve"> es el mercado caribe o el mercado o los mercados derivados de este,</w:t>
      </w:r>
      <w:r w:rsidRPr="00E5349B">
        <w:rPr>
          <w:b w:val="0"/>
        </w:rPr>
        <w:t xml:space="preserve"> </w:t>
      </w:r>
      <w:r>
        <w:rPr>
          <w:b w:val="0"/>
        </w:rPr>
        <w:t xml:space="preserve">resultantes </w:t>
      </w:r>
      <w:r w:rsidRPr="00E5349B">
        <w:rPr>
          <w:b w:val="0"/>
        </w:rPr>
        <w:t>del proceso</w:t>
      </w:r>
      <w:r>
        <w:rPr>
          <w:b w:val="0"/>
        </w:rPr>
        <w:t xml:space="preserve"> de búsqueda de una solución empresarial que se adopte para garantizar la prestación del servicio público domiciliario de energía eléctrica en la región Caribe.</w:t>
      </w:r>
      <w:r w:rsidRPr="00E5349B">
        <w:rPr>
          <w:b w:val="0"/>
        </w:rPr>
        <w:t xml:space="preserve"> </w:t>
      </w:r>
    </w:p>
    <w:p w:rsidR="00DB2F5E" w:rsidRDefault="00DB2F5E" w:rsidP="00DB2F5E">
      <w:pPr>
        <w:pStyle w:val="Artculo"/>
        <w:numPr>
          <w:ilvl w:val="0"/>
          <w:numId w:val="0"/>
        </w:numPr>
        <w:spacing w:before="200" w:after="200"/>
        <w:outlineLvl w:val="2"/>
        <w:rPr>
          <w:b w:val="0"/>
        </w:rPr>
      </w:pPr>
      <w:r w:rsidRPr="00B27142">
        <w:t>AOM total reconocido:</w:t>
      </w:r>
      <w:r>
        <w:rPr>
          <w:b w:val="0"/>
        </w:rPr>
        <w:t xml:space="preserve"> es el valor del </w:t>
      </w:r>
      <w:r w:rsidRPr="00045CD7">
        <w:rPr>
          <w:b w:val="0"/>
        </w:rPr>
        <w:t>AOM</w:t>
      </w:r>
      <w:r>
        <w:rPr>
          <w:b w:val="0"/>
        </w:rPr>
        <w:t xml:space="preserve"> base más el</w:t>
      </w:r>
      <w:r w:rsidRPr="00045CD7">
        <w:rPr>
          <w:b w:val="0"/>
        </w:rPr>
        <w:t xml:space="preserve"> </w:t>
      </w:r>
      <w:r>
        <w:rPr>
          <w:b w:val="0"/>
        </w:rPr>
        <w:t xml:space="preserve">valor </w:t>
      </w:r>
      <w:r w:rsidRPr="00045CD7">
        <w:rPr>
          <w:b w:val="0"/>
        </w:rPr>
        <w:t>del AOM destinado a los programas de reducción o mantenimiento de pérdidas</w:t>
      </w:r>
      <w:r>
        <w:rPr>
          <w:b w:val="0"/>
        </w:rPr>
        <w:t>.</w:t>
      </w:r>
    </w:p>
    <w:p w:rsidR="00DB2F5E" w:rsidRDefault="00DB2F5E" w:rsidP="00DB2F5E">
      <w:pPr>
        <w:pStyle w:val="Artculo"/>
        <w:spacing w:before="200" w:after="200"/>
        <w:ind w:left="0"/>
        <w:outlineLvl w:val="2"/>
        <w:rPr>
          <w:b w:val="0"/>
        </w:rPr>
      </w:pPr>
      <w:r w:rsidRPr="00983FB3">
        <w:t xml:space="preserve">Ámbito de aplicación. </w:t>
      </w:r>
      <w:r>
        <w:rPr>
          <w:b w:val="0"/>
        </w:rPr>
        <w:t>La presente Resolución aplica únicamente para los mercados resultantes.</w:t>
      </w:r>
    </w:p>
    <w:p w:rsidR="00DB2F5E" w:rsidRDefault="00DB2F5E" w:rsidP="00DB2F5E">
      <w:pPr>
        <w:pStyle w:val="Artculo"/>
        <w:spacing w:before="200" w:after="200"/>
        <w:ind w:left="0"/>
        <w:outlineLvl w:val="2"/>
        <w:rPr>
          <w:b w:val="0"/>
        </w:rPr>
      </w:pPr>
      <w:r>
        <w:t>F</w:t>
      </w:r>
      <w:r w:rsidRPr="001C6A2D">
        <w:t xml:space="preserve">echa de </w:t>
      </w:r>
      <w:r>
        <w:t>c</w:t>
      </w:r>
      <w:r w:rsidRPr="001C6A2D">
        <w:t>orte.</w:t>
      </w:r>
      <w:r>
        <w:rPr>
          <w:b w:val="0"/>
        </w:rPr>
        <w:t xml:space="preserve"> Para la aplicación de la metodología establecida en la Resolución CREG 015 de 2018 en los mercados resultantes, la fecha de corte definida en el Artículo 3 de la citada resolución es el 31 de diciembre del año inmedia</w:t>
      </w:r>
      <w:r w:rsidRPr="005E30A8">
        <w:rPr>
          <w:b w:val="0"/>
        </w:rPr>
        <w:t>ta</w:t>
      </w:r>
      <w:r w:rsidRPr="0008424A">
        <w:rPr>
          <w:b w:val="0"/>
        </w:rPr>
        <w:t>mente anterior al de presentación de la solicitud de aprobación de ingreso</w:t>
      </w:r>
      <w:r>
        <w:rPr>
          <w:b w:val="0"/>
        </w:rPr>
        <w:t>s</w:t>
      </w:r>
      <w:r w:rsidRPr="0008424A">
        <w:rPr>
          <w:b w:val="0"/>
        </w:rPr>
        <w:t xml:space="preserve"> por parte de cada uno de los OR que atiendan los mercados resultantes.</w:t>
      </w:r>
    </w:p>
    <w:p w:rsidR="00DB2F5E" w:rsidRDefault="00DB2F5E" w:rsidP="00DB2F5E">
      <w:pPr>
        <w:pStyle w:val="Artculo"/>
        <w:spacing w:before="200" w:after="200"/>
        <w:ind w:left="0"/>
        <w:outlineLvl w:val="2"/>
        <w:rPr>
          <w:b w:val="0"/>
        </w:rPr>
      </w:pPr>
      <w:bookmarkStart w:id="2" w:name="_Ref209833384"/>
      <w:bookmarkStart w:id="3" w:name="_Ref476757639"/>
      <w:r w:rsidRPr="0008424A">
        <w:t>Fecha de solicitud de aprobación de ingresos.</w:t>
      </w:r>
      <w:bookmarkEnd w:id="2"/>
      <w:r w:rsidRPr="0008424A">
        <w:t xml:space="preserve"> </w:t>
      </w:r>
      <w:r w:rsidRPr="0008424A">
        <w:rPr>
          <w:b w:val="0"/>
        </w:rPr>
        <w:t xml:space="preserve">Para la aplicación de la metodología establecida en la Resolución CREG 015 de 2018 en los mercados resultantes, la solicitud de aprobación de ingresos definida en el Artículo 5 de la citada resolución, deberá efectuarse </w:t>
      </w:r>
      <w:proofErr w:type="gramStart"/>
      <w:r w:rsidRPr="0008424A">
        <w:rPr>
          <w:b w:val="0"/>
        </w:rPr>
        <w:t>dentro de los ciento</w:t>
      </w:r>
      <w:proofErr w:type="gramEnd"/>
      <w:r w:rsidRPr="0008424A">
        <w:rPr>
          <w:b w:val="0"/>
        </w:rPr>
        <w:t xml:space="preserve"> veinte (120) días calendario siguientes a la fecha de </w:t>
      </w:r>
      <w:r>
        <w:rPr>
          <w:b w:val="0"/>
        </w:rPr>
        <w:t>cierre</w:t>
      </w:r>
      <w:r w:rsidRPr="0008424A">
        <w:rPr>
          <w:b w:val="0"/>
        </w:rPr>
        <w:t xml:space="preserve"> del proceso para asegurar la prestación del servicio de energía eléctrica en el mercado caribe.</w:t>
      </w:r>
      <w:bookmarkEnd w:id="3"/>
    </w:p>
    <w:p w:rsidR="00DB2F5E" w:rsidRPr="00B61C48" w:rsidRDefault="00DB2F5E" w:rsidP="00DB2F5E">
      <w:pPr>
        <w:pStyle w:val="Artculo"/>
        <w:spacing w:before="200" w:after="200"/>
        <w:ind w:left="0"/>
        <w:outlineLvl w:val="2"/>
        <w:rPr>
          <w:b w:val="0"/>
        </w:rPr>
      </w:pPr>
      <w:r>
        <w:t xml:space="preserve">Información de los mercados resultantes. </w:t>
      </w:r>
      <w:r w:rsidRPr="0008424A">
        <w:rPr>
          <w:b w:val="0"/>
        </w:rPr>
        <w:t>Para la aplicación de la metodología establecida en la Resolución CREG 015 de 2018 en los mercados resultantes,</w:t>
      </w:r>
      <w:r>
        <w:rPr>
          <w:b w:val="0"/>
        </w:rPr>
        <w:t xml:space="preserve"> l</w:t>
      </w:r>
      <w:r w:rsidRPr="00DA1EC7">
        <w:rPr>
          <w:b w:val="0"/>
        </w:rPr>
        <w:t xml:space="preserve">a información de energía, municipios atendidos, </w:t>
      </w:r>
      <w:r>
        <w:rPr>
          <w:b w:val="0"/>
        </w:rPr>
        <w:t>inventario de activos, gastos de AOM, transformadores de distribución y la demás requerida para la aplicación de dicha resolución deberá ser entregada a la CREG con la solicitud de aprobación de ingresos, empleando los formatos definidos en la Circular CREG 029 de 2018.</w:t>
      </w:r>
      <w:r w:rsidRPr="00DA1EC7">
        <w:rPr>
          <w:b w:val="0"/>
        </w:rPr>
        <w:t xml:space="preserve"> </w:t>
      </w:r>
    </w:p>
    <w:p w:rsidR="00DB2F5E" w:rsidRDefault="00DB2F5E" w:rsidP="00DB2F5E">
      <w:pPr>
        <w:pStyle w:val="Artculo"/>
        <w:numPr>
          <w:ilvl w:val="0"/>
          <w:numId w:val="0"/>
        </w:numPr>
        <w:spacing w:before="200" w:after="200"/>
        <w:outlineLvl w:val="2"/>
        <w:rPr>
          <w:b w:val="0"/>
        </w:rPr>
      </w:pPr>
      <w:r w:rsidRPr="00D978F3">
        <w:t>Parágrafo</w:t>
      </w:r>
      <w:r>
        <w:t xml:space="preserve"> 1</w:t>
      </w:r>
      <w:r w:rsidRPr="00D978F3">
        <w:t>.</w:t>
      </w:r>
      <w:r>
        <w:rPr>
          <w:b w:val="0"/>
        </w:rPr>
        <w:t xml:space="preserve"> En caso de que un OR de los mercados resultantes no entregue alguno de los datos solicitados la CREG podrá utilizar la mejor información disponible.</w:t>
      </w:r>
    </w:p>
    <w:p w:rsidR="00DB2F5E" w:rsidRDefault="00DB2F5E" w:rsidP="00DB2F5E">
      <w:pPr>
        <w:pStyle w:val="Artculo"/>
        <w:numPr>
          <w:ilvl w:val="0"/>
          <w:numId w:val="0"/>
        </w:numPr>
        <w:spacing w:before="200" w:after="200"/>
        <w:outlineLvl w:val="2"/>
      </w:pPr>
      <w:r w:rsidRPr="00D978F3">
        <w:t>Parágrafo</w:t>
      </w:r>
      <w:r>
        <w:t xml:space="preserve"> 2</w:t>
      </w:r>
      <w:r w:rsidRPr="00D978F3">
        <w:t>.</w:t>
      </w:r>
      <w:r w:rsidRPr="000A227C">
        <w:rPr>
          <w:b w:val="0"/>
        </w:rPr>
        <w:t xml:space="preserve"> Para efectos de lo dispuesto en el parágrafo 2 del artículo 5 de la Resolución CREG 015 de 2018, d</w:t>
      </w:r>
      <w:r>
        <w:rPr>
          <w:b w:val="0"/>
        </w:rPr>
        <w:t xml:space="preserve">urante los primeros treinta (30) días calendario </w:t>
      </w:r>
      <w:r>
        <w:rPr>
          <w:b w:val="0"/>
        </w:rPr>
        <w:lastRenderedPageBreak/>
        <w:t>posteriores a la expedición de esta resolución, la Electrificadora del Caribe S.A. E.S.P. deberá enviar a la CREG la información de la Circular CREG 029 de 2018 actualizada al 31 de diciembre de 2018.</w:t>
      </w:r>
    </w:p>
    <w:p w:rsidR="00DB2F5E" w:rsidRPr="007649CF" w:rsidRDefault="00DB2F5E" w:rsidP="00DB2F5E">
      <w:pPr>
        <w:pStyle w:val="Artculo"/>
        <w:spacing w:before="200" w:after="200"/>
        <w:ind w:left="0"/>
        <w:outlineLvl w:val="2"/>
        <w:rPr>
          <w:rFonts w:eastAsia="Arial"/>
          <w:b w:val="0"/>
        </w:rPr>
      </w:pPr>
      <w:r>
        <w:t xml:space="preserve">Cálculo </w:t>
      </w:r>
      <w:r w:rsidRPr="00F533BE">
        <w:t>de AOM</w:t>
      </w:r>
      <w:r>
        <w:t xml:space="preserve"> base</w:t>
      </w:r>
      <w:r w:rsidRPr="00F533BE">
        <w:t>.</w:t>
      </w:r>
      <w:r>
        <w:t xml:space="preserve"> </w:t>
      </w:r>
      <w:r>
        <w:rPr>
          <w:b w:val="0"/>
        </w:rPr>
        <w:t>Para la aplicación de la metodología establecida en la Resolución CREG 015 de 2018 en los mercados resultantes,</w:t>
      </w:r>
      <w:r w:rsidRPr="00F533BE">
        <w:rPr>
          <w:b w:val="0"/>
        </w:rPr>
        <w:t xml:space="preserve"> </w:t>
      </w:r>
      <w:r>
        <w:rPr>
          <w:b w:val="0"/>
        </w:rPr>
        <w:t xml:space="preserve">para </w:t>
      </w:r>
      <w:r w:rsidRPr="00F533BE">
        <w:rPr>
          <w:b w:val="0"/>
        </w:rPr>
        <w:t>el cálculo de la variable AOM</w:t>
      </w:r>
      <w:r>
        <w:rPr>
          <w:b w:val="0"/>
        </w:rPr>
        <w:t xml:space="preserve"> base</w:t>
      </w:r>
      <w:r w:rsidRPr="00F533BE">
        <w:rPr>
          <w:b w:val="0"/>
        </w:rPr>
        <w:t xml:space="preserve"> establecida en el capítulo 4 de la </w:t>
      </w:r>
      <w:r>
        <w:rPr>
          <w:b w:val="0"/>
        </w:rPr>
        <w:t>citada r</w:t>
      </w:r>
      <w:r w:rsidRPr="00F533BE">
        <w:rPr>
          <w:b w:val="0"/>
        </w:rPr>
        <w:t>esolución</w:t>
      </w:r>
      <w:r>
        <w:rPr>
          <w:b w:val="0"/>
        </w:rPr>
        <w:t>,</w:t>
      </w:r>
      <w:r w:rsidRPr="00F533BE">
        <w:rPr>
          <w:b w:val="0"/>
        </w:rPr>
        <w:t xml:space="preserve"> </w:t>
      </w:r>
      <w:r w:rsidRPr="00F533BE">
        <w:rPr>
          <w:rFonts w:eastAsia="Arial"/>
          <w:b w:val="0"/>
        </w:rPr>
        <w:t xml:space="preserve">se utilizará la información </w:t>
      </w:r>
      <w:r>
        <w:rPr>
          <w:rFonts w:eastAsia="Arial"/>
          <w:b w:val="0"/>
        </w:rPr>
        <w:t>del mercado caribe</w:t>
      </w:r>
      <w:r w:rsidRPr="00F533BE">
        <w:rPr>
          <w:rFonts w:eastAsia="Arial"/>
          <w:b w:val="0"/>
        </w:rPr>
        <w:t xml:space="preserve"> de los </w:t>
      </w:r>
      <w:r>
        <w:rPr>
          <w:rFonts w:eastAsia="Arial"/>
          <w:b w:val="0"/>
        </w:rPr>
        <w:t xml:space="preserve">últimos </w:t>
      </w:r>
      <w:r w:rsidRPr="00F533BE">
        <w:rPr>
          <w:rFonts w:eastAsia="Arial"/>
          <w:b w:val="0"/>
        </w:rPr>
        <w:t xml:space="preserve">cinco </w:t>
      </w:r>
      <w:r w:rsidRPr="001B1607">
        <w:rPr>
          <w:rFonts w:eastAsia="Arial"/>
          <w:b w:val="0"/>
        </w:rPr>
        <w:t>(5) años consecutivos disponibles</w:t>
      </w:r>
      <w:r>
        <w:rPr>
          <w:rFonts w:eastAsia="Arial"/>
          <w:b w:val="0"/>
        </w:rPr>
        <w:t xml:space="preserve"> a la fecha de solicitud de ingresos</w:t>
      </w:r>
      <w:r w:rsidRPr="001B1607">
        <w:rPr>
          <w:rFonts w:eastAsia="Arial"/>
          <w:b w:val="0"/>
        </w:rPr>
        <w:t xml:space="preserve">. El AOM </w:t>
      </w:r>
      <w:r>
        <w:rPr>
          <w:rFonts w:eastAsia="Arial"/>
          <w:b w:val="0"/>
        </w:rPr>
        <w:t>obtenido</w:t>
      </w:r>
      <w:r w:rsidRPr="001B1607">
        <w:rPr>
          <w:rFonts w:eastAsia="Arial"/>
          <w:b w:val="0"/>
        </w:rPr>
        <w:t xml:space="preserve"> se repartirá en forma proporcional a la base regulatoria de activos eléctricos </w:t>
      </w:r>
      <w:r>
        <w:rPr>
          <w:rFonts w:eastAsia="Arial"/>
          <w:b w:val="0"/>
        </w:rPr>
        <w:t xml:space="preserve">de los mercados resultantes </w:t>
      </w:r>
      <w:r w:rsidRPr="001B1607">
        <w:rPr>
          <w:rFonts w:eastAsia="Arial"/>
          <w:b w:val="0"/>
        </w:rPr>
        <w:t>a</w:t>
      </w:r>
      <w:r>
        <w:rPr>
          <w:rFonts w:eastAsia="Arial"/>
          <w:b w:val="0"/>
        </w:rPr>
        <w:t xml:space="preserve"> </w:t>
      </w:r>
      <w:r w:rsidRPr="001B1607">
        <w:rPr>
          <w:rFonts w:eastAsia="Arial"/>
          <w:b w:val="0"/>
        </w:rPr>
        <w:t>l</w:t>
      </w:r>
      <w:r>
        <w:rPr>
          <w:rFonts w:eastAsia="Arial"/>
          <w:b w:val="0"/>
        </w:rPr>
        <w:t>a</w:t>
      </w:r>
      <w:r w:rsidRPr="001B1607">
        <w:rPr>
          <w:rFonts w:eastAsia="Arial"/>
          <w:b w:val="0"/>
        </w:rPr>
        <w:t xml:space="preserve"> </w:t>
      </w:r>
      <w:r>
        <w:rPr>
          <w:rFonts w:eastAsia="Arial"/>
          <w:b w:val="0"/>
        </w:rPr>
        <w:t>fecha de solicitud de ingresos</w:t>
      </w:r>
      <w:r w:rsidRPr="001B1607">
        <w:rPr>
          <w:rFonts w:eastAsia="Arial"/>
          <w:b w:val="0"/>
        </w:rPr>
        <w:t>.</w:t>
      </w:r>
      <w:r w:rsidRPr="007649CF">
        <w:rPr>
          <w:rFonts w:eastAsia="Arial"/>
          <w:b w:val="0"/>
        </w:rPr>
        <w:t xml:space="preserve"> </w:t>
      </w:r>
    </w:p>
    <w:p w:rsidR="00DB2F5E" w:rsidRPr="00DC1601" w:rsidRDefault="00DB2F5E" w:rsidP="00DB2F5E">
      <w:pPr>
        <w:pStyle w:val="Artculo"/>
        <w:spacing w:before="200" w:after="200"/>
        <w:ind w:left="0"/>
        <w:outlineLvl w:val="2"/>
        <w:rPr>
          <w:rFonts w:eastAsia="Arial"/>
          <w:b w:val="0"/>
        </w:rPr>
      </w:pPr>
      <w:r>
        <w:t xml:space="preserve">Cálculo </w:t>
      </w:r>
      <w:r w:rsidRPr="00F533BE">
        <w:t>de</w:t>
      </w:r>
      <w:r>
        <w:t xml:space="preserve">l </w:t>
      </w:r>
      <w:r w:rsidRPr="00174CA4">
        <w:t xml:space="preserve">AOM </w:t>
      </w:r>
      <w:r w:rsidRPr="00B3389E">
        <w:t>de pérdidas</w:t>
      </w:r>
      <w:r w:rsidRPr="00F533BE">
        <w:t>.</w:t>
      </w:r>
      <w:r>
        <w:t xml:space="preserve"> </w:t>
      </w:r>
      <w:r>
        <w:rPr>
          <w:b w:val="0"/>
        </w:rPr>
        <w:t>Para la aplicación de la metodología establecida en la Resolución CREG 015 de 2018 en los mercados resultantes,</w:t>
      </w:r>
      <w:r w:rsidRPr="001F69A7">
        <w:rPr>
          <w:b w:val="0"/>
        </w:rPr>
        <w:t xml:space="preserve"> </w:t>
      </w:r>
      <w:r>
        <w:rPr>
          <w:b w:val="0"/>
        </w:rPr>
        <w:t xml:space="preserve">para </w:t>
      </w:r>
      <w:r w:rsidRPr="001F69A7">
        <w:rPr>
          <w:b w:val="0"/>
        </w:rPr>
        <w:t xml:space="preserve">el cálculo de la variable </w:t>
      </w:r>
      <w:proofErr w:type="spellStart"/>
      <w:proofErr w:type="gramStart"/>
      <w:r w:rsidRPr="00D069B4">
        <w:rPr>
          <w:b w:val="0"/>
          <w:i/>
        </w:rPr>
        <w:t>AOMP</w:t>
      </w:r>
      <w:r w:rsidRPr="00D069B4">
        <w:rPr>
          <w:b w:val="0"/>
          <w:i/>
          <w:vertAlign w:val="subscript"/>
        </w:rPr>
        <w:t>j,k</w:t>
      </w:r>
      <w:proofErr w:type="spellEnd"/>
      <w:proofErr w:type="gramEnd"/>
      <w:r>
        <w:rPr>
          <w:b w:val="0"/>
        </w:rPr>
        <w:t xml:space="preserve"> </w:t>
      </w:r>
      <w:r w:rsidRPr="001F69A7">
        <w:rPr>
          <w:b w:val="0"/>
        </w:rPr>
        <w:t xml:space="preserve">del numeral 7.3.2.3 </w:t>
      </w:r>
      <w:r>
        <w:rPr>
          <w:b w:val="0"/>
        </w:rPr>
        <w:t xml:space="preserve">de dicha resolución, </w:t>
      </w:r>
      <w:r w:rsidRPr="001F69A7">
        <w:rPr>
          <w:b w:val="0"/>
        </w:rPr>
        <w:t xml:space="preserve">se utilizará la información </w:t>
      </w:r>
      <w:r>
        <w:rPr>
          <w:b w:val="0"/>
        </w:rPr>
        <w:t>del mercado caribe</w:t>
      </w:r>
      <w:r w:rsidRPr="001F69A7">
        <w:rPr>
          <w:b w:val="0"/>
        </w:rPr>
        <w:t xml:space="preserve"> y se repartirá </w:t>
      </w:r>
      <w:r>
        <w:rPr>
          <w:b w:val="0"/>
        </w:rPr>
        <w:t xml:space="preserve">en forma proporcional a la longitud de las </w:t>
      </w:r>
      <w:r w:rsidRPr="001F69A7">
        <w:rPr>
          <w:b w:val="0"/>
        </w:rPr>
        <w:t>redes rurales de nivel de tensión 2</w:t>
      </w:r>
      <w:r>
        <w:rPr>
          <w:b w:val="0"/>
        </w:rPr>
        <w:t xml:space="preserve"> de</w:t>
      </w:r>
      <w:r w:rsidRPr="001F69A7">
        <w:rPr>
          <w:b w:val="0"/>
        </w:rPr>
        <w:t xml:space="preserve"> los </w:t>
      </w:r>
      <w:r>
        <w:rPr>
          <w:b w:val="0"/>
        </w:rPr>
        <w:t xml:space="preserve">mercados </w:t>
      </w:r>
      <w:r w:rsidRPr="001F69A7">
        <w:rPr>
          <w:b w:val="0"/>
        </w:rPr>
        <w:t>resultantes.</w:t>
      </w:r>
    </w:p>
    <w:p w:rsidR="00DB2F5E" w:rsidRPr="00F65304" w:rsidRDefault="00DB2F5E" w:rsidP="00DB2F5E">
      <w:pPr>
        <w:pStyle w:val="Artculo"/>
        <w:spacing w:before="200" w:after="200"/>
        <w:ind w:left="0"/>
        <w:outlineLvl w:val="2"/>
        <w:rPr>
          <w:rFonts w:eastAsia="Arial"/>
          <w:b w:val="0"/>
        </w:rPr>
      </w:pPr>
      <w:r w:rsidRPr="00045CD7">
        <w:t xml:space="preserve">AOM </w:t>
      </w:r>
      <w:r>
        <w:t xml:space="preserve">total </w:t>
      </w:r>
      <w:r w:rsidRPr="00045CD7">
        <w:t>re</w:t>
      </w:r>
      <w:r>
        <w:t>conocido</w:t>
      </w:r>
      <w:r w:rsidRPr="00045CD7">
        <w:t>.</w:t>
      </w:r>
      <w:r w:rsidRPr="00045CD7">
        <w:rPr>
          <w:b w:val="0"/>
        </w:rPr>
        <w:t xml:space="preserve"> Durante la vigencia del régimen transitorio especial el </w:t>
      </w:r>
      <w:r>
        <w:rPr>
          <w:b w:val="0"/>
        </w:rPr>
        <w:t xml:space="preserve">AOM total reconocido no </w:t>
      </w:r>
      <w:r w:rsidRPr="00045CD7">
        <w:rPr>
          <w:b w:val="0"/>
        </w:rPr>
        <w:t>será inferior al 3% de la base regulatoria de activos del año anterior</w:t>
      </w:r>
      <w:r>
        <w:rPr>
          <w:b w:val="0"/>
        </w:rPr>
        <w:t xml:space="preserve">. </w:t>
      </w:r>
    </w:p>
    <w:p w:rsidR="00DB2F5E" w:rsidRDefault="00DB2F5E" w:rsidP="00DB2F5E">
      <w:pPr>
        <w:pStyle w:val="Artculo"/>
        <w:numPr>
          <w:ilvl w:val="0"/>
          <w:numId w:val="0"/>
        </w:numPr>
        <w:spacing w:before="200" w:after="200"/>
        <w:outlineLvl w:val="2"/>
        <w:rPr>
          <w:b w:val="0"/>
        </w:rPr>
      </w:pPr>
      <w:r>
        <w:rPr>
          <w:b w:val="0"/>
        </w:rPr>
        <w:t>En el caso que el valor del AOM total reconocido ser inferior al 3% de la base regulatoria de activos del año anterior, la diferencia entre estos valores se deberá adicionar al valor del ingreso anual por concepto de AOM.</w:t>
      </w:r>
    </w:p>
    <w:p w:rsidR="00DB2F5E" w:rsidRDefault="00DB2F5E" w:rsidP="00DB2F5E">
      <w:pPr>
        <w:pStyle w:val="Artculo"/>
        <w:spacing w:before="200" w:after="200"/>
        <w:ind w:left="0"/>
        <w:outlineLvl w:val="2"/>
        <w:rPr>
          <w:b w:val="0"/>
        </w:rPr>
      </w:pPr>
      <w:r>
        <w:t xml:space="preserve">Pérdidas eficientes. </w:t>
      </w:r>
      <w:r>
        <w:rPr>
          <w:b w:val="0"/>
        </w:rPr>
        <w:t>Para la aplicación de la metodología establecida en la Resolución CREG 015 de 2018 en los mercados resultantes,</w:t>
      </w:r>
      <w:r w:rsidRPr="00D50A42">
        <w:rPr>
          <w:b w:val="0"/>
        </w:rPr>
        <w:t xml:space="preserve"> </w:t>
      </w:r>
      <w:r>
        <w:rPr>
          <w:b w:val="0"/>
        </w:rPr>
        <w:t>l</w:t>
      </w:r>
      <w:r w:rsidRPr="00D50A42">
        <w:rPr>
          <w:rFonts w:eastAsia="Arial"/>
          <w:b w:val="0"/>
        </w:rPr>
        <w:t xml:space="preserve">os índices de pérdidas eficientes </w:t>
      </w:r>
      <w:r>
        <w:rPr>
          <w:rFonts w:eastAsia="Arial"/>
          <w:b w:val="0"/>
        </w:rPr>
        <w:t xml:space="preserve">de dichos mercados durante la vigencia del régimen transitorio especial serán iguales a los </w:t>
      </w:r>
      <w:r w:rsidRPr="00D50A42">
        <w:rPr>
          <w:rFonts w:eastAsia="Arial"/>
          <w:b w:val="0"/>
        </w:rPr>
        <w:t xml:space="preserve">calculados para el mercado </w:t>
      </w:r>
      <w:r>
        <w:rPr>
          <w:rFonts w:eastAsia="Arial"/>
          <w:b w:val="0"/>
        </w:rPr>
        <w:t>c</w:t>
      </w:r>
      <w:r w:rsidRPr="00D50A42">
        <w:rPr>
          <w:rFonts w:eastAsia="Arial"/>
          <w:b w:val="0"/>
        </w:rPr>
        <w:t>aribe</w:t>
      </w:r>
      <w:r>
        <w:rPr>
          <w:rFonts w:eastAsia="Arial"/>
          <w:b w:val="0"/>
        </w:rPr>
        <w:t xml:space="preserve"> a la fecha de corte</w:t>
      </w:r>
      <w:r w:rsidRPr="00D50A42">
        <w:rPr>
          <w:rFonts w:eastAsia="Arial"/>
          <w:b w:val="0"/>
        </w:rPr>
        <w:t>.</w:t>
      </w:r>
      <w:r>
        <w:rPr>
          <w:b w:val="0"/>
        </w:rPr>
        <w:t xml:space="preserve"> </w:t>
      </w:r>
    </w:p>
    <w:p w:rsidR="00DB2F5E" w:rsidRDefault="00DB2F5E" w:rsidP="00DB2F5E">
      <w:pPr>
        <w:pStyle w:val="Artculo"/>
        <w:numPr>
          <w:ilvl w:val="0"/>
          <w:numId w:val="0"/>
        </w:numPr>
        <w:spacing w:before="200" w:after="200"/>
        <w:outlineLvl w:val="2"/>
        <w:rPr>
          <w:b w:val="0"/>
        </w:rPr>
      </w:pPr>
      <w:r w:rsidRPr="0043408B">
        <w:t>Parágrafo 1.</w:t>
      </w:r>
      <w:r>
        <w:rPr>
          <w:b w:val="0"/>
        </w:rPr>
        <w:t xml:space="preserve"> Para la determinación de las pérdidas eficientes de los niveles de tensión 2 y 3,</w:t>
      </w:r>
      <w:r w:rsidRPr="00704F74">
        <w:rPr>
          <w:b w:val="0"/>
        </w:rPr>
        <w:t xml:space="preserve"> </w:t>
      </w:r>
      <w:r>
        <w:rPr>
          <w:b w:val="0"/>
        </w:rPr>
        <w:t>durante los tres primeros meses del año 5 de aplicación del régimen transitorio especial, los OR que atiendan los mercados resultantes deberán presentar a la CREG los estudios establecidos en el literal d. del numeral 7.1.1.2 de la Resolución CREG 015 de 2018.</w:t>
      </w:r>
    </w:p>
    <w:p w:rsidR="00DB2F5E" w:rsidRDefault="00DB2F5E" w:rsidP="00DB2F5E">
      <w:pPr>
        <w:pStyle w:val="Artculo"/>
        <w:numPr>
          <w:ilvl w:val="0"/>
          <w:numId w:val="0"/>
        </w:numPr>
        <w:spacing w:before="200" w:after="200"/>
        <w:outlineLvl w:val="2"/>
        <w:rPr>
          <w:b w:val="0"/>
        </w:rPr>
      </w:pPr>
      <w:r>
        <w:rPr>
          <w:b w:val="0"/>
        </w:rPr>
        <w:t>Para la determinación de las pérdidas eficientes del nivel de tensión 1 los agentes</w:t>
      </w:r>
      <w:r w:rsidRPr="0043408B">
        <w:rPr>
          <w:b w:val="0"/>
        </w:rPr>
        <w:t xml:space="preserve"> debe</w:t>
      </w:r>
      <w:r>
        <w:rPr>
          <w:b w:val="0"/>
        </w:rPr>
        <w:t>n</w:t>
      </w:r>
      <w:r w:rsidRPr="0043408B">
        <w:rPr>
          <w:b w:val="0"/>
        </w:rPr>
        <w:t xml:space="preserve"> presentar a la CREG </w:t>
      </w:r>
      <w:r>
        <w:rPr>
          <w:b w:val="0"/>
        </w:rPr>
        <w:t>el estudio señalado en el numeral 7.1.1.3, durante los tres primeros meses del año 5 de aplicación de la resolución que apruebe ingresos a un OR.</w:t>
      </w:r>
    </w:p>
    <w:p w:rsidR="00DB2F5E" w:rsidRDefault="00DB2F5E" w:rsidP="00DB2F5E">
      <w:pPr>
        <w:pStyle w:val="Artculo"/>
        <w:numPr>
          <w:ilvl w:val="0"/>
          <w:numId w:val="0"/>
        </w:numPr>
        <w:spacing w:before="200" w:after="200"/>
        <w:outlineLvl w:val="2"/>
        <w:rPr>
          <w:b w:val="0"/>
        </w:rPr>
      </w:pPr>
      <w:r w:rsidRPr="006E437C">
        <w:t>Parágrafo 2.</w:t>
      </w:r>
      <w:r>
        <w:rPr>
          <w:b w:val="0"/>
        </w:rPr>
        <w:t xml:space="preserve"> Para definir los índices de pérdidas eficientes a partir de los estudios de pérdidas definidos en el párrafo anterior se aplicará lo señalado en los literales e. del numeral 7.1.1.2 y en el último párrafo numeral 7.1.1.3 de la Resolución CREG 015 de 2018 según corresponda.</w:t>
      </w:r>
    </w:p>
    <w:p w:rsidR="00DB2F5E" w:rsidRDefault="00DB2F5E" w:rsidP="00DB2F5E">
      <w:pPr>
        <w:pStyle w:val="Artculo"/>
        <w:spacing w:before="200" w:after="200"/>
        <w:ind w:left="0"/>
        <w:outlineLvl w:val="2"/>
        <w:rPr>
          <w:b w:val="0"/>
        </w:rPr>
      </w:pPr>
      <w:r>
        <w:t>I</w:t>
      </w:r>
      <w:r w:rsidRPr="00F00DEE">
        <w:t xml:space="preserve">ndicadores de referencia de calidad media y </w:t>
      </w:r>
      <w:r>
        <w:t xml:space="preserve">de </w:t>
      </w:r>
      <w:r w:rsidRPr="00F00DEE">
        <w:t>calidad mínima garantizada</w:t>
      </w:r>
      <w:r w:rsidRPr="001C6A2D">
        <w:t>.</w:t>
      </w:r>
      <w:r>
        <w:rPr>
          <w:b w:val="0"/>
        </w:rPr>
        <w:t xml:space="preserve"> Para la aplicación de la metodología establecida en la Resolución CREG 015 de 2018 en los mercados resultantes, </w:t>
      </w:r>
      <w:r w:rsidRPr="005E30A8">
        <w:rPr>
          <w:b w:val="0"/>
        </w:rPr>
        <w:t xml:space="preserve">el cálculo de los indicadores de </w:t>
      </w:r>
      <w:r w:rsidRPr="005E30A8">
        <w:rPr>
          <w:b w:val="0"/>
        </w:rPr>
        <w:lastRenderedPageBreak/>
        <w:t xml:space="preserve">referencia de calidad media y </w:t>
      </w:r>
      <w:r>
        <w:rPr>
          <w:b w:val="0"/>
        </w:rPr>
        <w:t xml:space="preserve">de </w:t>
      </w:r>
      <w:r w:rsidRPr="005E30A8">
        <w:rPr>
          <w:b w:val="0"/>
        </w:rPr>
        <w:t>calidad mínima garantizada</w:t>
      </w:r>
      <w:r>
        <w:rPr>
          <w:b w:val="0"/>
        </w:rPr>
        <w:t xml:space="preserve"> definidos en el numeral 5.2.5 de la citada resolución </w:t>
      </w:r>
      <w:r w:rsidRPr="005E30A8">
        <w:rPr>
          <w:b w:val="0"/>
        </w:rPr>
        <w:t xml:space="preserve">se </w:t>
      </w:r>
      <w:r>
        <w:rPr>
          <w:b w:val="0"/>
        </w:rPr>
        <w:t>realizará con</w:t>
      </w:r>
      <w:r w:rsidRPr="005E30A8">
        <w:rPr>
          <w:b w:val="0"/>
        </w:rPr>
        <w:t xml:space="preserve"> la información del año que finaliza en la fecha de corte.</w:t>
      </w:r>
    </w:p>
    <w:p w:rsidR="00DB2F5E" w:rsidRDefault="00DB2F5E" w:rsidP="00DB2F5E">
      <w:pPr>
        <w:pStyle w:val="Artculo"/>
        <w:spacing w:before="200" w:after="200"/>
        <w:ind w:left="0"/>
        <w:outlineLvl w:val="2"/>
        <w:rPr>
          <w:b w:val="0"/>
        </w:rPr>
      </w:pPr>
      <w:r w:rsidRPr="00711553">
        <w:t>Metas de calidad del servicio.</w:t>
      </w:r>
      <w:r>
        <w:rPr>
          <w:b w:val="0"/>
        </w:rPr>
        <w:t xml:space="preserve"> Para la aplicación de la metodología establecida en la Resolución CREG 015 de 2018 en los mercados resultantes, </w:t>
      </w:r>
      <w:r w:rsidRPr="005E30A8">
        <w:rPr>
          <w:b w:val="0"/>
        </w:rPr>
        <w:t>l</w:t>
      </w:r>
      <w:r>
        <w:rPr>
          <w:b w:val="0"/>
        </w:rPr>
        <w:t>as metas de calidad media para el año 5 de aplicación de las resoluciones particulares serán iguales a las obtenidas con base en los indicadores de referencia de calidad media de los mercados resultantes, calculados con la información del 2016, aplicando una reducción del 34%.</w:t>
      </w:r>
    </w:p>
    <w:p w:rsidR="00DB2F5E" w:rsidRDefault="00DB2F5E" w:rsidP="00DB2F5E">
      <w:pPr>
        <w:pStyle w:val="Artculo"/>
        <w:spacing w:before="200" w:after="200"/>
        <w:ind w:left="0"/>
        <w:outlineLvl w:val="2"/>
        <w:rPr>
          <w:b w:val="0"/>
        </w:rPr>
      </w:pPr>
      <w:r w:rsidRPr="00DE5F13">
        <w:t>Porcentaje de reducción anual de indicadores de referencia</w:t>
      </w:r>
      <w:r>
        <w:t xml:space="preserve"> de calidad media</w:t>
      </w:r>
      <w:r w:rsidRPr="00DE5F13">
        <w:t xml:space="preserve">. </w:t>
      </w:r>
      <w:r>
        <w:rPr>
          <w:b w:val="0"/>
        </w:rPr>
        <w:t>Para la aplicación de la metodología establecida en la Resolución CREG 015 de 2018 en los mercados resultantes, p</w:t>
      </w:r>
      <w:r w:rsidRPr="00DE5F13">
        <w:rPr>
          <w:b w:val="0"/>
        </w:rPr>
        <w:t xml:space="preserve">ara los dos primeros años de aplicación del régimen transitorio especial, la meta anual será calculada por la CREG </w:t>
      </w:r>
      <w:r>
        <w:rPr>
          <w:b w:val="0"/>
        </w:rPr>
        <w:t xml:space="preserve">aplicando </w:t>
      </w:r>
      <w:r w:rsidRPr="00DE5F13">
        <w:rPr>
          <w:b w:val="0"/>
        </w:rPr>
        <w:t>una reducción del 8% anual con respecto a los indicadores de referencia</w:t>
      </w:r>
      <w:r>
        <w:rPr>
          <w:b w:val="0"/>
        </w:rPr>
        <w:t xml:space="preserve"> de calidad media</w:t>
      </w:r>
      <w:r w:rsidRPr="00DE5F13">
        <w:rPr>
          <w:b w:val="0"/>
        </w:rPr>
        <w:t>.</w:t>
      </w:r>
    </w:p>
    <w:p w:rsidR="00DB2F5E" w:rsidRDefault="00DB2F5E" w:rsidP="00DB2F5E">
      <w:pPr>
        <w:pStyle w:val="Artculo"/>
        <w:numPr>
          <w:ilvl w:val="0"/>
          <w:numId w:val="0"/>
        </w:numPr>
        <w:spacing w:before="200" w:after="200"/>
        <w:outlineLvl w:val="2"/>
        <w:rPr>
          <w:b w:val="0"/>
        </w:rPr>
      </w:pPr>
      <w:r>
        <w:rPr>
          <w:b w:val="0"/>
        </w:rPr>
        <w:t>Para los siguientes tres años, el porcentaje de reducción anual será el que conduzca a obtener la meta del año 5. Este porcentaje de reducción anual será igual durante estos tres años.</w:t>
      </w:r>
    </w:p>
    <w:p w:rsidR="00DB2F5E" w:rsidRDefault="00DB2F5E" w:rsidP="00DB2F5E">
      <w:pPr>
        <w:pStyle w:val="Artculo"/>
        <w:spacing w:before="200" w:after="200"/>
        <w:ind w:left="0"/>
        <w:outlineLvl w:val="2"/>
        <w:rPr>
          <w:b w:val="0"/>
        </w:rPr>
      </w:pPr>
      <w:r w:rsidRPr="003D53C3">
        <w:t>Remuneración de la actividad de distribución.</w:t>
      </w:r>
      <w:r>
        <w:rPr>
          <w:b w:val="0"/>
        </w:rPr>
        <w:t xml:space="preserve"> Mientras se aprueban los ingresos anuales con base en la metodología definida en la Resolución CREG 015 de 2018 y lo dispuesto en esta resolución, los cargos de distribución de los niveles de tensión 1, 2 y 3 de los mercados resultantes corresponderán a los aprobados para el mercado Caribe en aplicación de la Resolución CREG 097 de 2008.  </w:t>
      </w:r>
    </w:p>
    <w:p w:rsidR="00DB2F5E" w:rsidRDefault="00DB2F5E" w:rsidP="00DB2F5E">
      <w:pPr>
        <w:pStyle w:val="Artculo"/>
        <w:numPr>
          <w:ilvl w:val="0"/>
          <w:numId w:val="0"/>
        </w:numPr>
        <w:spacing w:before="200" w:after="200"/>
        <w:outlineLvl w:val="2"/>
        <w:rPr>
          <w:b w:val="0"/>
        </w:rPr>
      </w:pPr>
      <w:r>
        <w:rPr>
          <w:b w:val="0"/>
        </w:rPr>
        <w:t xml:space="preserve">Para la determinación de los ingresos de los activos en el nivel de tensión 4, el ingreso que corresponde al mercado Caribe se distribuirá proporcionalmente a los activos, en este nivel de tensión, de los OR que atiendan los mercados resultantes. </w:t>
      </w:r>
    </w:p>
    <w:p w:rsidR="00DB2F5E" w:rsidRDefault="00DB2F5E" w:rsidP="00DB2F5E">
      <w:pPr>
        <w:pStyle w:val="Artculo"/>
        <w:numPr>
          <w:ilvl w:val="0"/>
          <w:numId w:val="0"/>
        </w:numPr>
        <w:spacing w:before="200" w:after="200"/>
        <w:outlineLvl w:val="2"/>
        <w:rPr>
          <w:b w:val="0"/>
        </w:rPr>
      </w:pPr>
      <w:r>
        <w:rPr>
          <w:b w:val="0"/>
        </w:rPr>
        <w:t>Dentro de los cinco (5) días siguientes a l</w:t>
      </w:r>
      <w:r w:rsidRPr="0008424A">
        <w:rPr>
          <w:b w:val="0"/>
        </w:rPr>
        <w:t xml:space="preserve">a fecha de </w:t>
      </w:r>
      <w:r>
        <w:rPr>
          <w:b w:val="0"/>
        </w:rPr>
        <w:t>cierre</w:t>
      </w:r>
      <w:r w:rsidRPr="0008424A">
        <w:rPr>
          <w:b w:val="0"/>
        </w:rPr>
        <w:t xml:space="preserve"> </w:t>
      </w:r>
      <w:r w:rsidRPr="00E5349B">
        <w:rPr>
          <w:b w:val="0"/>
        </w:rPr>
        <w:t>del proceso</w:t>
      </w:r>
      <w:r>
        <w:rPr>
          <w:b w:val="0"/>
        </w:rPr>
        <w:t xml:space="preserve"> de búsqueda de una solución empresarial que se adopte para garantizar la prestación del servicio público domiciliario de energía eléctrica en el mercado Caribe, los OR de los mercados resultantes deberán enviar al LAC la relación de activos correspondiente, cuya suma no podrá superar el valor total de los activos del nivel de tensión 4 del mercado Caribe. </w:t>
      </w:r>
    </w:p>
    <w:p w:rsidR="00DB2F5E" w:rsidRPr="004F387B" w:rsidRDefault="00DB2F5E" w:rsidP="00DB2F5E">
      <w:r w:rsidRPr="00E15F45">
        <w:rPr>
          <w:b/>
          <w:bCs/>
        </w:rPr>
        <w:t xml:space="preserve">Parágrafo. </w:t>
      </w:r>
      <w:r w:rsidRPr="004F387B">
        <w:t xml:space="preserve">Los ingresos que </w:t>
      </w:r>
      <w:r>
        <w:t xml:space="preserve">se </w:t>
      </w:r>
      <w:r w:rsidRPr="004F387B">
        <w:t>apruebe</w:t>
      </w:r>
      <w:r>
        <w:t xml:space="preserve">n </w:t>
      </w:r>
      <w:r w:rsidRPr="004F387B">
        <w:t>en desarrollo de lo previsto en est</w:t>
      </w:r>
      <w:r>
        <w:t>a resolución</w:t>
      </w:r>
      <w:r w:rsidRPr="004F387B">
        <w:t xml:space="preserve"> estarán vigentes por cinco (5) años a partir de la firmeza de la resolución particular. Vencido el período de vigencia, éstos continuarán rigiendo hasta que </w:t>
      </w:r>
      <w:r>
        <w:t xml:space="preserve">se </w:t>
      </w:r>
      <w:r w:rsidRPr="004F387B">
        <w:t>apruebe</w:t>
      </w:r>
      <w:r>
        <w:t>n</w:t>
      </w:r>
      <w:r w:rsidRPr="004F387B">
        <w:t xml:space="preserve"> los nuevos de acuerdo con la metodología de remuneración de la actividad de distribución vigente en ese momento.</w:t>
      </w:r>
    </w:p>
    <w:p w:rsidR="00DB2F5E" w:rsidRPr="00251779" w:rsidRDefault="00DB2F5E" w:rsidP="00DB2F5E">
      <w:pPr>
        <w:pStyle w:val="Artculo"/>
        <w:spacing w:before="200" w:after="200"/>
        <w:ind w:left="0"/>
        <w:outlineLvl w:val="2"/>
        <w:rPr>
          <w:b w:val="0"/>
        </w:rPr>
      </w:pPr>
      <w:r w:rsidRPr="003D53C3">
        <w:t xml:space="preserve">Remuneración de la actividad de </w:t>
      </w:r>
      <w:r>
        <w:t>comercializa</w:t>
      </w:r>
      <w:r w:rsidRPr="003D53C3">
        <w:t>ción.</w:t>
      </w:r>
      <w:r>
        <w:rPr>
          <w:b w:val="0"/>
        </w:rPr>
        <w:t xml:space="preserve"> Mientras se reemplaza, modifica o sustituye la Resolución CREG 180 de 2014 y se aprueban nuevos cargos de comercialización, los comercializadores integrados con los OR que atiendan los mercados resultantes aplicarán </w:t>
      </w:r>
      <w:r w:rsidRPr="00BA59CB">
        <w:rPr>
          <w:b w:val="0"/>
        </w:rPr>
        <w:t>el costo base de comercialización de energía eléctrica</w:t>
      </w:r>
      <w:r>
        <w:rPr>
          <w:b w:val="0"/>
        </w:rPr>
        <w:t xml:space="preserve">, </w:t>
      </w:r>
      <w:r w:rsidRPr="00BA59CB">
        <w:rPr>
          <w:b w:val="0"/>
        </w:rPr>
        <w:t xml:space="preserve">el riesgo de cartera de usuarios </w:t>
      </w:r>
      <w:r w:rsidRPr="00BA59CB">
        <w:rPr>
          <w:b w:val="0"/>
        </w:rPr>
        <w:lastRenderedPageBreak/>
        <w:t>tradicionales</w:t>
      </w:r>
      <w:r>
        <w:rPr>
          <w:b w:val="0"/>
        </w:rPr>
        <w:t xml:space="preserve">, el riesgo de cartera de usuarios de áreas especiales y </w:t>
      </w:r>
      <w:r w:rsidRPr="00251779">
        <w:rPr>
          <w:b w:val="0"/>
        </w:rPr>
        <w:t>la prima de riesgo de cartera por atender usuarios ubicados en barrios subnormales</w:t>
      </w:r>
      <w:r>
        <w:rPr>
          <w:b w:val="0"/>
        </w:rPr>
        <w:t xml:space="preserve"> para el mercado caribe establecidos c</w:t>
      </w:r>
      <w:r w:rsidRPr="00BA59CB">
        <w:rPr>
          <w:b w:val="0"/>
        </w:rPr>
        <w:t>on</w:t>
      </w:r>
      <w:r>
        <w:rPr>
          <w:b w:val="0"/>
        </w:rPr>
        <w:t xml:space="preserve"> base </w:t>
      </w:r>
      <w:r w:rsidRPr="00BA59CB">
        <w:rPr>
          <w:b w:val="0"/>
        </w:rPr>
        <w:t xml:space="preserve">en la </w:t>
      </w:r>
      <w:r>
        <w:rPr>
          <w:b w:val="0"/>
        </w:rPr>
        <w:t>metodología de la Resolución CREG 180 de 2014.</w:t>
      </w:r>
    </w:p>
    <w:p w:rsidR="00DB2F5E" w:rsidRPr="005A084A" w:rsidRDefault="00DB2F5E" w:rsidP="00DB2F5E">
      <w:pPr>
        <w:pStyle w:val="Artculo"/>
        <w:spacing w:before="200" w:after="200"/>
        <w:ind w:left="0"/>
        <w:outlineLvl w:val="2"/>
        <w:rPr>
          <w:b w:val="0"/>
        </w:rPr>
      </w:pPr>
      <w:r w:rsidRPr="00434E2A">
        <w:t>Transición opcional.</w:t>
      </w:r>
      <w:r w:rsidRPr="00172F05">
        <w:rPr>
          <w:b w:val="0"/>
        </w:rPr>
        <w:t xml:space="preserve"> Para la aplicación de la metodología establecida en la Resolución CREG 015 de 2018 en los mercados resultantes, se</w:t>
      </w:r>
      <w:r w:rsidRPr="00172F05">
        <w:rPr>
          <w:rFonts w:eastAsia="Arial"/>
          <w:b w:val="0"/>
        </w:rPr>
        <w:t xml:space="preserve"> podrá presentar a la CREG una opción tarifaria para la aplicación gradual de variaciones de tarifas al usuario final, siempre y cuando no se excedan los parámetros establecidos en la Resolución CREG 168 de 2008.</w:t>
      </w:r>
    </w:p>
    <w:p w:rsidR="00DB2F5E" w:rsidRPr="00956479" w:rsidRDefault="00DB2F5E" w:rsidP="00DB2F5E">
      <w:pPr>
        <w:pStyle w:val="Artculo"/>
        <w:spacing w:before="200" w:after="200"/>
        <w:ind w:left="0"/>
        <w:outlineLvl w:val="2"/>
        <w:rPr>
          <w:b w:val="0"/>
        </w:rPr>
      </w:pPr>
      <w:r w:rsidRPr="00956479">
        <w:t>Vigencia</w:t>
      </w:r>
      <w:r w:rsidRPr="00956479">
        <w:rPr>
          <w:b w:val="0"/>
        </w:rPr>
        <w:t>. Esta resolución rige a partir de su publicación en el Diario Oficial y no deroga, ni modifica, ni adiciona las disposiciones contenidas en la Resolución CREG 015 de 2018 y sus modificatorias Resoluciones CREG 085 de 2018 y 036 de 2019, toda vez que se trata de un régimen transitorio especial que estará vigente durante los 5 años siguientes a la aprobación de los ingresos particulares de los OR que atienden los mercados resultantes.</w:t>
      </w:r>
    </w:p>
    <w:p w:rsidR="00DB2F5E" w:rsidRPr="00BF69C9" w:rsidRDefault="00DB2F5E" w:rsidP="00DB2F5E">
      <w:pPr>
        <w:spacing w:before="0" w:after="0"/>
        <w:jc w:val="center"/>
        <w:rPr>
          <w:b/>
        </w:rPr>
      </w:pPr>
    </w:p>
    <w:p w:rsidR="00DB2F5E" w:rsidRPr="00BF69C9" w:rsidRDefault="00DB2F5E" w:rsidP="00DB2F5E">
      <w:pPr>
        <w:spacing w:before="0" w:after="0"/>
        <w:jc w:val="center"/>
        <w:rPr>
          <w:b/>
        </w:rPr>
      </w:pPr>
      <w:r w:rsidRPr="00BF69C9">
        <w:rPr>
          <w:b/>
        </w:rPr>
        <w:t>PUBLÍQUESE Y CÚMPLASE</w:t>
      </w:r>
    </w:p>
    <w:p w:rsidR="00DB2F5E" w:rsidRDefault="00DB2F5E" w:rsidP="00DB2F5E">
      <w:pPr>
        <w:ind w:left="2127" w:right="425" w:hanging="1418"/>
      </w:pPr>
    </w:p>
    <w:p w:rsidR="00DB2F5E" w:rsidRDefault="00DB2F5E" w:rsidP="00AD4FCB">
      <w:pPr>
        <w:ind w:left="2127" w:right="425" w:hanging="2127"/>
        <w:jc w:val="left"/>
      </w:pPr>
      <w:r w:rsidRPr="00AD4FCB">
        <w:t>Firma del proyecto</w:t>
      </w:r>
      <w:r w:rsidR="00AD4FCB">
        <w:t>,</w:t>
      </w:r>
    </w:p>
    <w:p w:rsidR="009B1CC5" w:rsidRDefault="009B1CC5" w:rsidP="00AD4FCB">
      <w:pPr>
        <w:ind w:left="2127" w:right="425" w:hanging="2127"/>
        <w:jc w:val="left"/>
      </w:pPr>
    </w:p>
    <w:p w:rsidR="009B1CC5" w:rsidRPr="00AD4FCB" w:rsidRDefault="009B1CC5" w:rsidP="00AD4FCB">
      <w:pPr>
        <w:ind w:left="2127" w:right="425" w:hanging="2127"/>
        <w:jc w:val="left"/>
      </w:pPr>
    </w:p>
    <w:p w:rsidR="00DB2F5E" w:rsidRDefault="00DB2F5E" w:rsidP="00DB2F5E">
      <w:pPr>
        <w:ind w:left="2127" w:right="425" w:hanging="1418"/>
        <w:rPr>
          <w:b/>
        </w:rPr>
      </w:pPr>
    </w:p>
    <w:tbl>
      <w:tblPr>
        <w:tblW w:w="9635" w:type="dxa"/>
        <w:jc w:val="center"/>
        <w:tblCellSpacing w:w="0" w:type="dxa"/>
        <w:tblCellMar>
          <w:left w:w="0" w:type="dxa"/>
          <w:right w:w="0" w:type="dxa"/>
        </w:tblCellMar>
        <w:tblLook w:val="04A0" w:firstRow="1" w:lastRow="0" w:firstColumn="1" w:lastColumn="0" w:noHBand="0" w:noVBand="1"/>
      </w:tblPr>
      <w:tblGrid>
        <w:gridCol w:w="4963"/>
        <w:gridCol w:w="4672"/>
      </w:tblGrid>
      <w:tr w:rsidR="009B1CC5" w:rsidRPr="001F1B7A" w:rsidTr="00781994">
        <w:trPr>
          <w:trHeight w:val="279"/>
          <w:tblCellSpacing w:w="0" w:type="dxa"/>
          <w:jc w:val="center"/>
        </w:trPr>
        <w:tc>
          <w:tcPr>
            <w:tcW w:w="4963" w:type="dxa"/>
          </w:tcPr>
          <w:p w:rsidR="009B1CC5" w:rsidRPr="001F1B7A" w:rsidRDefault="009B1CC5" w:rsidP="009B1CC5">
            <w:pPr>
              <w:spacing w:before="0" w:after="0"/>
              <w:jc w:val="center"/>
              <w:rPr>
                <w:b/>
              </w:rPr>
            </w:pPr>
            <w:r w:rsidRPr="001F1B7A">
              <w:rPr>
                <w:b/>
              </w:rPr>
              <w:t>MARÍA FERNANDA SUÁREZ L</w:t>
            </w:r>
            <w:r>
              <w:rPr>
                <w:b/>
              </w:rPr>
              <w:t>ONDOÑO</w:t>
            </w:r>
          </w:p>
        </w:tc>
        <w:tc>
          <w:tcPr>
            <w:tcW w:w="4672" w:type="dxa"/>
          </w:tcPr>
          <w:p w:rsidR="009B1CC5" w:rsidRPr="001F1B7A" w:rsidRDefault="009B1CC5" w:rsidP="009B1CC5">
            <w:pPr>
              <w:spacing w:before="0" w:after="0"/>
              <w:jc w:val="center"/>
              <w:rPr>
                <w:b/>
              </w:rPr>
            </w:pPr>
            <w:r w:rsidRPr="001F1B7A">
              <w:rPr>
                <w:b/>
              </w:rPr>
              <w:t>CHRISTIAN JARAMILLO HERRERA</w:t>
            </w:r>
          </w:p>
        </w:tc>
      </w:tr>
      <w:tr w:rsidR="009B1CC5" w:rsidRPr="001F1B7A" w:rsidTr="00781994">
        <w:trPr>
          <w:trHeight w:val="279"/>
          <w:tblCellSpacing w:w="0" w:type="dxa"/>
          <w:jc w:val="center"/>
        </w:trPr>
        <w:tc>
          <w:tcPr>
            <w:tcW w:w="4963" w:type="dxa"/>
            <w:hideMark/>
          </w:tcPr>
          <w:p w:rsidR="009B1CC5" w:rsidRPr="001F1B7A" w:rsidRDefault="009B1CC5" w:rsidP="009B1CC5">
            <w:pPr>
              <w:spacing w:before="0" w:after="0"/>
              <w:jc w:val="center"/>
            </w:pPr>
            <w:r w:rsidRPr="001F1B7A">
              <w:t>Ministra de Minas y Energía</w:t>
            </w:r>
          </w:p>
        </w:tc>
        <w:tc>
          <w:tcPr>
            <w:tcW w:w="4672" w:type="dxa"/>
            <w:hideMark/>
          </w:tcPr>
          <w:p w:rsidR="009B1CC5" w:rsidRPr="001F1B7A" w:rsidRDefault="009B1CC5" w:rsidP="009B1CC5">
            <w:pPr>
              <w:spacing w:before="0" w:after="0"/>
              <w:jc w:val="center"/>
            </w:pPr>
            <w:r w:rsidRPr="001F1B7A">
              <w:t>Director Ejecutivo</w:t>
            </w:r>
          </w:p>
        </w:tc>
      </w:tr>
      <w:tr w:rsidR="009B1CC5" w:rsidRPr="001F1B7A" w:rsidTr="00781994">
        <w:trPr>
          <w:trHeight w:val="290"/>
          <w:tblCellSpacing w:w="0" w:type="dxa"/>
          <w:jc w:val="center"/>
        </w:trPr>
        <w:tc>
          <w:tcPr>
            <w:tcW w:w="4963" w:type="dxa"/>
            <w:hideMark/>
          </w:tcPr>
          <w:p w:rsidR="009B1CC5" w:rsidRPr="001F1B7A" w:rsidRDefault="009B1CC5" w:rsidP="00781994">
            <w:pPr>
              <w:jc w:val="center"/>
            </w:pPr>
            <w:r w:rsidRPr="001F1B7A">
              <w:t>Presidente</w:t>
            </w:r>
          </w:p>
        </w:tc>
        <w:tc>
          <w:tcPr>
            <w:tcW w:w="4672" w:type="dxa"/>
          </w:tcPr>
          <w:p w:rsidR="009B1CC5" w:rsidRPr="001F1B7A" w:rsidRDefault="009B1CC5" w:rsidP="00781994">
            <w:pPr>
              <w:jc w:val="center"/>
            </w:pPr>
          </w:p>
        </w:tc>
      </w:tr>
    </w:tbl>
    <w:p w:rsidR="00471D24" w:rsidRDefault="00471D24" w:rsidP="00DB2F5E">
      <w:pPr>
        <w:ind w:left="2127" w:right="425" w:hanging="1418"/>
        <w:rPr>
          <w:b/>
        </w:rPr>
      </w:pPr>
    </w:p>
    <w:p w:rsidR="007C127E" w:rsidRPr="00DB2F5E" w:rsidRDefault="007C127E" w:rsidP="00471D24">
      <w:pPr>
        <w:ind w:left="2127" w:right="425" w:hanging="1418"/>
      </w:pPr>
    </w:p>
    <w:sectPr w:rsidR="007C127E" w:rsidRPr="00DB2F5E" w:rsidSect="00332AD1">
      <w:headerReference w:type="default" r:id="rId11"/>
      <w:headerReference w:type="first" r:id="rId12"/>
      <w:type w:val="continuous"/>
      <w:pgSz w:w="12242" w:h="18722" w:code="123"/>
      <w:pgMar w:top="2268" w:right="1185"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783" w:rsidRDefault="00CA5783">
      <w:r>
        <w:separator/>
      </w:r>
    </w:p>
    <w:p w:rsidR="00CA5783" w:rsidRDefault="00CA5783"/>
    <w:p w:rsidR="00CA5783" w:rsidRDefault="00CA5783" w:rsidP="00C851C0"/>
  </w:endnote>
  <w:endnote w:type="continuationSeparator" w:id="0">
    <w:p w:rsidR="00CA5783" w:rsidRDefault="00CA5783">
      <w:r>
        <w:continuationSeparator/>
      </w:r>
    </w:p>
    <w:p w:rsidR="00CA5783" w:rsidRDefault="00CA5783"/>
    <w:p w:rsidR="00CA5783" w:rsidRDefault="00CA5783"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783" w:rsidRDefault="00CA5783">
      <w:r>
        <w:separator/>
      </w:r>
    </w:p>
    <w:p w:rsidR="00CA5783" w:rsidRDefault="00CA5783"/>
    <w:p w:rsidR="00CA5783" w:rsidRDefault="00CA5783" w:rsidP="00C851C0"/>
  </w:footnote>
  <w:footnote w:type="continuationSeparator" w:id="0">
    <w:p w:rsidR="00CA5783" w:rsidRDefault="00CA5783">
      <w:r>
        <w:continuationSeparator/>
      </w:r>
    </w:p>
    <w:p w:rsidR="00CA5783" w:rsidRDefault="00CA5783"/>
    <w:p w:rsidR="00CA5783" w:rsidRDefault="00CA5783" w:rsidP="00C851C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54F" w:rsidRPr="002560C5" w:rsidRDefault="00DC154F" w:rsidP="002560C5">
    <w:pPr>
      <w:pStyle w:val="Ttulo1"/>
      <w:numPr>
        <w:ilvl w:val="0"/>
        <w:numId w:val="0"/>
      </w:numPr>
      <w:ind w:right="6"/>
      <w:jc w:val="left"/>
      <w:rPr>
        <w:rFonts w:cs="Arial"/>
        <w:b w:val="0"/>
        <w:sz w:val="22"/>
        <w:szCs w:val="22"/>
      </w:rPr>
    </w:pPr>
    <w:r w:rsidRPr="002560C5">
      <w:rPr>
        <w:rFonts w:cs="Arial"/>
        <w:b w:val="0"/>
        <w:sz w:val="22"/>
        <w:szCs w:val="22"/>
      </w:rPr>
      <w:t>RESOLUCIÓN No.  ________________</w:t>
    </w:r>
    <w:r w:rsidRPr="002560C5">
      <w:rPr>
        <w:rFonts w:cs="Arial"/>
        <w:b w:val="0"/>
        <w:sz w:val="22"/>
        <w:szCs w:val="22"/>
      </w:rPr>
      <w:tab/>
      <w:t>DE ________________</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sidR="0033500E">
      <w:rPr>
        <w:rFonts w:cs="Arial"/>
        <w:b w:val="0"/>
        <w:noProof/>
        <w:sz w:val="22"/>
        <w:szCs w:val="22"/>
      </w:rPr>
      <w:t>7</w:t>
    </w:r>
    <w:r w:rsidRPr="002560C5">
      <w:rPr>
        <w:rFonts w:cs="Arial"/>
        <w:b w:val="0"/>
        <w:sz w:val="22"/>
        <w:szCs w:val="22"/>
      </w:rPr>
      <w:fldChar w:fldCharType="end"/>
    </w:r>
    <w:r w:rsidRPr="002560C5">
      <w:rPr>
        <w:rFonts w:cs="Arial"/>
        <w:b w:val="0"/>
        <w:sz w:val="22"/>
        <w:szCs w:val="22"/>
      </w:rPr>
      <w:t>/</w:t>
    </w:r>
    <w:r w:rsidR="0033500E">
      <w:fldChar w:fldCharType="begin"/>
    </w:r>
    <w:r w:rsidR="0033500E">
      <w:instrText xml:space="preserve"> NUMPAGES  \* MERGEFORMAT </w:instrText>
    </w:r>
    <w:r w:rsidR="0033500E">
      <w:fldChar w:fldCharType="separate"/>
    </w:r>
    <w:r w:rsidR="0033500E" w:rsidRPr="0033500E">
      <w:rPr>
        <w:rFonts w:cs="Arial"/>
        <w:b w:val="0"/>
        <w:noProof/>
        <w:sz w:val="22"/>
        <w:szCs w:val="22"/>
      </w:rPr>
      <w:t>7</w:t>
    </w:r>
    <w:r w:rsidR="0033500E">
      <w:rPr>
        <w:rFonts w:cs="Arial"/>
        <w:b w:val="0"/>
        <w:noProof/>
        <w:sz w:val="22"/>
        <w:szCs w:val="22"/>
      </w:rPr>
      <w:fldChar w:fldCharType="end"/>
    </w:r>
  </w:p>
  <w:p w:rsidR="00DC154F" w:rsidRDefault="00DC154F"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7A88765A" wp14:editId="60316576">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77111"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FK7i915AgAA&#10;/QQAAA4AAAAAAAAAAAAAAAAALgIAAGRycy9lMm9Eb2MueG1sUEsBAi0AFAAGAAgAAAAhAMZu6Pvj&#10;AAAACwEAAA8AAAAAAAAAAAAAAAAA0wQAAGRycy9kb3ducmV2LnhtbFBLBQYAAAAABAAEAPMAAADj&#10;BQAAAAA=&#10;" filled="f" strokeweight="1.5pt"/>
          </w:pict>
        </mc:Fallback>
      </mc:AlternateContent>
    </w:r>
  </w:p>
  <w:p w:rsidR="0080122B" w:rsidRDefault="00FB6D97">
    <w:pPr>
      <w:rPr>
        <w:sz w:val="22"/>
        <w:szCs w:val="22"/>
      </w:rPr>
    </w:pPr>
    <w:r w:rsidRPr="005A084A">
      <w:rPr>
        <w:sz w:val="22"/>
        <w:szCs w:val="22"/>
      </w:rPr>
      <w:t xml:space="preserve">Por la cual se ordena hacer público el proyecto de resolución </w:t>
    </w:r>
    <w:r w:rsidR="005A084A" w:rsidRPr="005A084A">
      <w:rPr>
        <w:sz w:val="22"/>
        <w:szCs w:val="22"/>
      </w:rPr>
      <w:t>“</w:t>
    </w:r>
    <w:r w:rsidRPr="005A084A">
      <w:rPr>
        <w:sz w:val="22"/>
        <w:szCs w:val="22"/>
      </w:rPr>
      <w:t>Por la cual se establece el régimen transitorio especial en materia tarifaria para la región Caribe, de que trata el artículo 318 de la Ley 1955 de 2019 y el Decreto 1645 de 2019</w:t>
    </w:r>
    <w:r w:rsidR="005A084A" w:rsidRPr="005A084A">
      <w:rPr>
        <w:sz w:val="22"/>
        <w:szCs w:val="22"/>
      </w:rPr>
      <w:t>”</w:t>
    </w:r>
  </w:p>
  <w:p w:rsidR="00396DFC" w:rsidRDefault="00396DFC">
    <w:r>
      <w:rPr>
        <w:sz w:val="22"/>
        <w:szCs w:val="22"/>
      </w:rP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54F" w:rsidRDefault="00DC154F" w:rsidP="000B7990">
    <w:pPr>
      <w:pStyle w:val="Encabezado"/>
      <w:jc w:val="center"/>
      <w:rPr>
        <w:rFonts w:ascii="Arial" w:hAnsi="Arial" w:cs="Arial"/>
        <w:spacing w:val="20"/>
        <w:sz w:val="20"/>
      </w:rPr>
    </w:pPr>
    <w:r>
      <w:rPr>
        <w:rFonts w:ascii="Arial" w:hAnsi="Arial" w:cs="Arial"/>
        <w:spacing w:val="20"/>
        <w:sz w:val="20"/>
      </w:rPr>
      <w:t>República de Colombia</w:t>
    </w:r>
  </w:p>
  <w:p w:rsidR="00DC154F" w:rsidRDefault="00DC154F">
    <w:pPr>
      <w:pStyle w:val="Encabezado"/>
      <w:jc w:val="center"/>
      <w:rPr>
        <w:rFonts w:ascii="Arial" w:hAnsi="Arial" w:cs="Arial"/>
        <w:spacing w:val="20"/>
        <w:sz w:val="20"/>
      </w:rPr>
    </w:pPr>
  </w:p>
  <w:p w:rsidR="00DC154F" w:rsidRDefault="00DC154F"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20E48FD" wp14:editId="59130C0B">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FBB34"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B820E47"/>
    <w:multiLevelType w:val="hybridMultilevel"/>
    <w:tmpl w:val="9FF2B048"/>
    <w:lvl w:ilvl="0" w:tplc="E7D4555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8"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3"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7"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9"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2" w15:restartNumberingAfterBreak="0">
    <w:nsid w:val="4F471EEB"/>
    <w:multiLevelType w:val="multilevel"/>
    <w:tmpl w:val="7F48610C"/>
    <w:name w:val="Nueva lista 3"/>
    <w:lvl w:ilvl="0">
      <w:start w:val="1"/>
      <w:numFmt w:val="decimal"/>
      <w:pStyle w:val="Artculo"/>
      <w:suff w:val="space"/>
      <w:lvlText w:val="Artículo %1."/>
      <w:lvlJc w:val="left"/>
      <w:pPr>
        <w:ind w:left="5387" w:firstLine="0"/>
      </w:pPr>
      <w:rPr>
        <w:rFonts w:hint="default"/>
        <w:b/>
      </w:rPr>
    </w:lvl>
    <w:lvl w:ilvl="1">
      <w:start w:val="1"/>
      <w:numFmt w:val="none"/>
      <w:suff w:val="nothing"/>
      <w:lvlText w:val=""/>
      <w:lvlJc w:val="left"/>
      <w:pPr>
        <w:ind w:left="3685" w:firstLine="0"/>
      </w:pPr>
      <w:rPr>
        <w:rFonts w:hint="default"/>
      </w:rPr>
    </w:lvl>
    <w:lvl w:ilvl="2">
      <w:start w:val="1"/>
      <w:numFmt w:val="none"/>
      <w:suff w:val="nothing"/>
      <w:lvlText w:val=""/>
      <w:lvlJc w:val="left"/>
      <w:pPr>
        <w:ind w:left="3685" w:firstLine="0"/>
      </w:pPr>
      <w:rPr>
        <w:rFonts w:hint="default"/>
      </w:rPr>
    </w:lvl>
    <w:lvl w:ilvl="3">
      <w:start w:val="1"/>
      <w:numFmt w:val="none"/>
      <w:suff w:val="nothing"/>
      <w:lvlText w:val=""/>
      <w:lvlJc w:val="left"/>
      <w:pPr>
        <w:ind w:left="3685" w:firstLine="0"/>
      </w:pPr>
      <w:rPr>
        <w:rFonts w:hint="default"/>
      </w:rPr>
    </w:lvl>
    <w:lvl w:ilvl="4">
      <w:start w:val="1"/>
      <w:numFmt w:val="none"/>
      <w:suff w:val="nothing"/>
      <w:lvlText w:val=""/>
      <w:lvlJc w:val="left"/>
      <w:pPr>
        <w:ind w:left="3685" w:firstLine="0"/>
      </w:pPr>
      <w:rPr>
        <w:rFonts w:hint="default"/>
      </w:rPr>
    </w:lvl>
    <w:lvl w:ilvl="5">
      <w:start w:val="1"/>
      <w:numFmt w:val="none"/>
      <w:suff w:val="nothing"/>
      <w:lvlText w:val=""/>
      <w:lvlJc w:val="left"/>
      <w:pPr>
        <w:ind w:left="3685" w:firstLine="0"/>
      </w:pPr>
      <w:rPr>
        <w:rFonts w:hint="default"/>
      </w:rPr>
    </w:lvl>
    <w:lvl w:ilvl="6">
      <w:start w:val="1"/>
      <w:numFmt w:val="none"/>
      <w:suff w:val="nothing"/>
      <w:lvlText w:val=""/>
      <w:lvlJc w:val="left"/>
      <w:pPr>
        <w:ind w:left="3685" w:firstLine="0"/>
      </w:pPr>
      <w:rPr>
        <w:rFonts w:hint="default"/>
      </w:rPr>
    </w:lvl>
    <w:lvl w:ilvl="7">
      <w:start w:val="1"/>
      <w:numFmt w:val="none"/>
      <w:suff w:val="nothing"/>
      <w:lvlText w:val=""/>
      <w:lvlJc w:val="left"/>
      <w:pPr>
        <w:ind w:left="3685" w:firstLine="0"/>
      </w:pPr>
      <w:rPr>
        <w:rFonts w:hint="default"/>
      </w:rPr>
    </w:lvl>
    <w:lvl w:ilvl="8">
      <w:start w:val="1"/>
      <w:numFmt w:val="none"/>
      <w:suff w:val="nothing"/>
      <w:lvlText w:val=""/>
      <w:lvlJc w:val="left"/>
      <w:pPr>
        <w:ind w:left="3685" w:firstLine="0"/>
      </w:pPr>
      <w:rPr>
        <w:rFonts w:hint="default"/>
      </w:rPr>
    </w:lvl>
  </w:abstractNum>
  <w:abstractNum w:abstractNumId="23"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6"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A447187"/>
    <w:multiLevelType w:val="multilevel"/>
    <w:tmpl w:val="4434ED98"/>
    <w:lvl w:ilvl="0">
      <w:start w:val="1"/>
      <w:numFmt w:val="decimal"/>
      <w:lvlText w:val="%1)"/>
      <w:lvlJc w:val="left"/>
      <w:pPr>
        <w:ind w:left="1069" w:hanging="36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8"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6E23061C"/>
    <w:multiLevelType w:val="hybridMultilevel"/>
    <w:tmpl w:val="D6B801F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5"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12"/>
  </w:num>
  <w:num w:numId="3">
    <w:abstractNumId w:val="24"/>
  </w:num>
  <w:num w:numId="4">
    <w:abstractNumId w:val="22"/>
  </w:num>
  <w:num w:numId="5">
    <w:abstractNumId w:val="29"/>
  </w:num>
  <w:num w:numId="6">
    <w:abstractNumId w:val="9"/>
  </w:num>
  <w:num w:numId="7">
    <w:abstractNumId w:val="22"/>
  </w:num>
  <w:num w:numId="8">
    <w:abstractNumId w:val="5"/>
  </w:num>
  <w:num w:numId="9">
    <w:abstractNumId w:val="3"/>
  </w:num>
  <w:num w:numId="10">
    <w:abstractNumId w:val="20"/>
  </w:num>
  <w:num w:numId="11">
    <w:abstractNumId w:val="15"/>
  </w:num>
  <w:num w:numId="12">
    <w:abstractNumId w:val="4"/>
  </w:num>
  <w:num w:numId="13">
    <w:abstractNumId w:val="38"/>
  </w:num>
  <w:num w:numId="14">
    <w:abstractNumId w:val="17"/>
  </w:num>
  <w:num w:numId="15">
    <w:abstractNumId w:val="33"/>
  </w:num>
  <w:num w:numId="16">
    <w:abstractNumId w:val="28"/>
  </w:num>
  <w:num w:numId="17">
    <w:abstractNumId w:val="29"/>
  </w:num>
  <w:num w:numId="18">
    <w:abstractNumId w:val="8"/>
  </w:num>
  <w:num w:numId="19">
    <w:abstractNumId w:val="29"/>
  </w:num>
  <w:num w:numId="20">
    <w:abstractNumId w:val="25"/>
  </w:num>
  <w:num w:numId="21">
    <w:abstractNumId w:val="29"/>
  </w:num>
  <w:num w:numId="22">
    <w:abstractNumId w:val="2"/>
  </w:num>
  <w:num w:numId="23">
    <w:abstractNumId w:val="14"/>
  </w:num>
  <w:num w:numId="24">
    <w:abstractNumId w:val="32"/>
  </w:num>
  <w:num w:numId="25">
    <w:abstractNumId w:val="36"/>
  </w:num>
  <w:num w:numId="26">
    <w:abstractNumId w:val="13"/>
  </w:num>
  <w:num w:numId="27">
    <w:abstractNumId w:val="37"/>
  </w:num>
  <w:num w:numId="28">
    <w:abstractNumId w:val="23"/>
  </w:num>
  <w:num w:numId="29">
    <w:abstractNumId w:val="29"/>
  </w:num>
  <w:num w:numId="30">
    <w:abstractNumId w:val="21"/>
  </w:num>
  <w:num w:numId="31">
    <w:abstractNumId w:val="29"/>
  </w:num>
  <w:num w:numId="32">
    <w:abstractNumId w:val="22"/>
  </w:num>
  <w:num w:numId="33">
    <w:abstractNumId w:val="29"/>
  </w:num>
  <w:num w:numId="34">
    <w:abstractNumId w:val="22"/>
  </w:num>
  <w:num w:numId="35">
    <w:abstractNumId w:val="35"/>
  </w:num>
  <w:num w:numId="36">
    <w:abstractNumId w:val="22"/>
  </w:num>
  <w:num w:numId="37">
    <w:abstractNumId w:val="10"/>
  </w:num>
  <w:num w:numId="38">
    <w:abstractNumId w:val="29"/>
  </w:num>
  <w:num w:numId="39">
    <w:abstractNumId w:val="16"/>
  </w:num>
  <w:num w:numId="40">
    <w:abstractNumId w:val="34"/>
  </w:num>
  <w:num w:numId="41">
    <w:abstractNumId w:val="29"/>
  </w:num>
  <w:num w:numId="42">
    <w:abstractNumId w:val="29"/>
  </w:num>
  <w:num w:numId="43">
    <w:abstractNumId w:val="29"/>
  </w:num>
  <w:num w:numId="44">
    <w:abstractNumId w:val="29"/>
  </w:num>
  <w:num w:numId="45">
    <w:abstractNumId w:val="29"/>
  </w:num>
  <w:num w:numId="46">
    <w:abstractNumId w:val="11"/>
  </w:num>
  <w:num w:numId="47">
    <w:abstractNumId w:val="22"/>
  </w:num>
  <w:num w:numId="48">
    <w:abstractNumId w:val="22"/>
  </w:num>
  <w:num w:numId="49">
    <w:abstractNumId w:val="22"/>
  </w:num>
  <w:num w:numId="50">
    <w:abstractNumId w:val="22"/>
  </w:num>
  <w:num w:numId="51">
    <w:abstractNumId w:val="22"/>
  </w:num>
  <w:num w:numId="52">
    <w:abstractNumId w:val="22"/>
  </w:num>
  <w:num w:numId="53">
    <w:abstractNumId w:val="39"/>
  </w:num>
  <w:num w:numId="54">
    <w:abstractNumId w:val="22"/>
  </w:num>
  <w:num w:numId="55">
    <w:abstractNumId w:val="22"/>
  </w:num>
  <w:num w:numId="56">
    <w:abstractNumId w:val="19"/>
  </w:num>
  <w:num w:numId="57">
    <w:abstractNumId w:val="22"/>
  </w:num>
  <w:num w:numId="58">
    <w:abstractNumId w:val="22"/>
  </w:num>
  <w:num w:numId="59">
    <w:abstractNumId w:val="31"/>
  </w:num>
  <w:num w:numId="60">
    <w:abstractNumId w:val="27"/>
  </w:num>
  <w:num w:numId="61">
    <w:abstractNumId w:val="6"/>
  </w:num>
  <w:num w:numId="62">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2C5"/>
    <w:rsid w:val="000014A8"/>
    <w:rsid w:val="0000191D"/>
    <w:rsid w:val="00001B8D"/>
    <w:rsid w:val="0000215F"/>
    <w:rsid w:val="00003049"/>
    <w:rsid w:val="00005326"/>
    <w:rsid w:val="000056FB"/>
    <w:rsid w:val="00006585"/>
    <w:rsid w:val="00006AE2"/>
    <w:rsid w:val="00006EF5"/>
    <w:rsid w:val="000076A1"/>
    <w:rsid w:val="00011754"/>
    <w:rsid w:val="0001209B"/>
    <w:rsid w:val="00012259"/>
    <w:rsid w:val="0001368F"/>
    <w:rsid w:val="00015F4C"/>
    <w:rsid w:val="00016B85"/>
    <w:rsid w:val="00017396"/>
    <w:rsid w:val="00017AAE"/>
    <w:rsid w:val="000203BE"/>
    <w:rsid w:val="0002117B"/>
    <w:rsid w:val="00022832"/>
    <w:rsid w:val="00023841"/>
    <w:rsid w:val="00024EEB"/>
    <w:rsid w:val="00025383"/>
    <w:rsid w:val="00025964"/>
    <w:rsid w:val="00025D05"/>
    <w:rsid w:val="000268D6"/>
    <w:rsid w:val="00027C0A"/>
    <w:rsid w:val="00027C0E"/>
    <w:rsid w:val="000309E8"/>
    <w:rsid w:val="00032C8E"/>
    <w:rsid w:val="00034669"/>
    <w:rsid w:val="00034F65"/>
    <w:rsid w:val="0003547A"/>
    <w:rsid w:val="0003568E"/>
    <w:rsid w:val="000356FD"/>
    <w:rsid w:val="0003695A"/>
    <w:rsid w:val="00040250"/>
    <w:rsid w:val="00042A98"/>
    <w:rsid w:val="00042FCC"/>
    <w:rsid w:val="000432E2"/>
    <w:rsid w:val="000446EC"/>
    <w:rsid w:val="00045094"/>
    <w:rsid w:val="00045CD7"/>
    <w:rsid w:val="00045D3D"/>
    <w:rsid w:val="0005171B"/>
    <w:rsid w:val="00051D1F"/>
    <w:rsid w:val="00053BE6"/>
    <w:rsid w:val="00054D95"/>
    <w:rsid w:val="00055984"/>
    <w:rsid w:val="00056ECE"/>
    <w:rsid w:val="0005705F"/>
    <w:rsid w:val="0005740C"/>
    <w:rsid w:val="00063454"/>
    <w:rsid w:val="00063657"/>
    <w:rsid w:val="000706B6"/>
    <w:rsid w:val="00072696"/>
    <w:rsid w:val="0007409E"/>
    <w:rsid w:val="00076680"/>
    <w:rsid w:val="00076A1D"/>
    <w:rsid w:val="000771FB"/>
    <w:rsid w:val="0008073E"/>
    <w:rsid w:val="0008115D"/>
    <w:rsid w:val="000821D9"/>
    <w:rsid w:val="00082B34"/>
    <w:rsid w:val="00082FE9"/>
    <w:rsid w:val="000831AC"/>
    <w:rsid w:val="000837A5"/>
    <w:rsid w:val="00083AA8"/>
    <w:rsid w:val="0008424A"/>
    <w:rsid w:val="00084F74"/>
    <w:rsid w:val="000857D1"/>
    <w:rsid w:val="000862A1"/>
    <w:rsid w:val="000863DB"/>
    <w:rsid w:val="0008751B"/>
    <w:rsid w:val="0008776A"/>
    <w:rsid w:val="0009104E"/>
    <w:rsid w:val="0009196C"/>
    <w:rsid w:val="00091CDB"/>
    <w:rsid w:val="00095EA2"/>
    <w:rsid w:val="00097ADD"/>
    <w:rsid w:val="000A1319"/>
    <w:rsid w:val="000A19AC"/>
    <w:rsid w:val="000A227C"/>
    <w:rsid w:val="000A2FBC"/>
    <w:rsid w:val="000A38CC"/>
    <w:rsid w:val="000A3916"/>
    <w:rsid w:val="000B2EC9"/>
    <w:rsid w:val="000B3688"/>
    <w:rsid w:val="000B5040"/>
    <w:rsid w:val="000B65BD"/>
    <w:rsid w:val="000B7990"/>
    <w:rsid w:val="000C06AF"/>
    <w:rsid w:val="000C1951"/>
    <w:rsid w:val="000C1DE0"/>
    <w:rsid w:val="000C266A"/>
    <w:rsid w:val="000C5A98"/>
    <w:rsid w:val="000C5DF4"/>
    <w:rsid w:val="000C64D6"/>
    <w:rsid w:val="000C6881"/>
    <w:rsid w:val="000C743D"/>
    <w:rsid w:val="000C784A"/>
    <w:rsid w:val="000D1E36"/>
    <w:rsid w:val="000D26F8"/>
    <w:rsid w:val="000D2A00"/>
    <w:rsid w:val="000D36AF"/>
    <w:rsid w:val="000D3884"/>
    <w:rsid w:val="000D3FC2"/>
    <w:rsid w:val="000D462C"/>
    <w:rsid w:val="000D5201"/>
    <w:rsid w:val="000D5C79"/>
    <w:rsid w:val="000E022D"/>
    <w:rsid w:val="000E129B"/>
    <w:rsid w:val="000E2A42"/>
    <w:rsid w:val="000E3D26"/>
    <w:rsid w:val="000E737D"/>
    <w:rsid w:val="000F130F"/>
    <w:rsid w:val="000F30B5"/>
    <w:rsid w:val="000F3A75"/>
    <w:rsid w:val="000F4463"/>
    <w:rsid w:val="000F47C4"/>
    <w:rsid w:val="000F5392"/>
    <w:rsid w:val="000F563E"/>
    <w:rsid w:val="000F68AA"/>
    <w:rsid w:val="000F7AE9"/>
    <w:rsid w:val="000F7C81"/>
    <w:rsid w:val="0010087D"/>
    <w:rsid w:val="0010101F"/>
    <w:rsid w:val="00101F35"/>
    <w:rsid w:val="0010333D"/>
    <w:rsid w:val="00105E02"/>
    <w:rsid w:val="0010658E"/>
    <w:rsid w:val="00106654"/>
    <w:rsid w:val="001067D3"/>
    <w:rsid w:val="001071F3"/>
    <w:rsid w:val="001106AF"/>
    <w:rsid w:val="001129C7"/>
    <w:rsid w:val="00112F16"/>
    <w:rsid w:val="001147FF"/>
    <w:rsid w:val="00116D97"/>
    <w:rsid w:val="001177E6"/>
    <w:rsid w:val="001219D6"/>
    <w:rsid w:val="00126B7F"/>
    <w:rsid w:val="0012783F"/>
    <w:rsid w:val="00130D85"/>
    <w:rsid w:val="00132FE3"/>
    <w:rsid w:val="001333FC"/>
    <w:rsid w:val="0013384D"/>
    <w:rsid w:val="00133EC9"/>
    <w:rsid w:val="00134DE7"/>
    <w:rsid w:val="0013526C"/>
    <w:rsid w:val="00135C1F"/>
    <w:rsid w:val="00136F57"/>
    <w:rsid w:val="001405C6"/>
    <w:rsid w:val="0014064C"/>
    <w:rsid w:val="00141013"/>
    <w:rsid w:val="00142021"/>
    <w:rsid w:val="0014208F"/>
    <w:rsid w:val="0014220A"/>
    <w:rsid w:val="0014256F"/>
    <w:rsid w:val="0014363D"/>
    <w:rsid w:val="00144681"/>
    <w:rsid w:val="00145486"/>
    <w:rsid w:val="00145736"/>
    <w:rsid w:val="001459D6"/>
    <w:rsid w:val="00145ED7"/>
    <w:rsid w:val="001478B5"/>
    <w:rsid w:val="00151A0F"/>
    <w:rsid w:val="0015228B"/>
    <w:rsid w:val="00152D9A"/>
    <w:rsid w:val="00152E0C"/>
    <w:rsid w:val="0015338C"/>
    <w:rsid w:val="001541F3"/>
    <w:rsid w:val="00154D0C"/>
    <w:rsid w:val="00155CCF"/>
    <w:rsid w:val="001560A7"/>
    <w:rsid w:val="00156A07"/>
    <w:rsid w:val="00157B49"/>
    <w:rsid w:val="00160BCF"/>
    <w:rsid w:val="00161084"/>
    <w:rsid w:val="00164C80"/>
    <w:rsid w:val="00164E00"/>
    <w:rsid w:val="00166AA9"/>
    <w:rsid w:val="00166B53"/>
    <w:rsid w:val="001710F9"/>
    <w:rsid w:val="00171B59"/>
    <w:rsid w:val="00172F05"/>
    <w:rsid w:val="001736D5"/>
    <w:rsid w:val="00174CA4"/>
    <w:rsid w:val="001762DD"/>
    <w:rsid w:val="00177652"/>
    <w:rsid w:val="001778BC"/>
    <w:rsid w:val="00177D48"/>
    <w:rsid w:val="0018241F"/>
    <w:rsid w:val="00182497"/>
    <w:rsid w:val="001827DF"/>
    <w:rsid w:val="00184170"/>
    <w:rsid w:val="00185F79"/>
    <w:rsid w:val="001876F9"/>
    <w:rsid w:val="00190C2D"/>
    <w:rsid w:val="00190F0B"/>
    <w:rsid w:val="00192CBF"/>
    <w:rsid w:val="00192FF1"/>
    <w:rsid w:val="00194947"/>
    <w:rsid w:val="001949D2"/>
    <w:rsid w:val="00194C52"/>
    <w:rsid w:val="0019667F"/>
    <w:rsid w:val="00196D8C"/>
    <w:rsid w:val="00197F32"/>
    <w:rsid w:val="001A1422"/>
    <w:rsid w:val="001A28EE"/>
    <w:rsid w:val="001A2B6E"/>
    <w:rsid w:val="001A3643"/>
    <w:rsid w:val="001A39D5"/>
    <w:rsid w:val="001A44FC"/>
    <w:rsid w:val="001A5F1B"/>
    <w:rsid w:val="001A6488"/>
    <w:rsid w:val="001A6EA0"/>
    <w:rsid w:val="001A7613"/>
    <w:rsid w:val="001B03F7"/>
    <w:rsid w:val="001B05A4"/>
    <w:rsid w:val="001B1607"/>
    <w:rsid w:val="001B17F4"/>
    <w:rsid w:val="001B1C22"/>
    <w:rsid w:val="001B34C6"/>
    <w:rsid w:val="001B4BDE"/>
    <w:rsid w:val="001C0C42"/>
    <w:rsid w:val="001C2018"/>
    <w:rsid w:val="001C218B"/>
    <w:rsid w:val="001C36F4"/>
    <w:rsid w:val="001C3877"/>
    <w:rsid w:val="001C4A3C"/>
    <w:rsid w:val="001C5ED3"/>
    <w:rsid w:val="001C6A2D"/>
    <w:rsid w:val="001D0772"/>
    <w:rsid w:val="001D31E0"/>
    <w:rsid w:val="001D3333"/>
    <w:rsid w:val="001D516B"/>
    <w:rsid w:val="001D68E3"/>
    <w:rsid w:val="001D7146"/>
    <w:rsid w:val="001D7832"/>
    <w:rsid w:val="001E0EDD"/>
    <w:rsid w:val="001E26B9"/>
    <w:rsid w:val="001E3911"/>
    <w:rsid w:val="001E485E"/>
    <w:rsid w:val="001E692F"/>
    <w:rsid w:val="001F2C5B"/>
    <w:rsid w:val="001F2FD8"/>
    <w:rsid w:val="001F41C6"/>
    <w:rsid w:val="001F4256"/>
    <w:rsid w:val="001F5AFE"/>
    <w:rsid w:val="001F5ECC"/>
    <w:rsid w:val="001F69A7"/>
    <w:rsid w:val="001F780F"/>
    <w:rsid w:val="002001AC"/>
    <w:rsid w:val="002012D8"/>
    <w:rsid w:val="002015A0"/>
    <w:rsid w:val="002038CE"/>
    <w:rsid w:val="002039D6"/>
    <w:rsid w:val="00204D82"/>
    <w:rsid w:val="00204DF3"/>
    <w:rsid w:val="0020533E"/>
    <w:rsid w:val="00206407"/>
    <w:rsid w:val="00207D99"/>
    <w:rsid w:val="00210DC1"/>
    <w:rsid w:val="0021157A"/>
    <w:rsid w:val="00211618"/>
    <w:rsid w:val="00211A8A"/>
    <w:rsid w:val="00211D34"/>
    <w:rsid w:val="0021297B"/>
    <w:rsid w:val="002133FA"/>
    <w:rsid w:val="00214328"/>
    <w:rsid w:val="00214F04"/>
    <w:rsid w:val="00217D47"/>
    <w:rsid w:val="00221054"/>
    <w:rsid w:val="00221277"/>
    <w:rsid w:val="00223E50"/>
    <w:rsid w:val="0022483E"/>
    <w:rsid w:val="00224FC9"/>
    <w:rsid w:val="00227061"/>
    <w:rsid w:val="00227870"/>
    <w:rsid w:val="00227E1E"/>
    <w:rsid w:val="002309A9"/>
    <w:rsid w:val="0023338E"/>
    <w:rsid w:val="0023398D"/>
    <w:rsid w:val="002352B9"/>
    <w:rsid w:val="0023598E"/>
    <w:rsid w:val="0023621E"/>
    <w:rsid w:val="00236483"/>
    <w:rsid w:val="002367F5"/>
    <w:rsid w:val="00237EDC"/>
    <w:rsid w:val="00240640"/>
    <w:rsid w:val="00242A95"/>
    <w:rsid w:val="00242F2B"/>
    <w:rsid w:val="002436B9"/>
    <w:rsid w:val="00243A0A"/>
    <w:rsid w:val="002444FF"/>
    <w:rsid w:val="00245E5D"/>
    <w:rsid w:val="00251779"/>
    <w:rsid w:val="00254206"/>
    <w:rsid w:val="0025525F"/>
    <w:rsid w:val="00255960"/>
    <w:rsid w:val="00255FEF"/>
    <w:rsid w:val="002560C5"/>
    <w:rsid w:val="00256DBC"/>
    <w:rsid w:val="00256EA4"/>
    <w:rsid w:val="002571C8"/>
    <w:rsid w:val="0025726F"/>
    <w:rsid w:val="002574E8"/>
    <w:rsid w:val="002578B3"/>
    <w:rsid w:val="002579DC"/>
    <w:rsid w:val="00257A41"/>
    <w:rsid w:val="002603B0"/>
    <w:rsid w:val="00260906"/>
    <w:rsid w:val="00261CF7"/>
    <w:rsid w:val="00262248"/>
    <w:rsid w:val="0026282C"/>
    <w:rsid w:val="00262A93"/>
    <w:rsid w:val="002631B1"/>
    <w:rsid w:val="00264F14"/>
    <w:rsid w:val="0026521A"/>
    <w:rsid w:val="002654BA"/>
    <w:rsid w:val="002657E2"/>
    <w:rsid w:val="00266CD6"/>
    <w:rsid w:val="002673AC"/>
    <w:rsid w:val="00270C4A"/>
    <w:rsid w:val="0027278C"/>
    <w:rsid w:val="00273484"/>
    <w:rsid w:val="002739BD"/>
    <w:rsid w:val="00274C95"/>
    <w:rsid w:val="00275AC0"/>
    <w:rsid w:val="00275DAB"/>
    <w:rsid w:val="00276059"/>
    <w:rsid w:val="00276BF7"/>
    <w:rsid w:val="00280F65"/>
    <w:rsid w:val="002821BE"/>
    <w:rsid w:val="002836E2"/>
    <w:rsid w:val="002841D2"/>
    <w:rsid w:val="0028662C"/>
    <w:rsid w:val="002903C0"/>
    <w:rsid w:val="002903D1"/>
    <w:rsid w:val="00291726"/>
    <w:rsid w:val="002922A7"/>
    <w:rsid w:val="00292FE9"/>
    <w:rsid w:val="00295857"/>
    <w:rsid w:val="00295ACD"/>
    <w:rsid w:val="0029698E"/>
    <w:rsid w:val="002A51EF"/>
    <w:rsid w:val="002A657A"/>
    <w:rsid w:val="002A782A"/>
    <w:rsid w:val="002A7D62"/>
    <w:rsid w:val="002B11E2"/>
    <w:rsid w:val="002B24B8"/>
    <w:rsid w:val="002B5E3C"/>
    <w:rsid w:val="002B71B1"/>
    <w:rsid w:val="002C01FA"/>
    <w:rsid w:val="002C3488"/>
    <w:rsid w:val="002C5612"/>
    <w:rsid w:val="002C7252"/>
    <w:rsid w:val="002D3AE9"/>
    <w:rsid w:val="002D3CE7"/>
    <w:rsid w:val="002D40E8"/>
    <w:rsid w:val="002D4510"/>
    <w:rsid w:val="002D5193"/>
    <w:rsid w:val="002D7D6C"/>
    <w:rsid w:val="002E09F5"/>
    <w:rsid w:val="002E1770"/>
    <w:rsid w:val="002E1AF2"/>
    <w:rsid w:val="002E1F65"/>
    <w:rsid w:val="002E2DCA"/>
    <w:rsid w:val="002E635C"/>
    <w:rsid w:val="002E7997"/>
    <w:rsid w:val="002F011C"/>
    <w:rsid w:val="002F026E"/>
    <w:rsid w:val="002F0734"/>
    <w:rsid w:val="002F22EB"/>
    <w:rsid w:val="002F3712"/>
    <w:rsid w:val="002F46E7"/>
    <w:rsid w:val="002F72DB"/>
    <w:rsid w:val="002F75C0"/>
    <w:rsid w:val="002F78B4"/>
    <w:rsid w:val="002F7B19"/>
    <w:rsid w:val="003008A1"/>
    <w:rsid w:val="00302EFB"/>
    <w:rsid w:val="0030336F"/>
    <w:rsid w:val="003040BE"/>
    <w:rsid w:val="0030641B"/>
    <w:rsid w:val="00307E9C"/>
    <w:rsid w:val="00307F8B"/>
    <w:rsid w:val="00307F96"/>
    <w:rsid w:val="003101DA"/>
    <w:rsid w:val="003111C3"/>
    <w:rsid w:val="00312443"/>
    <w:rsid w:val="00312DDD"/>
    <w:rsid w:val="00313B84"/>
    <w:rsid w:val="00314757"/>
    <w:rsid w:val="00315689"/>
    <w:rsid w:val="00315CD0"/>
    <w:rsid w:val="003163BC"/>
    <w:rsid w:val="00317410"/>
    <w:rsid w:val="003211CE"/>
    <w:rsid w:val="0032190A"/>
    <w:rsid w:val="00321B6E"/>
    <w:rsid w:val="0032714E"/>
    <w:rsid w:val="00327412"/>
    <w:rsid w:val="00327443"/>
    <w:rsid w:val="00330DFC"/>
    <w:rsid w:val="00330E17"/>
    <w:rsid w:val="00331C8C"/>
    <w:rsid w:val="00332AD1"/>
    <w:rsid w:val="003343C8"/>
    <w:rsid w:val="003343FE"/>
    <w:rsid w:val="003344C3"/>
    <w:rsid w:val="0033500E"/>
    <w:rsid w:val="0033564E"/>
    <w:rsid w:val="00335EAC"/>
    <w:rsid w:val="0033715F"/>
    <w:rsid w:val="003373A2"/>
    <w:rsid w:val="00337C84"/>
    <w:rsid w:val="003419AC"/>
    <w:rsid w:val="00343303"/>
    <w:rsid w:val="003473A2"/>
    <w:rsid w:val="00350A8C"/>
    <w:rsid w:val="00350DE4"/>
    <w:rsid w:val="00351E6B"/>
    <w:rsid w:val="00352C2F"/>
    <w:rsid w:val="003538D6"/>
    <w:rsid w:val="0035403A"/>
    <w:rsid w:val="003619C3"/>
    <w:rsid w:val="00361EF5"/>
    <w:rsid w:val="0036394B"/>
    <w:rsid w:val="00366AC7"/>
    <w:rsid w:val="00366DB6"/>
    <w:rsid w:val="003671B0"/>
    <w:rsid w:val="0036724C"/>
    <w:rsid w:val="0036763F"/>
    <w:rsid w:val="00370325"/>
    <w:rsid w:val="003706AD"/>
    <w:rsid w:val="003709B5"/>
    <w:rsid w:val="0037156B"/>
    <w:rsid w:val="003735E3"/>
    <w:rsid w:val="003742B8"/>
    <w:rsid w:val="00374855"/>
    <w:rsid w:val="0037566A"/>
    <w:rsid w:val="003759C2"/>
    <w:rsid w:val="00376056"/>
    <w:rsid w:val="0037710B"/>
    <w:rsid w:val="00377FCD"/>
    <w:rsid w:val="00380F32"/>
    <w:rsid w:val="00381AAD"/>
    <w:rsid w:val="00383AB4"/>
    <w:rsid w:val="00385A73"/>
    <w:rsid w:val="00386A9A"/>
    <w:rsid w:val="00387C27"/>
    <w:rsid w:val="0039127D"/>
    <w:rsid w:val="0039155D"/>
    <w:rsid w:val="0039172F"/>
    <w:rsid w:val="003923CF"/>
    <w:rsid w:val="0039240B"/>
    <w:rsid w:val="00393F9F"/>
    <w:rsid w:val="00396389"/>
    <w:rsid w:val="0039666B"/>
    <w:rsid w:val="00396DFC"/>
    <w:rsid w:val="00397365"/>
    <w:rsid w:val="00397DA6"/>
    <w:rsid w:val="003A0389"/>
    <w:rsid w:val="003A09A2"/>
    <w:rsid w:val="003A1451"/>
    <w:rsid w:val="003A1A65"/>
    <w:rsid w:val="003A31F6"/>
    <w:rsid w:val="003A3A6C"/>
    <w:rsid w:val="003A3E98"/>
    <w:rsid w:val="003A4D67"/>
    <w:rsid w:val="003A67F3"/>
    <w:rsid w:val="003A6FE1"/>
    <w:rsid w:val="003B15D5"/>
    <w:rsid w:val="003B1627"/>
    <w:rsid w:val="003B2C98"/>
    <w:rsid w:val="003B3EF0"/>
    <w:rsid w:val="003B4485"/>
    <w:rsid w:val="003B534A"/>
    <w:rsid w:val="003B79D4"/>
    <w:rsid w:val="003B7AE8"/>
    <w:rsid w:val="003C0474"/>
    <w:rsid w:val="003C156A"/>
    <w:rsid w:val="003C242C"/>
    <w:rsid w:val="003C3447"/>
    <w:rsid w:val="003C4072"/>
    <w:rsid w:val="003D0386"/>
    <w:rsid w:val="003D0607"/>
    <w:rsid w:val="003D076C"/>
    <w:rsid w:val="003D1367"/>
    <w:rsid w:val="003D160E"/>
    <w:rsid w:val="003D1FD8"/>
    <w:rsid w:val="003D34F9"/>
    <w:rsid w:val="003D38E3"/>
    <w:rsid w:val="003D53C3"/>
    <w:rsid w:val="003D59D4"/>
    <w:rsid w:val="003D5EBE"/>
    <w:rsid w:val="003D6335"/>
    <w:rsid w:val="003D7344"/>
    <w:rsid w:val="003E01CE"/>
    <w:rsid w:val="003E0745"/>
    <w:rsid w:val="003E0761"/>
    <w:rsid w:val="003E3442"/>
    <w:rsid w:val="003E5626"/>
    <w:rsid w:val="003E7112"/>
    <w:rsid w:val="003E7817"/>
    <w:rsid w:val="003E78B5"/>
    <w:rsid w:val="003F1778"/>
    <w:rsid w:val="003F54A4"/>
    <w:rsid w:val="003F70F2"/>
    <w:rsid w:val="003F77E3"/>
    <w:rsid w:val="003F7F77"/>
    <w:rsid w:val="00400554"/>
    <w:rsid w:val="00400A3D"/>
    <w:rsid w:val="0040199C"/>
    <w:rsid w:val="00402C03"/>
    <w:rsid w:val="00405029"/>
    <w:rsid w:val="0040781C"/>
    <w:rsid w:val="00407A25"/>
    <w:rsid w:val="00410552"/>
    <w:rsid w:val="00411924"/>
    <w:rsid w:val="004135D1"/>
    <w:rsid w:val="004151D9"/>
    <w:rsid w:val="0041597A"/>
    <w:rsid w:val="00415BAB"/>
    <w:rsid w:val="00415ED2"/>
    <w:rsid w:val="0042068C"/>
    <w:rsid w:val="00423679"/>
    <w:rsid w:val="004237FF"/>
    <w:rsid w:val="004255DF"/>
    <w:rsid w:val="00425A70"/>
    <w:rsid w:val="00425E93"/>
    <w:rsid w:val="00425F7D"/>
    <w:rsid w:val="00426B5B"/>
    <w:rsid w:val="004272FF"/>
    <w:rsid w:val="00432822"/>
    <w:rsid w:val="0043408B"/>
    <w:rsid w:val="00434170"/>
    <w:rsid w:val="00434318"/>
    <w:rsid w:val="00434E2A"/>
    <w:rsid w:val="00435900"/>
    <w:rsid w:val="00440840"/>
    <w:rsid w:val="00440DC7"/>
    <w:rsid w:val="00441C8E"/>
    <w:rsid w:val="00441FD9"/>
    <w:rsid w:val="004429D9"/>
    <w:rsid w:val="0044318E"/>
    <w:rsid w:val="00443B35"/>
    <w:rsid w:val="00446813"/>
    <w:rsid w:val="00446BEE"/>
    <w:rsid w:val="00446C55"/>
    <w:rsid w:val="00447752"/>
    <w:rsid w:val="0045009B"/>
    <w:rsid w:val="004508F2"/>
    <w:rsid w:val="00450A9D"/>
    <w:rsid w:val="00451303"/>
    <w:rsid w:val="0045178C"/>
    <w:rsid w:val="00452577"/>
    <w:rsid w:val="004526AC"/>
    <w:rsid w:val="0045463B"/>
    <w:rsid w:val="00455DAE"/>
    <w:rsid w:val="00455E26"/>
    <w:rsid w:val="00456622"/>
    <w:rsid w:val="00461628"/>
    <w:rsid w:val="00461D9A"/>
    <w:rsid w:val="0046663E"/>
    <w:rsid w:val="00466988"/>
    <w:rsid w:val="0047092D"/>
    <w:rsid w:val="0047122B"/>
    <w:rsid w:val="00471D24"/>
    <w:rsid w:val="00472125"/>
    <w:rsid w:val="00473B7A"/>
    <w:rsid w:val="00474922"/>
    <w:rsid w:val="004771D9"/>
    <w:rsid w:val="004772D7"/>
    <w:rsid w:val="00480A63"/>
    <w:rsid w:val="00481F5D"/>
    <w:rsid w:val="0048216C"/>
    <w:rsid w:val="00482D44"/>
    <w:rsid w:val="004836D4"/>
    <w:rsid w:val="00483D96"/>
    <w:rsid w:val="00485CA3"/>
    <w:rsid w:val="00490CC9"/>
    <w:rsid w:val="00492C4A"/>
    <w:rsid w:val="00495EFD"/>
    <w:rsid w:val="004960E9"/>
    <w:rsid w:val="00497384"/>
    <w:rsid w:val="00497DC9"/>
    <w:rsid w:val="004A2E88"/>
    <w:rsid w:val="004A2F4D"/>
    <w:rsid w:val="004A48BA"/>
    <w:rsid w:val="004A5305"/>
    <w:rsid w:val="004A6144"/>
    <w:rsid w:val="004A6D92"/>
    <w:rsid w:val="004B132B"/>
    <w:rsid w:val="004B13C6"/>
    <w:rsid w:val="004B41C9"/>
    <w:rsid w:val="004B7FAF"/>
    <w:rsid w:val="004C0257"/>
    <w:rsid w:val="004C0564"/>
    <w:rsid w:val="004C05BC"/>
    <w:rsid w:val="004C5603"/>
    <w:rsid w:val="004C56E4"/>
    <w:rsid w:val="004C687E"/>
    <w:rsid w:val="004D040D"/>
    <w:rsid w:val="004D182B"/>
    <w:rsid w:val="004D4B8C"/>
    <w:rsid w:val="004D5A3A"/>
    <w:rsid w:val="004D6BC4"/>
    <w:rsid w:val="004D7118"/>
    <w:rsid w:val="004D72B2"/>
    <w:rsid w:val="004D7634"/>
    <w:rsid w:val="004E1214"/>
    <w:rsid w:val="004E196A"/>
    <w:rsid w:val="004E410F"/>
    <w:rsid w:val="004E55D4"/>
    <w:rsid w:val="004E5EAA"/>
    <w:rsid w:val="004E611A"/>
    <w:rsid w:val="004E650C"/>
    <w:rsid w:val="004F0852"/>
    <w:rsid w:val="004F165C"/>
    <w:rsid w:val="004F1740"/>
    <w:rsid w:val="004F177E"/>
    <w:rsid w:val="004F17CA"/>
    <w:rsid w:val="004F3DF8"/>
    <w:rsid w:val="004F52EE"/>
    <w:rsid w:val="004F5F72"/>
    <w:rsid w:val="004F6360"/>
    <w:rsid w:val="004F63B1"/>
    <w:rsid w:val="004F6460"/>
    <w:rsid w:val="005010CF"/>
    <w:rsid w:val="0050344D"/>
    <w:rsid w:val="005044C6"/>
    <w:rsid w:val="00506AFF"/>
    <w:rsid w:val="00506E54"/>
    <w:rsid w:val="00507DC6"/>
    <w:rsid w:val="00511256"/>
    <w:rsid w:val="0051288E"/>
    <w:rsid w:val="00513D79"/>
    <w:rsid w:val="00515B9C"/>
    <w:rsid w:val="00515D56"/>
    <w:rsid w:val="0051604D"/>
    <w:rsid w:val="0051635B"/>
    <w:rsid w:val="00517400"/>
    <w:rsid w:val="00520C93"/>
    <w:rsid w:val="00521271"/>
    <w:rsid w:val="0052144F"/>
    <w:rsid w:val="00523A96"/>
    <w:rsid w:val="00524BC6"/>
    <w:rsid w:val="00525389"/>
    <w:rsid w:val="00525697"/>
    <w:rsid w:val="00525AEE"/>
    <w:rsid w:val="00526A6A"/>
    <w:rsid w:val="00526C8C"/>
    <w:rsid w:val="0052720E"/>
    <w:rsid w:val="0052725A"/>
    <w:rsid w:val="005300D3"/>
    <w:rsid w:val="0053058C"/>
    <w:rsid w:val="0053520D"/>
    <w:rsid w:val="00536925"/>
    <w:rsid w:val="0054109E"/>
    <w:rsid w:val="00542A10"/>
    <w:rsid w:val="00543038"/>
    <w:rsid w:val="00543B0C"/>
    <w:rsid w:val="00544F82"/>
    <w:rsid w:val="00545DA9"/>
    <w:rsid w:val="005460E7"/>
    <w:rsid w:val="00546568"/>
    <w:rsid w:val="00546CD5"/>
    <w:rsid w:val="0055039A"/>
    <w:rsid w:val="005509D2"/>
    <w:rsid w:val="00551C12"/>
    <w:rsid w:val="00552980"/>
    <w:rsid w:val="00554C96"/>
    <w:rsid w:val="00555BA6"/>
    <w:rsid w:val="00555F0E"/>
    <w:rsid w:val="00556069"/>
    <w:rsid w:val="00557262"/>
    <w:rsid w:val="0055791F"/>
    <w:rsid w:val="00560A68"/>
    <w:rsid w:val="005624BA"/>
    <w:rsid w:val="005628C1"/>
    <w:rsid w:val="00562D89"/>
    <w:rsid w:val="00563E79"/>
    <w:rsid w:val="0056428B"/>
    <w:rsid w:val="00564B67"/>
    <w:rsid w:val="00564B8B"/>
    <w:rsid w:val="00564EDF"/>
    <w:rsid w:val="0056570C"/>
    <w:rsid w:val="00566685"/>
    <w:rsid w:val="005673AC"/>
    <w:rsid w:val="00570131"/>
    <w:rsid w:val="00570CC7"/>
    <w:rsid w:val="005711EC"/>
    <w:rsid w:val="005714A3"/>
    <w:rsid w:val="0057178F"/>
    <w:rsid w:val="00571C46"/>
    <w:rsid w:val="00571D26"/>
    <w:rsid w:val="00574008"/>
    <w:rsid w:val="005750F5"/>
    <w:rsid w:val="0057522F"/>
    <w:rsid w:val="00582A4B"/>
    <w:rsid w:val="005843A4"/>
    <w:rsid w:val="00585CF8"/>
    <w:rsid w:val="00585EEC"/>
    <w:rsid w:val="00586CF2"/>
    <w:rsid w:val="005906F9"/>
    <w:rsid w:val="00590A78"/>
    <w:rsid w:val="00590FA3"/>
    <w:rsid w:val="005912D1"/>
    <w:rsid w:val="0059145D"/>
    <w:rsid w:val="00592A56"/>
    <w:rsid w:val="00593C4F"/>
    <w:rsid w:val="005943AA"/>
    <w:rsid w:val="005946A8"/>
    <w:rsid w:val="00595129"/>
    <w:rsid w:val="0059537B"/>
    <w:rsid w:val="005953C5"/>
    <w:rsid w:val="00597DDD"/>
    <w:rsid w:val="005A01FB"/>
    <w:rsid w:val="005A084A"/>
    <w:rsid w:val="005A0E0C"/>
    <w:rsid w:val="005A35ED"/>
    <w:rsid w:val="005A3E1C"/>
    <w:rsid w:val="005A4407"/>
    <w:rsid w:val="005A59EF"/>
    <w:rsid w:val="005A5B8B"/>
    <w:rsid w:val="005A648D"/>
    <w:rsid w:val="005B1C7E"/>
    <w:rsid w:val="005B2098"/>
    <w:rsid w:val="005B4596"/>
    <w:rsid w:val="005B6CB3"/>
    <w:rsid w:val="005B6E70"/>
    <w:rsid w:val="005C00E9"/>
    <w:rsid w:val="005C1C67"/>
    <w:rsid w:val="005C2146"/>
    <w:rsid w:val="005C3BAA"/>
    <w:rsid w:val="005C51B8"/>
    <w:rsid w:val="005C55E7"/>
    <w:rsid w:val="005C6976"/>
    <w:rsid w:val="005C7781"/>
    <w:rsid w:val="005D0A73"/>
    <w:rsid w:val="005D1C05"/>
    <w:rsid w:val="005D1DE8"/>
    <w:rsid w:val="005D352F"/>
    <w:rsid w:val="005D4A9C"/>
    <w:rsid w:val="005D533D"/>
    <w:rsid w:val="005D5BC6"/>
    <w:rsid w:val="005E2B7C"/>
    <w:rsid w:val="005E30A8"/>
    <w:rsid w:val="005E4914"/>
    <w:rsid w:val="005F3416"/>
    <w:rsid w:val="005F39CA"/>
    <w:rsid w:val="005F526D"/>
    <w:rsid w:val="005F6F41"/>
    <w:rsid w:val="005F7013"/>
    <w:rsid w:val="00601DDF"/>
    <w:rsid w:val="00605DA0"/>
    <w:rsid w:val="00610A14"/>
    <w:rsid w:val="00610E42"/>
    <w:rsid w:val="0061112B"/>
    <w:rsid w:val="00611B5C"/>
    <w:rsid w:val="00614138"/>
    <w:rsid w:val="00614509"/>
    <w:rsid w:val="0061581B"/>
    <w:rsid w:val="006166B9"/>
    <w:rsid w:val="00616B17"/>
    <w:rsid w:val="00620164"/>
    <w:rsid w:val="006203E4"/>
    <w:rsid w:val="00621564"/>
    <w:rsid w:val="00621964"/>
    <w:rsid w:val="00623032"/>
    <w:rsid w:val="006236DF"/>
    <w:rsid w:val="006243D2"/>
    <w:rsid w:val="00625D9F"/>
    <w:rsid w:val="00625DC6"/>
    <w:rsid w:val="006263B4"/>
    <w:rsid w:val="0062729D"/>
    <w:rsid w:val="00627335"/>
    <w:rsid w:val="0063056C"/>
    <w:rsid w:val="006327E7"/>
    <w:rsid w:val="00632871"/>
    <w:rsid w:val="00634BC0"/>
    <w:rsid w:val="00635B22"/>
    <w:rsid w:val="00636835"/>
    <w:rsid w:val="00637393"/>
    <w:rsid w:val="00637F1B"/>
    <w:rsid w:val="0064096F"/>
    <w:rsid w:val="00641554"/>
    <w:rsid w:val="00641B15"/>
    <w:rsid w:val="0064343E"/>
    <w:rsid w:val="0064391D"/>
    <w:rsid w:val="0064468F"/>
    <w:rsid w:val="00644E86"/>
    <w:rsid w:val="00645BF9"/>
    <w:rsid w:val="00646756"/>
    <w:rsid w:val="006508AB"/>
    <w:rsid w:val="00650D7D"/>
    <w:rsid w:val="00651154"/>
    <w:rsid w:val="006516F4"/>
    <w:rsid w:val="00651821"/>
    <w:rsid w:val="00651BBF"/>
    <w:rsid w:val="00651C8E"/>
    <w:rsid w:val="006528E5"/>
    <w:rsid w:val="00654384"/>
    <w:rsid w:val="006622B2"/>
    <w:rsid w:val="00666A1D"/>
    <w:rsid w:val="006675CD"/>
    <w:rsid w:val="00667AD5"/>
    <w:rsid w:val="006712E8"/>
    <w:rsid w:val="0067238D"/>
    <w:rsid w:val="006740B2"/>
    <w:rsid w:val="00674313"/>
    <w:rsid w:val="006747D5"/>
    <w:rsid w:val="00675985"/>
    <w:rsid w:val="00677E6A"/>
    <w:rsid w:val="00680BFA"/>
    <w:rsid w:val="00681D2A"/>
    <w:rsid w:val="00683EB3"/>
    <w:rsid w:val="00684D9B"/>
    <w:rsid w:val="0068510A"/>
    <w:rsid w:val="00685BCB"/>
    <w:rsid w:val="00686ACA"/>
    <w:rsid w:val="00690CEF"/>
    <w:rsid w:val="0069245B"/>
    <w:rsid w:val="00693FFD"/>
    <w:rsid w:val="00694E6C"/>
    <w:rsid w:val="00696643"/>
    <w:rsid w:val="00697556"/>
    <w:rsid w:val="006A1CA8"/>
    <w:rsid w:val="006A1EB6"/>
    <w:rsid w:val="006A2EDF"/>
    <w:rsid w:val="006A616B"/>
    <w:rsid w:val="006A72C7"/>
    <w:rsid w:val="006B1FDF"/>
    <w:rsid w:val="006B4081"/>
    <w:rsid w:val="006B4647"/>
    <w:rsid w:val="006B4C2B"/>
    <w:rsid w:val="006B5DFE"/>
    <w:rsid w:val="006B6139"/>
    <w:rsid w:val="006B6194"/>
    <w:rsid w:val="006B661E"/>
    <w:rsid w:val="006B6D47"/>
    <w:rsid w:val="006B7078"/>
    <w:rsid w:val="006B719A"/>
    <w:rsid w:val="006C1FD7"/>
    <w:rsid w:val="006C3E16"/>
    <w:rsid w:val="006C4912"/>
    <w:rsid w:val="006C5AFE"/>
    <w:rsid w:val="006C7715"/>
    <w:rsid w:val="006C7AF6"/>
    <w:rsid w:val="006D2747"/>
    <w:rsid w:val="006D30B1"/>
    <w:rsid w:val="006D5E04"/>
    <w:rsid w:val="006D79C2"/>
    <w:rsid w:val="006E0A54"/>
    <w:rsid w:val="006E155D"/>
    <w:rsid w:val="006E1EEA"/>
    <w:rsid w:val="006E21B4"/>
    <w:rsid w:val="006E3257"/>
    <w:rsid w:val="006E3569"/>
    <w:rsid w:val="006E4298"/>
    <w:rsid w:val="006E437C"/>
    <w:rsid w:val="006E4C15"/>
    <w:rsid w:val="006E55DE"/>
    <w:rsid w:val="006E5FC3"/>
    <w:rsid w:val="006E777B"/>
    <w:rsid w:val="006F12E2"/>
    <w:rsid w:val="006F268E"/>
    <w:rsid w:val="006F2EC8"/>
    <w:rsid w:val="006F32C0"/>
    <w:rsid w:val="006F33A3"/>
    <w:rsid w:val="006F3970"/>
    <w:rsid w:val="006F4824"/>
    <w:rsid w:val="006F547B"/>
    <w:rsid w:val="006F56D0"/>
    <w:rsid w:val="006F5E13"/>
    <w:rsid w:val="006F6D95"/>
    <w:rsid w:val="006F7CFE"/>
    <w:rsid w:val="00702937"/>
    <w:rsid w:val="00704F74"/>
    <w:rsid w:val="00705F85"/>
    <w:rsid w:val="00706F13"/>
    <w:rsid w:val="007072E8"/>
    <w:rsid w:val="007076FB"/>
    <w:rsid w:val="00710FF1"/>
    <w:rsid w:val="00711553"/>
    <w:rsid w:val="007127EF"/>
    <w:rsid w:val="007134B4"/>
    <w:rsid w:val="00714A31"/>
    <w:rsid w:val="0071618D"/>
    <w:rsid w:val="0072116F"/>
    <w:rsid w:val="00721534"/>
    <w:rsid w:val="00721A52"/>
    <w:rsid w:val="00721D5B"/>
    <w:rsid w:val="00722B3D"/>
    <w:rsid w:val="00723CF0"/>
    <w:rsid w:val="0072463D"/>
    <w:rsid w:val="00724792"/>
    <w:rsid w:val="00724A10"/>
    <w:rsid w:val="00724C58"/>
    <w:rsid w:val="00725FA4"/>
    <w:rsid w:val="00726548"/>
    <w:rsid w:val="00727B2C"/>
    <w:rsid w:val="00732E0B"/>
    <w:rsid w:val="00732FDC"/>
    <w:rsid w:val="00733492"/>
    <w:rsid w:val="00733DD7"/>
    <w:rsid w:val="007340CC"/>
    <w:rsid w:val="00734187"/>
    <w:rsid w:val="00734C73"/>
    <w:rsid w:val="00740446"/>
    <w:rsid w:val="007438A9"/>
    <w:rsid w:val="00743E7F"/>
    <w:rsid w:val="0074491E"/>
    <w:rsid w:val="00745C85"/>
    <w:rsid w:val="00750D9C"/>
    <w:rsid w:val="007511E4"/>
    <w:rsid w:val="0075578E"/>
    <w:rsid w:val="007601EE"/>
    <w:rsid w:val="007602F3"/>
    <w:rsid w:val="0076163F"/>
    <w:rsid w:val="0076247A"/>
    <w:rsid w:val="00762FB0"/>
    <w:rsid w:val="00763175"/>
    <w:rsid w:val="00763381"/>
    <w:rsid w:val="007649CF"/>
    <w:rsid w:val="00767391"/>
    <w:rsid w:val="007705CD"/>
    <w:rsid w:val="00773711"/>
    <w:rsid w:val="00774ABE"/>
    <w:rsid w:val="00775964"/>
    <w:rsid w:val="0077639F"/>
    <w:rsid w:val="007765FE"/>
    <w:rsid w:val="007766B3"/>
    <w:rsid w:val="00777163"/>
    <w:rsid w:val="007777FC"/>
    <w:rsid w:val="00781E1A"/>
    <w:rsid w:val="00782D51"/>
    <w:rsid w:val="00783FEE"/>
    <w:rsid w:val="00785678"/>
    <w:rsid w:val="0078706A"/>
    <w:rsid w:val="00787E5A"/>
    <w:rsid w:val="00790375"/>
    <w:rsid w:val="007910F2"/>
    <w:rsid w:val="007928B7"/>
    <w:rsid w:val="00793C5D"/>
    <w:rsid w:val="00794E2E"/>
    <w:rsid w:val="00795373"/>
    <w:rsid w:val="00795BFB"/>
    <w:rsid w:val="007A060C"/>
    <w:rsid w:val="007A1744"/>
    <w:rsid w:val="007A3755"/>
    <w:rsid w:val="007A5E57"/>
    <w:rsid w:val="007B0FAC"/>
    <w:rsid w:val="007B100F"/>
    <w:rsid w:val="007B1CF5"/>
    <w:rsid w:val="007B2760"/>
    <w:rsid w:val="007B53E9"/>
    <w:rsid w:val="007B564B"/>
    <w:rsid w:val="007B5CF2"/>
    <w:rsid w:val="007B71EE"/>
    <w:rsid w:val="007B77CE"/>
    <w:rsid w:val="007C127E"/>
    <w:rsid w:val="007C1B10"/>
    <w:rsid w:val="007C2407"/>
    <w:rsid w:val="007C585E"/>
    <w:rsid w:val="007C5B24"/>
    <w:rsid w:val="007C60EA"/>
    <w:rsid w:val="007C79E3"/>
    <w:rsid w:val="007D49D7"/>
    <w:rsid w:val="007D5C56"/>
    <w:rsid w:val="007D69D2"/>
    <w:rsid w:val="007D6B92"/>
    <w:rsid w:val="007E09A4"/>
    <w:rsid w:val="007E1112"/>
    <w:rsid w:val="007E14BE"/>
    <w:rsid w:val="007E1812"/>
    <w:rsid w:val="007E3D47"/>
    <w:rsid w:val="007E4A8E"/>
    <w:rsid w:val="007E5792"/>
    <w:rsid w:val="007E5B81"/>
    <w:rsid w:val="007E66B1"/>
    <w:rsid w:val="007E71A4"/>
    <w:rsid w:val="007E7A97"/>
    <w:rsid w:val="007F1280"/>
    <w:rsid w:val="007F6527"/>
    <w:rsid w:val="007F6C99"/>
    <w:rsid w:val="007F7C1B"/>
    <w:rsid w:val="00800B98"/>
    <w:rsid w:val="00800D21"/>
    <w:rsid w:val="0080122B"/>
    <w:rsid w:val="00801F33"/>
    <w:rsid w:val="00802E44"/>
    <w:rsid w:val="00803071"/>
    <w:rsid w:val="0080401E"/>
    <w:rsid w:val="0080426E"/>
    <w:rsid w:val="008043BB"/>
    <w:rsid w:val="00804D2E"/>
    <w:rsid w:val="00806C01"/>
    <w:rsid w:val="00810A93"/>
    <w:rsid w:val="00811D3E"/>
    <w:rsid w:val="00812BAE"/>
    <w:rsid w:val="008148CC"/>
    <w:rsid w:val="008167FC"/>
    <w:rsid w:val="0081708F"/>
    <w:rsid w:val="00817731"/>
    <w:rsid w:val="008211A4"/>
    <w:rsid w:val="00821986"/>
    <w:rsid w:val="00822961"/>
    <w:rsid w:val="008229DA"/>
    <w:rsid w:val="0082311D"/>
    <w:rsid w:val="008237CA"/>
    <w:rsid w:val="00823873"/>
    <w:rsid w:val="00823CA6"/>
    <w:rsid w:val="008250E0"/>
    <w:rsid w:val="008251BC"/>
    <w:rsid w:val="00826E96"/>
    <w:rsid w:val="008276D9"/>
    <w:rsid w:val="0083031F"/>
    <w:rsid w:val="00830FF0"/>
    <w:rsid w:val="0083140E"/>
    <w:rsid w:val="008318F6"/>
    <w:rsid w:val="00831A7D"/>
    <w:rsid w:val="00834EFB"/>
    <w:rsid w:val="00837AD4"/>
    <w:rsid w:val="00841D80"/>
    <w:rsid w:val="00842049"/>
    <w:rsid w:val="00842644"/>
    <w:rsid w:val="00843DAD"/>
    <w:rsid w:val="00845BAD"/>
    <w:rsid w:val="0084693A"/>
    <w:rsid w:val="008504E5"/>
    <w:rsid w:val="008511DC"/>
    <w:rsid w:val="00854203"/>
    <w:rsid w:val="00856135"/>
    <w:rsid w:val="0085640E"/>
    <w:rsid w:val="008567D4"/>
    <w:rsid w:val="0086047E"/>
    <w:rsid w:val="00861829"/>
    <w:rsid w:val="008625B3"/>
    <w:rsid w:val="00862E48"/>
    <w:rsid w:val="00863A37"/>
    <w:rsid w:val="00863AB8"/>
    <w:rsid w:val="00864C35"/>
    <w:rsid w:val="00864F48"/>
    <w:rsid w:val="00870417"/>
    <w:rsid w:val="0087143B"/>
    <w:rsid w:val="00871EFD"/>
    <w:rsid w:val="00873150"/>
    <w:rsid w:val="00873FF9"/>
    <w:rsid w:val="00874329"/>
    <w:rsid w:val="00874498"/>
    <w:rsid w:val="00874613"/>
    <w:rsid w:val="00875719"/>
    <w:rsid w:val="00875B5E"/>
    <w:rsid w:val="00876557"/>
    <w:rsid w:val="0087657D"/>
    <w:rsid w:val="008807D5"/>
    <w:rsid w:val="00880832"/>
    <w:rsid w:val="00881A25"/>
    <w:rsid w:val="0088369F"/>
    <w:rsid w:val="008836A4"/>
    <w:rsid w:val="00884D80"/>
    <w:rsid w:val="00886D19"/>
    <w:rsid w:val="00886EE1"/>
    <w:rsid w:val="0088727D"/>
    <w:rsid w:val="00887F31"/>
    <w:rsid w:val="008902C7"/>
    <w:rsid w:val="00890E1F"/>
    <w:rsid w:val="00892F2C"/>
    <w:rsid w:val="0089340F"/>
    <w:rsid w:val="0089391F"/>
    <w:rsid w:val="008944D2"/>
    <w:rsid w:val="00894A17"/>
    <w:rsid w:val="00894B89"/>
    <w:rsid w:val="008951CD"/>
    <w:rsid w:val="00895326"/>
    <w:rsid w:val="00896F62"/>
    <w:rsid w:val="00897C27"/>
    <w:rsid w:val="00897C75"/>
    <w:rsid w:val="008A0F70"/>
    <w:rsid w:val="008A1221"/>
    <w:rsid w:val="008A1461"/>
    <w:rsid w:val="008A1EDB"/>
    <w:rsid w:val="008A2565"/>
    <w:rsid w:val="008A4148"/>
    <w:rsid w:val="008A4BD9"/>
    <w:rsid w:val="008A5BE9"/>
    <w:rsid w:val="008A6101"/>
    <w:rsid w:val="008A66C8"/>
    <w:rsid w:val="008A6BE9"/>
    <w:rsid w:val="008A7669"/>
    <w:rsid w:val="008B1869"/>
    <w:rsid w:val="008B21A6"/>
    <w:rsid w:val="008B2CEF"/>
    <w:rsid w:val="008B2EAF"/>
    <w:rsid w:val="008B3AEF"/>
    <w:rsid w:val="008B502D"/>
    <w:rsid w:val="008B61E5"/>
    <w:rsid w:val="008B6760"/>
    <w:rsid w:val="008B6CFD"/>
    <w:rsid w:val="008C1097"/>
    <w:rsid w:val="008C1130"/>
    <w:rsid w:val="008C1914"/>
    <w:rsid w:val="008C23C2"/>
    <w:rsid w:val="008C3591"/>
    <w:rsid w:val="008C54CC"/>
    <w:rsid w:val="008C6406"/>
    <w:rsid w:val="008C6D97"/>
    <w:rsid w:val="008C7A64"/>
    <w:rsid w:val="008D0647"/>
    <w:rsid w:val="008D13D1"/>
    <w:rsid w:val="008D18E6"/>
    <w:rsid w:val="008D1DC5"/>
    <w:rsid w:val="008D2C6D"/>
    <w:rsid w:val="008D3144"/>
    <w:rsid w:val="008D4E87"/>
    <w:rsid w:val="008D6888"/>
    <w:rsid w:val="008D6D03"/>
    <w:rsid w:val="008D7A9B"/>
    <w:rsid w:val="008E0060"/>
    <w:rsid w:val="008E0F2A"/>
    <w:rsid w:val="008E121C"/>
    <w:rsid w:val="008E1E53"/>
    <w:rsid w:val="008E217D"/>
    <w:rsid w:val="008E4655"/>
    <w:rsid w:val="008E4F4C"/>
    <w:rsid w:val="008E57B9"/>
    <w:rsid w:val="008E6687"/>
    <w:rsid w:val="008E6D31"/>
    <w:rsid w:val="008E7091"/>
    <w:rsid w:val="008E76AC"/>
    <w:rsid w:val="008E76D4"/>
    <w:rsid w:val="008F03AC"/>
    <w:rsid w:val="008F0D84"/>
    <w:rsid w:val="008F1EB1"/>
    <w:rsid w:val="008F1FDC"/>
    <w:rsid w:val="008F21F6"/>
    <w:rsid w:val="008F2EB0"/>
    <w:rsid w:val="008F44D5"/>
    <w:rsid w:val="008F6FA2"/>
    <w:rsid w:val="008F72E0"/>
    <w:rsid w:val="00900D5E"/>
    <w:rsid w:val="00900E75"/>
    <w:rsid w:val="00901457"/>
    <w:rsid w:val="00901DFC"/>
    <w:rsid w:val="00902F64"/>
    <w:rsid w:val="00903386"/>
    <w:rsid w:val="009049C5"/>
    <w:rsid w:val="00904A12"/>
    <w:rsid w:val="00906A2D"/>
    <w:rsid w:val="009113F1"/>
    <w:rsid w:val="00911F4D"/>
    <w:rsid w:val="0091359D"/>
    <w:rsid w:val="00914F06"/>
    <w:rsid w:val="00917201"/>
    <w:rsid w:val="00917367"/>
    <w:rsid w:val="00920663"/>
    <w:rsid w:val="00923B14"/>
    <w:rsid w:val="00925993"/>
    <w:rsid w:val="00926475"/>
    <w:rsid w:val="009302CB"/>
    <w:rsid w:val="00930543"/>
    <w:rsid w:val="00931ADD"/>
    <w:rsid w:val="00931E01"/>
    <w:rsid w:val="0093297A"/>
    <w:rsid w:val="00932B77"/>
    <w:rsid w:val="00935218"/>
    <w:rsid w:val="00935985"/>
    <w:rsid w:val="00935EA3"/>
    <w:rsid w:val="00936488"/>
    <w:rsid w:val="009364F2"/>
    <w:rsid w:val="0094147E"/>
    <w:rsid w:val="00942327"/>
    <w:rsid w:val="009427D5"/>
    <w:rsid w:val="0094299F"/>
    <w:rsid w:val="00942C56"/>
    <w:rsid w:val="00943CA7"/>
    <w:rsid w:val="00944E53"/>
    <w:rsid w:val="0094513B"/>
    <w:rsid w:val="00950BFC"/>
    <w:rsid w:val="0095183F"/>
    <w:rsid w:val="00951925"/>
    <w:rsid w:val="00951F79"/>
    <w:rsid w:val="009529A6"/>
    <w:rsid w:val="00954404"/>
    <w:rsid w:val="00954C36"/>
    <w:rsid w:val="00954EB1"/>
    <w:rsid w:val="00955866"/>
    <w:rsid w:val="00955F64"/>
    <w:rsid w:val="00956479"/>
    <w:rsid w:val="00957503"/>
    <w:rsid w:val="00960EE4"/>
    <w:rsid w:val="00961EAC"/>
    <w:rsid w:val="00961F47"/>
    <w:rsid w:val="0096279C"/>
    <w:rsid w:val="0096342A"/>
    <w:rsid w:val="00964BE8"/>
    <w:rsid w:val="00967498"/>
    <w:rsid w:val="009700BE"/>
    <w:rsid w:val="009703FA"/>
    <w:rsid w:val="00971C10"/>
    <w:rsid w:val="00971CC1"/>
    <w:rsid w:val="009733BB"/>
    <w:rsid w:val="0097499D"/>
    <w:rsid w:val="00974AB5"/>
    <w:rsid w:val="00975624"/>
    <w:rsid w:val="00976EC7"/>
    <w:rsid w:val="00976FD7"/>
    <w:rsid w:val="009820D7"/>
    <w:rsid w:val="00982701"/>
    <w:rsid w:val="0098286E"/>
    <w:rsid w:val="00982A7B"/>
    <w:rsid w:val="00982FE1"/>
    <w:rsid w:val="00983FB3"/>
    <w:rsid w:val="009843A8"/>
    <w:rsid w:val="009844C9"/>
    <w:rsid w:val="009851BF"/>
    <w:rsid w:val="009851CD"/>
    <w:rsid w:val="00986A5E"/>
    <w:rsid w:val="00986A71"/>
    <w:rsid w:val="0098706D"/>
    <w:rsid w:val="0098764A"/>
    <w:rsid w:val="00990B8B"/>
    <w:rsid w:val="00991B54"/>
    <w:rsid w:val="00992511"/>
    <w:rsid w:val="009935FB"/>
    <w:rsid w:val="00996E66"/>
    <w:rsid w:val="009971F5"/>
    <w:rsid w:val="00997985"/>
    <w:rsid w:val="00997E69"/>
    <w:rsid w:val="009A0187"/>
    <w:rsid w:val="009A0748"/>
    <w:rsid w:val="009A235E"/>
    <w:rsid w:val="009A3DAA"/>
    <w:rsid w:val="009A4D1C"/>
    <w:rsid w:val="009A4F41"/>
    <w:rsid w:val="009A774C"/>
    <w:rsid w:val="009B079A"/>
    <w:rsid w:val="009B1328"/>
    <w:rsid w:val="009B1CC5"/>
    <w:rsid w:val="009B303D"/>
    <w:rsid w:val="009B45B2"/>
    <w:rsid w:val="009B4F8D"/>
    <w:rsid w:val="009B50A7"/>
    <w:rsid w:val="009B5752"/>
    <w:rsid w:val="009B57F5"/>
    <w:rsid w:val="009B7F21"/>
    <w:rsid w:val="009C15AD"/>
    <w:rsid w:val="009C167B"/>
    <w:rsid w:val="009C17D3"/>
    <w:rsid w:val="009C1933"/>
    <w:rsid w:val="009C2AF0"/>
    <w:rsid w:val="009C3DB8"/>
    <w:rsid w:val="009C422B"/>
    <w:rsid w:val="009C5ED5"/>
    <w:rsid w:val="009C6B82"/>
    <w:rsid w:val="009C6FF8"/>
    <w:rsid w:val="009C71DA"/>
    <w:rsid w:val="009C7500"/>
    <w:rsid w:val="009C7987"/>
    <w:rsid w:val="009C7F29"/>
    <w:rsid w:val="009D191F"/>
    <w:rsid w:val="009D2A09"/>
    <w:rsid w:val="009D37EC"/>
    <w:rsid w:val="009D4626"/>
    <w:rsid w:val="009D5565"/>
    <w:rsid w:val="009D75F9"/>
    <w:rsid w:val="009E06C2"/>
    <w:rsid w:val="009E1320"/>
    <w:rsid w:val="009E1EB8"/>
    <w:rsid w:val="009E3023"/>
    <w:rsid w:val="009E3D1C"/>
    <w:rsid w:val="009E5113"/>
    <w:rsid w:val="009E5521"/>
    <w:rsid w:val="009E5968"/>
    <w:rsid w:val="009E5BC5"/>
    <w:rsid w:val="009E7922"/>
    <w:rsid w:val="009F0489"/>
    <w:rsid w:val="009F15BD"/>
    <w:rsid w:val="009F20EC"/>
    <w:rsid w:val="009F252B"/>
    <w:rsid w:val="009F457C"/>
    <w:rsid w:val="009F47F4"/>
    <w:rsid w:val="009F4A54"/>
    <w:rsid w:val="009F4BEC"/>
    <w:rsid w:val="009F4F37"/>
    <w:rsid w:val="009F553B"/>
    <w:rsid w:val="009F5874"/>
    <w:rsid w:val="009F59FE"/>
    <w:rsid w:val="00A045AB"/>
    <w:rsid w:val="00A04D18"/>
    <w:rsid w:val="00A0515F"/>
    <w:rsid w:val="00A05C86"/>
    <w:rsid w:val="00A06074"/>
    <w:rsid w:val="00A061FC"/>
    <w:rsid w:val="00A06C25"/>
    <w:rsid w:val="00A0708C"/>
    <w:rsid w:val="00A07643"/>
    <w:rsid w:val="00A10393"/>
    <w:rsid w:val="00A10857"/>
    <w:rsid w:val="00A11576"/>
    <w:rsid w:val="00A12211"/>
    <w:rsid w:val="00A122C5"/>
    <w:rsid w:val="00A144D4"/>
    <w:rsid w:val="00A1772B"/>
    <w:rsid w:val="00A2261B"/>
    <w:rsid w:val="00A23DA6"/>
    <w:rsid w:val="00A240CB"/>
    <w:rsid w:val="00A242DE"/>
    <w:rsid w:val="00A24CB4"/>
    <w:rsid w:val="00A25FD7"/>
    <w:rsid w:val="00A26C35"/>
    <w:rsid w:val="00A26DEA"/>
    <w:rsid w:val="00A30F6A"/>
    <w:rsid w:val="00A366F9"/>
    <w:rsid w:val="00A3773C"/>
    <w:rsid w:val="00A4029F"/>
    <w:rsid w:val="00A40669"/>
    <w:rsid w:val="00A40880"/>
    <w:rsid w:val="00A43041"/>
    <w:rsid w:val="00A43AFF"/>
    <w:rsid w:val="00A454E3"/>
    <w:rsid w:val="00A46303"/>
    <w:rsid w:val="00A473CD"/>
    <w:rsid w:val="00A50DBD"/>
    <w:rsid w:val="00A50F78"/>
    <w:rsid w:val="00A51DA4"/>
    <w:rsid w:val="00A52D39"/>
    <w:rsid w:val="00A532D3"/>
    <w:rsid w:val="00A537A1"/>
    <w:rsid w:val="00A54A42"/>
    <w:rsid w:val="00A571BF"/>
    <w:rsid w:val="00A60C76"/>
    <w:rsid w:val="00A60F91"/>
    <w:rsid w:val="00A619C0"/>
    <w:rsid w:val="00A62CF6"/>
    <w:rsid w:val="00A6411B"/>
    <w:rsid w:val="00A645DF"/>
    <w:rsid w:val="00A6492A"/>
    <w:rsid w:val="00A65633"/>
    <w:rsid w:val="00A66313"/>
    <w:rsid w:val="00A731C3"/>
    <w:rsid w:val="00A74318"/>
    <w:rsid w:val="00A74AD1"/>
    <w:rsid w:val="00A7793A"/>
    <w:rsid w:val="00A80C05"/>
    <w:rsid w:val="00A80C7B"/>
    <w:rsid w:val="00A82091"/>
    <w:rsid w:val="00A827B5"/>
    <w:rsid w:val="00A83B99"/>
    <w:rsid w:val="00A83EE1"/>
    <w:rsid w:val="00A8497A"/>
    <w:rsid w:val="00A85C52"/>
    <w:rsid w:val="00A90A5A"/>
    <w:rsid w:val="00A95099"/>
    <w:rsid w:val="00A956C0"/>
    <w:rsid w:val="00A970B9"/>
    <w:rsid w:val="00AA0973"/>
    <w:rsid w:val="00AA0FA8"/>
    <w:rsid w:val="00AA2290"/>
    <w:rsid w:val="00AA2722"/>
    <w:rsid w:val="00AA2E50"/>
    <w:rsid w:val="00AA4CC7"/>
    <w:rsid w:val="00AA5131"/>
    <w:rsid w:val="00AA535A"/>
    <w:rsid w:val="00AA583A"/>
    <w:rsid w:val="00AA5E8E"/>
    <w:rsid w:val="00AA7048"/>
    <w:rsid w:val="00AA7898"/>
    <w:rsid w:val="00AB0281"/>
    <w:rsid w:val="00AB0EB1"/>
    <w:rsid w:val="00AB163A"/>
    <w:rsid w:val="00AB1AF2"/>
    <w:rsid w:val="00AB225B"/>
    <w:rsid w:val="00AB2BAD"/>
    <w:rsid w:val="00AB46ED"/>
    <w:rsid w:val="00AB566F"/>
    <w:rsid w:val="00AB604C"/>
    <w:rsid w:val="00AB6A79"/>
    <w:rsid w:val="00AB6CA7"/>
    <w:rsid w:val="00AB6D57"/>
    <w:rsid w:val="00AB6DD5"/>
    <w:rsid w:val="00AC0BD4"/>
    <w:rsid w:val="00AC2EF3"/>
    <w:rsid w:val="00AC3B82"/>
    <w:rsid w:val="00AC3EF0"/>
    <w:rsid w:val="00AC422F"/>
    <w:rsid w:val="00AC45AE"/>
    <w:rsid w:val="00AC629C"/>
    <w:rsid w:val="00AD01E4"/>
    <w:rsid w:val="00AD0858"/>
    <w:rsid w:val="00AD17E6"/>
    <w:rsid w:val="00AD4D6E"/>
    <w:rsid w:val="00AD4FCB"/>
    <w:rsid w:val="00AD7D7C"/>
    <w:rsid w:val="00AE02E3"/>
    <w:rsid w:val="00AE1231"/>
    <w:rsid w:val="00AE168C"/>
    <w:rsid w:val="00AE2B11"/>
    <w:rsid w:val="00AE47C5"/>
    <w:rsid w:val="00AE5044"/>
    <w:rsid w:val="00AE5145"/>
    <w:rsid w:val="00AE63D9"/>
    <w:rsid w:val="00AE7340"/>
    <w:rsid w:val="00AF0BB5"/>
    <w:rsid w:val="00AF0C52"/>
    <w:rsid w:val="00AF1BBD"/>
    <w:rsid w:val="00AF246E"/>
    <w:rsid w:val="00AF29D5"/>
    <w:rsid w:val="00AF53F4"/>
    <w:rsid w:val="00AF794B"/>
    <w:rsid w:val="00B016F9"/>
    <w:rsid w:val="00B03620"/>
    <w:rsid w:val="00B038E7"/>
    <w:rsid w:val="00B04948"/>
    <w:rsid w:val="00B052C2"/>
    <w:rsid w:val="00B068AA"/>
    <w:rsid w:val="00B06FFE"/>
    <w:rsid w:val="00B077F9"/>
    <w:rsid w:val="00B10207"/>
    <w:rsid w:val="00B11EAF"/>
    <w:rsid w:val="00B141E7"/>
    <w:rsid w:val="00B15349"/>
    <w:rsid w:val="00B16417"/>
    <w:rsid w:val="00B16B69"/>
    <w:rsid w:val="00B20A01"/>
    <w:rsid w:val="00B2435A"/>
    <w:rsid w:val="00B25B86"/>
    <w:rsid w:val="00B26197"/>
    <w:rsid w:val="00B26280"/>
    <w:rsid w:val="00B265A1"/>
    <w:rsid w:val="00B27142"/>
    <w:rsid w:val="00B3194B"/>
    <w:rsid w:val="00B31D3C"/>
    <w:rsid w:val="00B3344F"/>
    <w:rsid w:val="00B3389E"/>
    <w:rsid w:val="00B3466A"/>
    <w:rsid w:val="00B351B4"/>
    <w:rsid w:val="00B351FA"/>
    <w:rsid w:val="00B35960"/>
    <w:rsid w:val="00B40D0D"/>
    <w:rsid w:val="00B41DF4"/>
    <w:rsid w:val="00B4232B"/>
    <w:rsid w:val="00B42917"/>
    <w:rsid w:val="00B42993"/>
    <w:rsid w:val="00B43325"/>
    <w:rsid w:val="00B43898"/>
    <w:rsid w:val="00B46BCA"/>
    <w:rsid w:val="00B47528"/>
    <w:rsid w:val="00B478AA"/>
    <w:rsid w:val="00B52415"/>
    <w:rsid w:val="00B55381"/>
    <w:rsid w:val="00B554FE"/>
    <w:rsid w:val="00B55692"/>
    <w:rsid w:val="00B55A2C"/>
    <w:rsid w:val="00B56028"/>
    <w:rsid w:val="00B565C7"/>
    <w:rsid w:val="00B5711A"/>
    <w:rsid w:val="00B57D8C"/>
    <w:rsid w:val="00B60013"/>
    <w:rsid w:val="00B600A4"/>
    <w:rsid w:val="00B600FD"/>
    <w:rsid w:val="00B61C48"/>
    <w:rsid w:val="00B61D64"/>
    <w:rsid w:val="00B64F3D"/>
    <w:rsid w:val="00B65F61"/>
    <w:rsid w:val="00B665CD"/>
    <w:rsid w:val="00B710D7"/>
    <w:rsid w:val="00B72AE5"/>
    <w:rsid w:val="00B72E5C"/>
    <w:rsid w:val="00B744B8"/>
    <w:rsid w:val="00B74B7C"/>
    <w:rsid w:val="00B75663"/>
    <w:rsid w:val="00B76A1F"/>
    <w:rsid w:val="00B77482"/>
    <w:rsid w:val="00B77CD0"/>
    <w:rsid w:val="00B80A4C"/>
    <w:rsid w:val="00B80A53"/>
    <w:rsid w:val="00B8131D"/>
    <w:rsid w:val="00B825C2"/>
    <w:rsid w:val="00B82619"/>
    <w:rsid w:val="00B82883"/>
    <w:rsid w:val="00B82DE0"/>
    <w:rsid w:val="00B83AD8"/>
    <w:rsid w:val="00B84993"/>
    <w:rsid w:val="00B84C00"/>
    <w:rsid w:val="00B85325"/>
    <w:rsid w:val="00B85425"/>
    <w:rsid w:val="00B85FD4"/>
    <w:rsid w:val="00B861A8"/>
    <w:rsid w:val="00B87806"/>
    <w:rsid w:val="00B87EC9"/>
    <w:rsid w:val="00B91F5D"/>
    <w:rsid w:val="00B93640"/>
    <w:rsid w:val="00B93FF5"/>
    <w:rsid w:val="00B94C9E"/>
    <w:rsid w:val="00B94D33"/>
    <w:rsid w:val="00BA070B"/>
    <w:rsid w:val="00BA13ED"/>
    <w:rsid w:val="00BA2E21"/>
    <w:rsid w:val="00BA34BD"/>
    <w:rsid w:val="00BA3864"/>
    <w:rsid w:val="00BA4149"/>
    <w:rsid w:val="00BA4427"/>
    <w:rsid w:val="00BA5137"/>
    <w:rsid w:val="00BA6AD8"/>
    <w:rsid w:val="00BB6133"/>
    <w:rsid w:val="00BB6691"/>
    <w:rsid w:val="00BB751A"/>
    <w:rsid w:val="00BB76E3"/>
    <w:rsid w:val="00BC1B33"/>
    <w:rsid w:val="00BC22FB"/>
    <w:rsid w:val="00BC24A1"/>
    <w:rsid w:val="00BC38FD"/>
    <w:rsid w:val="00BC3C53"/>
    <w:rsid w:val="00BC4C9E"/>
    <w:rsid w:val="00BC5BEC"/>
    <w:rsid w:val="00BC69BB"/>
    <w:rsid w:val="00BD28F0"/>
    <w:rsid w:val="00BD30D2"/>
    <w:rsid w:val="00BD3EB5"/>
    <w:rsid w:val="00BD6191"/>
    <w:rsid w:val="00BD7269"/>
    <w:rsid w:val="00BD72C1"/>
    <w:rsid w:val="00BE064B"/>
    <w:rsid w:val="00BE195F"/>
    <w:rsid w:val="00BE2586"/>
    <w:rsid w:val="00BE479B"/>
    <w:rsid w:val="00BE4A70"/>
    <w:rsid w:val="00BE511F"/>
    <w:rsid w:val="00BE52B5"/>
    <w:rsid w:val="00BE6240"/>
    <w:rsid w:val="00BE6451"/>
    <w:rsid w:val="00BE6D1B"/>
    <w:rsid w:val="00BE6FCB"/>
    <w:rsid w:val="00BF324E"/>
    <w:rsid w:val="00BF377B"/>
    <w:rsid w:val="00BF4A8F"/>
    <w:rsid w:val="00BF5A0E"/>
    <w:rsid w:val="00BF69C9"/>
    <w:rsid w:val="00BF6CC6"/>
    <w:rsid w:val="00BF737C"/>
    <w:rsid w:val="00BF7F5D"/>
    <w:rsid w:val="00C01DF8"/>
    <w:rsid w:val="00C02231"/>
    <w:rsid w:val="00C02BA1"/>
    <w:rsid w:val="00C02D7C"/>
    <w:rsid w:val="00C030AB"/>
    <w:rsid w:val="00C034CB"/>
    <w:rsid w:val="00C03D13"/>
    <w:rsid w:val="00C0509B"/>
    <w:rsid w:val="00C051A8"/>
    <w:rsid w:val="00C054BC"/>
    <w:rsid w:val="00C059D0"/>
    <w:rsid w:val="00C06851"/>
    <w:rsid w:val="00C07859"/>
    <w:rsid w:val="00C07D28"/>
    <w:rsid w:val="00C10433"/>
    <w:rsid w:val="00C1142D"/>
    <w:rsid w:val="00C11B7D"/>
    <w:rsid w:val="00C11F53"/>
    <w:rsid w:val="00C12F3B"/>
    <w:rsid w:val="00C14033"/>
    <w:rsid w:val="00C158D4"/>
    <w:rsid w:val="00C170C2"/>
    <w:rsid w:val="00C1726E"/>
    <w:rsid w:val="00C17547"/>
    <w:rsid w:val="00C17897"/>
    <w:rsid w:val="00C202E9"/>
    <w:rsid w:val="00C2199B"/>
    <w:rsid w:val="00C21A7C"/>
    <w:rsid w:val="00C22ACF"/>
    <w:rsid w:val="00C23D5E"/>
    <w:rsid w:val="00C24D55"/>
    <w:rsid w:val="00C273C7"/>
    <w:rsid w:val="00C30D93"/>
    <w:rsid w:val="00C312D2"/>
    <w:rsid w:val="00C3136D"/>
    <w:rsid w:val="00C32B95"/>
    <w:rsid w:val="00C32CD4"/>
    <w:rsid w:val="00C357DB"/>
    <w:rsid w:val="00C362A6"/>
    <w:rsid w:val="00C367C9"/>
    <w:rsid w:val="00C36AE6"/>
    <w:rsid w:val="00C40052"/>
    <w:rsid w:val="00C409D5"/>
    <w:rsid w:val="00C435C3"/>
    <w:rsid w:val="00C43822"/>
    <w:rsid w:val="00C43FAE"/>
    <w:rsid w:val="00C4460E"/>
    <w:rsid w:val="00C44B9B"/>
    <w:rsid w:val="00C44CC9"/>
    <w:rsid w:val="00C44E5F"/>
    <w:rsid w:val="00C453A5"/>
    <w:rsid w:val="00C46B05"/>
    <w:rsid w:val="00C46C35"/>
    <w:rsid w:val="00C4722C"/>
    <w:rsid w:val="00C50334"/>
    <w:rsid w:val="00C51595"/>
    <w:rsid w:val="00C51B7C"/>
    <w:rsid w:val="00C52727"/>
    <w:rsid w:val="00C60C51"/>
    <w:rsid w:val="00C61B63"/>
    <w:rsid w:val="00C6234B"/>
    <w:rsid w:val="00C63C92"/>
    <w:rsid w:val="00C63EAE"/>
    <w:rsid w:val="00C656EE"/>
    <w:rsid w:val="00C700CD"/>
    <w:rsid w:val="00C70E01"/>
    <w:rsid w:val="00C71203"/>
    <w:rsid w:val="00C73260"/>
    <w:rsid w:val="00C74B5F"/>
    <w:rsid w:val="00C7540C"/>
    <w:rsid w:val="00C7629F"/>
    <w:rsid w:val="00C766F0"/>
    <w:rsid w:val="00C771BE"/>
    <w:rsid w:val="00C80923"/>
    <w:rsid w:val="00C823AC"/>
    <w:rsid w:val="00C83796"/>
    <w:rsid w:val="00C851C0"/>
    <w:rsid w:val="00C856E8"/>
    <w:rsid w:val="00C85990"/>
    <w:rsid w:val="00C8661B"/>
    <w:rsid w:val="00C8724C"/>
    <w:rsid w:val="00C87F56"/>
    <w:rsid w:val="00C928A4"/>
    <w:rsid w:val="00C92FAA"/>
    <w:rsid w:val="00C939C5"/>
    <w:rsid w:val="00C93C63"/>
    <w:rsid w:val="00C95040"/>
    <w:rsid w:val="00C9528B"/>
    <w:rsid w:val="00C95C54"/>
    <w:rsid w:val="00C96974"/>
    <w:rsid w:val="00C97581"/>
    <w:rsid w:val="00C979BF"/>
    <w:rsid w:val="00CA03C8"/>
    <w:rsid w:val="00CA0630"/>
    <w:rsid w:val="00CA0DFD"/>
    <w:rsid w:val="00CA139A"/>
    <w:rsid w:val="00CA19FA"/>
    <w:rsid w:val="00CA2899"/>
    <w:rsid w:val="00CA346B"/>
    <w:rsid w:val="00CA3A3D"/>
    <w:rsid w:val="00CA3AA6"/>
    <w:rsid w:val="00CA3EF3"/>
    <w:rsid w:val="00CA4880"/>
    <w:rsid w:val="00CA51FC"/>
    <w:rsid w:val="00CA555C"/>
    <w:rsid w:val="00CA5783"/>
    <w:rsid w:val="00CA77FB"/>
    <w:rsid w:val="00CA793D"/>
    <w:rsid w:val="00CA7942"/>
    <w:rsid w:val="00CB026C"/>
    <w:rsid w:val="00CB03E5"/>
    <w:rsid w:val="00CB0C67"/>
    <w:rsid w:val="00CB2886"/>
    <w:rsid w:val="00CB3293"/>
    <w:rsid w:val="00CB379B"/>
    <w:rsid w:val="00CB3BF4"/>
    <w:rsid w:val="00CB4074"/>
    <w:rsid w:val="00CB454A"/>
    <w:rsid w:val="00CB4F88"/>
    <w:rsid w:val="00CB52C8"/>
    <w:rsid w:val="00CB5DD0"/>
    <w:rsid w:val="00CC06BA"/>
    <w:rsid w:val="00CC20EB"/>
    <w:rsid w:val="00CC269A"/>
    <w:rsid w:val="00CC4AD9"/>
    <w:rsid w:val="00CC51D4"/>
    <w:rsid w:val="00CC564F"/>
    <w:rsid w:val="00CC65DA"/>
    <w:rsid w:val="00CC6C62"/>
    <w:rsid w:val="00CD1043"/>
    <w:rsid w:val="00CD13F3"/>
    <w:rsid w:val="00CD14B9"/>
    <w:rsid w:val="00CD1962"/>
    <w:rsid w:val="00CD46B3"/>
    <w:rsid w:val="00CD4D44"/>
    <w:rsid w:val="00CD692C"/>
    <w:rsid w:val="00CD6C8C"/>
    <w:rsid w:val="00CE11CC"/>
    <w:rsid w:val="00CE18A4"/>
    <w:rsid w:val="00CE2AA7"/>
    <w:rsid w:val="00CE2C2E"/>
    <w:rsid w:val="00CE31D4"/>
    <w:rsid w:val="00CE44F1"/>
    <w:rsid w:val="00CE4916"/>
    <w:rsid w:val="00CE5AA0"/>
    <w:rsid w:val="00CE7B36"/>
    <w:rsid w:val="00CF0103"/>
    <w:rsid w:val="00CF174F"/>
    <w:rsid w:val="00CF18FA"/>
    <w:rsid w:val="00CF21B9"/>
    <w:rsid w:val="00CF2A2D"/>
    <w:rsid w:val="00CF2B14"/>
    <w:rsid w:val="00CF424F"/>
    <w:rsid w:val="00CF6BF9"/>
    <w:rsid w:val="00CF7DA4"/>
    <w:rsid w:val="00D00748"/>
    <w:rsid w:val="00D02A5C"/>
    <w:rsid w:val="00D03800"/>
    <w:rsid w:val="00D065D3"/>
    <w:rsid w:val="00D069B4"/>
    <w:rsid w:val="00D10433"/>
    <w:rsid w:val="00D10DD2"/>
    <w:rsid w:val="00D11C4B"/>
    <w:rsid w:val="00D12AEC"/>
    <w:rsid w:val="00D13799"/>
    <w:rsid w:val="00D14142"/>
    <w:rsid w:val="00D14C94"/>
    <w:rsid w:val="00D20C48"/>
    <w:rsid w:val="00D215E1"/>
    <w:rsid w:val="00D2172A"/>
    <w:rsid w:val="00D21DF3"/>
    <w:rsid w:val="00D231C8"/>
    <w:rsid w:val="00D256FA"/>
    <w:rsid w:val="00D26D63"/>
    <w:rsid w:val="00D27672"/>
    <w:rsid w:val="00D27F49"/>
    <w:rsid w:val="00D311DF"/>
    <w:rsid w:val="00D31C4A"/>
    <w:rsid w:val="00D32D99"/>
    <w:rsid w:val="00D32F94"/>
    <w:rsid w:val="00D3421B"/>
    <w:rsid w:val="00D342A6"/>
    <w:rsid w:val="00D343C4"/>
    <w:rsid w:val="00D34440"/>
    <w:rsid w:val="00D3458A"/>
    <w:rsid w:val="00D35A33"/>
    <w:rsid w:val="00D3636B"/>
    <w:rsid w:val="00D36A6A"/>
    <w:rsid w:val="00D37634"/>
    <w:rsid w:val="00D400F9"/>
    <w:rsid w:val="00D41024"/>
    <w:rsid w:val="00D41610"/>
    <w:rsid w:val="00D428AA"/>
    <w:rsid w:val="00D443BE"/>
    <w:rsid w:val="00D45CA6"/>
    <w:rsid w:val="00D461E6"/>
    <w:rsid w:val="00D464BF"/>
    <w:rsid w:val="00D46635"/>
    <w:rsid w:val="00D4717A"/>
    <w:rsid w:val="00D50A42"/>
    <w:rsid w:val="00D527B8"/>
    <w:rsid w:val="00D52BDB"/>
    <w:rsid w:val="00D5356B"/>
    <w:rsid w:val="00D53E26"/>
    <w:rsid w:val="00D553D3"/>
    <w:rsid w:val="00D557EE"/>
    <w:rsid w:val="00D57074"/>
    <w:rsid w:val="00D57F52"/>
    <w:rsid w:val="00D60EE3"/>
    <w:rsid w:val="00D60EE7"/>
    <w:rsid w:val="00D62F75"/>
    <w:rsid w:val="00D630BE"/>
    <w:rsid w:val="00D6322D"/>
    <w:rsid w:val="00D63593"/>
    <w:rsid w:val="00D65EBE"/>
    <w:rsid w:val="00D66434"/>
    <w:rsid w:val="00D708ED"/>
    <w:rsid w:val="00D70E31"/>
    <w:rsid w:val="00D71188"/>
    <w:rsid w:val="00D711B2"/>
    <w:rsid w:val="00D72DA3"/>
    <w:rsid w:val="00D755F8"/>
    <w:rsid w:val="00D76752"/>
    <w:rsid w:val="00D77688"/>
    <w:rsid w:val="00D829B1"/>
    <w:rsid w:val="00D8377A"/>
    <w:rsid w:val="00D84D15"/>
    <w:rsid w:val="00D85297"/>
    <w:rsid w:val="00D85B77"/>
    <w:rsid w:val="00D87054"/>
    <w:rsid w:val="00D87308"/>
    <w:rsid w:val="00D879F5"/>
    <w:rsid w:val="00D9080F"/>
    <w:rsid w:val="00D94CCE"/>
    <w:rsid w:val="00D95055"/>
    <w:rsid w:val="00D95AA4"/>
    <w:rsid w:val="00D978F3"/>
    <w:rsid w:val="00D979E4"/>
    <w:rsid w:val="00DA0339"/>
    <w:rsid w:val="00DA1EC7"/>
    <w:rsid w:val="00DA61BD"/>
    <w:rsid w:val="00DA6285"/>
    <w:rsid w:val="00DA653F"/>
    <w:rsid w:val="00DA6EF0"/>
    <w:rsid w:val="00DA78EC"/>
    <w:rsid w:val="00DB020A"/>
    <w:rsid w:val="00DB152D"/>
    <w:rsid w:val="00DB182C"/>
    <w:rsid w:val="00DB2582"/>
    <w:rsid w:val="00DB2F5E"/>
    <w:rsid w:val="00DB390F"/>
    <w:rsid w:val="00DB5402"/>
    <w:rsid w:val="00DB5B17"/>
    <w:rsid w:val="00DB62A2"/>
    <w:rsid w:val="00DC02C0"/>
    <w:rsid w:val="00DC0F46"/>
    <w:rsid w:val="00DC154F"/>
    <w:rsid w:val="00DC1601"/>
    <w:rsid w:val="00DC1AB9"/>
    <w:rsid w:val="00DC22D8"/>
    <w:rsid w:val="00DC2DB9"/>
    <w:rsid w:val="00DC30E6"/>
    <w:rsid w:val="00DC32A9"/>
    <w:rsid w:val="00DC3445"/>
    <w:rsid w:val="00DC3BD1"/>
    <w:rsid w:val="00DC4047"/>
    <w:rsid w:val="00DC4BB6"/>
    <w:rsid w:val="00DC61DA"/>
    <w:rsid w:val="00DC726C"/>
    <w:rsid w:val="00DC756E"/>
    <w:rsid w:val="00DC7B09"/>
    <w:rsid w:val="00DD096C"/>
    <w:rsid w:val="00DD236B"/>
    <w:rsid w:val="00DD3302"/>
    <w:rsid w:val="00DD3943"/>
    <w:rsid w:val="00DD4F0E"/>
    <w:rsid w:val="00DD54ED"/>
    <w:rsid w:val="00DD5F22"/>
    <w:rsid w:val="00DD5FEB"/>
    <w:rsid w:val="00DD64A4"/>
    <w:rsid w:val="00DD763B"/>
    <w:rsid w:val="00DE0C49"/>
    <w:rsid w:val="00DE1D45"/>
    <w:rsid w:val="00DE3D15"/>
    <w:rsid w:val="00DE4ACD"/>
    <w:rsid w:val="00DE5F13"/>
    <w:rsid w:val="00DE68B8"/>
    <w:rsid w:val="00DE74ED"/>
    <w:rsid w:val="00DE776F"/>
    <w:rsid w:val="00DE7B7E"/>
    <w:rsid w:val="00DF0BF0"/>
    <w:rsid w:val="00DF1CB4"/>
    <w:rsid w:val="00DF1CBC"/>
    <w:rsid w:val="00DF3CA2"/>
    <w:rsid w:val="00DF5747"/>
    <w:rsid w:val="00DF6A7B"/>
    <w:rsid w:val="00DF71DC"/>
    <w:rsid w:val="00DF753B"/>
    <w:rsid w:val="00DF7651"/>
    <w:rsid w:val="00DF78A4"/>
    <w:rsid w:val="00DF7E9D"/>
    <w:rsid w:val="00E002F6"/>
    <w:rsid w:val="00E01375"/>
    <w:rsid w:val="00E013F0"/>
    <w:rsid w:val="00E01463"/>
    <w:rsid w:val="00E01A6B"/>
    <w:rsid w:val="00E02991"/>
    <w:rsid w:val="00E03B99"/>
    <w:rsid w:val="00E04F2F"/>
    <w:rsid w:val="00E052C8"/>
    <w:rsid w:val="00E05E0A"/>
    <w:rsid w:val="00E060BE"/>
    <w:rsid w:val="00E062E2"/>
    <w:rsid w:val="00E10452"/>
    <w:rsid w:val="00E10E29"/>
    <w:rsid w:val="00E16AAC"/>
    <w:rsid w:val="00E24857"/>
    <w:rsid w:val="00E25479"/>
    <w:rsid w:val="00E26AF2"/>
    <w:rsid w:val="00E26F95"/>
    <w:rsid w:val="00E27608"/>
    <w:rsid w:val="00E3092E"/>
    <w:rsid w:val="00E30DF2"/>
    <w:rsid w:val="00E3419F"/>
    <w:rsid w:val="00E348B6"/>
    <w:rsid w:val="00E36456"/>
    <w:rsid w:val="00E3651B"/>
    <w:rsid w:val="00E40697"/>
    <w:rsid w:val="00E40B05"/>
    <w:rsid w:val="00E4302C"/>
    <w:rsid w:val="00E442C8"/>
    <w:rsid w:val="00E44594"/>
    <w:rsid w:val="00E44D6B"/>
    <w:rsid w:val="00E45320"/>
    <w:rsid w:val="00E474A8"/>
    <w:rsid w:val="00E47A98"/>
    <w:rsid w:val="00E512DA"/>
    <w:rsid w:val="00E521C9"/>
    <w:rsid w:val="00E5349B"/>
    <w:rsid w:val="00E534CF"/>
    <w:rsid w:val="00E538D3"/>
    <w:rsid w:val="00E5481B"/>
    <w:rsid w:val="00E553F7"/>
    <w:rsid w:val="00E56D4F"/>
    <w:rsid w:val="00E57794"/>
    <w:rsid w:val="00E609EA"/>
    <w:rsid w:val="00E61918"/>
    <w:rsid w:val="00E62C57"/>
    <w:rsid w:val="00E638AB"/>
    <w:rsid w:val="00E65533"/>
    <w:rsid w:val="00E65DDE"/>
    <w:rsid w:val="00E66A24"/>
    <w:rsid w:val="00E66EF8"/>
    <w:rsid w:val="00E6757C"/>
    <w:rsid w:val="00E70525"/>
    <w:rsid w:val="00E71517"/>
    <w:rsid w:val="00E72226"/>
    <w:rsid w:val="00E7379B"/>
    <w:rsid w:val="00E73CF4"/>
    <w:rsid w:val="00E75862"/>
    <w:rsid w:val="00E75BC7"/>
    <w:rsid w:val="00E76552"/>
    <w:rsid w:val="00E76B16"/>
    <w:rsid w:val="00E77C52"/>
    <w:rsid w:val="00E80AA0"/>
    <w:rsid w:val="00E81AA5"/>
    <w:rsid w:val="00E81CB4"/>
    <w:rsid w:val="00E82A33"/>
    <w:rsid w:val="00E8393E"/>
    <w:rsid w:val="00E83DD8"/>
    <w:rsid w:val="00E83F58"/>
    <w:rsid w:val="00E8585B"/>
    <w:rsid w:val="00E86C55"/>
    <w:rsid w:val="00E87CCE"/>
    <w:rsid w:val="00E87F41"/>
    <w:rsid w:val="00E90E21"/>
    <w:rsid w:val="00E92880"/>
    <w:rsid w:val="00E9330F"/>
    <w:rsid w:val="00E97083"/>
    <w:rsid w:val="00E973B0"/>
    <w:rsid w:val="00EA20BE"/>
    <w:rsid w:val="00EA396E"/>
    <w:rsid w:val="00EA3F15"/>
    <w:rsid w:val="00EA69C9"/>
    <w:rsid w:val="00EA7847"/>
    <w:rsid w:val="00EA7BB7"/>
    <w:rsid w:val="00EB16F4"/>
    <w:rsid w:val="00EB29E1"/>
    <w:rsid w:val="00EB2AD3"/>
    <w:rsid w:val="00EB2F92"/>
    <w:rsid w:val="00EB352A"/>
    <w:rsid w:val="00EB3D1E"/>
    <w:rsid w:val="00EB432F"/>
    <w:rsid w:val="00EB4C2F"/>
    <w:rsid w:val="00EB5054"/>
    <w:rsid w:val="00EC0085"/>
    <w:rsid w:val="00EC24EC"/>
    <w:rsid w:val="00EC5748"/>
    <w:rsid w:val="00EC5A4B"/>
    <w:rsid w:val="00EC688C"/>
    <w:rsid w:val="00ED0150"/>
    <w:rsid w:val="00ED0D19"/>
    <w:rsid w:val="00ED130C"/>
    <w:rsid w:val="00ED25FF"/>
    <w:rsid w:val="00ED2AFF"/>
    <w:rsid w:val="00ED2C04"/>
    <w:rsid w:val="00ED5D82"/>
    <w:rsid w:val="00ED5FF2"/>
    <w:rsid w:val="00ED7DB3"/>
    <w:rsid w:val="00EE14D6"/>
    <w:rsid w:val="00EE1951"/>
    <w:rsid w:val="00EE259D"/>
    <w:rsid w:val="00EE2E6E"/>
    <w:rsid w:val="00EE36B2"/>
    <w:rsid w:val="00EE3FCD"/>
    <w:rsid w:val="00EE4FE4"/>
    <w:rsid w:val="00EE5E86"/>
    <w:rsid w:val="00EE5FCC"/>
    <w:rsid w:val="00EE62C0"/>
    <w:rsid w:val="00EE64AA"/>
    <w:rsid w:val="00EE76C0"/>
    <w:rsid w:val="00EF0E29"/>
    <w:rsid w:val="00EF12F3"/>
    <w:rsid w:val="00EF3279"/>
    <w:rsid w:val="00EF7420"/>
    <w:rsid w:val="00F0030B"/>
    <w:rsid w:val="00F0035C"/>
    <w:rsid w:val="00F00B67"/>
    <w:rsid w:val="00F00C90"/>
    <w:rsid w:val="00F00DEE"/>
    <w:rsid w:val="00F01EB4"/>
    <w:rsid w:val="00F02C0E"/>
    <w:rsid w:val="00F04081"/>
    <w:rsid w:val="00F041F2"/>
    <w:rsid w:val="00F044B6"/>
    <w:rsid w:val="00F04810"/>
    <w:rsid w:val="00F04C88"/>
    <w:rsid w:val="00F04F0D"/>
    <w:rsid w:val="00F05703"/>
    <w:rsid w:val="00F0759E"/>
    <w:rsid w:val="00F11188"/>
    <w:rsid w:val="00F13DDF"/>
    <w:rsid w:val="00F13E43"/>
    <w:rsid w:val="00F16A43"/>
    <w:rsid w:val="00F178D8"/>
    <w:rsid w:val="00F17914"/>
    <w:rsid w:val="00F17B18"/>
    <w:rsid w:val="00F224BD"/>
    <w:rsid w:val="00F2258A"/>
    <w:rsid w:val="00F231C2"/>
    <w:rsid w:val="00F2375C"/>
    <w:rsid w:val="00F246AE"/>
    <w:rsid w:val="00F270E9"/>
    <w:rsid w:val="00F2718C"/>
    <w:rsid w:val="00F27699"/>
    <w:rsid w:val="00F304FE"/>
    <w:rsid w:val="00F30572"/>
    <w:rsid w:val="00F3147E"/>
    <w:rsid w:val="00F31863"/>
    <w:rsid w:val="00F3199B"/>
    <w:rsid w:val="00F35F07"/>
    <w:rsid w:val="00F37A1B"/>
    <w:rsid w:val="00F40882"/>
    <w:rsid w:val="00F44B77"/>
    <w:rsid w:val="00F46780"/>
    <w:rsid w:val="00F50305"/>
    <w:rsid w:val="00F50AC4"/>
    <w:rsid w:val="00F51218"/>
    <w:rsid w:val="00F5172B"/>
    <w:rsid w:val="00F51A86"/>
    <w:rsid w:val="00F51C53"/>
    <w:rsid w:val="00F52701"/>
    <w:rsid w:val="00F532BA"/>
    <w:rsid w:val="00F533BE"/>
    <w:rsid w:val="00F54493"/>
    <w:rsid w:val="00F5566F"/>
    <w:rsid w:val="00F559EF"/>
    <w:rsid w:val="00F55A19"/>
    <w:rsid w:val="00F56125"/>
    <w:rsid w:val="00F57709"/>
    <w:rsid w:val="00F57CCB"/>
    <w:rsid w:val="00F602EC"/>
    <w:rsid w:val="00F6205E"/>
    <w:rsid w:val="00F62A1B"/>
    <w:rsid w:val="00F64373"/>
    <w:rsid w:val="00F65304"/>
    <w:rsid w:val="00F678DC"/>
    <w:rsid w:val="00F70043"/>
    <w:rsid w:val="00F72A6B"/>
    <w:rsid w:val="00F72B25"/>
    <w:rsid w:val="00F73D5E"/>
    <w:rsid w:val="00F73E95"/>
    <w:rsid w:val="00F74C38"/>
    <w:rsid w:val="00F7693A"/>
    <w:rsid w:val="00F76BB6"/>
    <w:rsid w:val="00F76C1D"/>
    <w:rsid w:val="00F77140"/>
    <w:rsid w:val="00F7760D"/>
    <w:rsid w:val="00F77B04"/>
    <w:rsid w:val="00F77D2D"/>
    <w:rsid w:val="00F800C1"/>
    <w:rsid w:val="00F80317"/>
    <w:rsid w:val="00F80D7B"/>
    <w:rsid w:val="00F8110D"/>
    <w:rsid w:val="00F821A3"/>
    <w:rsid w:val="00F84552"/>
    <w:rsid w:val="00F86162"/>
    <w:rsid w:val="00F91043"/>
    <w:rsid w:val="00F91C11"/>
    <w:rsid w:val="00F9246F"/>
    <w:rsid w:val="00F9309A"/>
    <w:rsid w:val="00F9314A"/>
    <w:rsid w:val="00F940B2"/>
    <w:rsid w:val="00F95AF6"/>
    <w:rsid w:val="00F95D08"/>
    <w:rsid w:val="00F9742E"/>
    <w:rsid w:val="00FA1462"/>
    <w:rsid w:val="00FA19F3"/>
    <w:rsid w:val="00FA2C5F"/>
    <w:rsid w:val="00FA4FEE"/>
    <w:rsid w:val="00FA5BD7"/>
    <w:rsid w:val="00FA75EC"/>
    <w:rsid w:val="00FB19E8"/>
    <w:rsid w:val="00FB1DA9"/>
    <w:rsid w:val="00FB24A5"/>
    <w:rsid w:val="00FB2A38"/>
    <w:rsid w:val="00FB397E"/>
    <w:rsid w:val="00FB41DE"/>
    <w:rsid w:val="00FB5CA9"/>
    <w:rsid w:val="00FB5EC8"/>
    <w:rsid w:val="00FB61D1"/>
    <w:rsid w:val="00FB6C27"/>
    <w:rsid w:val="00FB6D97"/>
    <w:rsid w:val="00FB7A02"/>
    <w:rsid w:val="00FC4B39"/>
    <w:rsid w:val="00FC4BFD"/>
    <w:rsid w:val="00FC524D"/>
    <w:rsid w:val="00FC5798"/>
    <w:rsid w:val="00FC58EF"/>
    <w:rsid w:val="00FC5ADC"/>
    <w:rsid w:val="00FC64D4"/>
    <w:rsid w:val="00FC6763"/>
    <w:rsid w:val="00FC783B"/>
    <w:rsid w:val="00FD1049"/>
    <w:rsid w:val="00FD1785"/>
    <w:rsid w:val="00FD204B"/>
    <w:rsid w:val="00FD30C0"/>
    <w:rsid w:val="00FD33DF"/>
    <w:rsid w:val="00FD3CBE"/>
    <w:rsid w:val="00FD6A27"/>
    <w:rsid w:val="00FD71B8"/>
    <w:rsid w:val="00FE25DE"/>
    <w:rsid w:val="00FE304A"/>
    <w:rsid w:val="00FE38A0"/>
    <w:rsid w:val="00FE39D7"/>
    <w:rsid w:val="00FE451A"/>
    <w:rsid w:val="00FE460F"/>
    <w:rsid w:val="00FE4ECD"/>
    <w:rsid w:val="00FE5949"/>
    <w:rsid w:val="00FE5B14"/>
    <w:rsid w:val="00FE6205"/>
    <w:rsid w:val="00FE70EF"/>
    <w:rsid w:val="00FE771C"/>
    <w:rsid w:val="00FE7EAA"/>
    <w:rsid w:val="00FF01A3"/>
    <w:rsid w:val="00FF0A41"/>
    <w:rsid w:val="00FF2D46"/>
    <w:rsid w:val="00FF4689"/>
    <w:rsid w:val="00FF75C5"/>
    <w:rsid w:val="00FF79F9"/>
    <w:rsid w:val="00FF7A97"/>
    <w:rsid w:val="00FF7B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uiPriority w:val="35"/>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reg@creg.gov.c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C0F41-5C75-4E4B-9E28-15573EFE1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7</Pages>
  <Words>2547</Words>
  <Characters>12978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15495</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2019-09-13T17:20:00Z</cp:lastPrinted>
  <dcterms:created xsi:type="dcterms:W3CDTF">2019-09-14T17:06:00Z</dcterms:created>
  <dcterms:modified xsi:type="dcterms:W3CDTF">2019-09-14T17:06:00Z</dcterms:modified>
</cp:coreProperties>
</file>