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C4FA" w14:textId="3C9D844B" w:rsidR="00CA77FB" w:rsidRPr="00E060BE" w:rsidRDefault="00BD7834" w:rsidP="00EE10A1">
      <w:pPr>
        <w:pStyle w:val="Encabezado"/>
        <w:tabs>
          <w:tab w:val="clear" w:pos="8504"/>
          <w:tab w:val="left" w:pos="0"/>
          <w:tab w:val="right" w:pos="9356"/>
        </w:tabs>
        <w:ind w:left="0"/>
        <w:jc w:val="both"/>
        <w:rPr>
          <w:rFonts w:ascii="Bookman Old Style" w:hAnsi="Bookman Old Style"/>
          <w:b/>
          <w:bCs/>
          <w:noProof/>
          <w:szCs w:val="24"/>
          <w:lang w:val="es-ES"/>
        </w:rPr>
      </w:pPr>
      <w:r>
        <w:rPr>
          <w:rFonts w:ascii="Bookman Old Style" w:hAnsi="Bookman Old Style"/>
          <w:noProof/>
          <w:szCs w:val="24"/>
        </w:rPr>
        <w:object w:dxaOrig="1440" w:dyaOrig="1440" w14:anchorId="4C74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80437164" r:id="rId9"/>
        </w:object>
      </w:r>
      <w:r w:rsidR="00EE10A1">
        <w:rPr>
          <w:rFonts w:ascii="Bookman Old Style" w:hAnsi="Bookman Old Style"/>
          <w:bCs/>
          <w:szCs w:val="24"/>
        </w:rPr>
        <w:t xml:space="preserve">                                    </w:t>
      </w:r>
      <w:r w:rsidR="00CA77FB" w:rsidRPr="00E060BE">
        <w:rPr>
          <w:rFonts w:ascii="Bookman Old Style" w:hAnsi="Bookman Old Style"/>
          <w:bCs/>
          <w:szCs w:val="24"/>
        </w:rPr>
        <w:t>Ministerio de Minas y Energía</w:t>
      </w:r>
    </w:p>
    <w:p w14:paraId="0CDCA149"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072427BE"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11155CAC"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02AA4AD5" w14:textId="1AA5522F"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00EE10A1" w:rsidRPr="00EE10A1">
        <w:rPr>
          <w:rFonts w:ascii="Bookman Old Style" w:hAnsi="Bookman Old Style"/>
          <w:sz w:val="32"/>
          <w:szCs w:val="32"/>
        </w:rPr>
        <w:t>019</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9B71C4">
        <w:rPr>
          <w:rFonts w:ascii="Bookman Old Style" w:hAnsi="Bookman Old Style"/>
          <w:sz w:val="24"/>
          <w:szCs w:val="24"/>
        </w:rPr>
        <w:t>21</w:t>
      </w:r>
    </w:p>
    <w:p w14:paraId="5A058F3D"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22550A68" w14:textId="1E7010AD"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EE10A1" w:rsidRPr="00EE10A1">
        <w:rPr>
          <w:rFonts w:ascii="Bookman Old Style" w:hAnsi="Bookman Old Style"/>
          <w:bCs/>
          <w:sz w:val="32"/>
          <w:szCs w:val="32"/>
        </w:rPr>
        <w:t>11 MAR. 2021</w:t>
      </w:r>
      <w:r w:rsidRPr="00E060BE">
        <w:rPr>
          <w:rFonts w:ascii="Bookman Old Style" w:hAnsi="Bookman Old Style"/>
          <w:b w:val="0"/>
          <w:szCs w:val="24"/>
        </w:rPr>
        <w:t xml:space="preserve">  )</w:t>
      </w:r>
    </w:p>
    <w:p w14:paraId="337CE9D6" w14:textId="7E441E60" w:rsidR="00CA77FB" w:rsidRDefault="00CA77FB" w:rsidP="00012259">
      <w:pPr>
        <w:tabs>
          <w:tab w:val="left" w:pos="0"/>
          <w:tab w:val="right" w:pos="9356"/>
        </w:tabs>
        <w:ind w:left="0"/>
        <w:jc w:val="center"/>
        <w:rPr>
          <w:rFonts w:ascii="Bookman Old Style" w:hAnsi="Bookman Old Style"/>
          <w:lang w:val="es-ES_tradnl"/>
        </w:rPr>
      </w:pPr>
    </w:p>
    <w:p w14:paraId="5A23771B" w14:textId="0B54D938" w:rsidR="00045D3D" w:rsidRPr="00584E78" w:rsidRDefault="008E10C2" w:rsidP="008E10C2">
      <w:pPr>
        <w:ind w:left="142" w:right="51"/>
        <w:jc w:val="both"/>
        <w:rPr>
          <w:rFonts w:ascii="Bookman Old Style" w:hAnsi="Bookman Old Style"/>
          <w:i/>
        </w:rPr>
      </w:pPr>
      <w:r w:rsidRPr="008E10C2">
        <w:rPr>
          <w:rFonts w:ascii="Bookman Old Style" w:hAnsi="Bookman Old Style"/>
        </w:rPr>
        <w:t xml:space="preserve">Por la cual se </w:t>
      </w:r>
      <w:r w:rsidR="00C413EC">
        <w:rPr>
          <w:rFonts w:ascii="Bookman Old Style" w:hAnsi="Bookman Old Style"/>
        </w:rPr>
        <w:t xml:space="preserve">resuelve el recurso de reposición interpuesto contra la Resolución CREG </w:t>
      </w:r>
      <w:r w:rsidR="009B71C4">
        <w:rPr>
          <w:rFonts w:ascii="Bookman Old Style" w:hAnsi="Bookman Old Style"/>
        </w:rPr>
        <w:t>013</w:t>
      </w:r>
      <w:r w:rsidR="00C413EC">
        <w:rPr>
          <w:rFonts w:ascii="Bookman Old Style" w:hAnsi="Bookman Old Style"/>
        </w:rPr>
        <w:t xml:space="preserve"> de 20</w:t>
      </w:r>
      <w:r w:rsidR="009B71C4">
        <w:rPr>
          <w:rFonts w:ascii="Bookman Old Style" w:hAnsi="Bookman Old Style"/>
        </w:rPr>
        <w:t>21</w:t>
      </w:r>
      <w:r w:rsidR="003C074D">
        <w:rPr>
          <w:rFonts w:ascii="Bookman Old Style" w:hAnsi="Bookman Old Style"/>
        </w:rPr>
        <w:t>,</w:t>
      </w:r>
      <w:r w:rsidR="00C413EC">
        <w:rPr>
          <w:rFonts w:ascii="Bookman Old Style" w:hAnsi="Bookman Old Style"/>
        </w:rPr>
        <w:t xml:space="preserve"> </w:t>
      </w:r>
      <w:r w:rsidR="00362B61">
        <w:rPr>
          <w:rFonts w:ascii="Bookman Old Style" w:hAnsi="Bookman Old Style"/>
        </w:rPr>
        <w:t xml:space="preserve">que </w:t>
      </w:r>
      <w:r w:rsidR="009B71C4" w:rsidRPr="008E10C2">
        <w:rPr>
          <w:rFonts w:ascii="Bookman Old Style" w:hAnsi="Bookman Old Style"/>
        </w:rPr>
        <w:t xml:space="preserve">decide la actuación administrativa adelantada para determinar el incumplimiento grave e insalvable en la puesta en operación del Proyecto Hidroeléctrico </w:t>
      </w:r>
      <w:r w:rsidR="009B71C4">
        <w:rPr>
          <w:rFonts w:ascii="Bookman Old Style" w:hAnsi="Bookman Old Style"/>
        </w:rPr>
        <w:t>Miel II</w:t>
      </w:r>
      <w:r w:rsidR="009B71C4" w:rsidRPr="008E10C2">
        <w:rPr>
          <w:rFonts w:ascii="Bookman Old Style" w:hAnsi="Bookman Old Style"/>
        </w:rPr>
        <w:t xml:space="preserve">, proyecto desarrollado por </w:t>
      </w:r>
      <w:r w:rsidR="009B71C4">
        <w:rPr>
          <w:rFonts w:ascii="Bookman Old Style" w:hAnsi="Bookman Old Style"/>
        </w:rPr>
        <w:t>Promotora Energética de Centro S</w:t>
      </w:r>
      <w:r w:rsidR="003C074D">
        <w:rPr>
          <w:rFonts w:ascii="Bookman Old Style" w:hAnsi="Bookman Old Style"/>
        </w:rPr>
        <w:t>.</w:t>
      </w:r>
      <w:r w:rsidR="009B71C4">
        <w:rPr>
          <w:rFonts w:ascii="Bookman Old Style" w:hAnsi="Bookman Old Style"/>
        </w:rPr>
        <w:t>A</w:t>
      </w:r>
      <w:r w:rsidR="003C074D">
        <w:rPr>
          <w:rFonts w:ascii="Bookman Old Style" w:hAnsi="Bookman Old Style"/>
        </w:rPr>
        <w:t>.</w:t>
      </w:r>
      <w:r w:rsidR="009B71C4">
        <w:rPr>
          <w:rFonts w:ascii="Bookman Old Style" w:hAnsi="Bookman Old Style"/>
        </w:rPr>
        <w:t>S</w:t>
      </w:r>
      <w:r w:rsidR="003C074D">
        <w:rPr>
          <w:rFonts w:ascii="Bookman Old Style" w:hAnsi="Bookman Old Style"/>
        </w:rPr>
        <w:t>.</w:t>
      </w:r>
      <w:r w:rsidR="009B71C4">
        <w:rPr>
          <w:rFonts w:ascii="Bookman Old Style" w:hAnsi="Bookman Old Style"/>
        </w:rPr>
        <w:t xml:space="preserve"> E</w:t>
      </w:r>
      <w:r w:rsidR="003C074D">
        <w:rPr>
          <w:rFonts w:ascii="Bookman Old Style" w:hAnsi="Bookman Old Style"/>
        </w:rPr>
        <w:t>.</w:t>
      </w:r>
      <w:r w:rsidR="009B71C4">
        <w:rPr>
          <w:rFonts w:ascii="Bookman Old Style" w:hAnsi="Bookman Old Style"/>
        </w:rPr>
        <w:t>S</w:t>
      </w:r>
      <w:r w:rsidR="003C074D">
        <w:rPr>
          <w:rFonts w:ascii="Bookman Old Style" w:hAnsi="Bookman Old Style"/>
        </w:rPr>
        <w:t>.</w:t>
      </w:r>
      <w:r w:rsidR="009B71C4">
        <w:rPr>
          <w:rFonts w:ascii="Bookman Old Style" w:hAnsi="Bookman Old Style"/>
        </w:rPr>
        <w:t>P</w:t>
      </w:r>
      <w:r w:rsidRPr="00584E78">
        <w:rPr>
          <w:rFonts w:ascii="Bookman Old Style" w:hAnsi="Bookman Old Style"/>
          <w:i/>
        </w:rPr>
        <w:t>.</w:t>
      </w:r>
    </w:p>
    <w:p w14:paraId="1D9D21C6" w14:textId="5DDF9D0B" w:rsidR="008E10C2" w:rsidRDefault="008E10C2" w:rsidP="00045D3D">
      <w:pPr>
        <w:ind w:right="51"/>
        <w:rPr>
          <w:rFonts w:ascii="Bookman Old Style" w:hAnsi="Bookman Old Style"/>
        </w:rPr>
      </w:pPr>
    </w:p>
    <w:p w14:paraId="3025700A" w14:textId="5B9588C8"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2747F192" w14:textId="77777777" w:rsidR="00045D3D" w:rsidRPr="00C435C3" w:rsidRDefault="00045D3D" w:rsidP="00045D3D">
      <w:pPr>
        <w:ind w:left="0" w:right="51"/>
        <w:rPr>
          <w:rFonts w:ascii="Bookman Old Style" w:hAnsi="Bookman Old Style"/>
        </w:rPr>
      </w:pPr>
    </w:p>
    <w:p w14:paraId="60EB5EC1" w14:textId="77777777" w:rsidR="00045D3D" w:rsidRDefault="008E10C2" w:rsidP="008E10C2">
      <w:pPr>
        <w:ind w:right="51"/>
        <w:jc w:val="center"/>
        <w:rPr>
          <w:rFonts w:ascii="Bookman Old Style" w:hAnsi="Bookman Old Style"/>
        </w:rPr>
      </w:pPr>
      <w:r w:rsidRPr="008E10C2">
        <w:rPr>
          <w:rFonts w:ascii="Bookman Old Style" w:hAnsi="Bookman Old Style" w:cs="Arial"/>
          <w:bCs/>
          <w:spacing w:val="-3"/>
        </w:rPr>
        <w:t xml:space="preserve">En ejercicio de las atribuciones legales, en especial las conferidas por las Leyes 142 y 143 de 1994, y en desarrollo de los Decretos 1524 </w:t>
      </w:r>
      <w:r w:rsidR="003B1925">
        <w:rPr>
          <w:rFonts w:ascii="Bookman Old Style" w:hAnsi="Bookman Old Style" w:cs="Arial"/>
          <w:bCs/>
          <w:spacing w:val="-3"/>
        </w:rPr>
        <w:t xml:space="preserve">y 2253 </w:t>
      </w:r>
      <w:r w:rsidRPr="008E10C2">
        <w:rPr>
          <w:rFonts w:ascii="Bookman Old Style" w:hAnsi="Bookman Old Style" w:cs="Arial"/>
          <w:bCs/>
          <w:spacing w:val="-3"/>
        </w:rPr>
        <w:t>de 1994 y 1260 de 2013 y</w:t>
      </w:r>
    </w:p>
    <w:p w14:paraId="4FE98C53" w14:textId="77777777" w:rsidR="00EE10A1" w:rsidRDefault="00EE10A1" w:rsidP="00045D3D">
      <w:pPr>
        <w:ind w:right="51"/>
        <w:rPr>
          <w:rFonts w:ascii="Bookman Old Style" w:hAnsi="Bookman Old Style"/>
        </w:rPr>
      </w:pPr>
    </w:p>
    <w:p w14:paraId="2F275AC6"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028FD3CB" w14:textId="77777777" w:rsidR="00045D3D" w:rsidRDefault="00045D3D" w:rsidP="008E10C2">
      <w:pPr>
        <w:ind w:left="0"/>
        <w:rPr>
          <w:rFonts w:ascii="Bookman Old Style" w:hAnsi="Bookman Old Style"/>
          <w:b/>
        </w:rPr>
      </w:pPr>
    </w:p>
    <w:p w14:paraId="62BCD0DC" w14:textId="20EFF816" w:rsidR="008E10C2" w:rsidRDefault="008E10C2" w:rsidP="008E10C2">
      <w:pPr>
        <w:numPr>
          <w:ilvl w:val="0"/>
          <w:numId w:val="24"/>
        </w:numPr>
        <w:rPr>
          <w:rFonts w:ascii="Bookman Old Style" w:hAnsi="Bookman Old Style"/>
          <w:b/>
        </w:rPr>
      </w:pPr>
      <w:r w:rsidRPr="00496B75">
        <w:rPr>
          <w:rFonts w:ascii="Bookman Old Style" w:hAnsi="Bookman Old Style"/>
          <w:b/>
        </w:rPr>
        <w:t xml:space="preserve">ANTECEDENTES </w:t>
      </w:r>
    </w:p>
    <w:p w14:paraId="310D3105" w14:textId="621E5C2A" w:rsidR="009B71C4" w:rsidRDefault="009B71C4" w:rsidP="009B71C4">
      <w:pPr>
        <w:ind w:left="720"/>
        <w:rPr>
          <w:rFonts w:ascii="Bookman Old Style" w:hAnsi="Bookman Old Style"/>
          <w:b/>
        </w:rPr>
      </w:pPr>
    </w:p>
    <w:p w14:paraId="62534616" w14:textId="0533B905" w:rsidR="009B71C4" w:rsidRPr="003332BF" w:rsidRDefault="009B71C4" w:rsidP="00840E0A">
      <w:pPr>
        <w:ind w:left="0"/>
        <w:jc w:val="both"/>
        <w:rPr>
          <w:rFonts w:ascii="Bookman Old Style" w:hAnsi="Bookman Old Style"/>
          <w:bCs/>
        </w:rPr>
      </w:pPr>
      <w:r w:rsidRPr="003332BF">
        <w:rPr>
          <w:rFonts w:ascii="Bookman Old Style" w:hAnsi="Bookman Old Style"/>
          <w:bCs/>
        </w:rPr>
        <w:t>La Ley 143 de 1994 definió como objetivo fundamental de la regulación asegurar una adecuada</w:t>
      </w:r>
      <w:r w:rsidR="00E33847" w:rsidRPr="003332BF">
        <w:rPr>
          <w:rFonts w:ascii="Bookman Old Style" w:hAnsi="Bookman Old Style"/>
          <w:bCs/>
        </w:rPr>
        <w:t xml:space="preserve"> </w:t>
      </w:r>
      <w:r w:rsidRPr="003332BF">
        <w:rPr>
          <w:rFonts w:ascii="Bookman Old Style" w:hAnsi="Bookman Old Style"/>
          <w:bCs/>
        </w:rPr>
        <w:t>prestación del servicio mediante</w:t>
      </w:r>
      <w:r w:rsidR="00CA7045" w:rsidRPr="003332BF">
        <w:rPr>
          <w:rFonts w:ascii="Bookman Old Style" w:hAnsi="Bookman Old Style"/>
          <w:bCs/>
        </w:rPr>
        <w:t xml:space="preserve"> </w:t>
      </w:r>
      <w:r w:rsidRPr="003332BF">
        <w:rPr>
          <w:rFonts w:ascii="Bookman Old Style" w:hAnsi="Bookman Old Style"/>
          <w:bCs/>
        </w:rPr>
        <w:t>el aprovechamiento eficiente de los diferentes recursos energéticos, en beneficio del usuario</w:t>
      </w:r>
      <w:r w:rsidR="00362B61">
        <w:rPr>
          <w:rFonts w:ascii="Bookman Old Style" w:hAnsi="Bookman Old Style"/>
          <w:bCs/>
        </w:rPr>
        <w:t>,</w:t>
      </w:r>
      <w:r w:rsidRPr="003332BF">
        <w:rPr>
          <w:rFonts w:ascii="Bookman Old Style" w:hAnsi="Bookman Old Style"/>
          <w:bCs/>
        </w:rPr>
        <w:t xml:space="preserve"> en términos de calidad, oportunidad y costo del servicio.  Así mismo, la ley estableció como función del regulador la de valorar la capacidad de generación de respaldo de la oferta eficiente.</w:t>
      </w:r>
    </w:p>
    <w:p w14:paraId="2FB4A07F" w14:textId="77777777" w:rsidR="009B71C4" w:rsidRPr="003332BF" w:rsidRDefault="009B71C4" w:rsidP="00840E0A">
      <w:pPr>
        <w:ind w:left="0"/>
        <w:jc w:val="both"/>
        <w:rPr>
          <w:rFonts w:ascii="Bookman Old Style" w:hAnsi="Bookman Old Style"/>
          <w:bCs/>
        </w:rPr>
      </w:pPr>
    </w:p>
    <w:p w14:paraId="3F7DEE32" w14:textId="1352D8A7" w:rsidR="009B71C4" w:rsidRPr="003332BF" w:rsidRDefault="009B71C4" w:rsidP="00840E0A">
      <w:pPr>
        <w:ind w:left="0"/>
        <w:jc w:val="both"/>
        <w:rPr>
          <w:rFonts w:ascii="Bookman Old Style" w:hAnsi="Bookman Old Style"/>
          <w:bCs/>
          <w:lang w:val="es-CO"/>
        </w:rPr>
      </w:pPr>
      <w:r w:rsidRPr="003332BF">
        <w:rPr>
          <w:rFonts w:ascii="Bookman Old Style" w:hAnsi="Bookman Old Style"/>
          <w:bCs/>
        </w:rPr>
        <w:t xml:space="preserve">En desarrollo de los precitados mandatos legales, la Comisión de Regulación de Energía y Gas, mediante Resolución CREG 071 de 2006, adoptó el mecanismo del Cargo por Confiabilidad. En la </w:t>
      </w:r>
      <w:r w:rsidRPr="003332BF">
        <w:rPr>
          <w:rFonts w:ascii="Bookman Old Style" w:hAnsi="Bookman Old Style"/>
          <w:bCs/>
          <w:lang w:val="es-CO"/>
        </w:rPr>
        <w:t xml:space="preserve">Resolución CREG 061 de 2007 se hicieron ajustes a la resolución mencionada y se adoptó el reglamento aplicable a las garantías que deben ser otorgadas por quienes participen en el esquema, entre ellas la que respalda la ejecución de nuevos proyectos de generación de energía eléctrica.  </w:t>
      </w:r>
      <w:r w:rsidR="0022656C">
        <w:rPr>
          <w:rFonts w:ascii="Bookman Old Style" w:hAnsi="Bookman Old Style"/>
          <w:bCs/>
          <w:lang w:val="es-CO"/>
        </w:rPr>
        <w:t>Esta</w:t>
      </w:r>
      <w:r w:rsidRPr="003332BF">
        <w:rPr>
          <w:rFonts w:ascii="Bookman Old Style" w:hAnsi="Bookman Old Style"/>
          <w:bCs/>
          <w:lang w:val="es-CO"/>
        </w:rPr>
        <w:t xml:space="preserve"> regulación define el alcance de las obligaciones que adquieren quienes obtienen asignaciones de obligaciones de energía firme, OEF; el esquema de seguimiento mediante auditorías a las plantas nuevas; los eventos que se consideran incumplimiento y las consecuencias que se derivan del mismo. </w:t>
      </w:r>
    </w:p>
    <w:p w14:paraId="5D27C7A2" w14:textId="77777777" w:rsidR="009B71C4" w:rsidRPr="003332BF" w:rsidRDefault="009B71C4" w:rsidP="00840E0A">
      <w:pPr>
        <w:ind w:left="0"/>
        <w:jc w:val="both"/>
        <w:rPr>
          <w:rFonts w:ascii="Bookman Old Style" w:hAnsi="Bookman Old Style"/>
          <w:bCs/>
          <w:lang w:val="es-CO"/>
        </w:rPr>
      </w:pPr>
    </w:p>
    <w:p w14:paraId="5A227907" w14:textId="05CDB20C" w:rsidR="009B71C4" w:rsidRPr="003332BF" w:rsidRDefault="009B71C4" w:rsidP="00840E0A">
      <w:pPr>
        <w:ind w:left="0"/>
        <w:jc w:val="both"/>
        <w:rPr>
          <w:rFonts w:ascii="Bookman Old Style" w:hAnsi="Bookman Old Style"/>
          <w:bCs/>
          <w:lang w:val="es-CO"/>
        </w:rPr>
      </w:pPr>
      <w:r w:rsidRPr="003332BF">
        <w:rPr>
          <w:rFonts w:ascii="Bookman Old Style" w:hAnsi="Bookman Old Style"/>
          <w:bCs/>
          <w:lang w:val="es-CO"/>
        </w:rPr>
        <w:t>Específicamente</w:t>
      </w:r>
      <w:r w:rsidR="003C074D">
        <w:rPr>
          <w:rFonts w:ascii="Bookman Old Style" w:hAnsi="Bookman Old Style"/>
          <w:bCs/>
          <w:lang w:val="es-CO"/>
        </w:rPr>
        <w:t>,</w:t>
      </w:r>
      <w:r w:rsidRPr="003332BF">
        <w:rPr>
          <w:rFonts w:ascii="Bookman Old Style" w:hAnsi="Bookman Old Style"/>
          <w:bCs/>
          <w:lang w:val="es-CO"/>
        </w:rPr>
        <w:t xml:space="preserve"> el parágrafo del artículo 9 de la Resolución CREG 071 de 2006, modificado por el artículo 13 de la Resolución CREG 061 de 2007, establece:</w:t>
      </w:r>
    </w:p>
    <w:p w14:paraId="7789DFF3" w14:textId="77777777" w:rsidR="009B71C4" w:rsidRPr="003332BF" w:rsidRDefault="009B71C4" w:rsidP="00840E0A">
      <w:pPr>
        <w:ind w:left="0"/>
        <w:jc w:val="both"/>
        <w:rPr>
          <w:rFonts w:ascii="Bookman Old Style" w:hAnsi="Bookman Old Style"/>
          <w:bCs/>
          <w:i/>
          <w:lang w:val="es-CO"/>
        </w:rPr>
      </w:pPr>
    </w:p>
    <w:p w14:paraId="7F616862" w14:textId="6C4E49F8" w:rsidR="009B71C4" w:rsidRPr="003332BF" w:rsidRDefault="009B71C4" w:rsidP="00EE10A1">
      <w:pPr>
        <w:ind w:left="284"/>
        <w:jc w:val="both"/>
        <w:rPr>
          <w:rFonts w:ascii="Bookman Old Style" w:hAnsi="Bookman Old Style"/>
          <w:bCs/>
        </w:rPr>
      </w:pPr>
      <w:r w:rsidRPr="003332BF">
        <w:rPr>
          <w:rFonts w:ascii="Bookman Old Style" w:hAnsi="Bookman Old Style"/>
          <w:bCs/>
          <w:i/>
          <w:lang w:val="es-CO"/>
        </w:rPr>
        <w:t>“Parágrafo. En el caso del incumplimiento grave e insalvable que se determina cuando el informe del auditor indica que la puesta en operación de la planta o unidad de generación tendrá un atraso mayor a un año, contado a partir de la fecha de inicio del P</w:t>
      </w:r>
      <w:r w:rsidR="0061057B">
        <w:rPr>
          <w:rFonts w:ascii="Bookman Old Style" w:hAnsi="Bookman Old Style"/>
          <w:bCs/>
          <w:i/>
          <w:lang w:val="es-CO"/>
        </w:rPr>
        <w:t>eríodo</w:t>
      </w:r>
      <w:r w:rsidRPr="003332BF">
        <w:rPr>
          <w:rFonts w:ascii="Bookman Old Style" w:hAnsi="Bookman Old Style"/>
          <w:bCs/>
          <w:i/>
          <w:lang w:val="es-CO"/>
        </w:rPr>
        <w:t xml:space="preserve"> de Vigencia de la Obligación, la CREG, con el propósito de establecer plenamente la existencia del incumplimiento, determinar sus consecuencias y garantizar el derecho de defensa de los afectados, agotará </w:t>
      </w:r>
      <w:r w:rsidRPr="003332BF">
        <w:rPr>
          <w:rFonts w:ascii="Bookman Old Style" w:hAnsi="Bookman Old Style"/>
          <w:bCs/>
          <w:i/>
          <w:lang w:val="es-CO"/>
        </w:rPr>
        <w:lastRenderedPageBreak/>
        <w:t>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w:t>
      </w:r>
    </w:p>
    <w:p w14:paraId="56EE6239" w14:textId="77777777" w:rsidR="009B71C4" w:rsidRPr="003332BF" w:rsidRDefault="009B71C4" w:rsidP="00840E0A">
      <w:pPr>
        <w:ind w:left="0"/>
        <w:jc w:val="both"/>
        <w:rPr>
          <w:rFonts w:ascii="Bookman Old Style" w:hAnsi="Bookman Old Style"/>
          <w:bCs/>
        </w:rPr>
      </w:pPr>
    </w:p>
    <w:p w14:paraId="123B10D5" w14:textId="5544A4FC" w:rsidR="009B71C4" w:rsidRPr="003332BF" w:rsidRDefault="009B71C4" w:rsidP="00840E0A">
      <w:pPr>
        <w:ind w:left="0"/>
        <w:jc w:val="both"/>
        <w:rPr>
          <w:rFonts w:ascii="Bookman Old Style" w:hAnsi="Bookman Old Style"/>
          <w:bCs/>
          <w:i/>
          <w:iCs/>
        </w:rPr>
      </w:pPr>
      <w:r w:rsidRPr="003332BF">
        <w:rPr>
          <w:rFonts w:ascii="Bookman Old Style" w:hAnsi="Bookman Old Style"/>
          <w:bCs/>
        </w:rPr>
        <w:t>En el mismo sentido</w:t>
      </w:r>
      <w:r w:rsidR="003C074D">
        <w:rPr>
          <w:rFonts w:ascii="Bookman Old Style" w:hAnsi="Bookman Old Style"/>
          <w:bCs/>
        </w:rPr>
        <w:t>,</w:t>
      </w:r>
      <w:r w:rsidRPr="003332BF">
        <w:rPr>
          <w:rFonts w:ascii="Bookman Old Style" w:hAnsi="Bookman Old Style"/>
          <w:bCs/>
        </w:rPr>
        <w:t xml:space="preserve"> el artículo 13 del </w:t>
      </w:r>
      <w:r w:rsidRPr="003332BF">
        <w:rPr>
          <w:rFonts w:ascii="Bookman Old Style" w:hAnsi="Bookman Old Style"/>
          <w:bCs/>
          <w:i/>
          <w:iCs/>
        </w:rPr>
        <w:t>Reglamento de Garantías para el Cargo por Confiabilidad</w:t>
      </w:r>
      <w:r w:rsidRPr="003332BF">
        <w:rPr>
          <w:rFonts w:ascii="Bookman Old Style" w:hAnsi="Bookman Old Style"/>
          <w:bCs/>
        </w:rPr>
        <w:t>, adoptado mediante la Res</w:t>
      </w:r>
      <w:r w:rsidR="0022656C">
        <w:rPr>
          <w:rFonts w:ascii="Bookman Old Style" w:hAnsi="Bookman Old Style"/>
          <w:bCs/>
        </w:rPr>
        <w:t>olución</w:t>
      </w:r>
      <w:r w:rsidRPr="003332BF">
        <w:rPr>
          <w:rFonts w:ascii="Bookman Old Style" w:hAnsi="Bookman Old Style"/>
          <w:bCs/>
        </w:rPr>
        <w:t xml:space="preserve"> 061 de 2007</w:t>
      </w:r>
      <w:r w:rsidR="003C074D">
        <w:rPr>
          <w:rFonts w:ascii="Bookman Old Style" w:hAnsi="Bookman Old Style"/>
          <w:bCs/>
        </w:rPr>
        <w:t>,</w:t>
      </w:r>
      <w:r w:rsidRPr="003332BF">
        <w:rPr>
          <w:rFonts w:ascii="Bookman Old Style" w:hAnsi="Bookman Old Style"/>
          <w:bCs/>
        </w:rPr>
        <w:t xml:space="preserve"> define como evento de incumplimiento grave e insalvable “</w:t>
      </w:r>
      <w:r w:rsidRPr="003332BF">
        <w:rPr>
          <w:rFonts w:ascii="Bookman Old Style" w:hAnsi="Bookman Old Style"/>
          <w:bCs/>
          <w:i/>
          <w:iCs/>
        </w:rPr>
        <w:t>1. Incumplimiento Calificado de Cronograma que implique que la puesta en operación de la planta o unidad de generación, ocurrirá en un plazo superior a un (1) año contado a partir del IPVO.”</w:t>
      </w:r>
    </w:p>
    <w:p w14:paraId="7F0172F9" w14:textId="77777777" w:rsidR="009B71C4" w:rsidRPr="003332BF" w:rsidRDefault="009B71C4" w:rsidP="00840E0A">
      <w:pPr>
        <w:ind w:left="0"/>
        <w:jc w:val="both"/>
        <w:rPr>
          <w:rFonts w:ascii="Bookman Old Style" w:hAnsi="Bookman Old Style"/>
          <w:bCs/>
        </w:rPr>
      </w:pPr>
    </w:p>
    <w:p w14:paraId="75A4B21D" w14:textId="30673D16" w:rsidR="009B71C4" w:rsidRPr="003332BF" w:rsidRDefault="009B71C4" w:rsidP="00840E0A">
      <w:pPr>
        <w:ind w:left="0"/>
        <w:jc w:val="both"/>
        <w:rPr>
          <w:rFonts w:ascii="Bookman Old Style" w:hAnsi="Bookman Old Style"/>
          <w:bCs/>
        </w:rPr>
      </w:pPr>
      <w:r w:rsidRPr="003332BF">
        <w:rPr>
          <w:rFonts w:ascii="Bookman Old Style" w:hAnsi="Bookman Old Style"/>
          <w:bCs/>
        </w:rPr>
        <w:t>Conforme a la regulación</w:t>
      </w:r>
      <w:r w:rsidR="0022656C">
        <w:rPr>
          <w:rFonts w:ascii="Bookman Old Style" w:hAnsi="Bookman Old Style"/>
          <w:bCs/>
        </w:rPr>
        <w:t xml:space="preserve"> establecida</w:t>
      </w:r>
      <w:r w:rsidRPr="003332BF">
        <w:rPr>
          <w:rFonts w:ascii="Bookman Old Style" w:hAnsi="Bookman Old Style"/>
          <w:bCs/>
        </w:rPr>
        <w:t xml:space="preserve">, el incumplimiento grave e insalvable da lugar a la ejecución de las garantías y a la pérdida de las OEF asignadas. </w:t>
      </w:r>
    </w:p>
    <w:p w14:paraId="4A5205E2" w14:textId="77777777" w:rsidR="009B71C4" w:rsidRPr="003332BF" w:rsidRDefault="009B71C4" w:rsidP="00840E0A">
      <w:pPr>
        <w:ind w:left="0"/>
        <w:jc w:val="both"/>
        <w:rPr>
          <w:rFonts w:ascii="Bookman Old Style" w:hAnsi="Bookman Old Style"/>
          <w:bCs/>
        </w:rPr>
      </w:pPr>
    </w:p>
    <w:p w14:paraId="47B898FA" w14:textId="3851C628" w:rsidR="009B71C4" w:rsidRPr="003332BF" w:rsidRDefault="00362B61" w:rsidP="00840E0A">
      <w:pPr>
        <w:ind w:left="0"/>
        <w:jc w:val="both"/>
        <w:rPr>
          <w:rFonts w:ascii="Bookman Old Style" w:hAnsi="Bookman Old Style"/>
          <w:bCs/>
        </w:rPr>
      </w:pPr>
      <w:r>
        <w:rPr>
          <w:rFonts w:ascii="Bookman Old Style" w:hAnsi="Bookman Old Style"/>
          <w:bCs/>
        </w:rPr>
        <w:t>E</w:t>
      </w:r>
      <w:r w:rsidR="009B71C4" w:rsidRPr="003332BF">
        <w:rPr>
          <w:rFonts w:ascii="Bookman Old Style" w:hAnsi="Bookman Old Style"/>
          <w:bCs/>
        </w:rPr>
        <w:t xml:space="preserve">n el año 2019, como resultado de la subasta del Cargo por Confiabilidad para el </w:t>
      </w:r>
      <w:r w:rsidR="003C074D" w:rsidRPr="003332BF">
        <w:rPr>
          <w:rFonts w:ascii="Bookman Old Style" w:hAnsi="Bookman Old Style"/>
          <w:bCs/>
        </w:rPr>
        <w:t>p</w:t>
      </w:r>
      <w:r w:rsidR="003C074D">
        <w:rPr>
          <w:rFonts w:ascii="Bookman Old Style" w:hAnsi="Bookman Old Style"/>
          <w:bCs/>
        </w:rPr>
        <w:t>eríodo</w:t>
      </w:r>
      <w:r w:rsidR="003C074D" w:rsidRPr="003332BF">
        <w:rPr>
          <w:rFonts w:ascii="Bookman Old Style" w:hAnsi="Bookman Old Style"/>
          <w:bCs/>
        </w:rPr>
        <w:t xml:space="preserve"> </w:t>
      </w:r>
      <w:r w:rsidR="009B71C4" w:rsidRPr="003332BF">
        <w:rPr>
          <w:rFonts w:ascii="Bookman Old Style" w:hAnsi="Bookman Old Style"/>
          <w:bCs/>
        </w:rPr>
        <w:t xml:space="preserve">de </w:t>
      </w:r>
      <w:r w:rsidR="009B71C4" w:rsidRPr="0061057B">
        <w:rPr>
          <w:rFonts w:ascii="Bookman Old Style" w:hAnsi="Bookman Old Style"/>
          <w:bCs/>
        </w:rPr>
        <w:t xml:space="preserve">1 de diciembre de 2022 y 30 de noviembre de </w:t>
      </w:r>
      <w:r w:rsidR="0061057B" w:rsidRPr="0061057B">
        <w:rPr>
          <w:rFonts w:ascii="Bookman Old Style" w:hAnsi="Bookman Old Style"/>
          <w:bCs/>
        </w:rPr>
        <w:t>2023</w:t>
      </w:r>
      <w:r w:rsidR="009B71C4" w:rsidRPr="003332BF">
        <w:rPr>
          <w:rFonts w:ascii="Bookman Old Style" w:hAnsi="Bookman Old Style"/>
          <w:bCs/>
        </w:rPr>
        <w:t>, la Promotora Energética de Centro S</w:t>
      </w:r>
      <w:r w:rsidR="003C074D">
        <w:rPr>
          <w:rFonts w:ascii="Bookman Old Style" w:hAnsi="Bookman Old Style"/>
          <w:bCs/>
        </w:rPr>
        <w:t>.</w:t>
      </w:r>
      <w:r w:rsidR="009B71C4" w:rsidRPr="003332BF">
        <w:rPr>
          <w:rFonts w:ascii="Bookman Old Style" w:hAnsi="Bookman Old Style"/>
          <w:bCs/>
        </w:rPr>
        <w:t>A</w:t>
      </w:r>
      <w:r w:rsidR="003C074D">
        <w:rPr>
          <w:rFonts w:ascii="Bookman Old Style" w:hAnsi="Bookman Old Style"/>
          <w:bCs/>
        </w:rPr>
        <w:t>.</w:t>
      </w:r>
      <w:r w:rsidR="009B71C4" w:rsidRPr="003332BF">
        <w:rPr>
          <w:rFonts w:ascii="Bookman Old Style" w:hAnsi="Bookman Old Style"/>
          <w:bCs/>
        </w:rPr>
        <w:t>S</w:t>
      </w:r>
      <w:r w:rsidR="003C074D">
        <w:rPr>
          <w:rFonts w:ascii="Bookman Old Style" w:hAnsi="Bookman Old Style"/>
          <w:bCs/>
        </w:rPr>
        <w:t>.</w:t>
      </w:r>
      <w:r w:rsidR="009B71C4" w:rsidRPr="003332BF">
        <w:rPr>
          <w:rFonts w:ascii="Bookman Old Style" w:hAnsi="Bookman Old Style"/>
          <w:bCs/>
        </w:rPr>
        <w:t xml:space="preserve"> E</w:t>
      </w:r>
      <w:r w:rsidR="003C074D">
        <w:rPr>
          <w:rFonts w:ascii="Bookman Old Style" w:hAnsi="Bookman Old Style"/>
          <w:bCs/>
        </w:rPr>
        <w:t>.</w:t>
      </w:r>
      <w:r w:rsidR="009B71C4" w:rsidRPr="003332BF">
        <w:rPr>
          <w:rFonts w:ascii="Bookman Old Style" w:hAnsi="Bookman Old Style"/>
          <w:bCs/>
        </w:rPr>
        <w:t>S</w:t>
      </w:r>
      <w:r w:rsidR="003C074D">
        <w:rPr>
          <w:rFonts w:ascii="Bookman Old Style" w:hAnsi="Bookman Old Style"/>
          <w:bCs/>
        </w:rPr>
        <w:t>.</w:t>
      </w:r>
      <w:r w:rsidR="009B71C4" w:rsidRPr="003332BF">
        <w:rPr>
          <w:rFonts w:ascii="Bookman Old Style" w:hAnsi="Bookman Old Style"/>
          <w:bCs/>
        </w:rPr>
        <w:t>P</w:t>
      </w:r>
      <w:r w:rsidR="003C074D">
        <w:rPr>
          <w:rFonts w:ascii="Bookman Old Style" w:hAnsi="Bookman Old Style"/>
          <w:bCs/>
        </w:rPr>
        <w:t>.,</w:t>
      </w:r>
      <w:r w:rsidR="009B71C4" w:rsidRPr="003332BF">
        <w:rPr>
          <w:rFonts w:ascii="Bookman Old Style" w:hAnsi="Bookman Old Style"/>
          <w:bCs/>
        </w:rPr>
        <w:t xml:space="preserve"> en representación del proyecto Miel II</w:t>
      </w:r>
      <w:r w:rsidR="003C074D">
        <w:rPr>
          <w:rFonts w:ascii="Bookman Old Style" w:hAnsi="Bookman Old Style"/>
          <w:bCs/>
        </w:rPr>
        <w:t>,</w:t>
      </w:r>
      <w:r w:rsidR="009B71C4" w:rsidRPr="003332BF">
        <w:rPr>
          <w:rFonts w:ascii="Bookman Old Style" w:hAnsi="Bookman Old Style"/>
          <w:bCs/>
        </w:rPr>
        <w:t xml:space="preserve"> recibió asignaciones de Obligaciones de Energía Firme -OEF-, equivalentes a doscientos tres mil ochocientos ochenta y cinco kilovatios hora – día (203.885 kWh-día)</w:t>
      </w:r>
      <w:r w:rsidR="0061057B">
        <w:rPr>
          <w:rFonts w:ascii="Bookman Old Style" w:hAnsi="Bookman Old Style"/>
          <w:bCs/>
        </w:rPr>
        <w:t xml:space="preserve"> en su condición de planta nueva por un período de 20 años, es decir, hasta el 30 de noviembre de 2042</w:t>
      </w:r>
      <w:r w:rsidR="009B71C4" w:rsidRPr="003332BF">
        <w:rPr>
          <w:rFonts w:ascii="Bookman Old Style" w:hAnsi="Bookman Old Style"/>
          <w:bCs/>
        </w:rPr>
        <w:t>.</w:t>
      </w:r>
    </w:p>
    <w:p w14:paraId="41C29ECF" w14:textId="77777777" w:rsidR="009B71C4" w:rsidRPr="00496B75" w:rsidRDefault="009B71C4" w:rsidP="00840E0A">
      <w:pPr>
        <w:ind w:left="0"/>
        <w:jc w:val="both"/>
        <w:rPr>
          <w:rFonts w:ascii="Bookman Old Style" w:hAnsi="Bookman Old Style"/>
          <w:b/>
        </w:rPr>
      </w:pPr>
    </w:p>
    <w:p w14:paraId="0243E8B9" w14:textId="05215736" w:rsidR="008E10C2" w:rsidRPr="00052B5D" w:rsidRDefault="008E10C2" w:rsidP="008E10C2">
      <w:pPr>
        <w:ind w:left="0"/>
        <w:jc w:val="both"/>
        <w:rPr>
          <w:rFonts w:ascii="Bookman Old Style" w:hAnsi="Bookman Old Style"/>
          <w:bCs/>
          <w:lang w:val="es-CO"/>
        </w:rPr>
      </w:pPr>
      <w:r>
        <w:rPr>
          <w:rFonts w:ascii="Bookman Old Style" w:hAnsi="Bookman Old Style" w:cs="Arial"/>
          <w:bCs/>
        </w:rPr>
        <w:t xml:space="preserve">Recibido el informe del auditor del proyecto, atendiendo a las conclusiones del mismo y a lo previsto en la regulación, mediante auto de </w:t>
      </w:r>
      <w:r w:rsidR="009B71C4">
        <w:rPr>
          <w:rFonts w:ascii="Bookman Old Style" w:hAnsi="Bookman Old Style" w:cs="Arial"/>
          <w:bCs/>
        </w:rPr>
        <w:t>10</w:t>
      </w:r>
      <w:r>
        <w:rPr>
          <w:rFonts w:ascii="Bookman Old Style" w:hAnsi="Bookman Old Style" w:cs="Arial"/>
          <w:bCs/>
        </w:rPr>
        <w:t xml:space="preserve"> de</w:t>
      </w:r>
      <w:r w:rsidR="009B71C4">
        <w:rPr>
          <w:rFonts w:ascii="Bookman Old Style" w:hAnsi="Bookman Old Style" w:cs="Arial"/>
          <w:bCs/>
        </w:rPr>
        <w:t xml:space="preserve"> septiembre</w:t>
      </w:r>
      <w:r>
        <w:rPr>
          <w:rFonts w:ascii="Bookman Old Style" w:hAnsi="Bookman Old Style" w:cs="Arial"/>
          <w:bCs/>
        </w:rPr>
        <w:t xml:space="preserve"> de 20</w:t>
      </w:r>
      <w:r w:rsidR="009B71C4">
        <w:rPr>
          <w:rFonts w:ascii="Bookman Old Style" w:hAnsi="Bookman Old Style" w:cs="Arial"/>
          <w:bCs/>
        </w:rPr>
        <w:t>20</w:t>
      </w:r>
      <w:r w:rsidR="003C074D">
        <w:rPr>
          <w:rFonts w:ascii="Bookman Old Style" w:hAnsi="Bookman Old Style" w:cs="Arial"/>
          <w:bCs/>
        </w:rPr>
        <w:t>,</w:t>
      </w:r>
      <w:r>
        <w:rPr>
          <w:rFonts w:ascii="Bookman Old Style" w:hAnsi="Bookman Old Style" w:cs="Arial"/>
          <w:bCs/>
        </w:rPr>
        <w:t xml:space="preserve"> la </w:t>
      </w:r>
      <w:r w:rsidR="009B71C4">
        <w:rPr>
          <w:rFonts w:ascii="Bookman Old Style" w:hAnsi="Bookman Old Style" w:cs="Arial"/>
          <w:bCs/>
        </w:rPr>
        <w:t>D</w:t>
      </w:r>
      <w:r>
        <w:rPr>
          <w:rFonts w:ascii="Bookman Old Style" w:hAnsi="Bookman Old Style" w:cs="Arial"/>
          <w:bCs/>
        </w:rPr>
        <w:t xml:space="preserve">irección </w:t>
      </w:r>
      <w:r w:rsidR="009B71C4">
        <w:rPr>
          <w:rFonts w:ascii="Bookman Old Style" w:hAnsi="Bookman Old Style" w:cs="Arial"/>
          <w:bCs/>
        </w:rPr>
        <w:t>E</w:t>
      </w:r>
      <w:r>
        <w:rPr>
          <w:rFonts w:ascii="Bookman Old Style" w:hAnsi="Bookman Old Style" w:cs="Arial"/>
          <w:bCs/>
        </w:rPr>
        <w:t xml:space="preserve">jecutiva de la CREG inició una actuación administrativa </w:t>
      </w:r>
      <w:r w:rsidR="006D004B">
        <w:rPr>
          <w:rFonts w:ascii="Bookman Old Style" w:hAnsi="Bookman Old Style" w:cs="Arial"/>
          <w:bCs/>
        </w:rPr>
        <w:t>con “</w:t>
      </w:r>
      <w:r w:rsidR="009B71C4" w:rsidRPr="009B71C4">
        <w:rPr>
          <w:rFonts w:ascii="Bookman Old Style" w:hAnsi="Bookman Old Style" w:cs="Arial"/>
          <w:bCs/>
          <w:i/>
          <w:lang w:val="es-ES_tradnl"/>
        </w:rPr>
        <w:t>el objeto establecer plenamente la existencia del incumplimiento grave e insalvable del proyecto Central Hi</w:t>
      </w:r>
      <w:r w:rsidR="00300F85">
        <w:rPr>
          <w:rFonts w:ascii="Bookman Old Style" w:hAnsi="Bookman Old Style" w:cs="Arial"/>
          <w:bCs/>
          <w:i/>
          <w:lang w:val="es-ES_tradnl"/>
        </w:rPr>
        <w:t>d</w:t>
      </w:r>
      <w:r w:rsidR="009B71C4" w:rsidRPr="009B71C4">
        <w:rPr>
          <w:rFonts w:ascii="Bookman Old Style" w:hAnsi="Bookman Old Style" w:cs="Arial"/>
          <w:bCs/>
          <w:i/>
          <w:lang w:val="es-ES_tradnl"/>
        </w:rPr>
        <w:t>roeléctrica Miel II, el cual está siendo adelantado por Promotora Energética del Centro SAS ESP y determinar las consecuencias respecto de las obligaciones de energía firme (OEF) asignadas con inicio de vigencia 1 de diciembre de 2022 al 30 de noviembre de 2042</w:t>
      </w:r>
      <w:r w:rsidR="009B71C4" w:rsidRPr="009B71C4">
        <w:rPr>
          <w:rFonts w:ascii="Bookman Old Style" w:hAnsi="Bookman Old Style" w:cs="Arial"/>
          <w:bCs/>
          <w:i/>
          <w:lang w:val="es-CO"/>
        </w:rPr>
        <w:t xml:space="preserve">.”. </w:t>
      </w:r>
      <w:r w:rsidR="009B71C4" w:rsidRPr="009B71C4">
        <w:rPr>
          <w:rFonts w:ascii="Bookman Old Style" w:hAnsi="Bookman Old Style" w:cs="Arial"/>
          <w:bCs/>
          <w:iCs/>
          <w:lang w:val="es-CO"/>
        </w:rPr>
        <w:t>Dicho auto fue comunicado al representante legal de Promotora Energética de Centro S</w:t>
      </w:r>
      <w:r w:rsidR="003C074D">
        <w:rPr>
          <w:rFonts w:ascii="Bookman Old Style" w:hAnsi="Bookman Old Style" w:cs="Arial"/>
          <w:bCs/>
          <w:iCs/>
          <w:lang w:val="es-CO"/>
        </w:rPr>
        <w:t>.</w:t>
      </w:r>
      <w:r w:rsidR="009B71C4" w:rsidRPr="009B71C4">
        <w:rPr>
          <w:rFonts w:ascii="Bookman Old Style" w:hAnsi="Bookman Old Style" w:cs="Arial"/>
          <w:bCs/>
          <w:iCs/>
          <w:lang w:val="es-CO"/>
        </w:rPr>
        <w:t>A</w:t>
      </w:r>
      <w:r w:rsidR="003C074D">
        <w:rPr>
          <w:rFonts w:ascii="Bookman Old Style" w:hAnsi="Bookman Old Style" w:cs="Arial"/>
          <w:bCs/>
          <w:iCs/>
          <w:lang w:val="es-CO"/>
        </w:rPr>
        <w:t>.</w:t>
      </w:r>
      <w:r w:rsidR="009B71C4" w:rsidRPr="009B71C4">
        <w:rPr>
          <w:rFonts w:ascii="Bookman Old Style" w:hAnsi="Bookman Old Style" w:cs="Arial"/>
          <w:bCs/>
          <w:iCs/>
          <w:lang w:val="es-CO"/>
        </w:rPr>
        <w:t>S</w:t>
      </w:r>
      <w:r w:rsidR="003C074D">
        <w:rPr>
          <w:rFonts w:ascii="Bookman Old Style" w:hAnsi="Bookman Old Style" w:cs="Arial"/>
          <w:bCs/>
          <w:iCs/>
          <w:lang w:val="es-CO"/>
        </w:rPr>
        <w:t>.</w:t>
      </w:r>
      <w:r w:rsidR="009B71C4" w:rsidRPr="009B71C4">
        <w:rPr>
          <w:rFonts w:ascii="Bookman Old Style" w:hAnsi="Bookman Old Style" w:cs="Arial"/>
          <w:bCs/>
          <w:iCs/>
          <w:lang w:val="es-CO"/>
        </w:rPr>
        <w:t xml:space="preserve"> E</w:t>
      </w:r>
      <w:r w:rsidR="003C074D">
        <w:rPr>
          <w:rFonts w:ascii="Bookman Old Style" w:hAnsi="Bookman Old Style" w:cs="Arial"/>
          <w:bCs/>
          <w:iCs/>
          <w:lang w:val="es-CO"/>
        </w:rPr>
        <w:t>.</w:t>
      </w:r>
      <w:r w:rsidR="009B71C4" w:rsidRPr="009B71C4">
        <w:rPr>
          <w:rFonts w:ascii="Bookman Old Style" w:hAnsi="Bookman Old Style" w:cs="Arial"/>
          <w:bCs/>
          <w:iCs/>
          <w:lang w:val="es-CO"/>
        </w:rPr>
        <w:t>S</w:t>
      </w:r>
      <w:r w:rsidR="003C074D">
        <w:rPr>
          <w:rFonts w:ascii="Bookman Old Style" w:hAnsi="Bookman Old Style" w:cs="Arial"/>
          <w:bCs/>
          <w:iCs/>
          <w:lang w:val="es-CO"/>
        </w:rPr>
        <w:t>.</w:t>
      </w:r>
      <w:r w:rsidR="009B71C4" w:rsidRPr="009B71C4">
        <w:rPr>
          <w:rFonts w:ascii="Bookman Old Style" w:hAnsi="Bookman Old Style" w:cs="Arial"/>
          <w:bCs/>
          <w:iCs/>
          <w:lang w:val="es-CO"/>
        </w:rPr>
        <w:t>P</w:t>
      </w:r>
      <w:r w:rsidR="003C074D">
        <w:rPr>
          <w:rFonts w:ascii="Bookman Old Style" w:hAnsi="Bookman Old Style" w:cs="Arial"/>
          <w:bCs/>
          <w:iCs/>
          <w:lang w:val="es-CO"/>
        </w:rPr>
        <w:t>.</w:t>
      </w:r>
      <w:r w:rsidR="009B71C4" w:rsidRPr="009B71C4">
        <w:rPr>
          <w:rFonts w:ascii="Bookman Old Style" w:hAnsi="Bookman Old Style" w:cs="Arial"/>
          <w:bCs/>
          <w:iCs/>
          <w:lang w:val="es-CO"/>
        </w:rPr>
        <w:t xml:space="preserve"> mediante oficio S-2020-004972</w:t>
      </w:r>
      <w:r w:rsidRPr="009F436C">
        <w:rPr>
          <w:rFonts w:ascii="Bookman Old Style" w:hAnsi="Bookman Old Style"/>
          <w:bCs/>
          <w:i/>
          <w:lang w:val="es-CO"/>
        </w:rPr>
        <w:t>.</w:t>
      </w:r>
    </w:p>
    <w:p w14:paraId="0243B330" w14:textId="77777777" w:rsidR="008E10C2" w:rsidRDefault="008E10C2" w:rsidP="008E10C2">
      <w:pPr>
        <w:ind w:left="0"/>
        <w:jc w:val="both"/>
        <w:rPr>
          <w:rFonts w:ascii="Bookman Old Style" w:hAnsi="Bookman Old Style"/>
          <w:b/>
          <w:bCs/>
          <w:lang w:val="es-CO"/>
        </w:rPr>
      </w:pPr>
    </w:p>
    <w:p w14:paraId="7A3DF1D5" w14:textId="0CD3D004" w:rsidR="00D87BAB" w:rsidRPr="00381DE2" w:rsidRDefault="00D87BAB" w:rsidP="00D87BAB">
      <w:pPr>
        <w:ind w:left="0"/>
        <w:jc w:val="both"/>
        <w:rPr>
          <w:rFonts w:ascii="Bookman Old Style" w:hAnsi="Bookman Old Style" w:cs="Arial"/>
          <w:bCs/>
        </w:rPr>
      </w:pPr>
      <w:r>
        <w:rPr>
          <w:rFonts w:ascii="Bookman Old Style" w:hAnsi="Bookman Old Style" w:cs="Arial"/>
          <w:bCs/>
          <w:lang w:val="es-CO"/>
        </w:rPr>
        <w:t>Surtido el trámite de la actuación administrativa de que trata</w:t>
      </w:r>
      <w:r w:rsidR="00CF73E4">
        <w:rPr>
          <w:rFonts w:ascii="Bookman Old Style" w:hAnsi="Bookman Old Style" w:cs="Arial"/>
          <w:bCs/>
          <w:lang w:val="es-CO"/>
        </w:rPr>
        <w:t>n</w:t>
      </w:r>
      <w:r w:rsidR="00362B61">
        <w:rPr>
          <w:rFonts w:ascii="Bookman Old Style" w:hAnsi="Bookman Old Style" w:cs="Arial"/>
          <w:bCs/>
          <w:lang w:val="es-CO"/>
        </w:rPr>
        <w:t xml:space="preserve"> el parágrafo del artículo 9 de la Resolución CREG 071 de 2006</w:t>
      </w:r>
      <w:r w:rsidR="003C074D">
        <w:rPr>
          <w:rFonts w:ascii="Bookman Old Style" w:hAnsi="Bookman Old Style" w:cs="Arial"/>
          <w:bCs/>
          <w:lang w:val="es-CO"/>
        </w:rPr>
        <w:t>,</w:t>
      </w:r>
      <w:r w:rsidR="00362B61">
        <w:rPr>
          <w:rFonts w:ascii="Bookman Old Style" w:hAnsi="Bookman Old Style" w:cs="Arial"/>
          <w:bCs/>
          <w:lang w:val="es-CO"/>
        </w:rPr>
        <w:t xml:space="preserve"> y</w:t>
      </w:r>
      <w:r>
        <w:rPr>
          <w:rFonts w:ascii="Bookman Old Style" w:hAnsi="Bookman Old Style" w:cs="Arial"/>
          <w:bCs/>
          <w:lang w:val="es-CO"/>
        </w:rPr>
        <w:t xml:space="preserve"> los artículos 10</w:t>
      </w:r>
      <w:r w:rsidR="00CF73E4">
        <w:rPr>
          <w:rFonts w:ascii="Bookman Old Style" w:hAnsi="Bookman Old Style" w:cs="Arial"/>
          <w:bCs/>
          <w:lang w:val="es-CO"/>
        </w:rPr>
        <w:t>6</w:t>
      </w:r>
      <w:r>
        <w:rPr>
          <w:rFonts w:ascii="Bookman Old Style" w:hAnsi="Bookman Old Style" w:cs="Arial"/>
          <w:bCs/>
          <w:lang w:val="es-CO"/>
        </w:rPr>
        <w:t xml:space="preserve"> y siguientes de la Ley 142 de 1994, la Comisión de Regulación de Energía y Gas en sesió</w:t>
      </w:r>
      <w:r w:rsidR="009B71C4">
        <w:rPr>
          <w:rFonts w:ascii="Bookman Old Style" w:hAnsi="Bookman Old Style" w:cs="Arial"/>
          <w:bCs/>
          <w:lang w:val="es-CO"/>
        </w:rPr>
        <w:t xml:space="preserve">n </w:t>
      </w:r>
      <w:r w:rsidR="00585262">
        <w:rPr>
          <w:rFonts w:ascii="Bookman Old Style" w:hAnsi="Bookman Old Style" w:cs="Arial"/>
          <w:bCs/>
          <w:lang w:val="es-CO"/>
        </w:rPr>
        <w:t>1081</w:t>
      </w:r>
      <w:r>
        <w:rPr>
          <w:rFonts w:ascii="Bookman Old Style" w:hAnsi="Bookman Old Style" w:cs="Arial"/>
          <w:bCs/>
          <w:lang w:val="es-CO"/>
        </w:rPr>
        <w:t xml:space="preserve"> de</w:t>
      </w:r>
      <w:r w:rsidR="00585262">
        <w:rPr>
          <w:rFonts w:ascii="Bookman Old Style" w:hAnsi="Bookman Old Style" w:cs="Arial"/>
          <w:bCs/>
          <w:lang w:val="es-CO"/>
        </w:rPr>
        <w:t xml:space="preserve"> 10</w:t>
      </w:r>
      <w:r>
        <w:rPr>
          <w:rFonts w:ascii="Bookman Old Style" w:hAnsi="Bookman Old Style" w:cs="Arial"/>
          <w:bCs/>
          <w:lang w:val="es-CO"/>
        </w:rPr>
        <w:t xml:space="preserve"> </w:t>
      </w:r>
      <w:r w:rsidR="009B71C4">
        <w:rPr>
          <w:rFonts w:ascii="Bookman Old Style" w:hAnsi="Bookman Old Style" w:cs="Arial"/>
          <w:bCs/>
          <w:lang w:val="es-CO"/>
        </w:rPr>
        <w:t>febrero</w:t>
      </w:r>
      <w:r>
        <w:rPr>
          <w:rFonts w:ascii="Bookman Old Style" w:hAnsi="Bookman Old Style" w:cs="Arial"/>
          <w:bCs/>
          <w:lang w:val="es-CO"/>
        </w:rPr>
        <w:t xml:space="preserve"> de 20</w:t>
      </w:r>
      <w:r w:rsidR="009B71C4">
        <w:rPr>
          <w:rFonts w:ascii="Bookman Old Style" w:hAnsi="Bookman Old Style" w:cs="Arial"/>
          <w:bCs/>
          <w:lang w:val="es-CO"/>
        </w:rPr>
        <w:t>21</w:t>
      </w:r>
      <w:r>
        <w:rPr>
          <w:rFonts w:ascii="Bookman Old Style" w:hAnsi="Bookman Old Style" w:cs="Arial"/>
          <w:bCs/>
          <w:lang w:val="es-CO"/>
        </w:rPr>
        <w:t xml:space="preserve">, acordó expedir la Resolución CREG </w:t>
      </w:r>
      <w:r w:rsidR="00E301AB">
        <w:rPr>
          <w:rFonts w:ascii="Bookman Old Style" w:hAnsi="Bookman Old Style" w:cs="Arial"/>
          <w:bCs/>
          <w:lang w:val="es-CO"/>
        </w:rPr>
        <w:t>0</w:t>
      </w:r>
      <w:r w:rsidR="009B71C4">
        <w:rPr>
          <w:rFonts w:ascii="Bookman Old Style" w:hAnsi="Bookman Old Style" w:cs="Arial"/>
          <w:bCs/>
          <w:lang w:val="es-CO"/>
        </w:rPr>
        <w:t>13</w:t>
      </w:r>
      <w:r>
        <w:rPr>
          <w:rFonts w:ascii="Bookman Old Style" w:hAnsi="Bookman Old Style" w:cs="Arial"/>
          <w:bCs/>
          <w:lang w:val="es-CO"/>
        </w:rPr>
        <w:t xml:space="preserve"> de 2019</w:t>
      </w:r>
      <w:r w:rsidR="00834C05">
        <w:rPr>
          <w:rFonts w:ascii="Bookman Old Style" w:hAnsi="Bookman Old Style" w:cs="Arial"/>
          <w:bCs/>
          <w:i/>
        </w:rPr>
        <w:t xml:space="preserve"> p</w:t>
      </w:r>
      <w:r w:rsidR="00834C05" w:rsidRPr="00834C05">
        <w:rPr>
          <w:rFonts w:ascii="Bookman Old Style" w:hAnsi="Bookman Old Style" w:cs="Arial"/>
          <w:bCs/>
          <w:i/>
        </w:rPr>
        <w:t>or la cual se decide la actuación administrativa adelantada para determinar el incumplimiento grave e insalvable en la puesta en operación del Proyecto Hidroeléctrico Miel II, proyecto desarrollado por Promotora Energética de Centro SAS ESP</w:t>
      </w:r>
      <w:r w:rsidRPr="00584E78">
        <w:rPr>
          <w:rFonts w:ascii="Bookman Old Style" w:hAnsi="Bookman Old Style" w:cs="Arial"/>
          <w:bCs/>
          <w:i/>
        </w:rPr>
        <w:t>.</w:t>
      </w:r>
      <w:r w:rsidR="00381DE2">
        <w:rPr>
          <w:rFonts w:ascii="Bookman Old Style" w:hAnsi="Bookman Old Style" w:cs="Arial"/>
          <w:bCs/>
          <w:i/>
        </w:rPr>
        <w:t xml:space="preserve"> </w:t>
      </w:r>
      <w:r w:rsidR="00381DE2">
        <w:rPr>
          <w:rFonts w:ascii="Bookman Old Style" w:hAnsi="Bookman Old Style" w:cs="Arial"/>
          <w:bCs/>
        </w:rPr>
        <w:t xml:space="preserve"> La</w:t>
      </w:r>
      <w:r w:rsidR="009A46CC">
        <w:rPr>
          <w:rFonts w:ascii="Bookman Old Style" w:hAnsi="Bookman Old Style" w:cs="Arial"/>
          <w:bCs/>
        </w:rPr>
        <w:t xml:space="preserve"> resolución estableció la existencia del incumplimiento grave e insalvable de la OEF con IPVO diciembre 1 de 20</w:t>
      </w:r>
      <w:r w:rsidR="00834C05">
        <w:rPr>
          <w:rFonts w:ascii="Bookman Old Style" w:hAnsi="Bookman Old Style" w:cs="Arial"/>
          <w:bCs/>
        </w:rPr>
        <w:t>22</w:t>
      </w:r>
      <w:r w:rsidR="009A46CC">
        <w:rPr>
          <w:rFonts w:ascii="Bookman Old Style" w:hAnsi="Bookman Old Style" w:cs="Arial"/>
          <w:bCs/>
        </w:rPr>
        <w:t>, declarando la pérdida de la obligación y de la remuneración correspondiente</w:t>
      </w:r>
      <w:r w:rsidR="003C074D">
        <w:rPr>
          <w:rFonts w:ascii="Bookman Old Style" w:hAnsi="Bookman Old Style" w:cs="Arial"/>
          <w:bCs/>
        </w:rPr>
        <w:t>,</w:t>
      </w:r>
      <w:r w:rsidR="009A46CC">
        <w:rPr>
          <w:rFonts w:ascii="Bookman Old Style" w:hAnsi="Bookman Old Style" w:cs="Arial"/>
          <w:bCs/>
        </w:rPr>
        <w:t xml:space="preserve"> y ordenando la ejecución de la garantía.</w:t>
      </w:r>
      <w:r w:rsidR="00682C1C">
        <w:rPr>
          <w:rFonts w:ascii="Bookman Old Style" w:hAnsi="Bookman Old Style" w:cs="Arial"/>
          <w:bCs/>
        </w:rPr>
        <w:t xml:space="preserve">  </w:t>
      </w:r>
    </w:p>
    <w:p w14:paraId="35736E76" w14:textId="77777777" w:rsidR="00D87BAB" w:rsidRDefault="00D87BAB" w:rsidP="00D87BAB">
      <w:pPr>
        <w:ind w:left="0"/>
        <w:jc w:val="both"/>
        <w:rPr>
          <w:rFonts w:ascii="Bookman Old Style" w:hAnsi="Bookman Old Style" w:cs="Arial"/>
          <w:bCs/>
          <w:i/>
        </w:rPr>
      </w:pPr>
    </w:p>
    <w:p w14:paraId="6A0C77DA" w14:textId="5BDCEFE9" w:rsidR="00834C05" w:rsidRDefault="00D87BAB" w:rsidP="00834C05">
      <w:pPr>
        <w:ind w:left="0"/>
        <w:jc w:val="both"/>
        <w:rPr>
          <w:rFonts w:ascii="Bookman Old Style" w:hAnsi="Bookman Old Style"/>
          <w:b/>
        </w:rPr>
      </w:pPr>
      <w:r>
        <w:rPr>
          <w:rFonts w:ascii="Bookman Old Style" w:hAnsi="Bookman Old Style" w:cs="Arial"/>
          <w:bCs/>
        </w:rPr>
        <w:lastRenderedPageBreak/>
        <w:t xml:space="preserve">Mediante oficio </w:t>
      </w:r>
      <w:r w:rsidR="00DA79D3">
        <w:rPr>
          <w:rFonts w:ascii="Bookman Old Style" w:hAnsi="Bookman Old Style" w:cs="Arial"/>
          <w:bCs/>
        </w:rPr>
        <w:t>E-20</w:t>
      </w:r>
      <w:r w:rsidR="00834C05">
        <w:rPr>
          <w:rFonts w:ascii="Bookman Old Style" w:hAnsi="Bookman Old Style" w:cs="Arial"/>
          <w:bCs/>
        </w:rPr>
        <w:t>21</w:t>
      </w:r>
      <w:r w:rsidR="00DA79D3">
        <w:rPr>
          <w:rFonts w:ascii="Bookman Old Style" w:hAnsi="Bookman Old Style" w:cs="Arial"/>
          <w:bCs/>
        </w:rPr>
        <w:t>-</w:t>
      </w:r>
      <w:r w:rsidR="00834C05">
        <w:rPr>
          <w:rFonts w:ascii="Bookman Old Style" w:hAnsi="Bookman Old Style" w:cs="Arial"/>
          <w:bCs/>
        </w:rPr>
        <w:t>002781</w:t>
      </w:r>
      <w:r>
        <w:rPr>
          <w:rFonts w:ascii="Bookman Old Style" w:hAnsi="Bookman Old Style" w:cs="Arial"/>
          <w:bCs/>
        </w:rPr>
        <w:t xml:space="preserve"> de </w:t>
      </w:r>
      <w:r w:rsidR="00834C05">
        <w:rPr>
          <w:rFonts w:ascii="Bookman Old Style" w:hAnsi="Bookman Old Style" w:cs="Arial"/>
          <w:bCs/>
        </w:rPr>
        <w:t>2</w:t>
      </w:r>
      <w:r>
        <w:rPr>
          <w:rFonts w:ascii="Bookman Old Style" w:hAnsi="Bookman Old Style" w:cs="Arial"/>
          <w:bCs/>
        </w:rPr>
        <w:t xml:space="preserve"> de </w:t>
      </w:r>
      <w:r w:rsidR="004412C2">
        <w:rPr>
          <w:rFonts w:ascii="Bookman Old Style" w:hAnsi="Bookman Old Style" w:cs="Arial"/>
          <w:bCs/>
        </w:rPr>
        <w:t>marzo</w:t>
      </w:r>
      <w:r>
        <w:rPr>
          <w:rFonts w:ascii="Bookman Old Style" w:hAnsi="Bookman Old Style" w:cs="Arial"/>
          <w:bCs/>
        </w:rPr>
        <w:t xml:space="preserve"> de 20</w:t>
      </w:r>
      <w:r w:rsidR="00834C05">
        <w:rPr>
          <w:rFonts w:ascii="Bookman Old Style" w:hAnsi="Bookman Old Style" w:cs="Arial"/>
          <w:bCs/>
        </w:rPr>
        <w:t>21</w:t>
      </w:r>
      <w:r>
        <w:rPr>
          <w:rFonts w:ascii="Bookman Old Style" w:hAnsi="Bookman Old Style" w:cs="Arial"/>
          <w:bCs/>
        </w:rPr>
        <w:t xml:space="preserve">, </w:t>
      </w:r>
      <w:r w:rsidR="00834C05">
        <w:rPr>
          <w:rFonts w:ascii="Bookman Old Style" w:hAnsi="Bookman Old Style" w:cs="Arial"/>
          <w:bCs/>
        </w:rPr>
        <w:t xml:space="preserve">el Representante de Promotora Energética de Centro </w:t>
      </w:r>
      <w:r w:rsidR="003C074D">
        <w:rPr>
          <w:rFonts w:ascii="Bookman Old Style" w:hAnsi="Bookman Old Style" w:cs="Arial"/>
          <w:bCs/>
        </w:rPr>
        <w:t xml:space="preserve">S.A.S. E.S.P. </w:t>
      </w:r>
      <w:r w:rsidR="00834C05">
        <w:rPr>
          <w:rFonts w:ascii="Bookman Old Style" w:hAnsi="Bookman Old Style" w:cs="Arial"/>
          <w:bCs/>
        </w:rPr>
        <w:t>interp</w:t>
      </w:r>
      <w:r w:rsidR="005B260E">
        <w:rPr>
          <w:rFonts w:ascii="Bookman Old Style" w:hAnsi="Bookman Old Style" w:cs="Arial"/>
          <w:bCs/>
        </w:rPr>
        <w:t>uso</w:t>
      </w:r>
      <w:r w:rsidR="00834C05">
        <w:rPr>
          <w:rFonts w:ascii="Bookman Old Style" w:hAnsi="Bookman Old Style" w:cs="Arial"/>
          <w:bCs/>
        </w:rPr>
        <w:t xml:space="preserve"> recurso de reposición, solicitando revocar la </w:t>
      </w:r>
      <w:r w:rsidR="004412C2">
        <w:rPr>
          <w:rFonts w:ascii="Bookman Old Style" w:hAnsi="Bookman Old Style" w:cs="Arial"/>
          <w:bCs/>
        </w:rPr>
        <w:t>R</w:t>
      </w:r>
      <w:r w:rsidR="00834C05">
        <w:rPr>
          <w:rFonts w:ascii="Bookman Old Style" w:hAnsi="Bookman Old Style" w:cs="Arial"/>
          <w:bCs/>
        </w:rPr>
        <w:t>esolución CREG 013 de 2021</w:t>
      </w:r>
      <w:r w:rsidR="005205BC">
        <w:rPr>
          <w:rFonts w:ascii="Bookman Old Style" w:hAnsi="Bookman Old Style" w:cs="Arial"/>
          <w:bCs/>
        </w:rPr>
        <w:t>.</w:t>
      </w:r>
    </w:p>
    <w:p w14:paraId="2A42ED92" w14:textId="77777777" w:rsidR="00834C05" w:rsidRPr="00552DAB" w:rsidRDefault="00834C05" w:rsidP="00834C05">
      <w:pPr>
        <w:ind w:left="0"/>
        <w:jc w:val="both"/>
        <w:rPr>
          <w:rFonts w:ascii="Bookman Old Style" w:hAnsi="Bookman Old Style"/>
          <w:b/>
        </w:rPr>
      </w:pPr>
    </w:p>
    <w:p w14:paraId="18DE8E0E" w14:textId="61119EF8" w:rsidR="009F6554" w:rsidRPr="00840E0A" w:rsidRDefault="009F6554" w:rsidP="00EE10A1">
      <w:pPr>
        <w:pStyle w:val="Prrafodelista"/>
        <w:numPr>
          <w:ilvl w:val="0"/>
          <w:numId w:val="24"/>
        </w:numPr>
        <w:jc w:val="both"/>
        <w:rPr>
          <w:rFonts w:ascii="Bookman Old Style" w:hAnsi="Bookman Old Style"/>
          <w:b/>
          <w:sz w:val="24"/>
          <w:szCs w:val="24"/>
        </w:rPr>
      </w:pPr>
      <w:r w:rsidRPr="00840E0A">
        <w:rPr>
          <w:rFonts w:ascii="Bookman Old Style" w:hAnsi="Bookman Old Style"/>
          <w:b/>
          <w:sz w:val="24"/>
          <w:szCs w:val="24"/>
        </w:rPr>
        <w:t xml:space="preserve">RECURSO DE REPOSICIÓN  </w:t>
      </w:r>
    </w:p>
    <w:p w14:paraId="2CFC6470" w14:textId="77777777" w:rsidR="009F6554" w:rsidRDefault="009F6554" w:rsidP="008E10C2">
      <w:pPr>
        <w:ind w:left="0"/>
        <w:jc w:val="both"/>
        <w:rPr>
          <w:rFonts w:ascii="Bookman Old Style" w:hAnsi="Bookman Old Style" w:cs="Arial"/>
          <w:bCs/>
          <w:lang w:val="es-CO"/>
        </w:rPr>
      </w:pPr>
    </w:p>
    <w:p w14:paraId="69A5DCC0" w14:textId="7BACB120" w:rsidR="008E10C2" w:rsidRPr="00584E78" w:rsidRDefault="002D2744" w:rsidP="00EE10A1">
      <w:pPr>
        <w:ind w:left="0"/>
        <w:jc w:val="both"/>
        <w:rPr>
          <w:rFonts w:ascii="Bookman Old Style" w:hAnsi="Bookman Old Style"/>
        </w:rPr>
      </w:pPr>
      <w:r w:rsidRPr="00584E78">
        <w:rPr>
          <w:rFonts w:ascii="Bookman Old Style" w:hAnsi="Bookman Old Style"/>
        </w:rPr>
        <w:t>E</w:t>
      </w:r>
      <w:r w:rsidR="002669BD">
        <w:rPr>
          <w:rFonts w:ascii="Bookman Old Style" w:hAnsi="Bookman Old Style"/>
        </w:rPr>
        <w:t>l</w:t>
      </w:r>
      <w:r w:rsidR="00834C05">
        <w:rPr>
          <w:rFonts w:ascii="Bookman Old Style" w:hAnsi="Bookman Old Style"/>
        </w:rPr>
        <w:t xml:space="preserve"> Representante Legal de Promotora Energética de Centro S</w:t>
      </w:r>
      <w:r w:rsidR="003C074D">
        <w:rPr>
          <w:rFonts w:ascii="Bookman Old Style" w:hAnsi="Bookman Old Style"/>
        </w:rPr>
        <w:t>.</w:t>
      </w:r>
      <w:r w:rsidR="00834C05">
        <w:rPr>
          <w:rFonts w:ascii="Bookman Old Style" w:hAnsi="Bookman Old Style"/>
        </w:rPr>
        <w:t>A</w:t>
      </w:r>
      <w:r w:rsidR="003C074D">
        <w:rPr>
          <w:rFonts w:ascii="Bookman Old Style" w:hAnsi="Bookman Old Style"/>
        </w:rPr>
        <w:t>.</w:t>
      </w:r>
      <w:r w:rsidR="00834C05">
        <w:rPr>
          <w:rFonts w:ascii="Bookman Old Style" w:hAnsi="Bookman Old Style"/>
        </w:rPr>
        <w:t>S</w:t>
      </w:r>
      <w:r w:rsidR="003C074D">
        <w:rPr>
          <w:rFonts w:ascii="Bookman Old Style" w:hAnsi="Bookman Old Style"/>
        </w:rPr>
        <w:t>.</w:t>
      </w:r>
      <w:r w:rsidRPr="00584E78">
        <w:rPr>
          <w:rFonts w:ascii="Bookman Old Style" w:hAnsi="Bookman Old Style"/>
        </w:rPr>
        <w:t xml:space="preserve"> E</w:t>
      </w:r>
      <w:r w:rsidR="003C074D">
        <w:rPr>
          <w:rFonts w:ascii="Bookman Old Style" w:hAnsi="Bookman Old Style"/>
        </w:rPr>
        <w:t>.</w:t>
      </w:r>
      <w:r w:rsidRPr="00584E78">
        <w:rPr>
          <w:rFonts w:ascii="Bookman Old Style" w:hAnsi="Bookman Old Style"/>
        </w:rPr>
        <w:t>S</w:t>
      </w:r>
      <w:r w:rsidR="003C074D">
        <w:rPr>
          <w:rFonts w:ascii="Bookman Old Style" w:hAnsi="Bookman Old Style"/>
        </w:rPr>
        <w:t>.</w:t>
      </w:r>
      <w:r w:rsidRPr="00584E78">
        <w:rPr>
          <w:rFonts w:ascii="Bookman Old Style" w:hAnsi="Bookman Old Style"/>
        </w:rPr>
        <w:t>P</w:t>
      </w:r>
      <w:r w:rsidR="003C074D">
        <w:rPr>
          <w:rFonts w:ascii="Bookman Old Style" w:hAnsi="Bookman Old Style"/>
        </w:rPr>
        <w:t>.</w:t>
      </w:r>
      <w:r w:rsidRPr="00584E78">
        <w:rPr>
          <w:rFonts w:ascii="Bookman Old Style" w:hAnsi="Bookman Old Style"/>
        </w:rPr>
        <w:t xml:space="preserve"> sustenta su recurso con los siguientes argumentos:</w:t>
      </w:r>
    </w:p>
    <w:p w14:paraId="1B129735" w14:textId="77777777" w:rsidR="002D2744" w:rsidRPr="00584E78" w:rsidRDefault="002D2744" w:rsidP="008E10C2">
      <w:pPr>
        <w:ind w:left="0"/>
        <w:rPr>
          <w:rFonts w:ascii="Bookman Old Style" w:hAnsi="Bookman Old Style"/>
        </w:rPr>
      </w:pPr>
    </w:p>
    <w:p w14:paraId="1A646C2C" w14:textId="265600C8" w:rsidR="009130F4" w:rsidRDefault="00834C05" w:rsidP="00584E78">
      <w:pPr>
        <w:ind w:left="0"/>
        <w:jc w:val="both"/>
        <w:rPr>
          <w:rFonts w:ascii="Bookman Old Style" w:hAnsi="Bookman Old Style"/>
        </w:rPr>
      </w:pPr>
      <w:r>
        <w:rPr>
          <w:rFonts w:ascii="Bookman Old Style" w:hAnsi="Bookman Old Style"/>
        </w:rPr>
        <w:t>Reitera que mediante comunicación de 17 de septiembre de 2020 aceptó las conclusiones del auditor</w:t>
      </w:r>
      <w:r w:rsidR="00552DAB">
        <w:rPr>
          <w:rFonts w:ascii="Bookman Old Style" w:hAnsi="Bookman Old Style"/>
        </w:rPr>
        <w:t xml:space="preserve"> contratado por XM </w:t>
      </w:r>
      <w:r w:rsidR="003C074D">
        <w:rPr>
          <w:rFonts w:ascii="Bookman Old Style" w:hAnsi="Bookman Old Style"/>
        </w:rPr>
        <w:t xml:space="preserve">S.A. E.S.P. </w:t>
      </w:r>
      <w:r w:rsidR="00552DAB">
        <w:rPr>
          <w:rFonts w:ascii="Bookman Old Style" w:hAnsi="Bookman Old Style"/>
        </w:rPr>
        <w:t>para el seguimiento de la curva S y cronograma de construcción y puesta en operación comercial del proyecto hidroeléctrico Miel II.</w:t>
      </w:r>
    </w:p>
    <w:p w14:paraId="39E5719A" w14:textId="3243EC53" w:rsidR="00D06DC9" w:rsidRDefault="00D06DC9" w:rsidP="00584E78">
      <w:pPr>
        <w:ind w:left="0"/>
        <w:jc w:val="both"/>
        <w:rPr>
          <w:rFonts w:ascii="Bookman Old Style" w:hAnsi="Bookman Old Style"/>
        </w:rPr>
      </w:pPr>
    </w:p>
    <w:p w14:paraId="72CDFBA6" w14:textId="4C68CE26" w:rsidR="00D06DC9" w:rsidRDefault="00D06DC9" w:rsidP="00584E78">
      <w:pPr>
        <w:ind w:left="0"/>
        <w:jc w:val="both"/>
        <w:rPr>
          <w:rFonts w:ascii="Bookman Old Style" w:hAnsi="Bookman Old Style"/>
        </w:rPr>
      </w:pPr>
      <w:r>
        <w:rPr>
          <w:rFonts w:ascii="Bookman Old Style" w:hAnsi="Bookman Old Style"/>
        </w:rPr>
        <w:t>Así mismo</w:t>
      </w:r>
      <w:r w:rsidR="003C074D">
        <w:rPr>
          <w:rFonts w:ascii="Bookman Old Style" w:hAnsi="Bookman Old Style"/>
        </w:rPr>
        <w:t>,</w:t>
      </w:r>
      <w:r>
        <w:rPr>
          <w:rFonts w:ascii="Bookman Old Style" w:hAnsi="Bookman Old Style"/>
        </w:rPr>
        <w:t xml:space="preserve"> manifiesta que han </w:t>
      </w:r>
      <w:r w:rsidR="0008252F">
        <w:rPr>
          <w:rFonts w:ascii="Bookman Old Style" w:hAnsi="Bookman Old Style"/>
        </w:rPr>
        <w:t>existido</w:t>
      </w:r>
      <w:r>
        <w:rPr>
          <w:rFonts w:ascii="Bookman Old Style" w:hAnsi="Bookman Old Style"/>
        </w:rPr>
        <w:t xml:space="preserve"> multiplicidad de factores asocia</w:t>
      </w:r>
      <w:r w:rsidR="005205BC">
        <w:rPr>
          <w:rFonts w:ascii="Bookman Old Style" w:hAnsi="Bookman Old Style"/>
        </w:rPr>
        <w:t>d</w:t>
      </w:r>
      <w:r>
        <w:rPr>
          <w:rFonts w:ascii="Bookman Old Style" w:hAnsi="Bookman Old Style"/>
        </w:rPr>
        <w:t>os a la pandemia COVID19 que han afectado el desarrollo de proyectos de generación en todo el paí</w:t>
      </w:r>
      <w:r w:rsidR="00F54157">
        <w:rPr>
          <w:rFonts w:ascii="Bookman Old Style" w:hAnsi="Bookman Old Style"/>
        </w:rPr>
        <w:t>s</w:t>
      </w:r>
      <w:r>
        <w:rPr>
          <w:rFonts w:ascii="Bookman Old Style" w:hAnsi="Bookman Old Style"/>
        </w:rPr>
        <w:t>.</w:t>
      </w:r>
    </w:p>
    <w:p w14:paraId="24C3723A" w14:textId="7901EB8A" w:rsidR="00D06DC9" w:rsidRDefault="00D06DC9" w:rsidP="00584E78">
      <w:pPr>
        <w:ind w:left="0"/>
        <w:jc w:val="both"/>
        <w:rPr>
          <w:rFonts w:ascii="Bookman Old Style" w:hAnsi="Bookman Old Style"/>
        </w:rPr>
      </w:pPr>
    </w:p>
    <w:p w14:paraId="59B6107B" w14:textId="492E7605" w:rsidR="00D06DC9" w:rsidRDefault="00D06DC9" w:rsidP="00584E78">
      <w:pPr>
        <w:ind w:left="0"/>
        <w:jc w:val="both"/>
        <w:rPr>
          <w:rFonts w:ascii="Bookman Old Style" w:hAnsi="Bookman Old Style"/>
        </w:rPr>
      </w:pPr>
      <w:r>
        <w:rPr>
          <w:rFonts w:ascii="Bookman Old Style" w:hAnsi="Bookman Old Style"/>
        </w:rPr>
        <w:t>Informa que el 19 de noviembre de 2020</w:t>
      </w:r>
      <w:r w:rsidR="00712DCF">
        <w:rPr>
          <w:rFonts w:ascii="Bookman Old Style" w:hAnsi="Bookman Old Style"/>
        </w:rPr>
        <w:t xml:space="preserve"> Promotora Energética de Centro </w:t>
      </w:r>
      <w:r w:rsidR="003C074D">
        <w:rPr>
          <w:rFonts w:ascii="Bookman Old Style" w:hAnsi="Bookman Old Style"/>
        </w:rPr>
        <w:t xml:space="preserve">S.A.S. E.S.P. </w:t>
      </w:r>
      <w:r w:rsidR="00712DCF">
        <w:rPr>
          <w:rFonts w:ascii="Bookman Old Style" w:hAnsi="Bookman Old Style"/>
        </w:rPr>
        <w:t>suscribió el contrato de conexión con ISA</w:t>
      </w:r>
      <w:r w:rsidR="004412C2">
        <w:rPr>
          <w:rFonts w:ascii="Bookman Old Style" w:hAnsi="Bookman Old Style"/>
        </w:rPr>
        <w:t xml:space="preserve"> INTERCOLOMBIA</w:t>
      </w:r>
      <w:r w:rsidR="00712DCF">
        <w:rPr>
          <w:rFonts w:ascii="Bookman Old Style" w:hAnsi="Bookman Old Style"/>
        </w:rPr>
        <w:t xml:space="preserve"> </w:t>
      </w:r>
      <w:r w:rsidR="003C074D">
        <w:rPr>
          <w:rFonts w:ascii="Bookman Old Style" w:hAnsi="Bookman Old Style"/>
        </w:rPr>
        <w:t xml:space="preserve">S.A. E.S.P. </w:t>
      </w:r>
      <w:r w:rsidR="00712DCF">
        <w:rPr>
          <w:rFonts w:ascii="Bookman Old Style" w:hAnsi="Bookman Old Style"/>
        </w:rPr>
        <w:t xml:space="preserve">en el que se </w:t>
      </w:r>
      <w:r w:rsidR="00F025B6">
        <w:rPr>
          <w:rFonts w:ascii="Bookman Old Style" w:hAnsi="Bookman Old Style"/>
        </w:rPr>
        <w:t>pactó</w:t>
      </w:r>
      <w:r w:rsidR="00712DCF">
        <w:rPr>
          <w:rFonts w:ascii="Bookman Old Style" w:hAnsi="Bookman Old Style"/>
        </w:rPr>
        <w:t xml:space="preserve"> la reserva</w:t>
      </w:r>
      <w:r w:rsidR="00F025B6">
        <w:rPr>
          <w:rFonts w:ascii="Bookman Old Style" w:hAnsi="Bookman Old Style"/>
        </w:rPr>
        <w:t xml:space="preserve"> de un espacio para la bahía de conexión del Proyecto Hidroeléctrico Miel II en la subestación de San Felipe, Armero Guayabal, con compromiso de entrada para el 31 de diciembre de 2024.</w:t>
      </w:r>
    </w:p>
    <w:p w14:paraId="6D60C0E4" w14:textId="33D4CE42" w:rsidR="00F025B6" w:rsidRDefault="00F025B6" w:rsidP="00584E78">
      <w:pPr>
        <w:ind w:left="0"/>
        <w:jc w:val="both"/>
        <w:rPr>
          <w:rFonts w:ascii="Bookman Old Style" w:hAnsi="Bookman Old Style"/>
        </w:rPr>
      </w:pPr>
    </w:p>
    <w:p w14:paraId="05F99551" w14:textId="739CC279" w:rsidR="00F025B6" w:rsidRDefault="009F317F" w:rsidP="00584E78">
      <w:pPr>
        <w:ind w:left="0"/>
        <w:jc w:val="both"/>
        <w:rPr>
          <w:rFonts w:ascii="Bookman Old Style" w:hAnsi="Bookman Old Style"/>
        </w:rPr>
      </w:pPr>
      <w:r>
        <w:rPr>
          <w:rFonts w:ascii="Bookman Old Style" w:hAnsi="Bookman Old Style"/>
        </w:rPr>
        <w:t>I</w:t>
      </w:r>
      <w:r w:rsidR="00F025B6">
        <w:rPr>
          <w:rFonts w:ascii="Bookman Old Style" w:hAnsi="Bookman Old Style"/>
        </w:rPr>
        <w:t>nforma</w:t>
      </w:r>
      <w:r w:rsidR="0008252F">
        <w:rPr>
          <w:rFonts w:ascii="Bookman Old Style" w:hAnsi="Bookman Old Style"/>
        </w:rPr>
        <w:t xml:space="preserve"> que Promotora Energética de Centro publicó en el </w:t>
      </w:r>
      <w:r w:rsidR="004412C2">
        <w:rPr>
          <w:rFonts w:ascii="Bookman Old Style" w:hAnsi="Bookman Old Style"/>
        </w:rPr>
        <w:t>S</w:t>
      </w:r>
      <w:r w:rsidR="0008252F">
        <w:rPr>
          <w:rFonts w:ascii="Bookman Old Style" w:hAnsi="Bookman Old Style"/>
        </w:rPr>
        <w:t>ECOP</w:t>
      </w:r>
      <w:r w:rsidR="00A5627D">
        <w:rPr>
          <w:rFonts w:ascii="Bookman Old Style" w:hAnsi="Bookman Old Style"/>
        </w:rPr>
        <w:t xml:space="preserve"> </w:t>
      </w:r>
      <w:r w:rsidR="0008252F">
        <w:rPr>
          <w:rFonts w:ascii="Bookman Old Style" w:hAnsi="Bookman Old Style"/>
        </w:rPr>
        <w:t>I solicitud de oferta 001-2020 para vincular a un inversionista que act</w:t>
      </w:r>
      <w:r w:rsidR="001E445F">
        <w:rPr>
          <w:rFonts w:ascii="Bookman Old Style" w:hAnsi="Bookman Old Style"/>
        </w:rPr>
        <w:t>úe</w:t>
      </w:r>
      <w:r w:rsidR="0008252F">
        <w:rPr>
          <w:rFonts w:ascii="Bookman Old Style" w:hAnsi="Bookman Old Style"/>
        </w:rPr>
        <w:t xml:space="preserve"> como Aliado </w:t>
      </w:r>
      <w:r w:rsidR="00F54157">
        <w:rPr>
          <w:rFonts w:ascii="Bookman Old Style" w:hAnsi="Bookman Old Style"/>
        </w:rPr>
        <w:t>E</w:t>
      </w:r>
      <w:r w:rsidR="0008252F">
        <w:rPr>
          <w:rFonts w:ascii="Bookman Old Style" w:hAnsi="Bookman Old Style"/>
        </w:rPr>
        <w:t>stratégico de Promotora Energética de Centro</w:t>
      </w:r>
      <w:r w:rsidR="000E1F2A">
        <w:rPr>
          <w:rFonts w:ascii="Bookman Old Style" w:hAnsi="Bookman Old Style"/>
        </w:rPr>
        <w:t>, para que asuma por cuenta y riesgo del diseño final, la financiación, construcción y puesta</w:t>
      </w:r>
      <w:r w:rsidR="000717DC">
        <w:rPr>
          <w:rFonts w:ascii="Bookman Old Style" w:hAnsi="Bookman Old Style"/>
        </w:rPr>
        <w:t xml:space="preserve"> </w:t>
      </w:r>
      <w:r w:rsidR="000E1F2A">
        <w:rPr>
          <w:rFonts w:ascii="Bookman Old Style" w:hAnsi="Bookman Old Style"/>
        </w:rPr>
        <w:t>en funcionamiento, operación, administración y mantenimiento del proyecto.</w:t>
      </w:r>
    </w:p>
    <w:p w14:paraId="0D97BE9F" w14:textId="77777777" w:rsidR="00552DAB" w:rsidRPr="00584E78" w:rsidRDefault="00552DAB" w:rsidP="00584E78">
      <w:pPr>
        <w:ind w:left="0"/>
        <w:jc w:val="both"/>
        <w:rPr>
          <w:rFonts w:ascii="Bookman Old Style" w:hAnsi="Bookman Old Style"/>
        </w:rPr>
      </w:pPr>
    </w:p>
    <w:p w14:paraId="19969673" w14:textId="77777777" w:rsidR="008E10C2" w:rsidRDefault="008E10C2" w:rsidP="009F6554">
      <w:pPr>
        <w:numPr>
          <w:ilvl w:val="0"/>
          <w:numId w:val="24"/>
        </w:numPr>
        <w:rPr>
          <w:rFonts w:ascii="Bookman Old Style" w:hAnsi="Bookman Old Style"/>
          <w:b/>
        </w:rPr>
      </w:pPr>
      <w:r w:rsidRPr="00496B75">
        <w:rPr>
          <w:rFonts w:ascii="Bookman Old Style" w:hAnsi="Bookman Old Style"/>
          <w:b/>
        </w:rPr>
        <w:t>ANÁLISIS DE LA CREG</w:t>
      </w:r>
    </w:p>
    <w:p w14:paraId="411671AD" w14:textId="77777777" w:rsidR="008E10C2" w:rsidRPr="00496B75" w:rsidRDefault="008E10C2" w:rsidP="008E10C2">
      <w:pPr>
        <w:ind w:left="720"/>
        <w:rPr>
          <w:rFonts w:ascii="Bookman Old Style" w:hAnsi="Bookman Old Style"/>
          <w:b/>
        </w:rPr>
      </w:pPr>
    </w:p>
    <w:p w14:paraId="1513C0A8" w14:textId="31987795" w:rsidR="008E10C2" w:rsidRPr="0026336E" w:rsidRDefault="00640DF1" w:rsidP="00536488">
      <w:pPr>
        <w:pStyle w:val="Prrafodelista"/>
        <w:numPr>
          <w:ilvl w:val="0"/>
          <w:numId w:val="36"/>
        </w:numPr>
        <w:jc w:val="both"/>
        <w:rPr>
          <w:rFonts w:ascii="Bookman Old Style" w:hAnsi="Bookman Old Style" w:cs="Arial"/>
          <w:b/>
          <w:sz w:val="24"/>
        </w:rPr>
      </w:pPr>
      <w:r w:rsidRPr="0026336E">
        <w:rPr>
          <w:rFonts w:ascii="Bookman Old Style" w:hAnsi="Bookman Old Style" w:cs="Arial"/>
          <w:b/>
          <w:sz w:val="24"/>
        </w:rPr>
        <w:t>Frente al argumento</w:t>
      </w:r>
      <w:r w:rsidR="00643DD5">
        <w:rPr>
          <w:rFonts w:ascii="Bookman Old Style" w:hAnsi="Bookman Old Style" w:cs="Arial"/>
          <w:b/>
          <w:sz w:val="24"/>
        </w:rPr>
        <w:t xml:space="preserve"> de factores que han afectado el desarrollo del proyecto</w:t>
      </w:r>
      <w:r w:rsidR="00832303" w:rsidRPr="0026336E">
        <w:rPr>
          <w:rFonts w:ascii="Bookman Old Style" w:hAnsi="Bookman Old Style" w:cs="Arial"/>
          <w:b/>
          <w:sz w:val="24"/>
        </w:rPr>
        <w:t>.</w:t>
      </w:r>
    </w:p>
    <w:p w14:paraId="31D2B976" w14:textId="77777777" w:rsidR="00045D3D" w:rsidRDefault="00045D3D" w:rsidP="00045D3D">
      <w:pPr>
        <w:ind w:left="0"/>
        <w:rPr>
          <w:rFonts w:ascii="Bookman Old Style" w:hAnsi="Bookman Old Style"/>
        </w:rPr>
      </w:pPr>
    </w:p>
    <w:p w14:paraId="0A1A41D0" w14:textId="4DB91F19"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Al respecto debe reiterarse que el mecanismo del Cargo por Confiabilidad fue adoptado mediante la Resolución CREG 071 de 2006</w:t>
      </w:r>
      <w:r w:rsidR="003C074D">
        <w:rPr>
          <w:rFonts w:ascii="Bookman Old Style" w:hAnsi="Bookman Old Style"/>
          <w:szCs w:val="24"/>
        </w:rPr>
        <w:t>,</w:t>
      </w:r>
      <w:r>
        <w:rPr>
          <w:rFonts w:ascii="Bookman Old Style" w:hAnsi="Bookman Old Style"/>
          <w:szCs w:val="24"/>
        </w:rPr>
        <w:t xml:space="preserve"> y su funcionamiento y alcance se rige por lo dispuesto en ella y en las demás resoluciones vigentes que la han modificado o complementado. En consecuencia, el alcance de las obligaciones adquiridas, de lo que es el incumplimiento grave e insalvable</w:t>
      </w:r>
      <w:r w:rsidR="003C074D">
        <w:rPr>
          <w:rFonts w:ascii="Bookman Old Style" w:hAnsi="Bookman Old Style"/>
          <w:szCs w:val="24"/>
        </w:rPr>
        <w:t>,</w:t>
      </w:r>
      <w:r>
        <w:rPr>
          <w:rFonts w:ascii="Bookman Old Style" w:hAnsi="Bookman Old Style"/>
          <w:szCs w:val="24"/>
        </w:rPr>
        <w:t xml:space="preserve"> y del uso que puede darse a los anillos de seguridad</w:t>
      </w:r>
      <w:r w:rsidR="003C074D">
        <w:rPr>
          <w:rFonts w:ascii="Bookman Old Style" w:hAnsi="Bookman Old Style"/>
          <w:szCs w:val="24"/>
        </w:rPr>
        <w:t>,</w:t>
      </w:r>
      <w:r>
        <w:rPr>
          <w:rFonts w:ascii="Bookman Old Style" w:hAnsi="Bookman Old Style"/>
          <w:szCs w:val="24"/>
        </w:rPr>
        <w:t xml:space="preserve"> se debe enmarcar en lo dispuesto en las resoluciones. </w:t>
      </w:r>
    </w:p>
    <w:p w14:paraId="51EADED8" w14:textId="77777777" w:rsidR="00EE10A1" w:rsidRDefault="00EE10A1" w:rsidP="00F17B1C">
      <w:pPr>
        <w:pStyle w:val="Encabezado"/>
        <w:tabs>
          <w:tab w:val="clear" w:pos="8504"/>
          <w:tab w:val="left" w:pos="0"/>
          <w:tab w:val="right" w:pos="9356"/>
        </w:tabs>
        <w:ind w:left="0"/>
        <w:jc w:val="both"/>
        <w:rPr>
          <w:rFonts w:ascii="Bookman Old Style" w:hAnsi="Bookman Old Style"/>
          <w:szCs w:val="24"/>
        </w:rPr>
      </w:pPr>
    </w:p>
    <w:p w14:paraId="4F27E0FB" w14:textId="55990585"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En cuanto a la obligación que adquieren las plantas nuevas que participan voluntariamente en una subasta del Cargo por Confiabilidad y obtienen asignaciones de obligaciones de energía firme</w:t>
      </w:r>
      <w:r w:rsidR="003C074D">
        <w:rPr>
          <w:rFonts w:ascii="Bookman Old Style" w:hAnsi="Bookman Old Style"/>
          <w:szCs w:val="24"/>
        </w:rPr>
        <w:t>,</w:t>
      </w:r>
      <w:r>
        <w:rPr>
          <w:rFonts w:ascii="Bookman Old Style" w:hAnsi="Bookman Old Style"/>
          <w:szCs w:val="24"/>
        </w:rPr>
        <w:t xml:space="preserve"> el artículo 7 de la Resolución CREG 071 de 2006 señala expresamente: </w:t>
      </w:r>
    </w:p>
    <w:p w14:paraId="47EEE8C8"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33651434" w14:textId="77777777" w:rsidR="00F17B1C" w:rsidRPr="006C3B98" w:rsidRDefault="00F17B1C" w:rsidP="00EE10A1">
      <w:pPr>
        <w:ind w:left="284"/>
        <w:jc w:val="both"/>
        <w:rPr>
          <w:rFonts w:ascii="Bookman Old Style" w:hAnsi="Bookman Old Style"/>
          <w:i/>
        </w:rPr>
      </w:pPr>
      <w:r w:rsidRPr="006C3B98">
        <w:rPr>
          <w:rFonts w:ascii="Bookman Old Style" w:hAnsi="Bookman Old Style"/>
          <w:i/>
        </w:rPr>
        <w:lastRenderedPageBreak/>
        <w:t>“Artículo 7.</w:t>
      </w:r>
      <w:r w:rsidRPr="006C3B98">
        <w:rPr>
          <w:rFonts w:ascii="Bookman Old Style" w:hAnsi="Bookman Old Style"/>
          <w:i/>
        </w:rPr>
        <w:tab/>
        <w:t xml:space="preserve">Obligaciones adicionales para los agentes con plantas y/o unidades de generación nuevas o especiales. </w:t>
      </w:r>
      <w:r w:rsidRPr="006C3B98">
        <w:rPr>
          <w:rFonts w:ascii="Bookman Old Style" w:hAnsi="Bookman Old Style"/>
          <w:b/>
          <w:i/>
          <w:u w:val="single"/>
        </w:rPr>
        <w:t>Además de las establecidas en otros artículos de esta resolución</w:t>
      </w:r>
      <w:r w:rsidRPr="006C3B98">
        <w:rPr>
          <w:rFonts w:ascii="Bookman Old Style" w:hAnsi="Bookman Old Style"/>
          <w:i/>
        </w:rPr>
        <w:t>, los agentes con plantas y/o unidades de generación nuevas o especiales a quienes les hayan sido asignadas obligaciones de energía firme, tendrán las siguientes obligaciones:</w:t>
      </w:r>
    </w:p>
    <w:p w14:paraId="47C4D6AC" w14:textId="77777777" w:rsidR="00F17B1C" w:rsidRPr="006C3B98" w:rsidRDefault="00F17B1C" w:rsidP="00EE10A1">
      <w:pPr>
        <w:ind w:left="284"/>
        <w:jc w:val="both"/>
        <w:rPr>
          <w:rFonts w:ascii="Bookman Old Style" w:hAnsi="Bookman Old Style"/>
          <w:b/>
          <w:i/>
          <w:u w:val="single"/>
        </w:rPr>
      </w:pPr>
      <w:r w:rsidRPr="006C3B98">
        <w:rPr>
          <w:rFonts w:ascii="Bookman Old Style" w:hAnsi="Bookman Old Style"/>
          <w:b/>
          <w:i/>
          <w:u w:val="single"/>
        </w:rPr>
        <w:t>1.</w:t>
      </w:r>
      <w:r w:rsidRPr="006C3B98">
        <w:rPr>
          <w:rFonts w:ascii="Bookman Old Style" w:hAnsi="Bookman Old Style"/>
          <w:b/>
          <w:i/>
          <w:u w:val="single"/>
        </w:rPr>
        <w:tab/>
        <w:t>Poner en operación comercial la planta y/o unidad de generación a más tardar en la fecha de inicio del Período de Vigencia de la Obligación y con la ENFICC asignada en la Subasta.</w:t>
      </w:r>
    </w:p>
    <w:p w14:paraId="656C5EC5" w14:textId="77777777" w:rsidR="00F17B1C" w:rsidRPr="00DC523D" w:rsidRDefault="00F17B1C" w:rsidP="00EE10A1">
      <w:pPr>
        <w:ind w:left="284"/>
        <w:jc w:val="both"/>
        <w:rPr>
          <w:rFonts w:ascii="Bookman Old Style" w:hAnsi="Bookman Old Style"/>
          <w:b/>
          <w:bCs/>
          <w:i/>
        </w:rPr>
      </w:pPr>
      <w:r w:rsidRPr="00DC523D">
        <w:rPr>
          <w:rFonts w:ascii="Bookman Old Style" w:hAnsi="Bookman Old Style"/>
          <w:b/>
          <w:bCs/>
          <w:i/>
        </w:rPr>
        <w:t>2.</w:t>
      </w:r>
      <w:r w:rsidRPr="00DC523D">
        <w:rPr>
          <w:rFonts w:ascii="Bookman Old Style" w:hAnsi="Bookman Old Style"/>
          <w:b/>
          <w:bCs/>
          <w:i/>
        </w:rPr>
        <w:tab/>
        <w:t xml:space="preserve">Cumplir el cronograma de construcción o repotenciación de la planta y la Curva S. </w:t>
      </w:r>
    </w:p>
    <w:p w14:paraId="097CA70D" w14:textId="77777777" w:rsidR="00F17B1C" w:rsidRPr="006C3B98" w:rsidRDefault="00F17B1C" w:rsidP="00EE10A1">
      <w:pPr>
        <w:ind w:left="284"/>
        <w:jc w:val="both"/>
        <w:rPr>
          <w:rFonts w:ascii="Bookman Old Style" w:hAnsi="Bookman Old Style"/>
          <w:i/>
        </w:rPr>
      </w:pPr>
      <w:r w:rsidRPr="006C3B98">
        <w:rPr>
          <w:rFonts w:ascii="Bookman Old Style" w:hAnsi="Bookman Old Style"/>
          <w:i/>
        </w:rPr>
        <w:t>3.</w:t>
      </w:r>
      <w:r w:rsidRPr="006C3B98">
        <w:rPr>
          <w:rFonts w:ascii="Bookman Old Style" w:hAnsi="Bookman Old Style"/>
          <w:i/>
        </w:rPr>
        <w:tab/>
        <w:t>Pagar el costo de la auditoría establecida en el artículo 8 de esta Resolución, periódicamente en forma anticipada. El incumplimiento en el pago de la auditoría, dará lugar a la ejecución de la garantía a que se refiere el numeral 4 de este artículo y la pérdida para el generador de la Obligación de Energía Firme y la remuneración asociada a ella.</w:t>
      </w:r>
    </w:p>
    <w:p w14:paraId="0E215E64" w14:textId="77777777" w:rsidR="00F17B1C" w:rsidRPr="006C3B98" w:rsidRDefault="00F17B1C" w:rsidP="00EE10A1">
      <w:pPr>
        <w:ind w:left="284"/>
        <w:jc w:val="both"/>
        <w:rPr>
          <w:rFonts w:ascii="Bookman Old Style" w:hAnsi="Bookman Old Style"/>
          <w:i/>
        </w:rPr>
      </w:pPr>
      <w:r w:rsidRPr="006C3B98">
        <w:rPr>
          <w:rFonts w:ascii="Bookman Old Style" w:hAnsi="Bookman Old Style"/>
          <w:i/>
        </w:rPr>
        <w:t>4.</w:t>
      </w:r>
      <w:r w:rsidRPr="006C3B98">
        <w:rPr>
          <w:rFonts w:ascii="Bookman Old Style" w:hAnsi="Bookman Old Style"/>
          <w:i/>
        </w:rPr>
        <w:tab/>
        <w:t>Constituir y mantener vigente la garantía de cumplimiento de la fecha de inicio de la operación comercial de las plantas o unidades de generación en instalación o por instalar o repotenciar con la ENFICC asignada en la Subasta, y del pago de la auditoría. Estas garantías deben cumplir las disposiciones contenidas en el Capítulo VIII de esta resolución.</w:t>
      </w:r>
    </w:p>
    <w:p w14:paraId="312ECC70" w14:textId="77777777" w:rsidR="00F17B1C" w:rsidRPr="006C3B98" w:rsidRDefault="00F17B1C" w:rsidP="00EE10A1">
      <w:pPr>
        <w:ind w:left="284"/>
        <w:jc w:val="both"/>
        <w:rPr>
          <w:rFonts w:ascii="Bookman Old Style" w:hAnsi="Bookman Old Style"/>
        </w:rPr>
      </w:pPr>
      <w:r w:rsidRPr="006C3B98">
        <w:rPr>
          <w:rFonts w:ascii="Bookman Old Style" w:hAnsi="Bookman Old Style"/>
          <w:i/>
        </w:rPr>
        <w:t>5.</w:t>
      </w:r>
      <w:r w:rsidRPr="006C3B98">
        <w:rPr>
          <w:rFonts w:ascii="Bookman Old Style" w:hAnsi="Bookman Old Style"/>
          <w:i/>
        </w:rPr>
        <w:tab/>
        <w:t xml:space="preserve">Haberse constituido en Empresa de Servicios Públicos con anterioridad al plazo fijado por la CREG para el otorgamiento de las garantías exigibles para el cumplimiento de las Obligaciones de Energía Firme.” </w:t>
      </w:r>
      <w:r w:rsidRPr="006C3B98">
        <w:rPr>
          <w:rFonts w:ascii="Bookman Old Style" w:hAnsi="Bookman Old Style"/>
        </w:rPr>
        <w:t>(Destacado fuera del texto)</w:t>
      </w:r>
    </w:p>
    <w:p w14:paraId="6B65C1AC"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p>
    <w:p w14:paraId="39C3CD49" w14:textId="56CA5DFF"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No hay duda entonces de que</w:t>
      </w:r>
      <w:r w:rsidR="00BB7D83">
        <w:rPr>
          <w:rFonts w:ascii="Bookman Old Style" w:hAnsi="Bookman Old Style"/>
          <w:szCs w:val="24"/>
        </w:rPr>
        <w:t>,</w:t>
      </w:r>
      <w:r>
        <w:rPr>
          <w:rFonts w:ascii="Bookman Old Style" w:hAnsi="Bookman Old Style"/>
          <w:szCs w:val="24"/>
        </w:rPr>
        <w:t xml:space="preserve"> además de las otras obligaciones que adquieren quienes obtienen asignaciones de OEF, quienes representan plantas nuevas se comprometen a poner en operación la planta de generación a más tardar en la fecha del inicio del período de vigencia de la obligación</w:t>
      </w:r>
      <w:r w:rsidR="003C074D">
        <w:rPr>
          <w:rFonts w:ascii="Bookman Old Style" w:hAnsi="Bookman Old Style"/>
          <w:szCs w:val="24"/>
        </w:rPr>
        <w:t>,</w:t>
      </w:r>
      <w:r w:rsidR="0062328C">
        <w:rPr>
          <w:rFonts w:ascii="Bookman Old Style" w:hAnsi="Bookman Old Style"/>
          <w:szCs w:val="24"/>
        </w:rPr>
        <w:t xml:space="preserve"> y cumplir el cronograma de construcción y la curva S</w:t>
      </w:r>
      <w:r>
        <w:rPr>
          <w:rFonts w:ascii="Bookman Old Style" w:hAnsi="Bookman Old Style"/>
          <w:szCs w:val="24"/>
        </w:rPr>
        <w:t xml:space="preserve">.  Si bien es cierto que una de las obligaciones que se adquieren es de entrega de </w:t>
      </w:r>
      <w:r w:rsidR="00BB7D83">
        <w:rPr>
          <w:rFonts w:ascii="Bookman Old Style" w:hAnsi="Bookman Old Style"/>
          <w:szCs w:val="24"/>
        </w:rPr>
        <w:t xml:space="preserve">la </w:t>
      </w:r>
      <w:r>
        <w:rPr>
          <w:rFonts w:ascii="Bookman Old Style" w:hAnsi="Bookman Old Style"/>
          <w:szCs w:val="24"/>
        </w:rPr>
        <w:t xml:space="preserve">energía </w:t>
      </w:r>
      <w:r w:rsidR="00BB7D83">
        <w:rPr>
          <w:rFonts w:ascii="Bookman Old Style" w:hAnsi="Bookman Old Style"/>
          <w:szCs w:val="24"/>
        </w:rPr>
        <w:t>firme comprometida</w:t>
      </w:r>
      <w:r w:rsidR="003C074D">
        <w:rPr>
          <w:rFonts w:ascii="Bookman Old Style" w:hAnsi="Bookman Old Style"/>
          <w:szCs w:val="24"/>
        </w:rPr>
        <w:t>,</w:t>
      </w:r>
      <w:r w:rsidR="00BB7D83">
        <w:rPr>
          <w:rFonts w:ascii="Bookman Old Style" w:hAnsi="Bookman Old Style"/>
          <w:szCs w:val="24"/>
        </w:rPr>
        <w:t xml:space="preserve"> </w:t>
      </w:r>
      <w:r>
        <w:rPr>
          <w:rFonts w:ascii="Bookman Old Style" w:hAnsi="Bookman Old Style"/>
          <w:szCs w:val="24"/>
        </w:rPr>
        <w:t>y que la misma regulación prevé alternativas para que</w:t>
      </w:r>
      <w:r w:rsidR="00BB7D83">
        <w:rPr>
          <w:rFonts w:ascii="Bookman Old Style" w:hAnsi="Bookman Old Style"/>
          <w:szCs w:val="24"/>
        </w:rPr>
        <w:t>,</w:t>
      </w:r>
      <w:r>
        <w:rPr>
          <w:rFonts w:ascii="Bookman Old Style" w:hAnsi="Bookman Old Style"/>
          <w:szCs w:val="24"/>
        </w:rPr>
        <w:t xml:space="preserve"> en caso de indisponibilidad o atrasos menores a un año</w:t>
      </w:r>
      <w:r w:rsidR="00BB7D83">
        <w:rPr>
          <w:rFonts w:ascii="Bookman Old Style" w:hAnsi="Bookman Old Style"/>
          <w:szCs w:val="24"/>
        </w:rPr>
        <w:t>,</w:t>
      </w:r>
      <w:r>
        <w:rPr>
          <w:rFonts w:ascii="Bookman Old Style" w:hAnsi="Bookman Old Style"/>
          <w:szCs w:val="24"/>
        </w:rPr>
        <w:t xml:space="preserve"> el agente pueda honrar la obligación, también es claro que, en el caso de plantas nuevas</w:t>
      </w:r>
      <w:r w:rsidR="00ED7F83">
        <w:rPr>
          <w:rFonts w:ascii="Bookman Old Style" w:hAnsi="Bookman Old Style"/>
          <w:szCs w:val="24"/>
        </w:rPr>
        <w:t>, ellas deben</w:t>
      </w:r>
      <w:r>
        <w:rPr>
          <w:rFonts w:ascii="Bookman Old Style" w:hAnsi="Bookman Old Style"/>
          <w:szCs w:val="24"/>
        </w:rPr>
        <w:t xml:space="preserve"> iniciar su operación antes del IPVO</w:t>
      </w:r>
      <w:r w:rsidR="003C074D">
        <w:rPr>
          <w:rFonts w:ascii="Bookman Old Style" w:hAnsi="Bookman Old Style"/>
          <w:szCs w:val="24"/>
        </w:rPr>
        <w:t>,</w:t>
      </w:r>
      <w:r>
        <w:rPr>
          <w:rFonts w:ascii="Bookman Old Style" w:hAnsi="Bookman Old Style"/>
          <w:szCs w:val="24"/>
        </w:rPr>
        <w:t xml:space="preserve"> o dentro del año siguiente. </w:t>
      </w:r>
    </w:p>
    <w:p w14:paraId="10D0816A" w14:textId="77777777" w:rsidR="00F17B1C" w:rsidRDefault="00F17B1C" w:rsidP="00F17B1C">
      <w:pPr>
        <w:ind w:left="0"/>
        <w:jc w:val="both"/>
        <w:rPr>
          <w:rFonts w:ascii="Bookman Old Style" w:eastAsia="Calibri" w:hAnsi="Bookman Old Style" w:cs="Arial"/>
          <w:lang w:val="es-ES_tradnl"/>
        </w:rPr>
      </w:pPr>
    </w:p>
    <w:p w14:paraId="2A01760F" w14:textId="13EC469F" w:rsidR="00F17B1C" w:rsidRDefault="00F17B1C" w:rsidP="00F17B1C">
      <w:pPr>
        <w:ind w:left="0"/>
        <w:jc w:val="both"/>
        <w:rPr>
          <w:rFonts w:ascii="Bookman Old Style" w:hAnsi="Bookman Old Style"/>
        </w:rPr>
      </w:pPr>
      <w:r>
        <w:rPr>
          <w:rFonts w:ascii="Bookman Old Style" w:eastAsia="Calibri" w:hAnsi="Bookman Old Style" w:cs="Arial"/>
          <w:lang w:val="es-ES_tradnl"/>
        </w:rPr>
        <w:t>En consecuencia con lo anterior, la regulación definió expresamente uno de los eventos de incumplimiento grave e insa</w:t>
      </w:r>
      <w:r w:rsidR="0026336E">
        <w:rPr>
          <w:rFonts w:ascii="Bookman Old Style" w:eastAsia="Calibri" w:hAnsi="Bookman Old Style" w:cs="Arial"/>
          <w:lang w:val="es-ES_tradnl"/>
        </w:rPr>
        <w:t>lvable</w:t>
      </w:r>
      <w:r w:rsidR="003C074D">
        <w:rPr>
          <w:rFonts w:ascii="Bookman Old Style" w:eastAsia="Calibri" w:hAnsi="Bookman Old Style" w:cs="Arial"/>
          <w:lang w:val="es-ES_tradnl"/>
        </w:rPr>
        <w:t>,</w:t>
      </w:r>
      <w:r w:rsidR="0026336E">
        <w:rPr>
          <w:rFonts w:ascii="Bookman Old Style" w:eastAsia="Calibri" w:hAnsi="Bookman Old Style" w:cs="Arial"/>
          <w:lang w:val="es-ES_tradnl"/>
        </w:rPr>
        <w:t xml:space="preserve"> justamente en función de la puesta en operación de la planta</w:t>
      </w:r>
      <w:r>
        <w:rPr>
          <w:rFonts w:ascii="Bookman Old Style" w:eastAsia="Calibri" w:hAnsi="Bookman Old Style" w:cs="Arial"/>
          <w:lang w:val="es-ES_tradnl"/>
        </w:rPr>
        <w:t xml:space="preserve">. </w:t>
      </w:r>
      <w:r w:rsidR="002122F4">
        <w:rPr>
          <w:rFonts w:ascii="Bookman Old Style" w:eastAsia="Calibri" w:hAnsi="Bookman Old Style" w:cs="Arial"/>
          <w:lang w:val="es-ES_tradnl"/>
        </w:rPr>
        <w:t xml:space="preserve">Así, </w:t>
      </w:r>
      <w:r w:rsidR="002122F4">
        <w:rPr>
          <w:rFonts w:ascii="Bookman Old Style" w:hAnsi="Bookman Old Style"/>
          <w:lang w:val="es-CO"/>
        </w:rPr>
        <w:t>l</w:t>
      </w:r>
      <w:r>
        <w:rPr>
          <w:rFonts w:ascii="Bookman Old Style" w:hAnsi="Bookman Old Style"/>
        </w:rPr>
        <w:t>a Resolución CREG 071 de 2006</w:t>
      </w:r>
      <w:r w:rsidR="003C074D">
        <w:rPr>
          <w:rFonts w:ascii="Bookman Old Style" w:hAnsi="Bookman Old Style"/>
        </w:rPr>
        <w:t>,</w:t>
      </w:r>
      <w:r>
        <w:rPr>
          <w:rFonts w:ascii="Bookman Old Style" w:hAnsi="Bookman Old Style"/>
        </w:rPr>
        <w:t xml:space="preserve"> artículo segundo</w:t>
      </w:r>
      <w:r w:rsidR="003C074D">
        <w:rPr>
          <w:rFonts w:ascii="Bookman Old Style" w:hAnsi="Bookman Old Style"/>
        </w:rPr>
        <w:t>,</w:t>
      </w:r>
      <w:r w:rsidR="0026336E">
        <w:rPr>
          <w:rFonts w:ascii="Bookman Old Style" w:hAnsi="Bookman Old Style"/>
        </w:rPr>
        <w:t xml:space="preserve"> señala</w:t>
      </w:r>
      <w:r>
        <w:rPr>
          <w:rFonts w:ascii="Bookman Old Style" w:hAnsi="Bookman Old Style"/>
        </w:rPr>
        <w:t xml:space="preserve">: </w:t>
      </w:r>
    </w:p>
    <w:p w14:paraId="151AD9EB" w14:textId="77777777" w:rsidR="00F17B1C" w:rsidRDefault="00F17B1C" w:rsidP="0026336E">
      <w:pPr>
        <w:pStyle w:val="Encabezado"/>
        <w:tabs>
          <w:tab w:val="clear" w:pos="8504"/>
          <w:tab w:val="left" w:pos="0"/>
          <w:tab w:val="right" w:pos="9356"/>
        </w:tabs>
        <w:ind w:left="0"/>
        <w:jc w:val="both"/>
        <w:rPr>
          <w:rFonts w:ascii="Bookman Old Style" w:hAnsi="Bookman Old Style"/>
          <w:i/>
          <w:szCs w:val="24"/>
        </w:rPr>
      </w:pPr>
    </w:p>
    <w:p w14:paraId="4226D640" w14:textId="01E8FF1A" w:rsidR="00F17B1C" w:rsidRDefault="00F17B1C" w:rsidP="00EE10A1">
      <w:pPr>
        <w:pStyle w:val="Encabezado"/>
        <w:tabs>
          <w:tab w:val="clear" w:pos="4252"/>
          <w:tab w:val="clear" w:pos="8504"/>
        </w:tabs>
        <w:ind w:left="284"/>
        <w:jc w:val="both"/>
        <w:rPr>
          <w:rFonts w:ascii="Bookman Old Style" w:hAnsi="Bookman Old Style"/>
          <w:i/>
          <w:szCs w:val="24"/>
        </w:rPr>
      </w:pPr>
      <w:r w:rsidRPr="00E55E97">
        <w:rPr>
          <w:rFonts w:ascii="Bookman Old Style" w:hAnsi="Bookman Old Style"/>
          <w:i/>
          <w:szCs w:val="24"/>
        </w:rPr>
        <w:t>Incumplimiento grave e insalvable de la puesta en operación de la planta: Serán aquellos previstos en el Reglamento de Garantías de que trata el artículo 78 de la presente Resolución.</w:t>
      </w:r>
    </w:p>
    <w:p w14:paraId="628F315B" w14:textId="77777777" w:rsidR="00EE10A1" w:rsidRPr="00E55E97" w:rsidRDefault="00EE10A1" w:rsidP="00EE10A1">
      <w:pPr>
        <w:pStyle w:val="Encabezado"/>
        <w:tabs>
          <w:tab w:val="clear" w:pos="4252"/>
          <w:tab w:val="clear" w:pos="8504"/>
        </w:tabs>
        <w:ind w:left="284"/>
        <w:jc w:val="both"/>
        <w:rPr>
          <w:rFonts w:ascii="Bookman Old Style" w:hAnsi="Bookman Old Style"/>
          <w:i/>
          <w:szCs w:val="24"/>
        </w:rPr>
      </w:pPr>
    </w:p>
    <w:p w14:paraId="0E091090" w14:textId="77777777" w:rsidR="00F17B1C" w:rsidRDefault="00F17B1C" w:rsidP="00F17B1C">
      <w:pPr>
        <w:pStyle w:val="Encabezado"/>
        <w:tabs>
          <w:tab w:val="clear" w:pos="8504"/>
          <w:tab w:val="left" w:pos="0"/>
          <w:tab w:val="right" w:pos="9356"/>
        </w:tabs>
        <w:ind w:left="0"/>
        <w:jc w:val="both"/>
        <w:rPr>
          <w:rFonts w:ascii="Bookman Old Style" w:hAnsi="Bookman Old Style"/>
          <w:i/>
          <w:szCs w:val="24"/>
        </w:rPr>
      </w:pPr>
      <w:r>
        <w:rPr>
          <w:rFonts w:ascii="Bookman Old Style" w:hAnsi="Bookman Old Style"/>
          <w:szCs w:val="24"/>
        </w:rPr>
        <w:t>El reglamento referido fue adoptado con la Resolución CREG 061 de 2007 y señala en el artículo segundo que incumplimiento grave e insalvable “</w:t>
      </w:r>
      <w:r w:rsidRPr="00E515ED">
        <w:rPr>
          <w:rFonts w:ascii="Bookman Old Style" w:hAnsi="Bookman Old Style"/>
          <w:i/>
          <w:szCs w:val="24"/>
        </w:rPr>
        <w:t>Serán los eventos de incumplimiento establecidos en el Artículo 13 del presente Reglamento.</w:t>
      </w:r>
      <w:r>
        <w:rPr>
          <w:rFonts w:ascii="Bookman Old Style" w:hAnsi="Bookman Old Style"/>
          <w:i/>
          <w:szCs w:val="24"/>
        </w:rPr>
        <w:t xml:space="preserve">”  </w:t>
      </w:r>
    </w:p>
    <w:p w14:paraId="36A2C930" w14:textId="77777777" w:rsidR="00F17B1C" w:rsidRPr="00E515ED"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lastRenderedPageBreak/>
        <w:t xml:space="preserve">El artículo 13 del reglamento de garantías definió expresamente qué eventos se califican como incumplimiento grave e insalvable: </w:t>
      </w:r>
    </w:p>
    <w:p w14:paraId="1E0D11ED" w14:textId="77777777" w:rsidR="00F17B1C" w:rsidRDefault="00F17B1C" w:rsidP="00F17B1C">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szCs w:val="24"/>
        </w:rPr>
        <w:tab/>
      </w:r>
    </w:p>
    <w:p w14:paraId="7675829E" w14:textId="77777777" w:rsidR="00F17B1C" w:rsidRPr="00E515ED" w:rsidRDefault="00F17B1C" w:rsidP="00EE10A1">
      <w:pPr>
        <w:ind w:left="284"/>
        <w:jc w:val="both"/>
        <w:rPr>
          <w:rFonts w:ascii="Bookman Old Style" w:hAnsi="Bookman Old Style" w:cs="Arial"/>
          <w:i/>
        </w:rPr>
      </w:pPr>
      <w:r w:rsidRPr="00E515ED">
        <w:rPr>
          <w:rFonts w:ascii="Bookman Old Style" w:hAnsi="Bookman Old Style" w:cs="Arial"/>
          <w:b/>
          <w:i/>
        </w:rPr>
        <w:t>“Artículo 13. Eventos de incumplimiento.</w:t>
      </w:r>
      <w:r w:rsidRPr="00E515ED">
        <w:rPr>
          <w:rFonts w:ascii="Bookman Old Style" w:hAnsi="Bookman Old Style" w:cs="Arial"/>
          <w:i/>
        </w:rPr>
        <w:t xml:space="preserve"> </w:t>
      </w:r>
      <w:r w:rsidRPr="00B501D1">
        <w:rPr>
          <w:rFonts w:ascii="Bookman Old Style" w:hAnsi="Bookman Old Style" w:cs="Arial"/>
          <w:b/>
          <w:i/>
          <w:u w:val="single"/>
        </w:rPr>
        <w:t xml:space="preserve">Constituyen eventos de incumplimiento grave </w:t>
      </w:r>
      <w:r w:rsidRPr="002122F4">
        <w:rPr>
          <w:rFonts w:ascii="Bookman Old Style" w:hAnsi="Bookman Old Style" w:cs="Arial"/>
          <w:b/>
          <w:i/>
          <w:u w:val="single"/>
        </w:rPr>
        <w:t>e</w:t>
      </w:r>
      <w:r w:rsidRPr="00EE10A1">
        <w:rPr>
          <w:rFonts w:ascii="Bookman Old Style" w:hAnsi="Bookman Old Style" w:cs="Arial"/>
          <w:b/>
          <w:i/>
        </w:rPr>
        <w:t xml:space="preserve"> insalvable los siguientes:</w:t>
      </w:r>
    </w:p>
    <w:p w14:paraId="1520D938" w14:textId="77777777" w:rsidR="00F17B1C" w:rsidRPr="00E515ED" w:rsidRDefault="00F17B1C" w:rsidP="00EE10A1">
      <w:pPr>
        <w:ind w:left="284"/>
        <w:jc w:val="both"/>
        <w:rPr>
          <w:rFonts w:ascii="Bookman Old Style" w:hAnsi="Bookman Old Style" w:cs="Arial"/>
          <w:i/>
        </w:rPr>
      </w:pPr>
      <w:r w:rsidRPr="00E515ED">
        <w:rPr>
          <w:rFonts w:ascii="Bookman Old Style" w:hAnsi="Bookman Old Style" w:cs="Arial"/>
          <w:i/>
        </w:rPr>
        <w:t>1.</w:t>
      </w:r>
      <w:r w:rsidRPr="00E515ED">
        <w:rPr>
          <w:rFonts w:ascii="Bookman Old Style" w:hAnsi="Bookman Old Style" w:cs="Arial"/>
          <w:i/>
        </w:rPr>
        <w:tab/>
      </w:r>
      <w:r w:rsidRPr="00B501D1">
        <w:rPr>
          <w:rFonts w:ascii="Bookman Old Style" w:hAnsi="Bookman Old Style" w:cs="Arial"/>
          <w:b/>
          <w:i/>
          <w:u w:val="single"/>
        </w:rPr>
        <w:t>Incumplimiento Calificado de Cronograma que implique que la puesta en operación de la planta o unidad de generación, ocurrirá en un plazo superior a un (1) año contado a partir del IPVO.</w:t>
      </w:r>
    </w:p>
    <w:p w14:paraId="2839E986" w14:textId="77777777" w:rsidR="00F17B1C" w:rsidRPr="00E515ED" w:rsidRDefault="00F17B1C" w:rsidP="00EE10A1">
      <w:pPr>
        <w:ind w:left="284"/>
        <w:jc w:val="both"/>
        <w:rPr>
          <w:rFonts w:ascii="Bookman Old Style" w:hAnsi="Bookman Old Style" w:cs="Arial"/>
          <w:i/>
        </w:rPr>
      </w:pPr>
      <w:r w:rsidRPr="00E515ED">
        <w:rPr>
          <w:rFonts w:ascii="Bookman Old Style" w:hAnsi="Bookman Old Style" w:cs="Arial"/>
          <w:i/>
        </w:rPr>
        <w:t>2.</w:t>
      </w:r>
      <w:r w:rsidRPr="00E515ED">
        <w:rPr>
          <w:rFonts w:ascii="Bookman Old Style" w:hAnsi="Bookman Old Style" w:cs="Arial"/>
          <w:i/>
        </w:rPr>
        <w:tab/>
        <w:t>Incumplimiento Calificado de Cronograma, que implique que la puesta en operación de la planta o unidad de generación ocurrirá en un plazo inferior a un (1) año, contado a partir del IPVO, y el Agente Generador o la Persona Jurídica Interesada, una vez esté registrada como Agente Generador ante el ASIC, no garanticen el cumplimiento de la Obligación de Energía Firme con un Contrato o Declaración de Respaldo, de otra planta o unidad de generación. Este Contrato o Declaración de Respaldo debe estar registrado ante el ASIC a más tardar dentro de los quince (15) días calendario siguientes a la fecha en que el CND reciba el correspondiente informe del auditor y debe estar vigente desde el IPVO hasta la nueva fecha de puesta en operación de la planta o unidad de generación, certificada por el Auditor.</w:t>
      </w:r>
    </w:p>
    <w:p w14:paraId="50C08BA7" w14:textId="77777777" w:rsidR="00F17B1C" w:rsidRPr="00E515ED" w:rsidRDefault="00F17B1C" w:rsidP="00EE10A1">
      <w:pPr>
        <w:ind w:left="284"/>
        <w:jc w:val="both"/>
        <w:rPr>
          <w:rFonts w:ascii="Bookman Old Style" w:hAnsi="Bookman Old Style" w:cs="Arial"/>
          <w:i/>
        </w:rPr>
      </w:pPr>
      <w:r w:rsidRPr="00E515ED">
        <w:rPr>
          <w:rFonts w:ascii="Bookman Old Style" w:hAnsi="Bookman Old Style" w:cs="Arial"/>
          <w:i/>
        </w:rPr>
        <w:t>3.</w:t>
      </w:r>
      <w:r w:rsidRPr="00E515ED">
        <w:rPr>
          <w:rFonts w:ascii="Bookman Old Style" w:hAnsi="Bookman Old Style" w:cs="Arial"/>
          <w:i/>
        </w:rPr>
        <w:tab/>
        <w:t>Puesta en operación de la planta o unidad de generación con una ENFICC inferior a la asociada a la Obligación de Energía Firme asignada, calculada en la forma prevista en el Anexo 3 de la Resolución CREG 071 de 2006 o aquellas que la modifiquen, adicionen o sustituyan.</w:t>
      </w:r>
    </w:p>
    <w:p w14:paraId="05BA5492" w14:textId="77777777" w:rsidR="00F17B1C" w:rsidRPr="00E515ED" w:rsidRDefault="00F17B1C" w:rsidP="00EE10A1">
      <w:pPr>
        <w:ind w:left="284"/>
        <w:jc w:val="both"/>
        <w:rPr>
          <w:rFonts w:ascii="Bookman Old Style" w:hAnsi="Bookman Old Style" w:cs="Arial"/>
          <w:i/>
        </w:rPr>
      </w:pPr>
      <w:r w:rsidRPr="00E515ED">
        <w:rPr>
          <w:rFonts w:ascii="Bookman Old Style" w:hAnsi="Bookman Old Style" w:cs="Arial"/>
          <w:i/>
        </w:rPr>
        <w:t>4.</w:t>
      </w:r>
      <w:r w:rsidRPr="00E515ED">
        <w:rPr>
          <w:rFonts w:ascii="Bookman Old Style" w:hAnsi="Bookman Old Style" w:cs="Arial"/>
          <w:i/>
        </w:rPr>
        <w:tab/>
        <w:t>El Agente Generador o la Persona Jurídica Interesada no acredita ante la CREG el ajuste o reposición de las garantías conforme a lo establecido en el presente Reglamento.</w:t>
      </w:r>
    </w:p>
    <w:p w14:paraId="584B22C7" w14:textId="6A5DEDBE" w:rsidR="00F17B1C" w:rsidRPr="00E515ED" w:rsidRDefault="00F17B1C" w:rsidP="00EE10A1">
      <w:pPr>
        <w:ind w:left="284"/>
        <w:jc w:val="both"/>
        <w:rPr>
          <w:rFonts w:ascii="Bookman Old Style" w:hAnsi="Bookman Old Style" w:cs="Arial"/>
          <w:i/>
        </w:rPr>
      </w:pPr>
      <w:r w:rsidRPr="00E515ED">
        <w:rPr>
          <w:rFonts w:ascii="Bookman Old Style" w:hAnsi="Bookman Old Style" w:cs="Arial"/>
          <w:i/>
        </w:rPr>
        <w:t>5.</w:t>
      </w:r>
      <w:r w:rsidRPr="00E515ED">
        <w:rPr>
          <w:rFonts w:ascii="Bookman Old Style" w:hAnsi="Bookman Old Style" w:cs="Arial"/>
          <w:i/>
        </w:rPr>
        <w:tab/>
        <w:t xml:space="preserve">El Agente Generador o la Persona Jurídica Interesada no acredita ante el ASIC el pago de los honorarios del Auditor designado para verificar el cumplimiento del cronograma de construcción o repotenciación, o de puesta en operación de la planta o unidad de generación, conforme a lo establecido en el presente Capítulo.” </w:t>
      </w:r>
      <w:r w:rsidRPr="00EE10A1">
        <w:rPr>
          <w:rFonts w:ascii="Bookman Old Style" w:hAnsi="Bookman Old Style" w:cs="Arial"/>
        </w:rPr>
        <w:t>(</w:t>
      </w:r>
      <w:r w:rsidR="002122F4">
        <w:rPr>
          <w:rFonts w:ascii="Bookman Old Style" w:hAnsi="Bookman Old Style" w:cs="Arial"/>
        </w:rPr>
        <w:t>Destacado</w:t>
      </w:r>
      <w:r w:rsidR="002122F4" w:rsidRPr="00EE10A1">
        <w:rPr>
          <w:rFonts w:ascii="Bookman Old Style" w:hAnsi="Bookman Old Style" w:cs="Arial"/>
        </w:rPr>
        <w:t xml:space="preserve"> </w:t>
      </w:r>
      <w:r w:rsidRPr="00EE10A1">
        <w:rPr>
          <w:rFonts w:ascii="Bookman Old Style" w:hAnsi="Bookman Old Style" w:cs="Arial"/>
        </w:rPr>
        <w:t>fuera de</w:t>
      </w:r>
      <w:r w:rsidR="002122F4">
        <w:rPr>
          <w:rFonts w:ascii="Bookman Old Style" w:hAnsi="Bookman Old Style" w:cs="Arial"/>
        </w:rPr>
        <w:t>l</w:t>
      </w:r>
      <w:r w:rsidRPr="00EE10A1">
        <w:rPr>
          <w:rFonts w:ascii="Bookman Old Style" w:hAnsi="Bookman Old Style" w:cs="Arial"/>
        </w:rPr>
        <w:t xml:space="preserve"> texto)</w:t>
      </w:r>
    </w:p>
    <w:p w14:paraId="55821FE8" w14:textId="77777777" w:rsidR="00F17B1C" w:rsidRPr="00F7469A" w:rsidRDefault="00F17B1C" w:rsidP="00F17B1C">
      <w:pPr>
        <w:pStyle w:val="Encabezado"/>
        <w:tabs>
          <w:tab w:val="clear" w:pos="8504"/>
          <w:tab w:val="left" w:pos="0"/>
          <w:tab w:val="right" w:pos="9356"/>
        </w:tabs>
        <w:ind w:left="0"/>
        <w:jc w:val="both"/>
        <w:rPr>
          <w:rFonts w:ascii="Bookman Old Style" w:hAnsi="Bookman Old Style"/>
          <w:szCs w:val="24"/>
        </w:rPr>
      </w:pPr>
    </w:p>
    <w:p w14:paraId="7C0EEB88" w14:textId="77777777" w:rsidR="00F17B1C" w:rsidRDefault="00F17B1C" w:rsidP="00F17B1C">
      <w:pPr>
        <w:ind w:left="0"/>
        <w:jc w:val="both"/>
        <w:rPr>
          <w:rFonts w:ascii="Bookman Old Style" w:eastAsia="Calibri" w:hAnsi="Bookman Old Style" w:cs="Arial"/>
          <w:lang w:val="es-ES_tradnl"/>
        </w:rPr>
      </w:pPr>
      <w:bookmarkStart w:id="0" w:name="_Toc476553949"/>
      <w:bookmarkStart w:id="1" w:name="_Toc476554576"/>
      <w:r>
        <w:rPr>
          <w:rFonts w:ascii="Bookman Old Style" w:eastAsia="Calibri" w:hAnsi="Bookman Old Style" w:cs="Arial"/>
          <w:lang w:val="es-ES_tradnl"/>
        </w:rPr>
        <w:t xml:space="preserve">En el mismo sentido del numeral 1 de este artículo, el parágrafo del artículo 9 de la Resolución CREG 071 de 2006 establece: </w:t>
      </w:r>
    </w:p>
    <w:p w14:paraId="636EC1F5" w14:textId="77777777" w:rsidR="00F17B1C" w:rsidRDefault="00F17B1C" w:rsidP="00F17B1C">
      <w:pPr>
        <w:ind w:left="0"/>
        <w:jc w:val="both"/>
        <w:rPr>
          <w:rFonts w:ascii="Bookman Old Style" w:eastAsia="Calibri" w:hAnsi="Bookman Old Style" w:cs="Arial"/>
          <w:lang w:val="es-ES_tradnl"/>
        </w:rPr>
      </w:pPr>
    </w:p>
    <w:p w14:paraId="2B13B018" w14:textId="307683C4" w:rsidR="00F17B1C" w:rsidRPr="00E515ED" w:rsidRDefault="00F17B1C" w:rsidP="00EE10A1">
      <w:pPr>
        <w:ind w:left="284"/>
        <w:jc w:val="both"/>
        <w:rPr>
          <w:rFonts w:ascii="Bookman Old Style" w:hAnsi="Bookman Old Style" w:cs="Arial"/>
          <w:i/>
        </w:rPr>
      </w:pPr>
      <w:r w:rsidRPr="00E515ED">
        <w:rPr>
          <w:rFonts w:ascii="Bookman Old Style" w:hAnsi="Bookman Old Style" w:cs="Arial"/>
          <w:b/>
          <w:i/>
        </w:rPr>
        <w:t>Parágrafo</w:t>
      </w:r>
      <w:r w:rsidRPr="00E515ED">
        <w:rPr>
          <w:rFonts w:ascii="Bookman Old Style" w:hAnsi="Bookman Old Style" w:cs="Arial"/>
          <w:i/>
        </w:rPr>
        <w:t xml:space="preserve">. En el caso del </w:t>
      </w:r>
      <w:r w:rsidRPr="00E515ED">
        <w:rPr>
          <w:rFonts w:ascii="Bookman Old Style" w:hAnsi="Bookman Old Style" w:cs="Arial"/>
          <w:i/>
          <w:u w:val="single"/>
        </w:rPr>
        <w:t>incumplimiento grave e insalvable que se determina cuando el informe del auditor indica que la puesta en operación de la planta o unidad de generación tendrá un atraso mayor a un año, contado a partir de la fecha de inicio del P</w:t>
      </w:r>
      <w:r w:rsidR="0061057B">
        <w:rPr>
          <w:rFonts w:ascii="Bookman Old Style" w:hAnsi="Bookman Old Style" w:cs="Arial"/>
          <w:i/>
          <w:u w:val="single"/>
        </w:rPr>
        <w:t>eríodo</w:t>
      </w:r>
      <w:r w:rsidRPr="00E515ED">
        <w:rPr>
          <w:rFonts w:ascii="Bookman Old Style" w:hAnsi="Bookman Old Style" w:cs="Arial"/>
          <w:i/>
          <w:u w:val="single"/>
        </w:rPr>
        <w:t xml:space="preserve"> de Vigencia de la Obligación</w:t>
      </w:r>
      <w:r w:rsidRPr="00E515ED">
        <w:rPr>
          <w:rFonts w:ascii="Bookman Old Style" w:hAnsi="Bookman Old Style" w:cs="Arial"/>
          <w:i/>
        </w:rPr>
        <w:t xml:space="preserve">, la CREG, con el propósito de </w:t>
      </w:r>
      <w:r w:rsidRPr="00E515ED">
        <w:rPr>
          <w:rFonts w:ascii="Bookman Old Style" w:hAnsi="Bookman Old Style" w:cs="Arial"/>
          <w:i/>
          <w:u w:val="single"/>
        </w:rPr>
        <w:t xml:space="preserve">establecer plenamente la existencia del incumplimiento, determinar sus consecuencias </w:t>
      </w:r>
      <w:r w:rsidRPr="00E515ED">
        <w:rPr>
          <w:rFonts w:ascii="Bookman Old Style" w:hAnsi="Bookman Old Style" w:cs="Arial"/>
          <w:i/>
        </w:rPr>
        <w:t>y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del incumplimiento, se comunicará la decisión al ASIC y éste adoptará las medidas correspondientes de acuerdo con la Resolución CREG 071 de 2006 y las nomas que la modifiquen, adicionen o sustituyan.” (Resaltado fuera de texto)</w:t>
      </w:r>
    </w:p>
    <w:p w14:paraId="6430611C" w14:textId="05125985"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lastRenderedPageBreak/>
        <w:t>Conforme a las normas tra</w:t>
      </w:r>
      <w:r w:rsidR="00FD2EC7">
        <w:rPr>
          <w:rFonts w:ascii="Bookman Old Style" w:eastAsia="Calibri" w:hAnsi="Bookman Old Style" w:cs="Arial"/>
          <w:lang w:val="es-ES_tradnl"/>
        </w:rPr>
        <w:t>n</w:t>
      </w:r>
      <w:r>
        <w:rPr>
          <w:rFonts w:ascii="Bookman Old Style" w:eastAsia="Calibri" w:hAnsi="Bookman Old Style" w:cs="Arial"/>
          <w:lang w:val="es-ES_tradnl"/>
        </w:rPr>
        <w:t>scritas</w:t>
      </w:r>
      <w:r w:rsidR="003C074D">
        <w:rPr>
          <w:rFonts w:ascii="Bookman Old Style" w:eastAsia="Calibri" w:hAnsi="Bookman Old Style" w:cs="Arial"/>
          <w:lang w:val="es-ES_tradnl"/>
        </w:rPr>
        <w:t>,</w:t>
      </w:r>
      <w:r>
        <w:rPr>
          <w:rFonts w:ascii="Bookman Old Style" w:eastAsia="Calibri" w:hAnsi="Bookman Old Style" w:cs="Arial"/>
          <w:lang w:val="es-ES_tradnl"/>
        </w:rPr>
        <w:t xml:space="preserve"> hay incumplimiento grave e insalvable cuando el proyecto presente un atraso superior a un año respecto de la fecha de inicio del período de vigencia de la obligación. Lo previsto en la regulación para el caso en que el auditor determine que hay un atraso superior a un año es el desarrollo de una actuación administrativa, parágrafo artículo 9 de la Resolución CREG 071 de 2006, y si se establece plenamente la existencia del incumplimiento</w:t>
      </w:r>
      <w:r w:rsidR="003C074D">
        <w:rPr>
          <w:rFonts w:ascii="Bookman Old Style" w:eastAsia="Calibri" w:hAnsi="Bookman Old Style" w:cs="Arial"/>
          <w:lang w:val="es-ES_tradnl"/>
        </w:rPr>
        <w:t>,</w:t>
      </w:r>
      <w:r>
        <w:rPr>
          <w:rFonts w:ascii="Bookman Old Style" w:eastAsia="Calibri" w:hAnsi="Bookman Old Style" w:cs="Arial"/>
          <w:lang w:val="es-ES_tradnl"/>
        </w:rPr>
        <w:t xml:space="preserve"> </w:t>
      </w:r>
      <w:r w:rsidR="000A529D">
        <w:rPr>
          <w:rFonts w:ascii="Bookman Old Style" w:eastAsia="Calibri" w:hAnsi="Bookman Old Style" w:cs="Arial"/>
          <w:lang w:val="es-ES_tradnl"/>
        </w:rPr>
        <w:t xml:space="preserve">las siguientes consecuencias </w:t>
      </w:r>
      <w:r>
        <w:rPr>
          <w:rFonts w:ascii="Bookman Old Style" w:eastAsia="Calibri" w:hAnsi="Bookman Old Style" w:cs="Arial"/>
          <w:lang w:val="es-ES_tradnl"/>
        </w:rPr>
        <w:t xml:space="preserve">que están </w:t>
      </w:r>
      <w:r w:rsidR="00FA1D49">
        <w:rPr>
          <w:rFonts w:ascii="Bookman Old Style" w:eastAsia="Calibri" w:hAnsi="Bookman Old Style" w:cs="Arial"/>
          <w:lang w:val="es-ES_tradnl"/>
        </w:rPr>
        <w:t>definidas</w:t>
      </w:r>
      <w:r>
        <w:rPr>
          <w:rFonts w:ascii="Bookman Old Style" w:eastAsia="Calibri" w:hAnsi="Bookman Old Style" w:cs="Arial"/>
          <w:lang w:val="es-ES_tradnl"/>
        </w:rPr>
        <w:t xml:space="preserve"> en el numeral 3 del artículo referido.</w:t>
      </w:r>
    </w:p>
    <w:p w14:paraId="2F0A5D2B" w14:textId="77777777" w:rsidR="00F17B1C" w:rsidRDefault="00F17B1C" w:rsidP="00F17B1C">
      <w:pPr>
        <w:ind w:left="0"/>
        <w:jc w:val="both"/>
        <w:rPr>
          <w:rFonts w:ascii="Bookman Old Style" w:eastAsia="Calibri" w:hAnsi="Bookman Old Style" w:cs="Arial"/>
          <w:lang w:val="es-ES_tradnl"/>
        </w:rPr>
      </w:pPr>
    </w:p>
    <w:p w14:paraId="3BA506F9" w14:textId="77777777" w:rsidR="00F17B1C" w:rsidRPr="00AC7587" w:rsidRDefault="00F17B1C" w:rsidP="00EE10A1">
      <w:pPr>
        <w:ind w:left="284"/>
        <w:jc w:val="both"/>
        <w:rPr>
          <w:rFonts w:ascii="Bookman Old Style" w:eastAsia="Calibri" w:hAnsi="Bookman Old Style" w:cs="Arial"/>
          <w:i/>
          <w:lang w:val="es-ES_tradnl"/>
        </w:rPr>
      </w:pPr>
      <w:r>
        <w:rPr>
          <w:rFonts w:ascii="Bookman Old Style" w:eastAsia="Calibri" w:hAnsi="Bookman Old Style" w:cs="Arial"/>
          <w:i/>
          <w:lang w:val="es-ES_tradnl"/>
        </w:rPr>
        <w:t>“</w:t>
      </w:r>
      <w:r w:rsidRPr="00AC7587">
        <w:rPr>
          <w:rFonts w:ascii="Bookman Old Style" w:eastAsia="Calibri" w:hAnsi="Bookman Old Style" w:cs="Arial"/>
          <w:i/>
          <w:lang w:val="es-ES_tradnl"/>
        </w:rPr>
        <w:t>3.</w:t>
      </w:r>
      <w:r w:rsidRPr="00AC7587">
        <w:rPr>
          <w:rFonts w:ascii="Bookman Old Style" w:eastAsia="Calibri" w:hAnsi="Bookman Old Style" w:cs="Arial"/>
          <w:i/>
          <w:lang w:val="es-ES_tradnl"/>
        </w:rPr>
        <w:tab/>
        <w:t>El incumplimiento grave e insalvable de la puesta en operación de la planta o unidad de generación, dará lugar a:</w:t>
      </w:r>
    </w:p>
    <w:p w14:paraId="45095BD1" w14:textId="77777777" w:rsidR="00F17B1C" w:rsidRPr="00AC7587" w:rsidRDefault="00F17B1C" w:rsidP="00EE10A1">
      <w:pPr>
        <w:ind w:left="284"/>
        <w:jc w:val="both"/>
        <w:rPr>
          <w:rFonts w:ascii="Bookman Old Style" w:eastAsia="Calibri" w:hAnsi="Bookman Old Style" w:cs="Arial"/>
          <w:i/>
          <w:lang w:val="es-ES_tradnl"/>
        </w:rPr>
      </w:pPr>
      <w:r w:rsidRPr="00AC7587">
        <w:rPr>
          <w:rFonts w:ascii="Bookman Old Style" w:eastAsia="Calibri" w:hAnsi="Bookman Old Style" w:cs="Arial"/>
          <w:i/>
          <w:lang w:val="es-ES_tradnl"/>
        </w:rPr>
        <w:t>a)</w:t>
      </w:r>
      <w:r w:rsidRPr="00AC7587">
        <w:rPr>
          <w:rFonts w:ascii="Bookman Old Style" w:eastAsia="Calibri" w:hAnsi="Bookman Old Style" w:cs="Arial"/>
          <w:i/>
          <w:lang w:val="es-ES_tradnl"/>
        </w:rPr>
        <w:tab/>
        <w:t xml:space="preserve">La ejecución de la garantía. </w:t>
      </w:r>
    </w:p>
    <w:p w14:paraId="13144735" w14:textId="77777777" w:rsidR="00F17B1C" w:rsidRDefault="00F17B1C" w:rsidP="00EE10A1">
      <w:pPr>
        <w:ind w:left="284"/>
        <w:jc w:val="both"/>
        <w:rPr>
          <w:rFonts w:ascii="Bookman Old Style" w:eastAsia="Calibri" w:hAnsi="Bookman Old Style" w:cs="Arial"/>
          <w:lang w:val="es-ES_tradnl"/>
        </w:rPr>
      </w:pPr>
      <w:r w:rsidRPr="00AC7587">
        <w:rPr>
          <w:rFonts w:ascii="Bookman Old Style" w:eastAsia="Calibri" w:hAnsi="Bookman Old Style" w:cs="Arial"/>
          <w:i/>
          <w:lang w:val="es-ES_tradnl"/>
        </w:rPr>
        <w:t>b)</w:t>
      </w:r>
      <w:r w:rsidRPr="00AC7587">
        <w:rPr>
          <w:rFonts w:ascii="Bookman Old Style" w:eastAsia="Calibri" w:hAnsi="Bookman Old Style" w:cs="Arial"/>
          <w:i/>
          <w:lang w:val="es-ES_tradnl"/>
        </w:rPr>
        <w:tab/>
        <w:t>La pérdida para el generador de la asignación de la Obligación de Energía Firme y la remuneración asociada a ella.</w:t>
      </w:r>
      <w:r>
        <w:rPr>
          <w:rFonts w:ascii="Bookman Old Style" w:eastAsia="Calibri" w:hAnsi="Bookman Old Style" w:cs="Arial"/>
          <w:i/>
          <w:lang w:val="es-ES_tradnl"/>
        </w:rPr>
        <w:t>”</w:t>
      </w:r>
      <w:r>
        <w:rPr>
          <w:rFonts w:ascii="Bookman Old Style" w:eastAsia="Calibri" w:hAnsi="Bookman Old Style" w:cs="Arial"/>
          <w:lang w:val="es-ES_tradnl"/>
        </w:rPr>
        <w:t xml:space="preserve"> </w:t>
      </w:r>
    </w:p>
    <w:p w14:paraId="0BFC6D69" w14:textId="77777777" w:rsidR="00F17B1C" w:rsidRDefault="00F17B1C" w:rsidP="00EE10A1">
      <w:pPr>
        <w:ind w:left="284"/>
        <w:jc w:val="both"/>
        <w:rPr>
          <w:rFonts w:ascii="Bookman Old Style" w:eastAsia="Calibri" w:hAnsi="Bookman Old Style" w:cs="Arial"/>
          <w:lang w:val="es-ES_tradnl"/>
        </w:rPr>
      </w:pPr>
    </w:p>
    <w:p w14:paraId="6DFE0E9D" w14:textId="3AF4A7D5" w:rsidR="00F17B1C" w:rsidRDefault="00F17B1C" w:rsidP="00F17B1C">
      <w:pPr>
        <w:ind w:left="0"/>
        <w:jc w:val="both"/>
        <w:rPr>
          <w:rFonts w:ascii="Bookman Old Style" w:eastAsia="Calibri" w:hAnsi="Bookman Old Style" w:cs="Arial"/>
          <w:lang w:val="es-ES_tradnl"/>
        </w:rPr>
      </w:pPr>
      <w:r>
        <w:rPr>
          <w:rFonts w:ascii="Bookman Old Style" w:eastAsia="Calibri" w:hAnsi="Bookman Old Style" w:cs="Arial"/>
          <w:lang w:val="es-ES_tradnl"/>
        </w:rPr>
        <w:t xml:space="preserve">En la actuación </w:t>
      </w:r>
      <w:r w:rsidR="003C227F">
        <w:rPr>
          <w:rFonts w:ascii="Bookman Old Style" w:eastAsia="Calibri" w:hAnsi="Bookman Old Style" w:cs="Arial"/>
          <w:lang w:val="es-ES_tradnl"/>
        </w:rPr>
        <w:t xml:space="preserve">administrativa </w:t>
      </w:r>
      <w:r>
        <w:rPr>
          <w:rFonts w:ascii="Bookman Old Style" w:eastAsia="Calibri" w:hAnsi="Bookman Old Style" w:cs="Arial"/>
          <w:lang w:val="es-ES_tradnl"/>
        </w:rPr>
        <w:t xml:space="preserve">se confirmó que el </w:t>
      </w:r>
      <w:r w:rsidR="0062328C">
        <w:rPr>
          <w:rFonts w:ascii="Bookman Old Style" w:eastAsia="Calibri" w:hAnsi="Bookman Old Style" w:cs="Arial"/>
          <w:lang w:val="es-ES_tradnl"/>
        </w:rPr>
        <w:t>p</w:t>
      </w:r>
      <w:r>
        <w:rPr>
          <w:rFonts w:ascii="Bookman Old Style" w:eastAsia="Calibri" w:hAnsi="Bookman Old Style" w:cs="Arial"/>
          <w:lang w:val="es-ES_tradnl"/>
        </w:rPr>
        <w:t>royecto</w:t>
      </w:r>
      <w:r w:rsidR="00AF5B88">
        <w:rPr>
          <w:rFonts w:ascii="Bookman Old Style" w:eastAsia="Calibri" w:hAnsi="Bookman Old Style" w:cs="Arial"/>
          <w:lang w:val="es-ES_tradnl"/>
        </w:rPr>
        <w:t xml:space="preserve"> tiene un atraso</w:t>
      </w:r>
      <w:r w:rsidR="00AF5B88" w:rsidRPr="00AF5B88">
        <w:rPr>
          <w:rFonts w:ascii="Bookman Old Style" w:hAnsi="Bookman Old Style"/>
          <w:bCs/>
        </w:rPr>
        <w:t xml:space="preserve"> </w:t>
      </w:r>
      <w:r w:rsidR="00AF5B88" w:rsidRPr="00AF5B88">
        <w:rPr>
          <w:rFonts w:ascii="Bookman Old Style" w:eastAsia="Calibri" w:hAnsi="Bookman Old Style" w:cs="Arial"/>
          <w:bCs/>
        </w:rPr>
        <w:t>de 731 días respecto del Inicio de P</w:t>
      </w:r>
      <w:r w:rsidR="0061057B">
        <w:rPr>
          <w:rFonts w:ascii="Bookman Old Style" w:eastAsia="Calibri" w:hAnsi="Bookman Old Style" w:cs="Arial"/>
          <w:bCs/>
        </w:rPr>
        <w:t>eríodo</w:t>
      </w:r>
      <w:r w:rsidR="00AF5B88" w:rsidRPr="00AF5B88">
        <w:rPr>
          <w:rFonts w:ascii="Bookman Old Style" w:eastAsia="Calibri" w:hAnsi="Bookman Old Style" w:cs="Arial"/>
          <w:bCs/>
        </w:rPr>
        <w:t xml:space="preserve"> de Vigencia de la Obligación -IPVO- (1 de diciembre 2022</w:t>
      </w:r>
      <w:r w:rsidR="00AF5B88">
        <w:rPr>
          <w:rFonts w:ascii="Bookman Old Style" w:eastAsia="Calibri" w:hAnsi="Bookman Old Style" w:cs="Arial"/>
          <w:bCs/>
        </w:rPr>
        <w:t>),</w:t>
      </w:r>
      <w:r w:rsidR="003C227F">
        <w:rPr>
          <w:rFonts w:ascii="Bookman Old Style" w:eastAsia="Calibri" w:hAnsi="Bookman Old Style" w:cs="Arial"/>
          <w:bCs/>
        </w:rPr>
        <w:t xml:space="preserve"> </w:t>
      </w:r>
      <w:r>
        <w:rPr>
          <w:rFonts w:ascii="Bookman Old Style" w:eastAsia="Calibri" w:hAnsi="Bookman Old Style" w:cs="Arial"/>
          <w:lang w:val="es-ES_tradnl"/>
        </w:rPr>
        <w:t>situación que no ha sido desvirtuada por la empresa y que</w:t>
      </w:r>
      <w:r w:rsidR="0061057B">
        <w:rPr>
          <w:rFonts w:ascii="Bookman Old Style" w:eastAsia="Calibri" w:hAnsi="Bookman Old Style" w:cs="Arial"/>
          <w:lang w:val="es-ES_tradnl"/>
        </w:rPr>
        <w:t>,</w:t>
      </w:r>
      <w:r>
        <w:rPr>
          <w:rFonts w:ascii="Bookman Old Style" w:eastAsia="Calibri" w:hAnsi="Bookman Old Style" w:cs="Arial"/>
          <w:lang w:val="es-ES_tradnl"/>
        </w:rPr>
        <w:t xml:space="preserve"> por el contrario</w:t>
      </w:r>
      <w:r w:rsidR="0061057B">
        <w:rPr>
          <w:rFonts w:ascii="Bookman Old Style" w:eastAsia="Calibri" w:hAnsi="Bookman Old Style" w:cs="Arial"/>
          <w:lang w:val="es-ES_tradnl"/>
        </w:rPr>
        <w:t>,</w:t>
      </w:r>
      <w:r>
        <w:rPr>
          <w:rFonts w:ascii="Bookman Old Style" w:eastAsia="Calibri" w:hAnsi="Bookman Old Style" w:cs="Arial"/>
          <w:lang w:val="es-ES_tradnl"/>
        </w:rPr>
        <w:t xml:space="preserve"> ha sido reconocida. Por tanto, </w:t>
      </w:r>
      <w:r w:rsidR="0062328C">
        <w:rPr>
          <w:rFonts w:ascii="Bookman Old Style" w:eastAsia="Calibri" w:hAnsi="Bookman Old Style" w:cs="Arial"/>
          <w:lang w:val="es-ES_tradnl"/>
        </w:rPr>
        <w:t xml:space="preserve">se determinó la existencia del </w:t>
      </w:r>
      <w:r>
        <w:rPr>
          <w:rFonts w:ascii="Bookman Old Style" w:eastAsia="Calibri" w:hAnsi="Bookman Old Style" w:cs="Arial"/>
          <w:lang w:val="es-ES_tradnl"/>
        </w:rPr>
        <w:t>incumplimiento grave e insalvable y</w:t>
      </w:r>
      <w:r w:rsidR="0061057B">
        <w:rPr>
          <w:rFonts w:ascii="Bookman Old Style" w:eastAsia="Calibri" w:hAnsi="Bookman Old Style" w:cs="Arial"/>
          <w:lang w:val="es-ES_tradnl"/>
        </w:rPr>
        <w:t>,</w:t>
      </w:r>
      <w:r>
        <w:rPr>
          <w:rFonts w:ascii="Bookman Old Style" w:eastAsia="Calibri" w:hAnsi="Bookman Old Style" w:cs="Arial"/>
          <w:lang w:val="es-ES_tradnl"/>
        </w:rPr>
        <w:t xml:space="preserve"> en consecuencia</w:t>
      </w:r>
      <w:r w:rsidR="0061057B">
        <w:rPr>
          <w:rFonts w:ascii="Bookman Old Style" w:eastAsia="Calibri" w:hAnsi="Bookman Old Style" w:cs="Arial"/>
          <w:lang w:val="es-ES_tradnl"/>
        </w:rPr>
        <w:t>,</w:t>
      </w:r>
      <w:r>
        <w:rPr>
          <w:rFonts w:ascii="Bookman Old Style" w:eastAsia="Calibri" w:hAnsi="Bookman Old Style" w:cs="Arial"/>
          <w:lang w:val="es-ES_tradnl"/>
        </w:rPr>
        <w:t xml:space="preserve"> se aplican las consecuencias previstas en la regulación. </w:t>
      </w:r>
    </w:p>
    <w:p w14:paraId="46838316" w14:textId="77777777" w:rsidR="00F17B1C" w:rsidRDefault="00F17B1C" w:rsidP="00F17B1C">
      <w:pPr>
        <w:ind w:left="0"/>
        <w:jc w:val="both"/>
        <w:rPr>
          <w:rFonts w:ascii="Bookman Old Style" w:eastAsia="Calibri" w:hAnsi="Bookman Old Style" w:cs="Arial"/>
          <w:lang w:val="es-ES_tradnl"/>
        </w:rPr>
      </w:pPr>
    </w:p>
    <w:p w14:paraId="10A2831D" w14:textId="56D77BC1" w:rsidR="00F17B1C" w:rsidRDefault="00AF5B88" w:rsidP="00F17B1C">
      <w:pPr>
        <w:ind w:left="0"/>
        <w:jc w:val="both"/>
        <w:rPr>
          <w:rFonts w:ascii="Bookman Old Style" w:eastAsia="Calibri" w:hAnsi="Bookman Old Style" w:cs="Arial"/>
        </w:rPr>
      </w:pPr>
      <w:r>
        <w:rPr>
          <w:rFonts w:ascii="Bookman Old Style" w:eastAsia="Calibri" w:hAnsi="Bookman Old Style" w:cs="Arial"/>
        </w:rPr>
        <w:t>En el recurso de reposición el recurrente afirma</w:t>
      </w:r>
      <w:r w:rsidR="0062328C">
        <w:rPr>
          <w:rFonts w:ascii="Bookman Old Style" w:eastAsia="Calibri" w:hAnsi="Bookman Old Style" w:cs="Arial"/>
        </w:rPr>
        <w:t xml:space="preserve"> de forma general</w:t>
      </w:r>
      <w:r>
        <w:rPr>
          <w:rFonts w:ascii="Bookman Old Style" w:eastAsia="Calibri" w:hAnsi="Bookman Old Style" w:cs="Arial"/>
        </w:rPr>
        <w:t xml:space="preserve"> que las </w:t>
      </w:r>
      <w:r w:rsidR="009B4A89">
        <w:rPr>
          <w:rFonts w:ascii="Bookman Old Style" w:eastAsia="Calibri" w:hAnsi="Bookman Old Style" w:cs="Arial"/>
        </w:rPr>
        <w:t>dificultades</w:t>
      </w:r>
      <w:r>
        <w:rPr>
          <w:rFonts w:ascii="Bookman Old Style" w:eastAsia="Calibri" w:hAnsi="Bookman Old Style" w:cs="Arial"/>
        </w:rPr>
        <w:t xml:space="preserve"> de la economía </w:t>
      </w:r>
      <w:r w:rsidR="009B4A89">
        <w:rPr>
          <w:rFonts w:ascii="Bookman Old Style" w:eastAsia="Calibri" w:hAnsi="Bookman Old Style" w:cs="Arial"/>
        </w:rPr>
        <w:t>producto</w:t>
      </w:r>
      <w:r>
        <w:rPr>
          <w:rFonts w:ascii="Bookman Old Style" w:eastAsia="Calibri" w:hAnsi="Bookman Old Style" w:cs="Arial"/>
        </w:rPr>
        <w:t xml:space="preserve"> del CODIV19 han afectado e</w:t>
      </w:r>
      <w:r w:rsidR="00803C63">
        <w:rPr>
          <w:rFonts w:ascii="Bookman Old Style" w:eastAsia="Calibri" w:hAnsi="Bookman Old Style" w:cs="Arial"/>
        </w:rPr>
        <w:t>l</w:t>
      </w:r>
      <w:r>
        <w:rPr>
          <w:rFonts w:ascii="Bookman Old Style" w:eastAsia="Calibri" w:hAnsi="Bookman Old Style" w:cs="Arial"/>
        </w:rPr>
        <w:t xml:space="preserve"> desarrollo del </w:t>
      </w:r>
      <w:r w:rsidR="0062328C">
        <w:rPr>
          <w:rFonts w:ascii="Bookman Old Style" w:eastAsia="Calibri" w:hAnsi="Bookman Old Style" w:cs="Arial"/>
        </w:rPr>
        <w:t>proyecto. S</w:t>
      </w:r>
      <w:r>
        <w:rPr>
          <w:rFonts w:ascii="Bookman Old Style" w:eastAsia="Calibri" w:hAnsi="Bookman Old Style" w:cs="Arial"/>
        </w:rPr>
        <w:t>in embargo</w:t>
      </w:r>
      <w:r w:rsidR="00EC2259">
        <w:rPr>
          <w:rFonts w:ascii="Bookman Old Style" w:eastAsia="Calibri" w:hAnsi="Bookman Old Style" w:cs="Arial"/>
        </w:rPr>
        <w:t>,</w:t>
      </w:r>
      <w:r>
        <w:rPr>
          <w:rFonts w:ascii="Bookman Old Style" w:eastAsia="Calibri" w:hAnsi="Bookman Old Style" w:cs="Arial"/>
        </w:rPr>
        <w:t xml:space="preserve"> no es específico, </w:t>
      </w:r>
      <w:r w:rsidR="009B4A89">
        <w:rPr>
          <w:rFonts w:ascii="Bookman Old Style" w:eastAsia="Calibri" w:hAnsi="Bookman Old Style" w:cs="Arial"/>
        </w:rPr>
        <w:t>no</w:t>
      </w:r>
      <w:r>
        <w:rPr>
          <w:rFonts w:ascii="Bookman Old Style" w:eastAsia="Calibri" w:hAnsi="Bookman Old Style" w:cs="Arial"/>
        </w:rPr>
        <w:t xml:space="preserve"> presenta</w:t>
      </w:r>
      <w:r w:rsidR="00803C63">
        <w:rPr>
          <w:rFonts w:ascii="Bookman Old Style" w:eastAsia="Calibri" w:hAnsi="Bookman Old Style" w:cs="Arial"/>
        </w:rPr>
        <w:t>ndo</w:t>
      </w:r>
      <w:r>
        <w:rPr>
          <w:rFonts w:ascii="Bookman Old Style" w:eastAsia="Calibri" w:hAnsi="Bookman Old Style" w:cs="Arial"/>
        </w:rPr>
        <w:t xml:space="preserve"> prueba alguna de cómo </w:t>
      </w:r>
      <w:r w:rsidR="00AC1DE8">
        <w:rPr>
          <w:rFonts w:ascii="Bookman Old Style" w:eastAsia="Calibri" w:hAnsi="Bookman Old Style" w:cs="Arial"/>
        </w:rPr>
        <w:t>las condiciones económicas referidas impidieron el desarrollo del proyecto</w:t>
      </w:r>
      <w:r w:rsidR="0061057B">
        <w:rPr>
          <w:rFonts w:ascii="Bookman Old Style" w:eastAsia="Calibri" w:hAnsi="Bookman Old Style" w:cs="Arial"/>
        </w:rPr>
        <w:t>,</w:t>
      </w:r>
      <w:r w:rsidR="00AC1DE8">
        <w:rPr>
          <w:rFonts w:ascii="Bookman Old Style" w:eastAsia="Calibri" w:hAnsi="Bookman Old Style" w:cs="Arial"/>
        </w:rPr>
        <w:t xml:space="preserve"> ni de cómo </w:t>
      </w:r>
      <w:r>
        <w:rPr>
          <w:rFonts w:ascii="Bookman Old Style" w:eastAsia="Calibri" w:hAnsi="Bookman Old Style" w:cs="Arial"/>
        </w:rPr>
        <w:t>alguno de l</w:t>
      </w:r>
      <w:r w:rsidR="0062328C">
        <w:rPr>
          <w:rFonts w:ascii="Bookman Old Style" w:eastAsia="Calibri" w:hAnsi="Bookman Old Style" w:cs="Arial"/>
        </w:rPr>
        <w:t>o</w:t>
      </w:r>
      <w:r>
        <w:rPr>
          <w:rFonts w:ascii="Bookman Old Style" w:eastAsia="Calibri" w:hAnsi="Bookman Old Style" w:cs="Arial"/>
        </w:rPr>
        <w:t xml:space="preserve">s argumentos presentados </w:t>
      </w:r>
      <w:r w:rsidR="009B4A89">
        <w:rPr>
          <w:rFonts w:ascii="Bookman Old Style" w:eastAsia="Calibri" w:hAnsi="Bookman Old Style" w:cs="Arial"/>
        </w:rPr>
        <w:t>desvirtúa</w:t>
      </w:r>
      <w:r>
        <w:rPr>
          <w:rFonts w:ascii="Bookman Old Style" w:eastAsia="Calibri" w:hAnsi="Bookman Old Style" w:cs="Arial"/>
        </w:rPr>
        <w:t xml:space="preserve"> la calificación del auditor de incumplimiento grave e insalvable.</w:t>
      </w:r>
    </w:p>
    <w:p w14:paraId="7041B2C5" w14:textId="77777777" w:rsidR="00AF5B88" w:rsidRDefault="00AF5B88" w:rsidP="00F17B1C">
      <w:pPr>
        <w:ind w:left="0"/>
        <w:jc w:val="both"/>
        <w:rPr>
          <w:rFonts w:ascii="Bookman Old Style" w:eastAsia="Calibri" w:hAnsi="Bookman Old Style" w:cs="Arial"/>
        </w:rPr>
      </w:pPr>
    </w:p>
    <w:bookmarkEnd w:id="0"/>
    <w:bookmarkEnd w:id="1"/>
    <w:p w14:paraId="77C0B023" w14:textId="141F033F" w:rsidR="00F17B1C" w:rsidRDefault="00AF5B88" w:rsidP="009B4A89">
      <w:pPr>
        <w:ind w:left="0"/>
        <w:jc w:val="both"/>
        <w:rPr>
          <w:rFonts w:ascii="Bookman Old Style" w:hAnsi="Bookman Old Style"/>
        </w:rPr>
      </w:pPr>
      <w:r>
        <w:rPr>
          <w:rFonts w:ascii="Bookman Old Style" w:hAnsi="Bookman Old Style"/>
        </w:rPr>
        <w:t xml:space="preserve">La regulación es muy clara al indicar </w:t>
      </w:r>
      <w:r w:rsidR="0061057B">
        <w:rPr>
          <w:rFonts w:ascii="Bookman Old Style" w:hAnsi="Bookman Old Style"/>
        </w:rPr>
        <w:t xml:space="preserve">cuando </w:t>
      </w:r>
      <w:r>
        <w:rPr>
          <w:rFonts w:ascii="Bookman Old Style" w:hAnsi="Bookman Old Style"/>
        </w:rPr>
        <w:t>es procedente la calif</w:t>
      </w:r>
      <w:r w:rsidR="009B4A89">
        <w:rPr>
          <w:rFonts w:ascii="Bookman Old Style" w:hAnsi="Bookman Old Style"/>
        </w:rPr>
        <w:t>icac</w:t>
      </w:r>
      <w:r w:rsidR="005D3205">
        <w:rPr>
          <w:rFonts w:ascii="Bookman Old Style" w:hAnsi="Bookman Old Style"/>
        </w:rPr>
        <w:t>ión</w:t>
      </w:r>
      <w:r>
        <w:rPr>
          <w:rFonts w:ascii="Bookman Old Style" w:hAnsi="Bookman Old Style"/>
        </w:rPr>
        <w:t xml:space="preserve"> de incumplimiento grave e insalvable por parte del auditor</w:t>
      </w:r>
      <w:r w:rsidR="004412C2">
        <w:rPr>
          <w:rFonts w:ascii="Bookman Old Style" w:hAnsi="Bookman Old Style"/>
        </w:rPr>
        <w:t>;</w:t>
      </w:r>
      <w:r w:rsidR="0062328C">
        <w:rPr>
          <w:rFonts w:ascii="Bookman Old Style" w:hAnsi="Bookman Old Style"/>
        </w:rPr>
        <w:t xml:space="preserve"> </w:t>
      </w:r>
      <w:r w:rsidR="004412C2">
        <w:rPr>
          <w:rFonts w:ascii="Bookman Old Style" w:hAnsi="Bookman Old Style"/>
        </w:rPr>
        <w:t>además,</w:t>
      </w:r>
      <w:r>
        <w:rPr>
          <w:rFonts w:ascii="Bookman Old Style" w:hAnsi="Bookman Old Style"/>
        </w:rPr>
        <w:t xml:space="preserve"> el </w:t>
      </w:r>
      <w:r w:rsidR="00AC1DE8">
        <w:rPr>
          <w:rFonts w:ascii="Bookman Old Style" w:hAnsi="Bookman Old Style"/>
        </w:rPr>
        <w:t>representante legal</w:t>
      </w:r>
      <w:r>
        <w:rPr>
          <w:rFonts w:ascii="Bookman Old Style" w:hAnsi="Bookman Old Style"/>
        </w:rPr>
        <w:t xml:space="preserve"> de Promotora Energética de Centro </w:t>
      </w:r>
      <w:r w:rsidR="0061057B">
        <w:rPr>
          <w:rFonts w:ascii="Bookman Old Style" w:hAnsi="Bookman Old Style"/>
        </w:rPr>
        <w:t xml:space="preserve">S.A.S. E.S.P. </w:t>
      </w:r>
      <w:r>
        <w:rPr>
          <w:rFonts w:ascii="Bookman Old Style" w:hAnsi="Bookman Old Style"/>
        </w:rPr>
        <w:t>no lo desvirtúa y</w:t>
      </w:r>
      <w:r w:rsidR="0061057B">
        <w:rPr>
          <w:rFonts w:ascii="Bookman Old Style" w:hAnsi="Bookman Old Style"/>
        </w:rPr>
        <w:t>,</w:t>
      </w:r>
      <w:r>
        <w:rPr>
          <w:rFonts w:ascii="Bookman Old Style" w:hAnsi="Bookman Old Style"/>
        </w:rPr>
        <w:t xml:space="preserve"> </w:t>
      </w:r>
      <w:r w:rsidR="0061057B">
        <w:rPr>
          <w:rFonts w:ascii="Bookman Old Style" w:hAnsi="Bookman Old Style"/>
        </w:rPr>
        <w:t>por e</w:t>
      </w:r>
      <w:r>
        <w:rPr>
          <w:rFonts w:ascii="Bookman Old Style" w:hAnsi="Bookman Old Style"/>
        </w:rPr>
        <w:t>l contrario</w:t>
      </w:r>
      <w:r w:rsidR="0061057B">
        <w:rPr>
          <w:rFonts w:ascii="Bookman Old Style" w:hAnsi="Bookman Old Style"/>
        </w:rPr>
        <w:t>,</w:t>
      </w:r>
      <w:r>
        <w:rPr>
          <w:rFonts w:ascii="Bookman Old Style" w:hAnsi="Bookman Old Style"/>
        </w:rPr>
        <w:t xml:space="preserve"> reitera que acepta las conclusiones del auditor en su informe de auditoría</w:t>
      </w:r>
      <w:r w:rsidR="009B4A89">
        <w:rPr>
          <w:rFonts w:ascii="Bookman Old Style" w:hAnsi="Bookman Old Style"/>
        </w:rPr>
        <w:t>.</w:t>
      </w:r>
    </w:p>
    <w:p w14:paraId="0E92DC86" w14:textId="3322A851" w:rsidR="009B4A89" w:rsidRDefault="009B4A89" w:rsidP="009B4A89">
      <w:pPr>
        <w:ind w:left="0"/>
        <w:jc w:val="both"/>
        <w:rPr>
          <w:rFonts w:ascii="Bookman Old Style" w:hAnsi="Bookman Old Style"/>
        </w:rPr>
      </w:pPr>
    </w:p>
    <w:p w14:paraId="53A008A3" w14:textId="2A6550A5" w:rsidR="009B4A89" w:rsidRDefault="009B4A89" w:rsidP="00840E0A">
      <w:pPr>
        <w:ind w:left="0"/>
        <w:jc w:val="both"/>
        <w:rPr>
          <w:rFonts w:ascii="Bookman Old Style" w:hAnsi="Bookman Old Style"/>
        </w:rPr>
      </w:pPr>
      <w:r>
        <w:rPr>
          <w:rFonts w:ascii="Bookman Old Style" w:hAnsi="Bookman Old Style"/>
        </w:rPr>
        <w:t>Mas a</w:t>
      </w:r>
      <w:r w:rsidR="00EC2259">
        <w:rPr>
          <w:rFonts w:ascii="Bookman Old Style" w:hAnsi="Bookman Old Style"/>
        </w:rPr>
        <w:t>l</w:t>
      </w:r>
      <w:r>
        <w:rPr>
          <w:rFonts w:ascii="Bookman Old Style" w:hAnsi="Bookman Old Style"/>
        </w:rPr>
        <w:t>lá de las generalidades expuestas en el recuro</w:t>
      </w:r>
      <w:r w:rsidR="00EC2259">
        <w:rPr>
          <w:rFonts w:ascii="Bookman Old Style" w:hAnsi="Bookman Old Style"/>
        </w:rPr>
        <w:t xml:space="preserve"> de reposición</w:t>
      </w:r>
      <w:r w:rsidR="00643DD5">
        <w:rPr>
          <w:rFonts w:ascii="Bookman Old Style" w:hAnsi="Bookman Old Style"/>
        </w:rPr>
        <w:t xml:space="preserve"> sobre la situación de la economía </w:t>
      </w:r>
      <w:r w:rsidR="00803C63">
        <w:rPr>
          <w:rFonts w:ascii="Bookman Old Style" w:hAnsi="Bookman Old Style"/>
        </w:rPr>
        <w:t>del país</w:t>
      </w:r>
      <w:r>
        <w:rPr>
          <w:rFonts w:ascii="Bookman Old Style" w:hAnsi="Bookman Old Style"/>
        </w:rPr>
        <w:t xml:space="preserve">, no se encuentra que se esté demostrando clara y concretamente </w:t>
      </w:r>
      <w:r w:rsidR="00803C63">
        <w:rPr>
          <w:rFonts w:ascii="Bookman Old Style" w:hAnsi="Bookman Old Style"/>
        </w:rPr>
        <w:t>qu</w:t>
      </w:r>
      <w:r w:rsidR="0061057B">
        <w:rPr>
          <w:rFonts w:ascii="Bookman Old Style" w:hAnsi="Bookman Old Style"/>
        </w:rPr>
        <w:t>é</w:t>
      </w:r>
      <w:r w:rsidR="00803C63">
        <w:rPr>
          <w:rFonts w:ascii="Bookman Old Style" w:hAnsi="Bookman Old Style"/>
        </w:rPr>
        <w:t xml:space="preserve"> tipo de circunstancia </w:t>
      </w:r>
      <w:r>
        <w:rPr>
          <w:rFonts w:ascii="Bookman Old Style" w:hAnsi="Bookman Old Style"/>
        </w:rPr>
        <w:t>podría desvirtuar la calificación de incumplimiento grave a insalvable hech</w:t>
      </w:r>
      <w:r w:rsidR="00EC2259">
        <w:rPr>
          <w:rFonts w:ascii="Bookman Old Style" w:hAnsi="Bookman Old Style"/>
        </w:rPr>
        <w:t>a</w:t>
      </w:r>
      <w:r>
        <w:rPr>
          <w:rFonts w:ascii="Bookman Old Style" w:hAnsi="Bookman Old Style"/>
        </w:rPr>
        <w:t xml:space="preserve"> por el auditor del proyecto.</w:t>
      </w:r>
    </w:p>
    <w:p w14:paraId="0BD39998" w14:textId="77777777" w:rsidR="00EE10A1" w:rsidRDefault="00EE10A1" w:rsidP="00840E0A">
      <w:pPr>
        <w:ind w:left="0"/>
        <w:jc w:val="both"/>
        <w:rPr>
          <w:rFonts w:ascii="Bookman Old Style" w:hAnsi="Bookman Old Style"/>
        </w:rPr>
      </w:pPr>
    </w:p>
    <w:p w14:paraId="3DB1E588" w14:textId="2F275E35" w:rsidR="00DA79D3" w:rsidRDefault="00AF5B88" w:rsidP="00C71478">
      <w:pPr>
        <w:pStyle w:val="Prrafodelista"/>
        <w:numPr>
          <w:ilvl w:val="0"/>
          <w:numId w:val="36"/>
        </w:numPr>
        <w:jc w:val="both"/>
        <w:rPr>
          <w:rFonts w:ascii="Bookman Old Style" w:hAnsi="Bookman Old Style" w:cs="Arial"/>
          <w:b/>
          <w:sz w:val="24"/>
        </w:rPr>
      </w:pPr>
      <w:r>
        <w:rPr>
          <w:rFonts w:ascii="Bookman Old Style" w:hAnsi="Bookman Old Style" w:cs="Arial"/>
          <w:b/>
          <w:sz w:val="24"/>
        </w:rPr>
        <w:t>Contrato de Conexión a p</w:t>
      </w:r>
      <w:r w:rsidR="00367BFF">
        <w:rPr>
          <w:rFonts w:ascii="Bookman Old Style" w:hAnsi="Bookman Old Style" w:cs="Arial"/>
          <w:b/>
          <w:sz w:val="24"/>
        </w:rPr>
        <w:t>artir</w:t>
      </w:r>
      <w:r>
        <w:rPr>
          <w:rFonts w:ascii="Bookman Old Style" w:hAnsi="Bookman Old Style" w:cs="Arial"/>
          <w:b/>
          <w:sz w:val="24"/>
        </w:rPr>
        <w:t xml:space="preserve"> de diciembre de 2024</w:t>
      </w:r>
    </w:p>
    <w:p w14:paraId="3AEB8F0E" w14:textId="59C5EAB6" w:rsidR="00AF5B88" w:rsidRDefault="00AF5B88" w:rsidP="00AF5B88">
      <w:pPr>
        <w:jc w:val="both"/>
        <w:rPr>
          <w:rFonts w:ascii="Bookman Old Style" w:hAnsi="Bookman Old Style" w:cs="Arial"/>
          <w:b/>
        </w:rPr>
      </w:pPr>
    </w:p>
    <w:p w14:paraId="18CA239B" w14:textId="423CDE75" w:rsidR="00AF5B88" w:rsidRPr="003332BF" w:rsidRDefault="00AF5B88" w:rsidP="00AF5B88">
      <w:pPr>
        <w:ind w:left="0"/>
        <w:jc w:val="both"/>
        <w:rPr>
          <w:rFonts w:ascii="Bookman Old Style" w:hAnsi="Bookman Old Style" w:cs="Arial"/>
          <w:bCs/>
        </w:rPr>
      </w:pPr>
      <w:r w:rsidRPr="003332BF">
        <w:rPr>
          <w:rFonts w:ascii="Bookman Old Style" w:hAnsi="Bookman Old Style" w:cs="Arial"/>
          <w:bCs/>
        </w:rPr>
        <w:t xml:space="preserve">De </w:t>
      </w:r>
      <w:r w:rsidR="00F16ED0">
        <w:rPr>
          <w:rFonts w:ascii="Bookman Old Style" w:hAnsi="Bookman Old Style" w:cs="Arial"/>
          <w:bCs/>
        </w:rPr>
        <w:t xml:space="preserve">lo manifestado </w:t>
      </w:r>
      <w:r w:rsidRPr="003332BF">
        <w:rPr>
          <w:rFonts w:ascii="Bookman Old Style" w:hAnsi="Bookman Old Style" w:cs="Arial"/>
          <w:bCs/>
        </w:rPr>
        <w:t xml:space="preserve">por el </w:t>
      </w:r>
      <w:r w:rsidR="00AC1DE8" w:rsidRPr="003332BF">
        <w:rPr>
          <w:rFonts w:ascii="Bookman Old Style" w:hAnsi="Bookman Old Style" w:cs="Arial"/>
          <w:bCs/>
        </w:rPr>
        <w:t xml:space="preserve">representante legal </w:t>
      </w:r>
      <w:r w:rsidRPr="003332BF">
        <w:rPr>
          <w:rFonts w:ascii="Bookman Old Style" w:hAnsi="Bookman Old Style" w:cs="Arial"/>
          <w:bCs/>
        </w:rPr>
        <w:t xml:space="preserve">de Promotora Energética de Centro </w:t>
      </w:r>
      <w:r w:rsidR="0061057B">
        <w:rPr>
          <w:rFonts w:ascii="Bookman Old Style" w:hAnsi="Bookman Old Style" w:cs="Arial"/>
          <w:bCs/>
        </w:rPr>
        <w:t xml:space="preserve">S.A.S. E.S.P. </w:t>
      </w:r>
      <w:r w:rsidR="00AC1DE8">
        <w:rPr>
          <w:rFonts w:ascii="Bookman Old Style" w:hAnsi="Bookman Old Style" w:cs="Arial"/>
          <w:bCs/>
        </w:rPr>
        <w:t xml:space="preserve">en el sentido </w:t>
      </w:r>
      <w:r w:rsidRPr="003332BF">
        <w:rPr>
          <w:rFonts w:ascii="Bookman Old Style" w:hAnsi="Bookman Old Style" w:cs="Arial"/>
          <w:bCs/>
        </w:rPr>
        <w:t xml:space="preserve">de haber pactado con ISA </w:t>
      </w:r>
      <w:r w:rsidR="0061057B">
        <w:rPr>
          <w:rFonts w:ascii="Bookman Old Style" w:hAnsi="Bookman Old Style" w:cs="Arial"/>
          <w:bCs/>
        </w:rPr>
        <w:t xml:space="preserve">INTERCOLOMBIA S.A. E.S.P. </w:t>
      </w:r>
      <w:r w:rsidRPr="003332BF">
        <w:rPr>
          <w:rFonts w:ascii="Bookman Old Style" w:hAnsi="Bookman Old Style" w:cs="Arial"/>
          <w:bCs/>
        </w:rPr>
        <w:t xml:space="preserve">un contrato de conexión a partir del </w:t>
      </w:r>
      <w:r w:rsidR="00891D3D">
        <w:rPr>
          <w:rFonts w:ascii="Bookman Old Style" w:hAnsi="Bookman Old Style" w:cs="Arial"/>
          <w:bCs/>
        </w:rPr>
        <w:t>3</w:t>
      </w:r>
      <w:r w:rsidRPr="003332BF">
        <w:rPr>
          <w:rFonts w:ascii="Bookman Old Style" w:hAnsi="Bookman Old Style" w:cs="Arial"/>
          <w:bCs/>
        </w:rPr>
        <w:t xml:space="preserve">1 de diciembre de 2024, </w:t>
      </w:r>
      <w:r w:rsidR="00AC1DE8">
        <w:rPr>
          <w:rFonts w:ascii="Bookman Old Style" w:hAnsi="Bookman Old Style" w:cs="Arial"/>
          <w:bCs/>
        </w:rPr>
        <w:t xml:space="preserve">se confirma </w:t>
      </w:r>
      <w:r w:rsidRPr="003332BF">
        <w:rPr>
          <w:rFonts w:ascii="Bookman Old Style" w:hAnsi="Bookman Old Style" w:cs="Arial"/>
          <w:bCs/>
        </w:rPr>
        <w:t xml:space="preserve">que el proyecto </w:t>
      </w:r>
      <w:r w:rsidR="00DA2DD3" w:rsidRPr="003332BF">
        <w:rPr>
          <w:rFonts w:ascii="Bookman Old Style" w:hAnsi="Bookman Old Style" w:cs="Arial"/>
          <w:bCs/>
        </w:rPr>
        <w:t>no</w:t>
      </w:r>
      <w:r w:rsidRPr="003332BF">
        <w:rPr>
          <w:rFonts w:ascii="Bookman Old Style" w:hAnsi="Bookman Old Style" w:cs="Arial"/>
          <w:bCs/>
        </w:rPr>
        <w:t xml:space="preserve"> </w:t>
      </w:r>
      <w:r w:rsidR="00DA2DD3" w:rsidRPr="003332BF">
        <w:rPr>
          <w:rFonts w:ascii="Bookman Old Style" w:hAnsi="Bookman Old Style" w:cs="Arial"/>
          <w:bCs/>
        </w:rPr>
        <w:t>cumpl</w:t>
      </w:r>
      <w:r w:rsidR="00D62507">
        <w:rPr>
          <w:rFonts w:ascii="Bookman Old Style" w:hAnsi="Bookman Old Style" w:cs="Arial"/>
          <w:bCs/>
        </w:rPr>
        <w:t>irá</w:t>
      </w:r>
      <w:r w:rsidR="00DA2DD3" w:rsidRPr="003332BF">
        <w:rPr>
          <w:rFonts w:ascii="Bookman Old Style" w:hAnsi="Bookman Old Style" w:cs="Arial"/>
          <w:bCs/>
        </w:rPr>
        <w:t xml:space="preserve"> con </w:t>
      </w:r>
      <w:r w:rsidRPr="003332BF">
        <w:rPr>
          <w:rFonts w:ascii="Bookman Old Style" w:hAnsi="Bookman Old Style" w:cs="Arial"/>
          <w:bCs/>
        </w:rPr>
        <w:t>el Inicio del P</w:t>
      </w:r>
      <w:r w:rsidR="0061057B">
        <w:rPr>
          <w:rFonts w:ascii="Bookman Old Style" w:hAnsi="Bookman Old Style" w:cs="Arial"/>
          <w:bCs/>
        </w:rPr>
        <w:t>eríodo</w:t>
      </w:r>
      <w:r w:rsidRPr="003332BF">
        <w:rPr>
          <w:rFonts w:ascii="Bookman Old Style" w:hAnsi="Bookman Old Style" w:cs="Arial"/>
          <w:bCs/>
        </w:rPr>
        <w:t xml:space="preserve"> de Vigencia de la Obligación IPVO</w:t>
      </w:r>
      <w:r w:rsidR="00164FD1">
        <w:rPr>
          <w:rFonts w:ascii="Bookman Old Style" w:hAnsi="Bookman Old Style" w:cs="Arial"/>
          <w:bCs/>
        </w:rPr>
        <w:t xml:space="preserve"> </w:t>
      </w:r>
      <w:r w:rsidRPr="003332BF">
        <w:rPr>
          <w:rFonts w:ascii="Bookman Old Style" w:hAnsi="Bookman Old Style" w:cs="Arial"/>
          <w:bCs/>
        </w:rPr>
        <w:t>-1 de diciembre de 202</w:t>
      </w:r>
      <w:r w:rsidR="009B4A89" w:rsidRPr="003332BF">
        <w:rPr>
          <w:rFonts w:ascii="Bookman Old Style" w:hAnsi="Bookman Old Style" w:cs="Arial"/>
          <w:bCs/>
        </w:rPr>
        <w:t>2</w:t>
      </w:r>
      <w:r w:rsidRPr="003332BF">
        <w:rPr>
          <w:rFonts w:ascii="Bookman Old Style" w:hAnsi="Bookman Old Style" w:cs="Arial"/>
          <w:bCs/>
        </w:rPr>
        <w:t>-</w:t>
      </w:r>
      <w:r w:rsidR="00164FD1">
        <w:rPr>
          <w:rFonts w:ascii="Bookman Old Style" w:hAnsi="Bookman Old Style" w:cs="Arial"/>
          <w:bCs/>
        </w:rPr>
        <w:t>,</w:t>
      </w:r>
      <w:r w:rsidRPr="003332BF">
        <w:rPr>
          <w:rFonts w:ascii="Bookman Old Style" w:hAnsi="Bookman Old Style" w:cs="Arial"/>
          <w:bCs/>
        </w:rPr>
        <w:t xml:space="preserve"> fecha a la que se comprometió Promotora Energética de Centro </w:t>
      </w:r>
      <w:r w:rsidR="0061057B">
        <w:rPr>
          <w:rFonts w:ascii="Bookman Old Style" w:hAnsi="Bookman Old Style" w:cs="Arial"/>
          <w:bCs/>
        </w:rPr>
        <w:t xml:space="preserve">S.A.S. E.S.P. </w:t>
      </w:r>
      <w:r w:rsidRPr="003332BF">
        <w:rPr>
          <w:rFonts w:ascii="Bookman Old Style" w:hAnsi="Bookman Old Style" w:cs="Arial"/>
          <w:bCs/>
        </w:rPr>
        <w:t xml:space="preserve">en la </w:t>
      </w:r>
      <w:r w:rsidR="00377A14">
        <w:rPr>
          <w:rFonts w:ascii="Bookman Old Style" w:hAnsi="Bookman Old Style" w:cs="Arial"/>
          <w:bCs/>
        </w:rPr>
        <w:t>s</w:t>
      </w:r>
      <w:r w:rsidRPr="003332BF">
        <w:rPr>
          <w:rFonts w:ascii="Bookman Old Style" w:hAnsi="Bookman Old Style" w:cs="Arial"/>
          <w:bCs/>
        </w:rPr>
        <w:t>ubasta</w:t>
      </w:r>
      <w:r w:rsidR="00F16ED0">
        <w:rPr>
          <w:rFonts w:ascii="Bookman Old Style" w:hAnsi="Bookman Old Style" w:cs="Arial"/>
          <w:bCs/>
        </w:rPr>
        <w:t xml:space="preserve"> de Obligaciones de Energía </w:t>
      </w:r>
      <w:r w:rsidR="00F16ED0">
        <w:rPr>
          <w:rFonts w:ascii="Bookman Old Style" w:hAnsi="Bookman Old Style" w:cs="Arial"/>
          <w:bCs/>
        </w:rPr>
        <w:lastRenderedPageBreak/>
        <w:t>Firme</w:t>
      </w:r>
      <w:r w:rsidR="00DA2DD3" w:rsidRPr="003332BF">
        <w:rPr>
          <w:rFonts w:ascii="Bookman Old Style" w:hAnsi="Bookman Old Style" w:cs="Arial"/>
          <w:bCs/>
        </w:rPr>
        <w:t xml:space="preserve"> llevada a cabo en el año 2019 y que</w:t>
      </w:r>
      <w:r w:rsidR="0061057B">
        <w:rPr>
          <w:rFonts w:ascii="Bookman Old Style" w:hAnsi="Bookman Old Style" w:cs="Arial"/>
          <w:bCs/>
        </w:rPr>
        <w:t>,</w:t>
      </w:r>
      <w:r w:rsidR="00DA2DD3" w:rsidRPr="003332BF">
        <w:rPr>
          <w:rFonts w:ascii="Bookman Old Style" w:hAnsi="Bookman Old Style" w:cs="Arial"/>
          <w:bCs/>
        </w:rPr>
        <w:t xml:space="preserve"> por tanto</w:t>
      </w:r>
      <w:r w:rsidR="0061057B">
        <w:rPr>
          <w:rFonts w:ascii="Bookman Old Style" w:hAnsi="Bookman Old Style" w:cs="Arial"/>
          <w:bCs/>
        </w:rPr>
        <w:t>,</w:t>
      </w:r>
      <w:r w:rsidR="00DA2DD3" w:rsidRPr="003332BF">
        <w:rPr>
          <w:rFonts w:ascii="Bookman Old Style" w:hAnsi="Bookman Old Style" w:cs="Arial"/>
          <w:bCs/>
        </w:rPr>
        <w:t xml:space="preserve"> se configura el incumplimiento grave e insalvable</w:t>
      </w:r>
      <w:r w:rsidR="009B4A89" w:rsidRPr="003332BF">
        <w:rPr>
          <w:rFonts w:ascii="Bookman Old Style" w:hAnsi="Bookman Old Style" w:cs="Arial"/>
          <w:bCs/>
        </w:rPr>
        <w:t>, con un retraso de 731 días certificado por el auditor del proyecto.</w:t>
      </w:r>
    </w:p>
    <w:p w14:paraId="0B6CF6D1" w14:textId="6E4557C9" w:rsidR="00C62913" w:rsidRDefault="00C62913" w:rsidP="00AF5B88">
      <w:pPr>
        <w:ind w:left="0"/>
        <w:jc w:val="both"/>
        <w:rPr>
          <w:rFonts w:ascii="Bookman Old Style" w:hAnsi="Bookman Old Style" w:cs="Arial"/>
          <w:b/>
        </w:rPr>
      </w:pPr>
    </w:p>
    <w:p w14:paraId="7545AC22" w14:textId="647698FE" w:rsidR="00C62913" w:rsidRDefault="00C62913" w:rsidP="00C62913">
      <w:pPr>
        <w:pStyle w:val="Prrafodelista"/>
        <w:numPr>
          <w:ilvl w:val="0"/>
          <w:numId w:val="36"/>
        </w:numPr>
        <w:jc w:val="both"/>
        <w:rPr>
          <w:rFonts w:ascii="Bookman Old Style" w:hAnsi="Bookman Old Style" w:cs="Arial"/>
          <w:b/>
          <w:sz w:val="24"/>
          <w:szCs w:val="24"/>
        </w:rPr>
      </w:pPr>
      <w:r w:rsidRPr="00840E0A">
        <w:rPr>
          <w:rFonts w:ascii="Bookman Old Style" w:hAnsi="Bookman Old Style" w:cs="Arial"/>
          <w:b/>
          <w:sz w:val="24"/>
          <w:szCs w:val="24"/>
        </w:rPr>
        <w:t>Búsqueda de aliado estratégico</w:t>
      </w:r>
    </w:p>
    <w:p w14:paraId="34D83DFD" w14:textId="1FE10669" w:rsidR="00C62913" w:rsidRDefault="00C62913" w:rsidP="00C62913">
      <w:pPr>
        <w:jc w:val="both"/>
        <w:rPr>
          <w:rFonts w:ascii="Bookman Old Style" w:hAnsi="Bookman Old Style" w:cs="Arial"/>
          <w:b/>
        </w:rPr>
      </w:pPr>
    </w:p>
    <w:p w14:paraId="16BF9E13" w14:textId="0D1D8110" w:rsidR="00C62913" w:rsidRPr="003332BF" w:rsidRDefault="00C62913" w:rsidP="00840E0A">
      <w:pPr>
        <w:ind w:left="0"/>
        <w:jc w:val="both"/>
        <w:rPr>
          <w:rFonts w:ascii="Bookman Old Style" w:hAnsi="Bookman Old Style" w:cs="Arial"/>
          <w:bCs/>
        </w:rPr>
      </w:pPr>
      <w:r w:rsidRPr="003332BF">
        <w:rPr>
          <w:rFonts w:ascii="Bookman Old Style" w:hAnsi="Bookman Old Style" w:cs="Arial"/>
          <w:bCs/>
        </w:rPr>
        <w:t xml:space="preserve">El </w:t>
      </w:r>
      <w:r w:rsidR="00377A14" w:rsidRPr="003332BF">
        <w:rPr>
          <w:rFonts w:ascii="Bookman Old Style" w:hAnsi="Bookman Old Style" w:cs="Arial"/>
          <w:bCs/>
        </w:rPr>
        <w:t xml:space="preserve">representante legal </w:t>
      </w:r>
      <w:r w:rsidRPr="003332BF">
        <w:rPr>
          <w:rFonts w:ascii="Bookman Old Style" w:hAnsi="Bookman Old Style" w:cs="Arial"/>
          <w:bCs/>
        </w:rPr>
        <w:t>manifiesta que continua en la búsqueda de un aliado estratégico que por su cuenta y riesgo asuma el diseño final, construcción y operación de la planta, circunstancia que reitera que el Inicio de P</w:t>
      </w:r>
      <w:r w:rsidR="0061057B">
        <w:rPr>
          <w:rFonts w:ascii="Bookman Old Style" w:hAnsi="Bookman Old Style" w:cs="Arial"/>
          <w:bCs/>
        </w:rPr>
        <w:t>eríodo</w:t>
      </w:r>
      <w:r w:rsidRPr="003332BF">
        <w:rPr>
          <w:rFonts w:ascii="Bookman Old Style" w:hAnsi="Bookman Old Style" w:cs="Arial"/>
          <w:bCs/>
        </w:rPr>
        <w:t xml:space="preserve"> de Vigencia de la Obligación IPVO -1 de diciembre de 2022- no será cumplido por parte de Promotora Energética de Centro</w:t>
      </w:r>
      <w:r w:rsidR="0061057B">
        <w:rPr>
          <w:rFonts w:ascii="Bookman Old Style" w:hAnsi="Bookman Old Style" w:cs="Arial"/>
          <w:bCs/>
        </w:rPr>
        <w:t xml:space="preserve"> S.A.S. E.S.P.</w:t>
      </w:r>
      <w:r w:rsidRPr="003332BF">
        <w:rPr>
          <w:rFonts w:ascii="Bookman Old Style" w:hAnsi="Bookman Old Style" w:cs="Arial"/>
          <w:bCs/>
        </w:rPr>
        <w:t xml:space="preserve">, toda vez que </w:t>
      </w:r>
      <w:r w:rsidR="00164FD1">
        <w:rPr>
          <w:rFonts w:ascii="Bookman Old Style" w:hAnsi="Bookman Old Style" w:cs="Arial"/>
          <w:bCs/>
        </w:rPr>
        <w:t>el mismo desarrollo del proyecto</w:t>
      </w:r>
      <w:r w:rsidR="0061057B">
        <w:rPr>
          <w:rFonts w:ascii="Bookman Old Style" w:hAnsi="Bookman Old Style" w:cs="Arial"/>
          <w:bCs/>
        </w:rPr>
        <w:t>,</w:t>
      </w:r>
      <w:r w:rsidR="00164FD1">
        <w:rPr>
          <w:rFonts w:ascii="Bookman Old Style" w:hAnsi="Bookman Old Style" w:cs="Arial"/>
          <w:bCs/>
        </w:rPr>
        <w:t xml:space="preserve"> junto </w:t>
      </w:r>
      <w:r w:rsidRPr="003332BF">
        <w:rPr>
          <w:rFonts w:ascii="Bookman Old Style" w:hAnsi="Bookman Old Style" w:cs="Arial"/>
          <w:bCs/>
        </w:rPr>
        <w:t xml:space="preserve">a la fecha </w:t>
      </w:r>
      <w:r w:rsidR="00D62507">
        <w:rPr>
          <w:rFonts w:ascii="Bookman Old Style" w:hAnsi="Bookman Old Style" w:cs="Arial"/>
          <w:bCs/>
        </w:rPr>
        <w:t>de entrada</w:t>
      </w:r>
      <w:r w:rsidR="0061057B">
        <w:rPr>
          <w:rFonts w:ascii="Bookman Old Style" w:hAnsi="Bookman Old Style" w:cs="Arial"/>
          <w:bCs/>
        </w:rPr>
        <w:t xml:space="preserve"> en operación,</w:t>
      </w:r>
      <w:r w:rsidRPr="003332BF">
        <w:rPr>
          <w:rFonts w:ascii="Bookman Old Style" w:hAnsi="Bookman Old Style" w:cs="Arial"/>
          <w:bCs/>
        </w:rPr>
        <w:t xml:space="preserve"> es totalmente</w:t>
      </w:r>
      <w:r w:rsidR="00EC2259" w:rsidRPr="003332BF">
        <w:rPr>
          <w:rFonts w:ascii="Bookman Old Style" w:hAnsi="Bookman Old Style" w:cs="Arial"/>
          <w:bCs/>
        </w:rPr>
        <w:t xml:space="preserve"> incierto.</w:t>
      </w:r>
      <w:r w:rsidR="00377A14">
        <w:rPr>
          <w:rFonts w:ascii="Bookman Old Style" w:hAnsi="Bookman Old Style" w:cs="Arial"/>
          <w:bCs/>
        </w:rPr>
        <w:t xml:space="preserve"> </w:t>
      </w:r>
    </w:p>
    <w:p w14:paraId="6CBF5D7B" w14:textId="77777777" w:rsidR="00DA79D3" w:rsidRDefault="00DA79D3" w:rsidP="00DA79D3">
      <w:pPr>
        <w:ind w:left="0"/>
        <w:rPr>
          <w:rFonts w:ascii="Bookman Old Style" w:hAnsi="Bookman Old Style"/>
          <w:b/>
        </w:rPr>
      </w:pPr>
    </w:p>
    <w:p w14:paraId="262B0236" w14:textId="17ED0226" w:rsidR="00DA79D3" w:rsidRDefault="00DA79D3" w:rsidP="00DA79D3">
      <w:pPr>
        <w:ind w:left="0"/>
        <w:jc w:val="both"/>
        <w:rPr>
          <w:rFonts w:ascii="Bookman Old Style" w:hAnsi="Bookman Old Style"/>
        </w:rPr>
      </w:pPr>
      <w:r>
        <w:rPr>
          <w:rFonts w:ascii="Bookman Old Style" w:hAnsi="Bookman Old Style"/>
        </w:rPr>
        <w:t xml:space="preserve">De acuerdo con esto, la solicitud de </w:t>
      </w:r>
      <w:r w:rsidR="00DA2DD3">
        <w:rPr>
          <w:rFonts w:ascii="Bookman Old Style" w:hAnsi="Bookman Old Style"/>
        </w:rPr>
        <w:t>Promotora Energética de Centro</w:t>
      </w:r>
      <w:r w:rsidR="0061057B">
        <w:rPr>
          <w:rFonts w:ascii="Bookman Old Style" w:hAnsi="Bookman Old Style"/>
        </w:rPr>
        <w:t xml:space="preserve"> S.A.S. E.S.P. </w:t>
      </w:r>
      <w:r>
        <w:rPr>
          <w:rFonts w:ascii="Bookman Old Style" w:hAnsi="Bookman Old Style"/>
        </w:rPr>
        <w:t xml:space="preserve"> no es procedente dentro del trámite de la presente actuación, ni sus argumentos </w:t>
      </w:r>
      <w:r w:rsidR="00714E19">
        <w:rPr>
          <w:rFonts w:ascii="Bookman Old Style" w:hAnsi="Bookman Old Style"/>
        </w:rPr>
        <w:t>conllevan</w:t>
      </w:r>
      <w:r w:rsidR="00377A14">
        <w:rPr>
          <w:rFonts w:ascii="Bookman Old Style" w:hAnsi="Bookman Old Style"/>
        </w:rPr>
        <w:t xml:space="preserve"> </w:t>
      </w:r>
      <w:r>
        <w:rPr>
          <w:rFonts w:ascii="Bookman Old Style" w:hAnsi="Bookman Old Style"/>
        </w:rPr>
        <w:t xml:space="preserve">a modificar el contenido de la Resolución CREG </w:t>
      </w:r>
      <w:r w:rsidR="00DA2DD3">
        <w:rPr>
          <w:rFonts w:ascii="Bookman Old Style" w:hAnsi="Bookman Old Style"/>
        </w:rPr>
        <w:t>013</w:t>
      </w:r>
      <w:r>
        <w:rPr>
          <w:rFonts w:ascii="Bookman Old Style" w:hAnsi="Bookman Old Style"/>
        </w:rPr>
        <w:t xml:space="preserve"> de 20</w:t>
      </w:r>
      <w:r w:rsidR="00DA2DD3">
        <w:rPr>
          <w:rFonts w:ascii="Bookman Old Style" w:hAnsi="Bookman Old Style"/>
        </w:rPr>
        <w:t>21</w:t>
      </w:r>
      <w:r>
        <w:rPr>
          <w:rFonts w:ascii="Bookman Old Style" w:hAnsi="Bookman Old Style"/>
        </w:rPr>
        <w:t>.</w:t>
      </w:r>
    </w:p>
    <w:p w14:paraId="5B00A2EA" w14:textId="77777777" w:rsidR="00DA79D3" w:rsidRDefault="00DA79D3" w:rsidP="00DA79D3">
      <w:pPr>
        <w:ind w:left="0"/>
        <w:jc w:val="both"/>
        <w:rPr>
          <w:rFonts w:ascii="Bookman Old Style" w:hAnsi="Bookman Old Style"/>
        </w:rPr>
      </w:pPr>
    </w:p>
    <w:p w14:paraId="4276C7EB" w14:textId="179F85E0" w:rsidR="00DA79D3" w:rsidRDefault="00DA79D3" w:rsidP="00DA79D3">
      <w:pPr>
        <w:ind w:left="0"/>
        <w:jc w:val="both"/>
        <w:rPr>
          <w:rFonts w:ascii="Bookman Old Style" w:hAnsi="Bookman Old Style"/>
        </w:rPr>
      </w:pPr>
      <w:r>
        <w:rPr>
          <w:rFonts w:ascii="Bookman Old Style" w:hAnsi="Bookman Old Style"/>
        </w:rPr>
        <w:t>En mérito de lo expuesto,</w:t>
      </w:r>
      <w:r w:rsidRPr="00C44537">
        <w:t xml:space="preserve"> </w:t>
      </w:r>
      <w:r>
        <w:rPr>
          <w:rFonts w:ascii="Bookman Old Style" w:hAnsi="Bookman Old Style"/>
        </w:rPr>
        <w:t>l</w:t>
      </w:r>
      <w:r w:rsidRPr="00C44537">
        <w:rPr>
          <w:rFonts w:ascii="Bookman Old Style" w:hAnsi="Bookman Old Style"/>
        </w:rPr>
        <w:t>a Comisión de Regulación de Energía y Gas, en su sesión No.</w:t>
      </w:r>
      <w:r w:rsidR="00EE10A1">
        <w:rPr>
          <w:rFonts w:ascii="Bookman Old Style" w:hAnsi="Bookman Old Style"/>
        </w:rPr>
        <w:t>1084</w:t>
      </w:r>
      <w:r w:rsidRPr="00C44537">
        <w:rPr>
          <w:rFonts w:ascii="Bookman Old Style" w:hAnsi="Bookman Old Style"/>
        </w:rPr>
        <w:t xml:space="preserve"> del </w:t>
      </w:r>
      <w:r w:rsidR="0061057B">
        <w:rPr>
          <w:rFonts w:ascii="Bookman Old Style" w:hAnsi="Bookman Old Style"/>
        </w:rPr>
        <w:t>11</w:t>
      </w:r>
      <w:r w:rsidR="0061057B" w:rsidRPr="00C44537">
        <w:rPr>
          <w:rFonts w:ascii="Bookman Old Style" w:hAnsi="Bookman Old Style"/>
        </w:rPr>
        <w:t xml:space="preserve"> </w:t>
      </w:r>
      <w:r w:rsidRPr="00C44537">
        <w:rPr>
          <w:rFonts w:ascii="Bookman Old Style" w:hAnsi="Bookman Old Style"/>
        </w:rPr>
        <w:t xml:space="preserve">de </w:t>
      </w:r>
      <w:r w:rsidR="00377A14">
        <w:rPr>
          <w:rFonts w:ascii="Bookman Old Style" w:hAnsi="Bookman Old Style"/>
        </w:rPr>
        <w:t>marzo</w:t>
      </w:r>
      <w:r w:rsidR="00377A14" w:rsidRPr="00C44537">
        <w:rPr>
          <w:rFonts w:ascii="Bookman Old Style" w:hAnsi="Bookman Old Style"/>
        </w:rPr>
        <w:t xml:space="preserve"> </w:t>
      </w:r>
      <w:r w:rsidRPr="00C44537">
        <w:rPr>
          <w:rFonts w:ascii="Bookman Old Style" w:hAnsi="Bookman Old Style"/>
        </w:rPr>
        <w:t>de 20</w:t>
      </w:r>
      <w:r w:rsidR="00840E0A">
        <w:rPr>
          <w:rFonts w:ascii="Bookman Old Style" w:hAnsi="Bookman Old Style"/>
        </w:rPr>
        <w:t>21</w:t>
      </w:r>
      <w:r w:rsidRPr="00C44537">
        <w:rPr>
          <w:rFonts w:ascii="Bookman Old Style" w:hAnsi="Bookman Old Style"/>
        </w:rPr>
        <w:t>, acordó expedir la presente resolución</w:t>
      </w:r>
    </w:p>
    <w:p w14:paraId="096696E9" w14:textId="77777777" w:rsidR="00EE10A1" w:rsidRDefault="00EE10A1" w:rsidP="00045D3D">
      <w:pPr>
        <w:suppressAutoHyphens/>
        <w:jc w:val="center"/>
        <w:rPr>
          <w:rFonts w:ascii="Bookman Old Style" w:hAnsi="Bookman Old Style"/>
          <w:b/>
          <w:spacing w:val="-3"/>
        </w:rPr>
      </w:pPr>
    </w:p>
    <w:p w14:paraId="5E5C7426" w14:textId="77777777" w:rsidR="00045D3D" w:rsidRPr="00C435C3" w:rsidRDefault="00045D3D" w:rsidP="00045D3D">
      <w:pPr>
        <w:suppressAutoHyphens/>
        <w:jc w:val="center"/>
        <w:rPr>
          <w:rFonts w:ascii="Bookman Old Style" w:hAnsi="Bookman Old Style"/>
          <w:spacing w:val="-3"/>
        </w:rPr>
      </w:pPr>
      <w:r w:rsidRPr="00C435C3">
        <w:rPr>
          <w:rFonts w:ascii="Bookman Old Style" w:hAnsi="Bookman Old Style"/>
          <w:b/>
          <w:spacing w:val="-3"/>
        </w:rPr>
        <w:t>R E S U E L V E:</w:t>
      </w:r>
    </w:p>
    <w:p w14:paraId="1AC124F0" w14:textId="3FB81F1E" w:rsidR="009C6B5C" w:rsidRDefault="009C6B5C" w:rsidP="009C6B5C">
      <w:pPr>
        <w:pStyle w:val="Prrafodelista"/>
        <w:rPr>
          <w:rFonts w:ascii="Bookman Old Style" w:hAnsi="Bookman Old Style" w:cs="Arial"/>
        </w:rPr>
      </w:pPr>
    </w:p>
    <w:p w14:paraId="158E9DC3" w14:textId="77777777" w:rsidR="00EE10A1" w:rsidRDefault="00EE10A1" w:rsidP="009C6B5C">
      <w:pPr>
        <w:pStyle w:val="Prrafodelista"/>
        <w:rPr>
          <w:rFonts w:ascii="Bookman Old Style" w:hAnsi="Bookman Old Style" w:cs="Arial"/>
        </w:rPr>
      </w:pPr>
    </w:p>
    <w:p w14:paraId="7EB2C1A8" w14:textId="6C4C1DD9" w:rsidR="00DA79D3" w:rsidRDefault="00DA79D3" w:rsidP="008D7CD9">
      <w:pPr>
        <w:numPr>
          <w:ilvl w:val="0"/>
          <w:numId w:val="23"/>
        </w:numPr>
        <w:ind w:left="0" w:firstLine="1276"/>
        <w:jc w:val="both"/>
        <w:outlineLvl w:val="0"/>
        <w:rPr>
          <w:rFonts w:ascii="Bookman Old Style" w:hAnsi="Bookman Old Style" w:cs="Arial"/>
        </w:rPr>
      </w:pPr>
      <w:r w:rsidRPr="00DA79D3">
        <w:rPr>
          <w:rFonts w:ascii="Bookman Old Style" w:hAnsi="Bookman Old Style" w:cs="Arial"/>
          <w:b/>
        </w:rPr>
        <w:t>NO REPONER</w:t>
      </w:r>
      <w:r w:rsidRPr="00DA79D3">
        <w:rPr>
          <w:rFonts w:ascii="Bookman Old Style" w:hAnsi="Bookman Old Style" w:cs="Arial"/>
        </w:rPr>
        <w:t xml:space="preserve"> la Resolución CREG </w:t>
      </w:r>
      <w:r w:rsidR="00DA2DD3">
        <w:rPr>
          <w:rFonts w:ascii="Bookman Old Style" w:hAnsi="Bookman Old Style" w:cs="Arial"/>
        </w:rPr>
        <w:t>013</w:t>
      </w:r>
      <w:r w:rsidRPr="00DA79D3">
        <w:rPr>
          <w:rFonts w:ascii="Bookman Old Style" w:hAnsi="Bookman Old Style" w:cs="Arial"/>
        </w:rPr>
        <w:t xml:space="preserve"> de 20</w:t>
      </w:r>
      <w:r w:rsidR="00DA2DD3">
        <w:rPr>
          <w:rFonts w:ascii="Bookman Old Style" w:hAnsi="Bookman Old Style" w:cs="Arial"/>
        </w:rPr>
        <w:t>21</w:t>
      </w:r>
      <w:r w:rsidRPr="00DA79D3">
        <w:rPr>
          <w:rFonts w:ascii="Bookman Old Style" w:hAnsi="Bookman Old Style" w:cs="Arial"/>
        </w:rPr>
        <w:t>, de acuerdo con los argumentos expuestos en la presente resolución</w:t>
      </w:r>
      <w:r w:rsidR="0061057B">
        <w:rPr>
          <w:rFonts w:ascii="Bookman Old Style" w:hAnsi="Bookman Old Style" w:cs="Arial"/>
        </w:rPr>
        <w:t>,</w:t>
      </w:r>
      <w:r w:rsidRPr="00DA79D3">
        <w:rPr>
          <w:rFonts w:ascii="Bookman Old Style" w:hAnsi="Bookman Old Style" w:cs="Arial"/>
        </w:rPr>
        <w:t xml:space="preserve"> y confirmar en su integridad el contenido de la misma</w:t>
      </w:r>
      <w:r w:rsidR="0093268E">
        <w:rPr>
          <w:rFonts w:ascii="Bookman Old Style" w:hAnsi="Bookman Old Style" w:cs="Arial"/>
        </w:rPr>
        <w:t>.</w:t>
      </w:r>
    </w:p>
    <w:p w14:paraId="2ABC4C42" w14:textId="77777777" w:rsidR="00DA79D3" w:rsidRPr="00DA79D3" w:rsidRDefault="00DA79D3" w:rsidP="00536488">
      <w:pPr>
        <w:ind w:left="0"/>
        <w:jc w:val="both"/>
        <w:outlineLvl w:val="0"/>
        <w:rPr>
          <w:rFonts w:ascii="Bookman Old Style" w:hAnsi="Bookman Old Style" w:cs="Arial"/>
        </w:rPr>
      </w:pPr>
    </w:p>
    <w:p w14:paraId="14C64E21" w14:textId="1A13DBC3" w:rsidR="009C6B5C" w:rsidRPr="00536488" w:rsidRDefault="00584E78" w:rsidP="009C6B5C">
      <w:pPr>
        <w:numPr>
          <w:ilvl w:val="0"/>
          <w:numId w:val="23"/>
        </w:numPr>
        <w:ind w:left="0" w:firstLine="1276"/>
        <w:jc w:val="both"/>
        <w:outlineLvl w:val="0"/>
        <w:rPr>
          <w:rFonts w:ascii="Bookman Old Style" w:hAnsi="Bookman Old Style"/>
          <w:vanish/>
          <w:specVanish/>
        </w:rPr>
      </w:pPr>
      <w:r>
        <w:rPr>
          <w:rFonts w:ascii="Bookman Old Style" w:hAnsi="Bookman Old Style"/>
        </w:rPr>
        <w:t>C</w:t>
      </w:r>
      <w:r w:rsidR="009C6B5C" w:rsidRPr="00AE23FF">
        <w:rPr>
          <w:rFonts w:ascii="Bookman Old Style" w:hAnsi="Bookman Old Style"/>
        </w:rPr>
        <w:t>omunica</w:t>
      </w:r>
      <w:r>
        <w:rPr>
          <w:rFonts w:ascii="Bookman Old Style" w:hAnsi="Bookman Old Style"/>
        </w:rPr>
        <w:t>r</w:t>
      </w:r>
      <w:r w:rsidR="009C6B5C" w:rsidRPr="00AE23FF">
        <w:rPr>
          <w:rFonts w:ascii="Bookman Old Style" w:hAnsi="Bookman Old Style"/>
        </w:rPr>
        <w:t xml:space="preserve"> al ASIC</w:t>
      </w:r>
      <w:r>
        <w:rPr>
          <w:rFonts w:ascii="Bookman Old Style" w:hAnsi="Bookman Old Style"/>
        </w:rPr>
        <w:t xml:space="preserve"> el conte</w:t>
      </w:r>
      <w:r w:rsidR="00971064">
        <w:rPr>
          <w:rFonts w:ascii="Bookman Old Style" w:hAnsi="Bookman Old Style"/>
        </w:rPr>
        <w:t xml:space="preserve">nido de la Resolución CREG </w:t>
      </w:r>
      <w:r w:rsidR="00DA2DD3">
        <w:rPr>
          <w:rFonts w:ascii="Bookman Old Style" w:hAnsi="Bookman Old Style"/>
        </w:rPr>
        <w:t>013</w:t>
      </w:r>
      <w:r w:rsidR="00971064">
        <w:rPr>
          <w:rFonts w:ascii="Bookman Old Style" w:hAnsi="Bookman Old Style"/>
        </w:rPr>
        <w:t xml:space="preserve"> </w:t>
      </w:r>
      <w:r>
        <w:rPr>
          <w:rFonts w:ascii="Bookman Old Style" w:hAnsi="Bookman Old Style"/>
        </w:rPr>
        <w:t>de 20</w:t>
      </w:r>
      <w:r w:rsidR="00DA2DD3">
        <w:rPr>
          <w:rFonts w:ascii="Bookman Old Style" w:hAnsi="Bookman Old Style"/>
        </w:rPr>
        <w:t>21</w:t>
      </w:r>
      <w:r w:rsidR="009C6B5C" w:rsidRPr="00AE23FF">
        <w:rPr>
          <w:rFonts w:ascii="Bookman Old Style" w:hAnsi="Bookman Old Style"/>
        </w:rPr>
        <w:t xml:space="preserve"> </w:t>
      </w:r>
      <w:r w:rsidR="009C6B5C">
        <w:rPr>
          <w:rFonts w:ascii="Bookman Old Style" w:hAnsi="Bookman Old Style"/>
        </w:rPr>
        <w:t>para que ejecute</w:t>
      </w:r>
      <w:r w:rsidR="009C6B5C" w:rsidRPr="00AE23FF">
        <w:rPr>
          <w:rFonts w:ascii="Bookman Old Style" w:hAnsi="Bookman Old Style"/>
        </w:rPr>
        <w:t xml:space="preserve"> las medidas correspondientes</w:t>
      </w:r>
      <w:r w:rsidR="009C6B5C">
        <w:rPr>
          <w:rFonts w:ascii="Bookman Old Style" w:hAnsi="Bookman Old Style"/>
        </w:rPr>
        <w:t>,</w:t>
      </w:r>
      <w:r w:rsidR="009C6B5C" w:rsidRPr="00AE23FF">
        <w:rPr>
          <w:rFonts w:ascii="Bookman Old Style" w:hAnsi="Bookman Old Style"/>
        </w:rPr>
        <w:t xml:space="preserve"> de acuerdo con lo </w:t>
      </w:r>
      <w:r w:rsidR="009C6B5C">
        <w:rPr>
          <w:rFonts w:ascii="Bookman Old Style" w:hAnsi="Bookman Old Style"/>
        </w:rPr>
        <w:t xml:space="preserve">que </w:t>
      </w:r>
      <w:r w:rsidR="009C6B5C" w:rsidRPr="00AE23FF">
        <w:rPr>
          <w:rFonts w:ascii="Bookman Old Style" w:hAnsi="Bookman Old Style"/>
        </w:rPr>
        <w:t xml:space="preserve">determina la Resolución </w:t>
      </w:r>
      <w:r w:rsidR="009C6B5C">
        <w:rPr>
          <w:rFonts w:ascii="Bookman Old Style" w:hAnsi="Bookman Old Style"/>
        </w:rPr>
        <w:t xml:space="preserve">CREG </w:t>
      </w:r>
      <w:r w:rsidR="009C6B5C" w:rsidRPr="00AE23FF">
        <w:rPr>
          <w:rFonts w:ascii="Bookman Old Style" w:hAnsi="Bookman Old Style"/>
        </w:rPr>
        <w:t>071 de 2006.</w:t>
      </w:r>
    </w:p>
    <w:p w14:paraId="16B00CC6" w14:textId="77777777" w:rsidR="009C6B5C" w:rsidRDefault="00DB1452" w:rsidP="009C6B5C">
      <w:pPr>
        <w:ind w:left="708"/>
        <w:rPr>
          <w:rFonts w:ascii="Bookman Old Style" w:hAnsi="Bookman Old Style"/>
          <w:lang w:val="es-CO"/>
        </w:rPr>
      </w:pPr>
      <w:r>
        <w:rPr>
          <w:rFonts w:ascii="Bookman Old Style" w:hAnsi="Bookman Old Style"/>
          <w:lang w:val="es-CO"/>
        </w:rPr>
        <w:t xml:space="preserve"> </w:t>
      </w:r>
    </w:p>
    <w:p w14:paraId="7AE6D806" w14:textId="77777777" w:rsidR="00971064" w:rsidRPr="000074D5" w:rsidRDefault="00971064" w:rsidP="009C6B5C">
      <w:pPr>
        <w:ind w:left="708"/>
        <w:rPr>
          <w:rFonts w:ascii="Bookman Old Style" w:hAnsi="Bookman Old Style"/>
          <w:lang w:val="es-CO"/>
        </w:rPr>
      </w:pPr>
    </w:p>
    <w:p w14:paraId="04FA650E" w14:textId="4948CD8C" w:rsidR="009C6B5C" w:rsidRDefault="009C6B5C" w:rsidP="009C6B5C">
      <w:pPr>
        <w:numPr>
          <w:ilvl w:val="0"/>
          <w:numId w:val="23"/>
        </w:numPr>
        <w:ind w:left="0" w:firstLine="1276"/>
        <w:jc w:val="both"/>
        <w:outlineLvl w:val="0"/>
        <w:rPr>
          <w:rFonts w:ascii="Bookman Old Style" w:hAnsi="Bookman Old Style" w:cs="Arial"/>
        </w:rPr>
      </w:pPr>
      <w:r w:rsidRPr="000074D5">
        <w:rPr>
          <w:rFonts w:ascii="Bookman Old Style" w:hAnsi="Bookman Old Style" w:cs="Arial"/>
        </w:rPr>
        <w:t xml:space="preserve"> Notificar la presente </w:t>
      </w:r>
      <w:r w:rsidR="003C00BE">
        <w:rPr>
          <w:rFonts w:ascii="Bookman Old Style" w:hAnsi="Bookman Old Style" w:cs="Arial"/>
        </w:rPr>
        <w:t>r</w:t>
      </w:r>
      <w:r w:rsidRPr="000074D5">
        <w:rPr>
          <w:rFonts w:ascii="Bookman Old Style" w:hAnsi="Bookman Old Style" w:cs="Arial"/>
        </w:rPr>
        <w:t>esolución al representante legal de</w:t>
      </w:r>
      <w:r>
        <w:rPr>
          <w:rFonts w:ascii="Bookman Old Style" w:hAnsi="Bookman Old Style" w:cs="Arial"/>
        </w:rPr>
        <w:t xml:space="preserve"> </w:t>
      </w:r>
      <w:r w:rsidR="00DA2DD3">
        <w:rPr>
          <w:rFonts w:ascii="Bookman Old Style" w:hAnsi="Bookman Old Style" w:cs="Arial"/>
        </w:rPr>
        <w:t>Promotora Energética de Centro S</w:t>
      </w:r>
      <w:r w:rsidR="0061057B">
        <w:rPr>
          <w:rFonts w:ascii="Bookman Old Style" w:hAnsi="Bookman Old Style" w:cs="Arial"/>
        </w:rPr>
        <w:t>.</w:t>
      </w:r>
      <w:r w:rsidR="00DA2DD3">
        <w:rPr>
          <w:rFonts w:ascii="Bookman Old Style" w:hAnsi="Bookman Old Style" w:cs="Arial"/>
        </w:rPr>
        <w:t>A</w:t>
      </w:r>
      <w:r w:rsidR="0061057B">
        <w:rPr>
          <w:rFonts w:ascii="Bookman Old Style" w:hAnsi="Bookman Old Style" w:cs="Arial"/>
        </w:rPr>
        <w:t>.</w:t>
      </w:r>
      <w:r w:rsidR="00DA2DD3">
        <w:rPr>
          <w:rFonts w:ascii="Bookman Old Style" w:hAnsi="Bookman Old Style" w:cs="Arial"/>
        </w:rPr>
        <w:t>S</w:t>
      </w:r>
      <w:r w:rsidR="0061057B">
        <w:rPr>
          <w:rFonts w:ascii="Bookman Old Style" w:hAnsi="Bookman Old Style" w:cs="Arial"/>
        </w:rPr>
        <w:t>.</w:t>
      </w:r>
      <w:r w:rsidR="00DA2DD3">
        <w:rPr>
          <w:rFonts w:ascii="Bookman Old Style" w:hAnsi="Bookman Old Style" w:cs="Arial"/>
        </w:rPr>
        <w:t xml:space="preserve"> E</w:t>
      </w:r>
      <w:r w:rsidR="0061057B">
        <w:rPr>
          <w:rFonts w:ascii="Bookman Old Style" w:hAnsi="Bookman Old Style" w:cs="Arial"/>
        </w:rPr>
        <w:t>.</w:t>
      </w:r>
      <w:r w:rsidR="00DA2DD3">
        <w:rPr>
          <w:rFonts w:ascii="Bookman Old Style" w:hAnsi="Bookman Old Style" w:cs="Arial"/>
        </w:rPr>
        <w:t>S</w:t>
      </w:r>
      <w:r w:rsidR="0061057B">
        <w:rPr>
          <w:rFonts w:ascii="Bookman Old Style" w:hAnsi="Bookman Old Style" w:cs="Arial"/>
        </w:rPr>
        <w:t>.</w:t>
      </w:r>
      <w:r w:rsidR="00DA2DD3">
        <w:rPr>
          <w:rFonts w:ascii="Bookman Old Style" w:hAnsi="Bookman Old Style" w:cs="Arial"/>
        </w:rPr>
        <w:t>P</w:t>
      </w:r>
      <w:r w:rsidR="0061057B">
        <w:rPr>
          <w:rFonts w:ascii="Bookman Old Style" w:hAnsi="Bookman Old Style" w:cs="Arial"/>
        </w:rPr>
        <w:t>.</w:t>
      </w:r>
      <w:r w:rsidRPr="000074D5">
        <w:rPr>
          <w:rFonts w:ascii="Bookman Old Style" w:hAnsi="Bookman Old Style"/>
          <w:iCs/>
        </w:rPr>
        <w:t xml:space="preserve">, advirtiéndole </w:t>
      </w:r>
      <w:r>
        <w:rPr>
          <w:rFonts w:ascii="Bookman Old Style" w:hAnsi="Bookman Old Style"/>
          <w:iCs/>
        </w:rPr>
        <w:t>que contra</w:t>
      </w:r>
      <w:r w:rsidR="00C50242">
        <w:rPr>
          <w:rFonts w:ascii="Bookman Old Style" w:hAnsi="Bookman Old Style" w:cs="Arial"/>
        </w:rPr>
        <w:t xml:space="preserve"> lo decidido en el presente acto administrativo no procede ningún </w:t>
      </w:r>
      <w:r w:rsidR="0093268E">
        <w:rPr>
          <w:rFonts w:ascii="Bookman Old Style" w:hAnsi="Bookman Old Style" w:cs="Arial"/>
        </w:rPr>
        <w:t>recurso, toda</w:t>
      </w:r>
      <w:r w:rsidR="00227AF9">
        <w:rPr>
          <w:rFonts w:ascii="Bookman Old Style" w:hAnsi="Bookman Old Style" w:cs="Arial"/>
        </w:rPr>
        <w:t xml:space="preserve"> vez la Resolución CREG </w:t>
      </w:r>
      <w:r w:rsidR="00DA2DD3">
        <w:rPr>
          <w:rFonts w:ascii="Bookman Old Style" w:hAnsi="Bookman Old Style" w:cs="Arial"/>
        </w:rPr>
        <w:t>013</w:t>
      </w:r>
      <w:r w:rsidR="00227AF9">
        <w:rPr>
          <w:rFonts w:ascii="Bookman Old Style" w:hAnsi="Bookman Old Style" w:cs="Arial"/>
        </w:rPr>
        <w:t xml:space="preserve"> de 20</w:t>
      </w:r>
      <w:r w:rsidR="00DA2DD3">
        <w:rPr>
          <w:rFonts w:ascii="Bookman Old Style" w:hAnsi="Bookman Old Style" w:cs="Arial"/>
        </w:rPr>
        <w:t>21</w:t>
      </w:r>
      <w:r w:rsidR="00227AF9">
        <w:rPr>
          <w:rFonts w:ascii="Bookman Old Style" w:hAnsi="Bookman Old Style" w:cs="Arial"/>
        </w:rPr>
        <w:t xml:space="preserve"> queda ejecutoriada</w:t>
      </w:r>
      <w:r w:rsidR="00D51A18">
        <w:rPr>
          <w:rFonts w:ascii="Bookman Old Style" w:hAnsi="Bookman Old Style" w:cs="Arial"/>
        </w:rPr>
        <w:t>.</w:t>
      </w:r>
    </w:p>
    <w:p w14:paraId="41AFD217" w14:textId="77777777" w:rsidR="00045D3D" w:rsidRPr="00C435C3" w:rsidRDefault="00045D3D" w:rsidP="00045D3D">
      <w:pPr>
        <w:ind w:left="0"/>
        <w:rPr>
          <w:rFonts w:ascii="Bookman Old Style" w:hAnsi="Bookman Old Style"/>
        </w:rPr>
      </w:pPr>
    </w:p>
    <w:p w14:paraId="111B8590"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0A9E9068" w14:textId="77777777" w:rsidR="00BE2A30" w:rsidRPr="00C435C3" w:rsidRDefault="00BE2A30" w:rsidP="00045D3D">
      <w:pPr>
        <w:rPr>
          <w:rFonts w:ascii="Bookman Old Style" w:hAnsi="Bookman Old Style"/>
        </w:rPr>
      </w:pPr>
    </w:p>
    <w:p w14:paraId="0016AD91" w14:textId="0E1DE0E4"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r w:rsidR="00EE10A1">
        <w:rPr>
          <w:rFonts w:ascii="Bookman Old Style" w:hAnsi="Bookman Old Style"/>
        </w:rPr>
        <w:t xml:space="preserve"> </w:t>
      </w:r>
      <w:r w:rsidR="00EE10A1" w:rsidRPr="00EE10A1">
        <w:rPr>
          <w:rFonts w:ascii="Bookman Old Style" w:hAnsi="Bookman Old Style"/>
          <w:b/>
          <w:bCs/>
        </w:rPr>
        <w:t>11 MAR. 2021</w:t>
      </w:r>
    </w:p>
    <w:p w14:paraId="1407F579" w14:textId="2B49487F" w:rsidR="00EE10A1" w:rsidRDefault="00EE10A1" w:rsidP="00045D3D">
      <w:pPr>
        <w:ind w:left="0"/>
        <w:rPr>
          <w:rFonts w:ascii="Bookman Old Style" w:hAnsi="Bookman Old Style"/>
        </w:rPr>
      </w:pPr>
    </w:p>
    <w:p w14:paraId="356EF66C" w14:textId="77777777" w:rsidR="00EE10A1" w:rsidRPr="00EE10A1" w:rsidRDefault="00EE10A1" w:rsidP="00045D3D">
      <w:pPr>
        <w:ind w:left="0"/>
        <w:rPr>
          <w:rFonts w:ascii="Bookman Old Style" w:hAnsi="Bookman Old Style"/>
          <w:sz w:val="14"/>
          <w:szCs w:val="14"/>
        </w:rPr>
      </w:pPr>
    </w:p>
    <w:p w14:paraId="71454D02" w14:textId="77777777" w:rsidR="00EE10A1" w:rsidRDefault="00EE10A1" w:rsidP="00045D3D">
      <w:pPr>
        <w:ind w:left="0"/>
        <w:rPr>
          <w:rFonts w:ascii="Bookman Old Style" w:hAnsi="Bookman Old Style"/>
        </w:rPr>
      </w:pPr>
    </w:p>
    <w:p w14:paraId="010D479B" w14:textId="77777777" w:rsidR="00D51A18" w:rsidRDefault="00D51A18" w:rsidP="00045D3D">
      <w:pPr>
        <w:ind w:left="0"/>
        <w:rPr>
          <w:rFonts w:ascii="Bookman Old Style" w:hAnsi="Bookman Old Style"/>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EE10A1" w:rsidRPr="00666660" w14:paraId="782D5E90" w14:textId="77777777" w:rsidTr="00DC3F2F">
        <w:trPr>
          <w:jc w:val="center"/>
        </w:trPr>
        <w:tc>
          <w:tcPr>
            <w:tcW w:w="5103" w:type="dxa"/>
          </w:tcPr>
          <w:p w14:paraId="411A87E2" w14:textId="77777777" w:rsidR="00EE10A1" w:rsidRDefault="00EE10A1" w:rsidP="00DC3F2F">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MIGUEL LOTERO ROBLEDO</w:t>
            </w:r>
          </w:p>
          <w:p w14:paraId="31DBC2A4" w14:textId="77777777" w:rsidR="00EE10A1" w:rsidRPr="00E0124E" w:rsidRDefault="00EE10A1" w:rsidP="00DC3F2F">
            <w:pPr>
              <w:tabs>
                <w:tab w:val="left" w:pos="-720"/>
              </w:tabs>
              <w:suppressAutoHyphens/>
              <w:ind w:left="0"/>
              <w:jc w:val="center"/>
              <w:rPr>
                <w:rFonts w:ascii="Bookman Old Style" w:hAnsi="Bookman Old Style" w:cs="Arial"/>
                <w:bCs/>
                <w:spacing w:val="-3"/>
              </w:rPr>
            </w:pPr>
            <w:r>
              <w:rPr>
                <w:rFonts w:ascii="Bookman Old Style" w:hAnsi="Bookman Old Style" w:cs="Arial"/>
                <w:bCs/>
                <w:spacing w:val="-3"/>
              </w:rPr>
              <w:t>Viceministro de Energía</w:t>
            </w:r>
          </w:p>
          <w:p w14:paraId="56C6E9BD" w14:textId="77777777" w:rsidR="00EE10A1" w:rsidRDefault="00EE10A1" w:rsidP="00DC3F2F">
            <w:pPr>
              <w:tabs>
                <w:tab w:val="left" w:pos="-720"/>
              </w:tabs>
              <w:suppressAutoHyphens/>
              <w:ind w:left="0"/>
            </w:pPr>
            <w:r>
              <w:rPr>
                <w:rFonts w:ascii="Bookman Old Style" w:hAnsi="Bookman Old Style"/>
              </w:rPr>
              <w:t xml:space="preserve">Delegado del Ministro de </w:t>
            </w:r>
            <w:r w:rsidRPr="00EF4ACC">
              <w:rPr>
                <w:rFonts w:ascii="Bookman Old Style" w:hAnsi="Bookman Old Style"/>
              </w:rPr>
              <w:t>Minas y</w:t>
            </w:r>
            <w:r>
              <w:rPr>
                <w:rFonts w:ascii="Bookman Old Style" w:hAnsi="Bookman Old Style"/>
              </w:rPr>
              <w:t xml:space="preserve"> </w:t>
            </w:r>
            <w:r w:rsidRPr="00EF4ACC">
              <w:rPr>
                <w:rFonts w:ascii="Bookman Old Style" w:hAnsi="Bookman Old Style"/>
              </w:rPr>
              <w:t>Energía</w:t>
            </w:r>
            <w:r>
              <w:t xml:space="preserve"> </w:t>
            </w:r>
          </w:p>
          <w:p w14:paraId="2801E189" w14:textId="77777777" w:rsidR="00EE10A1" w:rsidRPr="00BD0865" w:rsidRDefault="00EE10A1" w:rsidP="00DC3F2F">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820" w:type="dxa"/>
          </w:tcPr>
          <w:p w14:paraId="6B36117E" w14:textId="77777777" w:rsidR="00EE10A1" w:rsidRDefault="00EE10A1" w:rsidP="00DC3F2F">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MARIN</w:t>
            </w:r>
          </w:p>
          <w:p w14:paraId="144A0EFB" w14:textId="77777777" w:rsidR="00EE10A1" w:rsidRPr="00666660" w:rsidRDefault="00EE10A1" w:rsidP="00DC3F2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14:paraId="4A00CD9A" w14:textId="77777777" w:rsidR="00045D3D" w:rsidRDefault="00045D3D" w:rsidP="00045D3D">
      <w:pPr>
        <w:ind w:left="0"/>
        <w:rPr>
          <w:rFonts w:ascii="Bookman Old Style" w:hAnsi="Bookman Old Style"/>
        </w:rPr>
      </w:pPr>
    </w:p>
    <w:sectPr w:rsidR="00045D3D"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CBEAE" w14:textId="77777777" w:rsidR="00BA21D9" w:rsidRDefault="00BA21D9">
      <w:r>
        <w:separator/>
      </w:r>
    </w:p>
  </w:endnote>
  <w:endnote w:type="continuationSeparator" w:id="0">
    <w:p w14:paraId="68944978" w14:textId="77777777" w:rsidR="00BA21D9" w:rsidRDefault="00BA2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770C3" w14:textId="77777777" w:rsidR="00BA21D9" w:rsidRDefault="00BA21D9">
      <w:r>
        <w:separator/>
      </w:r>
    </w:p>
  </w:footnote>
  <w:footnote w:type="continuationSeparator" w:id="0">
    <w:p w14:paraId="3652DB43" w14:textId="77777777" w:rsidR="00BA21D9" w:rsidRDefault="00BA2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4C1E" w14:textId="77777777" w:rsidR="00381DE2" w:rsidRDefault="00381DE2" w:rsidP="00951F79">
    <w:pPr>
      <w:pStyle w:val="Ttulo1"/>
      <w:ind w:right="6"/>
      <w:jc w:val="left"/>
      <w:rPr>
        <w:rFonts w:ascii="Bookman Old Style" w:hAnsi="Bookman Old Style" w:cs="Arial"/>
        <w:b w:val="0"/>
        <w:sz w:val="22"/>
        <w:szCs w:val="22"/>
      </w:rPr>
    </w:pPr>
  </w:p>
  <w:p w14:paraId="7A07FE1A" w14:textId="3FC44A8A" w:rsidR="00381DE2" w:rsidRPr="00951F79" w:rsidRDefault="00381DE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EE10A1">
      <w:rPr>
        <w:rFonts w:ascii="Bookman Old Style" w:hAnsi="Bookman Old Style" w:cs="Arial"/>
        <w:bCs/>
        <w:szCs w:val="24"/>
        <w:u w:val="single"/>
      </w:rPr>
      <w:t xml:space="preserve">.  </w:t>
    </w:r>
    <w:r w:rsidR="00EE10A1" w:rsidRPr="00EE10A1">
      <w:rPr>
        <w:rFonts w:ascii="Bookman Old Style" w:hAnsi="Bookman Old Style" w:cs="Arial"/>
        <w:bCs/>
        <w:szCs w:val="24"/>
        <w:u w:val="single"/>
      </w:rPr>
      <w:t xml:space="preserve"> 019</w:t>
    </w:r>
    <w:r w:rsidRPr="00EE10A1">
      <w:rPr>
        <w:rFonts w:ascii="Bookman Old Style" w:hAnsi="Bookman Old Style" w:cs="Arial"/>
        <w:bCs/>
        <w:szCs w:val="24"/>
        <w:u w:val="single"/>
      </w:rPr>
      <w:tab/>
    </w:r>
    <w:r>
      <w:rPr>
        <w:rFonts w:ascii="Bookman Old Style" w:hAnsi="Bookman Old Style" w:cs="Arial"/>
        <w:b w:val="0"/>
        <w:sz w:val="22"/>
        <w:szCs w:val="22"/>
      </w:rPr>
      <w:t xml:space="preserve">DE </w:t>
    </w:r>
    <w:r w:rsidR="00EE10A1" w:rsidRPr="00EE10A1">
      <w:rPr>
        <w:rFonts w:ascii="Bookman Old Style" w:hAnsi="Bookman Old Style" w:cs="Arial"/>
        <w:bCs/>
        <w:szCs w:val="24"/>
        <w:u w:val="single"/>
      </w:rPr>
      <w:t>11 MAR. 2021</w:t>
    </w:r>
    <w:r w:rsidR="00EE10A1">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00F85">
      <w:rPr>
        <w:rFonts w:ascii="Bookman Old Style" w:hAnsi="Bookman Old Style" w:cs="Arial"/>
        <w:b w:val="0"/>
        <w:noProof/>
        <w:sz w:val="22"/>
        <w:szCs w:val="22"/>
      </w:rPr>
      <w:t>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00F85" w:rsidRPr="00300F85">
        <w:rPr>
          <w:rFonts w:ascii="Bookman Old Style" w:hAnsi="Bookman Old Style" w:cs="Arial"/>
          <w:b w:val="0"/>
          <w:noProof/>
          <w:sz w:val="22"/>
          <w:szCs w:val="22"/>
        </w:rPr>
        <w:t>8</w:t>
      </w:r>
    </w:fldSimple>
  </w:p>
  <w:p w14:paraId="1FAC182B" w14:textId="77777777" w:rsidR="00381DE2" w:rsidRDefault="00381DE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368DCB48" wp14:editId="78BC658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E531"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827F2AE" w14:textId="23EA79A4" w:rsidR="00381DE2" w:rsidRPr="00D5196E" w:rsidRDefault="00381DE2" w:rsidP="00D5196E">
    <w:pPr>
      <w:pBdr>
        <w:bottom w:val="single" w:sz="4" w:space="1" w:color="auto"/>
      </w:pBdr>
      <w:ind w:left="142" w:right="148"/>
      <w:jc w:val="both"/>
      <w:rPr>
        <w:rFonts w:ascii="Bookman Old Style" w:hAnsi="Bookman Old Style"/>
        <w:i/>
        <w:sz w:val="20"/>
        <w:szCs w:val="20"/>
      </w:rPr>
    </w:pPr>
    <w:r w:rsidRPr="00EC69A4">
      <w:rPr>
        <w:rFonts w:ascii="Bookman Old Style" w:hAnsi="Bookman Old Style"/>
        <w:sz w:val="20"/>
        <w:szCs w:val="20"/>
      </w:rPr>
      <w:t xml:space="preserve"> </w:t>
    </w:r>
  </w:p>
  <w:p w14:paraId="1F95B483" w14:textId="1DC33122" w:rsidR="00381DE2" w:rsidRPr="00EE10A1" w:rsidRDefault="009B71C4" w:rsidP="00230D16">
    <w:pPr>
      <w:pBdr>
        <w:bottom w:val="single" w:sz="4" w:space="1" w:color="auto"/>
      </w:pBdr>
      <w:ind w:left="142" w:right="148"/>
      <w:jc w:val="both"/>
      <w:rPr>
        <w:rFonts w:ascii="Bookman Old Style" w:hAnsi="Bookman Old Style"/>
        <w:bCs/>
        <w:sz w:val="22"/>
        <w:szCs w:val="22"/>
      </w:rPr>
    </w:pPr>
    <w:r w:rsidRPr="00EE10A1">
      <w:rPr>
        <w:rFonts w:ascii="Bookman Old Style" w:hAnsi="Bookman Old Style"/>
        <w:bCs/>
        <w:sz w:val="22"/>
        <w:szCs w:val="22"/>
      </w:rPr>
      <w:t xml:space="preserve">Por la cual se resuelve el recurso de reposición interpuesto contra la Resolución CREG 013 de 2021 </w:t>
    </w:r>
    <w:r w:rsidR="0022656C" w:rsidRPr="00EE10A1">
      <w:rPr>
        <w:rFonts w:ascii="Bookman Old Style" w:hAnsi="Bookman Old Style"/>
        <w:bCs/>
        <w:sz w:val="22"/>
        <w:szCs w:val="22"/>
      </w:rPr>
      <w:t>que</w:t>
    </w:r>
    <w:r w:rsidRPr="00EE10A1">
      <w:rPr>
        <w:rFonts w:ascii="Bookman Old Style" w:hAnsi="Bookman Old Style"/>
        <w:bCs/>
        <w:sz w:val="22"/>
        <w:szCs w:val="22"/>
      </w:rPr>
      <w:t xml:space="preserve"> decide la actuación administrativa adelantada para determinar el incumplimiento grave e insalvable en la puesta en operación del Proyecto Hidroeléctrico Miel II, proyecto desarrollado por Promotora Energética de Centro SAS ESP</w:t>
    </w:r>
  </w:p>
  <w:p w14:paraId="4D3ABB03" w14:textId="77777777" w:rsidR="00381DE2" w:rsidRDefault="00381D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2960" w14:textId="77777777" w:rsidR="00381DE2" w:rsidRDefault="00381DE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63AB4634" w14:textId="77777777" w:rsidR="00381DE2" w:rsidRDefault="00381DE2">
    <w:pPr>
      <w:pStyle w:val="Encabezado"/>
      <w:jc w:val="center"/>
      <w:rPr>
        <w:rFonts w:ascii="Arial" w:hAnsi="Arial" w:cs="Arial"/>
        <w:spacing w:val="20"/>
        <w:sz w:val="20"/>
      </w:rPr>
    </w:pPr>
  </w:p>
  <w:p w14:paraId="3CB11C52" w14:textId="77777777" w:rsidR="00381DE2" w:rsidRDefault="00381DE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905DE9" wp14:editId="336F9A5F">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C004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8EB4EC1"/>
    <w:multiLevelType w:val="hybridMultilevel"/>
    <w:tmpl w:val="766ECC94"/>
    <w:lvl w:ilvl="0" w:tplc="E3BE90B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F5254A"/>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005AD3"/>
    <w:multiLevelType w:val="hybridMultilevel"/>
    <w:tmpl w:val="665EBE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6515AD"/>
    <w:multiLevelType w:val="hybridMultilevel"/>
    <w:tmpl w:val="9D541E80"/>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3"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2DD171FA"/>
    <w:multiLevelType w:val="hybridMultilevel"/>
    <w:tmpl w:val="FB06A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7026C1"/>
    <w:multiLevelType w:val="hybridMultilevel"/>
    <w:tmpl w:val="C4105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85AB0"/>
    <w:multiLevelType w:val="hybridMultilevel"/>
    <w:tmpl w:val="CAF6B9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501993"/>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BD5F45"/>
    <w:multiLevelType w:val="hybridMultilevel"/>
    <w:tmpl w:val="4E103A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D6B3A91"/>
    <w:multiLevelType w:val="hybridMultilevel"/>
    <w:tmpl w:val="A42CC8C2"/>
    <w:lvl w:ilvl="0" w:tplc="5E7E8C1C">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6" w15:restartNumberingAfterBreak="0">
    <w:nsid w:val="53F52FDC"/>
    <w:multiLevelType w:val="hybridMultilevel"/>
    <w:tmpl w:val="B4E2CE26"/>
    <w:lvl w:ilvl="0" w:tplc="32F41B58">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8C6BDF"/>
    <w:multiLevelType w:val="hybridMultilevel"/>
    <w:tmpl w:val="420407EC"/>
    <w:lvl w:ilvl="0" w:tplc="D34CCC6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512242C"/>
    <w:multiLevelType w:val="hybridMultilevel"/>
    <w:tmpl w:val="AD46C4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7374770"/>
    <w:multiLevelType w:val="hybridMultilevel"/>
    <w:tmpl w:val="21E6BF7E"/>
    <w:lvl w:ilvl="0" w:tplc="EB18A9C2">
      <w:start w:val="1"/>
      <w:numFmt w:val="decimal"/>
      <w:lvlText w:val="%1."/>
      <w:lvlJc w:val="left"/>
      <w:pPr>
        <w:ind w:left="1065" w:hanging="360"/>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C0B070E"/>
    <w:multiLevelType w:val="hybridMultilevel"/>
    <w:tmpl w:val="243A1DC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7"/>
  </w:num>
  <w:num w:numId="3">
    <w:abstractNumId w:val="35"/>
  </w:num>
  <w:num w:numId="4">
    <w:abstractNumId w:val="10"/>
  </w:num>
  <w:num w:numId="5">
    <w:abstractNumId w:val="28"/>
  </w:num>
  <w:num w:numId="6">
    <w:abstractNumId w:val="4"/>
  </w:num>
  <w:num w:numId="7">
    <w:abstractNumId w:val="3"/>
  </w:num>
  <w:num w:numId="8">
    <w:abstractNumId w:val="30"/>
  </w:num>
  <w:num w:numId="9">
    <w:abstractNumId w:val="29"/>
  </w:num>
  <w:num w:numId="10">
    <w:abstractNumId w:val="22"/>
  </w:num>
  <w:num w:numId="11">
    <w:abstractNumId w:val="36"/>
  </w:num>
  <w:num w:numId="12">
    <w:abstractNumId w:val="33"/>
  </w:num>
  <w:num w:numId="13">
    <w:abstractNumId w:val="17"/>
  </w:num>
  <w:num w:numId="14">
    <w:abstractNumId w:val="2"/>
  </w:num>
  <w:num w:numId="15">
    <w:abstractNumId w:val="23"/>
  </w:num>
  <w:num w:numId="16">
    <w:abstractNumId w:val="1"/>
  </w:num>
  <w:num w:numId="17">
    <w:abstractNumId w:val="16"/>
  </w:num>
  <w:num w:numId="18">
    <w:abstractNumId w:val="0"/>
  </w:num>
  <w:num w:numId="19">
    <w:abstractNumId w:val="32"/>
  </w:num>
  <w:num w:numId="20">
    <w:abstractNumId w:val="25"/>
  </w:num>
  <w:num w:numId="21">
    <w:abstractNumId w:val="11"/>
  </w:num>
  <w:num w:numId="22">
    <w:abstractNumId w:val="13"/>
  </w:num>
  <w:num w:numId="23">
    <w:abstractNumId w:val="6"/>
  </w:num>
  <w:num w:numId="24">
    <w:abstractNumId w:val="24"/>
  </w:num>
  <w:num w:numId="25">
    <w:abstractNumId w:val="12"/>
  </w:num>
  <w:num w:numId="26">
    <w:abstractNumId w:val="34"/>
  </w:num>
  <w:num w:numId="27">
    <w:abstractNumId w:val="8"/>
  </w:num>
  <w:num w:numId="28">
    <w:abstractNumId w:val="9"/>
  </w:num>
  <w:num w:numId="29">
    <w:abstractNumId w:val="19"/>
  </w:num>
  <w:num w:numId="30">
    <w:abstractNumId w:val="5"/>
  </w:num>
  <w:num w:numId="31">
    <w:abstractNumId w:val="20"/>
  </w:num>
  <w:num w:numId="32">
    <w:abstractNumId w:val="26"/>
  </w:num>
  <w:num w:numId="33">
    <w:abstractNumId w:val="18"/>
  </w:num>
  <w:num w:numId="34">
    <w:abstractNumId w:val="31"/>
  </w:num>
  <w:num w:numId="35">
    <w:abstractNumId w:val="27"/>
  </w:num>
  <w:num w:numId="36">
    <w:abstractNumId w:val="1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5B79"/>
    <w:rsid w:val="00006AE2"/>
    <w:rsid w:val="000076A1"/>
    <w:rsid w:val="00012259"/>
    <w:rsid w:val="00015D1C"/>
    <w:rsid w:val="00025383"/>
    <w:rsid w:val="0002734B"/>
    <w:rsid w:val="00034613"/>
    <w:rsid w:val="000348A1"/>
    <w:rsid w:val="00045D3D"/>
    <w:rsid w:val="00057877"/>
    <w:rsid w:val="00060035"/>
    <w:rsid w:val="000612E6"/>
    <w:rsid w:val="00063657"/>
    <w:rsid w:val="000717DC"/>
    <w:rsid w:val="00073EE4"/>
    <w:rsid w:val="0007583D"/>
    <w:rsid w:val="00076680"/>
    <w:rsid w:val="00076A1D"/>
    <w:rsid w:val="0008073E"/>
    <w:rsid w:val="0008252F"/>
    <w:rsid w:val="00091CDB"/>
    <w:rsid w:val="00097D53"/>
    <w:rsid w:val="000A04F5"/>
    <w:rsid w:val="000A19AC"/>
    <w:rsid w:val="000A529D"/>
    <w:rsid w:val="000B0C7C"/>
    <w:rsid w:val="000B2EC9"/>
    <w:rsid w:val="000B7ACA"/>
    <w:rsid w:val="000D26F8"/>
    <w:rsid w:val="000E1F2A"/>
    <w:rsid w:val="000F3E1D"/>
    <w:rsid w:val="001002B6"/>
    <w:rsid w:val="00100637"/>
    <w:rsid w:val="00106654"/>
    <w:rsid w:val="001120B4"/>
    <w:rsid w:val="0011670D"/>
    <w:rsid w:val="0013035F"/>
    <w:rsid w:val="001321D4"/>
    <w:rsid w:val="0013526C"/>
    <w:rsid w:val="001405C6"/>
    <w:rsid w:val="00141013"/>
    <w:rsid w:val="0014120F"/>
    <w:rsid w:val="00164FD1"/>
    <w:rsid w:val="00192CBF"/>
    <w:rsid w:val="00192FF1"/>
    <w:rsid w:val="00194BD7"/>
    <w:rsid w:val="001A51F0"/>
    <w:rsid w:val="001A5F1B"/>
    <w:rsid w:val="001B1C22"/>
    <w:rsid w:val="001B34C6"/>
    <w:rsid w:val="001C5496"/>
    <w:rsid w:val="001D3036"/>
    <w:rsid w:val="001D66B5"/>
    <w:rsid w:val="001D7832"/>
    <w:rsid w:val="001E1CC0"/>
    <w:rsid w:val="001E445F"/>
    <w:rsid w:val="00206B4A"/>
    <w:rsid w:val="00210DC1"/>
    <w:rsid w:val="00211D34"/>
    <w:rsid w:val="002122F4"/>
    <w:rsid w:val="00214F04"/>
    <w:rsid w:val="0022656C"/>
    <w:rsid w:val="00227AF9"/>
    <w:rsid w:val="00230D16"/>
    <w:rsid w:val="002352B9"/>
    <w:rsid w:val="00236583"/>
    <w:rsid w:val="00237E17"/>
    <w:rsid w:val="00243445"/>
    <w:rsid w:val="0025549F"/>
    <w:rsid w:val="0026336E"/>
    <w:rsid w:val="002669BD"/>
    <w:rsid w:val="00266CD6"/>
    <w:rsid w:val="002673AC"/>
    <w:rsid w:val="00275DAB"/>
    <w:rsid w:val="002903C0"/>
    <w:rsid w:val="00292B87"/>
    <w:rsid w:val="002A782A"/>
    <w:rsid w:val="002B11E2"/>
    <w:rsid w:val="002B24B8"/>
    <w:rsid w:val="002C168F"/>
    <w:rsid w:val="002C6A0A"/>
    <w:rsid w:val="002D2744"/>
    <w:rsid w:val="002D3AE9"/>
    <w:rsid w:val="002D4510"/>
    <w:rsid w:val="002E7C70"/>
    <w:rsid w:val="002F0734"/>
    <w:rsid w:val="002F46E7"/>
    <w:rsid w:val="002F69B6"/>
    <w:rsid w:val="00300F85"/>
    <w:rsid w:val="0030591F"/>
    <w:rsid w:val="003101DA"/>
    <w:rsid w:val="003111C3"/>
    <w:rsid w:val="00314757"/>
    <w:rsid w:val="003163BC"/>
    <w:rsid w:val="003211CE"/>
    <w:rsid w:val="003332BF"/>
    <w:rsid w:val="00342B11"/>
    <w:rsid w:val="00347E19"/>
    <w:rsid w:val="0035403A"/>
    <w:rsid w:val="00361249"/>
    <w:rsid w:val="00362B61"/>
    <w:rsid w:val="0036394B"/>
    <w:rsid w:val="00364423"/>
    <w:rsid w:val="00366DB6"/>
    <w:rsid w:val="00367BFF"/>
    <w:rsid w:val="003709B5"/>
    <w:rsid w:val="003759C2"/>
    <w:rsid w:val="00377A14"/>
    <w:rsid w:val="00381DE2"/>
    <w:rsid w:val="00382E94"/>
    <w:rsid w:val="00395F5D"/>
    <w:rsid w:val="00397365"/>
    <w:rsid w:val="003A31F6"/>
    <w:rsid w:val="003B1925"/>
    <w:rsid w:val="003C00BE"/>
    <w:rsid w:val="003C074D"/>
    <w:rsid w:val="003C227F"/>
    <w:rsid w:val="003C33D2"/>
    <w:rsid w:val="003C3447"/>
    <w:rsid w:val="003D076C"/>
    <w:rsid w:val="003D17B5"/>
    <w:rsid w:val="003E78B5"/>
    <w:rsid w:val="003F04F4"/>
    <w:rsid w:val="003F0972"/>
    <w:rsid w:val="003F5454"/>
    <w:rsid w:val="00403611"/>
    <w:rsid w:val="004119E8"/>
    <w:rsid w:val="00415BAB"/>
    <w:rsid w:val="00415ED2"/>
    <w:rsid w:val="0042068C"/>
    <w:rsid w:val="00426D4C"/>
    <w:rsid w:val="004412C2"/>
    <w:rsid w:val="0044318E"/>
    <w:rsid w:val="00443B35"/>
    <w:rsid w:val="0047122B"/>
    <w:rsid w:val="00473B7A"/>
    <w:rsid w:val="00482988"/>
    <w:rsid w:val="0048359C"/>
    <w:rsid w:val="004960E9"/>
    <w:rsid w:val="004A2E88"/>
    <w:rsid w:val="004A5305"/>
    <w:rsid w:val="004C1414"/>
    <w:rsid w:val="004D015A"/>
    <w:rsid w:val="004D7634"/>
    <w:rsid w:val="004E06DC"/>
    <w:rsid w:val="004E611A"/>
    <w:rsid w:val="004F21EA"/>
    <w:rsid w:val="004F2F26"/>
    <w:rsid w:val="004F6460"/>
    <w:rsid w:val="00506035"/>
    <w:rsid w:val="005205BC"/>
    <w:rsid w:val="00520B77"/>
    <w:rsid w:val="005300D3"/>
    <w:rsid w:val="00534319"/>
    <w:rsid w:val="00536488"/>
    <w:rsid w:val="00542A10"/>
    <w:rsid w:val="00544F82"/>
    <w:rsid w:val="005509D2"/>
    <w:rsid w:val="005529F8"/>
    <w:rsid w:val="00552DAB"/>
    <w:rsid w:val="005805CE"/>
    <w:rsid w:val="00582D35"/>
    <w:rsid w:val="00584E78"/>
    <w:rsid w:val="00585262"/>
    <w:rsid w:val="00593C4F"/>
    <w:rsid w:val="005946A8"/>
    <w:rsid w:val="005A4407"/>
    <w:rsid w:val="005A59EF"/>
    <w:rsid w:val="005A7D6F"/>
    <w:rsid w:val="005B1C7E"/>
    <w:rsid w:val="005B260E"/>
    <w:rsid w:val="005B3CCC"/>
    <w:rsid w:val="005C6976"/>
    <w:rsid w:val="005D3205"/>
    <w:rsid w:val="005F6F41"/>
    <w:rsid w:val="00604C6B"/>
    <w:rsid w:val="0061057B"/>
    <w:rsid w:val="0062023D"/>
    <w:rsid w:val="0062328C"/>
    <w:rsid w:val="00625DC6"/>
    <w:rsid w:val="00640DF1"/>
    <w:rsid w:val="0064391D"/>
    <w:rsid w:val="00643DD5"/>
    <w:rsid w:val="00651821"/>
    <w:rsid w:val="00654384"/>
    <w:rsid w:val="00656AD8"/>
    <w:rsid w:val="00664DC2"/>
    <w:rsid w:val="006653B3"/>
    <w:rsid w:val="00665E18"/>
    <w:rsid w:val="006675CD"/>
    <w:rsid w:val="00667E7A"/>
    <w:rsid w:val="00670DD2"/>
    <w:rsid w:val="006736FE"/>
    <w:rsid w:val="00682C1C"/>
    <w:rsid w:val="00684D9B"/>
    <w:rsid w:val="0068510A"/>
    <w:rsid w:val="006852B3"/>
    <w:rsid w:val="006943F6"/>
    <w:rsid w:val="00697048"/>
    <w:rsid w:val="00697556"/>
    <w:rsid w:val="00697998"/>
    <w:rsid w:val="006B345C"/>
    <w:rsid w:val="006B4647"/>
    <w:rsid w:val="006B4C2B"/>
    <w:rsid w:val="006B52B9"/>
    <w:rsid w:val="006B6194"/>
    <w:rsid w:val="006B6D47"/>
    <w:rsid w:val="006C5AFE"/>
    <w:rsid w:val="006C7FDD"/>
    <w:rsid w:val="006D004B"/>
    <w:rsid w:val="006D57B4"/>
    <w:rsid w:val="006E0111"/>
    <w:rsid w:val="006F2EC8"/>
    <w:rsid w:val="006F3DF4"/>
    <w:rsid w:val="006F6D95"/>
    <w:rsid w:val="006F744F"/>
    <w:rsid w:val="00706F13"/>
    <w:rsid w:val="007072E8"/>
    <w:rsid w:val="00710948"/>
    <w:rsid w:val="00712DCF"/>
    <w:rsid w:val="00714E19"/>
    <w:rsid w:val="0071618D"/>
    <w:rsid w:val="00723E2E"/>
    <w:rsid w:val="0072503B"/>
    <w:rsid w:val="00725FA4"/>
    <w:rsid w:val="00726D02"/>
    <w:rsid w:val="00740446"/>
    <w:rsid w:val="007438A9"/>
    <w:rsid w:val="0074491E"/>
    <w:rsid w:val="00751567"/>
    <w:rsid w:val="007551A3"/>
    <w:rsid w:val="00762209"/>
    <w:rsid w:val="0076247A"/>
    <w:rsid w:val="00774074"/>
    <w:rsid w:val="00775964"/>
    <w:rsid w:val="007765FE"/>
    <w:rsid w:val="0077693C"/>
    <w:rsid w:val="00782B1B"/>
    <w:rsid w:val="00785AA6"/>
    <w:rsid w:val="00791CDE"/>
    <w:rsid w:val="00793130"/>
    <w:rsid w:val="00794E2E"/>
    <w:rsid w:val="00795BFB"/>
    <w:rsid w:val="00797D67"/>
    <w:rsid w:val="007B2760"/>
    <w:rsid w:val="007C0526"/>
    <w:rsid w:val="007C550C"/>
    <w:rsid w:val="007D3B4B"/>
    <w:rsid w:val="007E081E"/>
    <w:rsid w:val="00803C63"/>
    <w:rsid w:val="00803E8D"/>
    <w:rsid w:val="00806C01"/>
    <w:rsid w:val="008104DD"/>
    <w:rsid w:val="00811A33"/>
    <w:rsid w:val="008148CC"/>
    <w:rsid w:val="008211A4"/>
    <w:rsid w:val="00832303"/>
    <w:rsid w:val="00834C05"/>
    <w:rsid w:val="00840E0A"/>
    <w:rsid w:val="0084693A"/>
    <w:rsid w:val="00846EC8"/>
    <w:rsid w:val="00865FF3"/>
    <w:rsid w:val="00867499"/>
    <w:rsid w:val="00873150"/>
    <w:rsid w:val="0087657D"/>
    <w:rsid w:val="00880189"/>
    <w:rsid w:val="008807D5"/>
    <w:rsid w:val="0088081D"/>
    <w:rsid w:val="00880832"/>
    <w:rsid w:val="00885C9D"/>
    <w:rsid w:val="00886EE1"/>
    <w:rsid w:val="0088727D"/>
    <w:rsid w:val="00891D3D"/>
    <w:rsid w:val="00897C75"/>
    <w:rsid w:val="008B543E"/>
    <w:rsid w:val="008C1130"/>
    <w:rsid w:val="008C44D7"/>
    <w:rsid w:val="008C625C"/>
    <w:rsid w:val="008D18E6"/>
    <w:rsid w:val="008D7A9B"/>
    <w:rsid w:val="008D7CD9"/>
    <w:rsid w:val="008E0060"/>
    <w:rsid w:val="008E10C2"/>
    <w:rsid w:val="008E7091"/>
    <w:rsid w:val="008E76AC"/>
    <w:rsid w:val="008F21F6"/>
    <w:rsid w:val="008F5225"/>
    <w:rsid w:val="009040EB"/>
    <w:rsid w:val="00912843"/>
    <w:rsid w:val="009130F4"/>
    <w:rsid w:val="00917F2A"/>
    <w:rsid w:val="009259EF"/>
    <w:rsid w:val="0093268E"/>
    <w:rsid w:val="009334AB"/>
    <w:rsid w:val="00951F79"/>
    <w:rsid w:val="0096317D"/>
    <w:rsid w:val="00971064"/>
    <w:rsid w:val="00973135"/>
    <w:rsid w:val="00974AB5"/>
    <w:rsid w:val="00976C3A"/>
    <w:rsid w:val="0098706D"/>
    <w:rsid w:val="009935FB"/>
    <w:rsid w:val="0099731C"/>
    <w:rsid w:val="009A0B99"/>
    <w:rsid w:val="009A46CC"/>
    <w:rsid w:val="009A554B"/>
    <w:rsid w:val="009A5A51"/>
    <w:rsid w:val="009B21BF"/>
    <w:rsid w:val="009B387D"/>
    <w:rsid w:val="009B4A89"/>
    <w:rsid w:val="009B71C4"/>
    <w:rsid w:val="009C3579"/>
    <w:rsid w:val="009C6B5C"/>
    <w:rsid w:val="009C6D74"/>
    <w:rsid w:val="009F317F"/>
    <w:rsid w:val="009F436C"/>
    <w:rsid w:val="009F4A54"/>
    <w:rsid w:val="009F4BEC"/>
    <w:rsid w:val="009F5874"/>
    <w:rsid w:val="009F6554"/>
    <w:rsid w:val="00A11C0C"/>
    <w:rsid w:val="00A222F7"/>
    <w:rsid w:val="00A25FD7"/>
    <w:rsid w:val="00A43AFF"/>
    <w:rsid w:val="00A46E21"/>
    <w:rsid w:val="00A5627D"/>
    <w:rsid w:val="00A60448"/>
    <w:rsid w:val="00A74647"/>
    <w:rsid w:val="00A7793A"/>
    <w:rsid w:val="00A94F04"/>
    <w:rsid w:val="00AA4CC7"/>
    <w:rsid w:val="00AA5E8E"/>
    <w:rsid w:val="00AA67CB"/>
    <w:rsid w:val="00AB2BAD"/>
    <w:rsid w:val="00AB6CA7"/>
    <w:rsid w:val="00AC1896"/>
    <w:rsid w:val="00AC1DE8"/>
    <w:rsid w:val="00AD01E4"/>
    <w:rsid w:val="00AD0858"/>
    <w:rsid w:val="00AE02E3"/>
    <w:rsid w:val="00AE3816"/>
    <w:rsid w:val="00AE7340"/>
    <w:rsid w:val="00AF1BBD"/>
    <w:rsid w:val="00AF5B88"/>
    <w:rsid w:val="00B01C0B"/>
    <w:rsid w:val="00B10207"/>
    <w:rsid w:val="00B141E7"/>
    <w:rsid w:val="00B351B4"/>
    <w:rsid w:val="00B46BCA"/>
    <w:rsid w:val="00B472ED"/>
    <w:rsid w:val="00B478AA"/>
    <w:rsid w:val="00B757AC"/>
    <w:rsid w:val="00B807C6"/>
    <w:rsid w:val="00B832D3"/>
    <w:rsid w:val="00B83974"/>
    <w:rsid w:val="00B87806"/>
    <w:rsid w:val="00B87EC9"/>
    <w:rsid w:val="00BA21D9"/>
    <w:rsid w:val="00BA6A1B"/>
    <w:rsid w:val="00BB1212"/>
    <w:rsid w:val="00BB489D"/>
    <w:rsid w:val="00BB7D83"/>
    <w:rsid w:val="00BC38FD"/>
    <w:rsid w:val="00BC7514"/>
    <w:rsid w:val="00BD7834"/>
    <w:rsid w:val="00BE0C69"/>
    <w:rsid w:val="00BE2A30"/>
    <w:rsid w:val="00BE44D1"/>
    <w:rsid w:val="00C034CB"/>
    <w:rsid w:val="00C051A8"/>
    <w:rsid w:val="00C054BC"/>
    <w:rsid w:val="00C077F0"/>
    <w:rsid w:val="00C17897"/>
    <w:rsid w:val="00C218D9"/>
    <w:rsid w:val="00C2396E"/>
    <w:rsid w:val="00C23C3A"/>
    <w:rsid w:val="00C307CA"/>
    <w:rsid w:val="00C318C1"/>
    <w:rsid w:val="00C323F4"/>
    <w:rsid w:val="00C409D5"/>
    <w:rsid w:val="00C413EC"/>
    <w:rsid w:val="00C435C3"/>
    <w:rsid w:val="00C442AE"/>
    <w:rsid w:val="00C44E5F"/>
    <w:rsid w:val="00C46303"/>
    <w:rsid w:val="00C50242"/>
    <w:rsid w:val="00C51B7C"/>
    <w:rsid w:val="00C53CE1"/>
    <w:rsid w:val="00C6018C"/>
    <w:rsid w:val="00C6234B"/>
    <w:rsid w:val="00C62913"/>
    <w:rsid w:val="00C63EAE"/>
    <w:rsid w:val="00C676D7"/>
    <w:rsid w:val="00C71478"/>
    <w:rsid w:val="00C73260"/>
    <w:rsid w:val="00C7629F"/>
    <w:rsid w:val="00C81FA7"/>
    <w:rsid w:val="00C8661B"/>
    <w:rsid w:val="00C9710E"/>
    <w:rsid w:val="00CA03C8"/>
    <w:rsid w:val="00CA139A"/>
    <w:rsid w:val="00CA2899"/>
    <w:rsid w:val="00CA3A3D"/>
    <w:rsid w:val="00CA3AA6"/>
    <w:rsid w:val="00CA7045"/>
    <w:rsid w:val="00CA77FB"/>
    <w:rsid w:val="00CB379B"/>
    <w:rsid w:val="00CB52E7"/>
    <w:rsid w:val="00CB5DD0"/>
    <w:rsid w:val="00CC51D4"/>
    <w:rsid w:val="00CC65DA"/>
    <w:rsid w:val="00CE1567"/>
    <w:rsid w:val="00CF21B9"/>
    <w:rsid w:val="00CF6BF9"/>
    <w:rsid w:val="00CF73E4"/>
    <w:rsid w:val="00D0103B"/>
    <w:rsid w:val="00D03800"/>
    <w:rsid w:val="00D06207"/>
    <w:rsid w:val="00D065D3"/>
    <w:rsid w:val="00D06DC9"/>
    <w:rsid w:val="00D113B6"/>
    <w:rsid w:val="00D14C94"/>
    <w:rsid w:val="00D20326"/>
    <w:rsid w:val="00D342A6"/>
    <w:rsid w:val="00D37C5A"/>
    <w:rsid w:val="00D40ACD"/>
    <w:rsid w:val="00D45CA6"/>
    <w:rsid w:val="00D464BF"/>
    <w:rsid w:val="00D5196E"/>
    <w:rsid w:val="00D51A18"/>
    <w:rsid w:val="00D51F3A"/>
    <w:rsid w:val="00D53E26"/>
    <w:rsid w:val="00D62507"/>
    <w:rsid w:val="00D62AEF"/>
    <w:rsid w:val="00D800FB"/>
    <w:rsid w:val="00D87BAB"/>
    <w:rsid w:val="00DA2DD3"/>
    <w:rsid w:val="00DA79D3"/>
    <w:rsid w:val="00DB1452"/>
    <w:rsid w:val="00DB182C"/>
    <w:rsid w:val="00DB2512"/>
    <w:rsid w:val="00DB2F38"/>
    <w:rsid w:val="00DB3506"/>
    <w:rsid w:val="00DB7DD1"/>
    <w:rsid w:val="00DC523D"/>
    <w:rsid w:val="00DC61CA"/>
    <w:rsid w:val="00DD4F0E"/>
    <w:rsid w:val="00DD5F90"/>
    <w:rsid w:val="00DE313E"/>
    <w:rsid w:val="00DE6ADB"/>
    <w:rsid w:val="00DF0427"/>
    <w:rsid w:val="00DF0BF0"/>
    <w:rsid w:val="00DF3CA2"/>
    <w:rsid w:val="00E01463"/>
    <w:rsid w:val="00E050A5"/>
    <w:rsid w:val="00E05E0A"/>
    <w:rsid w:val="00E060BE"/>
    <w:rsid w:val="00E071AA"/>
    <w:rsid w:val="00E07610"/>
    <w:rsid w:val="00E10DC8"/>
    <w:rsid w:val="00E1475D"/>
    <w:rsid w:val="00E301AB"/>
    <w:rsid w:val="00E33847"/>
    <w:rsid w:val="00E42629"/>
    <w:rsid w:val="00E45130"/>
    <w:rsid w:val="00E534CF"/>
    <w:rsid w:val="00E53F1D"/>
    <w:rsid w:val="00E72208"/>
    <w:rsid w:val="00E73B4A"/>
    <w:rsid w:val="00E81CB4"/>
    <w:rsid w:val="00E8585B"/>
    <w:rsid w:val="00E87A49"/>
    <w:rsid w:val="00E87F41"/>
    <w:rsid w:val="00EA028C"/>
    <w:rsid w:val="00EA3F15"/>
    <w:rsid w:val="00EA7847"/>
    <w:rsid w:val="00EB0EE6"/>
    <w:rsid w:val="00EB1EF0"/>
    <w:rsid w:val="00EB4C2F"/>
    <w:rsid w:val="00EB69EB"/>
    <w:rsid w:val="00EC13D5"/>
    <w:rsid w:val="00EC2259"/>
    <w:rsid w:val="00EC69A4"/>
    <w:rsid w:val="00EC7ABD"/>
    <w:rsid w:val="00ED785A"/>
    <w:rsid w:val="00ED7F83"/>
    <w:rsid w:val="00EE10A1"/>
    <w:rsid w:val="00EE1D4E"/>
    <w:rsid w:val="00EE2E6E"/>
    <w:rsid w:val="00EE72F6"/>
    <w:rsid w:val="00F025B6"/>
    <w:rsid w:val="00F0759E"/>
    <w:rsid w:val="00F16A43"/>
    <w:rsid w:val="00F16ED0"/>
    <w:rsid w:val="00F17B1C"/>
    <w:rsid w:val="00F204CD"/>
    <w:rsid w:val="00F271B1"/>
    <w:rsid w:val="00F37643"/>
    <w:rsid w:val="00F46780"/>
    <w:rsid w:val="00F516DD"/>
    <w:rsid w:val="00F54157"/>
    <w:rsid w:val="00F67B58"/>
    <w:rsid w:val="00F75756"/>
    <w:rsid w:val="00F77D2D"/>
    <w:rsid w:val="00F80657"/>
    <w:rsid w:val="00F8112F"/>
    <w:rsid w:val="00F81CD3"/>
    <w:rsid w:val="00F821A3"/>
    <w:rsid w:val="00F9314A"/>
    <w:rsid w:val="00F940B2"/>
    <w:rsid w:val="00FA168A"/>
    <w:rsid w:val="00FA1D49"/>
    <w:rsid w:val="00FB3AA3"/>
    <w:rsid w:val="00FC58EF"/>
    <w:rsid w:val="00FD2EC7"/>
    <w:rsid w:val="00FD33DF"/>
    <w:rsid w:val="00FE39D7"/>
    <w:rsid w:val="00FE45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6FF6D5"/>
  <w15:chartTrackingRefBased/>
  <w15:docId w15:val="{70314FAE-EB64-4976-B826-93586001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8E10C2"/>
    <w:pPr>
      <w:ind w:left="0"/>
    </w:pPr>
    <w:rPr>
      <w:rFonts w:eastAsia="SimSun"/>
      <w:sz w:val="20"/>
      <w:szCs w:val="20"/>
      <w:lang w:val="es-CO" w:eastAsia="zh-CN"/>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E10C2"/>
    <w:rPr>
      <w:rFonts w:eastAsia="SimSun"/>
      <w:lang w:eastAsia="zh-CN"/>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8E10C2"/>
    <w:rPr>
      <w:vertAlign w:val="superscript"/>
    </w:rPr>
  </w:style>
  <w:style w:type="character" w:styleId="Refdecomentario">
    <w:name w:val="annotation reference"/>
    <w:basedOn w:val="Fuentedeprrafopredeter"/>
    <w:uiPriority w:val="99"/>
    <w:semiHidden/>
    <w:unhideWhenUsed/>
    <w:rsid w:val="00EB0EE6"/>
    <w:rPr>
      <w:sz w:val="16"/>
      <w:szCs w:val="16"/>
    </w:rPr>
  </w:style>
  <w:style w:type="paragraph" w:styleId="Textocomentario">
    <w:name w:val="annotation text"/>
    <w:basedOn w:val="Normal"/>
    <w:link w:val="TextocomentarioCar"/>
    <w:uiPriority w:val="99"/>
    <w:semiHidden/>
    <w:unhideWhenUsed/>
    <w:rsid w:val="00791CDE"/>
    <w:rPr>
      <w:sz w:val="20"/>
      <w:szCs w:val="20"/>
    </w:rPr>
  </w:style>
  <w:style w:type="character" w:customStyle="1" w:styleId="TextocomentarioCar">
    <w:name w:val="Texto comentario Car"/>
    <w:basedOn w:val="Fuentedeprrafopredeter"/>
    <w:link w:val="Textocomentario"/>
    <w:uiPriority w:val="99"/>
    <w:semiHidden/>
    <w:rsid w:val="00791CDE"/>
    <w:rPr>
      <w:lang w:val="es-ES" w:eastAsia="es-ES"/>
    </w:rPr>
  </w:style>
  <w:style w:type="paragraph" w:styleId="Asuntodelcomentario">
    <w:name w:val="annotation subject"/>
    <w:basedOn w:val="Textocomentario"/>
    <w:next w:val="Textocomentario"/>
    <w:link w:val="AsuntodelcomentarioCar"/>
    <w:uiPriority w:val="99"/>
    <w:semiHidden/>
    <w:unhideWhenUsed/>
    <w:rsid w:val="00791CDE"/>
    <w:rPr>
      <w:b/>
      <w:bCs/>
    </w:rPr>
  </w:style>
  <w:style w:type="character" w:customStyle="1" w:styleId="AsuntodelcomentarioCar">
    <w:name w:val="Asunto del comentario Car"/>
    <w:basedOn w:val="TextocomentarioCar"/>
    <w:link w:val="Asuntodelcomentario"/>
    <w:uiPriority w:val="99"/>
    <w:semiHidden/>
    <w:rsid w:val="00791CDE"/>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4BD23-0520-4CAB-A15B-95AF546F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2907</Words>
  <Characters>15990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2021-03-12T19:47:00Z</cp:lastPrinted>
  <dcterms:created xsi:type="dcterms:W3CDTF">2021-04-20T20:20:00Z</dcterms:created>
  <dcterms:modified xsi:type="dcterms:W3CDTF">2021-04-20T20:20:00Z</dcterms:modified>
</cp:coreProperties>
</file>