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4329" w14:textId="77777777" w:rsidR="00526A24" w:rsidRPr="001954E9" w:rsidRDefault="00A93098" w:rsidP="00DE078F">
      <w:pPr>
        <w:pStyle w:val="Ttulo4"/>
        <w:tabs>
          <w:tab w:val="left" w:pos="0"/>
          <w:tab w:val="right" w:pos="9356"/>
        </w:tabs>
        <w:spacing w:before="360" w:after="360"/>
        <w:ind w:left="9356" w:hanging="9356"/>
        <w:rPr>
          <w:rFonts w:ascii="Bookman Old Style" w:hAnsi="Bookman Old Style"/>
          <w:b w:val="0"/>
          <w:bCs/>
          <w:noProof/>
          <w:sz w:val="24"/>
          <w:szCs w:val="24"/>
          <w:lang w:val="es-ES"/>
        </w:rPr>
      </w:pPr>
      <w:bookmarkStart w:id="0" w:name="_GoBack"/>
      <w:bookmarkEnd w:id="0"/>
      <w:r>
        <w:rPr>
          <w:rFonts w:ascii="Bookman Old Style" w:hAnsi="Bookman Old Style"/>
          <w:noProof/>
          <w:szCs w:val="24"/>
        </w:rPr>
        <w:object w:dxaOrig="1440" w:dyaOrig="1440" w14:anchorId="1458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15pt;margin-top:-53.35pt;width:45.75pt;height:48.75pt;z-index:251659776" fillcolor="#0c9">
            <v:imagedata r:id="rId8" o:title="" cropright="8426f"/>
          </v:shape>
          <o:OLEObject Type="Embed" ProgID="PBrush" ShapeID="_x0000_s1027" DrawAspect="Content" ObjectID="_1596009736" r:id="rId9"/>
        </w:object>
      </w:r>
      <w:r w:rsidR="00526A24" w:rsidRPr="001954E9">
        <w:rPr>
          <w:rFonts w:ascii="Bookman Old Style" w:hAnsi="Bookman Old Style"/>
          <w:b w:val="0"/>
          <w:bCs/>
          <w:sz w:val="24"/>
          <w:szCs w:val="24"/>
        </w:rPr>
        <w:t>Ministerio de Minas y Energía</w:t>
      </w:r>
    </w:p>
    <w:p w14:paraId="7D4B3D61" w14:textId="77777777" w:rsidR="00526A24" w:rsidRPr="001954E9" w:rsidRDefault="00526A24" w:rsidP="00526A24">
      <w:pPr>
        <w:pStyle w:val="Ttulo3"/>
        <w:tabs>
          <w:tab w:val="left" w:pos="0"/>
          <w:tab w:val="right" w:pos="9356"/>
        </w:tabs>
        <w:spacing w:before="360" w:after="60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4A7EA900" w14:textId="511CF11D" w:rsidR="00526A24" w:rsidRPr="001954E9" w:rsidRDefault="00526A24" w:rsidP="00526A24">
      <w:pPr>
        <w:pStyle w:val="Ttulo5"/>
        <w:tabs>
          <w:tab w:val="left" w:pos="0"/>
          <w:tab w:val="right" w:pos="9356"/>
        </w:tabs>
        <w:spacing w:before="240" w:after="360"/>
        <w:ind w:left="0"/>
        <w:rPr>
          <w:rFonts w:ascii="Bookman Old Style" w:hAnsi="Bookman Old Style"/>
          <w:sz w:val="24"/>
          <w:szCs w:val="24"/>
        </w:rPr>
      </w:pPr>
      <w:r w:rsidRPr="001954E9">
        <w:rPr>
          <w:rFonts w:ascii="Bookman Old Style" w:hAnsi="Bookman Old Style"/>
          <w:sz w:val="24"/>
          <w:szCs w:val="24"/>
        </w:rPr>
        <w:t>RESOLUCIÓN No.                   DE 201</w:t>
      </w:r>
      <w:r w:rsidR="00654AD5">
        <w:rPr>
          <w:rFonts w:ascii="Bookman Old Style" w:hAnsi="Bookman Old Style"/>
          <w:sz w:val="24"/>
          <w:szCs w:val="24"/>
        </w:rPr>
        <w:t>8</w:t>
      </w:r>
    </w:p>
    <w:p w14:paraId="78263B17" w14:textId="77777777" w:rsidR="00526A24" w:rsidRPr="001954E9" w:rsidRDefault="00526A24" w:rsidP="00526A24">
      <w:pPr>
        <w:pStyle w:val="Ttulo3"/>
        <w:tabs>
          <w:tab w:val="left" w:pos="0"/>
          <w:tab w:val="right" w:pos="9356"/>
        </w:tabs>
        <w:spacing w:before="360" w:after="720"/>
        <w:ind w:left="0"/>
        <w:rPr>
          <w:rFonts w:ascii="Bookman Old Style" w:hAnsi="Bookman Old Style"/>
          <w:b w:val="0"/>
          <w:szCs w:val="24"/>
        </w:rPr>
      </w:pPr>
      <w:r w:rsidRPr="001954E9">
        <w:rPr>
          <w:rFonts w:ascii="Bookman Old Style" w:hAnsi="Bookman Old Style"/>
          <w:b w:val="0"/>
          <w:szCs w:val="24"/>
        </w:rPr>
        <w:t>(                                  )</w:t>
      </w:r>
    </w:p>
    <w:p w14:paraId="6DB5D63E" w14:textId="761D9FF9" w:rsidR="00526A24" w:rsidRPr="001954E9" w:rsidRDefault="00526A24" w:rsidP="00526A24">
      <w:pPr>
        <w:widowControl w:val="0"/>
        <w:adjustRightInd w:val="0"/>
        <w:ind w:left="0" w:right="20"/>
        <w:jc w:val="center"/>
        <w:rPr>
          <w:rFonts w:ascii="Bookman Old Style" w:hAnsi="Bookman Old Style" w:cs="Arial"/>
          <w:lang w:val="es-ES_tradnl"/>
        </w:rPr>
      </w:pPr>
      <w:r w:rsidRPr="001954E9">
        <w:rPr>
          <w:rFonts w:ascii="Bookman Old Style" w:hAnsi="Bookman Old Style" w:cs="Arial"/>
          <w:lang w:val="es-ES_tradnl"/>
        </w:rPr>
        <w:t xml:space="preserve">Por la cual se aprueba cargo transitorio </w:t>
      </w:r>
      <w:r w:rsidRPr="00D03E47">
        <w:rPr>
          <w:rFonts w:ascii="Bookman Old Style" w:hAnsi="Bookman Old Style" w:cs="Arial"/>
          <w:lang w:val="es-ES_tradnl"/>
        </w:rPr>
        <w:t xml:space="preserve">por uso del </w:t>
      </w:r>
      <w:r>
        <w:rPr>
          <w:rFonts w:ascii="Bookman Old Style" w:hAnsi="Bookman Old Style" w:cs="Arial"/>
          <w:lang w:val="es-ES_tradnl"/>
        </w:rPr>
        <w:t>s</w:t>
      </w:r>
      <w:r w:rsidRPr="00D03E47">
        <w:rPr>
          <w:rFonts w:ascii="Bookman Old Style" w:hAnsi="Bookman Old Style" w:cs="Arial"/>
          <w:lang w:val="es-ES_tradnl"/>
        </w:rPr>
        <w:t xml:space="preserve">istema de </w:t>
      </w:r>
      <w:r>
        <w:rPr>
          <w:rFonts w:ascii="Bookman Old Style" w:hAnsi="Bookman Old Style" w:cs="Arial"/>
          <w:lang w:val="es-ES_tradnl"/>
        </w:rPr>
        <w:t>d</w:t>
      </w:r>
      <w:r w:rsidRPr="00D03E47">
        <w:rPr>
          <w:rFonts w:ascii="Bookman Old Style" w:hAnsi="Bookman Old Style" w:cs="Arial"/>
          <w:lang w:val="es-ES_tradnl"/>
        </w:rPr>
        <w:t xml:space="preserve">istribución de gas combustible por redes de tubería, </w:t>
      </w:r>
      <w:r>
        <w:rPr>
          <w:rFonts w:ascii="Bookman Old Style" w:hAnsi="Bookman Old Style" w:cs="Arial"/>
          <w:lang w:val="es-ES_tradnl"/>
        </w:rPr>
        <w:t xml:space="preserve">para el mercado relevante conformado por </w:t>
      </w:r>
      <w:r w:rsidR="006423C2" w:rsidRPr="00D72D22">
        <w:rPr>
          <w:rFonts w:ascii="Bookman Old Style" w:hAnsi="Bookman Old Style" w:cs="Arial"/>
          <w:lang w:val="es-ES_tradnl"/>
        </w:rPr>
        <w:t>los municipios de Nátaga, Colombia, Elías, Íquira, Isnos, La Argentina, Oporapa, Palestina, Saladoblanco, Santa María y Acevedo en el departamento de Huila</w:t>
      </w:r>
      <w:r w:rsidRPr="00D72D22">
        <w:rPr>
          <w:rFonts w:ascii="Bookman Old Style" w:hAnsi="Bookman Old Style" w:cs="Arial"/>
          <w:lang w:val="es-ES_tradnl"/>
        </w:rPr>
        <w:t xml:space="preserve">, según solicitud tarifaria presentada por </w:t>
      </w:r>
      <w:r w:rsidR="006423C2" w:rsidRPr="00D72D22">
        <w:rPr>
          <w:rFonts w:ascii="Bookman Old Style" w:hAnsi="Bookman Old Style" w:cs="Arial"/>
          <w:lang w:val="es-ES_tradnl"/>
        </w:rPr>
        <w:t>SURCOLOMBIANA DE GAS S.A. E.S.P.</w:t>
      </w:r>
    </w:p>
    <w:p w14:paraId="73E8F025" w14:textId="463EC7E9" w:rsidR="00526A24" w:rsidRPr="001954E9" w:rsidRDefault="00526A24" w:rsidP="00526A24">
      <w:pPr>
        <w:pStyle w:val="Ttulo7"/>
        <w:spacing w:before="720" w:after="480"/>
        <w:ind w:left="0"/>
        <w:jc w:val="center"/>
        <w:rPr>
          <w:rFonts w:ascii="Bookman Old Style" w:hAnsi="Bookman Old Style"/>
          <w:b/>
        </w:rPr>
      </w:pPr>
      <w:r w:rsidRPr="001954E9">
        <w:rPr>
          <w:rFonts w:ascii="Bookman Old Style" w:hAnsi="Bookman Old Style"/>
          <w:b/>
        </w:rPr>
        <w:t>LA COMISIÓN DE REGULACIÓN DE ENERGÍA Y GAS</w:t>
      </w:r>
    </w:p>
    <w:p w14:paraId="4A51C3BC" w14:textId="723C9AB8" w:rsidR="00526A24" w:rsidRDefault="00526A24" w:rsidP="00526A24">
      <w:pPr>
        <w:ind w:left="0"/>
        <w:jc w:val="center"/>
        <w:rPr>
          <w:rFonts w:ascii="Bookman Old Style" w:hAnsi="Bookman Old Style" w:cs="Arial"/>
        </w:rPr>
      </w:pPr>
      <w:r w:rsidRPr="001954E9">
        <w:rPr>
          <w:rFonts w:ascii="Bookman Old Style" w:hAnsi="Bookman Old Style" w:cs="Arial"/>
        </w:rPr>
        <w:t>En ejercicio de sus atribuciones constitucionales y legales, en especial las conferidas por la Ley 142 de 1994, y en desarrollo de los decretos 2253 de 1994 y 1260 de 2013, y</w:t>
      </w:r>
    </w:p>
    <w:p w14:paraId="1A086C8C" w14:textId="77777777" w:rsidR="00115B8D" w:rsidRPr="001954E9" w:rsidRDefault="00115B8D" w:rsidP="00526A24">
      <w:pPr>
        <w:ind w:left="0"/>
        <w:jc w:val="center"/>
        <w:rPr>
          <w:rFonts w:ascii="Bookman Old Style" w:hAnsi="Bookman Old Style" w:cs="Arial"/>
        </w:rPr>
      </w:pPr>
    </w:p>
    <w:p w14:paraId="400F1A21" w14:textId="5038F952" w:rsidR="001C0019" w:rsidRDefault="001C0019" w:rsidP="00115B8D">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4C19D0D" w14:textId="77777777" w:rsidR="00115B8D" w:rsidRPr="001954E9" w:rsidRDefault="00115B8D" w:rsidP="00115B8D">
      <w:pPr>
        <w:ind w:left="0"/>
        <w:jc w:val="center"/>
        <w:rPr>
          <w:rFonts w:ascii="Bookman Old Style" w:hAnsi="Bookman Old Style" w:cs="Arial"/>
          <w:b/>
        </w:rPr>
      </w:pPr>
    </w:p>
    <w:p w14:paraId="1E6A43F9" w14:textId="77777777" w:rsidR="001C0019" w:rsidRPr="00930A2B" w:rsidRDefault="001C0019" w:rsidP="002A3E31">
      <w:pPr>
        <w:pStyle w:val="Prrafodelista"/>
        <w:keepNext/>
        <w:numPr>
          <w:ilvl w:val="0"/>
          <w:numId w:val="35"/>
        </w:numPr>
        <w:tabs>
          <w:tab w:val="left" w:pos="567"/>
        </w:tabs>
        <w:spacing w:before="240" w:after="240"/>
        <w:ind w:hanging="720"/>
        <w:jc w:val="both"/>
        <w:rPr>
          <w:rFonts w:ascii="Bookman Old Style" w:hAnsi="Bookman Old Style" w:cs="Arial"/>
          <w:b/>
          <w:sz w:val="24"/>
          <w:szCs w:val="24"/>
        </w:rPr>
      </w:pPr>
      <w:r>
        <w:rPr>
          <w:rFonts w:ascii="Bookman Old Style" w:hAnsi="Bookman Old Style" w:cs="Arial"/>
          <w:b/>
          <w:sz w:val="24"/>
          <w:szCs w:val="24"/>
        </w:rPr>
        <w:t>Antecedentes</w:t>
      </w:r>
    </w:p>
    <w:p w14:paraId="6DBE7515" w14:textId="40B2C6CA" w:rsidR="001C001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w:t>
      </w:r>
      <w:r>
        <w:rPr>
          <w:rFonts w:ascii="Bookman Old Style" w:hAnsi="Bookman Old Style" w:cs="Arial"/>
        </w:rPr>
        <w:t>, por tubería u otro medio, desde un sitio de acopio de grandes volúmenes o desde un gasoducto central hasta la instalación de un consumidor final, incluyendo su conexión y medición</w:t>
      </w:r>
      <w:r w:rsidRPr="001954E9">
        <w:rPr>
          <w:rFonts w:ascii="Bookman Old Style" w:hAnsi="Bookman Old Style" w:cs="Arial"/>
        </w:rPr>
        <w:t>.</w:t>
      </w:r>
    </w:p>
    <w:p w14:paraId="3E9E875D" w14:textId="77777777"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 operación de redes para el transporte de gas, así como el señalamiento de las tarifas por uso, se regirán exclusivamente por esa Ley</w:t>
      </w:r>
      <w:r>
        <w:rPr>
          <w:rFonts w:ascii="Bookman Old Style" w:hAnsi="Bookman Old Style" w:cs="Arial"/>
        </w:rPr>
        <w:t xml:space="preserve"> y por las normas ambientales, sanitarias y municipales a las que se alude en los artículos 25 y 26 de la misma</w:t>
      </w:r>
      <w:r w:rsidRPr="001954E9">
        <w:rPr>
          <w:rFonts w:ascii="Bookman Old Style" w:hAnsi="Bookman Old Style" w:cs="Arial"/>
        </w:rPr>
        <w:t>.</w:t>
      </w:r>
    </w:p>
    <w:p w14:paraId="62BBC171" w14:textId="77777777"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14:paraId="57F8F0E7" w14:textId="0CEA99D2" w:rsidR="001C0019" w:rsidRPr="001954E9" w:rsidRDefault="001C0019" w:rsidP="002A3E31">
      <w:pPr>
        <w:widowControl w:val="0"/>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w:t>
      </w:r>
      <w:r w:rsidR="0073074A">
        <w:rPr>
          <w:rFonts w:ascii="Bookman Old Style" w:hAnsi="Bookman Old Style" w:cs="Arial"/>
        </w:rPr>
        <w:t>es máximos y mínimos tarifarios</w:t>
      </w:r>
      <w:r w:rsidRPr="001954E9">
        <w:rPr>
          <w:rFonts w:ascii="Bookman Old Style" w:hAnsi="Bookman Old Style" w:cs="Arial"/>
        </w:rPr>
        <w:t xml:space="preserve"> de obligatorio cumplimiento por parte de las empresas.</w:t>
      </w:r>
    </w:p>
    <w:p w14:paraId="45A9D14F" w14:textId="77777777" w:rsidR="00115B8D" w:rsidRDefault="00115B8D" w:rsidP="00115B8D">
      <w:pPr>
        <w:adjustRightInd w:val="0"/>
        <w:ind w:left="0"/>
        <w:jc w:val="both"/>
        <w:rPr>
          <w:rFonts w:ascii="Bookman Old Style" w:hAnsi="Bookman Old Style" w:cs="Arial"/>
        </w:rPr>
      </w:pPr>
    </w:p>
    <w:p w14:paraId="043EBA7E" w14:textId="18D53047" w:rsidR="001C0019" w:rsidRDefault="001C0019" w:rsidP="00D334AC">
      <w:pPr>
        <w:adjustRightInd w:val="0"/>
        <w:spacing w:after="240"/>
        <w:ind w:left="0"/>
        <w:jc w:val="both"/>
        <w:rPr>
          <w:rFonts w:ascii="Bookman Old Style" w:hAnsi="Bookman Old Style" w:cs="Arial"/>
        </w:rPr>
      </w:pPr>
      <w:r w:rsidRPr="00166398">
        <w:rPr>
          <w:rFonts w:ascii="Bookman Old Style" w:hAnsi="Bookman Old Style" w:cs="Arial"/>
        </w:rPr>
        <w:t>Por medio de la Resolución CREG 011 de 2003 se establecieron los criterios generales para remunerar las actividades de distribución y comercialización de gas combustible, y las fórmulas generales para la prestación del servicio público domiciliario de distribución de gas combustible por redes de tubería a usuarios regulados en áreas de servicio no exclusivo.</w:t>
      </w:r>
    </w:p>
    <w:p w14:paraId="75852ED0" w14:textId="77777777"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Con base en esa metodología tarifaria se expidieron cargos de distribución y comercialización de gas combustible por red de tuberías a partir del año 2003. Los mercados para los cuales se establecieron dichos cargos se constituyen, a la fecha, como mercados relevantes existentes.</w:t>
      </w:r>
    </w:p>
    <w:p w14:paraId="73208212" w14:textId="77777777" w:rsidR="006423C2" w:rsidRDefault="006423C2" w:rsidP="006423C2">
      <w:pPr>
        <w:adjustRightInd w:val="0"/>
        <w:spacing w:before="240" w:after="240"/>
        <w:ind w:left="0" w:right="23"/>
        <w:jc w:val="both"/>
        <w:rPr>
          <w:rFonts w:ascii="Bookman Old Style" w:hAnsi="Bookman Old Style"/>
          <w:shd w:val="clear" w:color="auto" w:fill="FFFFFF"/>
        </w:rPr>
      </w:pPr>
      <w:r w:rsidRPr="00177C98">
        <w:rPr>
          <w:rFonts w:ascii="Bookman Old Style" w:hAnsi="Bookman Old Style"/>
          <w:shd w:val="clear" w:color="auto" w:fill="FFFFFF"/>
        </w:rPr>
        <w:t xml:space="preserve">Con las siguientes resoluciones se aprobaron </w:t>
      </w:r>
      <w:r w:rsidRPr="00F52C21">
        <w:rPr>
          <w:rFonts w:ascii="Bookman Old Style" w:hAnsi="Bookman Old Style"/>
          <w:shd w:val="clear" w:color="auto" w:fill="FFFFFF"/>
        </w:rPr>
        <w:t>el Cargo Promedio de Distribución por uso del Sistema de Distribución de gas combustible por red y el Cargo Máximo Base de Comercialización de gas combustible por redes a usuarios regulados</w:t>
      </w:r>
      <w:r w:rsidRPr="00177C98">
        <w:rPr>
          <w:rFonts w:ascii="Bookman Old Style" w:hAnsi="Bookman Old Style"/>
          <w:shd w:val="clear" w:color="auto" w:fill="FFFFFF"/>
        </w:rPr>
        <w:t>, para los siguientes mercados relevantes atendidos por la empresa SUR</w:t>
      </w:r>
      <w:r>
        <w:rPr>
          <w:rFonts w:ascii="Bookman Old Style" w:hAnsi="Bookman Old Style"/>
          <w:shd w:val="clear" w:color="auto" w:fill="FFFFFF"/>
        </w:rPr>
        <w:t xml:space="preserve">COLOMBIANA DE </w:t>
      </w:r>
      <w:r w:rsidRPr="00177C98">
        <w:rPr>
          <w:rFonts w:ascii="Bookman Old Style" w:hAnsi="Bookman Old Style"/>
          <w:shd w:val="clear" w:color="auto" w:fill="FFFFFF"/>
        </w:rPr>
        <w:t>GAS S.A. E.S.P.:</w:t>
      </w:r>
    </w:p>
    <w:p w14:paraId="7A4251FB" w14:textId="7B444B23" w:rsidR="006423C2"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177C98">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ón CREG 114</w:t>
      </w:r>
      <w:r w:rsidRPr="00177C98">
        <w:rPr>
          <w:rFonts w:ascii="Bookman Old Style" w:hAnsi="Bookman Old Style"/>
          <w:sz w:val="24"/>
          <w:szCs w:val="24"/>
          <w:shd w:val="clear" w:color="auto" w:fill="FFFFFF"/>
        </w:rPr>
        <w:t xml:space="preserve"> de 200</w:t>
      </w:r>
      <w:r>
        <w:rPr>
          <w:rFonts w:ascii="Bookman Old Style" w:hAnsi="Bookman Old Style"/>
          <w:sz w:val="24"/>
          <w:szCs w:val="24"/>
          <w:shd w:val="clear" w:color="auto" w:fill="FFFFFF"/>
        </w:rPr>
        <w:t>7</w:t>
      </w:r>
      <w:r w:rsidRPr="00177C98">
        <w:rPr>
          <w:rFonts w:ascii="Bookman Old Style" w:hAnsi="Bookman Old Style"/>
          <w:sz w:val="24"/>
          <w:szCs w:val="24"/>
          <w:shd w:val="clear" w:color="auto" w:fill="FFFFFF"/>
        </w:rPr>
        <w:t>: para el mercado relevante conformado por l</w:t>
      </w:r>
      <w:r>
        <w:rPr>
          <w:rFonts w:ascii="Bookman Old Style" w:hAnsi="Bookman Old Style"/>
          <w:sz w:val="24"/>
          <w:szCs w:val="24"/>
          <w:shd w:val="clear" w:color="auto" w:fill="FFFFFF"/>
        </w:rPr>
        <w:t>os</w:t>
      </w:r>
      <w:r w:rsidRPr="00177C98">
        <w:rPr>
          <w:rFonts w:ascii="Bookman Old Style" w:hAnsi="Bookman Old Style"/>
          <w:sz w:val="24"/>
          <w:szCs w:val="24"/>
          <w:shd w:val="clear" w:color="auto" w:fill="FFFFFF"/>
        </w:rPr>
        <w:t xml:space="preserve"> municipio</w:t>
      </w:r>
      <w:r>
        <w:rPr>
          <w:rFonts w:ascii="Bookman Old Style" w:hAnsi="Bookman Old Style"/>
          <w:sz w:val="24"/>
          <w:szCs w:val="24"/>
          <w:shd w:val="clear" w:color="auto" w:fill="FFFFFF"/>
        </w:rPr>
        <w:t>s</w:t>
      </w:r>
      <w:r w:rsidRPr="00177C98">
        <w:rPr>
          <w:rFonts w:ascii="Bookman Old Style" w:hAnsi="Bookman Old Style"/>
          <w:sz w:val="24"/>
          <w:szCs w:val="24"/>
          <w:shd w:val="clear" w:color="auto" w:fill="FFFFFF"/>
        </w:rPr>
        <w:t xml:space="preserve"> de </w:t>
      </w:r>
      <w:r>
        <w:rPr>
          <w:rFonts w:ascii="Bookman Old Style" w:hAnsi="Bookman Old Style"/>
          <w:sz w:val="24"/>
          <w:szCs w:val="24"/>
          <w:shd w:val="clear" w:color="auto" w:fill="FFFFFF"/>
        </w:rPr>
        <w:t>Nátaga y Colombia</w:t>
      </w:r>
      <w:r w:rsidRPr="00177C98">
        <w:rPr>
          <w:rFonts w:ascii="Bookman Old Style" w:hAnsi="Bookman Old Style"/>
          <w:sz w:val="24"/>
          <w:szCs w:val="24"/>
          <w:shd w:val="clear" w:color="auto" w:fill="FFFFFF"/>
        </w:rPr>
        <w:t xml:space="preserve"> en el departamento de Huila.</w:t>
      </w:r>
    </w:p>
    <w:p w14:paraId="63B69D9C" w14:textId="40AFBA77" w:rsidR="006423C2" w:rsidRPr="00D72D22"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056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Elías</w:t>
      </w:r>
      <w:r w:rsidRPr="006C4554">
        <w:rPr>
          <w:rFonts w:ascii="Bookman Old Style" w:hAnsi="Bookman Old Style"/>
          <w:sz w:val="24"/>
          <w:szCs w:val="24"/>
          <w:shd w:val="clear" w:color="auto" w:fill="FFFFFF"/>
        </w:rPr>
        <w:t xml:space="preserve"> en el departamento de Huila.</w:t>
      </w:r>
    </w:p>
    <w:p w14:paraId="6A7C7530" w14:textId="45DD38AB" w:rsidR="006423C2" w:rsidRPr="00177C98"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057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Íquira</w:t>
      </w:r>
      <w:r w:rsidRPr="006C4554">
        <w:rPr>
          <w:rFonts w:ascii="Bookman Old Style" w:hAnsi="Bookman Old Style"/>
          <w:sz w:val="24"/>
          <w:szCs w:val="24"/>
          <w:shd w:val="clear" w:color="auto" w:fill="FFFFFF"/>
        </w:rPr>
        <w:t xml:space="preserve"> en el departamento de Huila.</w:t>
      </w:r>
    </w:p>
    <w:p w14:paraId="0F07CB8E" w14:textId="353B984B" w:rsidR="006423C2" w:rsidRPr="00177C98"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058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Isnos</w:t>
      </w:r>
      <w:r w:rsidRPr="006C4554">
        <w:rPr>
          <w:rFonts w:ascii="Bookman Old Style" w:hAnsi="Bookman Old Style"/>
          <w:sz w:val="24"/>
          <w:szCs w:val="24"/>
          <w:shd w:val="clear" w:color="auto" w:fill="FFFFFF"/>
        </w:rPr>
        <w:t xml:space="preserve"> en el departamento de Huila.</w:t>
      </w:r>
    </w:p>
    <w:p w14:paraId="76B6AB15" w14:textId="696246FD" w:rsidR="006423C2" w:rsidRPr="00177C98"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055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La Argentina</w:t>
      </w:r>
      <w:r w:rsidRPr="006C4554">
        <w:rPr>
          <w:rFonts w:ascii="Bookman Old Style" w:hAnsi="Bookman Old Style"/>
          <w:sz w:val="24"/>
          <w:szCs w:val="24"/>
          <w:shd w:val="clear" w:color="auto" w:fill="FFFFFF"/>
        </w:rPr>
        <w:t xml:space="preserve"> en el departamento de Huila.</w:t>
      </w:r>
    </w:p>
    <w:p w14:paraId="5F754CAF" w14:textId="5AE50874" w:rsidR="006423C2" w:rsidRPr="00D72D22"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059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Oporapa</w:t>
      </w:r>
      <w:r w:rsidRPr="006C4554">
        <w:rPr>
          <w:rFonts w:ascii="Bookman Old Style" w:hAnsi="Bookman Old Style"/>
          <w:sz w:val="24"/>
          <w:szCs w:val="24"/>
          <w:shd w:val="clear" w:color="auto" w:fill="FFFFFF"/>
        </w:rPr>
        <w:t xml:space="preserve"> en el departamento de Huila.</w:t>
      </w:r>
    </w:p>
    <w:p w14:paraId="15629E26" w14:textId="2ACC6A65" w:rsidR="006423C2"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177C98">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ón CREG 151</w:t>
      </w:r>
      <w:r w:rsidRPr="00177C98">
        <w:rPr>
          <w:rFonts w:ascii="Bookman Old Style" w:hAnsi="Bookman Old Style"/>
          <w:sz w:val="24"/>
          <w:szCs w:val="24"/>
          <w:shd w:val="clear" w:color="auto" w:fill="FFFFFF"/>
        </w:rPr>
        <w:t xml:space="preserve"> de 20</w:t>
      </w:r>
      <w:r>
        <w:rPr>
          <w:rFonts w:ascii="Bookman Old Style" w:hAnsi="Bookman Old Style"/>
          <w:sz w:val="24"/>
          <w:szCs w:val="24"/>
          <w:shd w:val="clear" w:color="auto" w:fill="FFFFFF"/>
        </w:rPr>
        <w:t>1</w:t>
      </w:r>
      <w:r w:rsidRPr="00177C98">
        <w:rPr>
          <w:rFonts w:ascii="Bookman Old Style" w:hAnsi="Bookman Old Style"/>
          <w:sz w:val="24"/>
          <w:szCs w:val="24"/>
          <w:shd w:val="clear" w:color="auto" w:fill="FFFFFF"/>
        </w:rPr>
        <w:t>0: para el mercado relevante conformado por l</w:t>
      </w:r>
      <w:r>
        <w:rPr>
          <w:rFonts w:ascii="Bookman Old Style" w:hAnsi="Bookman Old Style"/>
          <w:sz w:val="24"/>
          <w:szCs w:val="24"/>
          <w:shd w:val="clear" w:color="auto" w:fill="FFFFFF"/>
        </w:rPr>
        <w:t>os</w:t>
      </w:r>
      <w:r w:rsidRPr="00177C98">
        <w:rPr>
          <w:rFonts w:ascii="Bookman Old Style" w:hAnsi="Bookman Old Style"/>
          <w:sz w:val="24"/>
          <w:szCs w:val="24"/>
          <w:shd w:val="clear" w:color="auto" w:fill="FFFFFF"/>
        </w:rPr>
        <w:t xml:space="preserve"> municipio</w:t>
      </w:r>
      <w:r>
        <w:rPr>
          <w:rFonts w:ascii="Bookman Old Style" w:hAnsi="Bookman Old Style"/>
          <w:sz w:val="24"/>
          <w:szCs w:val="24"/>
          <w:shd w:val="clear" w:color="auto" w:fill="FFFFFF"/>
        </w:rPr>
        <w:t>s</w:t>
      </w:r>
      <w:r w:rsidRPr="00177C98">
        <w:rPr>
          <w:rFonts w:ascii="Bookman Old Style" w:hAnsi="Bookman Old Style"/>
          <w:sz w:val="24"/>
          <w:szCs w:val="24"/>
          <w:shd w:val="clear" w:color="auto" w:fill="FFFFFF"/>
        </w:rPr>
        <w:t xml:space="preserve"> de </w:t>
      </w:r>
      <w:r>
        <w:rPr>
          <w:rFonts w:ascii="Bookman Old Style" w:hAnsi="Bookman Old Style"/>
          <w:sz w:val="24"/>
          <w:szCs w:val="24"/>
          <w:shd w:val="clear" w:color="auto" w:fill="FFFFFF"/>
        </w:rPr>
        <w:t>Palestina y Saladoblanco</w:t>
      </w:r>
      <w:r w:rsidRPr="00177C98">
        <w:rPr>
          <w:rFonts w:ascii="Bookman Old Style" w:hAnsi="Bookman Old Style"/>
          <w:sz w:val="24"/>
          <w:szCs w:val="24"/>
          <w:shd w:val="clear" w:color="auto" w:fill="FFFFFF"/>
        </w:rPr>
        <w:t xml:space="preserve"> en el departamento de Huila.</w:t>
      </w:r>
    </w:p>
    <w:p w14:paraId="41822E49" w14:textId="3ED9B5CD" w:rsidR="006423C2" w:rsidRPr="00177C98" w:rsidRDefault="006423C2" w:rsidP="006423C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060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Santa María</w:t>
      </w:r>
      <w:r w:rsidRPr="006C4554">
        <w:rPr>
          <w:rFonts w:ascii="Bookman Old Style" w:hAnsi="Bookman Old Style"/>
          <w:sz w:val="24"/>
          <w:szCs w:val="24"/>
          <w:shd w:val="clear" w:color="auto" w:fill="FFFFFF"/>
        </w:rPr>
        <w:t xml:space="preserve"> en el departamento de Huila.</w:t>
      </w:r>
    </w:p>
    <w:p w14:paraId="4182B619" w14:textId="2EB88EDC" w:rsidR="006423C2" w:rsidRPr="00D72D22" w:rsidRDefault="006423C2" w:rsidP="00D72D22">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054 de 2006</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Acevedo</w:t>
      </w:r>
      <w:r w:rsidRPr="006C4554">
        <w:rPr>
          <w:rFonts w:ascii="Bookman Old Style" w:hAnsi="Bookman Old Style"/>
          <w:sz w:val="24"/>
          <w:szCs w:val="24"/>
          <w:shd w:val="clear" w:color="auto" w:fill="FFFFFF"/>
        </w:rPr>
        <w:t xml:space="preserve"> en el departamento de Huila.</w:t>
      </w:r>
    </w:p>
    <w:p w14:paraId="73E26527" w14:textId="77777777" w:rsidR="001C0019" w:rsidRPr="001954E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Posteriormente, a</w:t>
      </w:r>
      <w:r w:rsidRPr="001954E9">
        <w:rPr>
          <w:rFonts w:ascii="Bookman Old Style" w:hAnsi="Bookman Old Style" w:cs="Arial"/>
        </w:rPr>
        <w:t xml:space="preserve"> través de la Resolución CREG 202 de 2013 se establecieron los </w:t>
      </w:r>
      <w:r>
        <w:rPr>
          <w:rFonts w:ascii="Bookman Old Style" w:hAnsi="Bookman Old Style" w:cs="Arial"/>
        </w:rPr>
        <w:t xml:space="preserve">nuevos </w:t>
      </w:r>
      <w:r w:rsidRPr="001954E9">
        <w:rPr>
          <w:rFonts w:ascii="Bookman Old Style" w:hAnsi="Bookman Old Style" w:cs="Arial"/>
        </w:rPr>
        <w:t>criterios generales para remunerar la actividad de distribución de gas combustible por redes de tubería</w:t>
      </w:r>
      <w:r>
        <w:rPr>
          <w:rFonts w:ascii="Bookman Old Style" w:hAnsi="Bookman Old Style" w:cs="Arial"/>
        </w:rPr>
        <w:t>, los cuales reemplazaron la metodología fijada mediante la Resolución CREG 011 de 2003</w:t>
      </w:r>
      <w:r w:rsidRPr="001954E9">
        <w:rPr>
          <w:rFonts w:ascii="Bookman Old Style" w:hAnsi="Bookman Old Style" w:cs="Arial"/>
        </w:rPr>
        <w:t>.</w:t>
      </w:r>
    </w:p>
    <w:p w14:paraId="7DFDD00D" w14:textId="77777777" w:rsidR="00115B8D" w:rsidRDefault="00115B8D" w:rsidP="001C0019">
      <w:pPr>
        <w:adjustRightInd w:val="0"/>
        <w:spacing w:before="240" w:after="240"/>
        <w:ind w:left="0"/>
        <w:jc w:val="both"/>
        <w:rPr>
          <w:rFonts w:ascii="Bookman Old Style" w:hAnsi="Bookman Old Style" w:cs="Arial"/>
        </w:rPr>
      </w:pPr>
    </w:p>
    <w:p w14:paraId="33FD1204" w14:textId="77777777" w:rsidR="00115B8D" w:rsidRDefault="00115B8D" w:rsidP="00115B8D">
      <w:pPr>
        <w:adjustRightInd w:val="0"/>
        <w:ind w:left="0"/>
        <w:jc w:val="both"/>
        <w:rPr>
          <w:rFonts w:ascii="Bookman Old Style" w:hAnsi="Bookman Old Style" w:cs="Arial"/>
        </w:rPr>
      </w:pPr>
    </w:p>
    <w:p w14:paraId="4F4F8433" w14:textId="49F18B21" w:rsidR="001C0019" w:rsidRDefault="001C0019" w:rsidP="00115B8D">
      <w:pPr>
        <w:adjustRightInd w:val="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ones</w:t>
      </w:r>
      <w:r w:rsidRPr="001954E9">
        <w:rPr>
          <w:rFonts w:ascii="Bookman Old Style" w:hAnsi="Bookman Old Style" w:cs="Arial"/>
        </w:rPr>
        <w:t xml:space="preserve"> CREG 052 de 2014, 138 de 2014, 112 de 2015, 125 de 2015 y 141 de 2015 se modificó y</w:t>
      </w:r>
      <w:r>
        <w:rPr>
          <w:rFonts w:ascii="Bookman Old Style" w:hAnsi="Bookman Old Style" w:cs="Arial"/>
        </w:rPr>
        <w:t>/o</w:t>
      </w:r>
      <w:r w:rsidRPr="001954E9">
        <w:rPr>
          <w:rFonts w:ascii="Bookman Old Style" w:hAnsi="Bookman Old Style" w:cs="Arial"/>
        </w:rPr>
        <w:t xml:space="preserve"> adicionó la Resolución CREG 202 de 2013.</w:t>
      </w:r>
    </w:p>
    <w:p w14:paraId="52735C96" w14:textId="77777777" w:rsidR="00115B8D" w:rsidRPr="001954E9" w:rsidRDefault="00115B8D" w:rsidP="00115B8D">
      <w:pPr>
        <w:adjustRightInd w:val="0"/>
        <w:ind w:left="0"/>
        <w:jc w:val="both"/>
        <w:rPr>
          <w:rFonts w:ascii="Bookman Old Style" w:hAnsi="Bookman Old Style" w:cs="Arial"/>
        </w:rPr>
      </w:pPr>
    </w:p>
    <w:p w14:paraId="388F7C42" w14:textId="77777777" w:rsidR="001C0019" w:rsidRPr="001954E9" w:rsidRDefault="001C0019" w:rsidP="00115B8D">
      <w:pPr>
        <w:spacing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w:t>
      </w:r>
      <w:r>
        <w:rPr>
          <w:rFonts w:ascii="Bookman Old Style" w:hAnsi="Bookman Old Style" w:cs="Arial"/>
        </w:rPr>
        <w:t>retorno</w:t>
      </w:r>
      <w:r w:rsidRPr="001954E9">
        <w:rPr>
          <w:rFonts w:ascii="Bookman Old Style" w:hAnsi="Bookman Old Style" w:cs="Arial"/>
        </w:rPr>
        <w:t xml:space="preserve">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14:paraId="739EC0BF" w14:textId="77777777" w:rsidR="001C0019" w:rsidRPr="001954E9" w:rsidRDefault="001C0019" w:rsidP="001C0019">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se defin</w:t>
      </w:r>
      <w:r>
        <w:rPr>
          <w:rFonts w:ascii="Bookman Old Style" w:hAnsi="Bookman Old Style" w:cs="Arial"/>
        </w:rPr>
        <w:t>ieron</w:t>
      </w:r>
      <w:r w:rsidRPr="001954E9">
        <w:rPr>
          <w:rFonts w:ascii="Bookman Old Style" w:hAnsi="Bookman Old Style" w:cs="Arial"/>
        </w:rPr>
        <w:t xml:space="preserve">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14:paraId="2C55583F" w14:textId="77777777" w:rsidR="001C001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Pr>
          <w:rFonts w:ascii="Bookman Old Style" w:hAnsi="Bookman Old Style" w:cs="Arial"/>
        </w:rPr>
        <w:t xml:space="preserve"> </w:t>
      </w:r>
      <w:r w:rsidRPr="001954E9">
        <w:rPr>
          <w:rFonts w:ascii="Bookman Old Style" w:hAnsi="Bookman Old Style" w:cs="Arial"/>
        </w:rPr>
        <w:t>095 de 2015, que contiene la definición de las funciones óptimas para</w:t>
      </w:r>
      <w:r>
        <w:rPr>
          <w:rFonts w:ascii="Bookman Old Style" w:hAnsi="Bookman Old Style" w:cs="Arial"/>
        </w:rPr>
        <w:t xml:space="preserve"> </w:t>
      </w:r>
      <w:r w:rsidRPr="001954E9">
        <w:rPr>
          <w:rFonts w:ascii="Bookman Old Style" w:hAnsi="Bookman Old Style" w:cs="Arial"/>
        </w:rPr>
        <w:t>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Resolución CREG 202 de 2013.</w:t>
      </w:r>
    </w:p>
    <w:p w14:paraId="61274246" w14:textId="77777777" w:rsidR="001C0019" w:rsidRPr="001954E9" w:rsidRDefault="001C0019" w:rsidP="001C0019">
      <w:pPr>
        <w:adjustRightInd w:val="0"/>
        <w:spacing w:before="240" w:after="240"/>
        <w:ind w:left="0"/>
        <w:jc w:val="both"/>
        <w:rPr>
          <w:rFonts w:ascii="Bookman Old Style" w:hAnsi="Bookman Old Style" w:cs="Arial"/>
        </w:rPr>
      </w:pPr>
      <w:r w:rsidRPr="00DB6F1C">
        <w:rPr>
          <w:rFonts w:ascii="Bookman Old Style" w:hAnsi="Bookman Old Style" w:cs="Arial"/>
        </w:rPr>
        <w:t>A través de la Circular CREG 111 de 2015 y conforme a lo definido en la Resolución CREG 141 de 2015, la cual modifica la Resolución CREG 202 de 2013, se definió el cronograma comprendido entre el periodo del 7 al 30 de octubre de 2015 para que las empresas que prestan servicio de gas combustible por redes en mercados relevantes de distribución que cumplieron periodo tarifario realizaran el proceso de reporte de información correspondiente a las solicitudes de c</w:t>
      </w:r>
      <w:r>
        <w:rPr>
          <w:rFonts w:ascii="Bookman Old Style" w:hAnsi="Bookman Old Style" w:cs="Arial"/>
        </w:rPr>
        <w:t>argos.</w:t>
      </w:r>
    </w:p>
    <w:p w14:paraId="3A266C05" w14:textId="77777777" w:rsidR="001C0019" w:rsidRPr="001506C1"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En observancia del mandato dado por la Circular CREG 111 de 2015, las empresas procedieron a presentar sus solicitudes tarifarias en el orden propuesto por la CREG, dando así inicio a la evaluación tarifaria por parte de la Comisión.</w:t>
      </w:r>
    </w:p>
    <w:p w14:paraId="6F0AC791" w14:textId="5D9C7893"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desarrollo de la evaluación de las solicitudes tarifarias y debido a circunstancias evidenciadas en los análisis tarifarios realizados, la Comisión emitió la </w:t>
      </w:r>
      <w:r w:rsidRPr="001954E9">
        <w:rPr>
          <w:rFonts w:ascii="Bookman Old Style" w:hAnsi="Bookman Old Style" w:cs="Arial"/>
        </w:rPr>
        <w:t xml:space="preserve">Resolución CREG </w:t>
      </w:r>
      <w:r>
        <w:rPr>
          <w:rFonts w:ascii="Bookman Old Style" w:hAnsi="Bookman Old Style" w:cs="Arial"/>
        </w:rPr>
        <w:t>093</w:t>
      </w:r>
      <w:r w:rsidRPr="001954E9">
        <w:rPr>
          <w:rFonts w:ascii="Bookman Old Style" w:hAnsi="Bookman Old Style" w:cs="Arial"/>
        </w:rPr>
        <w:t xml:space="preserve"> de</w:t>
      </w:r>
      <w:r>
        <w:rPr>
          <w:rFonts w:ascii="Bookman Old Style" w:hAnsi="Bookman Old Style" w:cs="Arial"/>
        </w:rPr>
        <w:t>l</w:t>
      </w:r>
      <w:r w:rsidRPr="001954E9">
        <w:rPr>
          <w:rFonts w:ascii="Bookman Old Style" w:hAnsi="Bookman Old Style" w:cs="Arial"/>
        </w:rPr>
        <w:t xml:space="preserve"> </w:t>
      </w:r>
      <w:r>
        <w:rPr>
          <w:rFonts w:ascii="Bookman Old Style" w:hAnsi="Bookman Old Style" w:cs="Arial"/>
        </w:rPr>
        <w:t>11</w:t>
      </w:r>
      <w:r w:rsidRPr="001954E9">
        <w:rPr>
          <w:rFonts w:ascii="Bookman Old Style" w:hAnsi="Bookman Old Style" w:cs="Arial"/>
        </w:rPr>
        <w:t xml:space="preserve"> de julio de 2016 </w:t>
      </w:r>
      <w:r>
        <w:rPr>
          <w:rFonts w:ascii="Bookman Old Style" w:hAnsi="Bookman Old Style" w:cs="Arial"/>
        </w:rPr>
        <w:t>mediante la cual adopta la medida de</w:t>
      </w:r>
      <w:r w:rsidRPr="001954E9">
        <w:rPr>
          <w:rFonts w:ascii="Bookman Old Style" w:hAnsi="Bookman Old Style" w:cs="Arial"/>
        </w:rPr>
        <w:t xml:space="preserve"> revoc</w:t>
      </w:r>
      <w:r>
        <w:rPr>
          <w:rFonts w:ascii="Bookman Old Style" w:hAnsi="Bookman Old Style" w:cs="Arial"/>
        </w:rPr>
        <w:t xml:space="preserve">atoria </w:t>
      </w:r>
      <w:r w:rsidRPr="001954E9">
        <w:rPr>
          <w:rFonts w:ascii="Bookman Old Style" w:hAnsi="Bookman Old Style" w:cs="Arial"/>
        </w:rPr>
        <w:t xml:space="preserve">parcial </w:t>
      </w:r>
      <w:r>
        <w:rPr>
          <w:rFonts w:ascii="Bookman Old Style" w:hAnsi="Bookman Old Style" w:cs="Arial"/>
        </w:rPr>
        <w:t xml:space="preserve">de </w:t>
      </w:r>
      <w:r w:rsidRPr="001954E9">
        <w:rPr>
          <w:rFonts w:ascii="Bookman Old Style" w:hAnsi="Bookman Old Style" w:cs="Arial"/>
        </w:rPr>
        <w:t>la Resolución CREG 202 de 2013, modificada por las Resoluciones CREG 138 de 2014 y 125 de 2015</w:t>
      </w:r>
      <w:r>
        <w:rPr>
          <w:rFonts w:ascii="Bookman Old Style" w:hAnsi="Bookman Old Style" w:cs="Arial"/>
        </w:rPr>
        <w:t>, por las razones que expuestas en ese acto administrativo.</w:t>
      </w:r>
    </w:p>
    <w:p w14:paraId="0B96F805" w14:textId="060616DE"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la Resolución CREG 093 de 2016 se dispuso, además de la revocatoria parcial de la Resolución CREG 202 de 2013, </w:t>
      </w:r>
      <w:r w:rsidRPr="00D734FA">
        <w:rPr>
          <w:rFonts w:ascii="Bookman Old Style" w:hAnsi="Bookman Old Style" w:cs="Arial"/>
        </w:rPr>
        <w:t xml:space="preserve">que </w:t>
      </w:r>
      <w:r>
        <w:rPr>
          <w:rFonts w:ascii="Bookman Old Style" w:hAnsi="Bookman Old Style" w:cs="Arial"/>
        </w:rPr>
        <w:t xml:space="preserve">la información reportada en octubre de 2015 </w:t>
      </w:r>
      <w:r w:rsidRPr="00D734FA">
        <w:rPr>
          <w:rFonts w:ascii="Bookman Old Style" w:hAnsi="Bookman Old Style" w:cs="Arial"/>
        </w:rPr>
        <w:t xml:space="preserve">en relación con activos existentes a </w:t>
      </w:r>
      <w:r w:rsidR="00B631D8">
        <w:rPr>
          <w:rFonts w:ascii="Bookman Old Style" w:hAnsi="Bookman Old Style" w:cs="Arial"/>
        </w:rPr>
        <w:t>diciembre de 2014</w:t>
      </w:r>
      <w:r w:rsidRPr="00D734FA">
        <w:rPr>
          <w:rFonts w:ascii="Bookman Old Style" w:hAnsi="Bookman Old Style" w:cs="Arial"/>
        </w:rPr>
        <w:t xml:space="preserve"> y gastos de A</w:t>
      </w:r>
      <w:r>
        <w:rPr>
          <w:rFonts w:ascii="Bookman Old Style" w:hAnsi="Bookman Old Style" w:cs="Arial"/>
        </w:rPr>
        <w:t>OM</w:t>
      </w:r>
      <w:r w:rsidRPr="00D734FA">
        <w:rPr>
          <w:rFonts w:ascii="Bookman Old Style" w:hAnsi="Bookman Old Style" w:cs="Arial"/>
        </w:rPr>
        <w:t xml:space="preserve"> ser</w:t>
      </w:r>
      <w:r>
        <w:rPr>
          <w:rFonts w:ascii="Bookman Old Style" w:hAnsi="Bookman Old Style" w:cs="Arial"/>
        </w:rPr>
        <w:t>ía</w:t>
      </w:r>
      <w:r w:rsidRPr="00D734FA">
        <w:rPr>
          <w:rFonts w:ascii="Bookman Old Style" w:hAnsi="Bookman Old Style" w:cs="Arial"/>
        </w:rPr>
        <w:t xml:space="preserve"> considerada</w:t>
      </w:r>
      <w:r>
        <w:rPr>
          <w:rFonts w:ascii="Bookman Old Style" w:hAnsi="Bookman Old Style" w:cs="Arial"/>
        </w:rPr>
        <w:t xml:space="preserve"> como información oficial y sería</w:t>
      </w:r>
      <w:r w:rsidRPr="00D734FA">
        <w:rPr>
          <w:rFonts w:ascii="Bookman Old Style" w:hAnsi="Bookman Old Style" w:cs="Arial"/>
        </w:rPr>
        <w:t xml:space="preserve"> tenida en cuenta en los procesos de análisis tarifarios s</w:t>
      </w:r>
      <w:r>
        <w:rPr>
          <w:rFonts w:ascii="Bookman Old Style" w:hAnsi="Bookman Old Style" w:cs="Arial"/>
        </w:rPr>
        <w:t>ub</w:t>
      </w:r>
      <w:r w:rsidRPr="00D734FA">
        <w:rPr>
          <w:rFonts w:ascii="Bookman Old Style" w:hAnsi="Bookman Old Style" w:cs="Arial"/>
        </w:rPr>
        <w:t>siguientes</w:t>
      </w:r>
      <w:r>
        <w:rPr>
          <w:rFonts w:ascii="Bookman Old Style" w:hAnsi="Bookman Old Style" w:cs="Arial"/>
        </w:rPr>
        <w:t xml:space="preserve">. </w:t>
      </w:r>
      <w:r w:rsidRPr="00A81359">
        <w:rPr>
          <w:rFonts w:ascii="Bookman Old Style" w:hAnsi="Bookman Old Style" w:cs="Arial"/>
        </w:rPr>
        <w:t>Adicionalmente</w:t>
      </w:r>
      <w:r>
        <w:rPr>
          <w:rFonts w:ascii="Bookman Old Style" w:hAnsi="Bookman Old Style" w:cs="Arial"/>
        </w:rPr>
        <w:t>,</w:t>
      </w:r>
      <w:r w:rsidRPr="00A81359">
        <w:rPr>
          <w:rFonts w:ascii="Bookman Old Style" w:hAnsi="Bookman Old Style" w:cs="Arial"/>
        </w:rPr>
        <w:t xml:space="preserve"> se ordenó el </w:t>
      </w:r>
      <w:r w:rsidRPr="00A81359">
        <w:rPr>
          <w:rFonts w:ascii="Bookman Old Style" w:hAnsi="Bookman Old Style" w:cs="Arial"/>
        </w:rPr>
        <w:lastRenderedPageBreak/>
        <w:t>archivo de las</w:t>
      </w:r>
      <w:r>
        <w:rPr>
          <w:rFonts w:ascii="Bookman Old Style" w:hAnsi="Bookman Old Style" w:cs="Arial"/>
          <w:b/>
        </w:rPr>
        <w:t xml:space="preserve"> </w:t>
      </w:r>
      <w:r w:rsidRPr="00D734FA">
        <w:rPr>
          <w:rFonts w:ascii="Bookman Old Style" w:hAnsi="Bookman Old Style" w:cs="Arial"/>
        </w:rPr>
        <w:t>actuaciones administrativas</w:t>
      </w:r>
      <w:r>
        <w:rPr>
          <w:rFonts w:ascii="Bookman Old Style" w:hAnsi="Bookman Old Style" w:cs="Arial"/>
        </w:rPr>
        <w:t xml:space="preserve"> tarifarias </w:t>
      </w:r>
      <w:r w:rsidRPr="00D734FA">
        <w:rPr>
          <w:rFonts w:ascii="Bookman Old Style" w:hAnsi="Bookman Old Style" w:cs="Arial"/>
        </w:rPr>
        <w:t>para los mercados relevantes de distribución de gas combustible por red de tub</w:t>
      </w:r>
      <w:r>
        <w:rPr>
          <w:rFonts w:ascii="Bookman Old Style" w:hAnsi="Bookman Old Style" w:cs="Arial"/>
        </w:rPr>
        <w:t xml:space="preserve">erías existentes que a la fecha de la revocatoria se habían </w:t>
      </w:r>
      <w:r w:rsidRPr="00D734FA">
        <w:rPr>
          <w:rFonts w:ascii="Bookman Old Style" w:hAnsi="Bookman Old Style" w:cs="Arial"/>
        </w:rPr>
        <w:t>iniciad</w:t>
      </w:r>
      <w:r>
        <w:rPr>
          <w:rFonts w:ascii="Bookman Old Style" w:hAnsi="Bookman Old Style" w:cs="Arial"/>
        </w:rPr>
        <w:t>o</w:t>
      </w:r>
      <w:r w:rsidRPr="00D734FA">
        <w:rPr>
          <w:rFonts w:ascii="Bookman Old Style" w:hAnsi="Bookman Old Style" w:cs="Arial"/>
        </w:rPr>
        <w:t xml:space="preserve"> </w:t>
      </w:r>
      <w:r>
        <w:rPr>
          <w:rFonts w:ascii="Bookman Old Style" w:hAnsi="Bookman Old Style" w:cs="Arial"/>
        </w:rPr>
        <w:t>y que se encontraban en trámite.</w:t>
      </w:r>
    </w:p>
    <w:p w14:paraId="39B5927C" w14:textId="65CF2915"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Debido a la necesidad de reemplazar los aspectos de la Resolución </w:t>
      </w:r>
      <w:r w:rsidR="004B6B59">
        <w:rPr>
          <w:rFonts w:ascii="Bookman Old Style" w:hAnsi="Bookman Old Style" w:cs="Arial"/>
        </w:rPr>
        <w:t xml:space="preserve">CREG </w:t>
      </w:r>
      <w:r>
        <w:rPr>
          <w:rFonts w:ascii="Bookman Old Style" w:hAnsi="Bookman Old Style" w:cs="Arial"/>
        </w:rPr>
        <w:t xml:space="preserve">202 de 2013 revocados mediante a Resolución </w:t>
      </w:r>
      <w:r w:rsidR="004B6B59">
        <w:rPr>
          <w:rFonts w:ascii="Bookman Old Style" w:hAnsi="Bookman Old Style" w:cs="Arial"/>
        </w:rPr>
        <w:t xml:space="preserve">CREG </w:t>
      </w:r>
      <w:r>
        <w:rPr>
          <w:rFonts w:ascii="Bookman Old Style" w:hAnsi="Bookman Old Style" w:cs="Arial"/>
        </w:rPr>
        <w:t>093 de 2016, la Comisión elaboró una</w:t>
      </w:r>
      <w:r w:rsidRPr="002C6E7C">
        <w:rPr>
          <w:rFonts w:ascii="Bookman Old Style" w:hAnsi="Bookman Old Style" w:cs="Arial"/>
        </w:rPr>
        <w:t xml:space="preserve"> pro</w:t>
      </w:r>
      <w:r>
        <w:rPr>
          <w:rFonts w:ascii="Bookman Old Style" w:hAnsi="Bookman Old Style" w:cs="Arial"/>
        </w:rPr>
        <w:t xml:space="preserve">puesta regulatoria hecha pública con la Resolución CREG 095 de 2016, con el fin de recibir </w:t>
      </w:r>
      <w:r w:rsidRPr="00F61654">
        <w:rPr>
          <w:rFonts w:ascii="Bookman Old Style" w:hAnsi="Bookman Old Style"/>
        </w:rPr>
        <w:t xml:space="preserve">observaciones o sugerencias </w:t>
      </w:r>
      <w:r>
        <w:rPr>
          <w:rFonts w:ascii="Bookman Old Style" w:hAnsi="Bookman Old Style"/>
        </w:rPr>
        <w:t xml:space="preserve">de </w:t>
      </w:r>
      <w:r w:rsidRPr="00F61654">
        <w:rPr>
          <w:rFonts w:ascii="Bookman Old Style" w:hAnsi="Bookman Old Style"/>
        </w:rPr>
        <w:t xml:space="preserve">los usuarios, los agentes, las autoridades </w:t>
      </w:r>
      <w:r>
        <w:rPr>
          <w:rFonts w:ascii="Bookman Old Style" w:hAnsi="Bookman Old Style"/>
        </w:rPr>
        <w:t>municipales y departamentales</w:t>
      </w:r>
      <w:r w:rsidR="004B6B59">
        <w:rPr>
          <w:rFonts w:ascii="Bookman Old Style" w:hAnsi="Bookman Old Style"/>
        </w:rPr>
        <w:t>,</w:t>
      </w:r>
      <w:r>
        <w:rPr>
          <w:rFonts w:ascii="Bookman Old Style" w:hAnsi="Bookman Old Style"/>
        </w:rPr>
        <w:t xml:space="preserve"> y</w:t>
      </w:r>
      <w:r w:rsidRPr="00F61654">
        <w:rPr>
          <w:rFonts w:ascii="Bookman Old Style" w:hAnsi="Bookman Old Style"/>
        </w:rPr>
        <w:t xml:space="preserve"> demás interesados</w:t>
      </w:r>
      <w:r w:rsidRPr="002C6E7C">
        <w:rPr>
          <w:rFonts w:ascii="Bookman Old Style" w:hAnsi="Bookman Old Style" w:cs="Arial"/>
        </w:rPr>
        <w:t xml:space="preserve">, en cumplimiento de lo establecido en el Decreto 2696 de 2004 </w:t>
      </w:r>
      <w:r w:rsidRPr="00B732A7">
        <w:rPr>
          <w:rFonts w:ascii="Bookman Old Style" w:hAnsi="Bookman Old Style" w:cs="Arial"/>
        </w:rPr>
        <w:t>compilado mediante el Decreto 1078 de 2015 y las normas relativas a publicidad del Código de Procedimiento Administrativo y de lo Contencioso Administrativo.</w:t>
      </w:r>
    </w:p>
    <w:p w14:paraId="05C18182" w14:textId="77777777" w:rsidR="001C0019" w:rsidRDefault="001C0019" w:rsidP="001C0019">
      <w:pPr>
        <w:adjustRightInd w:val="0"/>
        <w:spacing w:before="240" w:after="240"/>
        <w:ind w:left="0"/>
        <w:jc w:val="both"/>
        <w:rPr>
          <w:rFonts w:ascii="Bookman Old Style" w:hAnsi="Bookman Old Style"/>
          <w:bCs/>
          <w:lang w:val="es-CO"/>
        </w:rPr>
      </w:pPr>
      <w:r>
        <w:rPr>
          <w:rFonts w:ascii="Bookman Old Style" w:hAnsi="Bookman Old Style" w:cs="Arial"/>
        </w:rPr>
        <w:t>Con posterioridad a la revocatoria efectuada, la CREG adelantó</w:t>
      </w:r>
      <w:r w:rsidRPr="00210F94">
        <w:rPr>
          <w:rFonts w:ascii="Bookman Old Style" w:hAnsi="Bookman Old Style" w:cs="Arial"/>
        </w:rPr>
        <w:t xml:space="preserve"> ejercicios de depuración</w:t>
      </w:r>
      <w:r>
        <w:rPr>
          <w:rFonts w:ascii="Bookman Old Style" w:hAnsi="Bookman Old Style" w:cs="Arial"/>
        </w:rPr>
        <w:t xml:space="preserve"> de la información reportada por los agentes distribuidores de gas combustible por redes de tubería, realizando visitas a las empresas y</w:t>
      </w:r>
      <w:r w:rsidRPr="00210F94">
        <w:rPr>
          <w:rFonts w:ascii="Bookman Old Style" w:hAnsi="Bookman Old Style" w:cs="Arial"/>
        </w:rPr>
        <w:t xml:space="preserve"> </w:t>
      </w:r>
      <w:r>
        <w:rPr>
          <w:rFonts w:ascii="Bookman Old Style" w:hAnsi="Bookman Old Style"/>
          <w:bCs/>
          <w:lang w:val="es-CO"/>
        </w:rPr>
        <w:t>solicitando</w:t>
      </w:r>
      <w:r w:rsidRPr="00210F94">
        <w:rPr>
          <w:rFonts w:ascii="Bookman Old Style" w:hAnsi="Bookman Old Style"/>
          <w:bCs/>
          <w:lang w:val="es-CO"/>
        </w:rPr>
        <w:t xml:space="preserve"> información correspondiente a gastos de AOM y Otros Activos para la vigencia 2013 directamente atribuidos a las actividades de distribución y comercializaci</w:t>
      </w:r>
      <w:r>
        <w:rPr>
          <w:rFonts w:ascii="Bookman Old Style" w:hAnsi="Bookman Old Style"/>
          <w:bCs/>
          <w:lang w:val="es-CO"/>
        </w:rPr>
        <w:t>ón y separando los gastos asociados a otros negocios. Dicho ejercicio se concretó en la solicitud de información realizada por la Comisión mediante la Circular CREG 004 de 2017, a partir de la cual las empresas modificaron la información reportada inicialmente en la solicitud tarifaria.</w:t>
      </w:r>
    </w:p>
    <w:p w14:paraId="6A839E3F" w14:textId="77777777" w:rsidR="00D72D22" w:rsidRDefault="00D72D22" w:rsidP="00D72D22">
      <w:pPr>
        <w:adjustRightInd w:val="0"/>
        <w:spacing w:before="240" w:after="240"/>
        <w:ind w:left="0"/>
        <w:jc w:val="both"/>
        <w:rPr>
          <w:rFonts w:ascii="Bookman Old Style" w:hAnsi="Bookman Old Style"/>
          <w:bCs/>
          <w:lang w:val="es-CO"/>
        </w:rPr>
      </w:pPr>
      <w:r w:rsidRPr="00253561">
        <w:rPr>
          <w:rFonts w:ascii="Bookman Old Style" w:hAnsi="Bookman Old Style"/>
          <w:bCs/>
          <w:lang w:val="es-CO"/>
        </w:rPr>
        <w:t xml:space="preserve">La empresa </w:t>
      </w:r>
      <w:r w:rsidRPr="00177C98">
        <w:rPr>
          <w:rFonts w:ascii="Bookman Old Style" w:hAnsi="Bookman Old Style"/>
          <w:bCs/>
          <w:lang w:val="es-CO"/>
        </w:rPr>
        <w:t>SURCOLOMBIANA DE GAS S.A. E.S.P.</w:t>
      </w:r>
      <w:r>
        <w:rPr>
          <w:rFonts w:ascii="Bookman Old Style" w:hAnsi="Bookman Old Style"/>
          <w:bCs/>
          <w:lang w:val="es-CO"/>
        </w:rPr>
        <w:t xml:space="preserve"> respondió a la Circular CREG 004 de 2017 mediante oficio con radicado CREG E-2017-001120 del 8 de febrero de 2017.</w:t>
      </w:r>
    </w:p>
    <w:p w14:paraId="5AFA9F87" w14:textId="77777777"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Con fundamento en la nueva información entregada por las empresas distribuidoras y comercializadoras de gas combustible en respuesta a lo solicitado por la Comisión mediante la Circular CREG 004 de 2017, así como en los comentarios efectuados por los agentes al proyecto de resolución publicado mediante Resolución CREG 095 de 2016, la Comisión modificó dicha propuesta inicial y publicó una nueva por medio de la Resolución CREG 066 de 2017 lo cual dio inicio un nuevo periodo de consulta para presentación de comentarios, observaciones y sugerencias.</w:t>
      </w:r>
    </w:p>
    <w:p w14:paraId="5BC6F75A" w14:textId="77777777" w:rsidR="001C0019" w:rsidRDefault="001C0019" w:rsidP="001C0019">
      <w:pPr>
        <w:spacing w:before="240" w:after="240"/>
        <w:ind w:left="0"/>
        <w:jc w:val="both"/>
        <w:outlineLvl w:val="0"/>
        <w:rPr>
          <w:rFonts w:ascii="Bookman Old Style" w:hAnsi="Bookman Old Style" w:cs="Arial"/>
        </w:rPr>
      </w:pPr>
      <w:r>
        <w:rPr>
          <w:rFonts w:ascii="Bookman Old Style" w:hAnsi="Bookman Old Style" w:cs="Arial"/>
        </w:rPr>
        <w:t>Mediante la Resolución CREG 128 de 2017 la Comisión amplió el plazo para los comentarios de la Resolución CREG 066 de 2017.</w:t>
      </w:r>
    </w:p>
    <w:p w14:paraId="7B0C1474" w14:textId="77777777" w:rsidR="001C0019" w:rsidRPr="000C0314" w:rsidRDefault="001C0019" w:rsidP="001C0019">
      <w:pPr>
        <w:spacing w:before="240" w:after="240"/>
        <w:ind w:left="0"/>
        <w:jc w:val="both"/>
        <w:rPr>
          <w:rFonts w:ascii="Bookman Old Style" w:hAnsi="Bookman Old Style" w:cs="Arial"/>
        </w:rPr>
      </w:pPr>
      <w:r w:rsidRPr="000C0314">
        <w:rPr>
          <w:rFonts w:ascii="Bookman Old Style" w:hAnsi="Bookman Old Style" w:cs="Arial"/>
        </w:rPr>
        <w:t>En la sesión CREG 782 del 12 de junio de 2017 se decidió, por unanimidad, que las empresas distribuidoras de gas combustible por redes de tubería que presten servicio en mercados existentes podr</w:t>
      </w:r>
      <w:r>
        <w:rPr>
          <w:rFonts w:ascii="Bookman Old Style" w:hAnsi="Bookman Old Style" w:cs="Arial"/>
        </w:rPr>
        <w:t>ía</w:t>
      </w:r>
      <w:r w:rsidRPr="000C0314">
        <w:rPr>
          <w:rFonts w:ascii="Bookman Old Style" w:hAnsi="Bookman Old Style" w:cs="Arial"/>
        </w:rPr>
        <w:t>n solicitar la aprobación de cargos transitorios de distribución de gas combustible para dichos mercados.</w:t>
      </w:r>
    </w:p>
    <w:p w14:paraId="1979A166" w14:textId="7B313C25" w:rsidR="001C0019" w:rsidRDefault="001C0019" w:rsidP="00115B8D">
      <w:pPr>
        <w:ind w:left="0"/>
        <w:jc w:val="both"/>
        <w:outlineLvl w:val="0"/>
        <w:rPr>
          <w:rFonts w:ascii="Bookman Old Style" w:hAnsi="Bookman Old Style" w:cs="Arial"/>
          <w:spacing w:val="-5"/>
          <w:lang w:val="es-CO"/>
        </w:rPr>
      </w:pPr>
      <w:r>
        <w:rPr>
          <w:rFonts w:ascii="Bookman Old Style" w:hAnsi="Bookman Old Style" w:cs="Arial"/>
        </w:rPr>
        <w:t xml:space="preserve">Por medio de la Circular CREG 034 de 2017 la Comisión dispuso que las empresas distribuidoras podrán solicitar </w:t>
      </w:r>
      <w:r w:rsidRPr="00571D66">
        <w:rPr>
          <w:rFonts w:ascii="Bookman Old Style" w:hAnsi="Bookman Old Style" w:cs="Arial"/>
          <w:spacing w:val="-5"/>
          <w:lang w:val="es-CO"/>
        </w:rPr>
        <w:t xml:space="preserve">aprobación de cargos transitorios de distribución de gas combustible por redes de </w:t>
      </w:r>
      <w:r>
        <w:rPr>
          <w:rFonts w:ascii="Bookman Old Style" w:hAnsi="Bookman Old Style" w:cs="Arial"/>
          <w:spacing w:val="-5"/>
          <w:lang w:val="es-CO"/>
        </w:rPr>
        <w:t>tubería para los mercados existentes de su interés.</w:t>
      </w:r>
    </w:p>
    <w:p w14:paraId="2ADD59D1" w14:textId="45A3BA8A" w:rsidR="00115B8D" w:rsidRDefault="00115B8D" w:rsidP="001C0019">
      <w:pPr>
        <w:spacing w:before="240" w:after="240"/>
        <w:ind w:left="0"/>
        <w:jc w:val="both"/>
        <w:outlineLvl w:val="0"/>
        <w:rPr>
          <w:rFonts w:ascii="Bookman Old Style" w:hAnsi="Bookman Old Style" w:cs="Arial"/>
          <w:spacing w:val="-5"/>
          <w:lang w:val="es-CO"/>
        </w:rPr>
      </w:pPr>
    </w:p>
    <w:p w14:paraId="35381CF9" w14:textId="77777777" w:rsidR="00115B8D" w:rsidRDefault="00115B8D" w:rsidP="00115B8D">
      <w:pPr>
        <w:ind w:left="0"/>
        <w:jc w:val="both"/>
        <w:outlineLvl w:val="0"/>
        <w:rPr>
          <w:rFonts w:ascii="Bookman Old Style" w:hAnsi="Bookman Old Style" w:cs="Arial"/>
          <w:spacing w:val="-5"/>
          <w:lang w:val="es-CO"/>
        </w:rPr>
      </w:pPr>
    </w:p>
    <w:p w14:paraId="6A319840" w14:textId="77777777" w:rsidR="001C0019" w:rsidRPr="001954E9" w:rsidRDefault="001C0019" w:rsidP="00115B8D">
      <w:pPr>
        <w:pStyle w:val="Prrafodelista"/>
        <w:keepNext/>
        <w:numPr>
          <w:ilvl w:val="0"/>
          <w:numId w:val="35"/>
        </w:numPr>
        <w:tabs>
          <w:tab w:val="left" w:pos="567"/>
        </w:tabs>
        <w:spacing w:after="240"/>
        <w:ind w:hanging="720"/>
        <w:jc w:val="both"/>
        <w:rPr>
          <w:rFonts w:ascii="Bookman Old Style" w:hAnsi="Bookman Old Style" w:cs="Arial"/>
          <w:b/>
        </w:rPr>
      </w:pPr>
      <w:r w:rsidRPr="00930A2B">
        <w:rPr>
          <w:rFonts w:ascii="Bookman Old Style" w:hAnsi="Bookman Old Style" w:cs="Arial"/>
          <w:b/>
          <w:sz w:val="24"/>
          <w:szCs w:val="24"/>
        </w:rPr>
        <w:t>Trámite de la actuación administrativa</w:t>
      </w:r>
    </w:p>
    <w:p w14:paraId="0BAAB30F" w14:textId="5C895AC5" w:rsidR="001C0019" w:rsidRDefault="001C0019" w:rsidP="001C0019">
      <w:pPr>
        <w:widowControl w:val="0"/>
        <w:adjustRightInd w:val="0"/>
        <w:spacing w:before="240" w:after="240"/>
        <w:ind w:left="0" w:right="23"/>
        <w:jc w:val="both"/>
        <w:rPr>
          <w:rFonts w:ascii="Bookman Old Style" w:hAnsi="Bookman Old Style"/>
        </w:rPr>
      </w:pPr>
      <w:r w:rsidRPr="000024C0">
        <w:rPr>
          <w:rFonts w:ascii="Bookman Old Style" w:hAnsi="Bookman Old Style"/>
        </w:rPr>
        <w:t xml:space="preserve">La empresa </w:t>
      </w:r>
      <w:r w:rsidR="006423C2" w:rsidRPr="00B07D2C">
        <w:rPr>
          <w:rFonts w:ascii="Bookman Old Style" w:hAnsi="Bookman Old Style"/>
        </w:rPr>
        <w:t>SURCOLOMBIANA DE GAS S.A. E.S.P.</w:t>
      </w:r>
      <w:r w:rsidRPr="00B07D2C">
        <w:rPr>
          <w:rFonts w:ascii="Bookman Old Style" w:hAnsi="Bookman Old Style"/>
        </w:rPr>
        <w:t>, mediante comunicación con radicado CREG E-2017-</w:t>
      </w:r>
      <w:r w:rsidR="00B07D2C" w:rsidRPr="00B07D2C">
        <w:rPr>
          <w:rFonts w:ascii="Bookman Old Style" w:hAnsi="Bookman Old Style"/>
        </w:rPr>
        <w:t>012173 de 29</w:t>
      </w:r>
      <w:r w:rsidRPr="00B07D2C">
        <w:rPr>
          <w:rFonts w:ascii="Bookman Old Style" w:hAnsi="Bookman Old Style"/>
        </w:rPr>
        <w:t xml:space="preserve"> de </w:t>
      </w:r>
      <w:r w:rsidR="00B07D2C" w:rsidRPr="00B07D2C">
        <w:rPr>
          <w:rFonts w:ascii="Bookman Old Style" w:hAnsi="Bookman Old Style"/>
        </w:rPr>
        <w:t>diciembre</w:t>
      </w:r>
      <w:r w:rsidRPr="00B07D2C">
        <w:rPr>
          <w:rFonts w:ascii="Bookman Old Style" w:hAnsi="Bookman Old Style"/>
        </w:rPr>
        <w:t xml:space="preserve"> de 2017 y con base en lo establecido en </w:t>
      </w:r>
      <w:r w:rsidR="0037799F" w:rsidRPr="00B07D2C">
        <w:rPr>
          <w:rFonts w:ascii="Bookman Old Style" w:hAnsi="Bookman Old Style"/>
        </w:rPr>
        <w:t xml:space="preserve">la </w:t>
      </w:r>
      <w:r w:rsidRPr="00B07D2C">
        <w:rPr>
          <w:rFonts w:ascii="Bookman Old Style" w:hAnsi="Bookman Old Style"/>
        </w:rPr>
        <w:t>Circular CREG 034 de 2017, solicitó la aprobación de los cargos transitorios de distribución de gas combustible por redes de tuberí</w:t>
      </w:r>
      <w:r w:rsidR="0037799F" w:rsidRPr="00B07D2C">
        <w:rPr>
          <w:rFonts w:ascii="Bookman Old Style" w:hAnsi="Bookman Old Style"/>
        </w:rPr>
        <w:t>a</w:t>
      </w:r>
      <w:r w:rsidRPr="00B07D2C">
        <w:rPr>
          <w:rFonts w:ascii="Bookman Old Style" w:hAnsi="Bookman Old Style"/>
        </w:rPr>
        <w:t xml:space="preserve"> para</w:t>
      </w:r>
      <w:r w:rsidRPr="001954E9">
        <w:rPr>
          <w:rFonts w:ascii="Bookman Old Style" w:hAnsi="Bookman Old Style"/>
        </w:rPr>
        <w:t xml:space="preserve"> el mercado relevante conformado por </w:t>
      </w:r>
      <w:r w:rsidRPr="00B07D2C">
        <w:rPr>
          <w:rFonts w:ascii="Bookman Old Style" w:hAnsi="Bookman Old Style"/>
        </w:rPr>
        <w:t>los siguiente</w:t>
      </w:r>
      <w:r w:rsidR="00B07D2C" w:rsidRPr="00B07D2C">
        <w:rPr>
          <w:rFonts w:ascii="Bookman Old Style" w:hAnsi="Bookman Old Style"/>
        </w:rPr>
        <w:t>s municipios</w:t>
      </w:r>
      <w:r w:rsidRPr="001954E9">
        <w:rPr>
          <w:rFonts w:ascii="Bookman Old Style" w:hAnsi="Bookman Old Style"/>
        </w:rPr>
        <w:t>:</w:t>
      </w:r>
    </w:p>
    <w:p w14:paraId="2EA3F7D4" w14:textId="77777777" w:rsidR="001C0019" w:rsidRPr="00006560" w:rsidRDefault="001C0019" w:rsidP="001C0019">
      <w:pPr>
        <w:widowControl w:val="0"/>
        <w:adjustRightInd w:val="0"/>
        <w:ind w:left="0" w:right="20"/>
        <w:jc w:val="center"/>
        <w:rPr>
          <w:rFonts w:ascii="Bookman Old Style" w:hAnsi="Bookman Old Style" w:cs="Arial"/>
          <w:b/>
        </w:rPr>
      </w:pPr>
      <w:r w:rsidRPr="00006560">
        <w:rPr>
          <w:rFonts w:ascii="Bookman Old Style" w:hAnsi="Bookman Old Style" w:cs="Arial"/>
          <w:b/>
        </w:rPr>
        <w:t>Cuadro No. 1</w:t>
      </w:r>
    </w:p>
    <w:tbl>
      <w:tblPr>
        <w:tblW w:w="4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2976"/>
        <w:gridCol w:w="2835"/>
      </w:tblGrid>
      <w:tr w:rsidR="001C0019" w:rsidRPr="009726F2" w14:paraId="604A25DA" w14:textId="77777777" w:rsidTr="00B07D2C">
        <w:trPr>
          <w:trHeight w:val="563"/>
          <w:jc w:val="center"/>
        </w:trPr>
        <w:tc>
          <w:tcPr>
            <w:tcW w:w="1524" w:type="pct"/>
            <w:shd w:val="clear" w:color="auto" w:fill="D9D9D9" w:themeFill="background1" w:themeFillShade="D9"/>
            <w:vAlign w:val="center"/>
            <w:hideMark/>
          </w:tcPr>
          <w:p w14:paraId="63674E64"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 xml:space="preserve">Código </w:t>
            </w:r>
            <w:r>
              <w:rPr>
                <w:rFonts w:ascii="Bookman Old Style" w:hAnsi="Bookman Old Style" w:cs="Arial"/>
                <w:b/>
                <w:bCs/>
                <w:color w:val="000000"/>
                <w:sz w:val="22"/>
                <w:szCs w:val="20"/>
                <w:lang w:val="es-CO" w:eastAsia="es-CO"/>
              </w:rPr>
              <w:t>DANE</w:t>
            </w:r>
            <w:r w:rsidRPr="009726F2">
              <w:rPr>
                <w:rFonts w:ascii="Bookman Old Style" w:hAnsi="Bookman Old Style" w:cs="Arial"/>
                <w:b/>
                <w:bCs/>
                <w:color w:val="000000"/>
                <w:sz w:val="22"/>
                <w:szCs w:val="20"/>
                <w:lang w:val="es-CO" w:eastAsia="es-CO"/>
              </w:rPr>
              <w:t xml:space="preserve"> del municipio</w:t>
            </w:r>
          </w:p>
        </w:tc>
        <w:tc>
          <w:tcPr>
            <w:tcW w:w="1780" w:type="pct"/>
            <w:shd w:val="clear" w:color="auto" w:fill="D9D9D9" w:themeFill="background1" w:themeFillShade="D9"/>
            <w:vAlign w:val="center"/>
            <w:hideMark/>
          </w:tcPr>
          <w:p w14:paraId="0D372C05"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1696" w:type="pct"/>
            <w:shd w:val="clear" w:color="auto" w:fill="D9D9D9" w:themeFill="background1" w:themeFillShade="D9"/>
            <w:vAlign w:val="center"/>
            <w:hideMark/>
          </w:tcPr>
          <w:p w14:paraId="18A07F8E"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B07D2C" w:rsidRPr="009726F2" w14:paraId="0A46C824" w14:textId="77777777" w:rsidTr="00B07D2C">
        <w:trPr>
          <w:trHeight w:val="253"/>
          <w:jc w:val="center"/>
        </w:trPr>
        <w:tc>
          <w:tcPr>
            <w:tcW w:w="1524" w:type="pct"/>
            <w:shd w:val="clear" w:color="auto" w:fill="auto"/>
            <w:noWrap/>
            <w:vAlign w:val="bottom"/>
          </w:tcPr>
          <w:p w14:paraId="179B100A" w14:textId="7D6989E3"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41483</w:t>
            </w:r>
          </w:p>
        </w:tc>
        <w:tc>
          <w:tcPr>
            <w:tcW w:w="1780" w:type="pct"/>
            <w:shd w:val="clear" w:color="auto" w:fill="auto"/>
            <w:noWrap/>
            <w:vAlign w:val="bottom"/>
          </w:tcPr>
          <w:p w14:paraId="32C2FC11" w14:textId="0BC3BA41"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Nataga</w:t>
            </w:r>
          </w:p>
        </w:tc>
        <w:tc>
          <w:tcPr>
            <w:tcW w:w="1696" w:type="pct"/>
            <w:shd w:val="clear" w:color="auto" w:fill="auto"/>
            <w:noWrap/>
            <w:vAlign w:val="bottom"/>
          </w:tcPr>
          <w:p w14:paraId="7D4CE6FF" w14:textId="4822105E"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0FC76840" w14:textId="77777777" w:rsidTr="00B07D2C">
        <w:trPr>
          <w:trHeight w:val="253"/>
          <w:jc w:val="center"/>
        </w:trPr>
        <w:tc>
          <w:tcPr>
            <w:tcW w:w="1524" w:type="pct"/>
            <w:shd w:val="clear" w:color="auto" w:fill="auto"/>
            <w:noWrap/>
            <w:vAlign w:val="bottom"/>
          </w:tcPr>
          <w:p w14:paraId="023EA987" w14:textId="5DDAB50C"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41206</w:t>
            </w:r>
          </w:p>
        </w:tc>
        <w:tc>
          <w:tcPr>
            <w:tcW w:w="1780" w:type="pct"/>
            <w:shd w:val="clear" w:color="auto" w:fill="auto"/>
            <w:noWrap/>
            <w:vAlign w:val="bottom"/>
          </w:tcPr>
          <w:p w14:paraId="38FA6401" w14:textId="50EDAF7B"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Colombia</w:t>
            </w:r>
          </w:p>
        </w:tc>
        <w:tc>
          <w:tcPr>
            <w:tcW w:w="1696" w:type="pct"/>
            <w:shd w:val="clear" w:color="auto" w:fill="auto"/>
            <w:noWrap/>
            <w:vAlign w:val="bottom"/>
          </w:tcPr>
          <w:p w14:paraId="78DB4A89" w14:textId="318F0360"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4DD1CA80" w14:textId="77777777" w:rsidTr="00B07D2C">
        <w:trPr>
          <w:trHeight w:val="253"/>
          <w:jc w:val="center"/>
        </w:trPr>
        <w:tc>
          <w:tcPr>
            <w:tcW w:w="1524" w:type="pct"/>
            <w:shd w:val="clear" w:color="auto" w:fill="auto"/>
            <w:noWrap/>
            <w:vAlign w:val="bottom"/>
          </w:tcPr>
          <w:p w14:paraId="2DDD0B4E" w14:textId="568155E3"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41244</w:t>
            </w:r>
          </w:p>
        </w:tc>
        <w:tc>
          <w:tcPr>
            <w:tcW w:w="1780" w:type="pct"/>
            <w:shd w:val="clear" w:color="auto" w:fill="auto"/>
            <w:noWrap/>
            <w:vAlign w:val="bottom"/>
          </w:tcPr>
          <w:p w14:paraId="1407879B" w14:textId="42B06163"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Elías</w:t>
            </w:r>
          </w:p>
        </w:tc>
        <w:tc>
          <w:tcPr>
            <w:tcW w:w="1696" w:type="pct"/>
            <w:shd w:val="clear" w:color="auto" w:fill="auto"/>
            <w:noWrap/>
            <w:vAlign w:val="bottom"/>
          </w:tcPr>
          <w:p w14:paraId="7FE9F7BB" w14:textId="0330ADCE"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602ED6A7" w14:textId="77777777" w:rsidTr="00B07D2C">
        <w:trPr>
          <w:trHeight w:val="253"/>
          <w:jc w:val="center"/>
        </w:trPr>
        <w:tc>
          <w:tcPr>
            <w:tcW w:w="1524" w:type="pct"/>
            <w:shd w:val="clear" w:color="auto" w:fill="auto"/>
            <w:noWrap/>
            <w:vAlign w:val="bottom"/>
          </w:tcPr>
          <w:p w14:paraId="1E5844DE" w14:textId="7D886DB5"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41357</w:t>
            </w:r>
          </w:p>
        </w:tc>
        <w:tc>
          <w:tcPr>
            <w:tcW w:w="1780" w:type="pct"/>
            <w:shd w:val="clear" w:color="auto" w:fill="auto"/>
            <w:noWrap/>
            <w:vAlign w:val="bottom"/>
          </w:tcPr>
          <w:p w14:paraId="3B56ABAD" w14:textId="06A83245"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Iquirá</w:t>
            </w:r>
          </w:p>
        </w:tc>
        <w:tc>
          <w:tcPr>
            <w:tcW w:w="1696" w:type="pct"/>
            <w:shd w:val="clear" w:color="auto" w:fill="auto"/>
            <w:noWrap/>
            <w:vAlign w:val="bottom"/>
          </w:tcPr>
          <w:p w14:paraId="0704DA14" w14:textId="12B64D04"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53A865E9" w14:textId="77777777" w:rsidTr="00B07D2C">
        <w:trPr>
          <w:trHeight w:val="253"/>
          <w:jc w:val="center"/>
        </w:trPr>
        <w:tc>
          <w:tcPr>
            <w:tcW w:w="1524" w:type="pct"/>
            <w:shd w:val="clear" w:color="auto" w:fill="auto"/>
            <w:noWrap/>
            <w:vAlign w:val="bottom"/>
          </w:tcPr>
          <w:p w14:paraId="1DECCF42" w14:textId="76B5536A"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41359</w:t>
            </w:r>
          </w:p>
        </w:tc>
        <w:tc>
          <w:tcPr>
            <w:tcW w:w="1780" w:type="pct"/>
            <w:shd w:val="clear" w:color="auto" w:fill="auto"/>
            <w:noWrap/>
            <w:vAlign w:val="bottom"/>
          </w:tcPr>
          <w:p w14:paraId="20D7D6D1" w14:textId="3ADD9F36"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Isnos</w:t>
            </w:r>
          </w:p>
        </w:tc>
        <w:tc>
          <w:tcPr>
            <w:tcW w:w="1696" w:type="pct"/>
            <w:shd w:val="clear" w:color="auto" w:fill="auto"/>
            <w:noWrap/>
            <w:vAlign w:val="bottom"/>
          </w:tcPr>
          <w:p w14:paraId="1358E07A" w14:textId="03D96A35"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56D23C04" w14:textId="77777777" w:rsidTr="00B07D2C">
        <w:trPr>
          <w:trHeight w:val="253"/>
          <w:jc w:val="center"/>
        </w:trPr>
        <w:tc>
          <w:tcPr>
            <w:tcW w:w="1524" w:type="pct"/>
            <w:shd w:val="clear" w:color="auto" w:fill="auto"/>
            <w:noWrap/>
            <w:vAlign w:val="bottom"/>
          </w:tcPr>
          <w:p w14:paraId="3C7AFD6D" w14:textId="46CC25E8"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41378</w:t>
            </w:r>
          </w:p>
        </w:tc>
        <w:tc>
          <w:tcPr>
            <w:tcW w:w="1780" w:type="pct"/>
            <w:shd w:val="clear" w:color="auto" w:fill="auto"/>
            <w:noWrap/>
            <w:vAlign w:val="bottom"/>
          </w:tcPr>
          <w:p w14:paraId="5559004F" w14:textId="743577E6"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La Argentina</w:t>
            </w:r>
          </w:p>
        </w:tc>
        <w:tc>
          <w:tcPr>
            <w:tcW w:w="1696" w:type="pct"/>
            <w:shd w:val="clear" w:color="auto" w:fill="auto"/>
            <w:noWrap/>
            <w:vAlign w:val="bottom"/>
          </w:tcPr>
          <w:p w14:paraId="526DBC00" w14:textId="048BE963"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2F221385" w14:textId="77777777" w:rsidTr="00B07D2C">
        <w:trPr>
          <w:trHeight w:val="253"/>
          <w:jc w:val="center"/>
        </w:trPr>
        <w:tc>
          <w:tcPr>
            <w:tcW w:w="1524" w:type="pct"/>
            <w:shd w:val="clear" w:color="auto" w:fill="auto"/>
            <w:noWrap/>
            <w:vAlign w:val="bottom"/>
          </w:tcPr>
          <w:p w14:paraId="5BD35A01" w14:textId="06852408"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41503</w:t>
            </w:r>
          </w:p>
        </w:tc>
        <w:tc>
          <w:tcPr>
            <w:tcW w:w="1780" w:type="pct"/>
            <w:shd w:val="clear" w:color="auto" w:fill="auto"/>
            <w:noWrap/>
            <w:vAlign w:val="bottom"/>
          </w:tcPr>
          <w:p w14:paraId="5630BD4A" w14:textId="42C2F1CB"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Oporapa</w:t>
            </w:r>
          </w:p>
        </w:tc>
        <w:tc>
          <w:tcPr>
            <w:tcW w:w="1696" w:type="pct"/>
            <w:shd w:val="clear" w:color="auto" w:fill="auto"/>
            <w:noWrap/>
            <w:vAlign w:val="bottom"/>
          </w:tcPr>
          <w:p w14:paraId="26DAB36D" w14:textId="0E09BFAA"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55BAFE6B" w14:textId="77777777" w:rsidTr="00B07D2C">
        <w:trPr>
          <w:trHeight w:val="253"/>
          <w:jc w:val="center"/>
        </w:trPr>
        <w:tc>
          <w:tcPr>
            <w:tcW w:w="1524" w:type="pct"/>
            <w:shd w:val="clear" w:color="auto" w:fill="auto"/>
            <w:noWrap/>
            <w:vAlign w:val="bottom"/>
          </w:tcPr>
          <w:p w14:paraId="5050E2C8" w14:textId="270A9BA0"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41530</w:t>
            </w:r>
          </w:p>
        </w:tc>
        <w:tc>
          <w:tcPr>
            <w:tcW w:w="1780" w:type="pct"/>
            <w:shd w:val="clear" w:color="auto" w:fill="auto"/>
            <w:noWrap/>
            <w:vAlign w:val="bottom"/>
          </w:tcPr>
          <w:p w14:paraId="4A18EEAB" w14:textId="0C2EF75E"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Palestina</w:t>
            </w:r>
          </w:p>
        </w:tc>
        <w:tc>
          <w:tcPr>
            <w:tcW w:w="1696" w:type="pct"/>
            <w:shd w:val="clear" w:color="auto" w:fill="auto"/>
            <w:noWrap/>
            <w:vAlign w:val="bottom"/>
          </w:tcPr>
          <w:p w14:paraId="3988F20F" w14:textId="74FC13C4"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15338128" w14:textId="77777777" w:rsidTr="00B07D2C">
        <w:trPr>
          <w:trHeight w:val="253"/>
          <w:jc w:val="center"/>
        </w:trPr>
        <w:tc>
          <w:tcPr>
            <w:tcW w:w="1524" w:type="pct"/>
            <w:shd w:val="clear" w:color="auto" w:fill="auto"/>
            <w:noWrap/>
            <w:vAlign w:val="bottom"/>
          </w:tcPr>
          <w:p w14:paraId="5C14288B" w14:textId="058F4656"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41660</w:t>
            </w:r>
          </w:p>
        </w:tc>
        <w:tc>
          <w:tcPr>
            <w:tcW w:w="1780" w:type="pct"/>
            <w:shd w:val="clear" w:color="auto" w:fill="auto"/>
            <w:noWrap/>
            <w:vAlign w:val="bottom"/>
          </w:tcPr>
          <w:p w14:paraId="0C644387" w14:textId="1D59DEBA"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Saladoblanco</w:t>
            </w:r>
          </w:p>
        </w:tc>
        <w:tc>
          <w:tcPr>
            <w:tcW w:w="1696" w:type="pct"/>
            <w:shd w:val="clear" w:color="auto" w:fill="auto"/>
            <w:noWrap/>
            <w:vAlign w:val="bottom"/>
          </w:tcPr>
          <w:p w14:paraId="7D7F3C26" w14:textId="05E80977"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529ED7AA" w14:textId="77777777" w:rsidTr="00B07D2C">
        <w:trPr>
          <w:trHeight w:val="253"/>
          <w:jc w:val="center"/>
        </w:trPr>
        <w:tc>
          <w:tcPr>
            <w:tcW w:w="1524" w:type="pct"/>
            <w:shd w:val="clear" w:color="auto" w:fill="auto"/>
            <w:noWrap/>
            <w:vAlign w:val="bottom"/>
          </w:tcPr>
          <w:p w14:paraId="5878B829" w14:textId="31BFCF35"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41676</w:t>
            </w:r>
          </w:p>
        </w:tc>
        <w:tc>
          <w:tcPr>
            <w:tcW w:w="1780" w:type="pct"/>
            <w:shd w:val="clear" w:color="auto" w:fill="auto"/>
            <w:noWrap/>
            <w:vAlign w:val="bottom"/>
          </w:tcPr>
          <w:p w14:paraId="2A3DE7BE" w14:textId="20D6F6CD"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Santa María</w:t>
            </w:r>
          </w:p>
        </w:tc>
        <w:tc>
          <w:tcPr>
            <w:tcW w:w="1696" w:type="pct"/>
            <w:shd w:val="clear" w:color="auto" w:fill="auto"/>
            <w:noWrap/>
            <w:vAlign w:val="bottom"/>
          </w:tcPr>
          <w:p w14:paraId="23F03E9D" w14:textId="775FE5D8"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r w:rsidR="00B07D2C" w:rsidRPr="009726F2" w14:paraId="0D6823AC" w14:textId="77777777" w:rsidTr="00B07D2C">
        <w:trPr>
          <w:trHeight w:val="253"/>
          <w:jc w:val="center"/>
        </w:trPr>
        <w:tc>
          <w:tcPr>
            <w:tcW w:w="1524" w:type="pct"/>
            <w:shd w:val="clear" w:color="auto" w:fill="auto"/>
            <w:noWrap/>
            <w:vAlign w:val="bottom"/>
          </w:tcPr>
          <w:p w14:paraId="32C46B4D" w14:textId="35018BC7" w:rsidR="00B07D2C" w:rsidRPr="00B07D2C" w:rsidRDefault="00B07D2C" w:rsidP="00B07D2C">
            <w:pPr>
              <w:ind w:left="-82"/>
              <w:jc w:val="center"/>
              <w:rPr>
                <w:rFonts w:ascii="Bookman Old Style" w:hAnsi="Bookman Old Style" w:cs="Arial"/>
                <w:color w:val="000000"/>
                <w:sz w:val="22"/>
                <w:szCs w:val="20"/>
              </w:rPr>
            </w:pPr>
            <w:r w:rsidRPr="00B07D2C">
              <w:rPr>
                <w:rFonts w:ascii="Bookman Old Style" w:hAnsi="Bookman Old Style"/>
                <w:color w:val="000000"/>
                <w:sz w:val="22"/>
                <w:szCs w:val="22"/>
              </w:rPr>
              <w:t>41006</w:t>
            </w:r>
          </w:p>
        </w:tc>
        <w:tc>
          <w:tcPr>
            <w:tcW w:w="1780" w:type="pct"/>
            <w:shd w:val="clear" w:color="auto" w:fill="auto"/>
            <w:noWrap/>
            <w:vAlign w:val="bottom"/>
          </w:tcPr>
          <w:p w14:paraId="34553AF2" w14:textId="4229B47A" w:rsidR="00B07D2C" w:rsidRPr="00B07D2C" w:rsidRDefault="00B07D2C" w:rsidP="00B07D2C">
            <w:pPr>
              <w:ind w:left="-58" w:hanging="24"/>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Acevedo</w:t>
            </w:r>
          </w:p>
        </w:tc>
        <w:tc>
          <w:tcPr>
            <w:tcW w:w="1696" w:type="pct"/>
            <w:shd w:val="clear" w:color="auto" w:fill="auto"/>
            <w:noWrap/>
            <w:vAlign w:val="bottom"/>
          </w:tcPr>
          <w:p w14:paraId="44C324D0" w14:textId="1D895F23" w:rsidR="00B07D2C" w:rsidRPr="00B07D2C" w:rsidRDefault="00B07D2C" w:rsidP="00B07D2C">
            <w:pPr>
              <w:ind w:left="-82"/>
              <w:jc w:val="center"/>
              <w:rPr>
                <w:rFonts w:ascii="Bookman Old Style" w:hAnsi="Bookman Old Style" w:cs="Arial"/>
                <w:color w:val="000000"/>
                <w:sz w:val="22"/>
                <w:szCs w:val="20"/>
                <w:lang w:val="es-CO" w:eastAsia="es-CO"/>
              </w:rPr>
            </w:pPr>
            <w:r w:rsidRPr="00B07D2C">
              <w:rPr>
                <w:rFonts w:ascii="Bookman Old Style" w:hAnsi="Bookman Old Style"/>
                <w:color w:val="000000"/>
                <w:sz w:val="22"/>
                <w:szCs w:val="22"/>
              </w:rPr>
              <w:t>Huila</w:t>
            </w:r>
          </w:p>
        </w:tc>
      </w:tr>
    </w:tbl>
    <w:p w14:paraId="58E58312" w14:textId="77777777" w:rsidR="00BA3556" w:rsidRDefault="00BA3556" w:rsidP="00BA3556">
      <w:pPr>
        <w:adjustRightInd w:val="0"/>
        <w:spacing w:before="240" w:after="240"/>
        <w:ind w:left="0" w:right="23"/>
        <w:jc w:val="both"/>
        <w:rPr>
          <w:rFonts w:ascii="Bookman Old Style" w:hAnsi="Bookman Old Style"/>
          <w:lang w:eastAsia="es-CO"/>
        </w:rPr>
      </w:pPr>
      <w:r w:rsidRPr="00664284">
        <w:rPr>
          <w:rFonts w:ascii="Bookman Old Style" w:hAnsi="Bookman Old Style" w:cs="Arial"/>
        </w:rPr>
        <w:t>Para adelantar la actuación se utilizan los datos de demanda de gas y las inversiones reportadas por la empresa en Apligas, así</w:t>
      </w:r>
      <w:r>
        <w:rPr>
          <w:rFonts w:ascii="Bookman Old Style" w:hAnsi="Bookman Old Style" w:cs="Arial"/>
        </w:rPr>
        <w:t xml:space="preserve"> como la </w:t>
      </w:r>
      <w:r w:rsidRPr="00D2747E">
        <w:rPr>
          <w:rFonts w:ascii="Bookman Old Style" w:hAnsi="Bookman Old Style" w:cs="Arial"/>
        </w:rPr>
        <w:t>información de AOM y Otros Activos</w:t>
      </w:r>
      <w:r w:rsidRPr="00D2747E">
        <w:rPr>
          <w:rFonts w:ascii="Bookman Old Style" w:hAnsi="Bookman Old Style"/>
          <w:lang w:eastAsia="es-CO"/>
        </w:rPr>
        <w:t xml:space="preserve"> reportada y depurada por la empresa </w:t>
      </w:r>
      <w:r w:rsidRPr="00177C98">
        <w:rPr>
          <w:rFonts w:ascii="Bookman Old Style" w:hAnsi="Bookman Old Style"/>
          <w:lang w:eastAsia="es-CO"/>
        </w:rPr>
        <w:t>SURCOLOMBIANA DE GAS S.A. E.S.P.</w:t>
      </w:r>
      <w:r w:rsidRPr="00D2747E">
        <w:rPr>
          <w:rFonts w:ascii="Bookman Old Style" w:hAnsi="Bookman Old Style"/>
          <w:lang w:eastAsia="es-CO"/>
        </w:rPr>
        <w:t xml:space="preserve"> como respuesta a la Circular CREG 004</w:t>
      </w:r>
      <w:r>
        <w:rPr>
          <w:rFonts w:ascii="Bookman Old Style" w:hAnsi="Bookman Old Style"/>
          <w:lang w:eastAsia="es-CO"/>
        </w:rPr>
        <w:t xml:space="preserve"> de 2017.</w:t>
      </w:r>
    </w:p>
    <w:p w14:paraId="62884B4C" w14:textId="77777777" w:rsidR="00BA3556" w:rsidRDefault="00BA3556" w:rsidP="00BA3556">
      <w:pPr>
        <w:adjustRightInd w:val="0"/>
        <w:spacing w:before="240" w:after="240"/>
        <w:ind w:left="0" w:right="23"/>
        <w:jc w:val="both"/>
        <w:rPr>
          <w:rFonts w:ascii="Bookman Old Style" w:hAnsi="Bookman Old Style"/>
          <w:lang w:eastAsia="es-CO"/>
        </w:rPr>
      </w:pPr>
      <w:r>
        <w:rPr>
          <w:rFonts w:ascii="Bookman Old Style" w:hAnsi="Bookman Old Style"/>
          <w:lang w:eastAsia="es-CO"/>
        </w:rPr>
        <w:t xml:space="preserve">Mediante radicado CREG S-2018-000312 del 5 de febrero de 2018, la Comisión solicita a la empresa SURCOLOMBIANA DE GAS S.A. E.S.P. el envío de una información faltante en la solicitud </w:t>
      </w:r>
      <w:r w:rsidRPr="006C4554">
        <w:rPr>
          <w:rFonts w:ascii="Bookman Old Style" w:hAnsi="Bookman Old Style"/>
        </w:rPr>
        <w:t>E-2017-012172</w:t>
      </w:r>
      <w:r>
        <w:rPr>
          <w:rFonts w:ascii="Bookman Old Style" w:hAnsi="Bookman Old Style"/>
        </w:rPr>
        <w:t>. La empresa atiende dicho requerimiento mediante radicado CREG E-2018-001246 del 15 de febrero de 2018.</w:t>
      </w:r>
    </w:p>
    <w:p w14:paraId="33C2AEA0" w14:textId="612DB1B1" w:rsidR="004877B3" w:rsidRDefault="004877B3" w:rsidP="004877B3">
      <w:pPr>
        <w:adjustRightInd w:val="0"/>
        <w:spacing w:before="240" w:after="240"/>
        <w:ind w:left="0" w:right="23"/>
        <w:jc w:val="both"/>
      </w:pPr>
      <w:r>
        <w:rPr>
          <w:rFonts w:ascii="Bookman Old Style" w:hAnsi="Bookman Old Style"/>
          <w:lang w:eastAsia="es-CO"/>
        </w:rPr>
        <w:t>En el radicado E-201</w:t>
      </w:r>
      <w:r w:rsidRPr="00D2747E">
        <w:rPr>
          <w:rFonts w:ascii="Bookman Old Style" w:hAnsi="Bookman Old Style"/>
          <w:lang w:eastAsia="es-CO"/>
        </w:rPr>
        <w:t>7-</w:t>
      </w:r>
      <w:r>
        <w:rPr>
          <w:rFonts w:ascii="Bookman Old Style" w:hAnsi="Bookman Old Style"/>
          <w:lang w:eastAsia="es-CO"/>
        </w:rPr>
        <w:t xml:space="preserve">012173, la empresa </w:t>
      </w:r>
      <w:r w:rsidRPr="00177C98">
        <w:rPr>
          <w:rFonts w:ascii="Bookman Old Style" w:hAnsi="Bookman Old Style"/>
          <w:lang w:eastAsia="es-CO"/>
        </w:rPr>
        <w:t>SURCOLOMBIANA DE GAS S.A. E.S.P.</w:t>
      </w:r>
      <w:r w:rsidRPr="00D2747E">
        <w:rPr>
          <w:rFonts w:ascii="Bookman Old Style" w:hAnsi="Bookman Old Style"/>
          <w:lang w:eastAsia="es-CO"/>
        </w:rPr>
        <w:t xml:space="preserve"> manifiesta que el mercado relevante o</w:t>
      </w:r>
      <w:r w:rsidRPr="00E20EB7">
        <w:rPr>
          <w:rFonts w:ascii="Bookman Old Style" w:hAnsi="Bookman Old Style"/>
          <w:lang w:eastAsia="es-CO"/>
        </w:rPr>
        <w:t xml:space="preserve">bjeto de su solicitud tarifaria </w:t>
      </w:r>
      <w:r w:rsidRPr="00177C98">
        <w:rPr>
          <w:rFonts w:ascii="Bookman Old Style" w:hAnsi="Bookman Old Style"/>
          <w:bCs/>
          <w:lang w:eastAsia="es-CO"/>
        </w:rPr>
        <w:t>cuenta</w:t>
      </w:r>
      <w:r w:rsidRPr="00177C98">
        <w:rPr>
          <w:rFonts w:ascii="Bookman Old Style" w:hAnsi="Bookman Old Style"/>
          <w:b/>
          <w:bCs/>
          <w:lang w:eastAsia="es-CO"/>
        </w:rPr>
        <w:t xml:space="preserve"> </w:t>
      </w:r>
      <w:r w:rsidRPr="00177C98">
        <w:rPr>
          <w:rFonts w:ascii="Bookman Old Style" w:hAnsi="Bookman Old Style"/>
          <w:bCs/>
          <w:lang w:eastAsia="es-CO"/>
        </w:rPr>
        <w:t>con recursos públicos con destino a las redes de distribución.</w:t>
      </w:r>
      <w:r>
        <w:rPr>
          <w:rFonts w:ascii="Bookman Old Style" w:hAnsi="Bookman Old Style"/>
          <w:bCs/>
          <w:lang w:eastAsia="es-CO"/>
        </w:rPr>
        <w:t xml:space="preserve"> Sin embargo, la información reportada por la empresa en dicha comunicación difiere de la reportada </w:t>
      </w:r>
      <w:r w:rsidRPr="00177C98">
        <w:rPr>
          <w:rFonts w:ascii="Bookman Old Style" w:hAnsi="Bookman Old Style"/>
          <w:lang w:eastAsia="es-CO"/>
        </w:rPr>
        <w:t xml:space="preserve">por la empresa </w:t>
      </w:r>
      <w:r>
        <w:rPr>
          <w:rFonts w:ascii="Bookman Old Style" w:hAnsi="Bookman Old Style"/>
          <w:lang w:eastAsia="es-CO"/>
        </w:rPr>
        <w:t>en Apligas.</w:t>
      </w:r>
    </w:p>
    <w:p w14:paraId="617E0455" w14:textId="1C3A3383" w:rsidR="004877B3" w:rsidRPr="006B7E6B" w:rsidRDefault="004877B3" w:rsidP="006B7E6B">
      <w:pPr>
        <w:adjustRightInd w:val="0"/>
        <w:spacing w:before="240" w:after="240"/>
        <w:ind w:left="0" w:right="23"/>
        <w:jc w:val="both"/>
        <w:rPr>
          <w:rFonts w:ascii="Bookman Old Style" w:hAnsi="Bookman Old Style"/>
          <w:lang w:eastAsia="es-CO"/>
        </w:rPr>
      </w:pPr>
      <w:r>
        <w:rPr>
          <w:rFonts w:ascii="Bookman Old Style" w:hAnsi="Bookman Old Style"/>
          <w:lang w:eastAsia="es-CO"/>
        </w:rPr>
        <w:t xml:space="preserve">Por ello, la Comisión solicita a la empresa SURCOLOMBIANA DE GAS S.A. E.S.P. que aclare las diferencias en la información </w:t>
      </w:r>
      <w:r w:rsidRPr="006C4554">
        <w:rPr>
          <w:rFonts w:ascii="Bookman Old Style" w:hAnsi="Bookman Old Style"/>
          <w:lang w:eastAsia="es-CO"/>
        </w:rPr>
        <w:t>mediante radicado CREG S-2018-</w:t>
      </w:r>
      <w:r w:rsidRPr="006B7E6B">
        <w:rPr>
          <w:rFonts w:ascii="Bookman Old Style" w:hAnsi="Bookman Old Style"/>
          <w:lang w:eastAsia="es-CO"/>
        </w:rPr>
        <w:t>001850</w:t>
      </w:r>
      <w:r w:rsidRPr="00177C98">
        <w:rPr>
          <w:rFonts w:ascii="Bookman Old Style" w:hAnsi="Bookman Old Style"/>
          <w:lang w:eastAsia="es-CO"/>
        </w:rPr>
        <w:t xml:space="preserve"> del </w:t>
      </w:r>
      <w:r w:rsidRPr="006B7E6B">
        <w:rPr>
          <w:rFonts w:ascii="Bookman Old Style" w:hAnsi="Bookman Old Style"/>
          <w:lang w:eastAsia="es-CO"/>
        </w:rPr>
        <w:t>2</w:t>
      </w:r>
      <w:r w:rsidRPr="00177C98">
        <w:rPr>
          <w:rFonts w:ascii="Bookman Old Style" w:hAnsi="Bookman Old Style"/>
          <w:lang w:eastAsia="es-CO"/>
        </w:rPr>
        <w:t xml:space="preserve">5 de abril de 2018. La empresa responde al requerimiento mediante el radicado </w:t>
      </w:r>
      <w:r w:rsidRPr="006B7E6B">
        <w:rPr>
          <w:rFonts w:ascii="Bookman Old Style" w:hAnsi="Bookman Old Style"/>
          <w:lang w:eastAsia="es-CO"/>
        </w:rPr>
        <w:t>E-2018-004009 del 25</w:t>
      </w:r>
      <w:r w:rsidRPr="00177C98">
        <w:rPr>
          <w:rFonts w:ascii="Bookman Old Style" w:hAnsi="Bookman Old Style"/>
          <w:lang w:eastAsia="es-CO"/>
        </w:rPr>
        <w:t xml:space="preserve"> de abril de 2018.</w:t>
      </w:r>
    </w:p>
    <w:p w14:paraId="011DDC79" w14:textId="77777777" w:rsidR="006B7E6B" w:rsidRPr="006E15EA" w:rsidRDefault="006B7E6B" w:rsidP="006B7E6B">
      <w:pPr>
        <w:adjustRightInd w:val="0"/>
        <w:spacing w:before="240" w:after="240"/>
        <w:ind w:left="0" w:right="23"/>
        <w:jc w:val="both"/>
        <w:rPr>
          <w:rFonts w:ascii="Bookman Old Style" w:hAnsi="Bookman Old Style"/>
          <w:lang w:eastAsia="es-CO"/>
        </w:rPr>
      </w:pPr>
      <w:r w:rsidRPr="006B7E6B">
        <w:rPr>
          <w:rFonts w:ascii="Bookman Old Style" w:hAnsi="Bookman Old Style"/>
          <w:lang w:eastAsia="es-CO"/>
        </w:rPr>
        <w:t xml:space="preserve">Una vez verificado el cumplimiento de los requisitos de presentación de la solicitud tarifaria, la Comisión dispuso iniciar, mediante auto proferido el día 10 de mayo de 2018, la respectiva actuación administrativa con fundamento en la manifestación expresa que hizo la empresa SURCOLOMBIANA DE GAS S.A. </w:t>
      </w:r>
      <w:r w:rsidRPr="006B7E6B">
        <w:rPr>
          <w:rFonts w:ascii="Bookman Old Style" w:hAnsi="Bookman Old Style"/>
          <w:lang w:eastAsia="es-CO"/>
        </w:rPr>
        <w:lastRenderedPageBreak/>
        <w:t xml:space="preserve">E.S.P. para la aprobación de cargos transitorios de distribución de gas combustible por redes de tubería, para el mercado relevante conformado por los municipios señalados en el </w:t>
      </w:r>
      <w:r w:rsidRPr="006E15EA">
        <w:rPr>
          <w:rFonts w:ascii="Bookman Old Style" w:hAnsi="Bookman Old Style"/>
          <w:lang w:eastAsia="es-CO"/>
        </w:rPr>
        <w:t>cuadro No. 1.</w:t>
      </w:r>
    </w:p>
    <w:p w14:paraId="3ADD689D" w14:textId="3CED0C04" w:rsidR="001C0019" w:rsidRDefault="001C0019" w:rsidP="001C0019">
      <w:pPr>
        <w:adjustRightInd w:val="0"/>
        <w:spacing w:before="240" w:after="240"/>
        <w:ind w:left="0" w:right="23"/>
        <w:jc w:val="both"/>
        <w:rPr>
          <w:rFonts w:ascii="Bookman Old Style" w:hAnsi="Bookman Old Style" w:cs="Arial"/>
          <w:szCs w:val="22"/>
        </w:rPr>
      </w:pPr>
      <w:r w:rsidRPr="006E15EA">
        <w:rPr>
          <w:rFonts w:ascii="Bookman Old Style" w:hAnsi="Bookman Old Style" w:cs="Arial"/>
          <w:szCs w:val="22"/>
        </w:rPr>
        <w:t xml:space="preserve">De acuerdo con lo establecido en el Auto del </w:t>
      </w:r>
      <w:r w:rsidR="006E15EA" w:rsidRPr="006E15EA">
        <w:rPr>
          <w:rFonts w:ascii="Bookman Old Style" w:hAnsi="Bookman Old Style" w:cs="Arial"/>
          <w:szCs w:val="22"/>
        </w:rPr>
        <w:t>10</w:t>
      </w:r>
      <w:r w:rsidRPr="006E15EA">
        <w:rPr>
          <w:rFonts w:ascii="Bookman Old Style" w:hAnsi="Bookman Old Style" w:cs="Arial"/>
          <w:szCs w:val="22"/>
        </w:rPr>
        <w:t xml:space="preserve"> de </w:t>
      </w:r>
      <w:r w:rsidR="006E15EA" w:rsidRPr="006E15EA">
        <w:rPr>
          <w:rFonts w:ascii="Bookman Old Style" w:hAnsi="Bookman Old Style" w:cs="Arial"/>
          <w:szCs w:val="22"/>
        </w:rPr>
        <w:t>mayo de 2018</w:t>
      </w:r>
      <w:r w:rsidRPr="006E15EA">
        <w:rPr>
          <w:rFonts w:ascii="Bookman Old Style" w:hAnsi="Bookman Old Style" w:cs="Arial"/>
          <w:szCs w:val="22"/>
        </w:rPr>
        <w:t xml:space="preserve"> y para cumplir con lo dispuesto en el artículo 37 del Código de Procedimiento Administrativo y de lo Contencioso Administrativo, se publicó un extracto con el resumen de la actuación administrativa en el </w:t>
      </w:r>
      <w:r w:rsidRPr="00115B8D">
        <w:rPr>
          <w:rFonts w:ascii="Bookman Old Style" w:hAnsi="Bookman Old Style" w:cs="Arial"/>
          <w:i/>
          <w:szCs w:val="22"/>
        </w:rPr>
        <w:t>Diario Oficial</w:t>
      </w:r>
      <w:r w:rsidRPr="006E15EA">
        <w:rPr>
          <w:rFonts w:ascii="Bookman Old Style" w:hAnsi="Bookman Old Style" w:cs="Arial"/>
          <w:szCs w:val="22"/>
        </w:rPr>
        <w:t xml:space="preserve"> No. </w:t>
      </w:r>
      <w:r w:rsidR="006E15EA" w:rsidRPr="006E15EA">
        <w:rPr>
          <w:rFonts w:ascii="Bookman Old Style" w:hAnsi="Bookman Old Style" w:cs="Arial"/>
          <w:szCs w:val="22"/>
        </w:rPr>
        <w:t>50.595</w:t>
      </w:r>
      <w:r w:rsidRPr="006E15EA">
        <w:rPr>
          <w:rFonts w:ascii="Bookman Old Style" w:hAnsi="Bookman Old Style" w:cs="Arial"/>
          <w:szCs w:val="22"/>
        </w:rPr>
        <w:t xml:space="preserve"> del </w:t>
      </w:r>
      <w:r w:rsidR="006E15EA" w:rsidRPr="006E15EA">
        <w:rPr>
          <w:rFonts w:ascii="Bookman Old Style" w:hAnsi="Bookman Old Style" w:cs="Arial"/>
          <w:szCs w:val="22"/>
        </w:rPr>
        <w:t>16</w:t>
      </w:r>
      <w:r w:rsidRPr="006E15EA">
        <w:rPr>
          <w:rFonts w:ascii="Bookman Old Style" w:hAnsi="Bookman Old Style" w:cs="Arial"/>
          <w:szCs w:val="22"/>
        </w:rPr>
        <w:t xml:space="preserve"> de </w:t>
      </w:r>
      <w:r w:rsidR="006E15EA" w:rsidRPr="006E15EA">
        <w:rPr>
          <w:rFonts w:ascii="Bookman Old Style" w:hAnsi="Bookman Old Style" w:cs="Arial"/>
          <w:szCs w:val="22"/>
        </w:rPr>
        <w:t>mayo</w:t>
      </w:r>
      <w:r w:rsidRPr="006E15EA">
        <w:rPr>
          <w:rFonts w:ascii="Bookman Old Style" w:hAnsi="Bookman Old Style" w:cs="Arial"/>
          <w:szCs w:val="22"/>
        </w:rPr>
        <w:t xml:space="preserve"> de 2017. Así mismo, mediante el Aviso No. </w:t>
      </w:r>
      <w:r w:rsidR="006E15EA" w:rsidRPr="006E15EA">
        <w:rPr>
          <w:rFonts w:ascii="Bookman Old Style" w:hAnsi="Bookman Old Style" w:cs="Arial"/>
          <w:szCs w:val="22"/>
        </w:rPr>
        <w:t>047</w:t>
      </w:r>
      <w:r w:rsidRPr="006E15EA">
        <w:rPr>
          <w:rFonts w:ascii="Bookman Old Style" w:hAnsi="Bookman Old Style" w:cs="Arial"/>
          <w:szCs w:val="22"/>
        </w:rPr>
        <w:t xml:space="preserve"> de 201</w:t>
      </w:r>
      <w:r w:rsidR="006E15EA" w:rsidRPr="006E15EA">
        <w:rPr>
          <w:rFonts w:ascii="Bookman Old Style" w:hAnsi="Bookman Old Style" w:cs="Arial"/>
          <w:szCs w:val="22"/>
        </w:rPr>
        <w:t>8</w:t>
      </w:r>
      <w:r w:rsidRPr="006E15EA">
        <w:rPr>
          <w:rFonts w:ascii="Bookman Old Style" w:hAnsi="Bookman Old Style" w:cs="Arial"/>
          <w:szCs w:val="22"/>
        </w:rPr>
        <w:t xml:space="preserve"> se publicó el extracto con el resumen de la actuación administrativa en relación con la solicitud presentada por la empresa </w:t>
      </w:r>
      <w:r w:rsidR="006423C2" w:rsidRPr="006E15EA">
        <w:rPr>
          <w:rFonts w:ascii="Bookman Old Style" w:hAnsi="Bookman Old Style" w:cs="Arial"/>
          <w:szCs w:val="22"/>
        </w:rPr>
        <w:t>SURCOLOMBIANA DE GAS S.A. E.S.P.</w:t>
      </w:r>
      <w:r w:rsidRPr="006E15EA">
        <w:rPr>
          <w:rFonts w:ascii="Bookman Old Style" w:hAnsi="Bookman Old Style" w:cs="Arial"/>
          <w:szCs w:val="22"/>
        </w:rPr>
        <w:t xml:space="preserve"> </w:t>
      </w:r>
      <w:r w:rsidRPr="006E15EA">
        <w:rPr>
          <w:rFonts w:ascii="Bookman Old Style" w:hAnsi="Bookman Old Style" w:cs="Arial"/>
        </w:rPr>
        <w:t>para</w:t>
      </w:r>
      <w:r w:rsidRPr="001954E9">
        <w:rPr>
          <w:rFonts w:ascii="Bookman Old Style" w:hAnsi="Bookman Old Style" w:cs="Arial"/>
        </w:rPr>
        <w:t xml:space="preserve"> la aprobación de cargos </w:t>
      </w:r>
      <w:r>
        <w:rPr>
          <w:rFonts w:ascii="Bookman Old Style" w:hAnsi="Bookman Old Style" w:cs="Arial"/>
        </w:rPr>
        <w:t xml:space="preserve">transitorios </w:t>
      </w:r>
      <w:r w:rsidRPr="001954E9">
        <w:rPr>
          <w:rFonts w:ascii="Bookman Old Style" w:hAnsi="Bookman Old Style" w:cs="Arial"/>
        </w:rPr>
        <w:t xml:space="preserve">de </w:t>
      </w:r>
      <w:r w:rsidRPr="001954E9">
        <w:rPr>
          <w:rFonts w:ascii="Bookman Old Style" w:hAnsi="Bookman Old Style" w:cs="Arial"/>
          <w:szCs w:val="22"/>
        </w:rPr>
        <w:t>distribución de gas combustible por redes de tubería. Lo anterior, a fin de que los terceros interesados pudiesen hacerse parte en la respectiva actuación.</w:t>
      </w:r>
    </w:p>
    <w:p w14:paraId="7A1DF48B" w14:textId="5AFCD6AB" w:rsidR="006E15EA" w:rsidRDefault="006E15EA" w:rsidP="006E15EA">
      <w:pPr>
        <w:adjustRightInd w:val="0"/>
        <w:spacing w:before="240" w:after="240"/>
        <w:ind w:left="0" w:right="23"/>
        <w:jc w:val="both"/>
        <w:rPr>
          <w:rFonts w:ascii="Bookman Old Style" w:hAnsi="Bookman Old Style" w:cs="Arial"/>
          <w:szCs w:val="22"/>
        </w:rPr>
      </w:pPr>
      <w:r>
        <w:rPr>
          <w:rFonts w:ascii="Bookman Old Style" w:hAnsi="Bookman Old Style" w:cs="Arial"/>
          <w:szCs w:val="22"/>
        </w:rPr>
        <w:t>Mediante auto de pruebas del 28 de mayo de 2018, la Comisión solicita a la empresa SURCOLOMBIANA DE GAS S.A. E.S.P.</w:t>
      </w:r>
      <w:r>
        <w:rPr>
          <w:rFonts w:ascii="Bookman Old Style" w:hAnsi="Bookman Old Style" w:cs="Arial"/>
          <w:szCs w:val="22"/>
        </w:rPr>
        <w:tab/>
        <w:t xml:space="preserve"> que reporte el monto de recursos públicos otorgados por las Alcaldías a los municipios de Nátaga, Colombia, Palestina y Saladoblanco. Así mismo, se solicita que discrimine los recursos otorgados por la Gobernación del Huila a cada municipio. La empresa responde a dicho requerimiento mediante radicados CREG E-2018-005</w:t>
      </w:r>
      <w:r w:rsidR="002C6DE9">
        <w:rPr>
          <w:rFonts w:ascii="Bookman Old Style" w:hAnsi="Bookman Old Style" w:cs="Arial"/>
          <w:szCs w:val="22"/>
        </w:rPr>
        <w:t>5</w:t>
      </w:r>
      <w:r>
        <w:rPr>
          <w:rFonts w:ascii="Bookman Old Style" w:hAnsi="Bookman Old Style" w:cs="Arial"/>
          <w:szCs w:val="22"/>
        </w:rPr>
        <w:t>07 del 6 de junio de 2018</w:t>
      </w:r>
    </w:p>
    <w:p w14:paraId="51C9A8DF" w14:textId="21486728" w:rsidR="002C6DE9" w:rsidRDefault="003925C7" w:rsidP="006E15EA">
      <w:pPr>
        <w:adjustRightInd w:val="0"/>
        <w:spacing w:before="240" w:after="240"/>
        <w:ind w:left="0" w:right="23"/>
        <w:jc w:val="both"/>
        <w:rPr>
          <w:rFonts w:ascii="Bookman Old Style" w:hAnsi="Bookman Old Style" w:cs="Arial"/>
          <w:szCs w:val="22"/>
        </w:rPr>
      </w:pPr>
      <w:r>
        <w:rPr>
          <w:rFonts w:ascii="Bookman Old Style" w:hAnsi="Bookman Old Style" w:cs="Arial"/>
          <w:szCs w:val="22"/>
        </w:rPr>
        <w:t>M</w:t>
      </w:r>
      <w:r w:rsidR="002C6DE9">
        <w:rPr>
          <w:rFonts w:ascii="Bookman Old Style" w:hAnsi="Bookman Old Style" w:cs="Arial"/>
          <w:szCs w:val="22"/>
        </w:rPr>
        <w:t xml:space="preserve">ediante radicado CREG E-2018-005857 del </w:t>
      </w:r>
      <w:r w:rsidR="00761AB7">
        <w:rPr>
          <w:rFonts w:ascii="Bookman Old Style" w:hAnsi="Bookman Old Style" w:cs="Arial"/>
          <w:szCs w:val="22"/>
        </w:rPr>
        <w:t xml:space="preserve">14 de junio de 2018, </w:t>
      </w:r>
      <w:r>
        <w:rPr>
          <w:rFonts w:ascii="Bookman Old Style" w:hAnsi="Bookman Old Style" w:cs="Arial"/>
          <w:szCs w:val="22"/>
        </w:rPr>
        <w:t xml:space="preserve">la Gobernación del Huila </w:t>
      </w:r>
      <w:r w:rsidR="00761AB7">
        <w:rPr>
          <w:rFonts w:ascii="Bookman Old Style" w:hAnsi="Bookman Old Style" w:cs="Arial"/>
          <w:szCs w:val="22"/>
        </w:rPr>
        <w:t xml:space="preserve">informa que </w:t>
      </w:r>
      <w:r w:rsidR="00761AB7" w:rsidRPr="00761AB7">
        <w:rPr>
          <w:rFonts w:ascii="Bookman Old Style" w:hAnsi="Bookman Old Style" w:cs="Arial"/>
          <w:i/>
          <w:szCs w:val="22"/>
        </w:rPr>
        <w:t>"una vez revisada la información en conjunto con la Empresa Surcolombiana de Gas SA. ESP., sobre los aportes de la Gobernación del Huila en redes de distribución para los Municipios Nataga, Colombia, Elías, Iquira, Isnos, La Argentina, Oporapa, Palestina, Saladoblanco, Santa Maria y Acevedo, donde Surcolombiana de Gas SA. ESP., había estipulado como 100% del aporte en redes de distribución por parte de la Gobernación del Huila, Sin embargo, al validar la información se verifico que el aporte era cofinanciado de igual manera por los Municipios, aclaración qu</w:t>
      </w:r>
      <w:r w:rsidR="0066072C">
        <w:rPr>
          <w:rFonts w:ascii="Bookman Old Style" w:hAnsi="Bookman Old Style" w:cs="Arial"/>
          <w:i/>
          <w:szCs w:val="22"/>
        </w:rPr>
        <w:t>e realizo la empresa distribu</w:t>
      </w:r>
      <w:r w:rsidR="00761AB7" w:rsidRPr="00761AB7">
        <w:rPr>
          <w:rFonts w:ascii="Bookman Old Style" w:hAnsi="Bookman Old Style" w:cs="Arial"/>
          <w:i/>
          <w:szCs w:val="22"/>
        </w:rPr>
        <w:t>idora mediante comunicación No. 0014685 de fecha 8 de junio de 2018"</w:t>
      </w:r>
      <w:r w:rsidR="00761AB7" w:rsidRPr="00761AB7">
        <w:rPr>
          <w:rFonts w:ascii="Bookman Old Style" w:hAnsi="Bookman Old Style" w:cs="Arial"/>
          <w:szCs w:val="22"/>
        </w:rPr>
        <w:t>.</w:t>
      </w:r>
      <w:r w:rsidR="002C6DE9">
        <w:rPr>
          <w:rFonts w:ascii="Bookman Old Style" w:hAnsi="Bookman Old Style" w:cs="Arial"/>
          <w:szCs w:val="22"/>
        </w:rPr>
        <w:t xml:space="preserve"> </w:t>
      </w:r>
    </w:p>
    <w:p w14:paraId="3BDAC20E" w14:textId="6FC82C95" w:rsidR="006E15EA" w:rsidRDefault="002C6DE9" w:rsidP="009C4C03">
      <w:pPr>
        <w:adjustRightInd w:val="0"/>
        <w:spacing w:before="240" w:after="240"/>
        <w:ind w:left="0" w:right="23"/>
        <w:jc w:val="both"/>
        <w:rPr>
          <w:rFonts w:ascii="Bookman Old Style" w:hAnsi="Bookman Old Style" w:cs="Arial"/>
          <w:szCs w:val="22"/>
        </w:rPr>
      </w:pPr>
      <w:r>
        <w:rPr>
          <w:rFonts w:ascii="Bookman Old Style" w:hAnsi="Bookman Old Style" w:cs="Arial"/>
          <w:szCs w:val="22"/>
        </w:rPr>
        <w:t>Mediante radicados E-2018-005683 y E-2018-006110 del 12</w:t>
      </w:r>
      <w:r w:rsidR="006E15EA">
        <w:rPr>
          <w:rFonts w:ascii="Bookman Old Style" w:hAnsi="Bookman Old Style" w:cs="Arial"/>
          <w:szCs w:val="22"/>
        </w:rPr>
        <w:t xml:space="preserve"> y 20 de junio respectivamente, la empresa la alcance al radicado E-20</w:t>
      </w:r>
      <w:r w:rsidR="0066072C">
        <w:rPr>
          <w:rFonts w:ascii="Bookman Old Style" w:hAnsi="Bookman Old Style" w:cs="Arial"/>
          <w:szCs w:val="22"/>
        </w:rPr>
        <w:t>18-0055</w:t>
      </w:r>
      <w:r w:rsidR="006E15EA">
        <w:rPr>
          <w:rFonts w:ascii="Bookman Old Style" w:hAnsi="Bookman Old Style" w:cs="Arial"/>
          <w:szCs w:val="22"/>
        </w:rPr>
        <w:t>07 y manifiesta que los montos de recursos públicos con los que cuenta el mercado relevante de distribución solicitado son los siguientes: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6"/>
      </w:tblGrid>
      <w:tr w:rsidR="0027747C" w14:paraId="7B211A70" w14:textId="75C87B79" w:rsidTr="00B133BB">
        <w:trPr>
          <w:tblHeader/>
          <w:jc w:val="center"/>
        </w:trPr>
        <w:tc>
          <w:tcPr>
            <w:tcW w:w="3115" w:type="dxa"/>
            <w:tcBorders>
              <w:top w:val="single" w:sz="4" w:space="0" w:color="auto"/>
              <w:bottom w:val="single" w:sz="4" w:space="0" w:color="auto"/>
              <w:right w:val="single" w:sz="4" w:space="0" w:color="auto"/>
            </w:tcBorders>
            <w:shd w:val="clear" w:color="auto" w:fill="D9D9D9" w:themeFill="background1" w:themeFillShade="D9"/>
            <w:vAlign w:val="center"/>
          </w:tcPr>
          <w:p w14:paraId="4AEAC570" w14:textId="689C5A1F" w:rsidR="0027747C" w:rsidRPr="002A3E31" w:rsidRDefault="00F23A1D">
            <w:pPr>
              <w:adjustRightInd w:val="0"/>
              <w:ind w:left="0" w:right="23"/>
              <w:jc w:val="center"/>
              <w:rPr>
                <w:rFonts w:ascii="Bookman Old Style" w:hAnsi="Bookman Old Style" w:cs="Arial"/>
                <w:b/>
                <w:sz w:val="22"/>
                <w:szCs w:val="22"/>
              </w:rPr>
            </w:pPr>
            <w:r>
              <w:rPr>
                <w:rFonts w:ascii="Bookman Old Style" w:hAnsi="Bookman Old Style" w:cs="Arial"/>
                <w:b/>
                <w:sz w:val="22"/>
                <w:szCs w:val="22"/>
              </w:rPr>
              <w:t>Mu</w:t>
            </w:r>
            <w:r w:rsidR="0027747C" w:rsidRPr="002A3E31">
              <w:rPr>
                <w:rFonts w:ascii="Bookman Old Style" w:hAnsi="Bookman Old Style" w:cs="Arial"/>
                <w:b/>
                <w:sz w:val="22"/>
                <w:szCs w:val="22"/>
              </w:rPr>
              <w:t>nicipio</w:t>
            </w:r>
          </w:p>
        </w:tc>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52FA2" w14:textId="513A41A9" w:rsidR="0027747C" w:rsidRPr="002A3E31" w:rsidRDefault="00F23A1D">
            <w:pPr>
              <w:adjustRightInd w:val="0"/>
              <w:ind w:left="0" w:right="23"/>
              <w:jc w:val="center"/>
              <w:rPr>
                <w:rFonts w:ascii="Bookman Old Style" w:hAnsi="Bookman Old Style" w:cs="Arial"/>
                <w:b/>
                <w:sz w:val="22"/>
                <w:szCs w:val="22"/>
              </w:rPr>
            </w:pPr>
            <w:r>
              <w:rPr>
                <w:rFonts w:ascii="Bookman Old Style" w:hAnsi="Bookman Old Style" w:cs="Arial"/>
                <w:b/>
                <w:sz w:val="22"/>
                <w:szCs w:val="22"/>
              </w:rPr>
              <w:t>Aporte</w:t>
            </w:r>
            <w:r w:rsidR="0027747C">
              <w:rPr>
                <w:rFonts w:ascii="Bookman Old Style" w:hAnsi="Bookman Old Style" w:cs="Arial"/>
                <w:b/>
                <w:sz w:val="22"/>
                <w:szCs w:val="22"/>
              </w:rPr>
              <w:t xml:space="preserve"> Gobernación del Huila</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5B729" w14:textId="5FC00082" w:rsidR="0027747C" w:rsidRDefault="0027747C" w:rsidP="00B133BB">
            <w:pPr>
              <w:adjustRightInd w:val="0"/>
              <w:ind w:left="0" w:right="23"/>
              <w:jc w:val="center"/>
              <w:rPr>
                <w:rFonts w:ascii="Bookman Old Style" w:hAnsi="Bookman Old Style" w:cs="Arial"/>
                <w:b/>
                <w:sz w:val="22"/>
                <w:szCs w:val="22"/>
              </w:rPr>
            </w:pPr>
            <w:r>
              <w:rPr>
                <w:rFonts w:ascii="Bookman Old Style" w:hAnsi="Bookman Old Style" w:cs="Arial"/>
                <w:b/>
                <w:sz w:val="22"/>
                <w:szCs w:val="22"/>
              </w:rPr>
              <w:t>Aporte Municipios</w:t>
            </w:r>
          </w:p>
        </w:tc>
      </w:tr>
      <w:tr w:rsidR="00F23A1D" w14:paraId="3DA5D199" w14:textId="52C07071" w:rsidTr="00B133BB">
        <w:trPr>
          <w:trHeight w:val="70"/>
          <w:jc w:val="center"/>
        </w:trPr>
        <w:tc>
          <w:tcPr>
            <w:tcW w:w="3115" w:type="dxa"/>
            <w:tcBorders>
              <w:top w:val="single" w:sz="4" w:space="0" w:color="auto"/>
            </w:tcBorders>
            <w:vAlign w:val="center"/>
          </w:tcPr>
          <w:p w14:paraId="40002A8E" w14:textId="5812744D"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Nátaga</w:t>
            </w:r>
          </w:p>
        </w:tc>
        <w:tc>
          <w:tcPr>
            <w:tcW w:w="3115" w:type="dxa"/>
            <w:tcBorders>
              <w:top w:val="single" w:sz="4" w:space="0" w:color="auto"/>
            </w:tcBorders>
            <w:vAlign w:val="center"/>
          </w:tcPr>
          <w:p w14:paraId="616D6AC4" w14:textId="203E22CF"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280.870.881</w:t>
            </w:r>
          </w:p>
        </w:tc>
        <w:tc>
          <w:tcPr>
            <w:tcW w:w="3116" w:type="dxa"/>
            <w:tcBorders>
              <w:top w:val="single" w:sz="4" w:space="0" w:color="auto"/>
            </w:tcBorders>
            <w:vAlign w:val="center"/>
          </w:tcPr>
          <w:p w14:paraId="3BA68301" w14:textId="521AF559"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305.225.000</w:t>
            </w:r>
          </w:p>
        </w:tc>
      </w:tr>
      <w:tr w:rsidR="00F23A1D" w14:paraId="1355C7DA" w14:textId="7DFCA30A" w:rsidTr="002A3E31">
        <w:trPr>
          <w:jc w:val="center"/>
        </w:trPr>
        <w:tc>
          <w:tcPr>
            <w:tcW w:w="3115" w:type="dxa"/>
            <w:vAlign w:val="center"/>
          </w:tcPr>
          <w:p w14:paraId="1D669FBE" w14:textId="6A37C169"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Colombia</w:t>
            </w:r>
          </w:p>
        </w:tc>
        <w:tc>
          <w:tcPr>
            <w:tcW w:w="3115" w:type="dxa"/>
            <w:vAlign w:val="center"/>
          </w:tcPr>
          <w:p w14:paraId="050B089B" w14:textId="3F1C6E81"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329.579.119</w:t>
            </w:r>
          </w:p>
        </w:tc>
        <w:tc>
          <w:tcPr>
            <w:tcW w:w="3116" w:type="dxa"/>
            <w:vAlign w:val="center"/>
          </w:tcPr>
          <w:p w14:paraId="6007A321" w14:textId="6F433E35"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244.180.000</w:t>
            </w:r>
          </w:p>
        </w:tc>
      </w:tr>
      <w:tr w:rsidR="00F23A1D" w14:paraId="34BBEE4B" w14:textId="200A036E" w:rsidTr="002A3E31">
        <w:trPr>
          <w:jc w:val="center"/>
        </w:trPr>
        <w:tc>
          <w:tcPr>
            <w:tcW w:w="3115" w:type="dxa"/>
            <w:vAlign w:val="center"/>
          </w:tcPr>
          <w:p w14:paraId="587BD988" w14:textId="780A7938"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Palestina</w:t>
            </w:r>
          </w:p>
        </w:tc>
        <w:tc>
          <w:tcPr>
            <w:tcW w:w="3115" w:type="dxa"/>
            <w:vAlign w:val="center"/>
          </w:tcPr>
          <w:p w14:paraId="225512B8" w14:textId="60FDDDC3"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273.170.391</w:t>
            </w:r>
          </w:p>
        </w:tc>
        <w:tc>
          <w:tcPr>
            <w:tcW w:w="3116" w:type="dxa"/>
            <w:vAlign w:val="center"/>
          </w:tcPr>
          <w:p w14:paraId="3B324FA7" w14:textId="01B66028"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90.462.165</w:t>
            </w:r>
          </w:p>
        </w:tc>
      </w:tr>
      <w:tr w:rsidR="00F23A1D" w14:paraId="01182AD1" w14:textId="14269875" w:rsidTr="002A3E31">
        <w:trPr>
          <w:jc w:val="center"/>
        </w:trPr>
        <w:tc>
          <w:tcPr>
            <w:tcW w:w="3115" w:type="dxa"/>
            <w:vAlign w:val="center"/>
          </w:tcPr>
          <w:p w14:paraId="5CE0A9BF" w14:textId="21DE4DC7"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Saladoblanco</w:t>
            </w:r>
          </w:p>
        </w:tc>
        <w:tc>
          <w:tcPr>
            <w:tcW w:w="3115" w:type="dxa"/>
            <w:vAlign w:val="center"/>
          </w:tcPr>
          <w:p w14:paraId="31DCDD07" w14:textId="07CB4BDD"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405.295.850</w:t>
            </w:r>
          </w:p>
        </w:tc>
        <w:tc>
          <w:tcPr>
            <w:tcW w:w="3116" w:type="dxa"/>
            <w:vAlign w:val="center"/>
          </w:tcPr>
          <w:p w14:paraId="27B36B5D" w14:textId="4C939D65"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226.155.414</w:t>
            </w:r>
          </w:p>
        </w:tc>
      </w:tr>
      <w:tr w:rsidR="00F23A1D" w14:paraId="77469AD9" w14:textId="292AA4BB" w:rsidTr="002A3E31">
        <w:trPr>
          <w:jc w:val="center"/>
        </w:trPr>
        <w:tc>
          <w:tcPr>
            <w:tcW w:w="3115" w:type="dxa"/>
            <w:vAlign w:val="center"/>
          </w:tcPr>
          <w:p w14:paraId="2359927E" w14:textId="397A8C44"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Elías</w:t>
            </w:r>
          </w:p>
        </w:tc>
        <w:tc>
          <w:tcPr>
            <w:tcW w:w="3115" w:type="dxa"/>
            <w:vAlign w:val="center"/>
          </w:tcPr>
          <w:p w14:paraId="3E55A924" w14:textId="46D3BD20"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106.659.628</w:t>
            </w:r>
          </w:p>
        </w:tc>
        <w:tc>
          <w:tcPr>
            <w:tcW w:w="3116" w:type="dxa"/>
            <w:vAlign w:val="center"/>
          </w:tcPr>
          <w:p w14:paraId="63FE5A85" w14:textId="560A14BE"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277.131.168</w:t>
            </w:r>
          </w:p>
        </w:tc>
      </w:tr>
      <w:tr w:rsidR="00F23A1D" w14:paraId="78484A56" w14:textId="2FE39030" w:rsidTr="002A3E31">
        <w:trPr>
          <w:jc w:val="center"/>
        </w:trPr>
        <w:tc>
          <w:tcPr>
            <w:tcW w:w="3115" w:type="dxa"/>
            <w:vAlign w:val="center"/>
          </w:tcPr>
          <w:p w14:paraId="1A586C1B" w14:textId="5E96A8DC"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Íquira</w:t>
            </w:r>
          </w:p>
        </w:tc>
        <w:tc>
          <w:tcPr>
            <w:tcW w:w="3115" w:type="dxa"/>
            <w:vAlign w:val="center"/>
          </w:tcPr>
          <w:p w14:paraId="4D37FF41" w14:textId="74FB5F81"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572.805.198</w:t>
            </w:r>
          </w:p>
        </w:tc>
        <w:tc>
          <w:tcPr>
            <w:tcW w:w="3116" w:type="dxa"/>
            <w:vAlign w:val="center"/>
          </w:tcPr>
          <w:p w14:paraId="481F3C2E" w14:textId="5BCAA0D4"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465.587.686</w:t>
            </w:r>
          </w:p>
        </w:tc>
      </w:tr>
      <w:tr w:rsidR="00F23A1D" w14:paraId="000207B4" w14:textId="71549A22" w:rsidTr="002A3E31">
        <w:trPr>
          <w:jc w:val="center"/>
        </w:trPr>
        <w:tc>
          <w:tcPr>
            <w:tcW w:w="3115" w:type="dxa"/>
            <w:vAlign w:val="center"/>
          </w:tcPr>
          <w:p w14:paraId="45187A0E" w14:textId="38BF5A88"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Isnos</w:t>
            </w:r>
          </w:p>
        </w:tc>
        <w:tc>
          <w:tcPr>
            <w:tcW w:w="3115" w:type="dxa"/>
            <w:vAlign w:val="center"/>
          </w:tcPr>
          <w:p w14:paraId="570F461F" w14:textId="73EBD72B"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557.519.038</w:t>
            </w:r>
          </w:p>
        </w:tc>
        <w:tc>
          <w:tcPr>
            <w:tcW w:w="3116" w:type="dxa"/>
            <w:vAlign w:val="center"/>
          </w:tcPr>
          <w:p w14:paraId="55A9F9FE" w14:textId="0788BCC3"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446.476.569</w:t>
            </w:r>
          </w:p>
        </w:tc>
      </w:tr>
      <w:tr w:rsidR="00F23A1D" w14:paraId="1242C740" w14:textId="74E877FC" w:rsidTr="002A3E31">
        <w:trPr>
          <w:jc w:val="center"/>
        </w:trPr>
        <w:tc>
          <w:tcPr>
            <w:tcW w:w="3115" w:type="dxa"/>
            <w:vAlign w:val="center"/>
          </w:tcPr>
          <w:p w14:paraId="0E478DF6" w14:textId="2D81BAA9"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La Argentina</w:t>
            </w:r>
          </w:p>
        </w:tc>
        <w:tc>
          <w:tcPr>
            <w:tcW w:w="3115" w:type="dxa"/>
            <w:vAlign w:val="center"/>
          </w:tcPr>
          <w:p w14:paraId="6A1DBF5A" w14:textId="0BD2F1E0"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174.393.066</w:t>
            </w:r>
          </w:p>
        </w:tc>
        <w:tc>
          <w:tcPr>
            <w:tcW w:w="3116" w:type="dxa"/>
            <w:vAlign w:val="center"/>
          </w:tcPr>
          <w:p w14:paraId="15500246" w14:textId="23BE2CDB"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627.978.274</w:t>
            </w:r>
          </w:p>
        </w:tc>
      </w:tr>
      <w:tr w:rsidR="00F23A1D" w14:paraId="32F4CBD4" w14:textId="3973F77E" w:rsidTr="002A3E31">
        <w:trPr>
          <w:jc w:val="center"/>
        </w:trPr>
        <w:tc>
          <w:tcPr>
            <w:tcW w:w="3115" w:type="dxa"/>
            <w:vAlign w:val="center"/>
          </w:tcPr>
          <w:p w14:paraId="35564E46" w14:textId="61B41076"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lastRenderedPageBreak/>
              <w:t>Oporapa</w:t>
            </w:r>
          </w:p>
        </w:tc>
        <w:tc>
          <w:tcPr>
            <w:tcW w:w="3115" w:type="dxa"/>
            <w:vAlign w:val="center"/>
          </w:tcPr>
          <w:p w14:paraId="4B05A76D" w14:textId="1B252101"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9.268.199</w:t>
            </w:r>
          </w:p>
        </w:tc>
        <w:tc>
          <w:tcPr>
            <w:tcW w:w="3116" w:type="dxa"/>
            <w:vAlign w:val="center"/>
          </w:tcPr>
          <w:p w14:paraId="30EA823A" w14:textId="51CB80E2"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723.774.403</w:t>
            </w:r>
          </w:p>
        </w:tc>
      </w:tr>
      <w:tr w:rsidR="00F23A1D" w14:paraId="2A511D14" w14:textId="2F92C2AA" w:rsidTr="002A3E31">
        <w:trPr>
          <w:jc w:val="center"/>
        </w:trPr>
        <w:tc>
          <w:tcPr>
            <w:tcW w:w="3115" w:type="dxa"/>
            <w:vAlign w:val="center"/>
          </w:tcPr>
          <w:p w14:paraId="1E182644" w14:textId="4B2A9AB9"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Santa María</w:t>
            </w:r>
          </w:p>
        </w:tc>
        <w:tc>
          <w:tcPr>
            <w:tcW w:w="3115" w:type="dxa"/>
            <w:vAlign w:val="center"/>
          </w:tcPr>
          <w:p w14:paraId="1F80C6A3" w14:textId="059EC3EC"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75.687.695</w:t>
            </w:r>
          </w:p>
        </w:tc>
        <w:tc>
          <w:tcPr>
            <w:tcW w:w="3116" w:type="dxa"/>
            <w:vAlign w:val="center"/>
          </w:tcPr>
          <w:p w14:paraId="2C42B433" w14:textId="071C4834"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452.963.073</w:t>
            </w:r>
          </w:p>
        </w:tc>
      </w:tr>
      <w:tr w:rsidR="00F23A1D" w14:paraId="1D41A7A6" w14:textId="1607C419" w:rsidTr="002A3E31">
        <w:trPr>
          <w:jc w:val="center"/>
        </w:trPr>
        <w:tc>
          <w:tcPr>
            <w:tcW w:w="3115" w:type="dxa"/>
            <w:vAlign w:val="center"/>
          </w:tcPr>
          <w:p w14:paraId="172F3C2A" w14:textId="5B6183A6" w:rsidR="00F23A1D" w:rsidRPr="002A3E31" w:rsidRDefault="00F23A1D" w:rsidP="00F23A1D">
            <w:pPr>
              <w:adjustRightInd w:val="0"/>
              <w:ind w:left="0" w:right="23"/>
              <w:jc w:val="center"/>
              <w:rPr>
                <w:rFonts w:ascii="Bookman Old Style" w:hAnsi="Bookman Old Style" w:cs="Arial"/>
                <w:sz w:val="22"/>
                <w:szCs w:val="22"/>
              </w:rPr>
            </w:pPr>
            <w:r w:rsidRPr="002A3E31">
              <w:rPr>
                <w:rFonts w:ascii="Bookman Old Style" w:hAnsi="Bookman Old Style" w:cs="Arial"/>
                <w:sz w:val="22"/>
                <w:szCs w:val="22"/>
              </w:rPr>
              <w:t>Acevedo</w:t>
            </w:r>
          </w:p>
        </w:tc>
        <w:tc>
          <w:tcPr>
            <w:tcW w:w="3115" w:type="dxa"/>
            <w:vAlign w:val="center"/>
          </w:tcPr>
          <w:p w14:paraId="0A23DF7E" w14:textId="2001F93D" w:rsidR="00F23A1D" w:rsidRPr="002A3E31" w:rsidRDefault="00F23A1D" w:rsidP="00F23A1D">
            <w:pPr>
              <w:adjustRightInd w:val="0"/>
              <w:ind w:left="0" w:right="23"/>
              <w:jc w:val="center"/>
              <w:rPr>
                <w:rFonts w:ascii="Bookman Old Style" w:hAnsi="Bookman Old Style" w:cs="Arial"/>
                <w:sz w:val="22"/>
                <w:szCs w:val="22"/>
                <w:highlight w:val="yellow"/>
              </w:rPr>
            </w:pPr>
            <w:r w:rsidRPr="002A3E31">
              <w:rPr>
                <w:rFonts w:ascii="Bookman Old Style" w:hAnsi="Bookman Old Style" w:cs="Arial"/>
                <w:sz w:val="22"/>
                <w:szCs w:val="22"/>
              </w:rPr>
              <w:t>107.347.172</w:t>
            </w:r>
          </w:p>
        </w:tc>
        <w:tc>
          <w:tcPr>
            <w:tcW w:w="3116" w:type="dxa"/>
            <w:vAlign w:val="center"/>
          </w:tcPr>
          <w:p w14:paraId="42FAB611" w14:textId="630AAE28" w:rsidR="00F23A1D" w:rsidRPr="009A043D" w:rsidRDefault="00F23A1D" w:rsidP="00F23A1D">
            <w:pPr>
              <w:adjustRightInd w:val="0"/>
              <w:ind w:left="0" w:right="23"/>
              <w:jc w:val="center"/>
              <w:rPr>
                <w:rFonts w:ascii="Bookman Old Style" w:hAnsi="Bookman Old Style" w:cs="Arial"/>
                <w:sz w:val="22"/>
                <w:szCs w:val="22"/>
              </w:rPr>
            </w:pPr>
            <w:r w:rsidRPr="00C325DC">
              <w:rPr>
                <w:rFonts w:ascii="Bookman Old Style" w:hAnsi="Bookman Old Style" w:cs="Arial"/>
                <w:sz w:val="22"/>
                <w:szCs w:val="22"/>
              </w:rPr>
              <w:t>542.386.251</w:t>
            </w:r>
          </w:p>
        </w:tc>
      </w:tr>
      <w:tr w:rsidR="00F23A1D" w14:paraId="09E996A2" w14:textId="272792DA" w:rsidTr="002A3E31">
        <w:trPr>
          <w:jc w:val="center"/>
        </w:trPr>
        <w:tc>
          <w:tcPr>
            <w:tcW w:w="3115" w:type="dxa"/>
            <w:vAlign w:val="center"/>
          </w:tcPr>
          <w:p w14:paraId="7AC95658" w14:textId="42F5C789" w:rsidR="00F23A1D" w:rsidRPr="002A3E31" w:rsidRDefault="00F23A1D">
            <w:pPr>
              <w:adjustRightInd w:val="0"/>
              <w:ind w:left="0" w:right="23"/>
              <w:jc w:val="center"/>
              <w:rPr>
                <w:rFonts w:ascii="Bookman Old Style" w:hAnsi="Bookman Old Style" w:cs="Arial"/>
                <w:b/>
                <w:sz w:val="22"/>
                <w:szCs w:val="22"/>
              </w:rPr>
            </w:pPr>
            <w:r w:rsidRPr="002A3E31">
              <w:rPr>
                <w:rFonts w:ascii="Bookman Old Style" w:hAnsi="Bookman Old Style" w:cs="Arial"/>
                <w:b/>
                <w:sz w:val="22"/>
                <w:szCs w:val="22"/>
              </w:rPr>
              <w:t xml:space="preserve">Total Aporte </w:t>
            </w:r>
          </w:p>
        </w:tc>
        <w:tc>
          <w:tcPr>
            <w:tcW w:w="3115" w:type="dxa"/>
            <w:vAlign w:val="center"/>
          </w:tcPr>
          <w:p w14:paraId="190257A8" w14:textId="3737FB23" w:rsidR="00F23A1D" w:rsidRPr="002A3E31" w:rsidRDefault="00F23A1D" w:rsidP="00F23A1D">
            <w:pPr>
              <w:adjustRightInd w:val="0"/>
              <w:ind w:left="0" w:right="23"/>
              <w:jc w:val="center"/>
              <w:rPr>
                <w:rFonts w:ascii="Bookman Old Style" w:hAnsi="Bookman Old Style" w:cs="Arial"/>
                <w:b/>
                <w:sz w:val="22"/>
                <w:szCs w:val="22"/>
              </w:rPr>
            </w:pPr>
            <w:r w:rsidRPr="002A3E31">
              <w:rPr>
                <w:rFonts w:ascii="Bookman Old Style" w:hAnsi="Bookman Old Style" w:cs="Arial"/>
                <w:b/>
                <w:sz w:val="22"/>
                <w:szCs w:val="22"/>
              </w:rPr>
              <w:t>2.892.596.237</w:t>
            </w:r>
          </w:p>
        </w:tc>
        <w:tc>
          <w:tcPr>
            <w:tcW w:w="3116" w:type="dxa"/>
            <w:vAlign w:val="center"/>
          </w:tcPr>
          <w:p w14:paraId="34398585" w14:textId="4B92B6BB" w:rsidR="00F23A1D" w:rsidRPr="009A043D" w:rsidRDefault="00F23A1D" w:rsidP="00F23A1D">
            <w:pPr>
              <w:adjustRightInd w:val="0"/>
              <w:ind w:left="0" w:right="23"/>
              <w:jc w:val="center"/>
              <w:rPr>
                <w:rFonts w:ascii="Bookman Old Style" w:hAnsi="Bookman Old Style" w:cs="Arial"/>
                <w:b/>
                <w:sz w:val="22"/>
                <w:szCs w:val="22"/>
              </w:rPr>
            </w:pPr>
            <w:r w:rsidRPr="00C325DC">
              <w:rPr>
                <w:rFonts w:ascii="Bookman Old Style" w:hAnsi="Bookman Old Style" w:cs="Arial"/>
                <w:b/>
                <w:sz w:val="22"/>
                <w:szCs w:val="22"/>
              </w:rPr>
              <w:t>4.402.220.003</w:t>
            </w:r>
          </w:p>
        </w:tc>
      </w:tr>
    </w:tbl>
    <w:p w14:paraId="20DCC6BA" w14:textId="45561165"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Aspectos previos. Alcance de las facultades regulatorias de la CREG en</w:t>
      </w:r>
      <w:r w:rsidR="00CE6180">
        <w:rPr>
          <w:rFonts w:ascii="Bookman Old Style" w:hAnsi="Bookman Old Style" w:cs="Arial"/>
          <w:b/>
          <w:sz w:val="24"/>
          <w:szCs w:val="24"/>
        </w:rPr>
        <w:t xml:space="preserve"> el marco de la Ley 142 de 1994</w:t>
      </w:r>
    </w:p>
    <w:p w14:paraId="50C08025" w14:textId="66F8C3E5"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el alcance de las atribuciones asignadas a esta Comisión en las leyes 142 y 143 de 1994 en materia regulatoria, se tiene en cuenta que el ejercicio de dicha facultad ha sido considerad</w:t>
      </w:r>
      <w:r w:rsidR="00725B06">
        <w:rPr>
          <w:rFonts w:ascii="Bookman Old Style" w:hAnsi="Bookman Old Style" w:cs="Arial"/>
          <w:lang w:val="es-ES_tradnl"/>
        </w:rPr>
        <w:t>o</w:t>
      </w:r>
      <w:r w:rsidRPr="001954E9">
        <w:rPr>
          <w:rFonts w:ascii="Bookman Old Style" w:hAnsi="Bookman Old Style" w:cs="Arial"/>
          <w:lang w:val="es-ES_tradnl"/>
        </w:rPr>
        <w:t xml:space="preserve">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transparente competencia, protegiendo los derechos de los usuarios, así como de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1"/>
      </w:r>
      <w:r w:rsidRPr="001954E9">
        <w:rPr>
          <w:rFonts w:ascii="Bookman Old Style" w:hAnsi="Bookman Old Style" w:cs="Arial"/>
          <w:lang w:val="es-ES_tradnl"/>
        </w:rPr>
        <w:t xml:space="preserve"> previstos en dichas normas,</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14:paraId="0400FC96" w14:textId="77777777" w:rsidR="001C0019" w:rsidRPr="001954E9" w:rsidRDefault="001C0019" w:rsidP="002A3E31">
      <w:pPr>
        <w:widowControl w:val="0"/>
        <w:spacing w:before="240" w:after="240"/>
        <w:ind w:left="0" w:right="-91"/>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administrativas 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2"/>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3"/>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w:t>
      </w:r>
      <w:r>
        <w:rPr>
          <w:rFonts w:ascii="Bookman Old Style" w:eastAsia="Calibri" w:hAnsi="Bookman Old Style" w:cs="Arial"/>
          <w:lang w:val="es-ES_tradnl" w:eastAsia="en-US"/>
        </w:rPr>
        <w:t xml:space="preserve"> de</w:t>
      </w:r>
      <w:r w:rsidRPr="001954E9">
        <w:rPr>
          <w:rFonts w:ascii="Bookman Old Style" w:eastAsia="Calibri" w:hAnsi="Bookman Old Style" w:cs="Arial"/>
          <w:lang w:val="es-ES_tradnl" w:eastAsia="en-US"/>
        </w:rPr>
        <w:t xml:space="preserve"> 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4"/>
      </w:r>
      <w:r>
        <w:rPr>
          <w:rFonts w:ascii="Bookman Old Style" w:eastAsia="Calibri" w:hAnsi="Bookman Old Style" w:cs="Arial"/>
          <w:i/>
          <w:lang w:val="es-ES_tradnl" w:eastAsia="en-US"/>
        </w:rPr>
        <w:t>.</w:t>
      </w:r>
    </w:p>
    <w:p w14:paraId="34E6C49C" w14:textId="77777777"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5"/>
      </w:r>
      <w:r w:rsidRPr="001954E9">
        <w:rPr>
          <w:rFonts w:ascii="Bookman Old Style" w:eastAsia="Calibri" w:hAnsi="Bookman Old Style" w:cs="Arial"/>
          <w:lang w:val="es-ES_tradnl" w:eastAsia="en-US"/>
        </w:rPr>
        <w:t>.</w:t>
      </w:r>
    </w:p>
    <w:p w14:paraId="46028226" w14:textId="77777777" w:rsidR="00115B8D" w:rsidRDefault="00115B8D" w:rsidP="00115B8D">
      <w:pPr>
        <w:ind w:left="0" w:right="-93"/>
        <w:jc w:val="both"/>
        <w:rPr>
          <w:rFonts w:ascii="Bookman Old Style" w:hAnsi="Bookman Old Style" w:cs="Arial"/>
          <w:lang w:val="es-ES_tradnl"/>
        </w:rPr>
      </w:pPr>
    </w:p>
    <w:p w14:paraId="357B64A6" w14:textId="77777777" w:rsidR="00115B8D" w:rsidRDefault="00115B8D" w:rsidP="00115B8D">
      <w:pPr>
        <w:ind w:left="0" w:right="-93"/>
        <w:jc w:val="both"/>
        <w:rPr>
          <w:rFonts w:ascii="Bookman Old Style" w:hAnsi="Bookman Old Style" w:cs="Arial"/>
          <w:lang w:val="es-ES_tradnl"/>
        </w:rPr>
      </w:pPr>
    </w:p>
    <w:p w14:paraId="14115E68" w14:textId="6C4C6F45" w:rsidR="001C0019" w:rsidRDefault="001C0019" w:rsidP="00115B8D">
      <w:pPr>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 ha sido expuesto por parte de la jurisprudencia constitucional, en el caso del análisis de constitucionalidad del artículo 74 de la Ley 142 de 1994 (normas y tratamientos diferenciales de los agentes según su posición en el mercado), donde se ha precisado que dichas funciones se deben ejercer dentro del marco fijado en la Constitución, la Ley y el reglamento, lo cual no excluye la posibilidad de dictar actos administrativos para asegurar una prestación eficiente de los servicios.</w:t>
      </w:r>
    </w:p>
    <w:p w14:paraId="4B5594B0" w14:textId="77777777" w:rsidR="00115B8D" w:rsidRDefault="00115B8D" w:rsidP="00115B8D">
      <w:pPr>
        <w:ind w:left="0" w:right="-93"/>
        <w:jc w:val="both"/>
        <w:rPr>
          <w:rFonts w:ascii="Bookman Old Style" w:hAnsi="Bookman Old Style" w:cs="Arial"/>
          <w:lang w:val="es-ES_tradnl"/>
        </w:rPr>
      </w:pPr>
    </w:p>
    <w:p w14:paraId="795F6510" w14:textId="47994C84" w:rsidR="001C0019" w:rsidRDefault="001C0019" w:rsidP="00115B8D">
      <w:pPr>
        <w:spacing w:after="240"/>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6"/>
      </w:r>
      <w:r w:rsidR="00CE6180">
        <w:rPr>
          <w:rFonts w:ascii="Bookman Old Style" w:hAnsi="Bookman Old Style" w:cs="Arial"/>
          <w:lang w:val="es-ES_tradnl"/>
        </w:rPr>
        <w:t>.</w:t>
      </w:r>
    </w:p>
    <w:p w14:paraId="5BB51A3C" w14:textId="77777777" w:rsidR="001C0019" w:rsidRPr="001954E9" w:rsidRDefault="001C0019" w:rsidP="001C0019">
      <w:pPr>
        <w:spacing w:before="240" w:after="240"/>
        <w:ind w:left="0"/>
        <w:jc w:val="both"/>
        <w:rPr>
          <w:rFonts w:ascii="Bookman Old Style" w:hAnsi="Bookman Old Style" w:cs="Arial"/>
          <w:lang w:val="es-ES_tradnl"/>
        </w:rPr>
      </w:pPr>
      <w:r w:rsidRPr="009C1303">
        <w:rPr>
          <w:rFonts w:ascii="Bookman Old Style" w:hAnsi="Bookman Old Style" w:cs="Arial"/>
          <w:lang w:val="es-ES_tradnl"/>
        </w:rPr>
        <w:t>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w:t>
      </w:r>
    </w:p>
    <w:p w14:paraId="4DBC60B7" w14:textId="77777777"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Principios constitucionales que rigen la prestación de los servicios públicos</w:t>
      </w:r>
    </w:p>
    <w:p w14:paraId="4ED71C0E" w14:textId="77777777"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disponiendo entre otros aspectos:</w:t>
      </w:r>
    </w:p>
    <w:p w14:paraId="2D5C1B2E" w14:textId="77777777" w:rsidR="001C0019" w:rsidRPr="00DD2701" w:rsidRDefault="001C0019" w:rsidP="001C0019">
      <w:pPr>
        <w:spacing w:before="240" w:after="240"/>
        <w:ind w:left="284" w:right="284"/>
        <w:jc w:val="both"/>
        <w:rPr>
          <w:rFonts w:ascii="Bookman Old Style" w:hAnsi="Bookman Old Style" w:cs="Arial"/>
          <w:i/>
          <w:sz w:val="22"/>
          <w:szCs w:val="22"/>
        </w:rPr>
      </w:pPr>
      <w:r w:rsidRPr="00DD2701">
        <w:rPr>
          <w:rFonts w:ascii="Bookman Old Style" w:hAnsi="Bookman Old Style" w:cs="Arial"/>
          <w:i/>
          <w:sz w:val="22"/>
          <w:szCs w:val="22"/>
        </w:rPr>
        <w:t xml:space="preserve">“ARTICULO 365. </w:t>
      </w:r>
      <w:r w:rsidRPr="00DD2701">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Pr="00DD2701">
        <w:rPr>
          <w:rFonts w:ascii="Bookman Old Style" w:hAnsi="Bookman Old Style" w:cs="Arial"/>
          <w:i/>
          <w:sz w:val="22"/>
          <w:szCs w:val="22"/>
        </w:rPr>
        <w:t xml:space="preserve">. </w:t>
      </w:r>
    </w:p>
    <w:p w14:paraId="418B823C" w14:textId="77777777" w:rsidR="001C0019" w:rsidRPr="00DD2701" w:rsidRDefault="001C0019" w:rsidP="001C0019">
      <w:pPr>
        <w:spacing w:before="240" w:after="240"/>
        <w:ind w:left="284" w:right="284"/>
        <w:jc w:val="both"/>
        <w:rPr>
          <w:rFonts w:ascii="Bookman Old Style" w:hAnsi="Bookman Old Style" w:cs="Arial"/>
          <w:i/>
          <w:sz w:val="22"/>
          <w:szCs w:val="22"/>
        </w:rPr>
      </w:pPr>
      <w:r w:rsidRPr="00DD2701">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w:t>
      </w:r>
      <w:r w:rsidRPr="00DD2701">
        <w:rPr>
          <w:rFonts w:ascii="Bookman Old Style" w:hAnsi="Bookman Old Style" w:cs="Arial"/>
          <w:i/>
          <w:sz w:val="22"/>
          <w:szCs w:val="22"/>
        </w:rPr>
        <w:lastRenderedPageBreak/>
        <w:t xml:space="preserve">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14:paraId="20101F6D" w14:textId="77777777" w:rsidR="001C0019" w:rsidRPr="00DD2701" w:rsidRDefault="001C0019" w:rsidP="001C0019">
      <w:pPr>
        <w:spacing w:before="240" w:after="240"/>
        <w:ind w:left="284" w:right="284"/>
        <w:jc w:val="both"/>
        <w:rPr>
          <w:rFonts w:ascii="Bookman Old Style" w:hAnsi="Bookman Old Style" w:cs="Arial"/>
          <w:i/>
          <w:sz w:val="22"/>
          <w:szCs w:val="22"/>
        </w:rPr>
      </w:pPr>
      <w:r w:rsidRPr="00DD2701">
        <w:rPr>
          <w:rFonts w:ascii="Bookman Old Style" w:hAnsi="Bookman Old Style" w:cs="Arial"/>
          <w:i/>
          <w:sz w:val="22"/>
          <w:szCs w:val="22"/>
        </w:rPr>
        <w:t xml:space="preserve">ARTICULO 366. </w:t>
      </w:r>
      <w:r w:rsidRPr="00DD2701">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DD2701">
        <w:rPr>
          <w:rFonts w:ascii="Bookman Old Style" w:hAnsi="Bookman Old Style" w:cs="Arial"/>
          <w:i/>
          <w:sz w:val="22"/>
          <w:szCs w:val="22"/>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14:paraId="25925418" w14:textId="05C3B9B1" w:rsidR="001C0019" w:rsidRPr="00DD2701" w:rsidRDefault="001C0019" w:rsidP="001C0019">
      <w:pPr>
        <w:spacing w:before="240" w:after="240"/>
        <w:ind w:left="284" w:right="284"/>
        <w:jc w:val="both"/>
        <w:rPr>
          <w:rFonts w:ascii="Bookman Old Style" w:hAnsi="Bookman Old Style" w:cs="Arial"/>
          <w:i/>
          <w:sz w:val="22"/>
          <w:szCs w:val="22"/>
        </w:rPr>
      </w:pPr>
      <w:r w:rsidRPr="00DD2701">
        <w:rPr>
          <w:rFonts w:ascii="Bookman Old Style" w:hAnsi="Bookman Old Style" w:cs="Arial"/>
          <w:i/>
          <w:sz w:val="22"/>
          <w:szCs w:val="22"/>
        </w:rPr>
        <w:t xml:space="preserve">ARTICULO 367. </w:t>
      </w:r>
      <w:r w:rsidRPr="00DD2701">
        <w:rPr>
          <w:rFonts w:ascii="Bookman Old Style" w:hAnsi="Bookman Old Style" w:cs="Arial"/>
          <w:i/>
          <w:sz w:val="22"/>
          <w:szCs w:val="22"/>
          <w:u w:val="single"/>
        </w:rPr>
        <w:t>La ley fijará las competencias y responsabilidades relativas a la prestación de los servicios públicos domiciliarios,</w:t>
      </w:r>
      <w:r w:rsidRPr="00DD2701">
        <w:rPr>
          <w:rFonts w:ascii="Bookman Old Style" w:hAnsi="Bookman Old Style" w:cs="Arial"/>
          <w:i/>
          <w:sz w:val="22"/>
          <w:szCs w:val="22"/>
        </w:rPr>
        <w:t xml:space="preserve"> su cobertura, calidad y </w:t>
      </w:r>
      <w:r w:rsidRPr="00DD2701">
        <w:rPr>
          <w:rFonts w:ascii="Bookman Old Style" w:hAnsi="Bookman Old Style" w:cs="Arial"/>
          <w:i/>
          <w:sz w:val="22"/>
          <w:szCs w:val="22"/>
          <w:u w:val="single"/>
        </w:rPr>
        <w:t>financiación, y el régimen tarifario que tendrá en cuenta además de los criterios de costos</w:t>
      </w:r>
      <w:r w:rsidRPr="00DD2701">
        <w:rPr>
          <w:rFonts w:ascii="Bookman Old Style" w:hAnsi="Bookman Old Style" w:cs="Arial"/>
          <w:i/>
          <w:sz w:val="22"/>
          <w:szCs w:val="22"/>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w:t>
      </w:r>
      <w:r w:rsidR="00CE6180" w:rsidRPr="00DD2701">
        <w:rPr>
          <w:rFonts w:ascii="Bookman Old Style" w:hAnsi="Bookman Old Style" w:cs="Arial"/>
          <w:i/>
          <w:sz w:val="22"/>
          <w:szCs w:val="22"/>
        </w:rPr>
        <w:t>nciones de apoyo y coordinación</w:t>
      </w:r>
      <w:r w:rsidRPr="00DD2701">
        <w:rPr>
          <w:rFonts w:ascii="Bookman Old Style" w:hAnsi="Bookman Old Style" w:cs="Arial"/>
          <w:i/>
          <w:sz w:val="22"/>
          <w:szCs w:val="22"/>
        </w:rPr>
        <w:t>”</w:t>
      </w:r>
      <w:r w:rsidR="00CE6180" w:rsidRPr="00DD2701">
        <w:rPr>
          <w:rFonts w:ascii="Bookman Old Style" w:hAnsi="Bookman Old Style" w:cs="Arial"/>
          <w:i/>
          <w:sz w:val="22"/>
          <w:szCs w:val="22"/>
        </w:rPr>
        <w:t>.</w:t>
      </w:r>
    </w:p>
    <w:p w14:paraId="79B0D8BC" w14:textId="77777777" w:rsidR="001C0019" w:rsidRPr="00DD2701" w:rsidRDefault="001C0019" w:rsidP="001C0019">
      <w:pPr>
        <w:spacing w:before="240" w:after="240"/>
        <w:ind w:left="284" w:right="284"/>
        <w:jc w:val="both"/>
        <w:rPr>
          <w:rFonts w:ascii="Bookman Old Style" w:hAnsi="Bookman Old Style" w:cs="Arial"/>
          <w:sz w:val="22"/>
          <w:szCs w:val="22"/>
          <w:lang w:val="es-ES_tradnl"/>
        </w:rPr>
      </w:pPr>
      <w:r w:rsidRPr="00DD2701">
        <w:rPr>
          <w:rFonts w:ascii="Bookman Old Style" w:hAnsi="Bookman Old Style" w:cs="Arial"/>
          <w:sz w:val="22"/>
          <w:szCs w:val="22"/>
        </w:rPr>
        <w:t>(Subrayas ajenas al texto original de la norma citada)</w:t>
      </w:r>
    </w:p>
    <w:p w14:paraId="10779119" w14:textId="77777777"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La prestación de los servicios públicos domiciliarios está íntimamente ligada al cumplimiento de los fines sociales del Estado Social de Derecho en tanto estos son catalogados como servicios esenciales, en este orden éste puede y debe intervenir de una manera efectiva para la consecución de sus fines, así como para asegurar la prestación real y práctica de los mismos, evitando dilaciones que entorpezcan su disfrute.</w:t>
      </w:r>
    </w:p>
    <w:p w14:paraId="560615AB" w14:textId="71417D01"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Pr>
          <w:rFonts w:ascii="Bookman Old Style" w:hAnsi="Bookman Old Style" w:cs="Arial"/>
          <w:b/>
          <w:sz w:val="24"/>
          <w:szCs w:val="24"/>
        </w:rPr>
        <w:t>L</w:t>
      </w:r>
      <w:r w:rsidRPr="00930A2B">
        <w:rPr>
          <w:rFonts w:ascii="Bookman Old Style" w:hAnsi="Bookman Old Style" w:cs="Arial"/>
          <w:b/>
          <w:sz w:val="24"/>
          <w:szCs w:val="24"/>
        </w:rPr>
        <w:t>a aplicación material de los principios constitucionales y l</w:t>
      </w:r>
      <w:r w:rsidR="00CE6180">
        <w:rPr>
          <w:rFonts w:ascii="Bookman Old Style" w:hAnsi="Bookman Old Style" w:cs="Arial"/>
          <w:b/>
          <w:sz w:val="24"/>
          <w:szCs w:val="24"/>
        </w:rPr>
        <w:t>egales por parte de la Comisión</w:t>
      </w:r>
    </w:p>
    <w:p w14:paraId="427A13B1" w14:textId="77777777"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En desarrollo de los mandatos constitucionales y legales mencionados, la CREG expidió la metodología tarifaria de distribución de gas por redes de tubería, mediante la Resolución CREG 202 de 2013, por medio de la cual se fijaron los criterios y condiciones de remuneración de dicha actividad.</w:t>
      </w:r>
    </w:p>
    <w:p w14:paraId="60524D95" w14:textId="4733C206" w:rsidR="001C0019" w:rsidRPr="00364D80" w:rsidRDefault="001C0019">
      <w:pPr>
        <w:spacing w:before="240" w:after="240"/>
        <w:ind w:left="0"/>
        <w:jc w:val="both"/>
        <w:rPr>
          <w:rFonts w:ascii="Bookman Old Style" w:hAnsi="Bookman Old Style" w:cs="Arial"/>
          <w:lang w:val="es-ES_tradnl"/>
        </w:rPr>
      </w:pPr>
      <w:r w:rsidRPr="00364D80">
        <w:rPr>
          <w:rFonts w:ascii="Bookman Old Style" w:hAnsi="Bookman Old Style" w:cs="Arial"/>
          <w:lang w:val="es-MX"/>
        </w:rPr>
        <w:t xml:space="preserve">Esta metodología fijó entre otros aspectos los siguientes: i) las </w:t>
      </w:r>
      <w:r w:rsidRPr="00364D80">
        <w:rPr>
          <w:rFonts w:ascii="Bookman Old Style" w:hAnsi="Bookman Old Style" w:cs="Arial"/>
          <w:bCs/>
          <w:lang w:val="es-ES_tradnl"/>
        </w:rPr>
        <w:t xml:space="preserve">reglas para la conformación de sistemas de distribución, ii) las condiciones para establecer los mercados relevantes de distribución para el siguiente período tarifario, iii) </w:t>
      </w:r>
      <w:r>
        <w:rPr>
          <w:rFonts w:ascii="Bookman Old Style" w:hAnsi="Bookman Old Style" w:cs="Arial"/>
          <w:bCs/>
          <w:lang w:val="es-ES_tradnl"/>
        </w:rPr>
        <w:t>l</w:t>
      </w:r>
      <w:r w:rsidRPr="00364D80">
        <w:rPr>
          <w:rFonts w:ascii="Bookman Old Style" w:hAnsi="Bookman Old Style" w:cs="Arial"/>
          <w:bCs/>
          <w:lang w:val="es-ES_tradnl"/>
        </w:rPr>
        <w:t xml:space="preserve">as reglas para la solicitud y aprobación de cargos, iv) la </w:t>
      </w:r>
      <w:r w:rsidRPr="00364D80">
        <w:rPr>
          <w:rFonts w:ascii="Bookman Old Style" w:hAnsi="Bookman Old Style" w:cs="Arial"/>
          <w:bCs/>
        </w:rPr>
        <w:t>vigencia de los nuevos cargos, v) la metodología de remuneración de la actividad de distribución de gas combustible por redes de tubería, vi) la metodología para el cálculo de los cargos de distribución a partir de los costos medios históricos o costos medios de mediano plazo, vi</w:t>
      </w:r>
      <w:r w:rsidR="005B4B6D">
        <w:rPr>
          <w:rFonts w:ascii="Bookman Old Style" w:hAnsi="Bookman Old Style" w:cs="Arial"/>
          <w:bCs/>
        </w:rPr>
        <w:t>i</w:t>
      </w:r>
      <w:r w:rsidRPr="00364D80">
        <w:rPr>
          <w:rFonts w:ascii="Bookman Old Style" w:hAnsi="Bookman Old Style" w:cs="Arial"/>
          <w:bCs/>
        </w:rPr>
        <w:t>) la aplicación de la metodología de canasta de tarifas para usuarios diferentes a los de uso residencial, vi</w:t>
      </w:r>
      <w:r w:rsidR="005B4B6D">
        <w:rPr>
          <w:rFonts w:ascii="Bookman Old Style" w:hAnsi="Bookman Old Style" w:cs="Arial"/>
          <w:bCs/>
        </w:rPr>
        <w:t>i</w:t>
      </w:r>
      <w:r w:rsidRPr="00364D80">
        <w:rPr>
          <w:rFonts w:ascii="Bookman Old Style" w:hAnsi="Bookman Old Style" w:cs="Arial"/>
          <w:bCs/>
        </w:rPr>
        <w:t>i) la gradualidad en la aplicación de los nuevos cargos de distribución a usuarios de uso residencial, i</w:t>
      </w:r>
      <w:r w:rsidR="005B4B6D">
        <w:rPr>
          <w:rFonts w:ascii="Bookman Old Style" w:hAnsi="Bookman Old Style" w:cs="Arial"/>
          <w:bCs/>
        </w:rPr>
        <w:t>x</w:t>
      </w:r>
      <w:r w:rsidRPr="00364D80">
        <w:rPr>
          <w:rFonts w:ascii="Bookman Old Style" w:hAnsi="Bookman Old Style" w:cs="Arial"/>
          <w:bCs/>
        </w:rPr>
        <w:t xml:space="preserve">) la fórmula de actualización del cargo de distribución aplicable a usuarios de uso residencial y del cargo promedio de distribución aplicable a usuarios diferentes a los de uso </w:t>
      </w:r>
      <w:r w:rsidRPr="00364D80">
        <w:rPr>
          <w:rFonts w:ascii="Bookman Old Style" w:hAnsi="Bookman Old Style" w:cs="Arial"/>
          <w:bCs/>
        </w:rPr>
        <w:lastRenderedPageBreak/>
        <w:t>residencial</w:t>
      </w:r>
      <w:r>
        <w:rPr>
          <w:rFonts w:ascii="Bookman Old Style" w:hAnsi="Bookman Old Style" w:cs="Arial"/>
          <w:bCs/>
        </w:rPr>
        <w:t>,</w:t>
      </w:r>
      <w:r w:rsidR="005B4B6D">
        <w:rPr>
          <w:rFonts w:ascii="Bookman Old Style" w:hAnsi="Bookman Old Style" w:cs="Arial"/>
          <w:bCs/>
        </w:rPr>
        <w:t xml:space="preserve"> </w:t>
      </w:r>
      <w:r w:rsidRPr="00364D80">
        <w:rPr>
          <w:rFonts w:ascii="Bookman Old Style" w:hAnsi="Bookman Old Style" w:cs="Arial"/>
          <w:bCs/>
        </w:rPr>
        <w:t xml:space="preserve">x) </w:t>
      </w:r>
      <w:r w:rsidR="00C975A7">
        <w:rPr>
          <w:rFonts w:ascii="Bookman Old Style" w:hAnsi="Bookman Old Style" w:cs="Arial"/>
          <w:bCs/>
        </w:rPr>
        <w:t xml:space="preserve">el procedimiento para solicitar </w:t>
      </w:r>
      <w:r w:rsidRPr="00364D80">
        <w:rPr>
          <w:rFonts w:ascii="Bookman Old Style" w:hAnsi="Bookman Old Style" w:cs="Arial"/>
          <w:bCs/>
        </w:rPr>
        <w:t>la reposición de activos, x</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del C</w:t>
      </w:r>
      <w:r w:rsidR="00C975A7" w:rsidRPr="000B65DE">
        <w:rPr>
          <w:rFonts w:ascii="Bookman Old Style" w:hAnsi="Bookman Old Style"/>
          <w:bCs/>
        </w:rPr>
        <w:t>argo Delta de Confiabilidad y</w:t>
      </w:r>
      <w:r w:rsidR="00C975A7">
        <w:rPr>
          <w:rFonts w:ascii="Bookman Old Style" w:hAnsi="Bookman Old Style"/>
          <w:bCs/>
        </w:rPr>
        <w:t>/o</w:t>
      </w:r>
      <w:r w:rsidR="00C975A7" w:rsidRPr="000B65DE">
        <w:rPr>
          <w:rFonts w:ascii="Bookman Old Style" w:hAnsi="Bookman Old Style"/>
          <w:bCs/>
        </w:rPr>
        <w:t xml:space="preserve"> Seguridad en Distribución</w:t>
      </w:r>
      <w:r w:rsidRPr="00364D80">
        <w:rPr>
          <w:rFonts w:ascii="Bookman Old Style" w:hAnsi="Bookman Old Style" w:cs="Arial"/>
          <w:bCs/>
        </w:rPr>
        <w:t>, xi</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 los cargos en l</w:t>
      </w:r>
      <w:r w:rsidRPr="00364D80">
        <w:rPr>
          <w:rFonts w:ascii="Bookman Old Style" w:hAnsi="Bookman Old Style" w:cs="Arial"/>
          <w:bCs/>
        </w:rPr>
        <w:t>os mercados relevantes de distribución para el siguiente período tarifario en donde hay más de un distribuidor, x</w:t>
      </w:r>
      <w:r w:rsidR="005B4B6D">
        <w:rPr>
          <w:rFonts w:ascii="Bookman Old Style" w:hAnsi="Bookman Old Style" w:cs="Arial"/>
          <w:bCs/>
        </w:rPr>
        <w:t>i</w:t>
      </w:r>
      <w:r w:rsidRPr="00364D80">
        <w:rPr>
          <w:rFonts w:ascii="Bookman Old Style" w:hAnsi="Bookman Old Style" w:cs="Arial"/>
          <w:bCs/>
        </w:rPr>
        <w:t xml:space="preserve">ii) </w:t>
      </w:r>
      <w:r w:rsidR="00C975A7">
        <w:rPr>
          <w:rFonts w:ascii="Bookman Old Style" w:hAnsi="Bookman Old Style" w:cs="Arial"/>
          <w:bCs/>
        </w:rPr>
        <w:t>el procedimiento para la reposición de</w:t>
      </w:r>
      <w:r w:rsidRPr="00364D80">
        <w:rPr>
          <w:rFonts w:ascii="Bookman Old Style" w:hAnsi="Bookman Old Style" w:cs="Arial"/>
          <w:bCs/>
        </w:rPr>
        <w:t xml:space="preserve"> activos de terceros, xi</w:t>
      </w:r>
      <w:r w:rsidR="005B4B6D">
        <w:rPr>
          <w:rFonts w:ascii="Bookman Old Style" w:hAnsi="Bookman Old Style" w:cs="Arial"/>
          <w:bCs/>
        </w:rPr>
        <w:t>v</w:t>
      </w:r>
      <w:r w:rsidRPr="00364D80">
        <w:rPr>
          <w:rFonts w:ascii="Bookman Old Style" w:hAnsi="Bookman Old Style" w:cs="Arial"/>
          <w:bCs/>
        </w:rPr>
        <w:t xml:space="preserve">) </w:t>
      </w:r>
      <w:r w:rsidR="00216CAB">
        <w:rPr>
          <w:rFonts w:ascii="Bookman Old Style" w:hAnsi="Bookman Old Style" w:cs="Arial"/>
          <w:bCs/>
        </w:rPr>
        <w:t>la aplicación de la metodología e</w:t>
      </w:r>
      <w:r w:rsidRPr="00364D80">
        <w:rPr>
          <w:rFonts w:ascii="Bookman Old Style" w:hAnsi="Bookman Old Style" w:cs="Arial"/>
          <w:bCs/>
        </w:rPr>
        <w:t xml:space="preserve">n las </w:t>
      </w:r>
      <w:r w:rsidRPr="00364D80">
        <w:rPr>
          <w:rFonts w:ascii="Bookman Old Style" w:hAnsi="Bookman Old Style" w:cs="Arial"/>
          <w:bCs/>
          <w:lang w:val="es-CO"/>
        </w:rPr>
        <w:t xml:space="preserve">zonas geográficas que dejan de ser áreas de servicio exclusivo por culminación de los contratos de concesión, xv) </w:t>
      </w:r>
      <w:r w:rsidR="00C975A7">
        <w:rPr>
          <w:rFonts w:ascii="Bookman Old Style" w:hAnsi="Bookman Old Style" w:cs="Arial"/>
          <w:bCs/>
          <w:lang w:val="es-CO"/>
        </w:rPr>
        <w:t>las condiciones</w:t>
      </w:r>
      <w:r w:rsidR="005B4B6D">
        <w:rPr>
          <w:rFonts w:ascii="Bookman Old Style" w:hAnsi="Bookman Old Style" w:cs="Arial"/>
          <w:bCs/>
          <w:lang w:val="es-CO"/>
        </w:rPr>
        <w:t xml:space="preserve"> para l</w:t>
      </w:r>
      <w:r w:rsidRPr="00364D80">
        <w:rPr>
          <w:rFonts w:ascii="Bookman Old Style" w:hAnsi="Bookman Old Style" w:cs="Arial"/>
          <w:bCs/>
          <w:lang w:val="es-CO"/>
        </w:rPr>
        <w:t xml:space="preserve">a </w:t>
      </w:r>
      <w:r w:rsidRPr="00364D80">
        <w:rPr>
          <w:rFonts w:ascii="Bookman Old Style" w:hAnsi="Bookman Old Style" w:cs="Arial"/>
          <w:bCs/>
        </w:rPr>
        <w:t xml:space="preserve">distribución de gas mediante gasoductos virtuales, xvi) </w:t>
      </w:r>
      <w:r>
        <w:rPr>
          <w:rFonts w:ascii="Bookman Old Style" w:hAnsi="Bookman Old Style" w:cs="Arial"/>
          <w:bCs/>
        </w:rPr>
        <w:t>l</w:t>
      </w:r>
      <w:r w:rsidRPr="00364D80">
        <w:rPr>
          <w:rFonts w:ascii="Bookman Old Style" w:hAnsi="Bookman Old Style" w:cs="Arial"/>
          <w:bCs/>
        </w:rPr>
        <w:t xml:space="preserve">as </w:t>
      </w:r>
      <w:r w:rsidRPr="00364D80">
        <w:rPr>
          <w:rFonts w:ascii="Bookman Old Style" w:hAnsi="Bookman Old Style" w:cs="Arial"/>
          <w:bCs/>
          <w:lang w:val="es-ES_tradnl"/>
        </w:rPr>
        <w:t xml:space="preserve">consideraciones para la conexión de un sistema de distribución a otros sistema de distribución, xvii) </w:t>
      </w:r>
      <w:bookmarkStart w:id="1" w:name="_Ref289344645"/>
      <w:bookmarkStart w:id="2" w:name="_Ref289345101"/>
      <w:r>
        <w:rPr>
          <w:rFonts w:ascii="Bookman Old Style" w:hAnsi="Bookman Old Style" w:cs="Arial"/>
          <w:bCs/>
          <w:lang w:val="es-ES_tradnl"/>
        </w:rPr>
        <w:t>los</w:t>
      </w:r>
      <w:r w:rsidRPr="00364D80">
        <w:rPr>
          <w:rFonts w:ascii="Bookman Old Style" w:hAnsi="Bookman Old Style" w:cs="Arial"/>
          <w:bCs/>
          <w:lang w:val="es-ES_tradnl"/>
        </w:rPr>
        <w:t xml:space="preserve"> costos unidades constructivas para valorar inversión existente, xviii) </w:t>
      </w:r>
      <w:bookmarkEnd w:id="1"/>
      <w:bookmarkEnd w:id="2"/>
      <w:r>
        <w:rPr>
          <w:rFonts w:ascii="Bookman Old Style" w:hAnsi="Bookman Old Style" w:cs="Arial"/>
          <w:bCs/>
          <w:lang w:val="es-ES_tradnl"/>
        </w:rPr>
        <w:t>l</w:t>
      </w:r>
      <w:r w:rsidRPr="00364D80">
        <w:rPr>
          <w:rFonts w:ascii="Bookman Old Style" w:hAnsi="Bookman Old Style" w:cs="Arial"/>
          <w:bCs/>
          <w:lang w:val="es-ES_tradnl"/>
        </w:rPr>
        <w:t xml:space="preserve">as </w:t>
      </w:r>
      <w:r w:rsidRPr="00364D80">
        <w:rPr>
          <w:rFonts w:ascii="Bookman Old Style" w:hAnsi="Bookman Old Style" w:cs="Arial"/>
          <w:lang w:val="es-ES_tradnl"/>
        </w:rPr>
        <w:t>cantidades de unidades constructivas reconocidas como inversión existente</w:t>
      </w:r>
      <w:r w:rsidRPr="00364D80">
        <w:rPr>
          <w:rFonts w:ascii="Bookman Old Style" w:hAnsi="Bookman Old Style" w:cs="Arial"/>
          <w:b/>
          <w:lang w:val="es-ES_tradnl"/>
        </w:rPr>
        <w:t xml:space="preserve">, </w:t>
      </w:r>
      <w:r w:rsidRPr="00364D80">
        <w:rPr>
          <w:rFonts w:ascii="Bookman Old Style" w:hAnsi="Bookman Old Style" w:cs="Arial"/>
          <w:lang w:val="es-ES_tradnl"/>
        </w:rPr>
        <w:t xml:space="preserve">xix) </w:t>
      </w:r>
      <w:r>
        <w:rPr>
          <w:rFonts w:ascii="Bookman Old Style" w:hAnsi="Bookman Old Style" w:cs="Arial"/>
          <w:lang w:val="es-ES_tradnl"/>
        </w:rPr>
        <w:t>l</w:t>
      </w:r>
      <w:r w:rsidRPr="00364D80">
        <w:rPr>
          <w:rFonts w:ascii="Bookman Old Style" w:hAnsi="Bookman Old Style" w:cs="Arial"/>
          <w:lang w:val="es-ES_tradnl"/>
        </w:rPr>
        <w:t xml:space="preserve">as unidades constructivas </w:t>
      </w:r>
      <w:r w:rsidR="005B4B6D">
        <w:rPr>
          <w:rFonts w:ascii="Bookman Old Style" w:hAnsi="Bookman Old Style" w:cs="Arial"/>
          <w:lang w:val="es-ES_tradnl"/>
        </w:rPr>
        <w:t xml:space="preserve">y su costo </w:t>
      </w:r>
      <w:r w:rsidRPr="00364D80">
        <w:rPr>
          <w:rFonts w:ascii="Bookman Old Style" w:hAnsi="Bookman Old Style" w:cs="Arial"/>
          <w:lang w:val="es-ES_tradnl"/>
        </w:rPr>
        <w:t xml:space="preserve">para la valoración de nuevas inversiones, xx) </w:t>
      </w:r>
      <w:r>
        <w:rPr>
          <w:rFonts w:ascii="Bookman Old Style" w:hAnsi="Bookman Old Style" w:cs="Arial"/>
          <w:lang w:val="es-ES_tradnl"/>
        </w:rPr>
        <w:t>l</w:t>
      </w:r>
      <w:r w:rsidRPr="00364D80">
        <w:rPr>
          <w:rFonts w:ascii="Bookman Old Style" w:hAnsi="Bookman Old Style" w:cs="Arial"/>
          <w:lang w:val="es-ES_tradnl"/>
        </w:rPr>
        <w:t xml:space="preserve">a metodología para establecer el costo eficiente de administración, operación y mantenimiento –AOM- </w:t>
      </w:r>
      <w:r w:rsidR="005B4B6D">
        <w:rPr>
          <w:rFonts w:ascii="Bookman Old Style" w:hAnsi="Bookman Old Style" w:cs="Arial"/>
          <w:lang w:val="es-ES_tradnl"/>
        </w:rPr>
        <w:t xml:space="preserve">y de los Otros Activos </w:t>
      </w:r>
      <w:r w:rsidRPr="00364D80">
        <w:rPr>
          <w:rFonts w:ascii="Bookman Old Style" w:hAnsi="Bookman Old Style" w:cs="Arial"/>
          <w:lang w:val="es-ES_tradnl"/>
        </w:rPr>
        <w:t>de la actividad de distribución de gas combustible</w:t>
      </w:r>
      <w:r w:rsidR="005B4B6D">
        <w:rPr>
          <w:rFonts w:ascii="Bookman Old Style" w:hAnsi="Bookman Old Style" w:cs="Arial"/>
          <w:lang w:val="es-ES_tradnl"/>
        </w:rPr>
        <w:t xml:space="preserve">, xxi) los </w:t>
      </w:r>
      <w:r w:rsidR="005B4B6D" w:rsidRPr="005B4B6D">
        <w:rPr>
          <w:rFonts w:ascii="Bookman Old Style" w:hAnsi="Bookman Old Style" w:cs="Arial"/>
          <w:lang w:val="es-ES_tradnl"/>
        </w:rPr>
        <w:t xml:space="preserve">costos </w:t>
      </w:r>
      <w:r w:rsidR="005B4B6D">
        <w:rPr>
          <w:rFonts w:ascii="Bookman Old Style" w:hAnsi="Bookman Old Style" w:cs="Arial"/>
          <w:lang w:val="es-ES_tradnl"/>
        </w:rPr>
        <w:t xml:space="preserve">de las </w:t>
      </w:r>
      <w:r w:rsidR="005B4B6D" w:rsidRPr="005B4B6D">
        <w:rPr>
          <w:rFonts w:ascii="Bookman Old Style" w:hAnsi="Bookman Old Style" w:cs="Arial"/>
          <w:lang w:val="es-ES_tradnl"/>
        </w:rPr>
        <w:t>unidades</w:t>
      </w:r>
      <w:r w:rsidR="005B4B6D">
        <w:rPr>
          <w:rFonts w:ascii="Bookman Old Style" w:hAnsi="Bookman Old Style" w:cs="Arial"/>
          <w:lang w:val="es-ES_tradnl"/>
        </w:rPr>
        <w:t xml:space="preserve"> constructivas para la valoració</w:t>
      </w:r>
      <w:r w:rsidR="005B4B6D" w:rsidRPr="005B4B6D">
        <w:rPr>
          <w:rFonts w:ascii="Bookman Old Style" w:hAnsi="Bookman Old Style" w:cs="Arial"/>
          <w:lang w:val="es-ES_tradnl"/>
        </w:rPr>
        <w:t>n de la inversión ejecutada durante l</w:t>
      </w:r>
      <w:r w:rsidR="005B4B6D">
        <w:rPr>
          <w:rFonts w:ascii="Bookman Old Style" w:hAnsi="Bookman Old Style" w:cs="Arial"/>
          <w:lang w:val="es-ES_tradnl"/>
        </w:rPr>
        <w:t>a vigencia de la Resolución CREG</w:t>
      </w:r>
      <w:r w:rsidR="005B4B6D" w:rsidRPr="005B4B6D">
        <w:rPr>
          <w:rFonts w:ascii="Bookman Old Style" w:hAnsi="Bookman Old Style" w:cs="Arial"/>
          <w:lang w:val="es-ES_tradnl"/>
        </w:rPr>
        <w:t xml:space="preserve"> 011 de 2003</w:t>
      </w:r>
      <w:r w:rsidR="005B4B6D">
        <w:rPr>
          <w:rFonts w:ascii="Bookman Old Style" w:hAnsi="Bookman Old Style" w:cs="Arial"/>
          <w:lang w:val="es-ES_tradnl"/>
        </w:rPr>
        <w:t xml:space="preserve">, </w:t>
      </w:r>
      <w:r w:rsidRPr="00364D80">
        <w:rPr>
          <w:rFonts w:ascii="Bookman Old Style" w:hAnsi="Bookman Old Style" w:cs="Arial"/>
          <w:lang w:val="es-ES_tradnl"/>
        </w:rPr>
        <w:t xml:space="preserve">xxii) </w:t>
      </w:r>
      <w:r>
        <w:rPr>
          <w:rFonts w:ascii="Bookman Old Style" w:hAnsi="Bookman Old Style" w:cs="Arial"/>
          <w:lang w:val="es-ES_tradnl"/>
        </w:rPr>
        <w:t>l</w:t>
      </w:r>
      <w:r w:rsidRPr="00364D80">
        <w:rPr>
          <w:rFonts w:ascii="Bookman Old Style" w:hAnsi="Bookman Old Style" w:cs="Arial"/>
          <w:lang w:val="es-ES_tradnl"/>
        </w:rPr>
        <w:t>a metodología para la determinación de la proyección de demanda de gas combustible en los municipios nuevos</w:t>
      </w:r>
      <w:r w:rsidR="005B4B6D">
        <w:rPr>
          <w:rFonts w:ascii="Bookman Old Style" w:hAnsi="Bookman Old Style" w:cs="Arial"/>
          <w:lang w:val="es-ES_tradnl"/>
        </w:rPr>
        <w:t>, etc.</w:t>
      </w:r>
    </w:p>
    <w:p w14:paraId="507736A1" w14:textId="77777777"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Resulta oportuno centrarse en algunos de los aspectos antes mencionados con el fin de ilustrar la necesidad de aprobar cargos transitorios para mercados relevantes de distribución existentes y nuevos, o las diferentes posibilidades de integración que dispuso la Resolución CREG 202 de 2013.</w:t>
      </w:r>
    </w:p>
    <w:p w14:paraId="08778EBD" w14:textId="77777777" w:rsidR="001C0019" w:rsidRDefault="001C0019" w:rsidP="001C0019">
      <w:pPr>
        <w:adjustRightInd w:val="0"/>
        <w:spacing w:before="240" w:after="240"/>
        <w:ind w:left="0"/>
        <w:jc w:val="both"/>
        <w:rPr>
          <w:rFonts w:ascii="Bookman Old Style" w:hAnsi="Bookman Old Style" w:cs="Arial"/>
          <w:lang w:val="es-CO"/>
        </w:rPr>
      </w:pPr>
      <w:r w:rsidRPr="00EF7AC0">
        <w:rPr>
          <w:rFonts w:ascii="Bookman Old Style" w:hAnsi="Bookman Old Style" w:cs="Arial"/>
          <w:lang w:val="es-CO"/>
        </w:rPr>
        <w:t>En este orden se tiene que existen diferentes tipos de mercados, unos definidos por aquellos que fueron aprobados bajo la metodología tarifaria dispuesta en 2003 con la Resolución CREG 011 de ese año, considerados como mercados relevantes de distribución existentes, y otros definidos por aquellos que no cuentan con cargos aprobados para la prestación del servicio, considerados como nuevos mercados.</w:t>
      </w:r>
    </w:p>
    <w:p w14:paraId="6DABB0BD" w14:textId="77777777" w:rsidR="001C0019" w:rsidRDefault="001C0019" w:rsidP="001C0019">
      <w:pPr>
        <w:adjustRightInd w:val="0"/>
        <w:spacing w:before="240" w:after="240"/>
        <w:ind w:left="0" w:right="20"/>
        <w:jc w:val="both"/>
        <w:rPr>
          <w:rFonts w:ascii="Bookman Old Style" w:hAnsi="Bookman Old Style" w:cs="Arial"/>
        </w:rPr>
      </w:pPr>
      <w:r w:rsidRPr="00616A0D">
        <w:rPr>
          <w:rFonts w:ascii="Bookman Old Style" w:hAnsi="Bookman Old Style" w:cs="Arial"/>
          <w:lang w:val="es-CO"/>
        </w:rPr>
        <w:t xml:space="preserve">Por otro lado, también se debe tener presente la </w:t>
      </w:r>
      <w:r w:rsidRPr="00616A0D">
        <w:rPr>
          <w:rFonts w:ascii="Bookman Old Style" w:hAnsi="Bookman Old Style" w:cs="Arial"/>
        </w:rPr>
        <w:t>singularidad del procedimiento adelantado</w:t>
      </w:r>
      <w:r>
        <w:rPr>
          <w:rFonts w:ascii="Bookman Old Style" w:hAnsi="Bookman Old Style" w:cs="Arial"/>
        </w:rPr>
        <w:t xml:space="preserve"> para la fijación de nuevos cargos,</w:t>
      </w:r>
      <w:r w:rsidRPr="00616A0D">
        <w:rPr>
          <w:rFonts w:ascii="Bookman Old Style" w:hAnsi="Bookman Old Style" w:cs="Arial"/>
        </w:rPr>
        <w:t xml:space="preserve"> con ocasión de la entrada en vigencia de la metodología fijada mediante la Resolución CREG 202 de 2013, su posterior  revocatoria parcial, así como los inconvenientes que esta situación impuso al proceso ordinario de</w:t>
      </w:r>
      <w:r>
        <w:rPr>
          <w:rFonts w:ascii="Bookman Old Style" w:hAnsi="Bookman Old Style" w:cs="Arial"/>
        </w:rPr>
        <w:t xml:space="preserve"> expedición de una nueva metodología y su impacto en la</w:t>
      </w:r>
      <w:r w:rsidRPr="00616A0D">
        <w:rPr>
          <w:rFonts w:ascii="Bookman Old Style" w:hAnsi="Bookman Old Style" w:cs="Arial"/>
        </w:rPr>
        <w:t xml:space="preserve"> actualización de cargos presentados en octubre de 2015, los cuales, en condiciones ordinarias, debían haber entrado en vigencia, de no presentarse la revocatoria mencionada, en el primer semestre de 2016</w:t>
      </w:r>
      <w:r>
        <w:rPr>
          <w:rFonts w:ascii="Bookman Old Style" w:hAnsi="Bookman Old Style" w:cs="Arial"/>
        </w:rPr>
        <w:t>.</w:t>
      </w:r>
    </w:p>
    <w:p w14:paraId="6EA838D2" w14:textId="482A3963"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rPr>
        <w:t xml:space="preserve">En primera instancia, se debe tener presente que los cargos de distribución particulares actualmente vigentes fueron expedidos en virtud de la metodología tarifaria señalada en la Resolución CREG 011 de 2003, </w:t>
      </w:r>
      <w:r>
        <w:rPr>
          <w:rFonts w:ascii="Bookman Old Style" w:hAnsi="Bookman Old Style" w:cs="Arial"/>
          <w:lang w:val="es-CO"/>
        </w:rPr>
        <w:t>la cual tuvo una duración de diez (10) años, (2003 – 2013).  No obstante, esos cargos siguen vigentes hasta tanto no se fijen los nuevos</w:t>
      </w:r>
      <w:r w:rsidR="004D7B00">
        <w:rPr>
          <w:rFonts w:ascii="Bookman Old Style" w:hAnsi="Bookman Old Style" w:cs="Arial"/>
          <w:lang w:val="es-CO"/>
        </w:rPr>
        <w:t>. D</w:t>
      </w:r>
      <w:r>
        <w:rPr>
          <w:rFonts w:ascii="Bookman Old Style" w:hAnsi="Bookman Old Style" w:cs="Arial"/>
          <w:lang w:val="es-CO"/>
        </w:rPr>
        <w:t>e esta manera</w:t>
      </w:r>
      <w:r w:rsidR="004D7B00">
        <w:rPr>
          <w:rFonts w:ascii="Bookman Old Style" w:hAnsi="Bookman Old Style" w:cs="Arial"/>
          <w:lang w:val="es-CO"/>
        </w:rPr>
        <w:t xml:space="preserve">, </w:t>
      </w:r>
      <w:r>
        <w:rPr>
          <w:rFonts w:ascii="Bookman Old Style" w:hAnsi="Bookman Old Style" w:cs="Arial"/>
          <w:lang w:val="es-CO"/>
        </w:rPr>
        <w:t xml:space="preserve">los cargos </w:t>
      </w:r>
      <w:r w:rsidR="004D7B00">
        <w:rPr>
          <w:rFonts w:ascii="Bookman Old Style" w:hAnsi="Bookman Old Style" w:cs="Arial"/>
          <w:lang w:val="es-CO"/>
        </w:rPr>
        <w:t xml:space="preserve">de los mercados </w:t>
      </w:r>
      <w:r>
        <w:rPr>
          <w:rFonts w:ascii="Bookman Old Style" w:hAnsi="Bookman Old Style" w:cs="Arial"/>
          <w:lang w:val="es-CO"/>
        </w:rPr>
        <w:t>considerados como existentes</w:t>
      </w:r>
      <w:r w:rsidR="004D7B00">
        <w:rPr>
          <w:rFonts w:ascii="Bookman Old Style" w:hAnsi="Bookman Old Style" w:cs="Arial"/>
          <w:lang w:val="es-CO"/>
        </w:rPr>
        <w:t xml:space="preserve">, en algunos casos, </w:t>
      </w:r>
      <w:r>
        <w:rPr>
          <w:rFonts w:ascii="Bookman Old Style" w:hAnsi="Bookman Old Style" w:cs="Arial"/>
          <w:lang w:val="es-CO"/>
        </w:rPr>
        <w:t>alcanzan un periodo de aplicación de hasta catorce (14) años.</w:t>
      </w:r>
    </w:p>
    <w:p w14:paraId="50173C61" w14:textId="77777777" w:rsidR="00DE17D9" w:rsidRDefault="00DE17D9" w:rsidP="001C0019">
      <w:pPr>
        <w:adjustRightInd w:val="0"/>
        <w:spacing w:before="240" w:after="240"/>
        <w:ind w:left="0"/>
        <w:jc w:val="both"/>
        <w:rPr>
          <w:rFonts w:ascii="Bookman Old Style" w:hAnsi="Bookman Old Style" w:cs="Arial"/>
          <w:lang w:val="es-CO"/>
        </w:rPr>
      </w:pPr>
    </w:p>
    <w:p w14:paraId="78E1071C" w14:textId="77777777" w:rsidR="00DE17D9" w:rsidRDefault="00DE17D9" w:rsidP="00DE17D9">
      <w:pPr>
        <w:adjustRightInd w:val="0"/>
        <w:ind w:left="0"/>
        <w:jc w:val="both"/>
        <w:rPr>
          <w:rFonts w:ascii="Bookman Old Style" w:hAnsi="Bookman Old Style" w:cs="Arial"/>
          <w:lang w:val="es-CO"/>
        </w:rPr>
      </w:pPr>
    </w:p>
    <w:p w14:paraId="4698BB5D" w14:textId="1875C3B0" w:rsidR="001C0019" w:rsidRDefault="001C0019" w:rsidP="00D334AC">
      <w:pPr>
        <w:adjustRightInd w:val="0"/>
        <w:spacing w:after="240"/>
        <w:ind w:left="0"/>
        <w:jc w:val="both"/>
        <w:rPr>
          <w:rFonts w:ascii="Bookman Old Style" w:hAnsi="Bookman Old Style" w:cs="Arial"/>
          <w:lang w:val="es-CO"/>
        </w:rPr>
      </w:pPr>
      <w:r>
        <w:rPr>
          <w:rFonts w:ascii="Bookman Old Style" w:hAnsi="Bookman Old Style" w:cs="Arial"/>
          <w:lang w:val="es-CO"/>
        </w:rPr>
        <w:t xml:space="preserve">Una vez expedida la nueva metodología tarifaria de distribución de gas por redes de tubería (Resolución CREG 202 de 2013) y presentadas las solicitudes de cargos por parte de las empresas, se puso de presente por parte de la CREG que algunos aspectos de la información presentada por estas evidenciaban inconsistencias que hacían necesaria la revocatoria parcial de la metodología, debido a que su aplicación planteaba una disconformidad con el interés público y una manifiesta oposición a la ley en aspectos que fueron ampliamente desarrollados en la resolución CREG 093 de 2016. </w:t>
      </w:r>
    </w:p>
    <w:p w14:paraId="6C58A7FD" w14:textId="77777777"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Este tipo de actuaciones administrativas no tienen precedentes en el desarrollo institucional de la Comisión, de tal forma que han derivado también en la adopción de medidas de orden excepcional y en algunos casos transitorios como la que ahora se adopta, de manera que se genere la menor afectación posible en la prestación de este servicio.</w:t>
      </w:r>
    </w:p>
    <w:p w14:paraId="20318082" w14:textId="77777777"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Se debe resaltar que la norma revocada, en su calidad de metodología tarifaria general, impone una serie de procedimientos legales con relación a su reemplazo, los cuales incluyen la puesta en consideración de los diferentes agentes de una propuesta de metodológica nueva, la cual para este caso concreto ha sido consultada en dos oportunidades, mediante las Resoluciones CREG 095 de 2016 y 066 de 2017, espacios de obligatorio cumplimiento para la administración, que han dilatado el procedimiento ordinario de expedición de la metodología y consecuentemente de los cargos.</w:t>
      </w:r>
    </w:p>
    <w:p w14:paraId="261BCEC6" w14:textId="74CA3A08" w:rsidR="001C0019" w:rsidRDefault="001C0019" w:rsidP="001C0019">
      <w:pPr>
        <w:adjustRightInd w:val="0"/>
        <w:spacing w:before="240" w:after="240"/>
        <w:ind w:left="0" w:right="20"/>
        <w:jc w:val="both"/>
        <w:rPr>
          <w:rFonts w:ascii="Bookman Old Style" w:hAnsi="Bookman Old Style" w:cs="Arial"/>
        </w:rPr>
      </w:pPr>
      <w:r w:rsidRPr="00006560">
        <w:rPr>
          <w:rFonts w:ascii="Bookman Old Style" w:hAnsi="Bookman Old Style" w:cs="Arial"/>
        </w:rPr>
        <w:t>Frente a estas realidades fácticas excepcionales, las empresas se enfrentan a un escenario en el que se evidencian dilaciones en la aprobación de sus nuevos cargos, lo cual implica un retraso en el reconocimiento, por parte del regulador, de las nuevas inversiones realizadas, así como de sus costos actuales de administración, operación y mantenimiento, el reconocimiento de los nuevos volúmenes de gas demandado y una nueva tasa de retorno de la inversión, que le permita a las empresas acercar estos componentes tarifarios a valoraciones más actuales, de manera que se permita  alcanzar una prestación del servicio lo más eficiente posible, con tarifas más ajustadas a las realidades actuales, en beneficio tanto de los agentes prestadores del servicio como de los usuarios del mismo.</w:t>
      </w:r>
    </w:p>
    <w:p w14:paraId="13D849B7" w14:textId="77777777" w:rsidR="001C0019" w:rsidRPr="000024C0" w:rsidRDefault="001C0019" w:rsidP="001C0019">
      <w:pPr>
        <w:adjustRightInd w:val="0"/>
        <w:spacing w:before="240" w:after="240"/>
        <w:ind w:left="0" w:right="20"/>
        <w:jc w:val="both"/>
        <w:rPr>
          <w:rFonts w:ascii="Bookman Old Style" w:hAnsi="Bookman Old Style" w:cs="Arial"/>
          <w:highlight w:val="yellow"/>
        </w:rPr>
      </w:pPr>
      <w:r>
        <w:rPr>
          <w:rFonts w:ascii="Bookman Old Style" w:hAnsi="Bookman Old Style" w:cs="Arial"/>
        </w:rPr>
        <w:t xml:space="preserve">En línea con esta necesidad, la CREG expide la Circular 034 de 2017 mediante la cual se plantea la posibilidad de expedir cargos de distribución de gas combustible por redes de tubería con carácter transitorio para los mercados existentes de distribución, con el fin de actualizar los parámetros a las nuevas realidades de inversión, demanda, gastos de AOM </w:t>
      </w:r>
      <w:r w:rsidRPr="0013320E">
        <w:rPr>
          <w:rFonts w:ascii="Bookman Old Style" w:hAnsi="Bookman Old Style" w:cs="Arial"/>
        </w:rPr>
        <w:t xml:space="preserve">y tasa </w:t>
      </w:r>
      <w:r w:rsidRPr="00006560">
        <w:rPr>
          <w:rFonts w:ascii="Bookman Old Style" w:hAnsi="Bookman Old Style" w:cs="Arial"/>
        </w:rPr>
        <w:t>de retorno.</w:t>
      </w:r>
    </w:p>
    <w:p w14:paraId="27265BE7" w14:textId="77777777" w:rsidR="001C0019" w:rsidRPr="001954E9" w:rsidRDefault="001C0019" w:rsidP="001C0019">
      <w:pPr>
        <w:adjustRightInd w:val="0"/>
        <w:spacing w:before="240" w:after="240"/>
        <w:ind w:left="0" w:right="20"/>
        <w:jc w:val="both"/>
        <w:rPr>
          <w:rFonts w:ascii="Bookman Old Style" w:hAnsi="Bookman Old Style" w:cs="Arial"/>
        </w:rPr>
      </w:pPr>
      <w:r>
        <w:rPr>
          <w:rFonts w:ascii="Bookman Old Style" w:hAnsi="Bookman Old Style" w:cs="Arial"/>
        </w:rPr>
        <w:t>En consecuencia</w:t>
      </w:r>
      <w:r w:rsidRPr="00487BB3">
        <w:rPr>
          <w:rFonts w:ascii="Bookman Old Style" w:hAnsi="Bookman Old Style" w:cs="Arial"/>
        </w:rPr>
        <w:t>, en defensa de</w:t>
      </w:r>
      <w:r>
        <w:rPr>
          <w:rFonts w:ascii="Bookman Old Style" w:hAnsi="Bookman Old Style" w:cs="Arial"/>
        </w:rPr>
        <w:t xml:space="preserve"> los preceptos constitucionales</w:t>
      </w:r>
      <w:r w:rsidRPr="00487BB3">
        <w:rPr>
          <w:rFonts w:ascii="Bookman Old Style" w:hAnsi="Bookman Old Style" w:cs="Arial"/>
        </w:rPr>
        <w:t xml:space="preserve"> y con la finalidad última de garantizar la prestación del servicio en los mercados relevantes correspondientes a las solicitudes tarifarias</w:t>
      </w:r>
      <w:r>
        <w:rPr>
          <w:rFonts w:ascii="Bookman Old Style" w:hAnsi="Bookman Old Style" w:cs="Arial"/>
        </w:rPr>
        <w:t>,</w:t>
      </w:r>
      <w:r w:rsidRPr="00487BB3">
        <w:rPr>
          <w:rFonts w:ascii="Bookman Old Style" w:hAnsi="Bookman Old Style" w:cs="Arial"/>
        </w:rPr>
        <w:t xml:space="preserve"> </w:t>
      </w:r>
      <w:r>
        <w:rPr>
          <w:rFonts w:ascii="Bookman Old Style" w:hAnsi="Bookman Old Style" w:cs="Arial"/>
        </w:rPr>
        <w:t xml:space="preserve">tanto </w:t>
      </w:r>
      <w:r w:rsidRPr="00487BB3">
        <w:rPr>
          <w:rFonts w:ascii="Bookman Old Style" w:hAnsi="Bookman Old Style" w:cs="Arial"/>
        </w:rPr>
        <w:t xml:space="preserve">de </w:t>
      </w:r>
      <w:r w:rsidRPr="00674CED">
        <w:rPr>
          <w:rFonts w:ascii="Bookman Old Style" w:hAnsi="Bookman Old Style" w:cs="Arial"/>
        </w:rPr>
        <w:t>los nuevos mercados como de los mercados existentes y sus diferentes conformaciones,</w:t>
      </w:r>
      <w:r w:rsidRPr="00487BB3">
        <w:rPr>
          <w:rFonts w:ascii="Bookman Old Style" w:hAnsi="Bookman Old Style" w:cs="Arial"/>
        </w:rPr>
        <w:t xml:space="preserve"> la CREG debe fijar cargos</w:t>
      </w:r>
      <w:r w:rsidRPr="001954E9">
        <w:rPr>
          <w:rFonts w:ascii="Bookman Old Style" w:hAnsi="Bookman Old Style" w:cs="Arial"/>
        </w:rPr>
        <w:t xml:space="preserve"> de distribución transitorios </w:t>
      </w:r>
      <w:r>
        <w:rPr>
          <w:rFonts w:ascii="Bookman Old Style" w:hAnsi="Bookman Old Style" w:cs="Arial"/>
        </w:rPr>
        <w:t>con base en las normas vigentes y en los principios para la fijación de tarifas definido</w:t>
      </w:r>
      <w:r w:rsidRPr="001954E9">
        <w:rPr>
          <w:rFonts w:ascii="Bookman Old Style" w:hAnsi="Bookman Old Style" w:cs="Arial"/>
        </w:rPr>
        <w:t>s en la Ley 142 de 1994</w:t>
      </w:r>
      <w:r>
        <w:rPr>
          <w:rFonts w:ascii="Bookman Old Style" w:hAnsi="Bookman Old Style" w:cs="Arial"/>
        </w:rPr>
        <w:t>.</w:t>
      </w:r>
    </w:p>
    <w:p w14:paraId="1C603AE9" w14:textId="77777777" w:rsidR="00DE17D9" w:rsidRDefault="00DE17D9" w:rsidP="00DE17D9">
      <w:pPr>
        <w:adjustRightInd w:val="0"/>
        <w:ind w:left="0" w:right="20"/>
        <w:jc w:val="both"/>
        <w:rPr>
          <w:rFonts w:ascii="Bookman Old Style" w:hAnsi="Bookman Old Style" w:cs="Arial"/>
        </w:rPr>
      </w:pPr>
    </w:p>
    <w:p w14:paraId="05A06D96" w14:textId="7A369E34" w:rsidR="001C0019" w:rsidRDefault="001C0019" w:rsidP="00D334AC">
      <w:pPr>
        <w:adjustRightInd w:val="0"/>
        <w:spacing w:after="240"/>
        <w:ind w:left="0" w:right="20"/>
        <w:jc w:val="both"/>
        <w:rPr>
          <w:rFonts w:ascii="Bookman Old Style" w:hAnsi="Bookman Old Style" w:cs="Arial"/>
        </w:rPr>
      </w:pPr>
      <w:r w:rsidRPr="001954E9">
        <w:rPr>
          <w:rFonts w:ascii="Bookman Old Style" w:hAnsi="Bookman Old Style" w:cs="Arial"/>
        </w:rPr>
        <w:t xml:space="preserve">De esta manera y con el fin de garantizar la prestación efectiva del servicio público de distribución de gas combustible, es procedente dar cumplimiento a los principios constitucionales rectores del régimen de los servicios públicos domiciliarios en los eventos descritos de </w:t>
      </w:r>
      <w:r>
        <w:rPr>
          <w:rFonts w:ascii="Bookman Old Style" w:hAnsi="Bookman Old Style" w:cs="Arial"/>
        </w:rPr>
        <w:t xml:space="preserve">mercados existentes y </w:t>
      </w:r>
      <w:r w:rsidRPr="001954E9">
        <w:rPr>
          <w:rFonts w:ascii="Bookman Old Style" w:hAnsi="Bookman Old Style" w:cs="Arial"/>
        </w:rPr>
        <w:t>nuevos mercados relevantes de distribución.</w:t>
      </w:r>
    </w:p>
    <w:p w14:paraId="7698BD99" w14:textId="77777777"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Aplicación del régimen y los criterios tarifarios por parte de la CREG dentro de sus actuaciones administrativas</w:t>
      </w:r>
    </w:p>
    <w:p w14:paraId="5CAE99EE" w14:textId="77777777" w:rsidR="001C0019" w:rsidRPr="001954E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w:t>
      </w:r>
      <w:r w:rsidRPr="001954E9">
        <w:rPr>
          <w:rFonts w:ascii="Bookman Old Style" w:hAnsi="Bookman Old Style" w:cs="Arial"/>
          <w:lang w:val="es-ES_tradnl"/>
        </w:rPr>
        <w:t>n relación con la a</w:t>
      </w:r>
      <w:r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hAnsi="Bookman Old Style" w:cs="Arial"/>
          <w:lang w:val="es-ES_tradnl"/>
        </w:rPr>
        <w:t xml:space="preserve"> se debe tener en cuenta que</w:t>
      </w:r>
      <w:r w:rsidRPr="001954E9">
        <w:rPr>
          <w:rFonts w:ascii="Bookman Old Style" w:eastAsia="Calibri" w:hAnsi="Bookman Old Style" w:cs="Arial"/>
          <w:lang w:val="es-CO" w:eastAsia="en-US"/>
        </w:rPr>
        <w:t xml:space="preserve"> del contenido </w:t>
      </w:r>
      <w:r>
        <w:rPr>
          <w:rFonts w:ascii="Bookman Old Style" w:eastAsia="Calibri" w:hAnsi="Bookman Old Style" w:cs="Arial"/>
          <w:lang w:val="es-CO" w:eastAsia="en-US"/>
        </w:rPr>
        <w:t>en</w:t>
      </w:r>
      <w:r w:rsidRPr="001954E9">
        <w:rPr>
          <w:rFonts w:ascii="Bookman Old Style" w:eastAsia="Calibri" w:hAnsi="Bookman Old Style" w:cs="Arial"/>
          <w:lang w:val="es-CO" w:eastAsia="en-US"/>
        </w:rPr>
        <w:t xml:space="preserve"> la Ley 142 de 1994 se han consagrado una serie de disposiciones relacionadas con lo que se denomina el “régimen tarifario”, para lo cual en su artículo 86 ha consagrado lo siguiente:</w:t>
      </w:r>
    </w:p>
    <w:p w14:paraId="31542956" w14:textId="77777777" w:rsidR="001C0019" w:rsidRPr="00DD2701" w:rsidRDefault="001C0019" w:rsidP="001C0019">
      <w:pPr>
        <w:spacing w:before="240" w:after="240"/>
        <w:ind w:left="284" w:right="284"/>
        <w:jc w:val="both"/>
        <w:rPr>
          <w:rFonts w:ascii="Bookman Old Style" w:hAnsi="Bookman Old Style" w:cs="Arial"/>
          <w:i/>
          <w:color w:val="000000"/>
          <w:sz w:val="22"/>
          <w:szCs w:val="22"/>
          <w:lang w:val="es-CO"/>
        </w:rPr>
      </w:pPr>
      <w:r w:rsidRPr="00DD2701">
        <w:rPr>
          <w:rFonts w:ascii="Bookman Old Style" w:hAnsi="Bookman Old Style" w:cs="Arial"/>
          <w:i/>
          <w:color w:val="000000"/>
          <w:sz w:val="22"/>
          <w:szCs w:val="22"/>
          <w:lang w:val="es-CO"/>
        </w:rPr>
        <w:t>“</w:t>
      </w:r>
      <w:r w:rsidRPr="00DD2701">
        <w:rPr>
          <w:rFonts w:ascii="Bookman Old Style" w:hAnsi="Bookman Old Style" w:cs="Arial"/>
          <w:b/>
          <w:i/>
          <w:color w:val="000000"/>
          <w:sz w:val="22"/>
          <w:szCs w:val="22"/>
          <w:lang w:val="es-CO"/>
        </w:rPr>
        <w:t>Artículo 86. El régimen tarifario.</w:t>
      </w:r>
      <w:r w:rsidRPr="00DD2701">
        <w:rPr>
          <w:rFonts w:ascii="Bookman Old Style" w:hAnsi="Bookman Old Style" w:cs="Arial"/>
          <w:i/>
          <w:color w:val="000000"/>
          <w:sz w:val="22"/>
          <w:szCs w:val="22"/>
          <w:lang w:val="es-CO"/>
        </w:rPr>
        <w:t xml:space="preserve"> </w:t>
      </w:r>
      <w:r w:rsidRPr="00DD2701">
        <w:rPr>
          <w:rFonts w:ascii="Bookman Old Style" w:hAnsi="Bookman Old Style" w:cs="Arial"/>
          <w:i/>
          <w:color w:val="000000"/>
          <w:sz w:val="22"/>
          <w:szCs w:val="22"/>
          <w:u w:val="single"/>
          <w:lang w:val="es-CO"/>
        </w:rPr>
        <w:t>El régimen tarifario</w:t>
      </w:r>
      <w:r w:rsidRPr="00DD2701">
        <w:rPr>
          <w:rFonts w:ascii="Bookman Old Style" w:hAnsi="Bookman Old Style" w:cs="Arial"/>
          <w:i/>
          <w:color w:val="000000"/>
          <w:sz w:val="22"/>
          <w:szCs w:val="22"/>
          <w:lang w:val="es-CO"/>
        </w:rPr>
        <w:t xml:space="preserve"> en los servicios públicos a los que esta Ley </w:t>
      </w:r>
      <w:r w:rsidRPr="00DD2701">
        <w:rPr>
          <w:rFonts w:ascii="Bookman Old Style" w:hAnsi="Bookman Old Style" w:cs="Arial"/>
          <w:i/>
          <w:color w:val="000000"/>
          <w:sz w:val="22"/>
          <w:szCs w:val="22"/>
          <w:u w:val="single"/>
          <w:lang w:val="es-CO"/>
        </w:rPr>
        <w:t>se refiere</w:t>
      </w:r>
      <w:r w:rsidRPr="00DD2701">
        <w:rPr>
          <w:rFonts w:ascii="Bookman Old Style" w:hAnsi="Bookman Old Style" w:cs="Arial"/>
          <w:i/>
          <w:color w:val="000000"/>
          <w:sz w:val="22"/>
          <w:szCs w:val="22"/>
          <w:lang w:val="es-CO"/>
        </w:rPr>
        <w:t>, está compuesto por reglas relativas a:</w:t>
      </w:r>
    </w:p>
    <w:p w14:paraId="04C294F9" w14:textId="77777777" w:rsidR="001C0019" w:rsidRPr="00DD2701" w:rsidRDefault="001C0019" w:rsidP="001C0019">
      <w:pPr>
        <w:spacing w:before="240" w:after="240"/>
        <w:ind w:left="284" w:right="284"/>
        <w:jc w:val="both"/>
        <w:rPr>
          <w:rFonts w:ascii="Bookman Old Style" w:hAnsi="Bookman Old Style" w:cs="Arial"/>
          <w:i/>
          <w:color w:val="000000"/>
          <w:sz w:val="22"/>
          <w:szCs w:val="22"/>
          <w:lang w:val="es-CO"/>
        </w:rPr>
      </w:pPr>
      <w:r w:rsidRPr="00DD2701">
        <w:rPr>
          <w:rFonts w:ascii="Bookman Old Style" w:hAnsi="Bookman Old Style" w:cs="Arial"/>
          <w:i/>
          <w:color w:val="000000"/>
          <w:sz w:val="22"/>
          <w:szCs w:val="22"/>
          <w:lang w:val="es-CO"/>
        </w:rPr>
        <w:t>(…)</w:t>
      </w:r>
    </w:p>
    <w:p w14:paraId="37D9C7EF" w14:textId="77777777" w:rsidR="001C0019" w:rsidRPr="00DD2701" w:rsidRDefault="001C0019" w:rsidP="001C0019">
      <w:pPr>
        <w:spacing w:before="240" w:after="240"/>
        <w:ind w:left="284" w:right="284"/>
        <w:jc w:val="both"/>
        <w:rPr>
          <w:rFonts w:ascii="Bookman Old Style" w:hAnsi="Bookman Old Style" w:cs="Arial"/>
          <w:i/>
          <w:color w:val="000000"/>
          <w:sz w:val="22"/>
          <w:szCs w:val="22"/>
          <w:lang w:val="es-CO"/>
        </w:rPr>
      </w:pPr>
      <w:r w:rsidRPr="00DD2701">
        <w:rPr>
          <w:rFonts w:ascii="Bookman Old Style" w:hAnsi="Bookman Old Style" w:cs="Arial"/>
          <w:i/>
          <w:color w:val="000000"/>
          <w:sz w:val="22"/>
          <w:szCs w:val="22"/>
          <w:lang w:val="es-CO"/>
        </w:rPr>
        <w:t xml:space="preserve">86.4. </w:t>
      </w:r>
      <w:r w:rsidRPr="00DD2701">
        <w:rPr>
          <w:rFonts w:ascii="Bookman Old Style" w:hAnsi="Bookman Old Style" w:cs="Arial"/>
          <w:i/>
          <w:color w:val="000000"/>
          <w:sz w:val="22"/>
          <w:szCs w:val="22"/>
          <w:u w:val="single"/>
          <w:lang w:val="es-CO"/>
        </w:rPr>
        <w:t>Las reglas relativas a procedimientos, metodologías, formulas, estructuras</w:t>
      </w:r>
      <w:r w:rsidRPr="00DD2701">
        <w:rPr>
          <w:rFonts w:ascii="Bookman Old Style" w:hAnsi="Bookman Old Style" w:cs="Arial"/>
          <w:i/>
          <w:color w:val="000000"/>
          <w:sz w:val="22"/>
          <w:szCs w:val="22"/>
          <w:lang w:val="es-CO"/>
        </w:rPr>
        <w:t xml:space="preserve">, estratos, facturación, </w:t>
      </w:r>
      <w:r w:rsidRPr="00DD2701">
        <w:rPr>
          <w:rFonts w:ascii="Bookman Old Style" w:hAnsi="Bookman Old Style" w:cs="Arial"/>
          <w:i/>
          <w:color w:val="000000"/>
          <w:sz w:val="22"/>
          <w:szCs w:val="22"/>
          <w:u w:val="single"/>
          <w:lang w:val="es-CO"/>
        </w:rPr>
        <w:t>opciones, valores</w:t>
      </w:r>
      <w:r w:rsidRPr="00DD2701">
        <w:rPr>
          <w:rFonts w:ascii="Bookman Old Style" w:hAnsi="Bookman Old Style" w:cs="Arial"/>
          <w:i/>
          <w:color w:val="000000"/>
          <w:sz w:val="22"/>
          <w:szCs w:val="22"/>
          <w:lang w:val="es-CO"/>
        </w:rPr>
        <w:t xml:space="preserve"> </w:t>
      </w:r>
      <w:r w:rsidRPr="00DD2701">
        <w:rPr>
          <w:rFonts w:ascii="Bookman Old Style" w:hAnsi="Bookman Old Style" w:cs="Arial"/>
          <w:b/>
          <w:i/>
          <w:color w:val="000000"/>
          <w:sz w:val="22"/>
          <w:szCs w:val="22"/>
          <w:u w:val="single"/>
          <w:lang w:val="es-CO"/>
        </w:rPr>
        <w:t>y, en general, todos los aspectos que determinan el cobro de las tarifas</w:t>
      </w:r>
      <w:r w:rsidRPr="00DD2701">
        <w:rPr>
          <w:rFonts w:ascii="Bookman Old Style" w:hAnsi="Bookman Old Style" w:cs="Arial"/>
          <w:i/>
          <w:color w:val="000000"/>
          <w:sz w:val="22"/>
          <w:szCs w:val="22"/>
          <w:lang w:val="es-CO"/>
        </w:rPr>
        <w:t>”.</w:t>
      </w:r>
    </w:p>
    <w:p w14:paraId="38D7ED7F"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14:paraId="4EBEFA87" w14:textId="77777777" w:rsidR="001C0019" w:rsidRPr="001954E9" w:rsidRDefault="001C0019" w:rsidP="001C0019">
      <w:pPr>
        <w:spacing w:before="240" w:after="240"/>
        <w:ind w:left="284" w:right="284"/>
        <w:jc w:val="both"/>
        <w:rPr>
          <w:rFonts w:ascii="Bookman Old Style" w:hAnsi="Bookman Old Style" w:cs="Arial"/>
          <w:color w:val="000000"/>
          <w:sz w:val="22"/>
          <w:szCs w:val="22"/>
          <w:lang w:val="es-CO"/>
        </w:rPr>
      </w:pPr>
      <w:r w:rsidRPr="00DD2701">
        <w:rPr>
          <w:rFonts w:ascii="Bookman Old Style" w:hAnsi="Bookman Old Style" w:cs="Arial"/>
          <w:i/>
          <w:color w:val="000000"/>
          <w:sz w:val="22"/>
          <w:szCs w:val="22"/>
          <w:lang w:val="es-CO"/>
        </w:rPr>
        <w:t>“</w:t>
      </w:r>
      <w:r w:rsidRPr="00DD2701">
        <w:rPr>
          <w:rFonts w:ascii="Bookman Old Style" w:hAnsi="Bookman Old Style" w:cs="Arial"/>
          <w:b/>
          <w:i/>
          <w:color w:val="000000"/>
          <w:sz w:val="22"/>
          <w:szCs w:val="22"/>
          <w:lang w:val="es-CO"/>
        </w:rPr>
        <w:t>Artículo 87. Criterios para definir el régimen tarifario.</w:t>
      </w:r>
      <w:r w:rsidRPr="00DD2701">
        <w:rPr>
          <w:rFonts w:ascii="Bookman Old Style" w:hAnsi="Bookman Old Style" w:cs="Arial"/>
          <w:i/>
          <w:color w:val="000000"/>
          <w:sz w:val="22"/>
          <w:szCs w:val="22"/>
          <w:lang w:val="es-CO"/>
        </w:rPr>
        <w:t xml:space="preserve"> </w:t>
      </w:r>
      <w:r w:rsidRPr="00DD2701">
        <w:rPr>
          <w:rFonts w:ascii="Bookman Old Style" w:hAnsi="Bookman Old Style" w:cs="Arial"/>
          <w:b/>
          <w:i/>
          <w:color w:val="000000"/>
          <w:sz w:val="22"/>
          <w:szCs w:val="22"/>
          <w:u w:val="single"/>
          <w:lang w:val="es-CO"/>
        </w:rPr>
        <w:t>El régimen tarifario estará orientado por los criterios</w:t>
      </w:r>
      <w:r w:rsidRPr="00DD2701">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DD2701">
        <w:rPr>
          <w:rFonts w:ascii="Bookman Old Style" w:hAnsi="Bookman Old Style" w:cs="Arial"/>
          <w:i/>
          <w:color w:val="000000"/>
          <w:sz w:val="22"/>
          <w:szCs w:val="22"/>
          <w:lang w:val="es-CO"/>
        </w:rPr>
        <w:t xml:space="preserve"> (…)”</w:t>
      </w:r>
      <w:r w:rsidRPr="001954E9">
        <w:rPr>
          <w:rFonts w:ascii="Bookman Old Style" w:hAnsi="Bookman Old Style" w:cs="Arial"/>
          <w:color w:val="000000"/>
          <w:sz w:val="22"/>
          <w:szCs w:val="22"/>
          <w:lang w:val="es-CO"/>
        </w:rPr>
        <w:t xml:space="preserve"> (Resaltado fuera de texto)</w:t>
      </w:r>
      <w:r>
        <w:rPr>
          <w:rFonts w:ascii="Bookman Old Style" w:hAnsi="Bookman Old Style" w:cs="Arial"/>
          <w:color w:val="000000"/>
          <w:sz w:val="22"/>
          <w:szCs w:val="22"/>
          <w:lang w:val="es-CO"/>
        </w:rPr>
        <w:t>.</w:t>
      </w:r>
    </w:p>
    <w:p w14:paraId="0F9DDB45"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estas normas se desprende entonces que le corresponde a las comisiones de regulación dar cumplimiento a los criterios tarifarios en aquellos aspectos definidos específicamente por el legislador y que hacen parte del régimen tarifario, como es el caso de los: i) procedimientos, ii) metodologías, iii) formulas, iv) estructuras, v) estratos, vi) facturación, vii) opciones, viii) valores; así como en aquellos eventos que de manera general se ajusten a un “aspecto que determine el cobro de las tarifas”, atendiendo el marco de sus competencias.</w:t>
      </w:r>
    </w:p>
    <w:p w14:paraId="35F1B1D2"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Es por esto que</w:t>
      </w:r>
      <w:r>
        <w:rPr>
          <w:rFonts w:ascii="Bookman Old Style" w:hAnsi="Bookman Old Style" w:cs="Arial"/>
          <w:color w:val="000000"/>
          <w:lang w:val="es-CO"/>
        </w:rPr>
        <w:t>,</w:t>
      </w:r>
      <w:r w:rsidRPr="001954E9">
        <w:rPr>
          <w:rFonts w:ascii="Bookman Old Style" w:hAnsi="Bookman Old Style" w:cs="Arial"/>
          <w:color w:val="000000"/>
          <w:lang w:val="es-CO"/>
        </w:rPr>
        <w:t xml:space="preserve"> de acuerdo con la Ley 142 de 1994, el cumplimiento de dichos criterios no se limita ni se circunscribe</w:t>
      </w:r>
      <w:r>
        <w:rPr>
          <w:rFonts w:ascii="Bookman Old Style" w:hAnsi="Bookman Old Style" w:cs="Arial"/>
          <w:color w:val="000000"/>
          <w:lang w:val="es-CO"/>
        </w:rPr>
        <w:t>,</w:t>
      </w:r>
      <w:r w:rsidRPr="001954E9">
        <w:rPr>
          <w:rFonts w:ascii="Bookman Old Style" w:hAnsi="Bookman Old Style" w:cs="Arial"/>
          <w:color w:val="000000"/>
          <w:lang w:val="es-CO"/>
        </w:rPr>
        <w:t xml:space="preserve"> de manera específica para el caso de las comisiones de regulación</w:t>
      </w:r>
      <w:r>
        <w:rPr>
          <w:rFonts w:ascii="Bookman Old Style" w:hAnsi="Bookman Old Style" w:cs="Arial"/>
          <w:color w:val="000000"/>
          <w:lang w:val="es-CO"/>
        </w:rPr>
        <w:t>,</w:t>
      </w:r>
      <w:r w:rsidRPr="001954E9">
        <w:rPr>
          <w:rFonts w:ascii="Bookman Old Style" w:hAnsi="Bookman Old Style" w:cs="Arial"/>
          <w:color w:val="000000"/>
          <w:lang w:val="es-CO"/>
        </w:rPr>
        <w:t xml:space="preserve"> a la definición de las metodologías y de las fórmulas que de estas hacen parte, ya que el mismo legislador le otorgó a las entidades que hacen parte del régimen de los servicios públicos domiciliarios</w:t>
      </w:r>
      <w:r>
        <w:rPr>
          <w:rFonts w:ascii="Bookman Old Style" w:hAnsi="Bookman Old Style" w:cs="Arial"/>
          <w:color w:val="000000"/>
          <w:lang w:val="es-CO"/>
        </w:rPr>
        <w:t>,</w:t>
      </w:r>
      <w:r w:rsidRPr="001954E9">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w:t>
      </w:r>
    </w:p>
    <w:p w14:paraId="143F9145" w14:textId="77777777" w:rsidR="001C001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w:t>
      </w:r>
      <w:r w:rsidRPr="001954E9">
        <w:rPr>
          <w:rFonts w:ascii="Bookman Old Style" w:hAnsi="Bookman Old Style" w:cs="Arial"/>
          <w:color w:val="000000"/>
          <w:lang w:val="es-CO"/>
        </w:rPr>
        <w:lastRenderedPageBreak/>
        <w:t xml:space="preserve">general o particular que se adelante, de dar cumplimiento a los criterios tarifarios previstos en el artículo 87 de la Ley 142 de 1994 en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970242">
        <w:rPr>
          <w:rFonts w:ascii="Bookman Old Style" w:hAnsi="Bookman Old Style" w:cs="Arial"/>
          <w:color w:val="000000"/>
          <w:lang w:val="es-CO"/>
        </w:rPr>
        <w:t>prestación eficiente del servicio.</w:t>
      </w:r>
    </w:p>
    <w:p w14:paraId="65B4BE95" w14:textId="77777777"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 xml:space="preserve">n el mismo sentido lo incluyó la Resolución CREG 202 de 2013, al señalar que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7"/>
      </w:r>
      <w:r>
        <w:rPr>
          <w:rFonts w:ascii="Bookman Old Style" w:hAnsi="Bookman Old Style"/>
          <w:bCs/>
        </w:rPr>
        <w:t>.</w:t>
      </w:r>
    </w:p>
    <w:p w14:paraId="62005502"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w:t>
      </w:r>
      <w:r>
        <w:rPr>
          <w:rFonts w:ascii="Bookman Old Style" w:hAnsi="Bookman Old Style" w:cs="Arial"/>
          <w:color w:val="000000"/>
          <w:lang w:val="es-CO"/>
        </w:rPr>
        <w:t>n los motivos que determina la l</w:t>
      </w:r>
      <w:r w:rsidRPr="001954E9">
        <w:rPr>
          <w:rFonts w:ascii="Bookman Old Style" w:hAnsi="Bookman Old Style" w:cs="Arial"/>
          <w:color w:val="000000"/>
          <w:lang w:val="es-CO"/>
        </w:rPr>
        <w:t>ey, los cuales deben ser comprobables, por lo que dicho fundamento está relacionado con la aplicación de los criterios tarifarios dentro de un aspecto específico, ya sea en un acto de carácter general o como parte de una decisión que deba ser adoptada dentro de una actuación administrativa.</w:t>
      </w:r>
    </w:p>
    <w:p w14:paraId="41CA29BC"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w:t>
      </w:r>
      <w:r>
        <w:rPr>
          <w:rFonts w:ascii="Bookman Old Style" w:hAnsi="Bookman Old Style" w:cs="Arial"/>
          <w:color w:val="000000"/>
          <w:lang w:val="es-CO"/>
        </w:rPr>
        <w:t>rminan el cobro de las tarifas.</w:t>
      </w:r>
    </w:p>
    <w:p w14:paraId="03AFDC61" w14:textId="77777777"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esta Comisión en relación con la forma en que se deben interpretar y aplicar aquellas disposiciones que atribuyen facultades regulatorias a esta Comisión en el marco de la Ley 142 de 1994, incluyendo aquellas en materia tarifaria;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 los principios legales, así como los principios constitucionales que guían las actuaciones administrativas de e</w:t>
      </w:r>
      <w:r>
        <w:rPr>
          <w:rFonts w:ascii="Bookman Old Style" w:hAnsi="Bookman Old Style" w:cs="Arial"/>
          <w:lang w:val="es-ES_tradnl"/>
        </w:rPr>
        <w:t>sta Comisión.</w:t>
      </w:r>
    </w:p>
    <w:p w14:paraId="0CA628DE" w14:textId="77777777"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w:t>
      </w:r>
      <w:r>
        <w:rPr>
          <w:rFonts w:ascii="Bookman Old Style" w:hAnsi="Bookman Old Style" w:cs="Arial"/>
          <w:lang w:val="es-ES_tradnl"/>
        </w:rPr>
        <w:t>a</w:t>
      </w:r>
      <w:r w:rsidRPr="001954E9">
        <w:rPr>
          <w:rFonts w:ascii="Bookman Old Style" w:hAnsi="Bookman Old Style" w:cs="Arial"/>
          <w:lang w:val="es-ES_tradnl"/>
        </w:rPr>
        <w:t xml:space="preserve">s </w:t>
      </w:r>
      <w:r>
        <w:rPr>
          <w:rFonts w:ascii="Bookman Old Style" w:hAnsi="Bookman Old Style" w:cs="Arial"/>
          <w:lang w:val="es-ES_tradnl"/>
        </w:rPr>
        <w:t>situaciones</w:t>
      </w:r>
      <w:r w:rsidRPr="001954E9">
        <w:rPr>
          <w:rFonts w:ascii="Bookman Old Style" w:hAnsi="Bookman Old Style" w:cs="Arial"/>
          <w:lang w:val="es-ES_tradnl"/>
        </w:rPr>
        <w:t xml:space="preserve">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8"/>
      </w:r>
      <w:r w:rsidRPr="001954E9">
        <w:rPr>
          <w:rFonts w:ascii="Bookman Old Style" w:hAnsi="Bookman Old Style" w:cs="Arial"/>
          <w:lang w:val="es-ES_tradnl"/>
        </w:rPr>
        <w:t xml:space="preserve">, así como en materia de </w:t>
      </w:r>
      <w:r w:rsidRPr="001954E9">
        <w:rPr>
          <w:rFonts w:ascii="Bookman Old Style" w:hAnsi="Bookman Old Style" w:cs="Arial"/>
          <w:lang w:val="es-ES_tradnl"/>
        </w:rPr>
        <w:lastRenderedPageBreak/>
        <w:t>resolución de conflictos a que hace referencia el numeral 10 del artículo 73 de la Ley 142 de 1994</w:t>
      </w:r>
      <w:r w:rsidRPr="001954E9">
        <w:rPr>
          <w:rStyle w:val="Refdenotaalpie"/>
          <w:rFonts w:ascii="Bookman Old Style" w:hAnsi="Bookman Old Style" w:cs="Arial"/>
          <w:lang w:val="es-ES_tradnl"/>
        </w:rPr>
        <w:footnoteReference w:id="9"/>
      </w:r>
      <w:r>
        <w:rPr>
          <w:rFonts w:ascii="Bookman Old Style" w:hAnsi="Bookman Old Style" w:cs="Arial"/>
          <w:lang w:val="es-ES_tradnl"/>
        </w:rPr>
        <w:t>.</w:t>
      </w:r>
    </w:p>
    <w:p w14:paraId="5D7A85E4" w14:textId="77777777"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 xml:space="preserve">Teniendo en cuenta la obligatoriedad de llevar a cabo la aplicación de los criterios tarifarios a </w:t>
      </w:r>
      <w:r w:rsidRPr="001954E9">
        <w:rPr>
          <w:rFonts w:ascii="Bookman Old Style" w:hAnsi="Bookman Old Style" w:cs="Arial"/>
          <w:color w:val="000000"/>
          <w:lang w:val="es-ES_tradnl"/>
        </w:rPr>
        <w:t>todos los aspectos que determinan el cobro de las tarifas, respe</w:t>
      </w:r>
      <w:r>
        <w:rPr>
          <w:rFonts w:ascii="Bookman Old Style" w:hAnsi="Bookman Old Style" w:cs="Arial"/>
          <w:color w:val="000000"/>
          <w:lang w:val="es-ES_tradnl"/>
        </w:rPr>
        <w:t>c</w:t>
      </w:r>
      <w:r w:rsidRPr="001954E9">
        <w:rPr>
          <w:rFonts w:ascii="Bookman Old Style" w:hAnsi="Bookman Old Style" w:cs="Arial"/>
          <w:color w:val="000000"/>
          <w:lang w:val="es-ES_tradnl"/>
        </w:rPr>
        <w:t>to del</w:t>
      </w:r>
      <w:r w:rsidRPr="001954E9">
        <w:rPr>
          <w:rFonts w:ascii="Bookman Old Style" w:hAnsi="Bookman Old Style" w:cs="Arial"/>
          <w:color w:val="000000"/>
          <w:lang w:val="es-CO"/>
        </w:rPr>
        <w:t xml:space="preserve"> criterio de eficiencia</w:t>
      </w:r>
      <w:r>
        <w:rPr>
          <w:rFonts w:ascii="Bookman Old Style" w:hAnsi="Bookman Old Style" w:cs="Arial"/>
          <w:color w:val="000000"/>
          <w:lang w:val="es-CO"/>
        </w:rPr>
        <w:t>,</w:t>
      </w:r>
      <w:r w:rsidRPr="001954E9">
        <w:rPr>
          <w:rFonts w:ascii="Bookman Old Style" w:hAnsi="Bookman Old Style" w:cs="Arial"/>
          <w:color w:val="000000"/>
          <w:lang w:val="es-CO"/>
        </w:rPr>
        <w:t xml:space="preserve"> el artículo 87.1 de la Ley 142 de 1994 lo ha definido de la siguiente forma:</w:t>
      </w:r>
    </w:p>
    <w:p w14:paraId="406F7357" w14:textId="77777777" w:rsidR="001C0019" w:rsidRPr="00DD2701" w:rsidRDefault="001C0019" w:rsidP="001C0019">
      <w:pPr>
        <w:spacing w:before="240" w:after="240"/>
        <w:ind w:left="284" w:right="284"/>
        <w:jc w:val="both"/>
        <w:rPr>
          <w:rFonts w:ascii="Bookman Old Style" w:hAnsi="Bookman Old Style" w:cs="Arial"/>
          <w:i/>
          <w:color w:val="000000"/>
          <w:sz w:val="22"/>
          <w:szCs w:val="22"/>
        </w:rPr>
      </w:pPr>
      <w:r w:rsidRPr="00DD2701">
        <w:rPr>
          <w:rFonts w:ascii="Bookman Old Style" w:hAnsi="Bookman Old Style" w:cs="Arial"/>
          <w:i/>
          <w:color w:val="000000"/>
          <w:sz w:val="22"/>
          <w:szCs w:val="22"/>
        </w:rPr>
        <w:t>“</w:t>
      </w:r>
      <w:r w:rsidRPr="00DD2701">
        <w:rPr>
          <w:rFonts w:ascii="Bookman Old Style" w:hAnsi="Bookman Old Style" w:cs="Arial"/>
          <w:b/>
          <w:i/>
          <w:color w:val="000000"/>
          <w:sz w:val="22"/>
          <w:szCs w:val="22"/>
        </w:rPr>
        <w:t>Artículo 87. Criterios para definir el régimen tarifario.</w:t>
      </w:r>
      <w:r w:rsidRPr="00DD2701">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w:t>
      </w:r>
    </w:p>
    <w:p w14:paraId="0EA89F95" w14:textId="77777777" w:rsidR="001C0019" w:rsidRPr="00DD2701" w:rsidRDefault="001C0019" w:rsidP="001C0019">
      <w:pPr>
        <w:spacing w:before="240" w:after="240"/>
        <w:ind w:left="284" w:right="284"/>
        <w:jc w:val="both"/>
        <w:rPr>
          <w:rFonts w:ascii="Bookman Old Style" w:hAnsi="Bookman Old Style" w:cs="Arial"/>
          <w:i/>
          <w:color w:val="000000"/>
          <w:sz w:val="22"/>
          <w:szCs w:val="22"/>
        </w:rPr>
      </w:pPr>
      <w:r w:rsidRPr="00DD2701">
        <w:rPr>
          <w:rFonts w:ascii="Bookman Old Style" w:hAnsi="Bookman Old Style" w:cs="Arial"/>
          <w:i/>
          <w:color w:val="000000"/>
          <w:sz w:val="22"/>
          <w:szCs w:val="22"/>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14:paraId="75FEDBD6" w14:textId="77777777"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w:t>
      </w:r>
      <w:r>
        <w:rPr>
          <w:rFonts w:ascii="Bookman Old Style" w:hAnsi="Bookman Old Style"/>
          <w:bCs/>
        </w:rPr>
        <w:t>nómicos de prestar el servicio.</w:t>
      </w:r>
    </w:p>
    <w:p w14:paraId="4D44903C" w14:textId="4C69B1A3" w:rsidR="001C0019" w:rsidRPr="001954E9" w:rsidRDefault="001C0019" w:rsidP="001C0019">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Pr="001954E9">
        <w:rPr>
          <w:rFonts w:ascii="Bookman Old Style" w:hAnsi="Bookman Old Style"/>
          <w:bCs/>
        </w:rPr>
        <w:t xml:space="preserve"> Es por esto que la definición de las formulas y los cargos o tarifas deben reflejar estos elementos previstos por la Ley 142 de 1994.</w:t>
      </w:r>
    </w:p>
    <w:p w14:paraId="5A5E326D" w14:textId="0A970CCA"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 finalidad constitucional de prestación eficiente en materia de servicios públicos domiciliarios</w:t>
      </w:r>
      <w:r w:rsidRPr="001954E9">
        <w:rPr>
          <w:rStyle w:val="Refdenotaalpie"/>
          <w:rFonts w:ascii="Bookman Old Style" w:eastAsia="Calibri" w:hAnsi="Bookman Old Style" w:cs="Arial"/>
          <w:lang w:val="es-ES_tradnl" w:eastAsia="en-US"/>
        </w:rPr>
        <w:footnoteReference w:id="10"/>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w:t>
      </w:r>
      <w:r w:rsidRPr="001954E9">
        <w:rPr>
          <w:rFonts w:ascii="Bookman Old Style" w:eastAsia="Calibri" w:hAnsi="Bookman Old Style" w:cs="Arial"/>
          <w:lang w:val="es-ES_tradnl" w:eastAsia="en-US"/>
        </w:rPr>
        <w:lastRenderedPageBreak/>
        <w:t>mejoramiento de la calidad de vida de las personas y por ello su prestación debe ser eficiente, donde el Estado mantendrá siempre su regulación, control y vigilancia, por lo que su régimen tarifario consultará además los criterios de costos, los de solidaridad y redistribución de ingresos. De acuerdo con lo anterior, es deber del Estado asegurar su prestación eficiente.</w:t>
      </w:r>
    </w:p>
    <w:p w14:paraId="6AC15743" w14:textId="0A734C38"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006560">
        <w:rPr>
          <w:rFonts w:ascii="Bookman Old Style" w:eastAsia="Calibri" w:hAnsi="Bookman Old Style" w:cs="Arial"/>
          <w:lang w:val="es-ES_tradnl" w:eastAsia="en-US"/>
        </w:rPr>
        <w:t>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a cada empresa en su remuneración,</w:t>
      </w:r>
      <w:r w:rsidR="000766B8" w:rsidRPr="00006560">
        <w:rPr>
          <w:rFonts w:ascii="Bookman Old Style" w:eastAsia="Calibri" w:hAnsi="Bookman Old Style" w:cs="Arial"/>
          <w:lang w:val="es-ES_tradnl" w:eastAsia="en-US"/>
        </w:rPr>
        <w:t xml:space="preserve"> </w:t>
      </w:r>
      <w:r w:rsidRPr="00006560">
        <w:rPr>
          <w:rFonts w:ascii="Bookman Old Style" w:eastAsia="Calibri" w:hAnsi="Bookman Old Style" w:cs="Arial"/>
          <w:lang w:val="es-ES_tradnl" w:eastAsia="en-US"/>
        </w:rPr>
        <w:t>se le debe permitir recuperar los costos eficientes en que incurran, así como tener en cuenta los aumentos de productividad esperados, los cuales deben distribuirse entre la empresa y los usuarios, con el objetivo de tener mayor competitividad y mejores condiciones para los usuarios.</w:t>
      </w:r>
    </w:p>
    <w:p w14:paraId="163D931D" w14:textId="77777777"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w:t>
      </w:r>
      <w:r>
        <w:rPr>
          <w:rFonts w:ascii="Bookman Old Style" w:eastAsia="Calibri" w:hAnsi="Bookman Old Style" w:cs="Arial"/>
          <w:lang w:val="es-ES_tradnl" w:eastAsia="en-US"/>
        </w:rPr>
        <w:t>el</w:t>
      </w:r>
      <w:r w:rsidRPr="001954E9">
        <w:rPr>
          <w:rFonts w:ascii="Bookman Old Style" w:eastAsia="Calibri" w:hAnsi="Bookman Old Style" w:cs="Arial"/>
          <w:lang w:val="es-ES_tradnl" w:eastAsia="en-US"/>
        </w:rPr>
        <w:t xml:space="preserve"> principio de suficiencia financiera. Por tanto, debe reflejar los costos y gastos propios de la operación. Es por esto que la tarifa que se paga por la prestación de un servicio público domiciliario está vinculada no sólo con el nivel de consumo del usuario, sino con los costos eficientes en que incurre la empresa respectiva para poder brindar el bien o servicio en condiciones de competitividad y está determinada por el beneficio que finalmente recibe el usuario.</w:t>
      </w:r>
    </w:p>
    <w:p w14:paraId="534176FB" w14:textId="5D534D1E" w:rsidR="001C0019" w:rsidRPr="001954E9" w:rsidRDefault="001C0019" w:rsidP="001C0019">
      <w:pPr>
        <w:spacing w:before="240" w:after="240"/>
        <w:ind w:left="0"/>
        <w:jc w:val="both"/>
        <w:rPr>
          <w:rFonts w:ascii="Bookman Old Style" w:hAnsi="Bookman Old Style" w:cs="Arial"/>
          <w:color w:val="000000"/>
        </w:rPr>
      </w:pPr>
      <w:r w:rsidRPr="00006560">
        <w:rPr>
          <w:rFonts w:ascii="Bookman Old Style" w:hAnsi="Bookman Old Style" w:cs="Arial"/>
          <w:color w:val="000000"/>
        </w:rPr>
        <w:t>De acuerdo con esto, se debe garantizar</w:t>
      </w:r>
      <w:r w:rsidR="000766B8" w:rsidRPr="00006560">
        <w:rPr>
          <w:rFonts w:ascii="Bookman Old Style" w:hAnsi="Bookman Old Style" w:cs="Arial"/>
          <w:color w:val="000000"/>
        </w:rPr>
        <w:t>,</w:t>
      </w:r>
      <w:r w:rsidRPr="00006560">
        <w:rPr>
          <w:rFonts w:ascii="Bookman Old Style" w:hAnsi="Bookman Old Style" w:cs="Arial"/>
          <w:color w:val="000000"/>
        </w:rPr>
        <w:t xml:space="preserve"> dentro de la remuneración de las tarifas</w:t>
      </w:r>
      <w:r w:rsidR="000766B8" w:rsidRPr="00006560">
        <w:rPr>
          <w:rFonts w:ascii="Bookman Old Style" w:hAnsi="Bookman Old Style" w:cs="Arial"/>
          <w:color w:val="000000"/>
        </w:rPr>
        <w:t>,</w:t>
      </w:r>
      <w:r w:rsidRPr="00006560">
        <w:rPr>
          <w:rFonts w:ascii="Bookman Old Style" w:hAnsi="Bookman Old Style" w:cs="Arial"/>
          <w:color w:val="000000"/>
        </w:rPr>
        <w:t xml:space="preserve"> la prestación continúa e ininterrumpida del servicio, con el reconocimiento de costos actualizados.</w:t>
      </w:r>
    </w:p>
    <w:p w14:paraId="117E64E9" w14:textId="77777777" w:rsidR="001C0019" w:rsidRPr="001954E9" w:rsidRDefault="001C0019" w:rsidP="001C0019">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12"/>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funciones socialmente apreciadas; iv) que los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Pr="001954E9">
        <w:rPr>
          <w:rFonts w:ascii="Bookman Old Style" w:eastAsia="Calibri" w:hAnsi="Bookman Old Style" w:cs="Arial"/>
          <w:lang w:val="es-CO" w:eastAsia="en-US"/>
        </w:rPr>
        <w:t>que dicho activo o gasto pueda estar destinado para la prestación del servicio,</w:t>
      </w:r>
      <w:r>
        <w:rPr>
          <w:rFonts w:ascii="Bookman Old Style" w:eastAsia="Calibri" w:hAnsi="Bookman Old Style" w:cs="Arial"/>
          <w:lang w:val="es-CO" w:eastAsia="en-US"/>
        </w:rPr>
        <w:t xml:space="preserve"> con lo cual se</w:t>
      </w:r>
      <w:r w:rsidRPr="001954E9">
        <w:rPr>
          <w:rFonts w:ascii="Bookman Old Style" w:eastAsia="Calibri" w:hAnsi="Bookman Old Style" w:cs="Arial"/>
          <w:lang w:val="es-CO" w:eastAsia="en-US"/>
        </w:rPr>
        <w:t xml:space="preserve"> </w:t>
      </w:r>
      <w:r w:rsidRPr="00006560">
        <w:rPr>
          <w:rFonts w:ascii="Bookman Old Style" w:eastAsia="Calibri" w:hAnsi="Bookman Old Style" w:cs="Arial"/>
          <w:lang w:val="es-CO" w:eastAsia="en-US"/>
        </w:rPr>
        <w:t>estaría actuando en contra de la Ley y la regulación.</w:t>
      </w:r>
    </w:p>
    <w:p w14:paraId="38F1FD6F" w14:textId="77777777"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Es por esto que las decisiones que adopten</w:t>
      </w:r>
      <w:r>
        <w:rPr>
          <w:rFonts w:ascii="Bookman Old Style" w:hAnsi="Bookman Old Style" w:cs="Arial"/>
          <w:color w:val="000000"/>
        </w:rPr>
        <w:t xml:space="preserve"> la comisiones de regulación</w:t>
      </w:r>
      <w:r w:rsidRPr="001954E9">
        <w:rPr>
          <w:rFonts w:ascii="Bookman Old Style" w:hAnsi="Bookman Old Style" w:cs="Arial"/>
          <w:color w:val="000000"/>
        </w:rPr>
        <w:t xml:space="preserve"> atendiendo </w:t>
      </w:r>
      <w:r>
        <w:rPr>
          <w:rFonts w:ascii="Bookman Old Style" w:hAnsi="Bookman Old Style" w:cs="Arial"/>
          <w:color w:val="000000"/>
        </w:rPr>
        <w:t xml:space="preserve">el </w:t>
      </w:r>
      <w:r w:rsidRPr="001954E9">
        <w:rPr>
          <w:rFonts w:ascii="Bookman Old Style" w:hAnsi="Bookman Old Style" w:cs="Arial"/>
          <w:color w:val="000000"/>
        </w:rPr>
        <w:t xml:space="preserve">análisis </w:t>
      </w:r>
      <w:r>
        <w:rPr>
          <w:rFonts w:ascii="Bookman Old Style" w:hAnsi="Bookman Old Style" w:cs="Arial"/>
          <w:color w:val="000000"/>
        </w:rPr>
        <w:t xml:space="preserve">previo realizado por la Corte Constitucional, </w:t>
      </w:r>
      <w:r w:rsidRPr="001954E9">
        <w:rPr>
          <w:rFonts w:ascii="Bookman Old Style" w:hAnsi="Bookman Old Style" w:cs="Arial"/>
          <w:color w:val="000000"/>
        </w:rPr>
        <w:t xml:space="preserve">permiten </w:t>
      </w:r>
      <w:r w:rsidRPr="001954E9">
        <w:rPr>
          <w:rFonts w:ascii="Bookman Old Style" w:eastAsia="Calibri" w:hAnsi="Bookman Old Style" w:cs="Arial"/>
          <w:lang w:val="es-ES_tradnl" w:eastAsia="en-US"/>
        </w:rPr>
        <w:t xml:space="preserve">garantizar los postulados de equilibrio de las relaciones que deben existir entre usuarios y las empresas, las cuales se materializan en la prestación eficiente del servicio, lo que permite la efectividad de los derechos fundamentales y el interés </w:t>
      </w:r>
      <w:r w:rsidRPr="001954E9">
        <w:rPr>
          <w:rFonts w:ascii="Bookman Old Style" w:eastAsia="Calibri" w:hAnsi="Bookman Old Style" w:cs="Arial"/>
          <w:lang w:val="es-ES_tradnl" w:eastAsia="en-US"/>
        </w:rPr>
        <w:lastRenderedPageBreak/>
        <w:t>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13"/>
      </w:r>
      <w:r w:rsidRPr="001954E9">
        <w:rPr>
          <w:rFonts w:ascii="Bookman Old Style" w:eastAsia="Calibri" w:hAnsi="Bookman Old Style" w:cs="Arial"/>
          <w:lang w:val="es-ES_tradnl" w:eastAsia="en-US"/>
        </w:rPr>
        <w:t>.</w:t>
      </w:r>
    </w:p>
    <w:p w14:paraId="36946D68" w14:textId="0E03F189" w:rsidR="001C0019" w:rsidRDefault="001C0019" w:rsidP="001C0019">
      <w:pPr>
        <w:spacing w:before="240" w:after="240"/>
        <w:ind w:left="0" w:right="-93"/>
        <w:jc w:val="both"/>
        <w:rPr>
          <w:rFonts w:ascii="Bookman Old Style" w:hAnsi="Bookman Old Style" w:cs="Arial"/>
          <w:color w:val="000000"/>
        </w:rPr>
      </w:pPr>
      <w:r w:rsidRPr="00006560">
        <w:rPr>
          <w:rFonts w:ascii="Bookman Old Style" w:hAnsi="Bookman Old Style" w:cs="Arial"/>
          <w:color w:val="000000"/>
        </w:rPr>
        <w:t>Se concluye entonces que le corresponde a esta Comisión garantizar la prestación continúa e ininterrumpida del servicio, estableciéndole a las empresas criterios de remuneración de su actividad actualizados.</w:t>
      </w:r>
    </w:p>
    <w:p w14:paraId="5EBF7BB8" w14:textId="00B5F89B" w:rsidR="00526A24" w:rsidRPr="00930A2B" w:rsidRDefault="00526A24" w:rsidP="00526A24">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674CED">
        <w:rPr>
          <w:rFonts w:ascii="Bookman Old Style" w:hAnsi="Bookman Old Style" w:cs="Arial"/>
          <w:b/>
          <w:sz w:val="24"/>
          <w:szCs w:val="24"/>
        </w:rPr>
        <w:t xml:space="preserve">Análisis de la solicitud tarifaria presentada por la empresa </w:t>
      </w:r>
      <w:r w:rsidR="006423C2" w:rsidRPr="00674CED">
        <w:rPr>
          <w:rFonts w:ascii="Bookman Old Style" w:hAnsi="Bookman Old Style" w:cs="Arial"/>
          <w:b/>
          <w:sz w:val="24"/>
          <w:szCs w:val="24"/>
        </w:rPr>
        <w:t>SURCOLOMBIANA DE GAS S.A. E.S.P.</w:t>
      </w:r>
      <w:r w:rsidRPr="00674CED">
        <w:rPr>
          <w:rFonts w:ascii="Bookman Old Style" w:hAnsi="Bookman Old Style" w:cs="Arial"/>
          <w:b/>
          <w:sz w:val="24"/>
          <w:szCs w:val="24"/>
        </w:rPr>
        <w:t xml:space="preserve"> y</w:t>
      </w:r>
      <w:r w:rsidRPr="00930A2B">
        <w:rPr>
          <w:rFonts w:ascii="Bookman Old Style" w:hAnsi="Bookman Old Style" w:cs="Arial"/>
          <w:b/>
          <w:sz w:val="24"/>
          <w:szCs w:val="24"/>
        </w:rPr>
        <w:t xml:space="preserve"> la definición de los cargos transitorios para la actividad de distribución de gas combustible por redes de tubería</w:t>
      </w:r>
    </w:p>
    <w:p w14:paraId="72FA25CC" w14:textId="7E7167EE"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14:paraId="0188E8CB" w14:textId="5778182E" w:rsidR="00526A24"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 xml:space="preserve">Esta metodología </w:t>
      </w:r>
      <w:r w:rsidR="00C965A0" w:rsidRPr="00006560">
        <w:rPr>
          <w:rFonts w:ascii="Bookman Old Style" w:hAnsi="Bookman Old Style" w:cs="Arial"/>
          <w:color w:val="000000"/>
        </w:rPr>
        <w:t xml:space="preserve">tarifaria </w:t>
      </w:r>
      <w:r w:rsidRPr="00006560">
        <w:rPr>
          <w:rFonts w:ascii="Bookman Old Style" w:hAnsi="Bookman Old Style" w:cs="Arial"/>
          <w:color w:val="000000"/>
        </w:rPr>
        <w:t xml:space="preserve">es de precio máximo, </w:t>
      </w:r>
      <w:r w:rsidR="00C965A0" w:rsidRPr="00006560">
        <w:rPr>
          <w:rFonts w:ascii="Bookman Old Style" w:hAnsi="Bookman Old Style" w:cs="Arial"/>
          <w:color w:val="000000"/>
        </w:rPr>
        <w:t>es decir, que la Comisión aprueba los cargos de dis</w:t>
      </w:r>
      <w:r w:rsidRPr="00006560">
        <w:rPr>
          <w:rFonts w:ascii="Bookman Old Style" w:hAnsi="Bookman Old Style" w:cs="Arial"/>
          <w:color w:val="000000"/>
        </w:rPr>
        <w:t>tribución que son calculados a partir de costos medios históricos para mercados existentes o costos medios de mediano plazo par</w:t>
      </w:r>
      <w:r w:rsidR="00C965A0" w:rsidRPr="00006560">
        <w:rPr>
          <w:rFonts w:ascii="Bookman Old Style" w:hAnsi="Bookman Old Style" w:cs="Arial"/>
          <w:color w:val="000000"/>
        </w:rPr>
        <w:t xml:space="preserve">a mercados o poblaciones nuevas. Con estos precios máximos </w:t>
      </w:r>
      <w:r w:rsidRPr="00006560">
        <w:rPr>
          <w:rFonts w:ascii="Bookman Old Style" w:hAnsi="Bookman Old Style" w:cs="Arial"/>
          <w:color w:val="000000"/>
        </w:rPr>
        <w:t>se remuneran las inversiones existentes para la demanda real y el programa de inversiones diseñado para una demanda futura, según corresponda.</w:t>
      </w:r>
    </w:p>
    <w:p w14:paraId="3D2EA944" w14:textId="7198ED1E"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señalada reconoce las inversiones eficientes, de las cuales hace</w:t>
      </w:r>
      <w:r w:rsidR="008D0594" w:rsidRPr="00006560">
        <w:rPr>
          <w:rFonts w:ascii="Bookman Old Style" w:hAnsi="Bookman Old Style" w:cs="Arial"/>
          <w:color w:val="000000"/>
        </w:rPr>
        <w:t>n</w:t>
      </w:r>
      <w:r w:rsidRPr="00006560">
        <w:rPr>
          <w:rFonts w:ascii="Bookman Old Style" w:hAnsi="Bookman Old Style" w:cs="Arial"/>
          <w:color w:val="000000"/>
        </w:rPr>
        <w:t xml:space="preserve"> parte la inversión base que corresponde a la inversión en activos existentes a</w:t>
      </w:r>
      <w:r w:rsidR="00A105BE">
        <w:rPr>
          <w:rFonts w:ascii="Bookman Old Style" w:hAnsi="Bookman Old Style" w:cs="Arial"/>
          <w:color w:val="000000"/>
        </w:rPr>
        <w:t xml:space="preserve"> </w:t>
      </w:r>
      <w:r w:rsidR="007A12A2">
        <w:rPr>
          <w:rFonts w:ascii="Bookman Old Style" w:hAnsi="Bookman Old Style" w:cs="Arial"/>
          <w:color w:val="000000"/>
        </w:rPr>
        <w:t>diciembre de 2014</w:t>
      </w:r>
      <w:r w:rsidRPr="00006560">
        <w:rPr>
          <w:rFonts w:ascii="Bookman Old Style" w:hAnsi="Bookman Old Style" w:cs="Arial"/>
          <w:color w:val="000000"/>
        </w:rPr>
        <w:t xml:space="preserve"> o el programa de inversiones que propone ejecutar el distribuidor en el periodo tarifario. La valoración de los activos se hace a través de los costos eficientes que se han determinado previamente para las unidades constructivas y que se encuentran señaladas en las Resolución CREG 202 de 2013.</w:t>
      </w:r>
    </w:p>
    <w:p w14:paraId="422059D0" w14:textId="77777777"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Es de indicar que de acuerdo con la metodología se establece un cargo de distribución para usuarios residenciales y otro para usuarios de uso diferente al residencial. Con este último las empresas podrán estructurar una canasta de tarifas por tipo de usuario y rangos de consumo.</w:t>
      </w:r>
    </w:p>
    <w:p w14:paraId="260BFDC6" w14:textId="77777777" w:rsidR="00DE17D9" w:rsidRDefault="00DE17D9" w:rsidP="00DE17D9">
      <w:pPr>
        <w:ind w:left="0" w:right="-93"/>
        <w:jc w:val="both"/>
        <w:rPr>
          <w:rFonts w:ascii="Bookman Old Style" w:hAnsi="Bookman Old Style" w:cs="Arial"/>
          <w:bCs/>
          <w:lang w:val="es-ES_tradnl"/>
        </w:rPr>
      </w:pPr>
    </w:p>
    <w:p w14:paraId="686628A0" w14:textId="48E964E9" w:rsidR="00D554D3" w:rsidRPr="00006560" w:rsidRDefault="00526A24" w:rsidP="00D334AC">
      <w:pPr>
        <w:spacing w:after="240"/>
        <w:ind w:left="0" w:right="-93"/>
        <w:jc w:val="both"/>
        <w:rPr>
          <w:rFonts w:ascii="Bookman Old Style" w:hAnsi="Bookman Old Style" w:cs="Arial"/>
          <w:bCs/>
          <w:lang w:val="es-ES_tradnl"/>
        </w:rPr>
      </w:pPr>
      <w:r w:rsidRPr="00006560">
        <w:rPr>
          <w:rFonts w:ascii="Bookman Old Style" w:hAnsi="Bookman Old Style" w:cs="Arial"/>
          <w:bCs/>
          <w:lang w:val="es-ES_tradnl"/>
        </w:rPr>
        <w:t>De acuerdo con lo anterior y como parte de la aplicación de la metodología de la Resolución CREG 202 de 2013, así como de los criterios tarifarios previstos en el artículo 87 de la Ley 142 de 1994 y el esquema de incentivos para la actividad de distribución de gas combustible, le corresp</w:t>
      </w:r>
      <w:r w:rsidR="008D0594" w:rsidRPr="00006560">
        <w:rPr>
          <w:rFonts w:ascii="Bookman Old Style" w:hAnsi="Bookman Old Style" w:cs="Arial"/>
          <w:bCs/>
          <w:lang w:val="es-ES_tradnl"/>
        </w:rPr>
        <w:t>onde a la CREG establecer: i) m</w:t>
      </w:r>
      <w:r w:rsidRPr="00006560">
        <w:rPr>
          <w:rFonts w:ascii="Bookman Old Style" w:hAnsi="Bookman Old Style" w:cs="Arial"/>
          <w:bCs/>
          <w:lang w:val="es-ES_tradnl"/>
        </w:rPr>
        <w:t xml:space="preserve">ercado relevante de distribución para el siguiente periodo tarifario y para </w:t>
      </w:r>
      <w:r w:rsidR="008D5FBD">
        <w:rPr>
          <w:rFonts w:ascii="Bookman Old Style" w:hAnsi="Bookman Old Style" w:cs="Arial"/>
          <w:bCs/>
          <w:lang w:val="es-ES_tradnl"/>
        </w:rPr>
        <w:t>e</w:t>
      </w:r>
      <w:r w:rsidRPr="00006560">
        <w:rPr>
          <w:rFonts w:ascii="Bookman Old Style" w:hAnsi="Bookman Old Style" w:cs="Arial"/>
          <w:bCs/>
          <w:lang w:val="es-ES_tradnl"/>
        </w:rPr>
        <w:t>l cual se le definirán cargos transitorios de distribución; ii) las demandas de volumen en metros cúbicos de cada mercado; iii) el valor eficiente de las inversiones a reconocer, incluyendo la inversión base y el programa de nuevas inversiones, donde se</w:t>
      </w:r>
      <w:r w:rsidR="002E43DD">
        <w:rPr>
          <w:rFonts w:ascii="Bookman Old Style" w:hAnsi="Bookman Old Style" w:cs="Arial"/>
          <w:bCs/>
          <w:lang w:val="es-ES_tradnl"/>
        </w:rPr>
        <w:t>a</w:t>
      </w:r>
      <w:r w:rsidRPr="00006560">
        <w:rPr>
          <w:rFonts w:ascii="Bookman Old Style" w:hAnsi="Bookman Old Style" w:cs="Arial"/>
          <w:bCs/>
          <w:lang w:val="es-ES_tradnl"/>
        </w:rPr>
        <w:t xml:space="preserve"> aplicable, así como; iv) los valores eficientes de los gastos de AOM y otros activos</w:t>
      </w:r>
      <w:r w:rsidR="00FE414D">
        <w:rPr>
          <w:rFonts w:ascii="Bookman Old Style" w:hAnsi="Bookman Old Style" w:cs="Arial"/>
          <w:bCs/>
          <w:lang w:val="es-ES_tradnl"/>
        </w:rPr>
        <w:t xml:space="preserve">; v) Factor de </w:t>
      </w:r>
      <w:r w:rsidR="00566950">
        <w:rPr>
          <w:rFonts w:ascii="Bookman Old Style" w:hAnsi="Bookman Old Style" w:cs="Arial"/>
          <w:bCs/>
          <w:lang w:val="es-ES_tradnl"/>
        </w:rPr>
        <w:t>U</w:t>
      </w:r>
      <w:r w:rsidR="00FE414D">
        <w:rPr>
          <w:rFonts w:ascii="Bookman Old Style" w:hAnsi="Bookman Old Style" w:cs="Arial"/>
          <w:bCs/>
          <w:lang w:val="es-ES_tradnl"/>
        </w:rPr>
        <w:t xml:space="preserve">so </w:t>
      </w:r>
      <w:r w:rsidR="00566950">
        <w:rPr>
          <w:rFonts w:ascii="Bookman Old Style" w:hAnsi="Bookman Old Style" w:cs="Arial"/>
          <w:bCs/>
          <w:lang w:val="es-ES_tradnl"/>
        </w:rPr>
        <w:t>E</w:t>
      </w:r>
      <w:r w:rsidR="00FE414D">
        <w:rPr>
          <w:rFonts w:ascii="Bookman Old Style" w:hAnsi="Bookman Old Style" w:cs="Arial"/>
          <w:bCs/>
          <w:lang w:val="es-ES_tradnl"/>
        </w:rPr>
        <w:t xml:space="preserve">ficiente de redes; vi) </w:t>
      </w:r>
      <w:r w:rsidR="00566950">
        <w:rPr>
          <w:rFonts w:ascii="Bookman Old Style" w:hAnsi="Bookman Old Style" w:cs="Arial"/>
          <w:bCs/>
          <w:lang w:val="es-ES_tradnl"/>
        </w:rPr>
        <w:t>i</w:t>
      </w:r>
      <w:r w:rsidR="00D554D3" w:rsidRPr="00D554D3">
        <w:rPr>
          <w:rFonts w:ascii="Bookman Old Style" w:hAnsi="Bookman Old Style" w:cs="Arial"/>
          <w:bCs/>
          <w:lang w:val="es-ES_tradnl"/>
        </w:rPr>
        <w:t>mplementación del esquema de descuentos en los casos de submercados en los que se invirtieron recursos públicos.</w:t>
      </w:r>
    </w:p>
    <w:p w14:paraId="3796CBB8" w14:textId="5322058D" w:rsidR="00526A24" w:rsidRPr="00006560" w:rsidRDefault="00526A24" w:rsidP="00526A24">
      <w:pPr>
        <w:spacing w:before="240" w:after="240"/>
        <w:ind w:left="0" w:right="-93"/>
        <w:jc w:val="both"/>
        <w:rPr>
          <w:rFonts w:ascii="Bookman Old Style" w:hAnsi="Bookman Old Style" w:cs="Arial"/>
          <w:bCs/>
          <w:lang w:val="es-ES_tradnl"/>
        </w:rPr>
      </w:pPr>
      <w:r w:rsidRPr="00006560">
        <w:rPr>
          <w:rFonts w:ascii="Bookman Old Style" w:hAnsi="Bookman Old Style" w:cs="Arial"/>
          <w:bCs/>
          <w:lang w:val="es-ES_tradnl"/>
        </w:rPr>
        <w:t>Se debe tener en cuenta que dentro de la remuneración de esta actividad, el regulador fija una tarifa máxima para cada mercado relevante de distribución, definiendo el valor eficiente de las inversiones y de los gastos de AOM para una demanda real o futura</w:t>
      </w:r>
      <w:r w:rsidR="001E3379" w:rsidRPr="00006560">
        <w:rPr>
          <w:rFonts w:ascii="Bookman Old Style" w:hAnsi="Bookman Old Style" w:cs="Arial"/>
          <w:bCs/>
          <w:lang w:val="es-ES_tradnl"/>
        </w:rPr>
        <w:t xml:space="preserve"> por un periodo tarifario E</w:t>
      </w:r>
      <w:r w:rsidRPr="00006560">
        <w:rPr>
          <w:rFonts w:ascii="Bookman Old Style" w:hAnsi="Bookman Old Style" w:cs="Arial"/>
          <w:bCs/>
          <w:lang w:val="es-ES_tradnl"/>
        </w:rPr>
        <w:t>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w:t>
      </w:r>
    </w:p>
    <w:p w14:paraId="665F330A" w14:textId="77777777" w:rsidR="00526A24" w:rsidRPr="00930A2B"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Conformación del Mercado relevante de distribución para el siguiente periodo tarifario</w:t>
      </w:r>
    </w:p>
    <w:p w14:paraId="6D35EBB5" w14:textId="00F5B25B" w:rsidR="00526A24" w:rsidRDefault="00526A24" w:rsidP="00526A24">
      <w:pPr>
        <w:spacing w:before="240" w:after="240"/>
        <w:ind w:left="0"/>
        <w:jc w:val="both"/>
        <w:rPr>
          <w:rFonts w:ascii="Bookman Old Style" w:hAnsi="Bookman Old Style"/>
          <w:lang w:val="es-ES_tradnl"/>
        </w:rPr>
      </w:pPr>
      <w:r w:rsidRPr="001954E9">
        <w:rPr>
          <w:rFonts w:ascii="Bookman Old Style" w:hAnsi="Bookman Old Style"/>
          <w:lang w:val="es-ES_tradnl"/>
        </w:rPr>
        <w:t xml:space="preserve">El Mercado Relevante de Distribución para el siguiente período tarifario solicitado por la </w:t>
      </w:r>
      <w:r w:rsidRPr="00BB4763">
        <w:rPr>
          <w:rFonts w:ascii="Bookman Old Style" w:hAnsi="Bookman Old Style"/>
          <w:lang w:val="es-ES_tradnl"/>
        </w:rPr>
        <w:t xml:space="preserve">empresa </w:t>
      </w:r>
      <w:r w:rsidR="006423C2" w:rsidRPr="00BB4763">
        <w:rPr>
          <w:rFonts w:ascii="Bookman Old Style" w:hAnsi="Bookman Old Style"/>
          <w:lang w:val="es-ES_tradnl"/>
        </w:rPr>
        <w:t>SURCOLOMBIANA DE GAS S.A. E.S.P.</w:t>
      </w:r>
      <w:r w:rsidRPr="00BB4763">
        <w:rPr>
          <w:rFonts w:ascii="Bookman Old Style" w:hAnsi="Bookman Old Style"/>
          <w:lang w:val="es-ES_tradnl"/>
        </w:rPr>
        <w:t xml:space="preserve"> está conformado por </w:t>
      </w:r>
      <w:r w:rsidR="00674CED" w:rsidRPr="00BB4763">
        <w:rPr>
          <w:rFonts w:ascii="Bookman Old Style" w:hAnsi="Bookman Old Style"/>
          <w:lang w:val="es-ES_tradnl"/>
        </w:rPr>
        <w:t>los siguientes mercado</w:t>
      </w:r>
      <w:r w:rsidRPr="00BB4763">
        <w:rPr>
          <w:rFonts w:ascii="Bookman Old Style" w:hAnsi="Bookman Old Style"/>
          <w:lang w:val="es-ES_tradnl"/>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0"/>
        <w:gridCol w:w="1761"/>
        <w:gridCol w:w="1419"/>
        <w:gridCol w:w="1892"/>
        <w:gridCol w:w="1793"/>
        <w:gridCol w:w="1271"/>
      </w:tblGrid>
      <w:tr w:rsidR="002B5448" w:rsidRPr="009726F2" w14:paraId="457DDB3B" w14:textId="77777777" w:rsidTr="00DD2701">
        <w:trPr>
          <w:trHeight w:val="563"/>
          <w:tblHeader/>
          <w:jc w:val="center"/>
        </w:trPr>
        <w:tc>
          <w:tcPr>
            <w:tcW w:w="648" w:type="pct"/>
            <w:shd w:val="clear" w:color="auto" w:fill="D9D9D9" w:themeFill="background1" w:themeFillShade="D9"/>
            <w:vAlign w:val="center"/>
          </w:tcPr>
          <w:p w14:paraId="48A0803B" w14:textId="77777777" w:rsidR="002B5448" w:rsidRPr="009726F2" w:rsidRDefault="002B5448" w:rsidP="00AF7F9F">
            <w:pPr>
              <w:ind w:left="0"/>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No. Mercado relevante</w:t>
            </w:r>
          </w:p>
        </w:tc>
        <w:tc>
          <w:tcPr>
            <w:tcW w:w="942" w:type="pct"/>
            <w:shd w:val="clear" w:color="auto" w:fill="D9D9D9" w:themeFill="background1" w:themeFillShade="D9"/>
            <w:vAlign w:val="center"/>
          </w:tcPr>
          <w:p w14:paraId="0A4029B1" w14:textId="0EABD046" w:rsidR="002B5448" w:rsidRPr="009726F2" w:rsidRDefault="002B5448" w:rsidP="00AF7F9F">
            <w:pPr>
              <w:ind w:left="0" w:hanging="13"/>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Resolución CREG</w:t>
            </w:r>
          </w:p>
        </w:tc>
        <w:tc>
          <w:tcPr>
            <w:tcW w:w="759" w:type="pct"/>
            <w:shd w:val="clear" w:color="auto" w:fill="D9D9D9" w:themeFill="background1" w:themeFillShade="D9"/>
            <w:vAlign w:val="center"/>
            <w:hideMark/>
          </w:tcPr>
          <w:p w14:paraId="04673FB7" w14:textId="77777777" w:rsidR="00AF7F9F" w:rsidRDefault="002B5448" w:rsidP="00AF7F9F">
            <w:pPr>
              <w:ind w:left="0" w:hanging="13"/>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C</w:t>
            </w:r>
            <w:r>
              <w:rPr>
                <w:rFonts w:ascii="Bookman Old Style" w:hAnsi="Bookman Old Style" w:cs="Arial"/>
                <w:b/>
                <w:bCs/>
                <w:color w:val="000000"/>
                <w:sz w:val="22"/>
                <w:szCs w:val="20"/>
                <w:lang w:val="es-CO" w:eastAsia="es-CO"/>
              </w:rPr>
              <w:t>ó</w:t>
            </w:r>
            <w:r w:rsidRPr="009726F2">
              <w:rPr>
                <w:rFonts w:ascii="Bookman Old Style" w:hAnsi="Bookman Old Style" w:cs="Arial"/>
                <w:b/>
                <w:bCs/>
                <w:color w:val="000000"/>
                <w:sz w:val="22"/>
                <w:szCs w:val="20"/>
                <w:lang w:val="es-CO" w:eastAsia="es-CO"/>
              </w:rPr>
              <w:t>digo</w:t>
            </w:r>
          </w:p>
          <w:p w14:paraId="50642C7A" w14:textId="23965FFF" w:rsidR="002B5448" w:rsidRPr="009726F2" w:rsidRDefault="002B5448" w:rsidP="00AF7F9F">
            <w:pPr>
              <w:ind w:left="0" w:hanging="13"/>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w:t>
            </w:r>
            <w:r>
              <w:rPr>
                <w:rFonts w:ascii="Bookman Old Style" w:hAnsi="Bookman Old Style" w:cs="Arial"/>
                <w:b/>
                <w:bCs/>
                <w:color w:val="000000"/>
                <w:sz w:val="22"/>
                <w:szCs w:val="20"/>
                <w:lang w:val="es-CO" w:eastAsia="es-CO"/>
              </w:rPr>
              <w:t>ANE del m</w:t>
            </w:r>
            <w:r w:rsidRPr="009726F2">
              <w:rPr>
                <w:rFonts w:ascii="Bookman Old Style" w:hAnsi="Bookman Old Style" w:cs="Arial"/>
                <w:b/>
                <w:bCs/>
                <w:color w:val="000000"/>
                <w:sz w:val="22"/>
                <w:szCs w:val="20"/>
                <w:lang w:val="es-CO" w:eastAsia="es-CO"/>
              </w:rPr>
              <w:t>unicipio</w:t>
            </w:r>
          </w:p>
        </w:tc>
        <w:tc>
          <w:tcPr>
            <w:tcW w:w="1012" w:type="pct"/>
            <w:shd w:val="clear" w:color="auto" w:fill="D9D9D9" w:themeFill="background1" w:themeFillShade="D9"/>
            <w:vAlign w:val="center"/>
            <w:hideMark/>
          </w:tcPr>
          <w:p w14:paraId="2E0B2461" w14:textId="77777777" w:rsidR="002B5448" w:rsidRPr="009726F2" w:rsidRDefault="002B5448" w:rsidP="00AF7F9F">
            <w:pPr>
              <w:ind w:left="0" w:hanging="13"/>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w:t>
            </w:r>
            <w:r>
              <w:rPr>
                <w:rFonts w:ascii="Bookman Old Style" w:hAnsi="Bookman Old Style" w:cs="Arial"/>
                <w:b/>
                <w:bCs/>
                <w:color w:val="000000"/>
                <w:sz w:val="22"/>
                <w:szCs w:val="20"/>
                <w:lang w:val="es-CO" w:eastAsia="es-CO"/>
              </w:rPr>
              <w:t>unicipio</w:t>
            </w:r>
          </w:p>
        </w:tc>
        <w:tc>
          <w:tcPr>
            <w:tcW w:w="959" w:type="pct"/>
            <w:shd w:val="clear" w:color="auto" w:fill="D9D9D9" w:themeFill="background1" w:themeFillShade="D9"/>
            <w:vAlign w:val="center"/>
            <w:hideMark/>
          </w:tcPr>
          <w:p w14:paraId="7C7F71D4" w14:textId="77777777" w:rsidR="002B5448" w:rsidRPr="009726F2" w:rsidRDefault="002B5448" w:rsidP="00AF7F9F">
            <w:pPr>
              <w:ind w:left="0" w:hanging="13"/>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w:t>
            </w:r>
            <w:r>
              <w:rPr>
                <w:rFonts w:ascii="Bookman Old Style" w:hAnsi="Bookman Old Style" w:cs="Arial"/>
                <w:b/>
                <w:bCs/>
                <w:color w:val="000000"/>
                <w:sz w:val="22"/>
                <w:szCs w:val="20"/>
                <w:lang w:val="es-CO" w:eastAsia="es-CO"/>
              </w:rPr>
              <w:t>epartamento</w:t>
            </w:r>
          </w:p>
        </w:tc>
        <w:tc>
          <w:tcPr>
            <w:tcW w:w="680" w:type="pct"/>
            <w:shd w:val="clear" w:color="auto" w:fill="D9D9D9" w:themeFill="background1" w:themeFillShade="D9"/>
            <w:vAlign w:val="center"/>
          </w:tcPr>
          <w:p w14:paraId="403ED4FE" w14:textId="77777777" w:rsidR="002B5448" w:rsidRPr="009726F2" w:rsidRDefault="002B5448" w:rsidP="00AF7F9F">
            <w:pPr>
              <w:ind w:left="0" w:hanging="13"/>
              <w:jc w:val="center"/>
              <w:rPr>
                <w:rFonts w:ascii="Bookman Old Style" w:hAnsi="Bookman Old Style" w:cs="Arial"/>
                <w:b/>
                <w:bCs/>
                <w:color w:val="000000"/>
                <w:sz w:val="22"/>
                <w:szCs w:val="20"/>
                <w:lang w:val="es-CO" w:eastAsia="es-CO"/>
              </w:rPr>
            </w:pPr>
            <w:r w:rsidRPr="003D7CBD">
              <w:rPr>
                <w:rFonts w:ascii="Bookman Old Style" w:hAnsi="Bookman Old Style" w:cs="Arial"/>
                <w:b/>
                <w:bCs/>
                <w:color w:val="000000"/>
                <w:sz w:val="22"/>
                <w:szCs w:val="20"/>
                <w:lang w:val="es-CO" w:eastAsia="es-CO"/>
              </w:rPr>
              <w:t>Tip</w:t>
            </w:r>
            <w:r>
              <w:rPr>
                <w:rFonts w:ascii="Bookman Old Style" w:hAnsi="Bookman Old Style" w:cs="Arial"/>
                <w:b/>
                <w:bCs/>
                <w:color w:val="000000"/>
                <w:sz w:val="22"/>
                <w:szCs w:val="20"/>
                <w:lang w:val="es-CO" w:eastAsia="es-CO"/>
              </w:rPr>
              <w:t>o de mercado</w:t>
            </w:r>
          </w:p>
        </w:tc>
      </w:tr>
      <w:tr w:rsidR="00EC7A9D" w:rsidRPr="009726F2" w14:paraId="6F3D9206" w14:textId="77777777" w:rsidTr="00AF7F9F">
        <w:trPr>
          <w:trHeight w:val="253"/>
          <w:jc w:val="center"/>
        </w:trPr>
        <w:tc>
          <w:tcPr>
            <w:tcW w:w="648" w:type="pct"/>
            <w:vMerge w:val="restart"/>
          </w:tcPr>
          <w:p w14:paraId="085040CD" w14:textId="0E3286C5"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1</w:t>
            </w:r>
          </w:p>
        </w:tc>
        <w:tc>
          <w:tcPr>
            <w:tcW w:w="942" w:type="pct"/>
            <w:vMerge w:val="restart"/>
          </w:tcPr>
          <w:p w14:paraId="4DDE7A72" w14:textId="7F911AAA"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114 de 2007</w:t>
            </w:r>
          </w:p>
        </w:tc>
        <w:tc>
          <w:tcPr>
            <w:tcW w:w="759" w:type="pct"/>
            <w:shd w:val="clear" w:color="auto" w:fill="auto"/>
            <w:noWrap/>
            <w:vAlign w:val="bottom"/>
          </w:tcPr>
          <w:p w14:paraId="09D2AE33" w14:textId="1C50C06F"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41483</w:t>
            </w:r>
          </w:p>
        </w:tc>
        <w:tc>
          <w:tcPr>
            <w:tcW w:w="1012" w:type="pct"/>
            <w:shd w:val="clear" w:color="auto" w:fill="auto"/>
            <w:noWrap/>
            <w:vAlign w:val="bottom"/>
          </w:tcPr>
          <w:p w14:paraId="72719711" w14:textId="264965AA"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Nátaga</w:t>
            </w:r>
          </w:p>
        </w:tc>
        <w:tc>
          <w:tcPr>
            <w:tcW w:w="959" w:type="pct"/>
            <w:shd w:val="clear" w:color="auto" w:fill="auto"/>
            <w:noWrap/>
            <w:vAlign w:val="center"/>
          </w:tcPr>
          <w:p w14:paraId="0ABD5E64" w14:textId="4F5328E7"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vMerge w:val="restart"/>
            <w:shd w:val="clear" w:color="auto" w:fill="auto"/>
          </w:tcPr>
          <w:p w14:paraId="1DDAD582" w14:textId="45CF4C03"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63EC8746" w14:textId="77777777" w:rsidTr="00AF7F9F">
        <w:trPr>
          <w:trHeight w:val="253"/>
          <w:jc w:val="center"/>
        </w:trPr>
        <w:tc>
          <w:tcPr>
            <w:tcW w:w="648" w:type="pct"/>
            <w:vMerge/>
          </w:tcPr>
          <w:p w14:paraId="64E16D3B" w14:textId="77777777" w:rsidR="00EC7A9D" w:rsidRPr="00EC7A9D" w:rsidRDefault="00EC7A9D" w:rsidP="00EC7A9D">
            <w:pPr>
              <w:ind w:left="-82"/>
              <w:jc w:val="center"/>
              <w:rPr>
                <w:rFonts w:ascii="Bookman Old Style" w:hAnsi="Bookman Old Style" w:cs="Arial"/>
                <w:color w:val="000000"/>
                <w:sz w:val="22"/>
                <w:szCs w:val="22"/>
              </w:rPr>
            </w:pPr>
          </w:p>
        </w:tc>
        <w:tc>
          <w:tcPr>
            <w:tcW w:w="942" w:type="pct"/>
            <w:vMerge/>
          </w:tcPr>
          <w:p w14:paraId="37286DF0" w14:textId="77777777" w:rsidR="00EC7A9D" w:rsidRPr="00EC7A9D" w:rsidRDefault="00EC7A9D" w:rsidP="00EC7A9D">
            <w:pPr>
              <w:ind w:left="-82"/>
              <w:jc w:val="center"/>
              <w:rPr>
                <w:rFonts w:ascii="Bookman Old Style" w:hAnsi="Bookman Old Style" w:cs="Arial"/>
                <w:color w:val="000000"/>
                <w:sz w:val="22"/>
                <w:szCs w:val="22"/>
              </w:rPr>
            </w:pPr>
          </w:p>
        </w:tc>
        <w:tc>
          <w:tcPr>
            <w:tcW w:w="759" w:type="pct"/>
            <w:shd w:val="clear" w:color="auto" w:fill="auto"/>
            <w:noWrap/>
            <w:vAlign w:val="bottom"/>
          </w:tcPr>
          <w:p w14:paraId="250E738B" w14:textId="60F31054"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41206</w:t>
            </w:r>
          </w:p>
        </w:tc>
        <w:tc>
          <w:tcPr>
            <w:tcW w:w="1012" w:type="pct"/>
            <w:shd w:val="clear" w:color="auto" w:fill="auto"/>
            <w:noWrap/>
            <w:vAlign w:val="bottom"/>
          </w:tcPr>
          <w:p w14:paraId="36736FCB" w14:textId="42A8AF4D"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Colombia</w:t>
            </w:r>
          </w:p>
        </w:tc>
        <w:tc>
          <w:tcPr>
            <w:tcW w:w="959" w:type="pct"/>
            <w:shd w:val="clear" w:color="auto" w:fill="auto"/>
            <w:noWrap/>
            <w:vAlign w:val="center"/>
          </w:tcPr>
          <w:p w14:paraId="05947F7D" w14:textId="324C6180"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vMerge/>
            <w:shd w:val="clear" w:color="auto" w:fill="auto"/>
          </w:tcPr>
          <w:p w14:paraId="2CEB8F7D" w14:textId="77777777" w:rsidR="00EC7A9D" w:rsidRPr="00EC7A9D" w:rsidRDefault="00EC7A9D" w:rsidP="00EC7A9D">
            <w:pPr>
              <w:ind w:left="-82"/>
              <w:jc w:val="center"/>
              <w:rPr>
                <w:rFonts w:ascii="Bookman Old Style" w:hAnsi="Bookman Old Style" w:cs="Arial"/>
                <w:color w:val="000000"/>
                <w:sz w:val="22"/>
                <w:szCs w:val="22"/>
                <w:lang w:val="es-CO" w:eastAsia="es-CO"/>
              </w:rPr>
            </w:pPr>
          </w:p>
        </w:tc>
      </w:tr>
      <w:tr w:rsidR="00EC7A9D" w:rsidRPr="009726F2" w14:paraId="14406CFC" w14:textId="77777777" w:rsidTr="00AF7F9F">
        <w:trPr>
          <w:trHeight w:val="253"/>
          <w:jc w:val="center"/>
        </w:trPr>
        <w:tc>
          <w:tcPr>
            <w:tcW w:w="648" w:type="pct"/>
          </w:tcPr>
          <w:p w14:paraId="2817DA0E" w14:textId="66CB0849"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2</w:t>
            </w:r>
          </w:p>
        </w:tc>
        <w:tc>
          <w:tcPr>
            <w:tcW w:w="942" w:type="pct"/>
          </w:tcPr>
          <w:p w14:paraId="50BFE5D1" w14:textId="3FC8D312"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056 de 2006</w:t>
            </w:r>
          </w:p>
        </w:tc>
        <w:tc>
          <w:tcPr>
            <w:tcW w:w="759" w:type="pct"/>
            <w:shd w:val="clear" w:color="auto" w:fill="auto"/>
            <w:noWrap/>
            <w:vAlign w:val="bottom"/>
          </w:tcPr>
          <w:p w14:paraId="361517E3" w14:textId="67C65495"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41244</w:t>
            </w:r>
          </w:p>
        </w:tc>
        <w:tc>
          <w:tcPr>
            <w:tcW w:w="1012" w:type="pct"/>
            <w:shd w:val="clear" w:color="auto" w:fill="auto"/>
            <w:noWrap/>
            <w:vAlign w:val="bottom"/>
          </w:tcPr>
          <w:p w14:paraId="62424045" w14:textId="7363D0AF"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Elías</w:t>
            </w:r>
          </w:p>
        </w:tc>
        <w:tc>
          <w:tcPr>
            <w:tcW w:w="959" w:type="pct"/>
            <w:shd w:val="clear" w:color="auto" w:fill="auto"/>
            <w:noWrap/>
            <w:vAlign w:val="center"/>
          </w:tcPr>
          <w:p w14:paraId="22A88AFC" w14:textId="73773140"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36E898F3" w14:textId="7C15DB63"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30B78044" w14:textId="77777777" w:rsidTr="00AF7F9F">
        <w:trPr>
          <w:trHeight w:val="253"/>
          <w:jc w:val="center"/>
        </w:trPr>
        <w:tc>
          <w:tcPr>
            <w:tcW w:w="648" w:type="pct"/>
          </w:tcPr>
          <w:p w14:paraId="1B0D045F" w14:textId="304DCE78"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3</w:t>
            </w:r>
          </w:p>
        </w:tc>
        <w:tc>
          <w:tcPr>
            <w:tcW w:w="942" w:type="pct"/>
          </w:tcPr>
          <w:p w14:paraId="5D6D725F" w14:textId="7350DC1C"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057 de 2006</w:t>
            </w:r>
          </w:p>
        </w:tc>
        <w:tc>
          <w:tcPr>
            <w:tcW w:w="759" w:type="pct"/>
            <w:shd w:val="clear" w:color="auto" w:fill="auto"/>
            <w:noWrap/>
            <w:vAlign w:val="bottom"/>
          </w:tcPr>
          <w:p w14:paraId="4AC999C0" w14:textId="3EA7D1D0"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41357</w:t>
            </w:r>
          </w:p>
        </w:tc>
        <w:tc>
          <w:tcPr>
            <w:tcW w:w="1012" w:type="pct"/>
            <w:shd w:val="clear" w:color="auto" w:fill="auto"/>
            <w:noWrap/>
            <w:vAlign w:val="bottom"/>
          </w:tcPr>
          <w:p w14:paraId="331C4287" w14:textId="6AED7232"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Íquira</w:t>
            </w:r>
          </w:p>
        </w:tc>
        <w:tc>
          <w:tcPr>
            <w:tcW w:w="959" w:type="pct"/>
            <w:shd w:val="clear" w:color="auto" w:fill="auto"/>
            <w:noWrap/>
            <w:vAlign w:val="center"/>
          </w:tcPr>
          <w:p w14:paraId="5E30FE79" w14:textId="2411D0DE"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189F4219" w14:textId="1663584F"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119E1E95" w14:textId="77777777" w:rsidTr="00AF7F9F">
        <w:trPr>
          <w:trHeight w:val="253"/>
          <w:jc w:val="center"/>
        </w:trPr>
        <w:tc>
          <w:tcPr>
            <w:tcW w:w="648" w:type="pct"/>
          </w:tcPr>
          <w:p w14:paraId="2BDDF5A3" w14:textId="46FBCF79"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4</w:t>
            </w:r>
          </w:p>
        </w:tc>
        <w:tc>
          <w:tcPr>
            <w:tcW w:w="942" w:type="pct"/>
          </w:tcPr>
          <w:p w14:paraId="7D2537DE" w14:textId="21BCA90E"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058 de 2006</w:t>
            </w:r>
          </w:p>
        </w:tc>
        <w:tc>
          <w:tcPr>
            <w:tcW w:w="759" w:type="pct"/>
            <w:shd w:val="clear" w:color="auto" w:fill="auto"/>
            <w:noWrap/>
            <w:vAlign w:val="bottom"/>
          </w:tcPr>
          <w:p w14:paraId="17DD2EB2" w14:textId="4728F1CD"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41359</w:t>
            </w:r>
          </w:p>
        </w:tc>
        <w:tc>
          <w:tcPr>
            <w:tcW w:w="1012" w:type="pct"/>
            <w:shd w:val="clear" w:color="auto" w:fill="auto"/>
            <w:noWrap/>
            <w:vAlign w:val="bottom"/>
          </w:tcPr>
          <w:p w14:paraId="1B551DA3" w14:textId="1F4D7642"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Isnos</w:t>
            </w:r>
          </w:p>
        </w:tc>
        <w:tc>
          <w:tcPr>
            <w:tcW w:w="959" w:type="pct"/>
            <w:shd w:val="clear" w:color="auto" w:fill="auto"/>
            <w:noWrap/>
            <w:vAlign w:val="center"/>
          </w:tcPr>
          <w:p w14:paraId="2B5EA7D2" w14:textId="5CF8A3C2"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6958E034" w14:textId="1A116305"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14E271A2" w14:textId="77777777" w:rsidTr="00AF7F9F">
        <w:trPr>
          <w:trHeight w:val="253"/>
          <w:jc w:val="center"/>
        </w:trPr>
        <w:tc>
          <w:tcPr>
            <w:tcW w:w="648" w:type="pct"/>
          </w:tcPr>
          <w:p w14:paraId="651AAA3D" w14:textId="2B685C7A"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5</w:t>
            </w:r>
          </w:p>
        </w:tc>
        <w:tc>
          <w:tcPr>
            <w:tcW w:w="942" w:type="pct"/>
          </w:tcPr>
          <w:p w14:paraId="4B01CD1C" w14:textId="7425DB65"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055 de 2006</w:t>
            </w:r>
          </w:p>
        </w:tc>
        <w:tc>
          <w:tcPr>
            <w:tcW w:w="759" w:type="pct"/>
            <w:shd w:val="clear" w:color="auto" w:fill="auto"/>
            <w:noWrap/>
            <w:vAlign w:val="bottom"/>
          </w:tcPr>
          <w:p w14:paraId="1F269B0B" w14:textId="08D12C21"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41378</w:t>
            </w:r>
          </w:p>
        </w:tc>
        <w:tc>
          <w:tcPr>
            <w:tcW w:w="1012" w:type="pct"/>
            <w:shd w:val="clear" w:color="auto" w:fill="auto"/>
            <w:noWrap/>
            <w:vAlign w:val="bottom"/>
          </w:tcPr>
          <w:p w14:paraId="2716AFBE" w14:textId="0783D3CD"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La Argentina</w:t>
            </w:r>
          </w:p>
        </w:tc>
        <w:tc>
          <w:tcPr>
            <w:tcW w:w="959" w:type="pct"/>
            <w:shd w:val="clear" w:color="auto" w:fill="auto"/>
            <w:noWrap/>
            <w:vAlign w:val="center"/>
          </w:tcPr>
          <w:p w14:paraId="2C60CF16" w14:textId="3CDFFFD9"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18F54846" w14:textId="07088322"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336DC0F8" w14:textId="77777777" w:rsidTr="00AF7F9F">
        <w:trPr>
          <w:trHeight w:val="253"/>
          <w:jc w:val="center"/>
        </w:trPr>
        <w:tc>
          <w:tcPr>
            <w:tcW w:w="648" w:type="pct"/>
          </w:tcPr>
          <w:p w14:paraId="77FEC7D6" w14:textId="782575BD"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6</w:t>
            </w:r>
          </w:p>
        </w:tc>
        <w:tc>
          <w:tcPr>
            <w:tcW w:w="942" w:type="pct"/>
          </w:tcPr>
          <w:p w14:paraId="044565F1" w14:textId="4E094BE4"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059 de 2006</w:t>
            </w:r>
          </w:p>
        </w:tc>
        <w:tc>
          <w:tcPr>
            <w:tcW w:w="759" w:type="pct"/>
            <w:shd w:val="clear" w:color="auto" w:fill="auto"/>
            <w:noWrap/>
            <w:vAlign w:val="bottom"/>
          </w:tcPr>
          <w:p w14:paraId="75647224" w14:textId="5B969B9E"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41503</w:t>
            </w:r>
          </w:p>
        </w:tc>
        <w:tc>
          <w:tcPr>
            <w:tcW w:w="1012" w:type="pct"/>
            <w:shd w:val="clear" w:color="auto" w:fill="auto"/>
            <w:noWrap/>
            <w:vAlign w:val="bottom"/>
          </w:tcPr>
          <w:p w14:paraId="297BB3A2" w14:textId="440511A5"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Oporapa</w:t>
            </w:r>
          </w:p>
        </w:tc>
        <w:tc>
          <w:tcPr>
            <w:tcW w:w="959" w:type="pct"/>
            <w:shd w:val="clear" w:color="auto" w:fill="auto"/>
            <w:noWrap/>
            <w:vAlign w:val="center"/>
          </w:tcPr>
          <w:p w14:paraId="09A71EB4" w14:textId="1BA6A873"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6B51927D" w14:textId="720C1BE3"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2F0242BF" w14:textId="77777777" w:rsidTr="00AF7F9F">
        <w:trPr>
          <w:trHeight w:val="253"/>
          <w:jc w:val="center"/>
        </w:trPr>
        <w:tc>
          <w:tcPr>
            <w:tcW w:w="648" w:type="pct"/>
            <w:vMerge w:val="restart"/>
          </w:tcPr>
          <w:p w14:paraId="1DB89BE6" w14:textId="1DD084F1"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7</w:t>
            </w:r>
          </w:p>
        </w:tc>
        <w:tc>
          <w:tcPr>
            <w:tcW w:w="942" w:type="pct"/>
            <w:vMerge w:val="restart"/>
          </w:tcPr>
          <w:p w14:paraId="4E417D07" w14:textId="17C0B513"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151 de 2010</w:t>
            </w:r>
          </w:p>
        </w:tc>
        <w:tc>
          <w:tcPr>
            <w:tcW w:w="759" w:type="pct"/>
            <w:shd w:val="clear" w:color="auto" w:fill="auto"/>
            <w:noWrap/>
            <w:vAlign w:val="bottom"/>
          </w:tcPr>
          <w:p w14:paraId="41665168" w14:textId="3BDCEDFE"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41530</w:t>
            </w:r>
          </w:p>
        </w:tc>
        <w:tc>
          <w:tcPr>
            <w:tcW w:w="1012" w:type="pct"/>
            <w:shd w:val="clear" w:color="auto" w:fill="auto"/>
            <w:noWrap/>
            <w:vAlign w:val="bottom"/>
          </w:tcPr>
          <w:p w14:paraId="0D4DD0C9" w14:textId="3DE7B775"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Palestina</w:t>
            </w:r>
          </w:p>
        </w:tc>
        <w:tc>
          <w:tcPr>
            <w:tcW w:w="959" w:type="pct"/>
            <w:shd w:val="clear" w:color="auto" w:fill="auto"/>
            <w:noWrap/>
            <w:vAlign w:val="center"/>
          </w:tcPr>
          <w:p w14:paraId="7D4F65DD" w14:textId="5947EFF4"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vMerge w:val="restart"/>
            <w:shd w:val="clear" w:color="auto" w:fill="auto"/>
          </w:tcPr>
          <w:p w14:paraId="6A03CDFD" w14:textId="313967B8"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418F7EE5" w14:textId="77777777" w:rsidTr="00AF7F9F">
        <w:trPr>
          <w:trHeight w:val="253"/>
          <w:jc w:val="center"/>
        </w:trPr>
        <w:tc>
          <w:tcPr>
            <w:tcW w:w="648" w:type="pct"/>
            <w:vMerge/>
          </w:tcPr>
          <w:p w14:paraId="23E11131" w14:textId="77777777" w:rsidR="00EC7A9D" w:rsidRPr="00EC7A9D" w:rsidRDefault="00EC7A9D" w:rsidP="00EC7A9D">
            <w:pPr>
              <w:ind w:left="-82"/>
              <w:jc w:val="center"/>
              <w:rPr>
                <w:rFonts w:ascii="Bookman Old Style" w:hAnsi="Bookman Old Style" w:cs="Arial"/>
                <w:color w:val="000000"/>
                <w:sz w:val="22"/>
                <w:szCs w:val="22"/>
              </w:rPr>
            </w:pPr>
          </w:p>
        </w:tc>
        <w:tc>
          <w:tcPr>
            <w:tcW w:w="942" w:type="pct"/>
            <w:vMerge/>
          </w:tcPr>
          <w:p w14:paraId="0C5D4E9C" w14:textId="77777777" w:rsidR="00EC7A9D" w:rsidRPr="00EC7A9D" w:rsidRDefault="00EC7A9D" w:rsidP="00EC7A9D">
            <w:pPr>
              <w:ind w:left="-82"/>
              <w:jc w:val="center"/>
              <w:rPr>
                <w:rFonts w:ascii="Bookman Old Style" w:hAnsi="Bookman Old Style" w:cs="Arial"/>
                <w:color w:val="000000"/>
                <w:sz w:val="22"/>
                <w:szCs w:val="22"/>
              </w:rPr>
            </w:pPr>
          </w:p>
        </w:tc>
        <w:tc>
          <w:tcPr>
            <w:tcW w:w="759" w:type="pct"/>
            <w:shd w:val="clear" w:color="auto" w:fill="auto"/>
            <w:noWrap/>
            <w:vAlign w:val="bottom"/>
          </w:tcPr>
          <w:p w14:paraId="729D66EC" w14:textId="25A2EAD6"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41660</w:t>
            </w:r>
          </w:p>
        </w:tc>
        <w:tc>
          <w:tcPr>
            <w:tcW w:w="1012" w:type="pct"/>
            <w:shd w:val="clear" w:color="auto" w:fill="auto"/>
            <w:noWrap/>
            <w:vAlign w:val="bottom"/>
          </w:tcPr>
          <w:p w14:paraId="1B826B0A" w14:textId="13050D1B"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Saladoblanco</w:t>
            </w:r>
          </w:p>
        </w:tc>
        <w:tc>
          <w:tcPr>
            <w:tcW w:w="959" w:type="pct"/>
            <w:shd w:val="clear" w:color="auto" w:fill="auto"/>
            <w:noWrap/>
            <w:vAlign w:val="center"/>
          </w:tcPr>
          <w:p w14:paraId="7551297C" w14:textId="6A8746FC"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vMerge/>
            <w:shd w:val="clear" w:color="auto" w:fill="auto"/>
          </w:tcPr>
          <w:p w14:paraId="45B1657E" w14:textId="77777777" w:rsidR="00EC7A9D" w:rsidRPr="00EC7A9D" w:rsidRDefault="00EC7A9D" w:rsidP="00EC7A9D">
            <w:pPr>
              <w:ind w:left="-82"/>
              <w:jc w:val="center"/>
              <w:rPr>
                <w:rFonts w:ascii="Bookman Old Style" w:hAnsi="Bookman Old Style" w:cs="Arial"/>
                <w:color w:val="000000"/>
                <w:sz w:val="22"/>
                <w:szCs w:val="22"/>
                <w:lang w:val="es-CO" w:eastAsia="es-CO"/>
              </w:rPr>
            </w:pPr>
          </w:p>
        </w:tc>
      </w:tr>
      <w:tr w:rsidR="00EC7A9D" w:rsidRPr="009726F2" w14:paraId="08E7D759" w14:textId="77777777" w:rsidTr="00E14CF6">
        <w:trPr>
          <w:trHeight w:val="77"/>
          <w:jc w:val="center"/>
        </w:trPr>
        <w:tc>
          <w:tcPr>
            <w:tcW w:w="648" w:type="pct"/>
          </w:tcPr>
          <w:p w14:paraId="0BFE60C0" w14:textId="7180183C"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8</w:t>
            </w:r>
          </w:p>
        </w:tc>
        <w:tc>
          <w:tcPr>
            <w:tcW w:w="942" w:type="pct"/>
          </w:tcPr>
          <w:p w14:paraId="38D25B06" w14:textId="6C6FA83D"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060 de 2006</w:t>
            </w:r>
          </w:p>
        </w:tc>
        <w:tc>
          <w:tcPr>
            <w:tcW w:w="759" w:type="pct"/>
            <w:shd w:val="clear" w:color="auto" w:fill="auto"/>
            <w:noWrap/>
            <w:vAlign w:val="bottom"/>
          </w:tcPr>
          <w:p w14:paraId="78FAD4A3" w14:textId="7617EB1B"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41676</w:t>
            </w:r>
          </w:p>
        </w:tc>
        <w:tc>
          <w:tcPr>
            <w:tcW w:w="1012" w:type="pct"/>
            <w:shd w:val="clear" w:color="auto" w:fill="auto"/>
            <w:noWrap/>
            <w:vAlign w:val="bottom"/>
          </w:tcPr>
          <w:p w14:paraId="49BC5ACA" w14:textId="411A5F87"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Santa María</w:t>
            </w:r>
          </w:p>
        </w:tc>
        <w:tc>
          <w:tcPr>
            <w:tcW w:w="959" w:type="pct"/>
            <w:shd w:val="clear" w:color="auto" w:fill="auto"/>
            <w:noWrap/>
            <w:vAlign w:val="center"/>
          </w:tcPr>
          <w:p w14:paraId="59F3CEAC" w14:textId="094D6AF1"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794C8DC6" w14:textId="0CA11B15"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r w:rsidR="00EC7A9D" w:rsidRPr="009726F2" w14:paraId="502DE7F9" w14:textId="77777777" w:rsidTr="00AF7F9F">
        <w:trPr>
          <w:trHeight w:val="253"/>
          <w:jc w:val="center"/>
        </w:trPr>
        <w:tc>
          <w:tcPr>
            <w:tcW w:w="648" w:type="pct"/>
          </w:tcPr>
          <w:p w14:paraId="06A1B6B3" w14:textId="16036593"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9</w:t>
            </w:r>
          </w:p>
        </w:tc>
        <w:tc>
          <w:tcPr>
            <w:tcW w:w="942" w:type="pct"/>
          </w:tcPr>
          <w:p w14:paraId="79DFF401" w14:textId="5B85122E"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s="Arial"/>
                <w:color w:val="000000"/>
                <w:sz w:val="22"/>
                <w:szCs w:val="22"/>
              </w:rPr>
              <w:t>054 de 2006</w:t>
            </w:r>
          </w:p>
        </w:tc>
        <w:tc>
          <w:tcPr>
            <w:tcW w:w="759" w:type="pct"/>
            <w:shd w:val="clear" w:color="auto" w:fill="auto"/>
            <w:noWrap/>
            <w:vAlign w:val="bottom"/>
          </w:tcPr>
          <w:p w14:paraId="04EA9885" w14:textId="0EA36312" w:rsidR="00EC7A9D" w:rsidRPr="00EC7A9D" w:rsidRDefault="00EC7A9D" w:rsidP="00EC7A9D">
            <w:pPr>
              <w:ind w:left="-82"/>
              <w:jc w:val="center"/>
              <w:rPr>
                <w:rFonts w:ascii="Bookman Old Style" w:hAnsi="Bookman Old Style" w:cs="Arial"/>
                <w:color w:val="000000"/>
                <w:sz w:val="22"/>
                <w:szCs w:val="22"/>
              </w:rPr>
            </w:pPr>
            <w:r w:rsidRPr="00EC7A9D">
              <w:rPr>
                <w:rFonts w:ascii="Bookman Old Style" w:hAnsi="Bookman Old Style"/>
                <w:color w:val="000000"/>
                <w:sz w:val="22"/>
                <w:szCs w:val="22"/>
              </w:rPr>
              <w:t>41006</w:t>
            </w:r>
          </w:p>
        </w:tc>
        <w:tc>
          <w:tcPr>
            <w:tcW w:w="1012" w:type="pct"/>
            <w:shd w:val="clear" w:color="auto" w:fill="auto"/>
            <w:noWrap/>
            <w:vAlign w:val="bottom"/>
          </w:tcPr>
          <w:p w14:paraId="36E9CF3A" w14:textId="3E7A60B8" w:rsidR="00EC7A9D" w:rsidRPr="00EC7A9D" w:rsidRDefault="00EC7A9D" w:rsidP="00EC7A9D">
            <w:pPr>
              <w:ind w:left="-58" w:hanging="24"/>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Acevedo</w:t>
            </w:r>
          </w:p>
        </w:tc>
        <w:tc>
          <w:tcPr>
            <w:tcW w:w="959" w:type="pct"/>
            <w:shd w:val="clear" w:color="auto" w:fill="auto"/>
            <w:noWrap/>
            <w:vAlign w:val="center"/>
          </w:tcPr>
          <w:p w14:paraId="42BFC4A7" w14:textId="30405001"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Huila</w:t>
            </w:r>
          </w:p>
        </w:tc>
        <w:tc>
          <w:tcPr>
            <w:tcW w:w="680" w:type="pct"/>
            <w:shd w:val="clear" w:color="auto" w:fill="auto"/>
          </w:tcPr>
          <w:p w14:paraId="51E819AD" w14:textId="1F1F6C9A" w:rsidR="00EC7A9D" w:rsidRPr="00EC7A9D" w:rsidRDefault="00EC7A9D" w:rsidP="00EC7A9D">
            <w:pPr>
              <w:ind w:left="-82"/>
              <w:jc w:val="center"/>
              <w:rPr>
                <w:rFonts w:ascii="Bookman Old Style" w:hAnsi="Bookman Old Style" w:cs="Arial"/>
                <w:color w:val="000000"/>
                <w:sz w:val="22"/>
                <w:szCs w:val="22"/>
                <w:lang w:val="es-CO" w:eastAsia="es-CO"/>
              </w:rPr>
            </w:pPr>
            <w:r w:rsidRPr="00EC7A9D">
              <w:rPr>
                <w:rFonts w:ascii="Bookman Old Style" w:hAnsi="Bookman Old Style" w:cs="Arial"/>
                <w:color w:val="000000"/>
                <w:sz w:val="22"/>
                <w:szCs w:val="22"/>
                <w:lang w:val="es-CO" w:eastAsia="es-CO"/>
              </w:rPr>
              <w:t>Existente</w:t>
            </w:r>
          </w:p>
        </w:tc>
      </w:tr>
    </w:tbl>
    <w:p w14:paraId="0C292B67" w14:textId="796EA612" w:rsidR="00526A24" w:rsidRDefault="00526A24" w:rsidP="00526A24">
      <w:pPr>
        <w:spacing w:before="240" w:after="240"/>
        <w:ind w:left="0" w:right="-91"/>
        <w:jc w:val="both"/>
        <w:rPr>
          <w:rFonts w:ascii="Bookman Old Style" w:eastAsia="Calibri" w:hAnsi="Bookman Old Style" w:cs="Arial"/>
          <w:lang w:val="es-CO" w:eastAsia="en-US"/>
        </w:rPr>
      </w:pPr>
      <w:r>
        <w:rPr>
          <w:rFonts w:ascii="Bookman Old Style" w:eastAsia="Calibri" w:hAnsi="Bookman Old Style" w:cs="Arial"/>
          <w:lang w:val="es-CO" w:eastAsia="en-US"/>
        </w:rPr>
        <w:t xml:space="preserve">Tal como se </w:t>
      </w:r>
      <w:r w:rsidRPr="00BB4763">
        <w:rPr>
          <w:rFonts w:ascii="Bookman Old Style" w:eastAsia="Calibri" w:hAnsi="Bookman Old Style" w:cs="Arial"/>
          <w:lang w:val="es-CO" w:eastAsia="en-US"/>
        </w:rPr>
        <w:t>observa, la conformación del mercado propuesto implica la agregación de mercados</w:t>
      </w:r>
      <w:r w:rsidR="00BB4763" w:rsidRPr="00BB4763">
        <w:rPr>
          <w:rFonts w:ascii="Bookman Old Style" w:eastAsia="Calibri" w:hAnsi="Bookman Old Style" w:cs="Arial"/>
          <w:lang w:val="es-CO" w:eastAsia="en-US"/>
        </w:rPr>
        <w:t xml:space="preserve"> existentes de distribución</w:t>
      </w:r>
      <w:r w:rsidRPr="00BB4763">
        <w:rPr>
          <w:rFonts w:ascii="Bookman Old Style" w:eastAsia="Calibri" w:hAnsi="Bookman Old Style" w:cs="Arial"/>
          <w:lang w:val="es-CO" w:eastAsia="en-US"/>
        </w:rPr>
        <w:t>.</w:t>
      </w:r>
    </w:p>
    <w:p w14:paraId="24E5F222" w14:textId="0BC880A5" w:rsidR="00DE17D9" w:rsidRDefault="00DE17D9" w:rsidP="00526A24">
      <w:pPr>
        <w:spacing w:before="240" w:after="240"/>
        <w:ind w:left="0" w:right="-91"/>
        <w:jc w:val="both"/>
        <w:rPr>
          <w:rFonts w:ascii="Bookman Old Style" w:eastAsia="Calibri" w:hAnsi="Bookman Old Style" w:cs="Arial"/>
          <w:lang w:val="es-CO" w:eastAsia="en-US"/>
        </w:rPr>
      </w:pPr>
    </w:p>
    <w:p w14:paraId="25FBE494" w14:textId="77777777" w:rsidR="00DE17D9" w:rsidRPr="002234DE" w:rsidRDefault="00DE17D9" w:rsidP="00DE17D9">
      <w:pPr>
        <w:ind w:left="0" w:right="-91"/>
        <w:jc w:val="both"/>
        <w:rPr>
          <w:rFonts w:ascii="Bookman Old Style" w:eastAsia="Calibri" w:hAnsi="Bookman Old Style" w:cs="Arial"/>
          <w:lang w:val="es-CO" w:eastAsia="en-US"/>
        </w:rPr>
      </w:pPr>
    </w:p>
    <w:p w14:paraId="2272D022" w14:textId="77777777" w:rsidR="00526A24" w:rsidRPr="00930A2B" w:rsidRDefault="00526A24" w:rsidP="00D334AC">
      <w:pPr>
        <w:pStyle w:val="Prrafodelista"/>
        <w:keepNext/>
        <w:numPr>
          <w:ilvl w:val="1"/>
          <w:numId w:val="35"/>
        </w:numPr>
        <w:spacing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Gastos de administración, operación y mantenimiento - AOM</w:t>
      </w:r>
    </w:p>
    <w:p w14:paraId="29A7674B" w14:textId="1EF29EEC" w:rsidR="00526A24" w:rsidRDefault="00526A24" w:rsidP="00526A24">
      <w:pPr>
        <w:spacing w:before="240" w:after="240"/>
        <w:ind w:left="0" w:right="-93"/>
        <w:jc w:val="both"/>
        <w:rPr>
          <w:rFonts w:ascii="Bookman Old Style" w:eastAsia="MS Mincho" w:hAnsi="Bookman Old Style" w:cs="Arial"/>
          <w:lang w:val="es-ES_tradnl" w:eastAsia="en-US"/>
        </w:rPr>
      </w:pPr>
      <w:r>
        <w:rPr>
          <w:rFonts w:ascii="Bookman Old Style" w:hAnsi="Bookman Old Style" w:cs="Arial"/>
          <w:bCs/>
        </w:rPr>
        <w:t>M</w:t>
      </w:r>
      <w:r w:rsidRPr="001954E9">
        <w:rPr>
          <w:rFonts w:ascii="Bookman Old Style" w:hAnsi="Bookman Old Style" w:cs="Arial"/>
          <w:bCs/>
        </w:rPr>
        <w:t xml:space="preserve">ediante la Resolución CREG </w:t>
      </w:r>
      <w:r>
        <w:rPr>
          <w:rFonts w:ascii="Bookman Old Style" w:hAnsi="Bookman Old Style" w:cs="Arial"/>
          <w:bCs/>
        </w:rPr>
        <w:t>093 de 2016</w:t>
      </w:r>
      <w:r w:rsidRPr="001954E9">
        <w:rPr>
          <w:rFonts w:ascii="Bookman Old Style" w:hAnsi="Bookman Old Style" w:cs="Arial"/>
          <w:bCs/>
        </w:rPr>
        <w:t xml:space="preserve"> se revoc</w:t>
      </w:r>
      <w:r w:rsidR="00C106CB">
        <w:rPr>
          <w:rFonts w:ascii="Bookman Old Style" w:hAnsi="Bookman Old Style" w:cs="Arial"/>
          <w:bCs/>
        </w:rPr>
        <w:t>aron</w:t>
      </w:r>
      <w:r w:rsidRPr="001954E9">
        <w:rPr>
          <w:rFonts w:ascii="Bookman Old Style" w:hAnsi="Bookman Old Style" w:cs="Arial"/>
          <w:bCs/>
        </w:rPr>
        <w:t xml:space="preserve"> el numeral 9.7 y el Anexo 10 </w:t>
      </w:r>
      <w:r>
        <w:rPr>
          <w:rFonts w:ascii="Bookman Old Style" w:hAnsi="Bookman Old Style" w:cs="Arial"/>
          <w:bCs/>
        </w:rPr>
        <w:t xml:space="preserve">de la Resolución CREG 202 de 2003, </w:t>
      </w:r>
      <w:r w:rsidRPr="001954E9">
        <w:rPr>
          <w:rFonts w:ascii="Bookman Old Style" w:hAnsi="Bookman Old Style" w:cs="Arial"/>
          <w:bCs/>
        </w:rPr>
        <w:t>en donde se defin</w:t>
      </w:r>
      <w:r>
        <w:rPr>
          <w:rFonts w:ascii="Bookman Old Style" w:hAnsi="Bookman Old Style" w:cs="Arial"/>
          <w:bCs/>
        </w:rPr>
        <w:t>ía</w:t>
      </w:r>
      <w:r w:rsidRPr="001954E9">
        <w:rPr>
          <w:rFonts w:ascii="Bookman Old Style" w:hAnsi="Bookman Old Style" w:cs="Arial"/>
          <w:bCs/>
        </w:rPr>
        <w:t xml:space="preserve"> el procedimiento para el establecimiento de los gastos de AOM eficientes, esto teniendo en cuenta que </w:t>
      </w:r>
      <w:r w:rsidRPr="001954E9">
        <w:rPr>
          <w:rFonts w:ascii="Bookman Old Style" w:eastAsia="MS Mincho" w:hAnsi="Bookman Old Style" w:cs="Arial"/>
          <w:lang w:val="es-ES_tradnl" w:eastAsia="en-US"/>
        </w:rPr>
        <w:t>mediante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w:t>
      </w:r>
      <w:r w:rsidR="00845265">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14:paraId="163271E7" w14:textId="77777777" w:rsidR="00526A24" w:rsidRPr="001954E9"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 xml:space="preserve">En este sentido y de acuerdo con lo expuesto, para establecer los cargos en Mercados de Distribución de las solicitudes tarifarias presentadas para el caso de la definición de los gastos de AOM, se </w:t>
      </w:r>
      <w:r w:rsidRPr="001954E9">
        <w:rPr>
          <w:rFonts w:ascii="Bookman Old Style" w:eastAsia="MS Mincho" w:hAnsi="Bookman Old Style" w:cs="Arial"/>
          <w:lang w:val="es-ES_tradnl" w:eastAsia="en-US"/>
        </w:rPr>
        <w:t>incorporará 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que se puedan incorporar como parte de la aplicación del régimen tarifario, por lo que le corresponde a esta Entidad dar aplicación a los criterios tarifarios en todos los aspectos que determinan el cobro de las tarifas.</w:t>
      </w:r>
    </w:p>
    <w:p w14:paraId="2848739A" w14:textId="77777777" w:rsidR="00526A24"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Teniendo en cuenta lo anterior, se considera pertinente y razonable, como parte del régimen tarifario de acuerdo con lo previsto en el artículo 86 de la Ley 142 de 1994, así como de acuerdo con las finalidades que cumple el ejercicio de la función regulatoria en materia tarifaria con la que cuenta esta Comisión, que frente a los gastos de AOM y de forma transitoria para definir esta variable, se lleve a cabo un ejercicio, en aplicación del criterio de eficiencia</w:t>
      </w:r>
      <w:r>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w:t>
      </w:r>
    </w:p>
    <w:p w14:paraId="7E8795C3" w14:textId="77777777" w:rsidR="00526A24" w:rsidRDefault="00526A24" w:rsidP="00526A24">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La aplicación de</w:t>
      </w:r>
      <w:r>
        <w:rPr>
          <w:rFonts w:ascii="Bookman Old Style" w:eastAsia="Calibri" w:hAnsi="Bookman Old Style" w:cs="Arial"/>
          <w:lang w:eastAsia="en-US"/>
        </w:rPr>
        <w:t xml:space="preserve"> este </w:t>
      </w:r>
      <w:r w:rsidRPr="001954E9">
        <w:rPr>
          <w:rFonts w:ascii="Bookman Old Style" w:eastAsia="Calibri" w:hAnsi="Bookman Old Style" w:cs="Arial"/>
          <w:lang w:eastAsia="en-US"/>
        </w:rPr>
        <w:t>criterio</w:t>
      </w:r>
      <w:r>
        <w:rPr>
          <w:rFonts w:ascii="Bookman Old Style" w:eastAsia="Calibri" w:hAnsi="Bookman Old Style" w:cs="Arial"/>
          <w:lang w:eastAsia="en-US"/>
        </w:rPr>
        <w:t>, descrito a continuación,</w:t>
      </w:r>
      <w:r w:rsidRPr="001954E9">
        <w:rPr>
          <w:rFonts w:ascii="Bookman Old Style" w:eastAsia="Calibri" w:hAnsi="Bookman Old Style" w:cs="Arial"/>
          <w:lang w:eastAsia="en-US"/>
        </w:rPr>
        <w:t xml:space="preserve"> permite: i) reducir las asimetrías en la información existentes con respecto a los gastos de AOM; ii) establecer un valor eficiente de gastos de AOM teniendo en cuenta los gastos eficientes reconocidos propios y de otras empresas comparables en la misma actividad; iii) limitar que dentro de los cargos aprobados se traslade la gestión ineficiente de los agentes, en particular con la posibilidad de incorporar costos y gastos que no se encuentren relacionados con la prestación del servicio público domiciliario</w:t>
      </w:r>
      <w:r>
        <w:rPr>
          <w:rFonts w:ascii="Bookman Old Style" w:eastAsia="Calibri" w:hAnsi="Bookman Old Style" w:cs="Arial"/>
          <w:lang w:eastAsia="en-US"/>
        </w:rPr>
        <w:t xml:space="preserve"> y</w:t>
      </w:r>
      <w:r w:rsidRPr="001954E9">
        <w:rPr>
          <w:rFonts w:ascii="Bookman Old Style" w:eastAsia="Calibri" w:hAnsi="Bookman Old Style" w:cs="Arial"/>
          <w:lang w:eastAsia="en-US"/>
        </w:rPr>
        <w:t xml:space="preserve"> iv) garantizar que la decisión que apruebe los cargos se haga </w:t>
      </w:r>
      <w:r w:rsidRPr="001954E9">
        <w:rPr>
          <w:rFonts w:ascii="Bookman Old Style" w:eastAsia="Calibri" w:hAnsi="Bookman Old Style" w:cs="Arial"/>
          <w:lang w:eastAsia="en-US"/>
        </w:rPr>
        <w:lastRenderedPageBreak/>
        <w:t>atendiendo parámetros de eficiencia, atendiendo motivos comprobables en el marco de la Ley 142 de 1994.</w:t>
      </w:r>
    </w:p>
    <w:p w14:paraId="57F1A4F4" w14:textId="15D9DA58" w:rsidR="00526A24" w:rsidRDefault="00526A24" w:rsidP="00526A24">
      <w:pPr>
        <w:spacing w:before="240" w:after="240"/>
        <w:ind w:left="0"/>
        <w:jc w:val="both"/>
        <w:rPr>
          <w:rFonts w:ascii="Bookman Old Style" w:hAnsi="Bookman Old Style"/>
          <w:lang w:val="es-ES_tradnl"/>
        </w:rPr>
      </w:pPr>
      <w:r>
        <w:rPr>
          <w:rFonts w:ascii="Bookman Old Style" w:hAnsi="Bookman Old Style"/>
          <w:lang w:eastAsia="es-CO"/>
        </w:rPr>
        <w:t>Para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 xml:space="preserve">fario descrito en el </w:t>
      </w:r>
      <w:r w:rsidRPr="00EE4661">
        <w:rPr>
          <w:rFonts w:ascii="Bookman Old Style" w:hAnsi="Bookman Old Style"/>
          <w:lang w:val="es-ES_tradnl"/>
        </w:rPr>
        <w:t>numeral 7.1, el cual</w:t>
      </w:r>
      <w:r>
        <w:rPr>
          <w:rFonts w:ascii="Bookman Old Style" w:hAnsi="Bookman Old Style"/>
          <w:lang w:val="es-ES_tradnl"/>
        </w:rPr>
        <w:t xml:space="preserve"> constituye</w:t>
      </w:r>
      <w:r w:rsidR="00EE4661">
        <w:rPr>
          <w:rFonts w:ascii="Bookman Old Style" w:hAnsi="Bookman Old Style"/>
          <w:lang w:val="es-ES_tradnl"/>
        </w:rPr>
        <w:t xml:space="preserve"> una agregación de mercados existentes de distribución</w:t>
      </w:r>
      <w:r>
        <w:rPr>
          <w:rFonts w:ascii="Bookman Old Style" w:hAnsi="Bookman Old Style"/>
          <w:lang w:val="es-ES_tradnl"/>
        </w:rPr>
        <w:t>, s</w:t>
      </w:r>
      <w:r w:rsidRPr="00AC7842">
        <w:rPr>
          <w:rFonts w:ascii="Bookman Old Style" w:hAnsi="Bookman Old Style"/>
          <w:lang w:eastAsia="es-CO"/>
        </w:rPr>
        <w:t>e uti</w:t>
      </w:r>
      <w:r>
        <w:rPr>
          <w:rFonts w:ascii="Bookman Old Style" w:hAnsi="Bookman Old Style"/>
          <w:lang w:eastAsia="es-CO"/>
        </w:rPr>
        <w:t>liza</w:t>
      </w:r>
      <w:r w:rsidRPr="00AC7842">
        <w:rPr>
          <w:rFonts w:ascii="Bookman Old Style" w:hAnsi="Bookman Old Style"/>
          <w:lang w:eastAsia="es-CO"/>
        </w:rPr>
        <w:t xml:space="preserve"> la información reportada a la CREG por </w:t>
      </w:r>
      <w:r>
        <w:rPr>
          <w:rFonts w:ascii="Bookman Old Style" w:hAnsi="Bookman Old Style"/>
          <w:lang w:eastAsia="es-CO"/>
        </w:rPr>
        <w:t>la empresa</w:t>
      </w:r>
      <w:r w:rsidRPr="00AC7842">
        <w:rPr>
          <w:rFonts w:ascii="Bookman Old Style" w:hAnsi="Bookman Old Style"/>
          <w:lang w:eastAsia="es-CO"/>
        </w:rPr>
        <w:t xml:space="preserve"> di</w:t>
      </w:r>
      <w:r>
        <w:rPr>
          <w:rFonts w:ascii="Bookman Old Style" w:hAnsi="Bookman Old Style"/>
          <w:lang w:eastAsia="es-CO"/>
        </w:rPr>
        <w:t>stribuidora y comercializadora</w:t>
      </w:r>
      <w:r w:rsidRPr="00AC7842">
        <w:rPr>
          <w:rFonts w:ascii="Bookman Old Style" w:hAnsi="Bookman Old Style"/>
          <w:lang w:eastAsia="es-CO"/>
        </w:rPr>
        <w:t xml:space="preserve"> en las solicitudes tarifarias</w:t>
      </w:r>
      <w:r>
        <w:rPr>
          <w:rFonts w:ascii="Bookman Old Style" w:hAnsi="Bookman Old Style"/>
          <w:lang w:eastAsia="es-CO"/>
        </w:rPr>
        <w:t xml:space="preserve"> de los mercados que conforman </w:t>
      </w:r>
      <w:r w:rsidRPr="000024C0">
        <w:rPr>
          <w:rFonts w:ascii="Bookman Old Style" w:hAnsi="Bookman Old Style"/>
          <w:lang w:eastAsia="es-CO"/>
        </w:rPr>
        <w:t>el me</w:t>
      </w:r>
      <w:r w:rsidRPr="000024C0">
        <w:rPr>
          <w:rFonts w:ascii="Bookman Old Style" w:hAnsi="Bookman Old Style"/>
          <w:lang w:val="es-ES_tradnl"/>
        </w:rPr>
        <w:t>rcado relevante de distribución para el siguiente período tarifario</w:t>
      </w:r>
      <w:r w:rsidRPr="00AC7842">
        <w:rPr>
          <w:rFonts w:ascii="Bookman Old Style" w:hAnsi="Bookman Old Style"/>
          <w:lang w:eastAsia="es-CO"/>
        </w:rPr>
        <w:t>, archivadas conforme lo dispuesto en el artículo 11 de la resolución CREG 093 de 2016</w:t>
      </w:r>
      <w:r w:rsidR="00BF4A5B">
        <w:rPr>
          <w:rFonts w:ascii="Bookman Old Style" w:hAnsi="Bookman Old Style"/>
          <w:lang w:eastAsia="es-CO"/>
        </w:rPr>
        <w:t>. De igual forma, se</w:t>
      </w:r>
      <w:r w:rsidRPr="00AC7842">
        <w:rPr>
          <w:rFonts w:ascii="Bookman Old Style" w:hAnsi="Bookman Old Style"/>
          <w:lang w:eastAsia="es-CO"/>
        </w:rPr>
        <w:t xml:space="preserve"> </w:t>
      </w:r>
      <w:r w:rsidR="00BF4A5B">
        <w:rPr>
          <w:rFonts w:ascii="Bookman Old Style" w:hAnsi="Bookman Old Style"/>
          <w:lang w:eastAsia="es-CO"/>
        </w:rPr>
        <w:t xml:space="preserve">utiliza la información de AOM reportado, </w:t>
      </w:r>
      <w:r w:rsidRPr="00AC7842">
        <w:rPr>
          <w:rFonts w:ascii="Bookman Old Style" w:hAnsi="Bookman Old Style"/>
          <w:lang w:eastAsia="es-CO"/>
        </w:rPr>
        <w:t xml:space="preserve">con la depuración que pudo realizarse por parte de la </w:t>
      </w:r>
      <w:r>
        <w:rPr>
          <w:rFonts w:ascii="Bookman Old Style" w:hAnsi="Bookman Old Style"/>
          <w:lang w:eastAsia="es-CO"/>
        </w:rPr>
        <w:t>CREG o por parte de la empresa</w:t>
      </w:r>
      <w:r w:rsidRPr="00AC7842">
        <w:rPr>
          <w:rFonts w:ascii="Bookman Old Style" w:hAnsi="Bookman Old Style"/>
          <w:lang w:eastAsia="es-CO"/>
        </w:rPr>
        <w:t xml:space="preserve"> como respuesta a </w:t>
      </w:r>
      <w:r>
        <w:rPr>
          <w:rFonts w:ascii="Bookman Old Style" w:hAnsi="Bookman Old Style"/>
          <w:lang w:eastAsia="es-CO"/>
        </w:rPr>
        <w:t>c</w:t>
      </w:r>
      <w:r w:rsidRPr="00AC7842">
        <w:rPr>
          <w:rFonts w:ascii="Bookman Old Style" w:hAnsi="Bookman Old Style"/>
          <w:lang w:eastAsia="es-CO"/>
        </w:rPr>
        <w:t>omunicaciones particulares y/o a la C</w:t>
      </w:r>
      <w:r>
        <w:rPr>
          <w:rFonts w:ascii="Bookman Old Style" w:hAnsi="Bookman Old Style"/>
          <w:lang w:eastAsia="es-CO"/>
        </w:rPr>
        <w:t>ircular CREG 004 de 2017.</w:t>
      </w:r>
    </w:p>
    <w:p w14:paraId="6C521794" w14:textId="76F56A7F" w:rsidR="00526A24" w:rsidRDefault="00526A24" w:rsidP="00526A24">
      <w:pPr>
        <w:spacing w:before="240" w:after="240"/>
        <w:ind w:left="0"/>
        <w:jc w:val="both"/>
        <w:rPr>
          <w:rFonts w:ascii="Bookman Old Style" w:hAnsi="Bookman Old Style"/>
          <w:lang w:eastAsia="es-CO"/>
        </w:rPr>
      </w:pPr>
      <w:r>
        <w:rPr>
          <w:rFonts w:ascii="Bookman Old Style" w:hAnsi="Bookman Old Style"/>
          <w:lang w:eastAsia="es-CO"/>
        </w:rPr>
        <w:t>Dichos gastos de AOM se reparten entre las actividades de distribución y comercialización conforme a los porcentajes reportados por la empresa para cada actividad. En caso de que la empresa no reporte dichos porcentajes, se dividirán los gastos de AOM en partes iguales entre las actividades de distribución y comercialización.</w:t>
      </w:r>
    </w:p>
    <w:p w14:paraId="245F7B09" w14:textId="77777777" w:rsidR="00526A24" w:rsidRDefault="00526A24" w:rsidP="00526A24">
      <w:pPr>
        <w:ind w:left="0"/>
        <w:jc w:val="both"/>
        <w:rPr>
          <w:rFonts w:ascii="Bookman Old Style" w:hAnsi="Bookman Old Style"/>
          <w:lang w:eastAsia="es-CO"/>
        </w:rPr>
      </w:pPr>
      <w:r w:rsidRPr="000024C0">
        <w:rPr>
          <w:rFonts w:ascii="Bookman Old Style" w:hAnsi="Bookman Old Style"/>
          <w:lang w:eastAsia="es-CO"/>
        </w:rPr>
        <w:t>Al valor del gasto de AOM reportado y depurado asignado para la unidad de negocio de distribución se le adicion</w:t>
      </w:r>
      <w:r>
        <w:rPr>
          <w:rFonts w:ascii="Bookman Old Style" w:hAnsi="Bookman Old Style"/>
          <w:lang w:eastAsia="es-CO"/>
        </w:rPr>
        <w:t>a</w:t>
      </w:r>
      <w:r w:rsidRPr="000024C0">
        <w:rPr>
          <w:rFonts w:ascii="Bookman Old Style" w:hAnsi="Bookman Old Style"/>
          <w:lang w:eastAsia="es-CO"/>
        </w:rPr>
        <w:t xml:space="preserve"> el valor equivalente de arrendamientos de las cuentas 751701 (Terrenos) y 751702 (Construcciones y edificaciones).</w:t>
      </w:r>
      <w:r>
        <w:rPr>
          <w:rFonts w:ascii="Bookman Old Style" w:hAnsi="Bookman Old Style"/>
          <w:lang w:eastAsia="es-CO"/>
        </w:rPr>
        <w:t xml:space="preserve"> </w:t>
      </w:r>
      <w:r w:rsidRPr="000024C0">
        <w:rPr>
          <w:rFonts w:ascii="Bookman Old Style" w:hAnsi="Bookman Old Style"/>
          <w:lang w:eastAsia="es-CO"/>
        </w:rPr>
        <w:t>Este resultado se actualiza con el IPC al año 2014.</w:t>
      </w:r>
    </w:p>
    <w:p w14:paraId="7DFFBBE4" w14:textId="396E4F61" w:rsidR="00526A24" w:rsidRDefault="00526A24" w:rsidP="00526A24">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 xml:space="preserve">El valor de gastos de AOM se ajusta a </w:t>
      </w:r>
      <w:r w:rsidR="00D348AB">
        <w:rPr>
          <w:rFonts w:ascii="Bookman Old Style" w:hAnsi="Bookman Old Style"/>
          <w:sz w:val="24"/>
          <w:szCs w:val="24"/>
          <w:lang w:eastAsia="es-CO"/>
        </w:rPr>
        <w:t>diciembre de 2014</w:t>
      </w:r>
      <w:r>
        <w:rPr>
          <w:rFonts w:ascii="Bookman Old Style" w:hAnsi="Bookman Old Style"/>
          <w:sz w:val="24"/>
          <w:szCs w:val="24"/>
          <w:lang w:eastAsia="es-CO"/>
        </w:rPr>
        <w:t xml:space="preserve"> obteniendo el porcentaje de variación entre los kilómetros de red reportados para los años 2014 y 2013 y multiplicándolo por el valor de gastos de AOM obtenido al actualizar con el IPC.</w:t>
      </w:r>
    </w:p>
    <w:p w14:paraId="56D81FCD" w14:textId="3C6D2D97" w:rsidR="00526A24" w:rsidRPr="000024C0" w:rsidRDefault="00526A24" w:rsidP="00526A24">
      <w:pPr>
        <w:spacing w:before="240" w:after="240"/>
        <w:ind w:left="0"/>
        <w:jc w:val="both"/>
        <w:rPr>
          <w:rFonts w:ascii="Bookman Old Style" w:hAnsi="Bookman Old Style"/>
          <w:lang w:val="es-CO" w:eastAsia="es-CO"/>
        </w:rPr>
      </w:pPr>
      <w:r w:rsidRPr="000024C0">
        <w:rPr>
          <w:rFonts w:ascii="Bookman Old Style" w:hAnsi="Bookman Old Style"/>
          <w:lang w:val="es-CO" w:eastAsia="es-CO"/>
        </w:rPr>
        <w:t xml:space="preserve">Los gastos de AOM correspondientes a la actividad de distribución se asignan para cada uno de los mercados relevantes de distribución atendidos por la empresa en forma proporcional al </w:t>
      </w:r>
      <w:r>
        <w:rPr>
          <w:rFonts w:ascii="Bookman Old Style" w:hAnsi="Bookman Old Style"/>
          <w:lang w:val="es-CO" w:eastAsia="es-CO"/>
        </w:rPr>
        <w:t>número de usuarios o a los kilómetros de red</w:t>
      </w:r>
      <w:r w:rsidRPr="000024C0">
        <w:rPr>
          <w:rFonts w:ascii="Bookman Old Style" w:hAnsi="Bookman Old Style"/>
          <w:lang w:val="es-CO" w:eastAsia="es-CO"/>
        </w:rPr>
        <w:t xml:space="preserve"> según lo defin</w:t>
      </w:r>
      <w:r>
        <w:rPr>
          <w:rFonts w:ascii="Bookman Old Style" w:hAnsi="Bookman Old Style"/>
          <w:lang w:val="es-CO" w:eastAsia="es-CO"/>
        </w:rPr>
        <w:t>ido por</w:t>
      </w:r>
      <w:r w:rsidRPr="000024C0">
        <w:rPr>
          <w:rFonts w:ascii="Bookman Old Style" w:hAnsi="Bookman Old Style"/>
          <w:lang w:val="es-CO" w:eastAsia="es-CO"/>
        </w:rPr>
        <w:t xml:space="preserve"> la empresa.</w:t>
      </w:r>
    </w:p>
    <w:p w14:paraId="3C48CC9F" w14:textId="562A663D" w:rsidR="00526A24" w:rsidRPr="000024C0" w:rsidRDefault="00526A24" w:rsidP="00526A24">
      <w:pPr>
        <w:spacing w:before="240" w:after="240"/>
        <w:ind w:left="0"/>
        <w:jc w:val="both"/>
        <w:rPr>
          <w:rFonts w:ascii="Bookman Old Style" w:hAnsi="Bookman Old Style"/>
          <w:lang w:val="es-CO" w:eastAsia="es-CO"/>
        </w:rPr>
      </w:pPr>
      <w:r w:rsidRPr="000024C0">
        <w:rPr>
          <w:rFonts w:ascii="Bookman Old Style" w:hAnsi="Bookman Old Style"/>
          <w:lang w:val="es-CO" w:eastAsia="es-CO"/>
        </w:rPr>
        <w:t>Una vez definido lo anterior</w:t>
      </w:r>
      <w:r>
        <w:rPr>
          <w:rFonts w:ascii="Bookman Old Style" w:hAnsi="Bookman Old Style"/>
          <w:lang w:val="es-CO" w:eastAsia="es-CO"/>
        </w:rPr>
        <w:t>,</w:t>
      </w:r>
      <w:r w:rsidRPr="000024C0">
        <w:rPr>
          <w:rFonts w:ascii="Bookman Old Style" w:hAnsi="Bookman Old Style"/>
          <w:lang w:val="es-CO" w:eastAsia="es-CO"/>
        </w:rPr>
        <w:t xml:space="preserve"> se establece para el mercado relevante de distribución para el siguiente periodo tarifario el porcentaje de AOM eficiente a reconocer (</w:t>
      </w:r>
      <m:oMath>
        <m:sSub>
          <m:sSubPr>
            <m:ctrlPr>
              <w:rPr>
                <w:rFonts w:ascii="Cambria Math" w:hAnsi="Cambria Math"/>
                <w:lang w:val="es-CO" w:eastAsia="es-CO"/>
              </w:rPr>
            </m:ctrlPr>
          </m:sSubPr>
          <m:e>
            <m:r>
              <m:rPr>
                <m:sty m:val="p"/>
              </m:rPr>
              <w:rPr>
                <w:rFonts w:ascii="Cambria Math" w:hAnsi="Cambria Math"/>
              </w:rPr>
              <m:t>%AOM</m:t>
            </m:r>
          </m:e>
          <m:sub>
            <m:r>
              <m:rPr>
                <m:sty m:val="p"/>
              </m:rPr>
              <w:rPr>
                <w:rFonts w:ascii="Cambria Math" w:hAnsi="Cambria Math"/>
              </w:rPr>
              <m:t>eficiente</m:t>
            </m:r>
          </m:sub>
        </m:sSub>
      </m:oMath>
      <w:r w:rsidRPr="000024C0">
        <w:rPr>
          <w:rFonts w:ascii="Bookman Old Style" w:hAnsi="Bookman Old Style"/>
          <w:lang w:val="es-CO" w:eastAsia="es-CO"/>
        </w:rPr>
        <w:t>) de acuerdo con la siguiente fórmula:</w:t>
      </w:r>
    </w:p>
    <w:p w14:paraId="4FDEBEBC" w14:textId="247CFAA3" w:rsidR="00526A24" w:rsidRPr="00526A24" w:rsidRDefault="00A93098" w:rsidP="00526A24">
      <w:pPr>
        <w:ind w:right="-93"/>
        <w:jc w:val="both"/>
        <w:rPr>
          <w:rFonts w:ascii="Bookman Old Style" w:eastAsia="MS Mincho" w:hAnsi="Bookman Old Style" w:cs="Arial"/>
          <w:sz w:val="22"/>
          <w:lang w:val="es-ES_tradnl" w:eastAsia="en-US"/>
        </w:rPr>
      </w:pPr>
      <m:oMathPara>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eficientek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e>
          </m:d>
        </m:oMath>
      </m:oMathPara>
    </w:p>
    <w:p w14:paraId="2F481D5F" w14:textId="77777777" w:rsidR="00526A24" w:rsidRPr="00AC7842" w:rsidRDefault="00526A24" w:rsidP="00526A24">
      <w:pPr>
        <w:spacing w:before="240" w:after="240"/>
        <w:ind w:left="-142"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640" w:type="dxa"/>
        <w:tblInd w:w="-142" w:type="dxa"/>
        <w:tblLayout w:type="fixed"/>
        <w:tblLook w:val="04A0" w:firstRow="1" w:lastRow="0" w:firstColumn="1" w:lastColumn="0" w:noHBand="0" w:noVBand="1"/>
      </w:tblPr>
      <w:tblGrid>
        <w:gridCol w:w="1985"/>
        <w:gridCol w:w="7655"/>
      </w:tblGrid>
      <w:tr w:rsidR="00526A24" w:rsidRPr="00AC7842" w14:paraId="096CAB17" w14:textId="77777777" w:rsidTr="00FD4ECB">
        <w:tc>
          <w:tcPr>
            <w:tcW w:w="1985" w:type="dxa"/>
          </w:tcPr>
          <w:p w14:paraId="7C9B8EA3" w14:textId="768D7071" w:rsidR="00526A24" w:rsidRPr="00526A24" w:rsidRDefault="00A93098"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655" w:type="dxa"/>
          </w:tcPr>
          <w:p w14:paraId="76BC0E34" w14:textId="57E7FE8C"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reportados por la empresa y con la depuración que pudo realizar la Comisión, para el año 2013, asignados </w:t>
            </w:r>
            <w:r>
              <w:rPr>
                <w:rFonts w:ascii="Bookman Old Style" w:eastAsia="MS Mincho" w:hAnsi="Bookman Old Style" w:cs="Arial"/>
                <w:lang w:val="es-ES_tradnl" w:eastAsia="en-US"/>
              </w:rPr>
              <w:t>en forma proporcional al número de usuarios y/o kilómetros de red según lo defina la empresa</w:t>
            </w:r>
            <w:r w:rsidRPr="00AC7842">
              <w:rPr>
                <w:rFonts w:ascii="Bookman Old Style" w:eastAsia="MS Mincho" w:hAnsi="Bookman Old Style" w:cs="Arial"/>
                <w:lang w:val="es-ES_tradnl" w:eastAsia="en-US"/>
              </w:rPr>
              <w:t xml:space="preserve">, para el mercado relevante de distribución para el siguiente periodo tarifario k, expresados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Estos gastos incluyen </w:t>
            </w:r>
            <w:r w:rsidRPr="00AC7842">
              <w:rPr>
                <w:rFonts w:ascii="Bookman Old Style" w:eastAsia="MS Mincho" w:hAnsi="Bookman Old Style" w:cs="Arial"/>
                <w:lang w:val="es-ES_tradnl" w:eastAsia="en-US"/>
              </w:rPr>
              <w:lastRenderedPageBreak/>
              <w:t xml:space="preserve">los conceptos de valores equivalentes a arrendamientos de las cuentas terrenos, construcciones y edificaciones. </w:t>
            </w:r>
          </w:p>
          <w:p w14:paraId="2779DEFF" w14:textId="77777777" w:rsidR="00526A24" w:rsidRPr="00AC7842" w:rsidRDefault="00526A24" w:rsidP="00FD4ECB">
            <w:pPr>
              <w:ind w:right="-93"/>
              <w:jc w:val="both"/>
              <w:rPr>
                <w:rFonts w:ascii="Bookman Old Style" w:eastAsia="MS Mincho" w:hAnsi="Bookman Old Style" w:cs="Arial"/>
                <w:lang w:val="es-ES_tradnl" w:eastAsia="en-US"/>
              </w:rPr>
            </w:pPr>
          </w:p>
        </w:tc>
      </w:tr>
      <w:tr w:rsidR="00526A24" w:rsidRPr="00AC7842" w14:paraId="1EA10CAF" w14:textId="77777777" w:rsidTr="00FD4ECB">
        <w:tc>
          <w:tcPr>
            <w:tcW w:w="1985" w:type="dxa"/>
          </w:tcPr>
          <w:p w14:paraId="28EC4BA7" w14:textId="09751E7A" w:rsidR="00526A24" w:rsidRPr="00526A24" w:rsidRDefault="00A93098"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655" w:type="dxa"/>
          </w:tcPr>
          <w:p w14:paraId="0C1F0549" w14:textId="7A1D378B"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remunerados actualmente. Estos se calculan conforme a la siguiente fórmula y se expresan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1D1A7D2A" w14:textId="4FEFEE9B" w:rsidR="00526A24" w:rsidRPr="00526A24" w:rsidRDefault="00A93098" w:rsidP="00FD4ECB">
            <w:pPr>
              <w:ind w:left="2126"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rem</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nary>
                  <m:naryPr>
                    <m:chr m:val="∑"/>
                    <m:limLoc m:val="undOvr"/>
                    <m:ctrlPr>
                      <w:rPr>
                        <w:rFonts w:ascii="Cambria Math" w:eastAsia="MS Mincho" w:hAnsi="Cambria Math" w:cs="Arial"/>
                        <w:lang w:val="es-ES_tradnl" w:eastAsia="en-US"/>
                      </w:rPr>
                    </m:ctrlPr>
                  </m:naryPr>
                  <m:sub>
                    <m:r>
                      <m:rPr>
                        <m:sty m:val="p"/>
                      </m:rPr>
                      <w:rPr>
                        <w:rFonts w:ascii="Cambria Math" w:eastAsia="MS Mincho" w:hAnsi="Cambria Math" w:cs="Arial"/>
                        <w:lang w:val="es-ES_tradnl" w:eastAsia="en-US"/>
                      </w:rPr>
                      <m:t>z=1</m:t>
                    </m:r>
                  </m:sub>
                  <m:sup>
                    <m:r>
                      <m:rPr>
                        <m:sty m:val="p"/>
                      </m:rPr>
                      <w:rPr>
                        <w:rFonts w:ascii="Cambria Math" w:eastAsia="MS Mincho" w:hAnsi="Cambria Math" w:cs="Arial"/>
                        <w:lang w:val="es-ES_tradnl" w:eastAsia="en-US"/>
                      </w:rPr>
                      <m:t>n</m:t>
                    </m:r>
                  </m:sup>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e>
                </m:nary>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p w14:paraId="1C407E37"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p w14:paraId="7136C22B" w14:textId="77777777" w:rsidR="00526A24" w:rsidRPr="00AC7842" w:rsidRDefault="00526A24" w:rsidP="00FD4ECB">
            <w:pPr>
              <w:ind w:left="0" w:right="-93"/>
              <w:jc w:val="both"/>
              <w:rPr>
                <w:rFonts w:ascii="Bookman Old Style" w:eastAsia="MS Mincho" w:hAnsi="Bookman Old Style" w:cs="Arial"/>
                <w:lang w:val="es-ES_tradnl" w:eastAsia="en-US"/>
              </w:rPr>
            </w:pPr>
          </w:p>
          <w:tbl>
            <w:tblPr>
              <w:tblW w:w="0" w:type="auto"/>
              <w:tblLayout w:type="fixed"/>
              <w:tblLook w:val="04A0" w:firstRow="1" w:lastRow="0" w:firstColumn="1" w:lastColumn="0" w:noHBand="0" w:noVBand="1"/>
            </w:tblPr>
            <w:tblGrid>
              <w:gridCol w:w="1446"/>
              <w:gridCol w:w="5584"/>
            </w:tblGrid>
            <w:tr w:rsidR="00526A24" w:rsidRPr="00AC7842" w14:paraId="023B3022" w14:textId="77777777" w:rsidTr="00FD4ECB">
              <w:tc>
                <w:tcPr>
                  <w:tcW w:w="1446" w:type="dxa"/>
                </w:tcPr>
                <w:p w14:paraId="5CC3E2AE" w14:textId="22F5CE07" w:rsidR="00526A24" w:rsidRPr="00526A24" w:rsidRDefault="00A93098"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oMath>
                  </m:oMathPara>
                </w:p>
              </w:tc>
              <w:tc>
                <w:tcPr>
                  <w:tcW w:w="5584" w:type="dxa"/>
                </w:tcPr>
                <w:p w14:paraId="61DC1F2D" w14:textId="4DE8C4E9"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Cargo promedio de distribución correspondiente a remuneración de la componente AOM y para el mercado existente z aprobado mediante resolución particular conforme a la Resolución CREG 011 de 2003. Expresado en pesos por metro cúbico de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actualizado sólo con IPP. </w:t>
                  </w:r>
                </w:p>
                <w:p w14:paraId="54A4E5C0" w14:textId="77777777" w:rsidR="00526A24" w:rsidRPr="00AC7842" w:rsidRDefault="00526A24" w:rsidP="00FD4ECB">
                  <w:pPr>
                    <w:ind w:left="0" w:right="-93"/>
                    <w:jc w:val="both"/>
                    <w:rPr>
                      <w:rFonts w:ascii="Bookman Old Style" w:eastAsia="MS Mincho" w:hAnsi="Bookman Old Style" w:cs="Arial"/>
                      <w:lang w:val="es-ES_tradnl" w:eastAsia="en-US"/>
                    </w:rPr>
                  </w:pPr>
                </w:p>
                <w:p w14:paraId="550EDFE0" w14:textId="6A269E0E"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Para las zonas que dejaron de ser áreas de servicio exclusivo se tomará</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como componente del cargo que remunera gastos de AOM</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el cargo de distribución a </w:t>
                  </w:r>
                  <w:r w:rsidR="00654264">
                    <w:rPr>
                      <w:rFonts w:ascii="Bookman Old Style" w:eastAsia="MS Mincho" w:hAnsi="Bookman Old Style" w:cs="Arial"/>
                      <w:lang w:val="es-ES_tradnl" w:eastAsia="en-US"/>
                    </w:rPr>
                    <w:t>pesos</w:t>
                  </w:r>
                  <w:r w:rsidR="00DA5EF1">
                    <w:rPr>
                      <w:rFonts w:ascii="Bookman Old Style" w:eastAsia="MS Mincho" w:hAnsi="Bookman Old Style" w:cs="Arial"/>
                      <w:lang w:val="es-ES_tradnl" w:eastAsia="en-US"/>
                    </w:rPr>
                    <w:t xml:space="preserve"> de</w:t>
                  </w:r>
                  <w:r w:rsidR="00654264">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que se viene cobrando en dicha zona multiplicado por </w:t>
                  </w:r>
                  <w:r w:rsidR="00654264">
                    <w:rPr>
                      <w:rFonts w:ascii="Bookman Old Style" w:eastAsia="MS Mincho" w:hAnsi="Bookman Old Style" w:cs="Arial"/>
                      <w:lang w:val="es-ES_tradnl" w:eastAsia="en-US"/>
                    </w:rPr>
                    <w:t>el promedio del porcentaje de AOM</w:t>
                  </w:r>
                  <w:r w:rsidR="0032216B">
                    <w:rPr>
                      <w:rFonts w:ascii="Bookman Old Style" w:eastAsia="MS Mincho" w:hAnsi="Bookman Old Style" w:cs="Arial"/>
                      <w:lang w:val="es-ES_tradnl" w:eastAsia="en-US"/>
                    </w:rPr>
                    <w:t xml:space="preserve"> del cargo residencial </w:t>
                  </w:r>
                  <w:r w:rsidR="00654264">
                    <w:rPr>
                      <w:rFonts w:ascii="Bookman Old Style" w:eastAsia="MS Mincho" w:hAnsi="Bookman Old Style" w:cs="Arial"/>
                      <w:lang w:val="es-ES_tradnl" w:eastAsia="en-US"/>
                    </w:rPr>
                    <w:t xml:space="preserve">de las solicitudes archivadas conforme </w:t>
                  </w:r>
                  <w:r w:rsidR="00204E5B">
                    <w:rPr>
                      <w:rFonts w:ascii="Bookman Old Style" w:eastAsia="MS Mincho" w:hAnsi="Bookman Old Style" w:cs="Arial"/>
                      <w:lang w:val="es-ES_tradnl" w:eastAsia="en-US"/>
                    </w:rPr>
                    <w:t>a lo dispuesto en e</w:t>
                  </w:r>
                  <w:r w:rsidR="00654264">
                    <w:rPr>
                      <w:rFonts w:ascii="Bookman Old Style" w:eastAsia="MS Mincho" w:hAnsi="Bookman Old Style" w:cs="Arial"/>
                      <w:lang w:val="es-ES_tradnl" w:eastAsia="en-US"/>
                    </w:rPr>
                    <w:t xml:space="preserve">l </w:t>
                  </w:r>
                  <w:r w:rsidR="00204E5B">
                    <w:rPr>
                      <w:rFonts w:ascii="Bookman Old Style" w:eastAsia="MS Mincho" w:hAnsi="Bookman Old Style" w:cs="Arial"/>
                      <w:lang w:val="es-ES_tradnl" w:eastAsia="en-US"/>
                    </w:rPr>
                    <w:t>artículo</w:t>
                  </w:r>
                  <w:r w:rsidR="00654264">
                    <w:rPr>
                      <w:rFonts w:ascii="Bookman Old Style" w:eastAsia="MS Mincho" w:hAnsi="Bookman Old Style" w:cs="Arial"/>
                      <w:lang w:val="es-ES_tradnl" w:eastAsia="en-US"/>
                    </w:rPr>
                    <w:t xml:space="preserve"> 11 de la Resolución CREG 09</w:t>
                  </w:r>
                  <w:r w:rsidR="00204E5B">
                    <w:rPr>
                      <w:rFonts w:ascii="Bookman Old Style" w:eastAsia="MS Mincho" w:hAnsi="Bookman Old Style" w:cs="Arial"/>
                      <w:lang w:val="es-ES_tradnl" w:eastAsia="en-US"/>
                    </w:rPr>
                    <w:t>3</w:t>
                  </w:r>
                  <w:r w:rsidR="00654264">
                    <w:rPr>
                      <w:rFonts w:ascii="Bookman Old Style" w:eastAsia="MS Mincho" w:hAnsi="Bookman Old Style" w:cs="Arial"/>
                      <w:lang w:val="es-ES_tradnl" w:eastAsia="en-US"/>
                    </w:rPr>
                    <w:t xml:space="preserve"> de 2016</w:t>
                  </w:r>
                  <w:r w:rsidRPr="00AC7842">
                    <w:rPr>
                      <w:rFonts w:ascii="Bookman Old Style" w:eastAsia="MS Mincho" w:hAnsi="Bookman Old Style" w:cs="Arial"/>
                      <w:lang w:val="es-ES_tradnl" w:eastAsia="en-US"/>
                    </w:rPr>
                    <w:t xml:space="preserve">. </w:t>
                  </w:r>
                </w:p>
                <w:p w14:paraId="36AF6825"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4E2EAECC" w14:textId="77777777" w:rsidTr="00FD4ECB">
              <w:tc>
                <w:tcPr>
                  <w:tcW w:w="1446" w:type="dxa"/>
                </w:tcPr>
                <w:p w14:paraId="33B22FEA" w14:textId="1340FEFB" w:rsidR="00526A24" w:rsidRPr="00526A24" w:rsidRDefault="00A93098"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tc>
              <w:tc>
                <w:tcPr>
                  <w:tcW w:w="5584" w:type="dxa"/>
                </w:tcPr>
                <w:p w14:paraId="55E4FA40" w14:textId="42A879B1"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Demanda total reportada </w:t>
                  </w:r>
                  <w:r w:rsidR="007E2188">
                    <w:rPr>
                      <w:rFonts w:ascii="Bookman Old Style" w:eastAsia="MS Mincho" w:hAnsi="Bookman Old Style" w:cs="Arial"/>
                      <w:lang w:val="es-ES_tradnl" w:eastAsia="en-US"/>
                    </w:rPr>
                    <w:t>a</w:t>
                  </w:r>
                  <w:r w:rsidR="007E2188" w:rsidRPr="00AC7842">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para el mercado</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 z.</w:t>
                  </w:r>
                </w:p>
                <w:p w14:paraId="4C615CB7"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29F1170B" w14:textId="77777777" w:rsidTr="00FD4ECB">
              <w:tc>
                <w:tcPr>
                  <w:tcW w:w="1446" w:type="dxa"/>
                </w:tcPr>
                <w:p w14:paraId="6FF4AB89" w14:textId="77777777" w:rsidR="00526A24" w:rsidRPr="00AC7842" w:rsidRDefault="00526A24" w:rsidP="00FD4ECB">
                  <w:pPr>
                    <w:ind w:left="0" w:right="-93"/>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z</w:t>
                  </w:r>
                </w:p>
              </w:tc>
              <w:tc>
                <w:tcPr>
                  <w:tcW w:w="5584" w:type="dxa"/>
                </w:tcPr>
                <w:p w14:paraId="1865A866" w14:textId="54515823"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Mercado relevante de distribución aprobado mediante resolución particular conforme a la Resolución CREG 011 de 2003</w:t>
                  </w:r>
                  <w:r w:rsidR="00073153">
                    <w:rPr>
                      <w:rFonts w:ascii="Bookman Old Style" w:eastAsia="MS Mincho" w:hAnsi="Bookman Old Style" w:cs="Arial"/>
                      <w:lang w:val="es-ES_tradnl" w:eastAsia="en-US"/>
                    </w:rPr>
                    <w:t xml:space="preserve"> o zonas geográficas que dejan de ser áreas de servicio exclusivo.</w:t>
                  </w:r>
                </w:p>
                <w:p w14:paraId="0EFA0DD3"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3D2D0B7C" w14:textId="77777777" w:rsidTr="00FD4ECB">
              <w:tc>
                <w:tcPr>
                  <w:tcW w:w="1446" w:type="dxa"/>
                </w:tcPr>
                <w:p w14:paraId="210DCE19"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w:t>
                  </w:r>
                </w:p>
              </w:tc>
              <w:tc>
                <w:tcPr>
                  <w:tcW w:w="5584" w:type="dxa"/>
                </w:tcPr>
                <w:p w14:paraId="29A86B67" w14:textId="4F9DF3D9" w:rsidR="00526A24" w:rsidRPr="00AC7842" w:rsidRDefault="00526A24" w:rsidP="00D55CCC">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Número de mercados</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existentes</w:t>
                  </w:r>
                  <w:r w:rsidR="00D55CCC">
                    <w:rPr>
                      <w:rFonts w:ascii="Bookman Old Style" w:eastAsia="MS Mincho" w:hAnsi="Bookman Old Style" w:cs="Arial"/>
                      <w:lang w:val="es-ES_tradnl" w:eastAsia="en-US"/>
                    </w:rPr>
                    <w:t xml:space="preserve"> z</w:t>
                  </w:r>
                  <w:r w:rsidRPr="00AC7842">
                    <w:rPr>
                      <w:rFonts w:ascii="Bookman Old Style" w:eastAsia="MS Mincho" w:hAnsi="Bookman Old Style" w:cs="Arial"/>
                      <w:lang w:val="es-ES_tradnl" w:eastAsia="en-US"/>
                    </w:rPr>
                    <w:t xml:space="preserve"> y que conformarán el mercado relevante de distribución para el siguiente periodo tarifario</w:t>
                  </w:r>
                  <w:r w:rsidR="00A84DAD">
                    <w:rPr>
                      <w:rFonts w:ascii="Bookman Old Style" w:eastAsia="MS Mincho" w:hAnsi="Bookman Old Style" w:cs="Arial"/>
                      <w:lang w:val="es-ES_tradnl" w:eastAsia="en-US"/>
                    </w:rPr>
                    <w:t xml:space="preserve"> k</w:t>
                  </w:r>
                  <w:r w:rsidRPr="00AC7842">
                    <w:rPr>
                      <w:rFonts w:ascii="Bookman Old Style" w:eastAsia="MS Mincho" w:hAnsi="Bookman Old Style" w:cs="Arial"/>
                      <w:lang w:val="es-ES_tradnl" w:eastAsia="en-US"/>
                    </w:rPr>
                    <w:t>.</w:t>
                  </w:r>
                </w:p>
              </w:tc>
            </w:tr>
          </w:tbl>
          <w:p w14:paraId="041E6F5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73021390" w14:textId="77777777" w:rsidTr="00FD4ECB">
        <w:tc>
          <w:tcPr>
            <w:tcW w:w="1985" w:type="dxa"/>
          </w:tcPr>
          <w:p w14:paraId="23704707" w14:textId="77777777" w:rsidR="00526A24" w:rsidRPr="00AC7842" w:rsidRDefault="00526A24" w:rsidP="00FD4ECB">
            <w:pPr>
              <w:ind w:left="0" w:right="-93"/>
              <w:jc w:val="both"/>
              <w:rPr>
                <w:rFonts w:ascii="Bookman Old Style" w:eastAsia="MS Mincho" w:hAnsi="Bookman Old Style" w:cs="Arial"/>
                <w:sz w:val="22"/>
                <w:lang w:val="es-ES_tradnl" w:eastAsia="en-US"/>
              </w:rPr>
            </w:pPr>
          </w:p>
          <w:p w14:paraId="2561ACE3" w14:textId="69814F6D" w:rsidR="00526A24" w:rsidRPr="00526A24" w:rsidRDefault="00A93098"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oMath>
            </m:oMathPara>
          </w:p>
        </w:tc>
        <w:tc>
          <w:tcPr>
            <w:tcW w:w="7655" w:type="dxa"/>
          </w:tcPr>
          <w:p w14:paraId="2F325609" w14:textId="77777777" w:rsidR="00526A24" w:rsidRPr="00AC7842" w:rsidRDefault="00526A24" w:rsidP="00FD4ECB">
            <w:pPr>
              <w:ind w:left="0" w:right="-93"/>
              <w:jc w:val="both"/>
              <w:rPr>
                <w:rFonts w:ascii="Bookman Old Style" w:eastAsia="MS Mincho" w:hAnsi="Bookman Old Style" w:cs="Arial"/>
                <w:lang w:val="es-ES_tradnl" w:eastAsia="en-US"/>
              </w:rPr>
            </w:pPr>
          </w:p>
          <w:p w14:paraId="391B5B61" w14:textId="79A0AB96"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Base Regulatoria de Activos es el monto total de la Inversión Base correspondiente a activos inherentes a la operación y control de calidad del servicio a reconocer para el mercado relevante de distribución para el siguiente periodo tarifario k, expresada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698D7659"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0B75B8CE" w14:textId="77777777" w:rsidTr="00FD4ECB">
        <w:tc>
          <w:tcPr>
            <w:tcW w:w="1985" w:type="dxa"/>
          </w:tcPr>
          <w:p w14:paraId="31B57659" w14:textId="275149D3" w:rsidR="00526A24" w:rsidRPr="00526A24" w:rsidRDefault="00A93098"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655" w:type="dxa"/>
          </w:tcPr>
          <w:p w14:paraId="1989F1B3" w14:textId="23E39EF1"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 xml:space="preserve">este se calcula conforme a la siguiente fórmula y se expresa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5C0A30CC" w14:textId="77777777" w:rsidR="00526A24" w:rsidRPr="00AC7842" w:rsidRDefault="00526A24" w:rsidP="00FD4ECB">
            <w:pPr>
              <w:ind w:left="0" w:right="-93"/>
              <w:jc w:val="both"/>
              <w:rPr>
                <w:rFonts w:ascii="Bookman Old Style" w:eastAsia="MS Mincho" w:hAnsi="Bookman Old Style"/>
                <w:lang w:val="es-ES_tradnl" w:eastAsia="en-US"/>
              </w:rPr>
            </w:pPr>
          </w:p>
          <w:p w14:paraId="0DFEFAF9" w14:textId="5D8D76A3" w:rsidR="00526A24" w:rsidRPr="00526A24" w:rsidRDefault="00A93098" w:rsidP="00FD4ECB">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hint="eastAsia"/>
                                <w:lang w:val="es-ES_tradnl" w:eastAsia="en-US"/>
                              </w:rPr>
                              <m:t>max</m:t>
                            </m:r>
                          </m:fName>
                          <m:e>
                            <m:r>
                              <m:rPr>
                                <m:sty m:val="p"/>
                              </m:rPr>
                              <w:rPr>
                                <w:rFonts w:ascii="Cambria Math" w:eastAsia="MS Mincho" w:hAnsi="Cambria Math" w:cs="Arial" w:hint="eastAsia"/>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m:rPr>
                                <m:sty m:val="p"/>
                              </m:rP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hint="eastAsia"/>
                                <w:lang w:val="es-ES_tradnl" w:eastAsia="en-US"/>
                              </w:rPr>
                              <m:t>CyE</m:t>
                            </m:r>
                          </m:e>
                          <m:sub>
                            <m:r>
                              <m:rPr>
                                <m:sty m:val="p"/>
                              </m:rPr>
                              <w:rPr>
                                <w:rFonts w:ascii="Cambria Math" w:eastAsia="MS Mincho" w:hAnsi="Cambria Math" w:hint="eastAsia"/>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m:t>
                        </m:r>
                      </m:e>
                      <m:sub>
                        <m:r>
                          <w:rPr>
                            <w:rFonts w:ascii="Cambria Math" w:eastAsia="MS Mincho" w:hAnsi="Cambria Math" w:cs="Arial"/>
                            <w:lang w:val="es-ES_tradnl" w:eastAsia="en-US"/>
                          </w:rPr>
                          <m:t>k</m:t>
                        </m:r>
                      </m:sub>
                    </m:sSub>
                  </m:den>
                </m:f>
              </m:oMath>
            </m:oMathPara>
          </w:p>
          <w:p w14:paraId="09EED569" w14:textId="77777777" w:rsidR="00526A24" w:rsidRPr="00AC7842" w:rsidRDefault="00526A24" w:rsidP="00FD4ECB">
            <w:pPr>
              <w:ind w:left="0" w:right="-93"/>
              <w:jc w:val="both"/>
              <w:rPr>
                <w:rFonts w:ascii="Bookman Old Style" w:eastAsia="MS Mincho" w:hAnsi="Bookman Old Style"/>
                <w:lang w:val="es-ES_tradnl" w:eastAsia="en-US"/>
              </w:rPr>
            </w:pPr>
          </w:p>
          <w:p w14:paraId="2A7DE467" w14:textId="77777777"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p w14:paraId="3AB0134B" w14:textId="77777777" w:rsidR="00526A24" w:rsidRPr="00AC7842" w:rsidRDefault="00526A24" w:rsidP="00FD4ECB">
            <w:pPr>
              <w:ind w:left="0" w:right="-93"/>
              <w:jc w:val="both"/>
              <w:rPr>
                <w:rFonts w:ascii="Bookman Old Style" w:eastAsia="MS Mincho" w:hAnsi="Bookman Old Style"/>
                <w:lang w:val="es-ES_tradnl" w:eastAsia="en-US"/>
              </w:rPr>
            </w:pPr>
          </w:p>
          <w:tbl>
            <w:tblPr>
              <w:tblW w:w="7538" w:type="dxa"/>
              <w:tblLayout w:type="fixed"/>
              <w:tblLook w:val="04A0" w:firstRow="1" w:lastRow="0" w:firstColumn="1" w:lastColumn="0" w:noHBand="0" w:noVBand="1"/>
            </w:tblPr>
            <w:tblGrid>
              <w:gridCol w:w="1873"/>
              <w:gridCol w:w="5656"/>
              <w:gridCol w:w="9"/>
            </w:tblGrid>
            <w:tr w:rsidR="00526A24" w:rsidRPr="00AC7842" w14:paraId="6D91DB80" w14:textId="77777777" w:rsidTr="00FD4ECB">
              <w:trPr>
                <w:gridAfter w:val="1"/>
                <w:wAfter w:w="9" w:type="dxa"/>
              </w:trPr>
              <w:tc>
                <w:tcPr>
                  <w:tcW w:w="1873" w:type="dxa"/>
                  <w:shd w:val="clear" w:color="auto" w:fill="auto"/>
                </w:tcPr>
                <w:p w14:paraId="0FE0EFDA" w14:textId="77777777"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k</w:t>
                  </w:r>
                </w:p>
              </w:tc>
              <w:tc>
                <w:tcPr>
                  <w:tcW w:w="5656" w:type="dxa"/>
                  <w:shd w:val="clear" w:color="auto" w:fill="auto"/>
                </w:tcPr>
                <w:p w14:paraId="435E3C3C"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Mercado relevante de distribución para el siguiente periodo tarifario.</w:t>
                  </w:r>
                </w:p>
                <w:p w14:paraId="1139B2ED" w14:textId="77777777" w:rsidR="00526A24" w:rsidRPr="000A621B" w:rsidRDefault="00526A24" w:rsidP="00FD4ECB">
                  <w:pPr>
                    <w:ind w:left="0" w:right="743"/>
                    <w:jc w:val="both"/>
                    <w:rPr>
                      <w:rFonts w:ascii="Bookman Old Style" w:eastAsia="MS Mincho" w:hAnsi="Bookman Old Style" w:cs="Arial"/>
                      <w:lang w:val="es-ES_tradnl" w:eastAsia="en-US"/>
                    </w:rPr>
                  </w:pPr>
                </w:p>
              </w:tc>
            </w:tr>
            <w:tr w:rsidR="00526A24" w:rsidRPr="00AC7842" w14:paraId="5F71E1B6" w14:textId="77777777" w:rsidTr="00FD4ECB">
              <w:trPr>
                <w:gridAfter w:val="1"/>
                <w:wAfter w:w="9" w:type="dxa"/>
              </w:trPr>
              <w:tc>
                <w:tcPr>
                  <w:tcW w:w="1873" w:type="dxa"/>
                  <w:shd w:val="clear" w:color="auto" w:fill="auto"/>
                </w:tcPr>
                <w:p w14:paraId="0F9EC08E" w14:textId="60B637F4" w:rsidR="00526A24" w:rsidRPr="00526A24" w:rsidRDefault="00A93098"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CyE</m:t>
                          </m:r>
                        </m:e>
                        <m:sub>
                          <m:r>
                            <w:rPr>
                              <w:rFonts w:ascii="Cambria Math" w:eastAsia="MS Mincho" w:hAnsi="Cambria Math" w:cs="Arial"/>
                              <w:lang w:val="es-ES_tradnl" w:eastAsia="en-US"/>
                            </w:rPr>
                            <m:t>k</m:t>
                          </m:r>
                        </m:sub>
                      </m:sSub>
                    </m:oMath>
                  </m:oMathPara>
                </w:p>
              </w:tc>
              <w:tc>
                <w:tcPr>
                  <w:tcW w:w="5656" w:type="dxa"/>
                  <w:shd w:val="clear" w:color="auto" w:fill="auto"/>
                </w:tcPr>
                <w:p w14:paraId="584DAF39" w14:textId="13BD9538"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las construcciones y edificaciones atribuidos directamente a la unidad de negocio de distribución y que pertenecen al mercado relevante de distribución para el siguiente periodo tarifario k.</w:t>
                  </w:r>
                </w:p>
                <w:p w14:paraId="3747FAEB" w14:textId="77777777" w:rsidR="00526A24" w:rsidRPr="000A621B" w:rsidRDefault="00526A24" w:rsidP="00FD4ECB">
                  <w:pPr>
                    <w:ind w:left="-541" w:right="-117" w:firstLine="541"/>
                    <w:jc w:val="both"/>
                    <w:rPr>
                      <w:rFonts w:ascii="Bookman Old Style" w:eastAsia="MS Mincho" w:hAnsi="Bookman Old Style" w:cs="Arial"/>
                      <w:lang w:val="es-ES_tradnl" w:eastAsia="en-US"/>
                    </w:rPr>
                  </w:pPr>
                </w:p>
              </w:tc>
            </w:tr>
            <w:tr w:rsidR="00526A24" w:rsidRPr="00AC7842" w14:paraId="6BE8B467" w14:textId="77777777" w:rsidTr="00FD4ECB">
              <w:trPr>
                <w:gridAfter w:val="1"/>
                <w:wAfter w:w="9" w:type="dxa"/>
              </w:trPr>
              <w:tc>
                <w:tcPr>
                  <w:tcW w:w="1873" w:type="dxa"/>
                  <w:shd w:val="clear" w:color="auto" w:fill="auto"/>
                </w:tcPr>
                <w:p w14:paraId="2EECE2E0" w14:textId="51452CC8" w:rsidR="00526A24" w:rsidRPr="00526A24" w:rsidRDefault="00A93098"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oMath>
                  </m:oMathPara>
                </w:p>
              </w:tc>
              <w:tc>
                <w:tcPr>
                  <w:tcW w:w="5656" w:type="dxa"/>
                  <w:shd w:val="clear" w:color="auto" w:fill="auto"/>
                </w:tcPr>
                <w:p w14:paraId="50C88A75"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los terrenos atribuidos directamente a la unidad de negocio de distribución y que pertenecen al mercado relevante de distribución para el siguiente periodo tarifario k.</w:t>
                  </w:r>
                </w:p>
                <w:p w14:paraId="3874979A"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763C1807" w14:textId="77777777" w:rsidTr="00FD4ECB">
              <w:trPr>
                <w:gridAfter w:val="1"/>
                <w:wAfter w:w="9" w:type="dxa"/>
              </w:trPr>
              <w:tc>
                <w:tcPr>
                  <w:tcW w:w="1873" w:type="dxa"/>
                  <w:shd w:val="clear" w:color="auto" w:fill="auto"/>
                </w:tcPr>
                <w:p w14:paraId="595DBBDE" w14:textId="4ACCF777" w:rsidR="00526A24" w:rsidRPr="00526A24" w:rsidRDefault="00A93098" w:rsidP="00FD4ECB">
                  <w:pPr>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w:rPr>
                              <w:rFonts w:ascii="Cambria Math" w:eastAsia="MS Mincho" w:hAnsi="Cambria Math" w:cs="Arial"/>
                              <w:lang w:val="es-ES_tradnl" w:eastAsia="en-US"/>
                            </w:rPr>
                            <m:t>estimado K</m:t>
                          </m:r>
                        </m:sub>
                      </m:sSub>
                    </m:oMath>
                  </m:oMathPara>
                </w:p>
                <w:p w14:paraId="7BFD1594" w14:textId="77777777" w:rsidR="00526A24" w:rsidRPr="000A621B" w:rsidRDefault="00526A24" w:rsidP="00FD4ECB">
                  <w:pPr>
                    <w:ind w:left="0" w:right="743"/>
                    <w:rPr>
                      <w:rFonts w:ascii="Bookman Old Style" w:eastAsia="MS Mincho" w:hAnsi="Bookman Old Style" w:cs="Arial"/>
                      <w:lang w:val="es-ES_tradnl" w:eastAsia="en-US"/>
                    </w:rPr>
                  </w:pPr>
                </w:p>
              </w:tc>
              <w:tc>
                <w:tcPr>
                  <w:tcW w:w="5656" w:type="dxa"/>
                  <w:shd w:val="clear" w:color="auto" w:fill="auto"/>
                </w:tcPr>
                <w:p w14:paraId="3731B81E" w14:textId="6E554A5B"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 la relación entre los gastos de AOM y los activos de base regulatoria para el mercado relevante de distribución para el siguiente periodo tarifario k, calculada así:</w:t>
                  </w:r>
                </w:p>
                <w:p w14:paraId="0971195D" w14:textId="77777777" w:rsidR="00526A24" w:rsidRPr="000A621B" w:rsidRDefault="00526A24" w:rsidP="00FD4ECB">
                  <w:pPr>
                    <w:ind w:left="0" w:right="743"/>
                    <w:jc w:val="both"/>
                    <w:rPr>
                      <w:rFonts w:ascii="Bookman Old Style" w:eastAsia="MS Mincho" w:hAnsi="Bookman Old Style" w:cs="Arial"/>
                      <w:lang w:val="es-ES_tradnl" w:eastAsia="en-US"/>
                    </w:rPr>
                  </w:pPr>
                </w:p>
                <w:p w14:paraId="52E6BCAE" w14:textId="225D9D4C" w:rsidR="00526A24" w:rsidRPr="00526A24" w:rsidRDefault="00A93098" w:rsidP="00FD4ECB">
                  <w:pPr>
                    <w:ind w:left="0" w:right="-117"/>
                    <w:jc w:val="both"/>
                    <w:rPr>
                      <w:rFonts w:ascii="Bookman Old Style" w:eastAsia="MS Mincho" w:hAnsi="Bookman Old Style" w:cs="Arial"/>
                      <w:sz w:val="18"/>
                      <w:lang w:val="es-ES_tradnl" w:eastAsia="en-US"/>
                    </w:rPr>
                  </w:pPr>
                  <m:oMathPara>
                    <m:oMath>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r>
                            <m:rPr>
                              <m:sty m:val="p"/>
                            </m:rPr>
                            <w:rPr>
                              <w:rFonts w:ascii="Cambria Math" w:eastAsia="MS Mincho" w:hAnsi="Cambria Math" w:cs="Arial"/>
                              <w:sz w:val="18"/>
                              <w:lang w:val="es-ES_tradnl" w:eastAsia="en-US"/>
                            </w:rPr>
                            <m:t>k</m:t>
                          </m:r>
                        </m:sub>
                      </m:sSub>
                      <m:r>
                        <m:rPr>
                          <m:sty m:val="p"/>
                        </m:rPr>
                        <w:rPr>
                          <w:rFonts w:ascii="Cambria Math" w:eastAsia="MS Mincho" w:hAnsi="Cambria Math" w:cs="Arial" w:hint="eastAsia"/>
                          <w:sz w:val="18"/>
                          <w:lang w:val="es-ES_tradnl" w:eastAsia="en-US"/>
                        </w:rPr>
                        <m:t>=</m:t>
                      </m:r>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1</m:t>
                          </m:r>
                        </m:num>
                        <m:den>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18"/>
                                  <w:lang w:val="es-ES_tradnl" w:eastAsia="en-US"/>
                                </w:rPr>
                                <m:t>k</m:t>
                              </m:r>
                            </m:sub>
                          </m:sSub>
                        </m:den>
                      </m:f>
                      <m:r>
                        <m:rPr>
                          <m:sty m:val="p"/>
                        </m:rPr>
                        <w:rPr>
                          <w:rFonts w:ascii="Cambria Math" w:eastAsia="MS Mincho" w:hAnsi="Cambria Math" w:cs="Arial" w:hint="eastAsia"/>
                          <w:sz w:val="18"/>
                          <w:lang w:val="es-ES_tradnl" w:eastAsia="en-US"/>
                        </w:rPr>
                        <m:t>×</m:t>
                      </m:r>
                      <m:nary>
                        <m:naryPr>
                          <m:chr m:val="∑"/>
                          <m:limLoc m:val="undOvr"/>
                          <m:ctrlPr>
                            <w:rPr>
                              <w:rFonts w:ascii="Cambria Math" w:eastAsia="MS Mincho" w:hAnsi="Cambria Math" w:cs="Arial"/>
                              <w:sz w:val="18"/>
                              <w:lang w:val="es-ES_tradnl" w:eastAsia="en-US"/>
                            </w:rPr>
                          </m:ctrlPr>
                        </m:naryPr>
                        <m:sub>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=1</m:t>
                          </m:r>
                        </m:sub>
                        <m:sup>
                          <m:r>
                            <w:rPr>
                              <w:rFonts w:ascii="Cambria Math" w:eastAsia="MS Mincho" w:hAnsi="Cambria Math" w:cs="Arial"/>
                              <w:sz w:val="18"/>
                              <w:lang w:val="es-ES_tradnl" w:eastAsia="en-US"/>
                            </w:rPr>
                            <m:t>n</m:t>
                          </m:r>
                        </m:sup>
                        <m:e>
                          <m:d>
                            <m:dPr>
                              <m:ctrlPr>
                                <w:rPr>
                                  <w:rFonts w:ascii="Cambria Math" w:eastAsia="MS Mincho" w:hAnsi="Cambria Math" w:cs="Arial"/>
                                  <w:sz w:val="18"/>
                                  <w:lang w:val="es-ES_tradnl" w:eastAsia="en-US"/>
                                </w:rPr>
                              </m:ctrlPr>
                            </m:dPr>
                            <m:e>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eqArr>
                                    <m:eqArrPr>
                                      <m:ctrlPr>
                                        <w:rPr>
                                          <w:rFonts w:ascii="Cambria Math" w:eastAsia="MS Mincho" w:hAnsi="Cambria Math" w:cs="Arial"/>
                                          <w:sz w:val="18"/>
                                          <w:lang w:val="es-ES_tradnl" w:eastAsia="en-US"/>
                                        </w:rPr>
                                      </m:ctrlPr>
                                    </m:eqArrPr>
                                    <m:e>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e>
                                    <m:e>
                                      <m:r>
                                        <w:rPr>
                                          <w:rFonts w:ascii="Cambria Math" w:eastAsia="MS Mincho" w:hAnsi="Cambria Math" w:cs="Arial"/>
                                          <w:sz w:val="18"/>
                                          <w:lang w:val="es-ES_tradnl" w:eastAsia="en-US"/>
                                        </w:rPr>
                                        <m:t>municipio</m:t>
                                      </m:r>
                                      <m:r>
                                        <m:rPr>
                                          <m:sty m:val="p"/>
                                        </m:rPr>
                                        <w:rPr>
                                          <w:rFonts w:ascii="Cambria Math" w:eastAsia="MS Mincho" w:hAnsi="Cambria Math" w:cs="Arial" w:hint="eastAsia"/>
                                          <w:sz w:val="18"/>
                                          <w:lang w:val="es-ES_tradnl" w:eastAsia="en-US"/>
                                        </w:rPr>
                                        <m:t xml:space="preserve"> </m:t>
                                      </m:r>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G</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M</m:t>
                                      </m:r>
                                    </m:e>
                                  </m:eqArr>
                                </m:sub>
                              </m:sSub>
                              <m:r>
                                <m:rPr>
                                  <m:sty m:val="p"/>
                                </m:rPr>
                                <w:rPr>
                                  <w:rFonts w:ascii="Cambria Math" w:eastAsia="MS Mincho" w:hAnsi="Cambria Math" w:cs="Arial" w:hint="eastAsia"/>
                                  <w:sz w:val="18"/>
                                  <w:lang w:val="es-ES_tradnl" w:eastAsia="en-US"/>
                                </w:rPr>
                                <m:t>×</m:t>
                              </m:r>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22"/>
                                      <w:szCs w:val="22"/>
                                      <w:lang w:val="es-ES_tradnl" w:eastAsia="en-US"/>
                                    </w:rPr>
                                    <m:t>municipio p</m:t>
                                  </m:r>
                                </m:sub>
                              </m:sSub>
                            </m:e>
                          </m:d>
                        </m:e>
                      </m:nary>
                    </m:oMath>
                  </m:oMathPara>
                </w:p>
                <w:p w14:paraId="78E14C61" w14:textId="77777777" w:rsidR="00526A24" w:rsidRPr="000A621B" w:rsidRDefault="00526A24" w:rsidP="00FD4ECB">
                  <w:pPr>
                    <w:ind w:left="-1366" w:right="743"/>
                    <w:jc w:val="both"/>
                    <w:rPr>
                      <w:rFonts w:ascii="Bookman Old Style" w:eastAsia="MS Mincho" w:hAnsi="Bookman Old Style" w:cs="Arial"/>
                      <w:lang w:val="es-ES_tradnl" w:eastAsia="en-US"/>
                    </w:rPr>
                  </w:pPr>
                </w:p>
              </w:tc>
            </w:tr>
            <w:tr w:rsidR="00526A24" w:rsidRPr="00AC7842" w14:paraId="24F209AA" w14:textId="77777777" w:rsidTr="00FD4ECB">
              <w:tc>
                <w:tcPr>
                  <w:tcW w:w="1873" w:type="dxa"/>
                  <w:shd w:val="clear" w:color="auto" w:fill="auto"/>
                </w:tcPr>
                <w:p w14:paraId="7A72A8DE" w14:textId="77777777"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Donde:</w:t>
                  </w:r>
                </w:p>
                <w:p w14:paraId="1BC5553F" w14:textId="77777777" w:rsidR="00526A24" w:rsidRPr="000A621B" w:rsidRDefault="00526A24" w:rsidP="00FD4ECB">
                  <w:pPr>
                    <w:ind w:left="0" w:right="743"/>
                    <w:jc w:val="both"/>
                    <w:rPr>
                      <w:rFonts w:ascii="Bookman Old Style" w:eastAsia="MS Mincho" w:hAnsi="Bookman Old Style"/>
                      <w:lang w:val="es-ES_tradnl" w:eastAsia="en-US"/>
                    </w:rPr>
                  </w:pPr>
                </w:p>
              </w:tc>
              <w:tc>
                <w:tcPr>
                  <w:tcW w:w="5665" w:type="dxa"/>
                  <w:gridSpan w:val="2"/>
                  <w:shd w:val="clear" w:color="auto" w:fill="auto"/>
                </w:tcPr>
                <w:p w14:paraId="7C640A74"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7DE35DE2" w14:textId="77777777" w:rsidTr="00FD4ECB">
              <w:tc>
                <w:tcPr>
                  <w:tcW w:w="1873" w:type="dxa"/>
                  <w:shd w:val="clear" w:color="auto" w:fill="auto"/>
                </w:tcPr>
                <w:p w14:paraId="74698C9B" w14:textId="5450BFED" w:rsidR="00526A24" w:rsidRPr="00526A24" w:rsidRDefault="00526A24" w:rsidP="00FD4ECB">
                  <w:pPr>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665" w:type="dxa"/>
                  <w:gridSpan w:val="2"/>
                  <w:shd w:val="clear" w:color="auto" w:fill="auto"/>
                </w:tcPr>
                <w:p w14:paraId="10440BF3"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Número de municipios que contiene el mercado relevante de distribución para el siguiente periodo tarifario k.</w:t>
                  </w:r>
                </w:p>
                <w:p w14:paraId="1D8B23A6"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5F77C4F6" w14:textId="77777777" w:rsidTr="00FD4ECB">
              <w:tc>
                <w:tcPr>
                  <w:tcW w:w="1873" w:type="dxa"/>
                  <w:shd w:val="clear" w:color="auto" w:fill="auto"/>
                </w:tcPr>
                <w:p w14:paraId="1695AB5A" w14:textId="3AA4BD9B" w:rsidR="00526A24" w:rsidRPr="00526A24" w:rsidRDefault="00A93098" w:rsidP="00FD4ECB">
                  <w:pPr>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665" w:type="dxa"/>
                  <w:gridSpan w:val="2"/>
                  <w:shd w:val="clear" w:color="auto" w:fill="auto"/>
                </w:tcPr>
                <w:p w14:paraId="06DB661A"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Total de kilómetros de red del mercado relevante de distribución para el siguiente periodo tarifario k.</w:t>
                  </w:r>
                </w:p>
                <w:p w14:paraId="29E8B516"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583B32CE" w14:textId="77777777" w:rsidTr="00FD4ECB">
              <w:tc>
                <w:tcPr>
                  <w:tcW w:w="1873" w:type="dxa"/>
                  <w:shd w:val="clear" w:color="auto" w:fill="auto"/>
                </w:tcPr>
                <w:p w14:paraId="10CC0582" w14:textId="14BD13B1" w:rsidR="00526A24" w:rsidRPr="00526A24" w:rsidRDefault="00A93098" w:rsidP="00FD4ECB">
                  <w:pPr>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 xml:space="preserve">municipio p </m:t>
                          </m:r>
                        </m:sub>
                      </m:sSub>
                    </m:oMath>
                  </m:oMathPara>
                </w:p>
              </w:tc>
              <w:tc>
                <w:tcPr>
                  <w:tcW w:w="5665" w:type="dxa"/>
                  <w:gridSpan w:val="2"/>
                  <w:shd w:val="clear" w:color="auto" w:fill="auto"/>
                </w:tcPr>
                <w:p w14:paraId="7DFC1487"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Total de kilómetros de red del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que pertenece al mercado relevante de distribución para el siguiente periodo tarifario k.</w:t>
                  </w:r>
                </w:p>
                <w:p w14:paraId="4AAC8A1C"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2A40CBA3" w14:textId="77777777" w:rsidTr="00FD4ECB">
              <w:tc>
                <w:tcPr>
                  <w:tcW w:w="1873" w:type="dxa"/>
                  <w:shd w:val="clear" w:color="auto" w:fill="auto"/>
                </w:tcPr>
                <w:p w14:paraId="7218F27B" w14:textId="77777777" w:rsidR="00526A24" w:rsidRPr="000A621B" w:rsidRDefault="00526A24" w:rsidP="00FD4ECB">
                  <w:pPr>
                    <w:ind w:left="0" w:right="743"/>
                    <w:jc w:val="both"/>
                    <w:rPr>
                      <w:sz w:val="22"/>
                      <w:szCs w:val="22"/>
                      <w:lang w:val="es-ES_tradnl" w:eastAsia="en-US"/>
                    </w:rPr>
                  </w:pPr>
                  <w:r w:rsidRPr="000A621B">
                    <w:rPr>
                      <w:sz w:val="22"/>
                      <w:szCs w:val="22"/>
                      <w:lang w:val="es-ES_tradnl" w:eastAsia="en-US"/>
                    </w:rPr>
                    <w:lastRenderedPageBreak/>
                    <w:t>G</w:t>
                  </w:r>
                </w:p>
              </w:tc>
              <w:tc>
                <w:tcPr>
                  <w:tcW w:w="5665" w:type="dxa"/>
                  <w:gridSpan w:val="2"/>
                  <w:shd w:val="clear" w:color="auto" w:fill="auto"/>
                </w:tcPr>
                <w:p w14:paraId="421B5D3B" w14:textId="77777777" w:rsidR="00526A24" w:rsidRPr="000A621B" w:rsidRDefault="00526A24" w:rsidP="00FD4ECB">
                  <w:pPr>
                    <w:ind w:left="0"/>
                    <w:jc w:val="both"/>
                    <w:outlineLvl w:val="0"/>
                    <w:rPr>
                      <w:rFonts w:ascii="Bookman Old Style" w:hAnsi="Bookman Old Style" w:cs="Arial"/>
                      <w:bCs/>
                    </w:rPr>
                  </w:pPr>
                  <w:r w:rsidRPr="000A621B">
                    <w:rPr>
                      <w:rFonts w:ascii="Bookman Old Style" w:eastAsia="MS Mincho" w:hAnsi="Bookman Old Style" w:cs="Arial"/>
                      <w:lang w:val="es-ES_tradnl" w:eastAsia="en-US"/>
                    </w:rPr>
                    <w:t>Grupo de municipios</w:t>
                  </w:r>
                  <w:r w:rsidRPr="000A621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r w:rsidRPr="000A621B">
                    <w:rPr>
                      <w:rFonts w:ascii="Bookman Old Style" w:eastAsia="MS Mincho" w:hAnsi="Bookman Old Style"/>
                      <w:lang w:val="es-ES_tradnl" w:eastAsia="en-US"/>
                    </w:rPr>
                    <w:t>.</w:t>
                  </w:r>
                </w:p>
                <w:p w14:paraId="2ED486B6"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15BFF25B" w14:textId="77777777" w:rsidTr="00FD4ECB">
              <w:tc>
                <w:tcPr>
                  <w:tcW w:w="1873" w:type="dxa"/>
                  <w:shd w:val="clear" w:color="auto" w:fill="auto"/>
                </w:tcPr>
                <w:p w14:paraId="12D0E5B0" w14:textId="77777777" w:rsidR="00526A24" w:rsidRPr="000A621B" w:rsidRDefault="00526A24" w:rsidP="00FD4ECB">
                  <w:pPr>
                    <w:ind w:left="0" w:right="743"/>
                    <w:jc w:val="both"/>
                    <w:rPr>
                      <w:sz w:val="22"/>
                      <w:szCs w:val="22"/>
                      <w:lang w:val="es-ES_tradnl" w:eastAsia="en-US"/>
                    </w:rPr>
                  </w:pPr>
                  <w:r w:rsidRPr="000A621B">
                    <w:rPr>
                      <w:sz w:val="22"/>
                      <w:szCs w:val="22"/>
                      <w:lang w:val="es-ES_tradnl" w:eastAsia="en-US"/>
                    </w:rPr>
                    <w:t>M</w:t>
                  </w:r>
                </w:p>
              </w:tc>
              <w:tc>
                <w:tcPr>
                  <w:tcW w:w="5665" w:type="dxa"/>
                  <w:gridSpan w:val="2"/>
                  <w:shd w:val="clear" w:color="auto" w:fill="auto"/>
                </w:tcPr>
                <w:p w14:paraId="730850A0"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2109F31A"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0E92C957" w14:textId="77777777" w:rsidTr="00FD4ECB">
              <w:tc>
                <w:tcPr>
                  <w:tcW w:w="1873" w:type="dxa"/>
                  <w:shd w:val="clear" w:color="auto" w:fill="auto"/>
                </w:tcPr>
                <w:p w14:paraId="7FC15297" w14:textId="0E4E9848" w:rsidR="00526A24" w:rsidRPr="00EE4661" w:rsidRDefault="00A93098" w:rsidP="00FD4ECB">
                  <w:pPr>
                    <w:ind w:left="0" w:right="743"/>
                    <w:jc w:val="both"/>
                    <w:rPr>
                      <w:sz w:val="22"/>
                      <w:szCs w:val="22"/>
                      <w:lang w:val="es-ES_tradnl" w:eastAsia="en-US"/>
                    </w:rPr>
                  </w:pPr>
                  <m:oMathPara>
                    <m:oMath>
                      <m:sSub>
                        <m:sSubPr>
                          <m:ctrlPr>
                            <w:rPr>
                              <w:rFonts w:ascii="Cambria Math" w:eastAsia="MS Mincho" w:hAnsi="Cambria Math" w:cs="Arial"/>
                              <w:i/>
                              <w:sz w:val="20"/>
                              <w:szCs w:val="22"/>
                              <w:lang w:val="es-ES_tradnl" w:eastAsia="en-US"/>
                            </w:rPr>
                          </m:ctrlPr>
                        </m:sSubPr>
                        <m:e>
                          <m:d>
                            <m:dPr>
                              <m:ctrlPr>
                                <w:rPr>
                                  <w:rFonts w:ascii="Cambria Math" w:eastAsia="MS Mincho" w:hAnsi="Cambria Math" w:cs="Arial"/>
                                  <w:i/>
                                  <w:sz w:val="20"/>
                                  <w:szCs w:val="22"/>
                                  <w:lang w:val="es-ES_tradnl" w:eastAsia="en-US"/>
                                </w:rPr>
                              </m:ctrlPr>
                            </m:dPr>
                            <m:e>
                              <m:f>
                                <m:fPr>
                                  <m:ctrlPr>
                                    <w:rPr>
                                      <w:rFonts w:ascii="Cambria Math" w:eastAsia="MS Mincho" w:hAnsi="Cambria Math" w:cs="Arial"/>
                                      <w:i/>
                                      <w:sz w:val="20"/>
                                      <w:szCs w:val="22"/>
                                      <w:lang w:val="es-ES_tradnl" w:eastAsia="en-US"/>
                                    </w:rPr>
                                  </m:ctrlPr>
                                </m:fPr>
                                <m:num>
                                  <m:r>
                                    <m:rPr>
                                      <m:sty m:val="p"/>
                                    </m:rPr>
                                    <w:rPr>
                                      <w:rFonts w:ascii="Cambria Math" w:eastAsia="MS Mincho" w:hAnsi="Cambria Math" w:cs="Arial"/>
                                      <w:sz w:val="20"/>
                                      <w:szCs w:val="22"/>
                                      <w:lang w:val="es-ES_tradnl" w:eastAsia="en-US"/>
                                    </w:rPr>
                                    <m:t>AOM</m:t>
                                  </m:r>
                                </m:num>
                                <m:den>
                                  <m:r>
                                    <m:rPr>
                                      <m:sty m:val="p"/>
                                    </m:rPr>
                                    <w:rPr>
                                      <w:rFonts w:ascii="Cambria Math" w:eastAsia="MS Mincho" w:hAnsi="Cambria Math" w:cs="Arial"/>
                                      <w:sz w:val="20"/>
                                      <w:szCs w:val="22"/>
                                      <w:lang w:val="es-ES_tradnl" w:eastAsia="en-US"/>
                                    </w:rPr>
                                    <m:t>BRA</m:t>
                                  </m:r>
                                </m:den>
                              </m:f>
                            </m:e>
                          </m:d>
                        </m:e>
                        <m:sub>
                          <m:eqArr>
                            <m:eqArrPr>
                              <m:ctrlPr>
                                <w:rPr>
                                  <w:rFonts w:ascii="Cambria Math" w:eastAsia="MS Mincho" w:hAnsi="Cambria Math" w:cs="Arial"/>
                                  <w:i/>
                                  <w:sz w:val="20"/>
                                  <w:szCs w:val="22"/>
                                  <w:lang w:val="es-ES_tradnl" w:eastAsia="en-US"/>
                                </w:rPr>
                              </m:ctrlPr>
                            </m:eqArrPr>
                            <m:e>
                              <m:r>
                                <w:rPr>
                                  <w:rFonts w:ascii="Cambria Math" w:eastAsia="MS Mincho" w:hAnsi="Cambria Math" w:cs="Arial"/>
                                  <w:sz w:val="20"/>
                                  <w:szCs w:val="22"/>
                                  <w:lang w:val="es-ES_tradnl" w:eastAsia="en-US"/>
                                </w:rPr>
                                <m:t xml:space="preserve">etimado </m:t>
                              </m:r>
                            </m:e>
                            <m:e>
                              <m:r>
                                <w:rPr>
                                  <w:rFonts w:ascii="Cambria Math" w:eastAsia="MS Mincho" w:hAnsi="Cambria Math" w:cs="Arial"/>
                                  <w:sz w:val="20"/>
                                  <w:szCs w:val="22"/>
                                  <w:lang w:val="es-ES_tradnl" w:eastAsia="en-US"/>
                                </w:rPr>
                                <m:t>municipio p,G,M</m:t>
                              </m:r>
                            </m:e>
                          </m:eqArr>
                        </m:sub>
                      </m:sSub>
                    </m:oMath>
                  </m:oMathPara>
                </w:p>
              </w:tc>
              <w:tc>
                <w:tcPr>
                  <w:tcW w:w="5665" w:type="dxa"/>
                  <w:gridSpan w:val="2"/>
                  <w:shd w:val="clear" w:color="auto" w:fill="auto"/>
                </w:tcPr>
                <w:p w14:paraId="368A5A46" w14:textId="4855CC5C" w:rsidR="00526A24" w:rsidRPr="00EE4661" w:rsidRDefault="00526A24" w:rsidP="00FD4ECB">
                  <w:pPr>
                    <w:ind w:left="0" w:right="-117"/>
                    <w:jc w:val="both"/>
                    <w:rPr>
                      <w:rFonts w:ascii="Bookman Old Style" w:eastAsia="MS Mincho" w:hAnsi="Bookman Old Style" w:cs="Arial"/>
                      <w:lang w:val="es-ES_tradnl" w:eastAsia="en-US"/>
                    </w:rPr>
                  </w:pPr>
                  <w:r w:rsidRPr="00EE4661">
                    <w:rPr>
                      <w:rFonts w:ascii="Bookman Old Style" w:eastAsia="MS Mincho" w:hAnsi="Bookman Old Style" w:cs="Arial"/>
                      <w:lang w:val="es-ES_tradnl" w:eastAsia="en-US"/>
                    </w:rPr>
                    <w:t xml:space="preserve">Porcentaje asignado por (AOM/BRA) al municipio </w:t>
                  </w:r>
                  <w:r w:rsidRPr="00EE4661">
                    <w:rPr>
                      <w:rFonts w:ascii="Bookman Old Style" w:eastAsia="MS Mincho" w:hAnsi="Bookman Old Style" w:cs="Arial"/>
                      <w:i/>
                      <w:lang w:val="es-ES_tradnl" w:eastAsia="en-US"/>
                    </w:rPr>
                    <w:t>p</w:t>
                  </w:r>
                  <w:r w:rsidRPr="00EE4661">
                    <w:rPr>
                      <w:rFonts w:ascii="Bookman Old Style" w:eastAsia="MS Mincho" w:hAnsi="Bookman Old Style" w:cs="Arial"/>
                      <w:lang w:val="es-ES_tradnl" w:eastAsia="en-US"/>
                    </w:rPr>
                    <w:t xml:space="preserve"> según la clasificación dada al mismo municipio por grupo G y metodología M (</w:t>
                  </w:r>
                  <w:r w:rsidR="00895EC2" w:rsidRPr="00EE4661">
                    <w:rPr>
                      <w:rFonts w:ascii="Bookman Old Style" w:eastAsia="MS Mincho" w:hAnsi="Bookman Old Style" w:cs="Arial"/>
                      <w:lang w:val="es-ES_tradnl" w:eastAsia="en-US"/>
                    </w:rPr>
                    <w:t>Anexo</w:t>
                  </w:r>
                  <w:r w:rsidRPr="00EE4661">
                    <w:rPr>
                      <w:rFonts w:ascii="Bookman Old Style" w:eastAsia="MS Mincho" w:hAnsi="Bookman Old Style" w:cs="Arial"/>
                      <w:lang w:val="es-ES_tradnl" w:eastAsia="en-US"/>
                    </w:rPr>
                    <w:t xml:space="preserve"> de la presente Resolución) y conforme a la siguiente tabla:</w:t>
                  </w:r>
                </w:p>
                <w:p w14:paraId="74B60D29" w14:textId="77777777" w:rsidR="00526A24" w:rsidRPr="00EE4661" w:rsidRDefault="00526A24" w:rsidP="00FD4ECB">
                  <w:pPr>
                    <w:ind w:left="0" w:right="743"/>
                    <w:jc w:val="both"/>
                    <w:rPr>
                      <w:rFonts w:ascii="Bookman Old Style" w:eastAsia="MS Mincho" w:hAnsi="Bookman Old Style" w:cs="Arial"/>
                      <w:lang w:val="es-ES_tradnl" w:eastAsia="en-US"/>
                    </w:rPr>
                  </w:pPr>
                </w:p>
                <w:tbl>
                  <w:tblPr>
                    <w:tblW w:w="4993" w:type="dxa"/>
                    <w:jc w:val="center"/>
                    <w:tblLayout w:type="fixed"/>
                    <w:tblCellMar>
                      <w:left w:w="70" w:type="dxa"/>
                      <w:right w:w="70" w:type="dxa"/>
                    </w:tblCellMar>
                    <w:tblLook w:val="04A0" w:firstRow="1" w:lastRow="0" w:firstColumn="1" w:lastColumn="0" w:noHBand="0" w:noVBand="1"/>
                  </w:tblPr>
                  <w:tblGrid>
                    <w:gridCol w:w="1016"/>
                    <w:gridCol w:w="1701"/>
                    <w:gridCol w:w="2268"/>
                    <w:gridCol w:w="8"/>
                  </w:tblGrid>
                  <w:tr w:rsidR="00526A24" w:rsidRPr="00EE4661" w14:paraId="25F56D6D" w14:textId="77777777" w:rsidTr="00EE4661">
                    <w:trPr>
                      <w:trHeight w:val="615"/>
                      <w:jc w:val="center"/>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23E704" w14:textId="77777777" w:rsidR="00526A24" w:rsidRPr="00EE4661" w:rsidRDefault="00526A24" w:rsidP="00FD4ECB">
                        <w:pPr>
                          <w:ind w:left="0"/>
                          <w:jc w:val="center"/>
                          <w:rPr>
                            <w:rFonts w:ascii="Bookman Old Style" w:hAnsi="Bookman Old Style"/>
                            <w:b/>
                            <w:bCs/>
                            <w:color w:val="000000"/>
                            <w:lang w:val="es-CO" w:eastAsia="es-MX"/>
                          </w:rPr>
                        </w:pPr>
                        <w:r w:rsidRPr="00EE4661">
                          <w:rPr>
                            <w:rFonts w:ascii="Bookman Old Style" w:hAnsi="Bookman Old Style"/>
                            <w:b/>
                            <w:bCs/>
                            <w:color w:val="000000"/>
                            <w:lang w:val="es-CO" w:eastAsia="es-MX"/>
                          </w:rPr>
                          <w:t xml:space="preserve">Grupo </w:t>
                        </w:r>
                      </w:p>
                      <w:p w14:paraId="07624785" w14:textId="77777777" w:rsidR="00526A24" w:rsidRPr="00EE4661" w:rsidRDefault="00526A24" w:rsidP="00FD4ECB">
                        <w:pPr>
                          <w:ind w:left="0"/>
                          <w:jc w:val="center"/>
                          <w:rPr>
                            <w:rFonts w:ascii="Bookman Old Style" w:hAnsi="Bookman Old Style"/>
                            <w:b/>
                            <w:bCs/>
                            <w:color w:val="000000"/>
                            <w:lang w:val="es-MX" w:eastAsia="es-MX"/>
                          </w:rPr>
                        </w:pPr>
                        <w:r w:rsidRPr="00EE4661">
                          <w:rPr>
                            <w:rFonts w:ascii="Bookman Old Style" w:hAnsi="Bookman Old Style"/>
                            <w:b/>
                            <w:bCs/>
                            <w:color w:val="000000"/>
                            <w:lang w:val="es-CO" w:eastAsia="es-MX"/>
                          </w:rPr>
                          <w:t>G</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5C3B" w14:textId="77777777" w:rsidR="00526A24" w:rsidRPr="00EE4661" w:rsidRDefault="00526A24" w:rsidP="00FD4ECB">
                        <w:pPr>
                          <w:ind w:left="0"/>
                          <w:jc w:val="center"/>
                          <w:rPr>
                            <w:rFonts w:ascii="Bookman Old Style" w:hAnsi="Bookman Old Style"/>
                            <w:b/>
                            <w:bCs/>
                            <w:color w:val="000000"/>
                            <w:lang w:val="es-MX" w:eastAsia="es-MX"/>
                          </w:rPr>
                        </w:pPr>
                        <w:r w:rsidRPr="00EE4661">
                          <w:rPr>
                            <w:rFonts w:ascii="Bookman Old Style" w:hAnsi="Bookman Old Style"/>
                            <w:b/>
                            <w:bCs/>
                            <w:color w:val="000000"/>
                            <w:lang w:val="es-CO" w:eastAsia="es-MX"/>
                          </w:rPr>
                          <w:t>Metodología M</w:t>
                        </w:r>
                      </w:p>
                    </w:tc>
                    <w:tc>
                      <w:tcPr>
                        <w:tcW w:w="2276"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F053600" w14:textId="654417C0" w:rsidR="00526A24" w:rsidRPr="00EE4661" w:rsidRDefault="00A93098" w:rsidP="00FD4ECB">
                        <w:pPr>
                          <w:ind w:left="0" w:right="213"/>
                          <w:rPr>
                            <w:rFonts w:ascii="Bookman Old Style" w:hAnsi="Bookman Old Style"/>
                            <w:b/>
                            <w:color w:val="000000"/>
                            <w:lang w:val="es-MX" w:eastAsia="es-MX"/>
                          </w:rPr>
                        </w:pPr>
                        <m:oMathPara>
                          <m:oMath>
                            <m:sSub>
                              <m:sSubPr>
                                <m:ctrlPr>
                                  <w:rPr>
                                    <w:rFonts w:ascii="Cambria Math" w:eastAsia="MS Mincho" w:hAnsi="Cambria Math" w:cs="Arial"/>
                                    <w:b/>
                                    <w:i/>
                                    <w:lang w:val="es-ES_tradnl" w:eastAsia="en-US"/>
                                  </w:rPr>
                                </m:ctrlPr>
                              </m:sSubPr>
                              <m:e>
                                <m:d>
                                  <m:dPr>
                                    <m:ctrlPr>
                                      <w:rPr>
                                        <w:rFonts w:ascii="Cambria Math" w:eastAsia="MS Mincho" w:hAnsi="Cambria Math" w:cs="Arial"/>
                                        <w:b/>
                                        <w:i/>
                                        <w:lang w:val="es-ES_tradnl" w:eastAsia="en-US"/>
                                      </w:rPr>
                                    </m:ctrlPr>
                                  </m:dPr>
                                  <m:e>
                                    <m:f>
                                      <m:fPr>
                                        <m:ctrlPr>
                                          <w:rPr>
                                            <w:rFonts w:ascii="Cambria Math" w:eastAsia="MS Mincho" w:hAnsi="Cambria Math" w:cs="Arial"/>
                                            <w:b/>
                                            <w:i/>
                                            <w:lang w:val="es-ES_tradnl" w:eastAsia="en-US"/>
                                          </w:rPr>
                                        </m:ctrlPr>
                                      </m:fPr>
                                      <m:num>
                                        <m:r>
                                          <m:rPr>
                                            <m:sty m:val="b"/>
                                          </m:rPr>
                                          <w:rPr>
                                            <w:rFonts w:ascii="Cambria Math" w:eastAsia="MS Mincho" w:hAnsi="Cambria Math" w:cs="Arial"/>
                                            <w:lang w:val="es-ES_tradnl" w:eastAsia="en-US"/>
                                          </w:rPr>
                                          <m:t>AOM</m:t>
                                        </m:r>
                                      </m:num>
                                      <m:den>
                                        <m:r>
                                          <m:rPr>
                                            <m:sty m:val="b"/>
                                          </m:rPr>
                                          <w:rPr>
                                            <w:rFonts w:ascii="Cambria Math" w:eastAsia="MS Mincho" w:hAnsi="Cambria Math" w:cs="Arial"/>
                                            <w:lang w:val="es-ES_tradnl" w:eastAsia="en-US"/>
                                          </w:rPr>
                                          <m:t>BRA</m:t>
                                        </m:r>
                                      </m:den>
                                    </m:f>
                                  </m:e>
                                </m:d>
                              </m:e>
                              <m:sub>
                                <m:r>
                                  <m:rPr>
                                    <m:sty m:val="bi"/>
                                  </m:rPr>
                                  <w:rPr>
                                    <w:rFonts w:ascii="Cambria Math" w:eastAsia="MS Mincho" w:hAnsi="Cambria Math" w:cs="Arial"/>
                                    <w:lang w:val="es-ES_tradnl" w:eastAsia="en-US"/>
                                  </w:rPr>
                                  <m:t>municipio G,M</m:t>
                                </m:r>
                              </m:sub>
                            </m:sSub>
                          </m:oMath>
                        </m:oMathPara>
                      </w:p>
                    </w:tc>
                  </w:tr>
                  <w:tr w:rsidR="00526A24" w:rsidRPr="00EE4661" w14:paraId="55FDB5EF"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373B6C1"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936E0E2"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FE9D"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10.68%</w:t>
                        </w:r>
                      </w:p>
                    </w:tc>
                  </w:tr>
                  <w:tr w:rsidR="00526A24" w:rsidRPr="00EE4661" w14:paraId="62D6D03E"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139770E"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49916C6"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500B76BB"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10.20%</w:t>
                        </w:r>
                      </w:p>
                    </w:tc>
                  </w:tr>
                  <w:tr w:rsidR="00526A24" w:rsidRPr="00EE4661" w14:paraId="03F91FB5"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65FFB6AF"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E104173"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0ABA580"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7.68%</w:t>
                        </w:r>
                      </w:p>
                    </w:tc>
                  </w:tr>
                  <w:tr w:rsidR="00526A24" w:rsidRPr="00EE4661" w14:paraId="4E44ECDA"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7420E24"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0C253513"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A71E403"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8.20%</w:t>
                        </w:r>
                      </w:p>
                    </w:tc>
                  </w:tr>
                  <w:tr w:rsidR="00526A24" w:rsidRPr="00EE4661" w14:paraId="3D1B418D"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453F5604"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29D3A3BB"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373D1354"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6.49%</w:t>
                        </w:r>
                      </w:p>
                    </w:tc>
                  </w:tr>
                  <w:tr w:rsidR="00526A24" w:rsidRPr="00EE4661" w14:paraId="1BD76C9E"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9AE955D"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19A4F425"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836DD5F"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5.85%</w:t>
                        </w:r>
                      </w:p>
                    </w:tc>
                  </w:tr>
                  <w:tr w:rsidR="00526A24" w:rsidRPr="00EE4661" w14:paraId="1FFB457D"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26E9A7A"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5829132F"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3AD1DC40"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8.14%</w:t>
                        </w:r>
                      </w:p>
                    </w:tc>
                  </w:tr>
                  <w:tr w:rsidR="00526A24" w:rsidRPr="00EE4661" w14:paraId="0D768E3F"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95C5"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3C6F5360"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15DE552E"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7.95%</w:t>
                        </w:r>
                      </w:p>
                    </w:tc>
                  </w:tr>
                  <w:tr w:rsidR="00526A24" w:rsidRPr="00EE4661" w14:paraId="4D5BF593" w14:textId="77777777" w:rsidTr="002A3E31">
                    <w:trPr>
                      <w:gridAfter w:val="1"/>
                      <w:wAfter w:w="8" w:type="dxa"/>
                      <w:trHeight w:val="284"/>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83BB3C6" w14:textId="77777777" w:rsidR="00526A24" w:rsidRPr="00EE4661" w:rsidRDefault="00526A24" w:rsidP="00FD4ECB">
                        <w:pPr>
                          <w:ind w:left="0"/>
                          <w:jc w:val="center"/>
                          <w:rPr>
                            <w:rFonts w:ascii="Bookman Old Style" w:hAnsi="Bookman Old Style"/>
                            <w:color w:val="000000"/>
                            <w:lang w:val="es-MX" w:eastAsia="es-MX"/>
                          </w:rPr>
                        </w:pPr>
                        <w:r w:rsidRPr="00EE4661">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456C5ED6"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97F2283" w14:textId="77777777" w:rsidR="00526A24" w:rsidRPr="00EE4661" w:rsidRDefault="00526A24" w:rsidP="00FD4ECB">
                        <w:pPr>
                          <w:tabs>
                            <w:tab w:val="left" w:pos="123"/>
                          </w:tabs>
                          <w:ind w:left="0" w:right="163"/>
                          <w:jc w:val="center"/>
                          <w:rPr>
                            <w:rFonts w:ascii="Bookman Old Style" w:hAnsi="Bookman Old Style"/>
                            <w:color w:val="000000"/>
                            <w:lang w:val="es-MX" w:eastAsia="es-MX"/>
                          </w:rPr>
                        </w:pPr>
                        <w:r w:rsidRPr="00EE4661">
                          <w:rPr>
                            <w:rFonts w:ascii="Bookman Old Style" w:hAnsi="Bookman Old Style"/>
                            <w:color w:val="000000"/>
                            <w:lang w:val="es-MX" w:eastAsia="es-MX"/>
                          </w:rPr>
                          <w:t>6.96%</w:t>
                        </w:r>
                      </w:p>
                    </w:tc>
                  </w:tr>
                </w:tbl>
                <w:p w14:paraId="5BE8D727" w14:textId="77777777" w:rsidR="00526A24" w:rsidRPr="00EE4661" w:rsidRDefault="00526A24" w:rsidP="00FD4ECB">
                  <w:pPr>
                    <w:ind w:left="0" w:right="743"/>
                    <w:jc w:val="both"/>
                    <w:rPr>
                      <w:rFonts w:ascii="Bookman Old Style" w:eastAsia="MS Mincho" w:hAnsi="Bookman Old Style" w:cs="Arial"/>
                      <w:lang w:val="es-ES_tradnl" w:eastAsia="en-US"/>
                    </w:rPr>
                  </w:pPr>
                </w:p>
              </w:tc>
            </w:tr>
          </w:tbl>
          <w:p w14:paraId="3042BDBD" w14:textId="77777777" w:rsidR="00526A24" w:rsidRPr="00AC7842" w:rsidRDefault="00526A24" w:rsidP="00FD4ECB">
            <w:pPr>
              <w:ind w:left="0" w:right="-93"/>
              <w:jc w:val="both"/>
              <w:rPr>
                <w:rFonts w:ascii="Bookman Old Style" w:eastAsia="MS Mincho" w:hAnsi="Bookman Old Style" w:cs="Arial"/>
                <w:lang w:val="es-ES_tradnl" w:eastAsia="en-US"/>
              </w:rPr>
            </w:pPr>
          </w:p>
        </w:tc>
      </w:tr>
    </w:tbl>
    <w:p w14:paraId="3E3F72B4" w14:textId="36B57B2D" w:rsidR="00526A24" w:rsidRPr="000024C0" w:rsidRDefault="00526A24" w:rsidP="00526A24">
      <w:pPr>
        <w:spacing w:before="240" w:after="240"/>
        <w:ind w:left="0"/>
        <w:jc w:val="both"/>
        <w:rPr>
          <w:rFonts w:ascii="Bookman Old Style" w:hAnsi="Bookman Old Style"/>
          <w:lang w:eastAsia="es-CO"/>
        </w:rPr>
      </w:pPr>
      <w:r w:rsidRPr="000024C0">
        <w:rPr>
          <w:rFonts w:ascii="Bookman Old Style" w:hAnsi="Bookman Old Style"/>
          <w:lang w:val="es-ES_tradnl" w:eastAsia="es-CO"/>
        </w:rPr>
        <w:lastRenderedPageBreak/>
        <w:t>El monto eficiente de gastos de AOM que se consider</w:t>
      </w:r>
      <w:r>
        <w:rPr>
          <w:rFonts w:ascii="Bookman Old Style" w:hAnsi="Bookman Old Style"/>
          <w:lang w:val="es-ES_tradnl" w:eastAsia="es-CO"/>
        </w:rPr>
        <w:t>a</w:t>
      </w:r>
      <w:r w:rsidRPr="000024C0">
        <w:rPr>
          <w:rFonts w:ascii="Bookman Old Style" w:hAnsi="Bookman Old Style"/>
          <w:lang w:val="es-ES_tradnl" w:eastAsia="es-CO"/>
        </w:rPr>
        <w:t xml:space="preserve"> en los cálculos de los cargos de distribución se determin</w:t>
      </w:r>
      <w:r>
        <w:rPr>
          <w:rFonts w:ascii="Bookman Old Style" w:hAnsi="Bookman Old Style"/>
          <w:lang w:val="es-ES_tradnl" w:eastAsia="es-CO"/>
        </w:rPr>
        <w:t>a</w:t>
      </w:r>
      <w:r w:rsidRPr="000024C0">
        <w:rPr>
          <w:rFonts w:ascii="Bookman Old Style" w:hAnsi="Bookman Old Style"/>
          <w:lang w:val="es-ES_tradnl" w:eastAsia="es-CO"/>
        </w:rPr>
        <w:t xml:space="preserve"> con e</w:t>
      </w:r>
      <w:r w:rsidRPr="000024C0">
        <w:rPr>
          <w:rFonts w:ascii="Bookman Old Style" w:hAnsi="Bookman Old Style"/>
          <w:lang w:eastAsia="es-CO"/>
        </w:rPr>
        <w:t>l porcentaje eficiente de AOM (</w:t>
      </w: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w:rPr>
            <w:rFonts w:ascii="Cambria Math" w:eastAsia="MS Mincho" w:hAnsi="Cambria Math" w:cs="Arial"/>
            <w:lang w:val="es-ES_tradnl" w:eastAsia="en-US"/>
          </w:rPr>
          <m:t xml:space="preserve"> </m:t>
        </m:r>
      </m:oMath>
      <w:r w:rsidRPr="000024C0">
        <w:rPr>
          <w:rFonts w:ascii="Bookman Old Style" w:hAnsi="Bookman Old Style"/>
          <w:sz w:val="22"/>
          <w:lang w:val="es-ES_tradnl" w:eastAsia="en-US"/>
        </w:rPr>
        <w:t xml:space="preserve">) </w:t>
      </w:r>
      <w:r w:rsidRPr="000024C0">
        <w:rPr>
          <w:rFonts w:ascii="Bookman Old Style" w:hAnsi="Bookman Old Style"/>
          <w:lang w:eastAsia="es-CO"/>
        </w:rPr>
        <w:t xml:space="preserve">establecido para </w:t>
      </w:r>
      <w:r>
        <w:rPr>
          <w:rFonts w:ascii="Bookman Old Style" w:hAnsi="Bookman Old Style"/>
          <w:lang w:eastAsia="es-CO"/>
        </w:rPr>
        <w:t>el</w:t>
      </w:r>
      <w:r w:rsidRPr="000024C0">
        <w:rPr>
          <w:rFonts w:ascii="Bookman Old Style" w:hAnsi="Bookman Old Style"/>
          <w:lang w:eastAsia="es-CO"/>
        </w:rPr>
        <w:t xml:space="preserve"> mercado </w:t>
      </w:r>
      <w:r>
        <w:rPr>
          <w:rFonts w:ascii="Bookman Old Style" w:hAnsi="Bookman Old Style"/>
          <w:lang w:eastAsia="es-CO"/>
        </w:rPr>
        <w:t xml:space="preserve">del numeral 7.1 </w:t>
      </w:r>
      <w:r w:rsidRPr="000024C0">
        <w:rPr>
          <w:rFonts w:ascii="Bookman Old Style" w:hAnsi="Bookman Old Style"/>
          <w:lang w:eastAsia="es-CO"/>
        </w:rPr>
        <w:t>y multiplicado por el valor del BRA</w:t>
      </w:r>
      <w:r w:rsidRPr="000024C0">
        <w:rPr>
          <w:rFonts w:ascii="Bookman Old Style" w:eastAsia="MS Mincho" w:hAnsi="Bookman Old Style" w:cs="Arial"/>
          <w:lang w:val="es-ES_tradnl" w:eastAsia="en-US"/>
        </w:rPr>
        <w:t>.</w:t>
      </w:r>
    </w:p>
    <w:p w14:paraId="69B5A276" w14:textId="77777777"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Otros gastos de AOM</w:t>
      </w:r>
    </w:p>
    <w:p w14:paraId="78267237" w14:textId="3E3A86AF" w:rsidR="00526A24" w:rsidRPr="00AC7842" w:rsidRDefault="00526A24" w:rsidP="00526A24">
      <w:pPr>
        <w:spacing w:before="240" w:after="240"/>
        <w:ind w:left="0" w:right="-91"/>
        <w:jc w:val="both"/>
        <w:rPr>
          <w:rFonts w:ascii="Bookman Old Style" w:hAnsi="Bookman Old Style" w:cs="Arial"/>
        </w:rPr>
      </w:pPr>
      <w:r w:rsidRPr="00AC7842">
        <w:rPr>
          <w:rFonts w:ascii="Bookman Old Style" w:hAnsi="Bookman Old Style" w:cs="Arial"/>
        </w:rPr>
        <w:t>A los gastos de AOM eficientes para la actividad de distribución determinado conforme al</w:t>
      </w:r>
      <w:r>
        <w:rPr>
          <w:rFonts w:ascii="Bookman Old Style" w:hAnsi="Bookman Old Style" w:cs="Arial"/>
        </w:rPr>
        <w:t xml:space="preserve"> procedimiento descrito anteriormente</w:t>
      </w:r>
      <w:r w:rsidRPr="00AC7842">
        <w:rPr>
          <w:rFonts w:ascii="Bookman Old Style" w:hAnsi="Bookman Old Style" w:cs="Arial"/>
        </w:rPr>
        <w:t xml:space="preserve">, se </w:t>
      </w:r>
      <w:r w:rsidR="007E7AD2" w:rsidRPr="00AC7842">
        <w:rPr>
          <w:rFonts w:ascii="Bookman Old Style" w:hAnsi="Bookman Old Style" w:cs="Arial"/>
        </w:rPr>
        <w:t>les</w:t>
      </w:r>
      <w:r w:rsidRPr="00AC7842">
        <w:rPr>
          <w:rFonts w:ascii="Bookman Old Style" w:hAnsi="Bookman Old Style" w:cs="Arial"/>
        </w:rPr>
        <w:t xml:space="preserve"> suman los valores </w:t>
      </w:r>
      <w:r>
        <w:rPr>
          <w:rFonts w:ascii="Bookman Old Style" w:hAnsi="Bookman Old Style" w:cs="Arial"/>
        </w:rPr>
        <w:t>correspondientes</w:t>
      </w:r>
      <w:r w:rsidRPr="00AC7842">
        <w:rPr>
          <w:rFonts w:ascii="Bookman Old Style" w:hAnsi="Bookman Old Style" w:cs="Arial"/>
        </w:rPr>
        <w:t xml:space="preserve"> a los siguientes conceptos:</w:t>
      </w:r>
    </w:p>
    <w:p w14:paraId="75F890A7" w14:textId="77777777"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infraestructura de confiabilidad</w:t>
      </w:r>
      <w:r>
        <w:rPr>
          <w:rFonts w:ascii="Bookman Old Style" w:hAnsi="Bookman Old Style" w:cs="Arial"/>
        </w:rPr>
        <w:t>.</w:t>
      </w:r>
    </w:p>
    <w:p w14:paraId="5BD24D6E" w14:textId="415D3A68" w:rsidR="00526A24" w:rsidRPr="00DE17D9"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actividad de revisiones periódicas que establezca la CREG, conforme a las obligaciones establecidas a las empresas distribuidoras en la Resolución CREG 059 de 2012 y aquellas que la modifiquen o sustituyan. Las empresas deben presentar los gastos en que incurren al realizar las revisiones periódicas de las instalaciones internas y descontar de estos el valor pagado a los Organismos de Inspección Acreditados.</w:t>
      </w:r>
    </w:p>
    <w:p w14:paraId="30967303" w14:textId="77777777" w:rsidR="00DE17D9" w:rsidRPr="00AC7842" w:rsidRDefault="00DE17D9" w:rsidP="00DE17D9">
      <w:pPr>
        <w:ind w:left="709"/>
        <w:jc w:val="both"/>
        <w:rPr>
          <w:rFonts w:ascii="Bookman Old Style" w:hAnsi="Bookman Old Style" w:cs="Arial"/>
          <w:b/>
          <w:lang w:val="es-CO"/>
        </w:rPr>
      </w:pPr>
    </w:p>
    <w:p w14:paraId="2DF14B0E" w14:textId="77777777" w:rsidR="00526A24" w:rsidRPr="00AC7842" w:rsidRDefault="00526A24" w:rsidP="00DD4C63">
      <w:pPr>
        <w:numPr>
          <w:ilvl w:val="0"/>
          <w:numId w:val="20"/>
        </w:numPr>
        <w:spacing w:after="240"/>
        <w:ind w:left="709"/>
        <w:jc w:val="both"/>
        <w:rPr>
          <w:rFonts w:ascii="Bookman Old Style" w:hAnsi="Bookman Old Style" w:cs="Arial"/>
          <w:b/>
          <w:lang w:val="es-CO"/>
        </w:rPr>
      </w:pPr>
      <w:r w:rsidRPr="00AC7842">
        <w:rPr>
          <w:rFonts w:ascii="Bookman Old Style" w:hAnsi="Bookman Old Style" w:cs="Arial"/>
          <w:lang w:val="es-CO"/>
        </w:rPr>
        <w:t>Los gastos para el desarrollo de lo dispuesto en la Resolución CREG 127 de 2013 en: literal d) del artículo 19 y la adición del numeral 4.28.2 establecida en el artículo 4.</w:t>
      </w:r>
    </w:p>
    <w:p w14:paraId="1CD9269D" w14:textId="77777777" w:rsidR="00526A24" w:rsidRDefault="00526A24" w:rsidP="00526A24">
      <w:pPr>
        <w:numPr>
          <w:ilvl w:val="0"/>
          <w:numId w:val="20"/>
        </w:numPr>
        <w:spacing w:before="240" w:after="240"/>
        <w:ind w:left="709"/>
        <w:jc w:val="both"/>
        <w:rPr>
          <w:rFonts w:ascii="Bookman Old Style" w:hAnsi="Bookman Old Style" w:cs="Arial"/>
          <w:lang w:val="es-CO"/>
        </w:rPr>
      </w:pPr>
      <w:r w:rsidRPr="00AC7842">
        <w:rPr>
          <w:rFonts w:ascii="Bookman Old Style" w:hAnsi="Bookman Old Style" w:cs="Arial"/>
          <w:lang w:val="es-CO"/>
        </w:rPr>
        <w:t>Los gastos de servidumbres.</w:t>
      </w:r>
    </w:p>
    <w:p w14:paraId="51AB164C" w14:textId="585A16BB"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f>
                  <m:fPr>
                    <m:ctrlPr>
                      <w:rPr>
                        <w:rFonts w:ascii="Cambria Math" w:hAnsi="Cambria Math"/>
                        <w:b/>
                        <w:lang w:eastAsia="es-CO"/>
                      </w:rPr>
                    </m:ctrlPr>
                  </m:fPr>
                  <m:num>
                    <m:r>
                      <m:rPr>
                        <m:sty m:val="b"/>
                      </m:rPr>
                      <w:rPr>
                        <w:rFonts w:ascii="Cambria Math" w:hAnsi="Cambria Math"/>
                      </w:rPr>
                      <m:t>AOM</m:t>
                    </m:r>
                  </m:num>
                  <m:den>
                    <m:r>
                      <m:rPr>
                        <m:sty m:val="b"/>
                      </m:rPr>
                      <w:rPr>
                        <w:rFonts w:ascii="Cambria Math" w:hAnsi="Cambria Math"/>
                      </w:rPr>
                      <m:t>BRA</m:t>
                    </m:r>
                  </m:den>
                </m:f>
              </m:e>
            </m:d>
          </m:e>
          <m:sub>
            <m:eqArr>
              <m:eqArrPr>
                <m:ctrlPr>
                  <w:rPr>
                    <w:rFonts w:ascii="Cambria Math" w:hAnsi="Cambria Math"/>
                    <w:b/>
                    <w:lang w:eastAsia="es-CO"/>
                  </w:rPr>
                </m:ctrlPr>
              </m:eqArrPr>
              <m:e>
                <m:r>
                  <m:rPr>
                    <m:sty m:val="bi"/>
                  </m:rPr>
                  <w:rPr>
                    <w:rFonts w:ascii="Cambria Math" w:hAnsi="Cambria Math"/>
                  </w:rPr>
                  <m:t>estimado</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w:t>
      </w:r>
    </w:p>
    <w:p w14:paraId="2B834378" w14:textId="01D093D2" w:rsidR="00526A24" w:rsidRPr="000024C0" w:rsidRDefault="00526A24" w:rsidP="00526A2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b/>
                <w:i/>
                <w:sz w:val="20"/>
                <w:szCs w:val="22"/>
                <w:lang w:val="es-ES_tradnl" w:eastAsia="en-US"/>
              </w:rPr>
            </m:ctrlPr>
          </m:sSubPr>
          <m:e>
            <m:d>
              <m:dPr>
                <m:ctrlPr>
                  <w:rPr>
                    <w:rFonts w:ascii="Cambria Math" w:eastAsia="MS Mincho" w:hAnsi="Cambria Math" w:cs="Arial"/>
                    <w:b/>
                    <w:i/>
                    <w:sz w:val="20"/>
                    <w:szCs w:val="22"/>
                    <w:lang w:val="es-ES_tradnl" w:eastAsia="en-US"/>
                  </w:rPr>
                </m:ctrlPr>
              </m:dPr>
              <m:e>
                <m:f>
                  <m:fPr>
                    <m:ctrlPr>
                      <w:rPr>
                        <w:rFonts w:ascii="Cambria Math" w:eastAsia="MS Mincho" w:hAnsi="Cambria Math" w:cs="Arial"/>
                        <w:b/>
                        <w:i/>
                        <w:sz w:val="20"/>
                        <w:szCs w:val="22"/>
                        <w:lang w:val="es-ES_tradnl" w:eastAsia="en-US"/>
                      </w:rPr>
                    </m:ctrlPr>
                  </m:fPr>
                  <m:num>
                    <m:r>
                      <m:rPr>
                        <m:sty m:val="b"/>
                      </m:rPr>
                      <w:rPr>
                        <w:rFonts w:ascii="Cambria Math" w:eastAsia="MS Mincho" w:hAnsi="Cambria Math" w:cs="Arial"/>
                        <w:sz w:val="20"/>
                        <w:lang w:val="es-ES_tradnl" w:eastAsia="en-US"/>
                      </w:rPr>
                      <m:t>AOM</m:t>
                    </m:r>
                  </m:num>
                  <m:den>
                    <m:r>
                      <m:rPr>
                        <m:sty m:val="b"/>
                      </m:rPr>
                      <w:rPr>
                        <w:rFonts w:ascii="Cambria Math" w:eastAsia="MS Mincho" w:hAnsi="Cambria Math" w:cs="Arial"/>
                        <w:sz w:val="20"/>
                        <w:lang w:val="es-ES_tradnl" w:eastAsia="en-US"/>
                      </w:rPr>
                      <m:t>BRA</m:t>
                    </m:r>
                  </m:den>
                </m:f>
              </m:e>
            </m:d>
          </m:e>
          <m:sub>
            <m:eqArr>
              <m:eqArrPr>
                <m:ctrlPr>
                  <w:rPr>
                    <w:rFonts w:ascii="Cambria Math" w:eastAsia="MS Mincho" w:hAnsi="Cambria Math" w:cs="Arial"/>
                    <w:b/>
                    <w:i/>
                    <w:sz w:val="20"/>
                    <w:szCs w:val="22"/>
                    <w:lang w:val="es-ES_tradnl" w:eastAsia="en-US"/>
                  </w:rPr>
                </m:ctrlPr>
              </m:eqArrPr>
              <m:e>
                <m:r>
                  <m:rPr>
                    <m:sty m:val="bi"/>
                  </m:rPr>
                  <w:rPr>
                    <w:rFonts w:ascii="Cambria Math" w:eastAsia="MS Mincho" w:hAnsi="Cambria Math" w:cs="Arial"/>
                    <w:sz w:val="20"/>
                    <w:lang w:val="es-ES_tradnl" w:eastAsia="en-US"/>
                  </w:rPr>
                  <m:t>estimado</m:t>
                </m:r>
              </m:e>
              <m:e>
                <m:r>
                  <m:rPr>
                    <m:sty m:val="bi"/>
                  </m:rPr>
                  <w:rPr>
                    <w:rFonts w:ascii="Cambria Math" w:eastAsia="MS Mincho" w:hAnsi="Cambria Math" w:cs="Arial"/>
                    <w:sz w:val="20"/>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sidR="00E408A0">
        <w:rPr>
          <w:rFonts w:ascii="Bookman Old Style" w:eastAsia="MS Mincho" w:hAnsi="Bookman Old Style" w:cs="Arial"/>
          <w:lang w:val="es-ES_tradnl" w:eastAsia="en-US"/>
        </w:rPr>
        <w:t>.</w:t>
      </w:r>
    </w:p>
    <w:p w14:paraId="65C00E9C" w14:textId="620FAE46" w:rsidR="00526A24" w:rsidRPr="000024C0" w:rsidRDefault="00526A24" w:rsidP="00526A24">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14:paraId="13FD6379" w14:textId="47322D08" w:rsidR="00526A24" w:rsidRDefault="00526A24" w:rsidP="00526A2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sidR="00107B61">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14:paraId="7ADDC28A"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bookmarkStart w:id="3" w:name="_Ref499390776"/>
      <w:r>
        <w:rPr>
          <w:rFonts w:ascii="Bookman Old Style" w:eastAsia="Calibri" w:hAnsi="Bookman Old Style" w:cs="Arial"/>
          <w:b/>
          <w:sz w:val="24"/>
          <w:szCs w:val="24"/>
          <w:lang w:eastAsia="en-US"/>
        </w:rPr>
        <w:t>Inversión Base</w:t>
      </w:r>
      <w:bookmarkEnd w:id="3"/>
    </w:p>
    <w:p w14:paraId="287D2112" w14:textId="77777777" w:rsidR="00526A24" w:rsidRPr="001954E9" w:rsidRDefault="00526A24" w:rsidP="00526A24">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 xml:space="preserve">La inversión base es la que se reconoce en los cargos de distribución y debe corresponder al dimensionamiento del sistema de distribución de acuerdo con la demanda de volumen, sistema valorado con los costos eficientes establecidos para cada una de las unidades constructivas. </w:t>
      </w:r>
    </w:p>
    <w:p w14:paraId="636A699B" w14:textId="77777777" w:rsidR="00526A24" w:rsidRPr="000B65DE" w:rsidRDefault="00526A24" w:rsidP="00526A24">
      <w:pPr>
        <w:spacing w:before="240" w:after="240"/>
        <w:ind w:left="0" w:right="-91"/>
        <w:jc w:val="both"/>
        <w:rPr>
          <w:rFonts w:ascii="Bookman Old Style" w:hAnsi="Bookman Old Style"/>
          <w:lang w:val="es-ES_tradnl"/>
        </w:rPr>
      </w:pPr>
      <w:r w:rsidRPr="001954E9">
        <w:rPr>
          <w:rFonts w:ascii="Bookman Old Style" w:eastAsia="Calibri" w:hAnsi="Bookman Old Style" w:cs="Arial"/>
          <w:lang w:val="es-CO" w:eastAsia="en-US"/>
        </w:rPr>
        <w:t>La inversión base comprende</w:t>
      </w:r>
      <w:r>
        <w:rPr>
          <w:rFonts w:ascii="Bookman Old Style" w:eastAsia="Calibri" w:hAnsi="Bookman Old Style" w:cs="Arial"/>
          <w:lang w:val="es-CO" w:eastAsia="en-US"/>
        </w:rPr>
        <w:t xml:space="preserve"> </w:t>
      </w:r>
      <w:r>
        <w:rPr>
          <w:rFonts w:ascii="Bookman Old Style" w:hAnsi="Bookman Old Style"/>
        </w:rPr>
        <w:t xml:space="preserve">la inversión realizada o la inversión a realizar </w:t>
      </w:r>
      <w:r w:rsidRPr="007068B3">
        <w:rPr>
          <w:rFonts w:ascii="Bookman Old Style" w:hAnsi="Bookman Old Style"/>
        </w:rPr>
        <w:t>en</w:t>
      </w:r>
      <w:r>
        <w:rPr>
          <w:rFonts w:ascii="Bookman Old Style" w:hAnsi="Bookman Old Style"/>
        </w:rPr>
        <w:t xml:space="preserve"> </w:t>
      </w:r>
      <w:r w:rsidRPr="007068B3">
        <w:rPr>
          <w:rFonts w:ascii="Bookman Old Style" w:hAnsi="Bookman Old Style"/>
        </w:rPr>
        <w:t>el Mercado Relevante de Distribución para el Siguiente Período Tarifario</w:t>
      </w:r>
      <w:r>
        <w:rPr>
          <w:rFonts w:ascii="Bookman Old Style" w:hAnsi="Bookman Old Style"/>
        </w:rPr>
        <w:t xml:space="preserve"> en</w:t>
      </w:r>
      <w:r w:rsidRPr="007068B3">
        <w:rPr>
          <w:rFonts w:ascii="Bookman Old Style" w:hAnsi="Bookman Old Style"/>
        </w:rPr>
        <w:t>:</w:t>
      </w:r>
      <w:r>
        <w:rPr>
          <w:rFonts w:ascii="Bookman Old Style" w:hAnsi="Bookman Old Style"/>
        </w:rPr>
        <w:t xml:space="preserve"> </w:t>
      </w:r>
      <w:r w:rsidRPr="001954E9">
        <w:rPr>
          <w:rFonts w:ascii="Bookman Old Style" w:eastAsia="Calibri" w:hAnsi="Bookman Old Style" w:cs="Arial"/>
          <w:lang w:val="es-CO" w:eastAsia="en-US"/>
        </w:rPr>
        <w:t>a) activos inherentes a la operación (estaciones de puerta de ciudad, gasoductos, estaciones de regulación, accesorios entre otros), b) otros activos (maquinaria y equipos, muebles, equipos de cómputo y comunicación, sistema</w:t>
      </w:r>
      <w:r>
        <w:rPr>
          <w:rFonts w:ascii="Bookman Old Style" w:eastAsia="Calibri" w:hAnsi="Bookman Old Style" w:cs="Arial"/>
          <w:lang w:val="es-CO" w:eastAsia="en-US"/>
        </w:rPr>
        <w:t>s</w:t>
      </w:r>
      <w:r w:rsidRPr="001954E9">
        <w:rPr>
          <w:rFonts w:ascii="Bookman Old Style" w:eastAsia="Calibri" w:hAnsi="Bookman Old Style" w:cs="Arial"/>
          <w:lang w:val="es-CO" w:eastAsia="en-US"/>
        </w:rPr>
        <w:t xml:space="preserve"> de información) y c) activos asociados al control de la calidad del servicio.</w:t>
      </w:r>
      <w:r>
        <w:rPr>
          <w:rFonts w:ascii="Bookman Old Style" w:eastAsia="Calibri" w:hAnsi="Bookman Old Style" w:cs="Arial"/>
          <w:lang w:val="es-CO" w:eastAsia="en-US"/>
        </w:rPr>
        <w:t xml:space="preserve"> Dicha </w:t>
      </w:r>
      <w:r w:rsidRPr="000B65DE">
        <w:rPr>
          <w:rFonts w:ascii="Bookman Old Style" w:hAnsi="Bookman Old Style"/>
        </w:rPr>
        <w:t xml:space="preserve">Inversión Base </w:t>
      </w:r>
      <w:r>
        <w:rPr>
          <w:rFonts w:ascii="Bookman Old Style" w:hAnsi="Bookman Old Style"/>
        </w:rPr>
        <w:t>se clasifica en:</w:t>
      </w:r>
    </w:p>
    <w:p w14:paraId="046256C0" w14:textId="77777777"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w:t>
      </w:r>
      <w:r w:rsidRPr="000B65DE">
        <w:rPr>
          <w:rFonts w:ascii="Bookman Old Style" w:hAnsi="Bookman Old Style"/>
          <w:lang w:val="es-ES_tradnl"/>
        </w:rPr>
        <w:lastRenderedPageBreak/>
        <w:t xml:space="preserve">en dicho momento y ajustados conforme se encuentran definidas en el </w:t>
      </w:r>
      <w:r>
        <w:rPr>
          <w:rFonts w:ascii="Bookman Old Style" w:hAnsi="Bookman Old Style"/>
          <w:lang w:val="es-ES_tradnl"/>
        </w:rPr>
        <w:t>Anexo 4</w:t>
      </w:r>
      <w:r w:rsidRPr="000B65DE">
        <w:rPr>
          <w:rFonts w:ascii="Bookman Old Style" w:hAnsi="Bookman Old Style"/>
          <w:lang w:val="es-ES_tradnl"/>
        </w:rPr>
        <w:t xml:space="preserve"> y </w:t>
      </w:r>
      <w:r>
        <w:rPr>
          <w:rFonts w:ascii="Bookman Old Style" w:hAnsi="Bookman Old Style"/>
          <w:lang w:val="es-ES_tradnl"/>
        </w:rPr>
        <w:t>Anexo 5 de la Resolución CREG 202 de 2013.</w:t>
      </w:r>
    </w:p>
    <w:p w14:paraId="4BA6A564" w14:textId="664DB712"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D348AB">
        <w:rPr>
          <w:rFonts w:ascii="Bookman Old Style" w:hAnsi="Bookman Old Style"/>
          <w:lang w:val="es-ES_tradnl"/>
        </w:rPr>
        <w:t>diciembre de 2014</w:t>
      </w:r>
      <w:r w:rsidRPr="000B65DE">
        <w:rPr>
          <w:rFonts w:ascii="Bookman Old Style" w:hAnsi="Bookman Old Style"/>
          <w:lang w:val="es-ES_tradnl"/>
        </w:rPr>
        <w:t xml:space="preserve">, homologadas a las Unidades Constructivas y valoradas a los costos unitarios que fueron establecidos en la Resolución CREG 011 de 2003 y ajustados conforme se relacionan en el </w:t>
      </w:r>
      <w:r>
        <w:rPr>
          <w:rFonts w:ascii="Bookman Old Style" w:hAnsi="Bookman Old Style"/>
          <w:lang w:val="es-ES_tradnl"/>
        </w:rPr>
        <w:t>Anexo 6 de la Resolución CREG 202 de 2013.</w:t>
      </w:r>
    </w:p>
    <w:p w14:paraId="5323DC85" w14:textId="4E752307" w:rsidR="00526A24" w:rsidRPr="000B65DE"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D348AB">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homologados a las Unidades Constructivas y valorados a los costos establecidos en la Resolución CREG 011 de 2003 y listados en el </w:t>
      </w:r>
      <w:r>
        <w:rPr>
          <w:rFonts w:ascii="Bookman Old Style" w:hAnsi="Bookman Old Style"/>
          <w:lang w:val="es-ES_tradnl"/>
        </w:rPr>
        <w:t>Anexo 6 de la Resolución CREG 202 de 2013</w:t>
      </w:r>
      <w:r w:rsidRPr="000B65DE">
        <w:rPr>
          <w:rFonts w:ascii="Bookman Old Style" w:hAnsi="Bookman Old Style"/>
          <w:lang w:val="es-ES_tradnl"/>
        </w:rPr>
        <w:t>. Éstas podrán incluir la reposición de Inversión Existente (IE) ejecutada</w:t>
      </w:r>
      <w:r w:rsidRPr="000B65DE" w:rsidDel="007E23AD">
        <w:rPr>
          <w:rFonts w:ascii="Bookman Old Style" w:hAnsi="Bookman Old Style"/>
          <w:lang w:val="es-ES_tradnl"/>
        </w:rPr>
        <w:t xml:space="preserve"> </w:t>
      </w:r>
      <w:r w:rsidRPr="000B65DE">
        <w:rPr>
          <w:rFonts w:ascii="Bookman Old Style" w:hAnsi="Bookman Old Style"/>
          <w:lang w:val="es-ES_tradnl"/>
        </w:rPr>
        <w:t xml:space="preserve">durante el período tarifario que culmina. En caso de corresponder a nuevas Unidades Constructivas se toma el valor de éstas tal y como están definidas en el </w:t>
      </w:r>
      <w:r>
        <w:rPr>
          <w:rFonts w:ascii="Bookman Old Style" w:hAnsi="Bookman Old Style"/>
          <w:lang w:val="es-ES_tradnl"/>
        </w:rPr>
        <w:t>Anexo 8 de la Resolución CREG 202 de 2013</w:t>
      </w:r>
      <w:r w:rsidRPr="000B65DE">
        <w:rPr>
          <w:rFonts w:ascii="Bookman Old Style" w:hAnsi="Bookman Old Style"/>
          <w:lang w:val="es-ES_tradnl"/>
        </w:rPr>
        <w:t>.</w:t>
      </w:r>
    </w:p>
    <w:p w14:paraId="21CFC970" w14:textId="77777777" w:rsidR="00526A24" w:rsidRDefault="00526A24" w:rsidP="00526A24">
      <w:pPr>
        <w:spacing w:before="240" w:after="240"/>
        <w:ind w:left="0" w:right="-91"/>
        <w:jc w:val="both"/>
        <w:rPr>
          <w:rFonts w:ascii="Bookman Old Style" w:hAnsi="Bookman Old Style"/>
          <w:lang w:val="es-ES_tradnl"/>
        </w:rPr>
      </w:pPr>
      <w:r w:rsidRPr="001954E9">
        <w:rPr>
          <w:rFonts w:ascii="Bookman Old Style" w:hAnsi="Bookman Old Style" w:cs="Arial"/>
          <w:b/>
          <w:lang w:val="es-ES_tradnl"/>
        </w:rPr>
        <w:t xml:space="preserve">Programa de Nuevas Inversiones (IPNI). </w:t>
      </w:r>
      <w:r>
        <w:rPr>
          <w:rFonts w:ascii="Bookman Old Style" w:hAnsi="Bookman Old Style"/>
          <w:lang w:val="es-ES_tradnl"/>
        </w:rPr>
        <w:t>I</w:t>
      </w:r>
      <w:r w:rsidRPr="001954E9">
        <w:rPr>
          <w:rFonts w:ascii="Bookman Old Style" w:hAnsi="Bookman Old Style"/>
          <w:lang w:val="es-ES_tradnl"/>
        </w:rPr>
        <w:t xml:space="preserve">nversión del Programa de Nuevas Inversiones que se realizará en el Siguiente Período Tarifario. </w:t>
      </w:r>
      <w:r w:rsidRPr="000B65DE">
        <w:rPr>
          <w:rFonts w:ascii="Bookman Old Style" w:hAnsi="Bookman Old Style"/>
          <w:lang w:val="es-ES_tradnl"/>
        </w:rPr>
        <w:t>Esta deberá ser homologada a las Unidades Constructivas</w:t>
      </w:r>
      <w:r w:rsidRPr="001954E9" w:rsidDel="00273535">
        <w:rPr>
          <w:rFonts w:ascii="Bookman Old Style" w:hAnsi="Bookman Old Style"/>
          <w:lang w:val="es-ES_tradnl"/>
        </w:rPr>
        <w:t xml:space="preserve"> </w:t>
      </w:r>
      <w:r w:rsidRPr="000B65DE">
        <w:rPr>
          <w:rFonts w:ascii="Bookman Old Style" w:hAnsi="Bookman Old Style"/>
          <w:lang w:val="es-ES_tradnl"/>
        </w:rPr>
        <w:t xml:space="preserve">que se definan para el Siguiente Período Tarifario y valorada a los costos unitarios que se establecen en esta Resolución y que están definidos en el </w:t>
      </w:r>
      <w:r>
        <w:rPr>
          <w:rFonts w:ascii="Bookman Old Style" w:hAnsi="Bookman Old Style"/>
          <w:lang w:val="es-ES_tradnl"/>
        </w:rPr>
        <w:t>Anexo 8</w:t>
      </w:r>
      <w:r w:rsidRPr="001954E9">
        <w:rPr>
          <w:rFonts w:ascii="Bookman Old Style" w:hAnsi="Bookman Old Style"/>
          <w:lang w:val="es-ES_tradnl"/>
        </w:rPr>
        <w:t xml:space="preserve"> de la Resolución CREG 202 de 2013.</w:t>
      </w:r>
    </w:p>
    <w:p w14:paraId="3B6F8F7A" w14:textId="5F585BC2" w:rsidR="00526A24" w:rsidRDefault="00526A24" w:rsidP="00526A24">
      <w:pPr>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Base de Reposición de activos (IRAIE): </w:t>
      </w:r>
      <w:r w:rsidRPr="000B65DE">
        <w:rPr>
          <w:rFonts w:ascii="Bookman Old Style" w:hAnsi="Bookman Old Style"/>
          <w:lang w:val="es-ES_tradnl"/>
        </w:rPr>
        <w:t xml:space="preserve">Inversión a reconocer para el programa de reposición de activos de la </w:t>
      </w:r>
      <w:r w:rsidRPr="000B65DE">
        <w:rPr>
          <w:rFonts w:ascii="Bookman Old Style" w:hAnsi="Bookman Old Style" w:cs="Arial"/>
          <w:lang w:val="es-CO" w:eastAsia="en-US"/>
        </w:rPr>
        <w:t>Inversión Existente</w:t>
      </w:r>
      <w:r w:rsidRPr="000B65DE">
        <w:rPr>
          <w:rFonts w:ascii="Bookman Old Style" w:hAnsi="Bookman Old Style"/>
          <w:lang w:val="es-ES_tradnl"/>
        </w:rPr>
        <w:t xml:space="preserve"> (IE) que se realizará durante en el Siguiente Período Tarifario. Esta deberá ser homologada a las Unidades Constructivas que se definan para el Siguiente Período Tarifario y valorada a los costos unitarios que se establecen en el </w:t>
      </w:r>
      <w:r>
        <w:rPr>
          <w:rFonts w:ascii="Bookman Old Style" w:hAnsi="Bookman Old Style"/>
          <w:lang w:val="es-ES_tradnl"/>
        </w:rPr>
        <w:t>Anexo 8 de la Resolución CREG 202 de 2013.</w:t>
      </w:r>
    </w:p>
    <w:p w14:paraId="0D12E75F" w14:textId="5E662F3B" w:rsidR="00DE4ED8" w:rsidRPr="00664AEC" w:rsidRDefault="00DE4ED8" w:rsidP="00DE4ED8">
      <w:pPr>
        <w:spacing w:before="240" w:after="240"/>
        <w:ind w:left="0"/>
        <w:jc w:val="both"/>
        <w:rPr>
          <w:rFonts w:ascii="Bookman Old Style" w:hAnsi="Bookman Old Style"/>
          <w:lang w:val="es-ES_tradnl"/>
        </w:rPr>
      </w:pPr>
      <w:r>
        <w:rPr>
          <w:rFonts w:ascii="Bookman Old Style" w:hAnsi="Bookman Old Style"/>
          <w:lang w:val="es-ES_tradnl"/>
        </w:rPr>
        <w:t xml:space="preserve">La inversión base para el mercado relevante de distribución para el siguiente periodo tarifario del numeral </w:t>
      </w:r>
      <w:r>
        <w:rPr>
          <w:rFonts w:ascii="Bookman Old Style" w:hAnsi="Bookman Old Style"/>
          <w:lang w:val="es-ES_tradnl"/>
        </w:rPr>
        <w:fldChar w:fldCharType="begin"/>
      </w:r>
      <w:r>
        <w:rPr>
          <w:rFonts w:ascii="Bookman Old Style" w:hAnsi="Bookman Old Style"/>
          <w:lang w:val="es-ES_tradnl"/>
        </w:rPr>
        <w:instrText xml:space="preserve"> REF _Ref499390776 \r \h </w:instrText>
      </w:r>
      <w:r>
        <w:rPr>
          <w:rFonts w:ascii="Bookman Old Style" w:hAnsi="Bookman Old Style"/>
          <w:lang w:val="es-ES_tradnl"/>
        </w:rPr>
      </w:r>
      <w:r>
        <w:rPr>
          <w:rFonts w:ascii="Bookman Old Style" w:hAnsi="Bookman Old Style"/>
          <w:lang w:val="es-ES_tradnl"/>
        </w:rPr>
        <w:fldChar w:fldCharType="separate"/>
      </w:r>
      <w:r w:rsidR="0027375A">
        <w:rPr>
          <w:rFonts w:ascii="Bookman Old Style" w:hAnsi="Bookman Old Style"/>
          <w:lang w:val="es-ES_tradnl"/>
        </w:rPr>
        <w:t>7.3</w:t>
      </w:r>
      <w:r>
        <w:rPr>
          <w:rFonts w:ascii="Bookman Old Style" w:hAnsi="Bookman Old Style"/>
          <w:lang w:val="es-ES_tradnl"/>
        </w:rPr>
        <w:fldChar w:fldCharType="end"/>
      </w:r>
      <w:r>
        <w:rPr>
          <w:rFonts w:ascii="Bookman Old Style" w:hAnsi="Bookman Old Style"/>
          <w:lang w:val="es-ES_tradnl"/>
        </w:rPr>
        <w:t xml:space="preserve"> se divide así: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72"/>
        <w:gridCol w:w="1572"/>
        <w:gridCol w:w="1572"/>
        <w:gridCol w:w="1572"/>
        <w:gridCol w:w="1573"/>
      </w:tblGrid>
      <w:tr w:rsidR="00D75351" w:rsidRPr="001954E9" w14:paraId="6040ED76" w14:textId="77777777" w:rsidTr="00BF4423">
        <w:trPr>
          <w:trHeight w:val="499"/>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760C207A"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Inversión Base</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tcPr>
          <w:p w14:paraId="4A46D4A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IE</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tcPr>
          <w:p w14:paraId="1A5970C6"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IPE</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tcPr>
          <w:p w14:paraId="74482ECC"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INPE</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84445"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IPNI</w:t>
            </w:r>
          </w:p>
        </w:tc>
        <w:tc>
          <w:tcPr>
            <w:tcW w:w="15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9FBDC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IRAE</w:t>
            </w:r>
          </w:p>
        </w:tc>
      </w:tr>
      <w:tr w:rsidR="00D75351" w:rsidRPr="001954E9" w14:paraId="6EE3E9CA" w14:textId="77777777" w:rsidTr="002A3E31">
        <w:trPr>
          <w:trHeight w:val="39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E2A41B" w14:textId="77777777" w:rsidR="00D75351" w:rsidRDefault="00D75351" w:rsidP="00BF4423">
            <w:pPr>
              <w:ind w:left="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Costo</w:t>
            </w:r>
          </w:p>
          <w:p w14:paraId="52BE6A49" w14:textId="77777777" w:rsidR="00D75351" w:rsidRPr="008748B2" w:rsidRDefault="00D75351" w:rsidP="00D75351">
            <w:pPr>
              <w:ind w:left="-8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 xml:space="preserve">($ dic </w:t>
            </w:r>
            <w:r>
              <w:rPr>
                <w:rFonts w:ascii="Bookman Old Style" w:eastAsia="Arial Unicode MS" w:hAnsi="Bookman Old Style" w:cs="Arial"/>
                <w:sz w:val="20"/>
                <w:szCs w:val="20"/>
              </w:rPr>
              <w:t>201</w:t>
            </w:r>
            <w:r w:rsidRPr="008748B2">
              <w:rPr>
                <w:rFonts w:ascii="Bookman Old Style" w:eastAsia="Arial Unicode MS" w:hAnsi="Bookman Old Style" w:cs="Arial"/>
                <w:sz w:val="20"/>
                <w:szCs w:val="20"/>
              </w:rPr>
              <w:t>4)</w:t>
            </w:r>
          </w:p>
        </w:tc>
        <w:tc>
          <w:tcPr>
            <w:tcW w:w="1572" w:type="dxa"/>
            <w:tcBorders>
              <w:top w:val="single" w:sz="4" w:space="0" w:color="auto"/>
              <w:left w:val="single" w:sz="4" w:space="0" w:color="auto"/>
              <w:bottom w:val="single" w:sz="4" w:space="0" w:color="auto"/>
              <w:right w:val="single" w:sz="4" w:space="0" w:color="auto"/>
            </w:tcBorders>
            <w:vAlign w:val="center"/>
          </w:tcPr>
          <w:p w14:paraId="6E00617C" w14:textId="15F31839" w:rsidR="00D75351" w:rsidRPr="00BF4423" w:rsidRDefault="00BF4423" w:rsidP="00BF4423">
            <w:pPr>
              <w:ind w:left="-74"/>
              <w:jc w:val="center"/>
              <w:rPr>
                <w:rFonts w:ascii="Bookman Old Style" w:eastAsia="Arial Unicode MS" w:hAnsi="Bookman Old Style" w:cs="Arial"/>
                <w:sz w:val="18"/>
                <w:szCs w:val="20"/>
              </w:rPr>
            </w:pPr>
            <w:r w:rsidRPr="00BF4423">
              <w:rPr>
                <w:rFonts w:ascii="Bookman Old Style" w:eastAsia="Arial Unicode MS" w:hAnsi="Bookman Old Style" w:cs="Arial"/>
                <w:sz w:val="18"/>
                <w:szCs w:val="20"/>
              </w:rPr>
              <w:t>-</w:t>
            </w:r>
          </w:p>
        </w:tc>
        <w:tc>
          <w:tcPr>
            <w:tcW w:w="1572" w:type="dxa"/>
            <w:tcBorders>
              <w:top w:val="single" w:sz="4" w:space="0" w:color="auto"/>
              <w:left w:val="single" w:sz="4" w:space="0" w:color="auto"/>
              <w:bottom w:val="single" w:sz="4" w:space="0" w:color="auto"/>
              <w:right w:val="single" w:sz="4" w:space="0" w:color="auto"/>
            </w:tcBorders>
            <w:vAlign w:val="center"/>
          </w:tcPr>
          <w:p w14:paraId="1FA8D2A0" w14:textId="4B7D042A" w:rsidR="00D75351" w:rsidRPr="00BF4423" w:rsidRDefault="00BF4423" w:rsidP="00D75351">
            <w:pPr>
              <w:ind w:left="-74"/>
              <w:jc w:val="center"/>
              <w:rPr>
                <w:rFonts w:ascii="Bookman Old Style" w:eastAsia="Arial Unicode MS" w:hAnsi="Bookman Old Style" w:cs="Arial"/>
                <w:sz w:val="18"/>
                <w:szCs w:val="20"/>
              </w:rPr>
            </w:pPr>
            <w:r w:rsidRPr="00BF4423">
              <w:rPr>
                <w:rFonts w:ascii="Bookman Old Style" w:eastAsia="Arial Unicode MS" w:hAnsi="Bookman Old Style" w:cs="Arial"/>
                <w:sz w:val="18"/>
                <w:szCs w:val="20"/>
              </w:rPr>
              <w:t>8.637.107.234</w:t>
            </w:r>
          </w:p>
        </w:tc>
        <w:tc>
          <w:tcPr>
            <w:tcW w:w="1572" w:type="dxa"/>
            <w:tcBorders>
              <w:top w:val="single" w:sz="4" w:space="0" w:color="auto"/>
              <w:left w:val="single" w:sz="4" w:space="0" w:color="auto"/>
              <w:bottom w:val="single" w:sz="4" w:space="0" w:color="auto"/>
              <w:right w:val="single" w:sz="4" w:space="0" w:color="auto"/>
            </w:tcBorders>
            <w:vAlign w:val="center"/>
          </w:tcPr>
          <w:p w14:paraId="2AA51247" w14:textId="475E3A9F" w:rsidR="00D75351" w:rsidRPr="00BF4423" w:rsidRDefault="00BF4423" w:rsidP="00D75351">
            <w:pPr>
              <w:ind w:left="-74"/>
              <w:jc w:val="center"/>
              <w:rPr>
                <w:rFonts w:ascii="Bookman Old Style" w:eastAsia="Arial Unicode MS" w:hAnsi="Bookman Old Style" w:cs="Arial"/>
                <w:sz w:val="18"/>
                <w:szCs w:val="20"/>
              </w:rPr>
            </w:pPr>
            <w:r w:rsidRPr="00BF4423">
              <w:rPr>
                <w:rFonts w:ascii="Bookman Old Style" w:eastAsia="Arial Unicode MS" w:hAnsi="Bookman Old Style" w:cs="Arial"/>
                <w:sz w:val="18"/>
                <w:szCs w:val="20"/>
              </w:rPr>
              <w:t>2.951.903.726</w:t>
            </w:r>
          </w:p>
        </w:tc>
        <w:tc>
          <w:tcPr>
            <w:tcW w:w="1572" w:type="dxa"/>
            <w:tcBorders>
              <w:top w:val="single" w:sz="4" w:space="0" w:color="auto"/>
              <w:left w:val="single" w:sz="4" w:space="0" w:color="auto"/>
              <w:bottom w:val="single" w:sz="4" w:space="0" w:color="auto"/>
              <w:right w:val="single" w:sz="4" w:space="0" w:color="auto"/>
            </w:tcBorders>
            <w:vAlign w:val="center"/>
          </w:tcPr>
          <w:p w14:paraId="19BAF294" w14:textId="65ACAA4F" w:rsidR="00D75351" w:rsidRPr="00BF4423" w:rsidRDefault="00BF4423" w:rsidP="00D75351">
            <w:pPr>
              <w:ind w:left="-74"/>
              <w:jc w:val="center"/>
              <w:rPr>
                <w:rFonts w:ascii="Bookman Old Style" w:eastAsia="Arial Unicode MS" w:hAnsi="Bookman Old Style" w:cs="Arial"/>
                <w:sz w:val="18"/>
                <w:szCs w:val="20"/>
              </w:rPr>
            </w:pPr>
            <w:r w:rsidRPr="00BF4423">
              <w:rPr>
                <w:rFonts w:ascii="Bookman Old Style" w:eastAsia="Arial Unicode MS" w:hAnsi="Bookman Old Style" w:cs="Arial"/>
                <w:sz w:val="18"/>
                <w:szCs w:val="20"/>
              </w:rPr>
              <w:t>-</w:t>
            </w:r>
          </w:p>
        </w:tc>
        <w:tc>
          <w:tcPr>
            <w:tcW w:w="1573" w:type="dxa"/>
            <w:tcBorders>
              <w:top w:val="single" w:sz="4" w:space="0" w:color="auto"/>
              <w:left w:val="single" w:sz="4" w:space="0" w:color="auto"/>
              <w:bottom w:val="single" w:sz="4" w:space="0" w:color="auto"/>
              <w:right w:val="single" w:sz="4" w:space="0" w:color="auto"/>
            </w:tcBorders>
            <w:vAlign w:val="center"/>
          </w:tcPr>
          <w:p w14:paraId="33F8E7DD" w14:textId="77777777" w:rsidR="00D75351" w:rsidRPr="00BF4423" w:rsidRDefault="00D75351" w:rsidP="00D75351">
            <w:pPr>
              <w:ind w:left="-70"/>
              <w:jc w:val="center"/>
              <w:rPr>
                <w:sz w:val="20"/>
                <w:szCs w:val="20"/>
              </w:rPr>
            </w:pPr>
            <w:r w:rsidRPr="00BF4423">
              <w:rPr>
                <w:rFonts w:ascii="Bookman Old Style" w:hAnsi="Bookman Old Style" w:cs="Arial"/>
                <w:iCs/>
                <w:sz w:val="20"/>
                <w:szCs w:val="20"/>
              </w:rPr>
              <w:t>-</w:t>
            </w:r>
          </w:p>
        </w:tc>
      </w:tr>
    </w:tbl>
    <w:p w14:paraId="0F664EA8" w14:textId="77777777" w:rsidR="00526A24" w:rsidRPr="0085784B" w:rsidRDefault="00526A24" w:rsidP="00526A24">
      <w:pPr>
        <w:spacing w:after="200"/>
        <w:ind w:left="851" w:right="-91" w:hanging="851"/>
        <w:contextualSpacing/>
        <w:jc w:val="both"/>
        <w:rPr>
          <w:rFonts w:ascii="Bookman Old Style" w:hAnsi="Bookman Old Style" w:cs="Arial"/>
          <w:sz w:val="18"/>
        </w:rPr>
      </w:pPr>
      <w:r w:rsidRPr="0085784B">
        <w:rPr>
          <w:rFonts w:ascii="Bookman Old Style" w:hAnsi="Bookman Old Style" w:cs="Arial"/>
          <w:sz w:val="18"/>
        </w:rPr>
        <w:t>Cifras en pesos del 31 de diciembre de 2014</w:t>
      </w:r>
    </w:p>
    <w:p w14:paraId="62E44AE3"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391F08">
        <w:rPr>
          <w:rFonts w:ascii="Bookman Old Style" w:eastAsia="Calibri" w:hAnsi="Bookman Old Style" w:cs="Arial"/>
          <w:b/>
          <w:sz w:val="24"/>
          <w:szCs w:val="24"/>
          <w:lang w:eastAsia="en-US"/>
        </w:rPr>
        <w:t>Otros Activos</w:t>
      </w:r>
    </w:p>
    <w:p w14:paraId="6B19C7B8" w14:textId="77777777" w:rsidR="00526A24" w:rsidRPr="007068B3"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Corresponden a activos asociados a las actividades de distribución como: maquinaria y equipos (</w:t>
      </w:r>
      <w:r w:rsidRPr="007068B3">
        <w:rPr>
          <w:rFonts w:ascii="Bookman Old Style" w:eastAsia="Calibri" w:hAnsi="Bookman Old Style" w:cs="Arial"/>
          <w:spacing w:val="-4"/>
          <w:lang w:val="es-CO" w:eastAsia="en-US"/>
        </w:rPr>
        <w:t>vehículos, herramientas, etc</w:t>
      </w:r>
      <w:r w:rsidRPr="007068B3">
        <w:rPr>
          <w:rFonts w:ascii="Bookman Old Style" w:eastAsia="Calibri" w:hAnsi="Bookman Old Style" w:cs="Arial"/>
          <w:lang w:eastAsia="en-US"/>
        </w:rPr>
        <w:t xml:space="preserve">), muebles, equipos de cómputo y de comunicación y sistemas de información. </w:t>
      </w:r>
    </w:p>
    <w:p w14:paraId="7C1FD8DF" w14:textId="77777777" w:rsidR="00DE17D9" w:rsidRDefault="00DE17D9" w:rsidP="00DE17D9">
      <w:pPr>
        <w:numPr>
          <w:ilvl w:val="12"/>
          <w:numId w:val="0"/>
        </w:numPr>
        <w:jc w:val="both"/>
        <w:rPr>
          <w:rFonts w:ascii="Bookman Old Style" w:eastAsia="Calibri" w:hAnsi="Bookman Old Style" w:cs="Arial"/>
          <w:lang w:eastAsia="en-US"/>
        </w:rPr>
      </w:pPr>
    </w:p>
    <w:p w14:paraId="1FC48501" w14:textId="24235FD3" w:rsidR="00AF6229"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El monto</w:t>
      </w:r>
      <w:r>
        <w:rPr>
          <w:rFonts w:ascii="Bookman Old Style" w:eastAsia="Calibri" w:hAnsi="Bookman Old Style" w:cs="Arial"/>
          <w:lang w:eastAsia="en-US"/>
        </w:rPr>
        <w:t xml:space="preserve"> de los Otros Activos reportado</w:t>
      </w:r>
      <w:r w:rsidRPr="007068B3">
        <w:rPr>
          <w:rFonts w:ascii="Bookman Old Style" w:eastAsia="Calibri" w:hAnsi="Bookman Old Style" w:cs="Arial"/>
          <w:lang w:eastAsia="en-US"/>
        </w:rPr>
        <w:t xml:space="preserve"> por la empresa</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tanto en Inversión Existente como en Programa de Nuevas Inversiones</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no podrá ser superior al monto de la inversión en Activos Inherentes a la operación por el porcentaje </w:t>
      </w:r>
      <w:r>
        <w:rPr>
          <w:rFonts w:ascii="Bookman Old Style" w:eastAsia="Calibri" w:hAnsi="Bookman Old Style" w:cs="Arial"/>
          <w:lang w:eastAsia="en-US"/>
        </w:rPr>
        <w:t>de Otros Activos eficiente.</w:t>
      </w:r>
    </w:p>
    <w:p w14:paraId="202AEA65" w14:textId="619A20FB" w:rsidR="00AF6229" w:rsidRPr="001954E9" w:rsidRDefault="00AF6229" w:rsidP="00006560">
      <w:pPr>
        <w:numPr>
          <w:ilvl w:val="12"/>
          <w:numId w:val="0"/>
        </w:numPr>
        <w:spacing w:after="200"/>
        <w:jc w:val="both"/>
        <w:rPr>
          <w:rFonts w:ascii="Bookman Old Style" w:eastAsia="Calibri" w:hAnsi="Bookman Old Style" w:cs="Arial"/>
          <w:lang w:eastAsia="en-US"/>
        </w:rPr>
      </w:pPr>
      <w:r>
        <w:rPr>
          <w:rFonts w:ascii="Bookman Old Style" w:eastAsia="Calibri" w:hAnsi="Bookman Old Style" w:cs="Arial"/>
          <w:lang w:eastAsia="en-US"/>
        </w:rPr>
        <w:t>El porcentaje de Otros Activos eficiente</w:t>
      </w:r>
      <w:r w:rsidR="00526A24">
        <w:rPr>
          <w:rFonts w:ascii="Bookman Old Style" w:eastAsia="Calibri" w:hAnsi="Bookman Old Style" w:cs="Arial"/>
          <w:lang w:eastAsia="en-US"/>
        </w:rPr>
        <w:t xml:space="preserve"> </w:t>
      </w:r>
      <w:r w:rsidR="00526A24" w:rsidRPr="00AC7842">
        <w:rPr>
          <w:rFonts w:ascii="Bookman Old Style" w:hAnsi="Bookman Old Style" w:cs="Helv"/>
          <w:color w:val="000000"/>
          <w:lang w:val="es-CO" w:eastAsia="es-CO"/>
        </w:rPr>
        <w:t xml:space="preserve">se estimará de acuerdo con el </w:t>
      </w:r>
      <w:r w:rsidR="00B721B6">
        <w:rPr>
          <w:rFonts w:ascii="Bookman Old Style" w:hAnsi="Bookman Old Style" w:cs="Helv"/>
          <w:color w:val="000000"/>
          <w:lang w:val="es-CO" w:eastAsia="es-CO"/>
        </w:rPr>
        <w:t>procedimiento que se describe</w:t>
      </w:r>
      <w:r>
        <w:rPr>
          <w:rFonts w:ascii="Bookman Old Style" w:hAnsi="Bookman Old Style" w:cs="Helv"/>
          <w:color w:val="000000"/>
          <w:lang w:val="es-CO" w:eastAsia="es-CO"/>
        </w:rPr>
        <w:t xml:space="preserve"> a continuación, y el cual tiene como fin</w:t>
      </w:r>
      <w:r>
        <w:rPr>
          <w:rFonts w:ascii="Bookman Old Style" w:eastAsia="Calibri" w:hAnsi="Bookman Old Style" w:cs="Arial"/>
          <w:lang w:eastAsia="en-US"/>
        </w:rPr>
        <w:t xml:space="preserve"> li</w:t>
      </w:r>
      <w:r w:rsidRPr="001954E9">
        <w:rPr>
          <w:rFonts w:ascii="Bookman Old Style" w:eastAsia="Calibri" w:hAnsi="Bookman Old Style" w:cs="Arial"/>
          <w:lang w:eastAsia="en-US"/>
        </w:rPr>
        <w:t>mitar que dentro de los cargos aprobados se traslade la gestión ineficiente de los agentes, en particular con la posibilidad de incorporar inversiones que no se encuentren relacionados con la prestación del servicio público domiciliario</w:t>
      </w:r>
      <w:r w:rsidR="00E07893">
        <w:rPr>
          <w:rFonts w:ascii="Bookman Old Style" w:eastAsia="Calibri" w:hAnsi="Bookman Old Style" w:cs="Arial"/>
          <w:lang w:eastAsia="en-US"/>
        </w:rPr>
        <w:t>,</w:t>
      </w:r>
      <w:r w:rsidRPr="001954E9">
        <w:rPr>
          <w:rFonts w:ascii="Bookman Old Style" w:eastAsia="Calibri" w:hAnsi="Bookman Old Style" w:cs="Arial"/>
          <w:lang w:eastAsia="en-US"/>
        </w:rPr>
        <w:t xml:space="preserve"> en este caso, la actividad de distribución de gas combustible garantiza</w:t>
      </w:r>
      <w:r>
        <w:rPr>
          <w:rFonts w:ascii="Bookman Old Style" w:eastAsia="Calibri" w:hAnsi="Bookman Old Style" w:cs="Arial"/>
          <w:lang w:eastAsia="en-US"/>
        </w:rPr>
        <w:t>ndo</w:t>
      </w:r>
      <w:r w:rsidRPr="001954E9">
        <w:rPr>
          <w:rFonts w:ascii="Bookman Old Style" w:eastAsia="Calibri" w:hAnsi="Bookman Old Style" w:cs="Arial"/>
          <w:lang w:eastAsia="en-US"/>
        </w:rPr>
        <w:t xml:space="preserve"> que la decisión que apruebe los cargos se haga atendiendo parámetros de eficiencia, atendiendo motivos comprobables en el marco de la Ley 142 de 1994.</w:t>
      </w:r>
    </w:p>
    <w:p w14:paraId="6BF363CC" w14:textId="032F9323" w:rsidR="00526A24" w:rsidRPr="00AC7842" w:rsidRDefault="00526A24" w:rsidP="00526A24">
      <w:pPr>
        <w:pStyle w:val="Prrafodelista"/>
        <w:spacing w:before="240" w:after="240"/>
        <w:ind w:left="0"/>
        <w:jc w:val="both"/>
        <w:rPr>
          <w:rFonts w:ascii="Bookman Old Style" w:hAnsi="Bookman Old Style"/>
          <w:sz w:val="24"/>
          <w:szCs w:val="24"/>
          <w:lang w:eastAsia="es-CO"/>
        </w:rPr>
      </w:pPr>
      <w:r w:rsidRPr="00006560">
        <w:rPr>
          <w:rFonts w:ascii="Bookman Old Style" w:hAnsi="Bookman Old Style"/>
          <w:sz w:val="24"/>
          <w:szCs w:val="24"/>
          <w:lang w:eastAsia="es-CO"/>
        </w:rPr>
        <w:t>Para el me</w:t>
      </w:r>
      <w:r w:rsidRPr="00006560">
        <w:rPr>
          <w:rFonts w:ascii="Bookman Old Style" w:hAnsi="Bookman Old Style"/>
          <w:sz w:val="24"/>
          <w:szCs w:val="24"/>
          <w:lang w:val="es-ES_tradnl"/>
        </w:rPr>
        <w:t xml:space="preserve">rcado </w:t>
      </w:r>
      <w:r w:rsidRPr="004B2639">
        <w:rPr>
          <w:rFonts w:ascii="Bookman Old Style" w:hAnsi="Bookman Old Style"/>
          <w:sz w:val="24"/>
          <w:szCs w:val="24"/>
          <w:lang w:val="es-ES_tradnl"/>
        </w:rPr>
        <w:t>relevante de distribución para el siguiente período tarifario descrito en el numeral 7.1,</w:t>
      </w:r>
      <w:r w:rsidRPr="00006560">
        <w:rPr>
          <w:rFonts w:ascii="Bookman Old Style" w:hAnsi="Bookman Old Style"/>
          <w:sz w:val="24"/>
          <w:szCs w:val="24"/>
          <w:lang w:val="es-ES_tradnl"/>
        </w:rPr>
        <w:t xml:space="preserve"> el cual constituye </w:t>
      </w:r>
      <w:r w:rsidR="004B2639">
        <w:rPr>
          <w:rFonts w:ascii="Bookman Old Style" w:hAnsi="Bookman Old Style"/>
          <w:sz w:val="24"/>
          <w:szCs w:val="24"/>
          <w:lang w:val="es-ES_tradnl"/>
        </w:rPr>
        <w:t>una agregación de mercados existentes de distribución</w:t>
      </w:r>
      <w:r w:rsidRPr="00006560">
        <w:rPr>
          <w:rFonts w:ascii="Bookman Old Style" w:hAnsi="Bookman Old Style"/>
          <w:sz w:val="24"/>
          <w:szCs w:val="24"/>
          <w:lang w:val="es-ES_tradnl"/>
        </w:rPr>
        <w:t>,</w:t>
      </w:r>
      <w:r w:rsidRPr="00AF6229">
        <w:rPr>
          <w:rFonts w:ascii="Bookman Old Style" w:hAnsi="Bookman Old Style"/>
          <w:sz w:val="24"/>
          <w:szCs w:val="24"/>
          <w:lang w:eastAsia="es-CO"/>
        </w:rPr>
        <w:t xml:space="preserve"> se toma la información </w:t>
      </w:r>
      <w:r>
        <w:rPr>
          <w:rFonts w:ascii="Bookman Old Style" w:hAnsi="Bookman Old Style"/>
          <w:sz w:val="24"/>
          <w:szCs w:val="24"/>
          <w:lang w:eastAsia="es-CO"/>
        </w:rPr>
        <w:t xml:space="preserve">de Otros Activos </w:t>
      </w:r>
      <w:r w:rsidRPr="00AC7842">
        <w:rPr>
          <w:rFonts w:ascii="Bookman Old Style" w:hAnsi="Bookman Old Style"/>
          <w:sz w:val="24"/>
          <w:szCs w:val="24"/>
          <w:lang w:eastAsia="es-CO"/>
        </w:rPr>
        <w:t xml:space="preserve">reportada por la empresa distribuidora a la CREG </w:t>
      </w:r>
      <w:r>
        <w:rPr>
          <w:rFonts w:ascii="Bookman Old Style" w:hAnsi="Bookman Old Style"/>
          <w:sz w:val="24"/>
          <w:szCs w:val="24"/>
          <w:lang w:eastAsia="es-CO"/>
        </w:rPr>
        <w:t>en</w:t>
      </w:r>
      <w:r w:rsidRPr="00AC7842">
        <w:rPr>
          <w:rFonts w:ascii="Bookman Old Style" w:hAnsi="Bookman Old Style"/>
          <w:sz w:val="24"/>
          <w:szCs w:val="24"/>
          <w:lang w:eastAsia="es-CO"/>
        </w:rPr>
        <w:t xml:space="preserve"> las solicitudes tarifarias </w:t>
      </w:r>
      <w:r>
        <w:rPr>
          <w:rFonts w:ascii="Bookman Old Style" w:hAnsi="Bookman Old Style"/>
          <w:sz w:val="24"/>
          <w:szCs w:val="24"/>
          <w:lang w:eastAsia="es-CO"/>
        </w:rPr>
        <w:t xml:space="preserve">de los mercados que conforman </w:t>
      </w:r>
      <w:r w:rsidRPr="000024C0">
        <w:rPr>
          <w:rFonts w:ascii="Bookman Old Style" w:hAnsi="Bookman Old Style"/>
          <w:sz w:val="24"/>
          <w:szCs w:val="24"/>
          <w:lang w:eastAsia="es-CO"/>
        </w:rPr>
        <w:t>el me</w:t>
      </w:r>
      <w:r w:rsidRPr="000024C0">
        <w:rPr>
          <w:rFonts w:ascii="Bookman Old Style" w:hAnsi="Bookman Old Style"/>
          <w:sz w:val="24"/>
          <w:szCs w:val="24"/>
          <w:lang w:val="es-ES_tradnl"/>
        </w:rPr>
        <w:t>rcado relevante de distribución para el siguiente período tarifario</w:t>
      </w:r>
      <w:r w:rsidRPr="00AC7842">
        <w:rPr>
          <w:rFonts w:ascii="Bookman Old Style" w:hAnsi="Bookman Old Style"/>
          <w:sz w:val="24"/>
          <w:szCs w:val="24"/>
          <w:lang w:eastAsia="es-CO"/>
        </w:rPr>
        <w:t xml:space="preserve"> </w:t>
      </w:r>
      <w:r>
        <w:rPr>
          <w:rFonts w:ascii="Bookman Old Style" w:hAnsi="Bookman Old Style"/>
          <w:sz w:val="24"/>
          <w:szCs w:val="24"/>
          <w:lang w:eastAsia="es-CO"/>
        </w:rPr>
        <w:t xml:space="preserve">y </w:t>
      </w:r>
      <w:r w:rsidRPr="00AC7842">
        <w:rPr>
          <w:rFonts w:ascii="Bookman Old Style" w:hAnsi="Bookman Old Style"/>
          <w:sz w:val="24"/>
          <w:szCs w:val="24"/>
          <w:lang w:eastAsia="es-CO"/>
        </w:rPr>
        <w:t xml:space="preserve">que fueron archivadas conforme lo dispuesto en el artículo 11 de la Resolución CREG 093 de 2016, y con la depuración que pudo realizarse por parte de la CREG o por parte de la empresa como respuesta a comunicaciones particulares y/o a la </w:t>
      </w:r>
      <w:r>
        <w:rPr>
          <w:rFonts w:ascii="Bookman Old Style" w:hAnsi="Bookman Old Style"/>
          <w:sz w:val="24"/>
          <w:szCs w:val="24"/>
          <w:lang w:eastAsia="es-CO"/>
        </w:rPr>
        <w:t>C</w:t>
      </w:r>
      <w:r w:rsidRPr="00AC7842">
        <w:rPr>
          <w:rFonts w:ascii="Bookman Old Style" w:hAnsi="Bookman Old Style"/>
          <w:sz w:val="24"/>
          <w:szCs w:val="24"/>
          <w:lang w:eastAsia="es-CO"/>
        </w:rPr>
        <w:t>ircular CREG 004 de 2017. Esta información corresponde a la del año 2013.</w:t>
      </w:r>
    </w:p>
    <w:p w14:paraId="7348753A" w14:textId="77777777" w:rsidR="00526A24" w:rsidRPr="003D4E4F" w:rsidRDefault="00526A24" w:rsidP="00526A24">
      <w:pPr>
        <w:tabs>
          <w:tab w:val="left" w:pos="0"/>
        </w:tabs>
        <w:spacing w:before="240" w:after="240"/>
        <w:ind w:left="0"/>
        <w:jc w:val="both"/>
        <w:rPr>
          <w:rFonts w:ascii="Bookman Old Style" w:eastAsia="MS Mincho" w:hAnsi="Bookman Old Style" w:cs="Arial"/>
          <w:lang w:val="es-CO" w:eastAsia="en-US"/>
        </w:rPr>
      </w:pPr>
      <w:r w:rsidRPr="003D4E4F">
        <w:rPr>
          <w:rFonts w:ascii="Bookman Old Style" w:eastAsia="MS Mincho" w:hAnsi="Bookman Old Style" w:cs="Arial"/>
          <w:lang w:val="es-CO" w:eastAsia="en-US"/>
        </w:rPr>
        <w:t>Luego se establece</w:t>
      </w:r>
      <w:r>
        <w:rPr>
          <w:rFonts w:ascii="Bookman Old Style" w:eastAsia="MS Mincho" w:hAnsi="Bookman Old Style" w:cs="Arial"/>
          <w:lang w:val="es-CO" w:eastAsia="en-US"/>
        </w:rPr>
        <w:t xml:space="preserve"> </w:t>
      </w:r>
      <w:r w:rsidRPr="003D4E4F">
        <w:rPr>
          <w:rFonts w:ascii="Bookman Old Style" w:eastAsia="MS Mincho" w:hAnsi="Bookman Old Style" w:cs="Arial"/>
          <w:lang w:val="es-CO" w:eastAsia="en-US"/>
        </w:rPr>
        <w:t>el porcentaje de Otros Activos eficiente a reconocer para el mercado relevante de distribución para el siguiente periodo tarifario de acuerdo con la siguiente fórmula:</w:t>
      </w:r>
    </w:p>
    <w:p w14:paraId="3DC63678" w14:textId="1DA99380" w:rsidR="00526A24" w:rsidRPr="00526A24" w:rsidRDefault="00A93098" w:rsidP="00526A24">
      <w:pPr>
        <w:spacing w:before="240" w:after="240"/>
        <w:ind w:left="0" w:right="-93"/>
        <w:jc w:val="center"/>
        <w:rPr>
          <w:rFonts w:ascii="Bookman Old Style" w:eastAsia="MS Mincho" w:hAnsi="Bookman Old Style"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e>
              </m:d>
            </m:e>
          </m:d>
        </m:oMath>
      </m:oMathPara>
    </w:p>
    <w:p w14:paraId="782471EE" w14:textId="77777777" w:rsidR="00526A24" w:rsidRPr="00AC7842" w:rsidRDefault="00526A24" w:rsidP="00526A24">
      <w:pPr>
        <w:spacing w:before="240" w:after="240"/>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356" w:type="dxa"/>
        <w:tblLook w:val="04A0" w:firstRow="1" w:lastRow="0" w:firstColumn="1" w:lastColumn="0" w:noHBand="0" w:noVBand="1"/>
      </w:tblPr>
      <w:tblGrid>
        <w:gridCol w:w="1939"/>
        <w:gridCol w:w="7417"/>
      </w:tblGrid>
      <w:tr w:rsidR="00526A24" w:rsidRPr="00AC7842" w14:paraId="45E435B8" w14:textId="77777777" w:rsidTr="00FD4ECB">
        <w:tc>
          <w:tcPr>
            <w:tcW w:w="1939" w:type="dxa"/>
          </w:tcPr>
          <w:p w14:paraId="2933BD96" w14:textId="492091B9" w:rsidR="00526A24" w:rsidRPr="00526A24" w:rsidRDefault="00A93098"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17" w:type="dxa"/>
          </w:tcPr>
          <w:p w14:paraId="40FCDC5D"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eficiente </w:t>
            </w:r>
            <w:r>
              <w:rPr>
                <w:rFonts w:ascii="Bookman Old Style" w:eastAsia="MS Mincho" w:hAnsi="Bookman Old Style" w:cs="Arial"/>
                <w:lang w:val="es-ES_tradnl" w:eastAsia="en-US"/>
              </w:rPr>
              <w:t>a reconocer</w:t>
            </w:r>
            <w:r w:rsidRPr="00AC7842">
              <w:rPr>
                <w:rFonts w:ascii="Bookman Old Style" w:eastAsia="MS Mincho" w:hAnsi="Bookman Old Style" w:cs="Arial"/>
                <w:lang w:val="es-ES_tradnl" w:eastAsia="en-US"/>
              </w:rPr>
              <w:t xml:space="preserve"> en los cargos de distribución del mercado relevante de distribución para el siguiente periodo tarifario.</w:t>
            </w:r>
          </w:p>
          <w:p w14:paraId="3F9EB074"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7615E6FF" w14:textId="77777777" w:rsidTr="00FD4ECB">
        <w:tc>
          <w:tcPr>
            <w:tcW w:w="1939" w:type="dxa"/>
          </w:tcPr>
          <w:p w14:paraId="5EEDBD0B" w14:textId="050CFF66" w:rsidR="00526A24" w:rsidRPr="00526A24" w:rsidRDefault="00A93098"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417" w:type="dxa"/>
          </w:tcPr>
          <w:p w14:paraId="617A29BC"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y de ejercicios de depuración realizados por la Comisión y/o la empresa.</w:t>
            </w:r>
          </w:p>
          <w:p w14:paraId="269FE9DD" w14:textId="77777777" w:rsidR="00526A24" w:rsidRPr="00AC7842" w:rsidRDefault="00526A24" w:rsidP="00FD4ECB">
            <w:pPr>
              <w:ind w:left="0" w:right="-93"/>
              <w:jc w:val="both"/>
              <w:rPr>
                <w:rFonts w:ascii="Bookman Old Style" w:eastAsia="MS Mincho" w:hAnsi="Bookman Old Style" w:cs="Arial"/>
                <w:lang w:val="es-ES_tradnl" w:eastAsia="en-US"/>
              </w:rPr>
            </w:pPr>
          </w:p>
          <w:p w14:paraId="5FDB9195"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Se calcula como la relación de la suma de las cuentas otros activos más la suma del equivalente de las cuentas de arrendamientos, respecto a la suma de las cuentas de activos.</w:t>
            </w:r>
          </w:p>
          <w:p w14:paraId="056CFA38" w14:textId="77777777" w:rsidR="00526A24" w:rsidRPr="00AC7842" w:rsidRDefault="00526A24" w:rsidP="00FD4ECB">
            <w:pPr>
              <w:ind w:left="0" w:right="-93"/>
              <w:jc w:val="both"/>
              <w:rPr>
                <w:rFonts w:ascii="Bookman Old Style" w:eastAsia="MS Mincho" w:hAnsi="Bookman Old Style" w:cs="Arial"/>
                <w:lang w:val="es-ES_tradnl" w:eastAsia="en-US"/>
              </w:rPr>
            </w:pPr>
          </w:p>
          <w:p w14:paraId="40C7D7D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equivalente de las cuentas de arrendamientos se fija como el valor presente neto de un flujo anual del valor de la cuenta a 5 años y descontado con una tasa del 12,7%.</w:t>
            </w:r>
          </w:p>
          <w:p w14:paraId="4DB00E0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5BF958AF" w14:textId="77777777" w:rsidTr="00FD4ECB">
        <w:tc>
          <w:tcPr>
            <w:tcW w:w="1939" w:type="dxa"/>
          </w:tcPr>
          <w:p w14:paraId="414BAC0A" w14:textId="46AC3637" w:rsidR="00526A24" w:rsidRPr="00526A24" w:rsidRDefault="00A93098"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417" w:type="dxa"/>
          </w:tcPr>
          <w:p w14:paraId="0F13C89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remunerado actualmente en el cargo promedio de distribución aprobado mediante resolución particular conforme a la Resolución CREG 011 de 2003. </w:t>
            </w:r>
          </w:p>
          <w:p w14:paraId="0502EAE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6B768FE8" w14:textId="77777777" w:rsidTr="00FD4ECB">
        <w:tc>
          <w:tcPr>
            <w:tcW w:w="1939" w:type="dxa"/>
          </w:tcPr>
          <w:p w14:paraId="07CC0C17" w14:textId="207D8563" w:rsidR="00526A24" w:rsidRPr="00526A24" w:rsidRDefault="00A93098"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17" w:type="dxa"/>
          </w:tcPr>
          <w:p w14:paraId="39F89204" w14:textId="137946F4"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máximo a reconocer para </w:t>
            </w:r>
            <w:r w:rsidR="004B2639" w:rsidRPr="00AC7842">
              <w:rPr>
                <w:rFonts w:ascii="Bookman Old Style" w:eastAsia="MS Mincho" w:hAnsi="Bookman Old Style" w:cs="Arial"/>
                <w:lang w:val="es-ES_tradnl" w:eastAsia="en-US"/>
              </w:rPr>
              <w:t>el mercado</w:t>
            </w:r>
            <w:r w:rsidRPr="00AC7842">
              <w:rPr>
                <w:rFonts w:ascii="Bookman Old Style" w:eastAsia="MS Mincho" w:hAnsi="Bookman Old Style" w:cs="Arial"/>
                <w:lang w:val="es-ES_tradnl" w:eastAsia="en-US"/>
              </w:rPr>
              <w:t xml:space="preserve"> relevante de distribución para el siguiente periodo tarifario, este se calcula conforme a la siguiente fórmula:</w:t>
            </w:r>
          </w:p>
          <w:p w14:paraId="10067E1F" w14:textId="77777777" w:rsidR="00526A24" w:rsidRPr="00AC7842" w:rsidRDefault="00526A24" w:rsidP="00FD4ECB">
            <w:pPr>
              <w:ind w:left="0" w:right="-93"/>
              <w:jc w:val="both"/>
              <w:rPr>
                <w:rFonts w:ascii="Bookman Old Style" w:eastAsia="MS Mincho" w:hAnsi="Bookman Old Style" w:cs="Arial"/>
                <w:lang w:val="es-ES_tradnl" w:eastAsia="en-US"/>
              </w:rPr>
            </w:pPr>
          </w:p>
          <w:p w14:paraId="6421167E" w14:textId="2D4614E8" w:rsidR="00526A24" w:rsidRPr="00526A24" w:rsidRDefault="00A93098" w:rsidP="00FD4ECB">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hint="eastAsia"/>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hint="eastAsia"/>
                                <w:sz w:val="22"/>
                                <w:lang w:val="es-ES_tradnl" w:eastAsia="en-US"/>
                              </w:rPr>
                              <m:t>max</m:t>
                            </m:r>
                          </m:fName>
                          <m:e>
                            <m:r>
                              <m:rPr>
                                <m:sty m:val="p"/>
                              </m:rPr>
                              <w:rPr>
                                <w:rFonts w:ascii="Cambria Math" w:eastAsia="MS Mincho" w:hAnsi="Cambria Math" w:cs="Arial" w:hint="eastAsia"/>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hint="eastAsia"/>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hint="eastAsia"/>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m:t>
                    </m:r>
                    <m:r>
                      <w:rPr>
                        <w:rFonts w:ascii="Cambria Math" w:eastAsia="MS Mincho" w:hAnsi="Cambria Math" w:cs="Arial" w:hint="eastAsia"/>
                        <w:sz w:val="22"/>
                        <w:szCs w:val="22"/>
                        <w:lang w:val="es-ES_tradnl" w:eastAsia="en-US"/>
                      </w:rPr>
                      <m:t>=1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r>
                          <w:rPr>
                            <w:rFonts w:ascii="Cambria Math" w:hAnsi="Cambria Math" w:cs="Arial"/>
                            <w:color w:val="000000"/>
                            <w:sz w:val="22"/>
                            <w:szCs w:val="22"/>
                            <w:lang w:val="es-CO" w:eastAsia="es-CO"/>
                          </w:rPr>
                          <m:t>(%O</m:t>
                        </m:r>
                        <m:sSub>
                          <m:sSubPr>
                            <m:ctrlPr>
                              <w:rPr>
                                <w:rFonts w:ascii="Cambria Math" w:hAnsi="Cambria Math" w:cs="Arial"/>
                                <w:i/>
                                <w:color w:val="000000"/>
                                <w:sz w:val="22"/>
                                <w:szCs w:val="22"/>
                                <w:lang w:val="es-CO" w:eastAsia="es-CO"/>
                              </w:rPr>
                            </m:ctrlPr>
                          </m:sSubPr>
                          <m:e>
                            <m:r>
                              <w:rPr>
                                <w:rFonts w:ascii="Cambria Math" w:hAnsi="Cambria Math" w:cs="Arial"/>
                                <w:color w:val="000000"/>
                                <w:sz w:val="22"/>
                                <w:szCs w:val="22"/>
                                <w:lang w:val="es-CO" w:eastAsia="es-CO"/>
                              </w:rPr>
                              <m:t>A)</m:t>
                            </m:r>
                          </m:e>
                          <m:sub>
                            <m:eqArr>
                              <m:eqArrPr>
                                <m:ctrlPr>
                                  <w:rPr>
                                    <w:rFonts w:ascii="Cambria Math" w:hAnsi="Cambria Math" w:cs="Arial"/>
                                    <w:i/>
                                    <w:color w:val="000000"/>
                                    <w:sz w:val="22"/>
                                    <w:szCs w:val="22"/>
                                    <w:lang w:val="es-CO" w:eastAsia="es-CO"/>
                                  </w:rPr>
                                </m:ctrlPr>
                              </m:eqArrPr>
                              <m:e>
                                <m:r>
                                  <w:rPr>
                                    <w:rFonts w:ascii="Cambria Math" w:hAnsi="Cambria Math" w:cs="Arial"/>
                                    <w:color w:val="000000"/>
                                    <w:sz w:val="22"/>
                                    <w:szCs w:val="22"/>
                                    <w:lang w:val="es-CO" w:eastAsia="es-CO"/>
                                  </w:rPr>
                                  <m:t>estimado</m:t>
                                </m:r>
                              </m:e>
                              <m:e>
                                <m:r>
                                  <w:rPr>
                                    <w:rFonts w:ascii="Cambria Math" w:hAnsi="Cambria Math" w:cs="Arial"/>
                                    <w:color w:val="000000"/>
                                    <w:sz w:val="22"/>
                                    <w:szCs w:val="22"/>
                                    <w:lang w:val="es-CO" w:eastAsia="es-CO"/>
                                  </w:rPr>
                                  <m:t>municipio p,G,M</m:t>
                                </m:r>
                              </m:e>
                            </m:eqArr>
                          </m:sub>
                        </m:sSub>
                        <m:r>
                          <w:rPr>
                            <w:rFonts w:ascii="Cambria Math" w:eastAsia="MS Mincho" w:hAnsi="Cambria Math" w:cs="Arial" w:hint="eastAsia"/>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municipio p</m:t>
                            </m:r>
                          </m:sub>
                        </m:sSub>
                      </m:e>
                    </m:d>
                  </m:e>
                </m:nary>
              </m:oMath>
            </m:oMathPara>
          </w:p>
          <w:p w14:paraId="6468D88E" w14:textId="77777777" w:rsidR="00526A24" w:rsidRPr="00AC7842" w:rsidRDefault="00526A24" w:rsidP="00FD4ECB">
            <w:pPr>
              <w:ind w:left="0" w:right="-93"/>
              <w:jc w:val="both"/>
              <w:rPr>
                <w:rFonts w:ascii="Bookman Old Style" w:eastAsia="MS Mincho" w:hAnsi="Bookman Old Style" w:cs="Arial"/>
                <w:sz w:val="22"/>
                <w:szCs w:val="22"/>
                <w:lang w:val="es-ES_tradnl" w:eastAsia="en-US"/>
              </w:rPr>
            </w:pPr>
          </w:p>
          <w:tbl>
            <w:tblPr>
              <w:tblW w:w="0" w:type="auto"/>
              <w:tblInd w:w="224" w:type="dxa"/>
              <w:tblLook w:val="04A0" w:firstRow="1" w:lastRow="0" w:firstColumn="1" w:lastColumn="0" w:noHBand="0" w:noVBand="1"/>
            </w:tblPr>
            <w:tblGrid>
              <w:gridCol w:w="2102"/>
              <w:gridCol w:w="4875"/>
            </w:tblGrid>
            <w:tr w:rsidR="00526A24" w:rsidRPr="00AC7842" w14:paraId="281D7658" w14:textId="77777777" w:rsidTr="00FD4ECB">
              <w:tc>
                <w:tcPr>
                  <w:tcW w:w="0" w:type="auto"/>
                  <w:shd w:val="clear" w:color="auto" w:fill="auto"/>
                </w:tcPr>
                <w:p w14:paraId="2548B84C" w14:textId="77777777" w:rsidR="00526A24" w:rsidRPr="00E053CB" w:rsidRDefault="00526A24" w:rsidP="00FD4ECB">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14:paraId="71D306FC" w14:textId="77777777" w:rsidR="00526A24" w:rsidRPr="00E053CB" w:rsidRDefault="00526A24" w:rsidP="00FD4ECB">
                  <w:pPr>
                    <w:ind w:left="0" w:right="-93"/>
                    <w:jc w:val="both"/>
                    <w:rPr>
                      <w:rFonts w:ascii="Bookman Old Style" w:eastAsia="MS Mincho" w:hAnsi="Bookman Old Style"/>
                      <w:lang w:val="es-ES_tradnl" w:eastAsia="en-US"/>
                    </w:rPr>
                  </w:pPr>
                </w:p>
              </w:tc>
              <w:tc>
                <w:tcPr>
                  <w:tcW w:w="0" w:type="auto"/>
                  <w:shd w:val="clear" w:color="auto" w:fill="auto"/>
                </w:tcPr>
                <w:p w14:paraId="47BFE769"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4F988A09" w14:textId="77777777" w:rsidTr="00FD4ECB">
              <w:tc>
                <w:tcPr>
                  <w:tcW w:w="0" w:type="auto"/>
                  <w:shd w:val="clear" w:color="auto" w:fill="auto"/>
                </w:tcPr>
                <w:p w14:paraId="0D51E796" w14:textId="52EB138D" w:rsidR="00526A24" w:rsidRPr="00526A24" w:rsidRDefault="00526A24" w:rsidP="00FD4ECB">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0" w:type="auto"/>
                  <w:shd w:val="clear" w:color="auto" w:fill="auto"/>
                </w:tcPr>
                <w:p w14:paraId="1A2E2243" w14:textId="77777777" w:rsidR="00526A24" w:rsidRPr="00E053CB"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14:paraId="76E523BA" w14:textId="77777777"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14:paraId="68CE5BD1" w14:textId="77777777" w:rsidTr="00FD4ECB">
              <w:tc>
                <w:tcPr>
                  <w:tcW w:w="0" w:type="auto"/>
                  <w:shd w:val="clear" w:color="auto" w:fill="auto"/>
                </w:tcPr>
                <w:p w14:paraId="29F451AA" w14:textId="11874882" w:rsidR="00526A24" w:rsidRPr="00526A24" w:rsidRDefault="00A93098" w:rsidP="00FD4ECB">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0" w:type="auto"/>
                  <w:shd w:val="clear" w:color="auto" w:fill="auto"/>
                </w:tcPr>
                <w:p w14:paraId="1CEDAACC" w14:textId="77777777" w:rsidR="00526A24" w:rsidRPr="00E053CB"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14:paraId="64BE04E3" w14:textId="77777777"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14:paraId="3E6DBA3E" w14:textId="77777777" w:rsidTr="00FD4ECB">
              <w:tc>
                <w:tcPr>
                  <w:tcW w:w="0" w:type="auto"/>
                  <w:shd w:val="clear" w:color="auto" w:fill="auto"/>
                </w:tcPr>
                <w:p w14:paraId="4FA55B95" w14:textId="3857B1B6" w:rsidR="00526A24" w:rsidRPr="00526A24" w:rsidRDefault="00A93098" w:rsidP="00FD4ECB">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0" w:type="auto"/>
                  <w:shd w:val="clear" w:color="auto" w:fill="auto"/>
                </w:tcPr>
                <w:p w14:paraId="15B74A3C" w14:textId="77777777"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14:paraId="33A790E0"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127257CE" w14:textId="77777777" w:rsidTr="00FD4ECB">
              <w:tc>
                <w:tcPr>
                  <w:tcW w:w="0" w:type="auto"/>
                  <w:shd w:val="clear" w:color="auto" w:fill="auto"/>
                </w:tcPr>
                <w:p w14:paraId="128EA056" w14:textId="77777777" w:rsidR="00526A24" w:rsidRPr="00E053CB" w:rsidRDefault="00526A24" w:rsidP="00FD4ECB">
                  <w:pPr>
                    <w:ind w:left="0" w:right="-93"/>
                    <w:jc w:val="both"/>
                    <w:rPr>
                      <w:sz w:val="22"/>
                      <w:szCs w:val="22"/>
                      <w:lang w:val="es-ES_tradnl" w:eastAsia="en-US"/>
                    </w:rPr>
                  </w:pPr>
                  <w:r w:rsidRPr="00E053CB">
                    <w:rPr>
                      <w:sz w:val="22"/>
                      <w:szCs w:val="22"/>
                      <w:lang w:val="es-ES_tradnl" w:eastAsia="en-US"/>
                    </w:rPr>
                    <w:t>G</w:t>
                  </w:r>
                </w:p>
              </w:tc>
              <w:tc>
                <w:tcPr>
                  <w:tcW w:w="0" w:type="auto"/>
                  <w:shd w:val="clear" w:color="auto" w:fill="auto"/>
                </w:tcPr>
                <w:p w14:paraId="04A9C57C" w14:textId="77777777" w:rsidR="00526A24" w:rsidRPr="00E053CB" w:rsidRDefault="00526A24" w:rsidP="00FD4ECB">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 y económicas.</w:t>
                  </w:r>
                </w:p>
                <w:p w14:paraId="0009C90B"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4B0B693F" w14:textId="77777777" w:rsidTr="00FD4ECB">
              <w:tc>
                <w:tcPr>
                  <w:tcW w:w="0" w:type="auto"/>
                  <w:shd w:val="clear" w:color="auto" w:fill="auto"/>
                </w:tcPr>
                <w:p w14:paraId="479F4524" w14:textId="77777777" w:rsidR="00526A24" w:rsidRPr="00E053CB" w:rsidRDefault="00526A24" w:rsidP="00FD4ECB">
                  <w:pPr>
                    <w:ind w:left="0" w:right="-93"/>
                    <w:jc w:val="both"/>
                    <w:rPr>
                      <w:sz w:val="22"/>
                      <w:szCs w:val="22"/>
                      <w:lang w:val="es-ES_tradnl" w:eastAsia="en-US"/>
                    </w:rPr>
                  </w:pPr>
                  <w:r w:rsidRPr="00E053CB">
                    <w:rPr>
                      <w:sz w:val="22"/>
                      <w:szCs w:val="22"/>
                      <w:lang w:val="es-ES_tradnl" w:eastAsia="en-US"/>
                    </w:rPr>
                    <w:t>M</w:t>
                  </w:r>
                </w:p>
              </w:tc>
              <w:tc>
                <w:tcPr>
                  <w:tcW w:w="0" w:type="auto"/>
                  <w:shd w:val="clear" w:color="auto" w:fill="auto"/>
                </w:tcPr>
                <w:p w14:paraId="442C4C44" w14:textId="77777777" w:rsidR="00526A24" w:rsidRPr="00E053CB" w:rsidRDefault="00526A24" w:rsidP="00FD4ECB">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72769A53" w14:textId="77777777"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14:paraId="38907D37" w14:textId="77777777" w:rsidTr="00FD4ECB">
              <w:tc>
                <w:tcPr>
                  <w:tcW w:w="0" w:type="auto"/>
                  <w:shd w:val="clear" w:color="auto" w:fill="auto"/>
                </w:tcPr>
                <w:p w14:paraId="0FD182E9" w14:textId="6BD2403C" w:rsidR="00526A24" w:rsidRPr="00526A24" w:rsidRDefault="00A93098" w:rsidP="00FD4ECB">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oMath>
                  </m:oMathPara>
                </w:p>
              </w:tc>
              <w:tc>
                <w:tcPr>
                  <w:tcW w:w="0" w:type="auto"/>
                  <w:shd w:val="clear" w:color="auto" w:fill="auto"/>
                </w:tcPr>
                <w:p w14:paraId="7397E322" w14:textId="5414A430"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 xml:space="preserve">Porcentaje de Otros Activos asignado para el </w:t>
                  </w:r>
                  <w:r w:rsidRPr="004B2639">
                    <w:rPr>
                      <w:rFonts w:ascii="Bookman Old Style" w:eastAsia="MS Mincho" w:hAnsi="Bookman Old Style" w:cs="Arial"/>
                      <w:lang w:val="es-ES_tradnl" w:eastAsia="en-US"/>
                    </w:rPr>
                    <w:t xml:space="preserve">municipio </w:t>
                  </w:r>
                  <w:r w:rsidRPr="004B2639">
                    <w:rPr>
                      <w:rFonts w:ascii="Bookman Old Style" w:eastAsia="MS Mincho" w:hAnsi="Bookman Old Style" w:cs="Arial"/>
                      <w:i/>
                      <w:lang w:val="es-ES_tradnl" w:eastAsia="en-US"/>
                    </w:rPr>
                    <w:t>p</w:t>
                  </w:r>
                  <w:r w:rsidRPr="004B2639">
                    <w:rPr>
                      <w:rFonts w:ascii="Bookman Old Style" w:eastAsia="MS Mincho" w:hAnsi="Bookman Old Style" w:cs="Arial"/>
                      <w:lang w:val="es-ES_tradnl" w:eastAsia="en-US"/>
                    </w:rPr>
                    <w:t xml:space="preserve"> según la clasificación dada por grupo G y metodología M (</w:t>
                  </w:r>
                  <w:r w:rsidR="00895EC2" w:rsidRPr="004B2639">
                    <w:rPr>
                      <w:rFonts w:ascii="Bookman Old Style" w:eastAsia="MS Mincho" w:hAnsi="Bookman Old Style" w:cs="Arial"/>
                      <w:lang w:val="es-ES_tradnl" w:eastAsia="en-US"/>
                    </w:rPr>
                    <w:t xml:space="preserve">Anexo </w:t>
                  </w:r>
                  <w:r w:rsidRPr="004B2639">
                    <w:rPr>
                      <w:rFonts w:ascii="Bookman Old Style" w:eastAsia="MS Mincho" w:hAnsi="Bookman Old Style" w:cs="Arial"/>
                      <w:lang w:val="es-ES_tradnl" w:eastAsia="en-US"/>
                    </w:rPr>
                    <w:t>de la presente Resolución</w:t>
                  </w:r>
                  <w:r>
                    <w:rPr>
                      <w:rFonts w:ascii="Bookman Old Style" w:eastAsia="MS Mincho" w:hAnsi="Bookman Old Style" w:cs="Arial"/>
                      <w:lang w:val="es-ES_tradnl" w:eastAsia="en-US"/>
                    </w:rPr>
                    <w:t>)</w:t>
                  </w:r>
                  <w:r w:rsidRPr="00E053CB">
                    <w:rPr>
                      <w:rFonts w:ascii="Bookman Old Style" w:eastAsia="MS Mincho" w:hAnsi="Bookman Old Style" w:cs="Arial"/>
                      <w:lang w:val="es-ES_tradnl" w:eastAsia="en-US"/>
                    </w:rPr>
                    <w:t xml:space="preserve"> y conforme a la siguiente tabla:</w:t>
                  </w:r>
                </w:p>
                <w:p w14:paraId="24F17BED" w14:textId="77777777" w:rsidR="00526A24" w:rsidRPr="00E053CB" w:rsidRDefault="00526A24" w:rsidP="00FD4ECB">
                  <w:pPr>
                    <w:ind w:left="0" w:right="-93"/>
                    <w:jc w:val="both"/>
                    <w:rPr>
                      <w:rFonts w:ascii="Bookman Old Style" w:eastAsia="MS Mincho" w:hAnsi="Bookman Old Style" w:cs="Arial"/>
                      <w:lang w:val="es-ES_tradnl" w:eastAsia="en-US"/>
                    </w:rPr>
                  </w:pPr>
                </w:p>
                <w:tbl>
                  <w:tblPr>
                    <w:tblW w:w="4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700"/>
                    <w:gridCol w:w="1993"/>
                  </w:tblGrid>
                  <w:tr w:rsidR="00526A24" w:rsidRPr="00AC7842" w14:paraId="19FD078E" w14:textId="77777777" w:rsidTr="00DD4C63">
                    <w:trPr>
                      <w:tblHeader/>
                      <w:jc w:val="center"/>
                    </w:trPr>
                    <w:tc>
                      <w:tcPr>
                        <w:tcW w:w="956" w:type="dxa"/>
                        <w:shd w:val="clear" w:color="auto" w:fill="D9D9D9" w:themeFill="background1" w:themeFillShade="D9"/>
                        <w:vAlign w:val="center"/>
                      </w:tcPr>
                      <w:p w14:paraId="5F2BEE37" w14:textId="77777777" w:rsidR="00526A24" w:rsidRPr="00E053CB" w:rsidRDefault="00526A24">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Grupo</w:t>
                        </w:r>
                      </w:p>
                      <w:p w14:paraId="335E99E2" w14:textId="77777777" w:rsidR="00526A24" w:rsidRPr="00E053CB" w:rsidRDefault="00526A24">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G</w:t>
                        </w:r>
                      </w:p>
                    </w:tc>
                    <w:tc>
                      <w:tcPr>
                        <w:tcW w:w="1700" w:type="dxa"/>
                        <w:shd w:val="clear" w:color="auto" w:fill="D9D9D9" w:themeFill="background1" w:themeFillShade="D9"/>
                        <w:vAlign w:val="center"/>
                      </w:tcPr>
                      <w:p w14:paraId="4F424E24" w14:textId="77777777" w:rsidR="00526A24" w:rsidRPr="00E053CB" w:rsidRDefault="00526A24">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Metodología</w:t>
                        </w:r>
                      </w:p>
                      <w:p w14:paraId="3DBC8927" w14:textId="77777777" w:rsidR="00526A24" w:rsidRPr="00E053CB" w:rsidRDefault="00526A24">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M</w:t>
                        </w:r>
                      </w:p>
                    </w:tc>
                    <w:tc>
                      <w:tcPr>
                        <w:tcW w:w="1993" w:type="dxa"/>
                        <w:shd w:val="clear" w:color="auto" w:fill="D9D9D9" w:themeFill="background1" w:themeFillShade="D9"/>
                        <w:vAlign w:val="center"/>
                      </w:tcPr>
                      <w:p w14:paraId="04E6815A" w14:textId="20F7C6FC" w:rsidR="00526A24" w:rsidRPr="00526A24" w:rsidRDefault="00526A24">
                        <w:pPr>
                          <w:ind w:left="0" w:right="-93"/>
                          <w:jc w:val="center"/>
                          <w:rPr>
                            <w:rFonts w:ascii="Bookman Old Style" w:eastAsia="MS Mincho" w:hAnsi="Bookman Old Style" w:cs="Arial"/>
                            <w:b/>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526A24" w:rsidRPr="00AC7842" w14:paraId="1299AB06" w14:textId="77777777" w:rsidTr="00DD4C63">
                    <w:trPr>
                      <w:trHeight w:val="284"/>
                      <w:jc w:val="center"/>
                    </w:trPr>
                    <w:tc>
                      <w:tcPr>
                        <w:tcW w:w="956" w:type="dxa"/>
                        <w:shd w:val="clear" w:color="auto" w:fill="auto"/>
                      </w:tcPr>
                      <w:p w14:paraId="1B178C5C"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00" w:type="dxa"/>
                        <w:shd w:val="clear" w:color="auto" w:fill="auto"/>
                      </w:tcPr>
                      <w:p w14:paraId="71705A9E"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993" w:type="dxa"/>
                        <w:shd w:val="clear" w:color="auto" w:fill="auto"/>
                      </w:tcPr>
                      <w:p w14:paraId="7E515E40"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5,77%</w:t>
                        </w:r>
                      </w:p>
                    </w:tc>
                  </w:tr>
                  <w:tr w:rsidR="00526A24" w:rsidRPr="00AC7842" w14:paraId="184F01D5" w14:textId="77777777" w:rsidTr="00DD4C63">
                    <w:trPr>
                      <w:trHeight w:val="284"/>
                      <w:jc w:val="center"/>
                    </w:trPr>
                    <w:tc>
                      <w:tcPr>
                        <w:tcW w:w="956" w:type="dxa"/>
                        <w:shd w:val="clear" w:color="auto" w:fill="auto"/>
                      </w:tcPr>
                      <w:p w14:paraId="2C42BCB4"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00" w:type="dxa"/>
                        <w:shd w:val="clear" w:color="auto" w:fill="auto"/>
                      </w:tcPr>
                      <w:p w14:paraId="174E0FB9"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993" w:type="dxa"/>
                        <w:shd w:val="clear" w:color="auto" w:fill="auto"/>
                      </w:tcPr>
                      <w:p w14:paraId="28BDE6E1" w14:textId="77777777" w:rsidR="00526A24" w:rsidRPr="00E053CB" w:rsidRDefault="00526A24">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5,44%</w:t>
                        </w:r>
                      </w:p>
                    </w:tc>
                  </w:tr>
                  <w:tr w:rsidR="00DD4C63" w:rsidRPr="00AC7842" w14:paraId="13B42698" w14:textId="77777777" w:rsidTr="001D17F5">
                    <w:trPr>
                      <w:trHeight w:val="284"/>
                      <w:jc w:val="center"/>
                    </w:trPr>
                    <w:tc>
                      <w:tcPr>
                        <w:tcW w:w="956" w:type="dxa"/>
                        <w:shd w:val="clear" w:color="auto" w:fill="BFBFBF" w:themeFill="background1" w:themeFillShade="BF"/>
                        <w:vAlign w:val="center"/>
                      </w:tcPr>
                      <w:p w14:paraId="6FC9A025" w14:textId="77777777" w:rsidR="00DD4C63" w:rsidRPr="00E053CB" w:rsidRDefault="00DD4C63" w:rsidP="00DD4C63">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lastRenderedPageBreak/>
                          <w:t>Grupo</w:t>
                        </w:r>
                      </w:p>
                      <w:p w14:paraId="1C2F72AF" w14:textId="2511ABF2"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b/>
                            <w:lang w:val="es-ES_tradnl" w:eastAsia="en-US"/>
                          </w:rPr>
                          <w:t>G</w:t>
                        </w:r>
                      </w:p>
                    </w:tc>
                    <w:tc>
                      <w:tcPr>
                        <w:tcW w:w="1700" w:type="dxa"/>
                        <w:shd w:val="clear" w:color="auto" w:fill="BFBFBF" w:themeFill="background1" w:themeFillShade="BF"/>
                        <w:vAlign w:val="center"/>
                      </w:tcPr>
                      <w:p w14:paraId="31FE2A2C" w14:textId="77777777" w:rsidR="00DD4C63" w:rsidRPr="00E053CB" w:rsidRDefault="00DD4C63" w:rsidP="00DD4C63">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Metodología</w:t>
                        </w:r>
                      </w:p>
                      <w:p w14:paraId="634F67D5" w14:textId="7EA4A9DB"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b/>
                            <w:lang w:val="es-ES_tradnl" w:eastAsia="en-US"/>
                          </w:rPr>
                          <w:t>M</w:t>
                        </w:r>
                      </w:p>
                    </w:tc>
                    <w:tc>
                      <w:tcPr>
                        <w:tcW w:w="1993" w:type="dxa"/>
                        <w:shd w:val="clear" w:color="auto" w:fill="BFBFBF" w:themeFill="background1" w:themeFillShade="BF"/>
                        <w:vAlign w:val="center"/>
                      </w:tcPr>
                      <w:p w14:paraId="784F426C" w14:textId="0E152887" w:rsidR="00DD4C63" w:rsidRPr="00E053CB" w:rsidRDefault="00DD4C63" w:rsidP="00DD4C63">
                        <w:pPr>
                          <w:ind w:left="0" w:right="-93"/>
                          <w:jc w:val="center"/>
                          <w:rPr>
                            <w:rFonts w:ascii="Bookman Old Style" w:eastAsia="MS Mincho" w:hAnsi="Bookman Old Style" w:cs="Arial"/>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DD4C63" w:rsidRPr="00AC7842" w14:paraId="23B3A509" w14:textId="77777777" w:rsidTr="00DD4C63">
                    <w:trPr>
                      <w:trHeight w:val="284"/>
                      <w:jc w:val="center"/>
                    </w:trPr>
                    <w:tc>
                      <w:tcPr>
                        <w:tcW w:w="956" w:type="dxa"/>
                        <w:shd w:val="clear" w:color="auto" w:fill="auto"/>
                      </w:tcPr>
                      <w:p w14:paraId="2A0615C8"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00" w:type="dxa"/>
                        <w:shd w:val="clear" w:color="auto" w:fill="auto"/>
                      </w:tcPr>
                      <w:p w14:paraId="467E657C"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993" w:type="dxa"/>
                        <w:shd w:val="clear" w:color="auto" w:fill="auto"/>
                      </w:tcPr>
                      <w:p w14:paraId="7A0818FD"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3,96%</w:t>
                        </w:r>
                      </w:p>
                    </w:tc>
                  </w:tr>
                  <w:tr w:rsidR="00DD4C63" w:rsidRPr="00AC7842" w14:paraId="1F6EC32C" w14:textId="77777777" w:rsidTr="00DD4C63">
                    <w:trPr>
                      <w:trHeight w:val="284"/>
                      <w:jc w:val="center"/>
                    </w:trPr>
                    <w:tc>
                      <w:tcPr>
                        <w:tcW w:w="956" w:type="dxa"/>
                        <w:shd w:val="clear" w:color="auto" w:fill="auto"/>
                      </w:tcPr>
                      <w:p w14:paraId="3DCF1F50"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00" w:type="dxa"/>
                        <w:shd w:val="clear" w:color="auto" w:fill="auto"/>
                      </w:tcPr>
                      <w:p w14:paraId="4DF1201F"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993" w:type="dxa"/>
                        <w:shd w:val="clear" w:color="auto" w:fill="auto"/>
                      </w:tcPr>
                      <w:p w14:paraId="366A19DB"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3,22%</w:t>
                        </w:r>
                      </w:p>
                    </w:tc>
                  </w:tr>
                  <w:tr w:rsidR="00DD4C63" w:rsidRPr="00AC7842" w14:paraId="1E2D4C5E" w14:textId="77777777" w:rsidTr="00DD4C63">
                    <w:trPr>
                      <w:trHeight w:val="284"/>
                      <w:jc w:val="center"/>
                    </w:trPr>
                    <w:tc>
                      <w:tcPr>
                        <w:tcW w:w="956" w:type="dxa"/>
                        <w:shd w:val="clear" w:color="auto" w:fill="auto"/>
                      </w:tcPr>
                      <w:p w14:paraId="774235F0"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00" w:type="dxa"/>
                        <w:shd w:val="clear" w:color="auto" w:fill="auto"/>
                      </w:tcPr>
                      <w:p w14:paraId="421C38EA"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993" w:type="dxa"/>
                        <w:shd w:val="clear" w:color="auto" w:fill="auto"/>
                      </w:tcPr>
                      <w:p w14:paraId="4FC0453E"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9,32%</w:t>
                        </w:r>
                      </w:p>
                    </w:tc>
                  </w:tr>
                  <w:tr w:rsidR="00DD4C63" w:rsidRPr="00AC7842" w14:paraId="78B790E7" w14:textId="77777777" w:rsidTr="00DD4C63">
                    <w:trPr>
                      <w:trHeight w:val="284"/>
                      <w:jc w:val="center"/>
                    </w:trPr>
                    <w:tc>
                      <w:tcPr>
                        <w:tcW w:w="956" w:type="dxa"/>
                        <w:shd w:val="clear" w:color="auto" w:fill="auto"/>
                      </w:tcPr>
                      <w:p w14:paraId="4AD77AC1"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00" w:type="dxa"/>
                        <w:shd w:val="clear" w:color="auto" w:fill="auto"/>
                      </w:tcPr>
                      <w:p w14:paraId="478D1854"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993" w:type="dxa"/>
                        <w:shd w:val="clear" w:color="auto" w:fill="auto"/>
                      </w:tcPr>
                      <w:p w14:paraId="0AEB1CAB"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3,73%</w:t>
                        </w:r>
                      </w:p>
                    </w:tc>
                  </w:tr>
                  <w:tr w:rsidR="00DD4C63" w:rsidRPr="00AC7842" w14:paraId="0382C9BE" w14:textId="77777777" w:rsidTr="00DD4C63">
                    <w:trPr>
                      <w:trHeight w:val="284"/>
                      <w:jc w:val="center"/>
                    </w:trPr>
                    <w:tc>
                      <w:tcPr>
                        <w:tcW w:w="956" w:type="dxa"/>
                        <w:shd w:val="clear" w:color="auto" w:fill="auto"/>
                      </w:tcPr>
                      <w:p w14:paraId="353EE461"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00" w:type="dxa"/>
                        <w:shd w:val="clear" w:color="auto" w:fill="auto"/>
                      </w:tcPr>
                      <w:p w14:paraId="48CC3DD2"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993" w:type="dxa"/>
                        <w:shd w:val="clear" w:color="auto" w:fill="auto"/>
                      </w:tcPr>
                      <w:p w14:paraId="5E6C804C"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4,12%</w:t>
                        </w:r>
                      </w:p>
                    </w:tc>
                  </w:tr>
                  <w:tr w:rsidR="00DD4C63" w:rsidRPr="00AC7842" w14:paraId="0734371B" w14:textId="77777777" w:rsidTr="00DD4C63">
                    <w:trPr>
                      <w:trHeight w:val="284"/>
                      <w:jc w:val="center"/>
                    </w:trPr>
                    <w:tc>
                      <w:tcPr>
                        <w:tcW w:w="956" w:type="dxa"/>
                        <w:shd w:val="clear" w:color="auto" w:fill="auto"/>
                      </w:tcPr>
                      <w:p w14:paraId="4B82213D"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00" w:type="dxa"/>
                        <w:shd w:val="clear" w:color="auto" w:fill="auto"/>
                      </w:tcPr>
                      <w:p w14:paraId="5A42093C"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993" w:type="dxa"/>
                        <w:shd w:val="clear" w:color="auto" w:fill="auto"/>
                      </w:tcPr>
                      <w:p w14:paraId="3269281A"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5,50%</w:t>
                        </w:r>
                      </w:p>
                    </w:tc>
                  </w:tr>
                  <w:tr w:rsidR="00DD4C63" w:rsidRPr="00AC7842" w14:paraId="589E0876" w14:textId="77777777" w:rsidTr="00DD4C63">
                    <w:trPr>
                      <w:trHeight w:val="284"/>
                      <w:jc w:val="center"/>
                    </w:trPr>
                    <w:tc>
                      <w:tcPr>
                        <w:tcW w:w="956" w:type="dxa"/>
                        <w:shd w:val="clear" w:color="auto" w:fill="auto"/>
                      </w:tcPr>
                      <w:p w14:paraId="7932A91F"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00" w:type="dxa"/>
                        <w:shd w:val="clear" w:color="auto" w:fill="auto"/>
                      </w:tcPr>
                      <w:p w14:paraId="278F11CF"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993" w:type="dxa"/>
                        <w:shd w:val="clear" w:color="auto" w:fill="auto"/>
                      </w:tcPr>
                      <w:p w14:paraId="36AAFC4E" w14:textId="77777777" w:rsidR="00DD4C63" w:rsidRPr="00E053CB" w:rsidRDefault="00DD4C63" w:rsidP="00DD4C63">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5,36%</w:t>
                        </w:r>
                      </w:p>
                    </w:tc>
                  </w:tr>
                </w:tbl>
                <w:p w14:paraId="41B785B0" w14:textId="77777777" w:rsidR="00526A24" w:rsidRPr="00E053CB" w:rsidRDefault="00526A24" w:rsidP="00FD4ECB">
                  <w:pPr>
                    <w:ind w:left="0" w:right="-93"/>
                    <w:jc w:val="both"/>
                    <w:rPr>
                      <w:rFonts w:ascii="Bookman Old Style" w:eastAsia="MS Mincho" w:hAnsi="Bookman Old Style" w:cs="Arial"/>
                      <w:lang w:val="es-ES_tradnl" w:eastAsia="en-US"/>
                    </w:rPr>
                  </w:pPr>
                </w:p>
              </w:tc>
            </w:tr>
          </w:tbl>
          <w:p w14:paraId="1A207D60" w14:textId="77777777" w:rsidR="00526A24" w:rsidRPr="00AC7842" w:rsidRDefault="00526A24" w:rsidP="00FD4ECB">
            <w:pPr>
              <w:ind w:left="0" w:right="-93"/>
              <w:jc w:val="center"/>
              <w:rPr>
                <w:rFonts w:ascii="Bookman Old Style" w:eastAsia="MS Mincho" w:hAnsi="Bookman Old Style" w:cs="Arial"/>
                <w:lang w:val="es-ES_tradnl" w:eastAsia="en-US"/>
              </w:rPr>
            </w:pPr>
          </w:p>
        </w:tc>
      </w:tr>
    </w:tbl>
    <w:p w14:paraId="3E7BB4C9" w14:textId="77777777" w:rsidR="00526A24" w:rsidRPr="000024C0" w:rsidRDefault="00526A24" w:rsidP="00526A24">
      <w:pPr>
        <w:pStyle w:val="Prrafodelista"/>
        <w:tabs>
          <w:tab w:val="left" w:pos="0"/>
        </w:tabs>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lastRenderedPageBreak/>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14:paraId="10C0C747" w14:textId="4266A642"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Metodología para la 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r>
                  <m:rPr>
                    <m:sty m:val="b"/>
                  </m:rPr>
                  <w:rPr>
                    <w:rFonts w:ascii="Cambria Math" w:hAnsi="Cambria Math"/>
                  </w:rPr>
                  <m:t>%OA</m:t>
                </m:r>
              </m:e>
            </m:d>
          </m:e>
          <m:sub>
            <m:eqArr>
              <m:eqArrPr>
                <m:ctrlPr>
                  <w:rPr>
                    <w:rFonts w:ascii="Cambria Math" w:hAnsi="Cambria Math"/>
                    <w:b/>
                    <w:lang w:eastAsia="es-CO"/>
                  </w:rPr>
                </m:ctrlPr>
              </m:eqArrPr>
              <m:e>
                <m:r>
                  <m:rPr>
                    <m:sty m:val="bi"/>
                  </m:rPr>
                  <w:rPr>
                    <w:rFonts w:ascii="Cambria Math" w:hAnsi="Cambria Math"/>
                  </w:rPr>
                  <m:t>estimado</m:t>
                </m:r>
                <m:r>
                  <m:rPr>
                    <m:sty m:val="b"/>
                  </m:rPr>
                  <w:rPr>
                    <w:rFonts w:ascii="Cambria Math" w:hAnsi="Cambria Math"/>
                  </w:rPr>
                  <m:t xml:space="preserve"> </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 xml:space="preserve">, </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 a los que pertenecen cada uno de los municipios definidos</w:t>
      </w:r>
    </w:p>
    <w:p w14:paraId="4EA9ABDC" w14:textId="637DF2ED"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00E408A0"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sidR="00E408A0">
        <w:rPr>
          <w:rFonts w:ascii="Bookman Old Style" w:eastAsia="MS Mincho" w:hAnsi="Bookman Old Style" w:cs="Arial"/>
          <w:lang w:val="es-ES_tradnl" w:eastAsia="en-US"/>
        </w:rPr>
        <w:t>an Áreas de Servicio Exclusivo.</w:t>
      </w:r>
    </w:p>
    <w:p w14:paraId="5E32F22F" w14:textId="52796436"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sidR="00E408A0">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14:paraId="6381D80D" w14:textId="1FCEA6B0" w:rsidR="00526A24" w:rsidRDefault="00526A24" w:rsidP="00526A24">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sidR="00E408A0">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sidR="00E408A0">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sidR="00E408A0">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14:paraId="0EE2A6FD" w14:textId="3936F1B6" w:rsidR="00802D38" w:rsidRDefault="00802D38"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Pr>
          <w:rFonts w:ascii="Bookman Old Style" w:eastAsia="Calibri" w:hAnsi="Bookman Old Style" w:cs="Arial"/>
          <w:b/>
          <w:sz w:val="24"/>
          <w:szCs w:val="24"/>
          <w:lang w:eastAsia="en-US"/>
        </w:rPr>
        <w:t>Demanda de volumen</w:t>
      </w:r>
    </w:p>
    <w:p w14:paraId="13EEFCD8" w14:textId="28A9BFCB" w:rsidR="00802D38" w:rsidRPr="00AC7842" w:rsidRDefault="00CC2FA2">
      <w:pPr>
        <w:ind w:left="0"/>
        <w:jc w:val="both"/>
        <w:rPr>
          <w:rFonts w:ascii="Bookman Old Style" w:hAnsi="Bookman Old Style"/>
          <w:lang w:val="es-ES_tradnl"/>
        </w:rPr>
      </w:pPr>
      <w:r>
        <w:rPr>
          <w:rFonts w:ascii="Bookman Old Style" w:hAnsi="Bookman Old Style"/>
          <w:lang w:eastAsia="es-CO"/>
        </w:rPr>
        <w:t>Para el me</w:t>
      </w:r>
      <w:r>
        <w:rPr>
          <w:rFonts w:ascii="Bookman Old Style" w:hAnsi="Bookman Old Style"/>
          <w:lang w:val="es-ES_tradnl"/>
        </w:rPr>
        <w:t xml:space="preserve">rcado </w:t>
      </w:r>
      <w:r w:rsidRPr="004B2639">
        <w:rPr>
          <w:rFonts w:ascii="Bookman Old Style" w:hAnsi="Bookman Old Style"/>
          <w:lang w:val="es-ES_tradnl"/>
        </w:rPr>
        <w:t xml:space="preserve">relevante de distribución para el siguiente período tarifario descrito en el numeral 7.1, el cual constituye </w:t>
      </w:r>
      <w:r w:rsidR="004B2639" w:rsidRPr="004B2639">
        <w:rPr>
          <w:rFonts w:ascii="Bookman Old Style" w:hAnsi="Bookman Old Style"/>
          <w:lang w:val="es-ES_tradnl"/>
        </w:rPr>
        <w:t>una agregación de mercados existentes de distribución</w:t>
      </w:r>
      <w:r w:rsidRPr="004B2639">
        <w:rPr>
          <w:rFonts w:ascii="Bookman Old Style" w:hAnsi="Bookman Old Style"/>
          <w:lang w:val="es-ES_tradnl"/>
        </w:rPr>
        <w:t>,</w:t>
      </w:r>
      <w:r>
        <w:rPr>
          <w:rFonts w:ascii="Bookman Old Style" w:hAnsi="Bookman Old Style"/>
          <w:lang w:val="es-ES_tradnl"/>
        </w:rPr>
        <w:t xml:space="preserve"> </w:t>
      </w:r>
      <w:r w:rsidR="00591FBD">
        <w:rPr>
          <w:rFonts w:ascii="Bookman Old Style" w:hAnsi="Bookman Old Style"/>
          <w:lang w:val="es-ES_tradnl"/>
        </w:rPr>
        <w:t>se utiliza la d</w:t>
      </w:r>
      <w:r w:rsidR="00591FBD" w:rsidRPr="00AC7842">
        <w:rPr>
          <w:rFonts w:ascii="Bookman Old Style" w:hAnsi="Bookman Old Style"/>
          <w:lang w:val="es-ES_tradnl"/>
        </w:rPr>
        <w:t>emanda anual total obtenida en el año de corte para cada uno de los Mercados Relevantes de Distribución existentes</w:t>
      </w:r>
      <w:r w:rsidR="00591FBD" w:rsidRPr="00591FBD">
        <w:rPr>
          <w:rFonts w:ascii="Bookman Old Style" w:hAnsi="Bookman Old Style"/>
          <w:lang w:val="es-ES_tradnl"/>
        </w:rPr>
        <w:t xml:space="preserve"> </w:t>
      </w:r>
      <w:r w:rsidR="00591FBD" w:rsidRPr="00AC7842">
        <w:rPr>
          <w:rFonts w:ascii="Bookman Old Style" w:hAnsi="Bookman Old Style"/>
          <w:lang w:val="es-ES_tradnl"/>
        </w:rPr>
        <w:t>presentada por el distribuidor en la solicitud tarifaria,</w:t>
      </w:r>
      <w:r w:rsidR="00591FBD" w:rsidRPr="00AC7842">
        <w:rPr>
          <w:rFonts w:ascii="Bookman Old Style" w:hAnsi="Bookman Old Style"/>
          <w:lang w:eastAsia="es-CO"/>
        </w:rPr>
        <w:t xml:space="preserve"> archivada conforme lo dispuesto en el Artículo 11 de</w:t>
      </w:r>
      <w:r w:rsidR="00591FBD">
        <w:rPr>
          <w:rFonts w:ascii="Bookman Old Style" w:hAnsi="Bookman Old Style"/>
          <w:lang w:eastAsia="es-CO"/>
        </w:rPr>
        <w:t xml:space="preserve"> la Resolución CREG 093 de 2016, ajustada </w:t>
      </w:r>
      <w:r w:rsidR="00591FBD">
        <w:rPr>
          <w:rFonts w:ascii="Bookman Old Style" w:hAnsi="Bookman Old Style"/>
          <w:lang w:val="es-ES_tradnl"/>
        </w:rPr>
        <w:t>por</w:t>
      </w:r>
      <w:r w:rsidR="00802D38" w:rsidRPr="00AC7842">
        <w:rPr>
          <w:rFonts w:ascii="Bookman Old Style" w:hAnsi="Bookman Old Style"/>
          <w:lang w:val="es-ES_tradnl"/>
        </w:rPr>
        <w:t xml:space="preserve"> el Factor de Uso Eficiente “FUE” conforme a lo definido en el </w:t>
      </w:r>
      <w:r w:rsidR="00802D38" w:rsidRPr="004B2639">
        <w:rPr>
          <w:rFonts w:ascii="Bookman Old Style" w:hAnsi="Bookman Old Style"/>
          <w:lang w:val="es-ES_tradnl"/>
        </w:rPr>
        <w:t>numeral 7.5.1</w:t>
      </w:r>
      <w:r w:rsidR="004A0BA6" w:rsidRPr="004B2639">
        <w:rPr>
          <w:rFonts w:ascii="Bookman Old Style" w:hAnsi="Bookman Old Style"/>
          <w:lang w:val="es-ES_tradnl"/>
        </w:rPr>
        <w:t xml:space="preserve"> de</w:t>
      </w:r>
      <w:r w:rsidR="004A0BA6">
        <w:rPr>
          <w:rFonts w:ascii="Bookman Old Style" w:hAnsi="Bookman Old Style"/>
          <w:lang w:val="es-ES_tradnl"/>
        </w:rPr>
        <w:t xml:space="preserve"> esta resolución.</w:t>
      </w:r>
    </w:p>
    <w:p w14:paraId="4CA73B43" w14:textId="77777777"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6560">
        <w:rPr>
          <w:rFonts w:ascii="Bookman Old Style" w:hAnsi="Bookman Old Style"/>
          <w:b/>
          <w:sz w:val="24"/>
          <w:szCs w:val="24"/>
          <w:lang w:eastAsia="es-CO"/>
        </w:rPr>
        <w:t>Factor de uso eficiente de las redes de distribución</w:t>
      </w:r>
    </w:p>
    <w:p w14:paraId="46994EE8" w14:textId="06B04342" w:rsidR="00526A24" w:rsidRPr="00006560" w:rsidRDefault="00526A24" w:rsidP="00526A24">
      <w:pPr>
        <w:tabs>
          <w:tab w:val="num" w:pos="1440"/>
        </w:tabs>
        <w:spacing w:before="240" w:after="240"/>
        <w:ind w:left="0"/>
        <w:jc w:val="both"/>
        <w:rPr>
          <w:rFonts w:ascii="Bookman Old Style" w:hAnsi="Bookman Old Style" w:cs="Arial"/>
          <w:sz w:val="27"/>
          <w:szCs w:val="27"/>
        </w:rPr>
      </w:pPr>
      <w:r w:rsidRPr="00AC7842">
        <w:rPr>
          <w:rFonts w:ascii="Bookman Old Style" w:hAnsi="Bookman Old Style" w:cs="Arial"/>
        </w:rPr>
        <w:t xml:space="preserve">El Factor de Uso de redes de distribución “FU” muestra el nivel de </w:t>
      </w:r>
      <w:r w:rsidRPr="00FD4ECB">
        <w:rPr>
          <w:rFonts w:ascii="Bookman Old Style" w:hAnsi="Bookman Old Style" w:cs="Arial"/>
        </w:rPr>
        <w:t>utilización de una red de distribución con relación a su utilización potencial máxima.</w:t>
      </w:r>
    </w:p>
    <w:p w14:paraId="55DC7BB7" w14:textId="616FFFA7" w:rsidR="00FD4ECB" w:rsidRDefault="00526A24">
      <w:pPr>
        <w:tabs>
          <w:tab w:val="num" w:pos="1440"/>
        </w:tabs>
        <w:spacing w:before="240" w:after="240"/>
        <w:ind w:left="0"/>
        <w:jc w:val="both"/>
        <w:rPr>
          <w:rFonts w:ascii="Bookman Old Style" w:hAnsi="Bookman Old Style"/>
          <w:lang w:val="es-ES_tradnl"/>
        </w:rPr>
      </w:pPr>
      <w:r w:rsidRPr="00FD4ECB">
        <w:rPr>
          <w:rFonts w:ascii="Bookman Old Style" w:hAnsi="Bookman Old Style"/>
        </w:rPr>
        <w:lastRenderedPageBreak/>
        <w:t xml:space="preserve">Se </w:t>
      </w:r>
      <w:r w:rsidRPr="006121E9">
        <w:rPr>
          <w:rFonts w:ascii="Bookman Old Style" w:hAnsi="Bookman Old Style"/>
        </w:rPr>
        <w:t xml:space="preserve">adopta </w:t>
      </w:r>
      <w:r w:rsidRPr="006121E9">
        <w:rPr>
          <w:rFonts w:ascii="Bookman Old Style" w:hAnsi="Bookman Old Style"/>
          <w:lang w:val="es-ES_tradnl"/>
        </w:rPr>
        <w:t>como criterio de eficiencia el Factor de Uso Eficiente “FUE” que corresponde al mínimo factor de uso requerido para efectos tarifarios y para la aplicación de l</w:t>
      </w:r>
      <w:r w:rsidR="00FD4ECB" w:rsidRPr="00006560">
        <w:rPr>
          <w:rFonts w:ascii="Bookman Old Style" w:hAnsi="Bookman Old Style"/>
          <w:lang w:val="es-ES_tradnl"/>
        </w:rPr>
        <w:t>os criterios generales para remunerar la actividad de distribución de gas combustible por redes de tubería</w:t>
      </w:r>
      <w:r w:rsidR="006121E9" w:rsidRPr="00006560">
        <w:rPr>
          <w:rFonts w:ascii="Bookman Old Style" w:hAnsi="Bookman Old Style"/>
          <w:lang w:val="es-ES_tradnl"/>
        </w:rPr>
        <w:t>.</w:t>
      </w:r>
    </w:p>
    <w:p w14:paraId="5E443E39" w14:textId="44FBED55"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 xml:space="preserve">Para determinar el ajuste por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1E746A">
        <w:rPr>
          <w:rFonts w:ascii="Bookman Old Style" w:hAnsi="Bookman Old Style" w:cs="Arial"/>
          <w:color w:val="000000"/>
          <w:kern w:val="24"/>
        </w:rPr>
        <w:t>,</w:t>
      </w:r>
      <w:r w:rsidRPr="00AC7842">
        <w:rPr>
          <w:rFonts w:ascii="Bookman Old Style" w:hAnsi="Bookman Old Style" w:cs="Arial"/>
          <w:b/>
          <w:bCs/>
        </w:rPr>
        <w:t xml:space="preserve"> </w:t>
      </w:r>
      <w:r w:rsidRPr="00AC7842">
        <w:rPr>
          <w:rFonts w:ascii="Bookman Old Style" w:hAnsi="Bookman Old Style" w:cs="Arial"/>
          <w:bCs/>
        </w:rPr>
        <w:t xml:space="preserve">se </w:t>
      </w:r>
      <w:r w:rsidR="003D350F">
        <w:rPr>
          <w:rFonts w:ascii="Bookman Old Style" w:hAnsi="Bookman Old Style" w:cs="Arial"/>
          <w:bCs/>
        </w:rPr>
        <w:t xml:space="preserve">obtiene </w:t>
      </w:r>
      <w:r w:rsidRPr="00AC7842">
        <w:rPr>
          <w:rFonts w:ascii="Bookman Old Style" w:hAnsi="Bookman Old Style" w:cs="Arial"/>
          <w:bCs/>
        </w:rPr>
        <w:t xml:space="preserve">previamente el </w:t>
      </w: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w:r w:rsidRPr="00AC7842">
        <w:rPr>
          <w:rFonts w:ascii="Bookman Old Style" w:hAnsi="Bookman Old Style" w:cs="Arial"/>
          <w:bCs/>
        </w:rPr>
        <w:t xml:space="preserve"> </w:t>
      </w:r>
      <w:r w:rsidR="001E746A">
        <w:rPr>
          <w:rFonts w:ascii="Bookman Old Style" w:hAnsi="Bookman Old Style" w:cs="Arial"/>
          <w:bCs/>
        </w:rPr>
        <w:t>para cada uno de los municipios</w:t>
      </w:r>
      <w:r w:rsidRPr="00AC7842">
        <w:rPr>
          <w:rFonts w:ascii="Bookman Old Style" w:hAnsi="Bookman Old Style" w:cs="Arial"/>
          <w:bCs/>
        </w:rPr>
        <w:t xml:space="preserve"> con prestación de servicio de gas c</w:t>
      </w:r>
      <w:r w:rsidR="001E746A">
        <w:rPr>
          <w:rFonts w:ascii="Bookman Old Style" w:hAnsi="Bookman Old Style" w:cs="Arial"/>
          <w:bCs/>
        </w:rPr>
        <w:t>ombustible por redes de tubería</w:t>
      </w:r>
      <w:r w:rsidRPr="00AC7842">
        <w:rPr>
          <w:rFonts w:ascii="Bookman Old Style" w:hAnsi="Bookman Old Style" w:cs="Arial"/>
          <w:bCs/>
        </w:rPr>
        <w:t xml:space="preserve"> que conforman el Mercado Relevante de Distribución para el siguiente Periodo Tarifario de la siguiente manera:</w:t>
      </w:r>
    </w:p>
    <w:p w14:paraId="7B13EFF1" w14:textId="3B330F5E" w:rsidR="00526A24" w:rsidRPr="00526A24" w:rsidRDefault="00A93098" w:rsidP="00526A24">
      <w:pPr>
        <w:spacing w:before="240" w:after="240"/>
        <w:ind w:left="0"/>
        <w:jc w:val="center"/>
        <w:rPr>
          <w:rFonts w:ascii="Bookman Old Style" w:hAnsi="Bookman Old Style"/>
          <w:iCs/>
          <w:color w:val="000000"/>
          <w:kern w:val="24"/>
        </w:rPr>
      </w:pPr>
      <m:oMathPara>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oMath>
      </m:oMathPara>
    </w:p>
    <w:p w14:paraId="46E8DC39" w14:textId="77777777"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w:t>
      </w:r>
    </w:p>
    <w:tbl>
      <w:tblPr>
        <w:tblW w:w="0" w:type="auto"/>
        <w:tblInd w:w="108" w:type="dxa"/>
        <w:tblLook w:val="04A0" w:firstRow="1" w:lastRow="0" w:firstColumn="1" w:lastColumn="0" w:noHBand="0" w:noVBand="1"/>
      </w:tblPr>
      <w:tblGrid>
        <w:gridCol w:w="1551"/>
        <w:gridCol w:w="7555"/>
      </w:tblGrid>
      <w:tr w:rsidR="00526A24" w:rsidRPr="00AC7842" w14:paraId="3924505D" w14:textId="77777777" w:rsidTr="00006560">
        <w:tc>
          <w:tcPr>
            <w:tcW w:w="1551" w:type="dxa"/>
          </w:tcPr>
          <w:p w14:paraId="6E55514B" w14:textId="373F23AE" w:rsidR="00526A24" w:rsidRPr="00526A24" w:rsidRDefault="00A93098" w:rsidP="00FD4ECB">
            <w:pPr>
              <w:ind w:left="0" w:right="-93"/>
              <w:rPr>
                <w:rFonts w:ascii="Bookman Old Style" w:hAnsi="Bookman Old Style" w:cs="Arial"/>
                <w:bCs/>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5A1C9B3D" w14:textId="77777777" w:rsidR="00526A24" w:rsidRPr="00AC7842" w:rsidRDefault="00526A24" w:rsidP="00FD4ECB">
            <w:pPr>
              <w:ind w:left="0" w:right="-93"/>
              <w:jc w:val="both"/>
              <w:rPr>
                <w:rFonts w:ascii="Bookman Old Style" w:hAnsi="Bookman Old Style" w:cs="Arial"/>
                <w:color w:val="666666"/>
                <w:sz w:val="27"/>
                <w:szCs w:val="27"/>
              </w:rPr>
            </w:pPr>
            <w:r w:rsidRPr="00AC7842">
              <w:rPr>
                <w:rFonts w:ascii="Bookman Old Style" w:hAnsi="Bookman Old Style" w:cs="Arial"/>
              </w:rPr>
              <w:t xml:space="preserve">Nivel de utilización de la red de distribución del municipio </w:t>
            </w:r>
            <w:r w:rsidRPr="00AC7842">
              <w:rPr>
                <w:rFonts w:ascii="Bookman Old Style" w:hAnsi="Bookman Old Style" w:cs="Arial"/>
                <w:i/>
              </w:rPr>
              <w:t>p</w:t>
            </w:r>
            <w:r w:rsidRPr="00AC7842">
              <w:rPr>
                <w:rFonts w:ascii="Bookman Old Style" w:hAnsi="Bookman Old Style" w:cs="Arial"/>
              </w:rPr>
              <w:t xml:space="preserve"> con relación a su potencial de utilización máxima.</w:t>
            </w:r>
            <w:r w:rsidRPr="00AC7842">
              <w:rPr>
                <w:rFonts w:ascii="Bookman Old Style" w:hAnsi="Bookman Old Style" w:cs="Arial"/>
                <w:color w:val="666666"/>
                <w:sz w:val="27"/>
                <w:szCs w:val="27"/>
              </w:rPr>
              <w:t xml:space="preserve"> </w:t>
            </w:r>
          </w:p>
          <w:p w14:paraId="167C49B5" w14:textId="77777777" w:rsidR="00526A24" w:rsidRPr="00AC7842" w:rsidRDefault="00526A24" w:rsidP="00FD4ECB">
            <w:pPr>
              <w:ind w:left="0" w:right="-93"/>
              <w:jc w:val="both"/>
              <w:rPr>
                <w:rFonts w:ascii="Bookman Old Style" w:hAnsi="Bookman Old Style" w:cs="Arial"/>
                <w:bCs/>
              </w:rPr>
            </w:pPr>
          </w:p>
        </w:tc>
      </w:tr>
      <w:tr w:rsidR="00526A24" w:rsidRPr="00AC7842" w14:paraId="5B67BE1F" w14:textId="77777777" w:rsidTr="00006560">
        <w:tc>
          <w:tcPr>
            <w:tcW w:w="1551" w:type="dxa"/>
          </w:tcPr>
          <w:p w14:paraId="412BCEAF" w14:textId="1B51FE11" w:rsidR="00526A24" w:rsidRPr="00526A24" w:rsidRDefault="00A93098"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48A4F3AE" w14:textId="7ECD962F"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Demanda de los usuarios residenciales del municipio </w:t>
            </w:r>
            <w:r w:rsidRPr="00AC7842">
              <w:rPr>
                <w:rFonts w:ascii="Bookman Old Style" w:hAnsi="Bookman Old Style" w:cs="Arial"/>
                <w:i/>
              </w:rPr>
              <w:t>p</w:t>
            </w:r>
            <w:r w:rsidRPr="00AC7842">
              <w:rPr>
                <w:rFonts w:ascii="Bookman Old Style" w:hAnsi="Bookman Old Style" w:cs="Arial"/>
                <w:bCs/>
              </w:rPr>
              <w:t xml:space="preserve">    presentada por el distribuidor en su solicitud tarifaria a </w:t>
            </w:r>
            <w:r w:rsidR="00D348AB">
              <w:rPr>
                <w:rFonts w:ascii="Bookman Old Style" w:hAnsi="Bookman Old Style" w:cs="Arial"/>
                <w:bCs/>
              </w:rPr>
              <w:t>diciembre de 2014</w:t>
            </w:r>
            <w:r w:rsidRPr="00AC7842">
              <w:rPr>
                <w:rFonts w:ascii="Bookman Old Style" w:hAnsi="Bookman Old Style" w:cs="Arial"/>
                <w:bCs/>
              </w:rPr>
              <w:t>.  Expresada en metros cúbicos (m</w:t>
            </w:r>
            <w:r w:rsidRPr="00AC7842">
              <w:rPr>
                <w:rFonts w:ascii="Bookman Old Style" w:hAnsi="Bookman Old Style" w:cs="Arial"/>
                <w:bCs/>
                <w:vertAlign w:val="superscript"/>
              </w:rPr>
              <w:t>3</w:t>
            </w:r>
            <w:r w:rsidRPr="00AC7842">
              <w:rPr>
                <w:rFonts w:ascii="Bookman Old Style" w:hAnsi="Bookman Old Style" w:cs="Arial"/>
                <w:bCs/>
              </w:rPr>
              <w:t>). Solicitud</w:t>
            </w:r>
            <w:r w:rsidRPr="00AC7842">
              <w:rPr>
                <w:rFonts w:ascii="Bookman Old Style" w:hAnsi="Bookman Old Style"/>
                <w:lang w:eastAsia="es-CO"/>
              </w:rPr>
              <w:t xml:space="preserve"> archivada conforme lo dis</w:t>
            </w:r>
            <w:r w:rsidR="00DD371F">
              <w:rPr>
                <w:rFonts w:ascii="Bookman Old Style" w:hAnsi="Bookman Old Style"/>
                <w:lang w:eastAsia="es-CO"/>
              </w:rPr>
              <w:t>puesto en el artículo 11 de la R</w:t>
            </w:r>
            <w:r w:rsidRPr="00AC7842">
              <w:rPr>
                <w:rFonts w:ascii="Bookman Old Style" w:hAnsi="Bookman Old Style"/>
                <w:lang w:eastAsia="es-CO"/>
              </w:rPr>
              <w:t>esolución CREG 093 de 2016.</w:t>
            </w:r>
          </w:p>
          <w:p w14:paraId="7B252775" w14:textId="77777777" w:rsidR="00526A24" w:rsidRPr="00AC7842" w:rsidRDefault="00526A24" w:rsidP="00FD4ECB">
            <w:pPr>
              <w:ind w:left="0" w:right="-93"/>
              <w:jc w:val="both"/>
              <w:rPr>
                <w:rFonts w:ascii="Bookman Old Style" w:hAnsi="Bookman Old Style" w:cs="Arial"/>
                <w:bCs/>
              </w:rPr>
            </w:pPr>
          </w:p>
        </w:tc>
      </w:tr>
      <w:tr w:rsidR="00526A24" w:rsidRPr="00AC7842" w14:paraId="64C48619" w14:textId="77777777" w:rsidTr="00006560">
        <w:tc>
          <w:tcPr>
            <w:tcW w:w="1551" w:type="dxa"/>
          </w:tcPr>
          <w:p w14:paraId="35F5869A" w14:textId="3B9972C5" w:rsidR="00526A24" w:rsidRPr="00526A24" w:rsidRDefault="00A93098"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27398588" w14:textId="77777777"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Corresponde a la demanda potencial para todos los usuarios anillados del municipio </w:t>
            </w:r>
            <w:r w:rsidRPr="00AC7842">
              <w:rPr>
                <w:rFonts w:ascii="Bookman Old Style" w:hAnsi="Bookman Old Style" w:cs="Arial"/>
                <w:i/>
              </w:rPr>
              <w:t>p</w:t>
            </w:r>
            <w:r w:rsidRPr="00AC7842">
              <w:rPr>
                <w:rFonts w:ascii="Bookman Old Style" w:hAnsi="Bookman Old Style" w:cs="Arial"/>
                <w:bCs/>
              </w:rPr>
              <w:t xml:space="preserve">. Esta se determina como el producto del número de usuarios anillados por estrato reportado por los distribuidores, conforme a la Circular del MME 9 041 del 18 de noviembre de 2014 y el consumo promedio de los usuarios residenciales reportados en el SUI para el mismo municipio </w:t>
            </w:r>
            <w:r w:rsidRPr="00AC7842">
              <w:rPr>
                <w:rFonts w:ascii="Bookman Old Style" w:hAnsi="Bookman Old Style" w:cs="Arial"/>
                <w:i/>
              </w:rPr>
              <w:t>p</w:t>
            </w:r>
            <w:r w:rsidRPr="00AC7842">
              <w:rPr>
                <w:rFonts w:ascii="Bookman Old Style" w:hAnsi="Bookman Old Style" w:cs="Arial"/>
                <w:bCs/>
              </w:rPr>
              <w:t>.</w:t>
            </w:r>
          </w:p>
        </w:tc>
      </w:tr>
    </w:tbl>
    <w:p w14:paraId="62596929" w14:textId="759FF61E" w:rsidR="00526A24" w:rsidRDefault="00526A24" w:rsidP="00526A24">
      <w:pPr>
        <w:spacing w:before="240" w:after="240"/>
        <w:ind w:left="0"/>
        <w:jc w:val="both"/>
        <w:rPr>
          <w:rFonts w:ascii="Bookman Old Style" w:hAnsi="Bookman Old Style"/>
        </w:rPr>
      </w:pPr>
      <w:r w:rsidRPr="00AC7842">
        <w:rPr>
          <w:rFonts w:ascii="Bookman Old Style" w:hAnsi="Bookman Old Style"/>
        </w:rPr>
        <w:t>Si el Factor de Uso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D618C0">
        <w:rPr>
          <w:rFonts w:ascii="Bookman Old Style" w:hAnsi="Bookman Old Style"/>
        </w:rPr>
        <w:t>”</w:t>
      </w:r>
      <w:r w:rsidRPr="00AC7842">
        <w:rPr>
          <w:rFonts w:ascii="Bookman Old Style" w:hAnsi="Bookman Old Style"/>
        </w:rPr>
        <w:t xml:space="preserve"> de las redes de distribución es inferior al Factor de Uso Eficiente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Pr="00AC7842">
        <w:rPr>
          <w:rFonts w:ascii="Bookman Old Style" w:hAnsi="Bookman Old Style"/>
        </w:rPr>
        <w:t>”</w:t>
      </w:r>
      <w:r w:rsidR="00D618C0">
        <w:rPr>
          <w:rFonts w:ascii="Bookman Old Style" w:hAnsi="Bookman Old Style"/>
        </w:rPr>
        <w:t xml:space="preserve"> </w:t>
      </w:r>
      <w:r w:rsidRPr="00AC7842">
        <w:rPr>
          <w:rFonts w:ascii="Bookman Old Style" w:hAnsi="Bookman Old Style"/>
        </w:rPr>
        <w:t>establecido para el grupo al que corresponde ese municipio según</w:t>
      </w:r>
      <w:r w:rsidR="00D618C0">
        <w:rPr>
          <w:rFonts w:ascii="Bookman Old Style" w:hAnsi="Bookman Old Style"/>
        </w:rPr>
        <w:t xml:space="preserve"> la clasificación </w:t>
      </w:r>
      <w:r w:rsidR="003D350F">
        <w:rPr>
          <w:rFonts w:ascii="Bookman Old Style" w:hAnsi="Bookman Old Style"/>
        </w:rPr>
        <w:t>por</w:t>
      </w:r>
      <w:r w:rsidR="00D618C0">
        <w:rPr>
          <w:rFonts w:ascii="Bookman Old Style" w:hAnsi="Bookman Old Style"/>
        </w:rPr>
        <w:t xml:space="preserve"> características físicas y económicas</w:t>
      </w:r>
      <w:r w:rsidRPr="00AC7842">
        <w:rPr>
          <w:rFonts w:ascii="Bookman Old Style" w:hAnsi="Bookman Old Style"/>
        </w:rPr>
        <w:t xml:space="preserve">, se </w:t>
      </w:r>
      <w:r w:rsidR="003D350F">
        <w:rPr>
          <w:rFonts w:ascii="Bookman Old Style" w:hAnsi="Bookman Old Style"/>
        </w:rPr>
        <w:t>ajusta</w:t>
      </w:r>
      <w:r w:rsidRPr="00AC7842">
        <w:rPr>
          <w:rFonts w:ascii="Bookman Old Style" w:hAnsi="Bookman Old Style"/>
        </w:rPr>
        <w:t xml:space="preserve"> la demanda residencial reportada en la solicitud tarifaria para ese municipio con un factor de ajuste y con las siguientes fórmulas:</w:t>
      </w:r>
    </w:p>
    <w:p w14:paraId="1B24424F" w14:textId="4DF8675C" w:rsidR="00526A24" w:rsidRPr="00526A24" w:rsidRDefault="00A93098" w:rsidP="00526A24">
      <w:pPr>
        <w:widowControl w:val="0"/>
        <w:adjustRightInd w:val="0"/>
        <w:spacing w:before="240" w:after="240"/>
        <w:ind w:left="0" w:right="20"/>
        <w:jc w:val="center"/>
        <w:rPr>
          <w:rFonts w:ascii="Bookman Old Style" w:hAnsi="Bookman Old Style"/>
          <w:iCs/>
          <w:color w:val="000000"/>
          <w:kern w:val="24"/>
        </w:rPr>
      </w:pPr>
      <m:oMathPara>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m:rPr>
              <m:sty m:val="p"/>
            </m:rPr>
            <w:rPr>
              <w:rFonts w:ascii="Cambria Math" w:eastAsia="+mn-ea" w:hAnsi="Cambria Math" w:cs="+mn-cs"/>
              <w:color w:val="000000"/>
              <w:kern w:val="24"/>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Cambria Math" w:hAnsi="Cambria Math" w:cs="+mn-cs"/>
                  <w:i/>
                  <w:iCs/>
                  <w:color w:val="000000"/>
                  <w:kern w:val="24"/>
                </w:rPr>
              </m:ctrlPr>
            </m:fPr>
            <m:num>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num>
            <m:den>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den>
          </m:f>
        </m:oMath>
      </m:oMathPara>
    </w:p>
    <w:p w14:paraId="59108034" w14:textId="49F932D4" w:rsidR="00526A24" w:rsidRPr="00526A24" w:rsidRDefault="00A93098" w:rsidP="00526A24">
      <w:pPr>
        <w:widowControl w:val="0"/>
        <w:adjustRightInd w:val="0"/>
        <w:spacing w:before="240" w:after="240"/>
        <w:ind w:left="0" w:right="20"/>
        <w:jc w:val="center"/>
        <w:rPr>
          <w:rFonts w:ascii="Bookman Old Style" w:hAnsi="Bookman Old Style"/>
          <w:lang w:val="es-MX"/>
        </w:rPr>
      </w:pPr>
      <m:oMathPara>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m:rPr>
              <m:sty m:val="p"/>
            </m:rPr>
            <w:rPr>
              <w:rFonts w:ascii="Cambria Math" w:hAnsi="Cambria Math"/>
              <w:lang w:val="es-MX"/>
            </w:rPr>
            <m:t>=</m:t>
          </m:r>
          <m:f>
            <m:fPr>
              <m:ctrlPr>
                <w:rPr>
                  <w:rFonts w:ascii="Cambria Math" w:hAnsi="Cambria Math"/>
                  <w:lang w:val="es-MX"/>
                </w:rPr>
              </m:ctrlPr>
            </m:fPr>
            <m:num>
              <m:r>
                <w:rPr>
                  <w:rFonts w:ascii="Cambria Math" w:hAnsi="Cambria Math"/>
                  <w:lang w:val="es-MX"/>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w:rPr>
                  <w:rFonts w:ascii="Cambria Math" w:eastAsia="+mn-ea" w:hAnsi="Cambria Math" w:cs="+mn-cs"/>
                  <w:color w:val="000000"/>
                  <w:kern w:val="24"/>
                </w:rPr>
                <m:t>-1)</m:t>
              </m:r>
            </m:num>
            <m:den>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den>
          </m:f>
        </m:oMath>
      </m:oMathPara>
    </w:p>
    <w:p w14:paraId="69132ADF" w14:textId="32D50738" w:rsidR="00526A24" w:rsidRPr="00526A24" w:rsidRDefault="00A93098" w:rsidP="00526A24">
      <w:pPr>
        <w:widowControl w:val="0"/>
        <w:adjustRightInd w:val="0"/>
        <w:spacing w:before="240" w:after="240"/>
        <w:ind w:left="0" w:right="20"/>
        <w:jc w:val="center"/>
        <w:rPr>
          <w:rFonts w:ascii="Bookman Old Style" w:hAnsi="Bookman Old Style"/>
          <w:color w:val="000000"/>
          <w:kern w:val="24"/>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r>
            <m:rPr>
              <m:sty m:val="p"/>
            </m:rPr>
            <w:rPr>
              <w:rFonts w:ascii="Cambria Math" w:hAnsi="Cambria Math"/>
              <w:lang w:val="es-MX"/>
            </w:rPr>
            <m:t xml:space="preserve">= </m:t>
          </m:r>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d>
            <m:dPr>
              <m:ctrlPr>
                <w:rPr>
                  <w:rFonts w:ascii="Cambria Math" w:eastAsia="+mn-ea" w:hAnsi="Cambria Math" w:cs="+mn-cs"/>
                  <w:color w:val="000000"/>
                  <w:kern w:val="24"/>
                </w:rPr>
              </m:ctrlPr>
            </m:dPr>
            <m:e>
              <m:r>
                <m:rPr>
                  <m:sty m:val="p"/>
                </m:rPr>
                <w:rPr>
                  <w:rFonts w:ascii="Cambria Math" w:eastAsia="+mn-ea" w:hAnsi="Cambria Math" w:cs="+mn-cs"/>
                  <w:color w:val="000000"/>
                  <w:kern w:val="24"/>
                </w:rPr>
                <m:t>1+</m:t>
              </m:r>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r>
                <w:rPr>
                  <w:rFonts w:ascii="Cambria Math" w:eastAsia="+mn-ea" w:hAnsi="Cambria Math" w:cs="+mn-cs"/>
                  <w:color w:val="000000"/>
                  <w:kern w:val="24"/>
                </w:rPr>
                <m:t>×</m:t>
              </m:r>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w:rPr>
                  <w:rFonts w:ascii="Cambria Math" w:hAnsi="Cambria Math"/>
                  <w:lang w:val="es-MX"/>
                </w:rPr>
                <m:t>)</m:t>
              </m:r>
            </m:e>
          </m:d>
        </m:oMath>
      </m:oMathPara>
    </w:p>
    <w:p w14:paraId="1F60A101" w14:textId="77777777" w:rsidR="00526A24" w:rsidRPr="00AC7842" w:rsidRDefault="00526A24" w:rsidP="00526A24">
      <w:pPr>
        <w:widowControl w:val="0"/>
        <w:adjustRightInd w:val="0"/>
        <w:spacing w:before="240" w:after="240"/>
        <w:ind w:left="0" w:right="20"/>
        <w:rPr>
          <w:rFonts w:ascii="Bookman Old Style" w:hAnsi="Bookman Old Style"/>
          <w:lang w:val="es-MX"/>
        </w:rPr>
      </w:pPr>
      <w:r w:rsidRPr="00AC7842">
        <w:rPr>
          <w:rFonts w:ascii="Bookman Old Style" w:hAnsi="Bookman Old Style"/>
          <w:lang w:val="es-MX"/>
        </w:rPr>
        <w:t>Donde:</w:t>
      </w:r>
    </w:p>
    <w:tbl>
      <w:tblPr>
        <w:tblW w:w="0" w:type="auto"/>
        <w:tblInd w:w="279" w:type="dxa"/>
        <w:tblLook w:val="04A0" w:firstRow="1" w:lastRow="0" w:firstColumn="1" w:lastColumn="0" w:noHBand="0" w:noVBand="1"/>
      </w:tblPr>
      <w:tblGrid>
        <w:gridCol w:w="2249"/>
        <w:gridCol w:w="6828"/>
      </w:tblGrid>
      <w:tr w:rsidR="00526A24" w:rsidRPr="00AC7842" w14:paraId="55E9B887" w14:textId="77777777" w:rsidTr="00FD4ECB">
        <w:tc>
          <w:tcPr>
            <w:tcW w:w="2249" w:type="dxa"/>
          </w:tcPr>
          <w:p w14:paraId="590D5DBB" w14:textId="7B481A86" w:rsidR="00526A24" w:rsidRPr="00526A24" w:rsidRDefault="00A93098"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oMath>
            </m:oMathPara>
          </w:p>
        </w:tc>
        <w:tc>
          <w:tcPr>
            <w:tcW w:w="6828" w:type="dxa"/>
          </w:tcPr>
          <w:p w14:paraId="70D1BBE0"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Factor de ajuste total para llegar al Factor de Uso Eficiente de Redes establecido para el municipio.</w:t>
            </w:r>
          </w:p>
          <w:p w14:paraId="392184A0"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602242FC" w14:textId="77777777" w:rsidTr="00FD4ECB">
        <w:tc>
          <w:tcPr>
            <w:tcW w:w="2249" w:type="dxa"/>
          </w:tcPr>
          <w:p w14:paraId="0258FB0C" w14:textId="2EBA290F" w:rsidR="00526A24" w:rsidRPr="00526A24" w:rsidRDefault="00A93098"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m:oMathPara>
          </w:p>
        </w:tc>
        <w:tc>
          <w:tcPr>
            <w:tcW w:w="6828" w:type="dxa"/>
          </w:tcPr>
          <w:p w14:paraId="2AA3B355"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Factor de Uso Eficiente establecido para el municipio </w:t>
            </w:r>
            <w:r w:rsidRPr="00AC7842">
              <w:rPr>
                <w:rFonts w:ascii="Bookman Old Style" w:hAnsi="Bookman Old Style"/>
                <w:i/>
                <w:lang w:val="es-MX"/>
              </w:rPr>
              <w:t>p</w:t>
            </w:r>
            <w:r w:rsidRPr="00AC7842">
              <w:rPr>
                <w:rFonts w:ascii="Bookman Old Style" w:hAnsi="Bookman Old Style"/>
                <w:lang w:val="es-MX"/>
              </w:rPr>
              <w:t xml:space="preserve"> según el grupo G al cual pertenece.</w:t>
            </w:r>
          </w:p>
          <w:p w14:paraId="652391A8" w14:textId="77777777" w:rsidR="00526A24" w:rsidRPr="00AC7842" w:rsidRDefault="00526A24" w:rsidP="00FD4ECB">
            <w:pPr>
              <w:widowControl w:val="0"/>
              <w:adjustRightInd w:val="0"/>
              <w:ind w:left="0" w:right="20"/>
              <w:jc w:val="both"/>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822"/>
            </w:tblGrid>
            <w:tr w:rsidR="00526A24" w:rsidRPr="00AC7842" w14:paraId="2339D5E9" w14:textId="77777777" w:rsidTr="004B2639">
              <w:tc>
                <w:tcPr>
                  <w:tcW w:w="2997" w:type="dxa"/>
                  <w:shd w:val="clear" w:color="auto" w:fill="D9D9D9" w:themeFill="background1" w:themeFillShade="D9"/>
                  <w:vAlign w:val="center"/>
                </w:tcPr>
                <w:p w14:paraId="2097B958" w14:textId="53CA8129" w:rsidR="00526A24" w:rsidRPr="00AC7842" w:rsidRDefault="00526A24" w:rsidP="004B2639">
                  <w:pPr>
                    <w:ind w:left="0" w:right="-93"/>
                    <w:jc w:val="center"/>
                    <w:rPr>
                      <w:rFonts w:ascii="Bookman Old Style" w:hAnsi="Bookman Old Style" w:cs="Arial"/>
                      <w:b/>
                      <w:bCs/>
                    </w:rPr>
                  </w:pPr>
                  <w:r w:rsidRPr="00AC7842">
                    <w:rPr>
                      <w:rFonts w:ascii="Bookman Old Style" w:hAnsi="Bookman Old Style" w:cs="Arial"/>
                      <w:b/>
                      <w:bCs/>
                    </w:rPr>
                    <w:t>Grupo</w:t>
                  </w:r>
                </w:p>
                <w:p w14:paraId="77AE1A3D" w14:textId="77777777" w:rsidR="00526A24" w:rsidRPr="00AC7842" w:rsidRDefault="00526A24" w:rsidP="004B2639">
                  <w:pPr>
                    <w:ind w:left="0" w:right="-93"/>
                    <w:jc w:val="center"/>
                    <w:rPr>
                      <w:rFonts w:ascii="Bookman Old Style" w:hAnsi="Bookman Old Style" w:cs="Arial"/>
                      <w:b/>
                      <w:bCs/>
                    </w:rPr>
                  </w:pPr>
                  <w:r w:rsidRPr="00AC7842">
                    <w:rPr>
                      <w:rFonts w:ascii="Bookman Old Style" w:hAnsi="Bookman Old Style" w:cs="Arial"/>
                      <w:b/>
                      <w:bCs/>
                    </w:rPr>
                    <w:t>G</w:t>
                  </w:r>
                </w:p>
              </w:tc>
              <w:tc>
                <w:tcPr>
                  <w:tcW w:w="1822" w:type="dxa"/>
                  <w:shd w:val="clear" w:color="auto" w:fill="D9D9D9" w:themeFill="background1" w:themeFillShade="D9"/>
                  <w:vAlign w:val="center"/>
                </w:tcPr>
                <w:p w14:paraId="6D319BFB" w14:textId="1AC9F55D" w:rsidR="00526A24" w:rsidRPr="00AC7842" w:rsidRDefault="00A93098" w:rsidP="004B2639">
                  <w:pPr>
                    <w:ind w:left="0" w:right="-93"/>
                    <w:jc w:val="center"/>
                    <w:rPr>
                      <w:rFonts w:ascii="Bookman Old Style" w:hAnsi="Bookman Old Style" w:cs="Arial"/>
                      <w:b/>
                      <w:bCs/>
                    </w:rPr>
                  </w:pPr>
                  <m:oMathPara>
                    <m:oMath>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FUE </m:t>
                          </m:r>
                        </m:e>
                        <m:sub>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municipio</m:t>
                              </m:r>
                            </m:e>
                            <m:sub>
                              <m:r>
                                <m:rPr>
                                  <m:sty m:val="bi"/>
                                </m:rPr>
                                <w:rPr>
                                  <w:rFonts w:ascii="Cambria Math" w:eastAsia="+mn-ea" w:hAnsi="Cambria Math" w:cs="+mn-cs"/>
                                  <w:color w:val="000000"/>
                                  <w:kern w:val="24"/>
                                </w:rPr>
                                <m:t>p</m:t>
                              </m:r>
                            </m:sub>
                          </m:sSub>
                        </m:sub>
                      </m:sSub>
                    </m:oMath>
                  </m:oMathPara>
                </w:p>
              </w:tc>
            </w:tr>
            <w:tr w:rsidR="00526A24" w:rsidRPr="00AC7842" w14:paraId="516D9EBE" w14:textId="77777777" w:rsidTr="002A3E31">
              <w:trPr>
                <w:trHeight w:val="284"/>
              </w:trPr>
              <w:tc>
                <w:tcPr>
                  <w:tcW w:w="2997" w:type="dxa"/>
                </w:tcPr>
                <w:p w14:paraId="7CD00A82"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1</w:t>
                  </w:r>
                </w:p>
              </w:tc>
              <w:tc>
                <w:tcPr>
                  <w:tcW w:w="1822" w:type="dxa"/>
                </w:tcPr>
                <w:p w14:paraId="54300646"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87,68%</w:t>
                  </w:r>
                </w:p>
              </w:tc>
            </w:tr>
            <w:tr w:rsidR="00526A24" w:rsidRPr="00AC7842" w14:paraId="72A842F6" w14:textId="77777777" w:rsidTr="002A3E31">
              <w:trPr>
                <w:trHeight w:val="284"/>
              </w:trPr>
              <w:tc>
                <w:tcPr>
                  <w:tcW w:w="2997" w:type="dxa"/>
                </w:tcPr>
                <w:p w14:paraId="756FCDC4"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2</w:t>
                  </w:r>
                </w:p>
              </w:tc>
              <w:tc>
                <w:tcPr>
                  <w:tcW w:w="1822" w:type="dxa"/>
                </w:tcPr>
                <w:p w14:paraId="5D35C3E0"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87,81%</w:t>
                  </w:r>
                </w:p>
              </w:tc>
            </w:tr>
            <w:tr w:rsidR="00526A24" w:rsidRPr="00AC7842" w14:paraId="4F81A0B4" w14:textId="77777777" w:rsidTr="002A3E31">
              <w:trPr>
                <w:trHeight w:val="284"/>
              </w:trPr>
              <w:tc>
                <w:tcPr>
                  <w:tcW w:w="2997" w:type="dxa"/>
                </w:tcPr>
                <w:p w14:paraId="3C1DC85C"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3</w:t>
                  </w:r>
                </w:p>
              </w:tc>
              <w:tc>
                <w:tcPr>
                  <w:tcW w:w="1822" w:type="dxa"/>
                </w:tcPr>
                <w:p w14:paraId="5D9C47F6"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82,18%</w:t>
                  </w:r>
                </w:p>
              </w:tc>
            </w:tr>
          </w:tbl>
          <w:p w14:paraId="3AFEE84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37ACAFF" w14:textId="77777777" w:rsidTr="00FD4ECB">
        <w:tc>
          <w:tcPr>
            <w:tcW w:w="2249" w:type="dxa"/>
          </w:tcPr>
          <w:p w14:paraId="1D70B12A" w14:textId="77777777" w:rsidR="00526A24" w:rsidRPr="00AC7842" w:rsidRDefault="00526A24" w:rsidP="00FD4ECB">
            <w:pPr>
              <w:widowControl w:val="0"/>
              <w:adjustRightInd w:val="0"/>
              <w:ind w:left="0" w:right="20"/>
              <w:rPr>
                <w:rFonts w:ascii="Bookman Old Style" w:hAnsi="Bookman Old Style"/>
                <w:color w:val="000000"/>
                <w:kern w:val="24"/>
              </w:rPr>
            </w:pPr>
          </w:p>
        </w:tc>
        <w:tc>
          <w:tcPr>
            <w:tcW w:w="6828" w:type="dxa"/>
          </w:tcPr>
          <w:p w14:paraId="07495627" w14:textId="77777777" w:rsidR="00526A24" w:rsidRPr="00AC7842" w:rsidRDefault="00526A24" w:rsidP="00FD4ECB">
            <w:pPr>
              <w:ind w:left="0" w:right="-93"/>
              <w:jc w:val="both"/>
              <w:rPr>
                <w:rFonts w:ascii="Bookman Old Style" w:hAnsi="Bookman Old Style" w:cs="Arial"/>
                <w:bCs/>
              </w:rPr>
            </w:pPr>
          </w:p>
        </w:tc>
      </w:tr>
      <w:tr w:rsidR="00526A24" w:rsidRPr="00AC7842" w14:paraId="7523760B" w14:textId="77777777" w:rsidTr="00FD4ECB">
        <w:tc>
          <w:tcPr>
            <w:tcW w:w="2249" w:type="dxa"/>
          </w:tcPr>
          <w:p w14:paraId="38CA4E49" w14:textId="77777777" w:rsidR="00526A24" w:rsidRPr="00AC7842" w:rsidRDefault="00526A24" w:rsidP="00FD4ECB">
            <w:pPr>
              <w:widowControl w:val="0"/>
              <w:adjustRightInd w:val="0"/>
              <w:ind w:left="0" w:right="20"/>
              <w:rPr>
                <w:rFonts w:ascii="Bookman Old Style" w:hAnsi="Bookman Old Style"/>
                <w:color w:val="000000"/>
                <w:kern w:val="24"/>
              </w:rPr>
            </w:pPr>
            <w:r w:rsidRPr="00AC7842">
              <w:rPr>
                <w:rFonts w:ascii="Bookman Old Style" w:hAnsi="Bookman Old Style"/>
                <w:color w:val="000000"/>
                <w:kern w:val="24"/>
              </w:rPr>
              <w:t>G</w:t>
            </w:r>
          </w:p>
        </w:tc>
        <w:tc>
          <w:tcPr>
            <w:tcW w:w="6828" w:type="dxa"/>
          </w:tcPr>
          <w:p w14:paraId="442A2275" w14:textId="4A12A150"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Grupo </w:t>
            </w:r>
            <w:r w:rsidR="007D7F60" w:rsidRPr="000A621B">
              <w:rPr>
                <w:rFonts w:ascii="Bookman Old Style" w:eastAsia="MS Mincho" w:hAnsi="Bookman Old Style" w:cs="Arial"/>
                <w:lang w:val="es-ES_tradnl" w:eastAsia="en-US"/>
              </w:rPr>
              <w:t>de municipios</w:t>
            </w:r>
            <w:r w:rsidR="007D7F60" w:rsidRPr="000A621B">
              <w:rPr>
                <w:rFonts w:ascii="Bookman Old Style" w:eastAsia="MS Mincho" w:hAnsi="Bookman Old Style"/>
                <w:lang w:val="es-ES_tradnl" w:eastAsia="en-US"/>
              </w:rPr>
              <w:t xml:space="preserve"> conformados de acuerdo con sus características físicas</w:t>
            </w:r>
            <w:r w:rsidR="007D7F60">
              <w:rPr>
                <w:rFonts w:ascii="Bookman Old Style" w:eastAsia="MS Mincho" w:hAnsi="Bookman Old Style"/>
                <w:lang w:val="es-ES_tradnl" w:eastAsia="en-US"/>
              </w:rPr>
              <w:t xml:space="preserve"> y económicas</w:t>
            </w:r>
            <w:r w:rsidR="007D7F60" w:rsidRPr="00AC7842">
              <w:rPr>
                <w:rFonts w:ascii="Bookman Old Style" w:hAnsi="Bookman Old Style" w:cs="Arial"/>
                <w:bCs/>
              </w:rPr>
              <w:t xml:space="preserve"> </w:t>
            </w:r>
            <w:r w:rsidRPr="00AC7842">
              <w:rPr>
                <w:rFonts w:ascii="Bookman Old Style" w:hAnsi="Bookman Old Style" w:cs="Arial"/>
                <w:bCs/>
              </w:rPr>
              <w:t>al cual pertenece el municipio de análisis</w:t>
            </w:r>
            <w:r w:rsidR="007D7F60">
              <w:rPr>
                <w:rFonts w:ascii="Bookman Old Style" w:hAnsi="Bookman Old Style" w:cs="Arial"/>
                <w:bCs/>
              </w:rPr>
              <w:t>.</w:t>
            </w:r>
          </w:p>
          <w:p w14:paraId="1F78B77A" w14:textId="77777777" w:rsidR="00526A24" w:rsidRPr="00AC7842" w:rsidRDefault="00526A24" w:rsidP="00FD4ECB">
            <w:pPr>
              <w:ind w:left="0" w:right="-93"/>
              <w:jc w:val="both"/>
              <w:rPr>
                <w:rFonts w:ascii="Bookman Old Style" w:hAnsi="Bookman Old Style" w:cs="Arial"/>
                <w:bCs/>
              </w:rPr>
            </w:pPr>
          </w:p>
        </w:tc>
      </w:tr>
      <w:tr w:rsidR="00526A24" w:rsidRPr="00AC7842" w14:paraId="244ED56D" w14:textId="77777777" w:rsidTr="00FD4ECB">
        <w:tc>
          <w:tcPr>
            <w:tcW w:w="2249" w:type="dxa"/>
          </w:tcPr>
          <w:p w14:paraId="6C748312" w14:textId="2E6DF7C0" w:rsidR="00526A24" w:rsidRPr="00526A24" w:rsidRDefault="00A93098" w:rsidP="00FD4ECB">
            <w:pPr>
              <w:widowControl w:val="0"/>
              <w:adjustRightInd w:val="0"/>
              <w:ind w:left="0" w:right="20"/>
              <w:rPr>
                <w:rFonts w:ascii="Bookman Old Style" w:hAnsi="Bookman Old Style"/>
                <w:color w:val="000000"/>
                <w:kern w:val="24"/>
              </w:rPr>
            </w:pPr>
            <m:oMathPara>
              <m:oMathParaPr>
                <m:jc m:val="left"/>
              </m:oMathParaP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m:oMathPara>
          </w:p>
        </w:tc>
        <w:tc>
          <w:tcPr>
            <w:tcW w:w="6828" w:type="dxa"/>
          </w:tcPr>
          <w:p w14:paraId="4CD54C23"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Delta del Factor de ajuste que se debe aplicar anualmente según el grupo de metodología M al cual pertenezca el municipio </w:t>
            </w:r>
            <w:r w:rsidRPr="00AC7842">
              <w:rPr>
                <w:rFonts w:ascii="Bookman Old Style" w:hAnsi="Bookman Old Style"/>
                <w:i/>
                <w:lang w:val="es-MX"/>
              </w:rPr>
              <w:t>p</w:t>
            </w:r>
            <w:r w:rsidRPr="00AC7842">
              <w:rPr>
                <w:rFonts w:ascii="Bookman Old Style" w:hAnsi="Bookman Old Style"/>
                <w:lang w:val="es-MX"/>
              </w:rPr>
              <w:t>.</w:t>
            </w:r>
          </w:p>
          <w:p w14:paraId="2DD6CBA2"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B45E3A6" w14:textId="77777777" w:rsidTr="00FD4ECB">
        <w:tc>
          <w:tcPr>
            <w:tcW w:w="2249" w:type="dxa"/>
          </w:tcPr>
          <w:p w14:paraId="7F5E8CB0" w14:textId="77777777" w:rsidR="00526A24" w:rsidRPr="00AC7842" w:rsidRDefault="00526A24" w:rsidP="00FD4ECB">
            <w:pPr>
              <w:widowControl w:val="0"/>
              <w:adjustRightInd w:val="0"/>
              <w:ind w:left="0" w:right="20"/>
              <w:rPr>
                <w:rFonts w:ascii="Bookman Old Style" w:hAnsi="Bookman Old Style"/>
                <w:lang w:val="es-MX"/>
              </w:rPr>
            </w:pPr>
            <w:r w:rsidRPr="00AC7842">
              <w:rPr>
                <w:rFonts w:ascii="Bookman Old Style" w:hAnsi="Bookman Old Style"/>
                <w:lang w:val="es-MX"/>
              </w:rPr>
              <w:t>M</w:t>
            </w:r>
          </w:p>
        </w:tc>
        <w:tc>
          <w:tcPr>
            <w:tcW w:w="6828" w:type="dxa"/>
          </w:tcPr>
          <w:p w14:paraId="694830D3" w14:textId="5A25A362"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Grup</w:t>
            </w:r>
            <w:r w:rsidR="009437C5">
              <w:rPr>
                <w:rFonts w:ascii="Bookman Old Style" w:hAnsi="Bookman Old Style"/>
                <w:lang w:val="es-MX"/>
              </w:rPr>
              <w:t>o de metodología tarifaria 1,2 o</w:t>
            </w:r>
            <w:r w:rsidRPr="00AC7842">
              <w:rPr>
                <w:rFonts w:ascii="Bookman Old Style" w:hAnsi="Bookman Old Style"/>
                <w:lang w:val="es-MX"/>
              </w:rPr>
              <w:t xml:space="preserve"> 3 al cual pertenece el municipio </w:t>
            </w:r>
            <w:r w:rsidRPr="00AC7842">
              <w:rPr>
                <w:rFonts w:ascii="Bookman Old Style" w:hAnsi="Bookman Old Style"/>
                <w:i/>
                <w:lang w:val="es-MX"/>
              </w:rPr>
              <w:t>p</w:t>
            </w:r>
            <w:r w:rsidRPr="00AC7842">
              <w:rPr>
                <w:rFonts w:ascii="Bookman Old Style" w:hAnsi="Bookman Old Style"/>
                <w:lang w:val="es-MX"/>
              </w:rPr>
              <w:t xml:space="preserve"> </w:t>
            </w:r>
            <w:r>
              <w:rPr>
                <w:rFonts w:ascii="Bookman Old Style" w:hAnsi="Bookman Old Style" w:cs="Arial"/>
                <w:bCs/>
              </w:rPr>
              <w:t xml:space="preserve">según </w:t>
            </w:r>
            <w:r w:rsidR="007D7F60" w:rsidRPr="000A621B">
              <w:rPr>
                <w:rFonts w:ascii="Bookman Old Style" w:eastAsia="MS Mincho" w:hAnsi="Bookman Old Style" w:cs="Arial"/>
                <w:lang w:val="es-ES_tradnl" w:eastAsia="en-US"/>
              </w:rPr>
              <w:t>la antigüedad en la prestación del servicio y a la metodología tarifaria con la cual se le estableció el cargo de distribución vigente</w:t>
            </w:r>
            <w:r w:rsidRPr="00AC7842">
              <w:rPr>
                <w:rFonts w:ascii="Bookman Old Style" w:hAnsi="Bookman Old Style" w:cs="Arial"/>
                <w:bCs/>
              </w:rPr>
              <w:t>.</w:t>
            </w:r>
          </w:p>
          <w:p w14:paraId="1185F648"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6AD5FBA" w14:textId="77777777" w:rsidTr="00FD4ECB">
        <w:trPr>
          <w:trHeight w:val="2245"/>
        </w:trPr>
        <w:tc>
          <w:tcPr>
            <w:tcW w:w="2249" w:type="dxa"/>
          </w:tcPr>
          <w:p w14:paraId="233B39B0" w14:textId="3A5142C2" w:rsidR="00526A24" w:rsidRPr="00526A24" w:rsidRDefault="00A93098"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oMath>
            </m:oMathPara>
          </w:p>
        </w:tc>
        <w:tc>
          <w:tcPr>
            <w:tcW w:w="6828" w:type="dxa"/>
          </w:tcPr>
          <w:p w14:paraId="3220DB5F" w14:textId="3F2F6F93"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de años que se dan al municipio </w:t>
            </w:r>
            <w:r w:rsidRPr="00AC7842">
              <w:rPr>
                <w:rFonts w:ascii="Bookman Old Style" w:hAnsi="Bookman Old Style"/>
                <w:i/>
                <w:lang w:val="es-MX"/>
              </w:rPr>
              <w:t>p</w:t>
            </w:r>
            <w:r w:rsidRPr="00AC7842">
              <w:rPr>
                <w:rFonts w:ascii="Bookman Old Style" w:hAnsi="Bookman Old Style"/>
                <w:lang w:val="es-MX"/>
              </w:rPr>
              <w:t xml:space="preserve">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w:rPr>
                  <w:rFonts w:ascii="Cambria Math" w:eastAsia="+mn-ea" w:hAnsi="Cambria Math" w:cs="+mn-cs"/>
                  <w:color w:val="000000"/>
                  <w:kern w:val="24"/>
                </w:rPr>
                <m:t xml:space="preserve"> </m:t>
              </m:r>
            </m:oMath>
            <w:r w:rsidRPr="00AC7842">
              <w:rPr>
                <w:rFonts w:ascii="Bookman Old Style" w:hAnsi="Bookman Old Style"/>
                <w:lang w:val="es-MX"/>
              </w:rPr>
              <w:t xml:space="preserve"> según el grupo de metodología tarifaria al cual pertenece. </w:t>
            </w:r>
          </w:p>
          <w:p w14:paraId="318C9B76" w14:textId="77777777"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14:paraId="08025657" w14:textId="77777777" w:rsidTr="004B2639">
              <w:tc>
                <w:tcPr>
                  <w:tcW w:w="2977" w:type="dxa"/>
                  <w:shd w:val="clear" w:color="auto" w:fill="D9D9D9" w:themeFill="background1" w:themeFillShade="D9"/>
                  <w:vAlign w:val="center"/>
                </w:tcPr>
                <w:p w14:paraId="7A34D06F" w14:textId="1916B5BA" w:rsidR="00526A24" w:rsidRPr="00AC7842" w:rsidRDefault="00526A24" w:rsidP="004B2639">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14:paraId="572D38F8" w14:textId="77777777" w:rsidR="00526A24" w:rsidRPr="00AC7842" w:rsidRDefault="00526A24" w:rsidP="004B2639">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14:paraId="7CEF6BAA" w14:textId="6847E8B5" w:rsidR="00526A24" w:rsidRPr="00526A24" w:rsidRDefault="00A93098" w:rsidP="004B2639">
                  <w:pPr>
                    <w:widowControl w:val="0"/>
                    <w:adjustRightInd w:val="0"/>
                    <w:ind w:left="0" w:right="20"/>
                    <w:jc w:val="center"/>
                    <w:rPr>
                      <w:rFonts w:ascii="Bookman Old Style" w:hAnsi="Bookman Old Style"/>
                      <w:b/>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A</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14:paraId="3B0C314F" w14:textId="77777777" w:rsidTr="002A3E31">
              <w:trPr>
                <w:trHeight w:val="284"/>
              </w:trPr>
              <w:tc>
                <w:tcPr>
                  <w:tcW w:w="2977" w:type="dxa"/>
                </w:tcPr>
                <w:p w14:paraId="5CB70B90"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14:paraId="754389D9"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14:paraId="3693BCC1" w14:textId="77777777" w:rsidTr="002A3E31">
              <w:trPr>
                <w:trHeight w:val="284"/>
              </w:trPr>
              <w:tc>
                <w:tcPr>
                  <w:tcW w:w="2977" w:type="dxa"/>
                </w:tcPr>
                <w:p w14:paraId="5DCC77B1"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14:paraId="0818B2E5"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r w:rsidR="00526A24" w:rsidRPr="00AC7842" w14:paraId="2E812310" w14:textId="77777777" w:rsidTr="002A3E31">
              <w:trPr>
                <w:trHeight w:val="284"/>
              </w:trPr>
              <w:tc>
                <w:tcPr>
                  <w:tcW w:w="2977" w:type="dxa"/>
                </w:tcPr>
                <w:p w14:paraId="5CBD0F7A"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14:paraId="5C07B394"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5</w:t>
                  </w:r>
                </w:p>
              </w:tc>
            </w:tr>
          </w:tbl>
          <w:p w14:paraId="2B2ADEAD"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2EF7A7F6" w14:textId="77777777" w:rsidTr="00FD4ECB">
        <w:tc>
          <w:tcPr>
            <w:tcW w:w="2249" w:type="dxa"/>
          </w:tcPr>
          <w:p w14:paraId="643E23FB" w14:textId="77777777" w:rsidR="00526A24" w:rsidRPr="00AC7842" w:rsidRDefault="00526A24" w:rsidP="00FD4ECB">
            <w:pPr>
              <w:widowControl w:val="0"/>
              <w:adjustRightInd w:val="0"/>
              <w:ind w:left="0" w:right="20"/>
              <w:jc w:val="center"/>
              <w:rPr>
                <w:lang w:val="es-MX"/>
              </w:rPr>
            </w:pPr>
          </w:p>
        </w:tc>
        <w:tc>
          <w:tcPr>
            <w:tcW w:w="6828" w:type="dxa"/>
          </w:tcPr>
          <w:p w14:paraId="3EF743F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91F6C04" w14:textId="77777777" w:rsidTr="00FD4ECB">
        <w:tc>
          <w:tcPr>
            <w:tcW w:w="2249" w:type="dxa"/>
          </w:tcPr>
          <w:p w14:paraId="6DF34F8C" w14:textId="1366208E" w:rsidR="00526A24" w:rsidRPr="00526A24" w:rsidRDefault="00A93098" w:rsidP="00FD4ECB">
            <w:pPr>
              <w:widowControl w:val="0"/>
              <w:adjustRightInd w:val="0"/>
              <w:ind w:left="0" w:right="20"/>
              <w:jc w:val="center"/>
              <w:rPr>
                <w:rFonts w:ascii="Bookman Old Style" w:hAnsi="Bookman Old Style"/>
                <w:lang w:val="es-MX"/>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oMath>
            </m:oMathPara>
          </w:p>
        </w:tc>
        <w:tc>
          <w:tcPr>
            <w:tcW w:w="6828" w:type="dxa"/>
          </w:tcPr>
          <w:p w14:paraId="2A3F9D21" w14:textId="095EF609"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Demanda ajustada del municipio por </w:t>
            </w:r>
            <w:r w:rsidRPr="00CE7208">
              <w:rPr>
                <w:rFonts w:ascii="Cambria Math" w:eastAsia="+mn-ea" w:hAnsi="Cambria Math" w:cs="+mn-cs"/>
                <w:color w:val="000000"/>
                <w:kern w:val="24"/>
              </w:rPr>
              <w:br/>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w:r w:rsidRPr="00AC7842">
              <w:rPr>
                <w:rFonts w:ascii="Bookman Old Style" w:hAnsi="Bookman Old Style"/>
                <w:lang w:val="es-MX"/>
              </w:rPr>
              <w:t xml:space="preserve"> y con la transición de años para llegar a él.</w:t>
            </w:r>
          </w:p>
          <w:p w14:paraId="657BCAC9"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349698BF" w14:textId="77777777" w:rsidTr="00FD4ECB">
        <w:tc>
          <w:tcPr>
            <w:tcW w:w="2249" w:type="dxa"/>
          </w:tcPr>
          <w:p w14:paraId="257FBDFB" w14:textId="4A51EC23" w:rsidR="00526A24" w:rsidRPr="00526A24" w:rsidRDefault="00A93098" w:rsidP="00FD4ECB">
            <w:pPr>
              <w:widowControl w:val="0"/>
              <w:adjustRightInd w:val="0"/>
              <w:ind w:left="0" w:right="20"/>
              <w:jc w:val="center"/>
              <w:rPr>
                <w:rFonts w:ascii="Bookman Old Style" w:hAnsi="Bookman Old Style"/>
                <w:lang w:val="es-MX"/>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oMath>
            </m:oMathPara>
          </w:p>
        </w:tc>
        <w:tc>
          <w:tcPr>
            <w:tcW w:w="6828" w:type="dxa"/>
          </w:tcPr>
          <w:p w14:paraId="30A80892" w14:textId="689CC481"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por el cual se debe multiplicar el  </w:t>
            </w: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w:r w:rsidRPr="00AC7842">
              <w:rPr>
                <w:rFonts w:ascii="Bookman Old Style" w:hAnsi="Bookman Old Style"/>
                <w:lang w:val="es-MX"/>
              </w:rPr>
              <w:t xml:space="preserve"> para obtener el promedio de la demanda de los años de transición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r>
                    <m:rPr>
                      <m:sty m:val="p"/>
                    </m:rPr>
                    <w:rPr>
                      <w:rFonts w:ascii="Cambria Math" w:eastAsia="+mn-ea" w:hAnsi="Cambria Math" w:cs="+mn-cs"/>
                      <w:color w:val="000000"/>
                      <w:kern w:val="24"/>
                    </w:rPr>
                    <m:t>,G</m:t>
                  </m:r>
                </m:sub>
              </m:sSub>
            </m:oMath>
            <w:r w:rsidRPr="00AC7842">
              <w:rPr>
                <w:rFonts w:ascii="Bookman Old Style" w:hAnsi="Bookman Old Style"/>
                <w:lang w:val="es-MX"/>
              </w:rPr>
              <w:t>.</w:t>
            </w:r>
          </w:p>
          <w:p w14:paraId="395DA055" w14:textId="77777777"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14:paraId="259234D8" w14:textId="77777777" w:rsidTr="002A3E31">
              <w:trPr>
                <w:tblHeader/>
              </w:trPr>
              <w:tc>
                <w:tcPr>
                  <w:tcW w:w="2977" w:type="dxa"/>
                  <w:shd w:val="clear" w:color="auto" w:fill="D9D9D9" w:themeFill="background1" w:themeFillShade="D9"/>
                  <w:vAlign w:val="center"/>
                </w:tcPr>
                <w:p w14:paraId="57DCA7CE" w14:textId="219B7314" w:rsidR="00526A24" w:rsidRPr="00AC7842" w:rsidRDefault="00526A24" w:rsidP="004B2639">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14:paraId="471E7C40" w14:textId="77777777" w:rsidR="00526A24" w:rsidRPr="00AC7842" w:rsidRDefault="00526A24" w:rsidP="004B2639">
                  <w:pPr>
                    <w:widowControl w:val="0"/>
                    <w:adjustRightInd w:val="0"/>
                    <w:ind w:left="0" w:right="20"/>
                    <w:jc w:val="center"/>
                    <w:rPr>
                      <w:rFonts w:ascii="Bookman Old Style" w:hAnsi="Bookman Old Style"/>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14:paraId="77918B19" w14:textId="3B1A146A" w:rsidR="00526A24" w:rsidRPr="00526A24" w:rsidRDefault="00A93098" w:rsidP="004B2639">
                  <w:pPr>
                    <w:widowControl w:val="0"/>
                    <w:adjustRightInd w:val="0"/>
                    <w:ind w:left="0" w:right="20"/>
                    <w:jc w:val="center"/>
                    <w:rPr>
                      <w:rFonts w:ascii="Bookman Old Style" w:hAnsi="Bookman Old Style"/>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L</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14:paraId="63936B5E" w14:textId="77777777" w:rsidTr="002A3E31">
              <w:trPr>
                <w:trHeight w:val="284"/>
              </w:trPr>
              <w:tc>
                <w:tcPr>
                  <w:tcW w:w="2977" w:type="dxa"/>
                </w:tcPr>
                <w:p w14:paraId="7502188F"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14:paraId="6C751AD6"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14:paraId="541986B6" w14:textId="77777777" w:rsidTr="002A3E31">
              <w:trPr>
                <w:trHeight w:val="284"/>
              </w:trPr>
              <w:tc>
                <w:tcPr>
                  <w:tcW w:w="2977" w:type="dxa"/>
                </w:tcPr>
                <w:p w14:paraId="298AD715"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14:paraId="4E6A039D"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r>
            <w:tr w:rsidR="00526A24" w:rsidRPr="00AC7842" w14:paraId="3AF99B33" w14:textId="77777777" w:rsidTr="002A3E31">
              <w:trPr>
                <w:trHeight w:val="284"/>
              </w:trPr>
              <w:tc>
                <w:tcPr>
                  <w:tcW w:w="2977" w:type="dxa"/>
                </w:tcPr>
                <w:p w14:paraId="7251C470"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14:paraId="45E9F21A"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bl>
          <w:p w14:paraId="14C3BF82" w14:textId="77777777" w:rsidR="00526A24" w:rsidRPr="00AC7842" w:rsidRDefault="00526A24" w:rsidP="00FD4ECB">
            <w:pPr>
              <w:widowControl w:val="0"/>
              <w:adjustRightInd w:val="0"/>
              <w:ind w:left="0" w:right="20"/>
              <w:rPr>
                <w:rFonts w:ascii="Bookman Old Style" w:hAnsi="Bookman Old Style"/>
                <w:lang w:val="es-MX"/>
              </w:rPr>
            </w:pPr>
          </w:p>
        </w:tc>
      </w:tr>
    </w:tbl>
    <w:p w14:paraId="106EABE9" w14:textId="58F4DF5F"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lastRenderedPageBreak/>
        <w:t xml:space="preserve">La demanda total reportada para cada municipio en la solicitud tarifaria, </w:t>
      </w:r>
      <w:r w:rsidRPr="00AC7842">
        <w:rPr>
          <w:rFonts w:ascii="Bookman Old Style" w:hAnsi="Bookman Old Style"/>
          <w:lang w:eastAsia="es-CO"/>
        </w:rPr>
        <w:t xml:space="preserve">archivada conforme lo dispuesto en el artículo 11 de la resolución CREG 093 de 2016, </w:t>
      </w:r>
      <w:r w:rsidR="00A759CA">
        <w:rPr>
          <w:rFonts w:ascii="Bookman Old Style" w:hAnsi="Bookman Old Style" w:cs="Arial"/>
          <w:bCs/>
        </w:rPr>
        <w:t>se incrementa</w:t>
      </w:r>
      <w:r w:rsidRPr="00AC7842">
        <w:rPr>
          <w:rFonts w:ascii="Bookman Old Style" w:hAnsi="Bookman Old Style" w:cs="Arial"/>
          <w:bCs/>
        </w:rPr>
        <w:t xml:space="preserve"> con el delta de demanda que resulte de la diferencia de la demanda residencial ajustada por efecto del factor de ajuste del FUE y la demanda residencial presentada en la solicitud tarifaria para el mercado relevante de distribución para el siguiente periodo tarifario solicitado.</w:t>
      </w:r>
    </w:p>
    <w:p w14:paraId="00C5B8EE" w14:textId="7C9C9209"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Por lo tanto, el delta total de la demanda de la solicitud tarifaria corresponde a:</w:t>
      </w:r>
    </w:p>
    <w:p w14:paraId="3C54272D" w14:textId="65F64AAB" w:rsidR="00526A24" w:rsidRPr="00526A24" w:rsidRDefault="00A93098" w:rsidP="00526A24">
      <w:pPr>
        <w:spacing w:before="240" w:after="240"/>
        <w:ind w:left="0" w:right="-93"/>
        <w:jc w:val="center"/>
        <w:rPr>
          <w:rFonts w:ascii="Bookman Old Style" w:hAnsi="Bookman Old Style" w:cs="Arial"/>
          <w:bCs/>
        </w:rPr>
      </w:pPr>
      <m:oMathPara>
        <m:oMath>
          <m:sSub>
            <m:sSubPr>
              <m:ctrlPr>
                <w:rPr>
                  <w:rFonts w:ascii="Cambria Math" w:hAnsi="Cambria Math" w:cs="Arial"/>
                  <w:i/>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∆Demanda</m:t>
                  </m:r>
                </m:e>
                <m:sub>
                  <m:r>
                    <m:rPr>
                      <m:sty m:val="p"/>
                    </m:rPr>
                    <w:rPr>
                      <w:rFonts w:ascii="Cambria Math" w:hAnsi="Cambria Math" w:cs="Arial"/>
                      <w:lang w:val="es-ES_tradnl"/>
                    </w:rPr>
                    <m:t>FUE</m:t>
                  </m:r>
                </m:sub>
              </m:sSub>
            </m:e>
            <m:sub>
              <m:r>
                <w:rPr>
                  <w:rFonts w:ascii="Cambria Math" w:hAnsi="Cambria Math" w:cs="Arial"/>
                  <w:lang w:val="es-ES_tradnl"/>
                </w:rPr>
                <m:t>solicitud</m:t>
              </m:r>
            </m:sub>
          </m:sSub>
          <m: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e>
              </m:nary>
            </m:e>
          </m:d>
          <m:r>
            <m:rPr>
              <m:sty m:val="p"/>
            </m:rP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e>
              </m:nary>
            </m:e>
          </m:d>
        </m:oMath>
      </m:oMathPara>
    </w:p>
    <w:p w14:paraId="036FC357" w14:textId="77777777"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 n es el número total de municipios, con prestación de servicio de gas combustible por redes de tubería, que conforman el mercado relevante de distribución para el siguiente periodo tarifario.</w:t>
      </w:r>
    </w:p>
    <w:p w14:paraId="71A5A550" w14:textId="480FCDA9"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lang w:eastAsia="es-CO"/>
        </w:rPr>
      </w:pPr>
      <w:r w:rsidRPr="00006560">
        <w:rPr>
          <w:rFonts w:ascii="Bookman Old Style" w:hAnsi="Bookman Old Style"/>
          <w:b/>
          <w:sz w:val="24"/>
          <w:szCs w:val="24"/>
          <w:lang w:eastAsia="es-CO"/>
        </w:rPr>
        <w:t xml:space="preserve">Determinación de los porcentajes de </w:t>
      </w:r>
      <m:oMath>
        <m:sSub>
          <m:sSubPr>
            <m:ctrlPr>
              <w:rPr>
                <w:rFonts w:ascii="Cambria Math" w:hAnsi="Cambria Math"/>
                <w:b/>
                <w:sz w:val="24"/>
                <w:szCs w:val="24"/>
                <w:lang w:eastAsia="es-CO"/>
              </w:rPr>
            </m:ctrlPr>
          </m:sSubPr>
          <m:e>
            <m:r>
              <m:rPr>
                <m:sty m:val="b"/>
              </m:rPr>
              <w:rPr>
                <w:rFonts w:ascii="Cambria Math" w:hAnsi="Cambria Math"/>
                <w:sz w:val="24"/>
                <w:szCs w:val="24"/>
                <w:lang w:eastAsia="es-CO"/>
              </w:rPr>
              <m:t>FUE </m:t>
            </m:r>
          </m:e>
          <m:sub>
            <m:sSub>
              <m:sSubPr>
                <m:ctrlPr>
                  <w:rPr>
                    <w:rFonts w:ascii="Cambria Math" w:hAnsi="Cambria Math"/>
                    <w:b/>
                    <w:sz w:val="24"/>
                    <w:szCs w:val="24"/>
                    <w:lang w:eastAsia="es-CO"/>
                  </w:rPr>
                </m:ctrlPr>
              </m:sSubPr>
              <m:e>
                <m:r>
                  <m:rPr>
                    <m:sty m:val="b"/>
                  </m:rPr>
                  <w:rPr>
                    <w:rFonts w:ascii="Cambria Math" w:hAnsi="Cambria Math"/>
                    <w:sz w:val="24"/>
                    <w:szCs w:val="24"/>
                    <w:lang w:eastAsia="es-CO"/>
                  </w:rPr>
                  <m:t>municipio</m:t>
                </m:r>
              </m:e>
              <m:sub>
                <m:r>
                  <m:rPr>
                    <m:sty m:val="bi"/>
                  </m:rPr>
                  <w:rPr>
                    <w:rFonts w:ascii="Cambria Math" w:hAnsi="Cambria Math"/>
                    <w:sz w:val="24"/>
                    <w:szCs w:val="24"/>
                    <w:lang w:eastAsia="es-CO"/>
                  </w:rPr>
                  <m:t>G</m:t>
                </m:r>
              </m:sub>
            </m:sSub>
          </m:sub>
        </m:sSub>
      </m:oMath>
      <w:r w:rsidRPr="00006560">
        <w:rPr>
          <w:rFonts w:ascii="Bookman Old Style" w:hAnsi="Bookman Old Style"/>
          <w:b/>
          <w:sz w:val="24"/>
          <w:szCs w:val="24"/>
          <w:lang w:eastAsia="es-CO"/>
        </w:rPr>
        <w:t xml:space="preserve"> para cada uno de los grupos </w:t>
      </w:r>
      <w:r w:rsidR="00A759CA">
        <w:rPr>
          <w:rFonts w:ascii="Bookman Old Style" w:hAnsi="Bookman Old Style"/>
          <w:b/>
          <w:sz w:val="24"/>
          <w:szCs w:val="24"/>
          <w:lang w:eastAsia="es-CO"/>
        </w:rPr>
        <w:t>G</w:t>
      </w:r>
    </w:p>
    <w:p w14:paraId="7AC3DD8D" w14:textId="34FE550C"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G</m:t>
                </m:r>
              </m:sub>
            </m:sSub>
          </m:sub>
        </m:sSub>
      </m:oMath>
      <w:r w:rsidR="00D910FC">
        <w:rPr>
          <w:rFonts w:ascii="Bookman Old Style" w:eastAsia="MS Mincho" w:hAnsi="Bookman Old Style" w:cs="Arial"/>
          <w:color w:val="000000"/>
          <w:kern w:val="24"/>
        </w:rPr>
        <w:t xml:space="preserve"> </w:t>
      </w:r>
      <w:r w:rsidRPr="00AC7842">
        <w:rPr>
          <w:rFonts w:ascii="Bookman Old Style" w:eastAsia="MS Mincho" w:hAnsi="Bookman Old Style" w:cs="Arial"/>
          <w:lang w:val="es-ES_tradnl" w:eastAsia="en-US"/>
        </w:rPr>
        <w:t xml:space="preserve">que se define para cada uno de los grupos  </w:t>
      </w:r>
      <w:r>
        <w:rPr>
          <w:rFonts w:ascii="Bookman Old Style" w:eastAsia="MS Mincho" w:hAnsi="Bookman Old Style" w:cs="Arial"/>
          <w:lang w:val="es-ES_tradnl" w:eastAsia="en-US"/>
        </w:rPr>
        <w:t>que se utilizan para determinar</w:t>
      </w:r>
      <w:r w:rsidRPr="00AC7842">
        <w:rPr>
          <w:rFonts w:ascii="Bookman Old Style" w:eastAsia="MS Mincho" w:hAnsi="Bookman Old Style" w:cs="Arial"/>
          <w:lang w:val="es-ES_tradnl" w:eastAsia="en-US"/>
        </w:rPr>
        <w:t xml:space="preserve"> el FUE</w:t>
      </w:r>
      <w:r w:rsidRPr="00AC7842">
        <w:rPr>
          <w:rFonts w:ascii="Bookman Old Style" w:eastAsia="MS Mincho" w:hAnsi="Bookman Old Style" w:cs="Arial"/>
          <w:sz w:val="18"/>
          <w:lang w:val="es-ES_tradnl" w:eastAsia="en-US"/>
        </w:rPr>
        <w:t xml:space="preserve">municipio </w:t>
      </w:r>
      <w:r w:rsidRPr="005D1166">
        <w:rPr>
          <w:rFonts w:ascii="Bookman Old Style" w:eastAsia="MS Mincho" w:hAnsi="Bookman Old Style" w:cs="Arial"/>
          <w:i/>
          <w:sz w:val="18"/>
          <w:lang w:val="es-ES_tradnl" w:eastAsia="en-US"/>
        </w:rPr>
        <w:t>p</w:t>
      </w:r>
      <w:r w:rsidRPr="00AC7842">
        <w:rPr>
          <w:rFonts w:ascii="Bookman Old Style" w:eastAsia="MS Mincho" w:hAnsi="Bookman Old Style" w:cs="Arial"/>
          <w:lang w:val="es-ES_tradnl" w:eastAsia="en-US"/>
        </w:rPr>
        <w:t xml:space="preserve">, se  determina a partir de un promedio simple del porcentaje obtenido de la relación </w:t>
      </w:r>
      <m:oMath>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de </w:t>
      </w:r>
      <w:r w:rsidR="00107B61" w:rsidRPr="000024C0">
        <w:rPr>
          <w:rFonts w:ascii="Bookman Old Style" w:eastAsia="MS Mincho" w:hAnsi="Bookman Old Style" w:cs="Arial"/>
          <w:lang w:val="es-ES_tradnl" w:eastAsia="en-US"/>
        </w:rPr>
        <w:t>567 municipios que conforman mercados existentes de distribución</w:t>
      </w:r>
      <w:r w:rsidR="00107B61">
        <w:rPr>
          <w:rFonts w:ascii="Bookman Old Style" w:eastAsia="MS Mincho" w:hAnsi="Bookman Old Style" w:cs="Arial"/>
          <w:lang w:val="es-ES_tradnl" w:eastAsia="en-US"/>
        </w:rPr>
        <w:t xml:space="preserve"> y</w:t>
      </w:r>
      <w:r w:rsidRPr="00AC7842">
        <w:rPr>
          <w:rFonts w:ascii="Bookman Old Style" w:eastAsia="MS Mincho" w:hAnsi="Bookman Old Style" w:cs="Arial"/>
          <w:lang w:val="es-ES_tradnl" w:eastAsia="en-US"/>
        </w:rPr>
        <w:t xml:space="preserve"> que pertenecen a cada grupo, excluyendo los porcentajes correspondientes a los municipios que conformaban Áreas de Servicio Exclusivo y los que cuentan con aportes de recursos públicos. </w:t>
      </w:r>
    </w:p>
    <w:p w14:paraId="47177537" w14:textId="540CB717" w:rsidR="00526A24"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valor del porcentaje de FUE resultante del promedio simple de los municip</w:t>
      </w:r>
      <w:r w:rsidR="00107B61">
        <w:rPr>
          <w:rFonts w:ascii="Bookman Old Style" w:eastAsia="MS Mincho" w:hAnsi="Bookman Old Style" w:cs="Arial"/>
          <w:lang w:val="es-ES_tradnl" w:eastAsia="en-US"/>
        </w:rPr>
        <w:t>ios que conforman el grupo, es el que se le asigna</w:t>
      </w:r>
      <w:r w:rsidRPr="00AC7842">
        <w:rPr>
          <w:rFonts w:ascii="Bookman Old Style" w:eastAsia="MS Mincho" w:hAnsi="Bookman Old Style" w:cs="Arial"/>
          <w:lang w:val="es-ES_tradnl" w:eastAsia="en-US"/>
        </w:rPr>
        <w:t xml:space="preserve"> al grupo respectivo y el que s</w:t>
      </w:r>
      <w:r w:rsidR="001A5572">
        <w:rPr>
          <w:rFonts w:ascii="Bookman Old Style" w:eastAsia="MS Mincho" w:hAnsi="Bookman Old Style" w:cs="Arial"/>
          <w:lang w:val="es-ES_tradnl" w:eastAsia="en-US"/>
        </w:rPr>
        <w:t xml:space="preserve">e le aplique a cada uno de los </w:t>
      </w:r>
      <w:r w:rsidRPr="00AC7842">
        <w:rPr>
          <w:rFonts w:ascii="Bookman Old Style" w:eastAsia="MS Mincho" w:hAnsi="Bookman Old Style" w:cs="Arial"/>
          <w:lang w:val="es-ES_tradnl" w:eastAsia="en-US"/>
        </w:rPr>
        <w:t>municipios que pertenezcan a él, incluyendo los que formaban parte de las Áreas de Servicio Exclusivo y que tienen aportes de recursos públicos.</w:t>
      </w:r>
    </w:p>
    <w:p w14:paraId="7BD770F3" w14:textId="77777777" w:rsidR="00526A24" w:rsidRPr="009E02B2" w:rsidRDefault="00526A24" w:rsidP="00526A24">
      <w:pPr>
        <w:pStyle w:val="Prrafodelista"/>
        <w:keepNext/>
        <w:numPr>
          <w:ilvl w:val="1"/>
          <w:numId w:val="35"/>
        </w:numPr>
        <w:spacing w:before="240" w:after="240"/>
        <w:ind w:left="709" w:right="-91" w:hanging="709"/>
        <w:jc w:val="both"/>
        <w:rPr>
          <w:rFonts w:ascii="Bookman Old Style" w:eastAsia="Calibri" w:hAnsi="Bookman Old Style" w:cs="Arial"/>
          <w:b/>
          <w:sz w:val="24"/>
          <w:szCs w:val="24"/>
          <w:lang w:eastAsia="en-US"/>
        </w:rPr>
      </w:pPr>
      <w:r w:rsidRPr="009E02B2">
        <w:rPr>
          <w:rFonts w:ascii="Bookman Old Style" w:eastAsia="Calibri" w:hAnsi="Bookman Old Style" w:cs="Arial"/>
          <w:b/>
          <w:sz w:val="24"/>
          <w:szCs w:val="24"/>
          <w:lang w:eastAsia="en-US"/>
        </w:rPr>
        <w:t>Inversión de Recursos Públicos</w:t>
      </w:r>
    </w:p>
    <w:p w14:paraId="1315159D" w14:textId="12F9F545" w:rsidR="00526A24" w:rsidRPr="001954E9" w:rsidRDefault="00526A24" w:rsidP="00526A24">
      <w:pPr>
        <w:spacing w:before="240" w:after="240"/>
        <w:ind w:left="0" w:right="-93"/>
        <w:jc w:val="both"/>
        <w:rPr>
          <w:rFonts w:ascii="Bookman Old Style" w:hAnsi="Bookman Old Style" w:cs="Arial"/>
          <w:lang w:val="es-CO" w:eastAsia="es-CO"/>
        </w:rPr>
      </w:pPr>
      <w:r w:rsidRPr="001954E9">
        <w:rPr>
          <w:rFonts w:ascii="Bookman Old Style" w:hAnsi="Bookman Old Style" w:cs="Arial"/>
          <w:bCs/>
        </w:rPr>
        <w:t>Los recursos públicos permiten viabilizar y/o incentivar la construcción de infraestructura para el uso del gas combustible por redes de tubería en las poblaciones que no son atractivas para que las empresas privadas lleven el servicio, por condiciones tales como localización, tamaño y demanda del servicio. Estos aportes se hacen con fundamento en el</w:t>
      </w:r>
      <w:r w:rsidRPr="001954E9">
        <w:rPr>
          <w:rFonts w:ascii="Bookman Old Style" w:hAnsi="Bookman Old Style" w:cs="Arial"/>
          <w:lang w:val="es-CO" w:eastAsia="es-CO"/>
        </w:rPr>
        <w:t xml:space="preserve"> artículo 87.9 de la Ley 142 de 1994, modificado por el artículo 99 de la Ley 1450 de 2011, el cual establece que: </w:t>
      </w:r>
    </w:p>
    <w:p w14:paraId="2AEADAEA" w14:textId="3442902E" w:rsidR="00526A24" w:rsidRPr="001954E9" w:rsidRDefault="00526A24" w:rsidP="00526A24">
      <w:pPr>
        <w:spacing w:before="240" w:after="240"/>
        <w:ind w:left="284" w:right="284"/>
        <w:jc w:val="both"/>
        <w:rPr>
          <w:rFonts w:ascii="Arial" w:hAnsi="Arial" w:cs="Arial"/>
          <w:i/>
          <w:sz w:val="22"/>
          <w:szCs w:val="22"/>
          <w:lang w:val="es-CO" w:eastAsia="es-CO"/>
        </w:rPr>
      </w:pPr>
      <w:r w:rsidRPr="001954E9">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1954E9">
        <w:rPr>
          <w:rFonts w:ascii="Bookman Old Style" w:hAnsi="Bookman Old Style" w:cs="Arial"/>
          <w:bCs/>
          <w:i/>
          <w:sz w:val="22"/>
          <w:szCs w:val="22"/>
          <w:lang w:val="es-CO" w:eastAsia="es-CO"/>
        </w:rPr>
        <w:t>siempre y cuando su valor no se incluya en el cálculo de las tarifas que hayan de cobrarse a los usuarios</w:t>
      </w:r>
      <w:r w:rsidRPr="001954E9">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1954E9">
        <w:rPr>
          <w:rFonts w:ascii="Bookman Old Style" w:hAnsi="Bookman Old Style" w:cs="Arial"/>
          <w:bCs/>
          <w:i/>
          <w:sz w:val="22"/>
          <w:szCs w:val="22"/>
          <w:lang w:val="es-CO" w:eastAsia="es-CO"/>
        </w:rPr>
        <w:t>Lo dispuesto en el presente artículo no es aplicable cuando se realice enajenación o capitalización de dichos bienes o derechos</w:t>
      </w:r>
      <w:r w:rsidR="00DD2701">
        <w:rPr>
          <w:rFonts w:ascii="Bookman Old Style" w:hAnsi="Bookman Old Style" w:cs="Arial"/>
          <w:i/>
          <w:sz w:val="22"/>
          <w:szCs w:val="22"/>
          <w:lang w:val="es-CO" w:eastAsia="es-CO"/>
        </w:rPr>
        <w:t>”.</w:t>
      </w:r>
    </w:p>
    <w:p w14:paraId="0DF4AE9E" w14:textId="320CE82F" w:rsidR="00291652" w:rsidRPr="009875DC" w:rsidRDefault="00291652">
      <w:pPr>
        <w:spacing w:before="240" w:after="240"/>
        <w:ind w:left="0" w:right="-91"/>
        <w:jc w:val="both"/>
        <w:rPr>
          <w:rFonts w:ascii="Bookman Old Style" w:hAnsi="Bookman Old Style" w:cs="Arial"/>
          <w:bCs/>
          <w:lang w:val="es-ES_tradnl"/>
        </w:rPr>
      </w:pPr>
      <w:r>
        <w:rPr>
          <w:rFonts w:ascii="Bookman Old Style" w:hAnsi="Bookman Old Style" w:cs="Arial"/>
          <w:bCs/>
          <w:lang w:val="es-ES_tradnl"/>
        </w:rPr>
        <w:lastRenderedPageBreak/>
        <w:t>P</w:t>
      </w:r>
      <w:r w:rsidRPr="009875DC">
        <w:rPr>
          <w:rFonts w:ascii="Bookman Old Style" w:hAnsi="Bookman Old Style" w:cs="Arial"/>
          <w:bCs/>
          <w:lang w:val="es-ES_tradnl"/>
        </w:rPr>
        <w:t xml:space="preserve">ara efectos de llevar a cabo la aprobación de los cargos de distribución, como parte de los criterios que orientan el régimen tarifario, específicamente lo previsto en el artículo 87.9 de la Ley 142 de 1994, así como de acuerdo con las finalidades de las políticas del Gobierno Nacional y/o Territoriales en materia de los recursos públicos que permitan a los usuarios obtener una tarifa final con un menor impacto a nivel de precios sin perjuicio de hacerla competitiva frente a otros energéticos; </w:t>
      </w:r>
      <w:r>
        <w:rPr>
          <w:rFonts w:ascii="Bookman Old Style" w:hAnsi="Bookman Old Style" w:cs="Arial"/>
          <w:bCs/>
          <w:lang w:val="es-ES_tradnl"/>
        </w:rPr>
        <w:t>se mantiene</w:t>
      </w:r>
      <w:r w:rsidRPr="009875DC">
        <w:rPr>
          <w:rFonts w:ascii="Bookman Old Style" w:hAnsi="Bookman Old Style" w:cs="Arial"/>
          <w:bCs/>
          <w:lang w:val="es-ES_tradnl"/>
        </w:rPr>
        <w:t xml:space="preserve"> como máximo el costo medio aprobado </w:t>
      </w:r>
      <w:r>
        <w:rPr>
          <w:rFonts w:ascii="Bookman Old Style" w:hAnsi="Bookman Old Style" w:cs="Arial"/>
          <w:bCs/>
          <w:lang w:val="es-ES_tradnl"/>
        </w:rPr>
        <w:t xml:space="preserve">con la </w:t>
      </w:r>
      <w:r w:rsidR="008A482B">
        <w:rPr>
          <w:rFonts w:ascii="Bookman Old Style" w:hAnsi="Bookman Old Style" w:cs="Arial"/>
          <w:bCs/>
          <w:lang w:val="es-ES_tradnl"/>
        </w:rPr>
        <w:t>a</w:t>
      </w:r>
      <w:r>
        <w:rPr>
          <w:rFonts w:ascii="Bookman Old Style" w:hAnsi="Bookman Old Style" w:cs="Arial"/>
          <w:bCs/>
          <w:lang w:val="es-ES_tradnl"/>
        </w:rPr>
        <w:t xml:space="preserve">nterior metodología </w:t>
      </w:r>
      <w:r w:rsidRPr="009875DC">
        <w:rPr>
          <w:rFonts w:ascii="Bookman Old Style" w:hAnsi="Bookman Old Style" w:cs="Arial"/>
          <w:bCs/>
          <w:lang w:val="es-ES_tradnl"/>
        </w:rPr>
        <w:t>para la componente de inversión con esos recursos públicos.</w:t>
      </w:r>
    </w:p>
    <w:p w14:paraId="6751AD9E" w14:textId="300796B1" w:rsidR="00291652" w:rsidRPr="009875DC" w:rsidRDefault="00291652" w:rsidP="00291652">
      <w:pPr>
        <w:spacing w:before="240" w:after="240"/>
        <w:ind w:left="0" w:right="-91"/>
        <w:jc w:val="both"/>
        <w:rPr>
          <w:rFonts w:ascii="Bookman Old Style" w:hAnsi="Bookman Old Style" w:cs="Arial"/>
          <w:lang w:val="es-ES_tradnl"/>
        </w:rPr>
      </w:pPr>
      <w:r>
        <w:rPr>
          <w:rFonts w:ascii="Bookman Old Style" w:hAnsi="Bookman Old Style" w:cs="Arial"/>
          <w:bCs/>
          <w:lang w:val="es-ES_tradnl"/>
        </w:rPr>
        <w:t>Adicionalmente, t</w:t>
      </w:r>
      <w:r w:rsidRPr="009875DC">
        <w:rPr>
          <w:rFonts w:ascii="Bookman Old Style" w:hAnsi="Bookman Old Style" w:cs="Arial"/>
          <w:bCs/>
          <w:lang w:val="es-ES_tradnl"/>
        </w:rPr>
        <w:t>eniendo en cuenta q</w:t>
      </w:r>
      <w:r w:rsidRPr="009875DC">
        <w:rPr>
          <w:rFonts w:ascii="Bookman Old Style" w:hAnsi="Bookman Old Style" w:cs="Arial"/>
          <w:lang w:val="es-ES_tradnl"/>
        </w:rPr>
        <w:t xml:space="preserve">ue los subsidios son un mecanismo que hace parte de la política pública de Estado y que buscan: i) garantizar el acceso a los servicios públicos y ii) permitir que el usuario obtenga una tarifa final con un menor impacto a nivel de precio, se </w:t>
      </w:r>
      <w:r>
        <w:rPr>
          <w:rFonts w:ascii="Bookman Old Style" w:hAnsi="Bookman Old Style" w:cs="Arial"/>
          <w:lang w:val="es-ES_tradnl"/>
        </w:rPr>
        <w:t>permite la</w:t>
      </w:r>
      <w:r w:rsidRPr="009875DC">
        <w:rPr>
          <w:rFonts w:ascii="Bookman Old Style" w:hAnsi="Bookman Old Style" w:cs="Arial"/>
          <w:lang w:val="es-ES_tradnl"/>
        </w:rPr>
        <w:t xml:space="preserve"> agrupación de mercados que cuenten con aportes públicos con aquellos mercados que no cuentan con ellos. Sin embargo, en el marco del criterio de eficiencia y la señal de expansión eficiente prevista en la Resolución CREG 011 de </w:t>
      </w:r>
      <w:r w:rsidR="00A35B88" w:rsidRPr="009875DC">
        <w:rPr>
          <w:rFonts w:ascii="Bookman Old Style" w:hAnsi="Bookman Old Style" w:cs="Arial"/>
          <w:lang w:val="es-ES_tradnl"/>
        </w:rPr>
        <w:t>20</w:t>
      </w:r>
      <w:r w:rsidR="00A35B88">
        <w:rPr>
          <w:rFonts w:ascii="Bookman Old Style" w:hAnsi="Bookman Old Style" w:cs="Arial"/>
          <w:lang w:val="es-ES_tradnl"/>
        </w:rPr>
        <w:t>03</w:t>
      </w:r>
      <w:r w:rsidRPr="009875DC">
        <w:rPr>
          <w:rFonts w:ascii="Bookman Old Style" w:hAnsi="Bookman Old Style" w:cs="Arial"/>
          <w:lang w:val="es-ES_tradnl"/>
        </w:rPr>
        <w:t xml:space="preserve">, sustentada en el costo medio, los cargos de distribución de </w:t>
      </w:r>
      <w:r>
        <w:rPr>
          <w:rFonts w:ascii="Bookman Old Style" w:hAnsi="Bookman Old Style" w:cs="Arial"/>
          <w:lang w:val="es-ES_tradnl"/>
        </w:rPr>
        <w:t>dichas agrupaciones se calcula</w:t>
      </w:r>
      <w:r w:rsidRPr="009875DC">
        <w:rPr>
          <w:rFonts w:ascii="Bookman Old Style" w:hAnsi="Bookman Old Style" w:cs="Arial"/>
          <w:lang w:val="es-ES_tradnl"/>
        </w:rPr>
        <w:t xml:space="preserve">n buscando mantener el beneficio de los recursos públicos única y exclusivamente en cabeza de sus destinatarios. </w:t>
      </w:r>
    </w:p>
    <w:p w14:paraId="437E652F" w14:textId="77777777" w:rsidR="00291652" w:rsidRPr="009875DC" w:rsidRDefault="00291652" w:rsidP="00291652">
      <w:pPr>
        <w:spacing w:before="240" w:after="240"/>
        <w:ind w:left="0" w:right="-91"/>
        <w:jc w:val="both"/>
        <w:rPr>
          <w:rFonts w:ascii="Bookman Old Style" w:hAnsi="Bookman Old Style" w:cs="Arial"/>
          <w:lang w:val="es-ES_tradnl"/>
        </w:rPr>
      </w:pPr>
      <w:r w:rsidRPr="009875DC">
        <w:rPr>
          <w:rFonts w:ascii="Bookman Old Style" w:hAnsi="Bookman Old Style" w:cs="Arial"/>
          <w:lang w:val="es-ES_tradnl"/>
        </w:rPr>
        <w:t xml:space="preserve">En este sentido, se busca armonizar ambos criterios y dar una aplicación conjunta de los mismos sin entrelazar los fines y objetivos que se buscan, en este caso: i) que el beneficio de los recursos públicos esté dirigido solo aquellos usuarios que hacen parte de la política del Gobierno Nacional de que sectores marginados o de menores ingresos puedan contar con la prestación del servicio público; ii) no se vea afectado el criterio de eficiencia en relación con los mercados existentes sin recursos públicos; iii) que la integración de estos mercados generen un efecto favorable en las tarifas al usuario  en el marco de la eficiencia, derivado de un incremento de las demandas en el cálculo del cargo, el cual asegure el principio de continuidad de la prestación de los servicios públicos a largo plazo, siempre que no se entremezclen los dos efectos anteriores. </w:t>
      </w:r>
    </w:p>
    <w:p w14:paraId="26DDF39E" w14:textId="70F0342B" w:rsidR="00291652" w:rsidRPr="009875DC" w:rsidRDefault="00291652" w:rsidP="00291652">
      <w:pPr>
        <w:spacing w:before="240" w:after="240"/>
        <w:ind w:left="0" w:right="-91"/>
        <w:jc w:val="both"/>
        <w:rPr>
          <w:rFonts w:ascii="Bookman Old Style" w:hAnsi="Bookman Old Style" w:cs="Arial"/>
          <w:lang w:val="es-ES_tradnl"/>
        </w:rPr>
      </w:pPr>
      <w:r>
        <w:rPr>
          <w:rFonts w:ascii="Bookman Old Style" w:hAnsi="Bookman Old Style" w:cs="Arial"/>
          <w:lang w:val="es-ES_tradnl"/>
        </w:rPr>
        <w:t>Lo anterior</w:t>
      </w:r>
      <w:r w:rsidRPr="009875DC">
        <w:rPr>
          <w:rFonts w:ascii="Bookman Old Style" w:hAnsi="Bookman Old Style" w:cs="Arial"/>
          <w:lang w:val="es-ES_tradnl"/>
        </w:rPr>
        <w:t xml:space="preserve"> se ajusta a los lineamientos dados por la jurisprudencia constitucional, la cual ha considerado </w:t>
      </w:r>
      <w:r w:rsidR="000C11B9" w:rsidRPr="009875DC">
        <w:rPr>
          <w:rFonts w:ascii="Bookman Old Style" w:hAnsi="Bookman Old Style" w:cs="Arial"/>
          <w:lang w:val="es-ES_tradnl"/>
        </w:rPr>
        <w:t>que,</w:t>
      </w:r>
      <w:r w:rsidRPr="009875DC">
        <w:rPr>
          <w:rFonts w:ascii="Bookman Old Style" w:hAnsi="Bookman Old Style" w:cs="Arial"/>
          <w:lang w:val="es-ES_tradnl"/>
        </w:rPr>
        <w:t xml:space="preserve"> dentro del ejercicio de aplicación de dichos criterios, los cuales están dirigidos a ser elementos que orientan el régimen tarifario, en este caso por parte de las comisiones de regulación, se debe llevar a cabo una aplicación armónica de los mismos en la medida que esto sea posible, toda vez que cada uno de ellos plantean el cumplimiento de fines y objetivos diferentes. </w:t>
      </w:r>
    </w:p>
    <w:p w14:paraId="68D755A7" w14:textId="77777777" w:rsidR="00291652" w:rsidRPr="009875DC" w:rsidRDefault="00291652" w:rsidP="00291652">
      <w:pPr>
        <w:spacing w:before="240" w:after="240"/>
        <w:ind w:left="0" w:right="-91"/>
        <w:jc w:val="both"/>
        <w:rPr>
          <w:rFonts w:ascii="Bookman Old Style" w:hAnsi="Bookman Old Style" w:cs="Arial"/>
          <w:lang w:val="es-ES_tradnl"/>
        </w:rPr>
      </w:pPr>
      <w:r w:rsidRPr="009875DC">
        <w:rPr>
          <w:rFonts w:ascii="Bookman Old Style" w:hAnsi="Bookman Old Style" w:cs="Arial"/>
          <w:lang w:val="es-ES_tradnl"/>
        </w:rPr>
        <w:t>El procedimiento para calcular los cargos de distribución de un mercado relevante de distribución conformado a partir de agregar mercados existentes con o sin mercados nuevos</w:t>
      </w:r>
      <w:r w:rsidRPr="009875DC">
        <w:rPr>
          <w:rFonts w:ascii="Bookman Old Style" w:hAnsi="Bookman Old Style" w:cs="Arial"/>
          <w:vertAlign w:val="superscript"/>
          <w:lang w:val="es-ES_tradnl"/>
        </w:rPr>
        <w:footnoteReference w:id="14"/>
      </w:r>
      <w:r w:rsidRPr="009875DC">
        <w:rPr>
          <w:rFonts w:ascii="Bookman Old Style" w:hAnsi="Bookman Old Style" w:cs="Arial"/>
          <w:lang w:val="es-ES_tradnl"/>
        </w:rPr>
        <w:t xml:space="preserve"> y que uno o varios la inversión se financió o financiará con recursos públicos, será el siguiente:</w:t>
      </w:r>
    </w:p>
    <w:p w14:paraId="27FDC568"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lastRenderedPageBreak/>
        <w:t>Se calculan las componentes de AOM de los cargos de distribución del mercado relevante propuesto por la empresa para los usuarios de uso residencial y los usuarios diferentes a los de uso residencial</w:t>
      </w:r>
      <w:r w:rsidRPr="009875DC">
        <w:rPr>
          <w:rFonts w:ascii="Bookman Old Style" w:hAnsi="Bookman Old Style" w:cs="Arial"/>
          <w:vertAlign w:val="superscript"/>
          <w:lang w:val="es-ES_tradnl"/>
        </w:rPr>
        <w:footnoteReference w:id="15"/>
      </w:r>
      <w:r w:rsidRPr="009875DC">
        <w:rPr>
          <w:rFonts w:ascii="Bookman Old Style" w:hAnsi="Bookman Old Style" w:cs="Arial"/>
          <w:lang w:val="es-ES_tradnl"/>
        </w:rPr>
        <w:t>.</w:t>
      </w:r>
    </w:p>
    <w:p w14:paraId="4D8AE32C"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Se calculan las componentes de inversión de los cargos de distribución del mercado relevante propuesto por la empresa para los usuarios de uso residencial y a los usuarios diferentes a los de uso residencial</w:t>
      </w:r>
      <w:r w:rsidRPr="009875DC">
        <w:rPr>
          <w:rFonts w:ascii="Bookman Old Style" w:hAnsi="Bookman Old Style" w:cs="Arial"/>
          <w:vertAlign w:val="superscript"/>
          <w:lang w:val="es-ES_tradnl"/>
        </w:rPr>
        <w:footnoteReference w:id="16"/>
      </w:r>
      <w:r w:rsidRPr="009875DC">
        <w:rPr>
          <w:rFonts w:ascii="Bookman Old Style" w:hAnsi="Bookman Old Style" w:cs="Arial"/>
          <w:lang w:val="es-ES_tradnl"/>
        </w:rPr>
        <w:t>, sin considerar la financiación con los aportes de recursos públicos en la inversión total. De igual forma, se calculan dichas componentes para cada uno de los submercados.</w:t>
      </w:r>
    </w:p>
    <w:p w14:paraId="6439F842"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Se calcula la componente de inversión del cargo promedio del mercado relevante propuesto por la empresa. Para ello, se tomarán en cuenta las componentes de inversión calculadas en el paso 2, la demanda de los usuarios de uso residencial y los usuarios diferentes a los de uso residencial y la demanda total del mercado. De igual forma, se calcula la componente de inversión del cargo promedio de cada uno de los submercados.</w:t>
      </w:r>
    </w:p>
    <w:p w14:paraId="1EF5DDAF"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Para cada submercado que cuente con financiación de inversión con recursos públicos, se identifica el cargo de inversión promedio correspondiente a recursos públicos. Para ello, se toma la relación entre el valor anual equivalente de los recursos públicos de cada submercado y la demanda total de este.</w:t>
      </w:r>
    </w:p>
    <w:p w14:paraId="59465704" w14:textId="77777777" w:rsidR="00291652"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Para cada submercado se calcula la componente de inversión de la empresa del cargo promedio, correspondiente a descontar el valor de recursos públicos (calculado en el paso 4) de la componente de inversión del cargo promedio del mercado propuesto por la empresa (calculado en el paso 3).</w:t>
      </w:r>
    </w:p>
    <w:p w14:paraId="7A85297D" w14:textId="3BAC5372"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 xml:space="preserve">La componente de inversión calculada en el numeral anterior se compara con la componente de inversión del cargo promedio de distribución aplicado en el costo unitario de prestación del servicio, que fue aprobado con la anterior metodología y con la cual se asignaron los recursos públicos y se toma el menor entre los dos. En caso de que el cargo calculado en el paso 5 sea negativo, se tomará como cero. Para aquellos mercados cuyos recursos públicos fueron otorgados con posterioridad a la aprobación del cargo de distribución con la anterior metodología, no se efectuará esta comparación. </w:t>
      </w:r>
    </w:p>
    <w:p w14:paraId="619595F9"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CO"/>
        </w:rPr>
        <w:t xml:space="preserve">En el evento en que </w:t>
      </w:r>
      <w:r w:rsidRPr="009875DC">
        <w:rPr>
          <w:rFonts w:ascii="Bookman Old Style" w:hAnsi="Bookman Old Style" w:cs="Arial"/>
          <w:lang w:val="es-ES_tradnl"/>
        </w:rPr>
        <w:t xml:space="preserve">el valor correspondiente a inversiones de algún(os) submercado(s) calculado en el numeral anterior </w:t>
      </w:r>
      <w:r w:rsidRPr="009875DC">
        <w:rPr>
          <w:rFonts w:ascii="Bookman Old Style" w:hAnsi="Bookman Old Style" w:cs="Arial"/>
          <w:lang w:val="es-CO"/>
        </w:rPr>
        <w:t xml:space="preserve">sea menor que cero, </w:t>
      </w:r>
      <w:r w:rsidRPr="009875DC">
        <w:rPr>
          <w:rFonts w:ascii="Bookman Old Style" w:hAnsi="Bookman Old Style" w:cs="Arial"/>
          <w:lang w:val="es-ES_tradnl"/>
        </w:rPr>
        <w:t xml:space="preserve">se deberá descontar, de la componente de inversión del cargo del submercado que no cuenta con recursos públicos, la sumatoria de las diferencias negativas de recursos públicos que resulten, a fin de descontar la sobreinversión que se pagaría por efecto de la integración y garantizar que los recursos públicos efectivamente se destinen a los beneficiarios finales. </w:t>
      </w:r>
    </w:p>
    <w:p w14:paraId="42A74B25" w14:textId="77777777" w:rsidR="00291652" w:rsidRPr="009875DC" w:rsidRDefault="00291652" w:rsidP="00720993">
      <w:pPr>
        <w:spacing w:before="240" w:after="240"/>
        <w:ind w:left="426" w:right="-91"/>
        <w:jc w:val="both"/>
        <w:rPr>
          <w:rFonts w:ascii="Bookman Old Style" w:hAnsi="Bookman Old Style" w:cs="Arial"/>
          <w:lang w:val="es-ES_tradnl"/>
        </w:rPr>
      </w:pPr>
      <w:r w:rsidRPr="009875DC">
        <w:rPr>
          <w:rFonts w:ascii="Bookman Old Style" w:hAnsi="Bookman Old Style" w:cs="Arial"/>
          <w:lang w:val="es-ES_tradnl"/>
        </w:rPr>
        <w:lastRenderedPageBreak/>
        <w:t>Se calcula entonces la componente de inversión de la empresa del cargo promedio del submercado que no cuenta con recursos públicos, descontando la sumatoria de las diferencias negativas de recursos públicos que resulten de la componente de inversión del cargo promedio del mercado propuesto por la empresa (calculado en el paso 3).</w:t>
      </w:r>
    </w:p>
    <w:p w14:paraId="26FAB48B"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bCs/>
          <w:lang w:val="es-ES_tradnl"/>
        </w:rPr>
      </w:pPr>
      <w:r w:rsidRPr="009875DC">
        <w:rPr>
          <w:rFonts w:ascii="Bookman Old Style" w:hAnsi="Bookman Old Style" w:cs="Arial"/>
          <w:bCs/>
          <w:lang w:val="es-ES_tradnl"/>
        </w:rPr>
        <w:t xml:space="preserve">Para cada uno de los submercados, la componente de inversión del cargo promedio de distribución que la empresa deberá aplicar </w:t>
      </w:r>
      <w:r w:rsidRPr="009875DC">
        <w:rPr>
          <w:rFonts w:ascii="Bookman Old Style" w:hAnsi="Bookman Old Style" w:cs="Arial"/>
          <w:lang w:val="es-ES_tradnl"/>
        </w:rPr>
        <w:t>al momento de calcular el costo unitario de prestación del servicio en el respectivo submercado será: i) la calculada en el paso 6 para los mercados que cuentan con recursos públicos y ii) la calculada en el paso 7 para el submercado sin recursos públicos.</w:t>
      </w:r>
    </w:p>
    <w:p w14:paraId="72BBF4A1" w14:textId="06C68BA1" w:rsidR="00291652" w:rsidRPr="00006560" w:rsidRDefault="00291652" w:rsidP="00006560">
      <w:pPr>
        <w:pStyle w:val="Prrafodelista"/>
        <w:numPr>
          <w:ilvl w:val="0"/>
          <w:numId w:val="23"/>
        </w:numPr>
        <w:spacing w:before="240" w:after="240"/>
        <w:ind w:left="426" w:hanging="426"/>
        <w:jc w:val="both"/>
        <w:rPr>
          <w:rFonts w:ascii="Bookman Old Style" w:eastAsia="Calibri" w:hAnsi="Bookman Old Style"/>
          <w:lang w:eastAsia="en-US"/>
        </w:rPr>
      </w:pPr>
      <w:r w:rsidRPr="00006560">
        <w:rPr>
          <w:rFonts w:ascii="Bookman Old Style" w:hAnsi="Bookman Old Style" w:cs="Arial"/>
          <w:sz w:val="24"/>
          <w:szCs w:val="24"/>
          <w:lang w:val="es-ES_tradnl"/>
        </w:rPr>
        <w:t>Para cada uno de los submercados, la componente de inversión de los cargos de distribución para los usuarios de uso residencial y los de uso diferente al residencial que la empresa deberá aplicar al momento de calcular el costo unitario de prestación del servicio en el respectivo submercado, será la calculada en el paso 2, afectada por la relación del cargo calculado en el paso 3 (componente de inversión del cargo promedio de cada uno de los submercados) y en el paso 6 o 7, según corresponda</w:t>
      </w:r>
      <w:r w:rsidR="00720993" w:rsidRPr="00720993">
        <w:rPr>
          <w:rFonts w:ascii="Bookman Old Style" w:hAnsi="Bookman Old Style" w:cs="Arial"/>
          <w:sz w:val="24"/>
          <w:szCs w:val="24"/>
          <w:lang w:val="es-ES_tradnl"/>
        </w:rPr>
        <w:t>.</w:t>
      </w:r>
    </w:p>
    <w:p w14:paraId="5AD5483F" w14:textId="52A15369" w:rsidR="00720993" w:rsidRPr="00006560" w:rsidRDefault="00720993" w:rsidP="00006560">
      <w:pPr>
        <w:spacing w:before="240" w:after="240"/>
        <w:ind w:left="0"/>
        <w:jc w:val="both"/>
        <w:rPr>
          <w:rFonts w:ascii="Bookman Old Style" w:eastAsia="Calibri" w:hAnsi="Bookman Old Style"/>
          <w:lang w:eastAsia="en-US"/>
        </w:rPr>
      </w:pPr>
      <w:r>
        <w:rPr>
          <w:rFonts w:ascii="Bookman Old Style" w:eastAsia="Calibri" w:hAnsi="Bookman Old Style"/>
          <w:lang w:val="es-ES_tradnl" w:eastAsia="en-US"/>
        </w:rPr>
        <w:t xml:space="preserve">Este procedimiento </w:t>
      </w:r>
      <w:r w:rsidRPr="00006560">
        <w:rPr>
          <w:rFonts w:ascii="Bookman Old Style" w:eastAsia="Calibri" w:hAnsi="Bookman Old Style"/>
          <w:lang w:val="es-ES_tradnl" w:eastAsia="en-US"/>
        </w:rPr>
        <w:t xml:space="preserve">aplica a los </w:t>
      </w:r>
      <w:r w:rsidRPr="00006560">
        <w:rPr>
          <w:rFonts w:ascii="Bookman Old Style" w:eastAsia="Calibri" w:hAnsi="Bookman Old Style"/>
          <w:lang w:eastAsia="en-US"/>
        </w:rPr>
        <w:t xml:space="preserve">Mercados Relevantes de Distribución Existente y que con posterioridad a la aprobación del Cargo Promedio de Distribución en vigencia de la Resolución CREG 011 de 2003 y </w:t>
      </w:r>
      <w:r w:rsidRPr="00006560">
        <w:rPr>
          <w:rFonts w:ascii="Bookman Old Style" w:eastAsia="Calibri" w:hAnsi="Bookman Old Style"/>
          <w:bCs/>
          <w:lang w:val="es-ES_tradnl" w:eastAsia="en-US"/>
        </w:rPr>
        <w:t xml:space="preserve">con anterioridad al 31 de diciembre de 2014 </w:t>
      </w:r>
      <w:r w:rsidRPr="00006560">
        <w:rPr>
          <w:rFonts w:ascii="Bookman Old Style" w:eastAsia="Calibri" w:hAnsi="Bookman Old Style"/>
          <w:lang w:eastAsia="en-US"/>
        </w:rPr>
        <w:t>le fueron asignados recursos públicos.</w:t>
      </w:r>
    </w:p>
    <w:p w14:paraId="33C39342" w14:textId="7CD74531" w:rsidR="00526A24" w:rsidRPr="000C065A" w:rsidRDefault="00526A24" w:rsidP="00526A24">
      <w:pPr>
        <w:widowControl w:val="0"/>
        <w:adjustRightInd w:val="0"/>
        <w:spacing w:before="240" w:after="240"/>
        <w:ind w:left="0" w:right="20"/>
        <w:jc w:val="both"/>
        <w:rPr>
          <w:rFonts w:ascii="Bookman Old Style" w:hAnsi="Bookman Old Style" w:cs="Arial"/>
        </w:rPr>
      </w:pPr>
      <w:r>
        <w:rPr>
          <w:rFonts w:ascii="Bookman Old Style" w:hAnsi="Bookman Old Style" w:cs="Arial"/>
        </w:rPr>
        <w:t>Así pues,</w:t>
      </w:r>
      <w:r w:rsidRPr="000C065A">
        <w:rPr>
          <w:rFonts w:ascii="Bookman Old Style" w:hAnsi="Bookman Old Style" w:cs="Arial"/>
        </w:rPr>
        <w:t xml:space="preserve"> </w:t>
      </w:r>
      <w:r w:rsidR="00720993">
        <w:rPr>
          <w:rFonts w:ascii="Bookman Old Style" w:hAnsi="Bookman Old Style" w:cs="Arial"/>
        </w:rPr>
        <w:t xml:space="preserve">el Mercado Relevante de Distribución para el Siguiente Periodo Tarifario descrito en el </w:t>
      </w:r>
      <w:r w:rsidR="00720993" w:rsidRPr="00B62BC0">
        <w:rPr>
          <w:rFonts w:ascii="Bookman Old Style" w:hAnsi="Bookman Old Style" w:cs="Arial"/>
        </w:rPr>
        <w:t>numeral 7.1 se divide en los siguientes submercados, según la asignación de recursos públicos</w:t>
      </w:r>
      <w:r w:rsidR="00720993">
        <w:rPr>
          <w:rFonts w:ascii="Bookman Old Style" w:hAnsi="Bookman Old Style" w:cs="Arial"/>
        </w:rPr>
        <w:t xml:space="preserve"> a los municipios que lo conforman: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693"/>
        <w:gridCol w:w="2438"/>
        <w:gridCol w:w="2377"/>
      </w:tblGrid>
      <w:tr w:rsidR="008318BA" w:rsidRPr="000C065A" w14:paraId="5ABB7425" w14:textId="77777777" w:rsidTr="00DD2701">
        <w:trPr>
          <w:tblHeader/>
        </w:trPr>
        <w:tc>
          <w:tcPr>
            <w:tcW w:w="9346" w:type="dxa"/>
            <w:gridSpan w:val="4"/>
            <w:shd w:val="clear" w:color="auto" w:fill="D9D9D9" w:themeFill="background1" w:themeFillShade="D9"/>
            <w:vAlign w:val="center"/>
          </w:tcPr>
          <w:p w14:paraId="04AF78D7" w14:textId="5A1668B5" w:rsidR="008318BA" w:rsidRPr="002A3E31" w:rsidRDefault="008318BA">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Conformación del Mercado Relevante</w:t>
            </w:r>
          </w:p>
        </w:tc>
      </w:tr>
      <w:tr w:rsidR="00526A24" w:rsidRPr="000C065A" w14:paraId="13925B39" w14:textId="77777777" w:rsidTr="00DD2701">
        <w:trPr>
          <w:tblHeader/>
        </w:trPr>
        <w:tc>
          <w:tcPr>
            <w:tcW w:w="1838" w:type="dxa"/>
            <w:shd w:val="clear" w:color="auto" w:fill="D9D9D9" w:themeFill="background1" w:themeFillShade="D9"/>
            <w:vAlign w:val="center"/>
          </w:tcPr>
          <w:p w14:paraId="64639771" w14:textId="2E2CC377" w:rsidR="00526A24" w:rsidRPr="002A3E31" w:rsidRDefault="00526A24" w:rsidP="002B52FA">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 xml:space="preserve">No. </w:t>
            </w:r>
            <w:r w:rsidR="002B52FA" w:rsidRPr="002A3E31">
              <w:rPr>
                <w:rFonts w:ascii="Bookman Old Style" w:hAnsi="Bookman Old Style" w:cs="Arial"/>
                <w:b/>
                <w:sz w:val="22"/>
                <w:szCs w:val="22"/>
              </w:rPr>
              <w:t>Subm</w:t>
            </w:r>
            <w:r w:rsidRPr="002A3E31">
              <w:rPr>
                <w:rFonts w:ascii="Bookman Old Style" w:hAnsi="Bookman Old Style" w:cs="Arial"/>
                <w:b/>
                <w:sz w:val="22"/>
                <w:szCs w:val="22"/>
              </w:rPr>
              <w:t xml:space="preserve">ercado </w:t>
            </w:r>
          </w:p>
        </w:tc>
        <w:tc>
          <w:tcPr>
            <w:tcW w:w="2693" w:type="dxa"/>
            <w:shd w:val="clear" w:color="auto" w:fill="D9D9D9" w:themeFill="background1" w:themeFillShade="D9"/>
            <w:vAlign w:val="center"/>
          </w:tcPr>
          <w:p w14:paraId="5BB5A862" w14:textId="77777777" w:rsidR="00526A24" w:rsidRPr="002A3E31" w:rsidRDefault="00526A24" w:rsidP="00006560">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Municipio / Departamento</w:t>
            </w:r>
          </w:p>
        </w:tc>
        <w:tc>
          <w:tcPr>
            <w:tcW w:w="2438" w:type="dxa"/>
            <w:shd w:val="clear" w:color="auto" w:fill="D9D9D9" w:themeFill="background1" w:themeFillShade="D9"/>
            <w:vAlign w:val="center"/>
          </w:tcPr>
          <w:p w14:paraId="0DFE8579" w14:textId="77777777" w:rsidR="00851CAD" w:rsidRPr="002A3E31" w:rsidRDefault="00851CAD">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Cuenta con recursos públicos</w:t>
            </w:r>
          </w:p>
          <w:p w14:paraId="6309ABBD" w14:textId="5D68868C" w:rsidR="00526A24" w:rsidRPr="002A3E31" w:rsidRDefault="00526A24">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SI/NO</w:t>
            </w:r>
          </w:p>
        </w:tc>
        <w:tc>
          <w:tcPr>
            <w:tcW w:w="2377" w:type="dxa"/>
            <w:shd w:val="clear" w:color="auto" w:fill="D9D9D9" w:themeFill="background1" w:themeFillShade="D9"/>
            <w:vAlign w:val="center"/>
          </w:tcPr>
          <w:p w14:paraId="050E6055" w14:textId="77777777" w:rsidR="00526A24" w:rsidRPr="002A3E31" w:rsidRDefault="00526A24">
            <w:pPr>
              <w:widowControl w:val="0"/>
              <w:adjustRightInd w:val="0"/>
              <w:ind w:left="0" w:right="20"/>
              <w:jc w:val="center"/>
              <w:rPr>
                <w:rFonts w:ascii="Bookman Old Style" w:hAnsi="Bookman Old Style" w:cs="Arial"/>
                <w:b/>
                <w:sz w:val="22"/>
                <w:szCs w:val="22"/>
              </w:rPr>
            </w:pPr>
            <w:r w:rsidRPr="002A3E31">
              <w:rPr>
                <w:rFonts w:ascii="Bookman Old Style" w:hAnsi="Bookman Old Style" w:cs="Arial"/>
                <w:b/>
                <w:sz w:val="22"/>
                <w:szCs w:val="22"/>
              </w:rPr>
              <w:t>Monto de los recursos públicos</w:t>
            </w:r>
          </w:p>
        </w:tc>
      </w:tr>
      <w:tr w:rsidR="00526A24" w:rsidRPr="000C065A" w14:paraId="0625E678" w14:textId="77777777" w:rsidTr="00851CAD">
        <w:tc>
          <w:tcPr>
            <w:tcW w:w="1838" w:type="dxa"/>
          </w:tcPr>
          <w:p w14:paraId="70C251FA" w14:textId="7E4CE24A" w:rsidR="00526A24"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1</w:t>
            </w:r>
          </w:p>
        </w:tc>
        <w:tc>
          <w:tcPr>
            <w:tcW w:w="2693" w:type="dxa"/>
            <w:shd w:val="clear" w:color="auto" w:fill="auto"/>
          </w:tcPr>
          <w:p w14:paraId="69CFCD78" w14:textId="30B94003" w:rsidR="00526A24"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Nátaga</w:t>
            </w:r>
          </w:p>
        </w:tc>
        <w:tc>
          <w:tcPr>
            <w:tcW w:w="2438" w:type="dxa"/>
            <w:shd w:val="clear" w:color="auto" w:fill="auto"/>
          </w:tcPr>
          <w:p w14:paraId="640A52ED" w14:textId="28AA0CF0" w:rsidR="00526A24"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7B1C423C" w14:textId="14500575" w:rsidR="00526A24"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586.095.881</w:t>
            </w:r>
          </w:p>
        </w:tc>
      </w:tr>
      <w:tr w:rsidR="00F5028B" w:rsidRPr="000C065A" w14:paraId="7453E917" w14:textId="77777777" w:rsidTr="00851CAD">
        <w:tc>
          <w:tcPr>
            <w:tcW w:w="1838" w:type="dxa"/>
          </w:tcPr>
          <w:p w14:paraId="2E6D09C2" w14:textId="0648B2E1"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2</w:t>
            </w:r>
          </w:p>
        </w:tc>
        <w:tc>
          <w:tcPr>
            <w:tcW w:w="2693" w:type="dxa"/>
            <w:shd w:val="clear" w:color="auto" w:fill="auto"/>
          </w:tcPr>
          <w:p w14:paraId="281C1944" w14:textId="61266CFE"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Colombia</w:t>
            </w:r>
          </w:p>
        </w:tc>
        <w:tc>
          <w:tcPr>
            <w:tcW w:w="2438" w:type="dxa"/>
            <w:shd w:val="clear" w:color="auto" w:fill="auto"/>
          </w:tcPr>
          <w:p w14:paraId="59020B9C" w14:textId="316B4EBD"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3E844B92" w14:textId="175EE604"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573.759.119</w:t>
            </w:r>
          </w:p>
        </w:tc>
      </w:tr>
      <w:tr w:rsidR="00F5028B" w:rsidRPr="000C065A" w14:paraId="6C0771C3" w14:textId="77777777" w:rsidTr="00851CAD">
        <w:tc>
          <w:tcPr>
            <w:tcW w:w="1838" w:type="dxa"/>
          </w:tcPr>
          <w:p w14:paraId="7C4EF7D2" w14:textId="474BFD4B"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3</w:t>
            </w:r>
          </w:p>
        </w:tc>
        <w:tc>
          <w:tcPr>
            <w:tcW w:w="2693" w:type="dxa"/>
            <w:shd w:val="clear" w:color="auto" w:fill="auto"/>
          </w:tcPr>
          <w:p w14:paraId="7C863FB4" w14:textId="7D2D9722"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Elías</w:t>
            </w:r>
          </w:p>
        </w:tc>
        <w:tc>
          <w:tcPr>
            <w:tcW w:w="2438" w:type="dxa"/>
            <w:shd w:val="clear" w:color="auto" w:fill="auto"/>
          </w:tcPr>
          <w:p w14:paraId="4546C584" w14:textId="7CB875FC"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47142CCC" w14:textId="7B748B92"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383.790.796</w:t>
            </w:r>
          </w:p>
        </w:tc>
      </w:tr>
      <w:tr w:rsidR="00F5028B" w:rsidRPr="000C065A" w14:paraId="3BFC370B" w14:textId="77777777" w:rsidTr="00851CAD">
        <w:tc>
          <w:tcPr>
            <w:tcW w:w="1838" w:type="dxa"/>
          </w:tcPr>
          <w:p w14:paraId="6F2468B3" w14:textId="02ADBA6E"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4</w:t>
            </w:r>
          </w:p>
        </w:tc>
        <w:tc>
          <w:tcPr>
            <w:tcW w:w="2693" w:type="dxa"/>
            <w:shd w:val="clear" w:color="auto" w:fill="auto"/>
          </w:tcPr>
          <w:p w14:paraId="62D195D5" w14:textId="4DFCEF93"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Íquira</w:t>
            </w:r>
          </w:p>
        </w:tc>
        <w:tc>
          <w:tcPr>
            <w:tcW w:w="2438" w:type="dxa"/>
            <w:shd w:val="clear" w:color="auto" w:fill="auto"/>
          </w:tcPr>
          <w:p w14:paraId="1D6E017F" w14:textId="4B932FC5"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203C14F1" w14:textId="030C7C6D"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1.038.392.884</w:t>
            </w:r>
          </w:p>
        </w:tc>
      </w:tr>
      <w:tr w:rsidR="00F5028B" w:rsidRPr="000C065A" w14:paraId="4C9CC554" w14:textId="77777777" w:rsidTr="00851CAD">
        <w:tc>
          <w:tcPr>
            <w:tcW w:w="1838" w:type="dxa"/>
          </w:tcPr>
          <w:p w14:paraId="543FA4F2" w14:textId="5CCC5188"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5</w:t>
            </w:r>
          </w:p>
        </w:tc>
        <w:tc>
          <w:tcPr>
            <w:tcW w:w="2693" w:type="dxa"/>
            <w:shd w:val="clear" w:color="auto" w:fill="auto"/>
          </w:tcPr>
          <w:p w14:paraId="28A7C0E4" w14:textId="3E33217B"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Isnos</w:t>
            </w:r>
          </w:p>
        </w:tc>
        <w:tc>
          <w:tcPr>
            <w:tcW w:w="2438" w:type="dxa"/>
            <w:shd w:val="clear" w:color="auto" w:fill="auto"/>
          </w:tcPr>
          <w:p w14:paraId="469FB0A9" w14:textId="689C6FB5"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77492852" w14:textId="77DABDF7"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1.003.995.607</w:t>
            </w:r>
          </w:p>
        </w:tc>
      </w:tr>
      <w:tr w:rsidR="00F5028B" w:rsidRPr="000C065A" w14:paraId="29AA0B59" w14:textId="77777777" w:rsidTr="00851CAD">
        <w:tc>
          <w:tcPr>
            <w:tcW w:w="1838" w:type="dxa"/>
          </w:tcPr>
          <w:p w14:paraId="0D9213B8" w14:textId="7FD661B0"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6</w:t>
            </w:r>
          </w:p>
        </w:tc>
        <w:tc>
          <w:tcPr>
            <w:tcW w:w="2693" w:type="dxa"/>
            <w:shd w:val="clear" w:color="auto" w:fill="auto"/>
          </w:tcPr>
          <w:p w14:paraId="380B265A" w14:textId="2149453D"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La Argentina</w:t>
            </w:r>
          </w:p>
        </w:tc>
        <w:tc>
          <w:tcPr>
            <w:tcW w:w="2438" w:type="dxa"/>
            <w:shd w:val="clear" w:color="auto" w:fill="auto"/>
          </w:tcPr>
          <w:p w14:paraId="1ECB207E" w14:textId="5476561C"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71AA346C" w14:textId="07EA42AF" w:rsidR="00F5028B" w:rsidRPr="002A3E31" w:rsidRDefault="007504EC" w:rsidP="00585C75">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802.</w:t>
            </w:r>
            <w:r w:rsidR="00585C75" w:rsidRPr="002A3E31">
              <w:rPr>
                <w:rFonts w:ascii="Bookman Old Style" w:hAnsi="Bookman Old Style" w:cs="Arial"/>
                <w:sz w:val="22"/>
                <w:szCs w:val="22"/>
              </w:rPr>
              <w:t>3</w:t>
            </w:r>
            <w:r w:rsidRPr="002A3E31">
              <w:rPr>
                <w:rFonts w:ascii="Bookman Old Style" w:hAnsi="Bookman Old Style" w:cs="Arial"/>
                <w:sz w:val="22"/>
                <w:szCs w:val="22"/>
              </w:rPr>
              <w:t>71.340</w:t>
            </w:r>
          </w:p>
        </w:tc>
      </w:tr>
      <w:tr w:rsidR="00F5028B" w:rsidRPr="000C065A" w14:paraId="1DEA6CFB" w14:textId="77777777" w:rsidTr="00851CAD">
        <w:tc>
          <w:tcPr>
            <w:tcW w:w="1838" w:type="dxa"/>
          </w:tcPr>
          <w:p w14:paraId="47574379" w14:textId="2CE842AF"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7</w:t>
            </w:r>
          </w:p>
        </w:tc>
        <w:tc>
          <w:tcPr>
            <w:tcW w:w="2693" w:type="dxa"/>
            <w:shd w:val="clear" w:color="auto" w:fill="auto"/>
          </w:tcPr>
          <w:p w14:paraId="79C45411" w14:textId="146EE6B0"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Oporapa</w:t>
            </w:r>
          </w:p>
        </w:tc>
        <w:tc>
          <w:tcPr>
            <w:tcW w:w="2438" w:type="dxa"/>
            <w:shd w:val="clear" w:color="auto" w:fill="auto"/>
          </w:tcPr>
          <w:p w14:paraId="7BDA0B94" w14:textId="5AD24477"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76FB3342" w14:textId="137AE5F9"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733.042.602</w:t>
            </w:r>
          </w:p>
        </w:tc>
      </w:tr>
      <w:tr w:rsidR="00F5028B" w:rsidRPr="000C065A" w14:paraId="11277B0B" w14:textId="77777777" w:rsidTr="00851CAD">
        <w:tc>
          <w:tcPr>
            <w:tcW w:w="1838" w:type="dxa"/>
          </w:tcPr>
          <w:p w14:paraId="549F8505" w14:textId="1BBA339A"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8</w:t>
            </w:r>
          </w:p>
        </w:tc>
        <w:tc>
          <w:tcPr>
            <w:tcW w:w="2693" w:type="dxa"/>
            <w:shd w:val="clear" w:color="auto" w:fill="auto"/>
          </w:tcPr>
          <w:p w14:paraId="06BEF453" w14:textId="6E07CA65"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Palestina</w:t>
            </w:r>
          </w:p>
        </w:tc>
        <w:tc>
          <w:tcPr>
            <w:tcW w:w="2438" w:type="dxa"/>
            <w:shd w:val="clear" w:color="auto" w:fill="auto"/>
          </w:tcPr>
          <w:p w14:paraId="66AFD005" w14:textId="4F997055"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01CC2EAE" w14:textId="605A4DED"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363.632.556</w:t>
            </w:r>
          </w:p>
        </w:tc>
      </w:tr>
      <w:tr w:rsidR="00F5028B" w:rsidRPr="000C065A" w14:paraId="59CD1C36" w14:textId="77777777" w:rsidTr="00851CAD">
        <w:tc>
          <w:tcPr>
            <w:tcW w:w="1838" w:type="dxa"/>
          </w:tcPr>
          <w:p w14:paraId="77074802" w14:textId="75D43638"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9</w:t>
            </w:r>
          </w:p>
        </w:tc>
        <w:tc>
          <w:tcPr>
            <w:tcW w:w="2693" w:type="dxa"/>
            <w:shd w:val="clear" w:color="auto" w:fill="auto"/>
          </w:tcPr>
          <w:p w14:paraId="6D625A54" w14:textId="20F72C4B"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Saladoblanco</w:t>
            </w:r>
          </w:p>
        </w:tc>
        <w:tc>
          <w:tcPr>
            <w:tcW w:w="2438" w:type="dxa"/>
            <w:shd w:val="clear" w:color="auto" w:fill="auto"/>
          </w:tcPr>
          <w:p w14:paraId="71302E0A" w14:textId="4C774452"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60633AA1" w14:textId="7F9FB67B"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631.451.264</w:t>
            </w:r>
          </w:p>
        </w:tc>
      </w:tr>
      <w:tr w:rsidR="00F5028B" w:rsidRPr="000C065A" w14:paraId="5B8E2CDB" w14:textId="77777777" w:rsidTr="00851CAD">
        <w:tc>
          <w:tcPr>
            <w:tcW w:w="1838" w:type="dxa"/>
          </w:tcPr>
          <w:p w14:paraId="7A92A0D8" w14:textId="106BFBC7"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10</w:t>
            </w:r>
          </w:p>
        </w:tc>
        <w:tc>
          <w:tcPr>
            <w:tcW w:w="2693" w:type="dxa"/>
            <w:shd w:val="clear" w:color="auto" w:fill="auto"/>
          </w:tcPr>
          <w:p w14:paraId="66316558" w14:textId="5FBAE4EA"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Santa María</w:t>
            </w:r>
          </w:p>
        </w:tc>
        <w:tc>
          <w:tcPr>
            <w:tcW w:w="2438" w:type="dxa"/>
            <w:shd w:val="clear" w:color="auto" w:fill="auto"/>
          </w:tcPr>
          <w:p w14:paraId="1009E0E0" w14:textId="1684D6A8"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6604A72C" w14:textId="7525E604" w:rsidR="00F5028B" w:rsidRPr="002A3E31" w:rsidRDefault="00B929AF"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528.6</w:t>
            </w:r>
            <w:r w:rsidR="007504EC" w:rsidRPr="002A3E31">
              <w:rPr>
                <w:rFonts w:ascii="Bookman Old Style" w:hAnsi="Bookman Old Style" w:cs="Arial"/>
                <w:sz w:val="22"/>
                <w:szCs w:val="22"/>
              </w:rPr>
              <w:t>50.768</w:t>
            </w:r>
          </w:p>
        </w:tc>
      </w:tr>
      <w:tr w:rsidR="00F5028B" w:rsidRPr="000C065A" w14:paraId="5F47DD16" w14:textId="77777777" w:rsidTr="00851CAD">
        <w:tc>
          <w:tcPr>
            <w:tcW w:w="1838" w:type="dxa"/>
          </w:tcPr>
          <w:p w14:paraId="57E40CF2" w14:textId="4F4BD613"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11</w:t>
            </w:r>
          </w:p>
        </w:tc>
        <w:tc>
          <w:tcPr>
            <w:tcW w:w="2693" w:type="dxa"/>
            <w:shd w:val="clear" w:color="auto" w:fill="auto"/>
          </w:tcPr>
          <w:p w14:paraId="62D17CF9" w14:textId="5A2897C2"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Acevedo</w:t>
            </w:r>
          </w:p>
        </w:tc>
        <w:tc>
          <w:tcPr>
            <w:tcW w:w="2438" w:type="dxa"/>
            <w:shd w:val="clear" w:color="auto" w:fill="auto"/>
          </w:tcPr>
          <w:p w14:paraId="19B44D3A" w14:textId="012BAED8" w:rsidR="00F5028B" w:rsidRPr="002A3E31" w:rsidRDefault="00F5028B" w:rsidP="00F5028B">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SI</w:t>
            </w:r>
          </w:p>
        </w:tc>
        <w:tc>
          <w:tcPr>
            <w:tcW w:w="2377" w:type="dxa"/>
            <w:shd w:val="clear" w:color="auto" w:fill="auto"/>
          </w:tcPr>
          <w:p w14:paraId="35036BB5" w14:textId="629CFEFB" w:rsidR="00F5028B" w:rsidRPr="002A3E31" w:rsidRDefault="007504EC" w:rsidP="007504EC">
            <w:pPr>
              <w:widowControl w:val="0"/>
              <w:adjustRightInd w:val="0"/>
              <w:ind w:left="0" w:right="20"/>
              <w:jc w:val="center"/>
              <w:rPr>
                <w:rFonts w:ascii="Bookman Old Style" w:hAnsi="Bookman Old Style" w:cs="Arial"/>
                <w:sz w:val="22"/>
                <w:szCs w:val="22"/>
              </w:rPr>
            </w:pPr>
            <w:r w:rsidRPr="002A3E31">
              <w:rPr>
                <w:rFonts w:ascii="Bookman Old Style" w:hAnsi="Bookman Old Style" w:cs="Arial"/>
                <w:sz w:val="22"/>
                <w:szCs w:val="22"/>
              </w:rPr>
              <w:t>649.733.423</w:t>
            </w:r>
          </w:p>
        </w:tc>
      </w:tr>
    </w:tbl>
    <w:p w14:paraId="27C62413" w14:textId="6E1775CD" w:rsidR="00FF7B32" w:rsidRDefault="00FF7B32" w:rsidP="00720993">
      <w:pPr>
        <w:spacing w:before="240" w:after="240"/>
        <w:ind w:left="0"/>
        <w:jc w:val="both"/>
        <w:rPr>
          <w:rFonts w:ascii="Bookman Old Style" w:eastAsia="Calibri" w:hAnsi="Bookman Old Style"/>
          <w:lang w:val="es-CO" w:eastAsia="en-US"/>
        </w:rPr>
      </w:pPr>
      <w:r>
        <w:rPr>
          <w:rFonts w:ascii="Bookman Old Style" w:hAnsi="Bookman Old Style" w:cs="Bookman Old Style"/>
          <w:color w:val="000000"/>
          <w:lang w:val="es-CO" w:eastAsia="es-CO"/>
        </w:rPr>
        <w:t xml:space="preserve">La Comisión de Regulación de Energía y Gas en el presente acto administrativo particular descuenta, en la componente de inversión del cargo de distribución, el efecto de los recursos públicos otorgados a cada submercado. De acuerdo con </w:t>
      </w:r>
      <w:r>
        <w:rPr>
          <w:rFonts w:ascii="Bookman Old Style" w:hAnsi="Bookman Old Style" w:cs="Bookman Old Style"/>
          <w:color w:val="000000"/>
          <w:lang w:val="es-CO" w:eastAsia="es-CO"/>
        </w:rPr>
        <w:lastRenderedPageBreak/>
        <w:t>esto, el Cargo de distribución Total que se aprueba mediante la presente Resolución es el valor que la empresa deberá cobrar al usuario.</w:t>
      </w:r>
    </w:p>
    <w:p w14:paraId="45CC6666" w14:textId="4E004A10" w:rsidR="002504A3" w:rsidRPr="009D4DF5" w:rsidRDefault="002504A3" w:rsidP="00006560">
      <w:pPr>
        <w:pStyle w:val="Prrafodelista"/>
        <w:keepNext/>
        <w:numPr>
          <w:ilvl w:val="1"/>
          <w:numId w:val="35"/>
        </w:numPr>
        <w:spacing w:before="240" w:after="240"/>
        <w:ind w:left="709" w:right="-91" w:hanging="709"/>
        <w:jc w:val="both"/>
        <w:rPr>
          <w:rFonts w:ascii="Bookman Old Style" w:eastAsia="Calibri" w:hAnsi="Bookman Old Style"/>
          <w:b/>
          <w:lang w:eastAsia="en-US"/>
        </w:rPr>
      </w:pPr>
      <w:r w:rsidRPr="009D4DF5">
        <w:rPr>
          <w:rFonts w:ascii="Bookman Old Style" w:eastAsia="Calibri" w:hAnsi="Bookman Old Style"/>
          <w:b/>
          <w:sz w:val="24"/>
          <w:szCs w:val="24"/>
          <w:lang w:eastAsia="en-US"/>
        </w:rPr>
        <w:t>Cargo de distribución en sistemas de distribución que no tienen conectados usuarios a la red primaria</w:t>
      </w:r>
    </w:p>
    <w:p w14:paraId="7131E7DE" w14:textId="77777777" w:rsidR="002504A3" w:rsidRPr="009D4DF5" w:rsidRDefault="002504A3" w:rsidP="002504A3">
      <w:pPr>
        <w:widowControl w:val="0"/>
        <w:adjustRightInd w:val="0"/>
        <w:ind w:left="0" w:right="20"/>
        <w:jc w:val="both"/>
        <w:rPr>
          <w:rFonts w:ascii="Bookman Old Style" w:hAnsi="Bookman Old Style" w:cs="Arial"/>
        </w:rPr>
      </w:pPr>
      <w:r w:rsidRPr="009D4DF5">
        <w:rPr>
          <w:rFonts w:ascii="Bookman Old Style" w:hAnsi="Bookman Old Style" w:cs="Arial"/>
        </w:rPr>
        <w:t>El numeral 9.3 del artículo 9 de la Resolución CREG 202 de 2013 establece lo siguiente:</w:t>
      </w:r>
    </w:p>
    <w:p w14:paraId="68FBB975" w14:textId="77777777" w:rsidR="002504A3" w:rsidRPr="009D4DF5" w:rsidRDefault="002504A3" w:rsidP="00DD2701">
      <w:pPr>
        <w:tabs>
          <w:tab w:val="left" w:pos="7513"/>
          <w:tab w:val="left" w:pos="8789"/>
        </w:tabs>
        <w:spacing w:before="240" w:after="240"/>
        <w:ind w:left="284" w:right="284"/>
        <w:jc w:val="both"/>
        <w:rPr>
          <w:rFonts w:ascii="Bookman Old Style" w:hAnsi="Bookman Old Style" w:cs="Arial"/>
          <w:b/>
          <w:i/>
          <w:sz w:val="22"/>
          <w:szCs w:val="20"/>
        </w:rPr>
      </w:pPr>
      <w:r w:rsidRPr="009D4DF5">
        <w:rPr>
          <w:rFonts w:ascii="Bookman Old Style" w:hAnsi="Bookman Old Style" w:cs="Arial"/>
          <w:b/>
          <w:i/>
          <w:sz w:val="22"/>
          <w:szCs w:val="20"/>
        </w:rPr>
        <w:t>“9.3. CARGOS DE DISTRIBUCIÓN EN SISTEMAS DE DISTRIBUCIÓN QUE NO TIENEN CONECTADOS USUARIOS A LA RED PRIMARIA.</w:t>
      </w:r>
    </w:p>
    <w:p w14:paraId="45056FD6" w14:textId="5F7936BC" w:rsidR="002504A3" w:rsidRPr="009D4DF5" w:rsidRDefault="002504A3" w:rsidP="00DD2701">
      <w:pPr>
        <w:tabs>
          <w:tab w:val="left" w:pos="7513"/>
          <w:tab w:val="left" w:pos="8789"/>
        </w:tabs>
        <w:spacing w:before="240" w:after="240"/>
        <w:ind w:left="284" w:right="284"/>
        <w:jc w:val="both"/>
        <w:rPr>
          <w:rFonts w:ascii="Bookman Old Style" w:hAnsi="Bookman Old Style" w:cs="Arial"/>
          <w:i/>
          <w:sz w:val="22"/>
          <w:szCs w:val="20"/>
        </w:rPr>
      </w:pPr>
      <w:r w:rsidRPr="009D4DF5">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r w:rsidR="00DD2701">
        <w:rPr>
          <w:rFonts w:ascii="Bookman Old Style" w:hAnsi="Bookman Old Style" w:cs="Arial"/>
          <w:i/>
          <w:sz w:val="22"/>
          <w:szCs w:val="20"/>
        </w:rPr>
        <w:t>.</w:t>
      </w:r>
    </w:p>
    <w:p w14:paraId="2C95F465" w14:textId="4A0E408B" w:rsidR="002504A3" w:rsidRDefault="002504A3" w:rsidP="002504A3">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9D4DF5">
        <w:rPr>
          <w:rFonts w:ascii="Bookman Old Style" w:hAnsi="Bookman Old Style" w:cs="Arial"/>
        </w:rPr>
        <w:t xml:space="preserve">Dado que el sistema de distribución presentado por la empresa </w:t>
      </w:r>
      <w:r w:rsidR="009D4DF5">
        <w:rPr>
          <w:rFonts w:ascii="Bookman Old Style" w:hAnsi="Bookman Old Style" w:cs="Arial"/>
        </w:rPr>
        <w:t xml:space="preserve">SURCOLOMBIANA DE GAS </w:t>
      </w:r>
      <w:r w:rsidRPr="009D4DF5">
        <w:rPr>
          <w:rFonts w:ascii="Bookman Old Style" w:hAnsi="Bookman Old Style" w:cs="Arial"/>
        </w:rPr>
        <w:t>S.A. E.S.P. para l</w:t>
      </w:r>
      <w:r w:rsidR="009D4DF5">
        <w:rPr>
          <w:rFonts w:ascii="Bookman Old Style" w:hAnsi="Bookman Old Style" w:cs="Arial"/>
        </w:rPr>
        <w:t>os</w:t>
      </w:r>
      <w:r w:rsidRPr="009D4DF5">
        <w:rPr>
          <w:rFonts w:ascii="Bookman Old Style" w:hAnsi="Bookman Old Style" w:cs="Arial"/>
        </w:rPr>
        <w:t xml:space="preserve"> submercado</w:t>
      </w:r>
      <w:r w:rsidR="009D4DF5">
        <w:rPr>
          <w:rFonts w:ascii="Bookman Old Style" w:hAnsi="Bookman Old Style" w:cs="Arial"/>
        </w:rPr>
        <w:t>s</w:t>
      </w:r>
      <w:r w:rsidRPr="009D4DF5">
        <w:rPr>
          <w:rFonts w:ascii="Bookman Old Style" w:hAnsi="Bookman Old Style" w:cs="Arial"/>
        </w:rPr>
        <w:t xml:space="preserve"> </w:t>
      </w:r>
      <w:r w:rsidR="009D4DF5">
        <w:rPr>
          <w:rFonts w:ascii="Bookman Old Style" w:hAnsi="Bookman Old Style" w:cs="Arial"/>
        </w:rPr>
        <w:t xml:space="preserve">conformado por </w:t>
      </w:r>
      <w:r w:rsidRPr="009D4DF5">
        <w:rPr>
          <w:rFonts w:ascii="Bookman Old Style" w:hAnsi="Bookman Old Style" w:cs="Arial"/>
        </w:rPr>
        <w:t>los municipios de N</w:t>
      </w:r>
      <w:r w:rsidR="009D4DF5">
        <w:rPr>
          <w:rFonts w:ascii="Bookman Old Style" w:hAnsi="Bookman Old Style" w:cs="Arial"/>
        </w:rPr>
        <w:t>átaga, Colombia, Elías, Íquira, Isnos, La Argentina, Oporapa, Palestina, Saladoblanco, Santa María y Acevedo</w:t>
      </w:r>
      <w:r w:rsidRPr="009D4DF5">
        <w:rPr>
          <w:rFonts w:ascii="Bookman Old Style" w:hAnsi="Bookman Old Style" w:cs="Arial"/>
        </w:rPr>
        <w:t xml:space="preserve"> del departamento de </w:t>
      </w:r>
      <w:r w:rsidR="009D4DF5">
        <w:rPr>
          <w:rFonts w:ascii="Bookman Old Style" w:hAnsi="Bookman Old Style" w:cs="Arial"/>
        </w:rPr>
        <w:t>Huila</w:t>
      </w:r>
      <w:r w:rsidRPr="009D4DF5">
        <w:rPr>
          <w:rFonts w:ascii="Bookman Old Style" w:hAnsi="Bookman Old Style" w:cs="Arial"/>
        </w:rPr>
        <w:t>, cuenta con red primaria y secundaria y todos sus usuarios están conectados a la red secundari</w:t>
      </w:r>
      <w:r w:rsidR="009D4DF5">
        <w:rPr>
          <w:rFonts w:ascii="Bookman Old Style" w:hAnsi="Bookman Old Style" w:cs="Arial"/>
        </w:rPr>
        <w:t>a, se podrá determinar para estos</w:t>
      </w:r>
      <w:r w:rsidRPr="009D4DF5">
        <w:rPr>
          <w:rFonts w:ascii="Bookman Old Style" w:hAnsi="Bookman Old Style" w:cs="Arial"/>
        </w:rPr>
        <w:t xml:space="preserve"> submercado</w:t>
      </w:r>
      <w:r w:rsidR="009D4DF5">
        <w:rPr>
          <w:rFonts w:ascii="Bookman Old Style" w:hAnsi="Bookman Old Style" w:cs="Arial"/>
        </w:rPr>
        <w:t>s</w:t>
      </w:r>
      <w:r w:rsidRPr="009D4DF5">
        <w:rPr>
          <w:rFonts w:ascii="Bookman Old Style" w:hAnsi="Bookman Old Style" w:cs="Arial"/>
        </w:rPr>
        <w:t xml:space="preserve"> un solo cargo de distribución que será aplicable a los usuarios de uso residencial y usuarios diferentes al uso residencial.</w:t>
      </w:r>
    </w:p>
    <w:p w14:paraId="3E403033" w14:textId="77777777" w:rsidR="00526A24" w:rsidRPr="00954BC2" w:rsidRDefault="00526A24" w:rsidP="00526A24">
      <w:pPr>
        <w:pStyle w:val="Prrafodelista"/>
        <w:keepNext/>
        <w:numPr>
          <w:ilvl w:val="1"/>
          <w:numId w:val="35"/>
        </w:numPr>
        <w:spacing w:before="240" w:after="240"/>
        <w:ind w:left="709" w:right="-91" w:hanging="709"/>
        <w:jc w:val="both"/>
        <w:rPr>
          <w:rFonts w:ascii="Bookman Old Style" w:eastAsia="Calibri" w:hAnsi="Bookman Old Style" w:cs="Arial"/>
          <w:b/>
          <w:sz w:val="24"/>
          <w:szCs w:val="24"/>
          <w:lang w:eastAsia="en-US"/>
        </w:rPr>
      </w:pPr>
      <w:bookmarkStart w:id="4" w:name="_Toc484704740"/>
      <w:r w:rsidRPr="00954BC2">
        <w:rPr>
          <w:rFonts w:ascii="Bookman Old Style" w:eastAsia="Calibri" w:hAnsi="Bookman Old Style" w:cs="Arial"/>
          <w:b/>
          <w:sz w:val="24"/>
          <w:szCs w:val="24"/>
          <w:lang w:eastAsia="en-US"/>
        </w:rPr>
        <w:t>Gradualidad</w:t>
      </w:r>
      <w:bookmarkEnd w:id="4"/>
    </w:p>
    <w:p w14:paraId="3F85D7BD" w14:textId="77777777" w:rsidR="00526A24"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 xml:space="preserve">En el marco de los fines sociales y económicos que persigue la prestación del servicio público domiciliario, así como el ejercicio de la facultad regulatoria que ejerce esta Comisión, la jurisprudencia constitucional ha precisado que el régimen tarifario, conforme a lo dispuesto por el artículo 367 de la Carta Política, debe además de consultar criterios de costos, elementos que impidan la afectación de derechos fundamentales de los usuarios, por lo que se </w:t>
      </w:r>
      <w:r w:rsidRPr="005A1E1F">
        <w:rPr>
          <w:rFonts w:ascii="Bookman Old Style" w:eastAsia="Calibri" w:hAnsi="Bookman Old Style"/>
          <w:i/>
          <w:lang w:val="es-ES_tradnl" w:eastAsia="en-US"/>
        </w:rPr>
        <w:t>“deben valorar y ponderar los intereses de los usuarios”</w:t>
      </w:r>
      <w:r w:rsidRPr="005A1E1F">
        <w:rPr>
          <w:rFonts w:ascii="Bookman Old Style" w:eastAsia="Calibri" w:hAnsi="Bookman Old Style"/>
          <w:vertAlign w:val="superscript"/>
          <w:lang w:val="es-ES_tradnl" w:eastAsia="en-US"/>
        </w:rPr>
        <w:footnoteReference w:id="17"/>
      </w:r>
      <w:r w:rsidRPr="005A1E1F">
        <w:rPr>
          <w:rFonts w:ascii="Bookman Old Style" w:eastAsia="Calibri" w:hAnsi="Bookman Old Style"/>
          <w:lang w:val="es-ES_tradnl" w:eastAsia="en-US"/>
        </w:rPr>
        <w:t xml:space="preserve">. Esto implica el deber de garantizar que los costos dentro de las tarifas constituyan el mínimo esfuerzo para los usuarios, </w:t>
      </w:r>
      <w:r>
        <w:rPr>
          <w:rFonts w:ascii="Bookman Old Style" w:eastAsia="Calibri" w:hAnsi="Bookman Old Style"/>
          <w:lang w:val="es-ES_tradnl" w:eastAsia="en-US"/>
        </w:rPr>
        <w:t>evitando</w:t>
      </w:r>
      <w:r w:rsidRPr="005A1E1F">
        <w:rPr>
          <w:rFonts w:ascii="Bookman Old Style" w:eastAsia="Calibri" w:hAnsi="Bookman Old Style"/>
          <w:lang w:val="es-ES_tradnl" w:eastAsia="en-US"/>
        </w:rPr>
        <w:t xml:space="preserve"> conductas arbitrarias por parte de los prestadores del servicio</w:t>
      </w:r>
      <w:r>
        <w:rPr>
          <w:rFonts w:ascii="Bookman Old Style" w:eastAsia="Calibri" w:hAnsi="Bookman Old Style"/>
          <w:lang w:val="es-ES_tradnl" w:eastAsia="en-US"/>
        </w:rPr>
        <w:t xml:space="preserve"> y</w:t>
      </w:r>
      <w:r w:rsidRPr="005A1E1F">
        <w:rPr>
          <w:rFonts w:ascii="Bookman Old Style" w:eastAsia="Calibri" w:hAnsi="Bookman Old Style"/>
          <w:lang w:val="es-ES_tradnl" w:eastAsia="en-US"/>
        </w:rPr>
        <w:t xml:space="preserve"> defendiendo los derechos de los usuarios.</w:t>
      </w:r>
    </w:p>
    <w:p w14:paraId="0CB244E1"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es concordante con los fines previstos en el artículo 2 de la Ley 142 de 1994, el cual e su numeral 9 ha establecido lo siguiente:</w:t>
      </w:r>
    </w:p>
    <w:p w14:paraId="2E092FB3" w14:textId="7F5434CD"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 xml:space="preserve">“2.9. Establecer un </w:t>
      </w:r>
      <w:r w:rsidRPr="00DD2701">
        <w:rPr>
          <w:rFonts w:ascii="Bookman Old Style" w:eastAsia="Calibri" w:hAnsi="Bookman Old Style"/>
          <w:b/>
          <w:i/>
          <w:sz w:val="22"/>
          <w:szCs w:val="22"/>
          <w:u w:val="single"/>
          <w:lang w:val="es-ES_tradnl" w:eastAsia="en-US"/>
        </w:rPr>
        <w:t>régimen tarifario proporcional</w:t>
      </w:r>
      <w:r w:rsidRPr="00DD2701">
        <w:rPr>
          <w:rFonts w:ascii="Bookman Old Style" w:eastAsia="Calibri" w:hAnsi="Bookman Old Style"/>
          <w:i/>
          <w:sz w:val="22"/>
          <w:szCs w:val="22"/>
          <w:lang w:val="es-ES_tradnl" w:eastAsia="en-US"/>
        </w:rPr>
        <w:t xml:space="preserve"> para los sectores de bajos ingresos de acuerdo con los preceptos de equidad y solidaridad”</w:t>
      </w:r>
      <w:r w:rsidR="00DD2701" w:rsidRPr="00DD2701">
        <w:rPr>
          <w:rFonts w:ascii="Bookman Old Style" w:eastAsia="Calibri" w:hAnsi="Bookman Old Style"/>
          <w:i/>
          <w:sz w:val="22"/>
          <w:szCs w:val="22"/>
          <w:lang w:val="es-ES_tradnl" w:eastAsia="en-US"/>
        </w:rPr>
        <w:t>.</w:t>
      </w:r>
    </w:p>
    <w:p w14:paraId="3177B634"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más aún cuando el artículo 13 de esta misma Ley ha consagrado lo siguiente:</w:t>
      </w:r>
    </w:p>
    <w:p w14:paraId="5895AA01" w14:textId="73E49332"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b/>
          <w:i/>
          <w:sz w:val="22"/>
          <w:szCs w:val="22"/>
          <w:lang w:val="es-ES_tradnl" w:eastAsia="en-US"/>
        </w:rPr>
        <w:lastRenderedPageBreak/>
        <w:t>“Artículo 13. Aplicación de los principios generales.</w:t>
      </w:r>
      <w:r w:rsidRPr="00DD2701">
        <w:rPr>
          <w:rFonts w:ascii="Bookman Old Style" w:eastAsia="Calibri" w:hAnsi="Bookman Old Style"/>
          <w:i/>
          <w:sz w:val="22"/>
          <w:szCs w:val="22"/>
          <w:lang w:val="es-ES_tradnl" w:eastAsia="en-US"/>
        </w:rPr>
        <w:t xml:space="preserve"> Los principios que contiene este capítulo se utilizarán para resolver cualquier dificultad de interpretación </w:t>
      </w:r>
      <w:r w:rsidRPr="00DD2701">
        <w:rPr>
          <w:rFonts w:ascii="Bookman Old Style" w:eastAsia="Calibri" w:hAnsi="Bookman Old Style"/>
          <w:b/>
          <w:i/>
          <w:sz w:val="22"/>
          <w:szCs w:val="22"/>
          <w:u w:val="single"/>
          <w:lang w:val="es-ES_tradnl" w:eastAsia="en-US"/>
        </w:rPr>
        <w:t>al aplicar las normas sobre los servicios públicos a los que esta u otras leyes se refieren</w:t>
      </w:r>
      <w:r w:rsidRPr="00DD2701">
        <w:rPr>
          <w:rFonts w:ascii="Bookman Old Style" w:eastAsia="Calibri" w:hAnsi="Bookman Old Style"/>
          <w:i/>
          <w:sz w:val="22"/>
          <w:szCs w:val="22"/>
          <w:lang w:val="es-ES_tradnl" w:eastAsia="en-US"/>
        </w:rPr>
        <w:t>, y para suplir los vacíos que ellas presenten”</w:t>
      </w:r>
      <w:r w:rsidR="00DD2701" w:rsidRPr="00DD2701">
        <w:rPr>
          <w:rFonts w:ascii="Bookman Old Style" w:eastAsia="Calibri" w:hAnsi="Bookman Old Style"/>
          <w:i/>
          <w:sz w:val="22"/>
          <w:szCs w:val="22"/>
          <w:lang w:val="es-ES_tradnl" w:eastAsia="en-US"/>
        </w:rPr>
        <w:t>.</w:t>
      </w:r>
    </w:p>
    <w:p w14:paraId="00A7BC4A" w14:textId="77777777" w:rsidR="00526A24" w:rsidRPr="005A1E1F"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S</w:t>
      </w:r>
      <w:r w:rsidRPr="005A1E1F">
        <w:rPr>
          <w:rFonts w:ascii="Bookman Old Style" w:eastAsia="Calibri" w:hAnsi="Bookman Old Style"/>
          <w:lang w:val="es-ES_tradnl" w:eastAsia="en-US"/>
        </w:rPr>
        <w:t xml:space="preserve">e </w:t>
      </w:r>
      <w:r>
        <w:rPr>
          <w:rFonts w:ascii="Bookman Old Style" w:eastAsia="Calibri" w:hAnsi="Bookman Old Style"/>
          <w:lang w:val="es-ES_tradnl" w:eastAsia="en-US"/>
        </w:rPr>
        <w:t>desprende</w:t>
      </w:r>
      <w:r w:rsidRPr="005A1E1F">
        <w:rPr>
          <w:rFonts w:ascii="Bookman Old Style" w:eastAsia="Calibri" w:hAnsi="Bookman Old Style"/>
          <w:lang w:val="es-ES_tradnl" w:eastAsia="en-US"/>
        </w:rPr>
        <w:t xml:space="preserve"> por parte de esta Comisión del análisis de las facultades regulatorias asignadas en los artículos 73 y 74, así como de las disposiciones de la Ley 142 de 1994 asociadas al régimen tarifario</w:t>
      </w:r>
      <w:r w:rsidRPr="005A1E1F">
        <w:rPr>
          <w:rFonts w:ascii="Bookman Old Style" w:eastAsia="Calibri" w:hAnsi="Bookman Old Style"/>
          <w:vertAlign w:val="superscript"/>
          <w:lang w:val="es-ES_tradnl" w:eastAsia="en-US"/>
        </w:rPr>
        <w:footnoteReference w:id="18"/>
      </w:r>
      <w:r w:rsidRPr="005A1E1F">
        <w:rPr>
          <w:rFonts w:ascii="Bookman Old Style" w:eastAsia="Calibri" w:hAnsi="Bookman Old Style"/>
          <w:lang w:val="es-ES_tradnl" w:eastAsia="en-US"/>
        </w:rPr>
        <w:t xml:space="preserve">, que </w:t>
      </w:r>
      <w:r>
        <w:rPr>
          <w:rFonts w:ascii="Bookman Old Style" w:eastAsia="Calibri" w:hAnsi="Bookman Old Style"/>
          <w:lang w:val="es-ES_tradnl" w:eastAsia="en-US"/>
        </w:rPr>
        <w:t xml:space="preserve">se </w:t>
      </w:r>
      <w:r w:rsidRPr="005A1E1F">
        <w:rPr>
          <w:rFonts w:ascii="Bookman Old Style" w:eastAsia="Calibri" w:hAnsi="Bookman Old Style"/>
          <w:lang w:val="es-ES_tradnl" w:eastAsia="en-US"/>
        </w:rPr>
        <w:t>cuenta con la atribución de incorporar reglas y/o mecanismos operativos dentro del diseño de las estructuras tarifarias y en el presente caso, en materia de distribución de gas combustible, a efectos de que los cargos y/</w:t>
      </w:r>
      <w:r>
        <w:rPr>
          <w:rFonts w:ascii="Bookman Old Style" w:eastAsia="Calibri" w:hAnsi="Bookman Old Style"/>
          <w:lang w:val="es-ES_tradnl" w:eastAsia="en-US"/>
        </w:rPr>
        <w:t>o</w:t>
      </w:r>
      <w:r w:rsidRPr="005A1E1F">
        <w:rPr>
          <w:rFonts w:ascii="Bookman Old Style" w:eastAsia="Calibri" w:hAnsi="Bookman Old Style"/>
          <w:lang w:val="es-ES_tradnl" w:eastAsia="en-US"/>
        </w:rPr>
        <w:t xml:space="preserve"> tarifas que se le cobren a usuarios residenciales y no residenciales como parte de la prestación del servicio público domiciliario permitan garantizar la efectividad de los principios sociales relacionados con la satisfacción de las necesidades básicas de las personas, así como los aspectos económicos asociados al adecuado funcionamiento del mercado. Esto, a efectos de que no se vea afectada su prestación eficiente, en los términos de la Corte, valorando y ponderando los intereses de los usuarios.</w:t>
      </w:r>
    </w:p>
    <w:p w14:paraId="3DEF00C8"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Lo anterior, toda vez que el artículo 86 de la Ley 142 de 1994 establece lo siguiente:</w:t>
      </w:r>
    </w:p>
    <w:p w14:paraId="14FDBE58" w14:textId="77777777"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w:t>
      </w:r>
      <w:r w:rsidRPr="00DD2701">
        <w:rPr>
          <w:rFonts w:ascii="Bookman Old Style" w:eastAsia="Calibri" w:hAnsi="Bookman Old Style"/>
          <w:b/>
          <w:i/>
          <w:sz w:val="22"/>
          <w:szCs w:val="22"/>
          <w:lang w:val="es-ES_tradnl" w:eastAsia="en-US"/>
        </w:rPr>
        <w:t>Artículo 86. El régimen tarifario</w:t>
      </w:r>
      <w:r w:rsidRPr="00DD2701">
        <w:rPr>
          <w:rFonts w:ascii="Bookman Old Style" w:eastAsia="Calibri" w:hAnsi="Bookman Old Style"/>
          <w:b/>
          <w:i/>
          <w:sz w:val="22"/>
          <w:szCs w:val="22"/>
          <w:u w:val="single"/>
          <w:lang w:val="es-ES_tradnl" w:eastAsia="en-US"/>
        </w:rPr>
        <w:t>. El régimen tarifario en los servicios públicos a los que esta Ley se refiere, está compuesto por reglas relativas a</w:t>
      </w:r>
      <w:r w:rsidRPr="00DD2701">
        <w:rPr>
          <w:rFonts w:ascii="Bookman Old Style" w:eastAsia="Calibri" w:hAnsi="Bookman Old Style"/>
          <w:i/>
          <w:sz w:val="22"/>
          <w:szCs w:val="22"/>
          <w:lang w:val="es-ES_tradnl" w:eastAsia="en-US"/>
        </w:rPr>
        <w:t>:</w:t>
      </w:r>
    </w:p>
    <w:p w14:paraId="657BF20F" w14:textId="77777777"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86.1. El régimen de regulación o de libertad.</w:t>
      </w:r>
    </w:p>
    <w:p w14:paraId="5F021D36" w14:textId="77777777"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86.2. El sistema de subsidios, que se otorgarán para que las personas de menores ingresos puedan pagar las tarifas de los servicios públicos domiciliarios que cubran sus necesidades básicas;</w:t>
      </w:r>
    </w:p>
    <w:p w14:paraId="6F2792CE" w14:textId="77777777"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86.3. Las reglas relativas a las prácticas tarifarias restrictivas de la libre competencia, y que implican abuso de posición dominante;</w:t>
      </w:r>
    </w:p>
    <w:p w14:paraId="5C37E225" w14:textId="49486B02" w:rsidR="00526A24" w:rsidRPr="00DD2701" w:rsidRDefault="00526A24" w:rsidP="00DD2701">
      <w:pPr>
        <w:spacing w:before="240" w:after="240"/>
        <w:ind w:left="284" w:right="284"/>
        <w:jc w:val="both"/>
        <w:rPr>
          <w:rFonts w:ascii="Bookman Old Style" w:eastAsia="Calibri" w:hAnsi="Bookman Old Style"/>
          <w:i/>
          <w:sz w:val="22"/>
          <w:szCs w:val="22"/>
          <w:lang w:val="es-ES_tradnl" w:eastAsia="en-US"/>
        </w:rPr>
      </w:pPr>
      <w:r w:rsidRPr="00DD2701">
        <w:rPr>
          <w:rFonts w:ascii="Bookman Old Style" w:eastAsia="Calibri" w:hAnsi="Bookman Old Style"/>
          <w:i/>
          <w:sz w:val="22"/>
          <w:szCs w:val="22"/>
          <w:lang w:val="es-ES_tradnl" w:eastAsia="en-US"/>
        </w:rPr>
        <w:t xml:space="preserve">86.4. </w:t>
      </w:r>
      <w:r w:rsidRPr="00DD2701">
        <w:rPr>
          <w:rFonts w:ascii="Bookman Old Style" w:eastAsia="Calibri" w:hAnsi="Bookman Old Style"/>
          <w:b/>
          <w:i/>
          <w:sz w:val="22"/>
          <w:szCs w:val="22"/>
          <w:u w:val="single"/>
          <w:lang w:val="es-ES_tradnl" w:eastAsia="en-US"/>
        </w:rPr>
        <w:t>Las reglas relativas a</w:t>
      </w:r>
      <w:r w:rsidRPr="00DD2701">
        <w:rPr>
          <w:rFonts w:ascii="Bookman Old Style" w:eastAsia="Calibri" w:hAnsi="Bookman Old Style"/>
          <w:i/>
          <w:sz w:val="22"/>
          <w:szCs w:val="22"/>
          <w:lang w:val="es-ES_tradnl" w:eastAsia="en-US"/>
        </w:rPr>
        <w:t xml:space="preserve"> procedimientos, metodologías, </w:t>
      </w:r>
      <w:r w:rsidRPr="00DD2701">
        <w:rPr>
          <w:rFonts w:ascii="Bookman Old Style" w:eastAsia="Calibri" w:hAnsi="Bookman Old Style"/>
          <w:b/>
          <w:i/>
          <w:sz w:val="22"/>
          <w:szCs w:val="22"/>
          <w:u w:val="single"/>
          <w:lang w:val="es-ES_tradnl" w:eastAsia="en-US"/>
        </w:rPr>
        <w:t>fórmulas</w:t>
      </w:r>
      <w:r w:rsidRPr="00DD2701">
        <w:rPr>
          <w:rFonts w:ascii="Bookman Old Style" w:eastAsia="Calibri" w:hAnsi="Bookman Old Style"/>
          <w:i/>
          <w:sz w:val="22"/>
          <w:szCs w:val="22"/>
          <w:lang w:val="es-ES_tradnl" w:eastAsia="en-US"/>
        </w:rPr>
        <w:t xml:space="preserve">, </w:t>
      </w:r>
      <w:r w:rsidRPr="00DD2701">
        <w:rPr>
          <w:rFonts w:ascii="Bookman Old Style" w:eastAsia="Calibri" w:hAnsi="Bookman Old Style"/>
          <w:b/>
          <w:i/>
          <w:sz w:val="22"/>
          <w:szCs w:val="22"/>
          <w:u w:val="single"/>
          <w:lang w:val="es-ES_tradnl" w:eastAsia="en-US"/>
        </w:rPr>
        <w:t>estructuras,</w:t>
      </w:r>
      <w:r w:rsidRPr="00DD2701">
        <w:rPr>
          <w:rFonts w:ascii="Bookman Old Style" w:eastAsia="Calibri" w:hAnsi="Bookman Old Style"/>
          <w:i/>
          <w:sz w:val="22"/>
          <w:szCs w:val="22"/>
          <w:lang w:val="es-ES_tradnl" w:eastAsia="en-US"/>
        </w:rPr>
        <w:t xml:space="preserve"> estratos, facturación, opciones, </w:t>
      </w:r>
      <w:r w:rsidRPr="00DD2701">
        <w:rPr>
          <w:rFonts w:ascii="Bookman Old Style" w:eastAsia="Calibri" w:hAnsi="Bookman Old Style"/>
          <w:b/>
          <w:i/>
          <w:sz w:val="22"/>
          <w:szCs w:val="22"/>
          <w:u w:val="single"/>
          <w:lang w:val="es-ES_tradnl" w:eastAsia="en-US"/>
        </w:rPr>
        <w:t>valores</w:t>
      </w:r>
      <w:r w:rsidRPr="00DD2701">
        <w:rPr>
          <w:rFonts w:ascii="Bookman Old Style" w:eastAsia="Calibri" w:hAnsi="Bookman Old Style"/>
          <w:i/>
          <w:sz w:val="22"/>
          <w:szCs w:val="22"/>
          <w:lang w:val="es-ES_tradnl" w:eastAsia="en-US"/>
        </w:rPr>
        <w:t xml:space="preserve"> y, </w:t>
      </w:r>
      <w:r w:rsidRPr="00DD2701">
        <w:rPr>
          <w:rFonts w:ascii="Bookman Old Style" w:eastAsia="Calibri" w:hAnsi="Bookman Old Style"/>
          <w:b/>
          <w:i/>
          <w:sz w:val="22"/>
          <w:szCs w:val="22"/>
          <w:u w:val="single"/>
          <w:lang w:val="es-ES_tradnl" w:eastAsia="en-US"/>
        </w:rPr>
        <w:t>en general, todos los aspectos que determinan el cobro de las tarifas”</w:t>
      </w:r>
      <w:r w:rsidR="00DD2701" w:rsidRPr="00DD2701">
        <w:rPr>
          <w:rFonts w:ascii="Bookman Old Style" w:eastAsia="Calibri" w:hAnsi="Bookman Old Style"/>
          <w:b/>
          <w:i/>
          <w:sz w:val="22"/>
          <w:szCs w:val="22"/>
          <w:lang w:val="es-ES_tradnl" w:eastAsia="en-US"/>
        </w:rPr>
        <w:t>.</w:t>
      </w:r>
      <w:r w:rsidRPr="00DD2701">
        <w:rPr>
          <w:rFonts w:ascii="Bookman Old Style" w:eastAsia="Calibri" w:hAnsi="Bookman Old Style"/>
          <w:b/>
          <w:i/>
          <w:sz w:val="22"/>
          <w:szCs w:val="22"/>
          <w:lang w:val="es-ES_tradnl" w:eastAsia="en-US"/>
        </w:rPr>
        <w:t xml:space="preserve"> </w:t>
      </w:r>
      <w:r w:rsidRPr="00DD2701">
        <w:rPr>
          <w:rFonts w:ascii="Bookman Old Style" w:eastAsia="Calibri" w:hAnsi="Bookman Old Style"/>
          <w:sz w:val="22"/>
          <w:szCs w:val="22"/>
          <w:lang w:val="es-ES_tradnl" w:eastAsia="en-US"/>
        </w:rPr>
        <w:t>(Resaltado fuera de texto)</w:t>
      </w:r>
    </w:p>
    <w:p w14:paraId="66EB8247" w14:textId="1FCEF621" w:rsidR="00526A24" w:rsidRPr="009A3D5E"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De esta manera, </w:t>
      </w:r>
      <w:r w:rsidR="00A807A1">
        <w:rPr>
          <w:rFonts w:ascii="Bookman Old Style" w:eastAsia="Calibri" w:hAnsi="Bookman Old Style"/>
          <w:lang w:val="es-ES_tradnl" w:eastAsia="en-US"/>
        </w:rPr>
        <w:t>l</w:t>
      </w:r>
      <w:r w:rsidRPr="009A3D5E">
        <w:rPr>
          <w:rFonts w:ascii="Bookman Old Style" w:eastAsia="Calibri" w:hAnsi="Bookman Old Style"/>
          <w:lang w:val="es-ES_tradnl" w:eastAsia="en-US"/>
        </w:rPr>
        <w:t xml:space="preserve">a estructura tarifaria </w:t>
      </w:r>
      <w:r>
        <w:rPr>
          <w:rFonts w:ascii="Bookman Old Style" w:eastAsia="Calibri" w:hAnsi="Bookman Old Style"/>
          <w:lang w:val="es-ES_tradnl" w:eastAsia="en-US"/>
        </w:rPr>
        <w:t>comprende</w:t>
      </w:r>
      <w:r w:rsidRPr="009A3D5E">
        <w:rPr>
          <w:rFonts w:ascii="Bookman Old Style" w:eastAsia="Calibri" w:hAnsi="Bookman Old Style"/>
          <w:lang w:val="es-ES_tradnl" w:eastAsia="en-US"/>
        </w:rPr>
        <w:t xml:space="preserve"> el respeto por </w:t>
      </w:r>
      <w:r>
        <w:rPr>
          <w:rFonts w:ascii="Bookman Old Style" w:eastAsia="Calibri" w:hAnsi="Bookman Old Style"/>
          <w:lang w:val="es-ES_tradnl" w:eastAsia="en-US"/>
        </w:rPr>
        <w:t xml:space="preserve">la </w:t>
      </w:r>
      <w:r w:rsidRPr="009A3D5E">
        <w:rPr>
          <w:rFonts w:ascii="Bookman Old Style" w:eastAsia="Calibri" w:hAnsi="Bookman Old Style"/>
          <w:lang w:val="es-ES_tradnl" w:eastAsia="en-US"/>
        </w:rPr>
        <w:t>señal brindada en la Resolución CREG 202 de 2013 en relación con la separación entre el cargo de distribución de gas combustible para usuarios residenciales y no residenciales; sin embargo, la misma debe considerar un aplicación e implementación gradual y progresiva, sin que se vea afectada la recuperación de costos por parte de las empresas y la prestación del servicio en condiciones de eficiencia.</w:t>
      </w:r>
    </w:p>
    <w:p w14:paraId="73F1B9A7" w14:textId="61C51D76"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De acuerdo con lo anterior, la medida regulatoria que se propone dentro de la estructura tarifaria de la actividad de distribución de gas combustible se ajusta a los lineamientos hechos por la jurisprudencia constitucional en relación con el alcance y los fines que debe cumplir el ejercicio de la facultad regulatoria con la que cuenta esta Comisión. Esto, toda vez que la misma busca dar cumplimiento </w:t>
      </w:r>
      <w:r w:rsidRPr="009A3D5E">
        <w:rPr>
          <w:rFonts w:ascii="Bookman Old Style" w:eastAsia="Calibri" w:hAnsi="Bookman Old Style"/>
          <w:lang w:val="es-ES_tradnl" w:eastAsia="en-US"/>
        </w:rPr>
        <w:lastRenderedPageBreak/>
        <w:t>a los fines sociales del Estado</w:t>
      </w:r>
      <w:r w:rsidRPr="009A3D5E">
        <w:rPr>
          <w:rFonts w:ascii="Bookman Old Style" w:eastAsia="Calibri" w:hAnsi="Bookman Old Style"/>
          <w:vertAlign w:val="superscript"/>
          <w:lang w:val="es-ES_tradnl" w:eastAsia="en-US"/>
        </w:rPr>
        <w:footnoteReference w:id="19"/>
      </w:r>
      <w:r w:rsidRPr="009A3D5E">
        <w:rPr>
          <w:rFonts w:ascii="Bookman Old Style" w:eastAsia="Calibri" w:hAnsi="Bookman Old Style"/>
          <w:lang w:val="es-ES_tradnl" w:eastAsia="en-US"/>
        </w:rPr>
        <w:t>, en relación con la satisfacción de las necesidades básicas de los usuarios, la cual parte de un ejercicio de valoración y ponderación de los intereses de los usuarios en relación con el ajuste a las condiciones tarifarias que estos tienen actualmente, permitiendo qu</w:t>
      </w:r>
      <w:r>
        <w:rPr>
          <w:rFonts w:ascii="Bookman Old Style" w:eastAsia="Calibri" w:hAnsi="Bookman Old Style"/>
          <w:lang w:val="es-ES_tradnl" w:eastAsia="en-US"/>
        </w:rPr>
        <w:t xml:space="preserve">e tanto la demanda residencial como la </w:t>
      </w:r>
      <w:r w:rsidRPr="009A3D5E">
        <w:rPr>
          <w:rFonts w:ascii="Bookman Old Style" w:eastAsia="Calibri" w:hAnsi="Bookman Old Style"/>
          <w:lang w:val="es-ES_tradnl" w:eastAsia="en-US"/>
        </w:rPr>
        <w:t>no residencial</w:t>
      </w:r>
      <w:r>
        <w:rPr>
          <w:rFonts w:ascii="Bookman Old Style" w:eastAsia="Calibri" w:hAnsi="Bookman Old Style"/>
          <w:lang w:val="es-ES_tradnl" w:eastAsia="en-US"/>
        </w:rPr>
        <w:t>,</w:t>
      </w:r>
      <w:r w:rsidRPr="009A3D5E">
        <w:rPr>
          <w:rFonts w:ascii="Bookman Old Style" w:eastAsia="Calibri" w:hAnsi="Bookman Old Style"/>
          <w:lang w:val="es-ES_tradnl" w:eastAsia="en-US"/>
        </w:rPr>
        <w:t xml:space="preserve"> de manera gradual y progresiva vean incorporados los ajustes a las tarifas, así como busca</w:t>
      </w:r>
      <w:r>
        <w:rPr>
          <w:rFonts w:ascii="Bookman Old Style" w:eastAsia="Calibri" w:hAnsi="Bookman Old Style"/>
          <w:lang w:val="es-ES_tradnl" w:eastAsia="en-US"/>
        </w:rPr>
        <w:t>r</w:t>
      </w:r>
      <w:r w:rsidRPr="009A3D5E">
        <w:rPr>
          <w:rFonts w:ascii="Bookman Old Style" w:eastAsia="Calibri" w:hAnsi="Bookman Old Style"/>
          <w:lang w:val="es-ES_tradnl" w:eastAsia="en-US"/>
        </w:rPr>
        <w:t xml:space="preserve"> evitar la existencia de un evento que pueda generar un indebido funcionamiento del mercado alterando las condiciones de la demanda perteneciente a los mercados de distribución. </w:t>
      </w:r>
    </w:p>
    <w:p w14:paraId="1B6C3009"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Así mismo, </w:t>
      </w:r>
      <w:r>
        <w:rPr>
          <w:rFonts w:ascii="Bookman Old Style" w:eastAsia="Calibri" w:hAnsi="Bookman Old Style"/>
          <w:lang w:val="es-ES_tradnl" w:eastAsia="en-US"/>
        </w:rPr>
        <w:t>esta</w:t>
      </w:r>
      <w:r w:rsidRPr="009A3D5E">
        <w:rPr>
          <w:rFonts w:ascii="Bookman Old Style" w:eastAsia="Calibri" w:hAnsi="Bookman Old Style"/>
          <w:lang w:val="es-ES_tradnl" w:eastAsia="en-US"/>
        </w:rPr>
        <w:t xml:space="preserve"> medida atiende la consideración de que los servicios públicos domiciliarios tienen una relación inescindible entre su prestación eficiente y la efectividad de los derechos fundamentales de las personas, ya que su prestación eficiente asegura condiciones de vida digna de todos los habitantes del territorio nacional</w:t>
      </w:r>
      <w:r w:rsidRPr="009A3D5E">
        <w:rPr>
          <w:rFonts w:ascii="Bookman Old Style" w:eastAsia="Calibri" w:hAnsi="Bookman Old Style"/>
          <w:vertAlign w:val="superscript"/>
          <w:lang w:val="es-ES_tradnl" w:eastAsia="en-US"/>
        </w:rPr>
        <w:footnoteReference w:id="20"/>
      </w:r>
      <w:r w:rsidRPr="009A3D5E">
        <w:rPr>
          <w:rFonts w:ascii="Bookman Old Style" w:eastAsia="Calibri" w:hAnsi="Bookman Old Style"/>
          <w:vertAlign w:val="superscript"/>
          <w:lang w:val="es-ES_tradnl" w:eastAsia="en-US"/>
        </w:rPr>
        <w:t>.</w:t>
      </w:r>
      <w:r w:rsidRPr="009A3D5E">
        <w:rPr>
          <w:rFonts w:ascii="Bookman Old Style" w:eastAsia="Calibri" w:hAnsi="Bookman Old Style"/>
          <w:lang w:val="es-ES_tradnl" w:eastAsia="en-US"/>
        </w:rPr>
        <w:t xml:space="preserve"> Lo anterior, se reitera, sin afectar que la tarifa que se cubra durante dicho período reflejen el nivel y la estructura de los costos relacionados con la prestación del servicio, garantizando una remuneración eficiente y suficiente de los agentes distribuidores. Es por esto que se considera que la presente medida permite hacer compatibles los intereses privados, que actúan como motor de la actividad económica, con la satisfacción de las necesidades colectivas de los usuarios.</w:t>
      </w:r>
    </w:p>
    <w:p w14:paraId="62E93956" w14:textId="77777777" w:rsidR="006E4CF5" w:rsidRDefault="002608FA" w:rsidP="006E4CF5">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estructura tarifaria propuesta se enmarca dentro de los fines y objetivos que persigue el ejercicio de la facultad regulatoria con la que cuenta esta Comisión, de la misma forma que corresponde a uno de los aspectos que determinan el cobro de las tarifas, de acuerdo con lo dispuesto en el artículo 86 de la Ley 142 de 1994. En este sentido, dicha estructura hace parte del régimen tarifario frente al cual esta Comisión ejerce sus funciones en materia de regulación</w:t>
      </w:r>
      <w:r w:rsidRPr="009A3D5E">
        <w:rPr>
          <w:rFonts w:ascii="Bookman Old Style" w:eastAsia="Calibri" w:hAnsi="Bookman Old Style"/>
          <w:vertAlign w:val="superscript"/>
          <w:lang w:val="es-ES_tradnl" w:eastAsia="en-US"/>
        </w:rPr>
        <w:footnoteReference w:id="21"/>
      </w:r>
      <w:r w:rsidRPr="009A3D5E">
        <w:rPr>
          <w:rFonts w:ascii="Bookman Old Style" w:eastAsia="Calibri" w:hAnsi="Bookman Old Style"/>
          <w:lang w:val="es-ES_tradnl" w:eastAsia="en-US"/>
        </w:rPr>
        <w:t>, por lo que la presente estructura tarifaria y las fórmulas para el cobro de las tarifas incorp</w:t>
      </w:r>
      <w:r>
        <w:rPr>
          <w:rFonts w:ascii="Bookman Old Style" w:eastAsia="Calibri" w:hAnsi="Bookman Old Style"/>
          <w:lang w:val="es-ES_tradnl" w:eastAsia="en-US"/>
        </w:rPr>
        <w:t>oran los elementos que se describen a continuación.</w:t>
      </w:r>
      <w:r w:rsidR="006E4CF5" w:rsidRPr="006E4CF5">
        <w:rPr>
          <w:rFonts w:ascii="Bookman Old Style" w:eastAsia="Calibri" w:hAnsi="Bookman Old Style"/>
          <w:lang w:val="es-ES_tradnl" w:eastAsia="en-US"/>
        </w:rPr>
        <w:t xml:space="preserve"> </w:t>
      </w:r>
    </w:p>
    <w:p w14:paraId="435D5522" w14:textId="18D29D4C" w:rsidR="006E4CF5" w:rsidRDefault="006E4CF5" w:rsidP="006E4CF5">
      <w:pPr>
        <w:spacing w:before="240" w:after="240"/>
        <w:ind w:left="0"/>
        <w:jc w:val="both"/>
        <w:rPr>
          <w:rFonts w:ascii="Bookman Old Style" w:eastAsia="Calibri" w:hAnsi="Bookman Old Style"/>
          <w:lang w:val="es-ES_tradnl" w:eastAsia="en-US"/>
        </w:rPr>
      </w:pPr>
      <w:r w:rsidRPr="003E5DA5">
        <w:rPr>
          <w:rFonts w:ascii="Bookman Old Style" w:eastAsia="Calibri" w:hAnsi="Bookman Old Style"/>
          <w:lang w:val="es-ES_tradnl" w:eastAsia="en-US"/>
        </w:rPr>
        <w:t>La gradualidad en la aplicación del cargo se realizará durante diez (10) años</w:t>
      </w:r>
      <w:r>
        <w:rPr>
          <w:rFonts w:ascii="Bookman Old Style" w:eastAsia="Calibri" w:hAnsi="Bookman Old Style"/>
          <w:lang w:val="es-ES_tradnl" w:eastAsia="en-US"/>
        </w:rPr>
        <w:t xml:space="preserve"> conforme a los siguientes casos:</w:t>
      </w:r>
    </w:p>
    <w:p w14:paraId="6E97C507" w14:textId="77777777" w:rsidR="006E4CF5" w:rsidRPr="00E22BA7" w:rsidRDefault="006E4CF5" w:rsidP="002A3E31">
      <w:pPr>
        <w:pStyle w:val="Prrafodelista"/>
        <w:numPr>
          <w:ilvl w:val="2"/>
          <w:numId w:val="35"/>
        </w:numPr>
        <w:spacing w:before="240" w:after="240"/>
        <w:ind w:left="992" w:right="-91" w:hanging="992"/>
        <w:jc w:val="both"/>
        <w:rPr>
          <w:rFonts w:ascii="Bookman Old Style" w:eastAsia="Calibri" w:hAnsi="Bookman Old Style"/>
          <w:b/>
          <w:sz w:val="24"/>
          <w:szCs w:val="24"/>
          <w:lang w:eastAsia="en-US"/>
        </w:rPr>
      </w:pPr>
      <w:r w:rsidRPr="00E22BA7">
        <w:rPr>
          <w:rFonts w:ascii="Bookman Old Style" w:eastAsia="Calibri" w:hAnsi="Bookman Old Style"/>
          <w:b/>
          <w:sz w:val="24"/>
          <w:szCs w:val="24"/>
          <w:lang w:eastAsia="en-US"/>
        </w:rPr>
        <w:t xml:space="preserve">El valor del cargo de distribución promedio </w:t>
      </w:r>
      <w:r>
        <w:rPr>
          <w:rFonts w:ascii="Bookman Old Style" w:eastAsia="Calibri" w:hAnsi="Bookman Old Style"/>
          <w:b/>
          <w:sz w:val="24"/>
          <w:szCs w:val="24"/>
          <w:lang w:eastAsia="en-US"/>
        </w:rPr>
        <w:t xml:space="preserve">para el siguiente periodo tarifario </w:t>
      </w:r>
      <w:r w:rsidRPr="00E22BA7">
        <w:rPr>
          <w:rFonts w:ascii="Bookman Old Style" w:eastAsia="Calibri" w:hAnsi="Bookman Old Style"/>
          <w:b/>
          <w:sz w:val="24"/>
          <w:szCs w:val="24"/>
          <w:lang w:eastAsia="en-US"/>
        </w:rPr>
        <w:t xml:space="preserve">del submercado es mayor al cargo </w:t>
      </w:r>
      <w:r>
        <w:rPr>
          <w:rFonts w:ascii="Bookman Old Style" w:eastAsia="Calibri" w:hAnsi="Bookman Old Style"/>
          <w:b/>
          <w:sz w:val="24"/>
          <w:szCs w:val="24"/>
          <w:lang w:eastAsia="en-US"/>
        </w:rPr>
        <w:t xml:space="preserve">actual </w:t>
      </w:r>
      <w:r w:rsidRPr="000E7F03">
        <w:rPr>
          <w:rFonts w:ascii="Bookman Old Style" w:eastAsia="Calibri" w:hAnsi="Bookman Old Style"/>
          <w:b/>
          <w:sz w:val="24"/>
          <w:szCs w:val="24"/>
          <w:lang w:val="es-ES_tradnl" w:eastAsia="en-US"/>
        </w:rPr>
        <w:t xml:space="preserve">aplicado a </w:t>
      </w:r>
      <w:r w:rsidRPr="00E22BA7">
        <w:rPr>
          <w:rFonts w:ascii="Bookman Old Style" w:eastAsia="Calibri" w:hAnsi="Bookman Old Style"/>
          <w:b/>
          <w:sz w:val="24"/>
          <w:szCs w:val="24"/>
          <w:lang w:val="es-ES_tradnl" w:eastAsia="en-US"/>
        </w:rPr>
        <w:t>los usuarios diferentes a los de uso residencial</w:t>
      </w:r>
      <w:r w:rsidRPr="000E7F0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4F6E88EA" w14:textId="77777777" w:rsidR="006E4CF5" w:rsidRPr="009D417D" w:rsidRDefault="006E4CF5" w:rsidP="006E4CF5">
      <w:pPr>
        <w:spacing w:before="240" w:after="240"/>
        <w:ind w:left="0"/>
        <w:jc w:val="both"/>
        <w:rPr>
          <w:rFonts w:ascii="Bookman Old Style" w:eastAsia="Calibri" w:hAnsi="Bookman Old Style"/>
          <w:lang w:val="es-ES_tradnl" w:eastAsia="en-US"/>
        </w:rPr>
      </w:pPr>
      <w:r w:rsidRPr="009D417D">
        <w:rPr>
          <w:rFonts w:ascii="Bookman Old Style" w:eastAsia="Calibri" w:hAnsi="Bookman Old Style"/>
          <w:lang w:val="es-ES_tradnl" w:eastAsia="en-US"/>
        </w:rPr>
        <w:t>El cargo promedio del submercado de distribución k se calcula conforme a la siguiente fórmula:</w:t>
      </w:r>
    </w:p>
    <w:p w14:paraId="5E875E16" w14:textId="77777777" w:rsidR="006E4CF5" w:rsidRPr="009D417D" w:rsidRDefault="00A93098"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den>
          </m:f>
        </m:oMath>
      </m:oMathPara>
    </w:p>
    <w:p w14:paraId="0A314D1C" w14:textId="77777777" w:rsidR="006E4CF5" w:rsidRPr="009D417D" w:rsidRDefault="006E4CF5" w:rsidP="004E1136">
      <w:pPr>
        <w:pStyle w:val="Prrafodelista"/>
        <w:spacing w:before="24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Donde:</w:t>
      </w:r>
    </w:p>
    <w:tbl>
      <w:tblPr>
        <w:tblW w:w="0" w:type="auto"/>
        <w:tblLook w:val="04A0" w:firstRow="1" w:lastRow="0" w:firstColumn="1" w:lastColumn="0" w:noHBand="0" w:noVBand="1"/>
      </w:tblPr>
      <w:tblGrid>
        <w:gridCol w:w="1701"/>
        <w:gridCol w:w="7655"/>
      </w:tblGrid>
      <w:tr w:rsidR="006E4CF5" w:rsidRPr="009D417D" w14:paraId="41027235" w14:textId="77777777" w:rsidTr="004E1136">
        <w:tc>
          <w:tcPr>
            <w:tcW w:w="1701" w:type="dxa"/>
          </w:tcPr>
          <w:p w14:paraId="2067D9DB"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prom</m:t>
                        </m:r>
                      </m:e>
                    </m:d>
                    <m:r>
                      <m:rPr>
                        <m:sty m:val="p"/>
                      </m:rPr>
                      <w:rPr>
                        <w:rFonts w:ascii="Cambria Math" w:eastAsia="Calibri" w:hAnsi="Cambria Math"/>
                        <w:sz w:val="24"/>
                        <w:szCs w:val="24"/>
                        <w:lang w:val="es-ES_tradnl" w:eastAsia="en-US"/>
                      </w:rPr>
                      <m:t>k</m:t>
                    </m:r>
                  </m:sub>
                </m:sSub>
              </m:oMath>
            </m:oMathPara>
          </w:p>
        </w:tc>
        <w:tc>
          <w:tcPr>
            <w:tcW w:w="7655" w:type="dxa"/>
          </w:tcPr>
          <w:p w14:paraId="4B1D6041" w14:textId="77777777" w:rsidR="006E4CF5" w:rsidRPr="009D417D"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 Expresado en pesos por metro cúbico ($/m³).</w:t>
            </w:r>
          </w:p>
        </w:tc>
      </w:tr>
      <w:tr w:rsidR="006E4CF5" w:rsidRPr="009D417D" w14:paraId="064A42AD" w14:textId="77777777" w:rsidTr="004E1136">
        <w:tc>
          <w:tcPr>
            <w:tcW w:w="1701" w:type="dxa"/>
          </w:tcPr>
          <w:p w14:paraId="15E437DE"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oMath>
            </m:oMathPara>
          </w:p>
        </w:tc>
        <w:tc>
          <w:tcPr>
            <w:tcW w:w="7655" w:type="dxa"/>
          </w:tcPr>
          <w:p w14:paraId="6F40069A" w14:textId="77777777" w:rsidR="006E4CF5" w:rsidRPr="009D417D"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de distribución transitorio aplicable a usuarios de uso residencial del submercado de distribución k.</w:t>
            </w:r>
          </w:p>
        </w:tc>
      </w:tr>
      <w:tr w:rsidR="006E4CF5" w:rsidRPr="009D417D" w14:paraId="3A433B8B" w14:textId="77777777" w:rsidTr="004E1136">
        <w:tc>
          <w:tcPr>
            <w:tcW w:w="1701" w:type="dxa"/>
          </w:tcPr>
          <w:p w14:paraId="69EC9CB8"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oMath>
            </m:oMathPara>
          </w:p>
        </w:tc>
        <w:tc>
          <w:tcPr>
            <w:tcW w:w="7655" w:type="dxa"/>
          </w:tcPr>
          <w:p w14:paraId="35452FB0" w14:textId="77777777" w:rsidR="006E4CF5" w:rsidRPr="009D417D" w:rsidRDefault="006E4CF5" w:rsidP="00BA3556">
            <w:pPr>
              <w:ind w:left="0"/>
              <w:jc w:val="both"/>
              <w:rPr>
                <w:rFonts w:ascii="Bookman Old Style" w:eastAsia="Calibri" w:hAnsi="Bookman Old Style"/>
                <w:lang w:val="es-ES_tradnl" w:eastAsia="en-US"/>
              </w:rPr>
            </w:pPr>
            <w:r>
              <w:rPr>
                <w:rFonts w:ascii="Bookman Old Style" w:hAnsi="Bookman Old Style" w:cs="Arial"/>
                <w:lang w:val="es-ES_tradnl"/>
              </w:rPr>
              <w:t>Valor obtenido de la suma de: i) d</w:t>
            </w:r>
            <w:r w:rsidRPr="009D417D">
              <w:rPr>
                <w:rFonts w:ascii="Bookman Old Style" w:hAnsi="Bookman Old Style" w:cs="Arial"/>
                <w:lang w:val="es-ES_tradnl"/>
              </w:rPr>
              <w:t xml:space="preserve">emanda </w:t>
            </w:r>
            <w:r>
              <w:rPr>
                <w:rFonts w:ascii="Bookman Old Style" w:hAnsi="Bookman Old Style" w:cs="Arial"/>
                <w:lang w:val="es-ES_tradnl"/>
              </w:rPr>
              <w:t>anual reportada en la solicitud tarifaria</w:t>
            </w:r>
            <w:r w:rsidRPr="009D417D">
              <w:rPr>
                <w:rFonts w:ascii="Bookman Old Style" w:hAnsi="Bookman Old Style" w:cs="Arial"/>
                <w:lang w:val="es-ES_tradnl"/>
              </w:rPr>
              <w:t xml:space="preserve"> correspondiente a usuarios del uso residencial </w:t>
            </w:r>
            <w:r>
              <w:rPr>
                <w:rFonts w:ascii="Bookman Old Style" w:hAnsi="Bookman Old Style" w:cs="Arial"/>
                <w:lang w:val="es-ES_tradnl"/>
              </w:rPr>
              <w:t xml:space="preserve">para mercados existentes </w:t>
            </w:r>
            <w:r w:rsidRPr="009D417D">
              <w:rPr>
                <w:rFonts w:ascii="Bookman Old Style" w:hAnsi="Bookman Old Style" w:cs="Arial"/>
                <w:lang w:val="es-ES_tradnl"/>
              </w:rPr>
              <w:t>del sub</w:t>
            </w:r>
            <w:r w:rsidRPr="009D417D">
              <w:rPr>
                <w:rFonts w:ascii="Bookman Old Style" w:hAnsi="Bookman Old Style" w:cs="Arial"/>
                <w:lang w:val="es-CO" w:eastAsia="en-US"/>
              </w:rPr>
              <w:t xml:space="preserve">mercado de distribución </w:t>
            </w:r>
            <w:r>
              <w:rPr>
                <w:rFonts w:ascii="Bookman Old Style" w:hAnsi="Bookman Old Style" w:cs="Arial"/>
                <w:lang w:val="es-ES_tradnl"/>
              </w:rPr>
              <w:t xml:space="preserve">k y ii) </w:t>
            </w:r>
            <w:r>
              <w:rPr>
                <w:rFonts w:ascii="Bookman Old Style" w:eastAsia="Calibri" w:hAnsi="Bookman Old Style" w:cs="Arial"/>
                <w:lang w:val="es-ES_tradnl" w:eastAsia="es-CO"/>
              </w:rPr>
              <w:t>v</w:t>
            </w:r>
            <w:r w:rsidRPr="007068B3">
              <w:rPr>
                <w:rFonts w:ascii="Bookman Old Style" w:eastAsia="Calibri" w:hAnsi="Bookman Old Style" w:cs="Arial"/>
                <w:lang w:val="es-ES_tradnl" w:eastAsia="es-CO"/>
              </w:rPr>
              <w:t>alor anual equivalente de</w:t>
            </w:r>
            <w:r>
              <w:rPr>
                <w:rFonts w:ascii="Bookman Old Style" w:eastAsia="Calibri" w:hAnsi="Bookman Old Style" w:cs="Arial"/>
                <w:lang w:val="es-ES_tradnl" w:eastAsia="es-CO"/>
              </w:rPr>
              <w:t>l</w:t>
            </w:r>
            <w:r w:rsidRPr="007068B3">
              <w:rPr>
                <w:rFonts w:ascii="Bookman Old Style" w:eastAsia="Calibri" w:hAnsi="Bookman Old Style" w:cs="Arial"/>
                <w:lang w:val="es-ES_tradnl" w:eastAsia="es-CO"/>
              </w:rPr>
              <w:t xml:space="preserve"> valor presente de la proyección de demanda de </w:t>
            </w:r>
            <w:r w:rsidRPr="007068B3">
              <w:rPr>
                <w:rFonts w:ascii="Bookman Old Style" w:eastAsia="Calibri" w:hAnsi="Bookman Old Style" w:cs="Arial"/>
                <w:lang w:val="es-CO" w:eastAsia="en-US"/>
              </w:rPr>
              <w:t xml:space="preserve">usuarios </w:t>
            </w:r>
            <w:r>
              <w:rPr>
                <w:rFonts w:ascii="Bookman Old Style" w:eastAsia="Calibri" w:hAnsi="Bookman Old Style" w:cs="Arial"/>
                <w:lang w:val="es-CO" w:eastAsia="en-US"/>
              </w:rPr>
              <w:t>de</w:t>
            </w:r>
            <w:r w:rsidRPr="007068B3">
              <w:rPr>
                <w:rFonts w:ascii="Bookman Old Style" w:eastAsia="Calibri" w:hAnsi="Bookman Old Style" w:cs="Arial"/>
                <w:lang w:val="es-CO" w:eastAsia="en-US"/>
              </w:rPr>
              <w:t xml:space="preserve"> </w:t>
            </w:r>
            <w:r>
              <w:rPr>
                <w:rFonts w:ascii="Bookman Old Style" w:eastAsia="Calibri" w:hAnsi="Bookman Old Style" w:cs="Arial"/>
                <w:lang w:val="es-CO" w:eastAsia="en-US"/>
              </w:rPr>
              <w:t>uso r</w:t>
            </w:r>
            <w:r w:rsidRPr="007068B3">
              <w:rPr>
                <w:rFonts w:ascii="Bookman Old Style" w:eastAsia="Calibri" w:hAnsi="Bookman Old Style" w:cs="Arial"/>
                <w:lang w:val="es-CO" w:eastAsia="en-US"/>
              </w:rPr>
              <w:t>esidencial</w:t>
            </w:r>
            <w:r w:rsidRPr="007068B3">
              <w:rPr>
                <w:rFonts w:ascii="Bookman Old Style" w:eastAsia="Calibri" w:hAnsi="Bookman Old Style" w:cs="Arial"/>
                <w:lang w:val="es-ES_tradnl" w:eastAsia="es-CO"/>
              </w:rPr>
              <w:t xml:space="preserve"> </w:t>
            </w:r>
            <w:r>
              <w:rPr>
                <w:rFonts w:ascii="Bookman Old Style" w:eastAsia="Calibri" w:hAnsi="Bookman Old Style" w:cs="Arial"/>
                <w:lang w:val="es-CO" w:eastAsia="en-US"/>
              </w:rPr>
              <w:t>de los municipios n</w:t>
            </w:r>
            <w:r w:rsidRPr="007068B3">
              <w:rPr>
                <w:rFonts w:ascii="Bookman Old Style" w:eastAsia="Calibri" w:hAnsi="Bookman Old Style" w:cs="Arial"/>
                <w:lang w:val="es-CO" w:eastAsia="en-US"/>
              </w:rPr>
              <w:t>uevos</w:t>
            </w:r>
            <w:r w:rsidRPr="00911658">
              <w:rPr>
                <w:rFonts w:ascii="Bookman Old Style" w:hAnsi="Bookman Old Style" w:cs="Arial"/>
                <w:lang w:val="es-ES_tradnl"/>
              </w:rPr>
              <w:t xml:space="preserve"> del sub</w:t>
            </w:r>
            <w:r w:rsidRPr="00911658">
              <w:rPr>
                <w:rFonts w:ascii="Bookman Old Style" w:hAnsi="Bookman Old Style" w:cs="Arial"/>
                <w:lang w:val="es-CO" w:eastAsia="en-US"/>
              </w:rPr>
              <w:t xml:space="preserve">mercado de distribución </w:t>
            </w:r>
            <w:r w:rsidRPr="00911658">
              <w:rPr>
                <w:rFonts w:ascii="Bookman Old Style" w:hAnsi="Bookman Old Style" w:cs="Arial"/>
                <w:lang w:val="es-ES_tradnl"/>
              </w:rPr>
              <w:t>k</w:t>
            </w:r>
            <w:r>
              <w:rPr>
                <w:rFonts w:ascii="Bookman Old Style" w:hAnsi="Bookman Old Style" w:cs="Arial"/>
                <w:lang w:val="es-ES_tradnl"/>
              </w:rPr>
              <w:t>. Demanda obtenida a</w:t>
            </w:r>
            <w:r w:rsidRPr="009D417D">
              <w:rPr>
                <w:rFonts w:ascii="Bookman Old Style" w:hAnsi="Bookman Old Style" w:cs="Arial"/>
                <w:lang w:val="es-ES_tradnl"/>
              </w:rPr>
              <w:t xml:space="preserve"> diciembre de 2014</w:t>
            </w:r>
            <w:r>
              <w:rPr>
                <w:rFonts w:ascii="Bookman Old Style" w:hAnsi="Bookman Old Style" w:cs="Arial"/>
                <w:lang w:val="es-ES_tradnl"/>
              </w:rPr>
              <w:t xml:space="preserve"> y</w:t>
            </w:r>
            <w:r w:rsidRPr="009D417D">
              <w:rPr>
                <w:rFonts w:ascii="Bookman Old Style" w:hAnsi="Bookman Old Style" w:cs="Arial"/>
                <w:lang w:val="es-ES_tradnl"/>
              </w:rPr>
              <w:t xml:space="preserve"> </w:t>
            </w:r>
            <w:r>
              <w:rPr>
                <w:rFonts w:ascii="Bookman Old Style" w:hAnsi="Bookman Old Style" w:cs="Arial"/>
                <w:lang w:val="es-ES_tradnl"/>
              </w:rPr>
              <w:t>e</w:t>
            </w:r>
            <w:r w:rsidRPr="009D417D">
              <w:rPr>
                <w:rFonts w:ascii="Bookman Old Style" w:hAnsi="Bookman Old Style" w:cs="Arial"/>
                <w:lang w:val="es-ES_tradnl"/>
              </w:rPr>
              <w:t>xpresada en metros cúbicos (m</w:t>
            </w:r>
            <w:r w:rsidRPr="009D417D">
              <w:rPr>
                <w:rFonts w:ascii="Bookman Old Style" w:hAnsi="Bookman Old Style" w:cs="Arial"/>
                <w:vertAlign w:val="superscript"/>
                <w:lang w:val="es-ES_tradnl"/>
              </w:rPr>
              <w:t>3</w:t>
            </w:r>
            <w:r w:rsidRPr="009D417D">
              <w:rPr>
                <w:rFonts w:ascii="Bookman Old Style" w:hAnsi="Bookman Old Style" w:cs="Arial"/>
                <w:lang w:val="es-ES_tradnl"/>
              </w:rPr>
              <w:t>).</w:t>
            </w:r>
          </w:p>
        </w:tc>
      </w:tr>
      <w:tr w:rsidR="006E4CF5" w:rsidRPr="009D417D" w14:paraId="32EE24DA" w14:textId="77777777" w:rsidTr="004E1136">
        <w:tc>
          <w:tcPr>
            <w:tcW w:w="1701" w:type="dxa"/>
          </w:tcPr>
          <w:p w14:paraId="40501DB6"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oMath>
            </m:oMathPara>
          </w:p>
        </w:tc>
        <w:tc>
          <w:tcPr>
            <w:tcW w:w="7655" w:type="dxa"/>
          </w:tcPr>
          <w:p w14:paraId="5C909D44" w14:textId="77777777" w:rsidR="006E4CF5" w:rsidRPr="009D417D"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 distribución transitorio aplicable a usuarios diferentes a los de uso</w:t>
            </w:r>
            <w:r>
              <w:rPr>
                <w:rFonts w:ascii="Bookman Old Style" w:eastAsia="Calibri" w:hAnsi="Bookman Old Style"/>
                <w:sz w:val="24"/>
                <w:szCs w:val="24"/>
                <w:lang w:val="es-ES_tradnl" w:eastAsia="en-US"/>
              </w:rPr>
              <w:t xml:space="preserve"> </w:t>
            </w:r>
            <w:r w:rsidRPr="009D417D">
              <w:rPr>
                <w:rFonts w:ascii="Bookman Old Style" w:eastAsia="Calibri" w:hAnsi="Bookman Old Style"/>
                <w:sz w:val="24"/>
                <w:szCs w:val="24"/>
                <w:lang w:val="es-ES_tradnl" w:eastAsia="en-US"/>
              </w:rPr>
              <w:t>residencial del submercado de distribución k.</w:t>
            </w:r>
          </w:p>
        </w:tc>
      </w:tr>
      <w:tr w:rsidR="006E4CF5" w:rsidRPr="009D417D" w14:paraId="6D859427" w14:textId="77777777" w:rsidTr="004E1136">
        <w:tc>
          <w:tcPr>
            <w:tcW w:w="1701" w:type="dxa"/>
          </w:tcPr>
          <w:p w14:paraId="75088F4A"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Q</m:t>
                    </m:r>
                  </m:e>
                  <m:sub>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NoResidencial</m:t>
                        </m:r>
                      </m:e>
                      <m:sub>
                        <m:r>
                          <m:rPr>
                            <m:sty m:val="p"/>
                          </m:rPr>
                          <w:rPr>
                            <w:rFonts w:ascii="Cambria Math" w:eastAsia="Calibri" w:hAnsi="Cambria Math"/>
                            <w:sz w:val="24"/>
                            <w:szCs w:val="24"/>
                            <w:lang w:val="es-ES_tradnl" w:eastAsia="en-US"/>
                          </w:rPr>
                          <m:t>k</m:t>
                        </m:r>
                      </m:sub>
                    </m:sSub>
                  </m:sub>
                </m:sSub>
              </m:oMath>
            </m:oMathPara>
          </w:p>
        </w:tc>
        <w:tc>
          <w:tcPr>
            <w:tcW w:w="7655" w:type="dxa"/>
          </w:tcPr>
          <w:p w14:paraId="646E10C0" w14:textId="77777777" w:rsidR="006E4CF5" w:rsidRPr="00607446"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0E7F03">
              <w:rPr>
                <w:rFonts w:ascii="Bookman Old Style" w:hAnsi="Bookman Old Style" w:cs="Arial"/>
                <w:sz w:val="24"/>
                <w:szCs w:val="24"/>
                <w:lang w:val="es-ES_tradnl"/>
              </w:rPr>
              <w:t xml:space="preserve">Valor obtenido de la suma de: i) demanda anual reportada en la solicitud tarifaria correspondiente a usuarios </w:t>
            </w:r>
            <w:r>
              <w:rPr>
                <w:rFonts w:ascii="Bookman Old Style" w:hAnsi="Bookman Old Style" w:cs="Arial"/>
                <w:sz w:val="24"/>
                <w:szCs w:val="24"/>
                <w:lang w:val="es-ES_tradnl"/>
              </w:rPr>
              <w:t>diferentes a los de</w:t>
            </w:r>
            <w:r w:rsidRPr="000E7F03">
              <w:rPr>
                <w:rFonts w:ascii="Bookman Old Style" w:hAnsi="Bookman Old Style" w:cs="Arial"/>
                <w:sz w:val="24"/>
                <w:szCs w:val="24"/>
                <w:lang w:val="es-ES_tradnl"/>
              </w:rPr>
              <w:t xml:space="preserve"> uso residencial para </w:t>
            </w:r>
            <w:r>
              <w:rPr>
                <w:rFonts w:ascii="Bookman Old Style" w:hAnsi="Bookman Old Style" w:cs="Arial"/>
                <w:sz w:val="24"/>
                <w:szCs w:val="24"/>
                <w:lang w:val="es-ES_tradnl"/>
              </w:rPr>
              <w:t xml:space="preserve">los </w:t>
            </w:r>
            <w:r w:rsidRPr="000E7F03">
              <w:rPr>
                <w:rFonts w:ascii="Bookman Old Style" w:hAnsi="Bookman Old Style" w:cs="Arial"/>
                <w:sz w:val="24"/>
                <w:szCs w:val="24"/>
                <w:lang w:val="es-ES_tradnl"/>
              </w:rPr>
              <w:t>mercados existentes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 xml:space="preserve">k y ii) </w:t>
            </w:r>
            <w:r w:rsidRPr="000E7F03">
              <w:rPr>
                <w:rFonts w:ascii="Bookman Old Style" w:eastAsia="Calibri" w:hAnsi="Bookman Old Style" w:cs="Arial"/>
                <w:sz w:val="24"/>
                <w:szCs w:val="24"/>
                <w:lang w:val="es-ES_tradnl" w:eastAsia="es-CO"/>
              </w:rPr>
              <w:t xml:space="preserve">valor anual equivalente del valor presente de la proyección de demanda de </w:t>
            </w:r>
            <w:r w:rsidRPr="000E7F03">
              <w:rPr>
                <w:rFonts w:ascii="Bookman Old Style" w:eastAsia="Calibri" w:hAnsi="Bookman Old Style" w:cs="Arial"/>
                <w:sz w:val="24"/>
                <w:szCs w:val="24"/>
                <w:lang w:eastAsia="en-US"/>
              </w:rPr>
              <w:t xml:space="preserve">usuarios </w:t>
            </w:r>
            <w:r>
              <w:rPr>
                <w:rFonts w:ascii="Bookman Old Style" w:eastAsia="Calibri" w:hAnsi="Bookman Old Style" w:cs="Arial"/>
                <w:sz w:val="24"/>
                <w:szCs w:val="24"/>
                <w:lang w:eastAsia="en-US"/>
              </w:rPr>
              <w:t xml:space="preserve">diferentes a los </w:t>
            </w:r>
            <w:r w:rsidRPr="000E7F03">
              <w:rPr>
                <w:rFonts w:ascii="Bookman Old Style" w:eastAsia="Calibri" w:hAnsi="Bookman Old Style" w:cs="Arial"/>
                <w:sz w:val="24"/>
                <w:szCs w:val="24"/>
                <w:lang w:eastAsia="en-US"/>
              </w:rPr>
              <w:t>de uso residencial</w:t>
            </w:r>
            <w:r w:rsidRPr="000E7F03">
              <w:rPr>
                <w:rFonts w:ascii="Bookman Old Style" w:eastAsia="Calibri" w:hAnsi="Bookman Old Style" w:cs="Arial"/>
                <w:sz w:val="24"/>
                <w:szCs w:val="24"/>
                <w:lang w:val="es-ES_tradnl" w:eastAsia="es-CO"/>
              </w:rPr>
              <w:t xml:space="preserve"> </w:t>
            </w:r>
            <w:r w:rsidRPr="000E7F03">
              <w:rPr>
                <w:rFonts w:ascii="Bookman Old Style" w:eastAsia="Calibri" w:hAnsi="Bookman Old Style" w:cs="Arial"/>
                <w:sz w:val="24"/>
                <w:szCs w:val="24"/>
                <w:lang w:eastAsia="en-US"/>
              </w:rPr>
              <w:t>de los municipios nuevos</w:t>
            </w:r>
            <w:r w:rsidRPr="000E7F03">
              <w:rPr>
                <w:rFonts w:ascii="Bookman Old Style" w:hAnsi="Bookman Old Style" w:cs="Arial"/>
                <w:sz w:val="24"/>
                <w:szCs w:val="24"/>
                <w:lang w:val="es-ES_tradnl"/>
              </w:rPr>
              <w:t xml:space="preserve">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k. Demanda obtenida a diciembre de 2014 y expresada en metros cúbicos (m</w:t>
            </w:r>
            <w:r w:rsidRPr="000E7F03">
              <w:rPr>
                <w:rFonts w:ascii="Bookman Old Style" w:hAnsi="Bookman Old Style" w:cs="Arial"/>
                <w:sz w:val="24"/>
                <w:szCs w:val="24"/>
                <w:vertAlign w:val="superscript"/>
                <w:lang w:val="es-ES_tradnl"/>
              </w:rPr>
              <w:t>3</w:t>
            </w:r>
            <w:r w:rsidRPr="000E7F03">
              <w:rPr>
                <w:rFonts w:ascii="Bookman Old Style" w:hAnsi="Bookman Old Style" w:cs="Arial"/>
                <w:sz w:val="24"/>
                <w:szCs w:val="24"/>
                <w:lang w:val="es-ES_tradnl"/>
              </w:rPr>
              <w:t>).</w:t>
            </w:r>
          </w:p>
        </w:tc>
      </w:tr>
      <w:tr w:rsidR="006E4CF5" w14:paraId="0FEA043E" w14:textId="77777777" w:rsidTr="004E1136">
        <w:tc>
          <w:tcPr>
            <w:tcW w:w="1701" w:type="dxa"/>
          </w:tcPr>
          <w:p w14:paraId="3891866B" w14:textId="77777777" w:rsidR="006E4CF5" w:rsidRPr="009D417D" w:rsidRDefault="00A93098" w:rsidP="00BA3556">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oMath>
            </m:oMathPara>
          </w:p>
        </w:tc>
        <w:tc>
          <w:tcPr>
            <w:tcW w:w="7655" w:type="dxa"/>
            <w:vAlign w:val="center"/>
          </w:tcPr>
          <w:p w14:paraId="41DE803A" w14:textId="77777777" w:rsidR="006E4CF5" w:rsidRPr="000E7F03" w:rsidRDefault="006E4CF5" w:rsidP="00BA3556">
            <w:pPr>
              <w:ind w:left="0"/>
              <w:jc w:val="both"/>
              <w:rPr>
                <w:rFonts w:ascii="Bookman Old Style" w:hAnsi="Bookman Old Style" w:cs="Arial"/>
                <w:lang w:val="es-ES_tradnl"/>
              </w:rPr>
            </w:pPr>
            <w:r>
              <w:rPr>
                <w:rFonts w:ascii="Bookman Old Style" w:hAnsi="Bookman Old Style" w:cs="Arial"/>
                <w:lang w:val="es-ES_tradnl"/>
              </w:rPr>
              <w:t>Valor obtenido de la s</w:t>
            </w:r>
            <w:r w:rsidRPr="00911658">
              <w:rPr>
                <w:rFonts w:ascii="Bookman Old Style" w:hAnsi="Bookman Old Style" w:cs="Arial"/>
                <w:lang w:val="es-ES_tradnl"/>
              </w:rPr>
              <w:t xml:space="preserve">uma de: i) </w:t>
            </w:r>
            <m:oMath>
              <m:sSub>
                <m:sSubPr>
                  <m:ctrlPr>
                    <w:rPr>
                      <w:rFonts w:ascii="Cambria Math" w:hAnsi="Cambria Math" w:cs="Arial"/>
                      <w:lang w:val="es-ES_tradnl"/>
                    </w:rPr>
                  </m:ctrlPr>
                </m:sSubPr>
                <m:e>
                  <m:r>
                    <m:rPr>
                      <m:sty m:val="p"/>
                    </m:rPr>
                    <w:rPr>
                      <w:rFonts w:ascii="Cambria Math" w:hAnsi="Cambria Math" w:cs="Arial"/>
                      <w:lang w:val="es-ES_tradnl"/>
                    </w:rPr>
                    <m:t>Q</m:t>
                  </m:r>
                </m:e>
                <m:sub>
                  <m:sSub>
                    <m:sSubPr>
                      <m:ctrlPr>
                        <w:rPr>
                          <w:rFonts w:ascii="Cambria Math" w:hAnsi="Cambria Math" w:cs="Arial"/>
                          <w:lang w:val="es-ES_tradnl"/>
                        </w:rPr>
                      </m:ctrlPr>
                    </m:sSubPr>
                    <m:e>
                      <m:r>
                        <m:rPr>
                          <m:sty m:val="p"/>
                        </m:rPr>
                        <w:rPr>
                          <w:rFonts w:ascii="Cambria Math" w:hAnsi="Cambria Math" w:cs="Arial"/>
                          <w:lang w:val="es-ES_tradnl"/>
                        </w:rPr>
                        <m:t>Residencial</m:t>
                      </m:r>
                    </m:e>
                    <m:sub>
                      <m:r>
                        <m:rPr>
                          <m:sty m:val="p"/>
                        </m:rPr>
                        <w:rPr>
                          <w:rFonts w:ascii="Cambria Math" w:hAnsi="Cambria Math" w:cs="Arial"/>
                          <w:lang w:val="es-ES_tradnl"/>
                        </w:rPr>
                        <m:t>k</m:t>
                      </m:r>
                    </m:sub>
                  </m:sSub>
                </m:sub>
              </m:sSub>
            </m:oMath>
            <w:r w:rsidRPr="00911658">
              <w:rPr>
                <w:rFonts w:ascii="Bookman Old Style" w:hAnsi="Bookman Old Style" w:cs="Arial"/>
                <w:lang w:val="es-ES_tradnl"/>
              </w:rPr>
              <w:t xml:space="preserve"> y ii)</w:t>
            </w:r>
            <w:r>
              <w:rPr>
                <w:rFonts w:ascii="Bookman Old Style" w:hAnsi="Bookman Old Style" w:cs="Arial"/>
                <w:lang w:val="es-ES_tradnl"/>
              </w:rPr>
              <w:t xml:space="preserve"> </w:t>
            </w:r>
            <m:oMath>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Q</m:t>
                  </m:r>
                </m:e>
                <m:sub>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NoResidencial</m:t>
                      </m:r>
                    </m:e>
                    <m:sub>
                      <m:r>
                        <m:rPr>
                          <m:sty m:val="p"/>
                        </m:rPr>
                        <w:rPr>
                          <w:rFonts w:ascii="Cambria Math" w:eastAsia="Calibri" w:hAnsi="Cambria Math"/>
                          <w:lang w:val="es-ES_tradnl" w:eastAsia="en-US"/>
                        </w:rPr>
                        <m:t>k</m:t>
                      </m:r>
                    </m:sub>
                  </m:sSub>
                </m:sub>
              </m:sSub>
            </m:oMath>
            <w:r w:rsidRPr="00911658">
              <w:rPr>
                <w:rFonts w:ascii="Bookman Old Style" w:hAnsi="Bookman Old Style" w:cs="Arial"/>
                <w:lang w:val="es-ES_tradnl"/>
              </w:rPr>
              <w:t>.</w:t>
            </w:r>
          </w:p>
        </w:tc>
      </w:tr>
    </w:tbl>
    <w:p w14:paraId="1FB189D4" w14:textId="77777777" w:rsidR="006E4CF5" w:rsidRDefault="006E4CF5" w:rsidP="006E4CF5">
      <w:pPr>
        <w:spacing w:before="240" w:after="240"/>
        <w:ind w:left="0" w:right="-91"/>
        <w:jc w:val="both"/>
        <w:rPr>
          <w:rFonts w:ascii="Bookman Old Style" w:eastAsia="Calibri" w:hAnsi="Bookman Old Style"/>
          <w:lang w:val="es-ES_tradnl"/>
        </w:rPr>
      </w:pPr>
      <w:r w:rsidRPr="000E7F03">
        <w:rPr>
          <w:rFonts w:ascii="Bookman Old Style" w:eastAsia="Calibri" w:hAnsi="Bookman Old Style"/>
          <w:lang w:val="es-ES_tradnl" w:eastAsia="en-US"/>
        </w:rPr>
        <w:t xml:space="preserve">En el caso en que </w:t>
      </w:r>
      <w:r w:rsidRPr="000E7F03">
        <w:rPr>
          <w:rFonts w:ascii="Bookman Old Style" w:eastAsia="Calibri" w:hAnsi="Bookman Old Style"/>
          <w:lang w:eastAsia="en-US"/>
        </w:rPr>
        <w:t>el valor del cargo de distribución promedio del submercado</w:t>
      </w:r>
      <w:r>
        <w:rPr>
          <w:rFonts w:ascii="Bookman Old Style" w:eastAsia="Calibri" w:hAnsi="Bookman Old Style"/>
          <w:lang w:eastAsia="en-US"/>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sidRPr="000E7F03">
        <w:rPr>
          <w:rFonts w:ascii="Bookman Old Style" w:eastAsia="Calibri" w:hAnsi="Bookman Old Style"/>
          <w:lang w:eastAsia="en-US"/>
        </w:rPr>
        <w:t xml:space="preserve"> s</w:t>
      </w:r>
      <w:r>
        <w:rPr>
          <w:rFonts w:ascii="Bookman Old Style" w:eastAsia="Calibri" w:hAnsi="Bookman Old Style"/>
          <w:lang w:eastAsia="en-US"/>
        </w:rPr>
        <w:t>ea</w:t>
      </w:r>
      <w:r w:rsidRPr="000E7F03">
        <w:rPr>
          <w:rFonts w:ascii="Bookman Old Style" w:eastAsia="Calibri" w:hAnsi="Bookman Old Style"/>
          <w:lang w:eastAsia="en-US"/>
        </w:rPr>
        <w:t xml:space="preserve"> mayor al cargo </w:t>
      </w:r>
      <w:r w:rsidRPr="000E7F03">
        <w:rPr>
          <w:rFonts w:ascii="Bookman Old Style" w:eastAsia="Calibri" w:hAnsi="Bookman Old Style"/>
          <w:lang w:val="es-ES_tradnl" w:eastAsia="en-US"/>
        </w:rPr>
        <w:t>aplicado a los usuarios diferentes a los de uso residencial en el mes inmediatamente anterior a la aprobación de la presente resolución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r>
          <w:rPr>
            <w:rFonts w:ascii="Cambria Math" w:hAnsi="Cambria Math" w:cs="Arial"/>
            <w:lang w:val="es-ES_tradnl"/>
          </w:rPr>
          <m:t>)</m:t>
        </m:r>
      </m:oMath>
      <w:r w:rsidRPr="000E7F03">
        <w:rPr>
          <w:rFonts w:ascii="Bookman Old Style" w:eastAsia="Calibri" w:hAnsi="Bookman Old Style"/>
          <w:lang w:val="es-ES_tradnl"/>
        </w:rPr>
        <w:t>, se aplicará lo siguiente:</w:t>
      </w:r>
    </w:p>
    <w:p w14:paraId="7901528B" w14:textId="77777777" w:rsidR="006E4CF5" w:rsidRPr="008610C0" w:rsidRDefault="006E4CF5" w:rsidP="006E4CF5">
      <w:pPr>
        <w:pStyle w:val="Prrafodelista"/>
        <w:numPr>
          <w:ilvl w:val="0"/>
          <w:numId w:val="40"/>
        </w:numPr>
        <w:spacing w:before="240" w:after="240"/>
        <w:ind w:left="426" w:hanging="426"/>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uno (1)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seis</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(6) se tiene</w:t>
      </w:r>
      <w:r w:rsidRPr="008610C0">
        <w:rPr>
          <w:rFonts w:ascii="Bookman Old Style" w:eastAsia="Calibri" w:hAnsi="Bookman Old Style"/>
          <w:sz w:val="24"/>
          <w:szCs w:val="24"/>
          <w:lang w:val="es-ES_tradnl" w:eastAsia="en-US"/>
        </w:rPr>
        <w:t>:</w:t>
      </w:r>
    </w:p>
    <w:p w14:paraId="42C8981B"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sidRPr="00E57E38">
        <w:rPr>
          <w:rFonts w:ascii="Bookman Old Style" w:eastAsia="Calibri" w:hAnsi="Bookman Old Style"/>
          <w:lang w:val="es-ES_tradnl" w:eastAsia="en-US"/>
        </w:rPr>
        <w:t xml:space="preserve">Para los usuarios diferentes a los de uso residencial, se </w:t>
      </w:r>
      <w:r>
        <w:rPr>
          <w:rFonts w:ascii="Bookman Old Style" w:eastAsia="Calibri" w:hAnsi="Bookman Old Style"/>
          <w:lang w:val="es-ES_tradnl" w:eastAsia="en-US"/>
        </w:rPr>
        <w:t>aplicará el siguiente cargo:</w:t>
      </w:r>
    </w:p>
    <w:p w14:paraId="24801628" w14:textId="77777777" w:rsidR="006E4CF5" w:rsidRPr="00FB3BC8" w:rsidRDefault="00A93098" w:rsidP="006E4CF5">
      <w:pPr>
        <w:spacing w:before="240" w:after="240"/>
        <w:ind w:left="855"/>
        <w:jc w:val="both"/>
        <w:rPr>
          <w:rFonts w:ascii="Bookman Old Style" w:eastAsia="Calibri" w:hAnsi="Bookman Old Style"/>
          <w:lang w:val="es-ES_tradnl"/>
        </w:rPr>
      </w:pPr>
      <m:oMathPara>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m:rPr>
              <m:sty m:val="p"/>
            </m:rPr>
            <w:rPr>
              <w:rFonts w:ascii="Cambria Math" w:hAnsi="Cambria Math" w:cs="Arial"/>
              <w:lang w:val="es-ES_tradnl"/>
            </w:rPr>
            <m:t>=</m:t>
          </m:r>
          <m:sSub>
            <m:sSubPr>
              <m:ctrlPr>
                <w:rPr>
                  <w:rFonts w:ascii="Cambria Math" w:hAnsi="Cambria Math" w:cs="Arial"/>
                  <w:lang w:val="es-ES_tradnl"/>
                </w:rPr>
              </m:ctrlPr>
            </m:sSubPr>
            <m:e>
              <m:r>
                <m:rPr>
                  <m:sty m:val="p"/>
                </m:rPr>
                <w:rPr>
                  <w:rFonts w:ascii="Cambria Math" w:hAnsi="Cambria Math" w:cs="Arial"/>
                  <w:lang w:val="es-ES_tradnl"/>
                </w:rPr>
                <m:t>D</m:t>
              </m:r>
            </m:e>
            <m:sub>
              <m:sSub>
                <m:sSubPr>
                  <m:ctrlPr>
                    <w:rPr>
                      <w:rFonts w:ascii="Cambria Math" w:hAnsi="Cambria Math" w:cs="Arial"/>
                      <w:lang w:val="es-ES_tradnl"/>
                    </w:rPr>
                  </m:ctrlPr>
                </m:sSubPr>
                <m:e>
                  <m:d>
                    <m:dPr>
                      <m:ctrlPr>
                        <w:rPr>
                          <w:rFonts w:ascii="Cambria Math" w:hAnsi="Cambria Math" w:cs="Arial"/>
                          <w:lang w:val="es-ES_tradnl"/>
                        </w:rPr>
                      </m:ctrlPr>
                    </m:dPr>
                    <m:e>
                      <m:r>
                        <m:rPr>
                          <m:sty m:val="p"/>
                        </m:rPr>
                        <w:rPr>
                          <w:rFonts w:ascii="Cambria Math" w:hAnsi="Cambria Math" w:cs="Arial"/>
                          <w:lang w:val="es-ES_tradnl"/>
                        </w:rPr>
                        <m:t>AUNR</m:t>
                      </m:r>
                    </m:e>
                  </m:d>
                </m:e>
                <m:sub>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sub>
          </m:sSub>
        </m:oMath>
      </m:oMathPara>
    </w:p>
    <w:p w14:paraId="60DEC7E8"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eastAsia="en-US"/>
        </w:rPr>
        <w:t>Donde:</w:t>
      </w:r>
    </w:p>
    <w:tbl>
      <w:tblPr>
        <w:tblW w:w="8222" w:type="dxa"/>
        <w:tblInd w:w="1134" w:type="dxa"/>
        <w:tblLayout w:type="fixed"/>
        <w:tblLook w:val="04A0" w:firstRow="1" w:lastRow="0" w:firstColumn="1" w:lastColumn="0" w:noHBand="0" w:noVBand="1"/>
      </w:tblPr>
      <w:tblGrid>
        <w:gridCol w:w="2122"/>
        <w:gridCol w:w="6100"/>
      </w:tblGrid>
      <w:tr w:rsidR="006E4CF5" w14:paraId="79C62C52" w14:textId="77777777" w:rsidTr="004E1136">
        <w:tc>
          <w:tcPr>
            <w:tcW w:w="2122" w:type="dxa"/>
          </w:tcPr>
          <w:p w14:paraId="5DA80524" w14:textId="77777777" w:rsidR="006E4CF5" w:rsidRPr="00F77D15" w:rsidRDefault="00A93098" w:rsidP="00BA3556">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6100" w:type="dxa"/>
            <w:vAlign w:val="center"/>
          </w:tcPr>
          <w:p w14:paraId="11DA2B92" w14:textId="77777777" w:rsidR="006E4CF5" w:rsidRDefault="006E4CF5" w:rsidP="00BA3556">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87F0973" w14:textId="77777777" w:rsidTr="004E1136">
        <w:tc>
          <w:tcPr>
            <w:tcW w:w="2122" w:type="dxa"/>
          </w:tcPr>
          <w:p w14:paraId="429F2D0A" w14:textId="22D2CB85" w:rsidR="006E4CF5" w:rsidRPr="00F77D15" w:rsidRDefault="00A93098" w:rsidP="00BA3556">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oMath>
            </m:oMathPara>
          </w:p>
        </w:tc>
        <w:tc>
          <w:tcPr>
            <w:tcW w:w="6100" w:type="dxa"/>
            <w:vAlign w:val="center"/>
          </w:tcPr>
          <w:p w14:paraId="6F8FBE28" w14:textId="78CC3419" w:rsidR="006E4CF5" w:rsidRDefault="006E4CF5" w:rsidP="00BA3556">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Cargo de distribución aplicado a los usuarios</w:t>
            </w:r>
            <w:r w:rsidR="00097420">
              <w:rPr>
                <w:rFonts w:ascii="Bookman Old Style" w:eastAsia="Calibri" w:hAnsi="Bookman Old Style"/>
                <w:sz w:val="24"/>
                <w:szCs w:val="24"/>
                <w:lang w:val="es-ES_tradnl"/>
              </w:rPr>
              <w:t xml:space="preserve"> diferentes a los</w:t>
            </w:r>
            <w:r>
              <w:rPr>
                <w:rFonts w:ascii="Bookman Old Style" w:eastAsia="Calibri" w:hAnsi="Bookman Old Style"/>
                <w:sz w:val="24"/>
                <w:szCs w:val="24"/>
                <w:lang w:val="es-ES_tradnl"/>
              </w:rPr>
              <w:t xml:space="preserve"> de uso residencial en el mes inmediatamente anterior</w:t>
            </w:r>
            <w:r w:rsidRPr="00035AF0">
              <w:rPr>
                <w:rFonts w:ascii="Bookman Old Style" w:eastAsia="Calibri" w:hAnsi="Bookman Old Style"/>
                <w:sz w:val="24"/>
                <w:szCs w:val="24"/>
                <w:lang w:val="es-ES_tradnl"/>
              </w:rPr>
              <w:t xml:space="preserve"> </w:t>
            </w:r>
            <w:r w:rsidRPr="00035AF0">
              <w:rPr>
                <w:rFonts w:ascii="Bookman Old Style" w:eastAsia="Calibri" w:hAnsi="Bookman Old Style"/>
                <w:sz w:val="24"/>
                <w:szCs w:val="24"/>
                <w:lang w:val="es-ES_tradnl" w:eastAsia="en-US"/>
              </w:rPr>
              <w:t>a la aprobación de la presente resolución</w:t>
            </w:r>
            <w:r>
              <w:rPr>
                <w:rFonts w:ascii="Bookman Old Style" w:eastAsia="Calibri" w:hAnsi="Bookman Old Style"/>
                <w:sz w:val="24"/>
                <w:szCs w:val="24"/>
                <w:lang w:val="es-ES_tradnl"/>
              </w:rPr>
              <w:t xml:space="preserve"> en el submercado de distribución k. </w:t>
            </w:r>
            <w:r>
              <w:rPr>
                <w:rFonts w:ascii="Bookman Old Style" w:eastAsia="Calibri" w:hAnsi="Bookman Old Style"/>
                <w:sz w:val="24"/>
                <w:szCs w:val="24"/>
                <w:lang w:val="es-ES_tradnl" w:eastAsia="en-US"/>
              </w:rPr>
              <w:t>Expresado en pesos por metro cúbico ($/m³).</w:t>
            </w:r>
          </w:p>
        </w:tc>
      </w:tr>
    </w:tbl>
    <w:p w14:paraId="3C9A89F9"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rPr>
        <w:t>En el caso en que en el submercado de distribución k haya más de un cargo</w:t>
      </w:r>
      <w:r w:rsidRPr="00E57E38">
        <w:rPr>
          <w:rFonts w:ascii="Bookman Old Style" w:eastAsia="Calibri" w:hAnsi="Bookman Old Style"/>
          <w:lang w:val="es-ES_tradnl" w:eastAsia="en-US"/>
        </w:rPr>
        <w:t xml:space="preserve"> aplicado </w:t>
      </w:r>
      <w:r>
        <w:rPr>
          <w:rFonts w:ascii="Bookman Old Style" w:eastAsia="Calibri" w:hAnsi="Bookman Old Style"/>
          <w:lang w:val="es-ES_tradnl" w:eastAsia="en-US"/>
        </w:rPr>
        <w:t xml:space="preserve">a usuarios de uso diferente al residencial </w:t>
      </w:r>
      <w:r w:rsidRPr="00E57E38">
        <w:rPr>
          <w:rFonts w:ascii="Bookman Old Style" w:eastAsia="Calibri" w:hAnsi="Bookman Old Style"/>
          <w:lang w:val="es-ES_tradnl" w:eastAsia="en-US"/>
        </w:rPr>
        <w:t>en el mes inmediatamente anterior a la aprobación de la presente resolución</w:t>
      </w:r>
      <w:r w:rsidRPr="00E57E38">
        <w:rPr>
          <w:rFonts w:ascii="Bookman Old Style" w:eastAsia="Calibri" w:hAnsi="Bookman Old Style"/>
          <w:lang w:val="es-ES_tradnl"/>
        </w:rPr>
        <w:t>,</w:t>
      </w:r>
      <w:r>
        <w:rPr>
          <w:rFonts w:ascii="Bookman Old Style" w:eastAsia="Calibri" w:hAnsi="Bookman Old Style"/>
          <w:lang w:val="es-ES_tradnl"/>
        </w:rPr>
        <w:t xml:space="preserve"> para la aplicación de la gradualidad se tomará un único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calculado como el promedio ponderado por demanda de dichos cargos del submercado.</w:t>
      </w:r>
    </w:p>
    <w:p w14:paraId="0FABDF6A"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Para los usuarios de uso residencial, la gradualidad se aplicará como se define a continuación:</w:t>
      </w:r>
    </w:p>
    <w:p w14:paraId="4FA6A3B3" w14:textId="77777777" w:rsidR="006E4CF5" w:rsidRDefault="006E4CF5" w:rsidP="006E4CF5">
      <w:pPr>
        <w:numPr>
          <w:ilvl w:val="1"/>
          <w:numId w:val="32"/>
        </w:numPr>
        <w:spacing w:before="240" w:after="240"/>
        <w:ind w:left="1135" w:hanging="28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Durante </w:t>
      </w:r>
      <w:r w:rsidRPr="00A95B7B">
        <w:rPr>
          <w:rFonts w:ascii="Bookman Old Style" w:eastAsia="Calibri" w:hAnsi="Bookman Old Style"/>
          <w:lang w:val="es-ES_tradnl" w:eastAsia="en-US"/>
        </w:rPr>
        <w:t>l</w:t>
      </w:r>
      <w:r>
        <w:rPr>
          <w:rFonts w:ascii="Bookman Old Style" w:eastAsia="Calibri" w:hAnsi="Bookman Old Style"/>
          <w:lang w:val="es-ES_tradnl" w:eastAsia="en-US"/>
        </w:rPr>
        <w:t xml:space="preserve">os dos (2) primeros años </w:t>
      </w:r>
      <w:r w:rsidRPr="00A95B7B">
        <w:rPr>
          <w:rFonts w:ascii="Bookman Old Style" w:eastAsia="Calibri" w:hAnsi="Bookman Old Style"/>
          <w:lang w:val="es-ES_tradnl" w:eastAsia="en-US"/>
        </w:rPr>
        <w:t>se realizará una transición me</w:t>
      </w:r>
      <w:r>
        <w:rPr>
          <w:rFonts w:ascii="Bookman Old Style" w:eastAsia="Calibri" w:hAnsi="Bookman Old Style"/>
          <w:lang w:val="es-ES_tradnl" w:eastAsia="en-US"/>
        </w:rPr>
        <w:t>s a mes. Para ello, se aplicará un cargo de distribución conforme a la siguiente ecuación:</w:t>
      </w:r>
    </w:p>
    <w:p w14:paraId="46E2DABA" w14:textId="77777777" w:rsidR="006E4CF5" w:rsidRPr="00BD1CF6" w:rsidRDefault="00A93098" w:rsidP="006E4CF5">
      <w:pPr>
        <w:pStyle w:val="Prrafodelista"/>
        <w:tabs>
          <w:tab w:val="left" w:pos="1560"/>
        </w:tabs>
        <w:spacing w:before="240" w:after="240"/>
        <w:ind w:left="1134" w:hanging="283"/>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m:t>
              </m:r>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e>
          </m:d>
        </m:oMath>
      </m:oMathPara>
    </w:p>
    <w:p w14:paraId="07EDDD1A" w14:textId="77777777" w:rsidR="006E4CF5" w:rsidRPr="00877C42" w:rsidRDefault="00A93098" w:rsidP="006E4CF5">
      <w:pPr>
        <w:pStyle w:val="Prrafodelista"/>
        <w:tabs>
          <w:tab w:val="left" w:pos="1560"/>
        </w:tabs>
        <w:spacing w:before="240" w:after="240"/>
        <w:ind w:left="1134" w:hanging="283"/>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24</m:t>
              </m:r>
            </m:den>
          </m:f>
        </m:oMath>
      </m:oMathPara>
    </w:p>
    <w:p w14:paraId="4B47E584" w14:textId="77777777" w:rsidR="006E4CF5" w:rsidRPr="00C4625C" w:rsidRDefault="006E4CF5" w:rsidP="006E4CF5">
      <w:pPr>
        <w:pStyle w:val="Prrafodelista"/>
        <w:tabs>
          <w:tab w:val="left" w:pos="1560"/>
        </w:tabs>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W w:w="7797" w:type="dxa"/>
        <w:tblInd w:w="1134" w:type="dxa"/>
        <w:tblLayout w:type="fixed"/>
        <w:tblLook w:val="04A0" w:firstRow="1" w:lastRow="0" w:firstColumn="1" w:lastColumn="0" w:noHBand="0" w:noVBand="1"/>
      </w:tblPr>
      <w:tblGrid>
        <w:gridCol w:w="1985"/>
        <w:gridCol w:w="5812"/>
      </w:tblGrid>
      <w:tr w:rsidR="006E4CF5" w14:paraId="5AE80EF1" w14:textId="77777777" w:rsidTr="00BA3556">
        <w:tc>
          <w:tcPr>
            <w:tcW w:w="1985" w:type="dxa"/>
          </w:tcPr>
          <w:p w14:paraId="203CE633" w14:textId="77777777" w:rsidR="006E4CF5" w:rsidRPr="00F77D15" w:rsidRDefault="00A93098" w:rsidP="00BA3556">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812" w:type="dxa"/>
            <w:vAlign w:val="center"/>
          </w:tcPr>
          <w:p w14:paraId="5B5805EC"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0E7DFB4" w14:textId="77777777" w:rsidTr="00BA3556">
        <w:tc>
          <w:tcPr>
            <w:tcW w:w="1985" w:type="dxa"/>
          </w:tcPr>
          <w:p w14:paraId="13921616" w14:textId="77777777" w:rsidR="006E4CF5" w:rsidRDefault="006E4CF5" w:rsidP="00BA3556">
            <w:pPr>
              <w:pStyle w:val="Prrafodelista"/>
              <w:spacing w:before="120" w:after="120"/>
              <w:ind w:left="31"/>
              <w:rPr>
                <w:rFonts w:ascii="Bookman Old Style" w:eastAsia="Calibri" w:hAnsi="Bookman Old Style"/>
                <w:sz w:val="24"/>
                <w:szCs w:val="24"/>
                <w:lang w:val="es-ES_tradnl"/>
              </w:rPr>
            </w:pPr>
            <w:r>
              <w:rPr>
                <w:rFonts w:ascii="Bookman Old Style" w:eastAsia="Calibri" w:hAnsi="Bookman Old Style"/>
                <w:sz w:val="24"/>
                <w:szCs w:val="24"/>
                <w:lang w:val="es-ES_tradnl"/>
              </w:rPr>
              <w:t>m</w:t>
            </w:r>
          </w:p>
        </w:tc>
        <w:tc>
          <w:tcPr>
            <w:tcW w:w="5812" w:type="dxa"/>
            <w:vAlign w:val="center"/>
          </w:tcPr>
          <w:p w14:paraId="6665F7FF"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Mes para el cual se calcula el cargo de distribución. Esta variable toma valores de 1 a 24, de acuerdo con el mes de aplicación en los dos primeros años de gradualidad.</w:t>
            </w:r>
          </w:p>
        </w:tc>
      </w:tr>
      <w:tr w:rsidR="006E4CF5" w14:paraId="09B61BBC" w14:textId="77777777" w:rsidTr="00BA3556">
        <w:tc>
          <w:tcPr>
            <w:tcW w:w="1985" w:type="dxa"/>
          </w:tcPr>
          <w:p w14:paraId="0A7DF614" w14:textId="77777777" w:rsidR="006E4CF5" w:rsidRPr="00F77D15" w:rsidRDefault="00A93098" w:rsidP="00BA3556">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oMath>
            </m:oMathPara>
          </w:p>
        </w:tc>
        <w:tc>
          <w:tcPr>
            <w:tcW w:w="5812" w:type="dxa"/>
            <w:vAlign w:val="center"/>
          </w:tcPr>
          <w:p w14:paraId="1D561025"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residencial en el submercado de distribución k para los dos (2) primeros años de gradualidad. </w:t>
            </w:r>
            <w:r>
              <w:rPr>
                <w:rFonts w:ascii="Bookman Old Style" w:eastAsia="Calibri" w:hAnsi="Bookman Old Style"/>
                <w:sz w:val="24"/>
                <w:szCs w:val="24"/>
                <w:lang w:val="es-ES_tradnl" w:eastAsia="en-US"/>
              </w:rPr>
              <w:t>Expresado en pesos por metro cúbico ($/m³).</w:t>
            </w:r>
          </w:p>
        </w:tc>
      </w:tr>
      <w:tr w:rsidR="006E4CF5" w14:paraId="33A42139" w14:textId="77777777" w:rsidTr="00BA3556">
        <w:tc>
          <w:tcPr>
            <w:tcW w:w="1985" w:type="dxa"/>
          </w:tcPr>
          <w:p w14:paraId="2A52A8EE" w14:textId="77777777" w:rsidR="006E4CF5" w:rsidRPr="000E7F03" w:rsidRDefault="00A93098" w:rsidP="00BA3556">
            <w:pPr>
              <w:pStyle w:val="Prrafodelista"/>
              <w:spacing w:before="120" w:after="120"/>
              <w:ind w:left="31"/>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5812" w:type="dxa"/>
          </w:tcPr>
          <w:p w14:paraId="40277DB0"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Cargo de distribución final de la transición para usuarios de uso residencial en el submercado de distribución k</w:t>
            </w:r>
            <w:r>
              <w:rPr>
                <w:rFonts w:ascii="Bookman Old Style" w:eastAsia="Calibri" w:hAnsi="Bookman Old Style"/>
                <w:sz w:val="24"/>
                <w:szCs w:val="24"/>
                <w:lang w:val="es-ES_tradnl" w:eastAsia="en-US"/>
              </w:rPr>
              <w:t>, calculado conforme a la siguiente ecuación:</w:t>
            </w:r>
          </w:p>
          <w:p w14:paraId="460DB0DD" w14:textId="77777777" w:rsidR="006E4CF5" w:rsidRPr="00880465" w:rsidRDefault="00A93098" w:rsidP="00BA3556">
            <w:pPr>
              <w:pStyle w:val="Prrafodelista"/>
              <w:spacing w:before="240" w:after="240"/>
              <w:ind w:left="0" w:right="-251" w:firstLine="33"/>
              <w:jc w:val="both"/>
              <w:rPr>
                <w:rFonts w:ascii="Cambria Math" w:hAnsi="Cambria Math" w:cs="Arial"/>
                <w:sz w:val="18"/>
                <w:szCs w:val="19"/>
                <w:lang w:val="es-ES_tradnl"/>
              </w:rPr>
            </w:pPr>
            <m:oMathPara>
              <m:oMathParaPr>
                <m:jc m:val="center"/>
              </m:oMathParaPr>
              <m:oMath>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sSub>
                      <m:sSubPr>
                        <m:ctrlPr>
                          <w:rPr>
                            <w:rFonts w:ascii="Cambria Math" w:hAnsi="Cambria Math" w:cs="Arial"/>
                            <w:sz w:val="18"/>
                            <w:szCs w:val="19"/>
                            <w:lang w:val="es-ES_tradnl"/>
                          </w:rPr>
                        </m:ctrlPr>
                      </m:sSubPr>
                      <m:e>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AUR</m:t>
                            </m:r>
                          </m:e>
                        </m:d>
                      </m:e>
                      <m:sub>
                        <m:r>
                          <m:rPr>
                            <m:sty m:val="p"/>
                          </m:rPr>
                          <w:rPr>
                            <w:rFonts w:ascii="Cambria Math" w:hAnsi="Cambria Math" w:cs="Arial"/>
                            <w:sz w:val="18"/>
                            <w:szCs w:val="19"/>
                            <w:lang w:val="es-ES_tradnl"/>
                          </w:rPr>
                          <m:t>ft</m:t>
                        </m:r>
                      </m:sub>
                    </m:sSub>
                  </m:sub>
                </m:sSub>
                <m:r>
                  <m:rPr>
                    <m:sty m:val="p"/>
                  </m:rPr>
                  <w:rPr>
                    <w:rFonts w:ascii="Cambria Math" w:hAnsi="Cambria Math" w:cs="Arial"/>
                    <w:sz w:val="18"/>
                    <w:szCs w:val="19"/>
                    <w:lang w:val="es-ES_tradnl"/>
                  </w:rPr>
                  <m:t>=</m:t>
                </m:r>
                <m:f>
                  <m:fPr>
                    <m:ctrlPr>
                      <w:rPr>
                        <w:rFonts w:ascii="Cambria Math" w:hAnsi="Cambria Math" w:cs="Arial"/>
                        <w:sz w:val="18"/>
                        <w:szCs w:val="19"/>
                        <w:lang w:val="es-ES_tradnl"/>
                      </w:rPr>
                    </m:ctrlPr>
                  </m:fPr>
                  <m:num>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 xml:space="preserve"> </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prom</m:t>
                                </m:r>
                              </m:e>
                            </m:d>
                            <m:r>
                              <m:rPr>
                                <m:sty m:val="p"/>
                              </m:rPr>
                              <w:rPr>
                                <w:rFonts w:ascii="Cambria Math" w:hAnsi="Cambria Math" w:cs="Arial"/>
                                <w:sz w:val="18"/>
                                <w:szCs w:val="19"/>
                                <w:lang w:val="es-ES_tradnl"/>
                              </w:rPr>
                              <m:t>k_ft</m:t>
                            </m:r>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TOTAL</m:t>
                                </m:r>
                              </m:e>
                              <m:sub>
                                <m:r>
                                  <m:rPr>
                                    <m:sty m:val="p"/>
                                  </m:rPr>
                                  <w:rPr>
                                    <w:rFonts w:ascii="Cambria Math" w:hAnsi="Cambria Math" w:cs="Arial"/>
                                    <w:sz w:val="18"/>
                                    <w:szCs w:val="19"/>
                                    <w:lang w:val="es-ES_tradnl"/>
                                  </w:rPr>
                                  <m:t>k</m:t>
                                </m:r>
                              </m:sub>
                            </m:sSub>
                          </m:sub>
                        </m:sSub>
                      </m:e>
                    </m:d>
                    <m:r>
                      <m:rPr>
                        <m:sty m:val="p"/>
                      </m:rPr>
                      <w:rPr>
                        <w:rFonts w:ascii="Cambria Math" w:hAnsi="Cambria Math" w:cs="Arial"/>
                        <w:sz w:val="18"/>
                        <w:szCs w:val="19"/>
                        <w:lang w:val="es-ES_tradnl"/>
                      </w:rPr>
                      <m:t>-</m:t>
                    </m:r>
                    <m:d>
                      <m:dPr>
                        <m:ctrlPr>
                          <w:rPr>
                            <w:rFonts w:ascii="Cambria Math" w:hAnsi="Cambria Math" w:cs="Arial"/>
                            <w:sz w:val="18"/>
                            <w:szCs w:val="19"/>
                            <w:lang w:val="es-ES_tradnl"/>
                          </w:rPr>
                        </m:ctrlPr>
                      </m:dPr>
                      <m:e>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AUNR</m:t>
                                </m:r>
                              </m:e>
                            </m:d>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anterior</m:t>
                                </m:r>
                              </m:e>
                              <m:sub>
                                <m:r>
                                  <m:rPr>
                                    <m:sty m:val="p"/>
                                  </m:rPr>
                                  <w:rPr>
                                    <w:rFonts w:ascii="Cambria Math" w:hAnsi="Cambria Math" w:cs="Arial"/>
                                    <w:sz w:val="18"/>
                                    <w:szCs w:val="19"/>
                                    <w:lang w:val="es-ES_tradnl"/>
                                  </w:rPr>
                                  <m:t>k</m:t>
                                </m:r>
                              </m:sub>
                            </m:sSub>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NoResidencial</m:t>
                                </m:r>
                              </m:e>
                              <m:sub>
                                <m:r>
                                  <m:rPr>
                                    <m:sty m:val="p"/>
                                  </m:rPr>
                                  <w:rPr>
                                    <w:rFonts w:ascii="Cambria Math" w:hAnsi="Cambria Math" w:cs="Arial"/>
                                    <w:sz w:val="18"/>
                                    <w:szCs w:val="19"/>
                                    <w:lang w:val="es-ES_tradnl"/>
                                  </w:rPr>
                                  <m:t>k</m:t>
                                </m:r>
                              </m:sub>
                            </m:sSub>
                          </m:sub>
                        </m:sSub>
                      </m:e>
                    </m:d>
                  </m:num>
                  <m:den>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Residencial</m:t>
                            </m:r>
                          </m:e>
                          <m:sub>
                            <m:r>
                              <m:rPr>
                                <m:sty m:val="p"/>
                              </m:rPr>
                              <w:rPr>
                                <w:rFonts w:ascii="Cambria Math" w:hAnsi="Cambria Math" w:cs="Arial"/>
                                <w:sz w:val="18"/>
                                <w:szCs w:val="19"/>
                                <w:lang w:val="es-ES_tradnl"/>
                              </w:rPr>
                              <m:t>k</m:t>
                            </m:r>
                          </m:sub>
                        </m:sSub>
                      </m:sub>
                    </m:sSub>
                  </m:den>
                </m:f>
              </m:oMath>
            </m:oMathPara>
          </w:p>
          <w:p w14:paraId="1646E5A8"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5673" w:type="dxa"/>
              <w:tblInd w:w="25" w:type="dxa"/>
              <w:tblLayout w:type="fixed"/>
              <w:tblLook w:val="04A0" w:firstRow="1" w:lastRow="0" w:firstColumn="1" w:lastColumn="0" w:noHBand="0" w:noVBand="1"/>
            </w:tblPr>
            <w:tblGrid>
              <w:gridCol w:w="1293"/>
              <w:gridCol w:w="4380"/>
            </w:tblGrid>
            <w:tr w:rsidR="006E4CF5" w14:paraId="10726D89" w14:textId="77777777" w:rsidTr="004E1136">
              <w:tc>
                <w:tcPr>
                  <w:tcW w:w="1293" w:type="dxa"/>
                </w:tcPr>
                <w:p w14:paraId="38E50991" w14:textId="77777777" w:rsidR="006E4CF5" w:rsidRPr="000E7F03" w:rsidRDefault="00A93098" w:rsidP="00BA3556">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4380" w:type="dxa"/>
                </w:tcPr>
                <w:p w14:paraId="45ACC79B" w14:textId="77777777" w:rsidR="006E4CF5"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aplicado a los usuarios de uso residencial d</w:t>
                  </w:r>
                  <w:r w:rsidRPr="009D417D">
                    <w:rPr>
                      <w:rFonts w:ascii="Bookman Old Style" w:eastAsia="Calibri" w:hAnsi="Bookman Old Style"/>
                      <w:sz w:val="24"/>
                      <w:szCs w:val="24"/>
                      <w:lang w:val="es-ES_tradnl" w:eastAsia="en-US"/>
                    </w:rPr>
                    <w:t xml:space="preserve">el submercado </w:t>
                  </w:r>
                  <w:r>
                    <w:rPr>
                      <w:rFonts w:ascii="Bookman Old Style" w:eastAsia="Calibri" w:hAnsi="Bookman Old Style"/>
                      <w:sz w:val="24"/>
                      <w:szCs w:val="24"/>
                      <w:lang w:val="es-ES_tradnl" w:eastAsia="en-US"/>
                    </w:rPr>
                    <w:t>al final de la transición, expresado en pesos del mes de aprobación de la presente resolución.</w:t>
                  </w:r>
                </w:p>
              </w:tc>
            </w:tr>
            <w:tr w:rsidR="006E4CF5" w14:paraId="304CEE46" w14:textId="77777777" w:rsidTr="004E1136">
              <w:tc>
                <w:tcPr>
                  <w:tcW w:w="1293" w:type="dxa"/>
                </w:tcPr>
                <w:p w14:paraId="10E0EDA6" w14:textId="77777777" w:rsidR="006E4CF5" w:rsidRPr="000E7F03" w:rsidRDefault="00A93098" w:rsidP="00BA3556">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(prom)k_ft</m:t>
                          </m:r>
                        </m:sub>
                      </m:sSub>
                    </m:oMath>
                  </m:oMathPara>
                </w:p>
              </w:tc>
              <w:tc>
                <w:tcPr>
                  <w:tcW w:w="4380" w:type="dxa"/>
                </w:tcPr>
                <w:p w14:paraId="2009BAB8" w14:textId="77777777" w:rsidR="006E4CF5" w:rsidRDefault="006E4CF5" w:rsidP="00BA3556">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24. Dado que estos cargos están expresados a pesos de diciembre de 2014, deberán actualizarse a pesos del mes de aprobación de la presente resolución.</w:t>
                  </w:r>
                </w:p>
              </w:tc>
            </w:tr>
          </w:tbl>
          <w:p w14:paraId="125DCD92" w14:textId="77777777" w:rsidR="006E4CF5" w:rsidRDefault="006E4CF5" w:rsidP="00BA3556">
            <w:pPr>
              <w:pStyle w:val="Prrafodelista"/>
              <w:spacing w:before="120" w:after="120"/>
              <w:ind w:left="25"/>
              <w:jc w:val="both"/>
              <w:rPr>
                <w:rFonts w:ascii="Bookman Old Style" w:eastAsia="Calibri" w:hAnsi="Bookman Old Style"/>
                <w:sz w:val="24"/>
                <w:szCs w:val="24"/>
                <w:lang w:val="es-ES_tradnl"/>
              </w:rPr>
            </w:pPr>
          </w:p>
        </w:tc>
      </w:tr>
    </w:tbl>
    <w:p w14:paraId="3A9B509D" w14:textId="77777777" w:rsidR="006E4CF5" w:rsidRDefault="006E4CF5" w:rsidP="006E4CF5">
      <w:pPr>
        <w:spacing w:before="240" w:after="240"/>
        <w:ind w:left="113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Dado que el distribuidor, durante los dos (2) primeros años, cobra un valor inferior del cargo de distribución, </w:t>
      </w:r>
      <w:r w:rsidRPr="000E7F03">
        <w:rPr>
          <w:rFonts w:ascii="Bookman Old Style" w:eastAsia="Calibri" w:hAnsi="Bookman Old Style"/>
          <w:lang w:val="es-ES_tradnl" w:eastAsia="en-US"/>
        </w:rPr>
        <w:t>se reconocerá al distribuidor</w:t>
      </w:r>
      <w:r w:rsidRPr="00877C42">
        <w:rPr>
          <w:rFonts w:ascii="Bookman Old Style" w:eastAsia="Calibri" w:hAnsi="Bookman Old Style"/>
          <w:lang w:val="es-ES_tradnl" w:eastAsia="en-US"/>
        </w:rPr>
        <w:t xml:space="preserve"> el saldo total acumulado </w:t>
      </w:r>
      <w:r>
        <w:rPr>
          <w:rFonts w:ascii="Bookman Old Style" w:eastAsia="Calibri" w:hAnsi="Bookman Old Style"/>
          <w:lang w:val="es-ES_tradnl" w:eastAsia="en-US"/>
        </w:rPr>
        <w:t>de</w:t>
      </w:r>
      <w:r w:rsidRPr="00877C42">
        <w:rPr>
          <w:rFonts w:ascii="Bookman Old Style" w:eastAsia="Calibri" w:hAnsi="Bookman Old Style"/>
          <w:lang w:val="es-ES_tradnl" w:eastAsia="en-US"/>
        </w:rPr>
        <w:t xml:space="preserve"> los </w:t>
      </w:r>
      <w:r>
        <w:rPr>
          <w:rFonts w:ascii="Bookman Old Style" w:eastAsia="Calibri" w:hAnsi="Bookman Old Style"/>
          <w:lang w:val="es-ES_tradnl" w:eastAsia="en-US"/>
        </w:rPr>
        <w:t>dos</w:t>
      </w:r>
      <w:r w:rsidRPr="000E7F03">
        <w:rPr>
          <w:rFonts w:ascii="Bookman Old Style" w:eastAsia="Calibri" w:hAnsi="Bookman Old Style"/>
          <w:lang w:val="es-ES_tradnl" w:eastAsia="en-US"/>
        </w:rPr>
        <w:t xml:space="preserve"> (2</w:t>
      </w:r>
      <w:r w:rsidRPr="00877C42">
        <w:rPr>
          <w:rFonts w:ascii="Bookman Old Style" w:eastAsia="Calibri" w:hAnsi="Bookman Old Style"/>
          <w:lang w:val="es-ES_tradnl" w:eastAsia="en-US"/>
        </w:rPr>
        <w:t>) primeros años</w:t>
      </w:r>
      <w:r>
        <w:rPr>
          <w:rFonts w:ascii="Bookman Old Style" w:eastAsia="Calibri" w:hAnsi="Bookman Old Style"/>
          <w:lang w:val="es-ES_tradnl" w:eastAsia="en-US"/>
        </w:rPr>
        <w:t xml:space="preserve"> </w:t>
      </w:r>
      <w:r>
        <w:rPr>
          <w:rFonts w:ascii="Bookman Old Style" w:hAnsi="Bookman Old Style"/>
          <w:color w:val="000000"/>
        </w:rPr>
        <w:t xml:space="preserve">por las diferencias </w:t>
      </w:r>
      <w:r w:rsidRPr="004932C5">
        <w:rPr>
          <w:rFonts w:ascii="Bookman Old Style" w:hAnsi="Bookman Old Style"/>
          <w:color w:val="000000"/>
        </w:rPr>
        <w:t xml:space="preserve">entre el cargo </w:t>
      </w:r>
      <w:r w:rsidRPr="004932C5">
        <w:rPr>
          <w:rFonts w:ascii="Bookman Old Style" w:eastAsia="Calibri" w:hAnsi="Bookman Old Style"/>
          <w:lang w:val="es-ES_tradnl"/>
        </w:rPr>
        <w:t>de distribución calculado y el cargo de distribución aplicado a los usuario</w:t>
      </w:r>
      <w:r>
        <w:rPr>
          <w:rFonts w:ascii="Bookman Old Style" w:eastAsia="Calibri" w:hAnsi="Bookman Old Style"/>
          <w:lang w:val="es-ES_tradnl"/>
        </w:rPr>
        <w:t>s de uso residencial.</w:t>
      </w:r>
    </w:p>
    <w:p w14:paraId="737066C2"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 xml:space="preserve">Para tal efecto, el distribuidor </w:t>
      </w:r>
      <w:r w:rsidRPr="004932C5">
        <w:rPr>
          <w:rFonts w:ascii="Bookman Old Style" w:eastAsia="Calibri" w:hAnsi="Bookman Old Style"/>
          <w:sz w:val="24"/>
          <w:szCs w:val="24"/>
          <w:lang w:val="es-ES_tradnl" w:eastAsia="en-US"/>
        </w:rPr>
        <w:t xml:space="preserve">calculará </w:t>
      </w:r>
      <w:r>
        <w:rPr>
          <w:rFonts w:ascii="Bookman Old Style" w:eastAsia="Calibri" w:hAnsi="Bookman Old Style"/>
          <w:sz w:val="24"/>
          <w:szCs w:val="24"/>
          <w:lang w:val="es-ES_tradnl" w:eastAsia="en-US"/>
        </w:rPr>
        <w:t xml:space="preserve">dicho </w:t>
      </w:r>
      <w:r w:rsidRPr="004932C5">
        <w:rPr>
          <w:rFonts w:ascii="Bookman Old Style" w:hAnsi="Bookman Old Style"/>
          <w:color w:val="000000"/>
          <w:sz w:val="24"/>
          <w:szCs w:val="24"/>
        </w:rPr>
        <w:t>saldo</w:t>
      </w:r>
      <w:r>
        <w:rPr>
          <w:rFonts w:ascii="Bookman Old Style" w:eastAsia="Calibri" w:hAnsi="Bookman Old Style"/>
          <w:sz w:val="24"/>
          <w:szCs w:val="24"/>
          <w:lang w:val="es-ES_tradnl"/>
        </w:rPr>
        <w:t>, aplicando</w:t>
      </w:r>
      <w:r w:rsidRPr="004932C5">
        <w:rPr>
          <w:rFonts w:ascii="Bookman Old Style" w:eastAsia="Calibri" w:hAnsi="Bookman Old Style"/>
          <w:sz w:val="24"/>
          <w:szCs w:val="24"/>
          <w:lang w:val="es-ES_tradnl"/>
        </w:rPr>
        <w:t xml:space="preserve"> </w:t>
      </w:r>
      <w:r w:rsidRPr="004932C5">
        <w:rPr>
          <w:rFonts w:ascii="Bookman Old Style" w:eastAsia="Calibri" w:hAnsi="Bookman Old Style"/>
          <w:sz w:val="24"/>
          <w:szCs w:val="24"/>
          <w:lang w:val="es-ES_tradnl" w:eastAsia="en-US"/>
        </w:rPr>
        <w:t>la siguiente</w:t>
      </w:r>
      <w:r>
        <w:rPr>
          <w:rFonts w:ascii="Bookman Old Style" w:eastAsia="Calibri" w:hAnsi="Bookman Old Style"/>
          <w:sz w:val="24"/>
          <w:szCs w:val="24"/>
          <w:lang w:val="es-ES_tradnl" w:eastAsia="en-US"/>
        </w:rPr>
        <w:t xml:space="preserve"> fórmula:</w:t>
      </w:r>
    </w:p>
    <w:p w14:paraId="3A230482" w14:textId="77777777" w:rsidR="006E4CF5" w:rsidRPr="00E94249" w:rsidRDefault="00A93098" w:rsidP="006E4CF5">
      <w:pPr>
        <w:pStyle w:val="Prrafodelista"/>
        <w:spacing w:before="240" w:after="240"/>
        <w:ind w:left="1134" w:hanging="283"/>
        <w:jc w:val="both"/>
        <w:rPr>
          <w:rFonts w:ascii="Bookman Old Style" w:eastAsia="Calibri" w:hAnsi="Bookman Old Style"/>
          <w:sz w:val="22"/>
          <w:szCs w:val="22"/>
          <w:lang w:eastAsia="es-CO"/>
        </w:rPr>
      </w:pPr>
      <m:oMathPara>
        <m:oMath>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SA</m:t>
              </m:r>
            </m:e>
            <m:sub>
              <m:r>
                <m:rPr>
                  <m:sty m:val="p"/>
                </m:rPr>
                <w:rPr>
                  <w:rFonts w:ascii="Cambria Math" w:hAnsi="Cambria Math" w:cs="Arial"/>
                  <w:sz w:val="22"/>
                  <w:szCs w:val="22"/>
                  <w:lang w:eastAsia="es-CO"/>
                </w:rPr>
                <m:t>j,k</m:t>
              </m:r>
            </m:sub>
          </m:sSub>
          <m:r>
            <m:rPr>
              <m:sty m:val="p"/>
            </m:rPr>
            <w:rPr>
              <w:rFonts w:ascii="Cambria Math" w:hAnsi="Cambria Math" w:cs="Arial"/>
              <w:sz w:val="22"/>
              <w:szCs w:val="22"/>
              <w:lang w:eastAsia="es-CO"/>
            </w:rPr>
            <m:t>=</m:t>
          </m:r>
          <m:nary>
            <m:naryPr>
              <m:chr m:val="∑"/>
              <m:limLoc m:val="subSup"/>
              <m:ctrlPr>
                <w:rPr>
                  <w:rFonts w:ascii="Cambria Math" w:hAnsi="Cambria Math" w:cs="Arial"/>
                  <w:sz w:val="22"/>
                  <w:szCs w:val="22"/>
                  <w:lang w:eastAsia="es-CO"/>
                </w:rPr>
              </m:ctrlPr>
            </m:naryPr>
            <m:sub>
              <m:r>
                <m:rPr>
                  <m:sty m:val="p"/>
                </m:rPr>
                <w:rPr>
                  <w:rFonts w:ascii="Cambria Math" w:hAnsi="Cambria Math" w:cs="Arial"/>
                  <w:sz w:val="22"/>
                  <w:szCs w:val="22"/>
                  <w:lang w:eastAsia="es-CO"/>
                </w:rPr>
                <m:t>m=1</m:t>
              </m:r>
            </m:sub>
            <m:sup>
              <m:r>
                <w:rPr>
                  <w:rFonts w:ascii="Cambria Math" w:hAnsi="Cambria Math" w:cs="Arial"/>
                  <w:sz w:val="22"/>
                  <w:szCs w:val="22"/>
                  <w:lang w:eastAsia="es-CO"/>
                </w:rPr>
                <m:t>24</m:t>
              </m:r>
            </m:sup>
            <m:e>
              <m:d>
                <m:dPr>
                  <m:ctrlPr>
                    <w:rPr>
                      <w:rFonts w:ascii="Cambria Math" w:hAnsi="Cambria Math" w:cs="Arial"/>
                      <w:sz w:val="22"/>
                      <w:szCs w:val="22"/>
                      <w:lang w:eastAsia="es-CO"/>
                    </w:rPr>
                  </m:ctrlPr>
                </m:dPr>
                <m:e>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m:rPr>
                      <m:sty m:val="p"/>
                    </m:rPr>
                    <w:rPr>
                      <w:rFonts w:ascii="Cambria Math" w:hAnsi="Cambria Math" w:cs="Arial"/>
                      <w:sz w:val="22"/>
                      <w:szCs w:val="22"/>
                      <w:lang w:eastAsia="es-CO"/>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e>
              </m:d>
              <m:r>
                <m:rPr>
                  <m:sty m:val="p"/>
                </m:rPr>
                <w:rPr>
                  <w:rFonts w:ascii="Cambria Math" w:hAnsi="Cambria Math" w:cs="Arial"/>
                  <w:sz w:val="22"/>
                  <w:szCs w:val="22"/>
                  <w:lang w:eastAsia="es-CO"/>
                </w:rPr>
                <m:t xml:space="preserve">× </m:t>
              </m:r>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k,m,j</m:t>
                  </m:r>
                </m:sub>
              </m:sSub>
              <m:r>
                <m:rPr>
                  <m:sty m:val="p"/>
                </m:rPr>
                <w:rPr>
                  <w:rFonts w:ascii="Cambria Math" w:hAnsi="Cambria Math" w:cs="Arial"/>
                  <w:sz w:val="22"/>
                  <w:szCs w:val="22"/>
                  <w:lang w:eastAsia="es-CO"/>
                </w:rPr>
                <m:t>×</m:t>
              </m:r>
              <m:sSup>
                <m:sSupPr>
                  <m:ctrlPr>
                    <w:rPr>
                      <w:rFonts w:ascii="Cambria Math" w:hAnsi="Cambria Math" w:cs="Arial"/>
                      <w:sz w:val="22"/>
                      <w:szCs w:val="22"/>
                      <w:lang w:eastAsia="es-CO"/>
                    </w:rPr>
                  </m:ctrlPr>
                </m:sSupPr>
                <m:e>
                  <m:d>
                    <m:dPr>
                      <m:ctrlPr>
                        <w:rPr>
                          <w:rFonts w:ascii="Cambria Math" w:hAnsi="Cambria Math" w:cs="Arial"/>
                          <w:sz w:val="22"/>
                          <w:szCs w:val="22"/>
                          <w:lang w:eastAsia="es-CO"/>
                        </w:rPr>
                      </m:ctrlPr>
                    </m:dPr>
                    <m:e>
                      <m:r>
                        <m:rPr>
                          <m:sty m:val="p"/>
                        </m:rPr>
                        <w:rPr>
                          <w:rFonts w:ascii="Cambria Math" w:hAnsi="Cambria Math" w:cs="Arial"/>
                          <w:sz w:val="22"/>
                          <w:szCs w:val="22"/>
                          <w:lang w:eastAsia="es-CO"/>
                        </w:rPr>
                        <m:t>1+</m:t>
                      </m:r>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i</m:t>
                          </m:r>
                        </m:e>
                        <m:sub>
                          <m:r>
                            <m:rPr>
                              <m:sty m:val="p"/>
                            </m:rPr>
                            <w:rPr>
                              <w:rFonts w:ascii="Cambria Math" w:hAnsi="Cambria Math" w:cs="Arial"/>
                              <w:sz w:val="22"/>
                              <w:szCs w:val="22"/>
                              <w:lang w:eastAsia="es-CO"/>
                            </w:rPr>
                            <m:t>m</m:t>
                          </m:r>
                        </m:sub>
                      </m:sSub>
                    </m:e>
                  </m:d>
                </m:e>
                <m:sup>
                  <m:r>
                    <m:rPr>
                      <m:sty m:val="p"/>
                    </m:rPr>
                    <w:rPr>
                      <w:rFonts w:ascii="Cambria Math" w:hAnsi="Cambria Math" w:cs="Arial"/>
                      <w:sz w:val="22"/>
                      <w:szCs w:val="22"/>
                      <w:lang w:eastAsia="es-CO"/>
                    </w:rPr>
                    <m:t>24-m</m:t>
                  </m:r>
                </m:sup>
              </m:sSup>
            </m:e>
          </m:nary>
        </m:oMath>
      </m:oMathPara>
    </w:p>
    <w:p w14:paraId="6C70B595"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17" w:type="dxa"/>
        <w:tblInd w:w="1134" w:type="dxa"/>
        <w:tblLook w:val="04A0" w:firstRow="1" w:lastRow="0" w:firstColumn="1" w:lastColumn="0" w:noHBand="0" w:noVBand="1"/>
      </w:tblPr>
      <w:tblGrid>
        <w:gridCol w:w="1701"/>
        <w:gridCol w:w="6516"/>
      </w:tblGrid>
      <w:tr w:rsidR="006E4CF5" w14:paraId="3CFDBBF4" w14:textId="77777777" w:rsidTr="00BA3556">
        <w:tc>
          <w:tcPr>
            <w:tcW w:w="1701" w:type="dxa"/>
          </w:tcPr>
          <w:p w14:paraId="3AF30479" w14:textId="77777777" w:rsidR="006E4CF5" w:rsidRPr="002D596F" w:rsidRDefault="006E4CF5" w:rsidP="00BA3556">
            <w:pPr>
              <w:spacing w:before="120" w:after="120"/>
              <w:ind w:left="0"/>
              <w:jc w:val="both"/>
              <w:rPr>
                <w:rFonts w:ascii="Bookman Old Style" w:hAnsi="Bookman Old Style"/>
                <w:color w:val="000000"/>
              </w:rPr>
            </w:pPr>
            <w:r>
              <w:rPr>
                <w:rFonts w:ascii="Bookman Old Style" w:hAnsi="Bookman Old Style"/>
                <w:color w:val="000000"/>
              </w:rPr>
              <w:t>m</w:t>
            </w:r>
          </w:p>
        </w:tc>
        <w:tc>
          <w:tcPr>
            <w:tcW w:w="6516" w:type="dxa"/>
          </w:tcPr>
          <w:p w14:paraId="17FF6CCD" w14:textId="77777777" w:rsidR="006E4CF5" w:rsidRDefault="006E4CF5" w:rsidP="00BA3556">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1 a 24, de acuerdo con el mes de aplicación en los dos primeros años de gradualidad.</w:t>
            </w:r>
          </w:p>
        </w:tc>
      </w:tr>
      <w:tr w:rsidR="006E4CF5" w14:paraId="7438017B" w14:textId="77777777" w:rsidTr="00BA3556">
        <w:tc>
          <w:tcPr>
            <w:tcW w:w="1701" w:type="dxa"/>
          </w:tcPr>
          <w:p w14:paraId="6D20646B" w14:textId="77777777" w:rsidR="006E4CF5" w:rsidRPr="002D596F" w:rsidRDefault="00A93098" w:rsidP="00BA3556">
            <w:pPr>
              <w:spacing w:before="120" w:after="120"/>
              <w:ind w:left="0"/>
              <w:jc w:val="both"/>
              <w:rPr>
                <w:rFonts w:ascii="Bookman Old Style" w:hAnsi="Bookman Old Style"/>
                <w:color w:val="000000"/>
              </w:rPr>
            </w:pPr>
            <m:oMathPara>
              <m:oMathParaPr>
                <m:jc m:val="left"/>
              </m:oMathParaPr>
              <m:oMath>
                <m:sSub>
                  <m:sSubPr>
                    <m:ctrlPr>
                      <w:rPr>
                        <w:rFonts w:ascii="Cambria Math" w:hAnsi="Cambria Math"/>
                        <w:i/>
                        <w:lang w:val="es-CO" w:eastAsia="es-CO"/>
                      </w:rPr>
                    </m:ctrlPr>
                  </m:sSubPr>
                  <m:e>
                    <m:r>
                      <m:rPr>
                        <m:sty m:val="p"/>
                      </m:rPr>
                      <w:rPr>
                        <w:rFonts w:ascii="Cambria Math" w:hAnsi="Cambria Math" w:cs="Arial"/>
                        <w:lang w:val="es-CO" w:eastAsia="es-CO"/>
                      </w:rPr>
                      <m:t>SA</m:t>
                    </m:r>
                    <m:ctrlPr>
                      <w:rPr>
                        <w:rFonts w:ascii="Cambria Math" w:hAnsi="Cambria Math" w:cs="Arial"/>
                        <w:lang w:val="es-CO" w:eastAsia="es-CO"/>
                      </w:rPr>
                    </m:ctrlPr>
                  </m:e>
                  <m:sub>
                    <m:r>
                      <m:rPr>
                        <m:sty m:val="p"/>
                      </m:rPr>
                      <w:rPr>
                        <w:rFonts w:ascii="Cambria Math" w:hAnsi="Cambria Math"/>
                        <w:lang w:val="es-CO" w:eastAsia="es-CO"/>
                      </w:rPr>
                      <m:t>j,k</m:t>
                    </m:r>
                  </m:sub>
                </m:sSub>
              </m:oMath>
            </m:oMathPara>
          </w:p>
        </w:tc>
        <w:tc>
          <w:tcPr>
            <w:tcW w:w="6516" w:type="dxa"/>
          </w:tcPr>
          <w:p w14:paraId="0EB9427A" w14:textId="77777777" w:rsidR="006E4CF5" w:rsidRDefault="006E4CF5" w:rsidP="00BA3556">
            <w:pPr>
              <w:spacing w:before="120" w:after="120"/>
              <w:ind w:left="0"/>
              <w:jc w:val="both"/>
              <w:rPr>
                <w:rFonts w:ascii="Bookman Old Style" w:hAnsi="Bookman Old Style"/>
                <w:color w:val="000000"/>
              </w:rPr>
            </w:pPr>
            <w:r>
              <w:rPr>
                <w:rFonts w:ascii="Bookman Old Style" w:hAnsi="Bookman Old Style"/>
                <w:color w:val="000000"/>
              </w:rPr>
              <w:t>Saldo Total A</w:t>
            </w:r>
            <w:r w:rsidRPr="001A6C44">
              <w:rPr>
                <w:rFonts w:ascii="Bookman Old Style" w:hAnsi="Bookman Old Style"/>
                <w:color w:val="000000"/>
              </w:rPr>
              <w:t>cumulado</w:t>
            </w:r>
            <w:r>
              <w:rPr>
                <w:rFonts w:ascii="Bookman Old Style" w:hAnsi="Bookman Old Style"/>
                <w:color w:val="000000"/>
              </w:rPr>
              <w:t xml:space="preserve"> del distribuidor j d</w:t>
            </w:r>
            <w:r w:rsidRPr="001A6C44">
              <w:rPr>
                <w:rFonts w:ascii="Bookman Old Style" w:hAnsi="Bookman Old Style"/>
                <w:color w:val="000000"/>
              </w:rPr>
              <w:t xml:space="preserve">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 xml:space="preserve">de distribución k, por las diferencias </w:t>
            </w:r>
            <w:r>
              <w:rPr>
                <w:rFonts w:ascii="Bookman Old Style" w:hAnsi="Bookman Old Style"/>
                <w:color w:val="000000"/>
              </w:rPr>
              <w:lastRenderedPageBreak/>
              <w:t xml:space="preserve">entre el cargo </w:t>
            </w:r>
            <w:r>
              <w:rPr>
                <w:rFonts w:ascii="Bookman Old Style" w:eastAsia="Calibri" w:hAnsi="Bookman Old Style"/>
                <w:lang w:val="es-ES_tradnl"/>
              </w:rPr>
              <w:t xml:space="preserve">de distribución calculado y el cargo de distribución aplicado a los usuarios de uso residencial en el mes m en el submercado de distribución k.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7CF707F4" w14:textId="77777777" w:rsidTr="00BA3556">
        <w:tc>
          <w:tcPr>
            <w:tcW w:w="1701" w:type="dxa"/>
          </w:tcPr>
          <w:p w14:paraId="239DD09C" w14:textId="77777777" w:rsidR="006E4CF5" w:rsidRPr="00911658" w:rsidRDefault="006E4CF5" w:rsidP="00BA3556">
            <w:pPr>
              <w:spacing w:before="120" w:after="120"/>
              <w:ind w:left="0"/>
              <w:jc w:val="both"/>
              <w:rPr>
                <w:rFonts w:ascii="Bookman Old Style" w:hAnsi="Bookman Old Style"/>
                <w:vertAlign w:val="subscript"/>
                <w:lang w:val="es-CO" w:eastAsia="es-CO"/>
              </w:rPr>
            </w:pPr>
            <w:r>
              <w:rPr>
                <w:rFonts w:ascii="Bookman Old Style" w:hAnsi="Bookman Old Style"/>
                <w:lang w:val="es-CO" w:eastAsia="es-CO"/>
              </w:rPr>
              <w:lastRenderedPageBreak/>
              <w:t>i</w:t>
            </w:r>
            <w:r>
              <w:rPr>
                <w:rFonts w:ascii="Bookman Old Style" w:hAnsi="Bookman Old Style"/>
                <w:vertAlign w:val="subscript"/>
                <w:lang w:val="es-CO" w:eastAsia="es-CO"/>
              </w:rPr>
              <w:t>m</w:t>
            </w:r>
          </w:p>
        </w:tc>
        <w:tc>
          <w:tcPr>
            <w:tcW w:w="6516" w:type="dxa"/>
          </w:tcPr>
          <w:p w14:paraId="7858AD23" w14:textId="77777777" w:rsidR="006E4CF5" w:rsidRPr="001D4E8E" w:rsidRDefault="006E4CF5" w:rsidP="00BA3556">
            <w:pPr>
              <w:spacing w:before="120" w:after="120"/>
              <w:ind w:left="0"/>
              <w:jc w:val="both"/>
              <w:rPr>
                <w:rFonts w:ascii="Bookman Old Style" w:hAnsi="Bookman Old Style"/>
                <w:color w:val="000000"/>
              </w:rPr>
            </w:pPr>
            <w:r w:rsidRPr="00911658">
              <w:rPr>
                <w:rFonts w:ascii="Bookman Old Style" w:eastAsia="Calibri" w:hAnsi="Bookman Old Style"/>
                <w:lang w:val="es-ES_tradnl" w:eastAsia="en-US"/>
              </w:rPr>
              <w:t>Tasa de interés que se determina mediante el cálculo del promedio ponderado</w:t>
            </w:r>
            <w:r>
              <w:rPr>
                <w:rFonts w:ascii="Bookman Old Style" w:eastAsia="Calibri" w:hAnsi="Bookman Old Style"/>
                <w:lang w:val="es-ES_tradnl" w:eastAsia="en-US"/>
              </w:rPr>
              <w:t xml:space="preserve"> por monto de colocación, de las semanas con días del mes m, de las tasas </w:t>
            </w:r>
            <w:r w:rsidRPr="00911658">
              <w:rPr>
                <w:rFonts w:ascii="Bookman Old Style" w:eastAsia="Calibri" w:hAnsi="Bookman Old Style"/>
                <w:lang w:val="es-ES_tradnl" w:eastAsia="en-US"/>
              </w:rPr>
              <w:t>de colocación de créditos comerciales (preferencial o corporativas) entre 366 y 1095 días, del total de establecimientos (no incluye las tasas de las entidades financieras especiales excepto el FNA). La información para efectuar el cálculo de la tasa de interés es publicada por el Banco de la República con base en la información del formato 088 de la Superintendencia Financiera de Colombia.</w:t>
            </w:r>
            <w:r>
              <w:rPr>
                <w:rFonts w:ascii="Bookman Old Style" w:eastAsia="Calibri" w:hAnsi="Bookman Old Style"/>
                <w:lang w:val="es-ES_tradnl" w:eastAsia="en-US"/>
              </w:rPr>
              <w:t xml:space="preserve"> Para el cálculo del mes 24, se utilizará la información que se tenga al momento del cálculo de la tarifa para el mes 25.</w:t>
            </w:r>
          </w:p>
        </w:tc>
      </w:tr>
      <w:tr w:rsidR="006E4CF5" w14:paraId="2A7243A8" w14:textId="77777777" w:rsidTr="00BA3556">
        <w:tc>
          <w:tcPr>
            <w:tcW w:w="1701" w:type="dxa"/>
          </w:tcPr>
          <w:p w14:paraId="2BF91FBE" w14:textId="77777777" w:rsidR="006E4CF5" w:rsidRPr="00276411" w:rsidRDefault="00A93098" w:rsidP="00BA3556">
            <w:pPr>
              <w:spacing w:before="120" w:after="120"/>
              <w:ind w:left="0"/>
              <w:jc w:val="both"/>
              <w:rPr>
                <w:rFonts w:ascii="Bookman Old Style"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m:oMathPara>
          </w:p>
        </w:tc>
        <w:tc>
          <w:tcPr>
            <w:tcW w:w="6516" w:type="dxa"/>
          </w:tcPr>
          <w:p w14:paraId="0F43787E" w14:textId="77777777" w:rsidR="006E4CF5" w:rsidRDefault="006E4CF5" w:rsidP="00BA3556">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bl>
    <w:tbl>
      <w:tblPr>
        <w:tblStyle w:val="Tablaconcuadrcula"/>
        <w:tblW w:w="821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455"/>
      </w:tblGrid>
      <w:tr w:rsidR="006E4CF5" w14:paraId="3D9B8B47" w14:textId="77777777" w:rsidTr="00BA3556">
        <w:tc>
          <w:tcPr>
            <w:tcW w:w="1418" w:type="dxa"/>
          </w:tcPr>
          <w:p w14:paraId="7C9A3B40" w14:textId="77777777" w:rsidR="006E4CF5" w:rsidRDefault="00A93098" w:rsidP="00BA3556">
            <w:pPr>
              <w:spacing w:before="120" w:after="120"/>
              <w:ind w:left="0"/>
              <w:jc w:val="both"/>
              <w:rPr>
                <w:lang w:val="es-CO" w:eastAsia="es-CO"/>
              </w:rPr>
            </w:pPr>
            <m:oMathPara>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Sub>
                      <m:sSubPr>
                        <m:ctrlPr>
                          <w:rPr>
                            <w:rFonts w:ascii="Cambria Math" w:hAnsi="Cambria Math" w:cs="Arial"/>
                            <w:lang w:val="es-ES_tradnl"/>
                          </w:rPr>
                        </m:ctrlPr>
                      </m:sSubPr>
                      <m:e>
                        <m:r>
                          <m:rPr>
                            <m:sty m:val="p"/>
                          </m:rPr>
                          <w:rPr>
                            <w:rFonts w:ascii="Cambria Math" w:hAnsi="Cambria Math" w:cs="Arial"/>
                            <w:lang w:val="es-ES_tradnl"/>
                          </w:rPr>
                          <m:t>calculado</m:t>
                        </m:r>
                      </m:e>
                      <m:sub>
                        <m:r>
                          <m:rPr>
                            <m:sty m:val="p"/>
                          </m:rPr>
                          <w:rPr>
                            <w:rFonts w:ascii="Cambria Math" w:hAnsi="Cambria Math" w:cs="Arial"/>
                            <w:lang w:val="es-ES_tradnl"/>
                          </w:rPr>
                          <m:t>k</m:t>
                        </m:r>
                      </m:sub>
                    </m:sSub>
                  </m:sub>
                </m:sSub>
              </m:oMath>
            </m:oMathPara>
          </w:p>
        </w:tc>
        <w:tc>
          <w:tcPr>
            <w:tcW w:w="6799" w:type="dxa"/>
          </w:tcPr>
          <w:p w14:paraId="43E0016F" w14:textId="77777777" w:rsidR="006E4CF5" w:rsidRDefault="006E4CF5" w:rsidP="00BA3556">
            <w:pPr>
              <w:spacing w:before="120" w:after="120"/>
              <w:ind w:left="0"/>
              <w:jc w:val="both"/>
              <w:rPr>
                <w:rFonts w:ascii="Bookman Old Style" w:eastAsia="Calibri" w:hAnsi="Bookman Old Style"/>
                <w:lang w:val="es-ES_tradnl" w:eastAsia="en-US"/>
              </w:rPr>
            </w:pPr>
            <w:r>
              <w:rPr>
                <w:rFonts w:ascii="Bookman Old Style" w:eastAsia="Calibri" w:hAnsi="Bookman Old Style"/>
                <w:lang w:val="es-ES_tradnl"/>
              </w:rPr>
              <w:t xml:space="preserve">Cargo de distribución calculado para usuarios de uso residencial en el submercado de distribución k para el mes m. </w:t>
            </w:r>
            <w:r>
              <w:rPr>
                <w:rFonts w:ascii="Bookman Old Style" w:eastAsia="Calibri" w:hAnsi="Bookman Old Style"/>
                <w:lang w:val="es-ES_tradnl" w:eastAsia="en-US"/>
              </w:rPr>
              <w:t>Expresado en pesos por metro cúbico ($/m³). Este cargo se calculará de la siguiente forma:</w:t>
            </w:r>
          </w:p>
          <w:p w14:paraId="03A3CA7B" w14:textId="77777777" w:rsidR="006E4CF5" w:rsidRPr="001A6C44" w:rsidRDefault="00A93098" w:rsidP="00BA3556">
            <w:pPr>
              <w:pStyle w:val="Prrafodelista"/>
              <w:spacing w:before="240" w:after="240"/>
              <w:ind w:left="-23" w:firstLine="23"/>
              <w:jc w:val="both"/>
              <w:rPr>
                <w:rFonts w:ascii="Bookman Old Style" w:hAnsi="Bookman Old Style"/>
                <w:color w:val="000000"/>
              </w:rPr>
            </w:pPr>
            <m:oMathPara>
              <m:oMath>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calculado</m:t>
                        </m:r>
                      </m:e>
                      <m:sub>
                        <m:r>
                          <m:rPr>
                            <m:sty m:val="p"/>
                          </m:rPr>
                          <w:rPr>
                            <w:rFonts w:ascii="Cambria Math" w:hAnsi="Cambria Math" w:cs="Arial"/>
                            <w:sz w:val="17"/>
                            <w:szCs w:val="17"/>
                            <w:lang w:val="es-ES_tradnl"/>
                          </w:rPr>
                          <m:t>k</m:t>
                        </m:r>
                      </m:sub>
                    </m:sSub>
                  </m:sub>
                </m:sSub>
                <m:r>
                  <m:rPr>
                    <m:sty m:val="p"/>
                  </m:rPr>
                  <w:rPr>
                    <w:rFonts w:ascii="Cambria Math" w:hAnsi="Cambria Math" w:cs="Arial"/>
                    <w:sz w:val="17"/>
                    <w:szCs w:val="17"/>
                    <w:lang w:val="es-ES_tradnl"/>
                  </w:rPr>
                  <m:t>=</m:t>
                </m:r>
                <m:f>
                  <m:fPr>
                    <m:ctrlPr>
                      <w:rPr>
                        <w:rFonts w:ascii="Cambria Math" w:hAnsi="Cambria Math" w:cs="Arial"/>
                        <w:sz w:val="17"/>
                        <w:szCs w:val="17"/>
                        <w:lang w:val="es-ES_tradnl"/>
                      </w:rPr>
                    </m:ctrlPr>
                  </m:fPr>
                  <m:num>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 xml:space="preserve"> </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r>
                              <m:rPr>
                                <m:sty m:val="p"/>
                              </m:rPr>
                              <w:rPr>
                                <w:rFonts w:ascii="Cambria Math" w:hAnsi="Cambria Math" w:cs="Arial"/>
                                <w:sz w:val="17"/>
                                <w:szCs w:val="17"/>
                                <w:lang w:val="es-ES_tradnl"/>
                              </w:rPr>
                              <m:t>(prom)k</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TOTAL</m:t>
                                </m:r>
                              </m:e>
                              <m:sub>
                                <m:r>
                                  <m:rPr>
                                    <m:sty m:val="p"/>
                                  </m:rPr>
                                  <w:rPr>
                                    <w:rFonts w:ascii="Cambria Math" w:hAnsi="Cambria Math" w:cs="Arial"/>
                                    <w:sz w:val="17"/>
                                    <w:szCs w:val="17"/>
                                    <w:lang w:val="es-ES_tradnl"/>
                                  </w:rPr>
                                  <m:t>k</m:t>
                                </m:r>
                              </m:sub>
                            </m:sSub>
                          </m:sub>
                        </m:sSub>
                      </m:e>
                    </m:d>
                    <m:r>
                      <m:rPr>
                        <m:sty m:val="p"/>
                      </m:rPr>
                      <w:rPr>
                        <w:rFonts w:ascii="Cambria Math" w:hAnsi="Cambria Math" w:cs="Arial"/>
                        <w:sz w:val="17"/>
                        <w:szCs w:val="17"/>
                        <w:lang w:val="es-ES_tradnl"/>
                      </w:rPr>
                      <m:t>-</m:t>
                    </m:r>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AUNR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aplicado</m:t>
                                        </m:r>
                                      </m:e>
                                      <m:sub>
                                        <m:r>
                                          <m:rPr>
                                            <m:sty m:val="p"/>
                                          </m:rPr>
                                          <w:rPr>
                                            <w:rFonts w:ascii="Cambria Math" w:hAnsi="Cambria Math" w:cs="Arial"/>
                                            <w:sz w:val="17"/>
                                            <w:szCs w:val="17"/>
                                            <w:lang w:val="es-ES_tradnl"/>
                                          </w:rPr>
                                          <m:t>k</m:t>
                                        </m:r>
                                      </m:sub>
                                    </m:sSub>
                                  </m:sub>
                                </m:sSub>
                              </m:e>
                            </m:d>
                          </m:e>
                          <m:sub>
                            <m:r>
                              <m:rPr>
                                <m:sty m:val="p"/>
                              </m:rPr>
                              <w:rPr>
                                <w:rFonts w:ascii="Cambria Math" w:hAnsi="Cambria Math" w:cs="Arial"/>
                                <w:sz w:val="17"/>
                                <w:szCs w:val="17"/>
                                <w:lang w:val="es-ES_tradnl"/>
                              </w:rPr>
                              <m:t>m</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NoResidencial</m:t>
                                </m:r>
                              </m:e>
                              <m:sub>
                                <m:r>
                                  <m:rPr>
                                    <m:sty m:val="p"/>
                                  </m:rPr>
                                  <w:rPr>
                                    <w:rFonts w:ascii="Cambria Math" w:hAnsi="Cambria Math" w:cs="Arial"/>
                                    <w:sz w:val="17"/>
                                    <w:szCs w:val="17"/>
                                    <w:lang w:val="es-ES_tradnl"/>
                                  </w:rPr>
                                  <m:t>k</m:t>
                                </m:r>
                              </m:sub>
                            </m:sSub>
                          </m:sub>
                        </m:sSub>
                      </m:e>
                    </m:d>
                  </m:num>
                  <m:den>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Residencial</m:t>
                            </m:r>
                          </m:e>
                          <m:sub>
                            <m:r>
                              <m:rPr>
                                <m:sty m:val="p"/>
                              </m:rPr>
                              <w:rPr>
                                <w:rFonts w:ascii="Cambria Math" w:hAnsi="Cambria Math" w:cs="Arial"/>
                                <w:sz w:val="17"/>
                                <w:szCs w:val="17"/>
                                <w:lang w:val="es-ES_tradnl"/>
                              </w:rPr>
                              <m:t>k</m:t>
                            </m:r>
                          </m:sub>
                        </m:sSub>
                      </m:sub>
                    </m:sSub>
                  </m:den>
                </m:f>
              </m:oMath>
            </m:oMathPara>
          </w:p>
        </w:tc>
      </w:tr>
    </w:tbl>
    <w:p w14:paraId="133AFE49"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Durante los meses 25 a 72 de la gradualidad, el distribuidor recuperará mensualmente una cantidad, </w:t>
      </w:r>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oMath>
      <w:r w:rsidRPr="001936A9">
        <w:rPr>
          <w:rFonts w:ascii="Bookman Old Style" w:eastAsia="Calibri" w:hAnsi="Bookman Old Style"/>
          <w:sz w:val="24"/>
          <w:szCs w:val="24"/>
          <w:lang w:val="es-ES_tradnl"/>
        </w:rPr>
        <w:t>,</w:t>
      </w:r>
      <w:r>
        <w:rPr>
          <w:rFonts w:ascii="Bookman Old Style" w:eastAsia="Calibri" w:hAnsi="Bookman Old Style"/>
          <w:sz w:val="24"/>
          <w:szCs w:val="24"/>
          <w:lang w:val="es-ES_tradnl"/>
        </w:rPr>
        <w:t xml:space="preserve"> dada por la siguiente ecuación:</w:t>
      </w:r>
    </w:p>
    <w:p w14:paraId="5939E1AD" w14:textId="77777777" w:rsidR="006E4CF5" w:rsidRPr="00370C31" w:rsidRDefault="006E4CF5" w:rsidP="006E4CF5">
      <w:pPr>
        <w:pStyle w:val="Prrafodelista"/>
        <w:spacing w:before="240" w:after="240"/>
        <w:ind w:left="720"/>
        <w:jc w:val="both"/>
        <w:rPr>
          <w:rFonts w:ascii="Bookman Old Style" w:eastAsia="Calibri" w:hAnsi="Bookman Old Style"/>
          <w:sz w:val="24"/>
          <w:szCs w:val="24"/>
          <w:lang w:val="es-ES_tradnl"/>
        </w:rPr>
      </w:pPr>
      <m:oMathPara>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r>
            <m:rPr>
              <m:sty m:val="p"/>
            </m:rPr>
            <w:rPr>
              <w:rFonts w:ascii="Cambria Math" w:eastAsia="Calibri" w:hAnsi="Cambria Math"/>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SA</m:t>
              </m:r>
            </m:e>
            <m:sub>
              <m:r>
                <m:rPr>
                  <m:sty m:val="p"/>
                </m:rPr>
                <w:rPr>
                  <w:rFonts w:ascii="Cambria Math" w:hAnsi="Cambria Math" w:cs="Arial"/>
                  <w:sz w:val="24"/>
                  <w:szCs w:val="24"/>
                  <w:lang w:val="es-ES_tradnl"/>
                </w:rPr>
                <m:t>j,k</m:t>
              </m:r>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f>
                <m:fPr>
                  <m:ctrlPr>
                    <w:rPr>
                      <w:rFonts w:ascii="Cambria Math" w:hAnsi="Cambria Math" w:cs="Arial"/>
                      <w:sz w:val="24"/>
                      <w:szCs w:val="24"/>
                      <w:lang w:val="es-ES_tradnl"/>
                    </w:rPr>
                  </m:ctrlPr>
                </m:fPr>
                <m:num>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×i</m:t>
                  </m:r>
                </m:num>
                <m:den>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-1</m:t>
                  </m:r>
                </m:den>
              </m:f>
            </m:e>
          </m:d>
        </m:oMath>
      </m:oMathPara>
    </w:p>
    <w:p w14:paraId="1C939BAB"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22" w:type="dxa"/>
        <w:tblInd w:w="1134" w:type="dxa"/>
        <w:tblLook w:val="04A0" w:firstRow="1" w:lastRow="0" w:firstColumn="1" w:lastColumn="0" w:noHBand="0" w:noVBand="1"/>
      </w:tblPr>
      <w:tblGrid>
        <w:gridCol w:w="1134"/>
        <w:gridCol w:w="7088"/>
      </w:tblGrid>
      <w:tr w:rsidR="006E4CF5" w14:paraId="0D648EED" w14:textId="77777777" w:rsidTr="00BA3556">
        <w:tc>
          <w:tcPr>
            <w:tcW w:w="1134" w:type="dxa"/>
          </w:tcPr>
          <w:p w14:paraId="65C79F39" w14:textId="77777777" w:rsidR="006E4CF5" w:rsidRPr="00C9569A" w:rsidRDefault="006E4CF5" w:rsidP="00BA3556">
            <w:pPr>
              <w:spacing w:before="120" w:after="120"/>
              <w:ind w:left="0"/>
              <w:rPr>
                <w:rFonts w:ascii="Bookman Old Style" w:eastAsia="Calibri" w:hAnsi="Bookman Old Style"/>
                <w:lang w:val="es-CO" w:eastAsia="es-CO"/>
              </w:rPr>
            </w:pPr>
            <m:oMathPara>
              <m:oMathParaPr>
                <m:jc m:val="left"/>
              </m:oMathParaPr>
              <m:oMath>
                <m:r>
                  <m:rPr>
                    <m:sty m:val="p"/>
                  </m:rPr>
                  <w:rPr>
                    <w:rFonts w:ascii="Cambria Math" w:eastAsia="Calibri" w:hAnsi="Cambria Math"/>
                    <w:lang w:val="es-ES_tradnl"/>
                  </w:rPr>
                  <m:t>ΔS</m:t>
                </m:r>
                <m:sSub>
                  <m:sSubPr>
                    <m:ctrlPr>
                      <w:rPr>
                        <w:rFonts w:ascii="Cambria Math" w:eastAsia="Calibri" w:hAnsi="Cambria Math"/>
                        <w:lang w:val="es-ES_tradnl"/>
                      </w:rPr>
                    </m:ctrlPr>
                  </m:sSubPr>
                  <m:e>
                    <m:r>
                      <m:rPr>
                        <m:sty m:val="p"/>
                      </m:rPr>
                      <w:rPr>
                        <w:rFonts w:ascii="Cambria Math" w:eastAsia="Calibri" w:hAnsi="Cambria Math"/>
                        <w:lang w:val="es-ES_tradnl"/>
                      </w:rPr>
                      <m:t>A</m:t>
                    </m:r>
                  </m:e>
                  <m:sub>
                    <m:r>
                      <m:rPr>
                        <m:sty m:val="p"/>
                      </m:rPr>
                      <w:rPr>
                        <w:rFonts w:ascii="Cambria Math" w:eastAsia="Calibri" w:hAnsi="Cambria Math"/>
                        <w:lang w:val="es-ES_tradnl"/>
                      </w:rPr>
                      <m:t>j,k</m:t>
                    </m:r>
                  </m:sub>
                </m:sSub>
              </m:oMath>
            </m:oMathPara>
          </w:p>
        </w:tc>
        <w:tc>
          <w:tcPr>
            <w:tcW w:w="7088" w:type="dxa"/>
          </w:tcPr>
          <w:p w14:paraId="36343F13" w14:textId="77777777" w:rsidR="006E4CF5" w:rsidRDefault="006E4CF5" w:rsidP="00BA3556">
            <w:pPr>
              <w:spacing w:before="120" w:after="120"/>
              <w:ind w:left="0"/>
              <w:jc w:val="both"/>
              <w:rPr>
                <w:rFonts w:ascii="Bookman Old Style" w:hAnsi="Bookman Old Style"/>
                <w:color w:val="000000"/>
              </w:rPr>
            </w:pPr>
            <w:r>
              <w:rPr>
                <w:rFonts w:ascii="Bookman Old Style" w:hAnsi="Bookman Old Style"/>
                <w:color w:val="000000"/>
              </w:rPr>
              <w:t>Cantidad del saldo a</w:t>
            </w:r>
            <w:r w:rsidRPr="001A6C44">
              <w:rPr>
                <w:rFonts w:ascii="Bookman Old Style" w:hAnsi="Bookman Old Style"/>
                <w:color w:val="000000"/>
              </w:rPr>
              <w:t>cumulado</w:t>
            </w:r>
            <w:r>
              <w:rPr>
                <w:rFonts w:ascii="Bookman Old Style" w:hAnsi="Bookman Old Style"/>
                <w:color w:val="000000"/>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xml:space="preserve"> que el distribuidor j recuperará cada mes durante los meses 25 a 72 de la aplicación de la gradualidad.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559A15DC" w14:textId="77777777" w:rsidTr="00BA3556">
        <w:tc>
          <w:tcPr>
            <w:tcW w:w="1134" w:type="dxa"/>
          </w:tcPr>
          <w:p w14:paraId="65CBD776" w14:textId="77777777" w:rsidR="006E4CF5" w:rsidRPr="001936A9" w:rsidRDefault="006E4CF5" w:rsidP="00BA3556">
            <w:pPr>
              <w:spacing w:before="120" w:after="120"/>
              <w:ind w:left="0"/>
              <w:rPr>
                <w:rFonts w:ascii="Bookman Old Style" w:eastAsia="Calibri" w:hAnsi="Bookman Old Style"/>
                <w:lang w:val="es-ES_tradnl"/>
              </w:rPr>
            </w:pPr>
            <w:r>
              <w:rPr>
                <w:rFonts w:ascii="Bookman Old Style" w:hAnsi="Bookman Old Style"/>
                <w:color w:val="000000"/>
              </w:rPr>
              <w:t>m</w:t>
            </w:r>
          </w:p>
        </w:tc>
        <w:tc>
          <w:tcPr>
            <w:tcW w:w="7088" w:type="dxa"/>
          </w:tcPr>
          <w:p w14:paraId="5815C101" w14:textId="77777777" w:rsidR="006E4CF5" w:rsidRDefault="006E4CF5" w:rsidP="00BA3556">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entre el tercer y sexto año de gradualidad.</w:t>
            </w:r>
          </w:p>
        </w:tc>
      </w:tr>
      <w:tr w:rsidR="006E4CF5" w14:paraId="27A5B9BF" w14:textId="77777777" w:rsidTr="00BA3556">
        <w:tc>
          <w:tcPr>
            <w:tcW w:w="1134" w:type="dxa"/>
          </w:tcPr>
          <w:p w14:paraId="1345723D" w14:textId="77777777" w:rsidR="006E4CF5" w:rsidRDefault="006E4CF5" w:rsidP="00BA3556">
            <w:pPr>
              <w:spacing w:before="120" w:after="120"/>
              <w:ind w:left="0"/>
              <w:rPr>
                <w:rFonts w:ascii="Bookman Old Style" w:hAnsi="Bookman Old Style"/>
                <w:color w:val="000000"/>
              </w:rPr>
            </w:pPr>
            <w:r>
              <w:rPr>
                <w:rFonts w:ascii="Bookman Old Style" w:hAnsi="Bookman Old Style"/>
                <w:color w:val="000000"/>
              </w:rPr>
              <w:lastRenderedPageBreak/>
              <w:t>n</w:t>
            </w:r>
          </w:p>
        </w:tc>
        <w:tc>
          <w:tcPr>
            <w:tcW w:w="7088" w:type="dxa"/>
          </w:tcPr>
          <w:p w14:paraId="6A3C556A" w14:textId="77777777" w:rsidR="006E4CF5" w:rsidRDefault="006E4CF5" w:rsidP="00BA3556">
            <w:pPr>
              <w:spacing w:before="120" w:after="120"/>
              <w:ind w:left="0"/>
              <w:jc w:val="both"/>
              <w:rPr>
                <w:rFonts w:ascii="Bookman Old Style" w:eastAsia="Calibri" w:hAnsi="Bookman Old Style"/>
                <w:lang w:val="es-ES_tradnl"/>
              </w:rPr>
            </w:pPr>
            <w:r>
              <w:rPr>
                <w:rFonts w:ascii="Bookman Old Style" w:eastAsia="Calibri" w:hAnsi="Bookman Old Style"/>
                <w:lang w:val="es-ES_tradnl"/>
              </w:rPr>
              <w:t xml:space="preserve">Número de meses durante los cuales se recuperará el saldo acumulado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Corresponde a 48 meses.</w:t>
            </w:r>
          </w:p>
        </w:tc>
      </w:tr>
      <w:tr w:rsidR="006E4CF5" w14:paraId="20976C36" w14:textId="77777777" w:rsidTr="00BA3556">
        <w:tc>
          <w:tcPr>
            <w:tcW w:w="1134" w:type="dxa"/>
          </w:tcPr>
          <w:p w14:paraId="1BD39FFE" w14:textId="77777777" w:rsidR="006E4CF5" w:rsidRDefault="006E4CF5" w:rsidP="00BA3556">
            <w:pPr>
              <w:spacing w:before="120" w:after="120"/>
              <w:ind w:left="0"/>
              <w:rPr>
                <w:rFonts w:ascii="Bookman Old Style" w:hAnsi="Bookman Old Style"/>
                <w:color w:val="000000"/>
              </w:rPr>
            </w:pPr>
            <w:r>
              <w:rPr>
                <w:rFonts w:ascii="Bookman Old Style" w:hAnsi="Bookman Old Style"/>
                <w:color w:val="000000"/>
              </w:rPr>
              <w:t>i</w:t>
            </w:r>
          </w:p>
        </w:tc>
        <w:tc>
          <w:tcPr>
            <w:tcW w:w="7088" w:type="dxa"/>
          </w:tcPr>
          <w:p w14:paraId="20AD9151" w14:textId="77777777" w:rsidR="006E4CF5" w:rsidRDefault="006E4CF5" w:rsidP="00BA3556">
            <w:pPr>
              <w:spacing w:before="120" w:after="120"/>
              <w:ind w:left="0"/>
              <w:jc w:val="both"/>
              <w:rPr>
                <w:rFonts w:ascii="Bookman Old Style" w:eastAsia="Calibri" w:hAnsi="Bookman Old Style"/>
                <w:lang w:val="es-CO" w:eastAsia="es-CO"/>
              </w:rPr>
            </w:pPr>
            <w:r>
              <w:rPr>
                <w:rFonts w:ascii="Bookman Old Style" w:eastAsia="Calibri" w:hAnsi="Bookman Old Style"/>
                <w:lang w:val="es-ES_tradnl"/>
              </w:rPr>
              <w:t>Promedio de las tasas i</w:t>
            </w:r>
            <w:r>
              <w:rPr>
                <w:rFonts w:ascii="Bookman Old Style" w:eastAsia="Calibri" w:hAnsi="Bookman Old Style"/>
                <w:vertAlign w:val="subscript"/>
                <w:lang w:val="es-ES_tradnl"/>
              </w:rPr>
              <w:t>m</w:t>
            </w:r>
            <w:r>
              <w:rPr>
                <w:rFonts w:ascii="Bookman Old Style" w:eastAsia="Calibri" w:hAnsi="Bookman Old Style"/>
                <w:lang w:val="es-ES_tradnl"/>
              </w:rPr>
              <w:t xml:space="preserve"> aplicadas durante los dos primeros años de gradualidad, ponderado por las ventas de gas a usuarios residenciales en el mes m (</w:t>
            </w: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w:r>
              <w:rPr>
                <w:rFonts w:ascii="Bookman Old Style" w:eastAsia="Calibri" w:hAnsi="Bookman Old Style"/>
                <w:lang w:val="es-CO" w:eastAsia="es-CO"/>
              </w:rPr>
              <w:t>). Se calcula conforme a la siguiente ecuación:</w:t>
            </w:r>
          </w:p>
          <w:p w14:paraId="3DAC9330" w14:textId="77777777" w:rsidR="006E4CF5" w:rsidRPr="00EE3117" w:rsidRDefault="006E4CF5" w:rsidP="00BA3556">
            <w:pPr>
              <w:spacing w:before="120" w:after="120"/>
              <w:ind w:left="0"/>
              <w:jc w:val="both"/>
              <w:rPr>
                <w:rFonts w:ascii="Bookman Old Style" w:eastAsia="Calibri" w:hAnsi="Bookman Old Style"/>
                <w:lang w:val="es-ES_tradnl"/>
              </w:rPr>
            </w:pPr>
            <m:oMathPara>
              <m:oMath>
                <m:r>
                  <m:rPr>
                    <m:sty m:val="p"/>
                  </m:rPr>
                  <w:rPr>
                    <w:rFonts w:ascii="Cambria Math" w:eastAsia="Calibri" w:hAnsi="Cambria Math"/>
                    <w:lang w:val="es-ES_tradnl"/>
                  </w:rPr>
                  <m:t>i=</m:t>
                </m:r>
                <m:f>
                  <m:fPr>
                    <m:ctrlPr>
                      <w:rPr>
                        <w:rFonts w:ascii="Cambria Math" w:eastAsia="Calibri" w:hAnsi="Cambria Math"/>
                        <w:lang w:val="es-ES_tradnl"/>
                      </w:rPr>
                    </m:ctrlPr>
                  </m:fPr>
                  <m:num>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r>
                          <m:rPr>
                            <m:sty m:val="p"/>
                          </m:rPr>
                          <w:rPr>
                            <w:rFonts w:ascii="Cambria Math" w:eastAsia="Calibri" w:hAnsi="Cambria Math"/>
                            <w:lang w:val="es-ES_tradnl"/>
                          </w:rPr>
                          <m:t>×</m:t>
                        </m:r>
                      </m:e>
                    </m:nary>
                    <m:sSub>
                      <m:sSubPr>
                        <m:ctrlPr>
                          <w:rPr>
                            <w:rFonts w:ascii="Cambria Math" w:eastAsia="Calibri" w:hAnsi="Cambria Math"/>
                            <w:lang w:val="es-ES_tradnl"/>
                          </w:rPr>
                        </m:ctrlPr>
                      </m:sSubPr>
                      <m:e>
                        <m:r>
                          <m:rPr>
                            <m:sty m:val="p"/>
                          </m:rPr>
                          <w:rPr>
                            <w:rFonts w:ascii="Cambria Math" w:eastAsia="Calibri" w:hAnsi="Cambria Math"/>
                            <w:lang w:val="es-ES_tradnl"/>
                          </w:rPr>
                          <m:t>i</m:t>
                        </m:r>
                      </m:e>
                      <m:sub>
                        <m:r>
                          <m:rPr>
                            <m:sty m:val="p"/>
                          </m:rPr>
                          <w:rPr>
                            <w:rFonts w:ascii="Cambria Math" w:eastAsia="Calibri" w:hAnsi="Cambria Math"/>
                            <w:lang w:val="es-ES_tradnl"/>
                          </w:rPr>
                          <m:t>m</m:t>
                        </m:r>
                      </m:sub>
                    </m:sSub>
                  </m:num>
                  <m:den>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e>
                    </m:nary>
                  </m:den>
                </m:f>
              </m:oMath>
            </m:oMathPara>
          </w:p>
        </w:tc>
      </w:tr>
    </w:tbl>
    <w:p w14:paraId="6C1F09F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El cargo de distribución para usuarios de uso residencial para los meses 25 a 72 de la gradualidad se determinará conforme a la siguiente fórmula:</w:t>
      </w:r>
    </w:p>
    <w:p w14:paraId="7DCD3079" w14:textId="77777777" w:rsidR="006E4CF5" w:rsidRDefault="00A93098" w:rsidP="006E4CF5">
      <w:pPr>
        <w:pStyle w:val="Prrafodelista"/>
        <w:spacing w:before="240" w:after="240"/>
        <w:ind w:left="1134"/>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w:rPr>
              <w:rFonts w:ascii="Cambria Math" w:hAnsi="Cambria Math" w:cs="Arial"/>
              <w:sz w:val="22"/>
              <w:szCs w:val="22"/>
              <w:lang w:val="es-ES_tradnl"/>
            </w:rPr>
            <m:t>+</m:t>
          </m:r>
          <m:f>
            <m:fPr>
              <m:ctrlPr>
                <w:rPr>
                  <w:rFonts w:ascii="Cambria Math" w:eastAsia="Calibri" w:hAnsi="Cambria Math"/>
                  <w:sz w:val="24"/>
                  <w:szCs w:val="24"/>
                  <w:lang w:val="es-ES_tradnl"/>
                </w:rPr>
              </m:ctrlPr>
            </m:fPr>
            <m:num>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num>
            <m:den>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k,m-1,j</m:t>
                  </m:r>
                </m:sub>
              </m:sSub>
            </m:den>
          </m:f>
          <m:r>
            <w:rPr>
              <w:rFonts w:ascii="Cambria Math" w:hAnsi="Cambria Math" w:cs="Arial"/>
              <w:sz w:val="24"/>
              <w:szCs w:val="24"/>
              <w:lang w:val="es-ES_tradnl"/>
            </w:rPr>
            <m:t xml:space="preserve"> </m:t>
          </m:r>
        </m:oMath>
      </m:oMathPara>
    </w:p>
    <w:p w14:paraId="43C98E9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363" w:type="dxa"/>
        <w:tblInd w:w="993" w:type="dxa"/>
        <w:tblLook w:val="04A0" w:firstRow="1" w:lastRow="0" w:firstColumn="1" w:lastColumn="0" w:noHBand="0" w:noVBand="1"/>
      </w:tblPr>
      <w:tblGrid>
        <w:gridCol w:w="1275"/>
        <w:gridCol w:w="7088"/>
      </w:tblGrid>
      <w:tr w:rsidR="006E4CF5" w14:paraId="570F7E8F" w14:textId="77777777" w:rsidTr="00BA3556">
        <w:tc>
          <w:tcPr>
            <w:tcW w:w="1275" w:type="dxa"/>
          </w:tcPr>
          <w:p w14:paraId="266F06DA" w14:textId="77777777" w:rsidR="006E4CF5" w:rsidRPr="00C9569A" w:rsidRDefault="00A93098" w:rsidP="00BA3556">
            <w:pPr>
              <w:spacing w:before="120" w:after="120"/>
              <w:ind w:left="0"/>
              <w:rPr>
                <w:rFonts w:ascii="Bookman Old Style" w:eastAsia="Calibri"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k,m-1,j</m:t>
                    </m:r>
                  </m:sub>
                </m:sSub>
              </m:oMath>
            </m:oMathPara>
          </w:p>
        </w:tc>
        <w:tc>
          <w:tcPr>
            <w:tcW w:w="7088" w:type="dxa"/>
          </w:tcPr>
          <w:p w14:paraId="0C669930" w14:textId="77777777" w:rsidR="006E4CF5" w:rsidRDefault="006E4CF5" w:rsidP="00BA3556">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-1,</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r w:rsidR="006E4CF5" w14:paraId="6112D9BE" w14:textId="77777777" w:rsidTr="00BA3556">
        <w:tc>
          <w:tcPr>
            <w:tcW w:w="1275" w:type="dxa"/>
          </w:tcPr>
          <w:p w14:paraId="08770FAA" w14:textId="77777777" w:rsidR="006E4CF5" w:rsidRDefault="006E4CF5" w:rsidP="00BA3556">
            <w:pPr>
              <w:spacing w:before="120" w:after="120"/>
              <w:ind w:left="0"/>
              <w:jc w:val="both"/>
              <w:rPr>
                <w:rFonts w:ascii="Bookman Old Style" w:eastAsia="Calibri" w:hAnsi="Bookman Old Style"/>
                <w:lang w:val="es-CO" w:eastAsia="es-CO"/>
              </w:rPr>
            </w:pPr>
            <w:r>
              <w:rPr>
                <w:rFonts w:ascii="Bookman Old Style" w:hAnsi="Bookman Old Style"/>
                <w:color w:val="000000"/>
              </w:rPr>
              <w:t>m</w:t>
            </w:r>
          </w:p>
        </w:tc>
        <w:tc>
          <w:tcPr>
            <w:tcW w:w="7088" w:type="dxa"/>
          </w:tcPr>
          <w:p w14:paraId="5AA0ACD2" w14:textId="77777777" w:rsidR="006E4CF5" w:rsidRPr="001A6C44" w:rsidRDefault="006E4CF5" w:rsidP="00BA3556">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desde el tercer y hasta el sexto año de gradualidad.</w:t>
            </w:r>
          </w:p>
        </w:tc>
      </w:tr>
    </w:tbl>
    <w:p w14:paraId="2B38259E" w14:textId="77777777" w:rsidR="006E4CF5" w:rsidRPr="008610C0" w:rsidRDefault="006E4CF5" w:rsidP="006E4CF5">
      <w:pPr>
        <w:pStyle w:val="Prrafodelista"/>
        <w:numPr>
          <w:ilvl w:val="0"/>
          <w:numId w:val="40"/>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siete (7)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diez</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10</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se aplicará lo siguiente</w:t>
      </w:r>
      <w:r w:rsidRPr="008610C0">
        <w:rPr>
          <w:rFonts w:ascii="Bookman Old Style" w:eastAsia="Calibri" w:hAnsi="Bookman Old Style"/>
          <w:sz w:val="24"/>
          <w:szCs w:val="24"/>
          <w:lang w:val="es-ES_tradnl" w:eastAsia="en-US"/>
        </w:rPr>
        <w:t>:</w:t>
      </w:r>
    </w:p>
    <w:p w14:paraId="2407DED7" w14:textId="77777777" w:rsidR="006E4CF5" w:rsidRPr="00216147" w:rsidRDefault="006E4CF5" w:rsidP="006E4CF5">
      <w:pPr>
        <w:numPr>
          <w:ilvl w:val="0"/>
          <w:numId w:val="32"/>
        </w:numPr>
        <w:spacing w:before="240" w:after="240"/>
        <w:jc w:val="both"/>
        <w:rPr>
          <w:rFonts w:ascii="Bookman Old Style" w:eastAsia="Calibri" w:hAnsi="Bookman Old Style"/>
          <w:lang w:val="es-ES_tradnl" w:eastAsia="en-US"/>
        </w:rPr>
      </w:pPr>
      <w:r w:rsidRPr="00216147">
        <w:rPr>
          <w:rFonts w:ascii="Bookman Old Style" w:eastAsia="Calibri" w:hAnsi="Bookman Old Style"/>
          <w:lang w:val="es-ES_tradnl" w:eastAsia="en-US"/>
        </w:rPr>
        <w:t>Para los usuarios de uso diferente al residencial, se avanzará de forma gradual desde el ca</w:t>
      </w:r>
      <w:r>
        <w:rPr>
          <w:rFonts w:ascii="Bookman Old Style" w:eastAsia="Calibri" w:hAnsi="Bookman Old Style"/>
          <w:lang w:val="es-ES_tradnl" w:eastAsia="en-US"/>
        </w:rPr>
        <w:t>rgo aplicado en el mes set</w:t>
      </w:r>
      <w:r w:rsidRPr="00216147">
        <w:rPr>
          <w:rFonts w:ascii="Bookman Old Style" w:eastAsia="Calibri" w:hAnsi="Bookman Old Style"/>
          <w:lang w:val="es-ES_tradnl" w:eastAsia="en-US"/>
        </w:rPr>
        <w:t>enta</w:t>
      </w:r>
      <w:r>
        <w:rPr>
          <w:rFonts w:ascii="Bookman Old Style" w:eastAsia="Calibri" w:hAnsi="Bookman Old Style"/>
          <w:lang w:val="es-ES_tradnl" w:eastAsia="en-US"/>
        </w:rPr>
        <w:t xml:space="preserve"> y dos (72</w:t>
      </w:r>
      <w:r w:rsidRPr="00216147">
        <w:rPr>
          <w:rFonts w:ascii="Bookman Old Style" w:eastAsia="Calibri" w:hAnsi="Bookman Old Style"/>
          <w:lang w:val="es-ES_tradnl" w:eastAsia="en-US"/>
        </w:rPr>
        <w:t xml:space="preserve">) a dichos usuarios hasta el cargo de distribución </w:t>
      </w:r>
      <w:r>
        <w:rPr>
          <w:rFonts w:ascii="Bookman Old Style" w:eastAsia="Calibri" w:hAnsi="Bookman Old Style"/>
          <w:lang w:val="es-ES_tradnl" w:eastAsia="en-US"/>
        </w:rPr>
        <w:t>aprobado para</w:t>
      </w:r>
      <w:r w:rsidRPr="00216147">
        <w:rPr>
          <w:rFonts w:ascii="Bookman Old Style" w:eastAsia="Calibri" w:hAnsi="Bookman Old Style"/>
          <w:lang w:val="es-ES_tradnl" w:eastAsia="en-US"/>
        </w:rPr>
        <w:t xml:space="preserve"> usuarios de uso diferente al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oMath>
      <w:r w:rsidRPr="00216147">
        <w:rPr>
          <w:rFonts w:ascii="Bookman Old Style" w:eastAsia="Calibri" w:hAnsi="Bookman Old Style"/>
          <w:lang w:val="es-ES_tradnl"/>
        </w:rPr>
        <w:t>,</w:t>
      </w:r>
      <w:r w:rsidRPr="00216147">
        <w:rPr>
          <w:rFonts w:ascii="Bookman Old Style" w:eastAsia="Calibri" w:hAnsi="Bookman Old Style"/>
          <w:lang w:val="es-ES_tradnl" w:eastAsia="en-US"/>
        </w:rPr>
        <w:t xml:space="preserve"> así:</w:t>
      </w:r>
    </w:p>
    <w:p w14:paraId="5CFC99AC" w14:textId="77777777" w:rsidR="006E4CF5" w:rsidRPr="00606BEF" w:rsidRDefault="00A93098"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m-72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e>
          </m:d>
        </m:oMath>
      </m:oMathPara>
    </w:p>
    <w:p w14:paraId="61A044D5" w14:textId="77777777" w:rsidR="006E4CF5" w:rsidRPr="00CF3291" w:rsidRDefault="00A93098"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48</m:t>
              </m:r>
            </m:den>
          </m:f>
        </m:oMath>
      </m:oMathPara>
    </w:p>
    <w:p w14:paraId="5C7D880D" w14:textId="77777777"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241"/>
      </w:tblGrid>
      <w:tr w:rsidR="006E4CF5" w14:paraId="418261D8" w14:textId="77777777" w:rsidTr="004E1136">
        <w:tc>
          <w:tcPr>
            <w:tcW w:w="2264" w:type="dxa"/>
          </w:tcPr>
          <w:p w14:paraId="56D95168" w14:textId="77777777" w:rsidR="006E4CF5" w:rsidRPr="00CF3291" w:rsidRDefault="006E4CF5" w:rsidP="00BA3556">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241" w:type="dxa"/>
          </w:tcPr>
          <w:p w14:paraId="6A14F831" w14:textId="77777777" w:rsidR="006E4CF5" w:rsidRPr="00CF3291" w:rsidRDefault="006E4CF5" w:rsidP="00BA3556">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73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p>
        </w:tc>
      </w:tr>
      <w:tr w:rsidR="006E4CF5" w14:paraId="72B5FD4B" w14:textId="77777777" w:rsidTr="004E1136">
        <w:tc>
          <w:tcPr>
            <w:tcW w:w="2264" w:type="dxa"/>
          </w:tcPr>
          <w:p w14:paraId="41F0607A" w14:textId="77777777" w:rsidR="006E4CF5" w:rsidRPr="00CF3291" w:rsidRDefault="00A93098" w:rsidP="00BA3556">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7-10</m:t>
                    </m:r>
                  </m:sub>
                </m:sSub>
              </m:oMath>
            </m:oMathPara>
          </w:p>
        </w:tc>
        <w:tc>
          <w:tcPr>
            <w:tcW w:w="6241" w:type="dxa"/>
            <w:vAlign w:val="center"/>
          </w:tcPr>
          <w:p w14:paraId="3DB20D53" w14:textId="77777777" w:rsidR="006E4CF5" w:rsidRPr="00CF3291" w:rsidRDefault="006E4CF5" w:rsidP="00BA3556">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 xml:space="preserve">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2AC9AAE5" w14:textId="77777777" w:rsidTr="004E1136">
        <w:tc>
          <w:tcPr>
            <w:tcW w:w="2264" w:type="dxa"/>
          </w:tcPr>
          <w:p w14:paraId="4AC325C6" w14:textId="77777777" w:rsidR="006E4CF5" w:rsidRPr="000E7F03" w:rsidRDefault="00A93098" w:rsidP="00BA3556">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oMath>
            </m:oMathPara>
          </w:p>
        </w:tc>
        <w:tc>
          <w:tcPr>
            <w:tcW w:w="6241" w:type="dxa"/>
            <w:vAlign w:val="center"/>
          </w:tcPr>
          <w:p w14:paraId="3B8CFCC3" w14:textId="77777777" w:rsidR="006E4CF5" w:rsidRDefault="006E4CF5" w:rsidP="00BA3556">
            <w:pPr>
              <w:pStyle w:val="Prrafodelista"/>
              <w:spacing w:before="120" w:after="120"/>
              <w:ind w:left="36" w:hanging="36"/>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 usuarios diferentes a los de uso residencial</w:t>
            </w:r>
            <w:r w:rsidRPr="009D417D">
              <w:rPr>
                <w:rFonts w:ascii="Bookman Old Style" w:eastAsia="Calibri" w:hAnsi="Bookman Old Style"/>
                <w:sz w:val="24"/>
                <w:szCs w:val="24"/>
                <w:lang w:val="es-ES_tradnl" w:eastAsia="en-US"/>
              </w:rPr>
              <w:t xml:space="preserve"> del submercado k</w:t>
            </w:r>
            <w:r>
              <w:rPr>
                <w:rFonts w:ascii="Bookman Old Style" w:eastAsia="Calibri" w:hAnsi="Bookman Old Style"/>
                <w:sz w:val="24"/>
                <w:szCs w:val="24"/>
                <w:lang w:val="es-ES_tradnl" w:eastAsia="en-US"/>
              </w:rPr>
              <w:t xml:space="preserve"> aprobados en la presente resolución para el año 2021. Dado que estos cargos están expresados a pesos de diciembre de 2014, deberán actualizarse a pesos del mes de aprobación de la presente resolución</w:t>
            </w:r>
          </w:p>
        </w:tc>
      </w:tr>
    </w:tbl>
    <w:p w14:paraId="15ADD5CE"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w:t>
      </w:r>
      <w:r>
        <w:rPr>
          <w:rFonts w:ascii="Bookman Old Style" w:eastAsia="Calibri" w:hAnsi="Bookman Old Style"/>
          <w:lang w:val="es-ES_tradnl"/>
        </w:rPr>
        <w:t xml:space="preserve"> </w:t>
      </w:r>
      <w:r w:rsidRPr="00216147">
        <w:rPr>
          <w:rFonts w:ascii="Bookman Old Style" w:eastAsia="Calibri" w:hAnsi="Bookman Old Style"/>
          <w:lang w:val="es-ES_tradnl" w:eastAsia="en-US"/>
        </w:rPr>
        <w:t>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48F005AB" w14:textId="77777777" w:rsidR="006E4CF5" w:rsidRPr="003E5DA5" w:rsidRDefault="00A93098"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3B16560D" w14:textId="77777777"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Pr>
          <w:rFonts w:ascii="Bookman Old Style" w:eastAsia="Calibri" w:hAnsi="Bookman Old Style"/>
          <w:lang w:val="es-ES_tradnl"/>
        </w:rPr>
        <w:t>, durante los diez (10) años de la gradualidad,</w:t>
      </w:r>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AA0670" w14:paraId="146CFE26" w14:textId="77777777" w:rsidTr="004E1136">
        <w:tc>
          <w:tcPr>
            <w:tcW w:w="993" w:type="dxa"/>
            <w:hideMark/>
          </w:tcPr>
          <w:p w14:paraId="62EFFDE6" w14:textId="77777777" w:rsidR="006E4CF5" w:rsidRPr="00AA0670" w:rsidRDefault="00A93098" w:rsidP="00BA3556">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IPP</m:t>
                    </m:r>
                  </m:e>
                  <m:sub>
                    <m:r>
                      <m:rPr>
                        <m:sty m:val="p"/>
                      </m:rPr>
                      <w:rPr>
                        <w:rFonts w:ascii="Cambria Math" w:hAnsi="Cambria Math"/>
                        <w:color w:val="000000"/>
                      </w:rPr>
                      <m:t>0</m:t>
                    </m:r>
                  </m:sub>
                </m:sSub>
              </m:oMath>
            </m:oMathPara>
          </w:p>
        </w:tc>
        <w:tc>
          <w:tcPr>
            <w:tcW w:w="8363" w:type="dxa"/>
          </w:tcPr>
          <w:p w14:paraId="210D406B" w14:textId="490B502A" w:rsidR="006E4CF5" w:rsidRPr="00AA0670" w:rsidRDefault="006E4CF5" w:rsidP="004E1136">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de la oferta interna reportado por el DANE o la entidad competente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r w:rsidR="006E4CF5" w:rsidRPr="00AA0670" w14:paraId="59F63634" w14:textId="77777777" w:rsidTr="004E1136">
        <w:tc>
          <w:tcPr>
            <w:tcW w:w="993" w:type="dxa"/>
            <w:hideMark/>
          </w:tcPr>
          <w:p w14:paraId="345EB0E7" w14:textId="77777777" w:rsidR="006E4CF5" w:rsidRPr="00AA0670" w:rsidRDefault="00A93098" w:rsidP="00BA3556">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2FB55121" w14:textId="77777777" w:rsidR="006E4CF5" w:rsidRPr="00AA0670" w:rsidRDefault="006E4CF5" w:rsidP="004E1136">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al Consumidor Total Nacional reportado por el DANE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bl>
    <w:p w14:paraId="36A73528" w14:textId="77777777" w:rsidR="006E4CF5"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47AF00A5" w14:textId="77777777" w:rsidR="006E4CF5" w:rsidRDefault="006E4CF5" w:rsidP="006E4CF5">
      <w:pPr>
        <w:spacing w:after="240"/>
        <w:ind w:left="0"/>
        <w:jc w:val="both"/>
        <w:rPr>
          <w:rFonts w:ascii="Bookman Old Style" w:eastAsia="Calibri" w:hAnsi="Bookman Old Style"/>
          <w:lang w:val="es-ES_tradnl"/>
        </w:rPr>
      </w:pPr>
      <w:r w:rsidRPr="0098473D">
        <w:rPr>
          <w:rFonts w:ascii="Bookman Old Style" w:eastAsia="Calibri" w:hAnsi="Bookman Old Style"/>
          <w:lang w:val="es-ES_tradnl"/>
        </w:rPr>
        <w:t xml:space="preserve">Para la actualización de los cargos aplicados a los usuarios de uso residencial </w:t>
      </w:r>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w:rPr>
            <w:rFonts w:ascii="Cambria Math" w:hAnsi="Cambria Math" w:cs="Arial"/>
            <w:lang w:val="es-ES_tradnl"/>
          </w:rPr>
          <m:t xml:space="preserve"> </m:t>
        </m:r>
      </m:oMath>
      <w:r w:rsidRPr="0098473D">
        <w:rPr>
          <w:rFonts w:ascii="Bookman Old Style" w:eastAsia="Calibri" w:hAnsi="Bookman Old Style"/>
          <w:lang w:val="es-ES_tradnl"/>
        </w:rPr>
        <w:t xml:space="preserve"> durante los primeros dos (2) años de la gradualidad, la componente de inversión y la componente de AOM tomarán la misma proporción que tienen dichas componentes en el cargo aprobado en la presente resolución para los usuarios de uso residencial.</w:t>
      </w:r>
    </w:p>
    <w:p w14:paraId="1FB88DDD" w14:textId="77777777" w:rsidR="006E4CF5" w:rsidRPr="003E4EF3"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Pr>
          <w:rFonts w:ascii="Bookman Old Style" w:eastAsia="Calibri" w:hAnsi="Bookman Old Style"/>
          <w:b/>
          <w:sz w:val="24"/>
          <w:szCs w:val="24"/>
          <w:lang w:eastAsia="en-US"/>
        </w:rPr>
        <w:t>El v</w:t>
      </w:r>
      <w:r w:rsidRPr="003E4EF3">
        <w:rPr>
          <w:rFonts w:ascii="Bookman Old Style" w:eastAsia="Calibri" w:hAnsi="Bookman Old Style"/>
          <w:b/>
          <w:sz w:val="24"/>
          <w:szCs w:val="24"/>
          <w:lang w:eastAsia="en-US"/>
        </w:rPr>
        <w:t xml:space="preserve">alor del cargo </w:t>
      </w:r>
      <w:r>
        <w:rPr>
          <w:rFonts w:ascii="Bookman Old Style" w:eastAsia="Calibri" w:hAnsi="Bookman Old Style"/>
          <w:b/>
          <w:sz w:val="24"/>
          <w:szCs w:val="24"/>
          <w:lang w:eastAsia="en-US"/>
        </w:rPr>
        <w:t xml:space="preserve">de distribución promedio para el siguiente periodo tarifario del submercado es menor al cargo actual </w:t>
      </w:r>
      <w:r w:rsidRPr="00B00DB3">
        <w:rPr>
          <w:rFonts w:ascii="Bookman Old Style" w:eastAsia="Calibri" w:hAnsi="Bookman Old Style"/>
          <w:b/>
          <w:sz w:val="24"/>
          <w:szCs w:val="24"/>
          <w:lang w:val="es-ES_tradnl" w:eastAsia="en-US"/>
        </w:rPr>
        <w:t xml:space="preserve">aplicado a </w:t>
      </w:r>
      <w:r>
        <w:rPr>
          <w:rFonts w:ascii="Bookman Old Style" w:eastAsia="Calibri" w:hAnsi="Bookman Old Style"/>
          <w:b/>
          <w:sz w:val="24"/>
          <w:szCs w:val="24"/>
          <w:lang w:val="es-ES_tradnl" w:eastAsia="en-US"/>
        </w:rPr>
        <w:t>los usuarios diferentes a los de uso residencial</w:t>
      </w:r>
      <w:r w:rsidRPr="00B00DB3">
        <w:rPr>
          <w:rFonts w:ascii="Bookman Old Style" w:eastAsia="Calibri" w:hAnsi="Bookman Old Style"/>
          <w:b/>
          <w:sz w:val="24"/>
          <w:szCs w:val="24"/>
          <w:lang w:val="es-ES_tradnl" w:eastAsia="en-US"/>
        </w:rPr>
        <w:t xml:space="preserve"> en el mes </w:t>
      </w:r>
      <w:r w:rsidRPr="00B00DB3">
        <w:rPr>
          <w:rFonts w:ascii="Bookman Old Style" w:eastAsia="Calibri" w:hAnsi="Bookman Old Style"/>
          <w:b/>
          <w:sz w:val="24"/>
          <w:szCs w:val="24"/>
          <w:lang w:val="es-ES_tradnl" w:eastAsia="en-US"/>
        </w:rPr>
        <w:lastRenderedPageBreak/>
        <w:t>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06271B8C" w14:textId="77777777" w:rsidR="006E4CF5" w:rsidRPr="003E4EF3" w:rsidRDefault="006E4CF5" w:rsidP="006E4CF5">
      <w:pPr>
        <w:spacing w:before="240" w:after="240"/>
        <w:ind w:left="0" w:right="-91"/>
        <w:jc w:val="both"/>
        <w:rPr>
          <w:rFonts w:ascii="Bookman Old Style" w:eastAsia="Calibri" w:hAnsi="Bookman Old Style"/>
          <w:lang w:val="es-ES_tradnl" w:eastAsia="en-US"/>
        </w:rPr>
      </w:pPr>
      <w:r w:rsidRPr="000E7F03">
        <w:rPr>
          <w:rFonts w:ascii="Bookman Old Style" w:eastAsia="Calibri" w:hAnsi="Bookman Old Style"/>
          <w:lang w:val="es-ES_tradnl" w:eastAsia="en-US"/>
        </w:rPr>
        <w:t xml:space="preserve">En el caso en que </w:t>
      </w:r>
      <w:r w:rsidRPr="00044689">
        <w:rPr>
          <w:rFonts w:ascii="Bookman Old Style" w:eastAsia="Calibri" w:hAnsi="Bookman Old Style"/>
          <w:lang w:val="es-ES_tradnl" w:eastAsia="en-US"/>
        </w:rPr>
        <w:t>e</w:t>
      </w:r>
      <w:r w:rsidRPr="000E7F03">
        <w:rPr>
          <w:rFonts w:ascii="Bookman Old Style" w:eastAsia="Calibri" w:hAnsi="Bookman Old Style"/>
          <w:lang w:eastAsia="en-US"/>
        </w:rPr>
        <w:t>l valor del cargo de distrib</w:t>
      </w:r>
      <w:r>
        <w:rPr>
          <w:rFonts w:ascii="Bookman Old Style" w:eastAsia="Calibri" w:hAnsi="Bookman Old Style"/>
          <w:lang w:eastAsia="en-US"/>
        </w:rPr>
        <w:t>ución promedio del submercado k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Pr>
          <w:rFonts w:ascii="Bookman Old Style" w:eastAsia="Calibri" w:hAnsi="Bookman Old Style"/>
          <w:lang w:eastAsia="en-US"/>
        </w:rPr>
        <w:t xml:space="preserve"> sea</w:t>
      </w:r>
      <w:r w:rsidRPr="000E7F03">
        <w:rPr>
          <w:rFonts w:ascii="Bookman Old Style" w:eastAsia="Calibri" w:hAnsi="Bookman Old Style"/>
          <w:lang w:eastAsia="en-US"/>
        </w:rPr>
        <w:t xml:space="preserve"> menor al cargo </w:t>
      </w:r>
      <w:r w:rsidRPr="000E7F03">
        <w:rPr>
          <w:rFonts w:ascii="Bookman Old Style" w:eastAsia="Calibri" w:hAnsi="Bookman Old Style"/>
          <w:lang w:val="es-ES_tradnl" w:eastAsia="en-US"/>
        </w:rPr>
        <w:t xml:space="preserve">aplicado a los usuarios diferentes a los de uso residencial en el mes inmediatamente anterior a la aprobación de la presente resolución </w:t>
      </w:r>
      <w:r>
        <w:rPr>
          <w:rFonts w:ascii="Bookman Old Style" w:eastAsia="Calibri" w:hAnsi="Bookman Old Style"/>
          <w:lang w:val="es-ES_tradnl" w:eastAsia="en-US"/>
        </w:rPr>
        <w:t>(</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en el </w:t>
      </w:r>
      <w:r w:rsidRPr="003E4EF3">
        <w:rPr>
          <w:rFonts w:ascii="Bookman Old Style" w:eastAsia="Calibri" w:hAnsi="Bookman Old Style"/>
          <w:lang w:val="es-ES_tradnl"/>
        </w:rPr>
        <w:t>submercado de distribución k</w:t>
      </w:r>
      <w:r>
        <w:rPr>
          <w:rFonts w:ascii="Bookman Old Style" w:eastAsia="Calibri" w:hAnsi="Bookman Old Style"/>
          <w:lang w:val="es-ES_tradnl"/>
        </w:rPr>
        <w:t>, se aplicará la siguiente gradualidad</w:t>
      </w:r>
      <w:r>
        <w:rPr>
          <w:rFonts w:ascii="Bookman Old Style" w:eastAsia="Calibri" w:hAnsi="Bookman Old Style"/>
          <w:lang w:val="es-ES_tradnl" w:eastAsia="en-US"/>
        </w:rPr>
        <w:t>:</w:t>
      </w:r>
    </w:p>
    <w:p w14:paraId="25588F8B"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Durante el año uno (1) se tiene:</w:t>
      </w:r>
    </w:p>
    <w:p w14:paraId="51879E7D" w14:textId="77777777" w:rsidR="006E4CF5"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T</w:t>
      </w:r>
      <w:r w:rsidRPr="003E4EF3">
        <w:rPr>
          <w:rFonts w:ascii="Bookman Old Style" w:eastAsia="Calibri" w:hAnsi="Bookman Old Style"/>
          <w:sz w:val="24"/>
          <w:szCs w:val="24"/>
          <w:lang w:val="es-ES_tradnl" w:eastAsia="en-US"/>
        </w:rPr>
        <w:t xml:space="preserve">anto para usuarios de uso residencial como para los usuarios diferentes a los de uso residencial, </w:t>
      </w:r>
      <w:r>
        <w:rPr>
          <w:rFonts w:ascii="Bookman Old Style" w:eastAsia="Calibri" w:hAnsi="Bookman Old Style"/>
          <w:sz w:val="24"/>
          <w:szCs w:val="24"/>
          <w:lang w:val="es-ES_tradnl" w:eastAsia="en-US"/>
        </w:rPr>
        <w:t xml:space="preserve">se aplicará el cargo promedio del submercado k </w:t>
      </w:r>
      <w:r>
        <w:rPr>
          <w:rFonts w:ascii="Bookman Old Style" w:eastAsia="Calibri" w:hAnsi="Bookman Old Style"/>
          <w:lang w:eastAsia="en-US"/>
        </w:rPr>
        <w:t>(</w:t>
      </w: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oMath>
      <w:r>
        <w:rPr>
          <w:rFonts w:ascii="Bookman Old Style" w:eastAsia="Calibri" w:hAnsi="Bookman Old Style"/>
          <w:lang w:val="es-ES_tradnl"/>
        </w:rPr>
        <w:t>)</w:t>
      </w:r>
      <w:r>
        <w:rPr>
          <w:rFonts w:ascii="Bookman Old Style" w:eastAsia="Calibri" w:hAnsi="Bookman Old Style"/>
          <w:sz w:val="24"/>
          <w:szCs w:val="24"/>
          <w:lang w:val="es-ES_tradnl" w:eastAsia="en-US"/>
        </w:rPr>
        <w:t>.</w:t>
      </w:r>
    </w:p>
    <w:p w14:paraId="5AD7F6D4"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dos (2) al año diez (10) se aplicará lo siguiente:</w:t>
      </w:r>
    </w:p>
    <w:p w14:paraId="2A24FF8E" w14:textId="77777777" w:rsidR="006E4CF5" w:rsidRPr="003E4EF3"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sidRPr="003E4EF3">
        <w:rPr>
          <w:rFonts w:ascii="Bookman Old Style" w:eastAsia="Calibri" w:hAnsi="Bookman Old Style"/>
          <w:sz w:val="24"/>
          <w:szCs w:val="24"/>
          <w:lang w:val="es-ES_tradnl" w:eastAsia="en-US"/>
        </w:rPr>
        <w:t xml:space="preserve">Para los usuarios de uso diferente al residencial, se avanzará de forma gradual desde el cargo aplicado en el mes </w:t>
      </w:r>
      <w:r>
        <w:rPr>
          <w:rFonts w:ascii="Bookman Old Style" w:eastAsia="Calibri" w:hAnsi="Bookman Old Style"/>
          <w:sz w:val="24"/>
          <w:szCs w:val="24"/>
          <w:lang w:val="es-ES_tradnl" w:eastAsia="en-US"/>
        </w:rPr>
        <w:t>doce</w:t>
      </w:r>
      <w:r w:rsidRPr="003E4EF3">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12</w:t>
      </w:r>
      <w:r w:rsidRPr="003E4EF3">
        <w:rPr>
          <w:rFonts w:ascii="Bookman Old Style" w:eastAsia="Calibri" w:hAnsi="Bookman Old Style"/>
          <w:sz w:val="24"/>
          <w:szCs w:val="24"/>
          <w:lang w:val="es-ES_tradnl" w:eastAsia="en-US"/>
        </w:rPr>
        <w:t>) a dichos usuarios hasta el cargo de distribución ap</w:t>
      </w:r>
      <w:r>
        <w:rPr>
          <w:rFonts w:ascii="Bookman Old Style" w:eastAsia="Calibri" w:hAnsi="Bookman Old Style"/>
          <w:sz w:val="24"/>
          <w:szCs w:val="24"/>
          <w:lang w:val="es-ES_tradnl" w:eastAsia="en-US"/>
        </w:rPr>
        <w:t>robado</w:t>
      </w:r>
      <w:r w:rsidRPr="00261C4A">
        <w:rPr>
          <w:rFonts w:ascii="Bookman Old Style" w:eastAsia="Calibri" w:hAnsi="Bookman Old Style"/>
          <w:sz w:val="24"/>
          <w:szCs w:val="24"/>
          <w:lang w:val="es-ES_tradnl" w:eastAsia="en-US"/>
        </w:rPr>
        <w:t xml:space="preserve"> para</w:t>
      </w:r>
      <w:r>
        <w:rPr>
          <w:rFonts w:ascii="Bookman Old Style" w:eastAsia="Calibri" w:hAnsi="Bookman Old Style"/>
          <w:sz w:val="24"/>
          <w:szCs w:val="24"/>
          <w:lang w:val="es-ES_tradnl" w:eastAsia="en-US"/>
        </w:rPr>
        <w:t xml:space="preserve"> </w:t>
      </w:r>
      <w:r w:rsidRPr="003E4EF3">
        <w:rPr>
          <w:rFonts w:ascii="Bookman Old Style" w:eastAsia="Calibri" w:hAnsi="Bookman Old Style"/>
          <w:sz w:val="24"/>
          <w:szCs w:val="24"/>
          <w:lang w:val="es-ES_tradnl" w:eastAsia="en-US"/>
        </w:rPr>
        <w:t xml:space="preserve">usuarios de uso diferente al residencial, </w:t>
      </w: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AUNR</m:t>
                </m:r>
              </m:e>
            </m:d>
          </m:sub>
        </m:sSub>
      </m:oMath>
      <w:r w:rsidRPr="003E4EF3">
        <w:rPr>
          <w:rFonts w:ascii="Bookman Old Style" w:eastAsia="Calibri" w:hAnsi="Bookman Old Style"/>
          <w:sz w:val="24"/>
          <w:szCs w:val="24"/>
          <w:lang w:val="es-ES_tradnl" w:eastAsia="en-US"/>
        </w:rPr>
        <w:t>, así:</w:t>
      </w:r>
    </w:p>
    <w:p w14:paraId="686CAA93" w14:textId="77777777" w:rsidR="006E4CF5" w:rsidRPr="00606BEF" w:rsidRDefault="00A93098"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r>
                    <m:rPr>
                      <m:sty m:val="p"/>
                    </m:rPr>
                    <w:rPr>
                      <w:rFonts w:ascii="Cambria Math" w:hAnsi="Cambria Math" w:cs="Arial"/>
                      <w:sz w:val="24"/>
                      <w:szCs w:val="24"/>
                      <w:lang w:val="es-ES_tradnl"/>
                    </w:rPr>
                    <m:t>ist</m:t>
                  </m:r>
                </m:sub>
              </m:sSub>
            </m:sub>
          </m:sSub>
          <m: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m-12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e>
          </m:d>
        </m:oMath>
      </m:oMathPara>
    </w:p>
    <w:p w14:paraId="2BD8A7E3" w14:textId="77777777" w:rsidR="006E4CF5" w:rsidRPr="00CF3291" w:rsidRDefault="00A93098"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num>
            <m:den>
              <m:r>
                <m:rPr>
                  <m:sty m:val="p"/>
                </m:rPr>
                <w:rPr>
                  <w:rFonts w:ascii="Cambria Math" w:hAnsi="Cambria Math" w:cs="Arial"/>
                  <w:sz w:val="24"/>
                  <w:szCs w:val="24"/>
                  <w:lang w:val="es-ES_tradnl"/>
                </w:rPr>
                <m:t>108</m:t>
              </m:r>
            </m:den>
          </m:f>
        </m:oMath>
      </m:oMathPara>
    </w:p>
    <w:p w14:paraId="31AD8B2E" w14:textId="77777777"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5"/>
      </w:tblGrid>
      <w:tr w:rsidR="006E4CF5" w14:paraId="0793AF32" w14:textId="77777777" w:rsidTr="00BA3556">
        <w:tc>
          <w:tcPr>
            <w:tcW w:w="2264" w:type="dxa"/>
          </w:tcPr>
          <w:p w14:paraId="69C123C6" w14:textId="77777777" w:rsidR="006E4CF5" w:rsidRPr="00F77D15" w:rsidRDefault="00A93098" w:rsidP="00BA3556">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723" w:type="dxa"/>
            <w:vAlign w:val="center"/>
          </w:tcPr>
          <w:p w14:paraId="31864862" w14:textId="77777777" w:rsidR="006E4CF5" w:rsidRDefault="006E4CF5" w:rsidP="00BA3556">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07E194BA" w14:textId="77777777" w:rsidTr="00BA3556">
        <w:tc>
          <w:tcPr>
            <w:tcW w:w="2268" w:type="dxa"/>
          </w:tcPr>
          <w:p w14:paraId="47B4D19A" w14:textId="77777777" w:rsidR="006E4CF5" w:rsidRPr="00CF3291" w:rsidRDefault="006E4CF5" w:rsidP="00BA3556">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095" w:type="dxa"/>
          </w:tcPr>
          <w:p w14:paraId="7ED9E2E0" w14:textId="77777777" w:rsidR="006E4CF5" w:rsidRPr="00CF3291" w:rsidRDefault="006E4CF5" w:rsidP="00BA3556">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13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segundo y hasta el décimo</w:t>
            </w:r>
            <w:r w:rsidRPr="00CF3291">
              <w:rPr>
                <w:rFonts w:ascii="Bookman Old Style" w:eastAsia="Calibri" w:hAnsi="Bookman Old Style"/>
                <w:sz w:val="24"/>
                <w:szCs w:val="24"/>
                <w:lang w:val="es-ES_tradnl"/>
              </w:rPr>
              <w:t xml:space="preserve"> año de gradualidad.</w:t>
            </w:r>
          </w:p>
        </w:tc>
      </w:tr>
      <w:tr w:rsidR="006E4CF5" w14:paraId="153E7B95" w14:textId="77777777" w:rsidTr="00BA3556">
        <w:tc>
          <w:tcPr>
            <w:tcW w:w="2268" w:type="dxa"/>
          </w:tcPr>
          <w:p w14:paraId="74136607" w14:textId="77777777" w:rsidR="006E4CF5" w:rsidRPr="00CF3291" w:rsidRDefault="00A93098" w:rsidP="00BA3556">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2-10</m:t>
                    </m:r>
                  </m:sub>
                </m:sSub>
              </m:oMath>
            </m:oMathPara>
          </w:p>
        </w:tc>
        <w:tc>
          <w:tcPr>
            <w:tcW w:w="6095" w:type="dxa"/>
            <w:vAlign w:val="center"/>
          </w:tcPr>
          <w:p w14:paraId="273E1F2B" w14:textId="77777777" w:rsidR="006E4CF5" w:rsidRPr="00CF3291" w:rsidRDefault="006E4CF5" w:rsidP="00BA3556">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el</w:t>
            </w:r>
            <w:r>
              <w:rPr>
                <w:rFonts w:ascii="Bookman Old Style" w:eastAsia="Calibri" w:hAnsi="Bookman Old Style"/>
                <w:sz w:val="24"/>
                <w:szCs w:val="24"/>
                <w:lang w:val="es-ES_tradnl"/>
              </w:rPr>
              <w:t xml:space="preserve"> segundo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53D540CF" w14:textId="77777777" w:rsidTr="00BA3556">
        <w:tc>
          <w:tcPr>
            <w:tcW w:w="2268" w:type="dxa"/>
          </w:tcPr>
          <w:p w14:paraId="1917B722" w14:textId="77777777" w:rsidR="006E4CF5" w:rsidRPr="004869EB" w:rsidRDefault="00A93098" w:rsidP="00BA3556">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oMath>
            </m:oMathPara>
          </w:p>
        </w:tc>
        <w:tc>
          <w:tcPr>
            <w:tcW w:w="6095" w:type="dxa"/>
            <w:vAlign w:val="center"/>
          </w:tcPr>
          <w:p w14:paraId="3DD94913" w14:textId="77777777" w:rsidR="006E4CF5" w:rsidRDefault="006E4CF5" w:rsidP="00BA3556">
            <w:pPr>
              <w:pStyle w:val="Prrafodelista"/>
              <w:spacing w:before="120" w:after="120"/>
              <w:ind w:left="0"/>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12. Dado que estos </w:t>
            </w:r>
            <w:r>
              <w:rPr>
                <w:rFonts w:ascii="Bookman Old Style" w:eastAsia="Calibri" w:hAnsi="Bookman Old Style"/>
                <w:sz w:val="24"/>
                <w:szCs w:val="24"/>
                <w:lang w:val="es-ES_tradnl" w:eastAsia="en-US"/>
              </w:rPr>
              <w:lastRenderedPageBreak/>
              <w:t>cargos están expresados a pesos de diciembre de 2014, deberán actualizarse a pesos del mes de aprobación de la presente resolución</w:t>
            </w:r>
          </w:p>
        </w:tc>
      </w:tr>
    </w:tbl>
    <w:p w14:paraId="3724160C" w14:textId="77777777" w:rsidR="006E4CF5" w:rsidRPr="004563FF"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lastRenderedPageBreak/>
        <w:t xml:space="preserve">Para los usuarios de uso residencial, </w:t>
      </w:r>
      <w:r w:rsidRPr="00216147">
        <w:rPr>
          <w:rFonts w:ascii="Bookman Old Style" w:eastAsia="Calibri" w:hAnsi="Bookman Old Style"/>
          <w:lang w:val="es-ES_tradnl" w:eastAsia="en-US"/>
        </w:rPr>
        <w:t>se avanzará de forma gradual 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7E6EA3D2" w14:textId="77777777" w:rsidR="006E4CF5" w:rsidRPr="003E5DA5" w:rsidRDefault="00A93098" w:rsidP="006E4CF5">
      <w:pPr>
        <w:pStyle w:val="Prrafodelista"/>
        <w:tabs>
          <w:tab w:val="left" w:pos="0"/>
        </w:tabs>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r>
                        <m:rPr>
                          <m:sty m:val="p"/>
                        </m:rPr>
                        <w:rPr>
                          <w:rFonts w:ascii="Cambria Math" w:hAnsi="Cambria Math" w:cs="Arial"/>
                          <w:sz w:val="24"/>
                          <w:szCs w:val="24"/>
                          <w:lang w:val="es-ES_tradnl"/>
                        </w:rPr>
                        <m:t>TOTALk</m:t>
                      </m:r>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758FAAD8" w14:textId="77777777" w:rsidR="006E4CF5" w:rsidRDefault="006E4CF5" w:rsidP="006E4CF5">
      <w:pPr>
        <w:spacing w:before="240"/>
        <w:ind w:left="0"/>
        <w:jc w:val="both"/>
        <w:rPr>
          <w:rFonts w:ascii="Bookman Old Style" w:eastAsia="Calibri" w:hAnsi="Bookman Old Style"/>
          <w:lang w:val="es-ES_tradnl"/>
        </w:rPr>
      </w:pPr>
    </w:p>
    <w:p w14:paraId="239A0E8A" w14:textId="77777777"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0D0ABF" w14:paraId="7F0EE806" w14:textId="77777777" w:rsidTr="004E1136">
        <w:tc>
          <w:tcPr>
            <w:tcW w:w="993" w:type="dxa"/>
            <w:hideMark/>
          </w:tcPr>
          <w:p w14:paraId="682C9787" w14:textId="77777777" w:rsidR="006E4CF5" w:rsidRPr="000D0ABF" w:rsidRDefault="00A93098" w:rsidP="00BA3556">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sz w:val="28"/>
                        <w:szCs w:val="28"/>
                      </w:rPr>
                    </m:ctrlPr>
                  </m:sSubPr>
                  <m:e>
                    <m:r>
                      <m:rPr>
                        <m:sty m:val="p"/>
                      </m:rPr>
                      <w:rPr>
                        <w:rFonts w:ascii="Cambria Math" w:hAnsi="Cambria Math"/>
                        <w:color w:val="000000"/>
                        <w:sz w:val="28"/>
                      </w:rPr>
                      <m:t>IPP</m:t>
                    </m:r>
                  </m:e>
                  <m:sub>
                    <m:r>
                      <m:rPr>
                        <m:sty m:val="p"/>
                      </m:rPr>
                      <w:rPr>
                        <w:rFonts w:ascii="Cambria Math" w:hAnsi="Cambria Math"/>
                        <w:color w:val="000000"/>
                        <w:sz w:val="28"/>
                      </w:rPr>
                      <m:t>0</m:t>
                    </m:r>
                  </m:sub>
                </m:sSub>
              </m:oMath>
            </m:oMathPara>
          </w:p>
        </w:tc>
        <w:tc>
          <w:tcPr>
            <w:tcW w:w="8363" w:type="dxa"/>
          </w:tcPr>
          <w:p w14:paraId="3F9CD7C8" w14:textId="66EF4C3E" w:rsidR="006E4CF5" w:rsidRPr="000D0ABF" w:rsidRDefault="006E4CF5" w:rsidP="004E1136">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de la oferta interna reportado por el DANE o la entidad competente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r w:rsidR="006E4CF5" w:rsidRPr="000D0ABF" w14:paraId="3DF0183A" w14:textId="77777777" w:rsidTr="004E1136">
        <w:tc>
          <w:tcPr>
            <w:tcW w:w="993" w:type="dxa"/>
            <w:hideMark/>
          </w:tcPr>
          <w:p w14:paraId="79E81C3F" w14:textId="77777777" w:rsidR="006E4CF5" w:rsidRPr="000D0ABF" w:rsidRDefault="00A93098" w:rsidP="00BA3556">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589096A5" w14:textId="77777777" w:rsidR="006E4CF5" w:rsidRPr="000D0ABF" w:rsidRDefault="006E4CF5" w:rsidP="004E1136">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al Consumidor Total Nacional reportado por el DANE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bl>
    <w:p w14:paraId="1236E00F" w14:textId="7C262A1D" w:rsidR="002608FA" w:rsidRPr="00093AC4" w:rsidRDefault="006E4CF5" w:rsidP="004E1136">
      <w:pPr>
        <w:spacing w:after="240"/>
        <w:ind w:left="0"/>
        <w:jc w:val="both"/>
        <w:rPr>
          <w:rFonts w:ascii="Bookman Old Style" w:eastAsia="Calibri" w:hAnsi="Bookman Old Style"/>
          <w:lang w:val="es-ES_tradnl" w:eastAsia="en-US"/>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2A68348D" w14:textId="77777777" w:rsidR="00526A24" w:rsidRPr="00954BC2" w:rsidRDefault="00526A24" w:rsidP="00526A24">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54BC2">
        <w:rPr>
          <w:rFonts w:ascii="Bookman Old Style" w:hAnsi="Bookman Old Style" w:cs="Arial"/>
          <w:b/>
          <w:sz w:val="24"/>
          <w:szCs w:val="24"/>
        </w:rPr>
        <w:t>Aspectos y elementos adicionales</w:t>
      </w:r>
    </w:p>
    <w:p w14:paraId="7AB4DC36" w14:textId="6C92052E" w:rsidR="00526A24" w:rsidRDefault="00526A24" w:rsidP="00DD2701">
      <w:pPr>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w:t>
      </w:r>
      <w:r w:rsidR="00DD2701" w:rsidRPr="000C28B2">
        <w:rPr>
          <w:rFonts w:ascii="Bookman Old Style" w:hAnsi="Bookman Old Style" w:cs="Arial"/>
        </w:rPr>
        <w:t xml:space="preserve">CREG </w:t>
      </w:r>
      <w:r w:rsidR="000C28B2" w:rsidRPr="000C28B2">
        <w:rPr>
          <w:rFonts w:ascii="Bookman Old Style" w:hAnsi="Bookman Old Style" w:cs="Arial"/>
        </w:rPr>
        <w:t>07</w:t>
      </w:r>
      <w:r w:rsidR="00656C35">
        <w:rPr>
          <w:rFonts w:ascii="Bookman Old Style" w:hAnsi="Bookman Old Style" w:cs="Arial"/>
        </w:rPr>
        <w:t>3</w:t>
      </w:r>
      <w:r w:rsidR="00DD2701" w:rsidRPr="000C28B2">
        <w:rPr>
          <w:rFonts w:ascii="Bookman Old Style" w:hAnsi="Bookman Old Style" w:cs="Arial"/>
        </w:rPr>
        <w:t xml:space="preserve"> de 2018</w:t>
      </w:r>
      <w:r w:rsidRPr="000C28B2">
        <w:rPr>
          <w:rFonts w:ascii="Bookman Old Style" w:hAnsi="Bookman Old Style" w:cs="Arial"/>
        </w:rPr>
        <w:t>, soporte</w:t>
      </w:r>
      <w:r w:rsidRPr="001954E9">
        <w:rPr>
          <w:rFonts w:ascii="Bookman Old Style" w:hAnsi="Bookman Old Style" w:cs="Arial"/>
        </w:rPr>
        <w:t xml:space="preserve"> de la presente resolución.</w:t>
      </w:r>
    </w:p>
    <w:p w14:paraId="22306A7B" w14:textId="1140FB4A" w:rsidR="00AB158D" w:rsidRDefault="00526A24" w:rsidP="004E1136">
      <w:pPr>
        <w:widowControl w:val="0"/>
        <w:adjustRightInd w:val="0"/>
        <w:spacing w:before="240" w:after="240"/>
        <w:ind w:left="0" w:right="20"/>
        <w:jc w:val="both"/>
        <w:rPr>
          <w:rFonts w:ascii="Bookman Old Style" w:hAnsi="Bookman Old Style" w:cs="Arial"/>
          <w:lang w:val="es-ES_tradnl"/>
        </w:rPr>
      </w:pPr>
      <w:r w:rsidRPr="00006560">
        <w:rPr>
          <w:rFonts w:ascii="Bookman Old Style" w:hAnsi="Bookman Old Style" w:cs="Arial"/>
          <w:lang w:val="es-ES_tradnl"/>
        </w:rPr>
        <w:t xml:space="preserve">El cargo de distribución por redes de tubería asignado mediante el presente acto administrativo estará vigente </w:t>
      </w:r>
      <w:r w:rsidR="00AB158D" w:rsidRPr="005B2DAF">
        <w:rPr>
          <w:rFonts w:ascii="Bookman Old Style" w:hAnsi="Bookman Old Style"/>
          <w:bCs/>
        </w:rPr>
        <w:t xml:space="preserve">desde la fecha en que quede en firme la presente resolución y hasta tanto se definan los </w:t>
      </w:r>
      <w:r w:rsidR="00AB158D">
        <w:rPr>
          <w:rFonts w:ascii="Bookman Old Style" w:hAnsi="Bookman Old Style"/>
          <w:bCs/>
        </w:rPr>
        <w:t xml:space="preserve">nuevos </w:t>
      </w:r>
      <w:r w:rsidR="00AB158D" w:rsidRPr="005B2DAF">
        <w:rPr>
          <w:rFonts w:ascii="Bookman Old Style" w:hAnsi="Bookman Old Style"/>
          <w:bCs/>
        </w:rPr>
        <w:t xml:space="preserve">cargos </w:t>
      </w:r>
      <w:r w:rsidR="00AB158D">
        <w:rPr>
          <w:rFonts w:ascii="Bookman Old Style" w:hAnsi="Bookman Old Style"/>
          <w:bCs/>
        </w:rPr>
        <w:t xml:space="preserve">con la metodología definitiva </w:t>
      </w:r>
      <w:r w:rsidR="00AB158D" w:rsidRPr="005B2DAF">
        <w:rPr>
          <w:rFonts w:ascii="Bookman Old Style" w:hAnsi="Bookman Old Style"/>
          <w:bCs/>
        </w:rPr>
        <w:t xml:space="preserve">para un periodo de cinco años, </w:t>
      </w:r>
      <w:r w:rsidR="00AB158D" w:rsidRPr="00E8579D">
        <w:rPr>
          <w:rFonts w:ascii="Bookman Old Style" w:hAnsi="Bookman Old Style" w:cs="Arial"/>
          <w:lang w:val="es-ES_tradnl"/>
        </w:rPr>
        <w:t>salvo que la empresa solicite</w:t>
      </w:r>
      <w:r w:rsidR="00AB158D">
        <w:rPr>
          <w:rFonts w:ascii="Bookman Old Style" w:hAnsi="Bookman Old Style" w:cs="Arial"/>
          <w:lang w:val="es-ES_tradnl"/>
        </w:rPr>
        <w:t xml:space="preserve"> formalmente mantener este cargo.</w:t>
      </w:r>
    </w:p>
    <w:p w14:paraId="393B7796" w14:textId="77777777" w:rsidR="004E1136" w:rsidRPr="00D31A36" w:rsidRDefault="004E1136" w:rsidP="004E1136">
      <w:pPr>
        <w:widowControl w:val="0"/>
        <w:adjustRightInd w:val="0"/>
        <w:spacing w:before="240" w:after="240"/>
        <w:ind w:left="0" w:right="20"/>
        <w:jc w:val="both"/>
        <w:rPr>
          <w:rFonts w:ascii="Bookman Old Style" w:hAnsi="Bookman Old Style" w:cs="Arial"/>
          <w:lang w:val="es-CO"/>
        </w:rPr>
      </w:pPr>
      <w:r w:rsidRPr="00D31A36">
        <w:rPr>
          <w:rFonts w:ascii="Bookman Old Style" w:hAnsi="Bookman Old Style" w:cs="Arial"/>
          <w:lang w:val="es-CO"/>
        </w:rPr>
        <w:t xml:space="preserve">Dada la condición de transitoriedad del cargo asignado mediante </w:t>
      </w:r>
      <w:r>
        <w:rPr>
          <w:rFonts w:ascii="Bookman Old Style" w:hAnsi="Bookman Old Style" w:cs="Arial"/>
          <w:lang w:val="es-CO"/>
        </w:rPr>
        <w:t>esta</w:t>
      </w:r>
      <w:r w:rsidRPr="00D31A36">
        <w:rPr>
          <w:rFonts w:ascii="Bookman Old Style" w:hAnsi="Bookman Old Style" w:cs="Arial"/>
          <w:lang w:val="es-CO"/>
        </w:rPr>
        <w:t xml:space="preserve"> Resolución</w:t>
      </w:r>
      <w:r>
        <w:rPr>
          <w:rFonts w:ascii="Bookman Old Style" w:hAnsi="Bookman Old Style" w:cs="Arial"/>
          <w:lang w:val="es-CO"/>
        </w:rPr>
        <w:t>,</w:t>
      </w:r>
      <w:r w:rsidRPr="00D31A36">
        <w:rPr>
          <w:rFonts w:ascii="Bookman Old Style" w:hAnsi="Bookman Old Style" w:cs="Arial"/>
          <w:lang w:val="es-CO"/>
        </w:rPr>
        <w:t xml:space="preserve"> el presente cargo, previo el cumplimiento de los requisitos de publicidad y comunicación a las entidades correspondientes, debe regir tan pronto quede ejecutoriada.</w:t>
      </w:r>
    </w:p>
    <w:p w14:paraId="26D62F36" w14:textId="7ED334EF" w:rsidR="00526A24" w:rsidRDefault="00526A24" w:rsidP="00526A24">
      <w:pPr>
        <w:spacing w:before="240" w:after="240"/>
        <w:ind w:left="0"/>
        <w:jc w:val="both"/>
        <w:rPr>
          <w:rFonts w:ascii="Bookman Old Style" w:hAnsi="Bookman Old Style" w:cs="Arial"/>
        </w:rPr>
      </w:pPr>
      <w:r w:rsidRPr="001954E9">
        <w:rPr>
          <w:rFonts w:ascii="Bookman Old Style" w:hAnsi="Bookman Old Style"/>
          <w:lang w:val="es-ES_tradnl"/>
        </w:rPr>
        <w:lastRenderedPageBreak/>
        <w:t>Con base en lo establecido en el artículo 4 del Decreto 2897 de 2010</w:t>
      </w:r>
      <w:r w:rsidRPr="001954E9">
        <w:rPr>
          <w:rFonts w:ascii="Bookman Old Style" w:hAnsi="Bookman Old Style"/>
          <w:vertAlign w:val="superscript"/>
          <w:lang w:val="es-ES_tradnl"/>
        </w:rPr>
        <w:footnoteReference w:id="22"/>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020431">
        <w:rPr>
          <w:rFonts w:ascii="Bookman Old Style" w:hAnsi="Bookman Old Style" w:cs="Arial"/>
        </w:rPr>
        <w:t>CREG 0</w:t>
      </w:r>
      <w:r w:rsidR="00020431">
        <w:rPr>
          <w:rFonts w:ascii="Bookman Old Style" w:hAnsi="Bookman Old Style" w:cs="Arial"/>
        </w:rPr>
        <w:t>7</w:t>
      </w:r>
      <w:r w:rsidR="00656C35">
        <w:rPr>
          <w:rFonts w:ascii="Bookman Old Style" w:hAnsi="Bookman Old Style" w:cs="Arial"/>
        </w:rPr>
        <w:t>3</w:t>
      </w:r>
      <w:r w:rsidRPr="001954E9">
        <w:rPr>
          <w:rFonts w:ascii="Bookman Old Style" w:hAnsi="Bookman Old Style" w:cs="Arial"/>
        </w:rPr>
        <w:t xml:space="preserve"> de 201</w:t>
      </w:r>
      <w:r w:rsidR="00DD2701">
        <w:rPr>
          <w:rFonts w:ascii="Bookman Old Style" w:hAnsi="Bookman Old Style" w:cs="Arial"/>
        </w:rPr>
        <w:t>8</w:t>
      </w:r>
      <w:r w:rsidRPr="001954E9">
        <w:rPr>
          <w:rFonts w:ascii="Bookman Old Style" w:hAnsi="Bookman Old Style" w:cs="Arial"/>
        </w:rPr>
        <w:t>.</w:t>
      </w:r>
    </w:p>
    <w:p w14:paraId="01DDE2BE" w14:textId="77777777" w:rsidR="00526A24" w:rsidRPr="001954E9"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las Resolución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Pr="001954E9">
        <w:rPr>
          <w:rStyle w:val="Refdenotaalpie"/>
          <w:rFonts w:ascii="Bookman Old Style" w:hAnsi="Bookman Old Style" w:cs="Arial"/>
        </w:rPr>
        <w:footnoteReference w:id="23"/>
      </w:r>
      <w:r w:rsidRPr="001954E9">
        <w:rPr>
          <w:rFonts w:ascii="Bookman Old Style" w:hAnsi="Bookman Old Style" w:cs="Arial"/>
        </w:rPr>
        <w:t xml:space="preserve">. </w:t>
      </w:r>
    </w:p>
    <w:p w14:paraId="38504860" w14:textId="4481633E" w:rsidR="00526A24" w:rsidRDefault="00526A24" w:rsidP="00526A24">
      <w:pPr>
        <w:suppressAutoHyphens/>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020431">
        <w:rPr>
          <w:rFonts w:ascii="Bookman Old Style" w:hAnsi="Bookman Old Style" w:cs="Arial"/>
          <w:color w:val="000000"/>
          <w:spacing w:val="-3"/>
        </w:rPr>
        <w:t xml:space="preserve">sesión </w:t>
      </w:r>
      <w:r w:rsidR="00020431" w:rsidRPr="00020431">
        <w:rPr>
          <w:rFonts w:ascii="Bookman Old Style" w:hAnsi="Bookman Old Style" w:cs="Arial"/>
          <w:color w:val="000000"/>
          <w:spacing w:val="-3"/>
        </w:rPr>
        <w:t>868</w:t>
      </w:r>
      <w:r w:rsidR="00DD2701" w:rsidRPr="00020431">
        <w:rPr>
          <w:rFonts w:ascii="Bookman Old Style" w:hAnsi="Bookman Old Style" w:cs="Arial"/>
          <w:color w:val="000000"/>
          <w:spacing w:val="-3"/>
        </w:rPr>
        <w:t xml:space="preserve"> del </w:t>
      </w:r>
      <w:r w:rsidR="00020431" w:rsidRPr="00020431">
        <w:rPr>
          <w:rFonts w:ascii="Bookman Old Style" w:hAnsi="Bookman Old Style" w:cs="Arial"/>
          <w:color w:val="000000"/>
          <w:spacing w:val="-3"/>
        </w:rPr>
        <w:t>30</w:t>
      </w:r>
      <w:r w:rsidR="00DD2701" w:rsidRPr="00020431">
        <w:rPr>
          <w:rFonts w:ascii="Bookman Old Style" w:hAnsi="Bookman Old Style" w:cs="Arial"/>
          <w:color w:val="000000"/>
          <w:spacing w:val="-3"/>
        </w:rPr>
        <w:t xml:space="preserve"> de julio</w:t>
      </w:r>
      <w:r w:rsidRPr="00020431">
        <w:rPr>
          <w:rFonts w:ascii="Bookman Old Style" w:hAnsi="Bookman Old Style" w:cs="Arial"/>
          <w:color w:val="000000"/>
          <w:spacing w:val="-3"/>
        </w:rPr>
        <w:t xml:space="preserve"> de 201</w:t>
      </w:r>
      <w:r w:rsidR="00DD2701" w:rsidRPr="00020431">
        <w:rPr>
          <w:rFonts w:ascii="Bookman Old Style" w:hAnsi="Bookman Old Style" w:cs="Arial"/>
          <w:color w:val="000000"/>
          <w:spacing w:val="-3"/>
        </w:rPr>
        <w:t>8</w:t>
      </w:r>
      <w:r w:rsidRPr="00020431">
        <w:rPr>
          <w:rFonts w:ascii="Bookman Old Style" w:hAnsi="Bookman Old Style" w:cs="Arial"/>
          <w:color w:val="000000"/>
          <w:spacing w:val="-3"/>
        </w:rPr>
        <w:t xml:space="preserve">, </w:t>
      </w:r>
      <w:r w:rsidRPr="00020431">
        <w:rPr>
          <w:rFonts w:ascii="Bookman Old Style" w:hAnsi="Bookman Old Style"/>
          <w:color w:val="000000"/>
          <w:lang w:val="es-ES_tradnl"/>
        </w:rPr>
        <w:t>acordó expedir la presente resolución.</w:t>
      </w:r>
    </w:p>
    <w:p w14:paraId="7AF54AF0" w14:textId="77777777" w:rsidR="00526A24" w:rsidRDefault="00526A24" w:rsidP="00006560">
      <w:pPr>
        <w:keepNext/>
        <w:spacing w:before="72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2F48D5A5" w14:textId="77777777" w:rsidR="00526A24" w:rsidRDefault="00526A24" w:rsidP="00006560">
      <w:pPr>
        <w:keepNext/>
        <w:widowControl w:val="0"/>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Para el Siguiente Periodo Tarifario. </w:t>
      </w:r>
      <w:r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Pr="001954E9">
        <w:rPr>
          <w:rFonts w:ascii="Bookman Old Style" w:hAnsi="Bookman Old Style" w:cs="Arial"/>
          <w:szCs w:val="20"/>
          <w:lang w:val="es-ES_tradnl"/>
        </w:rPr>
        <w:t xml:space="preserve">por </w:t>
      </w:r>
      <w:r>
        <w:rPr>
          <w:rFonts w:ascii="Bookman Old Style" w:hAnsi="Bookman Old Style" w:cs="Arial"/>
        </w:rPr>
        <w:t>los</w:t>
      </w:r>
      <w:r w:rsidRPr="001954E9">
        <w:rPr>
          <w:rFonts w:ascii="Bookman Old Style" w:hAnsi="Bookman Old Style" w:cs="Arial"/>
        </w:rPr>
        <w:t xml:space="preserve"> siguiente</w:t>
      </w:r>
      <w:r>
        <w:rPr>
          <w:rFonts w:ascii="Bookman Old Style" w:hAnsi="Bookman Old Style" w:cs="Arial"/>
        </w:rPr>
        <w:t>s</w:t>
      </w:r>
      <w:r w:rsidRPr="001954E9">
        <w:rPr>
          <w:rFonts w:ascii="Bookman Old Style" w:hAnsi="Bookman Old Style" w:cs="Arial"/>
        </w:rPr>
        <w:t xml:space="preserve"> municipio</w:t>
      </w:r>
      <w:r>
        <w:rPr>
          <w:rFonts w:ascii="Bookman Old Style" w:hAnsi="Bookman Old Style" w:cs="Arial"/>
        </w:rPr>
        <w:t>s</w:t>
      </w:r>
      <w:r w:rsidRPr="001954E9">
        <w:rPr>
          <w:rFonts w:ascii="Bookman Old Style" w:hAnsi="Bookman Old Style" w:cs="Arial"/>
        </w:rPr>
        <w:t>:</w:t>
      </w:r>
    </w:p>
    <w:tbl>
      <w:tblPr>
        <w:tblW w:w="7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9"/>
        <w:gridCol w:w="2552"/>
        <w:gridCol w:w="2555"/>
      </w:tblGrid>
      <w:tr w:rsidR="00526A24" w:rsidRPr="009726F2" w14:paraId="00A74518" w14:textId="77777777" w:rsidTr="002A3E31">
        <w:trPr>
          <w:trHeight w:val="563"/>
          <w:tblHeader/>
          <w:jc w:val="center"/>
        </w:trPr>
        <w:tc>
          <w:tcPr>
            <w:tcW w:w="2419" w:type="dxa"/>
            <w:shd w:val="clear" w:color="auto" w:fill="D9D9D9" w:themeFill="background1" w:themeFillShade="D9"/>
            <w:vAlign w:val="center"/>
            <w:hideMark/>
          </w:tcPr>
          <w:p w14:paraId="1838E98B" w14:textId="77777777"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Código DANE del municipio</w:t>
            </w:r>
          </w:p>
        </w:tc>
        <w:tc>
          <w:tcPr>
            <w:tcW w:w="2552" w:type="dxa"/>
            <w:shd w:val="clear" w:color="auto" w:fill="D9D9D9" w:themeFill="background1" w:themeFillShade="D9"/>
            <w:vAlign w:val="center"/>
            <w:hideMark/>
          </w:tcPr>
          <w:p w14:paraId="5A6441BA" w14:textId="77777777"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2555" w:type="dxa"/>
            <w:shd w:val="clear" w:color="auto" w:fill="D9D9D9" w:themeFill="background1" w:themeFillShade="D9"/>
            <w:vAlign w:val="center"/>
            <w:hideMark/>
          </w:tcPr>
          <w:p w14:paraId="533A5A4E" w14:textId="77777777"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DD2701" w:rsidRPr="009726F2" w14:paraId="5CAFE388" w14:textId="77777777" w:rsidTr="004D7DD3">
        <w:trPr>
          <w:trHeight w:val="253"/>
          <w:jc w:val="center"/>
        </w:trPr>
        <w:tc>
          <w:tcPr>
            <w:tcW w:w="2419" w:type="dxa"/>
            <w:shd w:val="clear" w:color="auto" w:fill="auto"/>
            <w:noWrap/>
            <w:vAlign w:val="bottom"/>
          </w:tcPr>
          <w:p w14:paraId="2C126CA2" w14:textId="77104359"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41483</w:t>
            </w:r>
          </w:p>
        </w:tc>
        <w:tc>
          <w:tcPr>
            <w:tcW w:w="2552" w:type="dxa"/>
            <w:shd w:val="clear" w:color="auto" w:fill="auto"/>
            <w:noWrap/>
            <w:vAlign w:val="bottom"/>
          </w:tcPr>
          <w:p w14:paraId="59DE3E32" w14:textId="45F4B22E"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Nataga</w:t>
            </w:r>
          </w:p>
        </w:tc>
        <w:tc>
          <w:tcPr>
            <w:tcW w:w="2555" w:type="dxa"/>
            <w:shd w:val="clear" w:color="auto" w:fill="auto"/>
            <w:noWrap/>
            <w:vAlign w:val="bottom"/>
          </w:tcPr>
          <w:p w14:paraId="3E04E41C" w14:textId="57646A7F"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1072F07E" w14:textId="77777777" w:rsidTr="004D7DD3">
        <w:trPr>
          <w:trHeight w:val="253"/>
          <w:jc w:val="center"/>
        </w:trPr>
        <w:tc>
          <w:tcPr>
            <w:tcW w:w="2419" w:type="dxa"/>
            <w:shd w:val="clear" w:color="auto" w:fill="auto"/>
            <w:noWrap/>
            <w:vAlign w:val="bottom"/>
          </w:tcPr>
          <w:p w14:paraId="62B8BEAE" w14:textId="42567788"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41206</w:t>
            </w:r>
          </w:p>
        </w:tc>
        <w:tc>
          <w:tcPr>
            <w:tcW w:w="2552" w:type="dxa"/>
            <w:shd w:val="clear" w:color="auto" w:fill="auto"/>
            <w:noWrap/>
            <w:vAlign w:val="bottom"/>
          </w:tcPr>
          <w:p w14:paraId="64781717" w14:textId="0A347DBE"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Colombia</w:t>
            </w:r>
          </w:p>
        </w:tc>
        <w:tc>
          <w:tcPr>
            <w:tcW w:w="2555" w:type="dxa"/>
            <w:shd w:val="clear" w:color="auto" w:fill="auto"/>
            <w:noWrap/>
            <w:vAlign w:val="bottom"/>
          </w:tcPr>
          <w:p w14:paraId="6E1AAD30" w14:textId="1AC893A1"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5B5AFF4A" w14:textId="77777777" w:rsidTr="004D7DD3">
        <w:trPr>
          <w:trHeight w:val="253"/>
          <w:jc w:val="center"/>
        </w:trPr>
        <w:tc>
          <w:tcPr>
            <w:tcW w:w="2419" w:type="dxa"/>
            <w:shd w:val="clear" w:color="auto" w:fill="auto"/>
            <w:noWrap/>
            <w:vAlign w:val="bottom"/>
          </w:tcPr>
          <w:p w14:paraId="2480D489" w14:textId="1BD44468"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41244</w:t>
            </w:r>
          </w:p>
        </w:tc>
        <w:tc>
          <w:tcPr>
            <w:tcW w:w="2552" w:type="dxa"/>
            <w:shd w:val="clear" w:color="auto" w:fill="auto"/>
            <w:noWrap/>
            <w:vAlign w:val="bottom"/>
          </w:tcPr>
          <w:p w14:paraId="7D665F89" w14:textId="3951171C"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Elías</w:t>
            </w:r>
          </w:p>
        </w:tc>
        <w:tc>
          <w:tcPr>
            <w:tcW w:w="2555" w:type="dxa"/>
            <w:shd w:val="clear" w:color="auto" w:fill="auto"/>
            <w:noWrap/>
            <w:vAlign w:val="bottom"/>
          </w:tcPr>
          <w:p w14:paraId="5B6C0DD1" w14:textId="76F05207"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204A1E8E" w14:textId="77777777" w:rsidTr="004D7DD3">
        <w:trPr>
          <w:trHeight w:val="253"/>
          <w:jc w:val="center"/>
        </w:trPr>
        <w:tc>
          <w:tcPr>
            <w:tcW w:w="2419" w:type="dxa"/>
            <w:shd w:val="clear" w:color="auto" w:fill="auto"/>
            <w:noWrap/>
            <w:vAlign w:val="bottom"/>
          </w:tcPr>
          <w:p w14:paraId="5D491A7E" w14:textId="7C87D3F8"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41357</w:t>
            </w:r>
          </w:p>
        </w:tc>
        <w:tc>
          <w:tcPr>
            <w:tcW w:w="2552" w:type="dxa"/>
            <w:shd w:val="clear" w:color="auto" w:fill="auto"/>
            <w:noWrap/>
            <w:vAlign w:val="bottom"/>
          </w:tcPr>
          <w:p w14:paraId="588A358E" w14:textId="01DBD3FF"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Iquirá</w:t>
            </w:r>
          </w:p>
        </w:tc>
        <w:tc>
          <w:tcPr>
            <w:tcW w:w="2555" w:type="dxa"/>
            <w:shd w:val="clear" w:color="auto" w:fill="auto"/>
            <w:noWrap/>
            <w:vAlign w:val="bottom"/>
          </w:tcPr>
          <w:p w14:paraId="49356400" w14:textId="69609DB3"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42CDA78E" w14:textId="77777777" w:rsidTr="004D7DD3">
        <w:trPr>
          <w:trHeight w:val="253"/>
          <w:jc w:val="center"/>
        </w:trPr>
        <w:tc>
          <w:tcPr>
            <w:tcW w:w="2419" w:type="dxa"/>
            <w:shd w:val="clear" w:color="auto" w:fill="auto"/>
            <w:noWrap/>
            <w:vAlign w:val="bottom"/>
          </w:tcPr>
          <w:p w14:paraId="470CF8A5" w14:textId="3A8EC17C"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41359</w:t>
            </w:r>
          </w:p>
        </w:tc>
        <w:tc>
          <w:tcPr>
            <w:tcW w:w="2552" w:type="dxa"/>
            <w:shd w:val="clear" w:color="auto" w:fill="auto"/>
            <w:noWrap/>
            <w:vAlign w:val="bottom"/>
          </w:tcPr>
          <w:p w14:paraId="57ABA1BD" w14:textId="11A17A48"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Isnos</w:t>
            </w:r>
          </w:p>
        </w:tc>
        <w:tc>
          <w:tcPr>
            <w:tcW w:w="2555" w:type="dxa"/>
            <w:shd w:val="clear" w:color="auto" w:fill="auto"/>
            <w:noWrap/>
            <w:vAlign w:val="bottom"/>
          </w:tcPr>
          <w:p w14:paraId="6E68BAA8" w14:textId="7ADCD386"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03AD4B1F" w14:textId="77777777" w:rsidTr="004D7DD3">
        <w:trPr>
          <w:trHeight w:val="253"/>
          <w:jc w:val="center"/>
        </w:trPr>
        <w:tc>
          <w:tcPr>
            <w:tcW w:w="2419" w:type="dxa"/>
            <w:shd w:val="clear" w:color="auto" w:fill="auto"/>
            <w:noWrap/>
            <w:vAlign w:val="bottom"/>
          </w:tcPr>
          <w:p w14:paraId="496A4CC4" w14:textId="04ABC4CD"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41378</w:t>
            </w:r>
          </w:p>
        </w:tc>
        <w:tc>
          <w:tcPr>
            <w:tcW w:w="2552" w:type="dxa"/>
            <w:shd w:val="clear" w:color="auto" w:fill="auto"/>
            <w:noWrap/>
            <w:vAlign w:val="bottom"/>
          </w:tcPr>
          <w:p w14:paraId="0E0FD293" w14:textId="4CA9AF88"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La Argentina</w:t>
            </w:r>
          </w:p>
        </w:tc>
        <w:tc>
          <w:tcPr>
            <w:tcW w:w="2555" w:type="dxa"/>
            <w:shd w:val="clear" w:color="auto" w:fill="auto"/>
            <w:noWrap/>
            <w:vAlign w:val="bottom"/>
          </w:tcPr>
          <w:p w14:paraId="100DFCF0" w14:textId="24BFE40D"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23B9D21C" w14:textId="77777777" w:rsidTr="004D7DD3">
        <w:trPr>
          <w:trHeight w:val="253"/>
          <w:jc w:val="center"/>
        </w:trPr>
        <w:tc>
          <w:tcPr>
            <w:tcW w:w="2419" w:type="dxa"/>
            <w:shd w:val="clear" w:color="auto" w:fill="auto"/>
            <w:noWrap/>
            <w:vAlign w:val="bottom"/>
          </w:tcPr>
          <w:p w14:paraId="67D85474" w14:textId="709C92EC"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41503</w:t>
            </w:r>
          </w:p>
        </w:tc>
        <w:tc>
          <w:tcPr>
            <w:tcW w:w="2552" w:type="dxa"/>
            <w:shd w:val="clear" w:color="auto" w:fill="auto"/>
            <w:noWrap/>
            <w:vAlign w:val="bottom"/>
          </w:tcPr>
          <w:p w14:paraId="712CC6B8" w14:textId="41BD5D86"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Oporapa</w:t>
            </w:r>
          </w:p>
        </w:tc>
        <w:tc>
          <w:tcPr>
            <w:tcW w:w="2555" w:type="dxa"/>
            <w:shd w:val="clear" w:color="auto" w:fill="auto"/>
            <w:noWrap/>
            <w:vAlign w:val="bottom"/>
          </w:tcPr>
          <w:p w14:paraId="5DD08637" w14:textId="18B9A5D7"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3525CB84" w14:textId="77777777" w:rsidTr="004D7DD3">
        <w:trPr>
          <w:trHeight w:val="253"/>
          <w:jc w:val="center"/>
        </w:trPr>
        <w:tc>
          <w:tcPr>
            <w:tcW w:w="2419" w:type="dxa"/>
            <w:shd w:val="clear" w:color="auto" w:fill="auto"/>
            <w:noWrap/>
            <w:vAlign w:val="bottom"/>
          </w:tcPr>
          <w:p w14:paraId="341D21BA" w14:textId="251BD983"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41530</w:t>
            </w:r>
          </w:p>
        </w:tc>
        <w:tc>
          <w:tcPr>
            <w:tcW w:w="2552" w:type="dxa"/>
            <w:shd w:val="clear" w:color="auto" w:fill="auto"/>
            <w:noWrap/>
            <w:vAlign w:val="bottom"/>
          </w:tcPr>
          <w:p w14:paraId="5CA3ABFE" w14:textId="3874371B"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Palestina</w:t>
            </w:r>
          </w:p>
        </w:tc>
        <w:tc>
          <w:tcPr>
            <w:tcW w:w="2555" w:type="dxa"/>
            <w:shd w:val="clear" w:color="auto" w:fill="auto"/>
            <w:noWrap/>
            <w:vAlign w:val="bottom"/>
          </w:tcPr>
          <w:p w14:paraId="0E0A1DCC" w14:textId="5D72C958"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66A5EDC4" w14:textId="77777777" w:rsidTr="004D7DD3">
        <w:trPr>
          <w:trHeight w:val="253"/>
          <w:jc w:val="center"/>
        </w:trPr>
        <w:tc>
          <w:tcPr>
            <w:tcW w:w="2419" w:type="dxa"/>
            <w:shd w:val="clear" w:color="auto" w:fill="auto"/>
            <w:noWrap/>
            <w:vAlign w:val="bottom"/>
          </w:tcPr>
          <w:p w14:paraId="1ED7542D" w14:textId="17A31A33"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41660</w:t>
            </w:r>
          </w:p>
        </w:tc>
        <w:tc>
          <w:tcPr>
            <w:tcW w:w="2552" w:type="dxa"/>
            <w:shd w:val="clear" w:color="auto" w:fill="auto"/>
            <w:noWrap/>
            <w:vAlign w:val="bottom"/>
          </w:tcPr>
          <w:p w14:paraId="45C5040F" w14:textId="6730D936"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Saladoblanco</w:t>
            </w:r>
          </w:p>
        </w:tc>
        <w:tc>
          <w:tcPr>
            <w:tcW w:w="2555" w:type="dxa"/>
            <w:shd w:val="clear" w:color="auto" w:fill="auto"/>
            <w:noWrap/>
            <w:vAlign w:val="bottom"/>
          </w:tcPr>
          <w:p w14:paraId="323998C1" w14:textId="5809DFC8"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70CC1B92" w14:textId="77777777" w:rsidTr="004D7DD3">
        <w:trPr>
          <w:trHeight w:val="253"/>
          <w:jc w:val="center"/>
        </w:trPr>
        <w:tc>
          <w:tcPr>
            <w:tcW w:w="2419" w:type="dxa"/>
            <w:shd w:val="clear" w:color="auto" w:fill="auto"/>
            <w:noWrap/>
            <w:vAlign w:val="bottom"/>
          </w:tcPr>
          <w:p w14:paraId="60B099AF" w14:textId="0DDADC78"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41676</w:t>
            </w:r>
          </w:p>
        </w:tc>
        <w:tc>
          <w:tcPr>
            <w:tcW w:w="2552" w:type="dxa"/>
            <w:shd w:val="clear" w:color="auto" w:fill="auto"/>
            <w:noWrap/>
            <w:vAlign w:val="bottom"/>
          </w:tcPr>
          <w:p w14:paraId="7204B945" w14:textId="20488EC9"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Santa María</w:t>
            </w:r>
          </w:p>
        </w:tc>
        <w:tc>
          <w:tcPr>
            <w:tcW w:w="2555" w:type="dxa"/>
            <w:shd w:val="clear" w:color="auto" w:fill="auto"/>
            <w:noWrap/>
            <w:vAlign w:val="bottom"/>
          </w:tcPr>
          <w:p w14:paraId="3A447F15" w14:textId="1A9A686C"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r w:rsidR="00DD2701" w:rsidRPr="009726F2" w14:paraId="0F04F417" w14:textId="77777777" w:rsidTr="004D7DD3">
        <w:trPr>
          <w:trHeight w:val="253"/>
          <w:jc w:val="center"/>
        </w:trPr>
        <w:tc>
          <w:tcPr>
            <w:tcW w:w="2419" w:type="dxa"/>
            <w:shd w:val="clear" w:color="auto" w:fill="auto"/>
            <w:noWrap/>
            <w:vAlign w:val="bottom"/>
          </w:tcPr>
          <w:p w14:paraId="1B4C3D41" w14:textId="30A4C1F0" w:rsidR="00DD2701" w:rsidRPr="00DD2701" w:rsidRDefault="00DD2701" w:rsidP="00DD2701">
            <w:pPr>
              <w:ind w:left="-82"/>
              <w:jc w:val="center"/>
              <w:rPr>
                <w:rFonts w:ascii="Bookman Old Style" w:hAnsi="Bookman Old Style" w:cs="Arial"/>
                <w:color w:val="000000"/>
                <w:sz w:val="22"/>
                <w:szCs w:val="20"/>
              </w:rPr>
            </w:pPr>
            <w:r w:rsidRPr="00DD2701">
              <w:rPr>
                <w:rFonts w:ascii="Bookman Old Style" w:hAnsi="Bookman Old Style"/>
                <w:color w:val="000000"/>
                <w:sz w:val="22"/>
                <w:szCs w:val="22"/>
              </w:rPr>
              <w:t>41006</w:t>
            </w:r>
          </w:p>
        </w:tc>
        <w:tc>
          <w:tcPr>
            <w:tcW w:w="2552" w:type="dxa"/>
            <w:shd w:val="clear" w:color="auto" w:fill="auto"/>
            <w:noWrap/>
            <w:vAlign w:val="bottom"/>
          </w:tcPr>
          <w:p w14:paraId="56D698D1" w14:textId="3BB0F1B3" w:rsidR="00DD2701" w:rsidRPr="00DD2701" w:rsidRDefault="00DD2701" w:rsidP="00DD2701">
            <w:pPr>
              <w:ind w:left="-58" w:hanging="24"/>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Acevedo</w:t>
            </w:r>
          </w:p>
        </w:tc>
        <w:tc>
          <w:tcPr>
            <w:tcW w:w="2555" w:type="dxa"/>
            <w:shd w:val="clear" w:color="auto" w:fill="auto"/>
            <w:noWrap/>
            <w:vAlign w:val="bottom"/>
          </w:tcPr>
          <w:p w14:paraId="01B16F3C" w14:textId="0E352DE2" w:rsidR="00DD2701" w:rsidRPr="00DD2701" w:rsidRDefault="00DD2701" w:rsidP="00DD2701">
            <w:pPr>
              <w:ind w:left="-82"/>
              <w:jc w:val="center"/>
              <w:rPr>
                <w:rFonts w:ascii="Bookman Old Style" w:hAnsi="Bookman Old Style" w:cs="Arial"/>
                <w:color w:val="000000"/>
                <w:sz w:val="22"/>
                <w:szCs w:val="20"/>
                <w:lang w:val="es-CO" w:eastAsia="es-CO"/>
              </w:rPr>
            </w:pPr>
            <w:r w:rsidRPr="00DD2701">
              <w:rPr>
                <w:rFonts w:ascii="Bookman Old Style" w:hAnsi="Bookman Old Style"/>
                <w:color w:val="000000"/>
                <w:sz w:val="22"/>
                <w:szCs w:val="22"/>
              </w:rPr>
              <w:t>Huila</w:t>
            </w:r>
          </w:p>
        </w:tc>
      </w:tr>
    </w:tbl>
    <w:p w14:paraId="4D009718" w14:textId="04D8EF43" w:rsidR="00526A24" w:rsidRPr="001954E9" w:rsidRDefault="00526A24" w:rsidP="00B8698E">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w:t>
      </w:r>
      <w:r w:rsidR="00E41CE7">
        <w:rPr>
          <w:rFonts w:ascii="Bookman Old Style" w:hAnsi="Bookman Old Style" w:cs="Arial"/>
        </w:rPr>
        <w:t>: i) l</w:t>
      </w:r>
      <w:r w:rsidRPr="001954E9">
        <w:rPr>
          <w:rFonts w:ascii="Bookman Old Style" w:hAnsi="Bookman Old Style" w:cs="Arial"/>
        </w:rPr>
        <w:t xml:space="preserve">a Demanda de Volumen </w:t>
      </w:r>
      <w:r>
        <w:rPr>
          <w:rFonts w:ascii="Bookman Old Style" w:hAnsi="Bookman Old Style" w:cs="Arial"/>
        </w:rPr>
        <w:t>ajustada con el Factor de Uso Eficiente FUE</w:t>
      </w:r>
      <w:r w:rsidRPr="00BC1C9F">
        <w:rPr>
          <w:rFonts w:ascii="Bookman Old Style" w:hAnsi="Bookman Old Style" w:cs="Arial"/>
        </w:rPr>
        <w:t xml:space="preserve"> </w:t>
      </w:r>
      <w:r>
        <w:rPr>
          <w:rFonts w:ascii="Bookman Old Style" w:hAnsi="Bookman Old Style" w:cs="Arial"/>
        </w:rPr>
        <w:t>para</w:t>
      </w:r>
      <w:r w:rsidR="005C6EAD">
        <w:rPr>
          <w:rFonts w:ascii="Bookman Old Style" w:hAnsi="Bookman Old Style" w:cs="Arial"/>
        </w:rPr>
        <w:t xml:space="preserve"> los mercados existentes, </w:t>
      </w:r>
      <w:r w:rsidR="00E41CE7">
        <w:rPr>
          <w:rFonts w:ascii="Bookman Old Style" w:hAnsi="Bookman Old Style" w:cs="Arial"/>
        </w:rPr>
        <w:t>y ii) l</w:t>
      </w:r>
      <w:r>
        <w:rPr>
          <w:rFonts w:ascii="Bookman Old Style" w:hAnsi="Bookman Old Style" w:cs="Arial"/>
        </w:rPr>
        <w:t>a proyección de demanda reportada por la empresa para los mercados nuevos.</w:t>
      </w:r>
      <w:r w:rsidR="00B8698E">
        <w:rPr>
          <w:rFonts w:ascii="Bookman Old Style" w:hAnsi="Bookman Old Style" w:cs="Arial"/>
        </w:rPr>
        <w:t xml:space="preserve"> </w:t>
      </w:r>
      <w:r>
        <w:rPr>
          <w:rFonts w:ascii="Bookman Old Style" w:hAnsi="Bookman Old Style" w:cs="Arial"/>
        </w:rPr>
        <w:t xml:space="preserve">En </w:t>
      </w:r>
      <w:r w:rsidR="006138AF" w:rsidRPr="001954E9">
        <w:rPr>
          <w:rFonts w:ascii="Bookman Old Style" w:hAnsi="Bookman Old Style" w:cs="Arial"/>
        </w:rPr>
        <w:t xml:space="preserve">el </w:t>
      </w:r>
      <w:r w:rsidR="006138AF">
        <w:rPr>
          <w:rFonts w:ascii="Bookman Old Style" w:hAnsi="Bookman Old Style" w:cs="Arial"/>
        </w:rPr>
        <w:t xml:space="preserve">documento CREG </w:t>
      </w:r>
      <w:r w:rsidR="0047266B">
        <w:rPr>
          <w:rFonts w:ascii="Bookman Old Style" w:hAnsi="Bookman Old Style" w:cs="Arial"/>
        </w:rPr>
        <w:t>07</w:t>
      </w:r>
      <w:r w:rsidR="00656C35">
        <w:rPr>
          <w:rFonts w:ascii="Bookman Old Style" w:hAnsi="Bookman Old Style" w:cs="Arial"/>
        </w:rPr>
        <w:t>3</w:t>
      </w:r>
      <w:r w:rsidR="006138AF">
        <w:rPr>
          <w:rFonts w:ascii="Bookman Old Style" w:hAnsi="Bookman Old Style" w:cs="Arial"/>
        </w:rPr>
        <w:t xml:space="preserve"> </w:t>
      </w:r>
      <w:r w:rsidR="00DB6618">
        <w:rPr>
          <w:rFonts w:ascii="Bookman Old Style" w:hAnsi="Bookman Old Style" w:cs="Arial"/>
        </w:rPr>
        <w:t xml:space="preserve">de 2018 </w:t>
      </w:r>
      <w:r w:rsidR="006138AF">
        <w:rPr>
          <w:rFonts w:ascii="Bookman Old Style" w:hAnsi="Bookman Old Style" w:cs="Arial"/>
        </w:rPr>
        <w:t>que soporta</w:t>
      </w:r>
      <w:r w:rsidR="006138AF" w:rsidRPr="001954E9">
        <w:rPr>
          <w:rFonts w:ascii="Bookman Old Style" w:hAnsi="Bookman Old Style" w:cs="Arial"/>
        </w:rPr>
        <w:t xml:space="preserve"> la </w:t>
      </w:r>
      <w:r w:rsidR="006138AF" w:rsidRPr="001954E9">
        <w:rPr>
          <w:rFonts w:ascii="Bookman Old Style" w:hAnsi="Bookman Old Style" w:cs="Arial"/>
        </w:rPr>
        <w:lastRenderedPageBreak/>
        <w:t>presente Resolución</w:t>
      </w:r>
      <w:r>
        <w:rPr>
          <w:rFonts w:ascii="Bookman Old Style" w:hAnsi="Bookman Old Style" w:cs="Arial"/>
        </w:rPr>
        <w:t xml:space="preserve"> se presentan las demandas utilizadas para el respectivo cálculo</w:t>
      </w:r>
      <w:r w:rsidRPr="001954E9">
        <w:rPr>
          <w:rFonts w:ascii="Bookman Old Style" w:hAnsi="Bookman Old Style" w:cs="Arial"/>
        </w:rPr>
        <w:t>.</w:t>
      </w:r>
    </w:p>
    <w:p w14:paraId="2AB14C10" w14:textId="77777777" w:rsidR="00526A24" w:rsidRPr="001954E9" w:rsidRDefault="00526A24" w:rsidP="00526A24">
      <w:pPr>
        <w:adjustRightInd w:val="0"/>
        <w:spacing w:before="240" w:after="240"/>
        <w:ind w:left="0" w:right="20"/>
        <w:jc w:val="both"/>
        <w:rPr>
          <w:rFonts w:ascii="Bookman Old Style" w:hAnsi="Bookman Old Style" w:cs="Arial"/>
          <w:b/>
        </w:rPr>
      </w:pPr>
      <w:r w:rsidRPr="001954E9">
        <w:rPr>
          <w:rFonts w:ascii="Bookman Old Style" w:hAnsi="Bookman Old Style" w:cs="Arial"/>
          <w:b/>
        </w:rPr>
        <w:t>ARTÍCULO 3.</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La Inversión Base para determinar los cargos de distribución</w:t>
      </w:r>
      <w:r>
        <w:rPr>
          <w:rFonts w:ascii="Bookman Old Style" w:hAnsi="Bookman Old Style" w:cs="Arial"/>
        </w:rPr>
        <w:t xml:space="preserve"> transitorios</w:t>
      </w:r>
      <w:r w:rsidRPr="001954E9">
        <w:rPr>
          <w:rFonts w:ascii="Bookman Old Style" w:hAnsi="Bookman Old Style" w:cs="Arial"/>
        </w:rPr>
        <w:t xml:space="preserve"> para el Mercado Relevante de Distribución definido en el artículo 1 de esta Resolución se compone como se indica a continuación:</w:t>
      </w:r>
    </w:p>
    <w:p w14:paraId="6EBFBB34" w14:textId="773E818F"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3.1. </w:t>
      </w: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w:t>
      </w:r>
      <w:r w:rsidRPr="001954E9">
        <w:rPr>
          <w:rFonts w:ascii="Bookman Old Style" w:hAnsi="Bookman Old Style" w:cs="Arial"/>
        </w:rPr>
        <w:t xml:space="preserve">corresponde a un valor de </w:t>
      </w:r>
      <w:r w:rsidR="00DB6618">
        <w:rPr>
          <w:rFonts w:ascii="Bookman Old Style" w:hAnsi="Bookman Old Style" w:cs="Arial"/>
        </w:rPr>
        <w:t>$0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w:t>
      </w:r>
      <w:r>
        <w:rPr>
          <w:rFonts w:ascii="Bookman Old Style" w:hAnsi="Bookman Old Style" w:cs="Arial"/>
        </w:rPr>
        <w:t>.</w:t>
      </w:r>
    </w:p>
    <w:p w14:paraId="4C7DBF56" w14:textId="49813899"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3.2. </w:t>
      </w: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B631D8">
        <w:rPr>
          <w:rFonts w:ascii="Bookman Old Style" w:hAnsi="Bookman Old Style"/>
          <w:lang w:val="es-ES_tradnl"/>
        </w:rPr>
        <w:t>diciembre de 2014</w:t>
      </w:r>
      <w:r w:rsidRPr="006D6F86">
        <w:rPr>
          <w:rFonts w:ascii="Bookman Old Style" w:hAnsi="Bookman Old Style" w:cs="Arial"/>
        </w:rPr>
        <w:t xml:space="preserve"> </w:t>
      </w:r>
      <w:r w:rsidRPr="001954E9">
        <w:rPr>
          <w:rFonts w:ascii="Bookman Old Style" w:hAnsi="Bookman Old Style" w:cs="Arial"/>
        </w:rPr>
        <w:t xml:space="preserve">corresponde a un valor de </w:t>
      </w:r>
      <w:r w:rsidR="00DB6618">
        <w:rPr>
          <w:rFonts w:ascii="Bookman Old Style" w:hAnsi="Bookman Old Style" w:cs="Arial"/>
        </w:rPr>
        <w:t>$8.637.107.234</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47266B">
        <w:rPr>
          <w:rFonts w:ascii="Bookman Old Style" w:hAnsi="Bookman Old Style" w:cs="Arial"/>
        </w:rPr>
        <w:t>07</w:t>
      </w:r>
      <w:r w:rsidR="00656C35">
        <w:rPr>
          <w:rFonts w:ascii="Bookman Old Style" w:hAnsi="Bookman Old Style" w:cs="Arial"/>
        </w:rPr>
        <w:t>3</w:t>
      </w:r>
      <w:r w:rsidR="00DB6618">
        <w:rPr>
          <w:rFonts w:ascii="Bookman Old Style" w:hAnsi="Bookman Old Style" w:cs="Arial"/>
        </w:rPr>
        <w:t xml:space="preserve"> de 2018</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0F22336A" w14:textId="40795542" w:rsidR="00526A24" w:rsidRDefault="00526A24" w:rsidP="00526A24">
      <w:pPr>
        <w:tabs>
          <w:tab w:val="left" w:pos="0"/>
        </w:tabs>
        <w:spacing w:before="240" w:after="240"/>
        <w:ind w:left="0"/>
        <w:jc w:val="both"/>
        <w:rPr>
          <w:rFonts w:ascii="Bookman Old Style" w:hAnsi="Bookman Old Style" w:cs="Arial"/>
        </w:rPr>
      </w:pPr>
      <w:r w:rsidRPr="009307EC">
        <w:rPr>
          <w:rFonts w:ascii="Bookman Old Style" w:hAnsi="Bookman Old Style" w:cs="Arial"/>
          <w:b/>
        </w:rPr>
        <w:t>3.3.</w:t>
      </w:r>
      <w:r>
        <w:rPr>
          <w:rFonts w:ascii="Bookman Old Style" w:hAnsi="Bookman Old Style"/>
          <w:b/>
          <w:lang w:val="es-ES_tradnl"/>
        </w:rPr>
        <w:t xml:space="preserve"> </w:t>
      </w: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B631D8">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w:t>
      </w:r>
      <w:r w:rsidRPr="001954E9">
        <w:rPr>
          <w:rFonts w:ascii="Bookman Old Style" w:hAnsi="Bookman Old Style" w:cs="Arial"/>
        </w:rPr>
        <w:t xml:space="preserve">corresponde a un valor de </w:t>
      </w:r>
      <w:r w:rsidR="00FF256B">
        <w:rPr>
          <w:rFonts w:ascii="Bookman Old Style" w:hAnsi="Bookman Old Style" w:cs="Arial"/>
        </w:rPr>
        <w:t>$2.951.903.726</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47266B">
        <w:rPr>
          <w:rFonts w:ascii="Bookman Old Style" w:hAnsi="Bookman Old Style" w:cs="Arial"/>
        </w:rPr>
        <w:t>07</w:t>
      </w:r>
      <w:r w:rsidR="00656C35">
        <w:rPr>
          <w:rFonts w:ascii="Bookman Old Style" w:hAnsi="Bookman Old Style" w:cs="Arial"/>
        </w:rPr>
        <w:t>3</w:t>
      </w:r>
      <w:r w:rsidR="00FF256B">
        <w:rPr>
          <w:rFonts w:ascii="Bookman Old Style" w:hAnsi="Bookman Old Style" w:cs="Arial"/>
        </w:rPr>
        <w:t xml:space="preserve"> de 2018</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2E1B35F0" w14:textId="571D36D2" w:rsidR="00526A24" w:rsidRPr="001954E9"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4</w:t>
      </w:r>
      <w:r w:rsidRPr="001954E9">
        <w:rPr>
          <w:rFonts w:ascii="Bookman Old Style" w:hAnsi="Bookman Old Style" w:cs="Arial"/>
          <w:b/>
        </w:rPr>
        <w:t xml:space="preserve">. Programa de Nuevas Inversiones para Municipios Nuevos (INPI). </w:t>
      </w:r>
      <w:r w:rsidRPr="001954E9">
        <w:rPr>
          <w:rFonts w:ascii="Bookman Old Style" w:hAnsi="Bookman Old Style" w:cs="Arial"/>
        </w:rPr>
        <w:t xml:space="preserve">El Programa de Nuevas Inversiones corresponde a un valor de </w:t>
      </w:r>
      <w:r w:rsidR="007C3EE7">
        <w:rPr>
          <w:rFonts w:ascii="Bookman Old Style" w:hAnsi="Bookman Old Style" w:cs="Arial"/>
        </w:rPr>
        <w:t>$0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w:t>
      </w:r>
      <w:r w:rsidR="00E61938">
        <w:rPr>
          <w:rFonts w:ascii="Bookman Old Style" w:hAnsi="Bookman Old Style" w:cs="Arial"/>
        </w:rPr>
        <w:t>.</w:t>
      </w:r>
    </w:p>
    <w:p w14:paraId="64F0F627" w14:textId="276CA8B6" w:rsidR="00526A24" w:rsidRDefault="00526A24" w:rsidP="0047266B">
      <w:pPr>
        <w:adjustRightInd w:val="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5</w:t>
      </w:r>
      <w:r w:rsidRPr="001954E9">
        <w:rPr>
          <w:rFonts w:ascii="Bookman Old Style" w:hAnsi="Bookman Old Style" w:cs="Arial"/>
          <w:b/>
        </w:rPr>
        <w:t xml:space="preserve">. Valoración de la Inversión Base. </w:t>
      </w:r>
      <w:r w:rsidRPr="001954E9">
        <w:rPr>
          <w:rFonts w:ascii="Bookman Old Style" w:hAnsi="Bookman Old Style" w:cs="Arial"/>
        </w:rPr>
        <w:t xml:space="preserve">Aplicando la </w:t>
      </w:r>
      <w:r w:rsidRPr="007C3EE7">
        <w:rPr>
          <w:rFonts w:ascii="Bookman Old Style" w:hAnsi="Bookman Old Style" w:cs="Arial"/>
        </w:rPr>
        <w:t>metodología contenida en la Resolución CREG 202 de 2013 y sus modificaciones y adiciones, se calcularon conforme a las formulas establecidas en los numerales 9.1.1.</w:t>
      </w:r>
      <w:r w:rsidR="007C3EE7" w:rsidRPr="007C3EE7">
        <w:rPr>
          <w:rFonts w:ascii="Bookman Old Style" w:hAnsi="Bookman Old Style" w:cs="Arial"/>
        </w:rPr>
        <w:t>1</w:t>
      </w:r>
      <w:r w:rsidRPr="007C3EE7">
        <w:rPr>
          <w:rFonts w:ascii="Bookman Old Style" w:hAnsi="Bookman Old Style" w:cs="Arial"/>
        </w:rPr>
        <w:t>. y 9.2.1.</w:t>
      </w:r>
      <w:r w:rsidR="007C3EE7" w:rsidRPr="007C3EE7">
        <w:rPr>
          <w:rFonts w:ascii="Bookman Old Style" w:hAnsi="Bookman Old Style" w:cs="Arial"/>
        </w:rPr>
        <w:t>1</w:t>
      </w:r>
      <w:r w:rsidRPr="007C3EE7">
        <w:rPr>
          <w:rFonts w:ascii="Bookman Old Style" w:hAnsi="Bookman Old Style" w:cs="Arial"/>
        </w:rPr>
        <w:t>. del artículo 9 para la componente que remunera la inversión base, aplicable</w:t>
      </w:r>
      <w:r w:rsidRPr="001954E9">
        <w:rPr>
          <w:rFonts w:ascii="Bookman Old Style" w:hAnsi="Bookman Old Style" w:cs="Arial"/>
        </w:rPr>
        <w:t xml:space="preserve"> a usuarios de uso residencial y a usuarios diferentes a los de uso residencial y se obtuvieron las siguientes variables principales:</w:t>
      </w:r>
    </w:p>
    <w:p w14:paraId="0E912543" w14:textId="77777777" w:rsidR="0047266B" w:rsidRPr="0047266B" w:rsidRDefault="0047266B" w:rsidP="0047266B">
      <w:pPr>
        <w:adjustRightInd w:val="0"/>
        <w:ind w:left="0" w:right="20"/>
        <w:jc w:val="both"/>
        <w:rPr>
          <w:rFonts w:ascii="Bookman Old Style" w:hAnsi="Bookman Old Style" w:cs="Arial"/>
          <w:sz w:val="4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526A24" w14:paraId="09D88250" w14:textId="77777777" w:rsidTr="00850602">
        <w:trPr>
          <w:tblHeader/>
        </w:trPr>
        <w:tc>
          <w:tcPr>
            <w:tcW w:w="5000" w:type="pct"/>
            <w:gridSpan w:val="4"/>
            <w:shd w:val="clear" w:color="auto" w:fill="D9D9D9"/>
            <w:vAlign w:val="center"/>
          </w:tcPr>
          <w:p w14:paraId="6952000B"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Usuarios de Uso Residencial</w:t>
            </w:r>
          </w:p>
        </w:tc>
      </w:tr>
      <w:tr w:rsidR="00526A24" w14:paraId="7D7F4178" w14:textId="77777777" w:rsidTr="00850602">
        <w:trPr>
          <w:tblHeader/>
        </w:trPr>
        <w:tc>
          <w:tcPr>
            <w:tcW w:w="1250" w:type="pct"/>
            <w:vMerge w:val="restart"/>
            <w:shd w:val="clear" w:color="auto" w:fill="D9D9D9"/>
            <w:vAlign w:val="center"/>
          </w:tcPr>
          <w:p w14:paraId="520BE225"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Variable</w:t>
            </w:r>
          </w:p>
        </w:tc>
        <w:tc>
          <w:tcPr>
            <w:tcW w:w="3750" w:type="pct"/>
            <w:gridSpan w:val="3"/>
            <w:shd w:val="clear" w:color="auto" w:fill="D9D9D9"/>
            <w:vAlign w:val="center"/>
          </w:tcPr>
          <w:p w14:paraId="2CEF904A"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Valor ($31 Dic 2014)</w:t>
            </w:r>
          </w:p>
        </w:tc>
      </w:tr>
      <w:tr w:rsidR="00526A24" w14:paraId="4A6F5957" w14:textId="77777777" w:rsidTr="007C3EE7">
        <w:trPr>
          <w:trHeight w:val="119"/>
          <w:tblHeader/>
        </w:trPr>
        <w:tc>
          <w:tcPr>
            <w:tcW w:w="1250" w:type="pct"/>
            <w:vMerge/>
            <w:shd w:val="clear" w:color="auto" w:fill="D9D9D9"/>
            <w:vAlign w:val="center"/>
          </w:tcPr>
          <w:p w14:paraId="15FF8997" w14:textId="77777777" w:rsidR="00526A24" w:rsidRPr="0038546C" w:rsidRDefault="00526A24" w:rsidP="00FD4ECB">
            <w:pPr>
              <w:ind w:left="29"/>
              <w:jc w:val="center"/>
              <w:rPr>
                <w:rFonts w:ascii="Bookman Old Style" w:hAnsi="Bookman Old Style"/>
              </w:rPr>
            </w:pPr>
          </w:p>
        </w:tc>
        <w:tc>
          <w:tcPr>
            <w:tcW w:w="1250" w:type="pct"/>
            <w:shd w:val="clear" w:color="auto" w:fill="D9D9D9"/>
            <w:vAlign w:val="center"/>
          </w:tcPr>
          <w:p w14:paraId="074E160A"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2017</w:t>
            </w:r>
          </w:p>
        </w:tc>
        <w:tc>
          <w:tcPr>
            <w:tcW w:w="1250" w:type="pct"/>
            <w:shd w:val="clear" w:color="auto" w:fill="D9D9D9"/>
            <w:vAlign w:val="center"/>
          </w:tcPr>
          <w:p w14:paraId="59B0293D"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2018</w:t>
            </w:r>
          </w:p>
        </w:tc>
        <w:tc>
          <w:tcPr>
            <w:tcW w:w="1250" w:type="pct"/>
            <w:shd w:val="clear" w:color="auto" w:fill="D9D9D9"/>
            <w:vAlign w:val="center"/>
          </w:tcPr>
          <w:p w14:paraId="562AFE6C" w14:textId="77777777" w:rsidR="00526A24" w:rsidRPr="0038546C" w:rsidRDefault="00526A24" w:rsidP="00FD4ECB">
            <w:pPr>
              <w:ind w:left="29"/>
              <w:jc w:val="center"/>
              <w:rPr>
                <w:rFonts w:ascii="Bookman Old Style" w:hAnsi="Bookman Old Style"/>
                <w:b/>
              </w:rPr>
            </w:pPr>
            <w:r w:rsidRPr="0038546C">
              <w:rPr>
                <w:rFonts w:ascii="Bookman Old Style" w:hAnsi="Bookman Old Style"/>
                <w:b/>
              </w:rPr>
              <w:t>2019 – 2020 - 2021</w:t>
            </w:r>
          </w:p>
        </w:tc>
      </w:tr>
      <w:tr w:rsidR="007C3EE7" w14:paraId="551DEBC7" w14:textId="77777777" w:rsidTr="007C3EE7">
        <w:trPr>
          <w:trHeight w:val="378"/>
        </w:trPr>
        <w:tc>
          <w:tcPr>
            <w:tcW w:w="1250" w:type="pct"/>
            <w:shd w:val="clear" w:color="auto" w:fill="auto"/>
            <w:vAlign w:val="center"/>
          </w:tcPr>
          <w:p w14:paraId="2CC32BDC" w14:textId="79397707" w:rsidR="007C3EE7" w:rsidRPr="00526A24" w:rsidRDefault="007C3EE7" w:rsidP="007C3EE7">
            <w:pPr>
              <w:ind w:left="29"/>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1250" w:type="pct"/>
            <w:shd w:val="clear" w:color="auto" w:fill="auto"/>
            <w:vAlign w:val="center"/>
          </w:tcPr>
          <w:p w14:paraId="567654D0" w14:textId="65829AD8"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1.119.738.220</w:t>
            </w:r>
          </w:p>
        </w:tc>
        <w:tc>
          <w:tcPr>
            <w:tcW w:w="1250" w:type="pct"/>
            <w:shd w:val="clear" w:color="auto" w:fill="auto"/>
            <w:vAlign w:val="center"/>
          </w:tcPr>
          <w:p w14:paraId="14A08AC1" w14:textId="3A123C55"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1.136.581.904</w:t>
            </w:r>
          </w:p>
        </w:tc>
        <w:tc>
          <w:tcPr>
            <w:tcW w:w="1250" w:type="pct"/>
            <w:shd w:val="clear" w:color="auto" w:fill="auto"/>
            <w:vAlign w:val="center"/>
          </w:tcPr>
          <w:p w14:paraId="6DF7C3C2" w14:textId="10DF4F55"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1.024.027.591</w:t>
            </w:r>
          </w:p>
        </w:tc>
      </w:tr>
      <w:tr w:rsidR="007C3EE7" w14:paraId="724A0FC5" w14:textId="77777777" w:rsidTr="007C3EE7">
        <w:trPr>
          <w:trHeight w:val="378"/>
        </w:trPr>
        <w:tc>
          <w:tcPr>
            <w:tcW w:w="1250" w:type="pct"/>
            <w:shd w:val="clear" w:color="auto" w:fill="auto"/>
            <w:vAlign w:val="center"/>
          </w:tcPr>
          <w:p w14:paraId="77EB0655" w14:textId="08D01707" w:rsidR="007C3EE7" w:rsidRPr="00526A24" w:rsidRDefault="007C3EE7" w:rsidP="007C3EE7">
            <w:pPr>
              <w:ind w:left="29"/>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RSk</m:t>
                    </m:r>
                  </m:sub>
                </m:sSub>
              </m:oMath>
            </m:oMathPara>
          </w:p>
        </w:tc>
        <w:tc>
          <w:tcPr>
            <w:tcW w:w="1250" w:type="pct"/>
            <w:shd w:val="clear" w:color="auto" w:fill="auto"/>
            <w:vAlign w:val="center"/>
          </w:tcPr>
          <w:p w14:paraId="0E5EF14E" w14:textId="475B2ED6"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750.511.237</w:t>
            </w:r>
          </w:p>
        </w:tc>
        <w:tc>
          <w:tcPr>
            <w:tcW w:w="1250" w:type="pct"/>
            <w:shd w:val="clear" w:color="auto" w:fill="auto"/>
            <w:vAlign w:val="center"/>
          </w:tcPr>
          <w:p w14:paraId="6B5BEBB7" w14:textId="4C657F83"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761.800.818</w:t>
            </w:r>
          </w:p>
        </w:tc>
        <w:tc>
          <w:tcPr>
            <w:tcW w:w="1250" w:type="pct"/>
            <w:shd w:val="clear" w:color="auto" w:fill="auto"/>
            <w:vAlign w:val="center"/>
          </w:tcPr>
          <w:p w14:paraId="406EB607" w14:textId="72AE3E7E"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686.360.616</w:t>
            </w:r>
          </w:p>
        </w:tc>
      </w:tr>
      <w:tr w:rsidR="007C3EE7" w14:paraId="670655EA" w14:textId="77777777" w:rsidTr="007C3EE7">
        <w:trPr>
          <w:trHeight w:val="378"/>
        </w:trPr>
        <w:tc>
          <w:tcPr>
            <w:tcW w:w="1250" w:type="pct"/>
            <w:shd w:val="clear" w:color="auto" w:fill="auto"/>
            <w:vAlign w:val="center"/>
          </w:tcPr>
          <w:p w14:paraId="1E4BE19E" w14:textId="0AB3EEFE" w:rsidR="007C3EE7" w:rsidRPr="00526A24" w:rsidRDefault="00A93098" w:rsidP="007C3EE7">
            <w:pPr>
              <w:ind w:left="29"/>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50" w:type="pct"/>
            <w:shd w:val="clear" w:color="auto" w:fill="auto"/>
            <w:vAlign w:val="center"/>
          </w:tcPr>
          <w:p w14:paraId="601B3759" w14:textId="21D8B289"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c>
          <w:tcPr>
            <w:tcW w:w="1250" w:type="pct"/>
            <w:shd w:val="clear" w:color="auto" w:fill="auto"/>
            <w:vAlign w:val="center"/>
          </w:tcPr>
          <w:p w14:paraId="0F274014" w14:textId="43417EFF"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c>
          <w:tcPr>
            <w:tcW w:w="1250" w:type="pct"/>
            <w:shd w:val="clear" w:color="auto" w:fill="auto"/>
            <w:vAlign w:val="center"/>
          </w:tcPr>
          <w:p w14:paraId="6FD20492" w14:textId="3AF6BE12"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r>
      <w:tr w:rsidR="007C3EE7" w14:paraId="7B1B9557" w14:textId="77777777" w:rsidTr="007C3EE7">
        <w:trPr>
          <w:trHeight w:val="378"/>
        </w:trPr>
        <w:tc>
          <w:tcPr>
            <w:tcW w:w="1250" w:type="pct"/>
            <w:shd w:val="clear" w:color="auto" w:fill="auto"/>
            <w:vAlign w:val="center"/>
          </w:tcPr>
          <w:p w14:paraId="791ADC07" w14:textId="2B102ED4" w:rsidR="007C3EE7" w:rsidRPr="00526A24" w:rsidRDefault="00A93098" w:rsidP="007C3EE7">
            <w:pPr>
              <w:ind w:left="29"/>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50" w:type="pct"/>
            <w:shd w:val="clear" w:color="auto" w:fill="auto"/>
            <w:vAlign w:val="center"/>
          </w:tcPr>
          <w:p w14:paraId="1677F993" w14:textId="76C10273"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617.982</w:t>
            </w:r>
          </w:p>
        </w:tc>
        <w:tc>
          <w:tcPr>
            <w:tcW w:w="1250" w:type="pct"/>
            <w:shd w:val="clear" w:color="auto" w:fill="auto"/>
            <w:vAlign w:val="center"/>
          </w:tcPr>
          <w:p w14:paraId="13AE27CA" w14:textId="2BA6D359"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617.982</w:t>
            </w:r>
          </w:p>
        </w:tc>
        <w:tc>
          <w:tcPr>
            <w:tcW w:w="1250" w:type="pct"/>
            <w:shd w:val="clear" w:color="auto" w:fill="auto"/>
            <w:vAlign w:val="center"/>
          </w:tcPr>
          <w:p w14:paraId="1B392A61" w14:textId="32D5AC07"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617.982</w:t>
            </w:r>
          </w:p>
        </w:tc>
      </w:tr>
    </w:tbl>
    <w:p w14:paraId="6C3D1D18" w14:textId="6BFF8243" w:rsidR="00526A24" w:rsidRDefault="00526A24" w:rsidP="00526A24"/>
    <w:p w14:paraId="443547FD" w14:textId="05A072F9" w:rsidR="0047266B" w:rsidRDefault="0047266B" w:rsidP="00526A24"/>
    <w:p w14:paraId="77675F8B" w14:textId="76EAE7F1" w:rsidR="0047266B" w:rsidRDefault="0047266B" w:rsidP="00526A24"/>
    <w:p w14:paraId="2CD0F533" w14:textId="77777777" w:rsidR="0047266B" w:rsidRDefault="0047266B" w:rsidP="00526A2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21914A7D" w14:textId="77777777" w:rsidTr="00FD4ECB">
        <w:tc>
          <w:tcPr>
            <w:tcW w:w="5000" w:type="pct"/>
            <w:gridSpan w:val="4"/>
            <w:shd w:val="clear" w:color="auto" w:fill="D9D9D9"/>
            <w:vAlign w:val="center"/>
          </w:tcPr>
          <w:p w14:paraId="7F921089"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lastRenderedPageBreak/>
              <w:t>Usuarios Diferentes a los de Uso Residencial</w:t>
            </w:r>
          </w:p>
        </w:tc>
      </w:tr>
      <w:tr w:rsidR="00526A24" w14:paraId="559780DB" w14:textId="77777777" w:rsidTr="00FD4ECB">
        <w:tc>
          <w:tcPr>
            <w:tcW w:w="1121" w:type="pct"/>
            <w:vMerge w:val="restart"/>
            <w:shd w:val="clear" w:color="auto" w:fill="D9D9D9"/>
            <w:vAlign w:val="center"/>
          </w:tcPr>
          <w:p w14:paraId="5DE3547B"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Variable</w:t>
            </w:r>
          </w:p>
        </w:tc>
        <w:tc>
          <w:tcPr>
            <w:tcW w:w="3879" w:type="pct"/>
            <w:gridSpan w:val="3"/>
            <w:shd w:val="clear" w:color="auto" w:fill="D9D9D9"/>
            <w:vAlign w:val="center"/>
          </w:tcPr>
          <w:p w14:paraId="752CDFED"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Valor ($31 Dic 2014)</w:t>
            </w:r>
          </w:p>
        </w:tc>
      </w:tr>
      <w:tr w:rsidR="00526A24" w14:paraId="199D20B5" w14:textId="77777777" w:rsidTr="00FD4ECB">
        <w:trPr>
          <w:trHeight w:val="119"/>
        </w:trPr>
        <w:tc>
          <w:tcPr>
            <w:tcW w:w="1121" w:type="pct"/>
            <w:vMerge/>
            <w:shd w:val="clear" w:color="auto" w:fill="D9D9D9"/>
            <w:vAlign w:val="center"/>
          </w:tcPr>
          <w:p w14:paraId="303731D8" w14:textId="77777777" w:rsidR="00526A24" w:rsidRPr="0038546C" w:rsidRDefault="00526A24" w:rsidP="00FD4ECB">
            <w:pPr>
              <w:ind w:left="0"/>
              <w:jc w:val="center"/>
              <w:rPr>
                <w:rFonts w:ascii="Bookman Old Style" w:hAnsi="Bookman Old Style"/>
              </w:rPr>
            </w:pPr>
          </w:p>
        </w:tc>
        <w:tc>
          <w:tcPr>
            <w:tcW w:w="1293" w:type="pct"/>
            <w:shd w:val="clear" w:color="auto" w:fill="D9D9D9"/>
            <w:vAlign w:val="center"/>
          </w:tcPr>
          <w:p w14:paraId="507FEE9B"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14:paraId="56F1808E"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14:paraId="09DDB609"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2019 – 2020 - 2021</w:t>
            </w:r>
          </w:p>
        </w:tc>
      </w:tr>
      <w:tr w:rsidR="007C3EE7" w14:paraId="268BC65E" w14:textId="77777777" w:rsidTr="007C3EE7">
        <w:trPr>
          <w:trHeight w:val="378"/>
        </w:trPr>
        <w:tc>
          <w:tcPr>
            <w:tcW w:w="1121" w:type="pct"/>
            <w:shd w:val="clear" w:color="auto" w:fill="auto"/>
            <w:vAlign w:val="center"/>
          </w:tcPr>
          <w:p w14:paraId="3BFC8464" w14:textId="34A801DD" w:rsidR="007C3EE7" w:rsidRPr="00526A24" w:rsidRDefault="007C3EE7" w:rsidP="007C3EE7">
            <w:pPr>
              <w:ind w:left="0"/>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1293" w:type="pct"/>
            <w:shd w:val="clear" w:color="auto" w:fill="auto"/>
            <w:vAlign w:val="center"/>
          </w:tcPr>
          <w:p w14:paraId="616FB27D" w14:textId="1196DEE9"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1.119.738.220</w:t>
            </w:r>
          </w:p>
        </w:tc>
        <w:tc>
          <w:tcPr>
            <w:tcW w:w="1293" w:type="pct"/>
            <w:shd w:val="clear" w:color="auto" w:fill="auto"/>
            <w:vAlign w:val="center"/>
          </w:tcPr>
          <w:p w14:paraId="151F4E2A" w14:textId="635DF623"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1.136.581.904</w:t>
            </w:r>
          </w:p>
        </w:tc>
        <w:tc>
          <w:tcPr>
            <w:tcW w:w="1293" w:type="pct"/>
            <w:shd w:val="clear" w:color="auto" w:fill="auto"/>
            <w:vAlign w:val="center"/>
          </w:tcPr>
          <w:p w14:paraId="6D06522F" w14:textId="12FE59D5"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1.024.027.591</w:t>
            </w:r>
          </w:p>
        </w:tc>
      </w:tr>
      <w:tr w:rsidR="007C3EE7" w14:paraId="7334895A" w14:textId="77777777" w:rsidTr="007C3EE7">
        <w:trPr>
          <w:trHeight w:val="378"/>
        </w:trPr>
        <w:tc>
          <w:tcPr>
            <w:tcW w:w="1121" w:type="pct"/>
            <w:shd w:val="clear" w:color="auto" w:fill="auto"/>
            <w:vAlign w:val="center"/>
          </w:tcPr>
          <w:p w14:paraId="5B45D033" w14:textId="5CB65332" w:rsidR="007C3EE7" w:rsidRPr="00526A24" w:rsidRDefault="007C3EE7" w:rsidP="007C3EE7">
            <w:pPr>
              <w:ind w:left="0"/>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RS(NoRes)k</m:t>
                    </m:r>
                  </m:sub>
                </m:sSub>
              </m:oMath>
            </m:oMathPara>
          </w:p>
        </w:tc>
        <w:tc>
          <w:tcPr>
            <w:tcW w:w="1293" w:type="pct"/>
            <w:shd w:val="clear" w:color="auto" w:fill="auto"/>
            <w:vAlign w:val="center"/>
          </w:tcPr>
          <w:p w14:paraId="20511C61" w14:textId="32094CB0" w:rsidR="007C3EE7" w:rsidRPr="007C3EE7" w:rsidRDefault="007C3EE7" w:rsidP="007C3EE7">
            <w:pPr>
              <w:ind w:left="0"/>
              <w:jc w:val="center"/>
              <w:rPr>
                <w:rFonts w:ascii="Bookman Old Style" w:hAnsi="Bookman Old Style"/>
              </w:rPr>
            </w:pPr>
            <w:r w:rsidRPr="007C3EE7">
              <w:rPr>
                <w:rFonts w:ascii="Bookman Old Style" w:hAnsi="Bookman Old Style"/>
                <w:sz w:val="22"/>
                <w:szCs w:val="22"/>
              </w:rPr>
              <w:t>9.413.613</w:t>
            </w:r>
          </w:p>
        </w:tc>
        <w:tc>
          <w:tcPr>
            <w:tcW w:w="1293" w:type="pct"/>
            <w:shd w:val="clear" w:color="auto" w:fill="auto"/>
            <w:vAlign w:val="center"/>
          </w:tcPr>
          <w:p w14:paraId="62BA85A2" w14:textId="25742307" w:rsidR="007C3EE7" w:rsidRPr="007C3EE7" w:rsidRDefault="007C3EE7" w:rsidP="007C3EE7">
            <w:pPr>
              <w:ind w:left="0"/>
              <w:jc w:val="center"/>
              <w:rPr>
                <w:rFonts w:ascii="Bookman Old Style" w:hAnsi="Bookman Old Style"/>
              </w:rPr>
            </w:pPr>
            <w:r w:rsidRPr="007C3EE7">
              <w:rPr>
                <w:rFonts w:ascii="Bookman Old Style" w:hAnsi="Bookman Old Style"/>
                <w:sz w:val="22"/>
                <w:szCs w:val="22"/>
              </w:rPr>
              <w:t>9.555.218</w:t>
            </w:r>
          </w:p>
        </w:tc>
        <w:tc>
          <w:tcPr>
            <w:tcW w:w="1293" w:type="pct"/>
            <w:shd w:val="clear" w:color="auto" w:fill="auto"/>
            <w:vAlign w:val="center"/>
          </w:tcPr>
          <w:p w14:paraId="28A5943C" w14:textId="3EBD9387" w:rsidR="007C3EE7" w:rsidRPr="007C3EE7" w:rsidRDefault="007C3EE7" w:rsidP="007C3EE7">
            <w:pPr>
              <w:ind w:left="0"/>
              <w:jc w:val="center"/>
              <w:rPr>
                <w:rFonts w:ascii="Bookman Old Style" w:hAnsi="Bookman Old Style"/>
              </w:rPr>
            </w:pPr>
            <w:r w:rsidRPr="007C3EE7">
              <w:rPr>
                <w:rFonts w:ascii="Bookman Old Style" w:hAnsi="Bookman Old Style"/>
                <w:sz w:val="22"/>
                <w:szCs w:val="22"/>
              </w:rPr>
              <w:t>8.608.976</w:t>
            </w:r>
          </w:p>
        </w:tc>
      </w:tr>
      <w:tr w:rsidR="007C3EE7" w14:paraId="58469A37" w14:textId="77777777" w:rsidTr="007C3EE7">
        <w:trPr>
          <w:trHeight w:val="378"/>
        </w:trPr>
        <w:tc>
          <w:tcPr>
            <w:tcW w:w="1121" w:type="pct"/>
            <w:shd w:val="clear" w:color="auto" w:fill="auto"/>
            <w:vAlign w:val="center"/>
          </w:tcPr>
          <w:p w14:paraId="41862D71" w14:textId="0C5E1A35" w:rsidR="007C3EE7" w:rsidRPr="00526A24" w:rsidRDefault="00A93098" w:rsidP="007C3EE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93" w:type="pct"/>
            <w:shd w:val="clear" w:color="auto" w:fill="auto"/>
            <w:vAlign w:val="center"/>
          </w:tcPr>
          <w:p w14:paraId="538A29AE" w14:textId="4605CDB4"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c>
          <w:tcPr>
            <w:tcW w:w="1293" w:type="pct"/>
            <w:shd w:val="clear" w:color="auto" w:fill="auto"/>
            <w:vAlign w:val="center"/>
          </w:tcPr>
          <w:p w14:paraId="766DEC0C" w14:textId="16AC91C8"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c>
          <w:tcPr>
            <w:tcW w:w="1293" w:type="pct"/>
            <w:shd w:val="clear" w:color="auto" w:fill="auto"/>
            <w:vAlign w:val="center"/>
          </w:tcPr>
          <w:p w14:paraId="72058184" w14:textId="359C1CE2"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643.205</w:t>
            </w:r>
          </w:p>
        </w:tc>
      </w:tr>
      <w:tr w:rsidR="007C3EE7" w14:paraId="1D8AEA11" w14:textId="77777777" w:rsidTr="007C3EE7">
        <w:trPr>
          <w:trHeight w:val="332"/>
        </w:trPr>
        <w:tc>
          <w:tcPr>
            <w:tcW w:w="1121" w:type="pct"/>
            <w:shd w:val="clear" w:color="auto" w:fill="auto"/>
            <w:vAlign w:val="center"/>
          </w:tcPr>
          <w:p w14:paraId="27971429" w14:textId="0ABB8436" w:rsidR="007C3EE7" w:rsidRPr="00526A24" w:rsidRDefault="00A93098" w:rsidP="007C3EE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93" w:type="pct"/>
            <w:shd w:val="clear" w:color="auto" w:fill="auto"/>
            <w:vAlign w:val="center"/>
          </w:tcPr>
          <w:p w14:paraId="69ED3D1D" w14:textId="2474FE8A"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32.974</w:t>
            </w:r>
          </w:p>
        </w:tc>
        <w:tc>
          <w:tcPr>
            <w:tcW w:w="1293" w:type="pct"/>
            <w:shd w:val="clear" w:color="auto" w:fill="auto"/>
            <w:vAlign w:val="center"/>
          </w:tcPr>
          <w:p w14:paraId="4D4E61AB" w14:textId="6D1A112F"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32.974</w:t>
            </w:r>
          </w:p>
        </w:tc>
        <w:tc>
          <w:tcPr>
            <w:tcW w:w="1293" w:type="pct"/>
            <w:shd w:val="clear" w:color="auto" w:fill="auto"/>
            <w:vAlign w:val="center"/>
          </w:tcPr>
          <w:p w14:paraId="5305B8AF" w14:textId="0164D4C9" w:rsidR="007C3EE7" w:rsidRPr="007C3EE7" w:rsidRDefault="007C3EE7" w:rsidP="007C3EE7">
            <w:pPr>
              <w:ind w:left="0"/>
              <w:jc w:val="center"/>
              <w:rPr>
                <w:rFonts w:ascii="Bookman Old Style" w:hAnsi="Bookman Old Style"/>
              </w:rPr>
            </w:pPr>
            <w:r w:rsidRPr="007C3EE7">
              <w:rPr>
                <w:rFonts w:ascii="Bookman Old Style" w:hAnsi="Bookman Old Style"/>
                <w:color w:val="000000"/>
                <w:sz w:val="22"/>
                <w:szCs w:val="22"/>
              </w:rPr>
              <w:t>32.974</w:t>
            </w:r>
          </w:p>
        </w:tc>
      </w:tr>
    </w:tbl>
    <w:p w14:paraId="02A4C52D" w14:textId="48385109" w:rsidR="00526A24" w:rsidRDefault="00526A24" w:rsidP="00526A24">
      <w:pPr>
        <w:spacing w:before="240" w:after="240"/>
        <w:ind w:left="0"/>
        <w:jc w:val="both"/>
        <w:rPr>
          <w:rFonts w:ascii="Bookman Old Style" w:hAnsi="Bookman Old Style" w:cs="Arial"/>
          <w:bCs/>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Pr>
          <w:rFonts w:ascii="Bookman Old Style" w:hAnsi="Bookman Old Style" w:cs="Arial"/>
          <w:bCs/>
        </w:rPr>
        <w:t xml:space="preserve">El porcentaje eficiente de AOM establecido para el mercado existente de distribución es del </w:t>
      </w:r>
      <w:r w:rsidR="00694859">
        <w:rPr>
          <w:rFonts w:ascii="Bookman Old Style" w:hAnsi="Bookman Old Style" w:cs="Arial"/>
          <w:bCs/>
        </w:rPr>
        <w:t>5,62%</w:t>
      </w:r>
      <w:r>
        <w:rPr>
          <w:rFonts w:ascii="Bookman Old Style" w:hAnsi="Bookman Old Style" w:cs="Arial"/>
          <w:bCs/>
        </w:rPr>
        <w:t xml:space="preserve">, del cual se obtiene el </w:t>
      </w:r>
      <w:r w:rsidRPr="00AC7842">
        <w:rPr>
          <w:rFonts w:ascii="Bookman Old Style" w:hAnsi="Bookman Old Style"/>
          <w:lang w:val="es-ES_tradnl" w:eastAsia="es-CO"/>
        </w:rPr>
        <w:t>monto eficiente de gastos de AOM</w:t>
      </w:r>
      <w:r>
        <w:rPr>
          <w:rFonts w:ascii="Bookman Old Style" w:hAnsi="Bookman Old Style"/>
          <w:lang w:val="es-ES_tradnl" w:eastAsia="es-CO"/>
        </w:rPr>
        <w:t xml:space="preserve"> de $</w:t>
      </w:r>
      <w:r w:rsidR="00694859">
        <w:rPr>
          <w:rFonts w:ascii="Bookman Old Style" w:hAnsi="Bookman Old Style"/>
          <w:lang w:val="es-ES_tradnl" w:eastAsia="es-CO"/>
        </w:rPr>
        <w:t>651.276.622</w:t>
      </w:r>
      <w:r>
        <w:rPr>
          <w:rFonts w:ascii="Bookman Old Style" w:hAnsi="Bookman Old Style"/>
          <w:lang w:val="es-ES_tradnl" w:eastAsia="es-CO"/>
        </w:rPr>
        <w:t xml:space="preserve">, </w:t>
      </w:r>
      <w:r w:rsidRPr="00AC7842">
        <w:rPr>
          <w:rFonts w:ascii="Bookman Old Style" w:hAnsi="Bookman Old Style"/>
          <w:lang w:val="es-ES_tradnl" w:eastAsia="es-CO"/>
        </w:rPr>
        <w:t>que se considerará en los cálculos de los cargos</w:t>
      </w:r>
      <w:r>
        <w:rPr>
          <w:rFonts w:ascii="Bookman Old Style" w:hAnsi="Bookman Old Style"/>
          <w:lang w:val="es-ES_tradnl" w:eastAsia="es-CO"/>
        </w:rPr>
        <w:t xml:space="preserve"> transitorios</w:t>
      </w:r>
      <w:r w:rsidRPr="00AC7842">
        <w:rPr>
          <w:rFonts w:ascii="Bookman Old Style" w:hAnsi="Bookman Old Style"/>
          <w:lang w:val="es-ES_tradnl" w:eastAsia="es-CO"/>
        </w:rPr>
        <w:t xml:space="preserve"> de distribución</w:t>
      </w:r>
      <w:r>
        <w:rPr>
          <w:rFonts w:ascii="Bookman Old Style" w:hAnsi="Bookman Old Style"/>
          <w:lang w:val="es-ES_tradnl" w:eastAsia="es-CO"/>
        </w:rPr>
        <w:t>.</w:t>
      </w:r>
    </w:p>
    <w:p w14:paraId="09929628" w14:textId="4F48F85B" w:rsidR="00526A24"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sus modificaciones y adiciones, se calcularon conforme a las formulas establecidas en los </w:t>
      </w:r>
      <w:r w:rsidRPr="00694859">
        <w:rPr>
          <w:rFonts w:ascii="Bookman Old Style" w:hAnsi="Bookman Old Style" w:cs="Arial"/>
        </w:rPr>
        <w:t>numerales 9</w:t>
      </w:r>
      <w:r w:rsidR="00694859" w:rsidRPr="00694859">
        <w:rPr>
          <w:rFonts w:ascii="Bookman Old Style" w:hAnsi="Bookman Old Style" w:cs="Arial"/>
        </w:rPr>
        <w:t>.1.1.1</w:t>
      </w:r>
      <w:r w:rsidRPr="00694859">
        <w:rPr>
          <w:rFonts w:ascii="Bookman Old Style" w:hAnsi="Bookman Old Style" w:cs="Arial"/>
        </w:rPr>
        <w:t>. y 9.2.1.</w:t>
      </w:r>
      <w:r w:rsidR="00694859" w:rsidRPr="00694859">
        <w:rPr>
          <w:rFonts w:ascii="Bookman Old Style" w:hAnsi="Bookman Old Style" w:cs="Arial"/>
        </w:rPr>
        <w:t>1</w:t>
      </w:r>
      <w:r w:rsidRPr="00694859">
        <w:rPr>
          <w:rFonts w:ascii="Bookman Old Style" w:hAnsi="Bookman Old Style" w:cs="Arial"/>
        </w:rPr>
        <w:t xml:space="preserve">. </w:t>
      </w:r>
      <w:r w:rsidRPr="001954E9">
        <w:rPr>
          <w:rFonts w:ascii="Bookman Old Style" w:hAnsi="Bookman Old Style" w:cs="Arial"/>
        </w:rPr>
        <w:t>del artículo 9 para la componente que remunera los gastos de AOM, aplicable a usuarios de uso residencial y a usuarios diferentes a los de uso residencial, las siguientes variables principales: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0DC1EEBC" w14:textId="77777777" w:rsidTr="00DD2701">
        <w:trPr>
          <w:tblHeader/>
        </w:trPr>
        <w:tc>
          <w:tcPr>
            <w:tcW w:w="5000" w:type="pct"/>
            <w:gridSpan w:val="4"/>
            <w:shd w:val="clear" w:color="auto" w:fill="D9D9D9"/>
            <w:vAlign w:val="center"/>
          </w:tcPr>
          <w:p w14:paraId="5D1F1DAA"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Usuarios de Uso Residencial</w:t>
            </w:r>
          </w:p>
        </w:tc>
      </w:tr>
      <w:tr w:rsidR="00526A24" w14:paraId="2B8CE3A9" w14:textId="77777777" w:rsidTr="00DD2701">
        <w:trPr>
          <w:tblHeader/>
        </w:trPr>
        <w:tc>
          <w:tcPr>
            <w:tcW w:w="1121" w:type="pct"/>
            <w:vMerge w:val="restart"/>
            <w:shd w:val="clear" w:color="auto" w:fill="D9D9D9"/>
            <w:vAlign w:val="center"/>
          </w:tcPr>
          <w:p w14:paraId="63F04BF5"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Variable</w:t>
            </w:r>
          </w:p>
        </w:tc>
        <w:tc>
          <w:tcPr>
            <w:tcW w:w="3879" w:type="pct"/>
            <w:gridSpan w:val="3"/>
            <w:shd w:val="clear" w:color="auto" w:fill="D9D9D9"/>
            <w:vAlign w:val="center"/>
          </w:tcPr>
          <w:p w14:paraId="149ECF8C"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Valor ($31 Dic 2014)</w:t>
            </w:r>
          </w:p>
        </w:tc>
      </w:tr>
      <w:tr w:rsidR="00526A24" w14:paraId="6719D3B8" w14:textId="77777777" w:rsidTr="00DD2701">
        <w:trPr>
          <w:trHeight w:val="119"/>
          <w:tblHeader/>
        </w:trPr>
        <w:tc>
          <w:tcPr>
            <w:tcW w:w="1121" w:type="pct"/>
            <w:vMerge/>
            <w:shd w:val="clear" w:color="auto" w:fill="D9D9D9"/>
            <w:vAlign w:val="center"/>
          </w:tcPr>
          <w:p w14:paraId="57068DE7" w14:textId="77777777" w:rsidR="00526A24" w:rsidRPr="0038546C" w:rsidRDefault="00526A24" w:rsidP="00FD4ECB">
            <w:pPr>
              <w:ind w:left="0"/>
              <w:jc w:val="center"/>
              <w:rPr>
                <w:rFonts w:ascii="Bookman Old Style" w:hAnsi="Bookman Old Style"/>
              </w:rPr>
            </w:pPr>
          </w:p>
        </w:tc>
        <w:tc>
          <w:tcPr>
            <w:tcW w:w="1293" w:type="pct"/>
            <w:shd w:val="clear" w:color="auto" w:fill="D9D9D9"/>
            <w:vAlign w:val="center"/>
          </w:tcPr>
          <w:p w14:paraId="317ECA02"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14:paraId="68188890"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14:paraId="103BF45A"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2019 – 2020 - 2021</w:t>
            </w:r>
          </w:p>
        </w:tc>
      </w:tr>
      <w:tr w:rsidR="00694859" w14:paraId="779DE00A" w14:textId="77777777" w:rsidTr="00694859">
        <w:trPr>
          <w:trHeight w:val="378"/>
        </w:trPr>
        <w:tc>
          <w:tcPr>
            <w:tcW w:w="1121" w:type="pct"/>
            <w:shd w:val="clear" w:color="auto" w:fill="auto"/>
            <w:vAlign w:val="center"/>
          </w:tcPr>
          <w:p w14:paraId="64DC2E6E" w14:textId="38DA5004"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1293" w:type="pct"/>
            <w:shd w:val="clear" w:color="auto" w:fill="auto"/>
            <w:vAlign w:val="center"/>
          </w:tcPr>
          <w:p w14:paraId="6DEE2413" w14:textId="0C2D7992"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c>
          <w:tcPr>
            <w:tcW w:w="1293" w:type="pct"/>
            <w:shd w:val="clear" w:color="auto" w:fill="auto"/>
            <w:vAlign w:val="center"/>
          </w:tcPr>
          <w:p w14:paraId="63EADF3E" w14:textId="479D912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c>
          <w:tcPr>
            <w:tcW w:w="1293" w:type="pct"/>
            <w:shd w:val="clear" w:color="auto" w:fill="auto"/>
            <w:vAlign w:val="center"/>
          </w:tcPr>
          <w:p w14:paraId="44832E8E" w14:textId="02D69170"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r>
      <w:tr w:rsidR="00694859" w14:paraId="15493940" w14:textId="77777777" w:rsidTr="00694859">
        <w:trPr>
          <w:trHeight w:val="378"/>
        </w:trPr>
        <w:tc>
          <w:tcPr>
            <w:tcW w:w="1121" w:type="pct"/>
            <w:shd w:val="clear" w:color="auto" w:fill="auto"/>
            <w:vAlign w:val="center"/>
          </w:tcPr>
          <w:p w14:paraId="7EA8D365" w14:textId="432577D1"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RSk</m:t>
                    </m:r>
                  </m:sub>
                </m:sSub>
              </m:oMath>
            </m:oMathPara>
          </w:p>
        </w:tc>
        <w:tc>
          <w:tcPr>
            <w:tcW w:w="1293" w:type="pct"/>
            <w:shd w:val="clear" w:color="auto" w:fill="auto"/>
            <w:vAlign w:val="center"/>
          </w:tcPr>
          <w:p w14:paraId="2DC2BBF5" w14:textId="7C962A5C"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443.160.155</w:t>
            </w:r>
          </w:p>
        </w:tc>
        <w:tc>
          <w:tcPr>
            <w:tcW w:w="1293" w:type="pct"/>
            <w:shd w:val="clear" w:color="auto" w:fill="auto"/>
            <w:vAlign w:val="center"/>
          </w:tcPr>
          <w:p w14:paraId="22B17FFF" w14:textId="27E3FFDD"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443.160.155</w:t>
            </w:r>
          </w:p>
        </w:tc>
        <w:tc>
          <w:tcPr>
            <w:tcW w:w="1293" w:type="pct"/>
            <w:shd w:val="clear" w:color="auto" w:fill="auto"/>
            <w:vAlign w:val="center"/>
          </w:tcPr>
          <w:p w14:paraId="0E8812E3" w14:textId="70DB962D"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443.160.155</w:t>
            </w:r>
          </w:p>
        </w:tc>
      </w:tr>
      <w:tr w:rsidR="00694859" w14:paraId="1312ABF9" w14:textId="77777777" w:rsidTr="00694859">
        <w:trPr>
          <w:trHeight w:val="378"/>
        </w:trPr>
        <w:tc>
          <w:tcPr>
            <w:tcW w:w="1121" w:type="pct"/>
            <w:shd w:val="clear" w:color="auto" w:fill="auto"/>
            <w:vAlign w:val="center"/>
          </w:tcPr>
          <w:p w14:paraId="35261B3A" w14:textId="7DF3C14B"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93" w:type="pct"/>
            <w:shd w:val="clear" w:color="auto" w:fill="auto"/>
            <w:vAlign w:val="center"/>
          </w:tcPr>
          <w:p w14:paraId="11EF44C8" w14:textId="331D34D5"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c>
          <w:tcPr>
            <w:tcW w:w="1293" w:type="pct"/>
            <w:shd w:val="clear" w:color="auto" w:fill="auto"/>
            <w:vAlign w:val="center"/>
          </w:tcPr>
          <w:p w14:paraId="232E75CA" w14:textId="0280AC3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c>
          <w:tcPr>
            <w:tcW w:w="1293" w:type="pct"/>
            <w:shd w:val="clear" w:color="auto" w:fill="auto"/>
            <w:vAlign w:val="center"/>
          </w:tcPr>
          <w:p w14:paraId="486984A6" w14:textId="1D5B95D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r>
      <w:tr w:rsidR="00694859" w14:paraId="4C1AC4F9" w14:textId="77777777" w:rsidTr="00694859">
        <w:trPr>
          <w:trHeight w:val="378"/>
        </w:trPr>
        <w:tc>
          <w:tcPr>
            <w:tcW w:w="1121" w:type="pct"/>
            <w:shd w:val="clear" w:color="auto" w:fill="auto"/>
            <w:vAlign w:val="center"/>
          </w:tcPr>
          <w:p w14:paraId="4E5C36DD" w14:textId="2D7CB2AD"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93" w:type="pct"/>
            <w:shd w:val="clear" w:color="auto" w:fill="auto"/>
            <w:vAlign w:val="center"/>
          </w:tcPr>
          <w:p w14:paraId="42B19A18" w14:textId="5D904D7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617.982</w:t>
            </w:r>
          </w:p>
        </w:tc>
        <w:tc>
          <w:tcPr>
            <w:tcW w:w="1293" w:type="pct"/>
            <w:shd w:val="clear" w:color="auto" w:fill="auto"/>
            <w:vAlign w:val="center"/>
          </w:tcPr>
          <w:p w14:paraId="32717472" w14:textId="03F8E8D0"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617.982</w:t>
            </w:r>
          </w:p>
        </w:tc>
        <w:tc>
          <w:tcPr>
            <w:tcW w:w="1293" w:type="pct"/>
            <w:shd w:val="clear" w:color="auto" w:fill="auto"/>
            <w:vAlign w:val="center"/>
          </w:tcPr>
          <w:p w14:paraId="458CF834" w14:textId="7F081C7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617.982</w:t>
            </w:r>
          </w:p>
        </w:tc>
      </w:tr>
    </w:tbl>
    <w:p w14:paraId="3A035561" w14:textId="7212511E" w:rsidR="00526A24" w:rsidRDefault="00526A24" w:rsidP="00526A24">
      <w:pPr>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7310798E" w14:textId="77777777" w:rsidTr="00DD2701">
        <w:trPr>
          <w:tblHeader/>
        </w:trPr>
        <w:tc>
          <w:tcPr>
            <w:tcW w:w="5000" w:type="pct"/>
            <w:gridSpan w:val="4"/>
            <w:shd w:val="clear" w:color="auto" w:fill="D9D9D9"/>
            <w:vAlign w:val="center"/>
          </w:tcPr>
          <w:p w14:paraId="2CEF4AAC"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Usuarios Diferentes a los de Uso Residencial</w:t>
            </w:r>
          </w:p>
        </w:tc>
      </w:tr>
      <w:tr w:rsidR="00526A24" w14:paraId="47DBD75E" w14:textId="77777777" w:rsidTr="00DD2701">
        <w:trPr>
          <w:tblHeader/>
        </w:trPr>
        <w:tc>
          <w:tcPr>
            <w:tcW w:w="1121" w:type="pct"/>
            <w:vMerge w:val="restart"/>
            <w:shd w:val="clear" w:color="auto" w:fill="D9D9D9"/>
            <w:vAlign w:val="center"/>
          </w:tcPr>
          <w:p w14:paraId="5A142AF4"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Variable</w:t>
            </w:r>
          </w:p>
        </w:tc>
        <w:tc>
          <w:tcPr>
            <w:tcW w:w="3879" w:type="pct"/>
            <w:gridSpan w:val="3"/>
            <w:shd w:val="clear" w:color="auto" w:fill="D9D9D9"/>
            <w:vAlign w:val="center"/>
          </w:tcPr>
          <w:p w14:paraId="52C0C1E9"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Valor ($31 Dic 2014)</w:t>
            </w:r>
          </w:p>
        </w:tc>
      </w:tr>
      <w:tr w:rsidR="00526A24" w14:paraId="6DDD7C6E" w14:textId="77777777" w:rsidTr="00DD2701">
        <w:trPr>
          <w:trHeight w:val="119"/>
          <w:tblHeader/>
        </w:trPr>
        <w:tc>
          <w:tcPr>
            <w:tcW w:w="1121" w:type="pct"/>
            <w:vMerge/>
            <w:shd w:val="clear" w:color="auto" w:fill="D9D9D9"/>
            <w:vAlign w:val="center"/>
          </w:tcPr>
          <w:p w14:paraId="57E2152D" w14:textId="77777777" w:rsidR="00526A24" w:rsidRPr="0038546C" w:rsidRDefault="00526A24" w:rsidP="00FD4ECB">
            <w:pPr>
              <w:ind w:left="0"/>
              <w:jc w:val="center"/>
              <w:rPr>
                <w:rFonts w:ascii="Bookman Old Style" w:hAnsi="Bookman Old Style"/>
              </w:rPr>
            </w:pPr>
          </w:p>
        </w:tc>
        <w:tc>
          <w:tcPr>
            <w:tcW w:w="1293" w:type="pct"/>
            <w:shd w:val="clear" w:color="auto" w:fill="D9D9D9"/>
            <w:vAlign w:val="center"/>
          </w:tcPr>
          <w:p w14:paraId="17534BFF"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14:paraId="719737A5"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14:paraId="513EB61E" w14:textId="77777777" w:rsidR="00526A24" w:rsidRPr="0038546C" w:rsidRDefault="00526A24" w:rsidP="00FD4ECB">
            <w:pPr>
              <w:ind w:left="0"/>
              <w:jc w:val="center"/>
              <w:rPr>
                <w:rFonts w:ascii="Bookman Old Style" w:hAnsi="Bookman Old Style"/>
                <w:b/>
              </w:rPr>
            </w:pPr>
            <w:r w:rsidRPr="0038546C">
              <w:rPr>
                <w:rFonts w:ascii="Bookman Old Style" w:hAnsi="Bookman Old Style"/>
                <w:b/>
              </w:rPr>
              <w:t>2019 – 2020 - 2021</w:t>
            </w:r>
          </w:p>
        </w:tc>
      </w:tr>
      <w:tr w:rsidR="00694859" w14:paraId="6D002B45" w14:textId="77777777" w:rsidTr="00694859">
        <w:trPr>
          <w:trHeight w:val="378"/>
        </w:trPr>
        <w:tc>
          <w:tcPr>
            <w:tcW w:w="1121" w:type="pct"/>
            <w:shd w:val="clear" w:color="auto" w:fill="auto"/>
            <w:vAlign w:val="center"/>
          </w:tcPr>
          <w:p w14:paraId="64FB7880" w14:textId="0E98AB4F"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1293" w:type="pct"/>
            <w:shd w:val="clear" w:color="auto" w:fill="auto"/>
            <w:vAlign w:val="center"/>
          </w:tcPr>
          <w:p w14:paraId="1E4AC01C" w14:textId="1F701903"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c>
          <w:tcPr>
            <w:tcW w:w="1293" w:type="pct"/>
            <w:shd w:val="clear" w:color="auto" w:fill="auto"/>
            <w:vAlign w:val="center"/>
          </w:tcPr>
          <w:p w14:paraId="34B8C472" w14:textId="2A7C5904"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c>
          <w:tcPr>
            <w:tcW w:w="1293" w:type="pct"/>
            <w:shd w:val="clear" w:color="auto" w:fill="auto"/>
            <w:vAlign w:val="center"/>
          </w:tcPr>
          <w:p w14:paraId="2F550DD3" w14:textId="7F6FA885"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208.119.467</w:t>
            </w:r>
          </w:p>
        </w:tc>
      </w:tr>
      <w:tr w:rsidR="00694859" w14:paraId="16AAEDA0" w14:textId="77777777" w:rsidTr="00694859">
        <w:trPr>
          <w:trHeight w:val="378"/>
        </w:trPr>
        <w:tc>
          <w:tcPr>
            <w:tcW w:w="1121" w:type="pct"/>
            <w:shd w:val="clear" w:color="auto" w:fill="auto"/>
            <w:vAlign w:val="center"/>
          </w:tcPr>
          <w:p w14:paraId="3A88EB2E" w14:textId="7DA3BFA7"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RS(NoRes)k</m:t>
                    </m:r>
                  </m:sub>
                </m:sSub>
              </m:oMath>
            </m:oMathPara>
          </w:p>
        </w:tc>
        <w:tc>
          <w:tcPr>
            <w:tcW w:w="1293" w:type="pct"/>
            <w:shd w:val="clear" w:color="auto" w:fill="auto"/>
            <w:vAlign w:val="center"/>
          </w:tcPr>
          <w:p w14:paraId="31B319F4" w14:textId="79A0EDC0"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5.558.529</w:t>
            </w:r>
          </w:p>
        </w:tc>
        <w:tc>
          <w:tcPr>
            <w:tcW w:w="1293" w:type="pct"/>
            <w:shd w:val="clear" w:color="auto" w:fill="auto"/>
            <w:vAlign w:val="center"/>
          </w:tcPr>
          <w:p w14:paraId="3EF7821A" w14:textId="2DCDCD45"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5.558.529</w:t>
            </w:r>
          </w:p>
        </w:tc>
        <w:tc>
          <w:tcPr>
            <w:tcW w:w="1293" w:type="pct"/>
            <w:shd w:val="clear" w:color="auto" w:fill="auto"/>
            <w:vAlign w:val="center"/>
          </w:tcPr>
          <w:p w14:paraId="3846FED4" w14:textId="4B48A6E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5.558.529</w:t>
            </w:r>
          </w:p>
        </w:tc>
      </w:tr>
      <w:tr w:rsidR="00694859" w14:paraId="18393BCF" w14:textId="77777777" w:rsidTr="00694859">
        <w:trPr>
          <w:trHeight w:val="378"/>
        </w:trPr>
        <w:tc>
          <w:tcPr>
            <w:tcW w:w="1121" w:type="pct"/>
            <w:shd w:val="clear" w:color="auto" w:fill="auto"/>
            <w:vAlign w:val="center"/>
          </w:tcPr>
          <w:p w14:paraId="366AC81A" w14:textId="000EC14E"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93" w:type="pct"/>
            <w:shd w:val="clear" w:color="auto" w:fill="auto"/>
            <w:vAlign w:val="center"/>
          </w:tcPr>
          <w:p w14:paraId="398B5108" w14:textId="3D380020"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c>
          <w:tcPr>
            <w:tcW w:w="1293" w:type="pct"/>
            <w:shd w:val="clear" w:color="auto" w:fill="auto"/>
            <w:vAlign w:val="center"/>
          </w:tcPr>
          <w:p w14:paraId="30B0739A" w14:textId="2869B06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c>
          <w:tcPr>
            <w:tcW w:w="1293" w:type="pct"/>
            <w:shd w:val="clear" w:color="auto" w:fill="auto"/>
            <w:vAlign w:val="center"/>
          </w:tcPr>
          <w:p w14:paraId="7C4FB0A9" w14:textId="79A14504"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643.205</w:t>
            </w:r>
          </w:p>
        </w:tc>
      </w:tr>
      <w:tr w:rsidR="00694859" w14:paraId="40178EC0" w14:textId="77777777" w:rsidTr="00694859">
        <w:trPr>
          <w:trHeight w:val="378"/>
        </w:trPr>
        <w:tc>
          <w:tcPr>
            <w:tcW w:w="1121" w:type="pct"/>
            <w:shd w:val="clear" w:color="auto" w:fill="auto"/>
            <w:vAlign w:val="center"/>
          </w:tcPr>
          <w:p w14:paraId="66B823C7" w14:textId="275532F2" w:rsidR="00694859" w:rsidRPr="00526A24" w:rsidRDefault="00A93098" w:rsidP="00694859">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93" w:type="pct"/>
            <w:shd w:val="clear" w:color="auto" w:fill="auto"/>
            <w:vAlign w:val="center"/>
          </w:tcPr>
          <w:p w14:paraId="4141703F" w14:textId="3AE1B658"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32.974</w:t>
            </w:r>
          </w:p>
        </w:tc>
        <w:tc>
          <w:tcPr>
            <w:tcW w:w="1293" w:type="pct"/>
            <w:shd w:val="clear" w:color="auto" w:fill="auto"/>
            <w:vAlign w:val="center"/>
          </w:tcPr>
          <w:p w14:paraId="067BEA65" w14:textId="001D2C9B"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32.974</w:t>
            </w:r>
          </w:p>
        </w:tc>
        <w:tc>
          <w:tcPr>
            <w:tcW w:w="1293" w:type="pct"/>
            <w:shd w:val="clear" w:color="auto" w:fill="auto"/>
            <w:vAlign w:val="center"/>
          </w:tcPr>
          <w:p w14:paraId="5ADBDF6F" w14:textId="7A44F997" w:rsidR="00694859" w:rsidRPr="00694859" w:rsidRDefault="00694859" w:rsidP="00694859">
            <w:pPr>
              <w:ind w:left="0"/>
              <w:jc w:val="center"/>
              <w:rPr>
                <w:rFonts w:ascii="Bookman Old Style" w:hAnsi="Bookman Old Style"/>
              </w:rPr>
            </w:pPr>
            <w:r w:rsidRPr="00694859">
              <w:rPr>
                <w:rFonts w:ascii="Bookman Old Style" w:hAnsi="Bookman Old Style"/>
                <w:color w:val="000000"/>
                <w:sz w:val="22"/>
                <w:szCs w:val="22"/>
              </w:rPr>
              <w:t>32.974</w:t>
            </w:r>
          </w:p>
        </w:tc>
      </w:tr>
    </w:tbl>
    <w:p w14:paraId="18EAD52C" w14:textId="77777777"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w:t>
      </w:r>
    </w:p>
    <w:p w14:paraId="0400B5C1" w14:textId="77777777" w:rsidR="00526A24" w:rsidRPr="001954E9" w:rsidRDefault="00526A24" w:rsidP="00526A24">
      <w:pPr>
        <w:keepNext/>
        <w:spacing w:before="240" w:after="240"/>
        <w:ind w:left="0"/>
        <w:jc w:val="center"/>
        <w:rPr>
          <w:rFonts w:ascii="Bookman Old Style" w:hAnsi="Bookman Old Style" w:cs="Arial"/>
          <w:b/>
          <w:spacing w:val="80"/>
        </w:rPr>
      </w:pPr>
      <w:r>
        <w:rPr>
          <w:rFonts w:ascii="Bookman Old Style" w:hAnsi="Bookman Old Style" w:cs="Arial"/>
          <w:b/>
          <w:spacing w:val="80"/>
        </w:rPr>
        <w:t>CARGOS TRANSITORIOS DE DISTRIBUCIÓN</w:t>
      </w:r>
    </w:p>
    <w:p w14:paraId="2A496C81" w14:textId="2EE17D53" w:rsidR="00526A24"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ARTÍCULO 5.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 de Uso </w:t>
      </w:r>
      <w:r w:rsidRPr="001954E9">
        <w:rPr>
          <w:rFonts w:ascii="Bookman Old Style" w:hAnsi="Bookman Old Style" w:cs="Arial"/>
          <w:b/>
        </w:rPr>
        <w:lastRenderedPageBreak/>
        <w:t>Residencial</w:t>
      </w:r>
      <w:r w:rsidR="00173570">
        <w:rPr>
          <w:rFonts w:ascii="Bookman Old Style" w:hAnsi="Bookman Old Style" w:cs="Arial"/>
          <w:b/>
        </w:rPr>
        <w:t xml:space="preserve"> y </w:t>
      </w:r>
      <w:r w:rsidR="00173570" w:rsidRPr="001954E9">
        <w:rPr>
          <w:rFonts w:ascii="Bookman Old Style" w:hAnsi="Bookman Old Style" w:cs="Arial"/>
          <w:b/>
        </w:rPr>
        <w:t>a los usuarios</w:t>
      </w:r>
      <w:r w:rsidR="00173570">
        <w:rPr>
          <w:rFonts w:ascii="Bookman Old Style" w:hAnsi="Bookman Old Style" w:cs="Arial"/>
          <w:b/>
        </w:rPr>
        <w:t xml:space="preserve"> Diferentes a los</w:t>
      </w:r>
      <w:r w:rsidR="00173570" w:rsidRPr="001954E9">
        <w:rPr>
          <w:rFonts w:ascii="Bookman Old Style" w:hAnsi="Bookman Old Style" w:cs="Arial"/>
          <w:b/>
        </w:rPr>
        <w:t xml:space="preserve"> de Uso Residencial</w:t>
      </w:r>
      <w:r w:rsidRPr="001954E9">
        <w:rPr>
          <w:rFonts w:ascii="Bookman Old Style" w:hAnsi="Bookman Old Style" w:cs="Arial"/>
          <w:b/>
        </w:rPr>
        <w:t>.</w:t>
      </w:r>
      <w:r w:rsidRPr="001954E9">
        <w:rPr>
          <w:rFonts w:ascii="Bookman Old Style" w:hAnsi="Bookman Old Style" w:cs="Arial"/>
        </w:rPr>
        <w:t xml:space="preserve"> </w:t>
      </w:r>
      <w:r w:rsidR="00173570" w:rsidRPr="001954E9">
        <w:rPr>
          <w:rFonts w:ascii="Bookman Old Style" w:hAnsi="Bookman Old Style" w:cs="Arial"/>
        </w:rPr>
        <w:t xml:space="preserve">A partir de la vigencia de la presente Resolución, </w:t>
      </w:r>
      <w:r w:rsidR="00173570">
        <w:rPr>
          <w:rFonts w:ascii="Bookman Old Style" w:hAnsi="Bookman Old Style" w:cs="Arial"/>
        </w:rPr>
        <w:t>los</w:t>
      </w:r>
      <w:r w:rsidR="00173570" w:rsidRPr="001954E9">
        <w:rPr>
          <w:rFonts w:ascii="Bookman Old Style" w:hAnsi="Bookman Old Style" w:cs="Arial"/>
        </w:rPr>
        <w:t xml:space="preserve"> cargo</w:t>
      </w:r>
      <w:r w:rsidR="00173570">
        <w:rPr>
          <w:rFonts w:ascii="Bookman Old Style" w:hAnsi="Bookman Old Style" w:cs="Arial"/>
        </w:rPr>
        <w:t xml:space="preserve">s </w:t>
      </w:r>
      <w:r w:rsidR="00173570" w:rsidRPr="001954E9">
        <w:rPr>
          <w:rFonts w:ascii="Bookman Old Style" w:hAnsi="Bookman Old Style" w:cs="Arial"/>
        </w:rPr>
        <w:t>de distribución aplicable</w:t>
      </w:r>
      <w:r w:rsidR="00173570">
        <w:rPr>
          <w:rFonts w:ascii="Bookman Old Style" w:hAnsi="Bookman Old Style" w:cs="Arial"/>
        </w:rPr>
        <w:t>s</w:t>
      </w:r>
      <w:r w:rsidR="00173570" w:rsidRPr="001954E9">
        <w:rPr>
          <w:rFonts w:ascii="Bookman Old Style" w:hAnsi="Bookman Old Style" w:cs="Arial"/>
        </w:rPr>
        <w:t xml:space="preserve"> a los usuarios de uso residencial</w:t>
      </w:r>
      <w:r w:rsidR="00173570">
        <w:rPr>
          <w:rFonts w:ascii="Bookman Old Style" w:hAnsi="Bookman Old Style" w:cs="Arial"/>
        </w:rPr>
        <w:t xml:space="preserve"> y a los </w:t>
      </w:r>
      <w:r w:rsidR="00173570" w:rsidRPr="00177C98">
        <w:rPr>
          <w:rFonts w:ascii="Bookman Old Style" w:hAnsi="Bookman Old Style" w:cs="Arial"/>
        </w:rPr>
        <w:t>usuarios Diferentes a los de Uso Residencial</w:t>
      </w:r>
      <w:r w:rsidR="00173570">
        <w:rPr>
          <w:rFonts w:ascii="Bookman Old Style" w:hAnsi="Bookman Old Style" w:cs="Arial"/>
        </w:rPr>
        <w:t xml:space="preserve"> </w:t>
      </w:r>
      <w:r w:rsidR="00173570" w:rsidRPr="001954E9">
        <w:rPr>
          <w:rFonts w:ascii="Bookman Old Style" w:hAnsi="Bookman Old Style" w:cs="Arial"/>
        </w:rPr>
        <w:t>para recuperar los costos de inversión y los gastos de AOM para la distribución domiciliaria de gas combustible por red se fija</w:t>
      </w:r>
      <w:r w:rsidR="00173570">
        <w:rPr>
          <w:rFonts w:ascii="Bookman Old Style" w:hAnsi="Bookman Old Style" w:cs="Arial"/>
        </w:rPr>
        <w:t>n</w:t>
      </w:r>
      <w:r w:rsidR="00173570" w:rsidRPr="001954E9">
        <w:rPr>
          <w:rFonts w:ascii="Bookman Old Style" w:hAnsi="Bookman Old Style" w:cs="Arial"/>
        </w:rPr>
        <w:t xml:space="preserve"> </w:t>
      </w:r>
      <w:r w:rsidR="00173570">
        <w:rPr>
          <w:rFonts w:ascii="Bookman Old Style" w:hAnsi="Bookman Old Style" w:cs="Arial"/>
        </w:rPr>
        <w:t>transitoriamente tal como se indica a continuación.</w:t>
      </w:r>
    </w:p>
    <w:p w14:paraId="5A3016D0" w14:textId="77777777" w:rsidR="004D7DD3" w:rsidRDefault="00526A24" w:rsidP="004D7DD3">
      <w:pPr>
        <w:keepNext/>
        <w:adjustRightInd w:val="0"/>
        <w:spacing w:before="240" w:after="240"/>
        <w:ind w:left="0" w:right="23"/>
        <w:jc w:val="both"/>
        <w:rPr>
          <w:rFonts w:ascii="Bookman Old Style" w:hAnsi="Bookman Old Style" w:cs="Arial"/>
          <w:b/>
        </w:rPr>
      </w:pPr>
      <w:r w:rsidRPr="006248AB">
        <w:rPr>
          <w:rFonts w:ascii="Bookman Old Style" w:hAnsi="Bookman Old Style" w:cs="Arial"/>
          <w:b/>
        </w:rPr>
        <w:t>5.1.</w:t>
      </w:r>
      <w:r>
        <w:rPr>
          <w:rFonts w:ascii="Bookman Old Style" w:hAnsi="Bookman Old Style" w:cs="Arial"/>
        </w:rPr>
        <w:t xml:space="preserve"> </w:t>
      </w:r>
      <w:r w:rsidRPr="00D23266">
        <w:rPr>
          <w:rFonts w:ascii="Bookman Old Style" w:hAnsi="Bookman Old Style" w:cs="Arial"/>
          <w:b/>
        </w:rPr>
        <w:t xml:space="preserve">Municipios que pertenecen al Mercado Relevante definido en el </w:t>
      </w:r>
      <w:r>
        <w:rPr>
          <w:rFonts w:ascii="Bookman Old Style" w:hAnsi="Bookman Old Style" w:cs="Arial"/>
          <w:b/>
        </w:rPr>
        <w:t>A</w:t>
      </w:r>
      <w:r w:rsidRPr="00D23266">
        <w:rPr>
          <w:rFonts w:ascii="Bookman Old Style" w:hAnsi="Bookman Old Style" w:cs="Arial"/>
          <w:b/>
        </w:rPr>
        <w:t>rtículo 1 que cuentan con recursos públicos</w:t>
      </w:r>
      <w:r>
        <w:rPr>
          <w:rFonts w:ascii="Bookman Old Style" w:hAnsi="Bookman Old Style" w:cs="Arial"/>
          <w:b/>
        </w:rPr>
        <w:t>.</w:t>
      </w:r>
    </w:p>
    <w:p w14:paraId="5DD45DF7" w14:textId="210448D6" w:rsidR="00526A24" w:rsidRPr="004D7DD3" w:rsidRDefault="00526A24"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w:t>
      </w:r>
      <w:r w:rsidR="00173570" w:rsidRPr="004D7DD3">
        <w:rPr>
          <w:rFonts w:ascii="Bookman Old Style" w:hAnsi="Bookman Old Style" w:cs="Arial"/>
          <w:sz w:val="24"/>
          <w:szCs w:val="24"/>
        </w:rPr>
        <w:t>e</w:t>
      </w:r>
      <w:r w:rsidRPr="004D7DD3">
        <w:rPr>
          <w:rFonts w:ascii="Bookman Old Style" w:hAnsi="Bookman Old Style" w:cs="Arial"/>
          <w:sz w:val="24"/>
          <w:szCs w:val="24"/>
        </w:rPr>
        <w:t>l municipio</w:t>
      </w:r>
      <w:r w:rsidR="00173570" w:rsidRPr="004D7DD3">
        <w:rPr>
          <w:rFonts w:ascii="Bookman Old Style" w:hAnsi="Bookman Old Style" w:cs="Arial"/>
          <w:sz w:val="24"/>
          <w:szCs w:val="24"/>
        </w:rPr>
        <w:t xml:space="preserve"> de Nátaga</w:t>
      </w:r>
      <w:r w:rsidR="004D7DD3" w:rsidRPr="004D7DD3">
        <w:rPr>
          <w:rFonts w:ascii="Bookman Old Style" w:hAnsi="Bookman Old Style" w:cs="Arial"/>
          <w:sz w:val="24"/>
          <w:szCs w:val="24"/>
        </w:rPr>
        <w:t xml:space="preserve"> </w:t>
      </w:r>
      <w:r w:rsidR="00173570" w:rsidRPr="004D7DD3">
        <w:rPr>
          <w:rFonts w:ascii="Bookman Old Style" w:hAnsi="Bookman Old Style" w:cs="Arial"/>
          <w:sz w:val="24"/>
          <w:szCs w:val="24"/>
        </w:rPr>
        <w:t>en el</w:t>
      </w:r>
      <w:r w:rsidRPr="004D7DD3">
        <w:rPr>
          <w:rFonts w:ascii="Bookman Old Style" w:hAnsi="Bookman Old Style" w:cs="Arial"/>
          <w:sz w:val="24"/>
          <w:szCs w:val="24"/>
        </w:rPr>
        <w:t xml:space="preserve"> departamento </w:t>
      </w:r>
      <w:r w:rsidR="00173570" w:rsidRPr="004D7DD3">
        <w:rPr>
          <w:rFonts w:ascii="Bookman Old Style" w:hAnsi="Bookman Old Style" w:cs="Arial"/>
          <w:sz w:val="24"/>
          <w:szCs w:val="24"/>
        </w:rPr>
        <w:t>de Huila</w:t>
      </w:r>
      <w:r w:rsidRPr="004D7DD3">
        <w:rPr>
          <w:rFonts w:ascii="Bookman Old Style" w:hAnsi="Bookman Old Style" w:cs="Arial"/>
          <w:sz w:val="24"/>
          <w:szCs w:val="24"/>
        </w:rPr>
        <w:t>,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766CF8" w:rsidRPr="00A566CF" w14:paraId="07DA0B9B" w14:textId="77777777" w:rsidTr="00BA3556">
        <w:trPr>
          <w:trHeight w:val="122"/>
          <w:tblHeader/>
        </w:trPr>
        <w:tc>
          <w:tcPr>
            <w:tcW w:w="5000" w:type="pct"/>
            <w:gridSpan w:val="5"/>
            <w:shd w:val="clear" w:color="auto" w:fill="D9D9D9" w:themeFill="background1" w:themeFillShade="D9"/>
            <w:vAlign w:val="center"/>
          </w:tcPr>
          <w:p w14:paraId="6F0E04C6" w14:textId="77777777" w:rsidR="00766CF8" w:rsidRPr="00A566CF" w:rsidRDefault="00766CF8" w:rsidP="00BA3556">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766CF8" w:rsidRPr="00A566CF" w14:paraId="0016643B" w14:textId="77777777" w:rsidTr="00BA3556">
        <w:trPr>
          <w:trHeight w:val="119"/>
          <w:tblHeader/>
        </w:trPr>
        <w:tc>
          <w:tcPr>
            <w:tcW w:w="1817" w:type="pct"/>
            <w:shd w:val="clear" w:color="auto" w:fill="D9D9D9" w:themeFill="background1" w:themeFillShade="D9"/>
            <w:vAlign w:val="center"/>
          </w:tcPr>
          <w:p w14:paraId="52FBED88" w14:textId="77777777" w:rsidR="00766CF8" w:rsidRPr="00A566CF" w:rsidRDefault="00766CF8" w:rsidP="00BA3556">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25D46B66" w14:textId="77777777" w:rsidR="00766CF8" w:rsidRPr="00A566CF" w:rsidRDefault="00766CF8" w:rsidP="00BA3556">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6128FE98" w14:textId="77777777" w:rsidR="00766CF8" w:rsidRPr="00A566CF" w:rsidRDefault="00766CF8" w:rsidP="00BA3556">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7CBC058D" w14:textId="77777777" w:rsidR="00766CF8" w:rsidRPr="00A566CF" w:rsidRDefault="00766CF8" w:rsidP="00BA3556">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542DE77C" w14:textId="77777777" w:rsidR="00766CF8" w:rsidRPr="00A566CF" w:rsidRDefault="00766CF8" w:rsidP="00BA3556">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A13FAE" w:rsidRPr="00A566CF" w14:paraId="22B629D6" w14:textId="77777777" w:rsidTr="00A13FAE">
        <w:trPr>
          <w:trHeight w:val="421"/>
        </w:trPr>
        <w:tc>
          <w:tcPr>
            <w:tcW w:w="1817" w:type="pct"/>
            <w:vAlign w:val="center"/>
          </w:tcPr>
          <w:p w14:paraId="760FD949" w14:textId="77777777" w:rsidR="00A13FAE" w:rsidRPr="00A566CF" w:rsidRDefault="00A13FAE" w:rsidP="00A13FAE">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590FCC04" w14:textId="77777777" w:rsidR="00A13FAE" w:rsidRPr="00A566CF" w:rsidRDefault="00A13FAE" w:rsidP="00A13FAE">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4E129EBA" w14:textId="65EE2E4B" w:rsidR="00A13FAE" w:rsidRPr="00A13FAE" w:rsidRDefault="00A13FAE" w:rsidP="00A13FAE">
            <w:pPr>
              <w:ind w:left="-108"/>
              <w:jc w:val="center"/>
              <w:rPr>
                <w:rFonts w:ascii="Bookman Old Style" w:hAnsi="Bookman Old Style"/>
                <w:b/>
                <w:sz w:val="22"/>
                <w:szCs w:val="22"/>
              </w:rPr>
            </w:pPr>
            <w:r w:rsidRPr="00A13FAE">
              <w:rPr>
                <w:rFonts w:ascii="Bookman Old Style" w:hAnsi="Bookman Old Style"/>
                <w:b/>
                <w:sz w:val="22"/>
                <w:szCs w:val="22"/>
              </w:rPr>
              <w:t>1.382,32</w:t>
            </w:r>
          </w:p>
        </w:tc>
        <w:tc>
          <w:tcPr>
            <w:tcW w:w="909" w:type="pct"/>
            <w:shd w:val="clear" w:color="auto" w:fill="auto"/>
            <w:vAlign w:val="center"/>
          </w:tcPr>
          <w:p w14:paraId="3B602747" w14:textId="7D72F0D3" w:rsidR="00A13FAE" w:rsidRPr="00A13FAE" w:rsidRDefault="00A13FAE" w:rsidP="00A13FAE">
            <w:pPr>
              <w:ind w:left="0"/>
              <w:jc w:val="center"/>
              <w:rPr>
                <w:rFonts w:ascii="Bookman Old Style" w:hAnsi="Bookman Old Style"/>
                <w:b/>
                <w:sz w:val="22"/>
                <w:szCs w:val="22"/>
              </w:rPr>
            </w:pPr>
            <w:r w:rsidRPr="00A13FAE">
              <w:rPr>
                <w:rFonts w:ascii="Bookman Old Style" w:hAnsi="Bookman Old Style"/>
                <w:b/>
                <w:sz w:val="22"/>
                <w:szCs w:val="22"/>
              </w:rPr>
              <w:t>1.387,46</w:t>
            </w:r>
          </w:p>
        </w:tc>
        <w:tc>
          <w:tcPr>
            <w:tcW w:w="910" w:type="pct"/>
            <w:shd w:val="clear" w:color="auto" w:fill="auto"/>
            <w:vAlign w:val="center"/>
          </w:tcPr>
          <w:p w14:paraId="72CFA33C" w14:textId="3D8DB8FA" w:rsidR="00A13FAE" w:rsidRPr="00A13FAE" w:rsidRDefault="00A13FAE" w:rsidP="00A13FAE">
            <w:pPr>
              <w:ind w:left="0"/>
              <w:jc w:val="center"/>
              <w:rPr>
                <w:rFonts w:ascii="Bookman Old Style" w:hAnsi="Bookman Old Style"/>
                <w:b/>
                <w:sz w:val="22"/>
                <w:szCs w:val="22"/>
              </w:rPr>
            </w:pPr>
            <w:r w:rsidRPr="00A13FAE">
              <w:rPr>
                <w:rFonts w:ascii="Bookman Old Style" w:hAnsi="Bookman Old Style"/>
                <w:b/>
                <w:sz w:val="22"/>
                <w:szCs w:val="22"/>
              </w:rPr>
              <w:t>1.353,12</w:t>
            </w:r>
          </w:p>
        </w:tc>
      </w:tr>
      <w:tr w:rsidR="004D7DD3" w:rsidRPr="003C0CBF" w14:paraId="7FB02DCD" w14:textId="77777777" w:rsidTr="00A13FAE">
        <w:trPr>
          <w:trHeight w:val="421"/>
        </w:trPr>
        <w:tc>
          <w:tcPr>
            <w:tcW w:w="1817" w:type="pct"/>
            <w:vAlign w:val="center"/>
          </w:tcPr>
          <w:p w14:paraId="416FC617" w14:textId="6045101B" w:rsidR="004D7DD3" w:rsidRPr="00A566CF" w:rsidRDefault="004D7DD3" w:rsidP="004D7DD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780F47E7" w14:textId="77777777" w:rsidR="004D7DD3" w:rsidRPr="00A566CF" w:rsidRDefault="004D7DD3" w:rsidP="004D7DD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7D466A2A" w14:textId="70DECD0E" w:rsidR="004D7DD3" w:rsidRPr="00084172" w:rsidRDefault="004D7DD3" w:rsidP="00E66B2F">
            <w:pPr>
              <w:ind w:left="-108"/>
              <w:jc w:val="center"/>
              <w:rPr>
                <w:rFonts w:ascii="Bookman Old Style" w:hAnsi="Bookman Old Style"/>
                <w:sz w:val="22"/>
                <w:szCs w:val="22"/>
              </w:rPr>
            </w:pPr>
            <w:r w:rsidRPr="00E66B2F">
              <w:rPr>
                <w:rFonts w:ascii="Bookman Old Style" w:hAnsi="Bookman Old Style"/>
                <w:sz w:val="22"/>
                <w:szCs w:val="22"/>
              </w:rPr>
              <w:t>341,65</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163DA33" w14:textId="2E6D980F" w:rsidR="004D7DD3" w:rsidRPr="00084172" w:rsidRDefault="004D7DD3" w:rsidP="00E66B2F">
            <w:pPr>
              <w:ind w:left="0"/>
              <w:jc w:val="center"/>
              <w:rPr>
                <w:rFonts w:ascii="Bookman Old Style" w:hAnsi="Bookman Old Style"/>
                <w:sz w:val="22"/>
                <w:szCs w:val="22"/>
              </w:rPr>
            </w:pPr>
            <w:r w:rsidRPr="00E66B2F">
              <w:rPr>
                <w:rFonts w:ascii="Bookman Old Style" w:hAnsi="Bookman Old Style"/>
                <w:sz w:val="22"/>
                <w:szCs w:val="22"/>
              </w:rPr>
              <w:t>346,79</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EB6A3A1" w14:textId="3D6F4899" w:rsidR="004D7DD3" w:rsidRPr="00084172" w:rsidRDefault="004D7DD3" w:rsidP="00E66B2F">
            <w:pPr>
              <w:ind w:left="0"/>
              <w:jc w:val="center"/>
              <w:rPr>
                <w:rFonts w:ascii="Bookman Old Style" w:hAnsi="Bookman Old Style"/>
                <w:sz w:val="22"/>
                <w:szCs w:val="22"/>
              </w:rPr>
            </w:pPr>
            <w:r w:rsidRPr="00E66B2F">
              <w:rPr>
                <w:rFonts w:ascii="Bookman Old Style" w:hAnsi="Bookman Old Style"/>
                <w:sz w:val="22"/>
                <w:szCs w:val="22"/>
              </w:rPr>
              <w:t>312,45</w:t>
            </w:r>
          </w:p>
        </w:tc>
      </w:tr>
      <w:tr w:rsidR="00766CF8" w:rsidRPr="003C0CBF" w14:paraId="4A94896E" w14:textId="77777777" w:rsidTr="00BA3556">
        <w:trPr>
          <w:trHeight w:val="421"/>
        </w:trPr>
        <w:tc>
          <w:tcPr>
            <w:tcW w:w="1817" w:type="pct"/>
            <w:vAlign w:val="center"/>
          </w:tcPr>
          <w:p w14:paraId="24DA1B45" w14:textId="77777777" w:rsidR="00766CF8" w:rsidRPr="00A566CF" w:rsidRDefault="00766CF8" w:rsidP="00BA355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5E54DB0A" w14:textId="77777777" w:rsidR="00766CF8" w:rsidRPr="00A566CF" w:rsidRDefault="00766CF8" w:rsidP="00BA355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863F894" w14:textId="7B94DC2D" w:rsidR="00766CF8" w:rsidRPr="00084172" w:rsidRDefault="004D7DD3" w:rsidP="00BA3556">
            <w:pPr>
              <w:ind w:left="-108"/>
              <w:jc w:val="center"/>
              <w:rPr>
                <w:rFonts w:ascii="Bookman Old Style" w:hAnsi="Bookman Old Style"/>
                <w:sz w:val="22"/>
                <w:szCs w:val="22"/>
              </w:rPr>
            </w:pPr>
            <w:r>
              <w:rPr>
                <w:rFonts w:ascii="Bookman Old Style" w:hAnsi="Bookman Old Style"/>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2E443FD3" w14:textId="3BDEF770" w:rsidR="00766CF8" w:rsidRPr="00084172" w:rsidRDefault="004D7DD3" w:rsidP="00BA3556">
            <w:pPr>
              <w:ind w:left="0"/>
              <w:jc w:val="center"/>
              <w:rPr>
                <w:rFonts w:ascii="Bookman Old Style" w:hAnsi="Bookman Old Style"/>
                <w:sz w:val="22"/>
                <w:szCs w:val="22"/>
              </w:rPr>
            </w:pPr>
            <w:r>
              <w:rPr>
                <w:rFonts w:ascii="Bookman Old Style" w:hAnsi="Bookman Old Style"/>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0B515773" w14:textId="7EEE02EA" w:rsidR="00766CF8" w:rsidRPr="00084172" w:rsidRDefault="004D7DD3" w:rsidP="00BA3556">
            <w:pPr>
              <w:ind w:left="0"/>
              <w:jc w:val="center"/>
              <w:rPr>
                <w:rFonts w:ascii="Bookman Old Style" w:hAnsi="Bookman Old Style"/>
                <w:sz w:val="22"/>
                <w:szCs w:val="22"/>
              </w:rPr>
            </w:pPr>
            <w:r>
              <w:rPr>
                <w:rFonts w:ascii="Bookman Old Style" w:hAnsi="Bookman Old Style"/>
                <w:sz w:val="22"/>
                <w:szCs w:val="22"/>
              </w:rPr>
              <w:t>1.040,67</w:t>
            </w:r>
          </w:p>
        </w:tc>
      </w:tr>
    </w:tbl>
    <w:p w14:paraId="123BA7C3" w14:textId="66AA65AB" w:rsidR="00766CF8" w:rsidRDefault="00766CF8" w:rsidP="00D72D22">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00693939" w14:textId="61AF69CF"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Nátaga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4F87BF48" w14:textId="005D898F" w:rsidR="004D7DD3" w:rsidRPr="004D7DD3" w:rsidRDefault="004D7DD3"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Para el municipio</w:t>
      </w:r>
      <w:r>
        <w:rPr>
          <w:rFonts w:ascii="Bookman Old Style" w:hAnsi="Bookman Old Style" w:cs="Arial"/>
          <w:sz w:val="24"/>
          <w:szCs w:val="24"/>
        </w:rPr>
        <w:t xml:space="preserve"> de Colombia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1F6DD7FE" w14:textId="77777777" w:rsidTr="004D7DD3">
        <w:trPr>
          <w:trHeight w:val="122"/>
          <w:tblHeader/>
        </w:trPr>
        <w:tc>
          <w:tcPr>
            <w:tcW w:w="5000" w:type="pct"/>
            <w:gridSpan w:val="5"/>
            <w:shd w:val="clear" w:color="auto" w:fill="D9D9D9" w:themeFill="background1" w:themeFillShade="D9"/>
            <w:vAlign w:val="center"/>
          </w:tcPr>
          <w:p w14:paraId="25C20606"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59BA8931" w14:textId="77777777" w:rsidTr="004D7DD3">
        <w:trPr>
          <w:trHeight w:val="119"/>
          <w:tblHeader/>
        </w:trPr>
        <w:tc>
          <w:tcPr>
            <w:tcW w:w="1817" w:type="pct"/>
            <w:shd w:val="clear" w:color="auto" w:fill="D9D9D9" w:themeFill="background1" w:themeFillShade="D9"/>
            <w:vAlign w:val="center"/>
          </w:tcPr>
          <w:p w14:paraId="5403ED82"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35BB83F2"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75C1AE15"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22404D4C"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17E22538"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52B6C586" w14:textId="77777777" w:rsidTr="00FF0696">
        <w:trPr>
          <w:trHeight w:val="421"/>
        </w:trPr>
        <w:tc>
          <w:tcPr>
            <w:tcW w:w="1817" w:type="pct"/>
            <w:vAlign w:val="center"/>
          </w:tcPr>
          <w:p w14:paraId="642E1150"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565B1535"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7F4988B6" w14:textId="119891A2" w:rsidR="00FF0696" w:rsidRPr="00FF0696" w:rsidRDefault="00FF0696" w:rsidP="00FF0696">
            <w:pPr>
              <w:ind w:left="-108"/>
              <w:jc w:val="center"/>
              <w:rPr>
                <w:rFonts w:ascii="Bookman Old Style" w:hAnsi="Bookman Old Style"/>
                <w:b/>
                <w:sz w:val="22"/>
                <w:szCs w:val="22"/>
              </w:rPr>
            </w:pPr>
            <w:r w:rsidRPr="00FF0696">
              <w:rPr>
                <w:rFonts w:ascii="Bookman Old Style" w:hAnsi="Bookman Old Style" w:cs="Arial"/>
                <w:b/>
                <w:color w:val="000000"/>
                <w:sz w:val="22"/>
                <w:szCs w:val="22"/>
              </w:rPr>
              <w:t>1.818,95</w:t>
            </w:r>
          </w:p>
        </w:tc>
        <w:tc>
          <w:tcPr>
            <w:tcW w:w="909" w:type="pct"/>
            <w:shd w:val="clear" w:color="auto" w:fill="auto"/>
            <w:vAlign w:val="center"/>
          </w:tcPr>
          <w:p w14:paraId="430EB4FD" w14:textId="1949DE5E"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1.830,65</w:t>
            </w:r>
          </w:p>
        </w:tc>
        <w:tc>
          <w:tcPr>
            <w:tcW w:w="910" w:type="pct"/>
            <w:shd w:val="clear" w:color="auto" w:fill="auto"/>
            <w:vAlign w:val="center"/>
          </w:tcPr>
          <w:p w14:paraId="264225F4" w14:textId="779790E2"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1.752,42</w:t>
            </w:r>
          </w:p>
        </w:tc>
      </w:tr>
      <w:tr w:rsidR="00FF0696" w:rsidRPr="003C0CBF" w14:paraId="7E2979FF" w14:textId="77777777" w:rsidTr="00FF0696">
        <w:trPr>
          <w:trHeight w:val="421"/>
        </w:trPr>
        <w:tc>
          <w:tcPr>
            <w:tcW w:w="1817" w:type="pct"/>
            <w:vAlign w:val="center"/>
          </w:tcPr>
          <w:p w14:paraId="48C4953F"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389E7D7C"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3340D198" w14:textId="2A8BA1B5"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778,28</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8B57C00" w14:textId="045F93EC"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789,98</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4562E64A" w14:textId="46DC813C"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711,75</w:t>
            </w:r>
          </w:p>
        </w:tc>
      </w:tr>
      <w:tr w:rsidR="00FF0696" w:rsidRPr="003C0CBF" w14:paraId="337945F4" w14:textId="77777777" w:rsidTr="00FF0696">
        <w:trPr>
          <w:trHeight w:val="421"/>
        </w:trPr>
        <w:tc>
          <w:tcPr>
            <w:tcW w:w="1817" w:type="pct"/>
            <w:vAlign w:val="center"/>
          </w:tcPr>
          <w:p w14:paraId="183A3907"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0CAA9218"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6B36050" w14:textId="5A9C6292"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2A829C61" w14:textId="574E591B"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6FB5FB5E" w14:textId="3E34DBD4"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r>
    </w:tbl>
    <w:p w14:paraId="4E7D5E68"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3A9BA189" w14:textId="59C46453"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Colombia</w:t>
      </w:r>
      <w:r w:rsidRPr="00302373">
        <w:rPr>
          <w:rFonts w:ascii="Bookman Old Style" w:hAnsi="Bookman Old Style" w:cs="Arial"/>
          <w:szCs w:val="18"/>
          <w:lang w:val="x-none" w:eastAsia="x-none"/>
        </w:rPr>
        <w:t xml:space="preserve">, en el departamento de Huila, cuenta con red primaria y </w:t>
      </w:r>
      <w:r w:rsidRPr="00302373">
        <w:rPr>
          <w:rFonts w:ascii="Bookman Old Style" w:hAnsi="Bookman Old Style" w:cs="Arial"/>
          <w:szCs w:val="18"/>
          <w:lang w:val="x-none" w:eastAsia="x-none"/>
        </w:rPr>
        <w:lastRenderedPageBreak/>
        <w:t>secundaria pero todos sus usuarios están conectados a la red secundaria, se podrá determinar para este submercado un solo cargo de distribución que será aplicable a los usuarios de uso residencial y usuarios diferentes al uso residencial.</w:t>
      </w:r>
    </w:p>
    <w:p w14:paraId="151C89C1" w14:textId="5074B230" w:rsidR="004D7DD3" w:rsidRPr="004D7DD3" w:rsidRDefault="004D7DD3"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Para el municipio</w:t>
      </w:r>
      <w:r>
        <w:rPr>
          <w:rFonts w:ascii="Bookman Old Style" w:hAnsi="Bookman Old Style" w:cs="Arial"/>
          <w:sz w:val="24"/>
          <w:szCs w:val="24"/>
        </w:rPr>
        <w:t xml:space="preserve"> de Elías</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01C20E08" w14:textId="77777777" w:rsidTr="004D7DD3">
        <w:trPr>
          <w:trHeight w:val="122"/>
          <w:tblHeader/>
        </w:trPr>
        <w:tc>
          <w:tcPr>
            <w:tcW w:w="5000" w:type="pct"/>
            <w:gridSpan w:val="5"/>
            <w:shd w:val="clear" w:color="auto" w:fill="D9D9D9" w:themeFill="background1" w:themeFillShade="D9"/>
            <w:vAlign w:val="center"/>
          </w:tcPr>
          <w:p w14:paraId="02DD603F"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0BC3D712" w14:textId="77777777" w:rsidTr="004D7DD3">
        <w:trPr>
          <w:trHeight w:val="119"/>
          <w:tblHeader/>
        </w:trPr>
        <w:tc>
          <w:tcPr>
            <w:tcW w:w="1817" w:type="pct"/>
            <w:shd w:val="clear" w:color="auto" w:fill="D9D9D9" w:themeFill="background1" w:themeFillShade="D9"/>
            <w:vAlign w:val="center"/>
          </w:tcPr>
          <w:p w14:paraId="0CA104C8"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184115CA"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13EDADE3"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20349409"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1C1FD1E4"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1F402590" w14:textId="77777777" w:rsidTr="00FF0696">
        <w:trPr>
          <w:trHeight w:val="421"/>
        </w:trPr>
        <w:tc>
          <w:tcPr>
            <w:tcW w:w="1817" w:type="pct"/>
            <w:vAlign w:val="center"/>
          </w:tcPr>
          <w:p w14:paraId="731E8CB3"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608B3F2"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46EC541C" w14:textId="555223C2" w:rsidR="00FF0696" w:rsidRPr="00FF0696" w:rsidRDefault="00FF0696" w:rsidP="00FF0696">
            <w:pPr>
              <w:ind w:left="-108"/>
              <w:jc w:val="center"/>
              <w:rPr>
                <w:rFonts w:ascii="Bookman Old Style" w:hAnsi="Bookman Old Style"/>
                <w:b/>
                <w:sz w:val="22"/>
                <w:szCs w:val="22"/>
              </w:rPr>
            </w:pPr>
            <w:r w:rsidRPr="00FF0696">
              <w:rPr>
                <w:rFonts w:ascii="Bookman Old Style" w:hAnsi="Bookman Old Style" w:cs="Arial"/>
                <w:b/>
                <w:color w:val="000000"/>
                <w:sz w:val="22"/>
                <w:szCs w:val="22"/>
              </w:rPr>
              <w:t>2.201,64</w:t>
            </w:r>
          </w:p>
        </w:tc>
        <w:tc>
          <w:tcPr>
            <w:tcW w:w="909" w:type="pct"/>
            <w:shd w:val="clear" w:color="auto" w:fill="auto"/>
            <w:vAlign w:val="center"/>
          </w:tcPr>
          <w:p w14:paraId="73638020" w14:textId="7026324D"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2.219,10</w:t>
            </w:r>
          </w:p>
        </w:tc>
        <w:tc>
          <w:tcPr>
            <w:tcW w:w="910" w:type="pct"/>
            <w:shd w:val="clear" w:color="auto" w:fill="auto"/>
            <w:vAlign w:val="center"/>
          </w:tcPr>
          <w:p w14:paraId="4B37302E" w14:textId="2735AA87"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2.102,41</w:t>
            </w:r>
          </w:p>
        </w:tc>
      </w:tr>
      <w:tr w:rsidR="00FF0696" w:rsidRPr="003C0CBF" w14:paraId="3BBD61AF" w14:textId="77777777" w:rsidTr="00FF0696">
        <w:trPr>
          <w:trHeight w:val="421"/>
        </w:trPr>
        <w:tc>
          <w:tcPr>
            <w:tcW w:w="1817" w:type="pct"/>
            <w:vAlign w:val="center"/>
          </w:tcPr>
          <w:p w14:paraId="7AEDB869"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0CC88FB4"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053DB41A" w14:textId="65904802"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FF0696">
              <w:rPr>
                <w:rFonts w:ascii="Bookman Old Style" w:hAnsi="Bookman Old Style" w:cs="Arial"/>
                <w:color w:val="000000"/>
                <w:sz w:val="22"/>
                <w:szCs w:val="22"/>
              </w:rPr>
              <w:t>160,97</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B32F667" w14:textId="24088C2B"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FF0696">
              <w:rPr>
                <w:rFonts w:ascii="Bookman Old Style" w:hAnsi="Bookman Old Style" w:cs="Arial"/>
                <w:color w:val="000000"/>
                <w:sz w:val="22"/>
                <w:szCs w:val="22"/>
              </w:rPr>
              <w:t>178,43</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D23A6A8" w14:textId="28D23C01"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FF0696">
              <w:rPr>
                <w:rFonts w:ascii="Bookman Old Style" w:hAnsi="Bookman Old Style" w:cs="Arial"/>
                <w:color w:val="000000"/>
                <w:sz w:val="22"/>
                <w:szCs w:val="22"/>
              </w:rPr>
              <w:t>061,74</w:t>
            </w:r>
          </w:p>
        </w:tc>
      </w:tr>
      <w:tr w:rsidR="00FF0696" w:rsidRPr="003C0CBF" w14:paraId="58FCDC82" w14:textId="77777777" w:rsidTr="00FF0696">
        <w:trPr>
          <w:trHeight w:val="421"/>
        </w:trPr>
        <w:tc>
          <w:tcPr>
            <w:tcW w:w="1817" w:type="pct"/>
            <w:vAlign w:val="center"/>
          </w:tcPr>
          <w:p w14:paraId="6B594A91"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5B8E8E44"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6F4AEA2" w14:textId="7C2657D3"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73DC2DDA" w14:textId="4D150252"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60D7FC74" w14:textId="33EA213D"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r>
    </w:tbl>
    <w:p w14:paraId="77A4566B"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769435FD" w14:textId="1BBEA054"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Elías</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70D084E0" w14:textId="648656DA" w:rsidR="004D7DD3" w:rsidRDefault="004D7DD3" w:rsidP="002A3E31">
      <w:pPr>
        <w:pStyle w:val="Prrafodelista"/>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Íquira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61ABDF62" w14:textId="77777777" w:rsidTr="004D7DD3">
        <w:trPr>
          <w:trHeight w:val="122"/>
          <w:tblHeader/>
        </w:trPr>
        <w:tc>
          <w:tcPr>
            <w:tcW w:w="5000" w:type="pct"/>
            <w:gridSpan w:val="5"/>
            <w:shd w:val="clear" w:color="auto" w:fill="D9D9D9" w:themeFill="background1" w:themeFillShade="D9"/>
            <w:vAlign w:val="center"/>
          </w:tcPr>
          <w:p w14:paraId="0A866A62"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48F79B76" w14:textId="77777777" w:rsidTr="004D7DD3">
        <w:trPr>
          <w:trHeight w:val="119"/>
          <w:tblHeader/>
        </w:trPr>
        <w:tc>
          <w:tcPr>
            <w:tcW w:w="1817" w:type="pct"/>
            <w:shd w:val="clear" w:color="auto" w:fill="D9D9D9" w:themeFill="background1" w:themeFillShade="D9"/>
            <w:vAlign w:val="center"/>
          </w:tcPr>
          <w:p w14:paraId="19A58BC5"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7EEFBDE2"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4E548594"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1B956FFC"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4EF5DBA1"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C27B42" w:rsidRPr="00A566CF" w14:paraId="0DD556D5" w14:textId="77777777" w:rsidTr="00C27B42">
        <w:trPr>
          <w:trHeight w:val="421"/>
        </w:trPr>
        <w:tc>
          <w:tcPr>
            <w:tcW w:w="1817" w:type="pct"/>
            <w:vAlign w:val="center"/>
          </w:tcPr>
          <w:p w14:paraId="5E13CDE4" w14:textId="77777777" w:rsidR="00C27B42" w:rsidRPr="00A566CF" w:rsidRDefault="00C27B42" w:rsidP="00C27B42">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38CE7D5E" w14:textId="77777777" w:rsidR="00C27B42" w:rsidRPr="00A566CF" w:rsidRDefault="00C27B42" w:rsidP="00C27B42">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64AC5B4F" w14:textId="2117AAC6" w:rsidR="00C27B42" w:rsidRPr="00C27B42" w:rsidRDefault="00C27B42" w:rsidP="00C27B42">
            <w:pPr>
              <w:ind w:left="-108"/>
              <w:jc w:val="center"/>
              <w:rPr>
                <w:rFonts w:ascii="Bookman Old Style" w:hAnsi="Bookman Old Style"/>
                <w:b/>
                <w:sz w:val="22"/>
                <w:szCs w:val="22"/>
              </w:rPr>
            </w:pPr>
            <w:r w:rsidRPr="00C27B42">
              <w:rPr>
                <w:rFonts w:ascii="Bookman Old Style" w:hAnsi="Bookman Old Style"/>
                <w:b/>
                <w:sz w:val="22"/>
                <w:szCs w:val="22"/>
              </w:rPr>
              <w:t>1.484,87</w:t>
            </w:r>
          </w:p>
        </w:tc>
        <w:tc>
          <w:tcPr>
            <w:tcW w:w="909" w:type="pct"/>
            <w:shd w:val="clear" w:color="auto" w:fill="auto"/>
            <w:vAlign w:val="center"/>
          </w:tcPr>
          <w:p w14:paraId="4337CF93" w14:textId="23FF2EAB" w:rsidR="00C27B42" w:rsidRPr="00C27B42" w:rsidRDefault="00C27B42" w:rsidP="00C27B42">
            <w:pPr>
              <w:ind w:left="0"/>
              <w:jc w:val="center"/>
              <w:rPr>
                <w:rFonts w:ascii="Bookman Old Style" w:hAnsi="Bookman Old Style"/>
                <w:b/>
                <w:sz w:val="22"/>
                <w:szCs w:val="22"/>
              </w:rPr>
            </w:pPr>
            <w:r w:rsidRPr="00C27B42">
              <w:rPr>
                <w:rFonts w:ascii="Bookman Old Style" w:hAnsi="Bookman Old Style"/>
                <w:b/>
                <w:sz w:val="22"/>
                <w:szCs w:val="22"/>
              </w:rPr>
              <w:t>1.491,55</w:t>
            </w:r>
          </w:p>
        </w:tc>
        <w:tc>
          <w:tcPr>
            <w:tcW w:w="910" w:type="pct"/>
            <w:shd w:val="clear" w:color="auto" w:fill="auto"/>
            <w:vAlign w:val="center"/>
          </w:tcPr>
          <w:p w14:paraId="4F230721" w14:textId="0FAE2D91" w:rsidR="00C27B42" w:rsidRPr="00C27B42" w:rsidRDefault="00C27B42" w:rsidP="00C27B42">
            <w:pPr>
              <w:ind w:left="0"/>
              <w:jc w:val="center"/>
              <w:rPr>
                <w:rFonts w:ascii="Bookman Old Style" w:hAnsi="Bookman Old Style"/>
                <w:b/>
                <w:sz w:val="22"/>
                <w:szCs w:val="22"/>
              </w:rPr>
            </w:pPr>
            <w:r w:rsidRPr="00C27B42">
              <w:rPr>
                <w:rFonts w:ascii="Bookman Old Style" w:hAnsi="Bookman Old Style"/>
                <w:b/>
                <w:sz w:val="22"/>
                <w:szCs w:val="22"/>
              </w:rPr>
              <w:t>1.446,90</w:t>
            </w:r>
          </w:p>
        </w:tc>
      </w:tr>
      <w:tr w:rsidR="00C27B42" w:rsidRPr="003C0CBF" w14:paraId="6858C2F2" w14:textId="77777777" w:rsidTr="00C27B42">
        <w:trPr>
          <w:trHeight w:val="421"/>
        </w:trPr>
        <w:tc>
          <w:tcPr>
            <w:tcW w:w="1817" w:type="pct"/>
            <w:vAlign w:val="center"/>
          </w:tcPr>
          <w:p w14:paraId="4C70D4B0" w14:textId="77777777" w:rsidR="00C27B42" w:rsidRPr="00A566CF" w:rsidRDefault="00C27B42" w:rsidP="00C27B42">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1F9C3D54" w14:textId="77777777" w:rsidR="00C27B42" w:rsidRPr="00A566CF" w:rsidRDefault="00C27B42" w:rsidP="00C27B42">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47E98DBE" w14:textId="35CCB201" w:rsidR="00C27B42" w:rsidRPr="00084172" w:rsidRDefault="00C27B42" w:rsidP="00C27B42">
            <w:pPr>
              <w:ind w:left="-108"/>
              <w:jc w:val="center"/>
              <w:rPr>
                <w:rFonts w:ascii="Bookman Old Style" w:hAnsi="Bookman Old Style"/>
                <w:sz w:val="22"/>
                <w:szCs w:val="22"/>
              </w:rPr>
            </w:pPr>
            <w:r w:rsidRPr="00C27B42">
              <w:rPr>
                <w:rFonts w:ascii="Bookman Old Style" w:hAnsi="Bookman Old Style"/>
                <w:sz w:val="22"/>
                <w:szCs w:val="22"/>
              </w:rPr>
              <w:t>444,20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5EF7DC6" w14:textId="08D5A1D0" w:rsidR="00C27B42" w:rsidRPr="00084172" w:rsidRDefault="00C27B42" w:rsidP="00C27B42">
            <w:pPr>
              <w:ind w:left="0"/>
              <w:jc w:val="center"/>
              <w:rPr>
                <w:rFonts w:ascii="Bookman Old Style" w:hAnsi="Bookman Old Style"/>
                <w:sz w:val="22"/>
                <w:szCs w:val="22"/>
              </w:rPr>
            </w:pPr>
            <w:r w:rsidRPr="00C27B42">
              <w:rPr>
                <w:rFonts w:ascii="Bookman Old Style" w:hAnsi="Bookman Old Style"/>
                <w:sz w:val="22"/>
                <w:szCs w:val="22"/>
              </w:rPr>
              <w:t>450,88</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2FB90746" w14:textId="06AD6D0D" w:rsidR="00C27B42" w:rsidRPr="00084172" w:rsidRDefault="00C27B42" w:rsidP="00C27B42">
            <w:pPr>
              <w:ind w:left="0"/>
              <w:jc w:val="center"/>
              <w:rPr>
                <w:rFonts w:ascii="Bookman Old Style" w:hAnsi="Bookman Old Style"/>
                <w:sz w:val="22"/>
                <w:szCs w:val="22"/>
              </w:rPr>
            </w:pPr>
            <w:r w:rsidRPr="00C27B42">
              <w:rPr>
                <w:rFonts w:ascii="Bookman Old Style" w:hAnsi="Bookman Old Style"/>
                <w:sz w:val="22"/>
                <w:szCs w:val="22"/>
              </w:rPr>
              <w:t>406,23</w:t>
            </w:r>
          </w:p>
        </w:tc>
      </w:tr>
      <w:tr w:rsidR="004D7DD3" w:rsidRPr="003C0CBF" w14:paraId="02DD4435" w14:textId="77777777" w:rsidTr="004D7DD3">
        <w:trPr>
          <w:trHeight w:val="421"/>
        </w:trPr>
        <w:tc>
          <w:tcPr>
            <w:tcW w:w="1817" w:type="pct"/>
            <w:vAlign w:val="center"/>
          </w:tcPr>
          <w:p w14:paraId="303BB8CC" w14:textId="77777777" w:rsidR="004D7DD3" w:rsidRPr="00A566CF" w:rsidRDefault="004D7DD3" w:rsidP="004D7DD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7E2D3FC0" w14:textId="77777777" w:rsidR="004D7DD3" w:rsidRPr="00A566CF" w:rsidRDefault="004D7DD3" w:rsidP="004D7DD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8F39A31" w14:textId="77777777" w:rsidR="004D7DD3" w:rsidRPr="00084172" w:rsidRDefault="004D7DD3" w:rsidP="004D7DD3">
            <w:pPr>
              <w:ind w:left="-108"/>
              <w:jc w:val="center"/>
              <w:rPr>
                <w:rFonts w:ascii="Bookman Old Style" w:hAnsi="Bookman Old Style"/>
                <w:sz w:val="22"/>
                <w:szCs w:val="22"/>
              </w:rPr>
            </w:pPr>
            <w:r>
              <w:rPr>
                <w:rFonts w:ascii="Bookman Old Style" w:hAnsi="Bookman Old Style"/>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246F23F1"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56C29BBB"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r>
    </w:tbl>
    <w:p w14:paraId="7D8E4E9C"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576AC111" w14:textId="646F0434"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Íquira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1201332F" w14:textId="77777777" w:rsidR="009F0B74" w:rsidRPr="0032727B" w:rsidRDefault="009F0B74" w:rsidP="004D7DD3">
      <w:pPr>
        <w:widowControl w:val="0"/>
        <w:adjustRightInd w:val="0"/>
        <w:spacing w:before="240" w:after="240"/>
        <w:ind w:left="0" w:right="23"/>
        <w:jc w:val="both"/>
        <w:rPr>
          <w:rFonts w:ascii="Bookman Old Style" w:hAnsi="Bookman Old Style" w:cs="Arial"/>
          <w:sz w:val="14"/>
          <w:szCs w:val="18"/>
          <w:lang w:val="x-none" w:eastAsia="x-none"/>
        </w:rPr>
      </w:pPr>
    </w:p>
    <w:p w14:paraId="58588FD2" w14:textId="45016ABC" w:rsidR="004D7DD3" w:rsidRPr="004D7DD3" w:rsidRDefault="004D7DD3"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Isnos</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027226A0" w14:textId="77777777" w:rsidTr="004D7DD3">
        <w:trPr>
          <w:trHeight w:val="122"/>
          <w:tblHeader/>
        </w:trPr>
        <w:tc>
          <w:tcPr>
            <w:tcW w:w="5000" w:type="pct"/>
            <w:gridSpan w:val="5"/>
            <w:shd w:val="clear" w:color="auto" w:fill="D9D9D9" w:themeFill="background1" w:themeFillShade="D9"/>
            <w:vAlign w:val="center"/>
          </w:tcPr>
          <w:p w14:paraId="58925FCD"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62A86914" w14:textId="77777777" w:rsidTr="004D7DD3">
        <w:trPr>
          <w:trHeight w:val="119"/>
          <w:tblHeader/>
        </w:trPr>
        <w:tc>
          <w:tcPr>
            <w:tcW w:w="1817" w:type="pct"/>
            <w:shd w:val="clear" w:color="auto" w:fill="D9D9D9" w:themeFill="background1" w:themeFillShade="D9"/>
            <w:vAlign w:val="center"/>
          </w:tcPr>
          <w:p w14:paraId="704071DC"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735CE56E"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4DDA9C14"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56A2937D"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360115A7"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4D3155AE" w14:textId="77777777" w:rsidTr="00FF0696">
        <w:trPr>
          <w:trHeight w:val="421"/>
        </w:trPr>
        <w:tc>
          <w:tcPr>
            <w:tcW w:w="1817" w:type="pct"/>
            <w:vAlign w:val="center"/>
          </w:tcPr>
          <w:p w14:paraId="71D4140E"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0125D96"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0B9D311E" w14:textId="33C249BF" w:rsidR="00FF0696" w:rsidRPr="00FF0696" w:rsidRDefault="00FF0696" w:rsidP="00FF0696">
            <w:pPr>
              <w:ind w:left="-108"/>
              <w:jc w:val="center"/>
              <w:rPr>
                <w:rFonts w:ascii="Bookman Old Style" w:hAnsi="Bookman Old Style"/>
                <w:b/>
                <w:sz w:val="22"/>
                <w:szCs w:val="22"/>
              </w:rPr>
            </w:pPr>
            <w:r w:rsidRPr="00FF0696">
              <w:rPr>
                <w:rFonts w:ascii="Bookman Old Style" w:hAnsi="Bookman Old Style" w:cs="Arial"/>
                <w:b/>
                <w:color w:val="000000"/>
                <w:sz w:val="22"/>
                <w:szCs w:val="22"/>
              </w:rPr>
              <w:t>1.690,49</w:t>
            </w:r>
          </w:p>
        </w:tc>
        <w:tc>
          <w:tcPr>
            <w:tcW w:w="909" w:type="pct"/>
            <w:shd w:val="clear" w:color="auto" w:fill="auto"/>
            <w:vAlign w:val="center"/>
          </w:tcPr>
          <w:p w14:paraId="2871F57C" w14:textId="29146532"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1.690,49</w:t>
            </w:r>
          </w:p>
        </w:tc>
        <w:tc>
          <w:tcPr>
            <w:tcW w:w="910" w:type="pct"/>
            <w:shd w:val="clear" w:color="auto" w:fill="auto"/>
            <w:vAlign w:val="center"/>
          </w:tcPr>
          <w:p w14:paraId="36E3689E" w14:textId="1EE79620"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1.690,49</w:t>
            </w:r>
          </w:p>
        </w:tc>
      </w:tr>
      <w:tr w:rsidR="00FF0696" w:rsidRPr="003C0CBF" w14:paraId="68FB32C3" w14:textId="77777777" w:rsidTr="00FF0696">
        <w:trPr>
          <w:trHeight w:val="421"/>
        </w:trPr>
        <w:tc>
          <w:tcPr>
            <w:tcW w:w="1817" w:type="pct"/>
            <w:vAlign w:val="center"/>
          </w:tcPr>
          <w:p w14:paraId="78B0DDB5"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34365F5E"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24F5614E" w14:textId="359B6949"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color w:val="000000"/>
                <w:sz w:val="22"/>
                <w:szCs w:val="22"/>
              </w:rPr>
              <w:t>649,82</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4A2C41A" w14:textId="220F5315"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649,82</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234A0053" w14:textId="496E2E68"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649,82</w:t>
            </w:r>
          </w:p>
        </w:tc>
      </w:tr>
      <w:tr w:rsidR="00FF0696" w:rsidRPr="003C0CBF" w14:paraId="6650F22B" w14:textId="77777777" w:rsidTr="00FF0696">
        <w:trPr>
          <w:trHeight w:val="421"/>
        </w:trPr>
        <w:tc>
          <w:tcPr>
            <w:tcW w:w="1817" w:type="pct"/>
            <w:vAlign w:val="center"/>
          </w:tcPr>
          <w:p w14:paraId="07D74F0A"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69FFF132"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AD4FEB5" w14:textId="7DC45DEE"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783C1CAC" w14:textId="51280405"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3524F828" w14:textId="33FAAE65"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r>
    </w:tbl>
    <w:p w14:paraId="4A673B14"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755257D6" w14:textId="5C75F903"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Isnos</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04988B05" w14:textId="7CE77FC4" w:rsidR="004D7DD3" w:rsidRDefault="004D7DD3" w:rsidP="002A3E31">
      <w:pPr>
        <w:pStyle w:val="Prrafodelista"/>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La Argentina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5F4E2373" w14:textId="77777777" w:rsidTr="004D7DD3">
        <w:trPr>
          <w:trHeight w:val="122"/>
          <w:tblHeader/>
        </w:trPr>
        <w:tc>
          <w:tcPr>
            <w:tcW w:w="5000" w:type="pct"/>
            <w:gridSpan w:val="5"/>
            <w:shd w:val="clear" w:color="auto" w:fill="D9D9D9" w:themeFill="background1" w:themeFillShade="D9"/>
            <w:vAlign w:val="center"/>
          </w:tcPr>
          <w:p w14:paraId="6B19FEBA"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798053CA" w14:textId="77777777" w:rsidTr="004D7DD3">
        <w:trPr>
          <w:trHeight w:val="119"/>
          <w:tblHeader/>
        </w:trPr>
        <w:tc>
          <w:tcPr>
            <w:tcW w:w="1817" w:type="pct"/>
            <w:shd w:val="clear" w:color="auto" w:fill="D9D9D9" w:themeFill="background1" w:themeFillShade="D9"/>
            <w:vAlign w:val="center"/>
          </w:tcPr>
          <w:p w14:paraId="53B2D29C"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0E4690BA"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442AF22E"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3E99BAE8"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2AA43B36"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767280EF" w14:textId="77777777" w:rsidTr="00FF0696">
        <w:trPr>
          <w:trHeight w:val="421"/>
        </w:trPr>
        <w:tc>
          <w:tcPr>
            <w:tcW w:w="1817" w:type="pct"/>
            <w:vAlign w:val="center"/>
          </w:tcPr>
          <w:p w14:paraId="4B1B7008"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6A5C249"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501B737D" w14:textId="26E6014E" w:rsidR="00FF0696" w:rsidRPr="00FF0696" w:rsidRDefault="00FF0696" w:rsidP="00FF0696">
            <w:pPr>
              <w:ind w:left="-108"/>
              <w:jc w:val="center"/>
              <w:rPr>
                <w:rFonts w:ascii="Bookman Old Style" w:hAnsi="Bookman Old Style"/>
                <w:b/>
                <w:sz w:val="22"/>
                <w:szCs w:val="22"/>
              </w:rPr>
            </w:pPr>
            <w:r w:rsidRPr="00FF0696">
              <w:rPr>
                <w:rFonts w:ascii="Bookman Old Style" w:hAnsi="Bookman Old Style" w:cs="Arial"/>
                <w:b/>
                <w:color w:val="000000"/>
                <w:sz w:val="22"/>
                <w:szCs w:val="22"/>
              </w:rPr>
              <w:t>1.657,58</w:t>
            </w:r>
          </w:p>
        </w:tc>
        <w:tc>
          <w:tcPr>
            <w:tcW w:w="909" w:type="pct"/>
            <w:shd w:val="clear" w:color="auto" w:fill="auto"/>
            <w:vAlign w:val="center"/>
          </w:tcPr>
          <w:p w14:paraId="482A5DBF" w14:textId="2E4F2C39"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1.657,58</w:t>
            </w:r>
          </w:p>
        </w:tc>
        <w:tc>
          <w:tcPr>
            <w:tcW w:w="910" w:type="pct"/>
            <w:shd w:val="clear" w:color="auto" w:fill="auto"/>
            <w:vAlign w:val="center"/>
          </w:tcPr>
          <w:p w14:paraId="1C5B5256" w14:textId="3E3A3C83"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1.657,58</w:t>
            </w:r>
          </w:p>
        </w:tc>
      </w:tr>
      <w:tr w:rsidR="00FF0696" w:rsidRPr="003C0CBF" w14:paraId="4806BCA1" w14:textId="77777777" w:rsidTr="00FF0696">
        <w:trPr>
          <w:trHeight w:val="421"/>
        </w:trPr>
        <w:tc>
          <w:tcPr>
            <w:tcW w:w="1817" w:type="pct"/>
            <w:vAlign w:val="center"/>
          </w:tcPr>
          <w:p w14:paraId="21C94CE8"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42983254"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63CF9662" w14:textId="6548431B"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color w:val="000000"/>
                <w:sz w:val="22"/>
                <w:szCs w:val="22"/>
              </w:rPr>
              <w:t>616,91</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DC90D96" w14:textId="52713053"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616,91</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51B011F" w14:textId="4FEBB26B"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616,91</w:t>
            </w:r>
          </w:p>
        </w:tc>
      </w:tr>
      <w:tr w:rsidR="00FF0696" w:rsidRPr="003C0CBF" w14:paraId="6ACA65E9" w14:textId="77777777" w:rsidTr="00FF0696">
        <w:trPr>
          <w:trHeight w:val="421"/>
        </w:trPr>
        <w:tc>
          <w:tcPr>
            <w:tcW w:w="1817" w:type="pct"/>
            <w:vAlign w:val="center"/>
          </w:tcPr>
          <w:p w14:paraId="457F596F"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4196D536"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27E42F2" w14:textId="4FFB44A8"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50DB1EF2" w14:textId="28C8D2E1"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013F0C60" w14:textId="5AAF556B"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r>
    </w:tbl>
    <w:p w14:paraId="71B48DD5" w14:textId="4EEF76D0" w:rsidR="004D7DD3" w:rsidRDefault="004D7DD3" w:rsidP="009F0B74">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53ADD65D" w14:textId="77777777" w:rsidR="009F0B74" w:rsidRPr="009F0B74" w:rsidRDefault="009F0B74" w:rsidP="009F0B74">
      <w:pPr>
        <w:widowControl w:val="0"/>
        <w:adjustRightInd w:val="0"/>
        <w:ind w:left="0" w:right="23"/>
        <w:jc w:val="both"/>
        <w:rPr>
          <w:rFonts w:ascii="Bookman Old Style" w:hAnsi="Bookman Old Style" w:cs="Arial"/>
          <w:sz w:val="20"/>
          <w:lang w:val="x-none" w:eastAsia="x-none"/>
        </w:rPr>
      </w:pPr>
    </w:p>
    <w:p w14:paraId="36B2293A" w14:textId="58F83CF7"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La Argentina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4647BE2D" w14:textId="29CD2ECF" w:rsidR="009F0B74" w:rsidRDefault="009F0B74" w:rsidP="004D7DD3">
      <w:pPr>
        <w:widowControl w:val="0"/>
        <w:adjustRightInd w:val="0"/>
        <w:spacing w:before="240" w:after="240"/>
        <w:ind w:left="0" w:right="23"/>
        <w:jc w:val="both"/>
        <w:rPr>
          <w:rFonts w:ascii="Bookman Old Style" w:hAnsi="Bookman Old Style" w:cs="Arial"/>
          <w:szCs w:val="18"/>
          <w:lang w:val="x-none" w:eastAsia="x-none"/>
        </w:rPr>
      </w:pPr>
    </w:p>
    <w:p w14:paraId="3F897AF7" w14:textId="77777777" w:rsidR="009F0B74" w:rsidRDefault="009F0B74" w:rsidP="009F0B74">
      <w:pPr>
        <w:widowControl w:val="0"/>
        <w:adjustRightInd w:val="0"/>
        <w:ind w:left="0" w:right="23"/>
        <w:jc w:val="both"/>
        <w:rPr>
          <w:rFonts w:ascii="Bookman Old Style" w:hAnsi="Bookman Old Style" w:cs="Arial"/>
          <w:szCs w:val="18"/>
          <w:lang w:val="x-none" w:eastAsia="x-none"/>
        </w:rPr>
      </w:pPr>
    </w:p>
    <w:p w14:paraId="14161177" w14:textId="6CFB81B8" w:rsidR="004D7DD3" w:rsidRPr="004D7DD3" w:rsidRDefault="004D7DD3"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lastRenderedPageBreak/>
        <w:t xml:space="preserve">Para el municipio de </w:t>
      </w:r>
      <w:r>
        <w:rPr>
          <w:rFonts w:ascii="Bookman Old Style" w:hAnsi="Bookman Old Style" w:cs="Arial"/>
          <w:sz w:val="24"/>
          <w:szCs w:val="24"/>
        </w:rPr>
        <w:t>Oporapa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3B52BDCF" w14:textId="77777777" w:rsidTr="004D7DD3">
        <w:trPr>
          <w:trHeight w:val="122"/>
          <w:tblHeader/>
        </w:trPr>
        <w:tc>
          <w:tcPr>
            <w:tcW w:w="5000" w:type="pct"/>
            <w:gridSpan w:val="5"/>
            <w:shd w:val="clear" w:color="auto" w:fill="D9D9D9" w:themeFill="background1" w:themeFillShade="D9"/>
            <w:vAlign w:val="center"/>
          </w:tcPr>
          <w:p w14:paraId="2DA8AF1D"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32F67F06" w14:textId="77777777" w:rsidTr="004D7DD3">
        <w:trPr>
          <w:trHeight w:val="119"/>
          <w:tblHeader/>
        </w:trPr>
        <w:tc>
          <w:tcPr>
            <w:tcW w:w="1817" w:type="pct"/>
            <w:shd w:val="clear" w:color="auto" w:fill="D9D9D9" w:themeFill="background1" w:themeFillShade="D9"/>
            <w:vAlign w:val="center"/>
          </w:tcPr>
          <w:p w14:paraId="7048729B"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26619E4B"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0A027200"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1ADC19CF"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08D6C955"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66FA420E" w14:textId="77777777" w:rsidTr="00FF0696">
        <w:trPr>
          <w:trHeight w:val="421"/>
        </w:trPr>
        <w:tc>
          <w:tcPr>
            <w:tcW w:w="1817" w:type="pct"/>
            <w:vAlign w:val="center"/>
          </w:tcPr>
          <w:p w14:paraId="3573C50C"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355B3C38"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0822088A" w14:textId="4ADF9384" w:rsidR="00FF0696" w:rsidRPr="00B82420" w:rsidRDefault="00FF0696" w:rsidP="00FF0696">
            <w:pPr>
              <w:ind w:left="-108"/>
              <w:jc w:val="center"/>
              <w:rPr>
                <w:rFonts w:ascii="Bookman Old Style" w:hAnsi="Bookman Old Style"/>
                <w:b/>
                <w:sz w:val="22"/>
                <w:szCs w:val="22"/>
              </w:rPr>
            </w:pPr>
            <w:r w:rsidRPr="00B82420">
              <w:rPr>
                <w:rFonts w:ascii="Bookman Old Style" w:hAnsi="Bookman Old Style" w:cs="Arial"/>
                <w:b/>
                <w:color w:val="000000"/>
                <w:sz w:val="22"/>
                <w:szCs w:val="22"/>
              </w:rPr>
              <w:t>2.175,86</w:t>
            </w:r>
          </w:p>
        </w:tc>
        <w:tc>
          <w:tcPr>
            <w:tcW w:w="909" w:type="pct"/>
            <w:shd w:val="clear" w:color="auto" w:fill="auto"/>
            <w:vAlign w:val="center"/>
          </w:tcPr>
          <w:p w14:paraId="1CAE4198" w14:textId="538D0A76" w:rsidR="00FF0696" w:rsidRPr="00B82420" w:rsidRDefault="00FF0696" w:rsidP="00FF0696">
            <w:pPr>
              <w:ind w:left="0"/>
              <w:jc w:val="center"/>
              <w:rPr>
                <w:rFonts w:ascii="Bookman Old Style" w:hAnsi="Bookman Old Style"/>
                <w:b/>
                <w:sz w:val="22"/>
                <w:szCs w:val="22"/>
              </w:rPr>
            </w:pPr>
            <w:r w:rsidRPr="00B82420">
              <w:rPr>
                <w:rFonts w:ascii="Bookman Old Style" w:hAnsi="Bookman Old Style" w:cs="Arial"/>
                <w:b/>
                <w:color w:val="000000"/>
                <w:sz w:val="22"/>
                <w:szCs w:val="22"/>
              </w:rPr>
              <w:t>2.192,93</w:t>
            </w:r>
          </w:p>
        </w:tc>
        <w:tc>
          <w:tcPr>
            <w:tcW w:w="910" w:type="pct"/>
            <w:shd w:val="clear" w:color="auto" w:fill="auto"/>
            <w:vAlign w:val="center"/>
          </w:tcPr>
          <w:p w14:paraId="6417252E" w14:textId="2E96A787" w:rsidR="00FF0696" w:rsidRPr="00B82420" w:rsidRDefault="00FF0696" w:rsidP="00FF0696">
            <w:pPr>
              <w:ind w:left="0"/>
              <w:jc w:val="center"/>
              <w:rPr>
                <w:rFonts w:ascii="Bookman Old Style" w:hAnsi="Bookman Old Style"/>
                <w:b/>
                <w:sz w:val="22"/>
                <w:szCs w:val="22"/>
              </w:rPr>
            </w:pPr>
            <w:r w:rsidRPr="00B82420">
              <w:rPr>
                <w:rFonts w:ascii="Bookman Old Style" w:hAnsi="Bookman Old Style" w:cs="Arial"/>
                <w:b/>
                <w:color w:val="000000"/>
                <w:sz w:val="22"/>
                <w:szCs w:val="22"/>
              </w:rPr>
              <w:t>2.078,82</w:t>
            </w:r>
          </w:p>
        </w:tc>
      </w:tr>
      <w:tr w:rsidR="00FF0696" w:rsidRPr="003C0CBF" w14:paraId="522AA32A" w14:textId="77777777" w:rsidTr="00FF0696">
        <w:trPr>
          <w:trHeight w:val="421"/>
        </w:trPr>
        <w:tc>
          <w:tcPr>
            <w:tcW w:w="1817" w:type="pct"/>
            <w:vAlign w:val="center"/>
          </w:tcPr>
          <w:p w14:paraId="29C505F4"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06822694"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4A0EB370" w14:textId="7205A53A" w:rsidR="00FF0696" w:rsidRPr="00B82420" w:rsidRDefault="00FF0696" w:rsidP="00FF0696">
            <w:pPr>
              <w:ind w:left="-108"/>
              <w:jc w:val="center"/>
              <w:rPr>
                <w:rFonts w:ascii="Bookman Old Style" w:hAnsi="Bookman Old Style"/>
                <w:sz w:val="22"/>
                <w:szCs w:val="22"/>
              </w:rPr>
            </w:pPr>
            <w:r w:rsidRPr="00B82420">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B82420">
              <w:rPr>
                <w:rFonts w:ascii="Bookman Old Style" w:hAnsi="Bookman Old Style" w:cs="Arial"/>
                <w:color w:val="000000"/>
                <w:sz w:val="22"/>
                <w:szCs w:val="22"/>
              </w:rPr>
              <w:t>135,19</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106A7F4" w14:textId="26CB69BF" w:rsidR="00FF0696" w:rsidRPr="00B82420" w:rsidRDefault="00FF0696" w:rsidP="00FF0696">
            <w:pPr>
              <w:ind w:left="0"/>
              <w:jc w:val="center"/>
              <w:rPr>
                <w:rFonts w:ascii="Bookman Old Style" w:hAnsi="Bookman Old Style"/>
                <w:sz w:val="22"/>
                <w:szCs w:val="22"/>
              </w:rPr>
            </w:pPr>
            <w:r w:rsidRPr="00B82420">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B82420">
              <w:rPr>
                <w:rFonts w:ascii="Bookman Old Style" w:hAnsi="Bookman Old Style" w:cs="Arial"/>
                <w:color w:val="000000"/>
                <w:sz w:val="22"/>
                <w:szCs w:val="22"/>
              </w:rPr>
              <w:t>152,26</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766146E" w14:textId="5DDE296E" w:rsidR="00FF0696" w:rsidRPr="00B82420" w:rsidRDefault="00FF0696" w:rsidP="00FF0696">
            <w:pPr>
              <w:ind w:left="0"/>
              <w:jc w:val="center"/>
              <w:rPr>
                <w:rFonts w:ascii="Bookman Old Style" w:hAnsi="Bookman Old Style"/>
                <w:sz w:val="22"/>
                <w:szCs w:val="22"/>
              </w:rPr>
            </w:pPr>
            <w:r w:rsidRPr="00B82420">
              <w:rPr>
                <w:rFonts w:ascii="Bookman Old Style" w:hAnsi="Bookman Old Style" w:cs="Arial"/>
                <w:color w:val="000000"/>
                <w:sz w:val="22"/>
                <w:szCs w:val="22"/>
              </w:rPr>
              <w:t>1</w:t>
            </w:r>
            <w:r w:rsidR="00525C53">
              <w:rPr>
                <w:rFonts w:ascii="Bookman Old Style" w:hAnsi="Bookman Old Style" w:cs="Arial"/>
                <w:color w:val="000000"/>
                <w:sz w:val="22"/>
                <w:szCs w:val="22"/>
              </w:rPr>
              <w:t>.</w:t>
            </w:r>
            <w:r w:rsidRPr="00B82420">
              <w:rPr>
                <w:rFonts w:ascii="Bookman Old Style" w:hAnsi="Bookman Old Style" w:cs="Arial"/>
                <w:color w:val="000000"/>
                <w:sz w:val="22"/>
                <w:szCs w:val="22"/>
              </w:rPr>
              <w:t>038,15</w:t>
            </w:r>
          </w:p>
        </w:tc>
      </w:tr>
      <w:tr w:rsidR="00FF0696" w:rsidRPr="003C0CBF" w14:paraId="2B9570A6" w14:textId="77777777" w:rsidTr="00FF0696">
        <w:trPr>
          <w:trHeight w:val="421"/>
        </w:trPr>
        <w:tc>
          <w:tcPr>
            <w:tcW w:w="1817" w:type="pct"/>
            <w:vAlign w:val="center"/>
          </w:tcPr>
          <w:p w14:paraId="48C26EFB"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66285C29"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5648DF3" w14:textId="3A0E22CB" w:rsidR="00FF0696" w:rsidRPr="00B82420" w:rsidRDefault="00FF0696" w:rsidP="00FF0696">
            <w:pPr>
              <w:ind w:left="-108"/>
              <w:jc w:val="center"/>
              <w:rPr>
                <w:rFonts w:ascii="Bookman Old Style" w:hAnsi="Bookman Old Style"/>
                <w:sz w:val="22"/>
                <w:szCs w:val="22"/>
              </w:rPr>
            </w:pPr>
            <w:r w:rsidRPr="00B82420">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6DA6832F" w14:textId="478E57B3" w:rsidR="00FF0696" w:rsidRPr="00B82420" w:rsidRDefault="00FF0696" w:rsidP="00FF0696">
            <w:pPr>
              <w:ind w:left="0"/>
              <w:jc w:val="center"/>
              <w:rPr>
                <w:rFonts w:ascii="Bookman Old Style" w:hAnsi="Bookman Old Style"/>
                <w:sz w:val="22"/>
                <w:szCs w:val="22"/>
              </w:rPr>
            </w:pPr>
            <w:r w:rsidRPr="00B82420">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28038F19" w14:textId="0A8FDC27" w:rsidR="00FF0696" w:rsidRPr="00B82420" w:rsidRDefault="00FF0696" w:rsidP="00FF0696">
            <w:pPr>
              <w:ind w:left="0"/>
              <w:jc w:val="center"/>
              <w:rPr>
                <w:rFonts w:ascii="Bookman Old Style" w:hAnsi="Bookman Old Style"/>
                <w:sz w:val="22"/>
                <w:szCs w:val="22"/>
              </w:rPr>
            </w:pPr>
            <w:r w:rsidRPr="00B82420">
              <w:rPr>
                <w:rFonts w:ascii="Bookman Old Style" w:hAnsi="Bookman Old Style" w:cs="Arial"/>
                <w:sz w:val="22"/>
                <w:szCs w:val="22"/>
              </w:rPr>
              <w:t>1.040,67</w:t>
            </w:r>
          </w:p>
        </w:tc>
      </w:tr>
    </w:tbl>
    <w:p w14:paraId="1F0F5D7C"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2B8214F9" w14:textId="1BEA0AD5"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Oporapa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1CA84AAB" w14:textId="7735CEF7" w:rsidR="004D7DD3" w:rsidRPr="004D7DD3" w:rsidRDefault="004D7DD3" w:rsidP="002A3E31">
      <w:pPr>
        <w:pStyle w:val="Prrafodelista"/>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Palestina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212DF1D4" w14:textId="77777777" w:rsidTr="004D7DD3">
        <w:trPr>
          <w:trHeight w:val="122"/>
          <w:tblHeader/>
        </w:trPr>
        <w:tc>
          <w:tcPr>
            <w:tcW w:w="5000" w:type="pct"/>
            <w:gridSpan w:val="5"/>
            <w:shd w:val="clear" w:color="auto" w:fill="D9D9D9" w:themeFill="background1" w:themeFillShade="D9"/>
            <w:vAlign w:val="center"/>
          </w:tcPr>
          <w:p w14:paraId="7F45507E"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7F0F4BFF" w14:textId="77777777" w:rsidTr="004D7DD3">
        <w:trPr>
          <w:trHeight w:val="119"/>
          <w:tblHeader/>
        </w:trPr>
        <w:tc>
          <w:tcPr>
            <w:tcW w:w="1817" w:type="pct"/>
            <w:shd w:val="clear" w:color="auto" w:fill="D9D9D9" w:themeFill="background1" w:themeFillShade="D9"/>
            <w:vAlign w:val="center"/>
          </w:tcPr>
          <w:p w14:paraId="7AA315D3"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5D892840"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71DA0EF7"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557D1343"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3A58E328"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1E0426" w:rsidRPr="00A566CF" w14:paraId="592508F1" w14:textId="77777777" w:rsidTr="001E0426">
        <w:trPr>
          <w:trHeight w:val="421"/>
        </w:trPr>
        <w:tc>
          <w:tcPr>
            <w:tcW w:w="1817" w:type="pct"/>
            <w:vAlign w:val="center"/>
          </w:tcPr>
          <w:p w14:paraId="08E36702" w14:textId="77777777" w:rsidR="001E0426" w:rsidRPr="00A566CF" w:rsidRDefault="001E0426" w:rsidP="001E042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16F36476" w14:textId="77777777" w:rsidR="001E0426" w:rsidRPr="00A566CF" w:rsidRDefault="001E0426" w:rsidP="001E042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1261C734" w14:textId="742E49BB" w:rsidR="001E0426" w:rsidRPr="001E0426" w:rsidRDefault="001E0426" w:rsidP="001E0426">
            <w:pPr>
              <w:ind w:left="-108"/>
              <w:jc w:val="center"/>
              <w:rPr>
                <w:rFonts w:ascii="Bookman Old Style" w:hAnsi="Bookman Old Style"/>
                <w:b/>
                <w:sz w:val="22"/>
                <w:szCs w:val="22"/>
              </w:rPr>
            </w:pPr>
            <w:r w:rsidRPr="001E0426">
              <w:rPr>
                <w:rFonts w:ascii="Bookman Old Style" w:hAnsi="Bookman Old Style"/>
                <w:b/>
                <w:sz w:val="22"/>
                <w:szCs w:val="22"/>
              </w:rPr>
              <w:t>1.774,08</w:t>
            </w:r>
          </w:p>
        </w:tc>
        <w:tc>
          <w:tcPr>
            <w:tcW w:w="909" w:type="pct"/>
            <w:shd w:val="clear" w:color="auto" w:fill="auto"/>
            <w:vAlign w:val="center"/>
          </w:tcPr>
          <w:p w14:paraId="4C23E28B" w14:textId="2ECF8AC3" w:rsidR="001E0426" w:rsidRPr="001E0426" w:rsidRDefault="001E0426" w:rsidP="001E0426">
            <w:pPr>
              <w:ind w:left="0"/>
              <w:jc w:val="center"/>
              <w:rPr>
                <w:rFonts w:ascii="Bookman Old Style" w:hAnsi="Bookman Old Style"/>
                <w:b/>
                <w:sz w:val="22"/>
                <w:szCs w:val="22"/>
              </w:rPr>
            </w:pPr>
            <w:r w:rsidRPr="001E0426">
              <w:rPr>
                <w:rFonts w:ascii="Bookman Old Style" w:hAnsi="Bookman Old Style"/>
                <w:b/>
                <w:sz w:val="22"/>
                <w:szCs w:val="22"/>
              </w:rPr>
              <w:t>1.785,12</w:t>
            </w:r>
          </w:p>
        </w:tc>
        <w:tc>
          <w:tcPr>
            <w:tcW w:w="910" w:type="pct"/>
            <w:shd w:val="clear" w:color="auto" w:fill="auto"/>
            <w:vAlign w:val="center"/>
          </w:tcPr>
          <w:p w14:paraId="17B6C15F" w14:textId="6B0B302E" w:rsidR="001E0426" w:rsidRPr="001E0426" w:rsidRDefault="001E0426" w:rsidP="001E0426">
            <w:pPr>
              <w:ind w:left="0"/>
              <w:jc w:val="center"/>
              <w:rPr>
                <w:rFonts w:ascii="Bookman Old Style" w:hAnsi="Bookman Old Style"/>
                <w:b/>
                <w:sz w:val="22"/>
                <w:szCs w:val="22"/>
              </w:rPr>
            </w:pPr>
            <w:r w:rsidRPr="001E0426">
              <w:rPr>
                <w:rFonts w:ascii="Bookman Old Style" w:hAnsi="Bookman Old Style"/>
                <w:b/>
                <w:sz w:val="22"/>
                <w:szCs w:val="22"/>
              </w:rPr>
              <w:t>1.711,39</w:t>
            </w:r>
          </w:p>
        </w:tc>
      </w:tr>
      <w:tr w:rsidR="001E0426" w:rsidRPr="003C0CBF" w14:paraId="635BA4D0" w14:textId="77777777" w:rsidTr="001E0426">
        <w:trPr>
          <w:trHeight w:val="421"/>
        </w:trPr>
        <w:tc>
          <w:tcPr>
            <w:tcW w:w="1817" w:type="pct"/>
            <w:vAlign w:val="center"/>
          </w:tcPr>
          <w:p w14:paraId="7CD4DE90" w14:textId="77777777" w:rsidR="001E0426" w:rsidRPr="00A566CF" w:rsidRDefault="001E0426" w:rsidP="001E042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0D6B326D" w14:textId="77777777" w:rsidR="001E0426" w:rsidRPr="00A566CF" w:rsidRDefault="001E0426" w:rsidP="001E042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647A39AA" w14:textId="464159C9" w:rsidR="001E0426" w:rsidRPr="00084172" w:rsidRDefault="001E0426" w:rsidP="001E0426">
            <w:pPr>
              <w:ind w:left="-108"/>
              <w:jc w:val="center"/>
              <w:rPr>
                <w:rFonts w:ascii="Bookman Old Style" w:hAnsi="Bookman Old Style"/>
                <w:sz w:val="22"/>
                <w:szCs w:val="22"/>
              </w:rPr>
            </w:pPr>
            <w:r w:rsidRPr="001E0426">
              <w:rPr>
                <w:rFonts w:ascii="Bookman Old Style" w:hAnsi="Bookman Old Style"/>
                <w:sz w:val="22"/>
                <w:szCs w:val="22"/>
              </w:rPr>
              <w:t>733,41</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0032632" w14:textId="541E3F3F" w:rsidR="001E0426" w:rsidRPr="00084172" w:rsidRDefault="001E0426" w:rsidP="001E0426">
            <w:pPr>
              <w:ind w:left="0"/>
              <w:jc w:val="center"/>
              <w:rPr>
                <w:rFonts w:ascii="Bookman Old Style" w:hAnsi="Bookman Old Style"/>
                <w:sz w:val="22"/>
                <w:szCs w:val="22"/>
              </w:rPr>
            </w:pPr>
            <w:r w:rsidRPr="001E0426">
              <w:rPr>
                <w:rFonts w:ascii="Bookman Old Style" w:hAnsi="Bookman Old Style"/>
                <w:sz w:val="22"/>
                <w:szCs w:val="22"/>
              </w:rPr>
              <w:t>744,45</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3DD142B" w14:textId="276D3BD0" w:rsidR="001E0426" w:rsidRPr="00084172" w:rsidRDefault="001E0426" w:rsidP="001E0426">
            <w:pPr>
              <w:ind w:left="0"/>
              <w:jc w:val="center"/>
              <w:rPr>
                <w:rFonts w:ascii="Bookman Old Style" w:hAnsi="Bookman Old Style"/>
                <w:sz w:val="22"/>
                <w:szCs w:val="22"/>
              </w:rPr>
            </w:pPr>
            <w:r w:rsidRPr="001E0426">
              <w:rPr>
                <w:rFonts w:ascii="Bookman Old Style" w:hAnsi="Bookman Old Style"/>
                <w:sz w:val="22"/>
                <w:szCs w:val="22"/>
              </w:rPr>
              <w:t>670,72</w:t>
            </w:r>
          </w:p>
        </w:tc>
      </w:tr>
      <w:tr w:rsidR="004D7DD3" w:rsidRPr="003C0CBF" w14:paraId="5ABBD6CA" w14:textId="77777777" w:rsidTr="004D7DD3">
        <w:trPr>
          <w:trHeight w:val="421"/>
        </w:trPr>
        <w:tc>
          <w:tcPr>
            <w:tcW w:w="1817" w:type="pct"/>
            <w:vAlign w:val="center"/>
          </w:tcPr>
          <w:p w14:paraId="4DCEAEAE" w14:textId="77777777" w:rsidR="004D7DD3" w:rsidRPr="00A566CF" w:rsidRDefault="004D7DD3" w:rsidP="004D7DD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0D10315D" w14:textId="77777777" w:rsidR="004D7DD3" w:rsidRPr="00A566CF" w:rsidRDefault="004D7DD3" w:rsidP="004D7DD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14282B2" w14:textId="77777777" w:rsidR="004D7DD3" w:rsidRPr="00084172" w:rsidRDefault="004D7DD3" w:rsidP="004D7DD3">
            <w:pPr>
              <w:ind w:left="-108"/>
              <w:jc w:val="center"/>
              <w:rPr>
                <w:rFonts w:ascii="Bookman Old Style" w:hAnsi="Bookman Old Style"/>
                <w:sz w:val="22"/>
                <w:szCs w:val="22"/>
              </w:rPr>
            </w:pPr>
            <w:r>
              <w:rPr>
                <w:rFonts w:ascii="Bookman Old Style" w:hAnsi="Bookman Old Style"/>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2F9CAC33"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2886E996"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r>
    </w:tbl>
    <w:p w14:paraId="732BDF2B" w14:textId="02CC2977" w:rsidR="004D7DD3" w:rsidRDefault="004D7DD3" w:rsidP="009F0B74">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6D5F6DA1" w14:textId="77777777" w:rsidR="009F0B74" w:rsidRDefault="009F0B74" w:rsidP="009F0B74">
      <w:pPr>
        <w:widowControl w:val="0"/>
        <w:adjustRightInd w:val="0"/>
        <w:ind w:left="0" w:right="23"/>
        <w:jc w:val="both"/>
        <w:rPr>
          <w:rFonts w:ascii="Bookman Old Style" w:hAnsi="Bookman Old Style" w:cs="Arial"/>
          <w:sz w:val="18"/>
          <w:lang w:val="x-none" w:eastAsia="x-none"/>
        </w:rPr>
      </w:pPr>
    </w:p>
    <w:p w14:paraId="751D6203" w14:textId="062C9DB0" w:rsidR="004D7DD3" w:rsidRDefault="004D7DD3" w:rsidP="009F0B74">
      <w:pPr>
        <w:widowControl w:val="0"/>
        <w:adjustRightInd w:val="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Palestina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78AA0FBF" w14:textId="45BF9DBC" w:rsidR="0032727B" w:rsidRDefault="0032727B" w:rsidP="009F0B74">
      <w:pPr>
        <w:widowControl w:val="0"/>
        <w:adjustRightInd w:val="0"/>
        <w:ind w:left="0" w:right="23"/>
        <w:jc w:val="both"/>
        <w:rPr>
          <w:rFonts w:ascii="Bookman Old Style" w:hAnsi="Bookman Old Style" w:cs="Arial"/>
          <w:szCs w:val="18"/>
          <w:lang w:val="x-none" w:eastAsia="x-none"/>
        </w:rPr>
      </w:pPr>
    </w:p>
    <w:p w14:paraId="5BAD3B09" w14:textId="77777777" w:rsidR="0032727B" w:rsidRDefault="0032727B" w:rsidP="0032727B">
      <w:pPr>
        <w:pStyle w:val="Prrafodelista"/>
        <w:keepNext/>
        <w:numPr>
          <w:ilvl w:val="2"/>
          <w:numId w:val="48"/>
        </w:numPr>
        <w:tabs>
          <w:tab w:val="left" w:pos="851"/>
        </w:tabs>
        <w:adjustRightInd w:val="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Saladoblanco</w:t>
      </w:r>
      <w:r w:rsidRPr="004D7DD3">
        <w:rPr>
          <w:rFonts w:ascii="Bookman Old Style" w:hAnsi="Bookman Old Style" w:cs="Arial"/>
          <w:sz w:val="24"/>
          <w:szCs w:val="24"/>
        </w:rPr>
        <w:t xml:space="preserve"> en el departamento de Huila, los cargos transitorios aplicables son:</w:t>
      </w:r>
    </w:p>
    <w:p w14:paraId="631315F4" w14:textId="77777777" w:rsidR="0032727B" w:rsidRPr="0032727B" w:rsidRDefault="0032727B" w:rsidP="009F0B74">
      <w:pPr>
        <w:widowControl w:val="0"/>
        <w:adjustRightInd w:val="0"/>
        <w:ind w:left="0" w:right="23"/>
        <w:jc w:val="both"/>
        <w:rPr>
          <w:rFonts w:ascii="Bookman Old Style" w:hAnsi="Bookman Old Style" w:cs="Arial"/>
          <w:szCs w:val="18"/>
          <w:lang w:val="es-CO" w:eastAsia="x-none"/>
        </w:rPr>
      </w:pPr>
    </w:p>
    <w:p w14:paraId="2D18F940" w14:textId="77777777" w:rsidR="009F0B74" w:rsidRPr="0032727B" w:rsidRDefault="009F0B74" w:rsidP="009F0B74">
      <w:pPr>
        <w:pStyle w:val="Prrafodelista"/>
        <w:keepNext/>
        <w:tabs>
          <w:tab w:val="left" w:pos="851"/>
        </w:tabs>
        <w:adjustRightInd w:val="0"/>
        <w:spacing w:before="240"/>
        <w:ind w:left="0" w:right="23"/>
        <w:jc w:val="both"/>
        <w:rPr>
          <w:rFonts w:ascii="Bookman Old Style" w:hAnsi="Bookman Old Style" w:cs="Arial"/>
          <w:sz w:val="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3F63E369" w14:textId="77777777" w:rsidTr="004D7DD3">
        <w:trPr>
          <w:trHeight w:val="122"/>
          <w:tblHeader/>
        </w:trPr>
        <w:tc>
          <w:tcPr>
            <w:tcW w:w="5000" w:type="pct"/>
            <w:gridSpan w:val="5"/>
            <w:shd w:val="clear" w:color="auto" w:fill="D9D9D9" w:themeFill="background1" w:themeFillShade="D9"/>
            <w:vAlign w:val="center"/>
          </w:tcPr>
          <w:p w14:paraId="7A26D91B"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7F8C59CA" w14:textId="77777777" w:rsidTr="004D7DD3">
        <w:trPr>
          <w:trHeight w:val="119"/>
          <w:tblHeader/>
        </w:trPr>
        <w:tc>
          <w:tcPr>
            <w:tcW w:w="1817" w:type="pct"/>
            <w:shd w:val="clear" w:color="auto" w:fill="D9D9D9" w:themeFill="background1" w:themeFillShade="D9"/>
            <w:vAlign w:val="center"/>
          </w:tcPr>
          <w:p w14:paraId="7617FDB2"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116C8B9B"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0C346931"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51B432E6"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091180F1"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1E0426" w:rsidRPr="00A566CF" w14:paraId="161C4B5F" w14:textId="77777777" w:rsidTr="001E0426">
        <w:trPr>
          <w:trHeight w:val="421"/>
        </w:trPr>
        <w:tc>
          <w:tcPr>
            <w:tcW w:w="1817" w:type="pct"/>
            <w:vAlign w:val="center"/>
          </w:tcPr>
          <w:p w14:paraId="465D9C15" w14:textId="77777777" w:rsidR="001E0426" w:rsidRPr="00A566CF" w:rsidRDefault="001E0426" w:rsidP="001E042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1039BBA8" w14:textId="77777777" w:rsidR="001E0426" w:rsidRPr="00A566CF" w:rsidRDefault="001E0426" w:rsidP="001E042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11E0D056" w14:textId="1C8E6065" w:rsidR="001E0426" w:rsidRPr="001E0426" w:rsidRDefault="001E0426" w:rsidP="001E0426">
            <w:pPr>
              <w:ind w:left="-108"/>
              <w:jc w:val="center"/>
              <w:rPr>
                <w:rFonts w:ascii="Bookman Old Style" w:hAnsi="Bookman Old Style"/>
                <w:b/>
                <w:sz w:val="22"/>
                <w:szCs w:val="22"/>
              </w:rPr>
            </w:pPr>
            <w:r w:rsidRPr="001E0426">
              <w:rPr>
                <w:rFonts w:ascii="Bookman Old Style" w:hAnsi="Bookman Old Style"/>
                <w:b/>
                <w:sz w:val="22"/>
                <w:szCs w:val="22"/>
              </w:rPr>
              <w:t>2.101,46</w:t>
            </w:r>
          </w:p>
        </w:tc>
        <w:tc>
          <w:tcPr>
            <w:tcW w:w="909" w:type="pct"/>
            <w:shd w:val="clear" w:color="auto" w:fill="auto"/>
            <w:vAlign w:val="center"/>
          </w:tcPr>
          <w:p w14:paraId="78A51E79" w14:textId="1D14BB6A" w:rsidR="001E0426" w:rsidRPr="001E0426" w:rsidRDefault="001E0426" w:rsidP="001E0426">
            <w:pPr>
              <w:ind w:left="0"/>
              <w:jc w:val="center"/>
              <w:rPr>
                <w:rFonts w:ascii="Bookman Old Style" w:hAnsi="Bookman Old Style"/>
                <w:b/>
                <w:sz w:val="22"/>
                <w:szCs w:val="22"/>
              </w:rPr>
            </w:pPr>
            <w:r w:rsidRPr="001E0426">
              <w:rPr>
                <w:rFonts w:ascii="Bookman Old Style" w:hAnsi="Bookman Old Style"/>
                <w:b/>
                <w:sz w:val="22"/>
                <w:szCs w:val="22"/>
              </w:rPr>
              <w:t>2.117,42</w:t>
            </w:r>
          </w:p>
        </w:tc>
        <w:tc>
          <w:tcPr>
            <w:tcW w:w="910" w:type="pct"/>
            <w:shd w:val="clear" w:color="auto" w:fill="auto"/>
            <w:vAlign w:val="center"/>
          </w:tcPr>
          <w:p w14:paraId="718F00BD" w14:textId="3F66983E" w:rsidR="001E0426" w:rsidRPr="001E0426" w:rsidRDefault="001E0426" w:rsidP="001E0426">
            <w:pPr>
              <w:ind w:left="0"/>
              <w:jc w:val="center"/>
              <w:rPr>
                <w:rFonts w:ascii="Bookman Old Style" w:hAnsi="Bookman Old Style"/>
                <w:b/>
                <w:sz w:val="22"/>
                <w:szCs w:val="22"/>
              </w:rPr>
            </w:pPr>
            <w:r w:rsidRPr="001E0426">
              <w:rPr>
                <w:rFonts w:ascii="Bookman Old Style" w:hAnsi="Bookman Old Style"/>
                <w:b/>
                <w:sz w:val="22"/>
                <w:szCs w:val="22"/>
              </w:rPr>
              <w:t>2.010,79</w:t>
            </w:r>
          </w:p>
        </w:tc>
      </w:tr>
      <w:tr w:rsidR="001E0426" w:rsidRPr="003C0CBF" w14:paraId="3506E34A" w14:textId="77777777" w:rsidTr="001E0426">
        <w:trPr>
          <w:trHeight w:val="421"/>
        </w:trPr>
        <w:tc>
          <w:tcPr>
            <w:tcW w:w="1817" w:type="pct"/>
            <w:vAlign w:val="center"/>
          </w:tcPr>
          <w:p w14:paraId="568446F7" w14:textId="77777777" w:rsidR="001E0426" w:rsidRPr="00A566CF" w:rsidRDefault="001E0426" w:rsidP="001E042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2BA34833" w14:textId="77777777" w:rsidR="001E0426" w:rsidRPr="00A566CF" w:rsidRDefault="001E0426" w:rsidP="001E042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32159788" w14:textId="20CA9E07" w:rsidR="001E0426" w:rsidRPr="00084172" w:rsidRDefault="001E0426" w:rsidP="001E0426">
            <w:pPr>
              <w:ind w:left="-108"/>
              <w:jc w:val="center"/>
              <w:rPr>
                <w:rFonts w:ascii="Bookman Old Style" w:hAnsi="Bookman Old Style"/>
                <w:sz w:val="22"/>
                <w:szCs w:val="22"/>
              </w:rPr>
            </w:pPr>
            <w:r w:rsidRPr="001E0426">
              <w:rPr>
                <w:rFonts w:ascii="Bookman Old Style" w:hAnsi="Bookman Old Style"/>
                <w:sz w:val="22"/>
                <w:szCs w:val="22"/>
              </w:rPr>
              <w:t>1</w:t>
            </w:r>
            <w:r w:rsidR="00525C53">
              <w:rPr>
                <w:rFonts w:ascii="Bookman Old Style" w:hAnsi="Bookman Old Style"/>
                <w:sz w:val="22"/>
                <w:szCs w:val="22"/>
              </w:rPr>
              <w:t>.</w:t>
            </w:r>
            <w:r w:rsidRPr="001E0426">
              <w:rPr>
                <w:rFonts w:ascii="Bookman Old Style" w:hAnsi="Bookman Old Style"/>
                <w:sz w:val="22"/>
                <w:szCs w:val="22"/>
              </w:rPr>
              <w:t>060,79</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1630F6E" w14:textId="15049886" w:rsidR="001E0426" w:rsidRPr="00084172" w:rsidRDefault="001E0426" w:rsidP="001E0426">
            <w:pPr>
              <w:ind w:left="0"/>
              <w:jc w:val="center"/>
              <w:rPr>
                <w:rFonts w:ascii="Bookman Old Style" w:hAnsi="Bookman Old Style"/>
                <w:sz w:val="22"/>
                <w:szCs w:val="22"/>
              </w:rPr>
            </w:pPr>
            <w:r w:rsidRPr="001E0426">
              <w:rPr>
                <w:rFonts w:ascii="Bookman Old Style" w:hAnsi="Bookman Old Style"/>
                <w:sz w:val="22"/>
                <w:szCs w:val="22"/>
              </w:rPr>
              <w:t>1</w:t>
            </w:r>
            <w:r w:rsidR="00525C53">
              <w:rPr>
                <w:rFonts w:ascii="Bookman Old Style" w:hAnsi="Bookman Old Style"/>
                <w:sz w:val="22"/>
                <w:szCs w:val="22"/>
              </w:rPr>
              <w:t>.</w:t>
            </w:r>
            <w:r w:rsidRPr="001E0426">
              <w:rPr>
                <w:rFonts w:ascii="Bookman Old Style" w:hAnsi="Bookman Old Style"/>
                <w:sz w:val="22"/>
                <w:szCs w:val="22"/>
              </w:rPr>
              <w:t>076,75</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053AC54" w14:textId="543737B1" w:rsidR="001E0426" w:rsidRPr="00084172" w:rsidRDefault="001E0426" w:rsidP="001E0426">
            <w:pPr>
              <w:ind w:left="0"/>
              <w:jc w:val="center"/>
              <w:rPr>
                <w:rFonts w:ascii="Bookman Old Style" w:hAnsi="Bookman Old Style"/>
                <w:sz w:val="22"/>
                <w:szCs w:val="22"/>
              </w:rPr>
            </w:pPr>
            <w:r w:rsidRPr="001E0426">
              <w:rPr>
                <w:rFonts w:ascii="Bookman Old Style" w:hAnsi="Bookman Old Style"/>
                <w:sz w:val="22"/>
                <w:szCs w:val="22"/>
              </w:rPr>
              <w:t>970,12</w:t>
            </w:r>
          </w:p>
        </w:tc>
      </w:tr>
      <w:tr w:rsidR="004D7DD3" w:rsidRPr="003C0CBF" w14:paraId="61203720" w14:textId="77777777" w:rsidTr="004D7DD3">
        <w:trPr>
          <w:trHeight w:val="421"/>
        </w:trPr>
        <w:tc>
          <w:tcPr>
            <w:tcW w:w="1817" w:type="pct"/>
            <w:vAlign w:val="center"/>
          </w:tcPr>
          <w:p w14:paraId="644A6BD7" w14:textId="77777777" w:rsidR="004D7DD3" w:rsidRPr="00A566CF" w:rsidRDefault="004D7DD3" w:rsidP="004D7DD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16180EC5" w14:textId="77777777" w:rsidR="004D7DD3" w:rsidRPr="00A566CF" w:rsidRDefault="004D7DD3" w:rsidP="004D7DD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3FB521E" w14:textId="77777777" w:rsidR="004D7DD3" w:rsidRPr="00084172" w:rsidRDefault="004D7DD3" w:rsidP="004D7DD3">
            <w:pPr>
              <w:ind w:left="-108"/>
              <w:jc w:val="center"/>
              <w:rPr>
                <w:rFonts w:ascii="Bookman Old Style" w:hAnsi="Bookman Old Style"/>
                <w:sz w:val="22"/>
                <w:szCs w:val="22"/>
              </w:rPr>
            </w:pPr>
            <w:r>
              <w:rPr>
                <w:rFonts w:ascii="Bookman Old Style" w:hAnsi="Bookman Old Style"/>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4B8A055D"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08FCB108" w14:textId="77777777" w:rsidR="004D7DD3" w:rsidRPr="00084172" w:rsidRDefault="004D7DD3" w:rsidP="004D7DD3">
            <w:pPr>
              <w:ind w:left="0"/>
              <w:jc w:val="center"/>
              <w:rPr>
                <w:rFonts w:ascii="Bookman Old Style" w:hAnsi="Bookman Old Style"/>
                <w:sz w:val="22"/>
                <w:szCs w:val="22"/>
              </w:rPr>
            </w:pPr>
            <w:r>
              <w:rPr>
                <w:rFonts w:ascii="Bookman Old Style" w:hAnsi="Bookman Old Style"/>
                <w:sz w:val="22"/>
                <w:szCs w:val="22"/>
              </w:rPr>
              <w:t>1.040,67</w:t>
            </w:r>
          </w:p>
        </w:tc>
      </w:tr>
    </w:tbl>
    <w:p w14:paraId="2BEFC1CF" w14:textId="2293DE74" w:rsidR="004D7DD3" w:rsidRDefault="004D7DD3" w:rsidP="009F0B74">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1DC9DBEA" w14:textId="77777777" w:rsidR="009F0B74" w:rsidRPr="0032727B" w:rsidRDefault="009F0B74" w:rsidP="009F0B74">
      <w:pPr>
        <w:widowControl w:val="0"/>
        <w:adjustRightInd w:val="0"/>
        <w:ind w:left="0" w:right="23"/>
        <w:jc w:val="both"/>
        <w:rPr>
          <w:rFonts w:ascii="Bookman Old Style" w:hAnsi="Bookman Old Style" w:cs="Arial"/>
          <w:sz w:val="28"/>
          <w:lang w:val="x-none" w:eastAsia="x-none"/>
        </w:rPr>
      </w:pPr>
    </w:p>
    <w:p w14:paraId="27EAED5B" w14:textId="08EAE26A" w:rsidR="004D7DD3" w:rsidRDefault="004D7DD3" w:rsidP="0032727B">
      <w:pPr>
        <w:widowControl w:val="0"/>
        <w:adjustRightInd w:val="0"/>
        <w:spacing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Saladoblanco</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742BC18B" w14:textId="6ED31CEF" w:rsidR="004D7DD3" w:rsidRPr="004D7DD3" w:rsidRDefault="004D7DD3" w:rsidP="004D7DD3">
      <w:pPr>
        <w:pStyle w:val="Prrafodelista"/>
        <w:keepNext/>
        <w:numPr>
          <w:ilvl w:val="2"/>
          <w:numId w:val="48"/>
        </w:numPr>
        <w:tabs>
          <w:tab w:val="left" w:pos="851"/>
        </w:tabs>
        <w:adjustRightInd w:val="0"/>
        <w:spacing w:before="240" w:after="24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Santa María</w:t>
      </w:r>
      <w:r w:rsidRPr="004D7DD3">
        <w:rPr>
          <w:rFonts w:ascii="Bookman Old Style" w:hAnsi="Bookman Old Style" w:cs="Arial"/>
          <w:sz w:val="24"/>
          <w:szCs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7B405A1F" w14:textId="77777777" w:rsidTr="004D7DD3">
        <w:trPr>
          <w:trHeight w:val="122"/>
          <w:tblHeader/>
        </w:trPr>
        <w:tc>
          <w:tcPr>
            <w:tcW w:w="5000" w:type="pct"/>
            <w:gridSpan w:val="5"/>
            <w:shd w:val="clear" w:color="auto" w:fill="D9D9D9" w:themeFill="background1" w:themeFillShade="D9"/>
            <w:vAlign w:val="center"/>
          </w:tcPr>
          <w:p w14:paraId="4DACDA52"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1B04A712" w14:textId="77777777" w:rsidTr="004D7DD3">
        <w:trPr>
          <w:trHeight w:val="119"/>
          <w:tblHeader/>
        </w:trPr>
        <w:tc>
          <w:tcPr>
            <w:tcW w:w="1817" w:type="pct"/>
            <w:shd w:val="clear" w:color="auto" w:fill="D9D9D9" w:themeFill="background1" w:themeFillShade="D9"/>
            <w:vAlign w:val="center"/>
          </w:tcPr>
          <w:p w14:paraId="6ECE4B66"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7B2F76DF"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66F03BBA"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29302C02"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38150F9C"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28E5B08A" w14:textId="77777777" w:rsidTr="00FF0696">
        <w:trPr>
          <w:trHeight w:val="421"/>
        </w:trPr>
        <w:tc>
          <w:tcPr>
            <w:tcW w:w="1817" w:type="pct"/>
            <w:vAlign w:val="center"/>
          </w:tcPr>
          <w:p w14:paraId="1C8A1763"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8AFED21"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102905B9" w14:textId="34ADE87B" w:rsidR="00FF0696" w:rsidRPr="00FF0696" w:rsidRDefault="00FF0696" w:rsidP="00FF0696">
            <w:pPr>
              <w:ind w:left="-108"/>
              <w:jc w:val="center"/>
              <w:rPr>
                <w:rFonts w:ascii="Bookman Old Style" w:hAnsi="Bookman Old Style"/>
                <w:b/>
                <w:sz w:val="22"/>
                <w:szCs w:val="22"/>
              </w:rPr>
            </w:pPr>
            <w:r w:rsidRPr="00FF0696">
              <w:rPr>
                <w:rFonts w:ascii="Bookman Old Style" w:hAnsi="Bookman Old Style" w:cs="Arial"/>
                <w:b/>
                <w:color w:val="000000"/>
                <w:sz w:val="22"/>
                <w:szCs w:val="22"/>
              </w:rPr>
              <w:t>1.758,28</w:t>
            </w:r>
          </w:p>
        </w:tc>
        <w:tc>
          <w:tcPr>
            <w:tcW w:w="909" w:type="pct"/>
            <w:shd w:val="clear" w:color="auto" w:fill="auto"/>
            <w:vAlign w:val="center"/>
          </w:tcPr>
          <w:p w14:paraId="10CD5211" w14:textId="6FAE5CA1"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1.758,28</w:t>
            </w:r>
          </w:p>
        </w:tc>
        <w:tc>
          <w:tcPr>
            <w:tcW w:w="910" w:type="pct"/>
            <w:shd w:val="clear" w:color="auto" w:fill="auto"/>
            <w:vAlign w:val="center"/>
          </w:tcPr>
          <w:p w14:paraId="2FD21112" w14:textId="06FA0247" w:rsidR="00FF0696" w:rsidRPr="00FF0696" w:rsidRDefault="00FF0696" w:rsidP="00FF0696">
            <w:pPr>
              <w:ind w:left="0"/>
              <w:jc w:val="center"/>
              <w:rPr>
                <w:rFonts w:ascii="Bookman Old Style" w:hAnsi="Bookman Old Style"/>
                <w:b/>
                <w:sz w:val="22"/>
                <w:szCs w:val="22"/>
              </w:rPr>
            </w:pPr>
            <w:r w:rsidRPr="00FF0696">
              <w:rPr>
                <w:rFonts w:ascii="Bookman Old Style" w:hAnsi="Bookman Old Style" w:cs="Arial"/>
                <w:b/>
                <w:color w:val="000000"/>
                <w:sz w:val="22"/>
                <w:szCs w:val="22"/>
              </w:rPr>
              <w:t>1.758,28</w:t>
            </w:r>
          </w:p>
        </w:tc>
      </w:tr>
      <w:tr w:rsidR="00FF0696" w:rsidRPr="003C0CBF" w14:paraId="0D451426" w14:textId="77777777" w:rsidTr="00FF0696">
        <w:trPr>
          <w:trHeight w:val="421"/>
        </w:trPr>
        <w:tc>
          <w:tcPr>
            <w:tcW w:w="1817" w:type="pct"/>
            <w:vAlign w:val="center"/>
          </w:tcPr>
          <w:p w14:paraId="0EB25F2D"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6BF9E7EF"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6D43AA91" w14:textId="752D36A4"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color w:val="000000"/>
                <w:sz w:val="22"/>
                <w:szCs w:val="22"/>
              </w:rPr>
              <w:t>717,61</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7F3687F" w14:textId="358248AE"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717,61</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2FFCB8AA" w14:textId="27BF9D52"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color w:val="000000"/>
                <w:sz w:val="22"/>
                <w:szCs w:val="22"/>
              </w:rPr>
              <w:t>717,61</w:t>
            </w:r>
          </w:p>
        </w:tc>
      </w:tr>
      <w:tr w:rsidR="00FF0696" w:rsidRPr="003C0CBF" w14:paraId="44912224" w14:textId="77777777" w:rsidTr="00FF0696">
        <w:trPr>
          <w:trHeight w:val="421"/>
        </w:trPr>
        <w:tc>
          <w:tcPr>
            <w:tcW w:w="1817" w:type="pct"/>
            <w:vAlign w:val="center"/>
          </w:tcPr>
          <w:p w14:paraId="2E22A6BC"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0263453B"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5638E20" w14:textId="7D07D757" w:rsidR="00FF0696" w:rsidRPr="00FF0696" w:rsidRDefault="00FF0696" w:rsidP="00FF0696">
            <w:pPr>
              <w:ind w:left="-108"/>
              <w:jc w:val="center"/>
              <w:rPr>
                <w:rFonts w:ascii="Bookman Old Style" w:hAnsi="Bookman Old Style"/>
                <w:sz w:val="22"/>
                <w:szCs w:val="22"/>
              </w:rPr>
            </w:pPr>
            <w:r w:rsidRPr="00FF0696">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4750231D" w14:textId="2CA6844C"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685FF6EF" w14:textId="01B6ADCC" w:rsidR="00FF0696" w:rsidRPr="00FF0696" w:rsidRDefault="00FF0696" w:rsidP="00FF0696">
            <w:pPr>
              <w:ind w:left="0"/>
              <w:jc w:val="center"/>
              <w:rPr>
                <w:rFonts w:ascii="Bookman Old Style" w:hAnsi="Bookman Old Style"/>
                <w:sz w:val="22"/>
                <w:szCs w:val="22"/>
              </w:rPr>
            </w:pPr>
            <w:r w:rsidRPr="00FF0696">
              <w:rPr>
                <w:rFonts w:ascii="Bookman Old Style" w:hAnsi="Bookman Old Style" w:cs="Arial"/>
                <w:sz w:val="22"/>
                <w:szCs w:val="22"/>
              </w:rPr>
              <w:t>1.040,67</w:t>
            </w:r>
          </w:p>
        </w:tc>
      </w:tr>
    </w:tbl>
    <w:p w14:paraId="0ED78776" w14:textId="0422F5DB" w:rsidR="004D7DD3" w:rsidRDefault="004D7DD3" w:rsidP="009F0B74">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4C3E7433" w14:textId="77777777" w:rsidR="009F0B74" w:rsidRPr="0032727B" w:rsidRDefault="009F0B74" w:rsidP="009F0B74">
      <w:pPr>
        <w:widowControl w:val="0"/>
        <w:adjustRightInd w:val="0"/>
        <w:ind w:left="0" w:right="23"/>
        <w:jc w:val="both"/>
        <w:rPr>
          <w:rFonts w:ascii="Bookman Old Style" w:hAnsi="Bookman Old Style" w:cs="Arial"/>
          <w:sz w:val="32"/>
          <w:lang w:val="x-none" w:eastAsia="x-none"/>
        </w:rPr>
      </w:pPr>
    </w:p>
    <w:p w14:paraId="7D747F2C" w14:textId="3FA33451" w:rsidR="004D7DD3" w:rsidRDefault="004D7DD3" w:rsidP="0032727B">
      <w:pPr>
        <w:widowControl w:val="0"/>
        <w:adjustRightInd w:val="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Santa María</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731AD1AD" w14:textId="7454A3A6" w:rsidR="0032727B" w:rsidRDefault="0032727B" w:rsidP="0032727B">
      <w:pPr>
        <w:widowControl w:val="0"/>
        <w:adjustRightInd w:val="0"/>
        <w:ind w:left="0" w:right="23"/>
        <w:jc w:val="both"/>
        <w:rPr>
          <w:rFonts w:ascii="Bookman Old Style" w:hAnsi="Bookman Old Style" w:cs="Arial"/>
          <w:szCs w:val="18"/>
          <w:lang w:val="x-none" w:eastAsia="x-none"/>
        </w:rPr>
      </w:pPr>
    </w:p>
    <w:p w14:paraId="73E0A4F6" w14:textId="77777777" w:rsidR="0032727B" w:rsidRDefault="0032727B" w:rsidP="0032727B">
      <w:pPr>
        <w:pStyle w:val="Prrafodelista"/>
        <w:keepNext/>
        <w:numPr>
          <w:ilvl w:val="2"/>
          <w:numId w:val="48"/>
        </w:numPr>
        <w:tabs>
          <w:tab w:val="left" w:pos="851"/>
        </w:tabs>
        <w:adjustRightInd w:val="0"/>
        <w:ind w:left="0" w:right="23" w:firstLine="0"/>
        <w:jc w:val="both"/>
        <w:rPr>
          <w:rFonts w:ascii="Bookman Old Style" w:hAnsi="Bookman Old Style" w:cs="Arial"/>
          <w:sz w:val="24"/>
          <w:szCs w:val="24"/>
        </w:rPr>
      </w:pPr>
      <w:r w:rsidRPr="004D7DD3">
        <w:rPr>
          <w:rFonts w:ascii="Bookman Old Style" w:hAnsi="Bookman Old Style" w:cs="Arial"/>
          <w:sz w:val="24"/>
          <w:szCs w:val="24"/>
        </w:rPr>
        <w:t xml:space="preserve">Para el municipio de </w:t>
      </w:r>
      <w:r>
        <w:rPr>
          <w:rFonts w:ascii="Bookman Old Style" w:hAnsi="Bookman Old Style" w:cs="Arial"/>
          <w:sz w:val="24"/>
          <w:szCs w:val="24"/>
        </w:rPr>
        <w:t>Acevedo</w:t>
      </w:r>
      <w:r w:rsidRPr="004D7DD3">
        <w:rPr>
          <w:rFonts w:ascii="Bookman Old Style" w:hAnsi="Bookman Old Style" w:cs="Arial"/>
          <w:sz w:val="24"/>
          <w:szCs w:val="24"/>
        </w:rPr>
        <w:t xml:space="preserve"> en el departamento de Huila, los cargos transitorios aplicables son:</w:t>
      </w:r>
    </w:p>
    <w:p w14:paraId="6E16FBA2" w14:textId="77777777" w:rsidR="0032727B" w:rsidRPr="0032727B" w:rsidRDefault="0032727B" w:rsidP="0032727B">
      <w:pPr>
        <w:widowControl w:val="0"/>
        <w:adjustRightInd w:val="0"/>
        <w:ind w:left="0" w:right="23"/>
        <w:jc w:val="both"/>
        <w:rPr>
          <w:rFonts w:ascii="Bookman Old Style" w:hAnsi="Bookman Old Style" w:cs="Arial"/>
          <w:szCs w:val="18"/>
          <w:lang w:val="es-CO" w:eastAsia="x-none"/>
        </w:rPr>
      </w:pPr>
    </w:p>
    <w:p w14:paraId="59D79CD6" w14:textId="77777777" w:rsidR="0032727B" w:rsidRPr="004D7DD3" w:rsidRDefault="0032727B" w:rsidP="0032727B">
      <w:pPr>
        <w:pStyle w:val="Prrafodelista"/>
        <w:keepNext/>
        <w:tabs>
          <w:tab w:val="left" w:pos="851"/>
        </w:tabs>
        <w:adjustRightInd w:val="0"/>
        <w:ind w:left="0" w:right="23"/>
        <w:jc w:val="both"/>
        <w:rPr>
          <w:rFonts w:ascii="Bookman Old Style" w:hAnsi="Bookman Old Style"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4D7DD3" w:rsidRPr="00A566CF" w14:paraId="0C974E01" w14:textId="77777777" w:rsidTr="004D7DD3">
        <w:trPr>
          <w:trHeight w:val="122"/>
          <w:tblHeader/>
        </w:trPr>
        <w:tc>
          <w:tcPr>
            <w:tcW w:w="5000" w:type="pct"/>
            <w:gridSpan w:val="5"/>
            <w:shd w:val="clear" w:color="auto" w:fill="D9D9D9" w:themeFill="background1" w:themeFillShade="D9"/>
            <w:vAlign w:val="center"/>
          </w:tcPr>
          <w:p w14:paraId="183D8EAD" w14:textId="77777777" w:rsidR="004D7DD3" w:rsidRPr="00A566CF" w:rsidRDefault="004D7DD3" w:rsidP="004D7DD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4D7DD3" w:rsidRPr="00A566CF" w14:paraId="0D79D709" w14:textId="77777777" w:rsidTr="004D7DD3">
        <w:trPr>
          <w:trHeight w:val="119"/>
          <w:tblHeader/>
        </w:trPr>
        <w:tc>
          <w:tcPr>
            <w:tcW w:w="1817" w:type="pct"/>
            <w:shd w:val="clear" w:color="auto" w:fill="D9D9D9" w:themeFill="background1" w:themeFillShade="D9"/>
            <w:vAlign w:val="center"/>
          </w:tcPr>
          <w:p w14:paraId="239836F6" w14:textId="77777777" w:rsidR="004D7DD3" w:rsidRPr="00A566CF" w:rsidRDefault="004D7DD3" w:rsidP="004D7DD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2181307E" w14:textId="77777777" w:rsidR="004D7DD3" w:rsidRPr="00A566CF" w:rsidRDefault="004D7DD3" w:rsidP="004D7DD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742E234B"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290CE610" w14:textId="77777777" w:rsidR="004D7DD3" w:rsidRPr="00A566CF" w:rsidRDefault="004D7DD3" w:rsidP="004D7DD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6EE2CA5A" w14:textId="77777777" w:rsidR="004D7DD3" w:rsidRPr="00A566CF" w:rsidRDefault="004D7DD3" w:rsidP="004D7DD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FF0696" w:rsidRPr="00A566CF" w14:paraId="1AE2CC32" w14:textId="77777777" w:rsidTr="00FF0696">
        <w:trPr>
          <w:trHeight w:val="421"/>
        </w:trPr>
        <w:tc>
          <w:tcPr>
            <w:tcW w:w="1817" w:type="pct"/>
            <w:vAlign w:val="center"/>
          </w:tcPr>
          <w:p w14:paraId="163B1CF5" w14:textId="77777777" w:rsidR="00FF0696" w:rsidRPr="00A566CF" w:rsidRDefault="00FF0696" w:rsidP="00FF0696">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4D2AEAE"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51843495" w14:textId="1A69959A" w:rsidR="00FF0696" w:rsidRPr="00B82420" w:rsidRDefault="00FF0696" w:rsidP="00FF0696">
            <w:pPr>
              <w:ind w:left="-108"/>
              <w:jc w:val="center"/>
              <w:rPr>
                <w:rFonts w:ascii="Bookman Old Style" w:hAnsi="Bookman Old Style" w:cs="Arial"/>
                <w:b/>
                <w:sz w:val="22"/>
                <w:szCs w:val="22"/>
              </w:rPr>
            </w:pPr>
            <w:r w:rsidRPr="00B82420">
              <w:rPr>
                <w:rFonts w:ascii="Bookman Old Style" w:hAnsi="Bookman Old Style" w:cs="Arial"/>
                <w:b/>
                <w:color w:val="000000"/>
                <w:sz w:val="22"/>
                <w:szCs w:val="22"/>
              </w:rPr>
              <w:t>1.566,28</w:t>
            </w:r>
          </w:p>
        </w:tc>
        <w:tc>
          <w:tcPr>
            <w:tcW w:w="909" w:type="pct"/>
            <w:shd w:val="clear" w:color="auto" w:fill="auto"/>
            <w:vAlign w:val="center"/>
          </w:tcPr>
          <w:p w14:paraId="57E21D35" w14:textId="2305D7F7" w:rsidR="00FF0696" w:rsidRPr="00B82420" w:rsidRDefault="00FF0696" w:rsidP="00FF0696">
            <w:pPr>
              <w:ind w:left="0"/>
              <w:jc w:val="center"/>
              <w:rPr>
                <w:rFonts w:ascii="Bookman Old Style" w:hAnsi="Bookman Old Style" w:cs="Arial"/>
                <w:b/>
                <w:sz w:val="22"/>
                <w:szCs w:val="22"/>
              </w:rPr>
            </w:pPr>
            <w:r w:rsidRPr="00B82420">
              <w:rPr>
                <w:rFonts w:ascii="Bookman Old Style" w:hAnsi="Bookman Old Style" w:cs="Arial"/>
                <w:b/>
                <w:color w:val="000000"/>
                <w:sz w:val="22"/>
                <w:szCs w:val="22"/>
              </w:rPr>
              <w:t>1.566,28</w:t>
            </w:r>
          </w:p>
        </w:tc>
        <w:tc>
          <w:tcPr>
            <w:tcW w:w="910" w:type="pct"/>
            <w:shd w:val="clear" w:color="auto" w:fill="auto"/>
            <w:vAlign w:val="center"/>
          </w:tcPr>
          <w:p w14:paraId="1887555F" w14:textId="1AE33046" w:rsidR="00FF0696" w:rsidRPr="00B82420" w:rsidRDefault="00FF0696" w:rsidP="00FF0696">
            <w:pPr>
              <w:ind w:left="0"/>
              <w:jc w:val="center"/>
              <w:rPr>
                <w:rFonts w:ascii="Bookman Old Style" w:hAnsi="Bookman Old Style" w:cs="Arial"/>
                <w:b/>
                <w:sz w:val="22"/>
                <w:szCs w:val="22"/>
              </w:rPr>
            </w:pPr>
            <w:r w:rsidRPr="00B82420">
              <w:rPr>
                <w:rFonts w:ascii="Bookman Old Style" w:hAnsi="Bookman Old Style" w:cs="Arial"/>
                <w:b/>
                <w:color w:val="000000"/>
                <w:sz w:val="22"/>
                <w:szCs w:val="22"/>
              </w:rPr>
              <w:t>1.566,28</w:t>
            </w:r>
          </w:p>
        </w:tc>
      </w:tr>
      <w:tr w:rsidR="00FF0696" w:rsidRPr="003C0CBF" w14:paraId="0007F712" w14:textId="77777777" w:rsidTr="00FF0696">
        <w:trPr>
          <w:trHeight w:val="421"/>
        </w:trPr>
        <w:tc>
          <w:tcPr>
            <w:tcW w:w="1817" w:type="pct"/>
            <w:vAlign w:val="center"/>
          </w:tcPr>
          <w:p w14:paraId="09C053DD"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325DF384"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5953EB90" w14:textId="0E0AADBC" w:rsidR="00FF0696" w:rsidRPr="00B82420" w:rsidRDefault="00FF0696" w:rsidP="00FF0696">
            <w:pPr>
              <w:ind w:left="-108"/>
              <w:jc w:val="center"/>
              <w:rPr>
                <w:rFonts w:ascii="Bookman Old Style" w:hAnsi="Bookman Old Style" w:cs="Arial"/>
                <w:sz w:val="22"/>
                <w:szCs w:val="22"/>
              </w:rPr>
            </w:pPr>
            <w:r w:rsidRPr="00B82420">
              <w:rPr>
                <w:rFonts w:ascii="Bookman Old Style" w:hAnsi="Bookman Old Style" w:cs="Arial"/>
                <w:color w:val="000000"/>
                <w:sz w:val="22"/>
                <w:szCs w:val="22"/>
              </w:rPr>
              <w:t>525,61</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380E0A3" w14:textId="088E0F32" w:rsidR="00FF0696" w:rsidRPr="00B82420" w:rsidRDefault="00FF0696" w:rsidP="00FF0696">
            <w:pPr>
              <w:ind w:left="0"/>
              <w:jc w:val="center"/>
              <w:rPr>
                <w:rFonts w:ascii="Bookman Old Style" w:hAnsi="Bookman Old Style" w:cs="Arial"/>
                <w:sz w:val="22"/>
                <w:szCs w:val="22"/>
              </w:rPr>
            </w:pPr>
            <w:r w:rsidRPr="00B82420">
              <w:rPr>
                <w:rFonts w:ascii="Bookman Old Style" w:hAnsi="Bookman Old Style" w:cs="Arial"/>
                <w:color w:val="000000"/>
                <w:sz w:val="22"/>
                <w:szCs w:val="22"/>
              </w:rPr>
              <w:t>525,61</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02368138" w14:textId="3AD993B1" w:rsidR="00FF0696" w:rsidRPr="00B82420" w:rsidRDefault="00FF0696" w:rsidP="00FF0696">
            <w:pPr>
              <w:ind w:left="0"/>
              <w:jc w:val="center"/>
              <w:rPr>
                <w:rFonts w:ascii="Bookman Old Style" w:hAnsi="Bookman Old Style" w:cs="Arial"/>
                <w:sz w:val="22"/>
                <w:szCs w:val="22"/>
              </w:rPr>
            </w:pPr>
            <w:r w:rsidRPr="00B82420">
              <w:rPr>
                <w:rFonts w:ascii="Bookman Old Style" w:hAnsi="Bookman Old Style" w:cs="Arial"/>
                <w:color w:val="000000"/>
                <w:sz w:val="22"/>
                <w:szCs w:val="22"/>
              </w:rPr>
              <w:t>525,61</w:t>
            </w:r>
          </w:p>
        </w:tc>
      </w:tr>
      <w:tr w:rsidR="00FF0696" w:rsidRPr="003C0CBF" w14:paraId="09F02608" w14:textId="77777777" w:rsidTr="00FF0696">
        <w:trPr>
          <w:trHeight w:val="421"/>
        </w:trPr>
        <w:tc>
          <w:tcPr>
            <w:tcW w:w="1817" w:type="pct"/>
            <w:vAlign w:val="center"/>
          </w:tcPr>
          <w:p w14:paraId="4C9E2A15" w14:textId="77777777" w:rsidR="00FF0696" w:rsidRPr="00A566CF" w:rsidRDefault="00FF0696" w:rsidP="00FF0696">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6AC14F79" w14:textId="77777777" w:rsidR="00FF0696" w:rsidRPr="00A566CF" w:rsidRDefault="00FF0696" w:rsidP="00FF0696">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512BACA" w14:textId="505B0B86" w:rsidR="00FF0696" w:rsidRPr="00B82420" w:rsidRDefault="00FF0696" w:rsidP="00FF0696">
            <w:pPr>
              <w:ind w:left="-108"/>
              <w:jc w:val="center"/>
              <w:rPr>
                <w:rFonts w:ascii="Bookman Old Style" w:hAnsi="Bookman Old Style" w:cs="Arial"/>
                <w:sz w:val="22"/>
                <w:szCs w:val="22"/>
              </w:rPr>
            </w:pPr>
            <w:r w:rsidRPr="00B82420">
              <w:rPr>
                <w:rFonts w:ascii="Bookman Old Style" w:hAnsi="Bookman Old Style" w:cs="Arial"/>
                <w:sz w:val="22"/>
                <w:szCs w:val="22"/>
              </w:rPr>
              <w:t>1.040,67</w:t>
            </w:r>
          </w:p>
        </w:tc>
        <w:tc>
          <w:tcPr>
            <w:tcW w:w="909" w:type="pct"/>
            <w:tcBorders>
              <w:top w:val="single" w:sz="4" w:space="0" w:color="auto"/>
              <w:left w:val="nil"/>
              <w:bottom w:val="single" w:sz="4" w:space="0" w:color="auto"/>
              <w:right w:val="single" w:sz="4" w:space="0" w:color="auto"/>
            </w:tcBorders>
            <w:shd w:val="clear" w:color="auto" w:fill="auto"/>
            <w:vAlign w:val="center"/>
          </w:tcPr>
          <w:p w14:paraId="0A948518" w14:textId="5B370DCF" w:rsidR="00FF0696" w:rsidRPr="00B82420" w:rsidRDefault="00FF0696" w:rsidP="00FF0696">
            <w:pPr>
              <w:ind w:left="0"/>
              <w:jc w:val="center"/>
              <w:rPr>
                <w:rFonts w:ascii="Bookman Old Style" w:hAnsi="Bookman Old Style" w:cs="Arial"/>
                <w:sz w:val="22"/>
                <w:szCs w:val="22"/>
              </w:rPr>
            </w:pPr>
            <w:r w:rsidRPr="00B82420">
              <w:rPr>
                <w:rFonts w:ascii="Bookman Old Style" w:hAnsi="Bookman Old Style" w:cs="Arial"/>
                <w:sz w:val="22"/>
                <w:szCs w:val="22"/>
              </w:rPr>
              <w:t>1.040,67</w:t>
            </w:r>
          </w:p>
        </w:tc>
        <w:tc>
          <w:tcPr>
            <w:tcW w:w="910" w:type="pct"/>
            <w:tcBorders>
              <w:top w:val="single" w:sz="4" w:space="0" w:color="auto"/>
              <w:left w:val="nil"/>
              <w:bottom w:val="single" w:sz="4" w:space="0" w:color="auto"/>
              <w:right w:val="single" w:sz="4" w:space="0" w:color="auto"/>
            </w:tcBorders>
            <w:shd w:val="clear" w:color="auto" w:fill="auto"/>
            <w:vAlign w:val="center"/>
          </w:tcPr>
          <w:p w14:paraId="7EC2958C" w14:textId="748B568D" w:rsidR="00FF0696" w:rsidRPr="00B82420" w:rsidRDefault="00FF0696" w:rsidP="00FF0696">
            <w:pPr>
              <w:ind w:left="0"/>
              <w:jc w:val="center"/>
              <w:rPr>
                <w:rFonts w:ascii="Bookman Old Style" w:hAnsi="Bookman Old Style" w:cs="Arial"/>
                <w:sz w:val="22"/>
                <w:szCs w:val="22"/>
              </w:rPr>
            </w:pPr>
            <w:r w:rsidRPr="00B82420">
              <w:rPr>
                <w:rFonts w:ascii="Bookman Old Style" w:hAnsi="Bookman Old Style" w:cs="Arial"/>
                <w:sz w:val="22"/>
                <w:szCs w:val="22"/>
              </w:rPr>
              <w:t>1.040,67</w:t>
            </w:r>
          </w:p>
        </w:tc>
      </w:tr>
    </w:tbl>
    <w:p w14:paraId="5CEFB248" w14:textId="77777777" w:rsidR="004D7DD3" w:rsidRDefault="004D7DD3" w:rsidP="004D7DD3">
      <w:pPr>
        <w:widowControl w:val="0"/>
        <w:adjustRightInd w:val="0"/>
        <w:spacing w:after="24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729768E4" w14:textId="701EF0C4" w:rsidR="004D7DD3" w:rsidRDefault="004D7DD3" w:rsidP="004D7DD3">
      <w:pPr>
        <w:widowControl w:val="0"/>
        <w:adjustRightInd w:val="0"/>
        <w:spacing w:before="240"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 xml:space="preserve">Dado que el sistema de distribución presentado por la empresa SURCOLOMBIANA DE GAS S.A. E.S.P. para el submercado conformado por </w:t>
      </w:r>
      <w:r>
        <w:rPr>
          <w:rFonts w:ascii="Bookman Old Style" w:hAnsi="Bookman Old Style" w:cs="Arial"/>
          <w:szCs w:val="18"/>
          <w:lang w:val="es-CO" w:eastAsia="x-none"/>
        </w:rPr>
        <w:t>e</w:t>
      </w:r>
      <w:r w:rsidRPr="00302373">
        <w:rPr>
          <w:rFonts w:ascii="Bookman Old Style" w:hAnsi="Bookman Old Style" w:cs="Arial"/>
          <w:szCs w:val="18"/>
          <w:lang w:val="x-none" w:eastAsia="x-none"/>
        </w:rPr>
        <w:t xml:space="preserve">l municipio de </w:t>
      </w:r>
      <w:r>
        <w:rPr>
          <w:rFonts w:ascii="Bookman Old Style" w:hAnsi="Bookman Old Style" w:cs="Arial"/>
          <w:szCs w:val="18"/>
          <w:lang w:val="es-CO" w:eastAsia="x-none"/>
        </w:rPr>
        <w:t>Acevedo</w:t>
      </w:r>
      <w:r w:rsidRPr="00302373">
        <w:rPr>
          <w:rFonts w:ascii="Bookman Old Style" w:hAnsi="Bookman Old Style" w:cs="Arial"/>
          <w:szCs w:val="18"/>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5E53379F" w14:textId="3D4473B9" w:rsidR="00526A24" w:rsidRPr="001954E9" w:rsidRDefault="00526A24" w:rsidP="00D72D22">
      <w:pPr>
        <w:widowControl w:val="0"/>
        <w:adjustRightInd w:val="0"/>
        <w:ind w:left="0" w:right="20"/>
        <w:jc w:val="both"/>
        <w:rPr>
          <w:rFonts w:ascii="Bookman Old Style" w:hAnsi="Bookman Old Style" w:cs="Arial"/>
        </w:rPr>
      </w:pPr>
      <w:r w:rsidRPr="001954E9">
        <w:rPr>
          <w:rFonts w:ascii="Bookman Old Style" w:hAnsi="Bookman Old Style" w:cs="Arial"/>
          <w:b/>
          <w:bCs/>
        </w:rPr>
        <w:t xml:space="preserve">Parágrafo 1. </w:t>
      </w:r>
      <w:r w:rsidRPr="001954E9">
        <w:rPr>
          <w:rFonts w:ascii="Bookman Old Style" w:hAnsi="Bookman Old Style" w:cs="Arial"/>
        </w:rPr>
        <w:t>Para el cálculo de las tarifas que se cobren a los usuarios y que incluyen los cargos aprobados en</w:t>
      </w:r>
      <w:r>
        <w:rPr>
          <w:rFonts w:ascii="Bookman Old Style" w:hAnsi="Bookman Old Style" w:cs="Arial"/>
        </w:rPr>
        <w:t xml:space="preserve"> el numeral 6.2</w:t>
      </w:r>
      <w:r w:rsidRPr="001954E9">
        <w:rPr>
          <w:rFonts w:ascii="Bookman Old Style" w:hAnsi="Bookman Old Style" w:cs="Arial"/>
        </w:rPr>
        <w:t xml:space="preserve"> </w:t>
      </w:r>
      <w:r>
        <w:rPr>
          <w:rFonts w:ascii="Bookman Old Style" w:hAnsi="Bookman Old Style" w:cs="Arial"/>
        </w:rPr>
        <w:t xml:space="preserve">de </w:t>
      </w:r>
      <w:r w:rsidRPr="001954E9">
        <w:rPr>
          <w:rFonts w:ascii="Bookman Old Style" w:hAnsi="Bookman Old Style" w:cs="Arial"/>
        </w:rPr>
        <w:t>la presente Resolución, se tendrá en cuenta lo establecido en el numeral 87.9 del artículo 87 de la Ley 142 de 1994, modificado por el artículo 99 de la Ley 1450 de 2011, o aquella que la modifique, aclare o sustituya.</w:t>
      </w:r>
    </w:p>
    <w:p w14:paraId="3989AF92" w14:textId="0618430C" w:rsidR="00526A24" w:rsidRPr="001954E9" w:rsidRDefault="00526A24" w:rsidP="00526A24">
      <w:pPr>
        <w:spacing w:before="240" w:after="240"/>
        <w:ind w:left="0"/>
        <w:jc w:val="both"/>
        <w:rPr>
          <w:rFonts w:ascii="Bookman Old Style" w:hAnsi="Bookman Old Style" w:cs="Arial"/>
        </w:rPr>
      </w:pPr>
      <w:r w:rsidRPr="001954E9">
        <w:rPr>
          <w:rFonts w:ascii="Bookman Old Style" w:hAnsi="Bookman Old Style" w:cs="Arial"/>
          <w:b/>
          <w:bCs/>
        </w:rPr>
        <w:t xml:space="preserve">Parágrafo </w:t>
      </w:r>
      <w:r>
        <w:rPr>
          <w:rFonts w:ascii="Bookman Old Style" w:hAnsi="Bookman Old Style" w:cs="Arial"/>
          <w:b/>
          <w:bCs/>
        </w:rPr>
        <w:t>2</w:t>
      </w:r>
      <w:r w:rsidRPr="001954E9">
        <w:rPr>
          <w:rFonts w:ascii="Bookman Old Style" w:hAnsi="Bookman Old Style" w:cs="Arial"/>
          <w:b/>
          <w:bCs/>
        </w:rPr>
        <w:t xml:space="preserve">. </w:t>
      </w:r>
      <w:r>
        <w:rPr>
          <w:rFonts w:ascii="Bookman Old Style" w:hAnsi="Bookman Old Style" w:cs="Arial"/>
        </w:rPr>
        <w:t xml:space="preserve">Los </w:t>
      </w:r>
      <w:r w:rsidRPr="001954E9">
        <w:rPr>
          <w:rFonts w:ascii="Bookman Old Style" w:hAnsi="Bookman Old Style" w:cs="Arial"/>
        </w:rPr>
        <w:t>Cargos de Distribución</w:t>
      </w:r>
      <w:r>
        <w:rPr>
          <w:rFonts w:ascii="Bookman Old Style" w:hAnsi="Bookman Old Style" w:cs="Arial"/>
        </w:rPr>
        <w:t xml:space="preserve"> del presente artículo </w:t>
      </w:r>
      <w:r w:rsidRPr="001954E9">
        <w:rPr>
          <w:rFonts w:ascii="Bookman Old Style" w:hAnsi="Bookman Old Style" w:cs="Arial"/>
        </w:rPr>
        <w:t>se actualizarán de conformidad con lo establecido en el artículo 12 de la Resolución CREG 202 de 2013</w:t>
      </w:r>
      <w:r w:rsidR="00E829D7">
        <w:rPr>
          <w:rFonts w:ascii="Bookman Old Style" w:hAnsi="Bookman Old Style" w:cs="Arial"/>
        </w:rPr>
        <w:t>, modificado por el artículo 3 de la Resolución CREG 125 de 2015</w:t>
      </w:r>
      <w:r w:rsidRPr="001954E9">
        <w:rPr>
          <w:rFonts w:ascii="Bookman Old Style" w:hAnsi="Bookman Old Style" w:cs="Arial"/>
        </w:rPr>
        <w:t xml:space="preserve">. </w:t>
      </w:r>
    </w:p>
    <w:p w14:paraId="004D87D4" w14:textId="735725E9" w:rsidR="001B7878" w:rsidRDefault="001B7878" w:rsidP="00430D73">
      <w:pPr>
        <w:keepNext/>
        <w:ind w:left="0"/>
        <w:jc w:val="both"/>
        <w:outlineLvl w:val="0"/>
        <w:rPr>
          <w:rFonts w:ascii="Bookman Old Style" w:hAnsi="Bookman Old Style" w:cs="Arial"/>
        </w:rPr>
      </w:pPr>
      <w:r>
        <w:rPr>
          <w:rFonts w:ascii="Bookman Old Style" w:hAnsi="Bookman Old Style" w:cs="Arial"/>
          <w:b/>
        </w:rPr>
        <w:t xml:space="preserve">ARTÍCULO </w:t>
      </w:r>
      <w:r w:rsidR="004D7DD3">
        <w:rPr>
          <w:rFonts w:ascii="Bookman Old Style" w:hAnsi="Bookman Old Style" w:cs="Arial"/>
          <w:b/>
        </w:rPr>
        <w:t>6</w:t>
      </w:r>
      <w:r>
        <w:rPr>
          <w:rFonts w:ascii="Bookman Old Style" w:hAnsi="Bookman Old Style" w:cs="Arial"/>
          <w:b/>
        </w:rPr>
        <w:t xml:space="preserve">. </w:t>
      </w:r>
      <w:r w:rsidRPr="00ED6D6B">
        <w:rPr>
          <w:rFonts w:ascii="Bookman Old Style" w:hAnsi="Bookman Old Style" w:cs="Arial"/>
          <w:b/>
        </w:rPr>
        <w:t xml:space="preserve">Gradualidad. </w:t>
      </w:r>
      <w:r w:rsidRPr="00A74ABC">
        <w:rPr>
          <w:rFonts w:ascii="Bookman Old Style" w:hAnsi="Bookman Old Style" w:cs="Arial"/>
        </w:rPr>
        <w:t>La empresa hará la separación gradual de los cargos de distribución aplicables a usuarios de uso residencial y los cargos de distribución aplicables a usuarios diferentes a los de uso residencial, usando las fórmulas descritas en los numerales 7.</w:t>
      </w:r>
      <w:r w:rsidR="000D1814">
        <w:rPr>
          <w:rFonts w:ascii="Bookman Old Style" w:hAnsi="Bookman Old Style" w:cs="Arial"/>
        </w:rPr>
        <w:t>8</w:t>
      </w:r>
      <w:r w:rsidRPr="00A74ABC">
        <w:rPr>
          <w:rFonts w:ascii="Bookman Old Style" w:hAnsi="Bookman Old Style" w:cs="Arial"/>
        </w:rPr>
        <w:t>.1. y 7.</w:t>
      </w:r>
      <w:r w:rsidR="000D1814">
        <w:rPr>
          <w:rFonts w:ascii="Bookman Old Style" w:hAnsi="Bookman Old Style" w:cs="Arial"/>
        </w:rPr>
        <w:t>8</w:t>
      </w:r>
      <w:r w:rsidRPr="00A74ABC">
        <w:rPr>
          <w:rFonts w:ascii="Bookman Old Style" w:hAnsi="Bookman Old Style" w:cs="Arial"/>
        </w:rPr>
        <w:t>.2. de la parte motiva de esta resolución.</w:t>
      </w:r>
    </w:p>
    <w:p w14:paraId="71564990" w14:textId="77777777" w:rsidR="00430D73" w:rsidRDefault="00430D73" w:rsidP="00430D73">
      <w:pPr>
        <w:keepNext/>
        <w:ind w:left="0"/>
        <w:jc w:val="both"/>
        <w:outlineLvl w:val="0"/>
        <w:rPr>
          <w:rFonts w:ascii="Bookman Old Style" w:hAnsi="Bookman Old Style" w:cs="Arial"/>
          <w:b/>
        </w:rPr>
      </w:pPr>
    </w:p>
    <w:p w14:paraId="401D4B7E" w14:textId="5111EB9C" w:rsidR="00E8579D" w:rsidRDefault="00526A24" w:rsidP="009F0B74">
      <w:pPr>
        <w:keepNext/>
        <w:ind w:left="0"/>
        <w:jc w:val="both"/>
        <w:outlineLvl w:val="0"/>
        <w:rPr>
          <w:rFonts w:ascii="Bookman Old Style" w:hAnsi="Bookman Old Style" w:cs="Arial"/>
          <w:lang w:val="es-ES_tradnl"/>
        </w:rPr>
      </w:pPr>
      <w:r w:rsidRPr="001954E9">
        <w:rPr>
          <w:rFonts w:ascii="Bookman Old Style" w:hAnsi="Bookman Old Style" w:cs="Arial"/>
          <w:b/>
        </w:rPr>
        <w:t xml:space="preserve">ARTÍCULO </w:t>
      </w:r>
      <w:r w:rsidR="004D7DD3">
        <w:rPr>
          <w:rFonts w:ascii="Bookman Old Style" w:hAnsi="Bookman Old Style" w:cs="Arial"/>
          <w:b/>
        </w:rPr>
        <w:t>7</w:t>
      </w:r>
      <w:r w:rsidRPr="001954E9">
        <w:rPr>
          <w:rFonts w:ascii="Bookman Old Style" w:hAnsi="Bookman Old Style" w:cs="Arial"/>
          <w:b/>
        </w:rPr>
        <w:t xml:space="preserve">. Vigencia de los Cargos de Distribución aplicables a los usuarios de Uso Residencial y a usuarios diferentes a los de uso residencial. </w:t>
      </w:r>
      <w:r w:rsidRPr="005B2DAF">
        <w:rPr>
          <w:rFonts w:ascii="Bookman Old Style" w:hAnsi="Bookman Old Style" w:cs="Arial"/>
        </w:rPr>
        <w:t xml:space="preserve">Los Cargos de Distribución aplicables a los usuarios de uso residencial y a los usuarios diferentes a los de uso residencial </w:t>
      </w:r>
      <w:r w:rsidRPr="005B2DAF">
        <w:rPr>
          <w:rFonts w:ascii="Bookman Old Style" w:hAnsi="Bookman Old Style"/>
          <w:bCs/>
        </w:rPr>
        <w:t xml:space="preserve">estarán vigentes desde la fecha en que quede en firme la presente resolución y hasta tanto se definan los </w:t>
      </w:r>
      <w:r w:rsidR="00E8579D">
        <w:rPr>
          <w:rFonts w:ascii="Bookman Old Style" w:hAnsi="Bookman Old Style"/>
          <w:bCs/>
        </w:rPr>
        <w:t>nuevos</w:t>
      </w:r>
      <w:r w:rsidR="0032727B">
        <w:rPr>
          <w:rFonts w:ascii="Bookman Old Style" w:hAnsi="Bookman Old Style"/>
          <w:bCs/>
        </w:rPr>
        <w:t xml:space="preserve"> </w:t>
      </w:r>
      <w:r w:rsidRPr="005B2DAF">
        <w:rPr>
          <w:rFonts w:ascii="Bookman Old Style" w:hAnsi="Bookman Old Style"/>
          <w:bCs/>
        </w:rPr>
        <w:t xml:space="preserve">cargos </w:t>
      </w:r>
      <w:r w:rsidR="00E8579D">
        <w:rPr>
          <w:rFonts w:ascii="Bookman Old Style" w:hAnsi="Bookman Old Style"/>
          <w:bCs/>
        </w:rPr>
        <w:t xml:space="preserve">con la metodología definitiva </w:t>
      </w:r>
      <w:r w:rsidRPr="005B2DAF">
        <w:rPr>
          <w:rFonts w:ascii="Bookman Old Style" w:hAnsi="Bookman Old Style"/>
          <w:bCs/>
        </w:rPr>
        <w:t xml:space="preserve">para un periodo de cinco años, </w:t>
      </w:r>
      <w:r w:rsidR="00E8579D" w:rsidRPr="00E8579D">
        <w:rPr>
          <w:rFonts w:ascii="Bookman Old Style" w:hAnsi="Bookman Old Style" w:cs="Arial"/>
          <w:lang w:val="es-ES_tradnl"/>
        </w:rPr>
        <w:t>salvo que la empresa solicite</w:t>
      </w:r>
      <w:r w:rsidR="00C14A2F">
        <w:rPr>
          <w:rFonts w:ascii="Bookman Old Style" w:hAnsi="Bookman Old Style" w:cs="Arial"/>
          <w:lang w:val="es-ES_tradnl"/>
        </w:rPr>
        <w:t xml:space="preserve"> </w:t>
      </w:r>
      <w:r w:rsidR="00110763">
        <w:rPr>
          <w:rFonts w:ascii="Bookman Old Style" w:hAnsi="Bookman Old Style" w:cs="Arial"/>
          <w:lang w:val="es-ES_tradnl"/>
        </w:rPr>
        <w:t xml:space="preserve">formalmente </w:t>
      </w:r>
      <w:r w:rsidR="00C14A2F">
        <w:rPr>
          <w:rFonts w:ascii="Bookman Old Style" w:hAnsi="Bookman Old Style" w:cs="Arial"/>
          <w:lang w:val="es-ES_tradnl"/>
        </w:rPr>
        <w:t>mantener este cargo</w:t>
      </w:r>
      <w:r w:rsidR="00BD7710">
        <w:rPr>
          <w:rFonts w:ascii="Bookman Old Style" w:hAnsi="Bookman Old Style" w:cs="Arial"/>
          <w:lang w:val="es-ES_tradnl"/>
        </w:rPr>
        <w:t>.</w:t>
      </w:r>
    </w:p>
    <w:p w14:paraId="00DE17A0" w14:textId="58BDDA74"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II</w:t>
      </w:r>
    </w:p>
    <w:p w14:paraId="633CF99D" w14:textId="77777777"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036FA08" w14:textId="77777777" w:rsidR="001D17F5" w:rsidRDefault="001D17F5" w:rsidP="00526A24">
      <w:pPr>
        <w:widowControl w:val="0"/>
        <w:adjustRightInd w:val="0"/>
        <w:spacing w:before="240" w:after="240"/>
        <w:ind w:left="0" w:right="23"/>
        <w:jc w:val="both"/>
        <w:rPr>
          <w:rFonts w:ascii="Bookman Old Style" w:hAnsi="Bookman Old Style" w:cs="Arial"/>
          <w:b/>
        </w:rPr>
      </w:pPr>
    </w:p>
    <w:p w14:paraId="76CD4A99" w14:textId="77777777" w:rsidR="001D17F5" w:rsidRDefault="001D17F5" w:rsidP="001D17F5">
      <w:pPr>
        <w:widowControl w:val="0"/>
        <w:adjustRightInd w:val="0"/>
        <w:ind w:left="0" w:right="23"/>
        <w:jc w:val="both"/>
        <w:rPr>
          <w:rFonts w:ascii="Bookman Old Style" w:hAnsi="Bookman Old Style" w:cs="Arial"/>
          <w:b/>
        </w:rPr>
      </w:pPr>
    </w:p>
    <w:p w14:paraId="3540E77C" w14:textId="51A66068" w:rsidR="00526A24" w:rsidRPr="001954E9" w:rsidRDefault="00526A24" w:rsidP="00526A2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4D7DD3">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artículo 1 de la presente Resolución corresponderá a la establecida en el artículo 4 de la Resolución CREG 137 de 2013.</w:t>
      </w:r>
    </w:p>
    <w:p w14:paraId="15FD511F" w14:textId="4F84258C" w:rsidR="00526A24" w:rsidRPr="001954E9" w:rsidRDefault="00526A24" w:rsidP="00526A2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4D7DD3">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14:paraId="321DDA45" w14:textId="77777777"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III</w:t>
      </w:r>
    </w:p>
    <w:p w14:paraId="3E4B51E6" w14:textId="77777777"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14:paraId="5BA53FD2" w14:textId="30EE890E" w:rsidR="004E1136" w:rsidRPr="00956F63" w:rsidRDefault="004E1136" w:rsidP="004E1136">
      <w:pPr>
        <w:pStyle w:val="Prrafodelista"/>
        <w:widowControl w:val="0"/>
        <w:ind w:left="0" w:right="20"/>
        <w:jc w:val="both"/>
        <w:rPr>
          <w:rFonts w:ascii="Bookman Old Style" w:hAnsi="Bookman Old Style" w:cs="Arial"/>
          <w:spacing w:val="-4"/>
          <w:sz w:val="24"/>
          <w:szCs w:val="24"/>
        </w:rPr>
      </w:pPr>
      <w:r>
        <w:rPr>
          <w:rFonts w:ascii="Bookman Old Style" w:hAnsi="Bookman Old Style" w:cs="Arial"/>
          <w:b/>
          <w:spacing w:val="-4"/>
          <w:sz w:val="24"/>
          <w:szCs w:val="24"/>
          <w:lang w:val="es-ES"/>
        </w:rPr>
        <w:t>ARTÍCULO 1</w:t>
      </w:r>
      <w:r w:rsidR="004D7DD3">
        <w:rPr>
          <w:rFonts w:ascii="Bookman Old Style" w:hAnsi="Bookman Old Style" w:cs="Arial"/>
          <w:b/>
          <w:spacing w:val="-4"/>
          <w:sz w:val="24"/>
          <w:szCs w:val="24"/>
          <w:lang w:val="es-ES"/>
        </w:rPr>
        <w:t>0</w:t>
      </w:r>
      <w:r w:rsidRPr="00956F63">
        <w:rPr>
          <w:rFonts w:ascii="Bookman Old Style" w:hAnsi="Bookman Old Style" w:cs="Arial"/>
          <w:b/>
          <w:spacing w:val="-4"/>
          <w:sz w:val="24"/>
          <w:szCs w:val="24"/>
          <w:lang w:val="es-ES"/>
        </w:rPr>
        <w:t>.</w:t>
      </w:r>
      <w:r w:rsidRPr="00956F63">
        <w:rPr>
          <w:rFonts w:ascii="Bookman Old Style" w:hAnsi="Bookman Old Style" w:cs="Arial"/>
          <w:spacing w:val="-4"/>
          <w:sz w:val="24"/>
          <w:szCs w:val="24"/>
          <w:lang w:val="es-ES"/>
        </w:rPr>
        <w:t xml:space="preserve"> </w:t>
      </w:r>
      <w:r w:rsidRPr="00956F63">
        <w:rPr>
          <w:rFonts w:ascii="Bookman Old Style" w:hAnsi="Bookman Old Style" w:cs="Arial"/>
          <w:spacing w:val="-4"/>
          <w:sz w:val="24"/>
          <w:szCs w:val="24"/>
        </w:rPr>
        <w:t>El cargo aprobado mediante la</w:t>
      </w:r>
      <w:r>
        <w:rPr>
          <w:rFonts w:ascii="Bookman Old Style" w:hAnsi="Bookman Old Style" w:cs="Arial"/>
          <w:spacing w:val="-4"/>
          <w:sz w:val="24"/>
          <w:szCs w:val="24"/>
        </w:rPr>
        <w:t xml:space="preserve"> presente r</w:t>
      </w:r>
      <w:r w:rsidRPr="00956F63">
        <w:rPr>
          <w:rFonts w:ascii="Bookman Old Style" w:hAnsi="Bookman Old Style" w:cs="Arial"/>
          <w:spacing w:val="-4"/>
          <w:sz w:val="24"/>
          <w:szCs w:val="24"/>
        </w:rPr>
        <w:t>esolución</w:t>
      </w:r>
      <w:r>
        <w:rPr>
          <w:rFonts w:ascii="Bookman Old Style" w:hAnsi="Bookman Old Style" w:cs="Arial"/>
          <w:spacing w:val="-4"/>
          <w:sz w:val="24"/>
          <w:szCs w:val="24"/>
        </w:rPr>
        <w:t>,</w:t>
      </w:r>
      <w:r w:rsidRPr="00956F63">
        <w:rPr>
          <w:rFonts w:ascii="Bookman Old Style" w:hAnsi="Bookman Old Style" w:cs="Arial"/>
          <w:spacing w:val="-4"/>
          <w:sz w:val="24"/>
          <w:szCs w:val="24"/>
        </w:rPr>
        <w:t xml:space="preserve"> rige a partir de la firmeza del acto administrativo, y será aplicado por la empresa tan pronto de cumplimiento de los requisitos de publicidad y comunicación a las entidades correspondientes.</w:t>
      </w:r>
    </w:p>
    <w:p w14:paraId="6A91AD4F" w14:textId="1739C2D0" w:rsidR="00526A24" w:rsidRPr="001954E9" w:rsidRDefault="00526A24" w:rsidP="00526A24">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BF3A16" w:rsidRPr="001954E9">
        <w:rPr>
          <w:rFonts w:ascii="Bookman Old Style" w:hAnsi="Bookman Old Style" w:cs="Arial"/>
          <w:b/>
        </w:rPr>
        <w:t>1</w:t>
      </w:r>
      <w:r w:rsidR="004D7DD3">
        <w:rPr>
          <w:rFonts w:ascii="Bookman Old Style" w:hAnsi="Bookman Old Style" w:cs="Arial"/>
          <w:b/>
        </w:rPr>
        <w:t>1</w:t>
      </w:r>
      <w:r w:rsidRPr="001954E9">
        <w:rPr>
          <w:rFonts w:ascii="Bookman Old Style" w:hAnsi="Bookman Old Style" w:cs="Arial"/>
          <w:b/>
          <w:spacing w:val="-4"/>
        </w:rPr>
        <w:t>.</w:t>
      </w:r>
      <w:r w:rsidRPr="001954E9">
        <w:rPr>
          <w:rFonts w:ascii="Bookman Old Style" w:hAnsi="Bookman Old Style" w:cs="Arial"/>
          <w:spacing w:val="-4"/>
        </w:rPr>
        <w:t xml:space="preserve"> La presente Resolución deberá notificarse al representante legal de la empresa </w:t>
      </w:r>
      <w:r w:rsidR="00715033">
        <w:rPr>
          <w:rFonts w:ascii="Bookman Old Style" w:hAnsi="Bookman Old Style" w:cs="Arial"/>
          <w:spacing w:val="-4"/>
        </w:rPr>
        <w:t xml:space="preserve">SURCOLOMBIANA DE GAS </w:t>
      </w:r>
      <w:r w:rsidRPr="001954E9">
        <w:rPr>
          <w:rFonts w:ascii="Bookman Old Style" w:hAnsi="Bookman Old Style" w:cs="Arial"/>
          <w:spacing w:val="-4"/>
        </w:rPr>
        <w:t>S.A. E.S.P.</w:t>
      </w:r>
      <w:r w:rsidR="00715033">
        <w:rPr>
          <w:rFonts w:ascii="Bookman Old Style" w:hAnsi="Bookman Old Style" w:cs="Arial"/>
          <w:spacing w:val="-4"/>
        </w:rPr>
        <w:t xml:space="preserve"> </w:t>
      </w:r>
      <w:r w:rsidRPr="001954E9">
        <w:rPr>
          <w:rFonts w:ascii="Bookman Old Style" w:hAnsi="Bookman Old Style" w:cs="Arial"/>
          <w:spacing w:val="-4"/>
        </w:rPr>
        <w:t xml:space="preserve">y publicarse en el </w:t>
      </w:r>
      <w:r w:rsidRPr="001954E9">
        <w:rPr>
          <w:rFonts w:ascii="Bookman Old Style" w:hAnsi="Bookman Old Style" w:cs="Arial"/>
          <w:i/>
          <w:spacing w:val="-4"/>
        </w:rPr>
        <w:t>Diario Oficial</w:t>
      </w:r>
      <w:r w:rsidRPr="001954E9">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1B297D9" w14:textId="77777777" w:rsidR="00526A24" w:rsidRPr="001954E9" w:rsidRDefault="00526A24" w:rsidP="00526A24">
      <w:pPr>
        <w:keepNext/>
        <w:widowControl w:val="0"/>
        <w:adjustRightInd w:val="0"/>
        <w:spacing w:before="480" w:after="360"/>
        <w:ind w:left="0" w:right="23"/>
        <w:jc w:val="center"/>
        <w:rPr>
          <w:rFonts w:ascii="Bookman Old Style" w:hAnsi="Bookman Old Style" w:cs="Arial"/>
          <w:b/>
        </w:rPr>
      </w:pPr>
      <w:r w:rsidRPr="001954E9">
        <w:rPr>
          <w:rFonts w:ascii="Bookman Old Style" w:hAnsi="Bookman Old Style" w:cs="Arial"/>
          <w:b/>
        </w:rPr>
        <w:t>NOTIFÍQUESE, PUBLÍQUESE Y CÚMPLASE</w:t>
      </w:r>
    </w:p>
    <w:p w14:paraId="6B784C1A" w14:textId="77777777" w:rsidR="00526A24" w:rsidRPr="001954E9" w:rsidRDefault="00526A24" w:rsidP="00526A24">
      <w:pPr>
        <w:keepNext/>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Dada en Bogotá, D.C.</w:t>
      </w:r>
    </w:p>
    <w:p w14:paraId="61851A06" w14:textId="6EA2EA30" w:rsidR="00382793" w:rsidRDefault="00382793" w:rsidP="00382793">
      <w:pPr>
        <w:widowControl w:val="0"/>
        <w:adjustRightInd w:val="0"/>
        <w:ind w:left="0"/>
        <w:jc w:val="center"/>
        <w:rPr>
          <w:rFonts w:ascii="Bookman Old Style" w:hAnsi="Bookman Old Style" w:cs="Arial"/>
          <w:b/>
        </w:rPr>
      </w:pPr>
    </w:p>
    <w:p w14:paraId="7AFF2EFE" w14:textId="6A1DCD3F" w:rsidR="00382793" w:rsidRDefault="00382793" w:rsidP="00382793">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E90E83" w:rsidRPr="000B73A9" w14:paraId="5CB4776F" w14:textId="77777777" w:rsidTr="00A71B8C">
        <w:trPr>
          <w:tblCellSpacing w:w="0" w:type="dxa"/>
          <w:jc w:val="center"/>
        </w:trPr>
        <w:tc>
          <w:tcPr>
            <w:tcW w:w="5033" w:type="dxa"/>
            <w:hideMark/>
          </w:tcPr>
          <w:p w14:paraId="4FBC303C" w14:textId="77777777" w:rsidR="00E90E83" w:rsidRPr="000B73A9" w:rsidRDefault="00E90E83" w:rsidP="00A71B8C">
            <w:pPr>
              <w:jc w:val="both"/>
              <w:rPr>
                <w:rFonts w:ascii="Bookman Old Style" w:hAnsi="Bookman Old Style" w:cs="Arial"/>
                <w:b/>
                <w:spacing w:val="-3"/>
              </w:rPr>
            </w:pPr>
          </w:p>
          <w:p w14:paraId="0193458B" w14:textId="77777777" w:rsidR="00E90E83" w:rsidRPr="000B73A9" w:rsidRDefault="00E90E83" w:rsidP="00A71B8C">
            <w:pPr>
              <w:jc w:val="both"/>
              <w:rPr>
                <w:rFonts w:ascii="Bookman Old Style" w:hAnsi="Bookman Old Style" w:cs="Arial"/>
                <w:b/>
                <w:spacing w:val="-3"/>
              </w:rPr>
            </w:pPr>
          </w:p>
          <w:p w14:paraId="09DF8D83" w14:textId="77777777" w:rsidR="00E90E83" w:rsidRPr="000B73A9" w:rsidRDefault="00E90E83" w:rsidP="00A71B8C">
            <w:pPr>
              <w:ind w:left="66"/>
              <w:jc w:val="center"/>
              <w:rPr>
                <w:rFonts w:ascii="Bookman Old Style" w:hAnsi="Bookman Old Style" w:cs="Arial"/>
                <w:b/>
                <w:spacing w:val="-3"/>
              </w:rPr>
            </w:pPr>
          </w:p>
          <w:p w14:paraId="60448DEA" w14:textId="77777777" w:rsidR="00E90E83" w:rsidRPr="000B73A9" w:rsidRDefault="00E90E83" w:rsidP="00A71B8C">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41053F9C" w14:textId="77777777" w:rsidR="00E90E83" w:rsidRPr="000B73A9" w:rsidRDefault="00E90E83" w:rsidP="00A71B8C">
            <w:pPr>
              <w:ind w:left="89"/>
              <w:jc w:val="center"/>
              <w:rPr>
                <w:rFonts w:ascii="Bookman Old Style" w:hAnsi="Bookman Old Style" w:cs="Arial"/>
                <w:b/>
                <w:spacing w:val="-3"/>
              </w:rPr>
            </w:pPr>
          </w:p>
          <w:p w14:paraId="01660D8E" w14:textId="77777777" w:rsidR="00E90E83" w:rsidRPr="000B73A9" w:rsidRDefault="00E90E83" w:rsidP="00A71B8C">
            <w:pPr>
              <w:ind w:left="0"/>
              <w:jc w:val="both"/>
              <w:rPr>
                <w:rFonts w:ascii="Bookman Old Style" w:hAnsi="Bookman Old Style" w:cs="Arial"/>
                <w:b/>
                <w:spacing w:val="-3"/>
              </w:rPr>
            </w:pPr>
          </w:p>
          <w:p w14:paraId="4322B7CF" w14:textId="77777777" w:rsidR="00E90E83" w:rsidRPr="000B73A9" w:rsidRDefault="00E90E83" w:rsidP="00A71B8C">
            <w:pPr>
              <w:ind w:left="89"/>
              <w:jc w:val="center"/>
              <w:rPr>
                <w:rFonts w:ascii="Bookman Old Style" w:hAnsi="Bookman Old Style" w:cs="Arial"/>
                <w:b/>
                <w:spacing w:val="-3"/>
              </w:rPr>
            </w:pPr>
          </w:p>
          <w:p w14:paraId="25F25505" w14:textId="77777777" w:rsidR="00E90E83" w:rsidRPr="000B73A9" w:rsidRDefault="00E90E83" w:rsidP="00A71B8C">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E90E83" w:rsidRPr="000B73A9" w14:paraId="3901DCFD" w14:textId="77777777" w:rsidTr="00A71B8C">
        <w:trPr>
          <w:tblCellSpacing w:w="0" w:type="dxa"/>
          <w:jc w:val="center"/>
        </w:trPr>
        <w:tc>
          <w:tcPr>
            <w:tcW w:w="5033" w:type="dxa"/>
            <w:hideMark/>
          </w:tcPr>
          <w:p w14:paraId="1256B644" w14:textId="77777777" w:rsidR="00E90E83" w:rsidRPr="000B73A9" w:rsidRDefault="00E90E83" w:rsidP="00A71B8C">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239B197C" w14:textId="77777777" w:rsidR="00E90E83" w:rsidRPr="000B73A9" w:rsidRDefault="00E90E83" w:rsidP="00A71B8C">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102D682A" w14:textId="0FF16BA5" w:rsidR="00E90E83" w:rsidRPr="000B73A9" w:rsidRDefault="00E90E83" w:rsidP="00A71B8C">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E90E83" w:rsidRPr="000B73A9" w14:paraId="46F6097E" w14:textId="77777777" w:rsidTr="00A71B8C">
        <w:trPr>
          <w:tblCellSpacing w:w="0" w:type="dxa"/>
          <w:jc w:val="center"/>
        </w:trPr>
        <w:tc>
          <w:tcPr>
            <w:tcW w:w="5033" w:type="dxa"/>
            <w:hideMark/>
          </w:tcPr>
          <w:p w14:paraId="1787A590" w14:textId="77777777" w:rsidR="00E90E83" w:rsidRPr="000B73A9" w:rsidRDefault="00E90E83" w:rsidP="00A71B8C">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49E73C03" w14:textId="77777777" w:rsidR="00E90E83" w:rsidRPr="000B73A9" w:rsidRDefault="00E90E83" w:rsidP="00A71B8C">
            <w:pPr>
              <w:ind w:left="0"/>
              <w:jc w:val="both"/>
              <w:rPr>
                <w:rFonts w:ascii="Bookman Old Style" w:eastAsia="Arial Unicode MS" w:hAnsi="Bookman Old Style" w:cs="Arial"/>
                <w:color w:val="000000"/>
              </w:rPr>
            </w:pPr>
          </w:p>
        </w:tc>
      </w:tr>
    </w:tbl>
    <w:p w14:paraId="1457E5E5" w14:textId="77777777" w:rsidR="00382793" w:rsidRDefault="00382793" w:rsidP="00382793">
      <w:pPr>
        <w:widowControl w:val="0"/>
        <w:adjustRightInd w:val="0"/>
        <w:ind w:left="0"/>
        <w:jc w:val="center"/>
        <w:rPr>
          <w:rFonts w:ascii="Bookman Old Style" w:hAnsi="Bookman Old Style" w:cs="Arial"/>
          <w:b/>
        </w:rPr>
      </w:pPr>
    </w:p>
    <w:p w14:paraId="4A444593" w14:textId="77777777" w:rsidR="00382793" w:rsidRDefault="00382793" w:rsidP="00382793">
      <w:pPr>
        <w:widowControl w:val="0"/>
        <w:adjustRightInd w:val="0"/>
        <w:ind w:left="0"/>
        <w:jc w:val="center"/>
        <w:rPr>
          <w:rFonts w:ascii="Bookman Old Style" w:hAnsi="Bookman Old Style" w:cs="Arial"/>
          <w:b/>
        </w:rPr>
      </w:pPr>
    </w:p>
    <w:p w14:paraId="382DF9BC" w14:textId="77777777" w:rsidR="00382793" w:rsidRDefault="00382793" w:rsidP="00382793">
      <w:pPr>
        <w:widowControl w:val="0"/>
        <w:adjustRightInd w:val="0"/>
        <w:ind w:left="0"/>
        <w:jc w:val="center"/>
        <w:rPr>
          <w:rFonts w:ascii="Bookman Old Style" w:hAnsi="Bookman Old Style" w:cs="Arial"/>
          <w:b/>
        </w:rPr>
      </w:pPr>
    </w:p>
    <w:tbl>
      <w:tblPr>
        <w:tblW w:w="9496" w:type="dxa"/>
        <w:jc w:val="center"/>
        <w:tblLayout w:type="fixed"/>
        <w:tblCellMar>
          <w:left w:w="70" w:type="dxa"/>
          <w:right w:w="70" w:type="dxa"/>
        </w:tblCellMar>
        <w:tblLook w:val="0000" w:firstRow="0" w:lastRow="0" w:firstColumn="0" w:lastColumn="0" w:noHBand="0" w:noVBand="0"/>
      </w:tblPr>
      <w:tblGrid>
        <w:gridCol w:w="4748"/>
        <w:gridCol w:w="4748"/>
      </w:tblGrid>
      <w:tr w:rsidR="00382793" w:rsidRPr="00666660" w14:paraId="53731FBF" w14:textId="77777777" w:rsidTr="00382793">
        <w:trPr>
          <w:jc w:val="center"/>
        </w:trPr>
        <w:tc>
          <w:tcPr>
            <w:tcW w:w="4748" w:type="dxa"/>
          </w:tcPr>
          <w:p w14:paraId="2F3CBB17" w14:textId="6574F9B0" w:rsidR="00382793" w:rsidRPr="00BD0865" w:rsidRDefault="00382793" w:rsidP="00382793">
            <w:pPr>
              <w:tabs>
                <w:tab w:val="left" w:pos="-720"/>
              </w:tabs>
              <w:suppressAutoHyphens/>
              <w:ind w:left="0"/>
              <w:jc w:val="center"/>
              <w:rPr>
                <w:rFonts w:ascii="Bookman Old Style" w:hAnsi="Bookman Old Style" w:cs="Arial"/>
                <w:b/>
                <w:strike/>
                <w:spacing w:val="-3"/>
              </w:rPr>
            </w:pPr>
          </w:p>
        </w:tc>
        <w:tc>
          <w:tcPr>
            <w:tcW w:w="4748" w:type="dxa"/>
          </w:tcPr>
          <w:p w14:paraId="49E0E30C" w14:textId="5F6CA14D" w:rsidR="00382793" w:rsidRPr="00666660" w:rsidRDefault="00382793" w:rsidP="00382793">
            <w:pPr>
              <w:tabs>
                <w:tab w:val="left" w:pos="-720"/>
              </w:tabs>
              <w:suppressAutoHyphens/>
              <w:ind w:left="0"/>
              <w:jc w:val="center"/>
              <w:rPr>
                <w:rFonts w:ascii="Bookman Old Style" w:hAnsi="Bookman Old Style" w:cs="Arial"/>
                <w:b/>
                <w:spacing w:val="-3"/>
              </w:rPr>
            </w:pPr>
          </w:p>
        </w:tc>
      </w:tr>
    </w:tbl>
    <w:p w14:paraId="160AA315" w14:textId="77777777" w:rsidR="00526A24" w:rsidRDefault="00526A24" w:rsidP="00526A24">
      <w:pPr>
        <w:widowControl w:val="0"/>
        <w:tabs>
          <w:tab w:val="left" w:pos="-720"/>
        </w:tabs>
        <w:suppressAutoHyphens/>
        <w:adjustRightInd w:val="0"/>
        <w:ind w:left="0" w:right="20"/>
        <w:jc w:val="both"/>
        <w:rPr>
          <w:rFonts w:ascii="Bookman Old Style" w:hAnsi="Bookman Old Style" w:cs="Arial"/>
          <w:spacing w:val="-3"/>
          <w:lang w:val="es-CO"/>
        </w:rPr>
      </w:pPr>
    </w:p>
    <w:p w14:paraId="311F0DDC" w14:textId="78910A21" w:rsidR="00E07CAF" w:rsidRDefault="00E07CAF">
      <w:pPr>
        <w:ind w:left="0"/>
        <w:rPr>
          <w:rFonts w:ascii="Bookman Old Style" w:hAnsi="Bookman Old Style" w:cs="Arial"/>
          <w:spacing w:val="-3"/>
          <w:lang w:val="es-CO"/>
        </w:rPr>
      </w:pPr>
      <w:r>
        <w:rPr>
          <w:rFonts w:ascii="Bookman Old Style" w:hAnsi="Bookman Old Style" w:cs="Arial"/>
          <w:spacing w:val="-3"/>
          <w:lang w:val="es-CO"/>
        </w:rPr>
        <w:br w:type="page"/>
      </w:r>
    </w:p>
    <w:p w14:paraId="6F3E9A08" w14:textId="77777777" w:rsidR="00526A24" w:rsidRDefault="00526A24" w:rsidP="00526A24">
      <w:pPr>
        <w:widowControl w:val="0"/>
        <w:tabs>
          <w:tab w:val="left" w:pos="-720"/>
        </w:tabs>
        <w:suppressAutoHyphens/>
        <w:adjustRightInd w:val="0"/>
        <w:ind w:left="0" w:right="20"/>
        <w:jc w:val="both"/>
        <w:rPr>
          <w:rFonts w:ascii="Bookman Old Style" w:hAnsi="Bookman Old Style" w:cs="Arial"/>
          <w:spacing w:val="-3"/>
          <w:lang w:val="es-CO"/>
        </w:rPr>
      </w:pPr>
    </w:p>
    <w:p w14:paraId="7D8D5396" w14:textId="029C18C1" w:rsidR="00526A24" w:rsidRPr="001954E9" w:rsidRDefault="00895EC2" w:rsidP="00526A24">
      <w:pPr>
        <w:widowControl w:val="0"/>
        <w:adjustRightInd w:val="0"/>
        <w:ind w:left="0"/>
        <w:jc w:val="center"/>
        <w:rPr>
          <w:rFonts w:ascii="Bookman Old Style" w:hAnsi="Bookman Old Style" w:cs="Arial"/>
          <w:b/>
        </w:rPr>
      </w:pPr>
      <w:r>
        <w:rPr>
          <w:rFonts w:ascii="Bookman Old Style" w:hAnsi="Bookman Old Style" w:cs="Arial"/>
          <w:b/>
        </w:rPr>
        <w:t>ANEXO</w:t>
      </w:r>
    </w:p>
    <w:p w14:paraId="31CC97BB" w14:textId="77777777" w:rsidR="00526A24" w:rsidRPr="001954E9" w:rsidRDefault="00526A24" w:rsidP="00526A24">
      <w:pPr>
        <w:widowControl w:val="0"/>
        <w:adjustRightInd w:val="0"/>
        <w:ind w:left="0"/>
        <w:jc w:val="center"/>
        <w:rPr>
          <w:rFonts w:ascii="Bookman Old Style" w:hAnsi="Bookman Old Style" w:cs="Arial"/>
          <w:b/>
        </w:rPr>
      </w:pPr>
    </w:p>
    <w:p w14:paraId="10E5ACB0" w14:textId="77777777" w:rsidR="00526A24" w:rsidRPr="00AC7842" w:rsidRDefault="00526A24" w:rsidP="00526A24">
      <w:pPr>
        <w:widowControl w:val="0"/>
        <w:adjustRightInd w:val="0"/>
        <w:ind w:left="0"/>
        <w:jc w:val="center"/>
        <w:rPr>
          <w:rFonts w:ascii="Bookman Old Style" w:hAnsi="Bookman Old Style" w:cs="Arial"/>
          <w:b/>
          <w:bCs/>
          <w:lang w:val="es-CO"/>
        </w:rPr>
      </w:pPr>
      <w:r w:rsidRPr="00AC7842">
        <w:rPr>
          <w:rFonts w:ascii="Bookman Old Style" w:hAnsi="Bookman Old Style" w:cs="Arial"/>
          <w:b/>
          <w:bCs/>
          <w:lang w:val="es-CO"/>
        </w:rPr>
        <w:t>CLASIFICACION DE LOS MUNICIPIOS POR CARACTERISTICAS FÍSICAS Y METODOLOGÍA TARIFARIA</w:t>
      </w:r>
    </w:p>
    <w:p w14:paraId="561EA7EA" w14:textId="77777777" w:rsidR="00526A24" w:rsidRPr="00AC7842" w:rsidRDefault="00526A24" w:rsidP="00526A24">
      <w:pPr>
        <w:widowControl w:val="0"/>
        <w:adjustRightInd w:val="0"/>
        <w:ind w:left="0"/>
        <w:jc w:val="center"/>
        <w:rPr>
          <w:rFonts w:ascii="Bookman Old Style" w:hAnsi="Bookman Old Style" w:cs="Arial"/>
          <w:b/>
          <w:bCs/>
          <w:lang w:val="es-CO"/>
        </w:rPr>
      </w:pPr>
    </w:p>
    <w:tbl>
      <w:tblPr>
        <w:tblW w:w="5000" w:type="pct"/>
        <w:tblLayout w:type="fixed"/>
        <w:tblCellMar>
          <w:left w:w="70" w:type="dxa"/>
          <w:right w:w="70" w:type="dxa"/>
        </w:tblCellMar>
        <w:tblLook w:val="04A0" w:firstRow="1" w:lastRow="0" w:firstColumn="1" w:lastColumn="0" w:noHBand="0" w:noVBand="1"/>
      </w:tblPr>
      <w:tblGrid>
        <w:gridCol w:w="1870"/>
        <w:gridCol w:w="2181"/>
        <w:gridCol w:w="2181"/>
        <w:gridCol w:w="1557"/>
        <w:gridCol w:w="1557"/>
      </w:tblGrid>
      <w:tr w:rsidR="00866817" w:rsidRPr="00AC7842" w14:paraId="3768C559" w14:textId="77777777" w:rsidTr="00866817">
        <w:trPr>
          <w:trHeight w:val="600"/>
          <w:tblHeader/>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1C9CE3" w14:textId="77777777" w:rsidR="00526A24" w:rsidRPr="00866817" w:rsidRDefault="00526A24" w:rsidP="00FD4ECB">
            <w:pPr>
              <w:ind w:left="-70"/>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Código DANE Municipio</w:t>
            </w:r>
          </w:p>
        </w:tc>
        <w:tc>
          <w:tcPr>
            <w:tcW w:w="116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BBAB58" w14:textId="77777777" w:rsidR="00526A24" w:rsidRPr="00866817" w:rsidRDefault="00526A24" w:rsidP="00FD4ECB">
            <w:pPr>
              <w:ind w:left="-42"/>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Municipio</w:t>
            </w:r>
          </w:p>
        </w:tc>
        <w:tc>
          <w:tcPr>
            <w:tcW w:w="116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A94AFA" w14:textId="77777777" w:rsidR="00526A24" w:rsidRPr="00866817" w:rsidRDefault="00526A24" w:rsidP="00FD4ECB">
            <w:pPr>
              <w:ind w:left="0"/>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Departamento</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AE23F9" w14:textId="77777777" w:rsidR="00526A24" w:rsidRPr="00866817" w:rsidRDefault="00526A24" w:rsidP="00FD4ECB">
            <w:pPr>
              <w:ind w:left="-29"/>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 xml:space="preserve">Grupo </w:t>
            </w:r>
          </w:p>
          <w:p w14:paraId="67A6E86A" w14:textId="77777777" w:rsidR="00526A24" w:rsidRPr="00866817" w:rsidRDefault="00526A24" w:rsidP="00FD4ECB">
            <w:pPr>
              <w:ind w:left="-29"/>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G</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2F0600" w14:textId="77777777" w:rsidR="00526A24" w:rsidRPr="00866817" w:rsidRDefault="00526A24" w:rsidP="00FD4ECB">
            <w:pPr>
              <w:ind w:left="-29"/>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 xml:space="preserve">Metodología </w:t>
            </w:r>
          </w:p>
          <w:p w14:paraId="6C05D928" w14:textId="77777777" w:rsidR="00526A24" w:rsidRPr="00866817" w:rsidRDefault="00526A24" w:rsidP="00FD4ECB">
            <w:pPr>
              <w:ind w:left="-29"/>
              <w:jc w:val="center"/>
              <w:rPr>
                <w:rFonts w:ascii="Bookman Old Style" w:hAnsi="Bookman Old Style" w:cs="Arial"/>
                <w:b/>
                <w:color w:val="000000"/>
                <w:sz w:val="22"/>
                <w:szCs w:val="22"/>
                <w:lang w:val="es-MX" w:eastAsia="es-MX"/>
              </w:rPr>
            </w:pPr>
            <w:r w:rsidRPr="00866817">
              <w:rPr>
                <w:rFonts w:ascii="Bookman Old Style" w:hAnsi="Bookman Old Style" w:cs="Arial"/>
                <w:b/>
                <w:color w:val="000000"/>
                <w:sz w:val="22"/>
                <w:szCs w:val="22"/>
                <w:lang w:val="es-MX" w:eastAsia="es-MX"/>
              </w:rPr>
              <w:t>M</w:t>
            </w:r>
          </w:p>
        </w:tc>
      </w:tr>
      <w:tr w:rsidR="00866817" w:rsidRPr="00AC7842" w14:paraId="0A9A9ADC"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7BDE0" w14:textId="3E7C8646"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41483</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2BEC0C59" w14:textId="4A37F9BB"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Nataga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19A2813C" w14:textId="60744DA7"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A44988B" w14:textId="68D3EDE3"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49CB363" w14:textId="2559FEB9"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35460891"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39EBF" w14:textId="088DD035"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41206</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1F5DE167" w14:textId="4379424B"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Colombia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6F9CE1FD" w14:textId="1DF10433"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7096A23D" w14:textId="423AE0E9"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3</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5DDAFDC3" w14:textId="67D30FF3"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442C1A7E"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89AA0" w14:textId="2717DE28"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41244</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4C00D879" w14:textId="59B26831"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Elías</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577D6675" w14:textId="2C53FA77"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0D081CE" w14:textId="2CBC78D4"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5A107382" w14:textId="55742F70"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7A2209AA"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000CA" w14:textId="654CAE08"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41357</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1F1B4B22" w14:textId="49BD5AA6"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Iquirá</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751E13AA" w14:textId="004B61CF"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1DE5696E" w14:textId="66F3EAF5"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3</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50A606E" w14:textId="3689B204"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103E2FF1"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464B8" w14:textId="5B7F12BA"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41359</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63C8CEC4" w14:textId="34FE4A27"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Isnos</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29B132EF" w14:textId="1A6F992E"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DFBCCB9" w14:textId="4654397A"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0FE99D24" w14:textId="282DC6E7"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50A7A312"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570DD" w14:textId="7F344DA0"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41378</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02C77D92" w14:textId="1492FECB"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La Argentina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3A28EEC2" w14:textId="66457B66"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4F5C531A" w14:textId="129BE71A"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23ECDB59" w14:textId="01FD8B45"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47547227"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6E13A" w14:textId="76D479BB"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41503</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20DB5181" w14:textId="504EE675"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Oporapa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18D276C4" w14:textId="7DEBFA15"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5D22F9D2" w14:textId="60E5E0D4"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21D6C51B" w14:textId="6DEEFFC0"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65213A35"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587A1" w14:textId="04D667AF"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41530</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2670EEC7" w14:textId="30544CAA"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Palestina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5585001D" w14:textId="2D0DD00E"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6A623EBC" w14:textId="05F368B4"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3</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560DA935" w14:textId="66047D08"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667FED67"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BE52A" w14:textId="553D8C39"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41660</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65A35A37" w14:textId="35394B43"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Saladoblanco</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46C8E7A4" w14:textId="72091A09"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246B5B7E" w14:textId="6238BD29"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45A1AD3E" w14:textId="35BDAB55"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7F87C33E"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27C78" w14:textId="4862A2C3"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41676</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356DF37E" w14:textId="0B0AE63D"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Santa María</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5622F1D4" w14:textId="3C2F6C01"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15A42FAE" w14:textId="024F44E6"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3</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56C5DBA2" w14:textId="3612D990"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r w:rsidR="00866817" w:rsidRPr="00AC7842" w14:paraId="43F58B8E" w14:textId="77777777" w:rsidTr="0086681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05FEE" w14:textId="0C313106" w:rsidR="00866817" w:rsidRPr="00866817" w:rsidRDefault="00866817" w:rsidP="00866817">
            <w:pPr>
              <w:ind w:left="-7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41006</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73CCEB80" w14:textId="56327723" w:rsidR="00866817" w:rsidRPr="00866817" w:rsidRDefault="00866817" w:rsidP="00866817">
            <w:pPr>
              <w:ind w:left="-42"/>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Acevedo</w:t>
            </w:r>
          </w:p>
        </w:tc>
        <w:tc>
          <w:tcPr>
            <w:tcW w:w="1167" w:type="pct"/>
            <w:tcBorders>
              <w:top w:val="single" w:sz="4" w:space="0" w:color="auto"/>
              <w:left w:val="nil"/>
              <w:bottom w:val="single" w:sz="4" w:space="0" w:color="auto"/>
              <w:right w:val="single" w:sz="4" w:space="0" w:color="auto"/>
            </w:tcBorders>
            <w:shd w:val="clear" w:color="auto" w:fill="auto"/>
            <w:noWrap/>
            <w:vAlign w:val="center"/>
          </w:tcPr>
          <w:p w14:paraId="177376A1" w14:textId="69117040" w:rsidR="00866817" w:rsidRPr="00866817" w:rsidRDefault="00866817" w:rsidP="00866817">
            <w:pPr>
              <w:ind w:left="0"/>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Huila</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439AABF8" w14:textId="5D0C2EB9"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3</w:t>
            </w:r>
          </w:p>
        </w:tc>
        <w:tc>
          <w:tcPr>
            <w:tcW w:w="833" w:type="pct"/>
            <w:tcBorders>
              <w:top w:val="single" w:sz="4" w:space="0" w:color="auto"/>
              <w:left w:val="nil"/>
              <w:bottom w:val="single" w:sz="4" w:space="0" w:color="auto"/>
              <w:right w:val="single" w:sz="4" w:space="0" w:color="auto"/>
            </w:tcBorders>
            <w:shd w:val="clear" w:color="auto" w:fill="auto"/>
            <w:noWrap/>
            <w:vAlign w:val="center"/>
          </w:tcPr>
          <w:p w14:paraId="1FC42CC0" w14:textId="3769697E" w:rsidR="00866817" w:rsidRPr="00866817" w:rsidRDefault="00866817" w:rsidP="00866817">
            <w:pPr>
              <w:ind w:left="-29"/>
              <w:jc w:val="center"/>
              <w:rPr>
                <w:rFonts w:ascii="Bookman Old Style" w:hAnsi="Bookman Old Style" w:cs="Arial"/>
                <w:color w:val="000000"/>
                <w:sz w:val="22"/>
                <w:szCs w:val="22"/>
                <w:lang w:val="es-MX" w:eastAsia="es-MX"/>
              </w:rPr>
            </w:pPr>
            <w:r w:rsidRPr="00866817">
              <w:rPr>
                <w:rFonts w:ascii="Bookman Old Style" w:hAnsi="Bookman Old Style"/>
                <w:color w:val="000000"/>
                <w:sz w:val="22"/>
                <w:szCs w:val="22"/>
              </w:rPr>
              <w:t>2</w:t>
            </w:r>
          </w:p>
        </w:tc>
      </w:tr>
    </w:tbl>
    <w:p w14:paraId="5AC37DA3" w14:textId="77777777" w:rsidR="00526A24" w:rsidRDefault="00526A24" w:rsidP="00526A24">
      <w:pPr>
        <w:widowControl w:val="0"/>
        <w:adjustRightInd w:val="0"/>
        <w:ind w:left="0"/>
        <w:jc w:val="center"/>
        <w:rPr>
          <w:rFonts w:ascii="Bookman Old Style" w:hAnsi="Bookman Old Style" w:cs="Arial"/>
          <w:b/>
        </w:rPr>
      </w:pPr>
    </w:p>
    <w:p w14:paraId="30602A65" w14:textId="77777777" w:rsidR="00E07CAF" w:rsidRDefault="00E07CAF" w:rsidP="00526A24">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E90E83" w:rsidRPr="000B73A9" w14:paraId="1F362C86" w14:textId="77777777" w:rsidTr="00A71B8C">
        <w:trPr>
          <w:tblCellSpacing w:w="0" w:type="dxa"/>
          <w:jc w:val="center"/>
        </w:trPr>
        <w:tc>
          <w:tcPr>
            <w:tcW w:w="5033" w:type="dxa"/>
            <w:hideMark/>
          </w:tcPr>
          <w:p w14:paraId="65CD7D20" w14:textId="77777777" w:rsidR="00E90E83" w:rsidRPr="000B73A9" w:rsidRDefault="00E90E83" w:rsidP="00A71B8C">
            <w:pPr>
              <w:jc w:val="both"/>
              <w:rPr>
                <w:rFonts w:ascii="Bookman Old Style" w:hAnsi="Bookman Old Style" w:cs="Arial"/>
                <w:b/>
                <w:spacing w:val="-3"/>
              </w:rPr>
            </w:pPr>
          </w:p>
          <w:p w14:paraId="174632BB" w14:textId="77777777" w:rsidR="00E90E83" w:rsidRPr="000B73A9" w:rsidRDefault="00E90E83" w:rsidP="00A71B8C">
            <w:pPr>
              <w:jc w:val="both"/>
              <w:rPr>
                <w:rFonts w:ascii="Bookman Old Style" w:hAnsi="Bookman Old Style" w:cs="Arial"/>
                <w:b/>
                <w:spacing w:val="-3"/>
              </w:rPr>
            </w:pPr>
          </w:p>
          <w:p w14:paraId="7B14FE4E" w14:textId="77777777" w:rsidR="00E90E83" w:rsidRPr="000B73A9" w:rsidRDefault="00E90E83" w:rsidP="00A71B8C">
            <w:pPr>
              <w:ind w:left="66"/>
              <w:jc w:val="center"/>
              <w:rPr>
                <w:rFonts w:ascii="Bookman Old Style" w:hAnsi="Bookman Old Style" w:cs="Arial"/>
                <w:b/>
                <w:spacing w:val="-3"/>
              </w:rPr>
            </w:pPr>
          </w:p>
          <w:p w14:paraId="6F6CF663" w14:textId="77777777" w:rsidR="00E90E83" w:rsidRPr="000B73A9" w:rsidRDefault="00E90E83" w:rsidP="00A71B8C">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42351E23" w14:textId="77777777" w:rsidR="00E90E83" w:rsidRPr="000B73A9" w:rsidRDefault="00E90E83" w:rsidP="00A71B8C">
            <w:pPr>
              <w:ind w:left="89"/>
              <w:jc w:val="center"/>
              <w:rPr>
                <w:rFonts w:ascii="Bookman Old Style" w:hAnsi="Bookman Old Style" w:cs="Arial"/>
                <w:b/>
                <w:spacing w:val="-3"/>
              </w:rPr>
            </w:pPr>
          </w:p>
          <w:p w14:paraId="0AD20D65" w14:textId="77777777" w:rsidR="00E90E83" w:rsidRPr="000B73A9" w:rsidRDefault="00E90E83" w:rsidP="00A71B8C">
            <w:pPr>
              <w:ind w:left="0"/>
              <w:jc w:val="both"/>
              <w:rPr>
                <w:rFonts w:ascii="Bookman Old Style" w:hAnsi="Bookman Old Style" w:cs="Arial"/>
                <w:b/>
                <w:spacing w:val="-3"/>
              </w:rPr>
            </w:pPr>
          </w:p>
          <w:p w14:paraId="375885A7" w14:textId="77777777" w:rsidR="00E90E83" w:rsidRPr="000B73A9" w:rsidRDefault="00E90E83" w:rsidP="00A71B8C">
            <w:pPr>
              <w:ind w:left="89"/>
              <w:jc w:val="center"/>
              <w:rPr>
                <w:rFonts w:ascii="Bookman Old Style" w:hAnsi="Bookman Old Style" w:cs="Arial"/>
                <w:b/>
                <w:spacing w:val="-3"/>
              </w:rPr>
            </w:pPr>
          </w:p>
          <w:p w14:paraId="5A0C26B7" w14:textId="77777777" w:rsidR="00E90E83" w:rsidRPr="000B73A9" w:rsidRDefault="00E90E83" w:rsidP="00A71B8C">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E90E83" w:rsidRPr="000B73A9" w14:paraId="1DD79FD5" w14:textId="77777777" w:rsidTr="00A71B8C">
        <w:trPr>
          <w:tblCellSpacing w:w="0" w:type="dxa"/>
          <w:jc w:val="center"/>
        </w:trPr>
        <w:tc>
          <w:tcPr>
            <w:tcW w:w="5033" w:type="dxa"/>
            <w:hideMark/>
          </w:tcPr>
          <w:p w14:paraId="7C56D5AF" w14:textId="77777777" w:rsidR="00E90E83" w:rsidRPr="000B73A9" w:rsidRDefault="00E90E83" w:rsidP="00A71B8C">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2A50A5F1" w14:textId="77777777" w:rsidR="00E90E83" w:rsidRPr="000B73A9" w:rsidRDefault="00E90E83" w:rsidP="00A71B8C">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72FAE2B1" w14:textId="77777777" w:rsidR="00E90E83" w:rsidRPr="000B73A9" w:rsidRDefault="00E90E83" w:rsidP="00A71B8C">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E90E83" w:rsidRPr="000B73A9" w14:paraId="75F92839" w14:textId="77777777" w:rsidTr="00A71B8C">
        <w:trPr>
          <w:tblCellSpacing w:w="0" w:type="dxa"/>
          <w:jc w:val="center"/>
        </w:trPr>
        <w:tc>
          <w:tcPr>
            <w:tcW w:w="5033" w:type="dxa"/>
            <w:hideMark/>
          </w:tcPr>
          <w:p w14:paraId="741B67D9" w14:textId="77777777" w:rsidR="00E90E83" w:rsidRPr="000B73A9" w:rsidRDefault="00E90E83" w:rsidP="00A71B8C">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5A6BD5E2" w14:textId="77777777" w:rsidR="00E90E83" w:rsidRPr="000B73A9" w:rsidRDefault="00E90E83" w:rsidP="00A71B8C">
            <w:pPr>
              <w:ind w:left="0"/>
              <w:jc w:val="both"/>
              <w:rPr>
                <w:rFonts w:ascii="Bookman Old Style" w:eastAsia="Arial Unicode MS" w:hAnsi="Bookman Old Style" w:cs="Arial"/>
                <w:color w:val="000000"/>
              </w:rPr>
            </w:pPr>
          </w:p>
        </w:tc>
      </w:tr>
    </w:tbl>
    <w:p w14:paraId="74472799" w14:textId="77777777" w:rsidR="00E07CAF" w:rsidRDefault="00E07CAF" w:rsidP="00526A24">
      <w:pPr>
        <w:widowControl w:val="0"/>
        <w:adjustRightInd w:val="0"/>
        <w:ind w:left="0"/>
        <w:jc w:val="center"/>
        <w:rPr>
          <w:rFonts w:ascii="Bookman Old Style" w:hAnsi="Bookman Old Style" w:cs="Arial"/>
          <w:b/>
        </w:rPr>
      </w:pPr>
    </w:p>
    <w:p w14:paraId="3A3C7B1D" w14:textId="77777777" w:rsidR="00E07CAF" w:rsidRDefault="00E07CAF" w:rsidP="00E07CAF">
      <w:pPr>
        <w:widowControl w:val="0"/>
        <w:adjustRightInd w:val="0"/>
        <w:ind w:left="0"/>
        <w:jc w:val="center"/>
        <w:rPr>
          <w:rFonts w:ascii="Bookman Old Style" w:hAnsi="Bookman Old Style" w:cs="Arial"/>
          <w:b/>
        </w:rPr>
      </w:pPr>
    </w:p>
    <w:p w14:paraId="68C720A6" w14:textId="77777777" w:rsidR="00E07CAF" w:rsidRPr="00341E8F" w:rsidRDefault="00E07CAF" w:rsidP="00526A24">
      <w:pPr>
        <w:widowControl w:val="0"/>
        <w:adjustRightInd w:val="0"/>
        <w:ind w:left="0"/>
        <w:jc w:val="center"/>
        <w:rPr>
          <w:rFonts w:ascii="Bookman Old Style" w:hAnsi="Bookman Old Style" w:cs="Arial"/>
          <w:b/>
        </w:rPr>
      </w:pPr>
    </w:p>
    <w:p w14:paraId="0ADADC49" w14:textId="77777777" w:rsidR="00055B77" w:rsidRPr="00341E8F" w:rsidRDefault="00055B77" w:rsidP="00006560">
      <w:pPr>
        <w:pStyle w:val="Ttulo4"/>
        <w:tabs>
          <w:tab w:val="left" w:pos="0"/>
          <w:tab w:val="right" w:pos="9356"/>
        </w:tabs>
        <w:spacing w:before="360"/>
        <w:ind w:left="0"/>
        <w:jc w:val="left"/>
        <w:rPr>
          <w:rFonts w:ascii="Bookman Old Style" w:hAnsi="Bookman Old Style"/>
        </w:rPr>
      </w:pPr>
    </w:p>
    <w:sectPr w:rsidR="00055B77" w:rsidRPr="00341E8F"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A2FE" w14:textId="77777777" w:rsidR="007C65DD" w:rsidRDefault="007C65DD">
      <w:r>
        <w:separator/>
      </w:r>
    </w:p>
  </w:endnote>
  <w:endnote w:type="continuationSeparator" w:id="0">
    <w:p w14:paraId="75A37316" w14:textId="77777777" w:rsidR="007C65DD" w:rsidRDefault="007C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BA28" w14:textId="77777777" w:rsidR="007C65DD" w:rsidRDefault="007C65DD">
      <w:r>
        <w:separator/>
      </w:r>
    </w:p>
  </w:footnote>
  <w:footnote w:type="continuationSeparator" w:id="0">
    <w:p w14:paraId="408D5307" w14:textId="77777777" w:rsidR="007C65DD" w:rsidRDefault="007C65DD">
      <w:r>
        <w:continuationSeparator/>
      </w:r>
    </w:p>
  </w:footnote>
  <w:footnote w:id="1">
    <w:p w14:paraId="7CDA360C" w14:textId="77777777" w:rsidR="00E01F2E" w:rsidRPr="00EA2219" w:rsidRDefault="00E01F2E" w:rsidP="001C0019">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2">
    <w:p w14:paraId="5A5857D4" w14:textId="4F3D29EC" w:rsidR="00E01F2E" w:rsidRPr="00EA2219" w:rsidRDefault="00E01F2E"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r>
        <w:rPr>
          <w:rFonts w:ascii="Bookman Old Style" w:hAnsi="Bookman Old Style" w:cs="Arial"/>
          <w:sz w:val="16"/>
          <w:szCs w:val="16"/>
        </w:rPr>
        <w:t>.</w:t>
      </w:r>
    </w:p>
  </w:footnote>
  <w:footnote w:id="3">
    <w:p w14:paraId="0A2E4865" w14:textId="77777777" w:rsidR="00E01F2E" w:rsidRPr="00EA2219" w:rsidRDefault="00E01F2E"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4">
    <w:p w14:paraId="2C9BFF25" w14:textId="3D844D1E" w:rsidR="00E01F2E" w:rsidRPr="00EA2219" w:rsidRDefault="00E01F2E"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r>
        <w:rPr>
          <w:rFonts w:ascii="Bookman Old Style" w:hAnsi="Bookman Old Style" w:cs="Arial"/>
          <w:sz w:val="16"/>
          <w:szCs w:val="16"/>
        </w:rPr>
        <w:t>.</w:t>
      </w:r>
    </w:p>
  </w:footnote>
  <w:footnote w:id="5">
    <w:p w14:paraId="7797E79C" w14:textId="349729EB" w:rsidR="00E01F2E" w:rsidRPr="00EA2219" w:rsidRDefault="00E01F2E"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w:t>
      </w:r>
      <w:r>
        <w:rPr>
          <w:rFonts w:ascii="Bookman Old Style" w:hAnsi="Bookman Old Style" w:cs="Arial"/>
          <w:sz w:val="16"/>
          <w:szCs w:val="16"/>
        </w:rPr>
        <w:t>a</w:t>
      </w:r>
      <w:r w:rsidRPr="00EA2219">
        <w:rPr>
          <w:rFonts w:ascii="Bookman Old Style" w:hAnsi="Bookman Old Style" w:cs="Arial"/>
          <w:sz w:val="16"/>
          <w:szCs w:val="16"/>
        </w:rPr>
        <w:t xml:space="preserve"> lo expuesto por parte de la Corte Constitucional en Sentencia C-353 de 2006, se debe tener en cuenta como antecedente en relación con la aplicación de las normas en materia de servicios públicos domiciliarios y el ejercicio de las facultades regulatorias que ejercen las comisiones de regulación</w:t>
      </w:r>
      <w:r>
        <w:rPr>
          <w:rFonts w:ascii="Bookman Old Style" w:hAnsi="Bookman Old Style" w:cs="Arial"/>
          <w:sz w:val="16"/>
          <w:szCs w:val="16"/>
        </w:rPr>
        <w:t>,</w:t>
      </w:r>
      <w:r w:rsidRPr="00EA2219">
        <w:rPr>
          <w:rFonts w:ascii="Bookman Old Style" w:hAnsi="Bookman Old Style" w:cs="Arial"/>
          <w:sz w:val="16"/>
          <w:szCs w:val="16"/>
        </w:rPr>
        <w:t xml:space="preserve"> las consideraci</w:t>
      </w:r>
      <w:r>
        <w:rPr>
          <w:rFonts w:ascii="Bookman Old Style" w:hAnsi="Bookman Old Style" w:cs="Arial"/>
          <w:sz w:val="16"/>
          <w:szCs w:val="16"/>
        </w:rPr>
        <w:t xml:space="preserve">ones expuestas por parte de la </w:t>
      </w:r>
      <w:r w:rsidRPr="00EA2219">
        <w:rPr>
          <w:rFonts w:ascii="Bookman Old Style" w:hAnsi="Bookman Old Style" w:cs="Arial"/>
          <w:sz w:val="16"/>
          <w:szCs w:val="16"/>
        </w:rPr>
        <w:t>Corte Constituci</w:t>
      </w:r>
      <w:r>
        <w:rPr>
          <w:rFonts w:ascii="Bookman Old Style" w:hAnsi="Bookman Old Style" w:cs="Arial"/>
          <w:sz w:val="16"/>
          <w:szCs w:val="16"/>
        </w:rPr>
        <w:t>onal en sentencia C-150 de 2003.</w:t>
      </w:r>
    </w:p>
  </w:footnote>
  <w:footnote w:id="6">
    <w:p w14:paraId="199D3C38" w14:textId="77777777" w:rsidR="00E01F2E" w:rsidRPr="0007653A" w:rsidRDefault="00E01F2E" w:rsidP="001C0019">
      <w:pPr>
        <w:pStyle w:val="Textonotapie"/>
        <w:jc w:val="both"/>
        <w:rPr>
          <w:rFonts w:ascii="Arial" w:hAnsi="Arial" w:cs="Arial"/>
        </w:rPr>
      </w:pPr>
      <w:r w:rsidRPr="00DD2701">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Corte Constitucional, Sentencia C-150 de 2003.</w:t>
      </w:r>
    </w:p>
  </w:footnote>
  <w:footnote w:id="7">
    <w:p w14:paraId="401BDD3A" w14:textId="77777777" w:rsidR="00E01F2E" w:rsidRPr="00674CED" w:rsidRDefault="00E01F2E" w:rsidP="001C0019">
      <w:pPr>
        <w:pStyle w:val="Textonotapie"/>
        <w:jc w:val="both"/>
        <w:rPr>
          <w:rFonts w:ascii="Bookman Old Style" w:hAnsi="Bookman Old Style"/>
          <w:sz w:val="16"/>
          <w:szCs w:val="16"/>
        </w:rPr>
      </w:pPr>
      <w:r w:rsidRPr="00674CED">
        <w:rPr>
          <w:rStyle w:val="Refdenotaalpie"/>
          <w:rFonts w:ascii="Bookman Old Style" w:hAnsi="Bookman Old Style"/>
          <w:sz w:val="16"/>
          <w:szCs w:val="16"/>
        </w:rPr>
        <w:footnoteRef/>
      </w:r>
      <w:r w:rsidRPr="00674CED">
        <w:rPr>
          <w:rFonts w:ascii="Bookman Old Style" w:hAnsi="Bookman Old Style"/>
          <w:sz w:val="16"/>
          <w:szCs w:val="16"/>
        </w:rPr>
        <w:t xml:space="preserve"> Resolución CREG 202 de 2013, Artículo 9º. </w:t>
      </w:r>
      <w:r w:rsidRPr="00674CED">
        <w:rPr>
          <w:rFonts w:ascii="Bookman Old Style" w:hAnsi="Bookman Old Style"/>
          <w:bCs/>
          <w:sz w:val="16"/>
          <w:szCs w:val="16"/>
          <w:lang w:val="es-ES"/>
        </w:rPr>
        <w:t>METODOLOGÍA PARA EL CÁLCULO DE LOS CARGOS DE DISTRIBUCION A PARTIR DE LOS COSTOS MEDIOS HISTÓRICOS O COSTOS MEDIOS DE MEDIANO PLAZO.</w:t>
      </w:r>
    </w:p>
  </w:footnote>
  <w:footnote w:id="8">
    <w:p w14:paraId="0802CC58" w14:textId="77777777" w:rsidR="00E01F2E" w:rsidRPr="00EA2219" w:rsidRDefault="00E01F2E" w:rsidP="001C0019">
      <w:pPr>
        <w:pStyle w:val="Textonotapie"/>
        <w:jc w:val="both"/>
        <w:rPr>
          <w:rFonts w:ascii="Bookman Old Style" w:hAnsi="Bookman Old Style" w:cs="Arial"/>
          <w:sz w:val="16"/>
          <w:szCs w:val="16"/>
        </w:rPr>
      </w:pPr>
      <w:r w:rsidRPr="00674CED">
        <w:rPr>
          <w:rStyle w:val="Refdenotaalpie"/>
          <w:rFonts w:ascii="Bookman Old Style" w:hAnsi="Bookman Old Style" w:cs="Arial"/>
          <w:sz w:val="16"/>
          <w:szCs w:val="16"/>
        </w:rPr>
        <w:footnoteRef/>
      </w:r>
      <w:r w:rsidRPr="00674CED">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w:t>
      </w:r>
      <w:r w:rsidRPr="00EA2219">
        <w:rPr>
          <w:rFonts w:ascii="Bookman Old Style" w:hAnsi="Bookman Old Style" w:cs="Arial"/>
          <w:sz w:val="16"/>
          <w:szCs w:val="16"/>
        </w:rPr>
        <w:t>, 094 de 2010, 124 de 2011, 062 de 2010, 096 de 2011, 086 de 2011, 038 de 2001, 010 de 2011, 121 de 2014, 009 de 2015, 040 de 2015, 041 de 2015, 062 de 2015 y 091 de 2015.</w:t>
      </w:r>
    </w:p>
  </w:footnote>
  <w:footnote w:id="9">
    <w:p w14:paraId="6E661060" w14:textId="77777777" w:rsidR="00E01F2E" w:rsidRPr="0085300C" w:rsidRDefault="00E01F2E" w:rsidP="006440EC">
      <w:pPr>
        <w:pStyle w:val="Textonotapie"/>
        <w:rPr>
          <w:rFonts w:ascii="Bookman Old Style" w:hAnsi="Bookman Old Style"/>
          <w:sz w:val="16"/>
          <w:szCs w:val="16"/>
        </w:rPr>
      </w:pPr>
      <w:r w:rsidRPr="006440EC">
        <w:rPr>
          <w:rFonts w:ascii="Bookman Old Style" w:hAnsi="Bookman Old Style" w:cs="Arial"/>
          <w:sz w:val="16"/>
          <w:szCs w:val="16"/>
          <w:vertAlign w:val="superscript"/>
        </w:rPr>
        <w:footnoteRef/>
      </w:r>
      <w:r w:rsidRPr="00006560">
        <w:rPr>
          <w:rFonts w:ascii="Bookman Old Style" w:hAnsi="Bookman Old Style" w:cs="Arial"/>
          <w:sz w:val="16"/>
          <w:szCs w:val="16"/>
        </w:rPr>
        <w:t xml:space="preserve"> Ver entre otros el Auto I-2013-002499 solución de conflictos entre EPM y TGI en materia de contratos de transporte de gas natural.</w:t>
      </w:r>
    </w:p>
  </w:footnote>
  <w:footnote w:id="10">
    <w:p w14:paraId="5C8F2CDB" w14:textId="77777777" w:rsidR="00E01F2E" w:rsidRPr="00DD2701" w:rsidRDefault="00E01F2E" w:rsidP="006440EC">
      <w:pPr>
        <w:pStyle w:val="Textonotapie"/>
        <w:rPr>
          <w:rFonts w:ascii="Bookman Old Style" w:hAnsi="Bookman Old Style"/>
          <w:sz w:val="16"/>
          <w:szCs w:val="16"/>
        </w:rPr>
      </w:pPr>
      <w:r w:rsidRPr="00DD2701">
        <w:rPr>
          <w:rFonts w:ascii="Bookman Old Style" w:hAnsi="Bookman Old Style" w:cs="Arial"/>
          <w:sz w:val="16"/>
          <w:szCs w:val="16"/>
          <w:vertAlign w:val="superscript"/>
        </w:rPr>
        <w:footnoteRef/>
      </w:r>
      <w:r w:rsidRPr="00DD2701">
        <w:rPr>
          <w:rFonts w:ascii="Bookman Old Style" w:hAnsi="Bookman Old Style" w:cs="Arial"/>
          <w:sz w:val="16"/>
          <w:szCs w:val="16"/>
          <w:vertAlign w:val="superscript"/>
        </w:rPr>
        <w:t xml:space="preserve"> </w:t>
      </w:r>
      <w:r w:rsidRPr="00DD2701">
        <w:rPr>
          <w:rFonts w:ascii="Bookman Old Style" w:hAnsi="Bookman Old Style" w:cs="Arial"/>
          <w:sz w:val="16"/>
          <w:szCs w:val="16"/>
        </w:rPr>
        <w:t>Constitución Política, artículo 365.</w:t>
      </w:r>
    </w:p>
  </w:footnote>
  <w:footnote w:id="11">
    <w:p w14:paraId="7BB8C2AB" w14:textId="77777777" w:rsidR="00E01F2E" w:rsidRPr="00DD2701" w:rsidRDefault="00E01F2E" w:rsidP="006440EC">
      <w:pPr>
        <w:pStyle w:val="Textonotapie"/>
        <w:rPr>
          <w:rFonts w:ascii="Arial" w:hAnsi="Arial" w:cs="Arial"/>
          <w:sz w:val="16"/>
          <w:szCs w:val="16"/>
        </w:rPr>
      </w:pPr>
      <w:r w:rsidRPr="00DD2701">
        <w:rPr>
          <w:rStyle w:val="Refdenotaalpie"/>
          <w:rFonts w:ascii="Bookman Old Style" w:hAnsi="Bookman Old Style" w:cs="Arial"/>
          <w:sz w:val="16"/>
          <w:szCs w:val="16"/>
        </w:rPr>
        <w:footnoteRef/>
      </w:r>
      <w:r w:rsidRPr="00DD2701">
        <w:rPr>
          <w:rFonts w:ascii="Bookman Old Style" w:hAnsi="Bookman Old Style" w:cs="Arial"/>
          <w:sz w:val="16"/>
          <w:szCs w:val="16"/>
        </w:rPr>
        <w:t xml:space="preserve"> Corte Constitucional, Sentencia C-041 de 2003.</w:t>
      </w:r>
    </w:p>
  </w:footnote>
  <w:footnote w:id="12">
    <w:p w14:paraId="7A1116A6" w14:textId="77777777" w:rsidR="00E01F2E" w:rsidRPr="00EA2219" w:rsidRDefault="00E01F2E" w:rsidP="001C0019">
      <w:pPr>
        <w:pStyle w:val="Textonotapie"/>
        <w:rPr>
          <w:rFonts w:ascii="Bookman Old Style" w:hAnsi="Bookman Old Style"/>
          <w:sz w:val="18"/>
          <w:szCs w:val="18"/>
        </w:rPr>
      </w:pPr>
      <w:r w:rsidRPr="00DD2701">
        <w:rPr>
          <w:rStyle w:val="Refdenotaalpie"/>
          <w:rFonts w:ascii="Bookman Old Style" w:hAnsi="Bookman Old Style" w:cs="Arial"/>
          <w:sz w:val="16"/>
          <w:szCs w:val="16"/>
        </w:rPr>
        <w:footnoteRef/>
      </w:r>
      <w:r w:rsidRPr="00DD2701">
        <w:rPr>
          <w:rFonts w:ascii="Bookman Old Style" w:hAnsi="Bookman Old Style" w:cs="Arial"/>
          <w:sz w:val="16"/>
          <w:szCs w:val="16"/>
        </w:rPr>
        <w:t xml:space="preserve"> Corte Constitucional, Sentencia C-150 de 2003.</w:t>
      </w:r>
    </w:p>
  </w:footnote>
  <w:footnote w:id="13">
    <w:p w14:paraId="7C9EDA4F" w14:textId="77777777" w:rsidR="00E01F2E" w:rsidRPr="00EA2219" w:rsidRDefault="00E01F2E" w:rsidP="001C0019">
      <w:pPr>
        <w:pStyle w:val="Textonotapie"/>
        <w:rPr>
          <w:rFonts w:ascii="Bookman Old Style" w:hAnsi="Bookman Old Style" w:cs="Arial"/>
          <w:sz w:val="16"/>
          <w:szCs w:val="16"/>
        </w:rPr>
      </w:pPr>
      <w:r w:rsidRPr="00276411">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14:paraId="7529FA36" w14:textId="77777777" w:rsidR="00E01F2E" w:rsidRPr="00EA2219" w:rsidRDefault="00E01F2E" w:rsidP="001C0019">
      <w:pPr>
        <w:pStyle w:val="Textonotapie"/>
        <w:rPr>
          <w:rFonts w:ascii="Bookman Old Style" w:hAnsi="Bookman Old Style" w:cs="Arial"/>
          <w:sz w:val="16"/>
          <w:szCs w:val="16"/>
        </w:rPr>
      </w:pPr>
    </w:p>
    <w:p w14:paraId="15DAE2A0" w14:textId="1DF36A33" w:rsidR="00E01F2E" w:rsidRPr="00EA2219" w:rsidRDefault="00E01F2E" w:rsidP="00DD2701">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footnote>
  <w:footnote w:id="14">
    <w:p w14:paraId="6F5073AD" w14:textId="41975649" w:rsidR="00E01F2E" w:rsidRPr="00006560" w:rsidRDefault="00E01F2E" w:rsidP="00006560">
      <w:pPr>
        <w:pStyle w:val="Textonotapie"/>
        <w:jc w:val="both"/>
        <w:rPr>
          <w:rFonts w:ascii="Bookman Old Style" w:hAnsi="Bookman Old Style"/>
          <w:sz w:val="16"/>
          <w:szCs w:val="16"/>
        </w:rPr>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En adelante, el mercado relevante se dividirá en submercados, los cuales se conformar</w:t>
      </w:r>
      <w:r>
        <w:rPr>
          <w:rFonts w:ascii="Bookman Old Style" w:hAnsi="Bookman Old Style"/>
          <w:sz w:val="16"/>
          <w:szCs w:val="16"/>
        </w:rPr>
        <w:t>á</w:t>
      </w:r>
      <w:r w:rsidRPr="00006560">
        <w:rPr>
          <w:rFonts w:ascii="Bookman Old Style" w:hAnsi="Bookman Old Style"/>
          <w:sz w:val="16"/>
          <w:szCs w:val="16"/>
        </w:rPr>
        <w:t>n así: uno por cada municipio o mercado especial, existente o nuevo, con financiación de la inversión con recursos públicos y uno que agrega a todos los municipio(s) o mercado(s) especial(es), existente o nuevo, donde la inversión no fue financiada con recursos públicos.</w:t>
      </w:r>
    </w:p>
  </w:footnote>
  <w:footnote w:id="15">
    <w:p w14:paraId="7C72AD27" w14:textId="77777777" w:rsidR="00E01F2E" w:rsidRPr="00006560" w:rsidRDefault="00E01F2E" w:rsidP="00006560">
      <w:pPr>
        <w:pStyle w:val="Textonotapie"/>
        <w:jc w:val="both"/>
        <w:rPr>
          <w:rFonts w:ascii="Bookman Old Style" w:hAnsi="Bookman Old Style"/>
          <w:sz w:val="16"/>
          <w:szCs w:val="16"/>
        </w:rPr>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El cálculo de estas componentes se realizarán </w:t>
      </w:r>
      <w:r w:rsidRPr="00006560">
        <w:rPr>
          <w:rFonts w:ascii="Bookman Old Style" w:hAnsi="Bookman Old Style" w:cs="Arial"/>
          <w:sz w:val="16"/>
          <w:szCs w:val="16"/>
        </w:rPr>
        <w:t>conforme a lo establecido en los numerales 9.1.1.1, 9.1.1.2, 9.1.1.3, 9.2.1.1, 9.2.1.2 y 9.2.1.3 de la Resolución CREG 202 de 2013.</w:t>
      </w:r>
    </w:p>
  </w:footnote>
  <w:footnote w:id="16">
    <w:p w14:paraId="5669B45E" w14:textId="77777777" w:rsidR="00E01F2E" w:rsidRPr="00C81D10" w:rsidRDefault="00E01F2E" w:rsidP="00006560">
      <w:pPr>
        <w:pStyle w:val="Textonotapie"/>
        <w:jc w:val="both"/>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El cálculo de estas componentes se realizarán </w:t>
      </w:r>
      <w:r w:rsidRPr="00006560">
        <w:rPr>
          <w:rFonts w:ascii="Bookman Old Style" w:hAnsi="Bookman Old Style" w:cs="Arial"/>
          <w:sz w:val="16"/>
          <w:szCs w:val="16"/>
        </w:rPr>
        <w:t>conforme a lo establecido en los numerales 9.1.1.1, 9.1.1.2, 9.1.1.3, 9.2.1.1, 9.2.1.2 y 9.2.1.3 de la Resolución CREG 202 de 2013.</w:t>
      </w:r>
    </w:p>
  </w:footnote>
  <w:footnote w:id="17">
    <w:p w14:paraId="258220E2" w14:textId="77777777" w:rsidR="00E01F2E" w:rsidRPr="00850602" w:rsidRDefault="00E01F2E" w:rsidP="00526A24">
      <w:pPr>
        <w:pStyle w:val="Textonotapie"/>
        <w:rPr>
          <w:rFonts w:ascii="Bookman Old Style" w:hAnsi="Bookman Old Style"/>
          <w:sz w:val="16"/>
          <w:szCs w:val="16"/>
        </w:rPr>
      </w:pPr>
      <w:r w:rsidRPr="00850602">
        <w:rPr>
          <w:rStyle w:val="Refdenotaalpie"/>
          <w:rFonts w:ascii="Bookman Old Style" w:hAnsi="Bookman Old Style"/>
          <w:sz w:val="16"/>
          <w:szCs w:val="16"/>
        </w:rPr>
        <w:footnoteRef/>
      </w:r>
      <w:r w:rsidRPr="00850602">
        <w:rPr>
          <w:rFonts w:ascii="Bookman Old Style" w:hAnsi="Bookman Old Style"/>
          <w:sz w:val="16"/>
          <w:szCs w:val="16"/>
        </w:rPr>
        <w:t xml:space="preserve"> Corte Constitucional, Sentencia C-353 de 2006.</w:t>
      </w:r>
    </w:p>
  </w:footnote>
  <w:footnote w:id="18">
    <w:p w14:paraId="0C344F1A" w14:textId="77777777" w:rsidR="00E01F2E" w:rsidRPr="00850602" w:rsidRDefault="00E01F2E" w:rsidP="00526A24">
      <w:pPr>
        <w:pStyle w:val="Textonotapie"/>
        <w:rPr>
          <w:rFonts w:ascii="Bookman Old Style" w:hAnsi="Bookman Old Style"/>
          <w:sz w:val="16"/>
          <w:szCs w:val="16"/>
        </w:rPr>
      </w:pPr>
      <w:r w:rsidRPr="00850602">
        <w:rPr>
          <w:rStyle w:val="Refdenotaalpie"/>
          <w:rFonts w:ascii="Bookman Old Style" w:hAnsi="Bookman Old Style"/>
          <w:sz w:val="16"/>
          <w:szCs w:val="16"/>
        </w:rPr>
        <w:footnoteRef/>
      </w:r>
      <w:r w:rsidRPr="00850602">
        <w:rPr>
          <w:rFonts w:ascii="Bookman Old Style" w:hAnsi="Bookman Old Style"/>
          <w:sz w:val="16"/>
          <w:szCs w:val="16"/>
        </w:rPr>
        <w:t xml:space="preserve"> Ley 142 de 1994 artículos 86 y 87.</w:t>
      </w:r>
    </w:p>
  </w:footnote>
  <w:footnote w:id="19">
    <w:p w14:paraId="4DCB597C" w14:textId="77777777" w:rsidR="00E01F2E" w:rsidRPr="00850602" w:rsidRDefault="00E01F2E" w:rsidP="00526A24">
      <w:pPr>
        <w:pStyle w:val="Textonotapie"/>
        <w:rPr>
          <w:rFonts w:ascii="Bookman Old Style" w:hAnsi="Bookman Old Style" w:cs="Arial"/>
          <w:sz w:val="16"/>
          <w:szCs w:val="16"/>
        </w:rPr>
      </w:pPr>
      <w:r w:rsidRPr="00850602">
        <w:rPr>
          <w:rStyle w:val="Refdenotaalpie"/>
          <w:rFonts w:ascii="Bookman Old Style" w:hAnsi="Bookman Old Style" w:cs="Arial"/>
          <w:sz w:val="16"/>
          <w:szCs w:val="16"/>
        </w:rPr>
        <w:footnoteRef/>
      </w:r>
      <w:r w:rsidRPr="00850602">
        <w:rPr>
          <w:rFonts w:ascii="Bookman Old Style" w:hAnsi="Bookman Old Style" w:cs="Arial"/>
          <w:sz w:val="16"/>
          <w:szCs w:val="16"/>
        </w:rPr>
        <w:t xml:space="preserve"> Corte Constitucional, Sentencia C-075 de 2006.</w:t>
      </w:r>
    </w:p>
  </w:footnote>
  <w:footnote w:id="20">
    <w:p w14:paraId="0D34B700" w14:textId="65D5FA1F" w:rsidR="00E01F2E" w:rsidRPr="00850602" w:rsidRDefault="00E01F2E" w:rsidP="004E1136">
      <w:pPr>
        <w:pStyle w:val="Textonotapie"/>
        <w:jc w:val="both"/>
        <w:rPr>
          <w:rFonts w:ascii="Bookman Old Style" w:hAnsi="Bookman Old Style" w:cs="Arial"/>
          <w:sz w:val="16"/>
          <w:szCs w:val="16"/>
        </w:rPr>
      </w:pPr>
      <w:r w:rsidRPr="00850602">
        <w:rPr>
          <w:rStyle w:val="Refdenotaalpie"/>
          <w:rFonts w:ascii="Bookman Old Style" w:hAnsi="Bookman Old Style" w:cs="Arial"/>
          <w:sz w:val="16"/>
          <w:szCs w:val="16"/>
        </w:rPr>
        <w:footnoteRef/>
      </w:r>
      <w:r w:rsidRPr="00850602">
        <w:rPr>
          <w:rFonts w:ascii="Bookman Old Style" w:hAnsi="Bookman Old Style" w:cs="Arial"/>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21">
    <w:p w14:paraId="71149C58" w14:textId="77777777" w:rsidR="00E01F2E" w:rsidRPr="00FB28E4" w:rsidRDefault="00E01F2E" w:rsidP="002608FA">
      <w:pPr>
        <w:pStyle w:val="Textonotapie"/>
      </w:pPr>
      <w:r w:rsidRPr="00850602">
        <w:rPr>
          <w:rFonts w:ascii="Bookman Old Style" w:hAnsi="Bookman Old Style" w:cs="Arial"/>
          <w:sz w:val="16"/>
          <w:szCs w:val="16"/>
          <w:vertAlign w:val="superscript"/>
        </w:rPr>
        <w:footnoteRef/>
      </w:r>
      <w:r w:rsidRPr="00850602">
        <w:rPr>
          <w:rFonts w:ascii="Bookman Old Style" w:hAnsi="Bookman Old Style"/>
        </w:rPr>
        <w:t xml:space="preserve"> </w:t>
      </w:r>
      <w:r w:rsidRPr="00850602">
        <w:rPr>
          <w:rFonts w:ascii="Bookman Old Style" w:hAnsi="Bookman Old Style" w:cs="Arial"/>
          <w:sz w:val="16"/>
          <w:szCs w:val="16"/>
        </w:rPr>
        <w:t>Ley 142 de 1994, artículo 124.</w:t>
      </w:r>
    </w:p>
  </w:footnote>
  <w:footnote w:id="22">
    <w:p w14:paraId="26EECBE9" w14:textId="77777777" w:rsidR="00E01F2E" w:rsidRPr="00837ECA" w:rsidRDefault="00E01F2E" w:rsidP="00526A24">
      <w:pPr>
        <w:pStyle w:val="Textonotapie"/>
        <w:jc w:val="both"/>
        <w:rPr>
          <w:rFonts w:ascii="Bookman Old Style" w:hAnsi="Bookman Old Style" w:cs="Arial"/>
          <w:sz w:val="16"/>
          <w:szCs w:val="16"/>
        </w:rPr>
      </w:pPr>
      <w:r w:rsidRPr="00850602">
        <w:rPr>
          <w:rFonts w:ascii="Bookman Old Style" w:hAnsi="Bookman Old Style" w:cs="Arial"/>
          <w:sz w:val="16"/>
          <w:szCs w:val="16"/>
          <w:vertAlign w:val="superscript"/>
        </w:rPr>
        <w:footnoteRef/>
      </w:r>
      <w:r w:rsidRPr="00850602">
        <w:rPr>
          <w:rFonts w:ascii="Bookman Old Style" w:hAnsi="Bookman Old Style" w:cs="Arial"/>
          <w:sz w:val="16"/>
          <w:szCs w:val="16"/>
          <w:vertAlign w:val="superscript"/>
        </w:rPr>
        <w:t xml:space="preserve"> </w:t>
      </w:r>
      <w:r w:rsidRPr="00CC7E20">
        <w:rPr>
          <w:rFonts w:ascii="Bookman Old Style" w:hAnsi="Bookman Old Style" w:cs="Arial"/>
          <w:sz w:val="16"/>
          <w:szCs w:val="16"/>
        </w:rPr>
        <w:t>Se debe precisar que estas disposiciones se encuentran recogidas actualmente en los numerales 2.2.2.30 y siguientes del Decreto 1074 de 2015.</w:t>
      </w:r>
    </w:p>
  </w:footnote>
  <w:footnote w:id="23">
    <w:p w14:paraId="32118429" w14:textId="77777777" w:rsidR="00E01F2E" w:rsidRDefault="00E01F2E" w:rsidP="00526A24">
      <w:pPr>
        <w:pStyle w:val="Textonotapie"/>
        <w:jc w:val="both"/>
      </w:pPr>
      <w:r w:rsidRPr="00850602">
        <w:rPr>
          <w:rFonts w:ascii="Bookman Old Style" w:hAnsi="Bookman Old Style" w:cs="Arial"/>
          <w:sz w:val="16"/>
          <w:szCs w:val="16"/>
          <w:vertAlign w:val="superscript"/>
        </w:rPr>
        <w:footnoteRef/>
      </w:r>
      <w:r w:rsidRPr="00850602">
        <w:rPr>
          <w:rFonts w:ascii="Bookman Old Style" w:hAnsi="Bookman Old Style" w:cs="Arial"/>
          <w:sz w:val="16"/>
          <w:szCs w:val="16"/>
          <w:vertAlign w:val="superscript"/>
        </w:rPr>
        <w:t xml:space="preserve"> </w:t>
      </w:r>
      <w:r w:rsidRPr="006D153F">
        <w:rPr>
          <w:rFonts w:ascii="Bookman Old Style" w:hAnsi="Bookman Old Style" w:cs="Arial"/>
          <w:sz w:val="16"/>
          <w:szCs w:val="16"/>
        </w:rPr>
        <w:t>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9462" w14:textId="77777777" w:rsidR="00E01F2E" w:rsidRDefault="00E01F2E" w:rsidP="00951F79">
    <w:pPr>
      <w:pStyle w:val="Ttulo1"/>
      <w:ind w:right="6"/>
      <w:jc w:val="left"/>
      <w:rPr>
        <w:rFonts w:ascii="Bookman Old Style" w:hAnsi="Bookman Old Style" w:cs="Arial"/>
        <w:b w:val="0"/>
        <w:sz w:val="22"/>
        <w:szCs w:val="22"/>
      </w:rPr>
    </w:pPr>
  </w:p>
  <w:p w14:paraId="1AB667BE" w14:textId="23E1F9F8" w:rsidR="00E01F2E" w:rsidRPr="00951F79" w:rsidRDefault="00E01F2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93098">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93098">
      <w:fldChar w:fldCharType="begin"/>
    </w:r>
    <w:r w:rsidR="00A93098">
      <w:instrText xml:space="preserve"> NUMPAGES  \* MERGEFORMAT </w:instrText>
    </w:r>
    <w:r w:rsidR="00A93098">
      <w:fldChar w:fldCharType="separate"/>
    </w:r>
    <w:r w:rsidR="00A93098" w:rsidRPr="00A93098">
      <w:rPr>
        <w:rFonts w:ascii="Bookman Old Style" w:hAnsi="Bookman Old Style" w:cs="Arial"/>
        <w:b w:val="0"/>
        <w:noProof/>
        <w:sz w:val="22"/>
        <w:szCs w:val="22"/>
      </w:rPr>
      <w:t>55</w:t>
    </w:r>
    <w:r w:rsidR="00A93098">
      <w:rPr>
        <w:rFonts w:ascii="Bookman Old Style" w:hAnsi="Bookman Old Style" w:cs="Arial"/>
        <w:b w:val="0"/>
        <w:noProof/>
        <w:sz w:val="22"/>
        <w:szCs w:val="22"/>
      </w:rPr>
      <w:fldChar w:fldCharType="end"/>
    </w:r>
  </w:p>
  <w:p w14:paraId="62B6AC7A" w14:textId="77777777" w:rsidR="00E01F2E" w:rsidRDefault="00E01F2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7DC9F60" wp14:editId="55DAFB3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A86E"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945F583" w14:textId="77777777" w:rsidR="00E01F2E" w:rsidRPr="00D72D22" w:rsidRDefault="00E01F2E" w:rsidP="00D72D22">
    <w:pPr>
      <w:widowControl w:val="0"/>
      <w:adjustRightInd w:val="0"/>
      <w:ind w:left="0" w:right="20"/>
      <w:jc w:val="both"/>
      <w:rPr>
        <w:rFonts w:ascii="Bookman Old Style" w:hAnsi="Bookman Old Style" w:cs="Arial"/>
        <w:sz w:val="22"/>
        <w:szCs w:val="22"/>
        <w:lang w:val="es-ES_tradnl"/>
      </w:rPr>
    </w:pPr>
    <w:r w:rsidRPr="00D72D22">
      <w:rPr>
        <w:rFonts w:ascii="Bookman Old Style" w:hAnsi="Bookman Old Style" w:cs="Arial"/>
        <w:sz w:val="22"/>
        <w:szCs w:val="22"/>
        <w:lang w:val="es-ES_tradnl"/>
      </w:rPr>
      <w:t>Por la cual se aprueba cargo transitorio por uso del sistema de distribución de gas combustible por redes de tubería, para el mercado relevante conformado por los municipios de Nátaga, Colombia, Elías, Íquira, Isnos, La Argentina, Oporapa, Palestina, Saladoblanco, Santa María y Acevedo en el departamento de Huila, según solicitud tarifaria presentada por SURCOLOMBIANA DE GAS S.A. E.S.P.</w:t>
    </w:r>
  </w:p>
  <w:p w14:paraId="4A8ED1C2" w14:textId="77777777" w:rsidR="00E01F2E" w:rsidRPr="00D036CD" w:rsidRDefault="00E01F2E"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0D85" w14:textId="77777777" w:rsidR="00E01F2E" w:rsidRDefault="00E01F2E" w:rsidP="00433C7E">
    <w:pPr>
      <w:pStyle w:val="Encabezado"/>
      <w:ind w:left="0"/>
      <w:jc w:val="center"/>
      <w:rPr>
        <w:rFonts w:ascii="Arial" w:hAnsi="Arial" w:cs="Arial"/>
        <w:spacing w:val="20"/>
        <w:sz w:val="20"/>
      </w:rPr>
    </w:pPr>
    <w:r>
      <w:rPr>
        <w:rFonts w:ascii="Arial" w:hAnsi="Arial" w:cs="Arial"/>
        <w:spacing w:val="20"/>
        <w:sz w:val="20"/>
      </w:rPr>
      <w:t>República de Colombia</w:t>
    </w:r>
  </w:p>
  <w:p w14:paraId="00816450" w14:textId="77777777" w:rsidR="00E01F2E" w:rsidRDefault="00E01F2E">
    <w:pPr>
      <w:pStyle w:val="Encabezado"/>
      <w:jc w:val="center"/>
      <w:rPr>
        <w:rFonts w:ascii="Arial" w:hAnsi="Arial" w:cs="Arial"/>
        <w:spacing w:val="20"/>
        <w:sz w:val="20"/>
      </w:rPr>
    </w:pPr>
  </w:p>
  <w:p w14:paraId="7EF1FEFD" w14:textId="77777777" w:rsidR="00E01F2E" w:rsidRDefault="00E01F2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E468E9" wp14:editId="71999D1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DF2E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EE5D48"/>
    <w:multiLevelType w:val="hybridMultilevel"/>
    <w:tmpl w:val="5492B67E"/>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085E241D"/>
    <w:multiLevelType w:val="hybridMultilevel"/>
    <w:tmpl w:val="4C42D746"/>
    <w:lvl w:ilvl="0" w:tplc="080A0001">
      <w:start w:val="1"/>
      <w:numFmt w:val="bullet"/>
      <w:lvlText w:val=""/>
      <w:lvlJc w:val="left"/>
      <w:pPr>
        <w:ind w:left="855" w:hanging="360"/>
      </w:pPr>
      <w:rPr>
        <w:rFonts w:ascii="Symbol" w:hAnsi="Symbol" w:hint="default"/>
      </w:rPr>
    </w:lvl>
    <w:lvl w:ilvl="1" w:tplc="080A0003">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5"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BF255A"/>
    <w:multiLevelType w:val="hybridMultilevel"/>
    <w:tmpl w:val="7846913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19F33475"/>
    <w:multiLevelType w:val="hybridMultilevel"/>
    <w:tmpl w:val="FFD668EA"/>
    <w:lvl w:ilvl="0" w:tplc="6AF83B34">
      <w:start w:val="1"/>
      <w:numFmt w:val="decimal"/>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721DEC"/>
    <w:multiLevelType w:val="hybridMultilevel"/>
    <w:tmpl w:val="1BE2FE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B803642"/>
    <w:multiLevelType w:val="hybridMultilevel"/>
    <w:tmpl w:val="A956F726"/>
    <w:lvl w:ilvl="0" w:tplc="F7308F1C">
      <w:start w:val="1"/>
      <w:numFmt w:val="lowerLetter"/>
      <w:lvlText w:val="%1)"/>
      <w:lvlJc w:val="left"/>
      <w:pPr>
        <w:ind w:left="720" w:hanging="360"/>
      </w:pPr>
      <w:rPr>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5F289B"/>
    <w:multiLevelType w:val="hybridMultilevel"/>
    <w:tmpl w:val="1562D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5" w15:restartNumberingAfterBreak="0">
    <w:nsid w:val="29375622"/>
    <w:multiLevelType w:val="hybridMultilevel"/>
    <w:tmpl w:val="DA72098E"/>
    <w:lvl w:ilvl="0" w:tplc="0838B8C6">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2936E9"/>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C25864"/>
    <w:multiLevelType w:val="hybridMultilevel"/>
    <w:tmpl w:val="879833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F3376C"/>
    <w:multiLevelType w:val="multilevel"/>
    <w:tmpl w:val="B176996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8D016B"/>
    <w:multiLevelType w:val="multilevel"/>
    <w:tmpl w:val="34E222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B20BAA"/>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9" w15:restartNumberingAfterBreak="0">
    <w:nsid w:val="536B6E84"/>
    <w:multiLevelType w:val="hybridMultilevel"/>
    <w:tmpl w:val="E62602CE"/>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0" w15:restartNumberingAfterBreak="0">
    <w:nsid w:val="5514206F"/>
    <w:multiLevelType w:val="hybridMultilevel"/>
    <w:tmpl w:val="3C563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2" w15:restartNumberingAfterBreak="0">
    <w:nsid w:val="59777787"/>
    <w:multiLevelType w:val="multilevel"/>
    <w:tmpl w:val="727A0B3E"/>
    <w:lvl w:ilvl="0">
      <w:start w:val="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9933890"/>
    <w:multiLevelType w:val="hybridMultilevel"/>
    <w:tmpl w:val="6E6A3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633A71F2"/>
    <w:multiLevelType w:val="hybridMultilevel"/>
    <w:tmpl w:val="6302A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795A58"/>
    <w:multiLevelType w:val="hybridMultilevel"/>
    <w:tmpl w:val="50761CA6"/>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96938EE"/>
    <w:multiLevelType w:val="hybridMultilevel"/>
    <w:tmpl w:val="85E06766"/>
    <w:lvl w:ilvl="0" w:tplc="BFE8D5BC">
      <w:start w:val="2"/>
      <w:numFmt w:val="bullet"/>
      <w:lvlText w:val="-"/>
      <w:lvlJc w:val="left"/>
      <w:pPr>
        <w:ind w:left="1575" w:hanging="360"/>
      </w:pPr>
      <w:rPr>
        <w:rFonts w:ascii="Arial" w:eastAsia="Times New Roman" w:hAnsi="Arial" w:cs="Aria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40" w15:restartNumberingAfterBreak="0">
    <w:nsid w:val="6A0879FE"/>
    <w:multiLevelType w:val="hybridMultilevel"/>
    <w:tmpl w:val="260E5DA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1" w15:restartNumberingAfterBreak="0">
    <w:nsid w:val="71674B66"/>
    <w:multiLevelType w:val="hybridMultilevel"/>
    <w:tmpl w:val="81702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75186C1B"/>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7D4721"/>
    <w:multiLevelType w:val="hybridMultilevel"/>
    <w:tmpl w:val="6A804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7"/>
  </w:num>
  <w:num w:numId="2">
    <w:abstractNumId w:val="22"/>
  </w:num>
  <w:num w:numId="3">
    <w:abstractNumId w:val="1"/>
  </w:num>
  <w:num w:numId="4">
    <w:abstractNumId w:val="26"/>
  </w:num>
  <w:num w:numId="5">
    <w:abstractNumId w:val="13"/>
  </w:num>
  <w:num w:numId="6">
    <w:abstractNumId w:val="46"/>
  </w:num>
  <w:num w:numId="7">
    <w:abstractNumId w:val="38"/>
  </w:num>
  <w:num w:numId="8">
    <w:abstractNumId w:val="25"/>
  </w:num>
  <w:num w:numId="9">
    <w:abstractNumId w:val="17"/>
  </w:num>
  <w:num w:numId="10">
    <w:abstractNumId w:val="3"/>
  </w:num>
  <w:num w:numId="11">
    <w:abstractNumId w:val="45"/>
  </w:num>
  <w:num w:numId="12">
    <w:abstractNumId w:val="20"/>
  </w:num>
  <w:num w:numId="13">
    <w:abstractNumId w:val="14"/>
  </w:num>
  <w:num w:numId="14">
    <w:abstractNumId w:val="18"/>
  </w:num>
  <w:num w:numId="15">
    <w:abstractNumId w:val="34"/>
  </w:num>
  <w:num w:numId="16">
    <w:abstractNumId w:val="31"/>
  </w:num>
  <w:num w:numId="17">
    <w:abstractNumId w:val="15"/>
  </w:num>
  <w:num w:numId="18">
    <w:abstractNumId w:val="4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42"/>
  </w:num>
  <w:num w:numId="22">
    <w:abstractNumId w:val="16"/>
  </w:num>
  <w:num w:numId="23">
    <w:abstractNumId w:val="44"/>
  </w:num>
  <w:num w:numId="24">
    <w:abstractNumId w:val="6"/>
  </w:num>
  <w:num w:numId="25">
    <w:abstractNumId w:val="9"/>
  </w:num>
  <w:num w:numId="26">
    <w:abstractNumId w:val="33"/>
  </w:num>
  <w:num w:numId="27">
    <w:abstractNumId w:val="2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1"/>
  </w:num>
  <w:num w:numId="31">
    <w:abstractNumId w:val="27"/>
  </w:num>
  <w:num w:numId="32">
    <w:abstractNumId w:val="4"/>
  </w:num>
  <w:num w:numId="33">
    <w:abstractNumId w:val="39"/>
  </w:num>
  <w:num w:numId="34">
    <w:abstractNumId w:val="35"/>
  </w:num>
  <w:num w:numId="35">
    <w:abstractNumId w:val="47"/>
  </w:num>
  <w:num w:numId="36">
    <w:abstractNumId w:val="28"/>
  </w:num>
  <w:num w:numId="37">
    <w:abstractNumId w:val="8"/>
  </w:num>
  <w:num w:numId="38">
    <w:abstractNumId w:val="36"/>
  </w:num>
  <w:num w:numId="39">
    <w:abstractNumId w:val="30"/>
  </w:num>
  <w:num w:numId="40">
    <w:abstractNumId w:val="19"/>
  </w:num>
  <w:num w:numId="41">
    <w:abstractNumId w:val="29"/>
  </w:num>
  <w:num w:numId="42">
    <w:abstractNumId w:val="11"/>
  </w:num>
  <w:num w:numId="43">
    <w:abstractNumId w:val="2"/>
  </w:num>
  <w:num w:numId="44">
    <w:abstractNumId w:val="43"/>
  </w:num>
  <w:num w:numId="45">
    <w:abstractNumId w:val="5"/>
  </w:num>
  <w:num w:numId="46">
    <w:abstractNumId w:val="12"/>
  </w:num>
  <w:num w:numId="47">
    <w:abstractNumId w:val="41"/>
  </w:num>
  <w:num w:numId="4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50E4"/>
    <w:rsid w:val="00006560"/>
    <w:rsid w:val="0000682F"/>
    <w:rsid w:val="00006AE2"/>
    <w:rsid w:val="000076A1"/>
    <w:rsid w:val="00012259"/>
    <w:rsid w:val="00014E2E"/>
    <w:rsid w:val="00016C18"/>
    <w:rsid w:val="000175DD"/>
    <w:rsid w:val="00020431"/>
    <w:rsid w:val="00025383"/>
    <w:rsid w:val="00026367"/>
    <w:rsid w:val="000275B9"/>
    <w:rsid w:val="0003128C"/>
    <w:rsid w:val="0003161B"/>
    <w:rsid w:val="00032D70"/>
    <w:rsid w:val="00034433"/>
    <w:rsid w:val="00034816"/>
    <w:rsid w:val="00035D47"/>
    <w:rsid w:val="00040A9E"/>
    <w:rsid w:val="00040F56"/>
    <w:rsid w:val="00042803"/>
    <w:rsid w:val="000435F2"/>
    <w:rsid w:val="00044144"/>
    <w:rsid w:val="00044689"/>
    <w:rsid w:val="0004655A"/>
    <w:rsid w:val="00050211"/>
    <w:rsid w:val="000537E8"/>
    <w:rsid w:val="0005493F"/>
    <w:rsid w:val="00055B77"/>
    <w:rsid w:val="00060D57"/>
    <w:rsid w:val="0006208A"/>
    <w:rsid w:val="00063657"/>
    <w:rsid w:val="0007039A"/>
    <w:rsid w:val="00073153"/>
    <w:rsid w:val="00073FBC"/>
    <w:rsid w:val="00076396"/>
    <w:rsid w:val="00076680"/>
    <w:rsid w:val="000766B8"/>
    <w:rsid w:val="00076A1D"/>
    <w:rsid w:val="00076DF2"/>
    <w:rsid w:val="0007777E"/>
    <w:rsid w:val="0008073E"/>
    <w:rsid w:val="00082816"/>
    <w:rsid w:val="00082F75"/>
    <w:rsid w:val="000879EC"/>
    <w:rsid w:val="0009160F"/>
    <w:rsid w:val="00091CDB"/>
    <w:rsid w:val="00092171"/>
    <w:rsid w:val="0009253D"/>
    <w:rsid w:val="000929BA"/>
    <w:rsid w:val="00093F01"/>
    <w:rsid w:val="00093F91"/>
    <w:rsid w:val="00095BCF"/>
    <w:rsid w:val="000963CC"/>
    <w:rsid w:val="00096E1F"/>
    <w:rsid w:val="00097420"/>
    <w:rsid w:val="000A19AC"/>
    <w:rsid w:val="000A3172"/>
    <w:rsid w:val="000A7E74"/>
    <w:rsid w:val="000B03C2"/>
    <w:rsid w:val="000B0B85"/>
    <w:rsid w:val="000B17F7"/>
    <w:rsid w:val="000B1B19"/>
    <w:rsid w:val="000B667A"/>
    <w:rsid w:val="000C09A0"/>
    <w:rsid w:val="000C1134"/>
    <w:rsid w:val="000C11B9"/>
    <w:rsid w:val="000C28B2"/>
    <w:rsid w:val="000C3239"/>
    <w:rsid w:val="000C4768"/>
    <w:rsid w:val="000C750F"/>
    <w:rsid w:val="000C76CD"/>
    <w:rsid w:val="000D1308"/>
    <w:rsid w:val="000D1814"/>
    <w:rsid w:val="000D26F8"/>
    <w:rsid w:val="000D363B"/>
    <w:rsid w:val="000E01B8"/>
    <w:rsid w:val="000E2037"/>
    <w:rsid w:val="000E644D"/>
    <w:rsid w:val="000E65FF"/>
    <w:rsid w:val="000E7A38"/>
    <w:rsid w:val="000E7F51"/>
    <w:rsid w:val="000F1132"/>
    <w:rsid w:val="000F18B2"/>
    <w:rsid w:val="000F3230"/>
    <w:rsid w:val="000F410B"/>
    <w:rsid w:val="000F4508"/>
    <w:rsid w:val="0010028F"/>
    <w:rsid w:val="0010055F"/>
    <w:rsid w:val="00105372"/>
    <w:rsid w:val="0010707E"/>
    <w:rsid w:val="001072B9"/>
    <w:rsid w:val="00107B61"/>
    <w:rsid w:val="00110763"/>
    <w:rsid w:val="00111900"/>
    <w:rsid w:val="00113128"/>
    <w:rsid w:val="0011341F"/>
    <w:rsid w:val="00113949"/>
    <w:rsid w:val="001139FA"/>
    <w:rsid w:val="00115B8D"/>
    <w:rsid w:val="0011609A"/>
    <w:rsid w:val="001202B9"/>
    <w:rsid w:val="0012200E"/>
    <w:rsid w:val="00122CFB"/>
    <w:rsid w:val="001279E4"/>
    <w:rsid w:val="00127BE6"/>
    <w:rsid w:val="00130B51"/>
    <w:rsid w:val="00131585"/>
    <w:rsid w:val="0013320E"/>
    <w:rsid w:val="00135116"/>
    <w:rsid w:val="0014017F"/>
    <w:rsid w:val="001405C6"/>
    <w:rsid w:val="001405EC"/>
    <w:rsid w:val="00141013"/>
    <w:rsid w:val="00143228"/>
    <w:rsid w:val="00146A9D"/>
    <w:rsid w:val="00147296"/>
    <w:rsid w:val="00150270"/>
    <w:rsid w:val="00154D61"/>
    <w:rsid w:val="00155EEB"/>
    <w:rsid w:val="00160B1D"/>
    <w:rsid w:val="00160B5E"/>
    <w:rsid w:val="00163697"/>
    <w:rsid w:val="00167834"/>
    <w:rsid w:val="00173227"/>
    <w:rsid w:val="00173570"/>
    <w:rsid w:val="00173DAA"/>
    <w:rsid w:val="001748A3"/>
    <w:rsid w:val="00174906"/>
    <w:rsid w:val="00177A83"/>
    <w:rsid w:val="001803B2"/>
    <w:rsid w:val="00182325"/>
    <w:rsid w:val="0018547A"/>
    <w:rsid w:val="00191DCF"/>
    <w:rsid w:val="00192CBF"/>
    <w:rsid w:val="00192FF1"/>
    <w:rsid w:val="001931A8"/>
    <w:rsid w:val="001946B2"/>
    <w:rsid w:val="001947CE"/>
    <w:rsid w:val="0019480C"/>
    <w:rsid w:val="00194AD4"/>
    <w:rsid w:val="001954E9"/>
    <w:rsid w:val="00195E5B"/>
    <w:rsid w:val="001A5572"/>
    <w:rsid w:val="001A5F1B"/>
    <w:rsid w:val="001B0D07"/>
    <w:rsid w:val="001B1484"/>
    <w:rsid w:val="001B1B20"/>
    <w:rsid w:val="001B1C22"/>
    <w:rsid w:val="001B34C6"/>
    <w:rsid w:val="001B3C74"/>
    <w:rsid w:val="001B6003"/>
    <w:rsid w:val="001B61EB"/>
    <w:rsid w:val="001B6AC6"/>
    <w:rsid w:val="001B7878"/>
    <w:rsid w:val="001C0019"/>
    <w:rsid w:val="001C1345"/>
    <w:rsid w:val="001C24F8"/>
    <w:rsid w:val="001C3899"/>
    <w:rsid w:val="001C4977"/>
    <w:rsid w:val="001C5CDC"/>
    <w:rsid w:val="001C6723"/>
    <w:rsid w:val="001C6DFC"/>
    <w:rsid w:val="001C7B61"/>
    <w:rsid w:val="001D033A"/>
    <w:rsid w:val="001D17F5"/>
    <w:rsid w:val="001D7832"/>
    <w:rsid w:val="001E0426"/>
    <w:rsid w:val="001E0779"/>
    <w:rsid w:val="001E2BE7"/>
    <w:rsid w:val="001E2FAE"/>
    <w:rsid w:val="001E3379"/>
    <w:rsid w:val="001E56C7"/>
    <w:rsid w:val="001E6B6B"/>
    <w:rsid w:val="001E738F"/>
    <w:rsid w:val="001E746A"/>
    <w:rsid w:val="001F3765"/>
    <w:rsid w:val="001F4CEF"/>
    <w:rsid w:val="00202EA5"/>
    <w:rsid w:val="00203676"/>
    <w:rsid w:val="00203B4C"/>
    <w:rsid w:val="00203B82"/>
    <w:rsid w:val="002041EA"/>
    <w:rsid w:val="002044C4"/>
    <w:rsid w:val="00204E5B"/>
    <w:rsid w:val="00204F46"/>
    <w:rsid w:val="0021065A"/>
    <w:rsid w:val="00211D34"/>
    <w:rsid w:val="00213668"/>
    <w:rsid w:val="00214F04"/>
    <w:rsid w:val="00215B3E"/>
    <w:rsid w:val="00216CAB"/>
    <w:rsid w:val="00217844"/>
    <w:rsid w:val="002209C0"/>
    <w:rsid w:val="00221F55"/>
    <w:rsid w:val="00225B94"/>
    <w:rsid w:val="00226ECF"/>
    <w:rsid w:val="00231F80"/>
    <w:rsid w:val="00234A25"/>
    <w:rsid w:val="00237A3D"/>
    <w:rsid w:val="00237FDF"/>
    <w:rsid w:val="002403B4"/>
    <w:rsid w:val="00240455"/>
    <w:rsid w:val="00241181"/>
    <w:rsid w:val="00241399"/>
    <w:rsid w:val="002420D5"/>
    <w:rsid w:val="0024290F"/>
    <w:rsid w:val="00243DE3"/>
    <w:rsid w:val="00244322"/>
    <w:rsid w:val="00244BF2"/>
    <w:rsid w:val="00246AA1"/>
    <w:rsid w:val="00246C1A"/>
    <w:rsid w:val="002504A3"/>
    <w:rsid w:val="00250C29"/>
    <w:rsid w:val="00252A8C"/>
    <w:rsid w:val="00253925"/>
    <w:rsid w:val="00260569"/>
    <w:rsid w:val="002606F0"/>
    <w:rsid w:val="002608FA"/>
    <w:rsid w:val="00260D98"/>
    <w:rsid w:val="00261C4A"/>
    <w:rsid w:val="00264A02"/>
    <w:rsid w:val="00266CD6"/>
    <w:rsid w:val="0027346B"/>
    <w:rsid w:val="0027375A"/>
    <w:rsid w:val="00273C2C"/>
    <w:rsid w:val="00274246"/>
    <w:rsid w:val="00274885"/>
    <w:rsid w:val="0027596A"/>
    <w:rsid w:val="00275BAD"/>
    <w:rsid w:val="00275DAB"/>
    <w:rsid w:val="00276411"/>
    <w:rsid w:val="0027747C"/>
    <w:rsid w:val="0027773E"/>
    <w:rsid w:val="0027774F"/>
    <w:rsid w:val="0028104F"/>
    <w:rsid w:val="002817D6"/>
    <w:rsid w:val="00281C19"/>
    <w:rsid w:val="00283BDF"/>
    <w:rsid w:val="002849F9"/>
    <w:rsid w:val="00285A3E"/>
    <w:rsid w:val="00285D62"/>
    <w:rsid w:val="002861B3"/>
    <w:rsid w:val="00286E5E"/>
    <w:rsid w:val="002874D5"/>
    <w:rsid w:val="00291652"/>
    <w:rsid w:val="002919B7"/>
    <w:rsid w:val="00292734"/>
    <w:rsid w:val="00295885"/>
    <w:rsid w:val="002967DB"/>
    <w:rsid w:val="00297A92"/>
    <w:rsid w:val="002A12EA"/>
    <w:rsid w:val="002A234D"/>
    <w:rsid w:val="002A345B"/>
    <w:rsid w:val="002A394F"/>
    <w:rsid w:val="002A3E31"/>
    <w:rsid w:val="002A782A"/>
    <w:rsid w:val="002B11E2"/>
    <w:rsid w:val="002B1B36"/>
    <w:rsid w:val="002B24B8"/>
    <w:rsid w:val="002B34EB"/>
    <w:rsid w:val="002B52FA"/>
    <w:rsid w:val="002B5448"/>
    <w:rsid w:val="002B5C9D"/>
    <w:rsid w:val="002B7B8F"/>
    <w:rsid w:val="002C03E1"/>
    <w:rsid w:val="002C5FDD"/>
    <w:rsid w:val="002C69FA"/>
    <w:rsid w:val="002C6DE9"/>
    <w:rsid w:val="002D0016"/>
    <w:rsid w:val="002D0C0D"/>
    <w:rsid w:val="002D0F79"/>
    <w:rsid w:val="002D3AE9"/>
    <w:rsid w:val="002D4510"/>
    <w:rsid w:val="002D6B88"/>
    <w:rsid w:val="002D747B"/>
    <w:rsid w:val="002E3C26"/>
    <w:rsid w:val="002E43DD"/>
    <w:rsid w:val="002E4959"/>
    <w:rsid w:val="002E4DC3"/>
    <w:rsid w:val="002E5905"/>
    <w:rsid w:val="002F0734"/>
    <w:rsid w:val="002F07E5"/>
    <w:rsid w:val="002F0CC9"/>
    <w:rsid w:val="002F2CD9"/>
    <w:rsid w:val="002F3677"/>
    <w:rsid w:val="002F46E7"/>
    <w:rsid w:val="002F5D62"/>
    <w:rsid w:val="002F5E3D"/>
    <w:rsid w:val="002F7250"/>
    <w:rsid w:val="002F7643"/>
    <w:rsid w:val="002F7BC3"/>
    <w:rsid w:val="00302AF5"/>
    <w:rsid w:val="003034E2"/>
    <w:rsid w:val="00303C3C"/>
    <w:rsid w:val="00304DB9"/>
    <w:rsid w:val="003101DA"/>
    <w:rsid w:val="003106A1"/>
    <w:rsid w:val="00312369"/>
    <w:rsid w:val="00314693"/>
    <w:rsid w:val="00314757"/>
    <w:rsid w:val="00320809"/>
    <w:rsid w:val="003211CE"/>
    <w:rsid w:val="00321766"/>
    <w:rsid w:val="00321E6C"/>
    <w:rsid w:val="0032216B"/>
    <w:rsid w:val="0032669A"/>
    <w:rsid w:val="0032727B"/>
    <w:rsid w:val="00327FC7"/>
    <w:rsid w:val="0033099C"/>
    <w:rsid w:val="00331004"/>
    <w:rsid w:val="0033191F"/>
    <w:rsid w:val="00331E1E"/>
    <w:rsid w:val="00341E8F"/>
    <w:rsid w:val="00342AEA"/>
    <w:rsid w:val="00344D2A"/>
    <w:rsid w:val="00345FA9"/>
    <w:rsid w:val="00346E50"/>
    <w:rsid w:val="003518A4"/>
    <w:rsid w:val="0035403A"/>
    <w:rsid w:val="00354CE5"/>
    <w:rsid w:val="00355285"/>
    <w:rsid w:val="00356BBD"/>
    <w:rsid w:val="00357DAB"/>
    <w:rsid w:val="00360ADB"/>
    <w:rsid w:val="00360E1E"/>
    <w:rsid w:val="0036394B"/>
    <w:rsid w:val="00364E6F"/>
    <w:rsid w:val="0036751E"/>
    <w:rsid w:val="00367F57"/>
    <w:rsid w:val="003700B5"/>
    <w:rsid w:val="003709B5"/>
    <w:rsid w:val="00370C31"/>
    <w:rsid w:val="0037249D"/>
    <w:rsid w:val="003734BE"/>
    <w:rsid w:val="00373C5A"/>
    <w:rsid w:val="00374A4D"/>
    <w:rsid w:val="00374DD3"/>
    <w:rsid w:val="003759C2"/>
    <w:rsid w:val="0037799F"/>
    <w:rsid w:val="00382793"/>
    <w:rsid w:val="00383DE3"/>
    <w:rsid w:val="003846C6"/>
    <w:rsid w:val="00384BE4"/>
    <w:rsid w:val="00384D7C"/>
    <w:rsid w:val="003852DC"/>
    <w:rsid w:val="00385984"/>
    <w:rsid w:val="00387A57"/>
    <w:rsid w:val="00390BBF"/>
    <w:rsid w:val="00391B3F"/>
    <w:rsid w:val="003925C7"/>
    <w:rsid w:val="00392899"/>
    <w:rsid w:val="00392D9C"/>
    <w:rsid w:val="0039332B"/>
    <w:rsid w:val="003943C4"/>
    <w:rsid w:val="00397365"/>
    <w:rsid w:val="003A2CCD"/>
    <w:rsid w:val="003A31F6"/>
    <w:rsid w:val="003A3799"/>
    <w:rsid w:val="003A789A"/>
    <w:rsid w:val="003B10B9"/>
    <w:rsid w:val="003B1EA7"/>
    <w:rsid w:val="003B456D"/>
    <w:rsid w:val="003B46A0"/>
    <w:rsid w:val="003B4E8C"/>
    <w:rsid w:val="003B6A60"/>
    <w:rsid w:val="003B75B5"/>
    <w:rsid w:val="003B769B"/>
    <w:rsid w:val="003C1DCC"/>
    <w:rsid w:val="003C24AD"/>
    <w:rsid w:val="003C3004"/>
    <w:rsid w:val="003C3447"/>
    <w:rsid w:val="003C7080"/>
    <w:rsid w:val="003C7783"/>
    <w:rsid w:val="003D076C"/>
    <w:rsid w:val="003D21D5"/>
    <w:rsid w:val="003D350F"/>
    <w:rsid w:val="003D3597"/>
    <w:rsid w:val="003D4D5A"/>
    <w:rsid w:val="003D5E91"/>
    <w:rsid w:val="003D740F"/>
    <w:rsid w:val="003E2B23"/>
    <w:rsid w:val="003E2FE2"/>
    <w:rsid w:val="003E78B5"/>
    <w:rsid w:val="003F0076"/>
    <w:rsid w:val="003F5A31"/>
    <w:rsid w:val="004007B3"/>
    <w:rsid w:val="004021E7"/>
    <w:rsid w:val="00403322"/>
    <w:rsid w:val="00404192"/>
    <w:rsid w:val="00404DA1"/>
    <w:rsid w:val="00407E99"/>
    <w:rsid w:val="00411770"/>
    <w:rsid w:val="004119AA"/>
    <w:rsid w:val="00413EF7"/>
    <w:rsid w:val="004151A4"/>
    <w:rsid w:val="00415BAB"/>
    <w:rsid w:val="00415ED2"/>
    <w:rsid w:val="00416B74"/>
    <w:rsid w:val="0042068C"/>
    <w:rsid w:val="00423E5C"/>
    <w:rsid w:val="00423FBC"/>
    <w:rsid w:val="004248D0"/>
    <w:rsid w:val="004260E0"/>
    <w:rsid w:val="00426523"/>
    <w:rsid w:val="00430D73"/>
    <w:rsid w:val="0043168B"/>
    <w:rsid w:val="00431A8E"/>
    <w:rsid w:val="00432547"/>
    <w:rsid w:val="00433C7E"/>
    <w:rsid w:val="004355FC"/>
    <w:rsid w:val="00436F3F"/>
    <w:rsid w:val="004378D0"/>
    <w:rsid w:val="0044048C"/>
    <w:rsid w:val="00441C4E"/>
    <w:rsid w:val="00442762"/>
    <w:rsid w:val="00442FA4"/>
    <w:rsid w:val="00443D9A"/>
    <w:rsid w:val="004460A6"/>
    <w:rsid w:val="00447855"/>
    <w:rsid w:val="00451CD4"/>
    <w:rsid w:val="004551B3"/>
    <w:rsid w:val="00456169"/>
    <w:rsid w:val="00456F63"/>
    <w:rsid w:val="00460916"/>
    <w:rsid w:val="0046176B"/>
    <w:rsid w:val="00462211"/>
    <w:rsid w:val="00463F18"/>
    <w:rsid w:val="004656CD"/>
    <w:rsid w:val="0047090F"/>
    <w:rsid w:val="0047111B"/>
    <w:rsid w:val="0047122B"/>
    <w:rsid w:val="0047266B"/>
    <w:rsid w:val="00473772"/>
    <w:rsid w:val="00473B7A"/>
    <w:rsid w:val="004756EF"/>
    <w:rsid w:val="00475E1F"/>
    <w:rsid w:val="00476EFF"/>
    <w:rsid w:val="00480807"/>
    <w:rsid w:val="00480EF2"/>
    <w:rsid w:val="00480F76"/>
    <w:rsid w:val="00481405"/>
    <w:rsid w:val="00481CD4"/>
    <w:rsid w:val="00481F9A"/>
    <w:rsid w:val="00484DD4"/>
    <w:rsid w:val="00485413"/>
    <w:rsid w:val="004877B3"/>
    <w:rsid w:val="004926C2"/>
    <w:rsid w:val="004932C5"/>
    <w:rsid w:val="00494396"/>
    <w:rsid w:val="00495A52"/>
    <w:rsid w:val="004960E9"/>
    <w:rsid w:val="0049624D"/>
    <w:rsid w:val="004A0540"/>
    <w:rsid w:val="004A0BA6"/>
    <w:rsid w:val="004A2508"/>
    <w:rsid w:val="004A28D7"/>
    <w:rsid w:val="004A2E88"/>
    <w:rsid w:val="004A5305"/>
    <w:rsid w:val="004A5E41"/>
    <w:rsid w:val="004A6280"/>
    <w:rsid w:val="004B0488"/>
    <w:rsid w:val="004B1840"/>
    <w:rsid w:val="004B2639"/>
    <w:rsid w:val="004B460E"/>
    <w:rsid w:val="004B6B59"/>
    <w:rsid w:val="004C3AAC"/>
    <w:rsid w:val="004C4E22"/>
    <w:rsid w:val="004D0BC0"/>
    <w:rsid w:val="004D0C51"/>
    <w:rsid w:val="004D19FA"/>
    <w:rsid w:val="004D2FD2"/>
    <w:rsid w:val="004D3182"/>
    <w:rsid w:val="004D452A"/>
    <w:rsid w:val="004D6EB8"/>
    <w:rsid w:val="004D7634"/>
    <w:rsid w:val="004D77B5"/>
    <w:rsid w:val="004D7B00"/>
    <w:rsid w:val="004D7DD3"/>
    <w:rsid w:val="004E1136"/>
    <w:rsid w:val="004E1E32"/>
    <w:rsid w:val="004E2802"/>
    <w:rsid w:val="004E45FB"/>
    <w:rsid w:val="004E69D2"/>
    <w:rsid w:val="004E750A"/>
    <w:rsid w:val="004E7CE4"/>
    <w:rsid w:val="004F371F"/>
    <w:rsid w:val="004F42F2"/>
    <w:rsid w:val="004F64E3"/>
    <w:rsid w:val="004F759A"/>
    <w:rsid w:val="0050015E"/>
    <w:rsid w:val="005010DE"/>
    <w:rsid w:val="005016AB"/>
    <w:rsid w:val="005027FE"/>
    <w:rsid w:val="00502BC7"/>
    <w:rsid w:val="00504F36"/>
    <w:rsid w:val="00505258"/>
    <w:rsid w:val="00505B33"/>
    <w:rsid w:val="005069AF"/>
    <w:rsid w:val="00510722"/>
    <w:rsid w:val="005117A3"/>
    <w:rsid w:val="00515932"/>
    <w:rsid w:val="0052141A"/>
    <w:rsid w:val="00524A69"/>
    <w:rsid w:val="00525C53"/>
    <w:rsid w:val="00526A24"/>
    <w:rsid w:val="00527C4C"/>
    <w:rsid w:val="005300D3"/>
    <w:rsid w:val="00532B0C"/>
    <w:rsid w:val="00532E50"/>
    <w:rsid w:val="00534F49"/>
    <w:rsid w:val="00535B16"/>
    <w:rsid w:val="00536323"/>
    <w:rsid w:val="00536D82"/>
    <w:rsid w:val="005376A6"/>
    <w:rsid w:val="00537E8B"/>
    <w:rsid w:val="00541722"/>
    <w:rsid w:val="00542B81"/>
    <w:rsid w:val="00544F82"/>
    <w:rsid w:val="005502C3"/>
    <w:rsid w:val="005543C0"/>
    <w:rsid w:val="005544E8"/>
    <w:rsid w:val="00554523"/>
    <w:rsid w:val="00554FFF"/>
    <w:rsid w:val="00560B56"/>
    <w:rsid w:val="005627AB"/>
    <w:rsid w:val="00562E64"/>
    <w:rsid w:val="00563C3D"/>
    <w:rsid w:val="00565F71"/>
    <w:rsid w:val="00566950"/>
    <w:rsid w:val="00566F5D"/>
    <w:rsid w:val="005713EE"/>
    <w:rsid w:val="00574302"/>
    <w:rsid w:val="00574CA5"/>
    <w:rsid w:val="00575330"/>
    <w:rsid w:val="0058025E"/>
    <w:rsid w:val="0058479F"/>
    <w:rsid w:val="005848AA"/>
    <w:rsid w:val="00584BE6"/>
    <w:rsid w:val="005852CF"/>
    <w:rsid w:val="00585C75"/>
    <w:rsid w:val="005873FD"/>
    <w:rsid w:val="00591FBD"/>
    <w:rsid w:val="00592D80"/>
    <w:rsid w:val="00592E8C"/>
    <w:rsid w:val="0059325B"/>
    <w:rsid w:val="00593C4F"/>
    <w:rsid w:val="005946A8"/>
    <w:rsid w:val="00594D62"/>
    <w:rsid w:val="0059774E"/>
    <w:rsid w:val="005A173B"/>
    <w:rsid w:val="005A3FBF"/>
    <w:rsid w:val="005A4407"/>
    <w:rsid w:val="005A55ED"/>
    <w:rsid w:val="005A59EF"/>
    <w:rsid w:val="005A60DF"/>
    <w:rsid w:val="005A7D14"/>
    <w:rsid w:val="005B1223"/>
    <w:rsid w:val="005B4A22"/>
    <w:rsid w:val="005B4B6D"/>
    <w:rsid w:val="005C0C7C"/>
    <w:rsid w:val="005C0CFA"/>
    <w:rsid w:val="005C41AF"/>
    <w:rsid w:val="005C5807"/>
    <w:rsid w:val="005C6165"/>
    <w:rsid w:val="005C6868"/>
    <w:rsid w:val="005C6EAD"/>
    <w:rsid w:val="005C6F09"/>
    <w:rsid w:val="005C73EB"/>
    <w:rsid w:val="005D1166"/>
    <w:rsid w:val="005D4178"/>
    <w:rsid w:val="005D7696"/>
    <w:rsid w:val="005D77A0"/>
    <w:rsid w:val="005D7E02"/>
    <w:rsid w:val="005E035F"/>
    <w:rsid w:val="005E06BC"/>
    <w:rsid w:val="005E260A"/>
    <w:rsid w:val="005E448B"/>
    <w:rsid w:val="005E44A9"/>
    <w:rsid w:val="005F04C9"/>
    <w:rsid w:val="005F2A2E"/>
    <w:rsid w:val="005F30B6"/>
    <w:rsid w:val="005F3A49"/>
    <w:rsid w:val="005F5F07"/>
    <w:rsid w:val="005F6F41"/>
    <w:rsid w:val="005F6FB1"/>
    <w:rsid w:val="00600248"/>
    <w:rsid w:val="006002C7"/>
    <w:rsid w:val="006005E4"/>
    <w:rsid w:val="00601622"/>
    <w:rsid w:val="00602A00"/>
    <w:rsid w:val="00605582"/>
    <w:rsid w:val="00607446"/>
    <w:rsid w:val="006121E9"/>
    <w:rsid w:val="00612218"/>
    <w:rsid w:val="006138AF"/>
    <w:rsid w:val="006156F2"/>
    <w:rsid w:val="0061682D"/>
    <w:rsid w:val="00616E57"/>
    <w:rsid w:val="006200F1"/>
    <w:rsid w:val="00621590"/>
    <w:rsid w:val="00622513"/>
    <w:rsid w:val="00622B37"/>
    <w:rsid w:val="00622B8D"/>
    <w:rsid w:val="00622FC1"/>
    <w:rsid w:val="00625DC6"/>
    <w:rsid w:val="00625DDC"/>
    <w:rsid w:val="00631401"/>
    <w:rsid w:val="00631E8F"/>
    <w:rsid w:val="006328A4"/>
    <w:rsid w:val="00634642"/>
    <w:rsid w:val="00635BCB"/>
    <w:rsid w:val="00636B42"/>
    <w:rsid w:val="00637B74"/>
    <w:rsid w:val="006423C2"/>
    <w:rsid w:val="0064391D"/>
    <w:rsid w:val="00643C5D"/>
    <w:rsid w:val="00643D49"/>
    <w:rsid w:val="006440EC"/>
    <w:rsid w:val="00644671"/>
    <w:rsid w:val="0064486D"/>
    <w:rsid w:val="00651821"/>
    <w:rsid w:val="00653AC6"/>
    <w:rsid w:val="00654264"/>
    <w:rsid w:val="00654384"/>
    <w:rsid w:val="00654A8D"/>
    <w:rsid w:val="00654AD5"/>
    <w:rsid w:val="00655B6A"/>
    <w:rsid w:val="00655F73"/>
    <w:rsid w:val="00656C35"/>
    <w:rsid w:val="006605E5"/>
    <w:rsid w:val="0066072C"/>
    <w:rsid w:val="00661BDB"/>
    <w:rsid w:val="00662B20"/>
    <w:rsid w:val="00663D4F"/>
    <w:rsid w:val="0066646A"/>
    <w:rsid w:val="006672F7"/>
    <w:rsid w:val="006675CD"/>
    <w:rsid w:val="00670686"/>
    <w:rsid w:val="00672B47"/>
    <w:rsid w:val="00674CED"/>
    <w:rsid w:val="0067530D"/>
    <w:rsid w:val="00675DB2"/>
    <w:rsid w:val="0067736F"/>
    <w:rsid w:val="00677F29"/>
    <w:rsid w:val="00681AD8"/>
    <w:rsid w:val="006832C6"/>
    <w:rsid w:val="0068477B"/>
    <w:rsid w:val="00684C67"/>
    <w:rsid w:val="00684D9B"/>
    <w:rsid w:val="00684FFA"/>
    <w:rsid w:val="00692AD7"/>
    <w:rsid w:val="00692D20"/>
    <w:rsid w:val="00694859"/>
    <w:rsid w:val="00697556"/>
    <w:rsid w:val="0069757F"/>
    <w:rsid w:val="006A01FE"/>
    <w:rsid w:val="006A67E3"/>
    <w:rsid w:val="006B1C64"/>
    <w:rsid w:val="006B2952"/>
    <w:rsid w:val="006B381F"/>
    <w:rsid w:val="006B4647"/>
    <w:rsid w:val="006B4981"/>
    <w:rsid w:val="006B4C2B"/>
    <w:rsid w:val="006B56A4"/>
    <w:rsid w:val="006B5916"/>
    <w:rsid w:val="006B60D3"/>
    <w:rsid w:val="006B6D47"/>
    <w:rsid w:val="006B7E6B"/>
    <w:rsid w:val="006C2F36"/>
    <w:rsid w:val="006C4A97"/>
    <w:rsid w:val="006C5AFE"/>
    <w:rsid w:val="006C5BCF"/>
    <w:rsid w:val="006C709E"/>
    <w:rsid w:val="006D0D5B"/>
    <w:rsid w:val="006D153F"/>
    <w:rsid w:val="006D305F"/>
    <w:rsid w:val="006D4D82"/>
    <w:rsid w:val="006D4F2E"/>
    <w:rsid w:val="006D764D"/>
    <w:rsid w:val="006E0C64"/>
    <w:rsid w:val="006E15EA"/>
    <w:rsid w:val="006E1C54"/>
    <w:rsid w:val="006E3D5F"/>
    <w:rsid w:val="006E42FB"/>
    <w:rsid w:val="006E4CF5"/>
    <w:rsid w:val="006E5570"/>
    <w:rsid w:val="006E78EE"/>
    <w:rsid w:val="006F3BDC"/>
    <w:rsid w:val="006F5797"/>
    <w:rsid w:val="006F589B"/>
    <w:rsid w:val="006F6D95"/>
    <w:rsid w:val="006F7765"/>
    <w:rsid w:val="007009B9"/>
    <w:rsid w:val="00702511"/>
    <w:rsid w:val="00702880"/>
    <w:rsid w:val="00702900"/>
    <w:rsid w:val="00702FC2"/>
    <w:rsid w:val="00704166"/>
    <w:rsid w:val="00704312"/>
    <w:rsid w:val="00706D65"/>
    <w:rsid w:val="00706F13"/>
    <w:rsid w:val="007072E8"/>
    <w:rsid w:val="00707D58"/>
    <w:rsid w:val="00710703"/>
    <w:rsid w:val="00715033"/>
    <w:rsid w:val="0071618D"/>
    <w:rsid w:val="00716FE3"/>
    <w:rsid w:val="00717B8A"/>
    <w:rsid w:val="00720993"/>
    <w:rsid w:val="00722464"/>
    <w:rsid w:val="007237B6"/>
    <w:rsid w:val="00725B06"/>
    <w:rsid w:val="00725E1D"/>
    <w:rsid w:val="00725FA4"/>
    <w:rsid w:val="00726C0C"/>
    <w:rsid w:val="0073055C"/>
    <w:rsid w:val="0073074A"/>
    <w:rsid w:val="00730825"/>
    <w:rsid w:val="0073086C"/>
    <w:rsid w:val="00730C9E"/>
    <w:rsid w:val="007315E6"/>
    <w:rsid w:val="00732179"/>
    <w:rsid w:val="00732A40"/>
    <w:rsid w:val="00733551"/>
    <w:rsid w:val="00736FC9"/>
    <w:rsid w:val="00740446"/>
    <w:rsid w:val="0074082F"/>
    <w:rsid w:val="00740B56"/>
    <w:rsid w:val="00742597"/>
    <w:rsid w:val="007438A9"/>
    <w:rsid w:val="0074491E"/>
    <w:rsid w:val="0074568F"/>
    <w:rsid w:val="007467F1"/>
    <w:rsid w:val="00746862"/>
    <w:rsid w:val="007504EC"/>
    <w:rsid w:val="00752A24"/>
    <w:rsid w:val="00755165"/>
    <w:rsid w:val="00757F03"/>
    <w:rsid w:val="007604B3"/>
    <w:rsid w:val="00761AB7"/>
    <w:rsid w:val="0076247A"/>
    <w:rsid w:val="00762BAC"/>
    <w:rsid w:val="0076581E"/>
    <w:rsid w:val="00766CF8"/>
    <w:rsid w:val="0076733D"/>
    <w:rsid w:val="00767856"/>
    <w:rsid w:val="00772329"/>
    <w:rsid w:val="00772807"/>
    <w:rsid w:val="00772DA8"/>
    <w:rsid w:val="00773BA2"/>
    <w:rsid w:val="00775964"/>
    <w:rsid w:val="007765FE"/>
    <w:rsid w:val="0077734F"/>
    <w:rsid w:val="00784B67"/>
    <w:rsid w:val="0078760A"/>
    <w:rsid w:val="00787F11"/>
    <w:rsid w:val="00787FC1"/>
    <w:rsid w:val="00793F3E"/>
    <w:rsid w:val="00795BFB"/>
    <w:rsid w:val="00797044"/>
    <w:rsid w:val="00797093"/>
    <w:rsid w:val="007A12A2"/>
    <w:rsid w:val="007A14EC"/>
    <w:rsid w:val="007A375E"/>
    <w:rsid w:val="007B2760"/>
    <w:rsid w:val="007B2ECE"/>
    <w:rsid w:val="007B3764"/>
    <w:rsid w:val="007B7D53"/>
    <w:rsid w:val="007C1368"/>
    <w:rsid w:val="007C2022"/>
    <w:rsid w:val="007C3EE7"/>
    <w:rsid w:val="007C6336"/>
    <w:rsid w:val="007C65DD"/>
    <w:rsid w:val="007D081B"/>
    <w:rsid w:val="007D0FBE"/>
    <w:rsid w:val="007D1EE9"/>
    <w:rsid w:val="007D2326"/>
    <w:rsid w:val="007D6341"/>
    <w:rsid w:val="007D7F60"/>
    <w:rsid w:val="007E1F80"/>
    <w:rsid w:val="007E2188"/>
    <w:rsid w:val="007E44F9"/>
    <w:rsid w:val="007E590A"/>
    <w:rsid w:val="007E7AD2"/>
    <w:rsid w:val="007F1A26"/>
    <w:rsid w:val="007F3868"/>
    <w:rsid w:val="007F4922"/>
    <w:rsid w:val="0080021C"/>
    <w:rsid w:val="00801DF5"/>
    <w:rsid w:val="00802A65"/>
    <w:rsid w:val="00802D38"/>
    <w:rsid w:val="00805553"/>
    <w:rsid w:val="00805F76"/>
    <w:rsid w:val="00806226"/>
    <w:rsid w:val="00806C01"/>
    <w:rsid w:val="00807DBC"/>
    <w:rsid w:val="00810E69"/>
    <w:rsid w:val="008112E8"/>
    <w:rsid w:val="0081130B"/>
    <w:rsid w:val="0081331D"/>
    <w:rsid w:val="0081438A"/>
    <w:rsid w:val="008148CC"/>
    <w:rsid w:val="008150E7"/>
    <w:rsid w:val="008165E3"/>
    <w:rsid w:val="008211A4"/>
    <w:rsid w:val="00823A07"/>
    <w:rsid w:val="00826208"/>
    <w:rsid w:val="00827924"/>
    <w:rsid w:val="00831285"/>
    <w:rsid w:val="008318BA"/>
    <w:rsid w:val="00831A1E"/>
    <w:rsid w:val="008348CB"/>
    <w:rsid w:val="00837B9A"/>
    <w:rsid w:val="00844D9E"/>
    <w:rsid w:val="00845265"/>
    <w:rsid w:val="0084564B"/>
    <w:rsid w:val="00847358"/>
    <w:rsid w:val="00847443"/>
    <w:rsid w:val="008501D2"/>
    <w:rsid w:val="00850602"/>
    <w:rsid w:val="008515FD"/>
    <w:rsid w:val="00851CAD"/>
    <w:rsid w:val="008527C2"/>
    <w:rsid w:val="0085300C"/>
    <w:rsid w:val="008540A0"/>
    <w:rsid w:val="0085467A"/>
    <w:rsid w:val="00854C37"/>
    <w:rsid w:val="008554C7"/>
    <w:rsid w:val="008563D3"/>
    <w:rsid w:val="0085706C"/>
    <w:rsid w:val="0085741E"/>
    <w:rsid w:val="008611E7"/>
    <w:rsid w:val="00864029"/>
    <w:rsid w:val="00866817"/>
    <w:rsid w:val="008679DC"/>
    <w:rsid w:val="008712A7"/>
    <w:rsid w:val="0087140E"/>
    <w:rsid w:val="00872D82"/>
    <w:rsid w:val="00873150"/>
    <w:rsid w:val="0087444C"/>
    <w:rsid w:val="00875466"/>
    <w:rsid w:val="0087657D"/>
    <w:rsid w:val="00876D3E"/>
    <w:rsid w:val="00876DCE"/>
    <w:rsid w:val="00877C42"/>
    <w:rsid w:val="008800C1"/>
    <w:rsid w:val="008807D5"/>
    <w:rsid w:val="00880832"/>
    <w:rsid w:val="00880F6B"/>
    <w:rsid w:val="00881424"/>
    <w:rsid w:val="00881609"/>
    <w:rsid w:val="008821E6"/>
    <w:rsid w:val="00882263"/>
    <w:rsid w:val="00882BC8"/>
    <w:rsid w:val="00883586"/>
    <w:rsid w:val="00884559"/>
    <w:rsid w:val="0088560A"/>
    <w:rsid w:val="00886913"/>
    <w:rsid w:val="00886EE1"/>
    <w:rsid w:val="00886F37"/>
    <w:rsid w:val="0088727D"/>
    <w:rsid w:val="00890729"/>
    <w:rsid w:val="00894315"/>
    <w:rsid w:val="00895EC2"/>
    <w:rsid w:val="00897C75"/>
    <w:rsid w:val="00897DD2"/>
    <w:rsid w:val="008A39AC"/>
    <w:rsid w:val="008A482B"/>
    <w:rsid w:val="008B0C3E"/>
    <w:rsid w:val="008B1DFE"/>
    <w:rsid w:val="008B2887"/>
    <w:rsid w:val="008B3D54"/>
    <w:rsid w:val="008C1130"/>
    <w:rsid w:val="008C1E83"/>
    <w:rsid w:val="008C2EDE"/>
    <w:rsid w:val="008C3D2D"/>
    <w:rsid w:val="008C4452"/>
    <w:rsid w:val="008C7AF6"/>
    <w:rsid w:val="008D0594"/>
    <w:rsid w:val="008D0D93"/>
    <w:rsid w:val="008D18E6"/>
    <w:rsid w:val="008D2138"/>
    <w:rsid w:val="008D2EBA"/>
    <w:rsid w:val="008D48E8"/>
    <w:rsid w:val="008D5FBD"/>
    <w:rsid w:val="008D74F5"/>
    <w:rsid w:val="008D7A9B"/>
    <w:rsid w:val="008E4AAD"/>
    <w:rsid w:val="008E56B1"/>
    <w:rsid w:val="008E61CB"/>
    <w:rsid w:val="008E76AC"/>
    <w:rsid w:val="008F073C"/>
    <w:rsid w:val="008F1713"/>
    <w:rsid w:val="008F21F6"/>
    <w:rsid w:val="008F3972"/>
    <w:rsid w:val="008F5492"/>
    <w:rsid w:val="009008B4"/>
    <w:rsid w:val="009050E3"/>
    <w:rsid w:val="00906D10"/>
    <w:rsid w:val="00906F42"/>
    <w:rsid w:val="009076C7"/>
    <w:rsid w:val="00913560"/>
    <w:rsid w:val="00913D26"/>
    <w:rsid w:val="009143F5"/>
    <w:rsid w:val="00920416"/>
    <w:rsid w:val="00920C3D"/>
    <w:rsid w:val="00920FAD"/>
    <w:rsid w:val="00921B3A"/>
    <w:rsid w:val="0092279E"/>
    <w:rsid w:val="0092593B"/>
    <w:rsid w:val="00934FA6"/>
    <w:rsid w:val="00937565"/>
    <w:rsid w:val="00940FD7"/>
    <w:rsid w:val="0094252E"/>
    <w:rsid w:val="009429E7"/>
    <w:rsid w:val="009437C5"/>
    <w:rsid w:val="00945A3C"/>
    <w:rsid w:val="00946AB1"/>
    <w:rsid w:val="00951123"/>
    <w:rsid w:val="009516B8"/>
    <w:rsid w:val="00951F79"/>
    <w:rsid w:val="0095363B"/>
    <w:rsid w:val="0095512C"/>
    <w:rsid w:val="00955480"/>
    <w:rsid w:val="00956824"/>
    <w:rsid w:val="00956A84"/>
    <w:rsid w:val="00961E1B"/>
    <w:rsid w:val="009637C0"/>
    <w:rsid w:val="00966629"/>
    <w:rsid w:val="00966700"/>
    <w:rsid w:val="00967121"/>
    <w:rsid w:val="00967DCA"/>
    <w:rsid w:val="009701E7"/>
    <w:rsid w:val="009714A1"/>
    <w:rsid w:val="00972CF9"/>
    <w:rsid w:val="0097361C"/>
    <w:rsid w:val="00974AB5"/>
    <w:rsid w:val="00974CDA"/>
    <w:rsid w:val="00975A67"/>
    <w:rsid w:val="009767D5"/>
    <w:rsid w:val="00976D32"/>
    <w:rsid w:val="00980272"/>
    <w:rsid w:val="00980814"/>
    <w:rsid w:val="0098143F"/>
    <w:rsid w:val="009814D9"/>
    <w:rsid w:val="00981C5A"/>
    <w:rsid w:val="0098327D"/>
    <w:rsid w:val="00985E2C"/>
    <w:rsid w:val="0098706D"/>
    <w:rsid w:val="00992FF4"/>
    <w:rsid w:val="009935FB"/>
    <w:rsid w:val="009942FD"/>
    <w:rsid w:val="0099486C"/>
    <w:rsid w:val="00994981"/>
    <w:rsid w:val="00995733"/>
    <w:rsid w:val="00995AB9"/>
    <w:rsid w:val="009A043D"/>
    <w:rsid w:val="009B2CA8"/>
    <w:rsid w:val="009B3836"/>
    <w:rsid w:val="009B3ED9"/>
    <w:rsid w:val="009B7F09"/>
    <w:rsid w:val="009C2EEC"/>
    <w:rsid w:val="009C4C03"/>
    <w:rsid w:val="009C5B8E"/>
    <w:rsid w:val="009C5BF2"/>
    <w:rsid w:val="009C6488"/>
    <w:rsid w:val="009D138E"/>
    <w:rsid w:val="009D1806"/>
    <w:rsid w:val="009D1FF6"/>
    <w:rsid w:val="009D409B"/>
    <w:rsid w:val="009D417D"/>
    <w:rsid w:val="009D4A1A"/>
    <w:rsid w:val="009D4DF5"/>
    <w:rsid w:val="009D65E7"/>
    <w:rsid w:val="009D692A"/>
    <w:rsid w:val="009E0C30"/>
    <w:rsid w:val="009E11C8"/>
    <w:rsid w:val="009E1365"/>
    <w:rsid w:val="009E16BD"/>
    <w:rsid w:val="009E2F5E"/>
    <w:rsid w:val="009E6C87"/>
    <w:rsid w:val="009F0B74"/>
    <w:rsid w:val="009F3247"/>
    <w:rsid w:val="009F471E"/>
    <w:rsid w:val="009F492A"/>
    <w:rsid w:val="009F4A54"/>
    <w:rsid w:val="009F4BEC"/>
    <w:rsid w:val="009F609F"/>
    <w:rsid w:val="009F629A"/>
    <w:rsid w:val="009F70D8"/>
    <w:rsid w:val="00A014AC"/>
    <w:rsid w:val="00A0161E"/>
    <w:rsid w:val="00A031DE"/>
    <w:rsid w:val="00A03732"/>
    <w:rsid w:val="00A04D6F"/>
    <w:rsid w:val="00A06156"/>
    <w:rsid w:val="00A0795F"/>
    <w:rsid w:val="00A105BE"/>
    <w:rsid w:val="00A11391"/>
    <w:rsid w:val="00A13FAE"/>
    <w:rsid w:val="00A143D0"/>
    <w:rsid w:val="00A1699A"/>
    <w:rsid w:val="00A16BA2"/>
    <w:rsid w:val="00A20331"/>
    <w:rsid w:val="00A21A33"/>
    <w:rsid w:val="00A23A1B"/>
    <w:rsid w:val="00A25FD7"/>
    <w:rsid w:val="00A26496"/>
    <w:rsid w:val="00A26DBC"/>
    <w:rsid w:val="00A27E5A"/>
    <w:rsid w:val="00A31776"/>
    <w:rsid w:val="00A31DFB"/>
    <w:rsid w:val="00A32A2C"/>
    <w:rsid w:val="00A35B88"/>
    <w:rsid w:val="00A3618A"/>
    <w:rsid w:val="00A36412"/>
    <w:rsid w:val="00A37476"/>
    <w:rsid w:val="00A41FA4"/>
    <w:rsid w:val="00A421DA"/>
    <w:rsid w:val="00A43AFF"/>
    <w:rsid w:val="00A44444"/>
    <w:rsid w:val="00A44502"/>
    <w:rsid w:val="00A45239"/>
    <w:rsid w:val="00A45E61"/>
    <w:rsid w:val="00A50F04"/>
    <w:rsid w:val="00A51D8F"/>
    <w:rsid w:val="00A53402"/>
    <w:rsid w:val="00A55E42"/>
    <w:rsid w:val="00A560D6"/>
    <w:rsid w:val="00A60B46"/>
    <w:rsid w:val="00A61986"/>
    <w:rsid w:val="00A62A9D"/>
    <w:rsid w:val="00A64F5C"/>
    <w:rsid w:val="00A70DF7"/>
    <w:rsid w:val="00A71343"/>
    <w:rsid w:val="00A716F6"/>
    <w:rsid w:val="00A71CC8"/>
    <w:rsid w:val="00A72A1C"/>
    <w:rsid w:val="00A72AE2"/>
    <w:rsid w:val="00A75649"/>
    <w:rsid w:val="00A759CA"/>
    <w:rsid w:val="00A766E2"/>
    <w:rsid w:val="00A76D31"/>
    <w:rsid w:val="00A7793A"/>
    <w:rsid w:val="00A77CA7"/>
    <w:rsid w:val="00A807A1"/>
    <w:rsid w:val="00A81C1B"/>
    <w:rsid w:val="00A84DAD"/>
    <w:rsid w:val="00A85A53"/>
    <w:rsid w:val="00A86149"/>
    <w:rsid w:val="00A87797"/>
    <w:rsid w:val="00A87AAD"/>
    <w:rsid w:val="00A91BF5"/>
    <w:rsid w:val="00A93098"/>
    <w:rsid w:val="00A93759"/>
    <w:rsid w:val="00A948B5"/>
    <w:rsid w:val="00A95B7B"/>
    <w:rsid w:val="00A967CB"/>
    <w:rsid w:val="00AA010D"/>
    <w:rsid w:val="00AA08CD"/>
    <w:rsid w:val="00AA0DF5"/>
    <w:rsid w:val="00AA3003"/>
    <w:rsid w:val="00AA44A7"/>
    <w:rsid w:val="00AA4CC7"/>
    <w:rsid w:val="00AA5380"/>
    <w:rsid w:val="00AA5823"/>
    <w:rsid w:val="00AA5E8E"/>
    <w:rsid w:val="00AB12AD"/>
    <w:rsid w:val="00AB158D"/>
    <w:rsid w:val="00AB1F86"/>
    <w:rsid w:val="00AB6CA7"/>
    <w:rsid w:val="00AC2AA3"/>
    <w:rsid w:val="00AC5694"/>
    <w:rsid w:val="00AC71D9"/>
    <w:rsid w:val="00AD01E4"/>
    <w:rsid w:val="00AD0858"/>
    <w:rsid w:val="00AD0B07"/>
    <w:rsid w:val="00AD1A5B"/>
    <w:rsid w:val="00AD2D04"/>
    <w:rsid w:val="00AD4002"/>
    <w:rsid w:val="00AD552E"/>
    <w:rsid w:val="00AD69FC"/>
    <w:rsid w:val="00AD6D31"/>
    <w:rsid w:val="00AE12AF"/>
    <w:rsid w:val="00AE2302"/>
    <w:rsid w:val="00AE420F"/>
    <w:rsid w:val="00AE4363"/>
    <w:rsid w:val="00AE52F4"/>
    <w:rsid w:val="00AE556C"/>
    <w:rsid w:val="00AE5B7B"/>
    <w:rsid w:val="00AE5C1B"/>
    <w:rsid w:val="00AE7206"/>
    <w:rsid w:val="00AE7340"/>
    <w:rsid w:val="00AE7627"/>
    <w:rsid w:val="00AF0706"/>
    <w:rsid w:val="00AF0C4E"/>
    <w:rsid w:val="00AF1BBD"/>
    <w:rsid w:val="00AF1FB3"/>
    <w:rsid w:val="00AF4099"/>
    <w:rsid w:val="00AF577E"/>
    <w:rsid w:val="00AF5E7A"/>
    <w:rsid w:val="00AF6229"/>
    <w:rsid w:val="00AF7F9F"/>
    <w:rsid w:val="00B003BA"/>
    <w:rsid w:val="00B0328B"/>
    <w:rsid w:val="00B03A76"/>
    <w:rsid w:val="00B04CFB"/>
    <w:rsid w:val="00B055A6"/>
    <w:rsid w:val="00B07D2C"/>
    <w:rsid w:val="00B101D3"/>
    <w:rsid w:val="00B10207"/>
    <w:rsid w:val="00B10D76"/>
    <w:rsid w:val="00B133BB"/>
    <w:rsid w:val="00B1347E"/>
    <w:rsid w:val="00B141E7"/>
    <w:rsid w:val="00B16275"/>
    <w:rsid w:val="00B16C3E"/>
    <w:rsid w:val="00B204E6"/>
    <w:rsid w:val="00B22226"/>
    <w:rsid w:val="00B22898"/>
    <w:rsid w:val="00B22BD3"/>
    <w:rsid w:val="00B24602"/>
    <w:rsid w:val="00B24D5A"/>
    <w:rsid w:val="00B32DD8"/>
    <w:rsid w:val="00B33934"/>
    <w:rsid w:val="00B351B4"/>
    <w:rsid w:val="00B36EB1"/>
    <w:rsid w:val="00B40962"/>
    <w:rsid w:val="00B40F5F"/>
    <w:rsid w:val="00B41801"/>
    <w:rsid w:val="00B44C14"/>
    <w:rsid w:val="00B46BCA"/>
    <w:rsid w:val="00B47F3A"/>
    <w:rsid w:val="00B5230B"/>
    <w:rsid w:val="00B526A3"/>
    <w:rsid w:val="00B53781"/>
    <w:rsid w:val="00B540E0"/>
    <w:rsid w:val="00B56448"/>
    <w:rsid w:val="00B565E2"/>
    <w:rsid w:val="00B57668"/>
    <w:rsid w:val="00B60C8C"/>
    <w:rsid w:val="00B61D99"/>
    <w:rsid w:val="00B62919"/>
    <w:rsid w:val="00B62BC0"/>
    <w:rsid w:val="00B631D8"/>
    <w:rsid w:val="00B63471"/>
    <w:rsid w:val="00B639AD"/>
    <w:rsid w:val="00B671AC"/>
    <w:rsid w:val="00B67536"/>
    <w:rsid w:val="00B721B6"/>
    <w:rsid w:val="00B72378"/>
    <w:rsid w:val="00B724A1"/>
    <w:rsid w:val="00B7288A"/>
    <w:rsid w:val="00B72EC6"/>
    <w:rsid w:val="00B739A2"/>
    <w:rsid w:val="00B74F1F"/>
    <w:rsid w:val="00B756E7"/>
    <w:rsid w:val="00B75ED9"/>
    <w:rsid w:val="00B80E73"/>
    <w:rsid w:val="00B81BB4"/>
    <w:rsid w:val="00B82420"/>
    <w:rsid w:val="00B8446A"/>
    <w:rsid w:val="00B85420"/>
    <w:rsid w:val="00B86129"/>
    <w:rsid w:val="00B8698E"/>
    <w:rsid w:val="00B87806"/>
    <w:rsid w:val="00B87EC9"/>
    <w:rsid w:val="00B90EA7"/>
    <w:rsid w:val="00B90F19"/>
    <w:rsid w:val="00B91123"/>
    <w:rsid w:val="00B9130B"/>
    <w:rsid w:val="00B929AF"/>
    <w:rsid w:val="00B92BC9"/>
    <w:rsid w:val="00B92EAC"/>
    <w:rsid w:val="00B948D7"/>
    <w:rsid w:val="00BA3556"/>
    <w:rsid w:val="00BA3B2F"/>
    <w:rsid w:val="00BA3B52"/>
    <w:rsid w:val="00BA3D38"/>
    <w:rsid w:val="00BA72FD"/>
    <w:rsid w:val="00BA73E3"/>
    <w:rsid w:val="00BB39CE"/>
    <w:rsid w:val="00BB4763"/>
    <w:rsid w:val="00BB4983"/>
    <w:rsid w:val="00BB74B6"/>
    <w:rsid w:val="00BC012F"/>
    <w:rsid w:val="00BC2F6E"/>
    <w:rsid w:val="00BC38FD"/>
    <w:rsid w:val="00BD283C"/>
    <w:rsid w:val="00BD3267"/>
    <w:rsid w:val="00BD3E8F"/>
    <w:rsid w:val="00BD7710"/>
    <w:rsid w:val="00BD7F14"/>
    <w:rsid w:val="00BE31DF"/>
    <w:rsid w:val="00BE6338"/>
    <w:rsid w:val="00BE76E0"/>
    <w:rsid w:val="00BE7CAA"/>
    <w:rsid w:val="00BF2120"/>
    <w:rsid w:val="00BF35DB"/>
    <w:rsid w:val="00BF3A16"/>
    <w:rsid w:val="00BF4008"/>
    <w:rsid w:val="00BF4423"/>
    <w:rsid w:val="00BF47CF"/>
    <w:rsid w:val="00BF4A5B"/>
    <w:rsid w:val="00BF66D3"/>
    <w:rsid w:val="00BF6E67"/>
    <w:rsid w:val="00BF72A5"/>
    <w:rsid w:val="00BF77FD"/>
    <w:rsid w:val="00C006F6"/>
    <w:rsid w:val="00C00954"/>
    <w:rsid w:val="00C018C2"/>
    <w:rsid w:val="00C034CB"/>
    <w:rsid w:val="00C051A8"/>
    <w:rsid w:val="00C05346"/>
    <w:rsid w:val="00C054BC"/>
    <w:rsid w:val="00C06B4B"/>
    <w:rsid w:val="00C0700B"/>
    <w:rsid w:val="00C07E9D"/>
    <w:rsid w:val="00C106CB"/>
    <w:rsid w:val="00C11006"/>
    <w:rsid w:val="00C11B83"/>
    <w:rsid w:val="00C122C4"/>
    <w:rsid w:val="00C13FD7"/>
    <w:rsid w:val="00C14A2F"/>
    <w:rsid w:val="00C14B7E"/>
    <w:rsid w:val="00C14B82"/>
    <w:rsid w:val="00C159F0"/>
    <w:rsid w:val="00C17897"/>
    <w:rsid w:val="00C23430"/>
    <w:rsid w:val="00C246BA"/>
    <w:rsid w:val="00C259A4"/>
    <w:rsid w:val="00C2699C"/>
    <w:rsid w:val="00C27B42"/>
    <w:rsid w:val="00C3020A"/>
    <w:rsid w:val="00C32FD4"/>
    <w:rsid w:val="00C350E9"/>
    <w:rsid w:val="00C35890"/>
    <w:rsid w:val="00C35B2B"/>
    <w:rsid w:val="00C374DC"/>
    <w:rsid w:val="00C37895"/>
    <w:rsid w:val="00C409D5"/>
    <w:rsid w:val="00C424BA"/>
    <w:rsid w:val="00C435C3"/>
    <w:rsid w:val="00C45BB1"/>
    <w:rsid w:val="00C507D0"/>
    <w:rsid w:val="00C5109C"/>
    <w:rsid w:val="00C518D5"/>
    <w:rsid w:val="00C5395D"/>
    <w:rsid w:val="00C563BE"/>
    <w:rsid w:val="00C56A4E"/>
    <w:rsid w:val="00C61934"/>
    <w:rsid w:val="00C6234B"/>
    <w:rsid w:val="00C63EAE"/>
    <w:rsid w:val="00C65BF6"/>
    <w:rsid w:val="00C660DA"/>
    <w:rsid w:val="00C663AF"/>
    <w:rsid w:val="00C66E28"/>
    <w:rsid w:val="00C66FB9"/>
    <w:rsid w:val="00C67E09"/>
    <w:rsid w:val="00C72346"/>
    <w:rsid w:val="00C73667"/>
    <w:rsid w:val="00C73F82"/>
    <w:rsid w:val="00C74BD1"/>
    <w:rsid w:val="00C7629F"/>
    <w:rsid w:val="00C8372E"/>
    <w:rsid w:val="00C86165"/>
    <w:rsid w:val="00C8661B"/>
    <w:rsid w:val="00C86759"/>
    <w:rsid w:val="00C86F73"/>
    <w:rsid w:val="00C87369"/>
    <w:rsid w:val="00C87CE5"/>
    <w:rsid w:val="00C90AB3"/>
    <w:rsid w:val="00C965A0"/>
    <w:rsid w:val="00C96690"/>
    <w:rsid w:val="00C975A7"/>
    <w:rsid w:val="00CA139A"/>
    <w:rsid w:val="00CA227B"/>
    <w:rsid w:val="00CA2899"/>
    <w:rsid w:val="00CA2D7A"/>
    <w:rsid w:val="00CA3563"/>
    <w:rsid w:val="00CA3A3D"/>
    <w:rsid w:val="00CA3C10"/>
    <w:rsid w:val="00CA6739"/>
    <w:rsid w:val="00CA77FB"/>
    <w:rsid w:val="00CB287B"/>
    <w:rsid w:val="00CB379B"/>
    <w:rsid w:val="00CB47A8"/>
    <w:rsid w:val="00CB4ACB"/>
    <w:rsid w:val="00CB5DD0"/>
    <w:rsid w:val="00CC0B0B"/>
    <w:rsid w:val="00CC2041"/>
    <w:rsid w:val="00CC276B"/>
    <w:rsid w:val="00CC2FA2"/>
    <w:rsid w:val="00CC3519"/>
    <w:rsid w:val="00CC3F0D"/>
    <w:rsid w:val="00CC50B1"/>
    <w:rsid w:val="00CC51D4"/>
    <w:rsid w:val="00CC65DA"/>
    <w:rsid w:val="00CC6F6C"/>
    <w:rsid w:val="00CC7294"/>
    <w:rsid w:val="00CC78C0"/>
    <w:rsid w:val="00CD5896"/>
    <w:rsid w:val="00CD75E7"/>
    <w:rsid w:val="00CE21E3"/>
    <w:rsid w:val="00CE373B"/>
    <w:rsid w:val="00CE5A69"/>
    <w:rsid w:val="00CE6180"/>
    <w:rsid w:val="00CE66CF"/>
    <w:rsid w:val="00CF207C"/>
    <w:rsid w:val="00CF21B9"/>
    <w:rsid w:val="00CF63CD"/>
    <w:rsid w:val="00CF6BF9"/>
    <w:rsid w:val="00D0082F"/>
    <w:rsid w:val="00D01F0A"/>
    <w:rsid w:val="00D036CD"/>
    <w:rsid w:val="00D03800"/>
    <w:rsid w:val="00D03E47"/>
    <w:rsid w:val="00D046C9"/>
    <w:rsid w:val="00D0649A"/>
    <w:rsid w:val="00D065D3"/>
    <w:rsid w:val="00D102CD"/>
    <w:rsid w:val="00D11963"/>
    <w:rsid w:val="00D1276E"/>
    <w:rsid w:val="00D13C46"/>
    <w:rsid w:val="00D14C94"/>
    <w:rsid w:val="00D14CA4"/>
    <w:rsid w:val="00D2167A"/>
    <w:rsid w:val="00D2290A"/>
    <w:rsid w:val="00D2322D"/>
    <w:rsid w:val="00D23E87"/>
    <w:rsid w:val="00D258BF"/>
    <w:rsid w:val="00D25B73"/>
    <w:rsid w:val="00D26139"/>
    <w:rsid w:val="00D26F85"/>
    <w:rsid w:val="00D27114"/>
    <w:rsid w:val="00D313EC"/>
    <w:rsid w:val="00D334AC"/>
    <w:rsid w:val="00D339D4"/>
    <w:rsid w:val="00D342A6"/>
    <w:rsid w:val="00D348AB"/>
    <w:rsid w:val="00D359F1"/>
    <w:rsid w:val="00D36398"/>
    <w:rsid w:val="00D40594"/>
    <w:rsid w:val="00D464BF"/>
    <w:rsid w:val="00D470EF"/>
    <w:rsid w:val="00D509B7"/>
    <w:rsid w:val="00D516AA"/>
    <w:rsid w:val="00D535EE"/>
    <w:rsid w:val="00D538D5"/>
    <w:rsid w:val="00D53E26"/>
    <w:rsid w:val="00D54AA6"/>
    <w:rsid w:val="00D54D2B"/>
    <w:rsid w:val="00D55370"/>
    <w:rsid w:val="00D554D3"/>
    <w:rsid w:val="00D55CCC"/>
    <w:rsid w:val="00D56663"/>
    <w:rsid w:val="00D607B1"/>
    <w:rsid w:val="00D60AC7"/>
    <w:rsid w:val="00D618C0"/>
    <w:rsid w:val="00D648EF"/>
    <w:rsid w:val="00D70019"/>
    <w:rsid w:val="00D715C2"/>
    <w:rsid w:val="00D72D22"/>
    <w:rsid w:val="00D7302A"/>
    <w:rsid w:val="00D73B47"/>
    <w:rsid w:val="00D75351"/>
    <w:rsid w:val="00D80817"/>
    <w:rsid w:val="00D81AFD"/>
    <w:rsid w:val="00D81E1E"/>
    <w:rsid w:val="00D828B9"/>
    <w:rsid w:val="00D8320E"/>
    <w:rsid w:val="00D910FC"/>
    <w:rsid w:val="00D9171F"/>
    <w:rsid w:val="00D918F3"/>
    <w:rsid w:val="00D91DED"/>
    <w:rsid w:val="00D9244B"/>
    <w:rsid w:val="00D9248B"/>
    <w:rsid w:val="00D92DE2"/>
    <w:rsid w:val="00D96B7A"/>
    <w:rsid w:val="00DA2099"/>
    <w:rsid w:val="00DA239B"/>
    <w:rsid w:val="00DA5560"/>
    <w:rsid w:val="00DA5EF1"/>
    <w:rsid w:val="00DB6618"/>
    <w:rsid w:val="00DB7E5C"/>
    <w:rsid w:val="00DC13B9"/>
    <w:rsid w:val="00DD13F2"/>
    <w:rsid w:val="00DD238F"/>
    <w:rsid w:val="00DD2701"/>
    <w:rsid w:val="00DD371F"/>
    <w:rsid w:val="00DD39A2"/>
    <w:rsid w:val="00DD3CE8"/>
    <w:rsid w:val="00DD4011"/>
    <w:rsid w:val="00DD4C63"/>
    <w:rsid w:val="00DD4F0E"/>
    <w:rsid w:val="00DD4F71"/>
    <w:rsid w:val="00DE018C"/>
    <w:rsid w:val="00DE078F"/>
    <w:rsid w:val="00DE17D9"/>
    <w:rsid w:val="00DE4017"/>
    <w:rsid w:val="00DE4ED8"/>
    <w:rsid w:val="00DF00AE"/>
    <w:rsid w:val="00DF05A3"/>
    <w:rsid w:val="00DF070D"/>
    <w:rsid w:val="00DF0BF0"/>
    <w:rsid w:val="00DF2C45"/>
    <w:rsid w:val="00DF2C51"/>
    <w:rsid w:val="00DF54FF"/>
    <w:rsid w:val="00DF569B"/>
    <w:rsid w:val="00DF727D"/>
    <w:rsid w:val="00E00408"/>
    <w:rsid w:val="00E0158D"/>
    <w:rsid w:val="00E01F2E"/>
    <w:rsid w:val="00E0499D"/>
    <w:rsid w:val="00E05E0A"/>
    <w:rsid w:val="00E07893"/>
    <w:rsid w:val="00E07CAF"/>
    <w:rsid w:val="00E116AC"/>
    <w:rsid w:val="00E12069"/>
    <w:rsid w:val="00E12D46"/>
    <w:rsid w:val="00E13617"/>
    <w:rsid w:val="00E14CF6"/>
    <w:rsid w:val="00E14F33"/>
    <w:rsid w:val="00E17692"/>
    <w:rsid w:val="00E21BC1"/>
    <w:rsid w:val="00E22BA7"/>
    <w:rsid w:val="00E233B4"/>
    <w:rsid w:val="00E306D6"/>
    <w:rsid w:val="00E3075E"/>
    <w:rsid w:val="00E3119D"/>
    <w:rsid w:val="00E31F85"/>
    <w:rsid w:val="00E32710"/>
    <w:rsid w:val="00E330DE"/>
    <w:rsid w:val="00E333F7"/>
    <w:rsid w:val="00E340CC"/>
    <w:rsid w:val="00E404D6"/>
    <w:rsid w:val="00E408A0"/>
    <w:rsid w:val="00E41CE7"/>
    <w:rsid w:val="00E41DFD"/>
    <w:rsid w:val="00E42E8C"/>
    <w:rsid w:val="00E436A8"/>
    <w:rsid w:val="00E43C80"/>
    <w:rsid w:val="00E4655E"/>
    <w:rsid w:val="00E46D16"/>
    <w:rsid w:val="00E47203"/>
    <w:rsid w:val="00E5193B"/>
    <w:rsid w:val="00E523CE"/>
    <w:rsid w:val="00E534CF"/>
    <w:rsid w:val="00E56BFE"/>
    <w:rsid w:val="00E6146A"/>
    <w:rsid w:val="00E61938"/>
    <w:rsid w:val="00E66B2F"/>
    <w:rsid w:val="00E72C5E"/>
    <w:rsid w:val="00E7347E"/>
    <w:rsid w:val="00E7709E"/>
    <w:rsid w:val="00E809A1"/>
    <w:rsid w:val="00E81CB4"/>
    <w:rsid w:val="00E829D7"/>
    <w:rsid w:val="00E8569C"/>
    <w:rsid w:val="00E8579D"/>
    <w:rsid w:val="00E8585B"/>
    <w:rsid w:val="00E90E83"/>
    <w:rsid w:val="00E91301"/>
    <w:rsid w:val="00E944DF"/>
    <w:rsid w:val="00E9621C"/>
    <w:rsid w:val="00E96E17"/>
    <w:rsid w:val="00EA1EE1"/>
    <w:rsid w:val="00EA2219"/>
    <w:rsid w:val="00EA3452"/>
    <w:rsid w:val="00EA386A"/>
    <w:rsid w:val="00EA3F15"/>
    <w:rsid w:val="00EA636D"/>
    <w:rsid w:val="00EA7847"/>
    <w:rsid w:val="00EB154D"/>
    <w:rsid w:val="00EB3879"/>
    <w:rsid w:val="00EB4128"/>
    <w:rsid w:val="00EB5842"/>
    <w:rsid w:val="00EB58DA"/>
    <w:rsid w:val="00EC0B8D"/>
    <w:rsid w:val="00EC2F9C"/>
    <w:rsid w:val="00EC440C"/>
    <w:rsid w:val="00EC4885"/>
    <w:rsid w:val="00EC69D7"/>
    <w:rsid w:val="00EC6DB3"/>
    <w:rsid w:val="00EC7A9D"/>
    <w:rsid w:val="00ED0112"/>
    <w:rsid w:val="00ED40DC"/>
    <w:rsid w:val="00ED596A"/>
    <w:rsid w:val="00ED6028"/>
    <w:rsid w:val="00ED65EC"/>
    <w:rsid w:val="00EE298A"/>
    <w:rsid w:val="00EE2E6E"/>
    <w:rsid w:val="00EE3117"/>
    <w:rsid w:val="00EE3A9F"/>
    <w:rsid w:val="00EE4661"/>
    <w:rsid w:val="00EE4C9E"/>
    <w:rsid w:val="00EF28E6"/>
    <w:rsid w:val="00EF3AB1"/>
    <w:rsid w:val="00EF4B06"/>
    <w:rsid w:val="00EF605C"/>
    <w:rsid w:val="00EF6BDC"/>
    <w:rsid w:val="00F01CA3"/>
    <w:rsid w:val="00F03154"/>
    <w:rsid w:val="00F0499E"/>
    <w:rsid w:val="00F04FA6"/>
    <w:rsid w:val="00F057E5"/>
    <w:rsid w:val="00F06BB2"/>
    <w:rsid w:val="00F06D33"/>
    <w:rsid w:val="00F0759E"/>
    <w:rsid w:val="00F14ED1"/>
    <w:rsid w:val="00F15D54"/>
    <w:rsid w:val="00F16347"/>
    <w:rsid w:val="00F16FE3"/>
    <w:rsid w:val="00F222F7"/>
    <w:rsid w:val="00F22F1E"/>
    <w:rsid w:val="00F23A1D"/>
    <w:rsid w:val="00F241E5"/>
    <w:rsid w:val="00F24C4F"/>
    <w:rsid w:val="00F33360"/>
    <w:rsid w:val="00F35317"/>
    <w:rsid w:val="00F35523"/>
    <w:rsid w:val="00F35BA5"/>
    <w:rsid w:val="00F369CE"/>
    <w:rsid w:val="00F36B65"/>
    <w:rsid w:val="00F4002F"/>
    <w:rsid w:val="00F4350B"/>
    <w:rsid w:val="00F47D2E"/>
    <w:rsid w:val="00F5028B"/>
    <w:rsid w:val="00F5143E"/>
    <w:rsid w:val="00F527D9"/>
    <w:rsid w:val="00F52B69"/>
    <w:rsid w:val="00F55D33"/>
    <w:rsid w:val="00F61F03"/>
    <w:rsid w:val="00F63543"/>
    <w:rsid w:val="00F672AB"/>
    <w:rsid w:val="00F679A8"/>
    <w:rsid w:val="00F704B1"/>
    <w:rsid w:val="00F7160E"/>
    <w:rsid w:val="00F724F8"/>
    <w:rsid w:val="00F7490D"/>
    <w:rsid w:val="00F7677E"/>
    <w:rsid w:val="00F76E11"/>
    <w:rsid w:val="00F80D64"/>
    <w:rsid w:val="00F821A3"/>
    <w:rsid w:val="00F849B2"/>
    <w:rsid w:val="00F877BF"/>
    <w:rsid w:val="00F9314A"/>
    <w:rsid w:val="00F94A53"/>
    <w:rsid w:val="00F9623D"/>
    <w:rsid w:val="00F96674"/>
    <w:rsid w:val="00F969FC"/>
    <w:rsid w:val="00FA0422"/>
    <w:rsid w:val="00FA0D0D"/>
    <w:rsid w:val="00FA14EB"/>
    <w:rsid w:val="00FA29CD"/>
    <w:rsid w:val="00FA6A07"/>
    <w:rsid w:val="00FB277C"/>
    <w:rsid w:val="00FB2A39"/>
    <w:rsid w:val="00FB4124"/>
    <w:rsid w:val="00FB4372"/>
    <w:rsid w:val="00FB754C"/>
    <w:rsid w:val="00FC021D"/>
    <w:rsid w:val="00FC4FA1"/>
    <w:rsid w:val="00FC58EF"/>
    <w:rsid w:val="00FD09CA"/>
    <w:rsid w:val="00FD33DF"/>
    <w:rsid w:val="00FD3E8B"/>
    <w:rsid w:val="00FD3E9C"/>
    <w:rsid w:val="00FD4591"/>
    <w:rsid w:val="00FD4ECB"/>
    <w:rsid w:val="00FD6206"/>
    <w:rsid w:val="00FE1079"/>
    <w:rsid w:val="00FE32F8"/>
    <w:rsid w:val="00FE380E"/>
    <w:rsid w:val="00FE39D7"/>
    <w:rsid w:val="00FE3B4D"/>
    <w:rsid w:val="00FE414D"/>
    <w:rsid w:val="00FE5026"/>
    <w:rsid w:val="00FE656D"/>
    <w:rsid w:val="00FE7A62"/>
    <w:rsid w:val="00FF032D"/>
    <w:rsid w:val="00FF0696"/>
    <w:rsid w:val="00FF0F87"/>
    <w:rsid w:val="00FF12D7"/>
    <w:rsid w:val="00FF1CAD"/>
    <w:rsid w:val="00FF1CBF"/>
    <w:rsid w:val="00FF20B6"/>
    <w:rsid w:val="00FF256B"/>
    <w:rsid w:val="00FF3411"/>
    <w:rsid w:val="00FF34D3"/>
    <w:rsid w:val="00FF3565"/>
    <w:rsid w:val="00FF71F0"/>
    <w:rsid w:val="00FF7495"/>
    <w:rsid w:val="00FF7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65141"/>
  <w15:docId w15:val="{9897975A-CEA0-4D9C-BFB0-F1A3DCE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1"/>
    <w:qFormat/>
    <w:rsid w:val="00795BFB"/>
    <w:pPr>
      <w:widowControl w:val="0"/>
      <w:adjustRightInd w:val="0"/>
      <w:spacing w:line="360" w:lineRule="atLeast"/>
      <w:jc w:val="center"/>
      <w:textAlignment w:val="baseline"/>
    </w:pPr>
    <w:rPr>
      <w:rFonts w:ascii="Arial" w:hAnsi="Arial" w:cs="Arial"/>
      <w:b/>
      <w:bCs/>
    </w:rPr>
  </w:style>
  <w:style w:type="character" w:customStyle="1" w:styleId="TtuloCar1">
    <w:name w:val="Título Car1"/>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 w:type="paragraph" w:customStyle="1" w:styleId="Epgrafe">
    <w:name w:val="Epígrafe"/>
    <w:basedOn w:val="Normal"/>
    <w:next w:val="Normal"/>
    <w:uiPriority w:val="35"/>
    <w:qFormat/>
    <w:rsid w:val="00526A24"/>
    <w:pPr>
      <w:widowControl w:val="0"/>
      <w:adjustRightInd w:val="0"/>
      <w:spacing w:before="120" w:after="120" w:line="360" w:lineRule="atLeast"/>
      <w:ind w:left="0"/>
      <w:jc w:val="center"/>
      <w:textAlignment w:val="baseline"/>
    </w:pPr>
    <w:rPr>
      <w:rFonts w:ascii="Arial" w:hAnsi="Arial"/>
      <w:sz w:val="20"/>
      <w:szCs w:val="20"/>
    </w:rPr>
  </w:style>
  <w:style w:type="character" w:customStyle="1" w:styleId="TtuloCar">
    <w:name w:val="Título Car"/>
    <w:rsid w:val="00526A24"/>
    <w:rPr>
      <w:rFonts w:ascii="Arial" w:hAnsi="Arial" w:cs="Arial"/>
      <w:b/>
      <w:bCs/>
      <w:sz w:val="24"/>
      <w:szCs w:val="24"/>
    </w:rPr>
  </w:style>
  <w:style w:type="character" w:customStyle="1" w:styleId="Ttulo1Car">
    <w:name w:val="Título 1 Car"/>
    <w:basedOn w:val="Fuentedeprrafopredeter"/>
    <w:link w:val="Ttulo1"/>
    <w:rsid w:val="008C7AF6"/>
    <w:rPr>
      <w:rFonts w:ascii="CG Times" w:hAnsi="CG Times"/>
      <w:b/>
      <w:sz w:val="24"/>
      <w:lang w:eastAsia="es-ES"/>
    </w:rPr>
  </w:style>
  <w:style w:type="character" w:customStyle="1" w:styleId="PiedepginaCar">
    <w:name w:val="Pie de página Car"/>
    <w:basedOn w:val="Fuentedeprrafopredeter"/>
    <w:link w:val="Piedepgina"/>
    <w:semiHidden/>
    <w:rsid w:val="008C7AF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9E5E-9864-4221-97EC-A3B79A60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55</Pages>
  <Words>19628</Words>
  <Characters>106922</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2017-12-01T11:49:00Z</cp:lastPrinted>
  <dcterms:created xsi:type="dcterms:W3CDTF">2018-08-17T16:16:00Z</dcterms:created>
  <dcterms:modified xsi:type="dcterms:W3CDTF">2018-08-17T16:16:00Z</dcterms:modified>
</cp:coreProperties>
</file>